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C35C3" w14:textId="7CD2B857" w:rsidR="0003640E" w:rsidRPr="00E3756C" w:rsidRDefault="00A42208" w:rsidP="0003640E">
      <w:pPr>
        <w:pStyle w:val="BodyText"/>
      </w:pPr>
      <w:r>
        <w:rPr>
          <w:noProof/>
        </w:rPr>
        <w:drawing>
          <wp:anchor distT="0" distB="0" distL="114300" distR="114300" simplePos="0" relativeHeight="251722752" behindDoc="0" locked="0" layoutInCell="1" allowOverlap="1" wp14:anchorId="568CF4F6" wp14:editId="481A039C">
            <wp:simplePos x="0" y="0"/>
            <wp:positionH relativeFrom="page">
              <wp:align>left</wp:align>
            </wp:positionH>
            <wp:positionV relativeFrom="page">
              <wp:align>top</wp:align>
            </wp:positionV>
            <wp:extent cx="7548006" cy="106775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E-AoG 19034 Climate Change Report cover_[ENGLISH]_v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477" cy="10683850"/>
                    </a:xfrm>
                    <a:prstGeom prst="rect">
                      <a:avLst/>
                    </a:prstGeom>
                  </pic:spPr>
                </pic:pic>
              </a:graphicData>
            </a:graphic>
            <wp14:sizeRelH relativeFrom="margin">
              <wp14:pctWidth>0</wp14:pctWidth>
            </wp14:sizeRelH>
            <wp14:sizeRelV relativeFrom="margin">
              <wp14:pctHeight>0</wp14:pctHeight>
            </wp14:sizeRelV>
          </wp:anchor>
        </w:drawing>
      </w:r>
    </w:p>
    <w:p w14:paraId="72D73AF3" w14:textId="77777777" w:rsidR="0003640E" w:rsidRPr="00E3756C" w:rsidRDefault="0003640E" w:rsidP="0080531E">
      <w:pPr>
        <w:jc w:val="left"/>
        <w:rPr>
          <w:color w:val="FF0000"/>
        </w:rPr>
        <w:sectPr w:rsidR="0003640E" w:rsidRPr="00E3756C" w:rsidSect="0036151C">
          <w:headerReference w:type="default" r:id="rId9"/>
          <w:footerReference w:type="default" r:id="rId10"/>
          <w:pgSz w:w="11907" w:h="16840" w:code="9"/>
          <w:pgMar w:top="5670" w:right="1418" w:bottom="1701" w:left="1418" w:header="567" w:footer="1134" w:gutter="0"/>
          <w:cols w:space="720"/>
        </w:sectPr>
      </w:pPr>
    </w:p>
    <w:p w14:paraId="45FD768F" w14:textId="77777777" w:rsidR="00452EC4" w:rsidRPr="00E3756C" w:rsidRDefault="00452EC4" w:rsidP="00452EC4">
      <w:pPr>
        <w:pStyle w:val="Imprint"/>
      </w:pPr>
      <w:r w:rsidRPr="00E3756C">
        <w:lastRenderedPageBreak/>
        <w:t xml:space="preserve">This </w:t>
      </w:r>
      <w:r w:rsidR="00775F57" w:rsidRPr="00E3756C">
        <w:t>document</w:t>
      </w:r>
      <w:r w:rsidRPr="00E3756C">
        <w:t xml:space="preserve"> may be cited as:</w:t>
      </w:r>
      <w:r w:rsidR="00775F57" w:rsidRPr="00E3756C">
        <w:t xml:space="preserve"> Ministry for the Environment. </w:t>
      </w:r>
      <w:r w:rsidR="0092798F" w:rsidRPr="00E3756C">
        <w:t>2019</w:t>
      </w:r>
      <w:r w:rsidR="00775F57" w:rsidRPr="00E3756C">
        <w:t xml:space="preserve">. </w:t>
      </w:r>
      <w:r w:rsidR="001C5089" w:rsidRPr="001C5089">
        <w:rPr>
          <w:i/>
        </w:rPr>
        <w:t>Arotakenga Huringa Āhuarangi</w:t>
      </w:r>
      <w:r w:rsidR="001C5089">
        <w:rPr>
          <w:i/>
        </w:rPr>
        <w:t>:</w:t>
      </w:r>
      <w:r w:rsidR="001C5089" w:rsidRPr="001C5089">
        <w:t xml:space="preserve"> </w:t>
      </w:r>
      <w:r w:rsidR="00A369C1" w:rsidRPr="00A369C1">
        <w:rPr>
          <w:i/>
        </w:rPr>
        <w:t>A Framework for</w:t>
      </w:r>
      <w:r w:rsidR="00A369C1">
        <w:t xml:space="preserve"> </w:t>
      </w:r>
      <w:r w:rsidR="00166ABA">
        <w:t xml:space="preserve">the </w:t>
      </w:r>
      <w:r w:rsidR="001C5089" w:rsidRPr="001C5089">
        <w:rPr>
          <w:i/>
        </w:rPr>
        <w:t>National Climate Change Risk Assessment for Aotearoa New Zealand</w:t>
      </w:r>
      <w:r w:rsidR="00775F57" w:rsidRPr="00E3756C">
        <w:t>. Wellington: Ministry for the Environment.</w:t>
      </w:r>
    </w:p>
    <w:p w14:paraId="27BA3693" w14:textId="77777777" w:rsidR="0080531E" w:rsidRPr="00E3756C" w:rsidRDefault="0080531E" w:rsidP="0080531E">
      <w:pPr>
        <w:pStyle w:val="Imprint"/>
      </w:pPr>
    </w:p>
    <w:p w14:paraId="2DCC6B16" w14:textId="77777777" w:rsidR="0080531E" w:rsidRPr="00E3756C" w:rsidRDefault="0080531E" w:rsidP="0080531E">
      <w:pPr>
        <w:pStyle w:val="Imprint"/>
      </w:pPr>
    </w:p>
    <w:p w14:paraId="163501FD" w14:textId="77777777" w:rsidR="0080531E" w:rsidRPr="00E3756C" w:rsidRDefault="0080531E" w:rsidP="0080531E">
      <w:pPr>
        <w:pStyle w:val="Imprint"/>
      </w:pPr>
    </w:p>
    <w:p w14:paraId="0A99F5F8" w14:textId="77777777" w:rsidR="0080531E" w:rsidRPr="00E3756C" w:rsidRDefault="0080531E" w:rsidP="0080531E">
      <w:pPr>
        <w:pStyle w:val="Imprint"/>
      </w:pPr>
    </w:p>
    <w:p w14:paraId="4F7DE144" w14:textId="77777777" w:rsidR="0080531E" w:rsidRPr="00E3756C" w:rsidRDefault="0080531E" w:rsidP="0080531E">
      <w:pPr>
        <w:pStyle w:val="Imprint"/>
      </w:pPr>
    </w:p>
    <w:p w14:paraId="2B37D40F" w14:textId="77777777" w:rsidR="0080531E" w:rsidRPr="00E3756C" w:rsidRDefault="0080531E" w:rsidP="0080531E">
      <w:pPr>
        <w:pStyle w:val="Imprint"/>
      </w:pPr>
    </w:p>
    <w:p w14:paraId="17CEFB93" w14:textId="77777777" w:rsidR="0080531E" w:rsidRPr="00E3756C" w:rsidRDefault="0080531E" w:rsidP="0080531E">
      <w:pPr>
        <w:pStyle w:val="Imprint"/>
      </w:pPr>
    </w:p>
    <w:p w14:paraId="7A95EBBF" w14:textId="77777777" w:rsidR="0080531E" w:rsidRPr="00E3756C" w:rsidRDefault="0080531E" w:rsidP="0080531E">
      <w:pPr>
        <w:pStyle w:val="Imprint"/>
      </w:pPr>
    </w:p>
    <w:p w14:paraId="64820B2D" w14:textId="77777777" w:rsidR="00663783" w:rsidRPr="00E3756C" w:rsidRDefault="00663783" w:rsidP="0080531E">
      <w:pPr>
        <w:pStyle w:val="Imprint"/>
      </w:pPr>
    </w:p>
    <w:p w14:paraId="3B1C9494" w14:textId="77777777" w:rsidR="00BE26C9" w:rsidRDefault="00BE26C9" w:rsidP="0080531E">
      <w:pPr>
        <w:pStyle w:val="Imprint"/>
      </w:pPr>
    </w:p>
    <w:p w14:paraId="55598923" w14:textId="77777777" w:rsidR="00BE26C9" w:rsidRDefault="00BE26C9" w:rsidP="0080531E">
      <w:pPr>
        <w:pStyle w:val="Imprint"/>
      </w:pPr>
    </w:p>
    <w:p w14:paraId="6BF3A2E0" w14:textId="36DCF2C0" w:rsidR="0080531E" w:rsidRPr="00E3756C" w:rsidRDefault="0080531E" w:rsidP="0080531E">
      <w:pPr>
        <w:pStyle w:val="Imprint"/>
      </w:pPr>
      <w:r w:rsidRPr="00E3756C">
        <w:t xml:space="preserve">Published in </w:t>
      </w:r>
      <w:r w:rsidR="003D0995">
        <w:t>September</w:t>
      </w:r>
      <w:r w:rsidR="003D0995" w:rsidRPr="00E3756C">
        <w:t xml:space="preserve"> </w:t>
      </w:r>
      <w:r w:rsidR="00B10BD3" w:rsidRPr="00E3756C">
        <w:t>2019</w:t>
      </w:r>
      <w:r w:rsidRPr="00E3756C">
        <w:t xml:space="preserve"> by the</w:t>
      </w:r>
      <w:r w:rsidRPr="00E3756C">
        <w:br/>
        <w:t xml:space="preserve">Ministry for the Environment </w:t>
      </w:r>
      <w:r w:rsidRPr="00E3756C">
        <w:br/>
        <w:t>Manatū Mō Te Taiao</w:t>
      </w:r>
      <w:r w:rsidRPr="00E3756C">
        <w:br/>
        <w:t>PO Box 10362, Wellington 6143, New Zealand</w:t>
      </w:r>
    </w:p>
    <w:p w14:paraId="7CBC49EE" w14:textId="77777777" w:rsidR="0080531E" w:rsidRPr="00E3756C" w:rsidRDefault="000D5D61" w:rsidP="0080531E">
      <w:pPr>
        <w:pStyle w:val="Imprint"/>
        <w:tabs>
          <w:tab w:val="left" w:pos="720"/>
        </w:tabs>
        <w:ind w:left="720" w:hanging="720"/>
      </w:pPr>
      <w:r>
        <w:t xml:space="preserve">ISBN: </w:t>
      </w:r>
      <w:r w:rsidRPr="000D5D61">
        <w:rPr>
          <w:rFonts w:asciiTheme="minorHAnsi" w:eastAsia="Arial" w:hAnsiTheme="minorHAnsi" w:cstheme="minorHAnsi"/>
          <w:color w:val="000000"/>
        </w:rPr>
        <w:t>978-1-98-857942-9</w:t>
      </w:r>
      <w:r w:rsidRPr="00E3756C">
        <w:t xml:space="preserve"> </w:t>
      </w:r>
      <w:r w:rsidR="0080531E" w:rsidRPr="00E3756C">
        <w:t>(</w:t>
      </w:r>
      <w:r w:rsidR="00775F57" w:rsidRPr="00E3756C">
        <w:t>online</w:t>
      </w:r>
      <w:r w:rsidR="0080531E" w:rsidRPr="00E3756C">
        <w:t>)</w:t>
      </w:r>
    </w:p>
    <w:p w14:paraId="5E6D38A7" w14:textId="77777777" w:rsidR="0080531E" w:rsidRPr="00E3756C" w:rsidRDefault="0080531E" w:rsidP="0080531E">
      <w:pPr>
        <w:pStyle w:val="Imprint"/>
        <w:ind w:left="720" w:hanging="720"/>
      </w:pPr>
      <w:r w:rsidRPr="00E3756C">
        <w:t xml:space="preserve">Publication number: </w:t>
      </w:r>
      <w:r w:rsidRPr="000D5D61">
        <w:t xml:space="preserve">ME </w:t>
      </w:r>
      <w:r w:rsidR="000D5D61">
        <w:t>1434</w:t>
      </w:r>
    </w:p>
    <w:p w14:paraId="1F234EFD" w14:textId="77777777" w:rsidR="0080531E" w:rsidRPr="00E3756C" w:rsidRDefault="0080531E" w:rsidP="00593E94">
      <w:pPr>
        <w:pStyle w:val="Imprint"/>
        <w:spacing w:after="80"/>
      </w:pPr>
      <w:r w:rsidRPr="00E3756C">
        <w:t xml:space="preserve">© Crown copyright New Zealand </w:t>
      </w:r>
      <w:r w:rsidR="00B10BD3" w:rsidRPr="00E3756C">
        <w:t>2019</w:t>
      </w:r>
    </w:p>
    <w:p w14:paraId="2899FE1A" w14:textId="77777777" w:rsidR="00C04705" w:rsidRPr="00E3756C" w:rsidRDefault="0080531E" w:rsidP="00593E94">
      <w:pPr>
        <w:pStyle w:val="Imprint"/>
        <w:spacing w:before="240" w:after="0"/>
        <w:rPr>
          <w:rStyle w:val="Hyperlink"/>
          <w:color w:val="auto"/>
        </w:rPr>
      </w:pPr>
      <w:r w:rsidRPr="00E3756C">
        <w:t>This document is available on the Ministry for</w:t>
      </w:r>
      <w:r w:rsidR="004C4E8A" w:rsidRPr="00E3756C">
        <w:t xml:space="preserve"> the Environment </w:t>
      </w:r>
      <w:r w:rsidR="00CB557F" w:rsidRPr="00E3756C">
        <w:t>website</w:t>
      </w:r>
      <w:r w:rsidRPr="00E3756C">
        <w:t xml:space="preserve">: </w:t>
      </w:r>
      <w:hyperlink r:id="rId11" w:history="1">
        <w:r w:rsidRPr="00E3756C">
          <w:rPr>
            <w:rStyle w:val="Hyperlink"/>
          </w:rPr>
          <w:t>www.mfe.govt.nz</w:t>
        </w:r>
      </w:hyperlink>
      <w:r w:rsidR="00B51610" w:rsidRPr="00E3756C">
        <w:rPr>
          <w:rStyle w:val="Hyperlink"/>
          <w:color w:val="auto"/>
        </w:rPr>
        <w:t>.</w:t>
      </w:r>
    </w:p>
    <w:p w14:paraId="36B5FC25" w14:textId="77777777" w:rsidR="00A84FE1" w:rsidRPr="00E3756C" w:rsidRDefault="00A84FE1" w:rsidP="00A84FE1">
      <w:pPr>
        <w:pStyle w:val="Imprint"/>
        <w:spacing w:before="240" w:after="0"/>
      </w:pPr>
      <w:r w:rsidRPr="00E3756C">
        <w:rPr>
          <w:noProof/>
        </w:rPr>
        <w:drawing>
          <wp:inline distT="0" distB="0" distL="0" distR="0" wp14:anchorId="655FF681" wp14:editId="2D80AF78">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7E96E2F7" w14:textId="77777777" w:rsidR="0080531E" w:rsidRPr="00E3756C" w:rsidRDefault="0080531E" w:rsidP="00A84FE1">
      <w:pPr>
        <w:sectPr w:rsidR="0080531E" w:rsidRPr="00E3756C"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7D8E2187" w14:textId="77777777" w:rsidR="0080531E" w:rsidRPr="00E3756C" w:rsidRDefault="0080531E" w:rsidP="00727E48">
      <w:pPr>
        <w:pStyle w:val="Heading"/>
        <w:spacing w:after="240"/>
      </w:pPr>
      <w:r w:rsidRPr="00E3756C">
        <w:lastRenderedPageBreak/>
        <w:t>Contents</w:t>
      </w:r>
    </w:p>
    <w:p w14:paraId="50A9255D" w14:textId="1FDD2929" w:rsidR="00727E48" w:rsidRPr="00E3756C" w:rsidRDefault="00775F57">
      <w:pPr>
        <w:pStyle w:val="TOC1"/>
        <w:rPr>
          <w:rFonts w:asciiTheme="minorHAnsi" w:hAnsiTheme="minorHAnsi"/>
          <w:noProof/>
        </w:rPr>
      </w:pPr>
      <w:r w:rsidRPr="00E3756C">
        <w:rPr>
          <w:color w:val="0092CF"/>
        </w:rPr>
        <w:fldChar w:fldCharType="begin"/>
      </w:r>
      <w:r w:rsidRPr="00E3756C">
        <w:rPr>
          <w:color w:val="0092CF"/>
        </w:rPr>
        <w:instrText xml:space="preserve"> TOC \h \z \t "Heading 1,1,Heading 2,2" </w:instrText>
      </w:r>
      <w:r w:rsidRPr="00E3756C">
        <w:rPr>
          <w:color w:val="0092CF"/>
        </w:rPr>
        <w:fldChar w:fldCharType="separate"/>
      </w:r>
      <w:hyperlink w:anchor="_Toc15409133" w:history="1">
        <w:r w:rsidR="00727E48" w:rsidRPr="00E3756C">
          <w:rPr>
            <w:rStyle w:val="Hyperlink"/>
            <w:noProof/>
          </w:rPr>
          <w:t>Foreword</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_Toc15409133 \h </w:instrText>
        </w:r>
        <w:r w:rsidR="00727E48" w:rsidRPr="00E3756C">
          <w:rPr>
            <w:noProof/>
            <w:webHidden/>
          </w:rPr>
        </w:r>
        <w:r w:rsidR="00727E48" w:rsidRPr="00E3756C">
          <w:rPr>
            <w:noProof/>
            <w:webHidden/>
          </w:rPr>
          <w:fldChar w:fldCharType="separate"/>
        </w:r>
        <w:r w:rsidR="003D0995">
          <w:rPr>
            <w:noProof/>
            <w:webHidden/>
          </w:rPr>
          <w:t>7</w:t>
        </w:r>
        <w:r w:rsidR="00727E48" w:rsidRPr="00E3756C">
          <w:rPr>
            <w:noProof/>
            <w:webHidden/>
          </w:rPr>
          <w:fldChar w:fldCharType="end"/>
        </w:r>
      </w:hyperlink>
    </w:p>
    <w:p w14:paraId="040B3B3A" w14:textId="1D008958" w:rsidR="00727E48" w:rsidRPr="00E3756C" w:rsidRDefault="00053883">
      <w:pPr>
        <w:pStyle w:val="TOC1"/>
        <w:rPr>
          <w:rFonts w:asciiTheme="minorHAnsi" w:hAnsiTheme="minorHAnsi"/>
          <w:noProof/>
        </w:rPr>
      </w:pPr>
      <w:hyperlink w:anchor="_Toc15409134" w:history="1">
        <w:r w:rsidR="00727E48" w:rsidRPr="00E3756C">
          <w:rPr>
            <w:rStyle w:val="Hyperlink"/>
            <w:noProof/>
          </w:rPr>
          <w:t>He tirohanga Māori</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_Toc15409134 \h </w:instrText>
        </w:r>
        <w:r w:rsidR="00727E48" w:rsidRPr="00E3756C">
          <w:rPr>
            <w:noProof/>
            <w:webHidden/>
          </w:rPr>
        </w:r>
        <w:r w:rsidR="00727E48" w:rsidRPr="00E3756C">
          <w:rPr>
            <w:noProof/>
            <w:webHidden/>
          </w:rPr>
          <w:fldChar w:fldCharType="separate"/>
        </w:r>
        <w:r w:rsidR="003D0995">
          <w:rPr>
            <w:noProof/>
            <w:webHidden/>
          </w:rPr>
          <w:t>10</w:t>
        </w:r>
        <w:r w:rsidR="00727E48" w:rsidRPr="00E3756C">
          <w:rPr>
            <w:noProof/>
            <w:webHidden/>
          </w:rPr>
          <w:fldChar w:fldCharType="end"/>
        </w:r>
      </w:hyperlink>
    </w:p>
    <w:p w14:paraId="3DEBDCC3" w14:textId="23FEA926" w:rsidR="00727E48" w:rsidRPr="00E3756C" w:rsidRDefault="00053883">
      <w:pPr>
        <w:pStyle w:val="TOC2"/>
        <w:rPr>
          <w:rFonts w:asciiTheme="minorHAnsi" w:hAnsiTheme="minorHAnsi"/>
          <w:noProof/>
        </w:rPr>
      </w:pPr>
      <w:hyperlink w:anchor="_Toc15409135" w:history="1">
        <w:r w:rsidR="00727E48" w:rsidRPr="00E3756C">
          <w:rPr>
            <w:rStyle w:val="Hyperlink"/>
            <w:noProof/>
          </w:rPr>
          <w:t>Karakia (recitation)</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_Toc15409135 \h </w:instrText>
        </w:r>
        <w:r w:rsidR="00727E48" w:rsidRPr="00E3756C">
          <w:rPr>
            <w:noProof/>
            <w:webHidden/>
          </w:rPr>
        </w:r>
        <w:r w:rsidR="00727E48" w:rsidRPr="00E3756C">
          <w:rPr>
            <w:noProof/>
            <w:webHidden/>
          </w:rPr>
          <w:fldChar w:fldCharType="separate"/>
        </w:r>
        <w:r w:rsidR="003D0995">
          <w:rPr>
            <w:noProof/>
            <w:webHidden/>
          </w:rPr>
          <w:t>10</w:t>
        </w:r>
        <w:r w:rsidR="00727E48" w:rsidRPr="00E3756C">
          <w:rPr>
            <w:noProof/>
            <w:webHidden/>
          </w:rPr>
          <w:fldChar w:fldCharType="end"/>
        </w:r>
      </w:hyperlink>
    </w:p>
    <w:p w14:paraId="1C8103A0" w14:textId="1EC58634" w:rsidR="00727E48" w:rsidRPr="00E3756C" w:rsidRDefault="00053883">
      <w:pPr>
        <w:pStyle w:val="TOC2"/>
        <w:rPr>
          <w:rFonts w:asciiTheme="minorHAnsi" w:hAnsiTheme="minorHAnsi"/>
          <w:noProof/>
        </w:rPr>
      </w:pPr>
      <w:hyperlink w:anchor="_Toc15409136" w:history="1">
        <w:r w:rsidR="00727E48" w:rsidRPr="00E3756C">
          <w:rPr>
            <w:rStyle w:val="Hyperlink"/>
            <w:noProof/>
          </w:rPr>
          <w:t>Ngā mātāpono (guiding principles)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_Toc15409136 \h </w:instrText>
        </w:r>
        <w:r w:rsidR="00727E48" w:rsidRPr="00E3756C">
          <w:rPr>
            <w:noProof/>
            <w:webHidden/>
          </w:rPr>
        </w:r>
        <w:r w:rsidR="00727E48" w:rsidRPr="00E3756C">
          <w:rPr>
            <w:noProof/>
            <w:webHidden/>
          </w:rPr>
          <w:fldChar w:fldCharType="separate"/>
        </w:r>
        <w:r w:rsidR="003D0995">
          <w:rPr>
            <w:noProof/>
            <w:webHidden/>
          </w:rPr>
          <w:t>11</w:t>
        </w:r>
        <w:r w:rsidR="00727E48" w:rsidRPr="00E3756C">
          <w:rPr>
            <w:noProof/>
            <w:webHidden/>
          </w:rPr>
          <w:fldChar w:fldCharType="end"/>
        </w:r>
      </w:hyperlink>
    </w:p>
    <w:p w14:paraId="1C74E25A" w14:textId="6F87FCFB" w:rsidR="00727E48" w:rsidRPr="00E3756C" w:rsidRDefault="00053883">
      <w:pPr>
        <w:pStyle w:val="TOC1"/>
        <w:rPr>
          <w:rFonts w:asciiTheme="minorHAnsi" w:hAnsiTheme="minorHAnsi"/>
          <w:noProof/>
        </w:rPr>
      </w:pPr>
      <w:hyperlink w:anchor="_Toc15409137" w:history="1">
        <w:r w:rsidR="00727E48" w:rsidRPr="00E3756C">
          <w:rPr>
            <w:rStyle w:val="Hyperlink"/>
            <w:noProof/>
          </w:rPr>
          <w:t>Chapter A1: Introduction</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_Toc15409137 \h </w:instrText>
        </w:r>
        <w:r w:rsidR="00727E48" w:rsidRPr="00E3756C">
          <w:rPr>
            <w:noProof/>
            <w:webHidden/>
          </w:rPr>
        </w:r>
        <w:r w:rsidR="00727E48" w:rsidRPr="00E3756C">
          <w:rPr>
            <w:noProof/>
            <w:webHidden/>
          </w:rPr>
          <w:fldChar w:fldCharType="separate"/>
        </w:r>
        <w:r w:rsidR="003D0995">
          <w:rPr>
            <w:noProof/>
            <w:webHidden/>
          </w:rPr>
          <w:t>14</w:t>
        </w:r>
        <w:r w:rsidR="00727E48" w:rsidRPr="00E3756C">
          <w:rPr>
            <w:noProof/>
            <w:webHidden/>
          </w:rPr>
          <w:fldChar w:fldCharType="end"/>
        </w:r>
      </w:hyperlink>
    </w:p>
    <w:p w14:paraId="4B1C4646" w14:textId="50125AE9" w:rsidR="00727E48" w:rsidRPr="00E3756C" w:rsidRDefault="00053883">
      <w:pPr>
        <w:pStyle w:val="TOC2"/>
        <w:tabs>
          <w:tab w:val="left" w:pos="1320"/>
        </w:tabs>
        <w:rPr>
          <w:rFonts w:asciiTheme="minorHAnsi" w:hAnsiTheme="minorHAnsi"/>
          <w:noProof/>
        </w:rPr>
      </w:pPr>
      <w:hyperlink w:anchor="_Toc15409138" w:history="1">
        <w:r w:rsidR="00727E48" w:rsidRPr="00E3756C">
          <w:rPr>
            <w:rStyle w:val="Hyperlink"/>
            <w:noProof/>
          </w:rPr>
          <w:t xml:space="preserve">A1.1 </w:t>
        </w:r>
        <w:r w:rsidR="00727E48" w:rsidRPr="00E3756C">
          <w:rPr>
            <w:rFonts w:asciiTheme="minorHAnsi" w:hAnsiTheme="minorHAnsi"/>
            <w:noProof/>
          </w:rPr>
          <w:tab/>
        </w:r>
        <w:r w:rsidR="00727E48" w:rsidRPr="00E3756C">
          <w:rPr>
            <w:rStyle w:val="Hyperlink"/>
            <w:noProof/>
          </w:rPr>
          <w:t>Climate change and the need for adaptation action</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_Toc15409138 \h </w:instrText>
        </w:r>
        <w:r w:rsidR="00727E48" w:rsidRPr="00E3756C">
          <w:rPr>
            <w:noProof/>
            <w:webHidden/>
          </w:rPr>
        </w:r>
        <w:r w:rsidR="00727E48" w:rsidRPr="00E3756C">
          <w:rPr>
            <w:noProof/>
            <w:webHidden/>
          </w:rPr>
          <w:fldChar w:fldCharType="separate"/>
        </w:r>
        <w:r w:rsidR="003D0995">
          <w:rPr>
            <w:noProof/>
            <w:webHidden/>
          </w:rPr>
          <w:t>14</w:t>
        </w:r>
        <w:r w:rsidR="00727E48" w:rsidRPr="00E3756C">
          <w:rPr>
            <w:noProof/>
            <w:webHidden/>
          </w:rPr>
          <w:fldChar w:fldCharType="end"/>
        </w:r>
      </w:hyperlink>
    </w:p>
    <w:p w14:paraId="16C0D262" w14:textId="61B29954" w:rsidR="00727E48" w:rsidRPr="00E3756C" w:rsidRDefault="00053883">
      <w:pPr>
        <w:pStyle w:val="TOC2"/>
        <w:tabs>
          <w:tab w:val="left" w:pos="1320"/>
        </w:tabs>
        <w:rPr>
          <w:rFonts w:asciiTheme="minorHAnsi" w:hAnsiTheme="minorHAnsi"/>
          <w:noProof/>
        </w:rPr>
      </w:pPr>
      <w:hyperlink w:anchor="_Toc15409139" w:history="1">
        <w:r w:rsidR="00727E48" w:rsidRPr="00E3756C">
          <w:rPr>
            <w:rStyle w:val="Hyperlink"/>
            <w:noProof/>
          </w:rPr>
          <w:t xml:space="preserve">A1.2 </w:t>
        </w:r>
        <w:r w:rsidR="00727E48" w:rsidRPr="00E3756C">
          <w:rPr>
            <w:rFonts w:asciiTheme="minorHAnsi" w:hAnsiTheme="minorHAnsi"/>
            <w:noProof/>
          </w:rPr>
          <w:tab/>
        </w:r>
        <w:r w:rsidR="00727E48" w:rsidRPr="00E3756C">
          <w:rPr>
            <w:rStyle w:val="Hyperlink"/>
            <w:noProof/>
          </w:rPr>
          <w:t>Assessing climate change risks for Aotearoa New Zealand</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_Toc15409139 \h </w:instrText>
        </w:r>
        <w:r w:rsidR="00727E48" w:rsidRPr="00E3756C">
          <w:rPr>
            <w:noProof/>
            <w:webHidden/>
          </w:rPr>
        </w:r>
        <w:r w:rsidR="00727E48" w:rsidRPr="00E3756C">
          <w:rPr>
            <w:noProof/>
            <w:webHidden/>
          </w:rPr>
          <w:fldChar w:fldCharType="separate"/>
        </w:r>
        <w:r w:rsidR="003D0995">
          <w:rPr>
            <w:noProof/>
            <w:webHidden/>
          </w:rPr>
          <w:t>15</w:t>
        </w:r>
        <w:r w:rsidR="00727E48" w:rsidRPr="00E3756C">
          <w:rPr>
            <w:noProof/>
            <w:webHidden/>
          </w:rPr>
          <w:fldChar w:fldCharType="end"/>
        </w:r>
      </w:hyperlink>
    </w:p>
    <w:p w14:paraId="7E53C31A" w14:textId="7A1D8FA2" w:rsidR="00727E48" w:rsidRPr="00E3756C" w:rsidRDefault="00053883">
      <w:pPr>
        <w:pStyle w:val="TOC2"/>
        <w:tabs>
          <w:tab w:val="left" w:pos="1320"/>
        </w:tabs>
        <w:rPr>
          <w:rFonts w:asciiTheme="minorHAnsi" w:hAnsiTheme="minorHAnsi"/>
          <w:noProof/>
        </w:rPr>
      </w:pPr>
      <w:hyperlink w:anchor="_Toc15409140" w:history="1">
        <w:r w:rsidR="00727E48" w:rsidRPr="00E3756C">
          <w:rPr>
            <w:rStyle w:val="Hyperlink"/>
            <w:noProof/>
          </w:rPr>
          <w:t xml:space="preserve">A1.3 </w:t>
        </w:r>
        <w:r w:rsidR="00727E48" w:rsidRPr="00E3756C">
          <w:rPr>
            <w:rFonts w:asciiTheme="minorHAnsi" w:hAnsiTheme="minorHAnsi"/>
            <w:noProof/>
          </w:rPr>
          <w:tab/>
        </w:r>
        <w:r w:rsidR="00727E48" w:rsidRPr="00E3756C">
          <w:rPr>
            <w:rStyle w:val="Hyperlink"/>
            <w:noProof/>
          </w:rPr>
          <w:t>Purpose of the National Climate Change Risk Assessment framework</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_Toc15409140 \h </w:instrText>
        </w:r>
        <w:r w:rsidR="00727E48" w:rsidRPr="00E3756C">
          <w:rPr>
            <w:noProof/>
            <w:webHidden/>
          </w:rPr>
        </w:r>
        <w:r w:rsidR="00727E48" w:rsidRPr="00E3756C">
          <w:rPr>
            <w:noProof/>
            <w:webHidden/>
          </w:rPr>
          <w:fldChar w:fldCharType="separate"/>
        </w:r>
        <w:r w:rsidR="003D0995">
          <w:rPr>
            <w:noProof/>
            <w:webHidden/>
          </w:rPr>
          <w:t>18</w:t>
        </w:r>
        <w:r w:rsidR="00727E48" w:rsidRPr="00E3756C">
          <w:rPr>
            <w:noProof/>
            <w:webHidden/>
          </w:rPr>
          <w:fldChar w:fldCharType="end"/>
        </w:r>
      </w:hyperlink>
    </w:p>
    <w:p w14:paraId="6E70C3EA" w14:textId="019B372D" w:rsidR="00727E48" w:rsidRPr="00E3756C" w:rsidRDefault="00053883">
      <w:pPr>
        <w:pStyle w:val="TOC1"/>
        <w:rPr>
          <w:rFonts w:asciiTheme="minorHAnsi" w:hAnsiTheme="minorHAnsi"/>
          <w:noProof/>
        </w:rPr>
      </w:pPr>
      <w:hyperlink w:anchor="_Toc15409141" w:history="1">
        <w:r w:rsidR="00727E48" w:rsidRPr="00E3756C">
          <w:rPr>
            <w:rStyle w:val="Hyperlink"/>
            <w:noProof/>
          </w:rPr>
          <w:t>Chapter A2: Framework methodology</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_Toc15409141 \h </w:instrText>
        </w:r>
        <w:r w:rsidR="00727E48" w:rsidRPr="00E3756C">
          <w:rPr>
            <w:noProof/>
            <w:webHidden/>
          </w:rPr>
        </w:r>
        <w:r w:rsidR="00727E48" w:rsidRPr="00E3756C">
          <w:rPr>
            <w:noProof/>
            <w:webHidden/>
          </w:rPr>
          <w:fldChar w:fldCharType="separate"/>
        </w:r>
        <w:r w:rsidR="003D0995">
          <w:rPr>
            <w:noProof/>
            <w:webHidden/>
          </w:rPr>
          <w:t>19</w:t>
        </w:r>
        <w:r w:rsidR="00727E48" w:rsidRPr="00E3756C">
          <w:rPr>
            <w:noProof/>
            <w:webHidden/>
          </w:rPr>
          <w:fldChar w:fldCharType="end"/>
        </w:r>
      </w:hyperlink>
    </w:p>
    <w:p w14:paraId="7718D16E" w14:textId="401B1929" w:rsidR="00727E48" w:rsidRPr="00E3756C" w:rsidRDefault="00053883">
      <w:pPr>
        <w:pStyle w:val="TOC2"/>
        <w:tabs>
          <w:tab w:val="left" w:pos="1320"/>
        </w:tabs>
        <w:rPr>
          <w:rFonts w:asciiTheme="minorHAnsi" w:hAnsiTheme="minorHAnsi"/>
          <w:noProof/>
        </w:rPr>
      </w:pPr>
      <w:hyperlink w:anchor="_Toc15409142" w:history="1">
        <w:r w:rsidR="00727E48" w:rsidRPr="00E3756C">
          <w:rPr>
            <w:rStyle w:val="Hyperlink"/>
            <w:noProof/>
          </w:rPr>
          <w:t xml:space="preserve">A2.1 </w:t>
        </w:r>
        <w:r w:rsidR="00727E48" w:rsidRPr="00E3756C">
          <w:rPr>
            <w:rFonts w:asciiTheme="minorHAnsi" w:hAnsiTheme="minorHAnsi"/>
            <w:noProof/>
          </w:rPr>
          <w:tab/>
        </w:r>
        <w:r w:rsidR="00727E48" w:rsidRPr="00E3756C">
          <w:rPr>
            <w:rStyle w:val="Hyperlink"/>
            <w:noProof/>
          </w:rPr>
          <w:t>Framing climate change risk</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_Toc15409142 \h </w:instrText>
        </w:r>
        <w:r w:rsidR="00727E48" w:rsidRPr="00E3756C">
          <w:rPr>
            <w:noProof/>
            <w:webHidden/>
          </w:rPr>
        </w:r>
        <w:r w:rsidR="00727E48" w:rsidRPr="00E3756C">
          <w:rPr>
            <w:noProof/>
            <w:webHidden/>
          </w:rPr>
          <w:fldChar w:fldCharType="separate"/>
        </w:r>
        <w:r w:rsidR="003D0995">
          <w:rPr>
            <w:noProof/>
            <w:webHidden/>
          </w:rPr>
          <w:t>19</w:t>
        </w:r>
        <w:r w:rsidR="00727E48" w:rsidRPr="00E3756C">
          <w:rPr>
            <w:noProof/>
            <w:webHidden/>
          </w:rPr>
          <w:fldChar w:fldCharType="end"/>
        </w:r>
      </w:hyperlink>
    </w:p>
    <w:p w14:paraId="0E2758AF" w14:textId="37A3A8EC" w:rsidR="00727E48" w:rsidRPr="00E3756C" w:rsidRDefault="00053883">
      <w:pPr>
        <w:pStyle w:val="TOC2"/>
        <w:tabs>
          <w:tab w:val="left" w:pos="1320"/>
        </w:tabs>
        <w:rPr>
          <w:rFonts w:asciiTheme="minorHAnsi" w:hAnsiTheme="minorHAnsi"/>
          <w:noProof/>
        </w:rPr>
      </w:pPr>
      <w:hyperlink w:anchor="_Toc15409143" w:history="1">
        <w:r w:rsidR="00727E48" w:rsidRPr="00E3756C">
          <w:rPr>
            <w:rStyle w:val="Hyperlink"/>
            <w:noProof/>
          </w:rPr>
          <w:t xml:space="preserve">A2.2 </w:t>
        </w:r>
        <w:r w:rsidR="00727E48" w:rsidRPr="00E3756C">
          <w:rPr>
            <w:rFonts w:asciiTheme="minorHAnsi" w:hAnsiTheme="minorHAnsi"/>
            <w:noProof/>
          </w:rPr>
          <w:tab/>
        </w:r>
        <w:r w:rsidR="00727E48" w:rsidRPr="00E3756C">
          <w:rPr>
            <w:rStyle w:val="Hyperlink"/>
            <w:noProof/>
          </w:rPr>
          <w:t>Risk assessment process components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_Toc15409143 \h </w:instrText>
        </w:r>
        <w:r w:rsidR="00727E48" w:rsidRPr="00E3756C">
          <w:rPr>
            <w:noProof/>
            <w:webHidden/>
          </w:rPr>
        </w:r>
        <w:r w:rsidR="00727E48" w:rsidRPr="00E3756C">
          <w:rPr>
            <w:noProof/>
            <w:webHidden/>
          </w:rPr>
          <w:fldChar w:fldCharType="separate"/>
        </w:r>
        <w:r w:rsidR="003D0995">
          <w:rPr>
            <w:noProof/>
            <w:webHidden/>
          </w:rPr>
          <w:t>20</w:t>
        </w:r>
        <w:r w:rsidR="00727E48" w:rsidRPr="00E3756C">
          <w:rPr>
            <w:noProof/>
            <w:webHidden/>
          </w:rPr>
          <w:fldChar w:fldCharType="end"/>
        </w:r>
      </w:hyperlink>
    </w:p>
    <w:p w14:paraId="1681DE76" w14:textId="7CB8F86F" w:rsidR="00727E48" w:rsidRPr="00E3756C" w:rsidRDefault="00053883">
      <w:pPr>
        <w:pStyle w:val="TOC1"/>
        <w:rPr>
          <w:rFonts w:asciiTheme="minorHAnsi" w:hAnsiTheme="minorHAnsi"/>
          <w:noProof/>
        </w:rPr>
      </w:pPr>
      <w:hyperlink w:anchor="_Toc15409144" w:history="1">
        <w:r w:rsidR="00727E48" w:rsidRPr="00E3756C">
          <w:rPr>
            <w:rStyle w:val="Hyperlink"/>
            <w:noProof/>
          </w:rPr>
          <w:t>Chapter A3: Setting the context for the National Climate Change Risk Assessment</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_Toc15409144 \h </w:instrText>
        </w:r>
        <w:r w:rsidR="00727E48" w:rsidRPr="00E3756C">
          <w:rPr>
            <w:noProof/>
            <w:webHidden/>
          </w:rPr>
        </w:r>
        <w:r w:rsidR="00727E48" w:rsidRPr="00E3756C">
          <w:rPr>
            <w:noProof/>
            <w:webHidden/>
          </w:rPr>
          <w:fldChar w:fldCharType="separate"/>
        </w:r>
        <w:r w:rsidR="003D0995">
          <w:rPr>
            <w:noProof/>
            <w:webHidden/>
          </w:rPr>
          <w:t>25</w:t>
        </w:r>
        <w:r w:rsidR="00727E48" w:rsidRPr="00E3756C">
          <w:rPr>
            <w:noProof/>
            <w:webHidden/>
          </w:rPr>
          <w:fldChar w:fldCharType="end"/>
        </w:r>
      </w:hyperlink>
    </w:p>
    <w:p w14:paraId="0F4000C7" w14:textId="18B05D2F" w:rsidR="00727E48" w:rsidRPr="00E3756C" w:rsidRDefault="00053883">
      <w:pPr>
        <w:pStyle w:val="TOC2"/>
        <w:tabs>
          <w:tab w:val="left" w:pos="1320"/>
        </w:tabs>
        <w:rPr>
          <w:rFonts w:asciiTheme="minorHAnsi" w:hAnsiTheme="minorHAnsi"/>
          <w:noProof/>
        </w:rPr>
      </w:pPr>
      <w:hyperlink w:anchor="_Toc15409145" w:history="1">
        <w:r w:rsidR="00727E48" w:rsidRPr="00E3756C">
          <w:rPr>
            <w:rStyle w:val="Hyperlink"/>
            <w:noProof/>
          </w:rPr>
          <w:t>A3.1</w:t>
        </w:r>
        <w:r w:rsidR="00727E48" w:rsidRPr="00E3756C">
          <w:rPr>
            <w:rFonts w:asciiTheme="minorHAnsi" w:hAnsiTheme="minorHAnsi"/>
            <w:noProof/>
          </w:rPr>
          <w:tab/>
        </w:r>
        <w:r w:rsidR="00727E48" w:rsidRPr="00E3756C">
          <w:rPr>
            <w:rStyle w:val="Hyperlink"/>
            <w:noProof/>
          </w:rPr>
          <w:t>Introduction</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_Toc15409145 \h </w:instrText>
        </w:r>
        <w:r w:rsidR="00727E48" w:rsidRPr="00E3756C">
          <w:rPr>
            <w:noProof/>
            <w:webHidden/>
          </w:rPr>
        </w:r>
        <w:r w:rsidR="00727E48" w:rsidRPr="00E3756C">
          <w:rPr>
            <w:noProof/>
            <w:webHidden/>
          </w:rPr>
          <w:fldChar w:fldCharType="separate"/>
        </w:r>
        <w:r w:rsidR="003D0995">
          <w:rPr>
            <w:noProof/>
            <w:webHidden/>
          </w:rPr>
          <w:t>25</w:t>
        </w:r>
        <w:r w:rsidR="00727E48" w:rsidRPr="00E3756C">
          <w:rPr>
            <w:noProof/>
            <w:webHidden/>
          </w:rPr>
          <w:fldChar w:fldCharType="end"/>
        </w:r>
      </w:hyperlink>
    </w:p>
    <w:p w14:paraId="256A96B4" w14:textId="48114DBE" w:rsidR="00727E48" w:rsidRPr="00E3756C" w:rsidRDefault="00053883">
      <w:pPr>
        <w:pStyle w:val="TOC2"/>
        <w:tabs>
          <w:tab w:val="left" w:pos="1320"/>
        </w:tabs>
        <w:rPr>
          <w:rFonts w:asciiTheme="minorHAnsi" w:hAnsiTheme="minorHAnsi"/>
          <w:noProof/>
        </w:rPr>
      </w:pPr>
      <w:hyperlink w:anchor="_Toc15409146" w:history="1">
        <w:r w:rsidR="00727E48" w:rsidRPr="00E3756C">
          <w:rPr>
            <w:rStyle w:val="Hyperlink"/>
            <w:noProof/>
          </w:rPr>
          <w:t xml:space="preserve">A3.2 </w:t>
        </w:r>
        <w:r w:rsidR="00727E48" w:rsidRPr="00E3756C">
          <w:rPr>
            <w:rFonts w:asciiTheme="minorHAnsi" w:hAnsiTheme="minorHAnsi"/>
            <w:noProof/>
          </w:rPr>
          <w:tab/>
        </w:r>
        <w:r w:rsidR="00727E48" w:rsidRPr="00E3756C">
          <w:rPr>
            <w:rStyle w:val="Hyperlink"/>
            <w:noProof/>
          </w:rPr>
          <w:t>Defining what we value</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_Toc15409146 \h </w:instrText>
        </w:r>
        <w:r w:rsidR="00727E48" w:rsidRPr="00E3756C">
          <w:rPr>
            <w:noProof/>
            <w:webHidden/>
          </w:rPr>
        </w:r>
        <w:r w:rsidR="00727E48" w:rsidRPr="00E3756C">
          <w:rPr>
            <w:noProof/>
            <w:webHidden/>
          </w:rPr>
          <w:fldChar w:fldCharType="separate"/>
        </w:r>
        <w:r w:rsidR="003D0995">
          <w:rPr>
            <w:noProof/>
            <w:webHidden/>
          </w:rPr>
          <w:t>25</w:t>
        </w:r>
        <w:r w:rsidR="00727E48" w:rsidRPr="00E3756C">
          <w:rPr>
            <w:noProof/>
            <w:webHidden/>
          </w:rPr>
          <w:fldChar w:fldCharType="end"/>
        </w:r>
      </w:hyperlink>
    </w:p>
    <w:p w14:paraId="05244B04" w14:textId="3925841F" w:rsidR="00727E48" w:rsidRPr="00E3756C" w:rsidRDefault="00053883">
      <w:pPr>
        <w:pStyle w:val="TOC2"/>
        <w:tabs>
          <w:tab w:val="left" w:pos="1320"/>
        </w:tabs>
        <w:rPr>
          <w:rFonts w:asciiTheme="minorHAnsi" w:hAnsiTheme="minorHAnsi"/>
          <w:noProof/>
        </w:rPr>
      </w:pPr>
      <w:hyperlink w:anchor="_Toc15409147" w:history="1">
        <w:r w:rsidR="00727E48" w:rsidRPr="00E3756C">
          <w:rPr>
            <w:rStyle w:val="Hyperlink"/>
            <w:noProof/>
          </w:rPr>
          <w:t xml:space="preserve">A3.3 </w:t>
        </w:r>
        <w:r w:rsidR="00727E48" w:rsidRPr="00E3756C">
          <w:rPr>
            <w:rFonts w:asciiTheme="minorHAnsi" w:hAnsiTheme="minorHAnsi"/>
            <w:noProof/>
          </w:rPr>
          <w:tab/>
        </w:r>
        <w:r w:rsidR="00727E48" w:rsidRPr="00E3756C">
          <w:rPr>
            <w:rStyle w:val="Hyperlink"/>
            <w:noProof/>
          </w:rPr>
          <w:t>Identifying key elements, partners and stakeholders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_Toc15409147 \h </w:instrText>
        </w:r>
        <w:r w:rsidR="00727E48" w:rsidRPr="00E3756C">
          <w:rPr>
            <w:noProof/>
            <w:webHidden/>
          </w:rPr>
        </w:r>
        <w:r w:rsidR="00727E48" w:rsidRPr="00E3756C">
          <w:rPr>
            <w:noProof/>
            <w:webHidden/>
          </w:rPr>
          <w:fldChar w:fldCharType="separate"/>
        </w:r>
        <w:r w:rsidR="003D0995">
          <w:rPr>
            <w:noProof/>
            <w:webHidden/>
          </w:rPr>
          <w:t>28</w:t>
        </w:r>
        <w:r w:rsidR="00727E48" w:rsidRPr="00E3756C">
          <w:rPr>
            <w:noProof/>
            <w:webHidden/>
          </w:rPr>
          <w:fldChar w:fldCharType="end"/>
        </w:r>
      </w:hyperlink>
    </w:p>
    <w:p w14:paraId="5C5E80D7" w14:textId="053FC60F" w:rsidR="00727E48" w:rsidRPr="00E3756C" w:rsidRDefault="00053883">
      <w:pPr>
        <w:pStyle w:val="TOC2"/>
        <w:tabs>
          <w:tab w:val="left" w:pos="1320"/>
        </w:tabs>
        <w:rPr>
          <w:rFonts w:asciiTheme="minorHAnsi" w:hAnsiTheme="minorHAnsi"/>
          <w:noProof/>
        </w:rPr>
      </w:pPr>
      <w:hyperlink w:anchor="_Toc15409148" w:history="1">
        <w:r w:rsidR="00727E48" w:rsidRPr="00E3756C">
          <w:rPr>
            <w:rStyle w:val="Hyperlink"/>
            <w:noProof/>
          </w:rPr>
          <w:t>A3.4</w:t>
        </w:r>
        <w:r w:rsidR="00727E48" w:rsidRPr="00E3756C">
          <w:rPr>
            <w:rFonts w:asciiTheme="minorHAnsi" w:hAnsiTheme="minorHAnsi"/>
            <w:noProof/>
          </w:rPr>
          <w:tab/>
        </w:r>
        <w:r w:rsidR="00727E48" w:rsidRPr="00E3756C">
          <w:rPr>
            <w:rStyle w:val="Hyperlink"/>
            <w:noProof/>
          </w:rPr>
          <w:t>Selection of timeframes and climate change projections to assess risks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_Toc15409148 \h </w:instrText>
        </w:r>
        <w:r w:rsidR="00727E48" w:rsidRPr="00E3756C">
          <w:rPr>
            <w:noProof/>
            <w:webHidden/>
          </w:rPr>
        </w:r>
        <w:r w:rsidR="00727E48" w:rsidRPr="00E3756C">
          <w:rPr>
            <w:noProof/>
            <w:webHidden/>
          </w:rPr>
          <w:fldChar w:fldCharType="separate"/>
        </w:r>
        <w:r w:rsidR="003D0995">
          <w:rPr>
            <w:noProof/>
            <w:webHidden/>
          </w:rPr>
          <w:t>30</w:t>
        </w:r>
        <w:r w:rsidR="00727E48" w:rsidRPr="00E3756C">
          <w:rPr>
            <w:noProof/>
            <w:webHidden/>
          </w:rPr>
          <w:fldChar w:fldCharType="end"/>
        </w:r>
      </w:hyperlink>
    </w:p>
    <w:p w14:paraId="30818E46" w14:textId="57CBC8C3" w:rsidR="00727E48" w:rsidRPr="00E3756C" w:rsidRDefault="00053883">
      <w:pPr>
        <w:pStyle w:val="TOC2"/>
        <w:tabs>
          <w:tab w:val="left" w:pos="1320"/>
        </w:tabs>
        <w:rPr>
          <w:rFonts w:asciiTheme="minorHAnsi" w:hAnsiTheme="minorHAnsi"/>
          <w:noProof/>
        </w:rPr>
      </w:pPr>
      <w:hyperlink w:anchor="_Toc15409149" w:history="1">
        <w:r w:rsidR="00727E48" w:rsidRPr="00E3756C">
          <w:rPr>
            <w:rStyle w:val="Hyperlink"/>
            <w:noProof/>
          </w:rPr>
          <w:t xml:space="preserve">A3.5 </w:t>
        </w:r>
        <w:r w:rsidR="00727E48" w:rsidRPr="00E3756C">
          <w:rPr>
            <w:rFonts w:asciiTheme="minorHAnsi" w:hAnsiTheme="minorHAnsi"/>
            <w:noProof/>
          </w:rPr>
          <w:tab/>
        </w:r>
        <w:r w:rsidR="00727E48" w:rsidRPr="00E3756C">
          <w:rPr>
            <w:rStyle w:val="Hyperlink"/>
            <w:noProof/>
          </w:rPr>
          <w:t>Risk and urgency criteria</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_Toc15409149 \h </w:instrText>
        </w:r>
        <w:r w:rsidR="00727E48" w:rsidRPr="00E3756C">
          <w:rPr>
            <w:noProof/>
            <w:webHidden/>
          </w:rPr>
        </w:r>
        <w:r w:rsidR="00727E48" w:rsidRPr="00E3756C">
          <w:rPr>
            <w:noProof/>
            <w:webHidden/>
          </w:rPr>
          <w:fldChar w:fldCharType="separate"/>
        </w:r>
        <w:r w:rsidR="003D0995">
          <w:rPr>
            <w:noProof/>
            <w:webHidden/>
          </w:rPr>
          <w:t>32</w:t>
        </w:r>
        <w:r w:rsidR="00727E48" w:rsidRPr="00E3756C">
          <w:rPr>
            <w:noProof/>
            <w:webHidden/>
          </w:rPr>
          <w:fldChar w:fldCharType="end"/>
        </w:r>
      </w:hyperlink>
    </w:p>
    <w:p w14:paraId="753BE8EC" w14:textId="521903F5" w:rsidR="00727E48" w:rsidRPr="00E3756C" w:rsidRDefault="00053883">
      <w:pPr>
        <w:pStyle w:val="TOC2"/>
        <w:tabs>
          <w:tab w:val="left" w:pos="1320"/>
        </w:tabs>
        <w:rPr>
          <w:rFonts w:asciiTheme="minorHAnsi" w:hAnsiTheme="minorHAnsi"/>
          <w:noProof/>
        </w:rPr>
      </w:pPr>
      <w:hyperlink w:anchor="_Toc15409150" w:history="1">
        <w:r w:rsidR="00727E48" w:rsidRPr="00E3756C">
          <w:rPr>
            <w:rStyle w:val="Hyperlink"/>
            <w:noProof/>
          </w:rPr>
          <w:t xml:space="preserve">A3.6 </w:t>
        </w:r>
        <w:r w:rsidR="00727E48" w:rsidRPr="00E3756C">
          <w:rPr>
            <w:rFonts w:asciiTheme="minorHAnsi" w:hAnsiTheme="minorHAnsi"/>
            <w:noProof/>
          </w:rPr>
          <w:tab/>
        </w:r>
        <w:r w:rsidR="00727E48" w:rsidRPr="00E3756C">
          <w:rPr>
            <w:rStyle w:val="Hyperlink"/>
            <w:noProof/>
          </w:rPr>
          <w:t>Scale of assessment</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_Toc15409150 \h </w:instrText>
        </w:r>
        <w:r w:rsidR="00727E48" w:rsidRPr="00E3756C">
          <w:rPr>
            <w:noProof/>
            <w:webHidden/>
          </w:rPr>
        </w:r>
        <w:r w:rsidR="00727E48" w:rsidRPr="00E3756C">
          <w:rPr>
            <w:noProof/>
            <w:webHidden/>
          </w:rPr>
          <w:fldChar w:fldCharType="separate"/>
        </w:r>
        <w:r w:rsidR="003D0995">
          <w:rPr>
            <w:noProof/>
            <w:webHidden/>
          </w:rPr>
          <w:t>33</w:t>
        </w:r>
        <w:r w:rsidR="00727E48" w:rsidRPr="00E3756C">
          <w:rPr>
            <w:noProof/>
            <w:webHidden/>
          </w:rPr>
          <w:fldChar w:fldCharType="end"/>
        </w:r>
      </w:hyperlink>
    </w:p>
    <w:p w14:paraId="1663893E" w14:textId="408480AF" w:rsidR="00727E48" w:rsidRPr="00E3756C" w:rsidRDefault="00053883">
      <w:pPr>
        <w:pStyle w:val="TOC1"/>
        <w:rPr>
          <w:rFonts w:asciiTheme="minorHAnsi" w:hAnsiTheme="minorHAnsi"/>
          <w:noProof/>
        </w:rPr>
      </w:pPr>
      <w:hyperlink w:anchor="_Toc15409151" w:history="1">
        <w:r w:rsidR="00727E48" w:rsidRPr="00E3756C">
          <w:rPr>
            <w:rStyle w:val="Hyperlink"/>
            <w:noProof/>
          </w:rPr>
          <w:t>Chapter A4: Risk assessment engagement</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_Toc15409151 \h </w:instrText>
        </w:r>
        <w:r w:rsidR="00727E48" w:rsidRPr="00E3756C">
          <w:rPr>
            <w:noProof/>
            <w:webHidden/>
          </w:rPr>
        </w:r>
        <w:r w:rsidR="00727E48" w:rsidRPr="00E3756C">
          <w:rPr>
            <w:noProof/>
            <w:webHidden/>
          </w:rPr>
          <w:fldChar w:fldCharType="separate"/>
        </w:r>
        <w:r w:rsidR="003D0995">
          <w:rPr>
            <w:noProof/>
            <w:webHidden/>
          </w:rPr>
          <w:t>34</w:t>
        </w:r>
        <w:r w:rsidR="00727E48" w:rsidRPr="00E3756C">
          <w:rPr>
            <w:noProof/>
            <w:webHidden/>
          </w:rPr>
          <w:fldChar w:fldCharType="end"/>
        </w:r>
      </w:hyperlink>
    </w:p>
    <w:p w14:paraId="0394CB65" w14:textId="78A9845C" w:rsidR="00727E48" w:rsidRPr="00E3756C" w:rsidRDefault="00053883">
      <w:pPr>
        <w:pStyle w:val="TOC2"/>
        <w:tabs>
          <w:tab w:val="left" w:pos="1320"/>
        </w:tabs>
        <w:rPr>
          <w:rFonts w:asciiTheme="minorHAnsi" w:hAnsiTheme="minorHAnsi"/>
          <w:noProof/>
        </w:rPr>
      </w:pPr>
      <w:hyperlink w:anchor="_Toc15409152" w:history="1">
        <w:r w:rsidR="00727E48" w:rsidRPr="00E3756C">
          <w:rPr>
            <w:rStyle w:val="Hyperlink"/>
            <w:noProof/>
          </w:rPr>
          <w:t xml:space="preserve">A4.1 </w:t>
        </w:r>
        <w:r w:rsidR="00727E48" w:rsidRPr="00E3756C">
          <w:rPr>
            <w:rFonts w:asciiTheme="minorHAnsi" w:hAnsiTheme="minorHAnsi"/>
            <w:noProof/>
          </w:rPr>
          <w:tab/>
        </w:r>
        <w:r w:rsidR="00727E48" w:rsidRPr="00E3756C">
          <w:rPr>
            <w:rStyle w:val="Hyperlink"/>
            <w:noProof/>
          </w:rPr>
          <w:t>General considerations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_Toc15409152 \h </w:instrText>
        </w:r>
        <w:r w:rsidR="00727E48" w:rsidRPr="00E3756C">
          <w:rPr>
            <w:noProof/>
            <w:webHidden/>
          </w:rPr>
        </w:r>
        <w:r w:rsidR="00727E48" w:rsidRPr="00E3756C">
          <w:rPr>
            <w:noProof/>
            <w:webHidden/>
          </w:rPr>
          <w:fldChar w:fldCharType="separate"/>
        </w:r>
        <w:r w:rsidR="003D0995">
          <w:rPr>
            <w:noProof/>
            <w:webHidden/>
          </w:rPr>
          <w:t>34</w:t>
        </w:r>
        <w:r w:rsidR="00727E48" w:rsidRPr="00E3756C">
          <w:rPr>
            <w:noProof/>
            <w:webHidden/>
          </w:rPr>
          <w:fldChar w:fldCharType="end"/>
        </w:r>
      </w:hyperlink>
    </w:p>
    <w:p w14:paraId="7E4B9A2F" w14:textId="5CB10C11" w:rsidR="00727E48" w:rsidRPr="00E3756C" w:rsidRDefault="00053883">
      <w:pPr>
        <w:pStyle w:val="TOC2"/>
        <w:tabs>
          <w:tab w:val="left" w:pos="1320"/>
        </w:tabs>
        <w:rPr>
          <w:rFonts w:asciiTheme="minorHAnsi" w:hAnsiTheme="minorHAnsi"/>
          <w:noProof/>
        </w:rPr>
      </w:pPr>
      <w:hyperlink w:anchor="_Toc15409153" w:history="1">
        <w:r w:rsidR="00727E48" w:rsidRPr="00E3756C">
          <w:rPr>
            <w:rStyle w:val="Hyperlink"/>
            <w:noProof/>
          </w:rPr>
          <w:t xml:space="preserve">A4.2 </w:t>
        </w:r>
        <w:r w:rsidR="00727E48" w:rsidRPr="00E3756C">
          <w:rPr>
            <w:rFonts w:asciiTheme="minorHAnsi" w:hAnsiTheme="minorHAnsi"/>
            <w:noProof/>
          </w:rPr>
          <w:tab/>
        </w:r>
        <w:r w:rsidR="00727E48" w:rsidRPr="00E3756C">
          <w:rPr>
            <w:rStyle w:val="Hyperlink"/>
            <w:noProof/>
          </w:rPr>
          <w:t>Specific considerations for engaging with Māori</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_Toc15409153 \h </w:instrText>
        </w:r>
        <w:r w:rsidR="00727E48" w:rsidRPr="00E3756C">
          <w:rPr>
            <w:noProof/>
            <w:webHidden/>
          </w:rPr>
        </w:r>
        <w:r w:rsidR="00727E48" w:rsidRPr="00E3756C">
          <w:rPr>
            <w:noProof/>
            <w:webHidden/>
          </w:rPr>
          <w:fldChar w:fldCharType="separate"/>
        </w:r>
        <w:r w:rsidR="003D0995">
          <w:rPr>
            <w:noProof/>
            <w:webHidden/>
          </w:rPr>
          <w:t>35</w:t>
        </w:r>
        <w:r w:rsidR="00727E48" w:rsidRPr="00E3756C">
          <w:rPr>
            <w:noProof/>
            <w:webHidden/>
          </w:rPr>
          <w:fldChar w:fldCharType="end"/>
        </w:r>
      </w:hyperlink>
    </w:p>
    <w:p w14:paraId="3566FBA1" w14:textId="2AB67FDE" w:rsidR="00727E48" w:rsidRPr="00E3756C" w:rsidRDefault="00053883">
      <w:pPr>
        <w:pStyle w:val="TOC2"/>
        <w:tabs>
          <w:tab w:val="left" w:pos="1320"/>
        </w:tabs>
        <w:rPr>
          <w:rFonts w:asciiTheme="minorHAnsi" w:hAnsiTheme="minorHAnsi"/>
          <w:noProof/>
        </w:rPr>
      </w:pPr>
      <w:hyperlink w:anchor="_Toc15409154" w:history="1">
        <w:r w:rsidR="00727E48" w:rsidRPr="00E3756C">
          <w:rPr>
            <w:rStyle w:val="Hyperlink"/>
            <w:noProof/>
          </w:rPr>
          <w:t xml:space="preserve">A4.3 </w:t>
        </w:r>
        <w:r w:rsidR="00727E48" w:rsidRPr="00E3756C">
          <w:rPr>
            <w:rFonts w:asciiTheme="minorHAnsi" w:hAnsiTheme="minorHAnsi"/>
            <w:noProof/>
          </w:rPr>
          <w:tab/>
        </w:r>
        <w:r w:rsidR="00727E48" w:rsidRPr="00E3756C">
          <w:rPr>
            <w:rStyle w:val="Hyperlink"/>
            <w:noProof/>
          </w:rPr>
          <w:t>Consideration of Mātauranga Māori in the risk assessment process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_Toc15409154 \h </w:instrText>
        </w:r>
        <w:r w:rsidR="00727E48" w:rsidRPr="00E3756C">
          <w:rPr>
            <w:noProof/>
            <w:webHidden/>
          </w:rPr>
        </w:r>
        <w:r w:rsidR="00727E48" w:rsidRPr="00E3756C">
          <w:rPr>
            <w:noProof/>
            <w:webHidden/>
          </w:rPr>
          <w:fldChar w:fldCharType="separate"/>
        </w:r>
        <w:r w:rsidR="003D0995">
          <w:rPr>
            <w:noProof/>
            <w:webHidden/>
          </w:rPr>
          <w:t>36</w:t>
        </w:r>
        <w:r w:rsidR="00727E48" w:rsidRPr="00E3756C">
          <w:rPr>
            <w:noProof/>
            <w:webHidden/>
          </w:rPr>
          <w:fldChar w:fldCharType="end"/>
        </w:r>
      </w:hyperlink>
    </w:p>
    <w:p w14:paraId="4AD02162" w14:textId="2999E52E" w:rsidR="00727E48" w:rsidRPr="00E3756C" w:rsidRDefault="00053883">
      <w:pPr>
        <w:pStyle w:val="TOC1"/>
        <w:rPr>
          <w:rFonts w:asciiTheme="minorHAnsi" w:hAnsiTheme="minorHAnsi"/>
          <w:noProof/>
        </w:rPr>
      </w:pPr>
      <w:hyperlink w:anchor="_Toc15409155" w:history="1">
        <w:r w:rsidR="00727E48" w:rsidRPr="00E3756C">
          <w:rPr>
            <w:rStyle w:val="Hyperlink"/>
            <w:noProof/>
          </w:rPr>
          <w:t>Chapter B1: Defining the changing hazards for risk assessment</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_Toc15409155 \h </w:instrText>
        </w:r>
        <w:r w:rsidR="00727E48" w:rsidRPr="00E3756C">
          <w:rPr>
            <w:noProof/>
            <w:webHidden/>
          </w:rPr>
        </w:r>
        <w:r w:rsidR="00727E48" w:rsidRPr="00E3756C">
          <w:rPr>
            <w:noProof/>
            <w:webHidden/>
          </w:rPr>
          <w:fldChar w:fldCharType="separate"/>
        </w:r>
        <w:r w:rsidR="003D0995">
          <w:rPr>
            <w:noProof/>
            <w:webHidden/>
          </w:rPr>
          <w:t>39</w:t>
        </w:r>
        <w:r w:rsidR="00727E48" w:rsidRPr="00E3756C">
          <w:rPr>
            <w:noProof/>
            <w:webHidden/>
          </w:rPr>
          <w:fldChar w:fldCharType="end"/>
        </w:r>
      </w:hyperlink>
    </w:p>
    <w:p w14:paraId="2D9D9AE6" w14:textId="16012B62" w:rsidR="00727E48" w:rsidRPr="00E3756C" w:rsidRDefault="00053883">
      <w:pPr>
        <w:pStyle w:val="TOC2"/>
        <w:tabs>
          <w:tab w:val="left" w:pos="1320"/>
        </w:tabs>
        <w:rPr>
          <w:rFonts w:asciiTheme="minorHAnsi" w:hAnsiTheme="minorHAnsi"/>
          <w:noProof/>
        </w:rPr>
      </w:pPr>
      <w:hyperlink w:anchor="_Toc15409156" w:history="1">
        <w:r w:rsidR="00727E48" w:rsidRPr="00E3756C">
          <w:rPr>
            <w:rStyle w:val="Hyperlink"/>
            <w:noProof/>
          </w:rPr>
          <w:t>B1.1</w:t>
        </w:r>
        <w:r w:rsidR="00727E48" w:rsidRPr="00E3756C">
          <w:rPr>
            <w:rFonts w:asciiTheme="minorHAnsi" w:hAnsiTheme="minorHAnsi"/>
            <w:noProof/>
          </w:rPr>
          <w:tab/>
        </w:r>
        <w:r w:rsidR="00727E48" w:rsidRPr="00E3756C">
          <w:rPr>
            <w:rStyle w:val="Hyperlink"/>
            <w:noProof/>
          </w:rPr>
          <w:t>Defining hazards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_Toc15409156 \h </w:instrText>
        </w:r>
        <w:r w:rsidR="00727E48" w:rsidRPr="00E3756C">
          <w:rPr>
            <w:noProof/>
            <w:webHidden/>
          </w:rPr>
        </w:r>
        <w:r w:rsidR="00727E48" w:rsidRPr="00E3756C">
          <w:rPr>
            <w:noProof/>
            <w:webHidden/>
          </w:rPr>
          <w:fldChar w:fldCharType="separate"/>
        </w:r>
        <w:r w:rsidR="003D0995">
          <w:rPr>
            <w:noProof/>
            <w:webHidden/>
          </w:rPr>
          <w:t>39</w:t>
        </w:r>
        <w:r w:rsidR="00727E48" w:rsidRPr="00E3756C">
          <w:rPr>
            <w:noProof/>
            <w:webHidden/>
          </w:rPr>
          <w:fldChar w:fldCharType="end"/>
        </w:r>
      </w:hyperlink>
    </w:p>
    <w:p w14:paraId="124C2B6B" w14:textId="4F5F8E7C" w:rsidR="00727E48" w:rsidRPr="00E3756C" w:rsidRDefault="00053883">
      <w:pPr>
        <w:pStyle w:val="TOC2"/>
        <w:tabs>
          <w:tab w:val="left" w:pos="1320"/>
        </w:tabs>
        <w:rPr>
          <w:rFonts w:asciiTheme="minorHAnsi" w:hAnsiTheme="minorHAnsi"/>
          <w:noProof/>
        </w:rPr>
      </w:pPr>
      <w:hyperlink w:anchor="_Toc15409157" w:history="1">
        <w:r w:rsidR="00727E48" w:rsidRPr="00E3756C">
          <w:rPr>
            <w:rStyle w:val="Hyperlink"/>
            <w:noProof/>
          </w:rPr>
          <w:t xml:space="preserve">B1.1 </w:t>
        </w:r>
        <w:r w:rsidR="00727E48" w:rsidRPr="00E3756C">
          <w:rPr>
            <w:rFonts w:asciiTheme="minorHAnsi" w:hAnsiTheme="minorHAnsi"/>
            <w:noProof/>
          </w:rPr>
          <w:tab/>
        </w:r>
        <w:r w:rsidR="00727E48" w:rsidRPr="00E3756C">
          <w:rPr>
            <w:rStyle w:val="Hyperlink"/>
            <w:noProof/>
          </w:rPr>
          <w:t>Sub-national climate zones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_Toc15409157 \h </w:instrText>
        </w:r>
        <w:r w:rsidR="00727E48" w:rsidRPr="00E3756C">
          <w:rPr>
            <w:noProof/>
            <w:webHidden/>
          </w:rPr>
        </w:r>
        <w:r w:rsidR="00727E48" w:rsidRPr="00E3756C">
          <w:rPr>
            <w:noProof/>
            <w:webHidden/>
          </w:rPr>
          <w:fldChar w:fldCharType="separate"/>
        </w:r>
        <w:r w:rsidR="003D0995">
          <w:rPr>
            <w:noProof/>
            <w:webHidden/>
          </w:rPr>
          <w:t>40</w:t>
        </w:r>
        <w:r w:rsidR="00727E48" w:rsidRPr="00E3756C">
          <w:rPr>
            <w:noProof/>
            <w:webHidden/>
          </w:rPr>
          <w:fldChar w:fldCharType="end"/>
        </w:r>
      </w:hyperlink>
    </w:p>
    <w:p w14:paraId="0F2A74C0" w14:textId="5BADE898" w:rsidR="00727E48" w:rsidRPr="00E3756C" w:rsidRDefault="00053883">
      <w:pPr>
        <w:pStyle w:val="TOC2"/>
        <w:tabs>
          <w:tab w:val="left" w:pos="1320"/>
        </w:tabs>
        <w:rPr>
          <w:rFonts w:asciiTheme="minorHAnsi" w:hAnsiTheme="minorHAnsi"/>
          <w:noProof/>
        </w:rPr>
      </w:pPr>
      <w:hyperlink w:anchor="_Toc15409158" w:history="1">
        <w:r w:rsidR="00727E48" w:rsidRPr="00E3756C">
          <w:rPr>
            <w:rStyle w:val="Hyperlink"/>
            <w:noProof/>
          </w:rPr>
          <w:t xml:space="preserve">B1.2 </w:t>
        </w:r>
        <w:r w:rsidR="00727E48" w:rsidRPr="00E3756C">
          <w:rPr>
            <w:rFonts w:asciiTheme="minorHAnsi" w:hAnsiTheme="minorHAnsi"/>
            <w:noProof/>
          </w:rPr>
          <w:tab/>
        </w:r>
        <w:r w:rsidR="00727E48" w:rsidRPr="00E3756C">
          <w:rPr>
            <w:rStyle w:val="Hyperlink"/>
            <w:noProof/>
          </w:rPr>
          <w:t>Method for determining climate hazards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_Toc15409158 \h </w:instrText>
        </w:r>
        <w:r w:rsidR="00727E48" w:rsidRPr="00E3756C">
          <w:rPr>
            <w:noProof/>
            <w:webHidden/>
          </w:rPr>
        </w:r>
        <w:r w:rsidR="00727E48" w:rsidRPr="00E3756C">
          <w:rPr>
            <w:noProof/>
            <w:webHidden/>
          </w:rPr>
          <w:fldChar w:fldCharType="separate"/>
        </w:r>
        <w:r w:rsidR="003D0995">
          <w:rPr>
            <w:noProof/>
            <w:webHidden/>
          </w:rPr>
          <w:t>41</w:t>
        </w:r>
        <w:r w:rsidR="00727E48" w:rsidRPr="00E3756C">
          <w:rPr>
            <w:noProof/>
            <w:webHidden/>
          </w:rPr>
          <w:fldChar w:fldCharType="end"/>
        </w:r>
      </w:hyperlink>
    </w:p>
    <w:p w14:paraId="6ACDAB29" w14:textId="07C5600C" w:rsidR="00727E48" w:rsidRPr="00E3756C" w:rsidRDefault="00053883">
      <w:pPr>
        <w:pStyle w:val="TOC2"/>
        <w:tabs>
          <w:tab w:val="left" w:pos="1320"/>
        </w:tabs>
        <w:rPr>
          <w:rFonts w:asciiTheme="minorHAnsi" w:hAnsiTheme="minorHAnsi"/>
          <w:noProof/>
        </w:rPr>
      </w:pPr>
      <w:hyperlink w:anchor="_Toc15409159" w:history="1">
        <w:r w:rsidR="00727E48" w:rsidRPr="00E3756C">
          <w:rPr>
            <w:rStyle w:val="Hyperlink"/>
            <w:noProof/>
          </w:rPr>
          <w:t>B1.3</w:t>
        </w:r>
        <w:r w:rsidR="00727E48" w:rsidRPr="00E3756C">
          <w:rPr>
            <w:rFonts w:asciiTheme="minorHAnsi" w:hAnsiTheme="minorHAnsi"/>
            <w:noProof/>
          </w:rPr>
          <w:tab/>
        </w:r>
        <w:r w:rsidR="00727E48" w:rsidRPr="00E3756C">
          <w:rPr>
            <w:rStyle w:val="Hyperlink"/>
            <w:noProof/>
          </w:rPr>
          <w:t>Climate-related changes: Defining hazards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_Toc15409159 \h </w:instrText>
        </w:r>
        <w:r w:rsidR="00727E48" w:rsidRPr="00E3756C">
          <w:rPr>
            <w:noProof/>
            <w:webHidden/>
          </w:rPr>
        </w:r>
        <w:r w:rsidR="00727E48" w:rsidRPr="00E3756C">
          <w:rPr>
            <w:noProof/>
            <w:webHidden/>
          </w:rPr>
          <w:fldChar w:fldCharType="separate"/>
        </w:r>
        <w:r w:rsidR="003D0995">
          <w:rPr>
            <w:noProof/>
            <w:webHidden/>
          </w:rPr>
          <w:t>44</w:t>
        </w:r>
        <w:r w:rsidR="00727E48" w:rsidRPr="00E3756C">
          <w:rPr>
            <w:noProof/>
            <w:webHidden/>
          </w:rPr>
          <w:fldChar w:fldCharType="end"/>
        </w:r>
      </w:hyperlink>
    </w:p>
    <w:p w14:paraId="6F2C33AF" w14:textId="5A14D0F1" w:rsidR="00727E48" w:rsidRPr="00E3756C" w:rsidRDefault="00053883">
      <w:pPr>
        <w:pStyle w:val="TOC2"/>
        <w:tabs>
          <w:tab w:val="left" w:pos="1320"/>
        </w:tabs>
        <w:rPr>
          <w:rFonts w:asciiTheme="minorHAnsi" w:hAnsiTheme="minorHAnsi"/>
          <w:noProof/>
        </w:rPr>
      </w:pPr>
      <w:hyperlink w:anchor="_Toc15409160" w:history="1">
        <w:r w:rsidR="00727E48" w:rsidRPr="00E3756C">
          <w:rPr>
            <w:rStyle w:val="Hyperlink"/>
            <w:noProof/>
          </w:rPr>
          <w:t xml:space="preserve">B1.4 </w:t>
        </w:r>
        <w:r w:rsidR="00727E48" w:rsidRPr="00E3756C">
          <w:rPr>
            <w:rFonts w:asciiTheme="minorHAnsi" w:hAnsiTheme="minorHAnsi"/>
            <w:noProof/>
          </w:rPr>
          <w:tab/>
        </w:r>
        <w:r w:rsidR="00727E48" w:rsidRPr="00E3756C">
          <w:rPr>
            <w:rStyle w:val="Hyperlink"/>
            <w:noProof/>
          </w:rPr>
          <w:t>Guidance on alignment of information with representative concentration pathway projections and timeframes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_Toc15409160 \h </w:instrText>
        </w:r>
        <w:r w:rsidR="00727E48" w:rsidRPr="00E3756C">
          <w:rPr>
            <w:noProof/>
            <w:webHidden/>
          </w:rPr>
        </w:r>
        <w:r w:rsidR="00727E48" w:rsidRPr="00E3756C">
          <w:rPr>
            <w:noProof/>
            <w:webHidden/>
          </w:rPr>
          <w:fldChar w:fldCharType="separate"/>
        </w:r>
        <w:r w:rsidR="003D0995">
          <w:rPr>
            <w:noProof/>
            <w:webHidden/>
          </w:rPr>
          <w:t>47</w:t>
        </w:r>
        <w:r w:rsidR="00727E48" w:rsidRPr="00E3756C">
          <w:rPr>
            <w:noProof/>
            <w:webHidden/>
          </w:rPr>
          <w:fldChar w:fldCharType="end"/>
        </w:r>
      </w:hyperlink>
    </w:p>
    <w:p w14:paraId="0DC7C114" w14:textId="2E2A8544" w:rsidR="00727E48" w:rsidRPr="00E3756C" w:rsidRDefault="00053883">
      <w:pPr>
        <w:pStyle w:val="TOC1"/>
        <w:rPr>
          <w:rFonts w:asciiTheme="minorHAnsi" w:hAnsiTheme="minorHAnsi"/>
          <w:noProof/>
        </w:rPr>
      </w:pPr>
      <w:hyperlink w:anchor="_Toc15409161" w:history="1">
        <w:r w:rsidR="00727E48" w:rsidRPr="00E3756C">
          <w:rPr>
            <w:rStyle w:val="Hyperlink"/>
            <w:noProof/>
          </w:rPr>
          <w:t>Chapter B2: Assessment Stage 1:</w:t>
        </w:r>
        <w:r w:rsidR="000E2143" w:rsidRPr="00E3756C">
          <w:rPr>
            <w:rStyle w:val="Hyperlink"/>
            <w:noProof/>
          </w:rPr>
          <w:t xml:space="preserve"> </w:t>
        </w:r>
        <w:r w:rsidR="00727E48" w:rsidRPr="00E3756C">
          <w:rPr>
            <w:rStyle w:val="Hyperlink"/>
            <w:noProof/>
          </w:rPr>
          <w:t>First-pass risk screening</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_Toc15409161 \h </w:instrText>
        </w:r>
        <w:r w:rsidR="00727E48" w:rsidRPr="00E3756C">
          <w:rPr>
            <w:noProof/>
            <w:webHidden/>
          </w:rPr>
        </w:r>
        <w:r w:rsidR="00727E48" w:rsidRPr="00E3756C">
          <w:rPr>
            <w:noProof/>
            <w:webHidden/>
          </w:rPr>
          <w:fldChar w:fldCharType="separate"/>
        </w:r>
        <w:r w:rsidR="003D0995">
          <w:rPr>
            <w:noProof/>
            <w:webHidden/>
          </w:rPr>
          <w:t>49</w:t>
        </w:r>
        <w:r w:rsidR="00727E48" w:rsidRPr="00E3756C">
          <w:rPr>
            <w:noProof/>
            <w:webHidden/>
          </w:rPr>
          <w:fldChar w:fldCharType="end"/>
        </w:r>
      </w:hyperlink>
    </w:p>
    <w:p w14:paraId="4346E386" w14:textId="3DB9F97F" w:rsidR="00727E48" w:rsidRPr="00E3756C" w:rsidRDefault="00053883">
      <w:pPr>
        <w:pStyle w:val="TOC2"/>
        <w:tabs>
          <w:tab w:val="left" w:pos="1320"/>
        </w:tabs>
        <w:rPr>
          <w:rFonts w:asciiTheme="minorHAnsi" w:hAnsiTheme="minorHAnsi"/>
          <w:noProof/>
        </w:rPr>
      </w:pPr>
      <w:hyperlink w:anchor="_Toc15409162" w:history="1">
        <w:r w:rsidR="00727E48" w:rsidRPr="00E3756C">
          <w:rPr>
            <w:rStyle w:val="Hyperlink"/>
            <w:noProof/>
          </w:rPr>
          <w:t xml:space="preserve">B2.1 </w:t>
        </w:r>
        <w:r w:rsidR="00727E48" w:rsidRPr="00E3756C">
          <w:rPr>
            <w:rFonts w:asciiTheme="minorHAnsi" w:hAnsiTheme="minorHAnsi"/>
            <w:noProof/>
          </w:rPr>
          <w:tab/>
        </w:r>
        <w:r w:rsidR="00727E48" w:rsidRPr="00E3756C">
          <w:rPr>
            <w:rStyle w:val="Hyperlink"/>
            <w:noProof/>
          </w:rPr>
          <w:t>Scope and purpose for first-pass risk screening</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_Toc15409162 \h </w:instrText>
        </w:r>
        <w:r w:rsidR="00727E48" w:rsidRPr="00E3756C">
          <w:rPr>
            <w:noProof/>
            <w:webHidden/>
          </w:rPr>
        </w:r>
        <w:r w:rsidR="00727E48" w:rsidRPr="00E3756C">
          <w:rPr>
            <w:noProof/>
            <w:webHidden/>
          </w:rPr>
          <w:fldChar w:fldCharType="separate"/>
        </w:r>
        <w:r w:rsidR="003D0995">
          <w:rPr>
            <w:noProof/>
            <w:webHidden/>
          </w:rPr>
          <w:t>49</w:t>
        </w:r>
        <w:r w:rsidR="00727E48" w:rsidRPr="00E3756C">
          <w:rPr>
            <w:noProof/>
            <w:webHidden/>
          </w:rPr>
          <w:fldChar w:fldCharType="end"/>
        </w:r>
      </w:hyperlink>
    </w:p>
    <w:p w14:paraId="11935B8E" w14:textId="53F30F9C" w:rsidR="00727E48" w:rsidRPr="00E3756C" w:rsidRDefault="00053883">
      <w:pPr>
        <w:pStyle w:val="TOC2"/>
        <w:tabs>
          <w:tab w:val="left" w:pos="1320"/>
        </w:tabs>
        <w:rPr>
          <w:rFonts w:asciiTheme="minorHAnsi" w:hAnsiTheme="minorHAnsi"/>
          <w:noProof/>
        </w:rPr>
      </w:pPr>
      <w:hyperlink w:anchor="_Toc15409163" w:history="1">
        <w:r w:rsidR="00727E48" w:rsidRPr="00E3756C">
          <w:rPr>
            <w:rStyle w:val="Hyperlink"/>
            <w:noProof/>
          </w:rPr>
          <w:t xml:space="preserve">B2.2 </w:t>
        </w:r>
        <w:r w:rsidR="00727E48" w:rsidRPr="00E3756C">
          <w:rPr>
            <w:rFonts w:asciiTheme="minorHAnsi" w:hAnsiTheme="minorHAnsi"/>
            <w:noProof/>
          </w:rPr>
          <w:tab/>
        </w:r>
        <w:r w:rsidR="00727E48" w:rsidRPr="00E3756C">
          <w:rPr>
            <w:rStyle w:val="Hyperlink"/>
            <w:noProof/>
          </w:rPr>
          <w:t>Method for the first-pass risk screening</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_Toc15409163 \h </w:instrText>
        </w:r>
        <w:r w:rsidR="00727E48" w:rsidRPr="00E3756C">
          <w:rPr>
            <w:noProof/>
            <w:webHidden/>
          </w:rPr>
        </w:r>
        <w:r w:rsidR="00727E48" w:rsidRPr="00E3756C">
          <w:rPr>
            <w:noProof/>
            <w:webHidden/>
          </w:rPr>
          <w:fldChar w:fldCharType="separate"/>
        </w:r>
        <w:r w:rsidR="003D0995">
          <w:rPr>
            <w:noProof/>
            <w:webHidden/>
          </w:rPr>
          <w:t>50</w:t>
        </w:r>
        <w:r w:rsidR="00727E48" w:rsidRPr="00E3756C">
          <w:rPr>
            <w:noProof/>
            <w:webHidden/>
          </w:rPr>
          <w:fldChar w:fldCharType="end"/>
        </w:r>
      </w:hyperlink>
    </w:p>
    <w:p w14:paraId="5D2C2230" w14:textId="118632F3" w:rsidR="00727E48" w:rsidRPr="00E3756C" w:rsidRDefault="00053883">
      <w:pPr>
        <w:pStyle w:val="TOC2"/>
        <w:tabs>
          <w:tab w:val="left" w:pos="1320"/>
        </w:tabs>
        <w:rPr>
          <w:rFonts w:asciiTheme="minorHAnsi" w:hAnsiTheme="minorHAnsi"/>
          <w:noProof/>
        </w:rPr>
      </w:pPr>
      <w:hyperlink w:anchor="_Toc15409164" w:history="1">
        <w:r w:rsidR="00727E48" w:rsidRPr="00E3756C">
          <w:rPr>
            <w:rStyle w:val="Hyperlink"/>
            <w:noProof/>
          </w:rPr>
          <w:t xml:space="preserve">B2.3 </w:t>
        </w:r>
        <w:r w:rsidR="00727E48" w:rsidRPr="00E3756C">
          <w:rPr>
            <w:rFonts w:asciiTheme="minorHAnsi" w:hAnsiTheme="minorHAnsi"/>
            <w:noProof/>
          </w:rPr>
          <w:tab/>
        </w:r>
        <w:r w:rsidR="00727E48" w:rsidRPr="00E3756C">
          <w:rPr>
            <w:rStyle w:val="Hyperlink"/>
            <w:noProof/>
          </w:rPr>
          <w:t>Guidance on the screening steps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_Toc15409164 \h </w:instrText>
        </w:r>
        <w:r w:rsidR="00727E48" w:rsidRPr="00E3756C">
          <w:rPr>
            <w:noProof/>
            <w:webHidden/>
          </w:rPr>
        </w:r>
        <w:r w:rsidR="00727E48" w:rsidRPr="00E3756C">
          <w:rPr>
            <w:noProof/>
            <w:webHidden/>
          </w:rPr>
          <w:fldChar w:fldCharType="separate"/>
        </w:r>
        <w:r w:rsidR="003D0995">
          <w:rPr>
            <w:noProof/>
            <w:webHidden/>
          </w:rPr>
          <w:t>51</w:t>
        </w:r>
        <w:r w:rsidR="00727E48" w:rsidRPr="00E3756C">
          <w:rPr>
            <w:noProof/>
            <w:webHidden/>
          </w:rPr>
          <w:fldChar w:fldCharType="end"/>
        </w:r>
      </w:hyperlink>
    </w:p>
    <w:p w14:paraId="01286FD8" w14:textId="6BA089DC" w:rsidR="00727E48" w:rsidRPr="00E3756C" w:rsidRDefault="00053883">
      <w:pPr>
        <w:pStyle w:val="TOC1"/>
        <w:rPr>
          <w:rFonts w:asciiTheme="minorHAnsi" w:hAnsiTheme="minorHAnsi"/>
          <w:noProof/>
        </w:rPr>
      </w:pPr>
      <w:hyperlink w:anchor="_Toc15409165" w:history="1">
        <w:r w:rsidR="00727E48" w:rsidRPr="00E3756C">
          <w:rPr>
            <w:rStyle w:val="Hyperlink"/>
            <w:noProof/>
          </w:rPr>
          <w:t>Chapter B3: Assessment Stage 2: Detailed risk assessment</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_Toc15409165 \h </w:instrText>
        </w:r>
        <w:r w:rsidR="00727E48" w:rsidRPr="00E3756C">
          <w:rPr>
            <w:noProof/>
            <w:webHidden/>
          </w:rPr>
        </w:r>
        <w:r w:rsidR="00727E48" w:rsidRPr="00E3756C">
          <w:rPr>
            <w:noProof/>
            <w:webHidden/>
          </w:rPr>
          <w:fldChar w:fldCharType="separate"/>
        </w:r>
        <w:r w:rsidR="003D0995">
          <w:rPr>
            <w:noProof/>
            <w:webHidden/>
          </w:rPr>
          <w:t>59</w:t>
        </w:r>
        <w:r w:rsidR="00727E48" w:rsidRPr="00E3756C">
          <w:rPr>
            <w:noProof/>
            <w:webHidden/>
          </w:rPr>
          <w:fldChar w:fldCharType="end"/>
        </w:r>
      </w:hyperlink>
    </w:p>
    <w:p w14:paraId="0757743C" w14:textId="08D5B4BC" w:rsidR="00727E48" w:rsidRPr="00E3756C" w:rsidRDefault="00053883">
      <w:pPr>
        <w:pStyle w:val="TOC2"/>
        <w:tabs>
          <w:tab w:val="left" w:pos="1320"/>
        </w:tabs>
        <w:rPr>
          <w:rFonts w:asciiTheme="minorHAnsi" w:hAnsiTheme="minorHAnsi"/>
          <w:noProof/>
        </w:rPr>
      </w:pPr>
      <w:hyperlink w:anchor="_Toc15409166" w:history="1">
        <w:r w:rsidR="00727E48" w:rsidRPr="00E3756C">
          <w:rPr>
            <w:rStyle w:val="Hyperlink"/>
            <w:noProof/>
          </w:rPr>
          <w:t xml:space="preserve">B3.1 </w:t>
        </w:r>
        <w:r w:rsidR="00727E48" w:rsidRPr="00E3756C">
          <w:rPr>
            <w:rFonts w:asciiTheme="minorHAnsi" w:hAnsiTheme="minorHAnsi"/>
            <w:noProof/>
          </w:rPr>
          <w:tab/>
        </w:r>
        <w:r w:rsidR="00727E48" w:rsidRPr="00E3756C">
          <w:rPr>
            <w:rStyle w:val="Hyperlink"/>
            <w:noProof/>
          </w:rPr>
          <w:t>Detailed risk assessment scope and purpose</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_Toc15409166 \h </w:instrText>
        </w:r>
        <w:r w:rsidR="00727E48" w:rsidRPr="00E3756C">
          <w:rPr>
            <w:noProof/>
            <w:webHidden/>
          </w:rPr>
        </w:r>
        <w:r w:rsidR="00727E48" w:rsidRPr="00E3756C">
          <w:rPr>
            <w:noProof/>
            <w:webHidden/>
          </w:rPr>
          <w:fldChar w:fldCharType="separate"/>
        </w:r>
        <w:r w:rsidR="003D0995">
          <w:rPr>
            <w:noProof/>
            <w:webHidden/>
          </w:rPr>
          <w:t>59</w:t>
        </w:r>
        <w:r w:rsidR="00727E48" w:rsidRPr="00E3756C">
          <w:rPr>
            <w:noProof/>
            <w:webHidden/>
          </w:rPr>
          <w:fldChar w:fldCharType="end"/>
        </w:r>
      </w:hyperlink>
    </w:p>
    <w:p w14:paraId="4112CF34" w14:textId="098354DC" w:rsidR="00727E48" w:rsidRPr="00E3756C" w:rsidRDefault="00053883">
      <w:pPr>
        <w:pStyle w:val="TOC2"/>
        <w:tabs>
          <w:tab w:val="left" w:pos="1320"/>
        </w:tabs>
        <w:rPr>
          <w:rFonts w:asciiTheme="minorHAnsi" w:hAnsiTheme="minorHAnsi"/>
          <w:noProof/>
        </w:rPr>
      </w:pPr>
      <w:hyperlink w:anchor="_Toc15409167" w:history="1">
        <w:r w:rsidR="00727E48" w:rsidRPr="00E3756C">
          <w:rPr>
            <w:rStyle w:val="Hyperlink"/>
            <w:noProof/>
          </w:rPr>
          <w:t xml:space="preserve">B3.2 </w:t>
        </w:r>
        <w:r w:rsidR="00727E48" w:rsidRPr="00E3756C">
          <w:rPr>
            <w:rFonts w:asciiTheme="minorHAnsi" w:hAnsiTheme="minorHAnsi"/>
            <w:noProof/>
          </w:rPr>
          <w:tab/>
        </w:r>
        <w:r w:rsidR="00727E48" w:rsidRPr="00E3756C">
          <w:rPr>
            <w:rStyle w:val="Hyperlink"/>
            <w:noProof/>
          </w:rPr>
          <w:t>Method for detailed risk assessment</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_Toc15409167 \h </w:instrText>
        </w:r>
        <w:r w:rsidR="00727E48" w:rsidRPr="00E3756C">
          <w:rPr>
            <w:noProof/>
            <w:webHidden/>
          </w:rPr>
        </w:r>
        <w:r w:rsidR="00727E48" w:rsidRPr="00E3756C">
          <w:rPr>
            <w:noProof/>
            <w:webHidden/>
          </w:rPr>
          <w:fldChar w:fldCharType="separate"/>
        </w:r>
        <w:r w:rsidR="003D0995">
          <w:rPr>
            <w:noProof/>
            <w:webHidden/>
          </w:rPr>
          <w:t>60</w:t>
        </w:r>
        <w:r w:rsidR="00727E48" w:rsidRPr="00E3756C">
          <w:rPr>
            <w:noProof/>
            <w:webHidden/>
          </w:rPr>
          <w:fldChar w:fldCharType="end"/>
        </w:r>
      </w:hyperlink>
    </w:p>
    <w:p w14:paraId="09A3E615" w14:textId="0E5B371E" w:rsidR="00727E48" w:rsidRPr="00E3756C" w:rsidRDefault="00053883">
      <w:pPr>
        <w:pStyle w:val="TOC2"/>
        <w:tabs>
          <w:tab w:val="left" w:pos="1320"/>
        </w:tabs>
        <w:rPr>
          <w:rFonts w:asciiTheme="minorHAnsi" w:hAnsiTheme="minorHAnsi"/>
          <w:noProof/>
        </w:rPr>
      </w:pPr>
      <w:hyperlink w:anchor="_Toc15409168" w:history="1">
        <w:r w:rsidR="00727E48" w:rsidRPr="00E3756C">
          <w:rPr>
            <w:rStyle w:val="Hyperlink"/>
            <w:noProof/>
          </w:rPr>
          <w:t xml:space="preserve">B3.3 </w:t>
        </w:r>
        <w:r w:rsidR="00727E48" w:rsidRPr="00E3756C">
          <w:rPr>
            <w:rFonts w:asciiTheme="minorHAnsi" w:hAnsiTheme="minorHAnsi"/>
            <w:noProof/>
          </w:rPr>
          <w:tab/>
        </w:r>
        <w:r w:rsidR="00727E48" w:rsidRPr="00E3756C">
          <w:rPr>
            <w:rStyle w:val="Hyperlink"/>
            <w:noProof/>
          </w:rPr>
          <w:t>Guidance on the assessment steps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_Toc15409168 \h </w:instrText>
        </w:r>
        <w:r w:rsidR="00727E48" w:rsidRPr="00E3756C">
          <w:rPr>
            <w:noProof/>
            <w:webHidden/>
          </w:rPr>
        </w:r>
        <w:r w:rsidR="00727E48" w:rsidRPr="00E3756C">
          <w:rPr>
            <w:noProof/>
            <w:webHidden/>
          </w:rPr>
          <w:fldChar w:fldCharType="separate"/>
        </w:r>
        <w:r w:rsidR="003D0995">
          <w:rPr>
            <w:noProof/>
            <w:webHidden/>
          </w:rPr>
          <w:t>62</w:t>
        </w:r>
        <w:r w:rsidR="00727E48" w:rsidRPr="00E3756C">
          <w:rPr>
            <w:noProof/>
            <w:webHidden/>
          </w:rPr>
          <w:fldChar w:fldCharType="end"/>
        </w:r>
      </w:hyperlink>
    </w:p>
    <w:p w14:paraId="6FBE69E0" w14:textId="5C5E4068" w:rsidR="00727E48" w:rsidRPr="00E3756C" w:rsidRDefault="00053883">
      <w:pPr>
        <w:pStyle w:val="TOC1"/>
        <w:rPr>
          <w:rFonts w:asciiTheme="minorHAnsi" w:hAnsiTheme="minorHAnsi"/>
          <w:noProof/>
        </w:rPr>
      </w:pPr>
      <w:hyperlink w:anchor="_Toc15409169" w:history="1">
        <w:r w:rsidR="00727E48" w:rsidRPr="00E3756C">
          <w:rPr>
            <w:rStyle w:val="Hyperlink"/>
            <w:noProof/>
          </w:rPr>
          <w:t>Chapter B4: Assessment Stage 3: Adaptation and decision urgency assessment</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_Toc15409169 \h </w:instrText>
        </w:r>
        <w:r w:rsidR="00727E48" w:rsidRPr="00E3756C">
          <w:rPr>
            <w:noProof/>
            <w:webHidden/>
          </w:rPr>
        </w:r>
        <w:r w:rsidR="00727E48" w:rsidRPr="00E3756C">
          <w:rPr>
            <w:noProof/>
            <w:webHidden/>
          </w:rPr>
          <w:fldChar w:fldCharType="separate"/>
        </w:r>
        <w:r w:rsidR="003D0995">
          <w:rPr>
            <w:noProof/>
            <w:webHidden/>
          </w:rPr>
          <w:t>74</w:t>
        </w:r>
        <w:r w:rsidR="00727E48" w:rsidRPr="00E3756C">
          <w:rPr>
            <w:noProof/>
            <w:webHidden/>
          </w:rPr>
          <w:fldChar w:fldCharType="end"/>
        </w:r>
      </w:hyperlink>
    </w:p>
    <w:p w14:paraId="76F0A3B1" w14:textId="26D9ACB3" w:rsidR="00727E48" w:rsidRPr="00E3756C" w:rsidRDefault="00053883">
      <w:pPr>
        <w:pStyle w:val="TOC2"/>
        <w:tabs>
          <w:tab w:val="left" w:pos="1320"/>
        </w:tabs>
        <w:rPr>
          <w:rFonts w:asciiTheme="minorHAnsi" w:hAnsiTheme="minorHAnsi"/>
          <w:noProof/>
        </w:rPr>
      </w:pPr>
      <w:hyperlink w:anchor="_Toc15409170" w:history="1">
        <w:r w:rsidR="00727E48" w:rsidRPr="00E3756C">
          <w:rPr>
            <w:rStyle w:val="Hyperlink"/>
            <w:noProof/>
          </w:rPr>
          <w:t xml:space="preserve">B4.1 </w:t>
        </w:r>
        <w:r w:rsidR="00727E48" w:rsidRPr="00E3756C">
          <w:rPr>
            <w:rFonts w:asciiTheme="minorHAnsi" w:hAnsiTheme="minorHAnsi"/>
            <w:noProof/>
          </w:rPr>
          <w:tab/>
        </w:r>
        <w:r w:rsidR="00727E48" w:rsidRPr="00E3756C">
          <w:rPr>
            <w:rStyle w:val="Hyperlink"/>
            <w:noProof/>
          </w:rPr>
          <w:t>Scope and purpose of adaptation and decision urgency assessment</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_Toc15409170 \h </w:instrText>
        </w:r>
        <w:r w:rsidR="00727E48" w:rsidRPr="00E3756C">
          <w:rPr>
            <w:noProof/>
            <w:webHidden/>
          </w:rPr>
        </w:r>
        <w:r w:rsidR="00727E48" w:rsidRPr="00E3756C">
          <w:rPr>
            <w:noProof/>
            <w:webHidden/>
          </w:rPr>
          <w:fldChar w:fldCharType="separate"/>
        </w:r>
        <w:r w:rsidR="003D0995">
          <w:rPr>
            <w:noProof/>
            <w:webHidden/>
          </w:rPr>
          <w:t>74</w:t>
        </w:r>
        <w:r w:rsidR="00727E48" w:rsidRPr="00E3756C">
          <w:rPr>
            <w:noProof/>
            <w:webHidden/>
          </w:rPr>
          <w:fldChar w:fldCharType="end"/>
        </w:r>
      </w:hyperlink>
    </w:p>
    <w:p w14:paraId="08C4BE1B" w14:textId="07C31D7B" w:rsidR="00727E48" w:rsidRPr="00E3756C" w:rsidRDefault="00053883">
      <w:pPr>
        <w:pStyle w:val="TOC2"/>
        <w:tabs>
          <w:tab w:val="left" w:pos="1320"/>
        </w:tabs>
        <w:rPr>
          <w:rFonts w:asciiTheme="minorHAnsi" w:hAnsiTheme="minorHAnsi"/>
          <w:noProof/>
        </w:rPr>
      </w:pPr>
      <w:hyperlink w:anchor="_Toc15409171" w:history="1">
        <w:r w:rsidR="00727E48" w:rsidRPr="00E3756C">
          <w:rPr>
            <w:rStyle w:val="Hyperlink"/>
            <w:noProof/>
          </w:rPr>
          <w:t xml:space="preserve">B4.2 </w:t>
        </w:r>
        <w:r w:rsidR="00727E48" w:rsidRPr="00E3756C">
          <w:rPr>
            <w:rFonts w:asciiTheme="minorHAnsi" w:hAnsiTheme="minorHAnsi"/>
            <w:noProof/>
          </w:rPr>
          <w:tab/>
        </w:r>
        <w:r w:rsidR="00727E48" w:rsidRPr="00E3756C">
          <w:rPr>
            <w:rStyle w:val="Hyperlink"/>
            <w:noProof/>
          </w:rPr>
          <w:t>Method for adaptation and decision urgency assessment</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_Toc15409171 \h </w:instrText>
        </w:r>
        <w:r w:rsidR="00727E48" w:rsidRPr="00E3756C">
          <w:rPr>
            <w:noProof/>
            <w:webHidden/>
          </w:rPr>
        </w:r>
        <w:r w:rsidR="00727E48" w:rsidRPr="00E3756C">
          <w:rPr>
            <w:noProof/>
            <w:webHidden/>
          </w:rPr>
          <w:fldChar w:fldCharType="separate"/>
        </w:r>
        <w:r w:rsidR="003D0995">
          <w:rPr>
            <w:noProof/>
            <w:webHidden/>
          </w:rPr>
          <w:t>75</w:t>
        </w:r>
        <w:r w:rsidR="00727E48" w:rsidRPr="00E3756C">
          <w:rPr>
            <w:noProof/>
            <w:webHidden/>
          </w:rPr>
          <w:fldChar w:fldCharType="end"/>
        </w:r>
      </w:hyperlink>
    </w:p>
    <w:p w14:paraId="7EBDCE92" w14:textId="634EB1FA" w:rsidR="00727E48" w:rsidRPr="00E3756C" w:rsidRDefault="00053883">
      <w:pPr>
        <w:pStyle w:val="TOC2"/>
        <w:tabs>
          <w:tab w:val="left" w:pos="1320"/>
        </w:tabs>
        <w:rPr>
          <w:rFonts w:asciiTheme="minorHAnsi" w:hAnsiTheme="minorHAnsi"/>
          <w:noProof/>
        </w:rPr>
      </w:pPr>
      <w:hyperlink w:anchor="_Toc15409172" w:history="1">
        <w:r w:rsidR="00727E48" w:rsidRPr="00E3756C">
          <w:rPr>
            <w:rStyle w:val="Hyperlink"/>
            <w:noProof/>
          </w:rPr>
          <w:t xml:space="preserve">B4.3 </w:t>
        </w:r>
        <w:r w:rsidR="00727E48" w:rsidRPr="00E3756C">
          <w:rPr>
            <w:rFonts w:asciiTheme="minorHAnsi" w:hAnsiTheme="minorHAnsi"/>
            <w:noProof/>
          </w:rPr>
          <w:tab/>
        </w:r>
        <w:r w:rsidR="00727E48" w:rsidRPr="00E3756C">
          <w:rPr>
            <w:rStyle w:val="Hyperlink"/>
            <w:noProof/>
          </w:rPr>
          <w:t>Guidance on the assessment steps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_Toc15409172 \h </w:instrText>
        </w:r>
        <w:r w:rsidR="00727E48" w:rsidRPr="00E3756C">
          <w:rPr>
            <w:noProof/>
            <w:webHidden/>
          </w:rPr>
        </w:r>
        <w:r w:rsidR="00727E48" w:rsidRPr="00E3756C">
          <w:rPr>
            <w:noProof/>
            <w:webHidden/>
          </w:rPr>
          <w:fldChar w:fldCharType="separate"/>
        </w:r>
        <w:r w:rsidR="003D0995">
          <w:rPr>
            <w:noProof/>
            <w:webHidden/>
          </w:rPr>
          <w:t>76</w:t>
        </w:r>
        <w:r w:rsidR="00727E48" w:rsidRPr="00E3756C">
          <w:rPr>
            <w:noProof/>
            <w:webHidden/>
          </w:rPr>
          <w:fldChar w:fldCharType="end"/>
        </w:r>
      </w:hyperlink>
    </w:p>
    <w:p w14:paraId="52AAC327" w14:textId="5D0EA9CC" w:rsidR="00727E48" w:rsidRPr="00E3756C" w:rsidRDefault="00053883">
      <w:pPr>
        <w:pStyle w:val="TOC1"/>
        <w:rPr>
          <w:rFonts w:asciiTheme="minorHAnsi" w:hAnsiTheme="minorHAnsi"/>
          <w:noProof/>
        </w:rPr>
      </w:pPr>
      <w:hyperlink w:anchor="_Toc15409173" w:history="1">
        <w:r w:rsidR="00727E48" w:rsidRPr="00E3756C">
          <w:rPr>
            <w:rStyle w:val="Hyperlink"/>
            <w:noProof/>
          </w:rPr>
          <w:t>Chapter C1: Developing an engagement plan</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_Toc15409173 \h </w:instrText>
        </w:r>
        <w:r w:rsidR="00727E48" w:rsidRPr="00E3756C">
          <w:rPr>
            <w:noProof/>
            <w:webHidden/>
          </w:rPr>
        </w:r>
        <w:r w:rsidR="00727E48" w:rsidRPr="00E3756C">
          <w:rPr>
            <w:noProof/>
            <w:webHidden/>
          </w:rPr>
          <w:fldChar w:fldCharType="separate"/>
        </w:r>
        <w:r w:rsidR="003D0995">
          <w:rPr>
            <w:noProof/>
            <w:webHidden/>
          </w:rPr>
          <w:t>83</w:t>
        </w:r>
        <w:r w:rsidR="00727E48" w:rsidRPr="00E3756C">
          <w:rPr>
            <w:noProof/>
            <w:webHidden/>
          </w:rPr>
          <w:fldChar w:fldCharType="end"/>
        </w:r>
      </w:hyperlink>
    </w:p>
    <w:p w14:paraId="7C0DA2C7" w14:textId="1694D91E" w:rsidR="00727E48" w:rsidRPr="00E3756C" w:rsidRDefault="00053883">
      <w:pPr>
        <w:pStyle w:val="TOC1"/>
        <w:rPr>
          <w:rFonts w:asciiTheme="minorHAnsi" w:hAnsiTheme="minorHAnsi"/>
          <w:noProof/>
        </w:rPr>
      </w:pPr>
      <w:hyperlink w:anchor="_Toc15409174" w:history="1">
        <w:r w:rsidR="00727E48" w:rsidRPr="00E3756C">
          <w:rPr>
            <w:rStyle w:val="Hyperlink"/>
            <w:noProof/>
          </w:rPr>
          <w:t>Chapter C2: Risk assessment criteria</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_Toc15409174 \h </w:instrText>
        </w:r>
        <w:r w:rsidR="00727E48" w:rsidRPr="00E3756C">
          <w:rPr>
            <w:noProof/>
            <w:webHidden/>
          </w:rPr>
        </w:r>
        <w:r w:rsidR="00727E48" w:rsidRPr="00E3756C">
          <w:rPr>
            <w:noProof/>
            <w:webHidden/>
          </w:rPr>
          <w:fldChar w:fldCharType="separate"/>
        </w:r>
        <w:r w:rsidR="003D0995">
          <w:rPr>
            <w:noProof/>
            <w:webHidden/>
          </w:rPr>
          <w:t>86</w:t>
        </w:r>
        <w:r w:rsidR="00727E48" w:rsidRPr="00E3756C">
          <w:rPr>
            <w:noProof/>
            <w:webHidden/>
          </w:rPr>
          <w:fldChar w:fldCharType="end"/>
        </w:r>
      </w:hyperlink>
    </w:p>
    <w:p w14:paraId="322AB6E9" w14:textId="675A1DDA" w:rsidR="00727E48" w:rsidRPr="00E3756C" w:rsidRDefault="00053883">
      <w:pPr>
        <w:pStyle w:val="TOC2"/>
        <w:tabs>
          <w:tab w:val="left" w:pos="1320"/>
        </w:tabs>
        <w:rPr>
          <w:rFonts w:asciiTheme="minorHAnsi" w:hAnsiTheme="minorHAnsi"/>
          <w:noProof/>
        </w:rPr>
      </w:pPr>
      <w:hyperlink w:anchor="_Toc15409175" w:history="1">
        <w:r w:rsidR="00727E48" w:rsidRPr="00E3756C">
          <w:rPr>
            <w:rStyle w:val="Hyperlink"/>
            <w:noProof/>
          </w:rPr>
          <w:t xml:space="preserve">C2.1 </w:t>
        </w:r>
        <w:r w:rsidR="00727E48" w:rsidRPr="00E3756C">
          <w:rPr>
            <w:rFonts w:asciiTheme="minorHAnsi" w:hAnsiTheme="minorHAnsi"/>
            <w:noProof/>
          </w:rPr>
          <w:tab/>
        </w:r>
        <w:r w:rsidR="00727E48" w:rsidRPr="00E3756C">
          <w:rPr>
            <w:rStyle w:val="Hyperlink"/>
            <w:noProof/>
          </w:rPr>
          <w:t>Strength of evidence criteria</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_Toc15409175 \h </w:instrText>
        </w:r>
        <w:r w:rsidR="00727E48" w:rsidRPr="00E3756C">
          <w:rPr>
            <w:noProof/>
            <w:webHidden/>
          </w:rPr>
        </w:r>
        <w:r w:rsidR="00727E48" w:rsidRPr="00E3756C">
          <w:rPr>
            <w:noProof/>
            <w:webHidden/>
          </w:rPr>
          <w:fldChar w:fldCharType="separate"/>
        </w:r>
        <w:r w:rsidR="003D0995">
          <w:rPr>
            <w:noProof/>
            <w:webHidden/>
          </w:rPr>
          <w:t>86</w:t>
        </w:r>
        <w:r w:rsidR="00727E48" w:rsidRPr="00E3756C">
          <w:rPr>
            <w:noProof/>
            <w:webHidden/>
          </w:rPr>
          <w:fldChar w:fldCharType="end"/>
        </w:r>
      </w:hyperlink>
    </w:p>
    <w:p w14:paraId="2BB7E3FC" w14:textId="073818C1" w:rsidR="00727E48" w:rsidRPr="00E3756C" w:rsidRDefault="00053883">
      <w:pPr>
        <w:pStyle w:val="TOC2"/>
        <w:tabs>
          <w:tab w:val="left" w:pos="1320"/>
        </w:tabs>
        <w:rPr>
          <w:rFonts w:asciiTheme="minorHAnsi" w:hAnsiTheme="minorHAnsi"/>
          <w:noProof/>
        </w:rPr>
      </w:pPr>
      <w:hyperlink w:anchor="_Toc15409176" w:history="1">
        <w:r w:rsidR="00727E48" w:rsidRPr="00E3756C">
          <w:rPr>
            <w:rStyle w:val="Hyperlink"/>
            <w:noProof/>
          </w:rPr>
          <w:t xml:space="preserve">C2.2 </w:t>
        </w:r>
        <w:r w:rsidR="00727E48" w:rsidRPr="00E3756C">
          <w:rPr>
            <w:rFonts w:asciiTheme="minorHAnsi" w:hAnsiTheme="minorHAnsi"/>
            <w:noProof/>
          </w:rPr>
          <w:tab/>
        </w:r>
        <w:r w:rsidR="00727E48" w:rsidRPr="00E3756C">
          <w:rPr>
            <w:rStyle w:val="Hyperlink"/>
            <w:noProof/>
          </w:rPr>
          <w:t>Consequence rating criteria</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_Toc15409176 \h </w:instrText>
        </w:r>
        <w:r w:rsidR="00727E48" w:rsidRPr="00E3756C">
          <w:rPr>
            <w:noProof/>
            <w:webHidden/>
          </w:rPr>
        </w:r>
        <w:r w:rsidR="00727E48" w:rsidRPr="00E3756C">
          <w:rPr>
            <w:noProof/>
            <w:webHidden/>
          </w:rPr>
          <w:fldChar w:fldCharType="separate"/>
        </w:r>
        <w:r w:rsidR="003D0995">
          <w:rPr>
            <w:noProof/>
            <w:webHidden/>
          </w:rPr>
          <w:t>86</w:t>
        </w:r>
        <w:r w:rsidR="00727E48" w:rsidRPr="00E3756C">
          <w:rPr>
            <w:noProof/>
            <w:webHidden/>
          </w:rPr>
          <w:fldChar w:fldCharType="end"/>
        </w:r>
      </w:hyperlink>
    </w:p>
    <w:p w14:paraId="48B1FE22" w14:textId="0E1A4E73" w:rsidR="00727E48" w:rsidRPr="00E3756C" w:rsidRDefault="00053883">
      <w:pPr>
        <w:pStyle w:val="TOC1"/>
        <w:rPr>
          <w:rFonts w:asciiTheme="minorHAnsi" w:hAnsiTheme="minorHAnsi"/>
          <w:noProof/>
        </w:rPr>
      </w:pPr>
      <w:hyperlink w:anchor="_Toc15409177" w:history="1">
        <w:r w:rsidR="00727E48" w:rsidRPr="00E3756C">
          <w:rPr>
            <w:rStyle w:val="Hyperlink"/>
            <w:noProof/>
          </w:rPr>
          <w:t>Chapter C3: Rationale for selecting projections and aligning projections to timeframes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_Toc15409177 \h </w:instrText>
        </w:r>
        <w:r w:rsidR="00727E48" w:rsidRPr="00E3756C">
          <w:rPr>
            <w:noProof/>
            <w:webHidden/>
          </w:rPr>
        </w:r>
        <w:r w:rsidR="00727E48" w:rsidRPr="00E3756C">
          <w:rPr>
            <w:noProof/>
            <w:webHidden/>
          </w:rPr>
          <w:fldChar w:fldCharType="separate"/>
        </w:r>
        <w:r w:rsidR="003D0995">
          <w:rPr>
            <w:noProof/>
            <w:webHidden/>
          </w:rPr>
          <w:t>95</w:t>
        </w:r>
        <w:r w:rsidR="00727E48" w:rsidRPr="00E3756C">
          <w:rPr>
            <w:noProof/>
            <w:webHidden/>
          </w:rPr>
          <w:fldChar w:fldCharType="end"/>
        </w:r>
      </w:hyperlink>
    </w:p>
    <w:p w14:paraId="6F6F320B" w14:textId="22405D4F" w:rsidR="00727E48" w:rsidRPr="00E3756C" w:rsidRDefault="00053883">
      <w:pPr>
        <w:pStyle w:val="TOC1"/>
        <w:rPr>
          <w:rFonts w:asciiTheme="minorHAnsi" w:hAnsiTheme="minorHAnsi"/>
          <w:noProof/>
        </w:rPr>
      </w:pPr>
      <w:hyperlink w:anchor="_Toc15409178" w:history="1">
        <w:r w:rsidR="00727E48" w:rsidRPr="00E3756C">
          <w:rPr>
            <w:rStyle w:val="Hyperlink"/>
            <w:noProof/>
          </w:rPr>
          <w:t>Chapter C4: Information sources for climate change variables and impacts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_Toc15409178 \h </w:instrText>
        </w:r>
        <w:r w:rsidR="00727E48" w:rsidRPr="00E3756C">
          <w:rPr>
            <w:noProof/>
            <w:webHidden/>
          </w:rPr>
        </w:r>
        <w:r w:rsidR="00727E48" w:rsidRPr="00E3756C">
          <w:rPr>
            <w:noProof/>
            <w:webHidden/>
          </w:rPr>
          <w:fldChar w:fldCharType="separate"/>
        </w:r>
        <w:r w:rsidR="003D0995">
          <w:rPr>
            <w:noProof/>
            <w:webHidden/>
          </w:rPr>
          <w:t>96</w:t>
        </w:r>
        <w:r w:rsidR="00727E48" w:rsidRPr="00E3756C">
          <w:rPr>
            <w:noProof/>
            <w:webHidden/>
          </w:rPr>
          <w:fldChar w:fldCharType="end"/>
        </w:r>
      </w:hyperlink>
    </w:p>
    <w:p w14:paraId="17DFCC15" w14:textId="1A4856C6" w:rsidR="00727E48" w:rsidRPr="00E3756C" w:rsidRDefault="00053883">
      <w:pPr>
        <w:pStyle w:val="TOC2"/>
        <w:tabs>
          <w:tab w:val="left" w:pos="1320"/>
        </w:tabs>
        <w:rPr>
          <w:rFonts w:asciiTheme="minorHAnsi" w:hAnsiTheme="minorHAnsi"/>
          <w:noProof/>
        </w:rPr>
      </w:pPr>
      <w:hyperlink w:anchor="_Toc15409179" w:history="1">
        <w:r w:rsidR="00727E48" w:rsidRPr="00E3756C">
          <w:rPr>
            <w:rStyle w:val="Hyperlink"/>
            <w:noProof/>
          </w:rPr>
          <w:t xml:space="preserve">C4.1 </w:t>
        </w:r>
        <w:r w:rsidR="00727E48" w:rsidRPr="00E3756C">
          <w:rPr>
            <w:rFonts w:asciiTheme="minorHAnsi" w:hAnsiTheme="minorHAnsi"/>
            <w:noProof/>
          </w:rPr>
          <w:tab/>
        </w:r>
        <w:r w:rsidR="00727E48" w:rsidRPr="00E3756C">
          <w:rPr>
            <w:rStyle w:val="Hyperlink"/>
            <w:noProof/>
          </w:rPr>
          <w:t>Sources and databases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_Toc15409179 \h </w:instrText>
        </w:r>
        <w:r w:rsidR="00727E48" w:rsidRPr="00E3756C">
          <w:rPr>
            <w:noProof/>
            <w:webHidden/>
          </w:rPr>
        </w:r>
        <w:r w:rsidR="00727E48" w:rsidRPr="00E3756C">
          <w:rPr>
            <w:noProof/>
            <w:webHidden/>
          </w:rPr>
          <w:fldChar w:fldCharType="separate"/>
        </w:r>
        <w:r w:rsidR="003D0995">
          <w:rPr>
            <w:noProof/>
            <w:webHidden/>
          </w:rPr>
          <w:t>96</w:t>
        </w:r>
        <w:r w:rsidR="00727E48" w:rsidRPr="00E3756C">
          <w:rPr>
            <w:noProof/>
            <w:webHidden/>
          </w:rPr>
          <w:fldChar w:fldCharType="end"/>
        </w:r>
      </w:hyperlink>
    </w:p>
    <w:p w14:paraId="7FA4ED4F" w14:textId="6435B0CF" w:rsidR="00727E48" w:rsidRPr="00E3756C" w:rsidRDefault="00053883">
      <w:pPr>
        <w:pStyle w:val="TOC2"/>
        <w:tabs>
          <w:tab w:val="left" w:pos="1320"/>
        </w:tabs>
        <w:rPr>
          <w:rFonts w:asciiTheme="minorHAnsi" w:hAnsiTheme="minorHAnsi"/>
          <w:noProof/>
        </w:rPr>
      </w:pPr>
      <w:hyperlink w:anchor="_Toc15409180" w:history="1">
        <w:r w:rsidR="00727E48" w:rsidRPr="00E3756C">
          <w:rPr>
            <w:rStyle w:val="Hyperlink"/>
            <w:noProof/>
          </w:rPr>
          <w:t xml:space="preserve">C4.2 </w:t>
        </w:r>
        <w:r w:rsidR="00727E48" w:rsidRPr="00E3756C">
          <w:rPr>
            <w:rFonts w:asciiTheme="minorHAnsi" w:hAnsiTheme="minorHAnsi"/>
            <w:noProof/>
          </w:rPr>
          <w:tab/>
        </w:r>
        <w:r w:rsidR="00727E48" w:rsidRPr="00E3756C">
          <w:rPr>
            <w:rStyle w:val="Hyperlink"/>
            <w:noProof/>
          </w:rPr>
          <w:t>Climate change variables contributing to hazards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_Toc15409180 \h </w:instrText>
        </w:r>
        <w:r w:rsidR="00727E48" w:rsidRPr="00E3756C">
          <w:rPr>
            <w:noProof/>
            <w:webHidden/>
          </w:rPr>
        </w:r>
        <w:r w:rsidR="00727E48" w:rsidRPr="00E3756C">
          <w:rPr>
            <w:noProof/>
            <w:webHidden/>
          </w:rPr>
          <w:fldChar w:fldCharType="separate"/>
        </w:r>
        <w:r w:rsidR="003D0995">
          <w:rPr>
            <w:noProof/>
            <w:webHidden/>
          </w:rPr>
          <w:t>98</w:t>
        </w:r>
        <w:r w:rsidR="00727E48" w:rsidRPr="00E3756C">
          <w:rPr>
            <w:noProof/>
            <w:webHidden/>
          </w:rPr>
          <w:fldChar w:fldCharType="end"/>
        </w:r>
      </w:hyperlink>
    </w:p>
    <w:p w14:paraId="7530EBED" w14:textId="7ACCEEF4" w:rsidR="00727E48" w:rsidRPr="00E3756C" w:rsidRDefault="00053883">
      <w:pPr>
        <w:pStyle w:val="TOC1"/>
        <w:rPr>
          <w:rFonts w:asciiTheme="minorHAnsi" w:hAnsiTheme="minorHAnsi"/>
          <w:noProof/>
        </w:rPr>
      </w:pPr>
      <w:hyperlink w:anchor="_Toc15409181" w:history="1">
        <w:r w:rsidR="00727E48" w:rsidRPr="00E3756C">
          <w:rPr>
            <w:rStyle w:val="Hyperlink"/>
            <w:noProof/>
          </w:rPr>
          <w:t>Chapter C5: Using the framework at different scales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_Toc15409181 \h </w:instrText>
        </w:r>
        <w:r w:rsidR="00727E48" w:rsidRPr="00E3756C">
          <w:rPr>
            <w:noProof/>
            <w:webHidden/>
          </w:rPr>
        </w:r>
        <w:r w:rsidR="00727E48" w:rsidRPr="00E3756C">
          <w:rPr>
            <w:noProof/>
            <w:webHidden/>
          </w:rPr>
          <w:fldChar w:fldCharType="separate"/>
        </w:r>
        <w:r w:rsidR="003D0995">
          <w:rPr>
            <w:noProof/>
            <w:webHidden/>
          </w:rPr>
          <w:t>100</w:t>
        </w:r>
        <w:r w:rsidR="00727E48" w:rsidRPr="00E3756C">
          <w:rPr>
            <w:noProof/>
            <w:webHidden/>
          </w:rPr>
          <w:fldChar w:fldCharType="end"/>
        </w:r>
      </w:hyperlink>
    </w:p>
    <w:p w14:paraId="70D7E997" w14:textId="22F80D37" w:rsidR="00727E48" w:rsidRPr="00E3756C" w:rsidRDefault="00053883">
      <w:pPr>
        <w:pStyle w:val="TOC1"/>
        <w:rPr>
          <w:rFonts w:asciiTheme="minorHAnsi" w:hAnsiTheme="minorHAnsi"/>
          <w:noProof/>
        </w:rPr>
      </w:pPr>
      <w:hyperlink w:anchor="_Toc15409182" w:history="1">
        <w:r w:rsidR="00727E48" w:rsidRPr="00E3756C">
          <w:rPr>
            <w:rStyle w:val="Hyperlink"/>
            <w:noProof/>
          </w:rPr>
          <w:t>Glossary and abbreviations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_Toc15409182 \h </w:instrText>
        </w:r>
        <w:r w:rsidR="00727E48" w:rsidRPr="00E3756C">
          <w:rPr>
            <w:noProof/>
            <w:webHidden/>
          </w:rPr>
        </w:r>
        <w:r w:rsidR="00727E48" w:rsidRPr="00E3756C">
          <w:rPr>
            <w:noProof/>
            <w:webHidden/>
          </w:rPr>
          <w:fldChar w:fldCharType="separate"/>
        </w:r>
        <w:r w:rsidR="003D0995">
          <w:rPr>
            <w:noProof/>
            <w:webHidden/>
          </w:rPr>
          <w:t>103</w:t>
        </w:r>
        <w:r w:rsidR="00727E48" w:rsidRPr="00E3756C">
          <w:rPr>
            <w:noProof/>
            <w:webHidden/>
          </w:rPr>
          <w:fldChar w:fldCharType="end"/>
        </w:r>
      </w:hyperlink>
    </w:p>
    <w:p w14:paraId="262947DC" w14:textId="211FB326" w:rsidR="00727E48" w:rsidRPr="00E3756C" w:rsidRDefault="00053883">
      <w:pPr>
        <w:pStyle w:val="TOC1"/>
        <w:rPr>
          <w:rFonts w:asciiTheme="minorHAnsi" w:hAnsiTheme="minorHAnsi"/>
          <w:noProof/>
        </w:rPr>
      </w:pPr>
      <w:hyperlink w:anchor="_Toc15409183" w:history="1">
        <w:r w:rsidR="00727E48" w:rsidRPr="00E3756C">
          <w:rPr>
            <w:rStyle w:val="Hyperlink"/>
            <w:noProof/>
          </w:rPr>
          <w:t>References</w:t>
        </w:r>
        <w:r w:rsidR="00727E48" w:rsidRPr="00E3756C">
          <w:rPr>
            <w:noProof/>
            <w:webHidden/>
          </w:rPr>
          <w:tab/>
        </w:r>
        <w:r w:rsidR="00727E48" w:rsidRPr="00E3756C">
          <w:rPr>
            <w:noProof/>
            <w:webHidden/>
          </w:rPr>
          <w:fldChar w:fldCharType="begin"/>
        </w:r>
        <w:r w:rsidR="00727E48" w:rsidRPr="00E3756C">
          <w:rPr>
            <w:noProof/>
            <w:webHidden/>
          </w:rPr>
          <w:instrText xml:space="preserve"> PAGEREF _Toc15409183 \h </w:instrText>
        </w:r>
        <w:r w:rsidR="00727E48" w:rsidRPr="00E3756C">
          <w:rPr>
            <w:noProof/>
            <w:webHidden/>
          </w:rPr>
        </w:r>
        <w:r w:rsidR="00727E48" w:rsidRPr="00E3756C">
          <w:rPr>
            <w:noProof/>
            <w:webHidden/>
          </w:rPr>
          <w:fldChar w:fldCharType="separate"/>
        </w:r>
        <w:r w:rsidR="003D0995">
          <w:rPr>
            <w:noProof/>
            <w:webHidden/>
          </w:rPr>
          <w:t>110</w:t>
        </w:r>
        <w:r w:rsidR="00727E48" w:rsidRPr="00E3756C">
          <w:rPr>
            <w:noProof/>
            <w:webHidden/>
          </w:rPr>
          <w:fldChar w:fldCharType="end"/>
        </w:r>
      </w:hyperlink>
    </w:p>
    <w:p w14:paraId="18B67C18" w14:textId="77777777" w:rsidR="0080531E" w:rsidRPr="00E3756C" w:rsidRDefault="00775F57" w:rsidP="002B4778">
      <w:pPr>
        <w:pStyle w:val="Glossary"/>
      </w:pPr>
      <w:r w:rsidRPr="00E3756C">
        <w:rPr>
          <w:color w:val="0092CF"/>
        </w:rPr>
        <w:fldChar w:fldCharType="end"/>
      </w:r>
    </w:p>
    <w:p w14:paraId="2BC36EE6" w14:textId="77777777" w:rsidR="00796A6F" w:rsidRPr="00E3756C" w:rsidRDefault="00796A6F" w:rsidP="00554B30">
      <w:r w:rsidRPr="00E3756C">
        <w:br w:type="page"/>
      </w:r>
    </w:p>
    <w:p w14:paraId="038240A7" w14:textId="77777777" w:rsidR="00532334" w:rsidRPr="00E3756C" w:rsidRDefault="00532334" w:rsidP="008B68EC">
      <w:pPr>
        <w:pStyle w:val="Heading"/>
      </w:pPr>
      <w:r w:rsidRPr="00E3756C">
        <w:lastRenderedPageBreak/>
        <w:t>Tables</w:t>
      </w:r>
    </w:p>
    <w:p w14:paraId="36F70B01" w14:textId="4C76F302" w:rsidR="000B136A" w:rsidRDefault="004943C2">
      <w:pPr>
        <w:pStyle w:val="TableofFigures"/>
        <w:tabs>
          <w:tab w:val="right" w:pos="8551"/>
        </w:tabs>
        <w:rPr>
          <w:rFonts w:asciiTheme="minorHAnsi" w:hAnsiTheme="minorHAnsi"/>
          <w:noProof/>
        </w:rPr>
      </w:pPr>
      <w:r w:rsidRPr="00E3756C">
        <w:fldChar w:fldCharType="begin"/>
      </w:r>
      <w:r w:rsidRPr="00E3756C">
        <w:instrText xml:space="preserve"> TOC \h \z \t "Table heading" \c </w:instrText>
      </w:r>
      <w:r w:rsidRPr="00E3756C">
        <w:fldChar w:fldCharType="separate"/>
      </w:r>
      <w:hyperlink w:anchor="_Toc16586492" w:history="1">
        <w:r w:rsidR="000B136A" w:rsidRPr="00304D8C">
          <w:rPr>
            <w:rStyle w:val="Hyperlink"/>
            <w:noProof/>
          </w:rPr>
          <w:t xml:space="preserve">Table A3-1: </w:t>
        </w:r>
        <w:r w:rsidR="000B136A">
          <w:rPr>
            <w:rFonts w:asciiTheme="minorHAnsi" w:hAnsiTheme="minorHAnsi"/>
            <w:noProof/>
          </w:rPr>
          <w:tab/>
        </w:r>
        <w:r w:rsidR="000B136A" w:rsidRPr="00304D8C">
          <w:rPr>
            <w:rStyle w:val="Hyperlink"/>
            <w:noProof/>
          </w:rPr>
          <w:t>Value domains based on the National Disaster Resilience Strategy (NDRS) and Treasury’s Living Standards Framework (LSF)</w:t>
        </w:r>
        <w:r w:rsidR="000B136A">
          <w:rPr>
            <w:noProof/>
            <w:webHidden/>
          </w:rPr>
          <w:tab/>
        </w:r>
        <w:r w:rsidR="000B136A">
          <w:rPr>
            <w:noProof/>
            <w:webHidden/>
          </w:rPr>
          <w:fldChar w:fldCharType="begin"/>
        </w:r>
        <w:r w:rsidR="000B136A">
          <w:rPr>
            <w:noProof/>
            <w:webHidden/>
          </w:rPr>
          <w:instrText xml:space="preserve"> PAGEREF _Toc16586492 \h </w:instrText>
        </w:r>
        <w:r w:rsidR="000B136A">
          <w:rPr>
            <w:noProof/>
            <w:webHidden/>
          </w:rPr>
        </w:r>
        <w:r w:rsidR="000B136A">
          <w:rPr>
            <w:noProof/>
            <w:webHidden/>
          </w:rPr>
          <w:fldChar w:fldCharType="separate"/>
        </w:r>
        <w:r w:rsidR="003D0995">
          <w:rPr>
            <w:noProof/>
            <w:webHidden/>
          </w:rPr>
          <w:t>27</w:t>
        </w:r>
        <w:r w:rsidR="000B136A">
          <w:rPr>
            <w:noProof/>
            <w:webHidden/>
          </w:rPr>
          <w:fldChar w:fldCharType="end"/>
        </w:r>
      </w:hyperlink>
    </w:p>
    <w:p w14:paraId="3E6DF204" w14:textId="10C37EEF" w:rsidR="000B136A" w:rsidRDefault="00053883">
      <w:pPr>
        <w:pStyle w:val="TableofFigures"/>
        <w:tabs>
          <w:tab w:val="right" w:pos="8551"/>
        </w:tabs>
        <w:rPr>
          <w:rFonts w:asciiTheme="minorHAnsi" w:hAnsiTheme="minorHAnsi"/>
          <w:noProof/>
        </w:rPr>
      </w:pPr>
      <w:hyperlink w:anchor="_Toc16586493" w:history="1">
        <w:r w:rsidR="000B136A" w:rsidRPr="00304D8C">
          <w:rPr>
            <w:rStyle w:val="Hyperlink"/>
            <w:noProof/>
          </w:rPr>
          <w:t xml:space="preserve">Table A3-2: </w:t>
        </w:r>
        <w:r w:rsidR="000B136A">
          <w:rPr>
            <w:rFonts w:asciiTheme="minorHAnsi" w:hAnsiTheme="minorHAnsi"/>
            <w:noProof/>
          </w:rPr>
          <w:tab/>
        </w:r>
        <w:r w:rsidR="000B136A" w:rsidRPr="00304D8C">
          <w:rPr>
            <w:rStyle w:val="Hyperlink"/>
            <w:noProof/>
          </w:rPr>
          <w:t>Sectors and potential elements at risk, according to domains in the National Disaster Resilience Strategy</w:t>
        </w:r>
        <w:r w:rsidR="000B136A">
          <w:rPr>
            <w:noProof/>
            <w:webHidden/>
          </w:rPr>
          <w:tab/>
        </w:r>
        <w:r w:rsidR="000B136A">
          <w:rPr>
            <w:noProof/>
            <w:webHidden/>
          </w:rPr>
          <w:fldChar w:fldCharType="begin"/>
        </w:r>
        <w:r w:rsidR="000B136A">
          <w:rPr>
            <w:noProof/>
            <w:webHidden/>
          </w:rPr>
          <w:instrText xml:space="preserve"> PAGEREF _Toc16586493 \h </w:instrText>
        </w:r>
        <w:r w:rsidR="000B136A">
          <w:rPr>
            <w:noProof/>
            <w:webHidden/>
          </w:rPr>
        </w:r>
        <w:r w:rsidR="000B136A">
          <w:rPr>
            <w:noProof/>
            <w:webHidden/>
          </w:rPr>
          <w:fldChar w:fldCharType="separate"/>
        </w:r>
        <w:r w:rsidR="003D0995">
          <w:rPr>
            <w:noProof/>
            <w:webHidden/>
          </w:rPr>
          <w:t>28</w:t>
        </w:r>
        <w:r w:rsidR="000B136A">
          <w:rPr>
            <w:noProof/>
            <w:webHidden/>
          </w:rPr>
          <w:fldChar w:fldCharType="end"/>
        </w:r>
      </w:hyperlink>
    </w:p>
    <w:p w14:paraId="1AEA5654" w14:textId="24C42E50" w:rsidR="000B136A" w:rsidRDefault="00053883">
      <w:pPr>
        <w:pStyle w:val="TableofFigures"/>
        <w:tabs>
          <w:tab w:val="right" w:pos="8551"/>
        </w:tabs>
        <w:rPr>
          <w:rFonts w:asciiTheme="minorHAnsi" w:hAnsiTheme="minorHAnsi"/>
          <w:noProof/>
        </w:rPr>
      </w:pPr>
      <w:hyperlink w:anchor="_Toc16586494" w:history="1">
        <w:r w:rsidR="000B136A" w:rsidRPr="00304D8C">
          <w:rPr>
            <w:rStyle w:val="Hyperlink"/>
            <w:noProof/>
          </w:rPr>
          <w:t xml:space="preserve">Table B1-1: </w:t>
        </w:r>
        <w:r w:rsidR="000B136A">
          <w:rPr>
            <w:rFonts w:asciiTheme="minorHAnsi" w:hAnsiTheme="minorHAnsi"/>
            <w:noProof/>
          </w:rPr>
          <w:tab/>
        </w:r>
        <w:r w:rsidR="000B136A" w:rsidRPr="00304D8C">
          <w:rPr>
            <w:rStyle w:val="Hyperlink"/>
            <w:noProof/>
          </w:rPr>
          <w:t>Example table for recording descriptors of the present state and future changes of hazards (including stressors and trends) for the two projections RCP4.5 (moderate emissions mitigation) and RCP8.5 (continuing high global emissions)</w:t>
        </w:r>
        <w:r w:rsidR="000B136A">
          <w:rPr>
            <w:noProof/>
            <w:webHidden/>
          </w:rPr>
          <w:tab/>
        </w:r>
        <w:r w:rsidR="000B136A">
          <w:rPr>
            <w:noProof/>
            <w:webHidden/>
          </w:rPr>
          <w:fldChar w:fldCharType="begin"/>
        </w:r>
        <w:r w:rsidR="000B136A">
          <w:rPr>
            <w:noProof/>
            <w:webHidden/>
          </w:rPr>
          <w:instrText xml:space="preserve"> PAGEREF _Toc16586494 \h </w:instrText>
        </w:r>
        <w:r w:rsidR="000B136A">
          <w:rPr>
            <w:noProof/>
            <w:webHidden/>
          </w:rPr>
        </w:r>
        <w:r w:rsidR="000B136A">
          <w:rPr>
            <w:noProof/>
            <w:webHidden/>
          </w:rPr>
          <w:fldChar w:fldCharType="separate"/>
        </w:r>
        <w:r w:rsidR="003D0995">
          <w:rPr>
            <w:noProof/>
            <w:webHidden/>
          </w:rPr>
          <w:t>43</w:t>
        </w:r>
        <w:r w:rsidR="000B136A">
          <w:rPr>
            <w:noProof/>
            <w:webHidden/>
          </w:rPr>
          <w:fldChar w:fldCharType="end"/>
        </w:r>
      </w:hyperlink>
    </w:p>
    <w:p w14:paraId="2AFE83F2" w14:textId="624E7E05" w:rsidR="000B136A" w:rsidRDefault="00053883">
      <w:pPr>
        <w:pStyle w:val="TableofFigures"/>
        <w:tabs>
          <w:tab w:val="right" w:pos="8551"/>
        </w:tabs>
        <w:rPr>
          <w:rFonts w:asciiTheme="minorHAnsi" w:hAnsiTheme="minorHAnsi"/>
          <w:noProof/>
        </w:rPr>
      </w:pPr>
      <w:hyperlink w:anchor="_Toc16586495" w:history="1">
        <w:r w:rsidR="000B136A" w:rsidRPr="00304D8C">
          <w:rPr>
            <w:rStyle w:val="Hyperlink"/>
            <w:noProof/>
          </w:rPr>
          <w:t xml:space="preserve">Table B1-2: </w:t>
        </w:r>
        <w:r w:rsidR="000B136A">
          <w:rPr>
            <w:rFonts w:asciiTheme="minorHAnsi" w:hAnsiTheme="minorHAnsi"/>
            <w:noProof/>
          </w:rPr>
          <w:tab/>
        </w:r>
        <w:r w:rsidR="000B136A" w:rsidRPr="00304D8C">
          <w:rPr>
            <w:rStyle w:val="Hyperlink"/>
            <w:noProof/>
          </w:rPr>
          <w:t>Key categories (17) of hazards (blue shading) arising from climate change most likely to result in substantial risks to include in the NCCRA (this is not an exhaustive list)</w:t>
        </w:r>
        <w:r w:rsidR="000B136A">
          <w:rPr>
            <w:noProof/>
            <w:webHidden/>
          </w:rPr>
          <w:tab/>
        </w:r>
        <w:r w:rsidR="000B136A">
          <w:rPr>
            <w:noProof/>
            <w:webHidden/>
          </w:rPr>
          <w:fldChar w:fldCharType="begin"/>
        </w:r>
        <w:r w:rsidR="000B136A">
          <w:rPr>
            <w:noProof/>
            <w:webHidden/>
          </w:rPr>
          <w:instrText xml:space="preserve"> PAGEREF _Toc16586495 \h </w:instrText>
        </w:r>
        <w:r w:rsidR="000B136A">
          <w:rPr>
            <w:noProof/>
            <w:webHidden/>
          </w:rPr>
        </w:r>
        <w:r w:rsidR="000B136A">
          <w:rPr>
            <w:noProof/>
            <w:webHidden/>
          </w:rPr>
          <w:fldChar w:fldCharType="separate"/>
        </w:r>
        <w:r w:rsidR="003D0995">
          <w:rPr>
            <w:noProof/>
            <w:webHidden/>
          </w:rPr>
          <w:t>44</w:t>
        </w:r>
        <w:r w:rsidR="000B136A">
          <w:rPr>
            <w:noProof/>
            <w:webHidden/>
          </w:rPr>
          <w:fldChar w:fldCharType="end"/>
        </w:r>
      </w:hyperlink>
    </w:p>
    <w:p w14:paraId="0118B3EF" w14:textId="1B961AE3" w:rsidR="000B136A" w:rsidRDefault="00053883">
      <w:pPr>
        <w:pStyle w:val="TableofFigures"/>
        <w:tabs>
          <w:tab w:val="right" w:pos="8551"/>
        </w:tabs>
        <w:rPr>
          <w:rFonts w:asciiTheme="minorHAnsi" w:hAnsiTheme="minorHAnsi"/>
          <w:noProof/>
        </w:rPr>
      </w:pPr>
      <w:hyperlink w:anchor="_Toc16586496" w:history="1">
        <w:r w:rsidR="000B136A" w:rsidRPr="00304D8C">
          <w:rPr>
            <w:rStyle w:val="Hyperlink"/>
            <w:noProof/>
          </w:rPr>
          <w:t>Table B2-1:</w:t>
        </w:r>
        <w:r w:rsidR="000B136A">
          <w:rPr>
            <w:rFonts w:asciiTheme="minorHAnsi" w:hAnsiTheme="minorHAnsi"/>
            <w:noProof/>
          </w:rPr>
          <w:tab/>
        </w:r>
        <w:r w:rsidR="000B136A" w:rsidRPr="00304D8C">
          <w:rPr>
            <w:rStyle w:val="Hyperlink"/>
            <w:noProof/>
          </w:rPr>
          <w:t>Example template for precursory mapping of climate change threats and opportunities</w:t>
        </w:r>
        <w:r w:rsidR="000B136A">
          <w:rPr>
            <w:noProof/>
            <w:webHidden/>
          </w:rPr>
          <w:tab/>
        </w:r>
        <w:r w:rsidR="000B136A">
          <w:rPr>
            <w:noProof/>
            <w:webHidden/>
          </w:rPr>
          <w:fldChar w:fldCharType="begin"/>
        </w:r>
        <w:r w:rsidR="000B136A">
          <w:rPr>
            <w:noProof/>
            <w:webHidden/>
          </w:rPr>
          <w:instrText xml:space="preserve"> PAGEREF _Toc16586496 \h </w:instrText>
        </w:r>
        <w:r w:rsidR="000B136A">
          <w:rPr>
            <w:noProof/>
            <w:webHidden/>
          </w:rPr>
        </w:r>
        <w:r w:rsidR="000B136A">
          <w:rPr>
            <w:noProof/>
            <w:webHidden/>
          </w:rPr>
          <w:fldChar w:fldCharType="separate"/>
        </w:r>
        <w:r w:rsidR="003D0995">
          <w:rPr>
            <w:noProof/>
            <w:webHidden/>
          </w:rPr>
          <w:t>55</w:t>
        </w:r>
        <w:r w:rsidR="000B136A">
          <w:rPr>
            <w:noProof/>
            <w:webHidden/>
          </w:rPr>
          <w:fldChar w:fldCharType="end"/>
        </w:r>
      </w:hyperlink>
    </w:p>
    <w:p w14:paraId="2BBB8336" w14:textId="27B70078" w:rsidR="000B136A" w:rsidRDefault="00053883">
      <w:pPr>
        <w:pStyle w:val="TableofFigures"/>
        <w:tabs>
          <w:tab w:val="right" w:pos="8551"/>
        </w:tabs>
        <w:rPr>
          <w:rFonts w:asciiTheme="minorHAnsi" w:hAnsiTheme="minorHAnsi"/>
          <w:noProof/>
        </w:rPr>
      </w:pPr>
      <w:hyperlink w:anchor="_Toc16586497" w:history="1">
        <w:r w:rsidR="000B136A" w:rsidRPr="00304D8C">
          <w:rPr>
            <w:rStyle w:val="Hyperlink"/>
            <w:noProof/>
          </w:rPr>
          <w:t xml:space="preserve">Table B2-2: </w:t>
        </w:r>
        <w:r w:rsidR="000B136A">
          <w:rPr>
            <w:rFonts w:asciiTheme="minorHAnsi" w:hAnsiTheme="minorHAnsi"/>
            <w:noProof/>
          </w:rPr>
          <w:tab/>
        </w:r>
        <w:r w:rsidR="000B136A" w:rsidRPr="00304D8C">
          <w:rPr>
            <w:rStyle w:val="Hyperlink"/>
            <w:noProof/>
          </w:rPr>
          <w:t xml:space="preserve">Example template of how the </w:t>
        </w:r>
        <w:r w:rsidR="009E44A5">
          <w:rPr>
            <w:rStyle w:val="Hyperlink"/>
            <w:noProof/>
          </w:rPr>
          <w:t>climate-related</w:t>
        </w:r>
        <w:r w:rsidR="000B136A" w:rsidRPr="00304D8C">
          <w:rPr>
            <w:rStyle w:val="Hyperlink"/>
            <w:noProof/>
          </w:rPr>
          <w:t xml:space="preserve"> risks for key elements or activities in a value domain or sector can be assessed in the first-pass screening process </w:t>
        </w:r>
        <w:r w:rsidR="000B136A">
          <w:rPr>
            <w:noProof/>
            <w:webHidden/>
          </w:rPr>
          <w:tab/>
        </w:r>
        <w:r w:rsidR="000B136A">
          <w:rPr>
            <w:noProof/>
            <w:webHidden/>
          </w:rPr>
          <w:fldChar w:fldCharType="begin"/>
        </w:r>
        <w:r w:rsidR="000B136A">
          <w:rPr>
            <w:noProof/>
            <w:webHidden/>
          </w:rPr>
          <w:instrText xml:space="preserve"> PAGEREF _Toc16586497 \h </w:instrText>
        </w:r>
        <w:r w:rsidR="000B136A">
          <w:rPr>
            <w:noProof/>
            <w:webHidden/>
          </w:rPr>
        </w:r>
        <w:r w:rsidR="000B136A">
          <w:rPr>
            <w:noProof/>
            <w:webHidden/>
          </w:rPr>
          <w:fldChar w:fldCharType="separate"/>
        </w:r>
        <w:r w:rsidR="003D0995">
          <w:rPr>
            <w:noProof/>
            <w:webHidden/>
          </w:rPr>
          <w:t>57</w:t>
        </w:r>
        <w:r w:rsidR="000B136A">
          <w:rPr>
            <w:noProof/>
            <w:webHidden/>
          </w:rPr>
          <w:fldChar w:fldCharType="end"/>
        </w:r>
      </w:hyperlink>
    </w:p>
    <w:p w14:paraId="53A5689D" w14:textId="3299CFBD" w:rsidR="000B136A" w:rsidRDefault="00053883">
      <w:pPr>
        <w:pStyle w:val="TableofFigures"/>
        <w:tabs>
          <w:tab w:val="right" w:pos="8551"/>
        </w:tabs>
        <w:rPr>
          <w:rFonts w:asciiTheme="minorHAnsi" w:hAnsiTheme="minorHAnsi"/>
          <w:noProof/>
        </w:rPr>
      </w:pPr>
      <w:hyperlink w:anchor="_Toc16586498" w:history="1">
        <w:r w:rsidR="000B136A" w:rsidRPr="00304D8C">
          <w:rPr>
            <w:rStyle w:val="Hyperlink"/>
            <w:noProof/>
          </w:rPr>
          <w:t xml:space="preserve">Table B3-1: </w:t>
        </w:r>
        <w:r w:rsidR="000B136A">
          <w:rPr>
            <w:rFonts w:asciiTheme="minorHAnsi" w:hAnsiTheme="minorHAnsi"/>
            <w:noProof/>
          </w:rPr>
          <w:tab/>
        </w:r>
        <w:r w:rsidR="000B136A" w:rsidRPr="00304D8C">
          <w:rPr>
            <w:rStyle w:val="Hyperlink"/>
            <w:noProof/>
          </w:rPr>
          <w:t>Exposure rating scale</w:t>
        </w:r>
        <w:r w:rsidR="000B136A">
          <w:rPr>
            <w:noProof/>
            <w:webHidden/>
          </w:rPr>
          <w:tab/>
        </w:r>
        <w:r w:rsidR="000B136A">
          <w:rPr>
            <w:noProof/>
            <w:webHidden/>
          </w:rPr>
          <w:fldChar w:fldCharType="begin"/>
        </w:r>
        <w:r w:rsidR="000B136A">
          <w:rPr>
            <w:noProof/>
            <w:webHidden/>
          </w:rPr>
          <w:instrText xml:space="preserve"> PAGEREF _Toc16586498 \h </w:instrText>
        </w:r>
        <w:r w:rsidR="000B136A">
          <w:rPr>
            <w:noProof/>
            <w:webHidden/>
          </w:rPr>
        </w:r>
        <w:r w:rsidR="000B136A">
          <w:rPr>
            <w:noProof/>
            <w:webHidden/>
          </w:rPr>
          <w:fldChar w:fldCharType="separate"/>
        </w:r>
        <w:r w:rsidR="003D0995">
          <w:rPr>
            <w:noProof/>
            <w:webHidden/>
          </w:rPr>
          <w:t>64</w:t>
        </w:r>
        <w:r w:rsidR="000B136A">
          <w:rPr>
            <w:noProof/>
            <w:webHidden/>
          </w:rPr>
          <w:fldChar w:fldCharType="end"/>
        </w:r>
      </w:hyperlink>
    </w:p>
    <w:p w14:paraId="0BAB24A5" w14:textId="51C35ED3" w:rsidR="000B136A" w:rsidRDefault="00053883">
      <w:pPr>
        <w:pStyle w:val="TableofFigures"/>
        <w:tabs>
          <w:tab w:val="right" w:pos="8551"/>
        </w:tabs>
        <w:rPr>
          <w:rFonts w:asciiTheme="minorHAnsi" w:hAnsiTheme="minorHAnsi"/>
          <w:noProof/>
        </w:rPr>
      </w:pPr>
      <w:hyperlink w:anchor="_Toc16586499" w:history="1">
        <w:r w:rsidR="000B136A" w:rsidRPr="00304D8C">
          <w:rPr>
            <w:rStyle w:val="Hyperlink"/>
            <w:noProof/>
          </w:rPr>
          <w:t xml:space="preserve">Table B3-2: </w:t>
        </w:r>
        <w:r w:rsidR="000B136A">
          <w:rPr>
            <w:rFonts w:asciiTheme="minorHAnsi" w:hAnsiTheme="minorHAnsi"/>
            <w:noProof/>
          </w:rPr>
          <w:tab/>
        </w:r>
        <w:r w:rsidR="000B136A" w:rsidRPr="00304D8C">
          <w:rPr>
            <w:rStyle w:val="Hyperlink"/>
            <w:noProof/>
          </w:rPr>
          <w:t>Vulnerability rating scale</w:t>
        </w:r>
        <w:r w:rsidR="000B136A">
          <w:rPr>
            <w:noProof/>
            <w:webHidden/>
          </w:rPr>
          <w:tab/>
        </w:r>
        <w:r w:rsidR="000B136A">
          <w:rPr>
            <w:noProof/>
            <w:webHidden/>
          </w:rPr>
          <w:fldChar w:fldCharType="begin"/>
        </w:r>
        <w:r w:rsidR="000B136A">
          <w:rPr>
            <w:noProof/>
            <w:webHidden/>
          </w:rPr>
          <w:instrText xml:space="preserve"> PAGEREF _Toc16586499 \h </w:instrText>
        </w:r>
        <w:r w:rsidR="000B136A">
          <w:rPr>
            <w:noProof/>
            <w:webHidden/>
          </w:rPr>
        </w:r>
        <w:r w:rsidR="000B136A">
          <w:rPr>
            <w:noProof/>
            <w:webHidden/>
          </w:rPr>
          <w:fldChar w:fldCharType="separate"/>
        </w:r>
        <w:r w:rsidR="003D0995">
          <w:rPr>
            <w:noProof/>
            <w:webHidden/>
          </w:rPr>
          <w:t>66</w:t>
        </w:r>
        <w:r w:rsidR="000B136A">
          <w:rPr>
            <w:noProof/>
            <w:webHidden/>
          </w:rPr>
          <w:fldChar w:fldCharType="end"/>
        </w:r>
      </w:hyperlink>
    </w:p>
    <w:p w14:paraId="3FA98264" w14:textId="4F19A456" w:rsidR="000B136A" w:rsidRDefault="00053883">
      <w:pPr>
        <w:pStyle w:val="TableofFigures"/>
        <w:tabs>
          <w:tab w:val="right" w:pos="8551"/>
        </w:tabs>
        <w:rPr>
          <w:rFonts w:asciiTheme="minorHAnsi" w:hAnsiTheme="minorHAnsi"/>
          <w:noProof/>
        </w:rPr>
      </w:pPr>
      <w:hyperlink w:anchor="_Toc16586500" w:history="1">
        <w:r w:rsidR="000B136A" w:rsidRPr="00304D8C">
          <w:rPr>
            <w:rStyle w:val="Hyperlink"/>
            <w:noProof/>
          </w:rPr>
          <w:t>Table B3-3:</w:t>
        </w:r>
        <w:r w:rsidR="000B136A">
          <w:rPr>
            <w:rFonts w:asciiTheme="minorHAnsi" w:hAnsiTheme="minorHAnsi"/>
            <w:noProof/>
          </w:rPr>
          <w:tab/>
        </w:r>
        <w:r w:rsidR="000B136A" w:rsidRPr="00304D8C">
          <w:rPr>
            <w:rStyle w:val="Hyperlink"/>
            <w:noProof/>
          </w:rPr>
          <w:t>Sample workbook</w:t>
        </w:r>
        <w:r w:rsidR="000B136A">
          <w:rPr>
            <w:noProof/>
            <w:webHidden/>
          </w:rPr>
          <w:tab/>
        </w:r>
        <w:r w:rsidR="000B136A">
          <w:rPr>
            <w:noProof/>
            <w:webHidden/>
          </w:rPr>
          <w:fldChar w:fldCharType="begin"/>
        </w:r>
        <w:r w:rsidR="000B136A">
          <w:rPr>
            <w:noProof/>
            <w:webHidden/>
          </w:rPr>
          <w:instrText xml:space="preserve"> PAGEREF _Toc16586500 \h </w:instrText>
        </w:r>
        <w:r w:rsidR="000B136A">
          <w:rPr>
            <w:noProof/>
            <w:webHidden/>
          </w:rPr>
        </w:r>
        <w:r w:rsidR="000B136A">
          <w:rPr>
            <w:noProof/>
            <w:webHidden/>
          </w:rPr>
          <w:fldChar w:fldCharType="separate"/>
        </w:r>
        <w:r w:rsidR="003D0995">
          <w:rPr>
            <w:noProof/>
            <w:webHidden/>
          </w:rPr>
          <w:t>70</w:t>
        </w:r>
        <w:r w:rsidR="000B136A">
          <w:rPr>
            <w:noProof/>
            <w:webHidden/>
          </w:rPr>
          <w:fldChar w:fldCharType="end"/>
        </w:r>
      </w:hyperlink>
    </w:p>
    <w:p w14:paraId="64FC15DC" w14:textId="25C24F5C" w:rsidR="000B136A" w:rsidRDefault="00053883">
      <w:pPr>
        <w:pStyle w:val="TableofFigures"/>
        <w:tabs>
          <w:tab w:val="right" w:pos="8551"/>
        </w:tabs>
        <w:rPr>
          <w:rFonts w:asciiTheme="minorHAnsi" w:hAnsiTheme="minorHAnsi"/>
          <w:noProof/>
        </w:rPr>
      </w:pPr>
      <w:hyperlink w:anchor="_Toc16586501" w:history="1">
        <w:r w:rsidR="000B136A" w:rsidRPr="00304D8C">
          <w:rPr>
            <w:rStyle w:val="Hyperlink"/>
            <w:noProof/>
          </w:rPr>
          <w:t xml:space="preserve">Table B3-4: </w:t>
        </w:r>
        <w:r w:rsidR="000B136A">
          <w:rPr>
            <w:rFonts w:asciiTheme="minorHAnsi" w:hAnsiTheme="minorHAnsi"/>
            <w:noProof/>
          </w:rPr>
          <w:tab/>
        </w:r>
        <w:r w:rsidR="000B136A" w:rsidRPr="00304D8C">
          <w:rPr>
            <w:rStyle w:val="Hyperlink"/>
            <w:noProof/>
          </w:rPr>
          <w:t>Ratings and timescales for risks requiring further assessment</w:t>
        </w:r>
        <w:r w:rsidR="000B136A">
          <w:rPr>
            <w:noProof/>
            <w:webHidden/>
          </w:rPr>
          <w:tab/>
        </w:r>
        <w:r w:rsidR="000B136A">
          <w:rPr>
            <w:noProof/>
            <w:webHidden/>
          </w:rPr>
          <w:fldChar w:fldCharType="begin"/>
        </w:r>
        <w:r w:rsidR="000B136A">
          <w:rPr>
            <w:noProof/>
            <w:webHidden/>
          </w:rPr>
          <w:instrText xml:space="preserve"> PAGEREF _Toc16586501 \h </w:instrText>
        </w:r>
        <w:r w:rsidR="000B136A">
          <w:rPr>
            <w:noProof/>
            <w:webHidden/>
          </w:rPr>
        </w:r>
        <w:r w:rsidR="000B136A">
          <w:rPr>
            <w:noProof/>
            <w:webHidden/>
          </w:rPr>
          <w:fldChar w:fldCharType="separate"/>
        </w:r>
        <w:r w:rsidR="003D0995">
          <w:rPr>
            <w:noProof/>
            <w:webHidden/>
          </w:rPr>
          <w:t>71</w:t>
        </w:r>
        <w:r w:rsidR="000B136A">
          <w:rPr>
            <w:noProof/>
            <w:webHidden/>
          </w:rPr>
          <w:fldChar w:fldCharType="end"/>
        </w:r>
      </w:hyperlink>
    </w:p>
    <w:p w14:paraId="35DF8977" w14:textId="2A6B4747" w:rsidR="000B136A" w:rsidRDefault="00053883">
      <w:pPr>
        <w:pStyle w:val="TableofFigures"/>
        <w:tabs>
          <w:tab w:val="right" w:pos="8551"/>
        </w:tabs>
        <w:rPr>
          <w:rFonts w:asciiTheme="minorHAnsi" w:hAnsiTheme="minorHAnsi"/>
          <w:noProof/>
        </w:rPr>
      </w:pPr>
      <w:hyperlink w:anchor="_Toc16586502" w:history="1">
        <w:r w:rsidR="000B136A" w:rsidRPr="00304D8C">
          <w:rPr>
            <w:rStyle w:val="Hyperlink"/>
            <w:noProof/>
          </w:rPr>
          <w:t xml:space="preserve">Table B3-5: </w:t>
        </w:r>
        <w:r w:rsidR="000B136A">
          <w:rPr>
            <w:rFonts w:asciiTheme="minorHAnsi" w:hAnsiTheme="minorHAnsi"/>
            <w:noProof/>
          </w:rPr>
          <w:tab/>
        </w:r>
        <w:r w:rsidR="000B136A" w:rsidRPr="00304D8C">
          <w:rPr>
            <w:rStyle w:val="Hyperlink"/>
            <w:noProof/>
          </w:rPr>
          <w:t>Summary table for domain or sector (example)</w:t>
        </w:r>
        <w:r w:rsidR="000B136A">
          <w:rPr>
            <w:noProof/>
            <w:webHidden/>
          </w:rPr>
          <w:tab/>
        </w:r>
        <w:r w:rsidR="000B136A">
          <w:rPr>
            <w:noProof/>
            <w:webHidden/>
          </w:rPr>
          <w:fldChar w:fldCharType="begin"/>
        </w:r>
        <w:r w:rsidR="000B136A">
          <w:rPr>
            <w:noProof/>
            <w:webHidden/>
          </w:rPr>
          <w:instrText xml:space="preserve"> PAGEREF _Toc16586502 \h </w:instrText>
        </w:r>
        <w:r w:rsidR="000B136A">
          <w:rPr>
            <w:noProof/>
            <w:webHidden/>
          </w:rPr>
        </w:r>
        <w:r w:rsidR="000B136A">
          <w:rPr>
            <w:noProof/>
            <w:webHidden/>
          </w:rPr>
          <w:fldChar w:fldCharType="separate"/>
        </w:r>
        <w:r w:rsidR="003D0995">
          <w:rPr>
            <w:noProof/>
            <w:webHidden/>
          </w:rPr>
          <w:t>72</w:t>
        </w:r>
        <w:r w:rsidR="000B136A">
          <w:rPr>
            <w:noProof/>
            <w:webHidden/>
          </w:rPr>
          <w:fldChar w:fldCharType="end"/>
        </w:r>
      </w:hyperlink>
    </w:p>
    <w:p w14:paraId="5BA96D53" w14:textId="709A33E0" w:rsidR="000B136A" w:rsidRDefault="00053883">
      <w:pPr>
        <w:pStyle w:val="TableofFigures"/>
        <w:tabs>
          <w:tab w:val="right" w:pos="8551"/>
        </w:tabs>
        <w:rPr>
          <w:rFonts w:asciiTheme="minorHAnsi" w:hAnsiTheme="minorHAnsi"/>
          <w:noProof/>
        </w:rPr>
      </w:pPr>
      <w:hyperlink w:anchor="_Toc16586503" w:history="1">
        <w:r w:rsidR="000B136A" w:rsidRPr="00304D8C">
          <w:rPr>
            <w:rStyle w:val="Hyperlink"/>
            <w:noProof/>
          </w:rPr>
          <w:t xml:space="preserve">Table B4-1: </w:t>
        </w:r>
        <w:r w:rsidR="000B136A">
          <w:rPr>
            <w:rFonts w:asciiTheme="minorHAnsi" w:hAnsiTheme="minorHAnsi"/>
            <w:noProof/>
          </w:rPr>
          <w:tab/>
        </w:r>
        <w:r w:rsidR="000B136A" w:rsidRPr="00304D8C">
          <w:rPr>
            <w:rStyle w:val="Hyperlink"/>
            <w:noProof/>
          </w:rPr>
          <w:t>Integrated reporting</w:t>
        </w:r>
        <w:r w:rsidR="000B136A">
          <w:rPr>
            <w:noProof/>
            <w:webHidden/>
          </w:rPr>
          <w:tab/>
        </w:r>
        <w:r w:rsidR="000B136A">
          <w:rPr>
            <w:noProof/>
            <w:webHidden/>
          </w:rPr>
          <w:fldChar w:fldCharType="begin"/>
        </w:r>
        <w:r w:rsidR="000B136A">
          <w:rPr>
            <w:noProof/>
            <w:webHidden/>
          </w:rPr>
          <w:instrText xml:space="preserve"> PAGEREF _Toc16586503 \h </w:instrText>
        </w:r>
        <w:r w:rsidR="000B136A">
          <w:rPr>
            <w:noProof/>
            <w:webHidden/>
          </w:rPr>
        </w:r>
        <w:r w:rsidR="000B136A">
          <w:rPr>
            <w:noProof/>
            <w:webHidden/>
          </w:rPr>
          <w:fldChar w:fldCharType="separate"/>
        </w:r>
        <w:r w:rsidR="003D0995">
          <w:rPr>
            <w:noProof/>
            <w:webHidden/>
          </w:rPr>
          <w:t>80</w:t>
        </w:r>
        <w:r w:rsidR="000B136A">
          <w:rPr>
            <w:noProof/>
            <w:webHidden/>
          </w:rPr>
          <w:fldChar w:fldCharType="end"/>
        </w:r>
      </w:hyperlink>
    </w:p>
    <w:p w14:paraId="0DD3F3DB" w14:textId="66C50458" w:rsidR="000B136A" w:rsidRDefault="00053883">
      <w:pPr>
        <w:pStyle w:val="TableofFigures"/>
        <w:tabs>
          <w:tab w:val="right" w:pos="8551"/>
        </w:tabs>
        <w:rPr>
          <w:rFonts w:asciiTheme="minorHAnsi" w:hAnsiTheme="minorHAnsi"/>
          <w:noProof/>
        </w:rPr>
      </w:pPr>
      <w:hyperlink w:anchor="_Toc16586504" w:history="1">
        <w:r w:rsidR="000B136A" w:rsidRPr="00304D8C">
          <w:rPr>
            <w:rStyle w:val="Hyperlink"/>
            <w:noProof/>
          </w:rPr>
          <w:t xml:space="preserve">Table C1-1: </w:t>
        </w:r>
        <w:r w:rsidR="000B136A">
          <w:rPr>
            <w:rFonts w:asciiTheme="minorHAnsi" w:hAnsiTheme="minorHAnsi"/>
            <w:noProof/>
          </w:rPr>
          <w:tab/>
        </w:r>
        <w:r w:rsidR="000B136A" w:rsidRPr="00304D8C">
          <w:rPr>
            <w:rStyle w:val="Hyperlink"/>
            <w:noProof/>
          </w:rPr>
          <w:t>Engagement activities required to develop the engagement plan</w:t>
        </w:r>
        <w:r w:rsidR="000B136A">
          <w:rPr>
            <w:noProof/>
            <w:webHidden/>
          </w:rPr>
          <w:tab/>
        </w:r>
        <w:r w:rsidR="000B136A">
          <w:rPr>
            <w:noProof/>
            <w:webHidden/>
          </w:rPr>
          <w:fldChar w:fldCharType="begin"/>
        </w:r>
        <w:r w:rsidR="000B136A">
          <w:rPr>
            <w:noProof/>
            <w:webHidden/>
          </w:rPr>
          <w:instrText xml:space="preserve"> PAGEREF _Toc16586504 \h </w:instrText>
        </w:r>
        <w:r w:rsidR="000B136A">
          <w:rPr>
            <w:noProof/>
            <w:webHidden/>
          </w:rPr>
        </w:r>
        <w:r w:rsidR="000B136A">
          <w:rPr>
            <w:noProof/>
            <w:webHidden/>
          </w:rPr>
          <w:fldChar w:fldCharType="separate"/>
        </w:r>
        <w:r w:rsidR="003D0995">
          <w:rPr>
            <w:noProof/>
            <w:webHidden/>
          </w:rPr>
          <w:t>83</w:t>
        </w:r>
        <w:r w:rsidR="000B136A">
          <w:rPr>
            <w:noProof/>
            <w:webHidden/>
          </w:rPr>
          <w:fldChar w:fldCharType="end"/>
        </w:r>
      </w:hyperlink>
    </w:p>
    <w:p w14:paraId="173EBEDA" w14:textId="2F449A6F" w:rsidR="000B136A" w:rsidRDefault="00053883">
      <w:pPr>
        <w:pStyle w:val="TableofFigures"/>
        <w:tabs>
          <w:tab w:val="right" w:pos="8551"/>
        </w:tabs>
        <w:rPr>
          <w:rFonts w:asciiTheme="minorHAnsi" w:hAnsiTheme="minorHAnsi"/>
          <w:noProof/>
        </w:rPr>
      </w:pPr>
      <w:hyperlink w:anchor="_Toc16586505" w:history="1">
        <w:r w:rsidR="000B136A" w:rsidRPr="00304D8C">
          <w:rPr>
            <w:rStyle w:val="Hyperlink"/>
            <w:noProof/>
          </w:rPr>
          <w:t xml:space="preserve">Table C2-1: </w:t>
        </w:r>
        <w:r w:rsidR="000B136A">
          <w:rPr>
            <w:rFonts w:asciiTheme="minorHAnsi" w:hAnsiTheme="minorHAnsi"/>
            <w:noProof/>
          </w:rPr>
          <w:tab/>
        </w:r>
        <w:r w:rsidR="000B136A" w:rsidRPr="00304D8C">
          <w:rPr>
            <w:rStyle w:val="Hyperlink"/>
            <w:noProof/>
          </w:rPr>
          <w:t>Strength of evidence indicators</w:t>
        </w:r>
        <w:r w:rsidR="000B136A">
          <w:rPr>
            <w:noProof/>
            <w:webHidden/>
          </w:rPr>
          <w:tab/>
        </w:r>
        <w:r w:rsidR="000B136A">
          <w:rPr>
            <w:noProof/>
            <w:webHidden/>
          </w:rPr>
          <w:fldChar w:fldCharType="begin"/>
        </w:r>
        <w:r w:rsidR="000B136A">
          <w:rPr>
            <w:noProof/>
            <w:webHidden/>
          </w:rPr>
          <w:instrText xml:space="preserve"> PAGEREF _Toc16586505 \h </w:instrText>
        </w:r>
        <w:r w:rsidR="000B136A">
          <w:rPr>
            <w:noProof/>
            <w:webHidden/>
          </w:rPr>
        </w:r>
        <w:r w:rsidR="000B136A">
          <w:rPr>
            <w:noProof/>
            <w:webHidden/>
          </w:rPr>
          <w:fldChar w:fldCharType="separate"/>
        </w:r>
        <w:r w:rsidR="003D0995">
          <w:rPr>
            <w:noProof/>
            <w:webHidden/>
          </w:rPr>
          <w:t>86</w:t>
        </w:r>
        <w:r w:rsidR="000B136A">
          <w:rPr>
            <w:noProof/>
            <w:webHidden/>
          </w:rPr>
          <w:fldChar w:fldCharType="end"/>
        </w:r>
      </w:hyperlink>
    </w:p>
    <w:p w14:paraId="5D2C5DB4" w14:textId="75E54E77" w:rsidR="000B136A" w:rsidRDefault="00053883">
      <w:pPr>
        <w:pStyle w:val="TableofFigures"/>
        <w:tabs>
          <w:tab w:val="right" w:pos="8551"/>
        </w:tabs>
        <w:rPr>
          <w:rFonts w:asciiTheme="minorHAnsi" w:hAnsiTheme="minorHAnsi"/>
          <w:noProof/>
        </w:rPr>
      </w:pPr>
      <w:hyperlink w:anchor="_Toc16586506" w:history="1">
        <w:r w:rsidR="000B136A" w:rsidRPr="00304D8C">
          <w:rPr>
            <w:rStyle w:val="Hyperlink"/>
            <w:noProof/>
          </w:rPr>
          <w:t xml:space="preserve">Table C2-2: </w:t>
        </w:r>
        <w:r w:rsidR="000B136A">
          <w:rPr>
            <w:rFonts w:asciiTheme="minorHAnsi" w:hAnsiTheme="minorHAnsi"/>
            <w:noProof/>
          </w:rPr>
          <w:tab/>
        </w:r>
        <w:r w:rsidR="000B136A" w:rsidRPr="00304D8C">
          <w:rPr>
            <w:rStyle w:val="Hyperlink"/>
            <w:noProof/>
          </w:rPr>
          <w:t>Consequence rating criteria</w:t>
        </w:r>
        <w:r w:rsidR="000B136A">
          <w:rPr>
            <w:noProof/>
            <w:webHidden/>
          </w:rPr>
          <w:tab/>
        </w:r>
        <w:r w:rsidR="000B136A">
          <w:rPr>
            <w:noProof/>
            <w:webHidden/>
          </w:rPr>
          <w:fldChar w:fldCharType="begin"/>
        </w:r>
        <w:r w:rsidR="000B136A">
          <w:rPr>
            <w:noProof/>
            <w:webHidden/>
          </w:rPr>
          <w:instrText xml:space="preserve"> PAGEREF _Toc16586506 \h </w:instrText>
        </w:r>
        <w:r w:rsidR="000B136A">
          <w:rPr>
            <w:noProof/>
            <w:webHidden/>
          </w:rPr>
        </w:r>
        <w:r w:rsidR="000B136A">
          <w:rPr>
            <w:noProof/>
            <w:webHidden/>
          </w:rPr>
          <w:fldChar w:fldCharType="separate"/>
        </w:r>
        <w:r w:rsidR="003D0995">
          <w:rPr>
            <w:noProof/>
            <w:webHidden/>
          </w:rPr>
          <w:t>87</w:t>
        </w:r>
        <w:r w:rsidR="000B136A">
          <w:rPr>
            <w:noProof/>
            <w:webHidden/>
          </w:rPr>
          <w:fldChar w:fldCharType="end"/>
        </w:r>
      </w:hyperlink>
    </w:p>
    <w:p w14:paraId="0A139830" w14:textId="790029A2" w:rsidR="000B136A" w:rsidRDefault="00053883">
      <w:pPr>
        <w:pStyle w:val="TableofFigures"/>
        <w:tabs>
          <w:tab w:val="right" w:pos="8551"/>
        </w:tabs>
        <w:rPr>
          <w:rFonts w:asciiTheme="minorHAnsi" w:hAnsiTheme="minorHAnsi"/>
          <w:noProof/>
        </w:rPr>
      </w:pPr>
      <w:hyperlink w:anchor="_Toc16586507" w:history="1">
        <w:r w:rsidR="000B136A" w:rsidRPr="00304D8C">
          <w:rPr>
            <w:rStyle w:val="Hyperlink"/>
            <w:noProof/>
          </w:rPr>
          <w:t xml:space="preserve">Table C4-1: </w:t>
        </w:r>
        <w:r w:rsidR="000B136A">
          <w:rPr>
            <w:rFonts w:asciiTheme="minorHAnsi" w:hAnsiTheme="minorHAnsi"/>
            <w:noProof/>
          </w:rPr>
          <w:tab/>
        </w:r>
        <w:r w:rsidR="000B136A" w:rsidRPr="00304D8C">
          <w:rPr>
            <w:rStyle w:val="Hyperlink"/>
            <w:noProof/>
          </w:rPr>
          <w:t>Categories of climate change and associated effects (climate variables) considered in formulating hazards arising from climate change in table B1-2</w:t>
        </w:r>
        <w:r w:rsidR="000B136A">
          <w:rPr>
            <w:noProof/>
            <w:webHidden/>
          </w:rPr>
          <w:tab/>
        </w:r>
        <w:r w:rsidR="000B136A">
          <w:rPr>
            <w:noProof/>
            <w:webHidden/>
          </w:rPr>
          <w:fldChar w:fldCharType="begin"/>
        </w:r>
        <w:r w:rsidR="000B136A">
          <w:rPr>
            <w:noProof/>
            <w:webHidden/>
          </w:rPr>
          <w:instrText xml:space="preserve"> PAGEREF _Toc16586507 \h </w:instrText>
        </w:r>
        <w:r w:rsidR="000B136A">
          <w:rPr>
            <w:noProof/>
            <w:webHidden/>
          </w:rPr>
        </w:r>
        <w:r w:rsidR="000B136A">
          <w:rPr>
            <w:noProof/>
            <w:webHidden/>
          </w:rPr>
          <w:fldChar w:fldCharType="separate"/>
        </w:r>
        <w:r w:rsidR="003D0995">
          <w:rPr>
            <w:noProof/>
            <w:webHidden/>
          </w:rPr>
          <w:t>98</w:t>
        </w:r>
        <w:r w:rsidR="000B136A">
          <w:rPr>
            <w:noProof/>
            <w:webHidden/>
          </w:rPr>
          <w:fldChar w:fldCharType="end"/>
        </w:r>
      </w:hyperlink>
    </w:p>
    <w:p w14:paraId="2CC21C17" w14:textId="164A162D" w:rsidR="000B136A" w:rsidRDefault="00053883">
      <w:pPr>
        <w:pStyle w:val="TableofFigures"/>
        <w:tabs>
          <w:tab w:val="right" w:pos="8551"/>
        </w:tabs>
        <w:rPr>
          <w:rFonts w:asciiTheme="minorHAnsi" w:hAnsiTheme="minorHAnsi"/>
          <w:noProof/>
        </w:rPr>
      </w:pPr>
      <w:hyperlink w:anchor="_Toc16586508" w:history="1">
        <w:r w:rsidR="000B136A" w:rsidRPr="00304D8C">
          <w:rPr>
            <w:rStyle w:val="Hyperlink"/>
            <w:noProof/>
          </w:rPr>
          <w:t xml:space="preserve">Table C5-1: </w:t>
        </w:r>
        <w:r w:rsidR="000B136A">
          <w:rPr>
            <w:rFonts w:asciiTheme="minorHAnsi" w:hAnsiTheme="minorHAnsi"/>
            <w:noProof/>
          </w:rPr>
          <w:tab/>
        </w:r>
        <w:r w:rsidR="000B136A" w:rsidRPr="00304D8C">
          <w:rPr>
            <w:rStyle w:val="Hyperlink"/>
            <w:noProof/>
          </w:rPr>
          <w:t>Levels of climate change risk assessment showing the information needed at different scales, from national to district and local assessments</w:t>
        </w:r>
        <w:r w:rsidR="000B136A">
          <w:rPr>
            <w:noProof/>
            <w:webHidden/>
          </w:rPr>
          <w:tab/>
        </w:r>
        <w:r w:rsidR="000B136A">
          <w:rPr>
            <w:noProof/>
            <w:webHidden/>
          </w:rPr>
          <w:fldChar w:fldCharType="begin"/>
        </w:r>
        <w:r w:rsidR="000B136A">
          <w:rPr>
            <w:noProof/>
            <w:webHidden/>
          </w:rPr>
          <w:instrText xml:space="preserve"> PAGEREF _Toc16586508 \h </w:instrText>
        </w:r>
        <w:r w:rsidR="000B136A">
          <w:rPr>
            <w:noProof/>
            <w:webHidden/>
          </w:rPr>
        </w:r>
        <w:r w:rsidR="000B136A">
          <w:rPr>
            <w:noProof/>
            <w:webHidden/>
          </w:rPr>
          <w:fldChar w:fldCharType="separate"/>
        </w:r>
        <w:r w:rsidR="003D0995">
          <w:rPr>
            <w:noProof/>
            <w:webHidden/>
          </w:rPr>
          <w:t>100</w:t>
        </w:r>
        <w:r w:rsidR="000B136A">
          <w:rPr>
            <w:noProof/>
            <w:webHidden/>
          </w:rPr>
          <w:fldChar w:fldCharType="end"/>
        </w:r>
      </w:hyperlink>
    </w:p>
    <w:p w14:paraId="2DBC701B" w14:textId="77777777" w:rsidR="00532334" w:rsidRPr="00E3756C" w:rsidRDefault="004943C2" w:rsidP="00D51469">
      <w:pPr>
        <w:pStyle w:val="BodyText"/>
      </w:pPr>
      <w:r w:rsidRPr="00E3756C">
        <w:fldChar w:fldCharType="end"/>
      </w:r>
    </w:p>
    <w:p w14:paraId="312575CE" w14:textId="77777777" w:rsidR="00532334" w:rsidRPr="00E3756C" w:rsidRDefault="00532334" w:rsidP="004B5BDD"/>
    <w:p w14:paraId="052529F2" w14:textId="77777777" w:rsidR="000B136A" w:rsidRPr="000B136A" w:rsidRDefault="000B136A" w:rsidP="000B136A">
      <w:pPr>
        <w:pStyle w:val="BodyText"/>
      </w:pPr>
      <w:r w:rsidRPr="000B136A">
        <w:br w:type="page"/>
      </w:r>
    </w:p>
    <w:p w14:paraId="7DC6CEAD" w14:textId="77777777" w:rsidR="00532334" w:rsidRPr="00E3756C" w:rsidRDefault="00B51610" w:rsidP="008B68EC">
      <w:pPr>
        <w:pStyle w:val="Heading"/>
      </w:pPr>
      <w:r w:rsidRPr="00E3756C">
        <w:lastRenderedPageBreak/>
        <w:t>Figure</w:t>
      </w:r>
      <w:r w:rsidR="00532334" w:rsidRPr="00E3756C">
        <w:t>s</w:t>
      </w:r>
    </w:p>
    <w:p w14:paraId="4EF3B1AB" w14:textId="0E251814" w:rsidR="000B136A" w:rsidRDefault="004943C2">
      <w:pPr>
        <w:pStyle w:val="TableofFigures"/>
        <w:tabs>
          <w:tab w:val="right" w:pos="8551"/>
        </w:tabs>
        <w:rPr>
          <w:rFonts w:asciiTheme="minorHAnsi" w:hAnsiTheme="minorHAnsi"/>
          <w:noProof/>
        </w:rPr>
      </w:pPr>
      <w:r w:rsidRPr="00E3756C">
        <w:fldChar w:fldCharType="begin"/>
      </w:r>
      <w:r w:rsidRPr="00E3756C">
        <w:instrText xml:space="preserve"> TOC \h \z \t "Figure heading" \c </w:instrText>
      </w:r>
      <w:r w:rsidRPr="00E3756C">
        <w:fldChar w:fldCharType="separate"/>
      </w:r>
      <w:hyperlink w:anchor="_Toc16586509" w:history="1">
        <w:r w:rsidR="000B136A" w:rsidRPr="0058084A">
          <w:rPr>
            <w:rStyle w:val="Hyperlink"/>
            <w:noProof/>
          </w:rPr>
          <w:t xml:space="preserve">Figure A1-1: </w:t>
        </w:r>
        <w:r w:rsidR="000B136A">
          <w:rPr>
            <w:rFonts w:asciiTheme="minorHAnsi" w:hAnsiTheme="minorHAnsi"/>
            <w:noProof/>
          </w:rPr>
          <w:tab/>
        </w:r>
        <w:r w:rsidR="000B136A" w:rsidRPr="0058084A">
          <w:rPr>
            <w:rStyle w:val="Hyperlink"/>
            <w:noProof/>
          </w:rPr>
          <w:t>Treasury’s Living Standards Framework (LSF) for wellbeing and the ‘He Ara Waiora’ framework</w:t>
        </w:r>
        <w:r w:rsidR="000B136A">
          <w:rPr>
            <w:noProof/>
            <w:webHidden/>
          </w:rPr>
          <w:tab/>
        </w:r>
        <w:r w:rsidR="000B136A">
          <w:rPr>
            <w:noProof/>
            <w:webHidden/>
          </w:rPr>
          <w:fldChar w:fldCharType="begin"/>
        </w:r>
        <w:r w:rsidR="000B136A">
          <w:rPr>
            <w:noProof/>
            <w:webHidden/>
          </w:rPr>
          <w:instrText xml:space="preserve"> PAGEREF _Toc16586509 \h </w:instrText>
        </w:r>
        <w:r w:rsidR="000B136A">
          <w:rPr>
            <w:noProof/>
            <w:webHidden/>
          </w:rPr>
        </w:r>
        <w:r w:rsidR="000B136A">
          <w:rPr>
            <w:noProof/>
            <w:webHidden/>
          </w:rPr>
          <w:fldChar w:fldCharType="separate"/>
        </w:r>
        <w:r w:rsidR="003D0995">
          <w:rPr>
            <w:noProof/>
            <w:webHidden/>
          </w:rPr>
          <w:t>16</w:t>
        </w:r>
        <w:r w:rsidR="000B136A">
          <w:rPr>
            <w:noProof/>
            <w:webHidden/>
          </w:rPr>
          <w:fldChar w:fldCharType="end"/>
        </w:r>
      </w:hyperlink>
    </w:p>
    <w:p w14:paraId="75F3B978" w14:textId="2F8E086F" w:rsidR="000B136A" w:rsidRDefault="00053883">
      <w:pPr>
        <w:pStyle w:val="TableofFigures"/>
        <w:tabs>
          <w:tab w:val="right" w:pos="8551"/>
        </w:tabs>
        <w:rPr>
          <w:rFonts w:asciiTheme="minorHAnsi" w:hAnsiTheme="minorHAnsi"/>
          <w:noProof/>
        </w:rPr>
      </w:pPr>
      <w:hyperlink w:anchor="_Toc16586510" w:history="1">
        <w:r w:rsidR="000B136A" w:rsidRPr="0058084A">
          <w:rPr>
            <w:rStyle w:val="Hyperlink"/>
            <w:noProof/>
          </w:rPr>
          <w:t xml:space="preserve">Figure A1-2: </w:t>
        </w:r>
        <w:r w:rsidR="000B136A">
          <w:rPr>
            <w:rFonts w:asciiTheme="minorHAnsi" w:hAnsiTheme="minorHAnsi"/>
            <w:noProof/>
          </w:rPr>
          <w:tab/>
        </w:r>
        <w:r w:rsidR="000B136A" w:rsidRPr="0058084A">
          <w:rPr>
            <w:rStyle w:val="Hyperlink"/>
            <w:noProof/>
          </w:rPr>
          <w:t>Role of the National Climate Change Risk Assessment (NCCRA) framework in enabling development of the NCCRA and subsequent National Adaptation Plan</w:t>
        </w:r>
        <w:r w:rsidR="000B136A">
          <w:rPr>
            <w:noProof/>
            <w:webHidden/>
          </w:rPr>
          <w:tab/>
        </w:r>
        <w:r w:rsidR="000B136A">
          <w:rPr>
            <w:noProof/>
            <w:webHidden/>
          </w:rPr>
          <w:fldChar w:fldCharType="begin"/>
        </w:r>
        <w:r w:rsidR="000B136A">
          <w:rPr>
            <w:noProof/>
            <w:webHidden/>
          </w:rPr>
          <w:instrText xml:space="preserve"> PAGEREF _Toc16586510 \h </w:instrText>
        </w:r>
        <w:r w:rsidR="000B136A">
          <w:rPr>
            <w:noProof/>
            <w:webHidden/>
          </w:rPr>
        </w:r>
        <w:r w:rsidR="000B136A">
          <w:rPr>
            <w:noProof/>
            <w:webHidden/>
          </w:rPr>
          <w:fldChar w:fldCharType="separate"/>
        </w:r>
        <w:r w:rsidR="003D0995">
          <w:rPr>
            <w:noProof/>
            <w:webHidden/>
          </w:rPr>
          <w:t>18</w:t>
        </w:r>
        <w:r w:rsidR="000B136A">
          <w:rPr>
            <w:noProof/>
            <w:webHidden/>
          </w:rPr>
          <w:fldChar w:fldCharType="end"/>
        </w:r>
      </w:hyperlink>
    </w:p>
    <w:p w14:paraId="221F3452" w14:textId="0D924EC0" w:rsidR="000B136A" w:rsidRDefault="00053883">
      <w:pPr>
        <w:pStyle w:val="TableofFigures"/>
        <w:tabs>
          <w:tab w:val="right" w:pos="8551"/>
        </w:tabs>
        <w:rPr>
          <w:rFonts w:asciiTheme="minorHAnsi" w:hAnsiTheme="minorHAnsi"/>
          <w:noProof/>
        </w:rPr>
      </w:pPr>
      <w:hyperlink w:anchor="_Toc16586511" w:history="1">
        <w:r w:rsidR="000B136A" w:rsidRPr="0058084A">
          <w:rPr>
            <w:rStyle w:val="Hyperlink"/>
            <w:noProof/>
          </w:rPr>
          <w:t xml:space="preserve">Figure A2-1: </w:t>
        </w:r>
        <w:r w:rsidR="000B136A">
          <w:rPr>
            <w:rFonts w:asciiTheme="minorHAnsi" w:hAnsiTheme="minorHAnsi"/>
            <w:noProof/>
          </w:rPr>
          <w:tab/>
        </w:r>
        <w:r w:rsidR="000B136A" w:rsidRPr="0058084A">
          <w:rPr>
            <w:rStyle w:val="Hyperlink"/>
            <w:noProof/>
          </w:rPr>
          <w:t>Schematic of the interaction between the physical climate system, exposure, and vulnerability producing risk</w:t>
        </w:r>
        <w:r w:rsidR="000B136A">
          <w:rPr>
            <w:noProof/>
            <w:webHidden/>
          </w:rPr>
          <w:tab/>
        </w:r>
        <w:r w:rsidR="000B136A">
          <w:rPr>
            <w:noProof/>
            <w:webHidden/>
          </w:rPr>
          <w:fldChar w:fldCharType="begin"/>
        </w:r>
        <w:r w:rsidR="000B136A">
          <w:rPr>
            <w:noProof/>
            <w:webHidden/>
          </w:rPr>
          <w:instrText xml:space="preserve"> PAGEREF _Toc16586511 \h </w:instrText>
        </w:r>
        <w:r w:rsidR="000B136A">
          <w:rPr>
            <w:noProof/>
            <w:webHidden/>
          </w:rPr>
        </w:r>
        <w:r w:rsidR="000B136A">
          <w:rPr>
            <w:noProof/>
            <w:webHidden/>
          </w:rPr>
          <w:fldChar w:fldCharType="separate"/>
        </w:r>
        <w:r w:rsidR="003D0995">
          <w:rPr>
            <w:noProof/>
            <w:webHidden/>
          </w:rPr>
          <w:t>19</w:t>
        </w:r>
        <w:r w:rsidR="000B136A">
          <w:rPr>
            <w:noProof/>
            <w:webHidden/>
          </w:rPr>
          <w:fldChar w:fldCharType="end"/>
        </w:r>
      </w:hyperlink>
    </w:p>
    <w:p w14:paraId="2226EDDB" w14:textId="1FA6EE39" w:rsidR="000B136A" w:rsidRDefault="00053883">
      <w:pPr>
        <w:pStyle w:val="TableofFigures"/>
        <w:tabs>
          <w:tab w:val="right" w:pos="8551"/>
        </w:tabs>
        <w:rPr>
          <w:rFonts w:asciiTheme="minorHAnsi" w:hAnsiTheme="minorHAnsi"/>
          <w:noProof/>
        </w:rPr>
      </w:pPr>
      <w:hyperlink w:anchor="_Toc16586512" w:history="1">
        <w:r w:rsidR="000B136A" w:rsidRPr="0058084A">
          <w:rPr>
            <w:rStyle w:val="Hyperlink"/>
            <w:noProof/>
          </w:rPr>
          <w:t xml:space="preserve">Figure A2-2: </w:t>
        </w:r>
        <w:r w:rsidR="000B136A">
          <w:rPr>
            <w:rFonts w:asciiTheme="minorHAnsi" w:hAnsiTheme="minorHAnsi"/>
            <w:noProof/>
          </w:rPr>
          <w:tab/>
        </w:r>
        <w:r w:rsidR="000B136A" w:rsidRPr="0058084A">
          <w:rPr>
            <w:rStyle w:val="Hyperlink"/>
            <w:noProof/>
          </w:rPr>
          <w:t>Overview of the National Climate Change Risk Assessment framework methodology, including the three-stage assessment approach</w:t>
        </w:r>
        <w:r w:rsidR="000B136A">
          <w:rPr>
            <w:noProof/>
            <w:webHidden/>
          </w:rPr>
          <w:tab/>
        </w:r>
        <w:r w:rsidR="000B136A">
          <w:rPr>
            <w:noProof/>
            <w:webHidden/>
          </w:rPr>
          <w:fldChar w:fldCharType="begin"/>
        </w:r>
        <w:r w:rsidR="000B136A">
          <w:rPr>
            <w:noProof/>
            <w:webHidden/>
          </w:rPr>
          <w:instrText xml:space="preserve"> PAGEREF _Toc16586512 \h </w:instrText>
        </w:r>
        <w:r w:rsidR="000B136A">
          <w:rPr>
            <w:noProof/>
            <w:webHidden/>
          </w:rPr>
        </w:r>
        <w:r w:rsidR="000B136A">
          <w:rPr>
            <w:noProof/>
            <w:webHidden/>
          </w:rPr>
          <w:fldChar w:fldCharType="separate"/>
        </w:r>
        <w:r w:rsidR="003D0995">
          <w:rPr>
            <w:noProof/>
            <w:webHidden/>
          </w:rPr>
          <w:t>21</w:t>
        </w:r>
        <w:r w:rsidR="000B136A">
          <w:rPr>
            <w:noProof/>
            <w:webHidden/>
          </w:rPr>
          <w:fldChar w:fldCharType="end"/>
        </w:r>
      </w:hyperlink>
    </w:p>
    <w:p w14:paraId="4A7FA9A6" w14:textId="196EDBAF" w:rsidR="000B136A" w:rsidRDefault="00053883">
      <w:pPr>
        <w:pStyle w:val="TableofFigures"/>
        <w:tabs>
          <w:tab w:val="right" w:pos="8551"/>
        </w:tabs>
        <w:rPr>
          <w:rFonts w:asciiTheme="minorHAnsi" w:hAnsiTheme="minorHAnsi"/>
          <w:noProof/>
        </w:rPr>
      </w:pPr>
      <w:hyperlink w:anchor="_Toc16586513" w:history="1">
        <w:r w:rsidR="000B136A" w:rsidRPr="0058084A">
          <w:rPr>
            <w:rStyle w:val="Hyperlink"/>
            <w:noProof/>
          </w:rPr>
          <w:t xml:space="preserve">Figure A3-1: </w:t>
        </w:r>
        <w:r w:rsidR="000B136A">
          <w:rPr>
            <w:rFonts w:asciiTheme="minorHAnsi" w:hAnsiTheme="minorHAnsi"/>
            <w:noProof/>
          </w:rPr>
          <w:tab/>
        </w:r>
        <w:r w:rsidR="000B136A" w:rsidRPr="0058084A">
          <w:rPr>
            <w:rStyle w:val="Hyperlink"/>
            <w:noProof/>
          </w:rPr>
          <w:t>Four capitals of the Living Standards Framework</w:t>
        </w:r>
        <w:r w:rsidR="000B136A">
          <w:rPr>
            <w:noProof/>
            <w:webHidden/>
          </w:rPr>
          <w:tab/>
        </w:r>
        <w:r w:rsidR="000B136A">
          <w:rPr>
            <w:noProof/>
            <w:webHidden/>
          </w:rPr>
          <w:fldChar w:fldCharType="begin"/>
        </w:r>
        <w:r w:rsidR="000B136A">
          <w:rPr>
            <w:noProof/>
            <w:webHidden/>
          </w:rPr>
          <w:instrText xml:space="preserve"> PAGEREF _Toc16586513 \h </w:instrText>
        </w:r>
        <w:r w:rsidR="000B136A">
          <w:rPr>
            <w:noProof/>
            <w:webHidden/>
          </w:rPr>
        </w:r>
        <w:r w:rsidR="000B136A">
          <w:rPr>
            <w:noProof/>
            <w:webHidden/>
          </w:rPr>
          <w:fldChar w:fldCharType="separate"/>
        </w:r>
        <w:r w:rsidR="003D0995">
          <w:rPr>
            <w:noProof/>
            <w:webHidden/>
          </w:rPr>
          <w:t>26</w:t>
        </w:r>
        <w:r w:rsidR="000B136A">
          <w:rPr>
            <w:noProof/>
            <w:webHidden/>
          </w:rPr>
          <w:fldChar w:fldCharType="end"/>
        </w:r>
      </w:hyperlink>
    </w:p>
    <w:p w14:paraId="1E9C1CE6" w14:textId="6F4EE594" w:rsidR="000B136A" w:rsidRDefault="00053883">
      <w:pPr>
        <w:pStyle w:val="TableofFigures"/>
        <w:tabs>
          <w:tab w:val="right" w:pos="8551"/>
        </w:tabs>
        <w:rPr>
          <w:rFonts w:asciiTheme="minorHAnsi" w:hAnsiTheme="minorHAnsi"/>
          <w:noProof/>
        </w:rPr>
      </w:pPr>
      <w:hyperlink w:anchor="_Toc16586514" w:history="1">
        <w:r w:rsidR="000B136A" w:rsidRPr="0058084A">
          <w:rPr>
            <w:rStyle w:val="Hyperlink"/>
            <w:noProof/>
          </w:rPr>
          <w:t xml:space="preserve">Figure A3-2: </w:t>
        </w:r>
        <w:r w:rsidR="000B136A">
          <w:rPr>
            <w:rFonts w:asciiTheme="minorHAnsi" w:hAnsiTheme="minorHAnsi"/>
            <w:noProof/>
          </w:rPr>
          <w:tab/>
        </w:r>
        <w:r w:rsidR="000B136A" w:rsidRPr="0058084A">
          <w:rPr>
            <w:rStyle w:val="Hyperlink"/>
            <w:noProof/>
          </w:rPr>
          <w:t>Framework for the National Disaster Resilience Strategy</w:t>
        </w:r>
        <w:r w:rsidR="000B136A">
          <w:rPr>
            <w:noProof/>
            <w:webHidden/>
          </w:rPr>
          <w:tab/>
        </w:r>
        <w:r w:rsidR="000B136A">
          <w:rPr>
            <w:noProof/>
            <w:webHidden/>
          </w:rPr>
          <w:fldChar w:fldCharType="begin"/>
        </w:r>
        <w:r w:rsidR="000B136A">
          <w:rPr>
            <w:noProof/>
            <w:webHidden/>
          </w:rPr>
          <w:instrText xml:space="preserve"> PAGEREF _Toc16586514 \h </w:instrText>
        </w:r>
        <w:r w:rsidR="000B136A">
          <w:rPr>
            <w:noProof/>
            <w:webHidden/>
          </w:rPr>
        </w:r>
        <w:r w:rsidR="000B136A">
          <w:rPr>
            <w:noProof/>
            <w:webHidden/>
          </w:rPr>
          <w:fldChar w:fldCharType="separate"/>
        </w:r>
        <w:r w:rsidR="003D0995">
          <w:rPr>
            <w:noProof/>
            <w:webHidden/>
          </w:rPr>
          <w:t>26</w:t>
        </w:r>
        <w:r w:rsidR="000B136A">
          <w:rPr>
            <w:noProof/>
            <w:webHidden/>
          </w:rPr>
          <w:fldChar w:fldCharType="end"/>
        </w:r>
      </w:hyperlink>
    </w:p>
    <w:p w14:paraId="660D63FE" w14:textId="33418C99" w:rsidR="000B136A" w:rsidRDefault="00053883">
      <w:pPr>
        <w:pStyle w:val="TableofFigures"/>
        <w:tabs>
          <w:tab w:val="right" w:pos="8551"/>
        </w:tabs>
        <w:rPr>
          <w:rFonts w:asciiTheme="minorHAnsi" w:hAnsiTheme="minorHAnsi"/>
          <w:noProof/>
        </w:rPr>
      </w:pPr>
      <w:hyperlink w:anchor="_Toc16586515" w:history="1">
        <w:r w:rsidR="000B136A" w:rsidRPr="0058084A">
          <w:rPr>
            <w:rStyle w:val="Hyperlink"/>
            <w:noProof/>
          </w:rPr>
          <w:t xml:space="preserve">Figure A3-3: </w:t>
        </w:r>
        <w:r w:rsidR="000B136A">
          <w:rPr>
            <w:rFonts w:asciiTheme="minorHAnsi" w:hAnsiTheme="minorHAnsi"/>
            <w:noProof/>
          </w:rPr>
          <w:tab/>
        </w:r>
        <w:r w:rsidR="000B136A" w:rsidRPr="0058084A">
          <w:rPr>
            <w:rStyle w:val="Hyperlink"/>
            <w:noProof/>
          </w:rPr>
          <w:t>Range of possible global pathways for carbon dioxide (CO</w:t>
        </w:r>
        <w:r w:rsidR="000B136A" w:rsidRPr="0058084A">
          <w:rPr>
            <w:rStyle w:val="Hyperlink"/>
            <w:noProof/>
            <w:vertAlign w:val="subscript"/>
          </w:rPr>
          <w:t>2</w:t>
        </w:r>
        <w:r w:rsidR="000B136A" w:rsidRPr="0058084A">
          <w:rPr>
            <w:rStyle w:val="Hyperlink"/>
            <w:noProof/>
          </w:rPr>
          <w:t>) emissions from fossil fuels and land use change with projected global temperature ranges by 2100</w:t>
        </w:r>
        <w:r w:rsidR="000B136A">
          <w:rPr>
            <w:noProof/>
            <w:webHidden/>
          </w:rPr>
          <w:tab/>
        </w:r>
        <w:r w:rsidR="000B136A">
          <w:rPr>
            <w:noProof/>
            <w:webHidden/>
          </w:rPr>
          <w:fldChar w:fldCharType="begin"/>
        </w:r>
        <w:r w:rsidR="000B136A">
          <w:rPr>
            <w:noProof/>
            <w:webHidden/>
          </w:rPr>
          <w:instrText xml:space="preserve"> PAGEREF _Toc16586515 \h </w:instrText>
        </w:r>
        <w:r w:rsidR="000B136A">
          <w:rPr>
            <w:noProof/>
            <w:webHidden/>
          </w:rPr>
        </w:r>
        <w:r w:rsidR="000B136A">
          <w:rPr>
            <w:noProof/>
            <w:webHidden/>
          </w:rPr>
          <w:fldChar w:fldCharType="separate"/>
        </w:r>
        <w:r w:rsidR="003D0995">
          <w:rPr>
            <w:noProof/>
            <w:webHidden/>
          </w:rPr>
          <w:t>32</w:t>
        </w:r>
        <w:r w:rsidR="000B136A">
          <w:rPr>
            <w:noProof/>
            <w:webHidden/>
          </w:rPr>
          <w:fldChar w:fldCharType="end"/>
        </w:r>
      </w:hyperlink>
    </w:p>
    <w:p w14:paraId="2AC1E935" w14:textId="36809974" w:rsidR="000B136A" w:rsidRDefault="00053883">
      <w:pPr>
        <w:pStyle w:val="TableofFigures"/>
        <w:tabs>
          <w:tab w:val="right" w:pos="8551"/>
        </w:tabs>
        <w:rPr>
          <w:rFonts w:asciiTheme="minorHAnsi" w:hAnsiTheme="minorHAnsi"/>
          <w:noProof/>
        </w:rPr>
      </w:pPr>
      <w:hyperlink w:anchor="_Toc16586516" w:history="1">
        <w:r w:rsidR="000B136A" w:rsidRPr="0058084A">
          <w:rPr>
            <w:rStyle w:val="Hyperlink"/>
            <w:noProof/>
          </w:rPr>
          <w:t xml:space="preserve">Figure A4-1: </w:t>
        </w:r>
        <w:r w:rsidR="000B136A">
          <w:rPr>
            <w:rFonts w:asciiTheme="minorHAnsi" w:hAnsiTheme="minorHAnsi"/>
            <w:noProof/>
          </w:rPr>
          <w:tab/>
        </w:r>
        <w:r w:rsidR="000B136A" w:rsidRPr="0058084A">
          <w:rPr>
            <w:rStyle w:val="Hyperlink"/>
            <w:noProof/>
          </w:rPr>
          <w:t>Adapted International Association of Public Participation (IAP2) spectrum of participation</w:t>
        </w:r>
        <w:r w:rsidR="000B136A">
          <w:rPr>
            <w:noProof/>
            <w:webHidden/>
          </w:rPr>
          <w:tab/>
        </w:r>
        <w:r w:rsidR="000B136A">
          <w:rPr>
            <w:noProof/>
            <w:webHidden/>
          </w:rPr>
          <w:fldChar w:fldCharType="begin"/>
        </w:r>
        <w:r w:rsidR="000B136A">
          <w:rPr>
            <w:noProof/>
            <w:webHidden/>
          </w:rPr>
          <w:instrText xml:space="preserve"> PAGEREF _Toc16586516 \h </w:instrText>
        </w:r>
        <w:r w:rsidR="000B136A">
          <w:rPr>
            <w:noProof/>
            <w:webHidden/>
          </w:rPr>
        </w:r>
        <w:r w:rsidR="000B136A">
          <w:rPr>
            <w:noProof/>
            <w:webHidden/>
          </w:rPr>
          <w:fldChar w:fldCharType="separate"/>
        </w:r>
        <w:r w:rsidR="003D0995">
          <w:rPr>
            <w:noProof/>
            <w:webHidden/>
          </w:rPr>
          <w:t>34</w:t>
        </w:r>
        <w:r w:rsidR="000B136A">
          <w:rPr>
            <w:noProof/>
            <w:webHidden/>
          </w:rPr>
          <w:fldChar w:fldCharType="end"/>
        </w:r>
      </w:hyperlink>
    </w:p>
    <w:p w14:paraId="6C1C593D" w14:textId="0DF0151B" w:rsidR="000B136A" w:rsidRDefault="00053883">
      <w:pPr>
        <w:pStyle w:val="TableofFigures"/>
        <w:tabs>
          <w:tab w:val="right" w:pos="8551"/>
        </w:tabs>
        <w:rPr>
          <w:rFonts w:asciiTheme="minorHAnsi" w:hAnsiTheme="minorHAnsi"/>
          <w:noProof/>
        </w:rPr>
      </w:pPr>
      <w:hyperlink w:anchor="_Toc16586517" w:history="1">
        <w:r w:rsidR="000B136A" w:rsidRPr="0058084A">
          <w:rPr>
            <w:rStyle w:val="Hyperlink"/>
            <w:noProof/>
          </w:rPr>
          <w:t>Figure A4-2. Modelling towards Māori aspirations and outcomes</w:t>
        </w:r>
        <w:r w:rsidR="000B136A">
          <w:rPr>
            <w:noProof/>
            <w:webHidden/>
          </w:rPr>
          <w:tab/>
        </w:r>
        <w:r w:rsidR="000B136A">
          <w:rPr>
            <w:noProof/>
            <w:webHidden/>
          </w:rPr>
          <w:fldChar w:fldCharType="begin"/>
        </w:r>
        <w:r w:rsidR="000B136A">
          <w:rPr>
            <w:noProof/>
            <w:webHidden/>
          </w:rPr>
          <w:instrText xml:space="preserve"> PAGEREF _Toc16586517 \h </w:instrText>
        </w:r>
        <w:r w:rsidR="000B136A">
          <w:rPr>
            <w:noProof/>
            <w:webHidden/>
          </w:rPr>
        </w:r>
        <w:r w:rsidR="000B136A">
          <w:rPr>
            <w:noProof/>
            <w:webHidden/>
          </w:rPr>
          <w:fldChar w:fldCharType="separate"/>
        </w:r>
        <w:r w:rsidR="003D0995">
          <w:rPr>
            <w:noProof/>
            <w:webHidden/>
          </w:rPr>
          <w:t>37</w:t>
        </w:r>
        <w:r w:rsidR="000B136A">
          <w:rPr>
            <w:noProof/>
            <w:webHidden/>
          </w:rPr>
          <w:fldChar w:fldCharType="end"/>
        </w:r>
      </w:hyperlink>
    </w:p>
    <w:p w14:paraId="169861D6" w14:textId="1B941A5C" w:rsidR="000B136A" w:rsidRDefault="00053883">
      <w:pPr>
        <w:pStyle w:val="TableofFigures"/>
        <w:tabs>
          <w:tab w:val="right" w:pos="8551"/>
        </w:tabs>
        <w:rPr>
          <w:rFonts w:asciiTheme="minorHAnsi" w:hAnsiTheme="minorHAnsi"/>
          <w:noProof/>
        </w:rPr>
      </w:pPr>
      <w:hyperlink w:anchor="_Toc16586518" w:history="1">
        <w:r w:rsidR="000B136A" w:rsidRPr="0058084A">
          <w:rPr>
            <w:rStyle w:val="Hyperlink"/>
            <w:noProof/>
          </w:rPr>
          <w:t xml:space="preserve">Figure B1-1: </w:t>
        </w:r>
        <w:r w:rsidR="000B136A">
          <w:rPr>
            <w:rFonts w:asciiTheme="minorHAnsi" w:hAnsiTheme="minorHAnsi"/>
            <w:noProof/>
          </w:rPr>
          <w:tab/>
        </w:r>
        <w:r w:rsidR="000B136A" w:rsidRPr="0058084A">
          <w:rPr>
            <w:rStyle w:val="Hyperlink"/>
            <w:noProof/>
          </w:rPr>
          <w:t>Spatial coverage of the sub-national climate zones based on broad zones of rainfall climatologies</w:t>
        </w:r>
        <w:r w:rsidR="000B136A">
          <w:rPr>
            <w:noProof/>
            <w:webHidden/>
          </w:rPr>
          <w:tab/>
        </w:r>
        <w:r w:rsidR="000B136A">
          <w:rPr>
            <w:noProof/>
            <w:webHidden/>
          </w:rPr>
          <w:fldChar w:fldCharType="begin"/>
        </w:r>
        <w:r w:rsidR="000B136A">
          <w:rPr>
            <w:noProof/>
            <w:webHidden/>
          </w:rPr>
          <w:instrText xml:space="preserve"> PAGEREF _Toc16586518 \h </w:instrText>
        </w:r>
        <w:r w:rsidR="000B136A">
          <w:rPr>
            <w:noProof/>
            <w:webHidden/>
          </w:rPr>
        </w:r>
        <w:r w:rsidR="000B136A">
          <w:rPr>
            <w:noProof/>
            <w:webHidden/>
          </w:rPr>
          <w:fldChar w:fldCharType="separate"/>
        </w:r>
        <w:r w:rsidR="003D0995">
          <w:rPr>
            <w:noProof/>
            <w:webHidden/>
          </w:rPr>
          <w:t>41</w:t>
        </w:r>
        <w:r w:rsidR="000B136A">
          <w:rPr>
            <w:noProof/>
            <w:webHidden/>
          </w:rPr>
          <w:fldChar w:fldCharType="end"/>
        </w:r>
      </w:hyperlink>
    </w:p>
    <w:p w14:paraId="6EEE1F23" w14:textId="34BFAC47" w:rsidR="000B136A" w:rsidRDefault="00053883">
      <w:pPr>
        <w:pStyle w:val="TableofFigures"/>
        <w:tabs>
          <w:tab w:val="right" w:pos="8551"/>
        </w:tabs>
        <w:rPr>
          <w:rFonts w:asciiTheme="minorHAnsi" w:hAnsiTheme="minorHAnsi"/>
          <w:noProof/>
        </w:rPr>
      </w:pPr>
      <w:hyperlink w:anchor="_Toc16586519" w:history="1">
        <w:r w:rsidR="000B136A" w:rsidRPr="0058084A">
          <w:rPr>
            <w:rStyle w:val="Hyperlink"/>
            <w:noProof/>
          </w:rPr>
          <w:t xml:space="preserve">Figure B1-2: </w:t>
        </w:r>
        <w:r w:rsidR="000B136A">
          <w:rPr>
            <w:rFonts w:asciiTheme="minorHAnsi" w:hAnsiTheme="minorHAnsi"/>
            <w:noProof/>
          </w:rPr>
          <w:tab/>
        </w:r>
        <w:r w:rsidR="000B136A" w:rsidRPr="0058084A">
          <w:rPr>
            <w:rStyle w:val="Hyperlink"/>
            <w:noProof/>
          </w:rPr>
          <w:t>Steps in translating climate change variables to hazards in each sub-national climate zone, applicable to specified timeframes for two climate change projections</w:t>
        </w:r>
        <w:r w:rsidR="000B136A">
          <w:rPr>
            <w:noProof/>
            <w:webHidden/>
          </w:rPr>
          <w:tab/>
        </w:r>
        <w:r w:rsidR="000B136A">
          <w:rPr>
            <w:noProof/>
            <w:webHidden/>
          </w:rPr>
          <w:fldChar w:fldCharType="begin"/>
        </w:r>
        <w:r w:rsidR="000B136A">
          <w:rPr>
            <w:noProof/>
            <w:webHidden/>
          </w:rPr>
          <w:instrText xml:space="preserve"> PAGEREF _Toc16586519 \h </w:instrText>
        </w:r>
        <w:r w:rsidR="000B136A">
          <w:rPr>
            <w:noProof/>
            <w:webHidden/>
          </w:rPr>
        </w:r>
        <w:r w:rsidR="000B136A">
          <w:rPr>
            <w:noProof/>
            <w:webHidden/>
          </w:rPr>
          <w:fldChar w:fldCharType="separate"/>
        </w:r>
        <w:r w:rsidR="003D0995">
          <w:rPr>
            <w:noProof/>
            <w:webHidden/>
          </w:rPr>
          <w:t>42</w:t>
        </w:r>
        <w:r w:rsidR="000B136A">
          <w:rPr>
            <w:noProof/>
            <w:webHidden/>
          </w:rPr>
          <w:fldChar w:fldCharType="end"/>
        </w:r>
      </w:hyperlink>
    </w:p>
    <w:p w14:paraId="402D7E19" w14:textId="7D12FC12" w:rsidR="000B136A" w:rsidRDefault="00053883">
      <w:pPr>
        <w:pStyle w:val="TableofFigures"/>
        <w:tabs>
          <w:tab w:val="right" w:pos="8551"/>
        </w:tabs>
        <w:rPr>
          <w:rFonts w:asciiTheme="minorHAnsi" w:hAnsiTheme="minorHAnsi"/>
          <w:noProof/>
        </w:rPr>
      </w:pPr>
      <w:hyperlink w:anchor="_Toc16586520" w:history="1">
        <w:r w:rsidR="000B136A" w:rsidRPr="0058084A">
          <w:rPr>
            <w:rStyle w:val="Hyperlink"/>
            <w:noProof/>
          </w:rPr>
          <w:t xml:space="preserve">Figure B1-3: </w:t>
        </w:r>
        <w:r w:rsidR="000B136A">
          <w:rPr>
            <w:rFonts w:asciiTheme="minorHAnsi" w:hAnsiTheme="minorHAnsi"/>
            <w:noProof/>
          </w:rPr>
          <w:tab/>
        </w:r>
        <w:r w:rsidR="000B136A" w:rsidRPr="0058084A">
          <w:rPr>
            <w:rStyle w:val="Hyperlink"/>
            <w:noProof/>
          </w:rPr>
          <w:t>Mapping for producing mixed quantitative and qualitative information and knowledge on hazards and risk exposure for consistency and relativity between risks</w:t>
        </w:r>
        <w:r w:rsidR="000B136A">
          <w:rPr>
            <w:noProof/>
            <w:webHidden/>
          </w:rPr>
          <w:tab/>
        </w:r>
        <w:r w:rsidR="000B136A">
          <w:rPr>
            <w:noProof/>
            <w:webHidden/>
          </w:rPr>
          <w:fldChar w:fldCharType="begin"/>
        </w:r>
        <w:r w:rsidR="000B136A">
          <w:rPr>
            <w:noProof/>
            <w:webHidden/>
          </w:rPr>
          <w:instrText xml:space="preserve"> PAGEREF _Toc16586520 \h </w:instrText>
        </w:r>
        <w:r w:rsidR="000B136A">
          <w:rPr>
            <w:noProof/>
            <w:webHidden/>
          </w:rPr>
        </w:r>
        <w:r w:rsidR="000B136A">
          <w:rPr>
            <w:noProof/>
            <w:webHidden/>
          </w:rPr>
          <w:fldChar w:fldCharType="separate"/>
        </w:r>
        <w:r w:rsidR="003D0995">
          <w:rPr>
            <w:noProof/>
            <w:webHidden/>
          </w:rPr>
          <w:t>48</w:t>
        </w:r>
        <w:r w:rsidR="000B136A">
          <w:rPr>
            <w:noProof/>
            <w:webHidden/>
          </w:rPr>
          <w:fldChar w:fldCharType="end"/>
        </w:r>
      </w:hyperlink>
    </w:p>
    <w:p w14:paraId="2C4B4CA4" w14:textId="1C4A59F7" w:rsidR="000B136A" w:rsidRDefault="00053883">
      <w:pPr>
        <w:pStyle w:val="TableofFigures"/>
        <w:tabs>
          <w:tab w:val="right" w:pos="8551"/>
        </w:tabs>
        <w:rPr>
          <w:rFonts w:asciiTheme="minorHAnsi" w:hAnsiTheme="minorHAnsi"/>
          <w:noProof/>
        </w:rPr>
      </w:pPr>
      <w:hyperlink w:anchor="_Toc16586521" w:history="1">
        <w:r w:rsidR="000B136A" w:rsidRPr="0058084A">
          <w:rPr>
            <w:rStyle w:val="Hyperlink"/>
            <w:noProof/>
          </w:rPr>
          <w:t xml:space="preserve">Figure B2-1: </w:t>
        </w:r>
        <w:r w:rsidR="000B136A">
          <w:rPr>
            <w:rFonts w:asciiTheme="minorHAnsi" w:hAnsiTheme="minorHAnsi"/>
            <w:noProof/>
          </w:rPr>
          <w:tab/>
        </w:r>
        <w:r w:rsidR="000B136A" w:rsidRPr="0058084A">
          <w:rPr>
            <w:rStyle w:val="Hyperlink"/>
            <w:noProof/>
          </w:rPr>
          <w:t>Stage 1 first-pass risk screening process</w:t>
        </w:r>
        <w:r w:rsidR="000B136A">
          <w:rPr>
            <w:noProof/>
            <w:webHidden/>
          </w:rPr>
          <w:tab/>
        </w:r>
        <w:r w:rsidR="000B136A">
          <w:rPr>
            <w:noProof/>
            <w:webHidden/>
          </w:rPr>
          <w:fldChar w:fldCharType="begin"/>
        </w:r>
        <w:r w:rsidR="000B136A">
          <w:rPr>
            <w:noProof/>
            <w:webHidden/>
          </w:rPr>
          <w:instrText xml:space="preserve"> PAGEREF _Toc16586521 \h </w:instrText>
        </w:r>
        <w:r w:rsidR="000B136A">
          <w:rPr>
            <w:noProof/>
            <w:webHidden/>
          </w:rPr>
        </w:r>
        <w:r w:rsidR="000B136A">
          <w:rPr>
            <w:noProof/>
            <w:webHidden/>
          </w:rPr>
          <w:fldChar w:fldCharType="separate"/>
        </w:r>
        <w:r w:rsidR="003D0995">
          <w:rPr>
            <w:noProof/>
            <w:webHidden/>
          </w:rPr>
          <w:t>50</w:t>
        </w:r>
        <w:r w:rsidR="000B136A">
          <w:rPr>
            <w:noProof/>
            <w:webHidden/>
          </w:rPr>
          <w:fldChar w:fldCharType="end"/>
        </w:r>
      </w:hyperlink>
    </w:p>
    <w:p w14:paraId="5FC7F4F6" w14:textId="74BB91A9" w:rsidR="000B136A" w:rsidRDefault="00053883">
      <w:pPr>
        <w:pStyle w:val="TableofFigures"/>
        <w:tabs>
          <w:tab w:val="right" w:pos="8551"/>
        </w:tabs>
        <w:rPr>
          <w:rFonts w:asciiTheme="minorHAnsi" w:hAnsiTheme="minorHAnsi"/>
          <w:noProof/>
        </w:rPr>
      </w:pPr>
      <w:hyperlink w:anchor="_Toc16586522" w:history="1">
        <w:r w:rsidR="000B136A" w:rsidRPr="0058084A">
          <w:rPr>
            <w:rStyle w:val="Hyperlink"/>
            <w:noProof/>
          </w:rPr>
          <w:t>Figure B3-1: Stage 2 detailed climate-change risk assessment</w:t>
        </w:r>
        <w:r w:rsidR="000B136A">
          <w:rPr>
            <w:noProof/>
            <w:webHidden/>
          </w:rPr>
          <w:tab/>
        </w:r>
        <w:r w:rsidR="000B136A">
          <w:rPr>
            <w:noProof/>
            <w:webHidden/>
          </w:rPr>
          <w:fldChar w:fldCharType="begin"/>
        </w:r>
        <w:r w:rsidR="000B136A">
          <w:rPr>
            <w:noProof/>
            <w:webHidden/>
          </w:rPr>
          <w:instrText xml:space="preserve"> PAGEREF _Toc16586522 \h </w:instrText>
        </w:r>
        <w:r w:rsidR="000B136A">
          <w:rPr>
            <w:noProof/>
            <w:webHidden/>
          </w:rPr>
        </w:r>
        <w:r w:rsidR="000B136A">
          <w:rPr>
            <w:noProof/>
            <w:webHidden/>
          </w:rPr>
          <w:fldChar w:fldCharType="separate"/>
        </w:r>
        <w:r w:rsidR="003D0995">
          <w:rPr>
            <w:noProof/>
            <w:webHidden/>
          </w:rPr>
          <w:t>60</w:t>
        </w:r>
        <w:r w:rsidR="000B136A">
          <w:rPr>
            <w:noProof/>
            <w:webHidden/>
          </w:rPr>
          <w:fldChar w:fldCharType="end"/>
        </w:r>
      </w:hyperlink>
    </w:p>
    <w:p w14:paraId="150D62DA" w14:textId="5ACFF68E" w:rsidR="000B136A" w:rsidRDefault="00053883">
      <w:pPr>
        <w:pStyle w:val="TableofFigures"/>
        <w:tabs>
          <w:tab w:val="right" w:pos="8551"/>
        </w:tabs>
        <w:rPr>
          <w:rFonts w:asciiTheme="minorHAnsi" w:hAnsiTheme="minorHAnsi"/>
          <w:noProof/>
        </w:rPr>
      </w:pPr>
      <w:hyperlink w:anchor="_Toc16586523" w:history="1">
        <w:r w:rsidR="000B136A" w:rsidRPr="0058084A">
          <w:rPr>
            <w:rStyle w:val="Hyperlink"/>
            <w:noProof/>
          </w:rPr>
          <w:t xml:space="preserve">Figure B3-2: </w:t>
        </w:r>
        <w:r w:rsidR="000B136A">
          <w:rPr>
            <w:rFonts w:asciiTheme="minorHAnsi" w:hAnsiTheme="minorHAnsi"/>
            <w:noProof/>
          </w:rPr>
          <w:tab/>
        </w:r>
        <w:r w:rsidR="000B136A" w:rsidRPr="0058084A">
          <w:rPr>
            <w:rStyle w:val="Hyperlink"/>
            <w:noProof/>
          </w:rPr>
          <w:t xml:space="preserve">Example of a </w:t>
        </w:r>
        <w:r w:rsidR="00627EE4">
          <w:rPr>
            <w:rStyle w:val="Hyperlink"/>
            <w:noProof/>
          </w:rPr>
          <w:t>national-scale</w:t>
        </w:r>
        <w:r w:rsidR="000B136A" w:rsidRPr="0058084A">
          <w:rPr>
            <w:rStyle w:val="Hyperlink"/>
            <w:noProof/>
          </w:rPr>
          <w:t xml:space="preserve"> exposure analysis of physical assets and people in coastal areas potentially affected by a sea-level rise of 1.5 metres</w:t>
        </w:r>
        <w:r w:rsidR="000B136A">
          <w:rPr>
            <w:noProof/>
            <w:webHidden/>
          </w:rPr>
          <w:tab/>
        </w:r>
        <w:r w:rsidR="000B136A">
          <w:rPr>
            <w:noProof/>
            <w:webHidden/>
          </w:rPr>
          <w:fldChar w:fldCharType="begin"/>
        </w:r>
        <w:r w:rsidR="000B136A">
          <w:rPr>
            <w:noProof/>
            <w:webHidden/>
          </w:rPr>
          <w:instrText xml:space="preserve"> PAGEREF _Toc16586523 \h </w:instrText>
        </w:r>
        <w:r w:rsidR="000B136A">
          <w:rPr>
            <w:noProof/>
            <w:webHidden/>
          </w:rPr>
        </w:r>
        <w:r w:rsidR="000B136A">
          <w:rPr>
            <w:noProof/>
            <w:webHidden/>
          </w:rPr>
          <w:fldChar w:fldCharType="separate"/>
        </w:r>
        <w:r w:rsidR="003D0995">
          <w:rPr>
            <w:noProof/>
            <w:webHidden/>
          </w:rPr>
          <w:t>63</w:t>
        </w:r>
        <w:r w:rsidR="000B136A">
          <w:rPr>
            <w:noProof/>
            <w:webHidden/>
          </w:rPr>
          <w:fldChar w:fldCharType="end"/>
        </w:r>
      </w:hyperlink>
    </w:p>
    <w:p w14:paraId="3D9604BC" w14:textId="773290A8" w:rsidR="000B136A" w:rsidRDefault="00053883">
      <w:pPr>
        <w:pStyle w:val="TableofFigures"/>
        <w:tabs>
          <w:tab w:val="right" w:pos="8551"/>
        </w:tabs>
        <w:rPr>
          <w:rFonts w:asciiTheme="minorHAnsi" w:hAnsiTheme="minorHAnsi"/>
          <w:noProof/>
        </w:rPr>
      </w:pPr>
      <w:hyperlink w:anchor="_Toc16586524" w:history="1">
        <w:r w:rsidR="000B136A" w:rsidRPr="0058084A">
          <w:rPr>
            <w:rStyle w:val="Hyperlink"/>
            <w:noProof/>
          </w:rPr>
          <w:t xml:space="preserve">Figure B4-1: </w:t>
        </w:r>
        <w:r w:rsidR="000B136A">
          <w:rPr>
            <w:rFonts w:asciiTheme="minorHAnsi" w:hAnsiTheme="minorHAnsi"/>
            <w:noProof/>
          </w:rPr>
          <w:tab/>
        </w:r>
        <w:r w:rsidR="000B136A" w:rsidRPr="0058084A">
          <w:rPr>
            <w:rStyle w:val="Hyperlink"/>
            <w:noProof/>
          </w:rPr>
          <w:t>Stage 3 process for assessment of adaptation and decision urgency</w:t>
        </w:r>
        <w:r w:rsidR="000B136A">
          <w:rPr>
            <w:noProof/>
            <w:webHidden/>
          </w:rPr>
          <w:tab/>
        </w:r>
        <w:r w:rsidR="000B136A">
          <w:rPr>
            <w:noProof/>
            <w:webHidden/>
          </w:rPr>
          <w:fldChar w:fldCharType="begin"/>
        </w:r>
        <w:r w:rsidR="000B136A">
          <w:rPr>
            <w:noProof/>
            <w:webHidden/>
          </w:rPr>
          <w:instrText xml:space="preserve"> PAGEREF _Toc16586524 \h </w:instrText>
        </w:r>
        <w:r w:rsidR="000B136A">
          <w:rPr>
            <w:noProof/>
            <w:webHidden/>
          </w:rPr>
        </w:r>
        <w:r w:rsidR="000B136A">
          <w:rPr>
            <w:noProof/>
            <w:webHidden/>
          </w:rPr>
          <w:fldChar w:fldCharType="separate"/>
        </w:r>
        <w:r w:rsidR="003D0995">
          <w:rPr>
            <w:noProof/>
            <w:webHidden/>
          </w:rPr>
          <w:t>75</w:t>
        </w:r>
        <w:r w:rsidR="000B136A">
          <w:rPr>
            <w:noProof/>
            <w:webHidden/>
          </w:rPr>
          <w:fldChar w:fldCharType="end"/>
        </w:r>
      </w:hyperlink>
    </w:p>
    <w:p w14:paraId="3F407B56" w14:textId="69E46C86" w:rsidR="000B136A" w:rsidRDefault="00053883">
      <w:pPr>
        <w:pStyle w:val="TableofFigures"/>
        <w:tabs>
          <w:tab w:val="right" w:pos="8551"/>
        </w:tabs>
        <w:rPr>
          <w:rFonts w:asciiTheme="minorHAnsi" w:hAnsiTheme="minorHAnsi"/>
          <w:noProof/>
        </w:rPr>
      </w:pPr>
      <w:hyperlink w:anchor="_Toc16586525" w:history="1">
        <w:r w:rsidR="000B136A" w:rsidRPr="0058084A">
          <w:rPr>
            <w:rStyle w:val="Hyperlink"/>
            <w:noProof/>
          </w:rPr>
          <w:t xml:space="preserve">Figure B4-2: </w:t>
        </w:r>
        <w:r w:rsidR="000B136A">
          <w:rPr>
            <w:rFonts w:asciiTheme="minorHAnsi" w:hAnsiTheme="minorHAnsi"/>
            <w:noProof/>
          </w:rPr>
          <w:tab/>
        </w:r>
        <w:r w:rsidR="000B136A" w:rsidRPr="0058084A">
          <w:rPr>
            <w:rStyle w:val="Hyperlink"/>
            <w:noProof/>
          </w:rPr>
          <w:t>Urgency categories for adaptation action on key risks</w:t>
        </w:r>
        <w:r w:rsidR="000B136A">
          <w:rPr>
            <w:noProof/>
            <w:webHidden/>
          </w:rPr>
          <w:tab/>
        </w:r>
        <w:r w:rsidR="000B136A">
          <w:rPr>
            <w:noProof/>
            <w:webHidden/>
          </w:rPr>
          <w:fldChar w:fldCharType="begin"/>
        </w:r>
        <w:r w:rsidR="000B136A">
          <w:rPr>
            <w:noProof/>
            <w:webHidden/>
          </w:rPr>
          <w:instrText xml:space="preserve"> PAGEREF _Toc16586525 \h </w:instrText>
        </w:r>
        <w:r w:rsidR="000B136A">
          <w:rPr>
            <w:noProof/>
            <w:webHidden/>
          </w:rPr>
        </w:r>
        <w:r w:rsidR="000B136A">
          <w:rPr>
            <w:noProof/>
            <w:webHidden/>
          </w:rPr>
          <w:fldChar w:fldCharType="separate"/>
        </w:r>
        <w:r w:rsidR="003D0995">
          <w:rPr>
            <w:noProof/>
            <w:webHidden/>
          </w:rPr>
          <w:t>79</w:t>
        </w:r>
        <w:r w:rsidR="000B136A">
          <w:rPr>
            <w:noProof/>
            <w:webHidden/>
          </w:rPr>
          <w:fldChar w:fldCharType="end"/>
        </w:r>
      </w:hyperlink>
    </w:p>
    <w:p w14:paraId="27C86052" w14:textId="7B24354E" w:rsidR="000B136A" w:rsidRDefault="00053883">
      <w:pPr>
        <w:pStyle w:val="TableofFigures"/>
        <w:tabs>
          <w:tab w:val="right" w:pos="8551"/>
        </w:tabs>
        <w:rPr>
          <w:rFonts w:asciiTheme="minorHAnsi" w:hAnsiTheme="minorHAnsi"/>
          <w:noProof/>
        </w:rPr>
      </w:pPr>
      <w:hyperlink w:anchor="_Toc16586526" w:history="1">
        <w:r w:rsidR="000B136A" w:rsidRPr="0058084A">
          <w:rPr>
            <w:rStyle w:val="Hyperlink"/>
            <w:noProof/>
          </w:rPr>
          <w:t xml:space="preserve">Figure C1-1: </w:t>
        </w:r>
        <w:r w:rsidR="000B136A">
          <w:rPr>
            <w:rFonts w:asciiTheme="minorHAnsi" w:hAnsiTheme="minorHAnsi"/>
            <w:noProof/>
          </w:rPr>
          <w:tab/>
        </w:r>
        <w:r w:rsidR="000B136A" w:rsidRPr="0058084A">
          <w:rPr>
            <w:rStyle w:val="Hyperlink"/>
            <w:noProof/>
          </w:rPr>
          <w:t xml:space="preserve">An example of coded responses for expert elicitation on consequences and timeliness </w:t>
        </w:r>
        <w:r w:rsidR="000B136A">
          <w:rPr>
            <w:noProof/>
            <w:webHidden/>
          </w:rPr>
          <w:tab/>
        </w:r>
        <w:r w:rsidR="000B136A">
          <w:rPr>
            <w:noProof/>
            <w:webHidden/>
          </w:rPr>
          <w:fldChar w:fldCharType="begin"/>
        </w:r>
        <w:r w:rsidR="000B136A">
          <w:rPr>
            <w:noProof/>
            <w:webHidden/>
          </w:rPr>
          <w:instrText xml:space="preserve"> PAGEREF _Toc16586526 \h </w:instrText>
        </w:r>
        <w:r w:rsidR="000B136A">
          <w:rPr>
            <w:noProof/>
            <w:webHidden/>
          </w:rPr>
        </w:r>
        <w:r w:rsidR="000B136A">
          <w:rPr>
            <w:noProof/>
            <w:webHidden/>
          </w:rPr>
          <w:fldChar w:fldCharType="separate"/>
        </w:r>
        <w:r w:rsidR="003D0995">
          <w:rPr>
            <w:noProof/>
            <w:webHidden/>
          </w:rPr>
          <w:t>85</w:t>
        </w:r>
        <w:r w:rsidR="000B136A">
          <w:rPr>
            <w:noProof/>
            <w:webHidden/>
          </w:rPr>
          <w:fldChar w:fldCharType="end"/>
        </w:r>
      </w:hyperlink>
    </w:p>
    <w:p w14:paraId="4D23E79B" w14:textId="77777777" w:rsidR="008A2FF1" w:rsidRPr="00E3756C" w:rsidRDefault="004943C2" w:rsidP="00D51469">
      <w:pPr>
        <w:pStyle w:val="BodyText"/>
      </w:pPr>
      <w:r w:rsidRPr="00E3756C">
        <w:fldChar w:fldCharType="end"/>
      </w:r>
    </w:p>
    <w:p w14:paraId="7578F986" w14:textId="77777777" w:rsidR="00B10BD3" w:rsidRPr="00E3756C" w:rsidRDefault="00796A6F" w:rsidP="00B10BD3">
      <w:pPr>
        <w:pStyle w:val="Heading1"/>
      </w:pPr>
      <w:bookmarkStart w:id="0" w:name="_Toc215561202"/>
      <w:r w:rsidRPr="00E3756C">
        <w:br w:type="page"/>
      </w:r>
      <w:bookmarkStart w:id="1" w:name="_Toc15409133"/>
      <w:r w:rsidR="00B10BD3" w:rsidRPr="00E3756C">
        <w:lastRenderedPageBreak/>
        <w:t>Foreword</w:t>
      </w:r>
      <w:bookmarkEnd w:id="1"/>
    </w:p>
    <w:p w14:paraId="3D09902D" w14:textId="77777777" w:rsidR="005D4660" w:rsidRPr="00E3756C" w:rsidRDefault="005D4660" w:rsidP="005D4660">
      <w:pPr>
        <w:pStyle w:val="BodyText"/>
      </w:pPr>
      <w:r w:rsidRPr="00E3756C">
        <w:t>Aotearoa New Zealand is already experiencing the impacts from a changing climate, and, due</w:t>
      </w:r>
      <w:r w:rsidR="00E757FC">
        <w:t> </w:t>
      </w:r>
      <w:r w:rsidRPr="00E3756C">
        <w:t>to past emissions, the climate will continue to change well into the future. However, the rate of change is intricately tied to what we do now to reduce emissions. In the absence of worldwide concerted effort to mitigate emissions in accord with the Paris Agreement, risks need to be assessed for the most extreme scenarios. These future changes will affect all New</w:t>
      </w:r>
      <w:r w:rsidR="00E757FC">
        <w:t> </w:t>
      </w:r>
      <w:r w:rsidRPr="00E3756C">
        <w:t>Zealanders, and we need to plan how we will respond and adapt, hand-in-hand with reducing our emissions.</w:t>
      </w:r>
    </w:p>
    <w:p w14:paraId="32ECE9FC" w14:textId="77777777" w:rsidR="005D4660" w:rsidRPr="00E3756C" w:rsidRDefault="005D4660" w:rsidP="005D4660">
      <w:pPr>
        <w:pStyle w:val="BodyText"/>
      </w:pPr>
      <w:r w:rsidRPr="00E3756C">
        <w:t>Central government has an important role in this planning. It sets the direction so New Zealand’s people, environment, infrastructure and economy are more resilient to the impacts</w:t>
      </w:r>
      <w:r w:rsidR="00826BEB">
        <w:t> </w:t>
      </w:r>
      <w:r w:rsidRPr="00E3756C">
        <w:t>of climate change. Central government’s role in contributing to this direction is to:</w:t>
      </w:r>
    </w:p>
    <w:p w14:paraId="45D94801" w14:textId="77777777" w:rsidR="005D4660" w:rsidRPr="00E3756C" w:rsidRDefault="005D4660" w:rsidP="005D4660">
      <w:pPr>
        <w:pStyle w:val="Bullet"/>
      </w:pPr>
      <w:r w:rsidRPr="00E3756C">
        <w:t>provide the legislative and policy framework</w:t>
      </w:r>
    </w:p>
    <w:p w14:paraId="3BAC37F0" w14:textId="77777777" w:rsidR="005D4660" w:rsidRPr="00E3756C" w:rsidRDefault="005D4660" w:rsidP="005D4660">
      <w:pPr>
        <w:pStyle w:val="Bullet"/>
      </w:pPr>
      <w:r w:rsidRPr="00E3756C">
        <w:t>provide information and guidance to support local government and businesses to make effective adaptive decisions</w:t>
      </w:r>
    </w:p>
    <w:p w14:paraId="58EAC967" w14:textId="77777777" w:rsidR="005D4660" w:rsidRPr="00E3756C" w:rsidRDefault="005D4660" w:rsidP="005D4660">
      <w:pPr>
        <w:pStyle w:val="Bullet"/>
      </w:pPr>
      <w:r w:rsidRPr="00E3756C">
        <w:t>fund research and publish information on climate change impacts</w:t>
      </w:r>
    </w:p>
    <w:p w14:paraId="423D5EBE" w14:textId="77777777" w:rsidR="005D4660" w:rsidRPr="00E3756C" w:rsidRDefault="005D4660" w:rsidP="005D4660">
      <w:pPr>
        <w:pStyle w:val="Bullet"/>
      </w:pPr>
      <w:r w:rsidRPr="00E3756C">
        <w:t>prepare for and respond to major natural hazard events.</w:t>
      </w:r>
    </w:p>
    <w:p w14:paraId="47686F32" w14:textId="77777777" w:rsidR="005D4660" w:rsidRPr="00E3756C" w:rsidRDefault="005D4660" w:rsidP="005D4660">
      <w:pPr>
        <w:pStyle w:val="BodyText"/>
      </w:pPr>
      <w:r w:rsidRPr="00E3756C">
        <w:t>In recognising the critical importance of adapting to climate change, the Government has outlined a framework for enhanced leadership on adaptation that consists of:</w:t>
      </w:r>
    </w:p>
    <w:p w14:paraId="0C7EB8A5" w14:textId="77777777" w:rsidR="005D4660" w:rsidRPr="00E3756C" w:rsidRDefault="005D4660" w:rsidP="005D4660">
      <w:pPr>
        <w:pStyle w:val="Bullet"/>
      </w:pPr>
      <w:r w:rsidRPr="00E3756C">
        <w:t>a National Climate Change Risk Assessment (NCCRA), to improve our understanding of the climate risks Aotearoa New Zealand faces</w:t>
      </w:r>
    </w:p>
    <w:p w14:paraId="747E3F7F" w14:textId="77777777" w:rsidR="005D4660" w:rsidRPr="00E3756C" w:rsidRDefault="005D4660" w:rsidP="005D4660">
      <w:pPr>
        <w:pStyle w:val="Bullet"/>
      </w:pPr>
      <w:r w:rsidRPr="00E3756C">
        <w:t>a National Adaptation Plan that will outline the Government’s approach to improving New</w:t>
      </w:r>
      <w:r w:rsidR="00826BEB">
        <w:t> </w:t>
      </w:r>
      <w:r w:rsidRPr="00E3756C">
        <w:t>Zealand’s resilience to the effects of climate change</w:t>
      </w:r>
    </w:p>
    <w:p w14:paraId="2A56D5C3" w14:textId="77777777" w:rsidR="005D4660" w:rsidRPr="00E3756C" w:rsidRDefault="005D4660" w:rsidP="005D4660">
      <w:pPr>
        <w:pStyle w:val="Bullet"/>
      </w:pPr>
      <w:r w:rsidRPr="00E3756C">
        <w:t>monitoring and reporting on implementation of the National Adaptation Plan, to ensure</w:t>
      </w:r>
      <w:r w:rsidR="00826BEB">
        <w:t> </w:t>
      </w:r>
      <w:r w:rsidRPr="00E3756C">
        <w:t>accountability.</w:t>
      </w:r>
    </w:p>
    <w:p w14:paraId="60535F99" w14:textId="77777777" w:rsidR="005D4660" w:rsidRPr="00E3756C" w:rsidRDefault="005D4660" w:rsidP="005D4660">
      <w:pPr>
        <w:pStyle w:val="BodyText"/>
      </w:pPr>
      <w:r w:rsidRPr="00E3756C">
        <w:t>This document describes the framework and methods to be used for the first NCCRA, which will</w:t>
      </w:r>
      <w:r w:rsidR="00826BEB">
        <w:t> </w:t>
      </w:r>
      <w:r w:rsidRPr="00E3756C">
        <w:t>help to inform priorities for action in the forthcoming National Adaptation Plan by central</w:t>
      </w:r>
      <w:r w:rsidR="00826BEB">
        <w:t> </w:t>
      </w:r>
      <w:r w:rsidRPr="00E3756C">
        <w:t xml:space="preserve">government. </w:t>
      </w:r>
    </w:p>
    <w:p w14:paraId="79874E8A" w14:textId="77777777" w:rsidR="005D4660" w:rsidRPr="00E3756C" w:rsidRDefault="005D4660" w:rsidP="005D4660">
      <w:pPr>
        <w:pStyle w:val="BodyText"/>
      </w:pPr>
      <w:r w:rsidRPr="00E3756C">
        <w:t xml:space="preserve">A values-based approach is taken in the framework, weaving in Te Ao Māori and engagement principles throughout, to produce a more comprehensive knowledge and skill base for understanding climate risks. The process combines scientific, technical and expert information with Mātauranga Māori, local knowledge and experience. </w:t>
      </w:r>
    </w:p>
    <w:p w14:paraId="56DCFBCB" w14:textId="77777777" w:rsidR="005D4660" w:rsidRPr="00E3756C" w:rsidRDefault="005D4660" w:rsidP="005D4660">
      <w:pPr>
        <w:pStyle w:val="BodyText"/>
      </w:pPr>
      <w:r w:rsidRPr="00E3756C">
        <w:t>The framework aims to produce a risk assessment that will:</w:t>
      </w:r>
    </w:p>
    <w:p w14:paraId="76B477BB" w14:textId="77777777" w:rsidR="005D4660" w:rsidRPr="00E3756C" w:rsidRDefault="005D4660" w:rsidP="005D4660">
      <w:pPr>
        <w:pStyle w:val="Bullet"/>
      </w:pPr>
      <w:r w:rsidRPr="00E3756C">
        <w:t xml:space="preserve">improve the ability of decision-makers to make informed decisions in the presence of inevitable and, in some cases, substantial and irreducible uncertainty </w:t>
      </w:r>
    </w:p>
    <w:p w14:paraId="04622ABC" w14:textId="77777777" w:rsidR="005D4660" w:rsidRPr="00E3756C" w:rsidRDefault="005D4660" w:rsidP="005D4660">
      <w:pPr>
        <w:pStyle w:val="Bullet"/>
      </w:pPr>
      <w:r w:rsidRPr="00E3756C">
        <w:t>improve other stakeholders’ understanding and foster and support the broader public interests in the quality of the decision-making process (for example, fairness, transparency, efficiency and preparedness).</w:t>
      </w:r>
    </w:p>
    <w:p w14:paraId="450E340E" w14:textId="77777777" w:rsidR="005D4660" w:rsidRPr="00E3756C" w:rsidRDefault="005D4660" w:rsidP="005D4660">
      <w:pPr>
        <w:pStyle w:val="BodyText"/>
      </w:pPr>
      <w:r w:rsidRPr="00E3756C">
        <w:lastRenderedPageBreak/>
        <w:t>The focus of the framework (and thus the NCCRA) is primarily on climate change risks at the national scale. It also aims to cover significant regional risks that would influence national priorities and budget processes, including rohe-based risks for iwi (eg, emergence of sub</w:t>
      </w:r>
      <w:r w:rsidR="00456B92">
        <w:noBreakHyphen/>
      </w:r>
      <w:r w:rsidRPr="00E3756C">
        <w:t>tropical pests and diseases and fish species into Northland or receding snowlines and glaciers). Aotearoa New Zealand will also be affected by international influences arising from climate change policies or responses (eg, the re-insurance market, economic market signals from global reductions in greenhouse gases, climate-related migration and disruptive technology to reduce emissions), so the NCCRA and National Adaptation Plan will, over time, need to adapt to these influences. The first NCCRA will not consider transition risks or socio</w:t>
      </w:r>
      <w:r w:rsidR="00456B92">
        <w:noBreakHyphen/>
      </w:r>
      <w:r w:rsidRPr="00E3756C">
        <w:t xml:space="preserve">economic projections, but these may be included in future iterations. </w:t>
      </w:r>
    </w:p>
    <w:p w14:paraId="4CEFDB0C" w14:textId="77777777" w:rsidR="005D4660" w:rsidRPr="00E3756C" w:rsidRDefault="005D4660" w:rsidP="005D4660">
      <w:pPr>
        <w:pStyle w:val="BodyText"/>
      </w:pPr>
      <w:r w:rsidRPr="00E3756C">
        <w:t>The framework recognises that the first national assessment will comprise mostly qualitative assessment and will integrate quantitative risk or exposure information where possible, ensuring sufficient flexibility to handle both types of information in a consistent manner. The qualitative assessment will include narrative kōrero (discourse) on values and aspirations, quality of life, wellbeing, and co-production of shared knowledge around impacts and implications. It will consider both tangible and intangible benefits and risks, and thereby take a</w:t>
      </w:r>
      <w:r w:rsidR="00456B92">
        <w:t> </w:t>
      </w:r>
      <w:r w:rsidRPr="00E3756C">
        <w:t xml:space="preserve">holistic approach towards the </w:t>
      </w:r>
      <w:r w:rsidR="000A17DE">
        <w:t>wellbeing</w:t>
      </w:r>
      <w:r w:rsidRPr="00E3756C">
        <w:t xml:space="preserve"> of Aotearoa New Zealand.</w:t>
      </w:r>
    </w:p>
    <w:p w14:paraId="28B32CA9" w14:textId="77777777" w:rsidR="005D4660" w:rsidRPr="00E3756C" w:rsidRDefault="005D4660" w:rsidP="005D4660">
      <w:pPr>
        <w:pStyle w:val="Heading5"/>
        <w:spacing w:after="120"/>
      </w:pPr>
      <w:r w:rsidRPr="00E3756C">
        <w:t>Expert panel members</w:t>
      </w:r>
    </w:p>
    <w:p w14:paraId="7CC505F0" w14:textId="77777777" w:rsidR="005D4660" w:rsidRPr="00E3756C" w:rsidRDefault="005D4660" w:rsidP="005D4660">
      <w:pPr>
        <w:pStyle w:val="BodyText"/>
        <w:spacing w:before="0" w:after="40"/>
      </w:pPr>
      <w:r w:rsidRPr="00E3756C">
        <w:t>Anne Bardsley, The University of Auckland (Chair)</w:t>
      </w:r>
    </w:p>
    <w:p w14:paraId="2D81D162" w14:textId="77777777" w:rsidR="005D4660" w:rsidRPr="00E3756C" w:rsidRDefault="005D4660" w:rsidP="005D4660">
      <w:pPr>
        <w:pStyle w:val="BodyText"/>
        <w:spacing w:before="0" w:after="40"/>
      </w:pPr>
      <w:r w:rsidRPr="00E3756C">
        <w:t>Acushla Sciascia, Māpuna Consultants</w:t>
      </w:r>
    </w:p>
    <w:p w14:paraId="684A668E" w14:textId="77777777" w:rsidR="005D4660" w:rsidRPr="00E3756C" w:rsidRDefault="005D4660" w:rsidP="005D4660">
      <w:pPr>
        <w:pStyle w:val="BodyText"/>
        <w:spacing w:before="0" w:after="40"/>
      </w:pPr>
      <w:r w:rsidRPr="00E3756C">
        <w:t>Rob Bell, National Institute of Water and Atmospheric Research</w:t>
      </w:r>
    </w:p>
    <w:p w14:paraId="094D3A25" w14:textId="77777777" w:rsidR="005D4660" w:rsidRPr="00E3756C" w:rsidRDefault="005D4660" w:rsidP="005D4660">
      <w:pPr>
        <w:pStyle w:val="BodyText"/>
        <w:spacing w:before="0" w:after="40"/>
      </w:pPr>
      <w:r w:rsidRPr="00E3756C">
        <w:t>Wendy Saunders, GNS Science</w:t>
      </w:r>
    </w:p>
    <w:p w14:paraId="72BC47C6" w14:textId="77777777" w:rsidR="005D4660" w:rsidRPr="00E3756C" w:rsidRDefault="005D4660" w:rsidP="005D4660">
      <w:pPr>
        <w:pStyle w:val="BodyText"/>
        <w:spacing w:before="0" w:after="40"/>
      </w:pPr>
      <w:r w:rsidRPr="00E3756C">
        <w:t>Shaun Awatere, Manaaki Whenua – Landcare Research</w:t>
      </w:r>
    </w:p>
    <w:p w14:paraId="3C1A68D2" w14:textId="77777777" w:rsidR="005D4660" w:rsidRPr="00E3756C" w:rsidRDefault="005D4660" w:rsidP="005D4660">
      <w:pPr>
        <w:pStyle w:val="BodyText"/>
        <w:spacing w:before="0" w:after="40"/>
      </w:pPr>
      <w:r w:rsidRPr="00E3756C">
        <w:t>Roger Fairclough, Neo Leaf Global</w:t>
      </w:r>
    </w:p>
    <w:p w14:paraId="5C341DB9" w14:textId="77777777" w:rsidR="005D4660" w:rsidRPr="00E3756C" w:rsidRDefault="005D4660" w:rsidP="005D4660">
      <w:pPr>
        <w:pStyle w:val="BodyText"/>
        <w:spacing w:before="0" w:after="40"/>
      </w:pPr>
      <w:r w:rsidRPr="00E3756C">
        <w:t>Bapon Fakhruddin, Tonkin and Taylor</w:t>
      </w:r>
    </w:p>
    <w:p w14:paraId="56652F74" w14:textId="77777777" w:rsidR="005D4660" w:rsidRPr="00E3756C" w:rsidRDefault="005D4660" w:rsidP="005D4660">
      <w:pPr>
        <w:pStyle w:val="Heading4"/>
      </w:pPr>
      <w:r w:rsidRPr="00E3756C">
        <w:t>Acknowledgements</w:t>
      </w:r>
    </w:p>
    <w:p w14:paraId="02DA488A" w14:textId="77777777" w:rsidR="005D4660" w:rsidRPr="00E3756C" w:rsidRDefault="005D4660" w:rsidP="005D4660">
      <w:pPr>
        <w:pStyle w:val="BodyText"/>
      </w:pPr>
      <w:r w:rsidRPr="00E3756C">
        <w:t xml:space="preserve">The panel would like to thank the many individuals, organisations and agencies that provided input during development of this framework, including the following. </w:t>
      </w:r>
    </w:p>
    <w:p w14:paraId="0B1D8FFB" w14:textId="77777777" w:rsidR="005D4660" w:rsidRPr="00E3756C" w:rsidRDefault="005D4660" w:rsidP="005D4660">
      <w:pPr>
        <w:pStyle w:val="Heading5"/>
        <w:spacing w:after="120"/>
      </w:pPr>
      <w:r w:rsidRPr="00E3756C">
        <w:t>Expert reviewers</w:t>
      </w:r>
    </w:p>
    <w:p w14:paraId="08294C5B" w14:textId="77777777" w:rsidR="005D4660" w:rsidRPr="00E3756C" w:rsidRDefault="005D4660" w:rsidP="005D4660">
      <w:pPr>
        <w:pStyle w:val="BodyText"/>
        <w:spacing w:before="0" w:after="40"/>
      </w:pPr>
      <w:r w:rsidRPr="00E3756C">
        <w:t>Will Symons, AECOM</w:t>
      </w:r>
    </w:p>
    <w:p w14:paraId="3363040F" w14:textId="77777777" w:rsidR="005D4660" w:rsidRPr="00E3756C" w:rsidRDefault="005D4660" w:rsidP="005D4660">
      <w:pPr>
        <w:pStyle w:val="BodyText"/>
        <w:spacing w:before="0" w:after="40"/>
      </w:pPr>
      <w:r w:rsidRPr="00E3756C">
        <w:t>Judy Lawrence, Victoria University of Wellington and PS Consulting Ltd</w:t>
      </w:r>
    </w:p>
    <w:p w14:paraId="789F8931" w14:textId="77777777" w:rsidR="005D4660" w:rsidRPr="00E3756C" w:rsidRDefault="005D4660" w:rsidP="005D4660">
      <w:pPr>
        <w:pStyle w:val="BodyText"/>
        <w:spacing w:before="0" w:after="40"/>
      </w:pPr>
      <w:r w:rsidRPr="00E3756C">
        <w:t>Daniel Hikuroa, The University of Auckland</w:t>
      </w:r>
    </w:p>
    <w:p w14:paraId="1B5F1CA2" w14:textId="77777777" w:rsidR="005D4660" w:rsidRPr="00E3756C" w:rsidRDefault="005D4660" w:rsidP="005D4660">
      <w:pPr>
        <w:pStyle w:val="BodyText"/>
        <w:spacing w:before="0" w:after="40"/>
      </w:pPr>
      <w:r w:rsidRPr="00E3756C">
        <w:t>James Hughes, Tonkin and Taylor</w:t>
      </w:r>
    </w:p>
    <w:p w14:paraId="2ADA21D5" w14:textId="77777777" w:rsidR="005D4660" w:rsidRPr="00E3756C" w:rsidRDefault="005D4660" w:rsidP="005D4660">
      <w:pPr>
        <w:pStyle w:val="BodyText"/>
        <w:spacing w:before="0" w:after="40"/>
      </w:pPr>
      <w:r w:rsidRPr="00E3756C">
        <w:t>Simon Lambert, University of Saskatchewan</w:t>
      </w:r>
    </w:p>
    <w:p w14:paraId="0D50BDF3" w14:textId="77777777" w:rsidR="005D4660" w:rsidRPr="00E3756C" w:rsidRDefault="005D4660" w:rsidP="005D4660">
      <w:pPr>
        <w:pStyle w:val="Heading5"/>
        <w:spacing w:after="120"/>
      </w:pPr>
      <w:r w:rsidRPr="00E3756C">
        <w:t>Central government agencies</w:t>
      </w:r>
    </w:p>
    <w:p w14:paraId="6D93D762" w14:textId="77777777" w:rsidR="005D4660" w:rsidRPr="00E3756C" w:rsidRDefault="005D4660" w:rsidP="005D4660">
      <w:pPr>
        <w:pStyle w:val="BodyText"/>
        <w:spacing w:before="0" w:after="40"/>
      </w:pPr>
      <w:r w:rsidRPr="00E3756C">
        <w:t>Te Puni Kōkiri</w:t>
      </w:r>
    </w:p>
    <w:p w14:paraId="5BBACF13" w14:textId="77777777" w:rsidR="005D4660" w:rsidRPr="00E3756C" w:rsidRDefault="005D4660" w:rsidP="005D4660">
      <w:pPr>
        <w:pStyle w:val="BodyText"/>
        <w:spacing w:before="0" w:after="40"/>
      </w:pPr>
      <w:r w:rsidRPr="00E3756C">
        <w:t>Department of the Prime Minister and Cabinet</w:t>
      </w:r>
    </w:p>
    <w:p w14:paraId="28A6EB23" w14:textId="77777777" w:rsidR="005D4660" w:rsidRPr="00E3756C" w:rsidRDefault="005D4660" w:rsidP="005D4660">
      <w:pPr>
        <w:pStyle w:val="BodyText"/>
        <w:spacing w:before="0" w:after="40"/>
      </w:pPr>
      <w:r w:rsidRPr="00E3756C">
        <w:t>Treasury</w:t>
      </w:r>
    </w:p>
    <w:p w14:paraId="26977263" w14:textId="77777777" w:rsidR="005D4660" w:rsidRPr="00E3756C" w:rsidRDefault="005D4660" w:rsidP="005D4660">
      <w:pPr>
        <w:pStyle w:val="BodyText"/>
        <w:spacing w:before="0" w:after="40"/>
      </w:pPr>
      <w:r w:rsidRPr="00E3756C">
        <w:t>Ministry of Transport</w:t>
      </w:r>
    </w:p>
    <w:p w14:paraId="1B0BFD2F" w14:textId="77777777" w:rsidR="005D4660" w:rsidRPr="00E3756C" w:rsidRDefault="005D4660" w:rsidP="005D4660">
      <w:pPr>
        <w:pStyle w:val="BodyText"/>
        <w:spacing w:before="0" w:after="40"/>
      </w:pPr>
      <w:r w:rsidRPr="00E3756C">
        <w:t xml:space="preserve">Ministry for the Environment </w:t>
      </w:r>
    </w:p>
    <w:p w14:paraId="35FCB6E9" w14:textId="77777777" w:rsidR="005D4660" w:rsidRPr="00E3756C" w:rsidRDefault="005D4660" w:rsidP="005D4660">
      <w:pPr>
        <w:pStyle w:val="BodyText"/>
        <w:spacing w:before="0" w:after="40"/>
      </w:pPr>
      <w:r w:rsidRPr="00E3756C">
        <w:t>Ministry for Primary Industries</w:t>
      </w:r>
    </w:p>
    <w:p w14:paraId="3B01E362" w14:textId="77777777" w:rsidR="005D4660" w:rsidRPr="00E3756C" w:rsidRDefault="005D4660" w:rsidP="005D4660">
      <w:pPr>
        <w:pStyle w:val="BodyText"/>
        <w:spacing w:before="0" w:after="40"/>
      </w:pPr>
      <w:r w:rsidRPr="00E3756C">
        <w:t>Ministry for Culture and Heritage</w:t>
      </w:r>
    </w:p>
    <w:p w14:paraId="527CFF2A" w14:textId="77777777" w:rsidR="005D4660" w:rsidRPr="00E3756C" w:rsidRDefault="005D4660" w:rsidP="005D4660">
      <w:pPr>
        <w:pStyle w:val="BodyText"/>
        <w:spacing w:before="0" w:after="40"/>
      </w:pPr>
      <w:r w:rsidRPr="00E3756C">
        <w:lastRenderedPageBreak/>
        <w:t>Department of Conservation</w:t>
      </w:r>
    </w:p>
    <w:p w14:paraId="2055E2EC" w14:textId="77777777" w:rsidR="005D4660" w:rsidRPr="00E3756C" w:rsidRDefault="005D4660" w:rsidP="005D4660">
      <w:pPr>
        <w:pStyle w:val="BodyText"/>
        <w:spacing w:before="0" w:after="40"/>
      </w:pPr>
      <w:r w:rsidRPr="00E3756C">
        <w:t>Ministry of Business, Innovation and Employment</w:t>
      </w:r>
    </w:p>
    <w:p w14:paraId="19EF4A75" w14:textId="77777777" w:rsidR="005D4660" w:rsidRPr="00E3756C" w:rsidRDefault="005D4660" w:rsidP="005D4660">
      <w:pPr>
        <w:pStyle w:val="BodyText"/>
        <w:spacing w:before="0" w:after="40"/>
      </w:pPr>
      <w:r w:rsidRPr="00E3756C">
        <w:t>New Zealand Transport Agency</w:t>
      </w:r>
    </w:p>
    <w:p w14:paraId="0C08325D" w14:textId="77777777" w:rsidR="005D4660" w:rsidRPr="00E3756C" w:rsidRDefault="005D4660" w:rsidP="005D4660">
      <w:pPr>
        <w:pStyle w:val="BodyText"/>
        <w:spacing w:before="0" w:after="40"/>
      </w:pPr>
      <w:r w:rsidRPr="00E3756C">
        <w:t>New Zealand Defence Force</w:t>
      </w:r>
    </w:p>
    <w:p w14:paraId="3180D4AE" w14:textId="77777777" w:rsidR="005D4660" w:rsidRPr="00E3756C" w:rsidRDefault="005D4660" w:rsidP="005D4660">
      <w:pPr>
        <w:pStyle w:val="BodyText"/>
        <w:spacing w:before="0" w:after="40"/>
      </w:pPr>
      <w:r w:rsidRPr="00E3756C">
        <w:t>The Office for Māori Crown Relations – Te Arawhiti</w:t>
      </w:r>
    </w:p>
    <w:p w14:paraId="366BE836" w14:textId="77777777" w:rsidR="005D4660" w:rsidRPr="00E3756C" w:rsidRDefault="005D4660" w:rsidP="005D4660">
      <w:pPr>
        <w:pStyle w:val="BodyText"/>
        <w:spacing w:before="0" w:after="40"/>
      </w:pPr>
      <w:r w:rsidRPr="00E3756C">
        <w:t>Land Information New Zealand</w:t>
      </w:r>
    </w:p>
    <w:p w14:paraId="64B820A7" w14:textId="77777777" w:rsidR="005D4660" w:rsidRPr="00E3756C" w:rsidRDefault="005D4660" w:rsidP="005D4660">
      <w:pPr>
        <w:pStyle w:val="BodyText"/>
        <w:spacing w:before="0" w:after="40"/>
      </w:pPr>
      <w:r w:rsidRPr="00E3756C">
        <w:t>Ministry of Civil Defence and Emergency Management</w:t>
      </w:r>
    </w:p>
    <w:p w14:paraId="06C999FD" w14:textId="77777777" w:rsidR="005D4660" w:rsidRPr="00E3756C" w:rsidRDefault="005D4660" w:rsidP="005D4660">
      <w:pPr>
        <w:pStyle w:val="Heading5"/>
        <w:spacing w:after="120"/>
      </w:pPr>
      <w:r w:rsidRPr="00E3756C">
        <w:t>Local government</w:t>
      </w:r>
    </w:p>
    <w:p w14:paraId="7F2520ED" w14:textId="77777777" w:rsidR="005D4660" w:rsidRPr="00E3756C" w:rsidRDefault="005D4660" w:rsidP="005D4660">
      <w:pPr>
        <w:pStyle w:val="BodyText"/>
        <w:spacing w:before="0" w:after="40"/>
      </w:pPr>
      <w:r w:rsidRPr="00E3756C">
        <w:t>Local Government New Zealand</w:t>
      </w:r>
    </w:p>
    <w:p w14:paraId="4E6D0FC5" w14:textId="77777777" w:rsidR="005D4660" w:rsidRPr="00E3756C" w:rsidRDefault="005D4660" w:rsidP="005D4660">
      <w:pPr>
        <w:pStyle w:val="BodyText"/>
        <w:spacing w:before="0" w:after="40"/>
      </w:pPr>
      <w:r w:rsidRPr="00E3756C">
        <w:t>Auckland Council</w:t>
      </w:r>
    </w:p>
    <w:p w14:paraId="4902D328" w14:textId="77777777" w:rsidR="005D4660" w:rsidRPr="00E3756C" w:rsidRDefault="005D4660" w:rsidP="005D4660">
      <w:pPr>
        <w:pStyle w:val="BodyText"/>
        <w:spacing w:before="0" w:after="40"/>
      </w:pPr>
      <w:r w:rsidRPr="00E3756C">
        <w:t>Otago Regional Council</w:t>
      </w:r>
    </w:p>
    <w:p w14:paraId="0C6B702A" w14:textId="77777777" w:rsidR="005D4660" w:rsidRPr="00E3756C" w:rsidRDefault="005D4660" w:rsidP="005D4660">
      <w:pPr>
        <w:pStyle w:val="BodyText"/>
        <w:spacing w:before="0" w:after="40"/>
      </w:pPr>
      <w:r w:rsidRPr="00E3756C">
        <w:t>Whakatāne District Council</w:t>
      </w:r>
    </w:p>
    <w:p w14:paraId="10BAAB71" w14:textId="77777777" w:rsidR="005D4660" w:rsidRPr="00E3756C" w:rsidRDefault="005D4660" w:rsidP="005D4660">
      <w:pPr>
        <w:pStyle w:val="BodyText"/>
        <w:spacing w:before="0" w:after="40"/>
      </w:pPr>
      <w:r w:rsidRPr="00E3756C">
        <w:t>Hawke’s Bay Regional Council</w:t>
      </w:r>
    </w:p>
    <w:p w14:paraId="644FB9A8" w14:textId="77777777" w:rsidR="005D4660" w:rsidRPr="00E3756C" w:rsidRDefault="005D4660" w:rsidP="005D4660">
      <w:pPr>
        <w:pStyle w:val="BodyText"/>
        <w:spacing w:before="0" w:after="40"/>
      </w:pPr>
      <w:r w:rsidRPr="00E3756C">
        <w:t>Gisborne District Council</w:t>
      </w:r>
    </w:p>
    <w:p w14:paraId="6192574B" w14:textId="77777777" w:rsidR="005D4660" w:rsidRPr="00E3756C" w:rsidRDefault="005D4660" w:rsidP="005D4660">
      <w:pPr>
        <w:pStyle w:val="BodyText"/>
        <w:spacing w:before="0" w:after="40"/>
      </w:pPr>
      <w:r w:rsidRPr="00E3756C">
        <w:t>Northland Regional Council</w:t>
      </w:r>
    </w:p>
    <w:p w14:paraId="462BBC5A" w14:textId="77777777" w:rsidR="005D4660" w:rsidRPr="00E3756C" w:rsidRDefault="005D4660" w:rsidP="005D4660">
      <w:pPr>
        <w:pStyle w:val="BodyText"/>
        <w:spacing w:before="0" w:after="40"/>
      </w:pPr>
      <w:r w:rsidRPr="00E3756C">
        <w:t>Nelson City Council</w:t>
      </w:r>
    </w:p>
    <w:p w14:paraId="16E595F3" w14:textId="77777777" w:rsidR="005D4660" w:rsidRPr="00E3756C" w:rsidRDefault="005D4660" w:rsidP="005D4660">
      <w:pPr>
        <w:pStyle w:val="BodyText"/>
        <w:spacing w:before="0" w:after="40"/>
      </w:pPr>
      <w:r w:rsidRPr="00E3756C">
        <w:t>Environment Canterbury</w:t>
      </w:r>
    </w:p>
    <w:p w14:paraId="00B6492C" w14:textId="77777777" w:rsidR="005D4660" w:rsidRPr="00E3756C" w:rsidRDefault="005D4660" w:rsidP="005D4660">
      <w:pPr>
        <w:pStyle w:val="BodyText"/>
        <w:spacing w:before="0" w:after="40"/>
      </w:pPr>
      <w:r w:rsidRPr="00E3756C">
        <w:t>Horizons Regional Council</w:t>
      </w:r>
    </w:p>
    <w:p w14:paraId="6C21D1CE" w14:textId="77777777" w:rsidR="00796A6F" w:rsidRPr="00E3756C" w:rsidRDefault="00796A6F" w:rsidP="00EC2178">
      <w:pPr>
        <w:pStyle w:val="BodyText"/>
        <w:spacing w:before="0" w:after="40"/>
      </w:pPr>
    </w:p>
    <w:p w14:paraId="687ACE36" w14:textId="77777777" w:rsidR="00BC5449" w:rsidRPr="00E3756C" w:rsidRDefault="00BC5449">
      <w:pPr>
        <w:spacing w:before="0" w:after="200" w:line="276" w:lineRule="auto"/>
        <w:jc w:val="left"/>
      </w:pPr>
      <w:r w:rsidRPr="00E3756C">
        <w:br w:type="page"/>
      </w:r>
    </w:p>
    <w:p w14:paraId="4A45D518" w14:textId="77777777" w:rsidR="00BC5449" w:rsidRPr="00E3756C" w:rsidRDefault="00BC5449" w:rsidP="00BC5449">
      <w:pPr>
        <w:pStyle w:val="Heading1"/>
      </w:pPr>
      <w:bookmarkStart w:id="2" w:name="_Toc15409134"/>
      <w:r w:rsidRPr="00E3756C">
        <w:lastRenderedPageBreak/>
        <w:t>He tirohanga Māori</w:t>
      </w:r>
      <w:bookmarkEnd w:id="2"/>
    </w:p>
    <w:p w14:paraId="740CCDA3" w14:textId="77777777" w:rsidR="00BC5449" w:rsidRPr="00E3756C" w:rsidRDefault="00BC5449" w:rsidP="00977C56">
      <w:pPr>
        <w:pStyle w:val="Heading2"/>
        <w:spacing w:before="120" w:after="60"/>
      </w:pPr>
      <w:bookmarkStart w:id="3" w:name="_Karakia_(recitation)"/>
      <w:bookmarkStart w:id="4" w:name="karakia"/>
      <w:bookmarkStart w:id="5" w:name="_Toc15409135"/>
      <w:bookmarkEnd w:id="3"/>
      <w:r w:rsidRPr="00E3756C">
        <w:t>Karakia</w:t>
      </w:r>
      <w:bookmarkEnd w:id="4"/>
      <w:r w:rsidRPr="00E3756C">
        <w:t xml:space="preserve"> (recitation)</w:t>
      </w:r>
      <w:bookmarkEnd w:id="5"/>
    </w:p>
    <w:p w14:paraId="2A39D0D7" w14:textId="77777777" w:rsidR="00BC5449" w:rsidRPr="00E3756C" w:rsidRDefault="00BC5449" w:rsidP="00BC5449">
      <w:pPr>
        <w:pStyle w:val="BodyText"/>
        <w:spacing w:after="40"/>
        <w:jc w:val="center"/>
        <w:rPr>
          <w:color w:val="0F7B7D" w:themeColor="accent2"/>
        </w:rPr>
      </w:pPr>
      <w:r w:rsidRPr="00E3756C">
        <w:rPr>
          <w:color w:val="0F7B7D" w:themeColor="accent2"/>
        </w:rPr>
        <w:t>Ko Rangi</w:t>
      </w:r>
    </w:p>
    <w:p w14:paraId="070D8DDE" w14:textId="77777777" w:rsidR="00BC5449" w:rsidRPr="00E3756C" w:rsidRDefault="00BC5449" w:rsidP="00BC5449">
      <w:pPr>
        <w:pStyle w:val="BodyText"/>
        <w:spacing w:before="0" w:after="40"/>
        <w:jc w:val="center"/>
        <w:rPr>
          <w:color w:val="0F7B7D" w:themeColor="accent2"/>
        </w:rPr>
      </w:pPr>
      <w:r w:rsidRPr="00E3756C">
        <w:rPr>
          <w:color w:val="0F7B7D" w:themeColor="accent2"/>
        </w:rPr>
        <w:t>Ko Papa</w:t>
      </w:r>
    </w:p>
    <w:p w14:paraId="2E08353F" w14:textId="77777777" w:rsidR="00BC5449" w:rsidRPr="00E3756C" w:rsidRDefault="00BC5449" w:rsidP="00BC5449">
      <w:pPr>
        <w:pStyle w:val="BodyText"/>
        <w:spacing w:before="0" w:after="40"/>
        <w:jc w:val="center"/>
        <w:rPr>
          <w:color w:val="0F7B7D" w:themeColor="accent2"/>
        </w:rPr>
      </w:pPr>
      <w:r w:rsidRPr="00E3756C">
        <w:rPr>
          <w:color w:val="0F7B7D" w:themeColor="accent2"/>
        </w:rPr>
        <w:t>Ka puta, ko Rongo</w:t>
      </w:r>
    </w:p>
    <w:p w14:paraId="0BEF8330" w14:textId="77777777" w:rsidR="00BC5449" w:rsidRPr="00E3756C" w:rsidRDefault="00BC5449" w:rsidP="00BC5449">
      <w:pPr>
        <w:pStyle w:val="BodyText"/>
        <w:spacing w:before="0" w:after="40"/>
        <w:jc w:val="center"/>
        <w:rPr>
          <w:color w:val="0F7B7D" w:themeColor="accent2"/>
        </w:rPr>
      </w:pPr>
      <w:r w:rsidRPr="00E3756C">
        <w:rPr>
          <w:color w:val="0F7B7D" w:themeColor="accent2"/>
        </w:rPr>
        <w:t>Ko Tānemahuta</w:t>
      </w:r>
    </w:p>
    <w:p w14:paraId="7E887EFB" w14:textId="77777777" w:rsidR="00BC5449" w:rsidRPr="00E3756C" w:rsidRDefault="00BC5449" w:rsidP="00BC5449">
      <w:pPr>
        <w:pStyle w:val="BodyText"/>
        <w:spacing w:before="0" w:after="40"/>
        <w:jc w:val="center"/>
        <w:rPr>
          <w:color w:val="0F7B7D" w:themeColor="accent2"/>
        </w:rPr>
      </w:pPr>
      <w:r w:rsidRPr="00E3756C">
        <w:rPr>
          <w:color w:val="0F7B7D" w:themeColor="accent2"/>
        </w:rPr>
        <w:t>Ko Tangaroa</w:t>
      </w:r>
    </w:p>
    <w:p w14:paraId="557C6C60" w14:textId="77777777" w:rsidR="00BC5449" w:rsidRPr="00E3756C" w:rsidRDefault="00BC5449" w:rsidP="00BC5449">
      <w:pPr>
        <w:pStyle w:val="BodyText"/>
        <w:spacing w:before="0" w:after="40"/>
        <w:jc w:val="center"/>
        <w:rPr>
          <w:color w:val="0F7B7D" w:themeColor="accent2"/>
        </w:rPr>
      </w:pPr>
      <w:r w:rsidRPr="00E3756C">
        <w:rPr>
          <w:color w:val="0F7B7D" w:themeColor="accent2"/>
        </w:rPr>
        <w:t>Ko Tūmatauenga</w:t>
      </w:r>
    </w:p>
    <w:p w14:paraId="21568F32" w14:textId="77777777" w:rsidR="00BC5449" w:rsidRPr="00E3756C" w:rsidRDefault="00BC5449" w:rsidP="00BC5449">
      <w:pPr>
        <w:pStyle w:val="BodyText"/>
        <w:spacing w:before="0" w:after="40"/>
        <w:jc w:val="center"/>
        <w:rPr>
          <w:color w:val="0F7B7D" w:themeColor="accent2"/>
        </w:rPr>
      </w:pPr>
      <w:r w:rsidRPr="00E3756C">
        <w:rPr>
          <w:color w:val="0F7B7D" w:themeColor="accent2"/>
        </w:rPr>
        <w:t>Ko Haumiatiketike</w:t>
      </w:r>
    </w:p>
    <w:p w14:paraId="10C02F5C" w14:textId="77777777" w:rsidR="00BC5449" w:rsidRPr="00E3756C" w:rsidRDefault="00BC5449" w:rsidP="00BC5449">
      <w:pPr>
        <w:pStyle w:val="BodyText"/>
        <w:spacing w:before="0" w:after="40"/>
        <w:jc w:val="center"/>
        <w:rPr>
          <w:color w:val="0F7B7D" w:themeColor="accent2"/>
        </w:rPr>
      </w:pPr>
      <w:r w:rsidRPr="00E3756C">
        <w:rPr>
          <w:color w:val="0F7B7D" w:themeColor="accent2"/>
        </w:rPr>
        <w:t>Ko Tāwhirimātea</w:t>
      </w:r>
    </w:p>
    <w:p w14:paraId="37E586C2" w14:textId="77777777" w:rsidR="00BC5449" w:rsidRPr="00E3756C" w:rsidRDefault="00BC5449" w:rsidP="00BC5449">
      <w:pPr>
        <w:pStyle w:val="BodyText"/>
        <w:spacing w:before="0" w:after="40"/>
        <w:jc w:val="center"/>
        <w:rPr>
          <w:color w:val="0F7B7D" w:themeColor="accent2"/>
        </w:rPr>
      </w:pPr>
      <w:r w:rsidRPr="00E3756C">
        <w:rPr>
          <w:color w:val="0F7B7D" w:themeColor="accent2"/>
        </w:rPr>
        <w:t>Tokona a Rangi ki runga</w:t>
      </w:r>
    </w:p>
    <w:p w14:paraId="7B6F8C00" w14:textId="77777777" w:rsidR="00BC5449" w:rsidRPr="00E3756C" w:rsidRDefault="00BC5449" w:rsidP="00BC5449">
      <w:pPr>
        <w:pStyle w:val="BodyText"/>
        <w:spacing w:before="0" w:after="40"/>
        <w:jc w:val="center"/>
        <w:rPr>
          <w:color w:val="0F7B7D" w:themeColor="accent2"/>
        </w:rPr>
      </w:pPr>
      <w:r w:rsidRPr="00E3756C">
        <w:rPr>
          <w:color w:val="0F7B7D" w:themeColor="accent2"/>
        </w:rPr>
        <w:t>Ko Papa ki raro</w:t>
      </w:r>
    </w:p>
    <w:p w14:paraId="015ADFCE" w14:textId="77777777" w:rsidR="00BC5449" w:rsidRPr="00E3756C" w:rsidRDefault="00BC5449" w:rsidP="00BC5449">
      <w:pPr>
        <w:pStyle w:val="BodyText"/>
        <w:spacing w:before="0" w:after="40"/>
        <w:jc w:val="center"/>
        <w:rPr>
          <w:color w:val="0F7B7D" w:themeColor="accent2"/>
        </w:rPr>
      </w:pPr>
      <w:r w:rsidRPr="00E3756C">
        <w:rPr>
          <w:color w:val="0F7B7D" w:themeColor="accent2"/>
        </w:rPr>
        <w:t>Ka puta te ira tangata ki te whai ao ki te ao mārama</w:t>
      </w:r>
    </w:p>
    <w:p w14:paraId="1648826F" w14:textId="77777777" w:rsidR="00BC5449" w:rsidRPr="00E3756C" w:rsidRDefault="00BC5449" w:rsidP="00BC5449">
      <w:pPr>
        <w:pStyle w:val="BodyText"/>
        <w:spacing w:before="0" w:after="40"/>
        <w:jc w:val="center"/>
        <w:rPr>
          <w:color w:val="0F7B7D" w:themeColor="accent2"/>
        </w:rPr>
      </w:pPr>
      <w:r w:rsidRPr="00E3756C">
        <w:rPr>
          <w:color w:val="0F7B7D" w:themeColor="accent2"/>
        </w:rPr>
        <w:t>E rongo whakairi ake ki runga kia tīna, tīna!</w:t>
      </w:r>
    </w:p>
    <w:p w14:paraId="76C09053" w14:textId="77777777" w:rsidR="00BC5449" w:rsidRPr="00E3756C" w:rsidRDefault="00BC5449" w:rsidP="00BC5449">
      <w:pPr>
        <w:pStyle w:val="BodyText"/>
        <w:spacing w:before="0"/>
        <w:jc w:val="center"/>
        <w:rPr>
          <w:color w:val="0F7B7D" w:themeColor="accent2"/>
        </w:rPr>
      </w:pPr>
      <w:r w:rsidRPr="00E3756C">
        <w:rPr>
          <w:color w:val="0F7B7D" w:themeColor="accent2"/>
        </w:rPr>
        <w:t>Haumi e, hui e, tāiki e!</w:t>
      </w:r>
    </w:p>
    <w:p w14:paraId="546DA7BD" w14:textId="77777777" w:rsidR="000D4177" w:rsidRPr="00E3756C" w:rsidRDefault="000D4177" w:rsidP="00826BEB">
      <w:pPr>
        <w:pStyle w:val="BodyText"/>
      </w:pPr>
      <w:r w:rsidRPr="00E3756C">
        <w:t>A Māori worldview describes the interconnectedness of the environment and people and that</w:t>
      </w:r>
      <w:r w:rsidR="00456B92">
        <w:t> </w:t>
      </w:r>
      <w:r w:rsidRPr="00E3756C">
        <w:t>the health and wellbeing of both are intertwined and deeply connected. Whakapapa (genealogy) is reflected in our environment, connecting people to place through ancestral connections, heritage and bloodlines. People draw sustenance from the natural environment in</w:t>
      </w:r>
      <w:r w:rsidR="00456B92">
        <w:t> </w:t>
      </w:r>
      <w:r w:rsidRPr="00E3756C">
        <w:t>order to thrive, and the environment in turn must be taken care of by the people; the environment and people are both connected and co-dependent.</w:t>
      </w:r>
    </w:p>
    <w:p w14:paraId="0DC8EF54" w14:textId="77777777" w:rsidR="000D4177" w:rsidRPr="00E3756C" w:rsidRDefault="000D4177" w:rsidP="00826BEB">
      <w:pPr>
        <w:pStyle w:val="BodyText"/>
      </w:pPr>
      <w:r w:rsidRPr="00E3756C">
        <w:t>This karakia speaks of the orokohangahanga or creation narrative of Ranginui (Sky Father) and Papatūānuku (Earth Mother) and their children – ngā atua Māori (Māori deities). Through these atua, the various realms of our natural world and taiao (environment) and of tāngata (men and women) are represented. The karakia recites the whakapapa of these atua, beginning with Ranginui and Papatūānuku and their separation bringing forth te ao mārama (the world of light and enlightenment). It is through this process of seeking te ao mārama that the human form was created from the red ochre of the land, making both taiao (environment)and tangata (people) inextricably connected (Barlow and Wineti, 1991; Buck, 1950; Mead,</w:t>
      </w:r>
      <w:r w:rsidR="00FC239B">
        <w:t xml:space="preserve"> </w:t>
      </w:r>
      <w:r w:rsidRPr="00E3756C">
        <w:t>2016). The significance of this karakia and narrative in the context of te huringa āhuarangi (climate change)</w:t>
      </w:r>
      <w:r w:rsidR="00826BEB">
        <w:t> </w:t>
      </w:r>
      <w:r w:rsidRPr="00E3756C">
        <w:t xml:space="preserve">represents the deep connection and relationship between environment and people. The </w:t>
      </w:r>
      <w:r w:rsidR="000A17DE">
        <w:t>wellbeing</w:t>
      </w:r>
      <w:r w:rsidRPr="00E3756C">
        <w:t xml:space="preserve"> and health of the environment and people are paramount – one must look after the other and vice versa.</w:t>
      </w:r>
    </w:p>
    <w:p w14:paraId="7092320B" w14:textId="77777777" w:rsidR="000D4177" w:rsidRPr="00E3756C" w:rsidRDefault="000D4177" w:rsidP="000D4177">
      <w:pPr>
        <w:pStyle w:val="BodyText"/>
        <w:spacing w:after="0"/>
        <w:rPr>
          <w:color w:val="7F7F7F" w:themeColor="text1" w:themeTint="80"/>
        </w:rPr>
      </w:pPr>
      <w:r w:rsidRPr="00E3756C">
        <w:rPr>
          <w:color w:val="7F7F7F" w:themeColor="text1" w:themeTint="80"/>
        </w:rPr>
        <w:t>Ki te kore te tangata e manaaki i tōna taiao, ka kore te tangata e whai oranga</w:t>
      </w:r>
    </w:p>
    <w:p w14:paraId="3396C99B" w14:textId="77777777" w:rsidR="000D4177" w:rsidRPr="00E3756C" w:rsidRDefault="000D4177" w:rsidP="000D4177">
      <w:pPr>
        <w:pStyle w:val="BodyText"/>
        <w:spacing w:before="0"/>
        <w:rPr>
          <w:i/>
          <w:color w:val="7F7F7F" w:themeColor="text1" w:themeTint="80"/>
        </w:rPr>
      </w:pPr>
      <w:r w:rsidRPr="00E3756C">
        <w:rPr>
          <w:i/>
          <w:color w:val="7F7F7F" w:themeColor="text1" w:themeTint="80"/>
        </w:rPr>
        <w:t>If people do not take care of the environment, we are not taking care of our own health and </w:t>
      </w:r>
      <w:r w:rsidR="000A17DE">
        <w:rPr>
          <w:i/>
          <w:color w:val="7F7F7F" w:themeColor="text1" w:themeTint="80"/>
        </w:rPr>
        <w:t>wellbeing</w:t>
      </w:r>
      <w:r w:rsidRPr="00E3756C">
        <w:rPr>
          <w:i/>
          <w:color w:val="7F7F7F" w:themeColor="text1" w:themeTint="80"/>
        </w:rPr>
        <w:t>.</w:t>
      </w:r>
    </w:p>
    <w:p w14:paraId="3AC111A8" w14:textId="77777777" w:rsidR="000D4177" w:rsidRPr="00E3756C" w:rsidRDefault="000D4177" w:rsidP="000D4177">
      <w:pPr>
        <w:pStyle w:val="BodyText"/>
      </w:pPr>
      <w:r w:rsidRPr="00E3756C">
        <w:t>A holistic approach to understanding the impacts of climate change on the environment and people is required, to identify ways to adapt and prepare for change, and to change our practices to reduce the impacts. This framework recognises the importance of values as part of</w:t>
      </w:r>
      <w:r w:rsidR="00456B92">
        <w:t> </w:t>
      </w:r>
      <w:r w:rsidRPr="00E3756C">
        <w:t xml:space="preserve">the holistic approach to a Te Ao Māori lens and perspective. To understand the implicit connections between taiao and tangata, we have developed a set of mātāpono (guiding principles and broad values) that contextualise the creation narrative in practical ways and that </w:t>
      </w:r>
      <w:r w:rsidRPr="00E3756C">
        <w:lastRenderedPageBreak/>
        <w:t>represent the connection between taiao and tangata. These mātāpono underpin the entire framework, as well as the risk assessment process.</w:t>
      </w:r>
    </w:p>
    <w:p w14:paraId="1BCF2569" w14:textId="77777777" w:rsidR="000D4177" w:rsidRPr="00E3756C" w:rsidRDefault="000D4177" w:rsidP="000D4177">
      <w:pPr>
        <w:pStyle w:val="Heading2"/>
      </w:pPr>
      <w:bookmarkStart w:id="6" w:name="_Toc15409136"/>
      <w:r w:rsidRPr="00E3756C">
        <w:t>Ngā mātāpono (guiding principles)</w:t>
      </w:r>
      <w:bookmarkEnd w:id="6"/>
    </w:p>
    <w:p w14:paraId="74DAFCA4" w14:textId="77777777" w:rsidR="000D4177" w:rsidRPr="00E3756C" w:rsidRDefault="000D4177" w:rsidP="000D4177">
      <w:pPr>
        <w:pStyle w:val="BodyText"/>
      </w:pPr>
      <w:r w:rsidRPr="00E3756C">
        <w:t xml:space="preserve">The framework presented here for the Arotakenga Huringa Āhuarangi – the first National Climate Change Risk Assessment – is underpinned by a set of mātāpono that ensure the notion of taiao and tangata remain an important focal point when considering and undertaking the risk assessment. </w:t>
      </w:r>
    </w:p>
    <w:p w14:paraId="101B1512" w14:textId="77777777" w:rsidR="000D4177" w:rsidRPr="00E3756C" w:rsidRDefault="000D4177" w:rsidP="000D4177">
      <w:pPr>
        <w:pStyle w:val="BodyText"/>
        <w:spacing w:after="240"/>
      </w:pPr>
      <w:r w:rsidRPr="00E3756C">
        <w:t xml:space="preserve">The mātāpono, which are additional to Te Tiriti o Waitangi principles, are shown in box 1. These are based on the principles presented in the </w:t>
      </w:r>
      <w:r w:rsidRPr="00E3756C">
        <w:rPr>
          <w:i/>
        </w:rPr>
        <w:t>National Disaster Resilience Strategy</w:t>
      </w:r>
      <w:r w:rsidRPr="00E3756C">
        <w:t xml:space="preserve"> (NDRS) (Ministry of Civil Defence and Emergency Management, 2019), with the addition of </w:t>
      </w:r>
      <w:r w:rsidRPr="00E3756C">
        <w:rPr>
          <w:rFonts w:cs="Calibri"/>
        </w:rPr>
        <w:t>ō</w:t>
      </w:r>
      <w:r w:rsidRPr="00E3756C">
        <w:t xml:space="preserve">hanga (prosperity), which is informed by the Treasury’s Living Standards Framework (LSF) (New Zealand Treasury, 2018). Both are discussed further in chapter A3. </w:t>
      </w:r>
    </w:p>
    <w:p w14:paraId="7A03FFD2" w14:textId="77777777" w:rsidR="000D4177" w:rsidRPr="00E3756C" w:rsidRDefault="000D4177" w:rsidP="000D4177">
      <w:pPr>
        <w:pStyle w:val="BodyText"/>
        <w:spacing w:after="240"/>
      </w:pPr>
      <w:r w:rsidRPr="00E3756C">
        <w:t>The principles are framed so each is offered in te reo Māori and followed by a translation. The three points that follow each principle are not an exhaustive list but give examples of what the principle could look like in practice. This framework will be most successful when these principles are used to guide practice (both in the risk assessment process and in engagement) and, essentially, are lived.</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D4177" w:rsidRPr="00E3756C" w14:paraId="484154AE" w14:textId="77777777" w:rsidTr="00633AA6">
        <w:trPr>
          <w:trHeight w:val="7686"/>
        </w:trPr>
        <w:tc>
          <w:tcPr>
            <w:tcW w:w="0" w:type="auto"/>
            <w:tcBorders>
              <w:bottom w:val="nil"/>
            </w:tcBorders>
            <w:shd w:val="clear" w:color="auto" w:fill="D2DDE2"/>
          </w:tcPr>
          <w:p w14:paraId="067A028B" w14:textId="77777777" w:rsidR="000D4177" w:rsidRPr="00E3756C" w:rsidRDefault="000D4177" w:rsidP="003E4207">
            <w:pPr>
              <w:pStyle w:val="Blueboxheading"/>
              <w:keepNext w:val="0"/>
              <w:ind w:left="964" w:hanging="680"/>
            </w:pPr>
            <w:bookmarkStart w:id="7" w:name="box1"/>
            <w:r w:rsidRPr="00E3756C">
              <w:t>Box 1</w:t>
            </w:r>
            <w:bookmarkEnd w:id="7"/>
            <w:r w:rsidRPr="00E3756C">
              <w:t>:</w:t>
            </w:r>
            <w:r w:rsidRPr="00E3756C">
              <w:tab/>
              <w:t>Ngā Mātāpono o Te Arotakenga Huringa Āhuarangi (Guiding Principles for the National Climate Change Risk Assessment Framework)</w:t>
            </w:r>
          </w:p>
          <w:p w14:paraId="11C04DAA" w14:textId="77777777" w:rsidR="000D4177" w:rsidRPr="00E3756C" w:rsidRDefault="000D4177" w:rsidP="003E4207">
            <w:pPr>
              <w:pStyle w:val="Blueboxheading"/>
              <w:keepNext w:val="0"/>
              <w:spacing w:before="120" w:after="120"/>
            </w:pPr>
            <w:r w:rsidRPr="00E3756C">
              <w:t>Manaakitanga (Care and reciprocity)</w:t>
            </w:r>
          </w:p>
          <w:p w14:paraId="19702AF5" w14:textId="77777777" w:rsidR="000D4177" w:rsidRPr="00E3756C" w:rsidRDefault="000D4177" w:rsidP="003E4207">
            <w:pPr>
              <w:pStyle w:val="Blue-boxbullet"/>
            </w:pPr>
            <w:r w:rsidRPr="00E3756C">
              <w:t>Respect and care for others and the environment.</w:t>
            </w:r>
          </w:p>
          <w:p w14:paraId="7F2CB551" w14:textId="77777777" w:rsidR="000D4177" w:rsidRPr="00E3756C" w:rsidRDefault="000D4177" w:rsidP="003E4207">
            <w:pPr>
              <w:pStyle w:val="Blue-boxbullet"/>
            </w:pPr>
            <w:r w:rsidRPr="00E3756C">
              <w:t xml:space="preserve">Responsibility to prioritise </w:t>
            </w:r>
            <w:r w:rsidR="000A17DE">
              <w:t>wellbeing</w:t>
            </w:r>
            <w:r w:rsidRPr="00E3756C">
              <w:t xml:space="preserve"> and health for both.</w:t>
            </w:r>
          </w:p>
          <w:p w14:paraId="7134ED18" w14:textId="77777777" w:rsidR="000D4177" w:rsidRPr="00E3756C" w:rsidRDefault="000D4177" w:rsidP="003E4207">
            <w:pPr>
              <w:pStyle w:val="Blue-boxbullet"/>
            </w:pPr>
            <w:r w:rsidRPr="00E3756C">
              <w:t>Recognition that people and the environment are inextricable and connected.</w:t>
            </w:r>
          </w:p>
          <w:p w14:paraId="1678978D" w14:textId="77777777" w:rsidR="000D4177" w:rsidRPr="00E3756C" w:rsidRDefault="000D4177" w:rsidP="003E4207">
            <w:pPr>
              <w:pStyle w:val="Blueboxheading"/>
              <w:spacing w:before="120" w:after="120"/>
            </w:pPr>
            <w:r w:rsidRPr="00E3756C">
              <w:t>Kaitiakitanga (Intergenerational sustainability)</w:t>
            </w:r>
          </w:p>
          <w:p w14:paraId="2B5AAA01" w14:textId="77777777" w:rsidR="000D4177" w:rsidRPr="00E3756C" w:rsidRDefault="000D4177" w:rsidP="003E4207">
            <w:pPr>
              <w:pStyle w:val="Blue-boxbullet"/>
            </w:pPr>
            <w:r w:rsidRPr="00E3756C">
              <w:t xml:space="preserve">Protect and guard our taonga (environmental assets). </w:t>
            </w:r>
          </w:p>
          <w:p w14:paraId="5038C187" w14:textId="77777777" w:rsidR="000D4177" w:rsidRPr="00E3756C" w:rsidRDefault="000D4177" w:rsidP="003E4207">
            <w:pPr>
              <w:pStyle w:val="Blue-boxbullet"/>
            </w:pPr>
            <w:r w:rsidRPr="00E3756C">
              <w:t>Recognise the mauri (life force and essence) of the environment (ie, personification of landmarks and waterways).</w:t>
            </w:r>
          </w:p>
          <w:p w14:paraId="2C6537BA" w14:textId="77777777" w:rsidR="000D4177" w:rsidRPr="00E3756C" w:rsidRDefault="000D4177" w:rsidP="003E4207">
            <w:pPr>
              <w:pStyle w:val="Blue-boxbullet"/>
            </w:pPr>
            <w:r w:rsidRPr="00E3756C">
              <w:t>Guardianship of the environment for future generations.</w:t>
            </w:r>
          </w:p>
          <w:p w14:paraId="4217B2B0" w14:textId="77777777" w:rsidR="000D4177" w:rsidRPr="00E3756C" w:rsidRDefault="000D4177" w:rsidP="003E4207">
            <w:pPr>
              <w:pStyle w:val="Blueboxheading"/>
              <w:keepNext w:val="0"/>
              <w:spacing w:before="120" w:after="120"/>
            </w:pPr>
            <w:r w:rsidRPr="00E3756C">
              <w:t>Whanaungatanga (Connectedness and relationships)</w:t>
            </w:r>
          </w:p>
          <w:p w14:paraId="222ED4CB" w14:textId="77777777" w:rsidR="000D4177" w:rsidRPr="00E3756C" w:rsidRDefault="000D4177" w:rsidP="003E4207">
            <w:pPr>
              <w:pStyle w:val="Blue-boxbullet"/>
            </w:pPr>
            <w:r w:rsidRPr="00E3756C">
              <w:t xml:space="preserve">Recognition of Crown–Māori partnership through Te Tiriti o Waitangi. </w:t>
            </w:r>
          </w:p>
          <w:p w14:paraId="79A634D4" w14:textId="77777777" w:rsidR="000D4177" w:rsidRPr="00E3756C" w:rsidRDefault="000D4177" w:rsidP="003E4207">
            <w:pPr>
              <w:pStyle w:val="Blue-boxbullet"/>
            </w:pPr>
            <w:r w:rsidRPr="00E3756C">
              <w:t>Engagement, communication and shared experiences.</w:t>
            </w:r>
          </w:p>
          <w:p w14:paraId="784594FC" w14:textId="77777777" w:rsidR="000D4177" w:rsidRPr="00E3756C" w:rsidRDefault="000D4177" w:rsidP="003E4207">
            <w:pPr>
              <w:pStyle w:val="Blue-boxbullet"/>
            </w:pPr>
            <w:r w:rsidRPr="00E3756C">
              <w:t>Collaboration and collective action with marae, hapū and iwi and communities.</w:t>
            </w:r>
          </w:p>
          <w:p w14:paraId="20717E03" w14:textId="77777777" w:rsidR="000D4177" w:rsidRPr="00E3756C" w:rsidRDefault="000D4177" w:rsidP="003E4207">
            <w:pPr>
              <w:pStyle w:val="Blueboxheading"/>
              <w:keepNext w:val="0"/>
              <w:spacing w:before="120" w:after="120"/>
            </w:pPr>
            <w:r w:rsidRPr="00E3756C">
              <w:t>Ōhanga (Prosperity)</w:t>
            </w:r>
          </w:p>
          <w:p w14:paraId="3CFBF34F" w14:textId="77777777" w:rsidR="000D4177" w:rsidRPr="00E3756C" w:rsidRDefault="000D4177" w:rsidP="003E4207">
            <w:pPr>
              <w:pStyle w:val="Blue-boxbullet"/>
            </w:pPr>
            <w:r w:rsidRPr="00E3756C">
              <w:t>Recognition of intergenerational equity.</w:t>
            </w:r>
          </w:p>
          <w:p w14:paraId="28B1FCB6" w14:textId="77777777" w:rsidR="000D4177" w:rsidRPr="00E3756C" w:rsidRDefault="000D4177" w:rsidP="003E4207">
            <w:pPr>
              <w:pStyle w:val="Blue-boxbullet"/>
            </w:pPr>
            <w:r w:rsidRPr="00E3756C">
              <w:t>Promotion of secure, stable and diverse livelihoods.</w:t>
            </w:r>
          </w:p>
          <w:p w14:paraId="4F3891E1" w14:textId="77777777" w:rsidR="000D4177" w:rsidRPr="00E3756C" w:rsidRDefault="000D4177" w:rsidP="003E4207">
            <w:pPr>
              <w:pStyle w:val="Blue-boxbullet"/>
            </w:pPr>
            <w:r w:rsidRPr="00E3756C">
              <w:t>Minimising negative externalities to our taonga from economic activities.</w:t>
            </w:r>
          </w:p>
        </w:tc>
      </w:tr>
      <w:tr w:rsidR="000D4177" w:rsidRPr="00E3756C" w14:paraId="600DBC30" w14:textId="77777777" w:rsidTr="00633AA6">
        <w:trPr>
          <w:trHeight w:val="787"/>
        </w:trPr>
        <w:tc>
          <w:tcPr>
            <w:tcW w:w="0" w:type="auto"/>
            <w:tcBorders>
              <w:top w:val="nil"/>
              <w:bottom w:val="single" w:sz="4" w:space="0" w:color="D2DDE2"/>
            </w:tcBorders>
            <w:shd w:val="clear" w:color="auto" w:fill="D2DDE2"/>
          </w:tcPr>
          <w:p w14:paraId="0D5A7F4A" w14:textId="77777777" w:rsidR="000D4177" w:rsidRPr="00E3756C" w:rsidRDefault="000D4177" w:rsidP="003E4207">
            <w:pPr>
              <w:pStyle w:val="Blueboxheading"/>
              <w:spacing w:after="120"/>
            </w:pPr>
            <w:r w:rsidRPr="00E3756C">
              <w:lastRenderedPageBreak/>
              <w:t>Rangatiratanga (Leadership and autonomy)</w:t>
            </w:r>
          </w:p>
          <w:p w14:paraId="63D1F8D2" w14:textId="77777777" w:rsidR="000D4177" w:rsidRPr="00E3756C" w:rsidRDefault="000D4177" w:rsidP="003E4207">
            <w:pPr>
              <w:pStyle w:val="Blue-boxbullet"/>
              <w:keepNext/>
            </w:pPr>
            <w:r w:rsidRPr="00E3756C">
              <w:t xml:space="preserve">Recognise, interweave and live Te Tiriti o Waitangi and its principles. </w:t>
            </w:r>
          </w:p>
          <w:p w14:paraId="0943804F" w14:textId="77777777" w:rsidR="000D4177" w:rsidRPr="00E3756C" w:rsidRDefault="000D4177" w:rsidP="003E4207">
            <w:pPr>
              <w:pStyle w:val="Blue-boxbullet"/>
              <w:keepNext/>
            </w:pPr>
            <w:r w:rsidRPr="00E3756C">
              <w:t xml:space="preserve">Respect the notions of mana whenua, mana moana, mana taiao. </w:t>
            </w:r>
          </w:p>
          <w:p w14:paraId="7D9E1F60" w14:textId="77777777" w:rsidR="000D4177" w:rsidRPr="00E3756C" w:rsidRDefault="000D4177" w:rsidP="003E4207">
            <w:pPr>
              <w:pStyle w:val="Blue-boxbullet"/>
              <w:keepNext/>
            </w:pPr>
            <w:r w:rsidRPr="00E3756C">
              <w:t>Be guided by scientific, historic, local and traditional mātauranga.</w:t>
            </w:r>
          </w:p>
          <w:p w14:paraId="3626AD6C" w14:textId="77777777" w:rsidR="000D4177" w:rsidRPr="00E3756C" w:rsidRDefault="000D4177" w:rsidP="003E4207">
            <w:pPr>
              <w:pStyle w:val="Blueboxheading"/>
              <w:spacing w:before="120" w:after="120"/>
            </w:pPr>
            <w:r w:rsidRPr="00E3756C">
              <w:t>Kia mahi ngātahi (Engagement and participation)</w:t>
            </w:r>
          </w:p>
          <w:p w14:paraId="04D7D258" w14:textId="77777777" w:rsidR="000D4177" w:rsidRPr="00E3756C" w:rsidRDefault="000D4177" w:rsidP="003E4207">
            <w:pPr>
              <w:pStyle w:val="Blue-boxbullet"/>
              <w:keepNext/>
            </w:pPr>
            <w:r w:rsidRPr="00E3756C">
              <w:t>National, regional and local agencies, including pan Māori, Māori, iwi and hapū representatives affected by the risk assessment and its outcomes, will be involved in the risk assessment process.</w:t>
            </w:r>
          </w:p>
          <w:p w14:paraId="66AD1FBB" w14:textId="77777777" w:rsidR="000D4177" w:rsidRPr="00E3756C" w:rsidRDefault="000D4177" w:rsidP="003E4207">
            <w:pPr>
              <w:pStyle w:val="Blue-boxbullet"/>
              <w:keepNext/>
            </w:pPr>
            <w:r w:rsidRPr="00E3756C">
              <w:t>Contributors to the risk assessment will have the opportunity to contribute to the development of the National Adaptation Plan (which will undergo a consultation process).</w:t>
            </w:r>
          </w:p>
          <w:p w14:paraId="1AA737C1" w14:textId="77777777" w:rsidR="000D4177" w:rsidRPr="00E3756C" w:rsidRDefault="000D4177" w:rsidP="003E4207">
            <w:pPr>
              <w:pStyle w:val="Blue-boxbullet"/>
              <w:keepNext/>
            </w:pPr>
            <w:r w:rsidRPr="00E3756C">
              <w:t xml:space="preserve">The engagement process will seek input from participants in designing how they participate. </w:t>
            </w:r>
          </w:p>
          <w:p w14:paraId="1C12B365" w14:textId="77777777" w:rsidR="000D4177" w:rsidRPr="00E3756C" w:rsidRDefault="000D4177" w:rsidP="003E4207">
            <w:pPr>
              <w:pStyle w:val="Blueboxheading"/>
              <w:spacing w:before="120" w:after="120"/>
            </w:pPr>
            <w:r w:rsidRPr="00E3756C">
              <w:t>Kia āwhina (Support)</w:t>
            </w:r>
          </w:p>
          <w:p w14:paraId="1478D9B9" w14:textId="77777777" w:rsidR="000D4177" w:rsidRPr="00E3756C" w:rsidRDefault="000D4177" w:rsidP="003E4207">
            <w:pPr>
              <w:pStyle w:val="Blue-boxbullet"/>
              <w:keepNext/>
            </w:pPr>
            <w:r w:rsidRPr="00E3756C">
              <w:t xml:space="preserve">Participation in the risk assessment will recognise the needs and interests of all participants, including decision-makers. </w:t>
            </w:r>
          </w:p>
          <w:p w14:paraId="7B45523D" w14:textId="77777777" w:rsidR="000D4177" w:rsidRPr="00E3756C" w:rsidRDefault="000D4177" w:rsidP="003E4207">
            <w:pPr>
              <w:pStyle w:val="Blue-boxbullet"/>
              <w:keepNext/>
            </w:pPr>
            <w:r w:rsidRPr="00E3756C">
              <w:t>Participants will be provided with the information they need to participate in a meaningful way</w:t>
            </w:r>
            <w:r w:rsidR="009E44A5">
              <w:t>;</w:t>
            </w:r>
            <w:r w:rsidRPr="00E3756C">
              <w:t xml:space="preserve"> their views will be respected and given due consideration.</w:t>
            </w:r>
          </w:p>
          <w:p w14:paraId="2D70EBAB" w14:textId="77777777" w:rsidR="000D4177" w:rsidRPr="00E3756C" w:rsidRDefault="000D4177" w:rsidP="003E4207">
            <w:pPr>
              <w:pStyle w:val="Blue-boxbullet"/>
              <w:keepNext/>
              <w:spacing w:after="240"/>
            </w:pPr>
            <w:r w:rsidRPr="00E3756C">
              <w:t>The outcomes will be communicated to participants along with how their input affected decisions.</w:t>
            </w:r>
          </w:p>
        </w:tc>
      </w:tr>
    </w:tbl>
    <w:p w14:paraId="09F958B4" w14:textId="77777777" w:rsidR="000D4177" w:rsidRPr="00E3756C" w:rsidRDefault="000D4177" w:rsidP="000D4177">
      <w:pPr>
        <w:pStyle w:val="BodyText"/>
      </w:pPr>
    </w:p>
    <w:p w14:paraId="3DCCAE02" w14:textId="77777777" w:rsidR="00295AA0" w:rsidRPr="00E3756C" w:rsidRDefault="00295AA0">
      <w:pPr>
        <w:spacing w:before="0" w:after="200" w:line="276" w:lineRule="auto"/>
        <w:jc w:val="left"/>
      </w:pPr>
      <w:r w:rsidRPr="00E3756C">
        <w:br w:type="page"/>
      </w:r>
    </w:p>
    <w:p w14:paraId="703C5A8A" w14:textId="77777777" w:rsidR="000F7323" w:rsidRPr="00E3756C" w:rsidRDefault="000F7323" w:rsidP="000F7323">
      <w:pPr>
        <w:pStyle w:val="BodyText"/>
      </w:pPr>
      <w:bookmarkStart w:id="8" w:name="_Toc13570333"/>
      <w:bookmarkStart w:id="9" w:name="_Toc14361525"/>
    </w:p>
    <w:p w14:paraId="566A5BD7" w14:textId="77777777" w:rsidR="000F7323" w:rsidRPr="00E3756C" w:rsidRDefault="000F7323" w:rsidP="000F7323">
      <w:pPr>
        <w:pStyle w:val="BodyText"/>
      </w:pPr>
    </w:p>
    <w:p w14:paraId="49521CC0" w14:textId="77777777" w:rsidR="000F7323" w:rsidRPr="00E3756C" w:rsidRDefault="000F7323" w:rsidP="000F7323">
      <w:pPr>
        <w:pStyle w:val="BodyText"/>
      </w:pPr>
    </w:p>
    <w:p w14:paraId="6E25BCD3" w14:textId="77777777" w:rsidR="000F7323" w:rsidRPr="00E3756C" w:rsidRDefault="000F7323" w:rsidP="000F7323">
      <w:pPr>
        <w:pStyle w:val="BodyText"/>
      </w:pPr>
    </w:p>
    <w:p w14:paraId="38C9EB01" w14:textId="77777777" w:rsidR="000F7323" w:rsidRPr="00E3756C" w:rsidRDefault="000F7323" w:rsidP="000F7323">
      <w:pPr>
        <w:pStyle w:val="BodyText"/>
      </w:pPr>
    </w:p>
    <w:p w14:paraId="3549650C" w14:textId="77777777" w:rsidR="000F7323" w:rsidRPr="00E3756C" w:rsidRDefault="000F7323" w:rsidP="000F7323">
      <w:pPr>
        <w:pStyle w:val="BodyText"/>
      </w:pPr>
    </w:p>
    <w:p w14:paraId="5BB65579" w14:textId="77777777" w:rsidR="00295AA0" w:rsidRDefault="00295AA0" w:rsidP="00977C56">
      <w:pPr>
        <w:pStyle w:val="Parttitle"/>
      </w:pPr>
      <w:r w:rsidRPr="00E3756C">
        <w:t>Part A</w:t>
      </w:r>
      <w:r w:rsidR="00B500AD" w:rsidRPr="00E3756C">
        <w:t>:</w:t>
      </w:r>
      <w:r w:rsidRPr="00E3756C">
        <w:t xml:space="preserve"> Background, </w:t>
      </w:r>
      <w:r w:rsidR="0042494E" w:rsidRPr="00E3756C">
        <w:t>c</w:t>
      </w:r>
      <w:r w:rsidRPr="00E3756C">
        <w:t>ontext and</w:t>
      </w:r>
      <w:r w:rsidR="00977C56" w:rsidRPr="00E3756C">
        <w:t> </w:t>
      </w:r>
      <w:r w:rsidR="0042494E" w:rsidRPr="00E3756C">
        <w:t>m</w:t>
      </w:r>
      <w:r w:rsidRPr="00E3756C">
        <w:t>ethods</w:t>
      </w:r>
      <w:bookmarkEnd w:id="8"/>
      <w:bookmarkEnd w:id="9"/>
    </w:p>
    <w:p w14:paraId="7CF9F42C" w14:textId="77777777" w:rsidR="007D40B4" w:rsidRPr="007D40B4" w:rsidRDefault="007D40B4" w:rsidP="007D40B4">
      <w:pPr>
        <w:pStyle w:val="Heading1"/>
      </w:pPr>
      <w:r w:rsidRPr="007D40B4">
        <w:t>Wāhanga A: Te tuaroa, te horopaki me ngā tikanga mahi</w:t>
      </w:r>
    </w:p>
    <w:p w14:paraId="1C19276F" w14:textId="77777777" w:rsidR="00344814" w:rsidRPr="00E3756C" w:rsidRDefault="00344814">
      <w:pPr>
        <w:spacing w:before="0" w:after="200" w:line="276" w:lineRule="auto"/>
        <w:jc w:val="left"/>
        <w:rPr>
          <w:rFonts w:eastAsiaTheme="majorEastAsia" w:cstheme="majorBidi"/>
          <w:b/>
          <w:bCs/>
          <w:color w:val="1C556C"/>
          <w:sz w:val="48"/>
          <w:szCs w:val="28"/>
        </w:rPr>
      </w:pPr>
      <w:bookmarkStart w:id="10" w:name="_Toc13570334"/>
      <w:bookmarkStart w:id="11" w:name="_Toc14361526"/>
      <w:r w:rsidRPr="00E3756C">
        <w:br w:type="page"/>
      </w:r>
    </w:p>
    <w:p w14:paraId="0C0A9316" w14:textId="77777777" w:rsidR="00295AA0" w:rsidRPr="00E3756C" w:rsidRDefault="00295AA0" w:rsidP="00295AA0">
      <w:pPr>
        <w:pStyle w:val="Heading1"/>
      </w:pPr>
      <w:bookmarkStart w:id="12" w:name="_Chapter_A1:_Introduction"/>
      <w:bookmarkStart w:id="13" w:name="_Toc15409137"/>
      <w:bookmarkEnd w:id="12"/>
      <w:r w:rsidRPr="00E3756C">
        <w:lastRenderedPageBreak/>
        <w:t>Chapter A1: Introduction</w:t>
      </w:r>
      <w:bookmarkEnd w:id="10"/>
      <w:bookmarkEnd w:id="11"/>
      <w:bookmarkEnd w:id="13"/>
    </w:p>
    <w:p w14:paraId="0CB96A98" w14:textId="77777777" w:rsidR="00295AA0" w:rsidRPr="00E3756C" w:rsidRDefault="00295AA0" w:rsidP="00222A07">
      <w:pPr>
        <w:pStyle w:val="Heading2"/>
        <w:spacing w:before="120"/>
      </w:pPr>
      <w:bookmarkStart w:id="14" w:name="_Toc13570335"/>
      <w:bookmarkStart w:id="15" w:name="_Toc14361527"/>
      <w:bookmarkStart w:id="16" w:name="_Toc15409138"/>
      <w:r w:rsidRPr="00E3756C">
        <w:t xml:space="preserve">A1.1 </w:t>
      </w:r>
      <w:r w:rsidR="00977C56" w:rsidRPr="00E3756C">
        <w:tab/>
      </w:r>
      <w:r w:rsidRPr="00E3756C">
        <w:t>Climate change and the need for adaptation action</w:t>
      </w:r>
      <w:bookmarkEnd w:id="14"/>
      <w:bookmarkEnd w:id="15"/>
      <w:bookmarkEnd w:id="16"/>
    </w:p>
    <w:bookmarkEnd w:id="0"/>
    <w:p w14:paraId="403AF427" w14:textId="77777777" w:rsidR="00BA5355" w:rsidRPr="00E3756C" w:rsidRDefault="00BA5355" w:rsidP="00BA5355">
      <w:pPr>
        <w:pStyle w:val="BodyText"/>
      </w:pPr>
      <w:r w:rsidRPr="00E3756C">
        <w:t>Climate change is not a future phenomenon. Its effects have already been observed around the</w:t>
      </w:r>
      <w:r w:rsidR="00826BEB">
        <w:t> </w:t>
      </w:r>
      <w:r w:rsidRPr="00E3756C">
        <w:t>world (IPCC, 2013) and will continue to be for decades, even if aggressive mitigation strategies are undertaken to reduce greenhouse gas emissions. This is because of the lag effects on atmospheric (and subsequently ocean) warming from long-lived gases present in the</w:t>
      </w:r>
      <w:r w:rsidR="00826BEB">
        <w:t> </w:t>
      </w:r>
      <w:r w:rsidRPr="00E3756C">
        <w:t>atmosphere from previous and ongoing activities. In addition to modifying our actions to curb emissions, we need to understand the present and future impacts, so we can plan for how to adapt to the inevitable environmental changes we will face. This will involve not only specific adaptation actions but enhancing our adaptive capacity and resilience to reduce, adjust to and take advantage of the consequences of change.</w:t>
      </w:r>
    </w:p>
    <w:p w14:paraId="30B55915" w14:textId="77777777" w:rsidR="00BA5355" w:rsidRPr="00E3756C" w:rsidRDefault="00BA5355" w:rsidP="00BA5355">
      <w:pPr>
        <w:pStyle w:val="BodyText"/>
      </w:pPr>
      <w:r w:rsidRPr="00E3756C">
        <w:t>New Zealand is a signatory to the Paris Climate Agreement of 2015.</w:t>
      </w:r>
      <w:r w:rsidRPr="00E3756C">
        <w:rPr>
          <w:color w:val="0070C0"/>
        </w:rPr>
        <w:t xml:space="preserve"> </w:t>
      </w:r>
      <w:r w:rsidRPr="00E3756C">
        <w:t xml:space="preserve">Article 8 of the agreement stipulates the need for parties to: </w:t>
      </w:r>
    </w:p>
    <w:p w14:paraId="38273719" w14:textId="77777777" w:rsidR="00BA5355" w:rsidRPr="00E3756C" w:rsidRDefault="00BA5355" w:rsidP="00BA5355">
      <w:pPr>
        <w:pStyle w:val="Quote"/>
      </w:pPr>
      <w:r w:rsidRPr="00E3756C">
        <w:t>recognize the importance of averting, minimizing and addressing loss and damage associated with the adverse effects of climate change, including extreme weather events and slow onset events, and the role of sustainable development in reducing the risk of loss and damage.</w:t>
      </w:r>
      <w:r w:rsidRPr="00E3756C">
        <w:rPr>
          <w:color w:val="2E75B5"/>
        </w:rPr>
        <w:t xml:space="preserve"> </w:t>
      </w:r>
    </w:p>
    <w:p w14:paraId="537983F6" w14:textId="77777777" w:rsidR="00BA5355" w:rsidRPr="00E3756C" w:rsidRDefault="00BA5355" w:rsidP="00BA5355">
      <w:pPr>
        <w:pStyle w:val="BodyText"/>
      </w:pPr>
      <w:r w:rsidRPr="00E3756C">
        <w:t>Article 8 also highlights the need to enhance understanding and action on “events that may involve irreversible and permanent loss and damage” and to consider non-economic loss (UNFCCC, 2015).</w:t>
      </w:r>
    </w:p>
    <w:p w14:paraId="77C851F3" w14:textId="77777777" w:rsidR="00BA5355" w:rsidRPr="00E3756C" w:rsidRDefault="00BA5355" w:rsidP="00BA5355">
      <w:pPr>
        <w:pStyle w:val="BodyText"/>
      </w:pPr>
      <w:r w:rsidRPr="00E3756C">
        <w:t>In New Zealand, some sectors have data on current and potential impacts and have considered adaptation options, but</w:t>
      </w:r>
      <w:r w:rsidRPr="00E3756C">
        <w:rPr>
          <w:i/>
        </w:rPr>
        <w:t xml:space="preserve"> </w:t>
      </w:r>
      <w:r w:rsidRPr="00E3756C">
        <w:t xml:space="preserve">no comprehensive national assessment has been undertaken and no national adaptation strategy has been developed. </w:t>
      </w:r>
    </w:p>
    <w:p w14:paraId="5AFCD275" w14:textId="77777777" w:rsidR="00BA5355" w:rsidRPr="00E3756C" w:rsidRDefault="00BA5355" w:rsidP="00BA5355">
      <w:pPr>
        <w:pStyle w:val="BodyText"/>
        <w:spacing w:after="240"/>
      </w:pPr>
      <w:r w:rsidRPr="00E3756C">
        <w:t>The proposed Climate Change Response (Zero Carbon) Amendment Bill submitted to Parliament on 8 May 2019 (the ‘Zero Carbon Bill’) sets a framework for New Zealand to develop and implement clear and stable climate change policies, and includes a mandate for undertaking a National Climate Change Risk Assessment (NCCRA</w:t>
      </w:r>
      <w:r w:rsidR="003522B0" w:rsidRPr="00E3756C">
        <w:t>) (New Zealand Government, 2019</w:t>
      </w:r>
      <w:r w:rsidRPr="00E3756C">
        <w:t>). The Bill, while provisional, provides for a planned approach to climate change adaptation based on the best available evidence, information and assessment of risks (see box A1-1).</w:t>
      </w:r>
    </w:p>
    <w:tbl>
      <w:tblPr>
        <w:tblStyle w:val="TableGrid"/>
        <w:tblW w:w="8505"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BA5355" w:rsidRPr="00E3756C" w14:paraId="05844326" w14:textId="77777777" w:rsidTr="00633AA6">
        <w:tc>
          <w:tcPr>
            <w:tcW w:w="0" w:type="auto"/>
            <w:shd w:val="clear" w:color="auto" w:fill="D2DDE2"/>
          </w:tcPr>
          <w:p w14:paraId="3022C406" w14:textId="77777777" w:rsidR="00BA5355" w:rsidRPr="00E3756C" w:rsidRDefault="00BA5355" w:rsidP="003D2281">
            <w:pPr>
              <w:pStyle w:val="Blueboxheading"/>
              <w:keepNext w:val="0"/>
              <w:ind w:left="964" w:hanging="680"/>
            </w:pPr>
            <w:r w:rsidRPr="00E3756C">
              <w:t>Box A1-1:</w:t>
            </w:r>
            <w:r w:rsidRPr="00E3756C">
              <w:tab/>
              <w:t>Adaptation – measures to increase New Zealand’s resilience to changing climate</w:t>
            </w:r>
          </w:p>
          <w:p w14:paraId="40C6D4C6" w14:textId="77777777" w:rsidR="00BA5355" w:rsidRPr="00E3756C" w:rsidRDefault="00BA5355" w:rsidP="003D2281">
            <w:pPr>
              <w:pStyle w:val="Blueboxtext"/>
            </w:pPr>
            <w:r w:rsidRPr="00E3756C">
              <w:t xml:space="preserve">Understanding the risks, and what action is being taken to address them, will help New Zealand to </w:t>
            </w:r>
            <w:r w:rsidR="000A17DE">
              <w:t>coordinate</w:t>
            </w:r>
            <w:r w:rsidRPr="00E3756C">
              <w:t xml:space="preserve"> efforts to adapt appropriately. This Bill will provide a framework for enhanced action on adaptation. This will consist of a national climate change risk assessment, a national adaptation plan, regular progress reporting on the implementation of the national adaptation plan, and an adaptation information-gathering power.</w:t>
            </w:r>
          </w:p>
          <w:p w14:paraId="26DD8B6B" w14:textId="77777777" w:rsidR="00BA5355" w:rsidRPr="00E3756C" w:rsidRDefault="00BA5355" w:rsidP="003D2281">
            <w:pPr>
              <w:pStyle w:val="Blueboxtext"/>
              <w:spacing w:after="60"/>
            </w:pPr>
            <w:r w:rsidRPr="00E3756C">
              <w:t>The national climate change risk assessment will be regularly prepared to improve understanding and prioritisation of the climate change risks that New Zealand faces. The national adaptation plan will outline the Government’s planned approach to addressing risks highlighted in the national climate change risk assessment.</w:t>
            </w:r>
          </w:p>
          <w:p w14:paraId="1C3A5965" w14:textId="77777777" w:rsidR="00BA5355" w:rsidRPr="00E3756C" w:rsidRDefault="00BA5355" w:rsidP="003D2281">
            <w:pPr>
              <w:pStyle w:val="Blueboxtext"/>
              <w:spacing w:before="0" w:after="240"/>
              <w:jc w:val="right"/>
            </w:pPr>
            <w:r w:rsidRPr="00E3756C">
              <w:rPr>
                <w:sz w:val="18"/>
              </w:rPr>
              <w:t xml:space="preserve">Climate Change Response (Zero Carbon) Amendment Bill (New Zealand </w:t>
            </w:r>
            <w:r w:rsidR="003522B0" w:rsidRPr="00E3756C">
              <w:rPr>
                <w:sz w:val="18"/>
              </w:rPr>
              <w:t>Government, 2019</w:t>
            </w:r>
            <w:r w:rsidRPr="00E3756C">
              <w:rPr>
                <w:sz w:val="18"/>
              </w:rPr>
              <w:t>)</w:t>
            </w:r>
          </w:p>
        </w:tc>
      </w:tr>
    </w:tbl>
    <w:p w14:paraId="3E10B8E9" w14:textId="77777777" w:rsidR="00BA5355" w:rsidRPr="00E3756C" w:rsidRDefault="00BA5355" w:rsidP="00BA5355">
      <w:pPr>
        <w:pStyle w:val="BodyText"/>
        <w:spacing w:before="360"/>
      </w:pPr>
      <w:r w:rsidRPr="00E3756C">
        <w:lastRenderedPageBreak/>
        <w:t>The framework must consider the core elements of the NCCRA as proposed in section 5ZN (preparation of national climate change risk assessment) of the Zero Carbon Bil</w:t>
      </w:r>
      <w:r w:rsidR="003522B0" w:rsidRPr="00E3756C">
        <w:t>l (New Zealand Government, 2019</w:t>
      </w:r>
      <w:r w:rsidRPr="00E3756C">
        <w:t>):</w:t>
      </w:r>
    </w:p>
    <w:p w14:paraId="22928DA6" w14:textId="77777777" w:rsidR="00BA5355" w:rsidRPr="00E3756C" w:rsidRDefault="00BA5355" w:rsidP="00BA5355">
      <w:pPr>
        <w:pStyle w:val="Quote"/>
        <w:ind w:left="964" w:hanging="397"/>
      </w:pPr>
      <w:r w:rsidRPr="00E3756C">
        <w:t>…</w:t>
      </w:r>
    </w:p>
    <w:p w14:paraId="6B50EC53" w14:textId="77777777" w:rsidR="00BA5355" w:rsidRPr="00E3756C" w:rsidRDefault="00BA5355" w:rsidP="00BA5355">
      <w:pPr>
        <w:pStyle w:val="Quote"/>
        <w:ind w:left="964" w:hanging="397"/>
      </w:pPr>
      <w:r w:rsidRPr="00E3756C">
        <w:t>(2)</w:t>
      </w:r>
      <w:r w:rsidRPr="00E3756C">
        <w:tab/>
        <w:t>In preparing a national climate change risk assessment, the Commission must take into account the following:</w:t>
      </w:r>
    </w:p>
    <w:p w14:paraId="1A870FE2" w14:textId="77777777" w:rsidR="00BA5355" w:rsidRPr="00E3756C" w:rsidRDefault="00BA5355" w:rsidP="00BA5355">
      <w:pPr>
        <w:pStyle w:val="Quote"/>
        <w:spacing w:before="0"/>
        <w:ind w:left="1361" w:hanging="397"/>
      </w:pPr>
      <w:r w:rsidRPr="00E3756C">
        <w:t>(a)</w:t>
      </w:r>
      <w:r w:rsidRPr="00E3756C">
        <w:tab/>
        <w:t>economic, social, health, environmental, ecological, and cultural effects of climate change:</w:t>
      </w:r>
    </w:p>
    <w:p w14:paraId="4A7921F3" w14:textId="77777777" w:rsidR="00BA5355" w:rsidRPr="00E3756C" w:rsidRDefault="00BA5355" w:rsidP="00BA5355">
      <w:pPr>
        <w:pStyle w:val="Quote"/>
        <w:spacing w:before="0"/>
        <w:ind w:left="1361" w:hanging="397"/>
      </w:pPr>
      <w:r w:rsidRPr="00E3756C">
        <w:t>(b)</w:t>
      </w:r>
      <w:r w:rsidRPr="00E3756C">
        <w:tab/>
        <w:t>the distribution of the effects of climate change across society, taking particular account of vulnerable groups or sectors:</w:t>
      </w:r>
    </w:p>
    <w:p w14:paraId="241840BE" w14:textId="77777777" w:rsidR="00BA5355" w:rsidRPr="00E3756C" w:rsidRDefault="00BA5355" w:rsidP="00BA5355">
      <w:pPr>
        <w:pStyle w:val="Quote"/>
        <w:spacing w:before="0"/>
        <w:ind w:left="1361" w:hanging="397"/>
      </w:pPr>
      <w:r w:rsidRPr="00E3756C">
        <w:t xml:space="preserve">(c) </w:t>
      </w:r>
      <w:r w:rsidRPr="00E3756C">
        <w:tab/>
        <w:t>New Zealand’s relevant obligations under international agreements:</w:t>
      </w:r>
    </w:p>
    <w:p w14:paraId="51788E37" w14:textId="77777777" w:rsidR="00BA5355" w:rsidRPr="00E3756C" w:rsidRDefault="00BA5355" w:rsidP="00BA5355">
      <w:pPr>
        <w:pStyle w:val="Quote"/>
        <w:spacing w:before="0"/>
        <w:ind w:left="1361" w:hanging="397"/>
      </w:pPr>
      <w:r w:rsidRPr="00E3756C">
        <w:t xml:space="preserve">(d) </w:t>
      </w:r>
      <w:r w:rsidRPr="00E3756C">
        <w:tab/>
        <w:t>how the assessment aligns or links with any other relevant national risk assessments produced by central government entities:</w:t>
      </w:r>
    </w:p>
    <w:p w14:paraId="18F4C1FA" w14:textId="77777777" w:rsidR="00BA5355" w:rsidRPr="00E3756C" w:rsidRDefault="00BA5355" w:rsidP="00BA5355">
      <w:pPr>
        <w:pStyle w:val="Quote"/>
        <w:spacing w:before="0"/>
        <w:ind w:left="1361" w:hanging="397"/>
      </w:pPr>
      <w:r w:rsidRPr="00E3756C">
        <w:t>(e)</w:t>
      </w:r>
      <w:r w:rsidRPr="00E3756C">
        <w:tab/>
        <w:t>long-term climate change trends:</w:t>
      </w:r>
    </w:p>
    <w:p w14:paraId="00C2602D" w14:textId="77777777" w:rsidR="00BA5355" w:rsidRPr="00E3756C" w:rsidRDefault="00BA5355" w:rsidP="00BA5355">
      <w:pPr>
        <w:pStyle w:val="Quote"/>
        <w:spacing w:before="0"/>
        <w:ind w:left="1361" w:hanging="397"/>
      </w:pPr>
      <w:r w:rsidRPr="00E3756C">
        <w:t>(f)</w:t>
      </w:r>
      <w:r w:rsidRPr="00E3756C">
        <w:tab/>
        <w:t>any information received as a result of requests made under section 5ZV:</w:t>
      </w:r>
      <w:r w:rsidRPr="00E3756C">
        <w:rPr>
          <w:rStyle w:val="FootnoteReference"/>
        </w:rPr>
        <w:footnoteReference w:id="1"/>
      </w:r>
      <w:r w:rsidRPr="00E3756C">
        <w:t xml:space="preserve"> </w:t>
      </w:r>
    </w:p>
    <w:p w14:paraId="3BF05558" w14:textId="77777777" w:rsidR="00BA5355" w:rsidRPr="00E3756C" w:rsidRDefault="00BA5355" w:rsidP="00BA5355">
      <w:pPr>
        <w:pStyle w:val="Quote"/>
        <w:spacing w:before="0" w:after="120"/>
        <w:ind w:left="1361" w:hanging="397"/>
      </w:pPr>
      <w:r w:rsidRPr="00E3756C">
        <w:t xml:space="preserve">(g) </w:t>
      </w:r>
      <w:r w:rsidRPr="00E3756C">
        <w:tab/>
        <w:t>scientific and technical advice.</w:t>
      </w:r>
    </w:p>
    <w:p w14:paraId="0E06F740" w14:textId="77777777" w:rsidR="00BA5355" w:rsidRPr="00E3756C" w:rsidRDefault="00BA5355" w:rsidP="00BA5355">
      <w:pPr>
        <w:pStyle w:val="Quote"/>
        <w:ind w:left="964" w:hanging="397"/>
      </w:pPr>
      <w:r w:rsidRPr="00E3756C">
        <w:t>(3)</w:t>
      </w:r>
      <w:r w:rsidRPr="00E3756C">
        <w:tab/>
        <w:t>The Commission may also take into account—</w:t>
      </w:r>
    </w:p>
    <w:p w14:paraId="3C480EDE" w14:textId="77777777" w:rsidR="00BA5355" w:rsidRPr="00E3756C" w:rsidRDefault="00BA5355" w:rsidP="00BA5355">
      <w:pPr>
        <w:pStyle w:val="Quote"/>
        <w:spacing w:before="0"/>
        <w:ind w:left="1361" w:hanging="397"/>
      </w:pPr>
      <w:r w:rsidRPr="00E3756C">
        <w:t>(a)</w:t>
      </w:r>
      <w:r w:rsidRPr="00E3756C">
        <w:tab/>
        <w:t>opportunities arising for New Zealand’s economy, society, and environment as a result of the effects of climate change; and</w:t>
      </w:r>
    </w:p>
    <w:p w14:paraId="336F3277" w14:textId="77777777" w:rsidR="00BA5355" w:rsidRPr="00E3756C" w:rsidRDefault="00BA5355" w:rsidP="00BA5355">
      <w:pPr>
        <w:pStyle w:val="Quote"/>
        <w:spacing w:before="0" w:after="120"/>
        <w:ind w:left="1361" w:hanging="397"/>
      </w:pPr>
      <w:r w:rsidRPr="00E3756C">
        <w:t>(b)</w:t>
      </w:r>
      <w:r w:rsidRPr="00E3756C">
        <w:tab/>
        <w:t xml:space="preserve">any other factor that it thinks is relevant or appropriate. </w:t>
      </w:r>
    </w:p>
    <w:p w14:paraId="4BEFD493" w14:textId="77777777" w:rsidR="00BA5355" w:rsidRPr="00E3756C" w:rsidRDefault="00BA5355" w:rsidP="00BA5355">
      <w:pPr>
        <w:pStyle w:val="Heading2"/>
      </w:pPr>
      <w:bookmarkStart w:id="17" w:name="_Toc14769375"/>
      <w:bookmarkStart w:id="18" w:name="_Toc15409139"/>
      <w:r w:rsidRPr="00E3756C">
        <w:t xml:space="preserve">A1.2 </w:t>
      </w:r>
      <w:r w:rsidRPr="00E3756C">
        <w:tab/>
        <w:t>Assessing climate change risks for Aotearoa New Zealand</w:t>
      </w:r>
      <w:bookmarkEnd w:id="17"/>
      <w:bookmarkEnd w:id="18"/>
    </w:p>
    <w:p w14:paraId="4ABAE0F8" w14:textId="77777777" w:rsidR="00BA5355" w:rsidRPr="00E3756C" w:rsidRDefault="00BA5355" w:rsidP="00BA5355">
      <w:pPr>
        <w:pStyle w:val="BodyText"/>
      </w:pPr>
      <w:r w:rsidRPr="00E3756C">
        <w:t xml:space="preserve">In responding to the imperatives discussed above, this document outlines a framework for the first NCCRA for Aotearoa New Zealand. </w:t>
      </w:r>
    </w:p>
    <w:p w14:paraId="7E557490" w14:textId="77777777" w:rsidR="00BA5355" w:rsidRPr="00E3756C" w:rsidRDefault="00BA5355" w:rsidP="00BA5355">
      <w:pPr>
        <w:pStyle w:val="BodyText"/>
      </w:pPr>
      <w:r w:rsidRPr="00E3756C">
        <w:t>The opening karakia (</w:t>
      </w:r>
      <w:hyperlink w:anchor="_Karakia_(recitation)" w:history="1">
        <w:r w:rsidRPr="00E3756C">
          <w:rPr>
            <w:rStyle w:val="Hyperlink"/>
          </w:rPr>
          <w:t xml:space="preserve">page </w:t>
        </w:r>
        <w:r w:rsidR="009E44A5">
          <w:rPr>
            <w:rStyle w:val="Hyperlink"/>
          </w:rPr>
          <w:t>10</w:t>
        </w:r>
      </w:hyperlink>
      <w:r w:rsidRPr="00E3756C">
        <w:t xml:space="preserve">) portrays a Māori worldview and unique Aotearoa New Zealand lens to help frame our thinking about and approach to climate change. It emphasises the critical connections of people to the natural world and each generation to those before and after. This includes the connectedness of ecosystems, and society with them, as well as interdependencies of actions and consequences across domains. These interconnections are also reflected in the Treasury’s Living Standards Framework (LSF) for </w:t>
      </w:r>
      <w:r w:rsidR="000A17DE">
        <w:t>wellbeing</w:t>
      </w:r>
      <w:r w:rsidRPr="00E3756C">
        <w:t xml:space="preserve">, based on four capitals – natural, human, social, and financial and physical – and particularly its proposed ‘He Ara Waiora’ framework (see </w:t>
      </w:r>
      <w:hyperlink w:anchor="figureA11" w:history="1">
        <w:r w:rsidRPr="00E3756C">
          <w:rPr>
            <w:rStyle w:val="Hyperlink"/>
          </w:rPr>
          <w:t>figure A1-1</w:t>
        </w:r>
      </w:hyperlink>
      <w:r w:rsidRPr="00E3756C">
        <w:t>):</w:t>
      </w:r>
    </w:p>
    <w:p w14:paraId="2F65BCC9" w14:textId="77777777" w:rsidR="00BA5355" w:rsidRPr="00E3756C" w:rsidRDefault="00BA5355" w:rsidP="00BA5355">
      <w:pPr>
        <w:pStyle w:val="Quote"/>
        <w:spacing w:after="120"/>
      </w:pPr>
      <w:r w:rsidRPr="00E3756C">
        <w:t>Waiora speaks to a broad conception of human wellbeing, grounded in water (wai) as the source of all life. The foundations for wellbeing come through kaitiakitanga (stewardship of all our resources), manaakitanga (care for others), ōhanga (prosperity) and whanaungatanga (the connections between us) (O’Connell et al, 2018, p ii).</w:t>
      </w:r>
    </w:p>
    <w:p w14:paraId="6D084A40" w14:textId="77777777" w:rsidR="009C278F" w:rsidRDefault="009C278F" w:rsidP="00BA5355">
      <w:pPr>
        <w:pStyle w:val="Figureheading"/>
      </w:pPr>
      <w:bookmarkStart w:id="19" w:name="figureA11"/>
      <w:bookmarkStart w:id="20" w:name="_Toc16586509"/>
    </w:p>
    <w:p w14:paraId="72157448" w14:textId="77777777" w:rsidR="00BA5355" w:rsidRPr="00E3756C" w:rsidRDefault="00BA5355" w:rsidP="00BA5355">
      <w:pPr>
        <w:pStyle w:val="Figureheading"/>
      </w:pPr>
      <w:r w:rsidRPr="00E3756C">
        <w:t>Figure A1-1</w:t>
      </w:r>
      <w:bookmarkEnd w:id="19"/>
      <w:r w:rsidRPr="00E3756C">
        <w:t xml:space="preserve">: </w:t>
      </w:r>
      <w:r w:rsidRPr="00E3756C">
        <w:tab/>
        <w:t>Treasury’s Living Standards Framework (LSF) for wellbeing and the ‘He Ara Waiora’ framework</w:t>
      </w:r>
      <w:bookmarkEnd w:id="20"/>
      <w:r w:rsidRPr="00E3756C">
        <w:t xml:space="preserve"> </w:t>
      </w:r>
    </w:p>
    <w:p w14:paraId="3C1AD1E3" w14:textId="77777777" w:rsidR="00BA5355" w:rsidRPr="00E3756C" w:rsidRDefault="009E44A5" w:rsidP="009C278F">
      <w:pPr>
        <w:pStyle w:val="BodyText"/>
      </w:pPr>
      <w:r w:rsidRPr="009E44A5">
        <w:t xml:space="preserve"> </w:t>
      </w:r>
      <w:r w:rsidRPr="009E44A5">
        <w:rPr>
          <w:noProof/>
        </w:rPr>
        <w:drawing>
          <wp:inline distT="0" distB="0" distL="0" distR="0" wp14:anchorId="6FF2F972" wp14:editId="57587A35">
            <wp:extent cx="4133850"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4133850"/>
                    </a:xfrm>
                    <a:prstGeom prst="rect">
                      <a:avLst/>
                    </a:prstGeom>
                    <a:noFill/>
                    <a:ln>
                      <a:noFill/>
                    </a:ln>
                  </pic:spPr>
                </pic:pic>
              </a:graphicData>
            </a:graphic>
          </wp:inline>
        </w:drawing>
      </w:r>
    </w:p>
    <w:p w14:paraId="6BF2C24F" w14:textId="77777777" w:rsidR="00BA5355" w:rsidRPr="00E3756C" w:rsidRDefault="00BA5355" w:rsidP="00BA5355">
      <w:pPr>
        <w:pStyle w:val="Source"/>
      </w:pPr>
      <w:r w:rsidRPr="00E3756C">
        <w:t>Source: The New Zealand Treasury (O’Connell et al, 2018, p ii)</w:t>
      </w:r>
    </w:p>
    <w:p w14:paraId="5B155087" w14:textId="77777777" w:rsidR="00BA5355" w:rsidRPr="00E3756C" w:rsidRDefault="00BA5355" w:rsidP="00BA5355">
      <w:pPr>
        <w:pStyle w:val="BodyText"/>
      </w:pPr>
      <w:r w:rsidRPr="00E3756C">
        <w:t xml:space="preserve">As shown in figure A1-1, natural capital surrounds all the other capitals in the LSF. Our </w:t>
      </w:r>
      <w:r w:rsidR="000A17DE">
        <w:t>wellbeing</w:t>
      </w:r>
      <w:r w:rsidRPr="00E3756C">
        <w:t xml:space="preserve"> is highly dependent on sustaining natural capital, or ecosystem ‘services’ (Roberts</w:t>
      </w:r>
      <w:r w:rsidR="00633AA6">
        <w:t> </w:t>
      </w:r>
      <w:r w:rsidRPr="00E3756C">
        <w:t>et al 2015)</w:t>
      </w:r>
      <w:r w:rsidR="0089743C" w:rsidRPr="00E3756C">
        <w:t>,</w:t>
      </w:r>
      <w:r w:rsidRPr="00E3756C">
        <w:rPr>
          <w:vertAlign w:val="superscript"/>
        </w:rPr>
        <w:footnoteReference w:id="2"/>
      </w:r>
      <w:r w:rsidRPr="00E3756C">
        <w:t xml:space="preserve"> which provide resources, moderate climate, absorb pollutants, cycle</w:t>
      </w:r>
      <w:r w:rsidR="00633AA6">
        <w:t> </w:t>
      </w:r>
      <w:r w:rsidRPr="00E3756C">
        <w:t xml:space="preserve">nutrients, and confer cultural and other benefits. These services are all supported by biodiversity: the animals, plants and micro-organisms that have adapted to, and interact in, the ecosystem. </w:t>
      </w:r>
      <w:r w:rsidRPr="00E3756C">
        <w:rPr>
          <w:color w:val="000000"/>
        </w:rPr>
        <w:t xml:space="preserve">Ecosystems also include people and are shaped by cultural and social interactions. The LSF is complementary to a </w:t>
      </w:r>
      <w:r w:rsidRPr="00E3756C">
        <w:t>Māori worldview because it actively acknowledges</w:t>
      </w:r>
      <w:r w:rsidR="00633AA6">
        <w:t> </w:t>
      </w:r>
      <w:r w:rsidRPr="00E3756C">
        <w:t>the interconnectedness between people, natural capital and ecosystems. This</w:t>
      </w:r>
      <w:r w:rsidR="00633AA6">
        <w:t> </w:t>
      </w:r>
      <w:r w:rsidRPr="00E3756C">
        <w:t xml:space="preserve">complementarity of frameworks provides a useful starting point for our approach to climate change. </w:t>
      </w:r>
    </w:p>
    <w:p w14:paraId="5BBF2063" w14:textId="77777777" w:rsidR="00BA5355" w:rsidRPr="00E3756C" w:rsidRDefault="00BA5355" w:rsidP="00BA5355">
      <w:pPr>
        <w:pStyle w:val="BodyText"/>
      </w:pPr>
      <w:r w:rsidRPr="00E3756C">
        <w:t xml:space="preserve">The LSF is applied within the context of shared societal values or principles of manaakitanga (care and reciprocity), kaitiakitanga (intergenerational sustainability), whanaungatanga (connectedness and relationships), </w:t>
      </w:r>
      <w:r w:rsidRPr="00E3756C">
        <w:rPr>
          <w:rFonts w:cs="Calibri"/>
        </w:rPr>
        <w:t>ō</w:t>
      </w:r>
      <w:r w:rsidRPr="00E3756C">
        <w:t xml:space="preserve">hanga (prosperity), kia mahi ngātahi (engagement and participation) and kia āwhina (support). A further principle, or value, included for consideration </w:t>
      </w:r>
      <w:r w:rsidRPr="00E3756C">
        <w:lastRenderedPageBreak/>
        <w:t xml:space="preserve">in the NCCRA is rangatiratanga (leadership and autonomy) (see </w:t>
      </w:r>
      <w:hyperlink w:anchor="box1" w:history="1">
        <w:r w:rsidRPr="00E3756C">
          <w:rPr>
            <w:rStyle w:val="Hyperlink"/>
          </w:rPr>
          <w:t>He tirohanga Māori</w:t>
        </w:r>
      </w:hyperlink>
      <w:r w:rsidRPr="00E3756C">
        <w:t xml:space="preserve">, </w:t>
      </w:r>
      <w:hyperlink w:anchor="box1" w:history="1">
        <w:r w:rsidR="00D675D9" w:rsidRPr="00E3756C">
          <w:rPr>
            <w:rStyle w:val="Hyperlink"/>
          </w:rPr>
          <w:t>b</w:t>
        </w:r>
        <w:r w:rsidRPr="00E3756C">
          <w:rPr>
            <w:rStyle w:val="Hyperlink"/>
          </w:rPr>
          <w:t>ox 1</w:t>
        </w:r>
      </w:hyperlink>
      <w:r w:rsidRPr="00E3756C">
        <w:t xml:space="preserve">, for further definitions within the context of climate change). </w:t>
      </w:r>
    </w:p>
    <w:p w14:paraId="4E4A4B88" w14:textId="77777777" w:rsidR="00BA5355" w:rsidRPr="00E3756C" w:rsidRDefault="00BA5355" w:rsidP="00BA5355">
      <w:pPr>
        <w:pStyle w:val="BodyText"/>
      </w:pPr>
      <w:r w:rsidRPr="00E3756C">
        <w:t xml:space="preserve">Te Tiriti o Waitangi provides for the exercise of kāwanatanga (governance), while actively protecting tino rangatiratanga of Māori with respect to their natural, physical and cultural resources. Obligations under Te Tiriti o Waitangi involve recognising the special kaitiaki (guardian) role Māori have for natural capital and ecosystems, and the inherited responsibility to care for and protect resources and taonga (assets). As such, active partnership and resourcing of </w:t>
      </w:r>
      <w:r w:rsidRPr="00E3756C">
        <w:rPr>
          <w:color w:val="000000"/>
        </w:rPr>
        <w:t xml:space="preserve">Māori, </w:t>
      </w:r>
      <w:r w:rsidRPr="00E3756C">
        <w:t>iwi and hapū within the process of implementing an NCCRA framework need to be adequately considered. Through this process, increased understanding of the future climate change impacts on taonga Māori, communities and values can be achieved. Potential considerations required when thinking about climate change and taonga Māori, in particular, will include (but are not limited to):</w:t>
      </w:r>
    </w:p>
    <w:p w14:paraId="13408AE2" w14:textId="77777777" w:rsidR="00BA5355" w:rsidRPr="00E3756C" w:rsidRDefault="00BA5355" w:rsidP="00BA5355">
      <w:pPr>
        <w:pStyle w:val="Bullet"/>
        <w:spacing w:line="280" w:lineRule="exact"/>
      </w:pPr>
      <w:r w:rsidRPr="00E3756C">
        <w:t>the Māori economy is more reliant on natural resources than other parts of the economy, meaning it is more sensitive to climate change impacts and policies (which also means Māori businesses have a high stake in finding solutions)</w:t>
      </w:r>
    </w:p>
    <w:p w14:paraId="2E1CB7DA" w14:textId="77777777" w:rsidR="00BA5355" w:rsidRPr="00E3756C" w:rsidRDefault="00BA5355" w:rsidP="00BA5355">
      <w:pPr>
        <w:pStyle w:val="Bullet"/>
        <w:spacing w:line="280" w:lineRule="exact"/>
      </w:pPr>
      <w:r w:rsidRPr="00E3756C">
        <w:t>the number of Māori coastal communities and sites of significance is considerably high</w:t>
      </w:r>
    </w:p>
    <w:p w14:paraId="1EC5DF11" w14:textId="77777777" w:rsidR="00BA5355" w:rsidRPr="00E3756C" w:rsidRDefault="00BA5355" w:rsidP="00BA5355">
      <w:pPr>
        <w:pStyle w:val="Bullet"/>
        <w:spacing w:line="280" w:lineRule="exact"/>
      </w:pPr>
      <w:r w:rsidRPr="00E3756C">
        <w:t>disproportionate climate change impacts on low</w:t>
      </w:r>
      <w:r w:rsidR="009E44A5">
        <w:t>-</w:t>
      </w:r>
      <w:r w:rsidRPr="00E3756C">
        <w:t>income families in which Māori are disproportionately represented</w:t>
      </w:r>
    </w:p>
    <w:p w14:paraId="280B63D9" w14:textId="77777777" w:rsidR="00BA5355" w:rsidRPr="00E3756C" w:rsidRDefault="00BA5355" w:rsidP="00BA5355">
      <w:pPr>
        <w:pStyle w:val="Bullet"/>
        <w:spacing w:line="280" w:lineRule="exact"/>
      </w:pPr>
      <w:r w:rsidRPr="00E3756C">
        <w:t>the obligations of Māori to other indigenous Pacific peoples who will be affected by climate change.</w:t>
      </w:r>
    </w:p>
    <w:p w14:paraId="5802390C" w14:textId="6311E76F" w:rsidR="00BA5355" w:rsidRPr="00E3756C" w:rsidRDefault="00BA5355" w:rsidP="00BA5355">
      <w:pPr>
        <w:pStyle w:val="BodyText"/>
      </w:pPr>
      <w:r w:rsidRPr="00E3756C">
        <w:t>Consistent with Te Tiriti o Waitangi principles (partnership, protection, participation and potential) (Environmental Protection Authority</w:t>
      </w:r>
      <w:r w:rsidR="00746E9D">
        <w:rPr>
          <w:rStyle w:val="FootnoteReference"/>
        </w:rPr>
        <w:footnoteReference w:id="3"/>
      </w:r>
      <w:r w:rsidR="00746E9D">
        <w:t>)</w:t>
      </w:r>
      <w:r w:rsidRPr="00E3756C">
        <w:t xml:space="preserve"> and the LSF, the recent </w:t>
      </w:r>
      <w:r w:rsidRPr="00E3756C">
        <w:rPr>
          <w:i/>
        </w:rPr>
        <w:t>National Disaster Resilience Strategy</w:t>
      </w:r>
      <w:r w:rsidRPr="00E3756C">
        <w:t xml:space="preserve"> (NDRS) focuses on the resilience themes of social, cultural, economic, built and natural environments, and governance, underpinned by knowledge, data and assessment (Ministry of Civil Defence and Emergency Management, 2019). The outcomes sought are resilient homes, families and whānau; businesses and organisations; communities and hapū; cities, districts and regions; and enabling, empowering and supporting government. Together, the initiatives present an opportunity to emphasise a more connected and collaborative approach to understanding climate change risk for all of Aotearoa New Zealand, and they provide an important framework to underpin the NCCRA.</w:t>
      </w:r>
    </w:p>
    <w:p w14:paraId="68536A8E" w14:textId="77777777" w:rsidR="00BA5355" w:rsidRPr="00E3756C" w:rsidRDefault="00BA5355" w:rsidP="00BA5355">
      <w:pPr>
        <w:pStyle w:val="BodyText"/>
      </w:pPr>
      <w:r w:rsidRPr="00E3756C">
        <w:t xml:space="preserve">The interconnections noted above highlight the complex interdependencies of information needed to provide a complete understanding of </w:t>
      </w:r>
      <w:r w:rsidR="000A17DE">
        <w:t>wellbeing</w:t>
      </w:r>
      <w:r w:rsidRPr="00E3756C">
        <w:t xml:space="preserve"> for Aotearoa New Zealand and how climate change will affect this. We need to understand how taonga are at risk and how climate change is affecting Māori and broader societal values, ways of doing and being. Further, we need to understand how to adapt in the face of an uncertain future to protect those values. This will require integration of information from various sources including biophysical, social and economic sciences, along with Mātauranga Māori.</w:t>
      </w:r>
    </w:p>
    <w:p w14:paraId="632BCAB0" w14:textId="77777777" w:rsidR="00BA5355" w:rsidRPr="00E3756C" w:rsidRDefault="00BA5355" w:rsidP="00BA5355">
      <w:pPr>
        <w:pStyle w:val="Heading2"/>
      </w:pPr>
      <w:bookmarkStart w:id="21" w:name="_A1.3__Purpose"/>
      <w:bookmarkStart w:id="22" w:name="_Toc13570337"/>
      <w:bookmarkStart w:id="23" w:name="_Toc14361529"/>
      <w:bookmarkStart w:id="24" w:name="_Toc15409140"/>
      <w:bookmarkEnd w:id="21"/>
      <w:r w:rsidRPr="00E3756C">
        <w:lastRenderedPageBreak/>
        <w:t xml:space="preserve">A1.3 </w:t>
      </w:r>
      <w:r w:rsidRPr="00E3756C">
        <w:tab/>
        <w:t>Purpose of the National Climate Change Risk</w:t>
      </w:r>
      <w:r w:rsidR="00456B92">
        <w:t> </w:t>
      </w:r>
      <w:r w:rsidRPr="00E3756C">
        <w:t>Assessment framework</w:t>
      </w:r>
      <w:bookmarkEnd w:id="22"/>
      <w:bookmarkEnd w:id="23"/>
      <w:bookmarkEnd w:id="24"/>
    </w:p>
    <w:p w14:paraId="220B9A81" w14:textId="77777777" w:rsidR="00BA5355" w:rsidRPr="00E3756C" w:rsidRDefault="00BA5355" w:rsidP="00BA5355">
      <w:pPr>
        <w:pStyle w:val="BodyText"/>
        <w:rPr>
          <w:color w:val="000000"/>
        </w:rPr>
      </w:pPr>
      <w:r w:rsidRPr="00E3756C">
        <w:rPr>
          <w:color w:val="000000"/>
        </w:rPr>
        <w:t>The first step towards producing the NCCRA is to develop a risk assessment framework that enables a broad range of risks to be systematically compared in a manner consi</w:t>
      </w:r>
      <w:r w:rsidRPr="00E3756C">
        <w:t xml:space="preserve">stent with the values of Aotearoa New Zealand (as reflected in the NDRS and LSF; see </w:t>
      </w:r>
      <w:hyperlink w:anchor="_A3.1__Defining" w:history="1">
        <w:r w:rsidRPr="00E3756C">
          <w:rPr>
            <w:rStyle w:val="Hyperlink"/>
          </w:rPr>
          <w:t>section A3.1</w:t>
        </w:r>
      </w:hyperlink>
      <w:r w:rsidRPr="00E3756C">
        <w:t xml:space="preserve">) and the mātāpono (guiding principles) for the framework (see </w:t>
      </w:r>
      <w:hyperlink w:anchor="box1" w:history="1">
        <w:r w:rsidRPr="00E3756C">
          <w:rPr>
            <w:rStyle w:val="Hyperlink"/>
          </w:rPr>
          <w:t>He tirohanga Māori</w:t>
        </w:r>
      </w:hyperlink>
      <w:r w:rsidRPr="00E3756C">
        <w:t xml:space="preserve">, </w:t>
      </w:r>
      <w:hyperlink w:anchor="box1" w:history="1">
        <w:r w:rsidRPr="00E3756C">
          <w:rPr>
            <w:rStyle w:val="Hyperlink"/>
          </w:rPr>
          <w:t>Box 1</w:t>
        </w:r>
      </w:hyperlink>
      <w:r w:rsidRPr="00E3756C">
        <w:t>)</w:t>
      </w:r>
      <w:r w:rsidRPr="00E3756C">
        <w:rPr>
          <w:color w:val="000000"/>
        </w:rPr>
        <w:t xml:space="preserve">. This report presents that framework and guidance on undertaking the risk assessment to obtain a national-scale overview of New Zealand’s present and future climate-related risks under different </w:t>
      </w:r>
      <w:r w:rsidRPr="00E3756C">
        <w:t>scenarios</w:t>
      </w:r>
      <w:r w:rsidRPr="00E3756C">
        <w:rPr>
          <w:color w:val="000000"/>
        </w:rPr>
        <w:t xml:space="preserve"> of climate change. </w:t>
      </w:r>
    </w:p>
    <w:p w14:paraId="3233152A" w14:textId="77777777" w:rsidR="00BA5355" w:rsidRPr="00E3756C" w:rsidRDefault="00BA5355" w:rsidP="00BA5355">
      <w:pPr>
        <w:pStyle w:val="BodyText"/>
      </w:pPr>
      <w:r w:rsidRPr="00E3756C">
        <w:rPr>
          <w:color w:val="000000"/>
        </w:rPr>
        <w:t>The objective of the risk assessment derived from applying this framework is to inform the development of a National Adaptation Plan</w:t>
      </w:r>
      <w:r w:rsidRPr="00E3756C">
        <w:t xml:space="preserve"> that will be prepared following completion of the first NCCRA (and subsequent NCCRAs). This will respond to and prioritise the adaptation actions for key risks identified in the NCCRA, and outline the Government’s approach to improving resilience to the effects of climate change. Figure A1-2 shows the process leading to a national adaptation plan and where the NCCRA framework sits in this process.</w:t>
      </w:r>
    </w:p>
    <w:p w14:paraId="6CBFBEFA" w14:textId="77777777" w:rsidR="00BA5355" w:rsidRPr="00E3756C" w:rsidRDefault="00BA5355" w:rsidP="00BA5355">
      <w:pPr>
        <w:pStyle w:val="BodyText"/>
      </w:pPr>
      <w:r w:rsidRPr="00E3756C">
        <w:t xml:space="preserve">The framework is consistent with internationally applied risk assessment elements but seeks to place greater emphasis on engagement (including co-produced elicitation processes, eg, ‘risk workshops’) and the framework’s mātāpono. Processes for engagement and evaluation are considered at every step. </w:t>
      </w:r>
    </w:p>
    <w:p w14:paraId="130E6B0B" w14:textId="77777777" w:rsidR="00BA5355" w:rsidRPr="00E3756C" w:rsidRDefault="00BA5355" w:rsidP="00BA5355">
      <w:pPr>
        <w:pStyle w:val="Figureheading"/>
      </w:pPr>
      <w:bookmarkStart w:id="25" w:name="_Toc16586510"/>
      <w:r w:rsidRPr="00E3756C">
        <w:t xml:space="preserve">Figure A1-2: </w:t>
      </w:r>
      <w:r w:rsidRPr="00E3756C">
        <w:tab/>
        <w:t>Role of the National Climate Change Risk Assessment (NCCRA) framework in</w:t>
      </w:r>
      <w:r w:rsidR="00061EC5" w:rsidRPr="00E3756C">
        <w:t> </w:t>
      </w:r>
      <w:r w:rsidRPr="00E3756C">
        <w:t>enabling development of the NCCRA and subsequent National Adaptation</w:t>
      </w:r>
      <w:r w:rsidR="00826BEB">
        <w:t> </w:t>
      </w:r>
      <w:r w:rsidRPr="00E3756C">
        <w:t>Plan</w:t>
      </w:r>
      <w:bookmarkEnd w:id="25"/>
    </w:p>
    <w:p w14:paraId="2B2D3FF7" w14:textId="77777777" w:rsidR="00BA5355" w:rsidRPr="00E3756C" w:rsidRDefault="00BA5355" w:rsidP="00BA5355">
      <w:r w:rsidRPr="00E3756C">
        <w:rPr>
          <w:noProof/>
        </w:rPr>
        <w:drawing>
          <wp:inline distT="114300" distB="114300" distL="114300" distR="114300" wp14:anchorId="0A49F934" wp14:editId="52E9F4DD">
            <wp:extent cx="5400040" cy="2990055"/>
            <wp:effectExtent l="0" t="0" r="0" b="0"/>
            <wp:docPr id="1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400040" cy="2990055"/>
                    </a:xfrm>
                    <a:prstGeom prst="rect">
                      <a:avLst/>
                    </a:prstGeom>
                    <a:ln/>
                  </pic:spPr>
                </pic:pic>
              </a:graphicData>
            </a:graphic>
          </wp:inline>
        </w:drawing>
      </w:r>
    </w:p>
    <w:p w14:paraId="01FBBEB3" w14:textId="77777777" w:rsidR="00054D18" w:rsidRPr="00E3756C" w:rsidRDefault="00054D18" w:rsidP="00BA5355"/>
    <w:p w14:paraId="31CF95F2" w14:textId="77777777" w:rsidR="00BA5355" w:rsidRPr="00E3756C" w:rsidRDefault="00BA5355" w:rsidP="00BA5355">
      <w:pPr>
        <w:spacing w:before="0" w:after="200" w:line="276" w:lineRule="auto"/>
        <w:jc w:val="left"/>
      </w:pPr>
      <w:r w:rsidRPr="00E3756C">
        <w:br w:type="page"/>
      </w:r>
    </w:p>
    <w:p w14:paraId="03B8323F" w14:textId="77777777" w:rsidR="00BA5355" w:rsidRPr="00E3756C" w:rsidRDefault="00BA5355" w:rsidP="00BA5355">
      <w:pPr>
        <w:pStyle w:val="Heading1"/>
      </w:pPr>
      <w:bookmarkStart w:id="26" w:name="_Chapter_A2:_Framework"/>
      <w:bookmarkStart w:id="27" w:name="_Toc13570338"/>
      <w:bookmarkStart w:id="28" w:name="_Toc14361530"/>
      <w:bookmarkStart w:id="29" w:name="_Toc14769376"/>
      <w:bookmarkStart w:id="30" w:name="_Toc15409141"/>
      <w:bookmarkEnd w:id="26"/>
      <w:r w:rsidRPr="00E3756C">
        <w:lastRenderedPageBreak/>
        <w:t>Chapter A2: Framework methodology</w:t>
      </w:r>
      <w:bookmarkEnd w:id="27"/>
      <w:bookmarkEnd w:id="28"/>
      <w:bookmarkEnd w:id="29"/>
      <w:bookmarkEnd w:id="30"/>
    </w:p>
    <w:p w14:paraId="4C6C5063" w14:textId="77777777" w:rsidR="00BA5355" w:rsidRPr="00E3756C" w:rsidRDefault="00BA5355" w:rsidP="00BA5355">
      <w:pPr>
        <w:pStyle w:val="Heading2"/>
        <w:spacing w:before="120"/>
      </w:pPr>
      <w:bookmarkStart w:id="31" w:name="_Toc14769377"/>
      <w:bookmarkStart w:id="32" w:name="_Toc15409142"/>
      <w:bookmarkStart w:id="33" w:name="_Toc13570339"/>
      <w:bookmarkStart w:id="34" w:name="_Toc14361531"/>
      <w:r w:rsidRPr="00E3756C">
        <w:t xml:space="preserve">A2.1 </w:t>
      </w:r>
      <w:r w:rsidRPr="00E3756C">
        <w:tab/>
        <w:t>Framing climate change risk</w:t>
      </w:r>
      <w:bookmarkEnd w:id="31"/>
      <w:bookmarkEnd w:id="32"/>
      <w:r w:rsidRPr="00E3756C">
        <w:t xml:space="preserve"> </w:t>
      </w:r>
      <w:bookmarkEnd w:id="33"/>
      <w:bookmarkEnd w:id="34"/>
    </w:p>
    <w:p w14:paraId="7254B3F6" w14:textId="77777777" w:rsidR="00BA5355" w:rsidRPr="00E3756C" w:rsidRDefault="00BA5355" w:rsidP="00BA5355">
      <w:pPr>
        <w:pStyle w:val="BodyText"/>
      </w:pPr>
      <w:r w:rsidRPr="00E3756C">
        <w:t xml:space="preserve">The term ‘risk’ generally concerns the loss or gain of something of value </w:t>
      </w:r>
      <w:r w:rsidRPr="00E3756C">
        <w:rPr>
          <w:color w:val="3C4043"/>
          <w:highlight w:val="white"/>
        </w:rPr>
        <w:t>(people, assets, ecosystems, cultural taonga, infrastructure and so on)</w:t>
      </w:r>
      <w:r w:rsidRPr="00E3756C" w:rsidDel="006D7651">
        <w:t xml:space="preserve"> </w:t>
      </w:r>
      <w:r w:rsidRPr="00E3756C">
        <w:t>and is usually considered as a combination of the consequences of an action or event, and its likelihood. Risk assessments aim to understand the nature and determine the level of risk, and are done to inform decisions or actions to reduce risks or take advantage of opportunities associated with such events.</w:t>
      </w:r>
    </w:p>
    <w:p w14:paraId="3688E7F1" w14:textId="77777777" w:rsidR="00BA5355" w:rsidRPr="00E3756C" w:rsidRDefault="00BA5355" w:rsidP="00BA5355">
      <w:pPr>
        <w:pStyle w:val="BodyText"/>
      </w:pPr>
      <w:r w:rsidRPr="00E3756C">
        <w:t>Climate change, however, creates cascading and gradual-onset impacts that occur when an ongoing trend (eg, sea-level rise, atmospheric temperature rise, ocean acidification and so on) reaches various thresholds or tipping points with regard to a particular system. The associated risks are not strictly event-based, so estimating the likelihood of occurrence of an event as a major component of the risk is less useful. The changing risk environment requires more emphasis on consequences (questions of ‘what can happen’? and ‘how bad might it be?’) than on an estimation of likelihood (‘how likely is it to happen?'). For example, sea-level rise is already under way</w:t>
      </w:r>
      <w:r w:rsidR="009E44A5">
        <w:t>. T</w:t>
      </w:r>
      <w:r w:rsidRPr="00E3756C">
        <w:t>here is no question about whether a rise of 0.5 metres will occur</w:t>
      </w:r>
      <w:r w:rsidR="009E44A5">
        <w:t>;</w:t>
      </w:r>
      <w:r w:rsidRPr="00E3756C">
        <w:t xml:space="preserve"> rather it is more a matter of when that level is reached and what the consequences will be.</w:t>
      </w:r>
    </w:p>
    <w:p w14:paraId="3D36E0E4" w14:textId="77777777" w:rsidR="00BA5355" w:rsidRPr="00E3756C" w:rsidRDefault="00BA5355" w:rsidP="00BA5355">
      <w:pPr>
        <w:pStyle w:val="BodyText"/>
      </w:pPr>
      <w:r w:rsidRPr="00E3756C">
        <w:t xml:space="preserve">For these reasons, risk in the context of climate change is best framed using the elements of </w:t>
      </w:r>
      <w:r w:rsidRPr="00E3756C">
        <w:rPr>
          <w:b/>
        </w:rPr>
        <w:t>hazard</w:t>
      </w:r>
      <w:r w:rsidRPr="00E3756C">
        <w:t xml:space="preserve">, </w:t>
      </w:r>
      <w:r w:rsidRPr="00E3756C">
        <w:rPr>
          <w:b/>
        </w:rPr>
        <w:t>exposure</w:t>
      </w:r>
      <w:r w:rsidRPr="00E3756C">
        <w:t xml:space="preserve"> and </w:t>
      </w:r>
      <w:r w:rsidRPr="00E3756C">
        <w:rPr>
          <w:b/>
        </w:rPr>
        <w:t>vulnerability</w:t>
      </w:r>
      <w:r w:rsidRPr="00E3756C">
        <w:t>, with the overlap defining the risk</w:t>
      </w:r>
      <w:r w:rsidRPr="00E3756C">
        <w:rPr>
          <w:b/>
        </w:rPr>
        <w:t xml:space="preserve"> </w:t>
      </w:r>
      <w:r w:rsidRPr="00E3756C">
        <w:t xml:space="preserve">(see </w:t>
      </w:r>
      <w:hyperlink w:anchor="figureA21" w:history="1">
        <w:r w:rsidRPr="00E3756C">
          <w:rPr>
            <w:rStyle w:val="Hyperlink"/>
          </w:rPr>
          <w:t>figure A2-1</w:t>
        </w:r>
      </w:hyperlink>
      <w:r w:rsidRPr="00E3756C">
        <w:t xml:space="preserve">) (IPCC, 2014b). Risk is a function of climate hazards (which can be physical </w:t>
      </w:r>
      <w:r w:rsidRPr="00E3756C">
        <w:rPr>
          <w:i/>
        </w:rPr>
        <w:t>events</w:t>
      </w:r>
      <w:r w:rsidRPr="00E3756C">
        <w:t xml:space="preserve"> or </w:t>
      </w:r>
      <w:r w:rsidRPr="00E3756C">
        <w:rPr>
          <w:i/>
        </w:rPr>
        <w:t xml:space="preserve">trends, </w:t>
      </w:r>
      <w:r w:rsidRPr="00E3756C">
        <w:t>such as sea-level rise or seasonal climate changes), the degree to which things we value (people, assets, taonga) are exposed to the hazard and their vulnerability to its effects. Vulnerability is influenced by socio-economic and cultural processes (including adaptation</w:t>
      </w:r>
      <w:r w:rsidRPr="00E3756C">
        <w:rPr>
          <w:b/>
        </w:rPr>
        <w:t xml:space="preserve"> </w:t>
      </w:r>
      <w:r w:rsidRPr="00E3756C">
        <w:t>and mitigation</w:t>
      </w:r>
      <w:r w:rsidRPr="00E3756C">
        <w:rPr>
          <w:b/>
        </w:rPr>
        <w:t xml:space="preserve"> </w:t>
      </w:r>
      <w:r w:rsidRPr="00E3756C">
        <w:t xml:space="preserve">actions and governance), which can increase or decrease the </w:t>
      </w:r>
      <w:r w:rsidRPr="00E3756C">
        <w:rPr>
          <w:b/>
        </w:rPr>
        <w:t>consequences</w:t>
      </w:r>
      <w:r w:rsidRPr="00E3756C">
        <w:t xml:space="preserve"> (and therefore the risk) resulting from exposure to a hazard. </w:t>
      </w:r>
    </w:p>
    <w:p w14:paraId="7D5E6A95" w14:textId="77777777" w:rsidR="00BA5355" w:rsidRPr="00E3756C" w:rsidRDefault="00BA5355" w:rsidP="00BA5355">
      <w:pPr>
        <w:pStyle w:val="Figureheading"/>
        <w:spacing w:after="0"/>
      </w:pPr>
      <w:bookmarkStart w:id="35" w:name="figureA21"/>
      <w:bookmarkStart w:id="36" w:name="_Toc16586511"/>
      <w:r w:rsidRPr="00E3756C">
        <w:t>Figure A2-1</w:t>
      </w:r>
      <w:bookmarkEnd w:id="35"/>
      <w:r w:rsidRPr="00E3756C">
        <w:t xml:space="preserve">: </w:t>
      </w:r>
      <w:r w:rsidRPr="00E3756C">
        <w:tab/>
        <w:t>Schematic of the interaction between the physical climate system, exposure,</w:t>
      </w:r>
      <w:r w:rsidR="00826BEB">
        <w:t> </w:t>
      </w:r>
      <w:r w:rsidRPr="00E3756C">
        <w:t>and vulnerability producing risk</w:t>
      </w:r>
      <w:bookmarkEnd w:id="36"/>
    </w:p>
    <w:p w14:paraId="2A2BDB94" w14:textId="77777777" w:rsidR="00BA5355" w:rsidRPr="00E3756C" w:rsidRDefault="00BA5355" w:rsidP="00BE4C94">
      <w:pPr>
        <w:spacing w:after="0"/>
        <w:jc w:val="left"/>
        <w:rPr>
          <w:sz w:val="20"/>
          <w:szCs w:val="20"/>
        </w:rPr>
      </w:pPr>
      <w:r w:rsidRPr="00E3756C">
        <w:rPr>
          <w:noProof/>
        </w:rPr>
        <w:drawing>
          <wp:inline distT="0" distB="0" distL="0" distR="0" wp14:anchorId="7463AC3B" wp14:editId="2ED34D7E">
            <wp:extent cx="4972050" cy="2181225"/>
            <wp:effectExtent l="0" t="0" r="0" b="9525"/>
            <wp:docPr id="1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4972686" cy="2181504"/>
                    </a:xfrm>
                    <a:prstGeom prst="rect">
                      <a:avLst/>
                    </a:prstGeom>
                    <a:ln/>
                  </pic:spPr>
                </pic:pic>
              </a:graphicData>
            </a:graphic>
          </wp:inline>
        </w:drawing>
      </w:r>
    </w:p>
    <w:p w14:paraId="6F938392" w14:textId="77777777" w:rsidR="00BA5355" w:rsidRPr="00E3756C" w:rsidRDefault="00BA5355" w:rsidP="00BA5355">
      <w:pPr>
        <w:pStyle w:val="Source"/>
        <w:spacing w:line="240" w:lineRule="atLeast"/>
      </w:pPr>
      <w:r w:rsidRPr="00E3756C">
        <w:t xml:space="preserve">Source: Climate Change Adaptation Technical Working Group (2017) </w:t>
      </w:r>
      <w:r w:rsidR="00FA69BB" w:rsidRPr="00E3756C">
        <w:t>(</w:t>
      </w:r>
      <w:r w:rsidRPr="00E3756C">
        <w:t>adapted from IPCC</w:t>
      </w:r>
      <w:r w:rsidR="00FA69BB" w:rsidRPr="00E3756C">
        <w:t>,</w:t>
      </w:r>
      <w:r w:rsidRPr="00E3756C">
        <w:t xml:space="preserve"> 2014b</w:t>
      </w:r>
      <w:r w:rsidR="00FA69BB" w:rsidRPr="00E3756C">
        <w:t>)</w:t>
      </w:r>
    </w:p>
    <w:p w14:paraId="092B6AD5" w14:textId="77777777" w:rsidR="00054D18" w:rsidRPr="00E3756C" w:rsidRDefault="00054D18" w:rsidP="00054D18">
      <w:pPr>
        <w:pStyle w:val="Note"/>
      </w:pPr>
      <w:bookmarkStart w:id="37" w:name="_Toc13570340"/>
      <w:bookmarkStart w:id="38" w:name="_Toc14361532"/>
      <w:bookmarkStart w:id="39" w:name="_Toc14769378"/>
      <w:r w:rsidRPr="00E3756C">
        <w:t>Note: Vulnerability and exposure are determined by the cumulative result of socio-economic pathways (development) and societal conditions and the interplay with changing hazards. Changes in both the climate system</w:t>
      </w:r>
      <w:r w:rsidR="00D47AA1">
        <w:t> </w:t>
      </w:r>
      <w:r w:rsidRPr="00E3756C">
        <w:t>(left side) and socio-economic processes (right side) will continue to be central drivers of hazards, exposure</w:t>
      </w:r>
      <w:r w:rsidR="00D47AA1">
        <w:t> </w:t>
      </w:r>
      <w:r w:rsidRPr="00E3756C">
        <w:t>and vulnerability.</w:t>
      </w:r>
    </w:p>
    <w:p w14:paraId="61AE2B58" w14:textId="77777777" w:rsidR="00BA5355" w:rsidRPr="00E3756C" w:rsidRDefault="00BA5355" w:rsidP="00BA5355">
      <w:pPr>
        <w:pStyle w:val="Heading2"/>
      </w:pPr>
      <w:bookmarkStart w:id="40" w:name="_Toc15409143"/>
      <w:r w:rsidRPr="00E3756C">
        <w:lastRenderedPageBreak/>
        <w:t xml:space="preserve">A2.2 </w:t>
      </w:r>
      <w:r w:rsidRPr="00E3756C">
        <w:tab/>
        <w:t>Risk assessment process</w:t>
      </w:r>
      <w:bookmarkEnd w:id="37"/>
      <w:bookmarkEnd w:id="38"/>
      <w:bookmarkEnd w:id="39"/>
      <w:r w:rsidRPr="00E3756C">
        <w:t xml:space="preserve"> components</w:t>
      </w:r>
      <w:bookmarkEnd w:id="40"/>
      <w:r w:rsidRPr="00E3756C">
        <w:t xml:space="preserve"> </w:t>
      </w:r>
    </w:p>
    <w:p w14:paraId="71C1B11F" w14:textId="77777777" w:rsidR="00BA5355" w:rsidRPr="00E3756C" w:rsidRDefault="00054D18" w:rsidP="00BA5355">
      <w:pPr>
        <w:pStyle w:val="BodyText"/>
      </w:pPr>
      <w:r w:rsidRPr="00E3756C">
        <w:t xml:space="preserve">The risk assessment steps will be underpinned with the mātāpono (as given in </w:t>
      </w:r>
      <w:hyperlink w:anchor="box1" w:history="1">
        <w:r w:rsidRPr="00E3756C">
          <w:rPr>
            <w:rStyle w:val="Hyperlink"/>
          </w:rPr>
          <w:t>box 1</w:t>
        </w:r>
      </w:hyperlink>
      <w:r w:rsidRPr="00E3756C">
        <w:t>), which should inform how the steps of the risk assessment process will be carried out</w:t>
      </w:r>
      <w:r w:rsidR="00BA5355" w:rsidRPr="00E3756C">
        <w:t xml:space="preserve">. </w:t>
      </w:r>
    </w:p>
    <w:p w14:paraId="2EB4F084" w14:textId="77777777" w:rsidR="00BA5355" w:rsidRPr="00E3756C" w:rsidRDefault="00BA5355" w:rsidP="00BA5355">
      <w:pPr>
        <w:pStyle w:val="BodyText"/>
      </w:pPr>
      <w:r w:rsidRPr="00E3756C">
        <w:t xml:space="preserve">Assessing risk across domains in a meaningful way for decision-makers is challenging, especially for decisions on climate change action that intersect with other policy domains. It is critical to note that climate change risks themselves are interconnected and often arise from </w:t>
      </w:r>
      <w:r w:rsidRPr="00E3756C">
        <w:rPr>
          <w:i/>
        </w:rPr>
        <w:t>compounding</w:t>
      </w:r>
      <w:r w:rsidRPr="00E3756C">
        <w:t xml:space="preserve"> hazard sources (eg, flooding from sea-level rise plus groundwater plus more intense rainfall) and </w:t>
      </w:r>
      <w:r w:rsidRPr="00E3756C">
        <w:rPr>
          <w:i/>
        </w:rPr>
        <w:t>cascading</w:t>
      </w:r>
      <w:r w:rsidRPr="00E3756C">
        <w:t xml:space="preserve"> impacts that affect multiple systems and assets in complex ways. Climate change risk assessment must consider inter-related risks to ecosystems, physical assets and infrastructure systems, the economy, and society (including human health, safety and wellbeing, and cultural life and identity).</w:t>
      </w:r>
    </w:p>
    <w:p w14:paraId="6E7BD456" w14:textId="77777777" w:rsidR="00BA5355" w:rsidRPr="00E3756C" w:rsidRDefault="00BA5355" w:rsidP="00BA5355">
      <w:pPr>
        <w:pStyle w:val="BodyText"/>
      </w:pPr>
      <w:r w:rsidRPr="00E3756C">
        <w:t>The NCCRA framework takes a three-stage assessment approach to screen for, analyse and compare risks across domains and sectors in terms of magnitude of risk and urgency for adaptation action, to inform a National Adaptation Plan. Engagement occurs at every stage. These stages recognise the iterative nature of climate change risk assessment.</w:t>
      </w:r>
    </w:p>
    <w:p w14:paraId="1F8DE606" w14:textId="40E865BD" w:rsidR="00BA5355" w:rsidRPr="00E3756C" w:rsidRDefault="00BA5355" w:rsidP="00BA5355">
      <w:pPr>
        <w:pStyle w:val="BodyText"/>
      </w:pPr>
      <w:r w:rsidRPr="00E3756C">
        <w:t>The assessment starts from setting the context, which involves defining the ‘elements at risk’ across broad ‘value domains’. It then assesses climate change hazards in relation to these elements</w:t>
      </w:r>
      <w:r w:rsidR="009E44A5">
        <w:t xml:space="preserve">. It does this </w:t>
      </w:r>
      <w:r w:rsidRPr="00E3756C">
        <w:t>first in a high-level screening stage</w:t>
      </w:r>
      <w:r w:rsidR="00294EEE">
        <w:t>,</w:t>
      </w:r>
      <w:r w:rsidRPr="00E3756C">
        <w:t xml:space="preserve"> and then tak</w:t>
      </w:r>
      <w:r w:rsidR="00294EEE">
        <w:t>es</w:t>
      </w:r>
      <w:r w:rsidRPr="00E3756C">
        <w:t xml:space="preserve"> the risks identified as having moderate-to-high potential consequences through more detailed assessment</w:t>
      </w:r>
      <w:r w:rsidR="009E44A5">
        <w:t>. This is followed</w:t>
      </w:r>
      <w:r w:rsidRPr="00E3756C">
        <w:t xml:space="preserve"> by scoring for urgency of adaptation decision-making. As noted, when proceeding through the risk assessment, consideration must be given to cross-cutting issues and impacts, that is, when an impact on one element has cascading effects on other elements or sectors, thereby increasing the overall or cumulative risk. </w:t>
      </w:r>
    </w:p>
    <w:p w14:paraId="21BE348C" w14:textId="77777777" w:rsidR="00BA5355" w:rsidRPr="00E3756C" w:rsidRDefault="00053883" w:rsidP="00BA5355">
      <w:pPr>
        <w:pStyle w:val="BodyText"/>
      </w:pPr>
      <w:hyperlink w:anchor="figureA22" w:history="1">
        <w:r w:rsidR="00BA5355" w:rsidRPr="00E3756C">
          <w:rPr>
            <w:rStyle w:val="Hyperlink"/>
            <w:rFonts w:eastAsia="Times New Roman"/>
            <w:lang w:eastAsia="en-US"/>
          </w:rPr>
          <w:t>Figure A2-2</w:t>
        </w:r>
      </w:hyperlink>
      <w:r w:rsidR="00BA5355" w:rsidRPr="00E3756C">
        <w:rPr>
          <w:rFonts w:eastAsia="Times New Roman"/>
          <w:lang w:eastAsia="en-US"/>
        </w:rPr>
        <w:t xml:space="preserve"> gives a brief outline of the risk assessment process (the framework) components, which are discussed further in subsequent chapters. </w:t>
      </w:r>
      <w:hyperlink w:anchor="_Chapter_A3:_Setting" w:history="1">
        <w:r w:rsidR="00BA5355" w:rsidRPr="00E3756C">
          <w:rPr>
            <w:rStyle w:val="Hyperlink"/>
            <w:rFonts w:eastAsia="Times New Roman"/>
            <w:lang w:eastAsia="en-US"/>
          </w:rPr>
          <w:t>Chapter A3</w:t>
        </w:r>
      </w:hyperlink>
      <w:r w:rsidR="00BA5355" w:rsidRPr="00E3756C">
        <w:rPr>
          <w:rFonts w:eastAsia="Times New Roman"/>
          <w:lang w:eastAsia="en-US"/>
        </w:rPr>
        <w:t xml:space="preserve"> describes ‘setting the context’, and </w:t>
      </w:r>
      <w:hyperlink w:anchor="_Chapter_A4:_Risk" w:history="1">
        <w:r w:rsidR="00BA5355" w:rsidRPr="00E3756C">
          <w:rPr>
            <w:rStyle w:val="Hyperlink"/>
            <w:rFonts w:eastAsia="Times New Roman"/>
            <w:lang w:eastAsia="en-US"/>
          </w:rPr>
          <w:t>chapter A4</w:t>
        </w:r>
      </w:hyperlink>
      <w:r w:rsidR="00BA5355" w:rsidRPr="00E3756C">
        <w:rPr>
          <w:rFonts w:eastAsia="Times New Roman"/>
          <w:lang w:eastAsia="en-US"/>
        </w:rPr>
        <w:t xml:space="preserve"> discusses principles of engagement (including details of</w:t>
      </w:r>
      <w:r w:rsidR="00BA5355" w:rsidRPr="00E3756C">
        <w:t xml:space="preserve"> </w:t>
      </w:r>
      <w:r w:rsidR="00BA5355" w:rsidRPr="00E3756C">
        <w:rPr>
          <w:rFonts w:eastAsia="Times New Roman"/>
          <w:lang w:eastAsia="en-US"/>
        </w:rPr>
        <w:t xml:space="preserve">engagement plan development presented in </w:t>
      </w:r>
      <w:hyperlink w:anchor="_Chapter_C1:_Developing" w:history="1">
        <w:r w:rsidR="00BA5355" w:rsidRPr="00E3756C">
          <w:rPr>
            <w:rStyle w:val="Hyperlink"/>
            <w:rFonts w:eastAsia="Times New Roman"/>
            <w:lang w:eastAsia="en-US"/>
          </w:rPr>
          <w:t>chapter C1</w:t>
        </w:r>
      </w:hyperlink>
      <w:r w:rsidR="00BA5355" w:rsidRPr="00E3756C">
        <w:rPr>
          <w:rFonts w:eastAsia="Times New Roman"/>
          <w:lang w:eastAsia="en-US"/>
        </w:rPr>
        <w:t xml:space="preserve">). The process for defining climate change hazards, and the three assessment stages, are described in the technical chapters in Part B. Implementation of the engagement plan occurs at each stage. </w:t>
      </w:r>
    </w:p>
    <w:p w14:paraId="18F29376" w14:textId="77777777" w:rsidR="00BA5355" w:rsidRPr="00E3756C" w:rsidRDefault="00BA5355" w:rsidP="00BA5355">
      <w:pPr>
        <w:pStyle w:val="Figureheading"/>
      </w:pPr>
      <w:bookmarkStart w:id="41" w:name="figureA22"/>
      <w:bookmarkStart w:id="42" w:name="_Toc16586512"/>
      <w:r w:rsidRPr="00E3756C">
        <w:lastRenderedPageBreak/>
        <w:t>Figure A2-2</w:t>
      </w:r>
      <w:bookmarkEnd w:id="41"/>
      <w:r w:rsidRPr="00E3756C">
        <w:t xml:space="preserve">: </w:t>
      </w:r>
      <w:r w:rsidRPr="00E3756C">
        <w:tab/>
        <w:t>Overview of the National Climate Change Risk Assessment framework methodology, including the three-stage assessment approach</w:t>
      </w:r>
      <w:bookmarkEnd w:id="42"/>
      <w:r w:rsidRPr="00E3756C">
        <w:t xml:space="preserve"> </w:t>
      </w:r>
    </w:p>
    <w:p w14:paraId="2D0FDCFA" w14:textId="77777777" w:rsidR="0002301F" w:rsidRPr="00E3756C" w:rsidRDefault="0002301F" w:rsidP="0002301F">
      <w:pPr>
        <w:pStyle w:val="BodyText"/>
      </w:pPr>
      <w:r w:rsidRPr="00E3756C">
        <w:rPr>
          <w:rFonts w:eastAsia="Calibri" w:cs="Calibri"/>
          <w:b/>
          <w:noProof/>
          <w:sz w:val="16"/>
          <w:szCs w:val="16"/>
        </w:rPr>
        <w:drawing>
          <wp:inline distT="0" distB="0" distL="0" distR="0" wp14:anchorId="7B50B090" wp14:editId="619283B0">
            <wp:extent cx="5007102" cy="5391150"/>
            <wp:effectExtent l="0" t="0" r="317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9693" cy="5393940"/>
                    </a:xfrm>
                    <a:prstGeom prst="rect">
                      <a:avLst/>
                    </a:prstGeom>
                    <a:noFill/>
                  </pic:spPr>
                </pic:pic>
              </a:graphicData>
            </a:graphic>
          </wp:inline>
        </w:drawing>
      </w:r>
    </w:p>
    <w:p w14:paraId="549D24C2" w14:textId="77777777" w:rsidR="00BA5355" w:rsidRPr="00E3756C" w:rsidRDefault="00BA5355" w:rsidP="00054D18">
      <w:pPr>
        <w:pStyle w:val="Note"/>
        <w:spacing w:before="120"/>
      </w:pPr>
      <w:r w:rsidRPr="00E3756C">
        <w:t>Note: The methodology is underpinned by the mātāpono (guiding principles) for the framework.</w:t>
      </w:r>
    </w:p>
    <w:p w14:paraId="2B97FA53" w14:textId="77777777" w:rsidR="00BA5355" w:rsidRPr="00E3756C" w:rsidRDefault="00BA5355" w:rsidP="00BA5355">
      <w:pPr>
        <w:pStyle w:val="Heading3"/>
      </w:pPr>
      <w:r w:rsidRPr="00E3756C">
        <w:t>Setting the context (chapter A3)</w:t>
      </w:r>
    </w:p>
    <w:p w14:paraId="006AFF73" w14:textId="77777777" w:rsidR="00BA5355" w:rsidRPr="00E3756C" w:rsidRDefault="00BA5355" w:rsidP="00BA5355">
      <w:pPr>
        <w:pStyle w:val="BodyText"/>
      </w:pPr>
      <w:r w:rsidRPr="00E3756C">
        <w:t xml:space="preserve">This step involves setting the overall objectives of the assessment process and other context elements, including: </w:t>
      </w:r>
    </w:p>
    <w:p w14:paraId="23D68238" w14:textId="77777777" w:rsidR="00BA5355" w:rsidRPr="00E3756C" w:rsidRDefault="00BA5355" w:rsidP="00BA5355">
      <w:pPr>
        <w:pStyle w:val="Bullet"/>
        <w:spacing w:line="280" w:lineRule="exact"/>
      </w:pPr>
      <w:r w:rsidRPr="00E3756C">
        <w:t>identifying values at risk</w:t>
      </w:r>
    </w:p>
    <w:p w14:paraId="774E74F5" w14:textId="77777777" w:rsidR="00BA5355" w:rsidRPr="00E3756C" w:rsidRDefault="00BA5355" w:rsidP="00BA5355">
      <w:pPr>
        <w:pStyle w:val="Bullet"/>
        <w:spacing w:line="280" w:lineRule="exact"/>
      </w:pPr>
      <w:r w:rsidRPr="00E3756C">
        <w:t xml:space="preserve">identifying stakeholders and partners (who is affected and who manages the risks?) </w:t>
      </w:r>
    </w:p>
    <w:p w14:paraId="17E9E5D0" w14:textId="77777777" w:rsidR="00BA5355" w:rsidRPr="00E3756C" w:rsidRDefault="00BA5355" w:rsidP="00BA5355">
      <w:pPr>
        <w:pStyle w:val="Bullet"/>
        <w:spacing w:line="280" w:lineRule="exact"/>
      </w:pPr>
      <w:r w:rsidRPr="00E3756C">
        <w:t>defining climate change projections and timeframes for the hazard component of risk</w:t>
      </w:r>
    </w:p>
    <w:p w14:paraId="03220FBE" w14:textId="77777777" w:rsidR="00BA5355" w:rsidRPr="00E3756C" w:rsidRDefault="00BA5355" w:rsidP="00BA5355">
      <w:pPr>
        <w:pStyle w:val="Bullet"/>
        <w:spacing w:line="280" w:lineRule="exact"/>
      </w:pPr>
      <w:r w:rsidRPr="00E3756C">
        <w:t>deciding criteria to assess impacts, exposure and vulnerability</w:t>
      </w:r>
    </w:p>
    <w:p w14:paraId="4CC2A1D2" w14:textId="77777777" w:rsidR="00BA5355" w:rsidRPr="00E3756C" w:rsidRDefault="00BA5355" w:rsidP="00BA5355">
      <w:pPr>
        <w:pStyle w:val="Bullet"/>
        <w:spacing w:line="280" w:lineRule="exact"/>
      </w:pPr>
      <w:r w:rsidRPr="00E3756C">
        <w:t>confirming strength of evidence criteria</w:t>
      </w:r>
    </w:p>
    <w:p w14:paraId="61C6DF2A" w14:textId="77777777" w:rsidR="00BA5355" w:rsidRPr="00E3756C" w:rsidRDefault="00BA5355" w:rsidP="00BA5355">
      <w:pPr>
        <w:pStyle w:val="Bullet"/>
        <w:spacing w:line="280" w:lineRule="exact"/>
      </w:pPr>
      <w:r w:rsidRPr="00E3756C">
        <w:t>confirming urgency criteria for adaptation decisions</w:t>
      </w:r>
    </w:p>
    <w:p w14:paraId="256C31FD" w14:textId="77777777" w:rsidR="00BA5355" w:rsidRPr="00E3756C" w:rsidRDefault="00BA5355" w:rsidP="00BA5355">
      <w:pPr>
        <w:pStyle w:val="Bullet"/>
        <w:spacing w:line="280" w:lineRule="exact"/>
      </w:pPr>
      <w:r w:rsidRPr="00E3756C">
        <w:t>establishing the scale of assessment.</w:t>
      </w:r>
    </w:p>
    <w:p w14:paraId="42C687AF" w14:textId="77777777" w:rsidR="00BA5355" w:rsidRPr="00E3756C" w:rsidRDefault="00BA5355" w:rsidP="00BA5355">
      <w:pPr>
        <w:pStyle w:val="Heading3"/>
      </w:pPr>
      <w:r w:rsidRPr="00E3756C">
        <w:lastRenderedPageBreak/>
        <w:t>Engagement plan development (chapter A4 and chapter C1)</w:t>
      </w:r>
    </w:p>
    <w:p w14:paraId="55501712" w14:textId="77777777" w:rsidR="00BA5355" w:rsidRPr="00E3756C" w:rsidRDefault="00BA5355" w:rsidP="00BA5355">
      <w:pPr>
        <w:pStyle w:val="BodyText"/>
      </w:pPr>
      <w:r w:rsidRPr="00E3756C">
        <w:t>An engagement plan is to be developed (using best practice methods</w:t>
      </w:r>
      <w:r w:rsidR="001A7C11">
        <w:t xml:space="preserve"> and underpinned by the </w:t>
      </w:r>
      <w:hyperlink r:id="rId21" w:history="1">
        <w:r w:rsidR="001A7C11" w:rsidRPr="001A7C11">
          <w:rPr>
            <w:rStyle w:val="Hyperlink"/>
          </w:rPr>
          <w:t>Royal Society of New Zealand’s code of ethics</w:t>
        </w:r>
      </w:hyperlink>
      <w:r w:rsidRPr="00E3756C">
        <w:t xml:space="preserve">) during the context-setting and understanding stage. </w:t>
      </w:r>
    </w:p>
    <w:p w14:paraId="7C91E6DA" w14:textId="77777777" w:rsidR="00BA5355" w:rsidRPr="00E3756C" w:rsidRDefault="00BA5355" w:rsidP="00BA5355">
      <w:pPr>
        <w:pStyle w:val="Bullet"/>
        <w:spacing w:line="280" w:lineRule="exact"/>
      </w:pPr>
      <w:r w:rsidRPr="00E3756C">
        <w:t xml:space="preserve">Best practice on engagement with Māori should be followed (eg, </w:t>
      </w:r>
      <w:r w:rsidRPr="00E3756C">
        <w:rPr>
          <w:rFonts w:cs="Calibri"/>
        </w:rPr>
        <w:t>Office for</w:t>
      </w:r>
      <w:r w:rsidRPr="00E3756C">
        <w:t xml:space="preserve"> Māori Crown Relations (2018) </w:t>
      </w:r>
      <w:r w:rsidRPr="00E3756C">
        <w:rPr>
          <w:i/>
        </w:rPr>
        <w:t>Guidelines for Engagement with Māori</w:t>
      </w:r>
      <w:r w:rsidRPr="00E3756C">
        <w:t>), involving a person with knowledge and experience of Māori engagement principles in the process.</w:t>
      </w:r>
    </w:p>
    <w:p w14:paraId="045226D2" w14:textId="77777777" w:rsidR="00BA5355" w:rsidRPr="00E3756C" w:rsidRDefault="00BA5355" w:rsidP="00BA5355">
      <w:pPr>
        <w:pStyle w:val="Bullet"/>
        <w:spacing w:line="280" w:lineRule="exact"/>
      </w:pPr>
      <w:r w:rsidRPr="00E3756C">
        <w:t xml:space="preserve">Engagement is needed at each stage of the assessment process. </w:t>
      </w:r>
    </w:p>
    <w:p w14:paraId="5EA7EFDF" w14:textId="77777777" w:rsidR="00BA5355" w:rsidRPr="00E3756C" w:rsidRDefault="00BA5355" w:rsidP="00BA5355">
      <w:pPr>
        <w:pStyle w:val="Bullet"/>
        <w:spacing w:line="280" w:lineRule="exact"/>
      </w:pPr>
      <w:r w:rsidRPr="00E3756C">
        <w:t xml:space="preserve">Expert elicitation will form the fundamental method for obtaining information from the different sectors. Because expert biases can result in perverse outcomes, it is important that structured elicitation protocols are followed and the reconciliation across experts is undertaken in a transparent and robust manner. </w:t>
      </w:r>
    </w:p>
    <w:p w14:paraId="6BAA36F2" w14:textId="77777777" w:rsidR="00BA5355" w:rsidRPr="00E3756C" w:rsidRDefault="00BA5355" w:rsidP="00BA5355">
      <w:pPr>
        <w:pStyle w:val="Heading3"/>
      </w:pPr>
      <w:r w:rsidRPr="00E3756C">
        <w:t>Defining the climate change hazards (chapter B1)</w:t>
      </w:r>
    </w:p>
    <w:p w14:paraId="7C0AC232" w14:textId="77777777" w:rsidR="00BA5355" w:rsidRPr="00E3756C" w:rsidRDefault="00BA5355" w:rsidP="00BA5355">
      <w:pPr>
        <w:pStyle w:val="BodyText"/>
      </w:pPr>
      <w:r w:rsidRPr="00E3756C">
        <w:t xml:space="preserve">This step develops descriptors of present-day hazards (including ongoing climate-related stressors – see </w:t>
      </w:r>
      <w:hyperlink w:anchor="boxA21" w:history="1">
        <w:r w:rsidRPr="00E3756C">
          <w:rPr>
            <w:rStyle w:val="Hyperlink"/>
          </w:rPr>
          <w:t>box A2-1</w:t>
        </w:r>
      </w:hyperlink>
      <w:r w:rsidRPr="00E3756C">
        <w:t>) that have been observed and the projected changes in their magnitude and frequency for two future timeframes and two different global emissions scenarios. The hazards are to be developed for seven climate zones that represent broad</w:t>
      </w:r>
      <w:r w:rsidR="009E44A5">
        <w:t>,</w:t>
      </w:r>
      <w:r w:rsidRPr="00E3756C">
        <w:t xml:space="preserve"> sub</w:t>
      </w:r>
      <w:r w:rsidRPr="00E3756C">
        <w:noBreakHyphen/>
        <w:t>national climatologies in Aotearoa New Zealand. This step includes:</w:t>
      </w:r>
    </w:p>
    <w:p w14:paraId="43C8E1BD" w14:textId="77777777" w:rsidR="00BA5355" w:rsidRPr="00E3756C" w:rsidRDefault="00BA5355" w:rsidP="00BA5355">
      <w:pPr>
        <w:pStyle w:val="Bullet"/>
        <w:spacing w:line="280" w:lineRule="exact"/>
      </w:pPr>
      <w:r w:rsidRPr="00E3756C">
        <w:t>examining a pre-selected list of hazards (</w:t>
      </w:r>
      <w:hyperlink w:anchor="tableB11" w:history="1">
        <w:r w:rsidRPr="00E3756C">
          <w:rPr>
            <w:rStyle w:val="Hyperlink"/>
          </w:rPr>
          <w:t>table B1-1</w:t>
        </w:r>
      </w:hyperlink>
      <w:r w:rsidRPr="00E3756C">
        <w:t>) and confirming they are the main climate change hazards (effects) that could impact each value domain and sector</w:t>
      </w:r>
    </w:p>
    <w:p w14:paraId="0C88E6F5" w14:textId="77777777" w:rsidR="00BA5355" w:rsidRPr="00E3756C" w:rsidRDefault="00BA5355" w:rsidP="00BA5355">
      <w:pPr>
        <w:pStyle w:val="Bullet"/>
        <w:spacing w:line="280" w:lineRule="exact"/>
      </w:pPr>
      <w:r w:rsidRPr="00E3756C">
        <w:t>obtaining or determining projections of the magnitude and direction of change, or changes</w:t>
      </w:r>
      <w:r w:rsidR="00456B92">
        <w:t> </w:t>
      </w:r>
      <w:r w:rsidRPr="00E3756C">
        <w:t xml:space="preserve">in the frequency of occurrence of each hazard for two different global emissions scenarios (RCP8.5 and RCP4.5 – see </w:t>
      </w:r>
      <w:hyperlink w:anchor="_A3.3_Selection_of" w:history="1">
        <w:r w:rsidRPr="00E3756C">
          <w:rPr>
            <w:rStyle w:val="Hyperlink"/>
          </w:rPr>
          <w:t>section A3.3</w:t>
        </w:r>
      </w:hyperlink>
      <w:r w:rsidRPr="00E3756C">
        <w:t xml:space="preserve">), and at two timeframes of around 30 years, for example, a decade around 2050 and 100-plus years (by 2100) – see </w:t>
      </w:r>
      <w:hyperlink w:anchor="_A3.3_Selection_of" w:history="1">
        <w:r w:rsidRPr="00E3756C">
          <w:rPr>
            <w:rStyle w:val="Hyperlink"/>
          </w:rPr>
          <w:t>section A3.3</w:t>
        </w:r>
      </w:hyperlink>
      <w:r w:rsidRPr="00E3756C">
        <w:t xml:space="preserve">. Note that coastal hazard risks should also be appraised for 2150, to highlight the continuing rising risks and pathway dependencies for consideration later in the National Adaptation Plan </w:t>
      </w:r>
    </w:p>
    <w:p w14:paraId="7B10E991" w14:textId="77777777" w:rsidR="00BA5355" w:rsidRPr="00E3756C" w:rsidRDefault="00BA5355" w:rsidP="00BA5355">
      <w:pPr>
        <w:pStyle w:val="Bullet"/>
        <w:spacing w:line="280" w:lineRule="exact"/>
      </w:pPr>
      <w:r w:rsidRPr="00E3756C">
        <w:t>agreeing on the present state of change in these hazards (as the baseline) and determining and agreeing on the changes in hazards from knowledge, modelling, projections and elicitation processes</w:t>
      </w:r>
    </w:p>
    <w:p w14:paraId="52DD5217" w14:textId="77777777" w:rsidR="00BA5355" w:rsidRPr="00E3756C" w:rsidRDefault="00BA5355" w:rsidP="00BA5355">
      <w:pPr>
        <w:pStyle w:val="Bullet"/>
        <w:spacing w:after="240" w:line="280" w:lineRule="exact"/>
      </w:pPr>
      <w:r w:rsidRPr="00E3756C">
        <w:t>carrying forward a summary table of hazard descriptors to be used in the three-stage assessment process.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A5355" w:rsidRPr="00E3756C" w14:paraId="6FC5C063" w14:textId="77777777" w:rsidTr="00D47AA1">
        <w:tc>
          <w:tcPr>
            <w:tcW w:w="0" w:type="auto"/>
            <w:shd w:val="clear" w:color="auto" w:fill="D2DDE2"/>
          </w:tcPr>
          <w:p w14:paraId="0FA32449" w14:textId="77777777" w:rsidR="00BA5355" w:rsidRPr="00E3756C" w:rsidRDefault="00BA5355" w:rsidP="003D2281">
            <w:pPr>
              <w:pStyle w:val="Blueboxheading"/>
              <w:keepNext w:val="0"/>
              <w:ind w:left="964" w:hanging="680"/>
            </w:pPr>
            <w:bookmarkStart w:id="43" w:name="boxA21"/>
            <w:r w:rsidRPr="00E3756C">
              <w:t>Box A2-1</w:t>
            </w:r>
            <w:bookmarkEnd w:id="43"/>
            <w:r w:rsidRPr="00E3756C">
              <w:t xml:space="preserve">: </w:t>
            </w:r>
            <w:r w:rsidRPr="00E3756C">
              <w:tab/>
              <w:t>Defining hazards</w:t>
            </w:r>
          </w:p>
          <w:p w14:paraId="00B3B587" w14:textId="77777777" w:rsidR="00BA5355" w:rsidRPr="00E3756C" w:rsidRDefault="00BA5355" w:rsidP="003D2281">
            <w:pPr>
              <w:pStyle w:val="Blueboxtext"/>
            </w:pPr>
            <w:r w:rsidRPr="00E3756C">
              <w:t xml:space="preserve">‘Hazard’ is defined according to the Intergovernmental Panel on Climate Change (IPCC) definition, as: </w:t>
            </w:r>
          </w:p>
          <w:p w14:paraId="0947A794" w14:textId="77777777" w:rsidR="00BA5355" w:rsidRPr="00E3756C" w:rsidRDefault="00BA5355" w:rsidP="003D2281">
            <w:pPr>
              <w:pStyle w:val="Blueboxtext"/>
              <w:spacing w:before="0" w:after="0"/>
              <w:ind w:left="567" w:right="567"/>
              <w:rPr>
                <w:sz w:val="19"/>
                <w:szCs w:val="19"/>
              </w:rPr>
            </w:pPr>
            <w:r w:rsidRPr="00E3756C">
              <w:rPr>
                <w:sz w:val="19"/>
                <w:szCs w:val="19"/>
              </w:rPr>
              <w:t>the potential occurrence of a natural or human-induced physical event or trend or physical impact that may cause loss of life, injury, or other health impacts, as well as damage and loss to property, infrastructure, livelihoods, service provision, ecosystems, and environmental resources (IPCC, 2012, pp 555</w:t>
            </w:r>
            <w:r w:rsidR="00871ECE" w:rsidRPr="00E3756C">
              <w:rPr>
                <w:sz w:val="19"/>
                <w:szCs w:val="19"/>
              </w:rPr>
              <w:t>–</w:t>
            </w:r>
            <w:r w:rsidRPr="00E3756C">
              <w:rPr>
                <w:sz w:val="19"/>
                <w:szCs w:val="19"/>
              </w:rPr>
              <w:t xml:space="preserve">564). </w:t>
            </w:r>
          </w:p>
          <w:p w14:paraId="1CF4A0B3" w14:textId="77777777" w:rsidR="00BA5355" w:rsidRPr="00E3756C" w:rsidRDefault="00BA5355" w:rsidP="003D2281">
            <w:pPr>
              <w:pStyle w:val="Blueboxtext"/>
              <w:spacing w:after="240"/>
            </w:pPr>
            <w:r w:rsidRPr="00E3756C">
              <w:t>In this report, the term hazard usually refers broadly not only to climat</w:t>
            </w:r>
            <w:r w:rsidR="009E44A5">
              <w:t>e-</w:t>
            </w:r>
            <w:r w:rsidRPr="00E3756C">
              <w:t xml:space="preserve">related hazard events (as conventionally understood) but also evolving trends or their gradual onset physical impacts (eg, change in summer temperature or pH decrease in the ocean). </w:t>
            </w:r>
          </w:p>
        </w:tc>
      </w:tr>
    </w:tbl>
    <w:p w14:paraId="107297DB" w14:textId="77777777" w:rsidR="00BA5355" w:rsidRPr="00E3756C" w:rsidRDefault="00BA5355" w:rsidP="00BA5355">
      <w:pPr>
        <w:pStyle w:val="Heading3"/>
      </w:pPr>
      <w:r w:rsidRPr="00E3756C">
        <w:lastRenderedPageBreak/>
        <w:t>Assessment Stage 1: First pass risk screening (chapter B2)</w:t>
      </w:r>
    </w:p>
    <w:p w14:paraId="17386E6C" w14:textId="77777777" w:rsidR="00BA5355" w:rsidRPr="00E3756C" w:rsidRDefault="00BA5355" w:rsidP="00BA5355">
      <w:pPr>
        <w:pStyle w:val="BodyText"/>
        <w:keepNext/>
      </w:pPr>
      <w:r w:rsidRPr="00E3756C">
        <w:t xml:space="preserve">This stage is a high-level desktop exercise using expert input. Risks are assessed for the timeframes indicated in </w:t>
      </w:r>
      <w:hyperlink w:anchor="_Chapter_A3:_Setting" w:history="1">
        <w:r w:rsidRPr="00E3756C">
          <w:rPr>
            <w:rStyle w:val="Hyperlink"/>
          </w:rPr>
          <w:t>chapter A3</w:t>
        </w:r>
      </w:hyperlink>
      <w:r w:rsidRPr="00E3756C">
        <w:t xml:space="preserve">, comparing the present day to the RCP8.5 projection. </w:t>
      </w:r>
    </w:p>
    <w:p w14:paraId="6AF0F21C" w14:textId="77777777" w:rsidR="00BA5355" w:rsidRPr="00E3756C" w:rsidRDefault="00BA5355" w:rsidP="00BA5355">
      <w:pPr>
        <w:pStyle w:val="Bullet"/>
        <w:spacing w:line="280" w:lineRule="exact"/>
        <w:rPr>
          <w:b/>
        </w:rPr>
      </w:pPr>
      <w:r w:rsidRPr="00E3756C">
        <w:rPr>
          <w:b/>
        </w:rPr>
        <w:t xml:space="preserve">Step 1: Establish context, scope and parties involved: </w:t>
      </w:r>
    </w:p>
    <w:p w14:paraId="388503F3" w14:textId="77777777" w:rsidR="00BA5355" w:rsidRPr="00E3756C" w:rsidRDefault="00BA5355" w:rsidP="00BA5355">
      <w:pPr>
        <w:pStyle w:val="Sub-list"/>
      </w:pPr>
      <w:r w:rsidRPr="00E3756C">
        <w:t>confirm parties and elicitation processes for each value domain</w:t>
      </w:r>
    </w:p>
    <w:p w14:paraId="61F54AC8" w14:textId="77777777" w:rsidR="00BA5355" w:rsidRPr="00E3756C" w:rsidRDefault="00BA5355" w:rsidP="00BA5355">
      <w:pPr>
        <w:pStyle w:val="Sub-list"/>
      </w:pPr>
      <w:r w:rsidRPr="00E3756C">
        <w:t>confirm qualitative criteria (strength of evidence, consequences)</w:t>
      </w:r>
    </w:p>
    <w:p w14:paraId="1A42BBC4" w14:textId="77777777" w:rsidR="00BA5355" w:rsidRPr="00E3756C" w:rsidRDefault="00BA5355" w:rsidP="00BA5355">
      <w:pPr>
        <w:pStyle w:val="Sub-list"/>
      </w:pPr>
      <w:r w:rsidRPr="00E3756C">
        <w:t>define aggregation of risks from sub-national climate zones.</w:t>
      </w:r>
    </w:p>
    <w:p w14:paraId="0D2A1144" w14:textId="77777777" w:rsidR="00BA5355" w:rsidRPr="00E3756C" w:rsidRDefault="00BA5355" w:rsidP="00BA5355">
      <w:pPr>
        <w:pStyle w:val="Bullet"/>
        <w:spacing w:line="280" w:lineRule="exact"/>
      </w:pPr>
      <w:r w:rsidRPr="00E3756C">
        <w:rPr>
          <w:b/>
        </w:rPr>
        <w:t>Step 2: Identify the existing climate risks</w:t>
      </w:r>
      <w:r w:rsidRPr="00E3756C">
        <w:t xml:space="preserve"> (for present day, eg, the past two decades) for the sectors and elements defined in the context-setting phase. This answers questions of: ‘What can happen?’ and ‘To what extent is the asset, taonga, sector already affected?’. </w:t>
      </w:r>
    </w:p>
    <w:p w14:paraId="21E526FC" w14:textId="77777777" w:rsidR="00BA5355" w:rsidRPr="00E3756C" w:rsidRDefault="00BA5355" w:rsidP="00BA5355">
      <w:pPr>
        <w:pStyle w:val="Bullet"/>
        <w:spacing w:line="280" w:lineRule="exact"/>
      </w:pPr>
      <w:r w:rsidRPr="00E3756C">
        <w:rPr>
          <w:b/>
        </w:rPr>
        <w:t>Step 3: Analyse risks</w:t>
      </w:r>
      <w:r w:rsidRPr="00E3756C">
        <w:t xml:space="preserve"> for future climate change impacts and opportunities for the recommended timeframes and RCP8.5 climate change projection only at this stage. </w:t>
      </w:r>
    </w:p>
    <w:p w14:paraId="6F155DBF" w14:textId="77777777" w:rsidR="00BA5355" w:rsidRPr="00E3756C" w:rsidRDefault="00BA5355" w:rsidP="00BA5355">
      <w:pPr>
        <w:pStyle w:val="Bullet"/>
        <w:spacing w:line="280" w:lineRule="exact"/>
      </w:pPr>
      <w:r w:rsidRPr="00E3756C">
        <w:rPr>
          <w:b/>
        </w:rPr>
        <w:t>Step 4: Evaluate risks</w:t>
      </w:r>
      <w:r w:rsidRPr="00E3756C">
        <w:t xml:space="preserve"> to determine </w:t>
      </w:r>
      <w:r w:rsidR="009E44A5">
        <w:t xml:space="preserve">the </w:t>
      </w:r>
      <w:r w:rsidRPr="00E3756C">
        <w:t>need for detailed risk assessment or exploration of opportunities. Highlight significant gaps requiring dedicated future effort. Evaluate against consequences criteria and identify risks that rank ‘moderate’ or ‘high’ to carry forward to the next stage to assess in more detail. Prepare an interim report explaining high-level findings of the key risks from the Stage 1 screening.</w:t>
      </w:r>
    </w:p>
    <w:p w14:paraId="21BA5E2D" w14:textId="77777777" w:rsidR="00BA5355" w:rsidRPr="00E3756C" w:rsidRDefault="00BA5355" w:rsidP="00BA5355">
      <w:pPr>
        <w:pStyle w:val="Heading3"/>
      </w:pPr>
      <w:r w:rsidRPr="00E3756C">
        <w:t>Assessment Stage 2: Detailed risk assessment (chapter B3)</w:t>
      </w:r>
    </w:p>
    <w:p w14:paraId="05BBAC82" w14:textId="77777777" w:rsidR="00BA5355" w:rsidRPr="00E3756C" w:rsidRDefault="00BA5355" w:rsidP="00BA5355">
      <w:pPr>
        <w:pStyle w:val="BodyText"/>
      </w:pPr>
      <w:r w:rsidRPr="00E3756C">
        <w:t>For risks identified in Stage 1 risk screening (</w:t>
      </w:r>
      <w:hyperlink w:anchor="_Chapter_B2:_Assessment" w:history="1">
        <w:r w:rsidRPr="00E3756C">
          <w:rPr>
            <w:rStyle w:val="Hyperlink"/>
          </w:rPr>
          <w:t>chapter B2</w:t>
        </w:r>
      </w:hyperlink>
      <w:r w:rsidRPr="00E3756C">
        <w:t>), analyse and evaluate future risks and opportunities based on the two selected climate change projections and timeframes (</w:t>
      </w:r>
      <w:hyperlink w:anchor="_Chapter_B1:_Defining" w:history="1">
        <w:r w:rsidRPr="00E3756C">
          <w:rPr>
            <w:rStyle w:val="Hyperlink"/>
          </w:rPr>
          <w:t>chapter B1</w:t>
        </w:r>
      </w:hyperlink>
      <w:r w:rsidRPr="00E3756C">
        <w:t xml:space="preserve">). </w:t>
      </w:r>
    </w:p>
    <w:p w14:paraId="0BD5A7A2" w14:textId="77777777" w:rsidR="00BA5355" w:rsidRPr="00E3756C" w:rsidRDefault="00BA5355" w:rsidP="00BA5355">
      <w:pPr>
        <w:pStyle w:val="Bullet"/>
        <w:spacing w:line="280" w:lineRule="exact"/>
        <w:rPr>
          <w:b/>
        </w:rPr>
      </w:pPr>
      <w:r w:rsidRPr="00E3756C">
        <w:rPr>
          <w:b/>
        </w:rPr>
        <w:t>Step 1: Establish context, scope and parties involved:</w:t>
      </w:r>
    </w:p>
    <w:p w14:paraId="1E8CB25E" w14:textId="77777777" w:rsidR="00BA5355" w:rsidRPr="00E3756C" w:rsidRDefault="00BA5355" w:rsidP="00BA5355">
      <w:pPr>
        <w:pStyle w:val="Sub-list"/>
      </w:pPr>
      <w:r w:rsidRPr="00E3756C">
        <w:t>confirm list of risks from Stage 1 to explore in detail</w:t>
      </w:r>
    </w:p>
    <w:p w14:paraId="16A382B0" w14:textId="77777777" w:rsidR="00BA5355" w:rsidRPr="00E3756C" w:rsidRDefault="00BA5355" w:rsidP="00BA5355">
      <w:pPr>
        <w:pStyle w:val="Sub-list"/>
      </w:pPr>
      <w:r w:rsidRPr="00E3756C">
        <w:t>confirm parties and elicitation processes based on Stage 1 identified risks</w:t>
      </w:r>
    </w:p>
    <w:p w14:paraId="19D958CE" w14:textId="77777777" w:rsidR="00BA5355" w:rsidRPr="00E3756C" w:rsidRDefault="00BA5355" w:rsidP="00BA5355">
      <w:pPr>
        <w:pStyle w:val="Sub-list"/>
      </w:pPr>
      <w:r w:rsidRPr="00E3756C">
        <w:rPr>
          <w:b/>
        </w:rPr>
        <w:t>hazards:</w:t>
      </w:r>
      <w:r w:rsidRPr="00E3756C">
        <w:t xml:space="preserve"> use additional sources and knowledge, and in-depth stakeholder and expert engagement, to gain more detailed information on the hazards </w:t>
      </w:r>
      <w:r w:rsidR="009E44A5">
        <w:t>shown to affect</w:t>
      </w:r>
      <w:r w:rsidRPr="00E3756C">
        <w:t xml:space="preserve"> the identified key elements at risk and their projected changes</w:t>
      </w:r>
      <w:r w:rsidR="009E44A5">
        <w:t>. This includes</w:t>
      </w:r>
      <w:r w:rsidRPr="00E3756C">
        <w:t xml:space="preserve"> the additional extended timeframe to 2150 </w:t>
      </w:r>
      <w:r w:rsidR="009E44A5">
        <w:t xml:space="preserve">only </w:t>
      </w:r>
      <w:r w:rsidRPr="00E3756C">
        <w:t xml:space="preserve">for coastal hazard risks </w:t>
      </w:r>
      <w:r w:rsidR="009E44A5">
        <w:t>related</w:t>
      </w:r>
      <w:r w:rsidR="009E44A5" w:rsidRPr="00E3756C">
        <w:t xml:space="preserve"> </w:t>
      </w:r>
      <w:r w:rsidRPr="00E3756C">
        <w:t>to flooding.</w:t>
      </w:r>
    </w:p>
    <w:p w14:paraId="42309986" w14:textId="77777777" w:rsidR="00BA5355" w:rsidRPr="00E3756C" w:rsidRDefault="00BA5355" w:rsidP="00BA5355">
      <w:pPr>
        <w:pStyle w:val="Bullet"/>
        <w:spacing w:line="280" w:lineRule="exact"/>
      </w:pPr>
      <w:r w:rsidRPr="00E3756C">
        <w:rPr>
          <w:b/>
        </w:rPr>
        <w:t>Step 2: Exposure assessment:</w:t>
      </w:r>
      <w:r w:rsidRPr="00E3756C">
        <w:t xml:space="preserve"> Assess the current and potential future exposure of the assets, taonga, sectors (those already identified as being exposed and/or at risk in Stage 1)</w:t>
      </w:r>
    </w:p>
    <w:p w14:paraId="5D7E767B" w14:textId="77777777" w:rsidR="00BA5355" w:rsidRPr="00E3756C" w:rsidRDefault="00BA5355" w:rsidP="00BA5355">
      <w:pPr>
        <w:pStyle w:val="Bullet"/>
        <w:spacing w:line="280" w:lineRule="exact"/>
      </w:pPr>
      <w:r w:rsidRPr="00E3756C">
        <w:rPr>
          <w:b/>
        </w:rPr>
        <w:t>Step 3: Vulnerability assessment:</w:t>
      </w:r>
      <w:r w:rsidRPr="00E3756C">
        <w:t xml:space="preserve"> For assets, sectors</w:t>
      </w:r>
      <w:r w:rsidR="009E44A5">
        <w:t xml:space="preserve"> and</w:t>
      </w:r>
      <w:r w:rsidRPr="00E3756C">
        <w:t xml:space="preserve"> taonga identified as being significantly exposed in </w:t>
      </w:r>
      <w:r w:rsidR="000A17DE">
        <w:t>Step</w:t>
      </w:r>
      <w:r w:rsidRPr="00E3756C">
        <w:t xml:space="preserve"> 2, assess the sensitivity and overall adaptive capacity of the assets, taonga</w:t>
      </w:r>
      <w:r w:rsidR="009E44A5">
        <w:t xml:space="preserve"> and</w:t>
      </w:r>
      <w:r w:rsidRPr="00E3756C">
        <w:t xml:space="preserve"> sector to the hazard, to derive a measure of vulnerability.</w:t>
      </w:r>
    </w:p>
    <w:p w14:paraId="57942D7D" w14:textId="77777777" w:rsidR="00BA5355" w:rsidRPr="00E3756C" w:rsidRDefault="00BA5355" w:rsidP="00BA5355">
      <w:pPr>
        <w:pStyle w:val="Bullet"/>
        <w:spacing w:line="280" w:lineRule="exact"/>
      </w:pPr>
      <w:r w:rsidRPr="00E3756C">
        <w:rPr>
          <w:b/>
        </w:rPr>
        <w:t>Step 4: Consequence assessment:</w:t>
      </w:r>
      <w:r w:rsidRPr="00E3756C">
        <w:t xml:space="preserve"> From results of steps 2 and 3, evaluate the potential severity of consequences under the prescribed climate change projections and timeframes (</w:t>
      </w:r>
      <w:hyperlink w:anchor="_Chapter_B1:_Defining" w:history="1">
        <w:r w:rsidRPr="00E3756C">
          <w:rPr>
            <w:rStyle w:val="Hyperlink"/>
          </w:rPr>
          <w:t>chapter B1</w:t>
        </w:r>
      </w:hyperlink>
      <w:r w:rsidRPr="00E3756C">
        <w:t>). Consider the implications of cross-cutting risks affecting multiple domains or sectors.</w:t>
      </w:r>
    </w:p>
    <w:p w14:paraId="6AA20852" w14:textId="77777777" w:rsidR="00BA5355" w:rsidRPr="00E3756C" w:rsidRDefault="00BA5355" w:rsidP="00BA5355">
      <w:pPr>
        <w:pStyle w:val="Bullet"/>
        <w:spacing w:line="280" w:lineRule="exact"/>
      </w:pPr>
      <w:r w:rsidRPr="00E3756C">
        <w:rPr>
          <w:b/>
        </w:rPr>
        <w:t>Step 5: Risk scoring:</w:t>
      </w:r>
      <w:r w:rsidRPr="00E3756C">
        <w:t xml:space="preserve"> Assign risk rating based on consequences at the national scale and carry forward to Stage 3.</w:t>
      </w:r>
    </w:p>
    <w:p w14:paraId="652631EA" w14:textId="77777777" w:rsidR="00BA5355" w:rsidRPr="00E3756C" w:rsidRDefault="00BA5355" w:rsidP="00BA5355">
      <w:pPr>
        <w:pStyle w:val="Heading3"/>
      </w:pPr>
      <w:r w:rsidRPr="00E3756C">
        <w:lastRenderedPageBreak/>
        <w:t>Assessment Stage 3: Adaptation and decision urgency assessment (chapter B4)</w:t>
      </w:r>
    </w:p>
    <w:p w14:paraId="0555CF14" w14:textId="77777777" w:rsidR="00BA5355" w:rsidRPr="00E3756C" w:rsidRDefault="00BA5355" w:rsidP="00BA5355">
      <w:pPr>
        <w:pStyle w:val="BodyText"/>
      </w:pPr>
      <w:r w:rsidRPr="00E3756C">
        <w:t>Taking risks from Stage 2, analyse the current and planned adaptation to highlight risks for</w:t>
      </w:r>
      <w:r w:rsidR="00835C2B">
        <w:t> </w:t>
      </w:r>
      <w:r w:rsidRPr="00E3756C">
        <w:t>which adaptation decisions need to be made most urgently, to inform a National Adaptation Plan.</w:t>
      </w:r>
    </w:p>
    <w:p w14:paraId="47F5E96A" w14:textId="77777777" w:rsidR="00BA5355" w:rsidRPr="00E3756C" w:rsidRDefault="00BA5355" w:rsidP="00BA5355">
      <w:pPr>
        <w:pStyle w:val="Bullet"/>
        <w:spacing w:line="280" w:lineRule="exact"/>
      </w:pPr>
      <w:r w:rsidRPr="00E3756C">
        <w:rPr>
          <w:b/>
        </w:rPr>
        <w:t>Step 1: Assess current and planned adaptation:</w:t>
      </w:r>
      <w:r w:rsidRPr="00E3756C">
        <w:t xml:space="preserve"> Are these actions sufficient to manage the evolving risk? Are they sufficiently flexible to account for uncertain future changes?</w:t>
      </w:r>
    </w:p>
    <w:p w14:paraId="4008555C" w14:textId="77777777" w:rsidR="00BA5355" w:rsidRPr="00E3756C" w:rsidRDefault="00BA5355" w:rsidP="00BA5355">
      <w:pPr>
        <w:pStyle w:val="Bullet"/>
        <w:spacing w:line="280" w:lineRule="exact"/>
        <w:rPr>
          <w:b/>
        </w:rPr>
      </w:pPr>
      <w:r w:rsidRPr="00E3756C">
        <w:rPr>
          <w:b/>
        </w:rPr>
        <w:t xml:space="preserve">Step 2: Assess decision urgency: </w:t>
      </w:r>
    </w:p>
    <w:p w14:paraId="1ABF79B3" w14:textId="77777777" w:rsidR="00BA5355" w:rsidRPr="00E3756C" w:rsidRDefault="00BA5355" w:rsidP="00BA5355">
      <w:pPr>
        <w:pStyle w:val="Sub-list"/>
      </w:pPr>
      <w:r w:rsidRPr="00E3756C">
        <w:t xml:space="preserve">consider actions that have long lead times </w:t>
      </w:r>
    </w:p>
    <w:p w14:paraId="3EAC823F" w14:textId="77777777" w:rsidR="00BA5355" w:rsidRPr="00E3756C" w:rsidRDefault="00BA5355" w:rsidP="00BA5355">
      <w:pPr>
        <w:pStyle w:val="Sub-list"/>
      </w:pPr>
      <w:r w:rsidRPr="00E3756C">
        <w:t xml:space="preserve">consider where action is required early to avoid current pathway dependency (maladaptation) or irreversible negative consequences </w:t>
      </w:r>
    </w:p>
    <w:p w14:paraId="7B0D89E4" w14:textId="77777777" w:rsidR="00BA5355" w:rsidRPr="00E3756C" w:rsidRDefault="00BA5355" w:rsidP="00BA5355">
      <w:pPr>
        <w:pStyle w:val="Sub-list"/>
      </w:pPr>
      <w:r w:rsidRPr="00E3756C">
        <w:t xml:space="preserve">identify research gaps where strength of evidence is low for the higher perceived risks or </w:t>
      </w:r>
      <w:r w:rsidR="009E44A5">
        <w:t xml:space="preserve">where </w:t>
      </w:r>
      <w:r w:rsidRPr="00E3756C">
        <w:t>there is deep uncertainty</w:t>
      </w:r>
    </w:p>
    <w:p w14:paraId="516FFC51" w14:textId="77777777" w:rsidR="00BA5355" w:rsidRPr="00E3756C" w:rsidRDefault="00BA5355" w:rsidP="00BA5355">
      <w:pPr>
        <w:pStyle w:val="Sub-list"/>
      </w:pPr>
      <w:r w:rsidRPr="00E3756C">
        <w:t>identify monitoring gaps.</w:t>
      </w:r>
    </w:p>
    <w:p w14:paraId="502F9F71" w14:textId="77777777" w:rsidR="00BA5355" w:rsidRPr="00E3756C" w:rsidRDefault="00BA5355" w:rsidP="00BA5355">
      <w:pPr>
        <w:pStyle w:val="Bullet"/>
        <w:spacing w:line="280" w:lineRule="exact"/>
      </w:pPr>
      <w:r w:rsidRPr="00E3756C">
        <w:rPr>
          <w:b/>
        </w:rPr>
        <w:t>Step 3: Report on key risks</w:t>
      </w:r>
      <w:r w:rsidRPr="00E3756C">
        <w:t xml:space="preserve"> based on severity and urgency for adaptation decisions and action, highlighting where more action is needed or there is a research priority.</w:t>
      </w:r>
    </w:p>
    <w:p w14:paraId="4E04A118" w14:textId="77777777" w:rsidR="00BA5355" w:rsidRPr="00E3756C" w:rsidRDefault="00BA5355" w:rsidP="00BA5355">
      <w:pPr>
        <w:pStyle w:val="BodyText"/>
      </w:pPr>
      <w:r w:rsidRPr="00E3756C">
        <w:t>This climate risk assessment will be completed through analysis of existing data and literature, and collaborative elicitation with experts, Māori, iwi, hapū, and key stakeholders including government departments and other custodians of those risks. Guidance is given for engaging with and consulting stakeholders, Māori, iwi, hapū, experts and sector adaptation leaders to gather information and produce agreed risk rankings and to evaluate the key risks to be addressed.</w:t>
      </w:r>
    </w:p>
    <w:p w14:paraId="22A4F6E7" w14:textId="77777777" w:rsidR="00BA5355" w:rsidRPr="00E3756C" w:rsidRDefault="00BA5355" w:rsidP="00BA5355">
      <w:pPr>
        <w:pStyle w:val="BodyText"/>
      </w:pPr>
      <w:r w:rsidRPr="00E3756C">
        <w:t>The result of the risk assessment will inform the National Adaptation Plan. Monitoring and review of the National Adaptation Plan is proposed as being the mandate of the Climate Change Commission.</w:t>
      </w:r>
    </w:p>
    <w:p w14:paraId="2DA0C5F3" w14:textId="77777777" w:rsidR="00BA5355" w:rsidRPr="00E3756C" w:rsidRDefault="00BA5355" w:rsidP="00BA5355">
      <w:pPr>
        <w:spacing w:before="0" w:after="200" w:line="276" w:lineRule="auto"/>
        <w:jc w:val="left"/>
      </w:pPr>
      <w:r w:rsidRPr="00E3756C">
        <w:br w:type="page"/>
      </w:r>
    </w:p>
    <w:p w14:paraId="0BD6C071" w14:textId="77777777" w:rsidR="00BA5355" w:rsidRPr="00E3756C" w:rsidRDefault="00BA5355" w:rsidP="00BA5355">
      <w:pPr>
        <w:pStyle w:val="Heading1"/>
      </w:pPr>
      <w:bookmarkStart w:id="44" w:name="_Chapter_A3:_Setting"/>
      <w:bookmarkStart w:id="45" w:name="_Toc14769379"/>
      <w:bookmarkStart w:id="46" w:name="_Toc15409144"/>
      <w:bookmarkEnd w:id="44"/>
      <w:r w:rsidRPr="00E3756C">
        <w:lastRenderedPageBreak/>
        <w:t>Chapter A3: Setting the context for the National Climate Change Risk Assessment</w:t>
      </w:r>
      <w:bookmarkEnd w:id="45"/>
      <w:bookmarkEnd w:id="46"/>
    </w:p>
    <w:p w14:paraId="48A15544" w14:textId="77777777" w:rsidR="00BA5355" w:rsidRPr="00E3756C" w:rsidRDefault="00BA5355" w:rsidP="00835C2B">
      <w:pPr>
        <w:pStyle w:val="Heading2"/>
      </w:pPr>
      <w:bookmarkStart w:id="47" w:name="_Toc15409145"/>
      <w:r w:rsidRPr="00E3756C">
        <w:t>A3.1</w:t>
      </w:r>
      <w:r w:rsidRPr="00E3756C">
        <w:tab/>
      </w:r>
      <w:bookmarkEnd w:id="47"/>
      <w:r w:rsidR="00FC239B">
        <w:t>Background</w:t>
      </w:r>
    </w:p>
    <w:p w14:paraId="7050DD9A" w14:textId="77777777" w:rsidR="00BA5355" w:rsidRPr="00E3756C" w:rsidRDefault="00BA5355" w:rsidP="00BA5355">
      <w:pPr>
        <w:pStyle w:val="BodyText"/>
        <w:spacing w:before="240"/>
      </w:pPr>
      <w:r w:rsidRPr="00E3756C">
        <w:t xml:space="preserve">The first step in a risk assessment is to set the context. This includes establishing objectives, identifying key elements at risk, identifying stakeholders, determining criteria against which risks will be rated, and, in the case of climate change risk assessments, describing the climate scenarios to be used. </w:t>
      </w:r>
    </w:p>
    <w:p w14:paraId="69525D38" w14:textId="77777777" w:rsidR="00BA5355" w:rsidRPr="00E3756C" w:rsidRDefault="00BA5355" w:rsidP="00BA5355">
      <w:pPr>
        <w:pStyle w:val="BodyText"/>
      </w:pPr>
      <w:r w:rsidRPr="00E3756C">
        <w:t>The objective of the NCCRA and subsequent National Adaptation Plan is to safeguard the </w:t>
      </w:r>
      <w:r w:rsidR="000A17DE">
        <w:t>wellbeing</w:t>
      </w:r>
      <w:r w:rsidRPr="00E3756C">
        <w:t xml:space="preserve"> of Aotearoa New Zealand into the future in the face of uncertain climate change risks. It is about ensuring the protection and enhancing the resilience of significant environmental, cultural and societal values and resources, the built environment and the economy.</w:t>
      </w:r>
    </w:p>
    <w:p w14:paraId="17CF2C5A" w14:textId="77777777" w:rsidR="00BA5355" w:rsidRPr="00E3756C" w:rsidRDefault="00BA5355" w:rsidP="00BA5355">
      <w:pPr>
        <w:pStyle w:val="BodyText"/>
      </w:pPr>
      <w:r w:rsidRPr="00E3756C">
        <w:t>The following sections describe the elements involved in setting the context for the NCCRA.</w:t>
      </w:r>
    </w:p>
    <w:p w14:paraId="01E5279B" w14:textId="77777777" w:rsidR="00BA5355" w:rsidRPr="00E3756C" w:rsidRDefault="00BA5355" w:rsidP="00BA5355">
      <w:pPr>
        <w:pStyle w:val="Heading2"/>
      </w:pPr>
      <w:bookmarkStart w:id="48" w:name="_A3.1__Defining"/>
      <w:bookmarkStart w:id="49" w:name="_Toc14769380"/>
      <w:bookmarkStart w:id="50" w:name="_Toc15409146"/>
      <w:bookmarkEnd w:id="48"/>
      <w:r w:rsidRPr="00E3756C">
        <w:t xml:space="preserve">A3.2 </w:t>
      </w:r>
      <w:r w:rsidRPr="00E3756C">
        <w:tab/>
        <w:t>Defining what we value</w:t>
      </w:r>
      <w:bookmarkEnd w:id="49"/>
      <w:bookmarkEnd w:id="50"/>
      <w:r w:rsidRPr="00E3756C">
        <w:t xml:space="preserve"> </w:t>
      </w:r>
    </w:p>
    <w:p w14:paraId="4F2D0D8B" w14:textId="77777777" w:rsidR="00BA5355" w:rsidRPr="00E3756C" w:rsidRDefault="00BA5355" w:rsidP="00BA5355">
      <w:pPr>
        <w:pStyle w:val="BodyText"/>
      </w:pPr>
      <w:r w:rsidRPr="00E3756C">
        <w:t>To identify risks, we need to understand what is at stake: what we value and want to protect. For the NCCRA, this means defining national values and taonga that may be at risk from the observed and potential impacts of climate change. In risk management terminology, these are often referred to as ‘assets’, or elements at risk, but they are not just physical things; both tangible and intangible values are included.</w:t>
      </w:r>
    </w:p>
    <w:p w14:paraId="0E6D7C19" w14:textId="77777777" w:rsidR="00BA5355" w:rsidRPr="00E3756C" w:rsidRDefault="00BA5355" w:rsidP="00BA5355">
      <w:pPr>
        <w:pStyle w:val="BodyText"/>
      </w:pPr>
      <w:r w:rsidRPr="00E3756C">
        <w:t xml:space="preserve">The approach chosen to identify at-risk elements for the first NCCRA draws on and aligns with the Treasury’s LSF, which provides a means for organising indicators of sustainable intergenerational </w:t>
      </w:r>
      <w:r w:rsidR="000A17DE">
        <w:t>wellbeing</w:t>
      </w:r>
      <w:r w:rsidRPr="00E3756C">
        <w:t>, and the NDRS, which details priorities and objectives for increasing New Zealand’s resilience to disasters.</w:t>
      </w:r>
    </w:p>
    <w:p w14:paraId="193E7319" w14:textId="77777777" w:rsidR="00BA5355" w:rsidRPr="00E3756C" w:rsidRDefault="00BA5355" w:rsidP="00BA5355">
      <w:pPr>
        <w:pStyle w:val="BodyText"/>
      </w:pPr>
      <w:r w:rsidRPr="00E3756C">
        <w:t xml:space="preserve">The LSF’s four capitals – natural, human, social, and financial and physical – represent broad categories of values and assets that contribute to </w:t>
      </w:r>
      <w:r w:rsidR="000A17DE">
        <w:t>wellbeing</w:t>
      </w:r>
      <w:r w:rsidRPr="00E3756C">
        <w:t>. These can be applied at the individual, community or national level. Similarly, the NDRS categorises elements and assets (also termed capitals) under broad categories of social, cultural, economic, built environment, natural environment, and governance. This provides a structure for the NCCRA framework to gain an understanding of risk in terms of ‘value domains’ – groups of things we value as a society – that align with the NDRS and LSF.</w:t>
      </w:r>
    </w:p>
    <w:p w14:paraId="0BD23969" w14:textId="77777777" w:rsidR="00BA5355" w:rsidRPr="00E3756C" w:rsidRDefault="00BA5355" w:rsidP="00BA5355">
      <w:pPr>
        <w:pStyle w:val="BodyText"/>
      </w:pPr>
      <w:r w:rsidRPr="00E3756C">
        <w:t xml:space="preserve">As discussed in </w:t>
      </w:r>
      <w:hyperlink w:anchor="_Chapter_A1:_Introduction" w:history="1">
        <w:r w:rsidRPr="00E3756C">
          <w:rPr>
            <w:rStyle w:val="Hyperlink"/>
          </w:rPr>
          <w:t>chapter A1</w:t>
        </w:r>
      </w:hyperlink>
      <w:r w:rsidRPr="00E3756C">
        <w:t xml:space="preserve">, from a Māori perspective, the intertwining of people (tangata) and environment (taio) underpins </w:t>
      </w:r>
      <w:r w:rsidR="000A17DE">
        <w:t>wellbeing</w:t>
      </w:r>
      <w:r w:rsidRPr="00E3756C">
        <w:t xml:space="preserve"> and forms the basis for all other interactions, because we rely on natural resources for sustaining life. Natural resources are also critical for all other capitals. For example, physical capital (built environment and infrastructure) relies on the integrity of the natural environment (land use, soils, water, coastal) and human capital to </w:t>
      </w:r>
      <w:r w:rsidRPr="00E3756C">
        <w:lastRenderedPageBreak/>
        <w:t>maintain it. Natural capital is also important for cultural and social capital (cultural life, community), and financial capital (eg, for primary industries, tourism, fisheries).</w:t>
      </w:r>
    </w:p>
    <w:p w14:paraId="1AF134E2" w14:textId="77777777" w:rsidR="00BA5355" w:rsidRPr="00E3756C" w:rsidRDefault="00BA5355" w:rsidP="00BA5355">
      <w:pPr>
        <w:pStyle w:val="BodyText"/>
      </w:pPr>
      <w:r w:rsidRPr="00E3756C">
        <w:t>Figures A3-1 and A3-2 show the four capitals of the LSF and six domains (capitals) of the NDRS</w:t>
      </w:r>
      <w:r w:rsidR="002A0789" w:rsidRPr="00E3756C">
        <w:t> </w:t>
      </w:r>
      <w:r w:rsidRPr="00E3756C">
        <w:t xml:space="preserve">respectively. </w:t>
      </w:r>
    </w:p>
    <w:p w14:paraId="32867D5F" w14:textId="77777777" w:rsidR="00BA5355" w:rsidRPr="00E3756C" w:rsidRDefault="00BA5355" w:rsidP="00BA5355">
      <w:pPr>
        <w:pStyle w:val="Figureheading"/>
      </w:pPr>
      <w:bookmarkStart w:id="51" w:name="_Toc16586513"/>
      <w:r w:rsidRPr="00E3756C">
        <w:t xml:space="preserve">Figure A3-1: </w:t>
      </w:r>
      <w:r w:rsidRPr="00E3756C">
        <w:tab/>
        <w:t>Four capitals of the Living Standards Framework</w:t>
      </w:r>
      <w:bookmarkEnd w:id="51"/>
    </w:p>
    <w:p w14:paraId="6C8472FC" w14:textId="77777777" w:rsidR="00BA5355" w:rsidRPr="00E3756C" w:rsidRDefault="008A0DF2" w:rsidP="00BA5355">
      <w:pPr>
        <w:pStyle w:val="BodyText"/>
      </w:pPr>
      <w:r w:rsidRPr="008A0DF2">
        <w:rPr>
          <w:noProof/>
        </w:rPr>
        <w:drawing>
          <wp:inline distT="0" distB="0" distL="0" distR="0" wp14:anchorId="4CD2EF0C" wp14:editId="53297FB7">
            <wp:extent cx="5697577" cy="3114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0223" cy="3116122"/>
                    </a:xfrm>
                    <a:prstGeom prst="rect">
                      <a:avLst/>
                    </a:prstGeom>
                    <a:noFill/>
                    <a:ln>
                      <a:noFill/>
                    </a:ln>
                  </pic:spPr>
                </pic:pic>
              </a:graphicData>
            </a:graphic>
          </wp:inline>
        </w:drawing>
      </w:r>
    </w:p>
    <w:p w14:paraId="303C26B5" w14:textId="77777777" w:rsidR="00BA5355" w:rsidRPr="00E3756C" w:rsidRDefault="00BA5355" w:rsidP="00BA5355">
      <w:pPr>
        <w:pStyle w:val="Source"/>
      </w:pPr>
      <w:r w:rsidRPr="00E3756C">
        <w:t>Source: The New Zealand Treasury</w:t>
      </w:r>
    </w:p>
    <w:p w14:paraId="0EA5BCA8" w14:textId="77777777" w:rsidR="00BA5355" w:rsidRPr="00E3756C" w:rsidRDefault="00BA5355" w:rsidP="00BA5355">
      <w:pPr>
        <w:pStyle w:val="Figureheading"/>
        <w:spacing w:before="240"/>
      </w:pPr>
      <w:bookmarkStart w:id="52" w:name="_Toc16586514"/>
      <w:r w:rsidRPr="00E3756C">
        <w:t xml:space="preserve">Figure A3-2: </w:t>
      </w:r>
      <w:r w:rsidRPr="00E3756C">
        <w:tab/>
        <w:t>Framework for the National Disaster Resilience Strategy</w:t>
      </w:r>
      <w:bookmarkEnd w:id="52"/>
      <w:r w:rsidRPr="00E3756C">
        <w:t xml:space="preserve"> </w:t>
      </w:r>
    </w:p>
    <w:p w14:paraId="074336C7" w14:textId="77777777" w:rsidR="00BA5355" w:rsidRPr="00E3756C" w:rsidRDefault="008A0DF2" w:rsidP="00BA5355">
      <w:pPr>
        <w:pStyle w:val="BodyText"/>
        <w:spacing w:after="240"/>
      </w:pPr>
      <w:r w:rsidRPr="008A0DF2">
        <w:rPr>
          <w:noProof/>
        </w:rPr>
        <w:drawing>
          <wp:inline distT="0" distB="0" distL="0" distR="0" wp14:anchorId="7A157FF2" wp14:editId="25DA5968">
            <wp:extent cx="5436235" cy="31461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6235" cy="3146146"/>
                    </a:xfrm>
                    <a:prstGeom prst="rect">
                      <a:avLst/>
                    </a:prstGeom>
                    <a:noFill/>
                    <a:ln>
                      <a:noFill/>
                    </a:ln>
                  </pic:spPr>
                </pic:pic>
              </a:graphicData>
            </a:graphic>
          </wp:inline>
        </w:drawing>
      </w:r>
    </w:p>
    <w:p w14:paraId="3899172E" w14:textId="77777777" w:rsidR="00BA5355" w:rsidRPr="00E3756C" w:rsidRDefault="00BA5355" w:rsidP="00BA5355">
      <w:pPr>
        <w:pStyle w:val="Source"/>
      </w:pPr>
      <w:r w:rsidRPr="00E3756C">
        <w:t>Source: Department of the Prime Minister and Cabinet, 2019</w:t>
      </w:r>
    </w:p>
    <w:bookmarkStart w:id="53" w:name="tableA31"/>
    <w:p w14:paraId="641B23F7" w14:textId="77777777" w:rsidR="00BA5355" w:rsidRPr="00E3756C" w:rsidRDefault="00BA5355" w:rsidP="00BA5355">
      <w:pPr>
        <w:pStyle w:val="BodyText"/>
      </w:pPr>
      <w:r w:rsidRPr="00E3756C">
        <w:lastRenderedPageBreak/>
        <w:fldChar w:fldCharType="begin"/>
      </w:r>
      <w:r w:rsidRPr="00E3756C">
        <w:instrText xml:space="preserve"> HYPERLINK  \l "tableA31" </w:instrText>
      </w:r>
      <w:r w:rsidRPr="00E3756C">
        <w:fldChar w:fldCharType="separate"/>
      </w:r>
      <w:r w:rsidRPr="00E3756C">
        <w:rPr>
          <w:rStyle w:val="Hyperlink"/>
        </w:rPr>
        <w:t>Table A3-1</w:t>
      </w:r>
      <w:r w:rsidRPr="00E3756C">
        <w:fldChar w:fldCharType="end"/>
      </w:r>
      <w:r w:rsidRPr="00E3756C">
        <w:t xml:space="preserve"> describes how these frameworks overlap and how sectors and ‘elements at risk’ can</w:t>
      </w:r>
      <w:r w:rsidR="001E5EC8">
        <w:t> </w:t>
      </w:r>
      <w:r w:rsidRPr="00E3756C">
        <w:t>be conceptualised and assessed in the NCCRA framework. It also establishes and explains ‘value domains’ for assessing risk, which align with the domains and capitals of the NDRS. The descriptions in table A3-1 recognise the interconnectedness of these domains and their impact on the capitals of the LSF, as highlighted by the colour coding in the table.</w:t>
      </w:r>
    </w:p>
    <w:p w14:paraId="003F95EC" w14:textId="77777777" w:rsidR="00BA5355" w:rsidRPr="00E3756C" w:rsidRDefault="00BA5355" w:rsidP="00BA5355">
      <w:pPr>
        <w:pStyle w:val="Tableheading"/>
      </w:pPr>
      <w:bookmarkStart w:id="54" w:name="_Toc16586492"/>
      <w:r w:rsidRPr="00E3756C">
        <w:t>Table A3-1</w:t>
      </w:r>
      <w:bookmarkEnd w:id="53"/>
      <w:r w:rsidRPr="00E3756C">
        <w:t xml:space="preserve">: </w:t>
      </w:r>
      <w:r w:rsidRPr="00E3756C">
        <w:tab/>
        <w:t>Value domains based on the National Disaster Resilience Strategy (NDRS) and</w:t>
      </w:r>
      <w:r w:rsidR="00835C2B">
        <w:t> </w:t>
      </w:r>
      <w:r w:rsidRPr="00E3756C">
        <w:t>Treasury’s</w:t>
      </w:r>
      <w:r w:rsidR="00835C2B">
        <w:t> </w:t>
      </w:r>
      <w:r w:rsidRPr="00E3756C">
        <w:t>Living Standards Framework (LSF)</w:t>
      </w:r>
      <w:bookmarkEnd w:id="54"/>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00" w:firstRow="0" w:lastRow="0" w:firstColumn="0" w:lastColumn="0" w:noHBand="0" w:noVBand="1"/>
      </w:tblPr>
      <w:tblGrid>
        <w:gridCol w:w="675"/>
        <w:gridCol w:w="874"/>
        <w:gridCol w:w="6956"/>
      </w:tblGrid>
      <w:tr w:rsidR="00BA5355" w:rsidRPr="00E3756C" w14:paraId="0B30E47E" w14:textId="77777777" w:rsidTr="00835C2B">
        <w:trPr>
          <w:tblHeader/>
        </w:trPr>
        <w:tc>
          <w:tcPr>
            <w:tcW w:w="1549" w:type="dxa"/>
            <w:gridSpan w:val="2"/>
            <w:tcBorders>
              <w:bottom w:val="single" w:sz="4" w:space="0" w:color="1C556C" w:themeColor="accent1"/>
            </w:tcBorders>
            <w:shd w:val="clear" w:color="auto" w:fill="1C556C" w:themeFill="accent1"/>
          </w:tcPr>
          <w:p w14:paraId="22673463" w14:textId="77777777" w:rsidR="00BA5355" w:rsidRPr="00E3756C" w:rsidRDefault="00BA5355" w:rsidP="003D2281">
            <w:pPr>
              <w:pStyle w:val="TableTextbold"/>
              <w:keepNext/>
              <w:rPr>
                <w:color w:val="FFFFFF" w:themeColor="background1"/>
              </w:rPr>
            </w:pPr>
            <w:r w:rsidRPr="00E3756C">
              <w:rPr>
                <w:color w:val="FFFFFF" w:themeColor="background1"/>
              </w:rPr>
              <w:t>Value domain</w:t>
            </w:r>
          </w:p>
        </w:tc>
        <w:tc>
          <w:tcPr>
            <w:tcW w:w="6956" w:type="dxa"/>
            <w:shd w:val="clear" w:color="auto" w:fill="1C556C" w:themeFill="accent1"/>
          </w:tcPr>
          <w:p w14:paraId="6C516F8A" w14:textId="77777777" w:rsidR="00BA5355" w:rsidRPr="00E3756C" w:rsidRDefault="00BA5355" w:rsidP="003D2281">
            <w:pPr>
              <w:pStyle w:val="TableTextbold"/>
              <w:keepNext/>
              <w:rPr>
                <w:color w:val="FFFFFF" w:themeColor="background1"/>
              </w:rPr>
            </w:pPr>
            <w:r w:rsidRPr="00E3756C">
              <w:rPr>
                <w:color w:val="FFFFFF" w:themeColor="background1"/>
              </w:rPr>
              <w:t>Description</w:t>
            </w:r>
          </w:p>
        </w:tc>
      </w:tr>
      <w:tr w:rsidR="00BA5355" w:rsidRPr="00E3756C" w14:paraId="5FD7A825" w14:textId="77777777" w:rsidTr="00835C2B">
        <w:tc>
          <w:tcPr>
            <w:tcW w:w="1549" w:type="dxa"/>
            <w:gridSpan w:val="2"/>
            <w:tcBorders>
              <w:right w:val="nil"/>
            </w:tcBorders>
            <w:shd w:val="clear" w:color="auto" w:fill="1C556C" w:themeFill="accent1"/>
          </w:tcPr>
          <w:p w14:paraId="6DBA63DA" w14:textId="77777777" w:rsidR="00BA5355" w:rsidRPr="00E3756C" w:rsidRDefault="00BA5355" w:rsidP="003D2281">
            <w:pPr>
              <w:pStyle w:val="TableTextbold"/>
              <w:keepNext/>
              <w:rPr>
                <w:color w:val="FFFFFF" w:themeColor="background1"/>
              </w:rPr>
            </w:pPr>
            <w:r w:rsidRPr="00E3756C">
              <w:rPr>
                <w:color w:val="FFFFFF" w:themeColor="background1"/>
              </w:rPr>
              <w:t xml:space="preserve">Human </w:t>
            </w:r>
          </w:p>
        </w:tc>
        <w:tc>
          <w:tcPr>
            <w:tcW w:w="6956" w:type="dxa"/>
            <w:tcBorders>
              <w:left w:val="nil"/>
            </w:tcBorders>
            <w:shd w:val="clear" w:color="auto" w:fill="auto"/>
          </w:tcPr>
          <w:p w14:paraId="2295973C" w14:textId="77777777" w:rsidR="00BA5355" w:rsidRPr="00E3756C" w:rsidRDefault="00BA5355" w:rsidP="003D2281">
            <w:pPr>
              <w:pStyle w:val="TableText"/>
              <w:keepNext/>
              <w:rPr>
                <w:b/>
              </w:rPr>
            </w:pPr>
            <w:r w:rsidRPr="00E3756C">
              <w:t xml:space="preserve">The LSF defines </w:t>
            </w:r>
            <w:r w:rsidRPr="00E3756C">
              <w:rPr>
                <w:rStyle w:val="Human"/>
              </w:rPr>
              <w:t>human capital</w:t>
            </w:r>
            <w:r w:rsidRPr="00E3756C">
              <w:t xml:space="preserve"> as people’s skills, knowledge and physical and mental health. The two last aspects are likely to be the most affected by climate change, though access to education and knowledge networks may also be compromised. The human domain encompasses both </w:t>
            </w:r>
            <w:r w:rsidRPr="00E3756C">
              <w:rPr>
                <w:rStyle w:val="Social"/>
              </w:rPr>
              <w:t>social</w:t>
            </w:r>
            <w:r w:rsidRPr="00E3756C">
              <w:t xml:space="preserve"> and </w:t>
            </w:r>
            <w:r w:rsidRPr="00E3756C">
              <w:rPr>
                <w:rStyle w:val="Culture"/>
              </w:rPr>
              <w:t>cultural</w:t>
            </w:r>
            <w:r w:rsidRPr="00E3756C">
              <w:t xml:space="preserve"> elements, so these themes are not distinct. Human health and </w:t>
            </w:r>
            <w:r w:rsidR="000A17DE">
              <w:t>wellbeing</w:t>
            </w:r>
            <w:r w:rsidRPr="00E3756C">
              <w:t xml:space="preserve"> are intertwined with the </w:t>
            </w:r>
            <w:r w:rsidR="000A17DE">
              <w:t>wellbeing</w:t>
            </w:r>
            <w:r w:rsidRPr="00E3756C">
              <w:t xml:space="preserve"> of the </w:t>
            </w:r>
            <w:r w:rsidRPr="00E3756C">
              <w:rPr>
                <w:rStyle w:val="Natural"/>
              </w:rPr>
              <w:t>natural environment</w:t>
            </w:r>
            <w:r w:rsidRPr="00E3756C">
              <w:t>.</w:t>
            </w:r>
          </w:p>
        </w:tc>
      </w:tr>
      <w:tr w:rsidR="00BA5355" w:rsidRPr="00E3756C" w14:paraId="7639D30E" w14:textId="77777777" w:rsidTr="00835C2B">
        <w:tc>
          <w:tcPr>
            <w:tcW w:w="675" w:type="dxa"/>
            <w:tcBorders>
              <w:bottom w:val="single" w:sz="4" w:space="0" w:color="1C556C" w:themeColor="accent1"/>
              <w:right w:val="nil"/>
            </w:tcBorders>
            <w:shd w:val="clear" w:color="auto" w:fill="1C556C" w:themeFill="accent1"/>
          </w:tcPr>
          <w:p w14:paraId="6F5A7AFD" w14:textId="77777777" w:rsidR="00BA5355" w:rsidRPr="00E3756C" w:rsidRDefault="00BA5355" w:rsidP="003D2281">
            <w:pPr>
              <w:pStyle w:val="TableTextbold"/>
              <w:keepNext/>
            </w:pPr>
          </w:p>
        </w:tc>
        <w:tc>
          <w:tcPr>
            <w:tcW w:w="874" w:type="dxa"/>
            <w:tcBorders>
              <w:left w:val="nil"/>
              <w:bottom w:val="single" w:sz="4" w:space="0" w:color="1C556C" w:themeColor="accent1"/>
              <w:right w:val="nil"/>
            </w:tcBorders>
            <w:shd w:val="clear" w:color="auto" w:fill="DA5A28"/>
          </w:tcPr>
          <w:p w14:paraId="7D2D3D28" w14:textId="77777777" w:rsidR="00BA5355" w:rsidRPr="00E3756C" w:rsidRDefault="00BA5355" w:rsidP="003D2281">
            <w:pPr>
              <w:pStyle w:val="TableTextbold"/>
              <w:keepNext/>
              <w:rPr>
                <w:color w:val="FFFFFF" w:themeColor="background1"/>
              </w:rPr>
            </w:pPr>
            <w:r w:rsidRPr="00E3756C">
              <w:rPr>
                <w:color w:val="FFFFFF" w:themeColor="background1"/>
              </w:rPr>
              <w:t>Society</w:t>
            </w:r>
          </w:p>
        </w:tc>
        <w:tc>
          <w:tcPr>
            <w:tcW w:w="6956" w:type="dxa"/>
            <w:tcBorders>
              <w:left w:val="nil"/>
            </w:tcBorders>
            <w:shd w:val="clear" w:color="auto" w:fill="auto"/>
          </w:tcPr>
          <w:p w14:paraId="4B903479" w14:textId="77777777" w:rsidR="00BA5355" w:rsidRPr="00E3756C" w:rsidRDefault="00BA5355" w:rsidP="003D2281">
            <w:pPr>
              <w:pStyle w:val="TableText"/>
              <w:keepNext/>
            </w:pPr>
            <w:r w:rsidRPr="00E3756C">
              <w:t xml:space="preserve">As defined in the LSF, </w:t>
            </w:r>
            <w:r w:rsidRPr="00E3756C">
              <w:rPr>
                <w:rStyle w:val="Social"/>
              </w:rPr>
              <w:t>social capital</w:t>
            </w:r>
            <w:r w:rsidRPr="00E3756C">
              <w:t xml:space="preserve"> encompasses both </w:t>
            </w:r>
            <w:r w:rsidRPr="00E3756C">
              <w:rPr>
                <w:b/>
              </w:rPr>
              <w:t xml:space="preserve">social </w:t>
            </w:r>
            <w:r w:rsidRPr="00E3756C">
              <w:t xml:space="preserve">and </w:t>
            </w:r>
            <w:r w:rsidRPr="00E3756C">
              <w:rPr>
                <w:b/>
              </w:rPr>
              <w:t xml:space="preserve">cultural </w:t>
            </w:r>
            <w:r w:rsidRPr="00E3756C">
              <w:t xml:space="preserve">domains of the NDRS and also relates to and affects </w:t>
            </w:r>
            <w:r w:rsidRPr="00E3756C">
              <w:rPr>
                <w:rStyle w:val="Human"/>
              </w:rPr>
              <w:t>human capital</w:t>
            </w:r>
            <w:r w:rsidRPr="00E3756C">
              <w:t xml:space="preserve">. The LSF defines social capital as the norms, rules and institutions that influence how people live and work together and experience a sense of belonging (social cohesion). It includes trust, reciprocity, the rule of law, cultural and community identity, traditions and customs. Similarly, the NDRS includes social capital, health, education, welfare, justice and protection as the main factors of social resilience. </w:t>
            </w:r>
            <w:r w:rsidRPr="00E3756C">
              <w:rPr>
                <w:rStyle w:val="Culture"/>
              </w:rPr>
              <w:t>Cultural</w:t>
            </w:r>
            <w:r w:rsidRPr="00E3756C">
              <w:t xml:space="preserve"> values, identity and life, heritage, taonga and Mātauranga Māori are identified as the main cultural resilience factors.</w:t>
            </w:r>
          </w:p>
        </w:tc>
      </w:tr>
      <w:tr w:rsidR="00BA5355" w:rsidRPr="00E3756C" w14:paraId="2256A837" w14:textId="77777777" w:rsidTr="00835C2B">
        <w:tc>
          <w:tcPr>
            <w:tcW w:w="675" w:type="dxa"/>
            <w:tcBorders>
              <w:bottom w:val="single" w:sz="4" w:space="0" w:color="1C556C" w:themeColor="accent1"/>
              <w:right w:val="nil"/>
            </w:tcBorders>
            <w:shd w:val="clear" w:color="auto" w:fill="1C556C" w:themeFill="accent1"/>
          </w:tcPr>
          <w:p w14:paraId="2362BCC5" w14:textId="77777777" w:rsidR="00BA5355" w:rsidRPr="00E3756C" w:rsidRDefault="00BA5355" w:rsidP="003D2281">
            <w:pPr>
              <w:pStyle w:val="TableTextbold"/>
            </w:pPr>
          </w:p>
        </w:tc>
        <w:tc>
          <w:tcPr>
            <w:tcW w:w="874" w:type="dxa"/>
            <w:tcBorders>
              <w:left w:val="nil"/>
              <w:bottom w:val="single" w:sz="4" w:space="0" w:color="1C556C" w:themeColor="accent1"/>
              <w:right w:val="nil"/>
            </w:tcBorders>
            <w:shd w:val="clear" w:color="auto" w:fill="1C556C" w:themeFill="accent1"/>
          </w:tcPr>
          <w:p w14:paraId="1DF08EA3" w14:textId="77777777" w:rsidR="00BA5355" w:rsidRPr="00E3756C" w:rsidRDefault="00BA5355" w:rsidP="003D2281">
            <w:pPr>
              <w:pStyle w:val="TableTextbold"/>
              <w:rPr>
                <w:color w:val="FFFFFF" w:themeColor="background1"/>
              </w:rPr>
            </w:pPr>
            <w:r w:rsidRPr="00E3756C">
              <w:rPr>
                <w:color w:val="FFFFFF" w:themeColor="background1"/>
              </w:rPr>
              <w:t>Culture</w:t>
            </w:r>
          </w:p>
        </w:tc>
        <w:tc>
          <w:tcPr>
            <w:tcW w:w="6956" w:type="dxa"/>
            <w:tcBorders>
              <w:left w:val="nil"/>
            </w:tcBorders>
          </w:tcPr>
          <w:p w14:paraId="309CB81E" w14:textId="77777777" w:rsidR="00BA5355" w:rsidRPr="00E3756C" w:rsidRDefault="00BA5355" w:rsidP="003D2281">
            <w:pPr>
              <w:pStyle w:val="TableText"/>
            </w:pPr>
            <w:r w:rsidRPr="00E3756C">
              <w:rPr>
                <w:rStyle w:val="Culture"/>
              </w:rPr>
              <w:t>Culture</w:t>
            </w:r>
            <w:r w:rsidRPr="00E3756C">
              <w:t xml:space="preserve"> is commonly defined as “that complex whole which includes knowledge, beliefs, arts, morals, laws, customs, and any other capabilities and habits acquired by [a human] as a member of society”. All people have culture; it is not limited to specific categories or geographical boundaries. All culture is subject to reinterpretation and therefore can change through time and space. </w:t>
            </w:r>
          </w:p>
          <w:p w14:paraId="07501385" w14:textId="77777777" w:rsidR="00BA5355" w:rsidRPr="00E3756C" w:rsidRDefault="00BA5355" w:rsidP="003D2281">
            <w:pPr>
              <w:pStyle w:val="TableText"/>
            </w:pPr>
            <w:r w:rsidRPr="00E3756C">
              <w:t>The term ‘</w:t>
            </w:r>
            <w:r w:rsidRPr="00E3756C">
              <w:rPr>
                <w:rStyle w:val="Culture"/>
              </w:rPr>
              <w:t>cultural life</w:t>
            </w:r>
            <w:r w:rsidRPr="00E3756C">
              <w:t xml:space="preserve">’ has a more formal definition in international conventions. Within this value domain, the term ‘cultural life’ includes how people access, participate, experience, enjoy, develop and share their culture within their communities. </w:t>
            </w:r>
          </w:p>
          <w:p w14:paraId="260986C5" w14:textId="77777777" w:rsidR="00BA5355" w:rsidRPr="00E3756C" w:rsidRDefault="00BA5355" w:rsidP="003D2281">
            <w:pPr>
              <w:pStyle w:val="TableText"/>
            </w:pPr>
            <w:r w:rsidRPr="00E3756C">
              <w:rPr>
                <w:rStyle w:val="Culture"/>
              </w:rPr>
              <w:t>Cultural heritage</w:t>
            </w:r>
            <w:r w:rsidRPr="00E3756C">
              <w:t xml:space="preserve"> can be seen as ‘ngā taonga tuku iho nō ngā tūpuna’, something from our culture that can be acquired or inherited from the past, that we value today and wish to pass on to future generations. Cultural heritage can be divided into two main categories: tangible and intangible cultural heritage.</w:t>
            </w:r>
          </w:p>
          <w:p w14:paraId="568408E9" w14:textId="77777777" w:rsidR="00BA5355" w:rsidRPr="00E3756C" w:rsidRDefault="00BA5355" w:rsidP="003D2281">
            <w:pPr>
              <w:pStyle w:val="TableText"/>
            </w:pPr>
            <w:r w:rsidRPr="00E3756C">
              <w:t xml:space="preserve">The </w:t>
            </w:r>
            <w:r w:rsidRPr="00E3756C">
              <w:rPr>
                <w:rStyle w:val="Natural"/>
              </w:rPr>
              <w:t>natural environment</w:t>
            </w:r>
            <w:r w:rsidRPr="00E3756C">
              <w:t xml:space="preserve"> can also be regarded as having a cultural aspect, along with cultural landscapes and physical, biological or geological formations. Social identity can be derived from natural capital like land, mountains, rivers and lakes.</w:t>
            </w:r>
          </w:p>
        </w:tc>
      </w:tr>
      <w:tr w:rsidR="00BA5355" w:rsidRPr="00E3756C" w14:paraId="5FD164CE" w14:textId="77777777" w:rsidTr="00835C2B">
        <w:tc>
          <w:tcPr>
            <w:tcW w:w="1549" w:type="dxa"/>
            <w:gridSpan w:val="2"/>
            <w:tcBorders>
              <w:bottom w:val="single" w:sz="4" w:space="0" w:color="1C556C" w:themeColor="accent1"/>
              <w:right w:val="nil"/>
            </w:tcBorders>
            <w:shd w:val="clear" w:color="auto" w:fill="2C9986" w:themeFill="accent4"/>
          </w:tcPr>
          <w:p w14:paraId="71800A16" w14:textId="77777777" w:rsidR="00BA5355" w:rsidRPr="00E3756C" w:rsidRDefault="00BA5355" w:rsidP="003D2281">
            <w:pPr>
              <w:pStyle w:val="TableTextbold"/>
              <w:rPr>
                <w:color w:val="FFFFFF" w:themeColor="background1"/>
              </w:rPr>
            </w:pPr>
            <w:r w:rsidRPr="00E3756C">
              <w:rPr>
                <w:color w:val="FFFFFF" w:themeColor="background1"/>
              </w:rPr>
              <w:t>Natural environment</w:t>
            </w:r>
          </w:p>
        </w:tc>
        <w:tc>
          <w:tcPr>
            <w:tcW w:w="6956" w:type="dxa"/>
            <w:tcBorders>
              <w:left w:val="nil"/>
            </w:tcBorders>
          </w:tcPr>
          <w:p w14:paraId="580FF277" w14:textId="77777777" w:rsidR="00BA5355" w:rsidRPr="00E3756C" w:rsidRDefault="00BA5355" w:rsidP="003D2281">
            <w:pPr>
              <w:pStyle w:val="TableText"/>
            </w:pPr>
            <w:r w:rsidRPr="00E3756C">
              <w:rPr>
                <w:rStyle w:val="Natural"/>
              </w:rPr>
              <w:t>Natural capital</w:t>
            </w:r>
            <w:r w:rsidRPr="00E3756C">
              <w:t xml:space="preserve"> encompasses all aspects of the natural environment that support life and human activity. This includes:</w:t>
            </w:r>
          </w:p>
          <w:p w14:paraId="76D59E76" w14:textId="77777777" w:rsidR="00BA5355" w:rsidRPr="00E3756C" w:rsidRDefault="00BA5355" w:rsidP="003D2281">
            <w:pPr>
              <w:pStyle w:val="TableBullet"/>
            </w:pPr>
            <w:r w:rsidRPr="00E3756C">
              <w:t>land, land use and soils</w:t>
            </w:r>
          </w:p>
          <w:p w14:paraId="7C2D0FE5" w14:textId="77777777" w:rsidR="00BA5355" w:rsidRPr="00E3756C" w:rsidRDefault="000A17DE" w:rsidP="003D2281">
            <w:pPr>
              <w:pStyle w:val="TableBullet"/>
            </w:pPr>
            <w:r>
              <w:t>freshwater</w:t>
            </w:r>
          </w:p>
          <w:p w14:paraId="67C7CE48" w14:textId="77777777" w:rsidR="00BA5355" w:rsidRPr="00E3756C" w:rsidRDefault="00BA5355" w:rsidP="003D2281">
            <w:pPr>
              <w:pStyle w:val="TableBullet"/>
            </w:pPr>
            <w:r w:rsidRPr="00E3756C">
              <w:t>biodiversity – plants and animals</w:t>
            </w:r>
          </w:p>
          <w:p w14:paraId="7741975D" w14:textId="77777777" w:rsidR="00BA5355" w:rsidRPr="00E3756C" w:rsidRDefault="00BA5355" w:rsidP="003D2281">
            <w:pPr>
              <w:pStyle w:val="TableBullet"/>
            </w:pPr>
            <w:r w:rsidRPr="00E3756C">
              <w:t>coastal and marine ecosystems</w:t>
            </w:r>
          </w:p>
          <w:p w14:paraId="2A58CA9D" w14:textId="77777777" w:rsidR="00BA5355" w:rsidRPr="00E3756C" w:rsidRDefault="00BA5355" w:rsidP="003D2281">
            <w:pPr>
              <w:pStyle w:val="TableBullet"/>
            </w:pPr>
            <w:r w:rsidRPr="00E3756C">
              <w:t>He Kura Taiao – living treasures.</w:t>
            </w:r>
          </w:p>
          <w:p w14:paraId="2B61BE61" w14:textId="77777777" w:rsidR="00BA5355" w:rsidRPr="00E3756C" w:rsidRDefault="00BA5355" w:rsidP="003D2281">
            <w:pPr>
              <w:pStyle w:val="TableText"/>
            </w:pPr>
            <w:r w:rsidRPr="00E3756C">
              <w:t xml:space="preserve">Biosecurity (against pests and diseases) is important in maintaining natural capital. The natural environment sustains </w:t>
            </w:r>
            <w:r w:rsidRPr="00E3756C">
              <w:rPr>
                <w:rStyle w:val="Human"/>
              </w:rPr>
              <w:t>human</w:t>
            </w:r>
            <w:r w:rsidRPr="00E3756C">
              <w:t xml:space="preserve"> </w:t>
            </w:r>
            <w:r w:rsidR="000A17DE">
              <w:t>wellbeing</w:t>
            </w:r>
            <w:r w:rsidRPr="00E3756C">
              <w:t xml:space="preserve"> and all other domains. </w:t>
            </w:r>
          </w:p>
        </w:tc>
      </w:tr>
      <w:tr w:rsidR="00BA5355" w:rsidRPr="00E3756C" w14:paraId="1EDA0D6F" w14:textId="77777777" w:rsidTr="00835C2B">
        <w:tc>
          <w:tcPr>
            <w:tcW w:w="1549" w:type="dxa"/>
            <w:gridSpan w:val="2"/>
            <w:tcBorders>
              <w:bottom w:val="single" w:sz="4" w:space="0" w:color="1C556C" w:themeColor="accent1"/>
              <w:right w:val="nil"/>
            </w:tcBorders>
            <w:shd w:val="clear" w:color="auto" w:fill="32809C"/>
          </w:tcPr>
          <w:p w14:paraId="7F151D4E" w14:textId="77777777" w:rsidR="00BA5355" w:rsidRPr="00E3756C" w:rsidRDefault="00BA5355" w:rsidP="003D2281">
            <w:pPr>
              <w:pStyle w:val="TableTextbold"/>
              <w:rPr>
                <w:color w:val="FFFFFF" w:themeColor="background1"/>
              </w:rPr>
            </w:pPr>
            <w:r w:rsidRPr="00E3756C">
              <w:rPr>
                <w:color w:val="FFFFFF" w:themeColor="background1"/>
              </w:rPr>
              <w:t>Economy</w:t>
            </w:r>
          </w:p>
        </w:tc>
        <w:tc>
          <w:tcPr>
            <w:tcW w:w="6956" w:type="dxa"/>
            <w:tcBorders>
              <w:left w:val="nil"/>
            </w:tcBorders>
            <w:shd w:val="clear" w:color="auto" w:fill="auto"/>
          </w:tcPr>
          <w:p w14:paraId="68123DCF" w14:textId="77777777" w:rsidR="00BA5355" w:rsidRPr="00E3756C" w:rsidRDefault="00BA5355" w:rsidP="003D2281">
            <w:pPr>
              <w:pStyle w:val="TableText"/>
            </w:pPr>
            <w:r w:rsidRPr="00E3756C">
              <w:t xml:space="preserve">In the NDRS, </w:t>
            </w:r>
            <w:r w:rsidRPr="00E3756C">
              <w:rPr>
                <w:rStyle w:val="Economic"/>
                <w:shd w:val="clear" w:color="auto" w:fill="32809C"/>
              </w:rPr>
              <w:t>economic</w:t>
            </w:r>
            <w:r w:rsidRPr="00E3756C">
              <w:t xml:space="preserve"> resilience relates to the resilience of businesses, livelihoods, financial management (banking) and insurance sectors. The LSF categorises economic </w:t>
            </w:r>
            <w:r w:rsidR="000A17DE">
              <w:t>wellbeing</w:t>
            </w:r>
            <w:r w:rsidRPr="00E3756C">
              <w:t xml:space="preserve"> in terms of </w:t>
            </w:r>
            <w:r w:rsidRPr="00E3756C">
              <w:rPr>
                <w:rStyle w:val="Built"/>
              </w:rPr>
              <w:t>financial capital</w:t>
            </w:r>
            <w:r w:rsidRPr="00E3756C">
              <w:t xml:space="preserve">, but the economy is also dependent on both </w:t>
            </w:r>
            <w:r w:rsidRPr="00E3756C">
              <w:rPr>
                <w:rStyle w:val="Human"/>
              </w:rPr>
              <w:t>human</w:t>
            </w:r>
            <w:r w:rsidRPr="00E3756C">
              <w:t xml:space="preserve"> and </w:t>
            </w:r>
            <w:r w:rsidRPr="00E3756C">
              <w:rPr>
                <w:rStyle w:val="Natural"/>
              </w:rPr>
              <w:t>natural</w:t>
            </w:r>
            <w:r w:rsidRPr="00E3756C">
              <w:t xml:space="preserve"> capital. </w:t>
            </w:r>
          </w:p>
        </w:tc>
      </w:tr>
      <w:tr w:rsidR="00BA5355" w:rsidRPr="00E3756C" w14:paraId="4C6BC265" w14:textId="77777777" w:rsidTr="00835C2B">
        <w:tc>
          <w:tcPr>
            <w:tcW w:w="1549" w:type="dxa"/>
            <w:gridSpan w:val="2"/>
            <w:tcBorders>
              <w:right w:val="nil"/>
            </w:tcBorders>
            <w:shd w:val="clear" w:color="auto" w:fill="0F7B7D" w:themeFill="accent2"/>
          </w:tcPr>
          <w:p w14:paraId="2E422FFF" w14:textId="77777777" w:rsidR="00BA5355" w:rsidRPr="00E3756C" w:rsidRDefault="00BA5355" w:rsidP="003D2281">
            <w:pPr>
              <w:pStyle w:val="TableTextbold"/>
              <w:rPr>
                <w:color w:val="FFFFFF" w:themeColor="background1"/>
              </w:rPr>
            </w:pPr>
            <w:r w:rsidRPr="00E3756C">
              <w:rPr>
                <w:color w:val="FFFFFF" w:themeColor="background1"/>
              </w:rPr>
              <w:lastRenderedPageBreak/>
              <w:t>Built environment</w:t>
            </w:r>
          </w:p>
        </w:tc>
        <w:tc>
          <w:tcPr>
            <w:tcW w:w="6956" w:type="dxa"/>
            <w:tcBorders>
              <w:left w:val="nil"/>
            </w:tcBorders>
          </w:tcPr>
          <w:p w14:paraId="3C3806DB" w14:textId="77777777" w:rsidR="00BA5355" w:rsidRPr="00E3756C" w:rsidRDefault="00BA5355" w:rsidP="003D2281">
            <w:pPr>
              <w:pStyle w:val="TableText"/>
              <w:rPr>
                <w:b/>
              </w:rPr>
            </w:pPr>
            <w:r w:rsidRPr="00E3756C">
              <w:t>The</w:t>
            </w:r>
            <w:r w:rsidRPr="00E3756C">
              <w:rPr>
                <w:b/>
              </w:rPr>
              <w:t xml:space="preserve"> </w:t>
            </w:r>
            <w:r w:rsidRPr="00E3756C">
              <w:rPr>
                <w:rStyle w:val="Built"/>
              </w:rPr>
              <w:t>built environment</w:t>
            </w:r>
            <w:r w:rsidRPr="00E3756C">
              <w:t xml:space="preserve"> encompasses infrastructure, transport, buildings and housing, and urban areas. The LSF indicator of </w:t>
            </w:r>
            <w:r w:rsidR="000A17DE">
              <w:t>wellbeing</w:t>
            </w:r>
            <w:r w:rsidRPr="00E3756C">
              <w:t xml:space="preserve"> in this domain is </w:t>
            </w:r>
            <w:r w:rsidRPr="00E3756C">
              <w:rPr>
                <w:rStyle w:val="Built"/>
              </w:rPr>
              <w:t>physical capital</w:t>
            </w:r>
            <w:r w:rsidRPr="00E3756C">
              <w:t>.</w:t>
            </w:r>
            <w:r w:rsidRPr="00E3756C">
              <w:rPr>
                <w:shd w:val="clear" w:color="auto" w:fill="BFBFBF"/>
              </w:rPr>
              <w:t xml:space="preserve"> </w:t>
            </w:r>
          </w:p>
        </w:tc>
      </w:tr>
    </w:tbl>
    <w:p w14:paraId="5D0D776E" w14:textId="77777777" w:rsidR="00BA5355" w:rsidRPr="00E3756C" w:rsidRDefault="00BA5355" w:rsidP="00BA5355">
      <w:pPr>
        <w:pStyle w:val="Heading2"/>
        <w:spacing w:before="480"/>
      </w:pPr>
      <w:bookmarkStart w:id="55" w:name="_Toc14769381"/>
      <w:bookmarkStart w:id="56" w:name="_Toc15409147"/>
      <w:r w:rsidRPr="00E3756C">
        <w:t xml:space="preserve">A3.3 </w:t>
      </w:r>
      <w:r w:rsidRPr="00E3756C">
        <w:tab/>
        <w:t>Identifying key elements, partners and stakeholders</w:t>
      </w:r>
      <w:bookmarkEnd w:id="55"/>
      <w:bookmarkEnd w:id="56"/>
    </w:p>
    <w:p w14:paraId="68AB8F86" w14:textId="77777777" w:rsidR="00BA5355" w:rsidRPr="00E3756C" w:rsidRDefault="00BA5355" w:rsidP="00BA5355">
      <w:pPr>
        <w:pStyle w:val="BodyText"/>
      </w:pPr>
      <w:r w:rsidRPr="00E3756C">
        <w:t xml:space="preserve">The framework outlined in table A3-1 can be used to identify elements at risk, including sectors (eg, primary industries or infrastructure) and subsectors (eg, agriculture, energy infrastructure) as well as tangible and intangible assets and taonga (eg, things like community </w:t>
      </w:r>
      <w:r w:rsidR="000A17DE">
        <w:t>wellbeing</w:t>
      </w:r>
      <w:r w:rsidRPr="00E3756C">
        <w:t xml:space="preserve"> and cultural values). </w:t>
      </w:r>
    </w:p>
    <w:p w14:paraId="18ADFC59" w14:textId="77777777" w:rsidR="00BA5355" w:rsidRPr="00E3756C" w:rsidRDefault="00BA5355" w:rsidP="00BA5355">
      <w:pPr>
        <w:pStyle w:val="BodyText"/>
      </w:pPr>
      <w:r w:rsidRPr="00E3756C">
        <w:t xml:space="preserve">This process involves: </w:t>
      </w:r>
    </w:p>
    <w:p w14:paraId="65B68EB0" w14:textId="77777777" w:rsidR="00BA5355" w:rsidRPr="00E3756C" w:rsidRDefault="00BA5355" w:rsidP="00BA5355">
      <w:pPr>
        <w:pStyle w:val="Bullet"/>
        <w:spacing w:line="280" w:lineRule="exact"/>
      </w:pPr>
      <w:r w:rsidRPr="00E3756C">
        <w:t>using the value domain framework to identify sectors, systems, taonga and assets (‘elements’) at risk in each domain, noting that many elements cross domains and impacts on one may affect several others in the same domain or different domains. All four capitals (LSF) should be considered within the six domains (NDRS) to ensure coverage of all key value areas for Aotearoa New Zealand</w:t>
      </w:r>
    </w:p>
    <w:p w14:paraId="278CE429" w14:textId="77777777" w:rsidR="00BA5355" w:rsidRPr="00E3756C" w:rsidRDefault="00BA5355" w:rsidP="00BA5355">
      <w:pPr>
        <w:pStyle w:val="Bullet"/>
        <w:spacing w:line="280" w:lineRule="exact"/>
      </w:pPr>
      <w:r w:rsidRPr="00E3756C">
        <w:t xml:space="preserve">identifying the key agencies, partners, stakeholders and organisations concerned with risk management of these sectors, systems, taonga and assets. From a national governance perspective, these will be ministries and government agencies, and iwi and pan-Māori groups, as well as stakeholders for whom the identified element at risk has particular value. These parties should be engaged in the process of identifying assets at risk (see chapters </w:t>
      </w:r>
      <w:hyperlink w:anchor="_Chapter_A4:_Risk" w:history="1">
        <w:r w:rsidRPr="00E3756C">
          <w:rPr>
            <w:rStyle w:val="Hyperlink"/>
          </w:rPr>
          <w:t>A4</w:t>
        </w:r>
      </w:hyperlink>
      <w:r w:rsidRPr="00E3756C">
        <w:t xml:space="preserve"> and </w:t>
      </w:r>
      <w:hyperlink w:anchor="_Chapter_C1:_Developing" w:history="1">
        <w:r w:rsidRPr="00E3756C">
          <w:rPr>
            <w:rStyle w:val="Hyperlink"/>
          </w:rPr>
          <w:t>C1</w:t>
        </w:r>
      </w:hyperlink>
      <w:r w:rsidRPr="00E3756C">
        <w:t>).</w:t>
      </w:r>
    </w:p>
    <w:p w14:paraId="6319B3C9" w14:textId="77777777" w:rsidR="00BA5355" w:rsidRPr="00E3756C" w:rsidRDefault="00BA5355" w:rsidP="00BA5355">
      <w:pPr>
        <w:pStyle w:val="BodyText"/>
      </w:pPr>
      <w:r w:rsidRPr="00E3756C">
        <w:t xml:space="preserve">Table A3-2 lists examples that can be used as a template to identify potential elements at risk via an engagement process for analysis in the NCCRA. It should be noted the list of stakeholders is not complete and may change over time. It will need to </w:t>
      </w:r>
      <w:r w:rsidR="009E44A5">
        <w:t xml:space="preserve">be </w:t>
      </w:r>
      <w:r w:rsidRPr="00E3756C">
        <w:t>fully scoped during the engagement planning stage. The NCCRA assessor may refine this further (ie, add or modify subsectors). For use by sub-national agencies, these may also be modified as appropriate.</w:t>
      </w:r>
    </w:p>
    <w:p w14:paraId="6C131D61" w14:textId="77777777" w:rsidR="00BA5355" w:rsidRPr="00E3756C" w:rsidRDefault="00BA5355" w:rsidP="00BA5355">
      <w:pPr>
        <w:pStyle w:val="Tableheading"/>
      </w:pPr>
      <w:bookmarkStart w:id="57" w:name="_Toc16586493"/>
      <w:r w:rsidRPr="00E3756C">
        <w:t xml:space="preserve">Table A3-2: </w:t>
      </w:r>
      <w:r w:rsidRPr="00E3756C">
        <w:tab/>
        <w:t>Sectors and potential elements at risk, according to domains in the</w:t>
      </w:r>
      <w:r w:rsidR="00835C2B">
        <w:br/>
      </w:r>
      <w:r w:rsidRPr="00E3756C">
        <w:t>National Disaster Resilience Strategy</w:t>
      </w:r>
      <w:bookmarkEnd w:id="57"/>
      <w:r w:rsidRPr="00E3756C">
        <w:t xml:space="preserve"> </w:t>
      </w:r>
    </w:p>
    <w:tbl>
      <w:tblPr>
        <w:tblW w:w="850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926"/>
        <w:gridCol w:w="800"/>
        <w:gridCol w:w="3260"/>
        <w:gridCol w:w="3519"/>
      </w:tblGrid>
      <w:tr w:rsidR="00BA5355" w:rsidRPr="00E3756C" w14:paraId="3DD42CB1" w14:textId="77777777" w:rsidTr="00835C2B">
        <w:trPr>
          <w:tblHeader/>
        </w:trPr>
        <w:tc>
          <w:tcPr>
            <w:tcW w:w="1726" w:type="dxa"/>
            <w:gridSpan w:val="2"/>
            <w:tcBorders>
              <w:top w:val="single" w:sz="4" w:space="0" w:color="1C556C" w:themeColor="accent1"/>
              <w:left w:val="nil"/>
              <w:bottom w:val="nil"/>
              <w:right w:val="single" w:sz="4" w:space="0" w:color="1C556C" w:themeColor="accent1"/>
            </w:tcBorders>
            <w:shd w:val="clear" w:color="auto" w:fill="1C556C" w:themeFill="accent1"/>
          </w:tcPr>
          <w:p w14:paraId="345AF9A4" w14:textId="77777777" w:rsidR="00BA5355" w:rsidRPr="00E3756C" w:rsidRDefault="00BA5355" w:rsidP="003D2281">
            <w:pPr>
              <w:pStyle w:val="TableTextbold"/>
              <w:rPr>
                <w:color w:val="FFFFFF" w:themeColor="background1"/>
              </w:rPr>
            </w:pPr>
            <w:r w:rsidRPr="00E3756C">
              <w:rPr>
                <w:color w:val="FFFFFF" w:themeColor="background1"/>
              </w:rPr>
              <w:t>Value domain</w:t>
            </w:r>
          </w:p>
        </w:tc>
        <w:tc>
          <w:tcPr>
            <w:tcW w:w="3260" w:type="dxa"/>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2127D588" w14:textId="77777777" w:rsidR="00BA5355" w:rsidRPr="00E3756C" w:rsidRDefault="00BA5355" w:rsidP="003D2281">
            <w:pPr>
              <w:pStyle w:val="TableTextbold"/>
              <w:rPr>
                <w:color w:val="FFFFFF" w:themeColor="background1"/>
              </w:rPr>
            </w:pPr>
            <w:r w:rsidRPr="00E3756C">
              <w:rPr>
                <w:color w:val="FFFFFF" w:themeColor="background1"/>
              </w:rPr>
              <w:t>Sectors, assets, taonga (elements at risk)</w:t>
            </w:r>
          </w:p>
        </w:tc>
        <w:tc>
          <w:tcPr>
            <w:tcW w:w="3519" w:type="dxa"/>
            <w:tcBorders>
              <w:top w:val="single" w:sz="4" w:space="0" w:color="1C556C" w:themeColor="accent1"/>
              <w:left w:val="single" w:sz="4" w:space="0" w:color="1C556C" w:themeColor="accent1"/>
              <w:bottom w:val="nil"/>
              <w:right w:val="nil"/>
            </w:tcBorders>
            <w:shd w:val="clear" w:color="auto" w:fill="1C556C" w:themeFill="accent1"/>
          </w:tcPr>
          <w:p w14:paraId="10378ACA" w14:textId="77777777" w:rsidR="00BA5355" w:rsidRPr="00E3756C" w:rsidRDefault="00BA5355" w:rsidP="003D2281">
            <w:pPr>
              <w:pStyle w:val="TableTextbold"/>
              <w:rPr>
                <w:color w:val="FFFFFF" w:themeColor="background1"/>
              </w:rPr>
            </w:pPr>
            <w:r w:rsidRPr="00E3756C">
              <w:rPr>
                <w:color w:val="FFFFFF" w:themeColor="background1"/>
              </w:rPr>
              <w:t>Agencies, partners and stakeholders</w:t>
            </w:r>
          </w:p>
        </w:tc>
      </w:tr>
      <w:tr w:rsidR="00BA5355" w:rsidRPr="00E3756C" w14:paraId="67F2ECAA" w14:textId="77777777" w:rsidTr="00835C2B">
        <w:tc>
          <w:tcPr>
            <w:tcW w:w="926" w:type="dxa"/>
            <w:vMerge w:val="restart"/>
            <w:tcBorders>
              <w:top w:val="nil"/>
              <w:left w:val="nil"/>
              <w:bottom w:val="nil"/>
              <w:right w:val="single" w:sz="4" w:space="0" w:color="1C556C" w:themeColor="accent1"/>
            </w:tcBorders>
            <w:shd w:val="clear" w:color="auto" w:fill="1C556C" w:themeFill="accent1"/>
            <w:vAlign w:val="center"/>
          </w:tcPr>
          <w:p w14:paraId="0FC35CD1" w14:textId="77777777" w:rsidR="00BA5355" w:rsidRPr="00E3756C" w:rsidRDefault="00BA5355" w:rsidP="003D2281">
            <w:pPr>
              <w:pStyle w:val="TableTextbold"/>
              <w:rPr>
                <w:color w:val="FFFFFF" w:themeColor="background1"/>
              </w:rPr>
            </w:pPr>
            <w:r w:rsidRPr="00E3756C">
              <w:rPr>
                <w:color w:val="FFFFFF" w:themeColor="background1"/>
              </w:rPr>
              <w:t>Human</w:t>
            </w:r>
          </w:p>
        </w:tc>
        <w:tc>
          <w:tcPr>
            <w:tcW w:w="800" w:type="dxa"/>
            <w:tcBorders>
              <w:top w:val="nil"/>
              <w:left w:val="single" w:sz="4" w:space="0" w:color="1C556C" w:themeColor="accent1"/>
              <w:bottom w:val="nil"/>
              <w:right w:val="nil"/>
            </w:tcBorders>
            <w:shd w:val="clear" w:color="auto" w:fill="DA5A28"/>
          </w:tcPr>
          <w:p w14:paraId="54CC8196" w14:textId="77777777" w:rsidR="00BA5355" w:rsidRPr="00E3756C" w:rsidRDefault="00BA5355" w:rsidP="003D2281">
            <w:pPr>
              <w:pStyle w:val="TableTextbold"/>
              <w:rPr>
                <w:color w:val="FFFFFF" w:themeColor="background1"/>
              </w:rPr>
            </w:pPr>
            <w:r w:rsidRPr="00E3756C">
              <w:rPr>
                <w:color w:val="FFFFFF" w:themeColor="background1"/>
              </w:rPr>
              <w:t>Society</w:t>
            </w:r>
          </w:p>
        </w:tc>
        <w:tc>
          <w:tcPr>
            <w:tcW w:w="3260" w:type="dxa"/>
            <w:tcBorders>
              <w:top w:val="nil"/>
              <w:left w:val="nil"/>
              <w:bottom w:val="single" w:sz="4" w:space="0" w:color="1C556C" w:themeColor="accent1"/>
              <w:right w:val="single" w:sz="4" w:space="0" w:color="1C556C" w:themeColor="accent1"/>
            </w:tcBorders>
          </w:tcPr>
          <w:p w14:paraId="44943228" w14:textId="77777777" w:rsidR="00BA5355" w:rsidRPr="00E3756C" w:rsidRDefault="00BA5355" w:rsidP="003D2281">
            <w:pPr>
              <w:pStyle w:val="TableText"/>
            </w:pPr>
            <w:r w:rsidRPr="00E3756C">
              <w:t xml:space="preserve">Community </w:t>
            </w:r>
            <w:r w:rsidR="000A17DE">
              <w:t>wellbeing</w:t>
            </w:r>
            <w:r w:rsidRPr="00E3756C">
              <w:t xml:space="preserve">, social cohesion and social welfare: </w:t>
            </w:r>
          </w:p>
          <w:p w14:paraId="0454FA22" w14:textId="77777777" w:rsidR="00BA5355" w:rsidRPr="00E3756C" w:rsidRDefault="00BA5355" w:rsidP="003D2281">
            <w:pPr>
              <w:pStyle w:val="TableBullet"/>
            </w:pPr>
            <w:r w:rsidRPr="00E3756C">
              <w:t>urban communities</w:t>
            </w:r>
          </w:p>
          <w:p w14:paraId="4B0C9669" w14:textId="77777777" w:rsidR="00BA5355" w:rsidRPr="00E3756C" w:rsidRDefault="00BA5355" w:rsidP="003D2281">
            <w:pPr>
              <w:pStyle w:val="TableBullet"/>
            </w:pPr>
            <w:r w:rsidRPr="00E3756C">
              <w:t>rural communities</w:t>
            </w:r>
          </w:p>
          <w:p w14:paraId="3CF30C7E" w14:textId="77777777" w:rsidR="00BA5355" w:rsidRPr="00E3756C" w:rsidRDefault="00BA5355" w:rsidP="003D2281">
            <w:pPr>
              <w:pStyle w:val="TableBullet"/>
            </w:pPr>
            <w:r w:rsidRPr="00E3756C">
              <w:t>coastal communities</w:t>
            </w:r>
          </w:p>
        </w:tc>
        <w:tc>
          <w:tcPr>
            <w:tcW w:w="3519" w:type="dxa"/>
            <w:tcBorders>
              <w:top w:val="nil"/>
              <w:left w:val="single" w:sz="4" w:space="0" w:color="1C556C" w:themeColor="accent1"/>
              <w:bottom w:val="single" w:sz="4" w:space="0" w:color="1C556C" w:themeColor="accent1"/>
              <w:right w:val="nil"/>
            </w:tcBorders>
          </w:tcPr>
          <w:p w14:paraId="53330927" w14:textId="77777777" w:rsidR="00BA5355" w:rsidRPr="00E3756C" w:rsidRDefault="00BA5355" w:rsidP="003D2281">
            <w:pPr>
              <w:pStyle w:val="TableText"/>
            </w:pPr>
            <w:r w:rsidRPr="00E3756C">
              <w:t>MSD, local councils, SOLGM, LGNZ, MPI, Federated Farmers</w:t>
            </w:r>
          </w:p>
        </w:tc>
      </w:tr>
      <w:tr w:rsidR="00BA5355" w:rsidRPr="00E3756C" w14:paraId="533272A8" w14:textId="77777777" w:rsidTr="00835C2B">
        <w:tc>
          <w:tcPr>
            <w:tcW w:w="926" w:type="dxa"/>
            <w:vMerge/>
            <w:tcBorders>
              <w:left w:val="nil"/>
              <w:bottom w:val="nil"/>
              <w:right w:val="single" w:sz="4" w:space="0" w:color="1C556C" w:themeColor="accent1"/>
            </w:tcBorders>
            <w:shd w:val="clear" w:color="auto" w:fill="1C556C" w:themeFill="accent1"/>
            <w:vAlign w:val="center"/>
          </w:tcPr>
          <w:p w14:paraId="6D6E2B3E" w14:textId="77777777" w:rsidR="00BA5355" w:rsidRPr="00E3756C" w:rsidRDefault="00BA5355" w:rsidP="003D2281">
            <w:pPr>
              <w:pStyle w:val="TableTextbold"/>
            </w:pPr>
          </w:p>
        </w:tc>
        <w:tc>
          <w:tcPr>
            <w:tcW w:w="800" w:type="dxa"/>
            <w:tcBorders>
              <w:top w:val="nil"/>
              <w:left w:val="single" w:sz="4" w:space="0" w:color="1C556C" w:themeColor="accent1"/>
              <w:bottom w:val="nil"/>
              <w:right w:val="nil"/>
            </w:tcBorders>
            <w:shd w:val="clear" w:color="auto" w:fill="DA5A28"/>
          </w:tcPr>
          <w:p w14:paraId="367DE289"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166862BC" w14:textId="77777777" w:rsidR="00BA5355" w:rsidRPr="00E3756C" w:rsidRDefault="00BA5355" w:rsidP="003D2281">
            <w:pPr>
              <w:pStyle w:val="TableText"/>
            </w:pPr>
            <w:r w:rsidRPr="00E3756C">
              <w:t>Health</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3DA08C48" w14:textId="77777777" w:rsidR="00BA5355" w:rsidRPr="00E3756C" w:rsidRDefault="00BA5355" w:rsidP="003D2281">
            <w:pPr>
              <w:pStyle w:val="TableText"/>
              <w:rPr>
                <w:color w:val="000000"/>
              </w:rPr>
            </w:pPr>
            <w:r w:rsidRPr="00E3756C">
              <w:rPr>
                <w:color w:val="000000"/>
              </w:rPr>
              <w:t>MOH, DHBs</w:t>
            </w:r>
            <w:r w:rsidRPr="00E3756C">
              <w:t>, PHOs</w:t>
            </w:r>
          </w:p>
        </w:tc>
      </w:tr>
      <w:tr w:rsidR="00BA5355" w:rsidRPr="00E3756C" w14:paraId="605332BB" w14:textId="77777777" w:rsidTr="00835C2B">
        <w:tc>
          <w:tcPr>
            <w:tcW w:w="926" w:type="dxa"/>
            <w:vMerge/>
            <w:tcBorders>
              <w:left w:val="nil"/>
              <w:bottom w:val="nil"/>
              <w:right w:val="single" w:sz="4" w:space="0" w:color="1C556C" w:themeColor="accent1"/>
            </w:tcBorders>
            <w:shd w:val="clear" w:color="auto" w:fill="1C556C" w:themeFill="accent1"/>
            <w:vAlign w:val="center"/>
          </w:tcPr>
          <w:p w14:paraId="51658254" w14:textId="77777777" w:rsidR="00BA5355" w:rsidRPr="00E3756C" w:rsidRDefault="00BA5355" w:rsidP="003D2281">
            <w:pPr>
              <w:pStyle w:val="TableTextbold"/>
            </w:pPr>
          </w:p>
        </w:tc>
        <w:tc>
          <w:tcPr>
            <w:tcW w:w="800" w:type="dxa"/>
            <w:tcBorders>
              <w:top w:val="nil"/>
              <w:left w:val="single" w:sz="4" w:space="0" w:color="1C556C" w:themeColor="accent1"/>
              <w:bottom w:val="nil"/>
              <w:right w:val="nil"/>
            </w:tcBorders>
            <w:shd w:val="clear" w:color="auto" w:fill="DA5A28"/>
          </w:tcPr>
          <w:p w14:paraId="3E45AE8D"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12462F7E" w14:textId="77777777" w:rsidR="00BA5355" w:rsidRPr="00E3756C" w:rsidRDefault="00BA5355" w:rsidP="003D2281">
            <w:pPr>
              <w:pStyle w:val="TableText"/>
            </w:pPr>
            <w:r w:rsidRPr="00E3756C">
              <w:t>Education</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2998A734" w14:textId="77777777" w:rsidR="00BA5355" w:rsidRPr="00E3756C" w:rsidRDefault="00BA5355" w:rsidP="003D2281">
            <w:pPr>
              <w:pStyle w:val="TableText"/>
              <w:rPr>
                <w:color w:val="000000"/>
              </w:rPr>
            </w:pPr>
            <w:r w:rsidRPr="00E3756C">
              <w:rPr>
                <w:color w:val="000000"/>
              </w:rPr>
              <w:t>MOE, TEC</w:t>
            </w:r>
          </w:p>
        </w:tc>
      </w:tr>
      <w:tr w:rsidR="00BA5355" w:rsidRPr="00E3756C" w14:paraId="4F19C81D" w14:textId="77777777" w:rsidTr="00835C2B">
        <w:tc>
          <w:tcPr>
            <w:tcW w:w="926" w:type="dxa"/>
            <w:vMerge/>
            <w:tcBorders>
              <w:left w:val="nil"/>
              <w:bottom w:val="nil"/>
              <w:right w:val="single" w:sz="4" w:space="0" w:color="1C556C" w:themeColor="accent1"/>
            </w:tcBorders>
            <w:shd w:val="clear" w:color="auto" w:fill="1C556C" w:themeFill="accent1"/>
            <w:vAlign w:val="center"/>
          </w:tcPr>
          <w:p w14:paraId="72CE1CA7" w14:textId="77777777" w:rsidR="00BA5355" w:rsidRPr="00E3756C" w:rsidRDefault="00BA5355" w:rsidP="003D2281">
            <w:pPr>
              <w:pStyle w:val="TableTextbold"/>
            </w:pPr>
          </w:p>
        </w:tc>
        <w:tc>
          <w:tcPr>
            <w:tcW w:w="800" w:type="dxa"/>
            <w:tcBorders>
              <w:top w:val="nil"/>
              <w:left w:val="single" w:sz="4" w:space="0" w:color="1C556C" w:themeColor="accent1"/>
              <w:bottom w:val="single" w:sz="4" w:space="0" w:color="1C556C" w:themeColor="accent1"/>
              <w:right w:val="nil"/>
            </w:tcBorders>
            <w:shd w:val="clear" w:color="auto" w:fill="DA5A28"/>
          </w:tcPr>
          <w:p w14:paraId="682E2202"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4CDBA3EE" w14:textId="77777777" w:rsidR="00BA5355" w:rsidRPr="00E3756C" w:rsidRDefault="00BA5355" w:rsidP="003D2281">
            <w:pPr>
              <w:pStyle w:val="TableText"/>
            </w:pPr>
            <w:r w:rsidRPr="00E3756C">
              <w:t>Sports, recreation</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212CCF4F" w14:textId="77777777" w:rsidR="00BA5355" w:rsidRPr="00E3756C" w:rsidRDefault="00BA5355" w:rsidP="003D2281">
            <w:pPr>
              <w:pStyle w:val="TableText"/>
              <w:rPr>
                <w:color w:val="000000"/>
              </w:rPr>
            </w:pPr>
            <w:r w:rsidRPr="00E3756C">
              <w:rPr>
                <w:color w:val="000000"/>
              </w:rPr>
              <w:t>MCH</w:t>
            </w:r>
            <w:r w:rsidRPr="00E3756C">
              <w:t>, DOC</w:t>
            </w:r>
          </w:p>
        </w:tc>
      </w:tr>
      <w:tr w:rsidR="00BA5355" w:rsidRPr="00E3756C" w14:paraId="0178C436" w14:textId="77777777" w:rsidTr="00835C2B">
        <w:tc>
          <w:tcPr>
            <w:tcW w:w="926" w:type="dxa"/>
            <w:vMerge/>
            <w:tcBorders>
              <w:left w:val="nil"/>
              <w:bottom w:val="nil"/>
              <w:right w:val="single" w:sz="4" w:space="0" w:color="1C556C" w:themeColor="accent1"/>
            </w:tcBorders>
            <w:shd w:val="clear" w:color="auto" w:fill="1C556C" w:themeFill="accent1"/>
            <w:vAlign w:val="center"/>
          </w:tcPr>
          <w:p w14:paraId="2B1EE624" w14:textId="77777777" w:rsidR="00BA5355" w:rsidRPr="00E3756C" w:rsidRDefault="00BA5355" w:rsidP="003D2281">
            <w:pPr>
              <w:pStyle w:val="TableTextbold"/>
            </w:pPr>
          </w:p>
        </w:tc>
        <w:tc>
          <w:tcPr>
            <w:tcW w:w="800" w:type="dxa"/>
            <w:tcBorders>
              <w:top w:val="single" w:sz="4" w:space="0" w:color="1C556C" w:themeColor="accent1"/>
              <w:left w:val="single" w:sz="4" w:space="0" w:color="1C556C" w:themeColor="accent1"/>
              <w:bottom w:val="nil"/>
              <w:right w:val="nil"/>
            </w:tcBorders>
            <w:shd w:val="clear" w:color="auto" w:fill="1C556C" w:themeFill="accent1"/>
          </w:tcPr>
          <w:p w14:paraId="5B6FB23E" w14:textId="77777777" w:rsidR="00BA5355" w:rsidRPr="00E3756C" w:rsidRDefault="00BA5355" w:rsidP="003D2281">
            <w:pPr>
              <w:pStyle w:val="TableTextbold"/>
              <w:rPr>
                <w:color w:val="FFFFFF" w:themeColor="background1"/>
              </w:rPr>
            </w:pPr>
            <w:r w:rsidRPr="00E3756C">
              <w:rPr>
                <w:color w:val="FFFFFF" w:themeColor="background1"/>
              </w:rPr>
              <w:t>Culture</w:t>
            </w: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6715D315" w14:textId="77777777" w:rsidR="00BA5355" w:rsidRPr="00E3756C" w:rsidRDefault="00BA5355" w:rsidP="003D2281">
            <w:pPr>
              <w:pStyle w:val="TableText"/>
            </w:pPr>
            <w:r w:rsidRPr="00E3756C">
              <w:t xml:space="preserve">Cultural heritage: </w:t>
            </w:r>
          </w:p>
          <w:p w14:paraId="4B4FAF4F" w14:textId="77777777" w:rsidR="00BA5355" w:rsidRPr="00E3756C" w:rsidRDefault="00BA5355" w:rsidP="003D2281">
            <w:pPr>
              <w:pStyle w:val="TableBullet"/>
            </w:pPr>
            <w:r w:rsidRPr="00E3756C">
              <w:t>archaeological sites</w:t>
            </w:r>
          </w:p>
          <w:p w14:paraId="4B054C01" w14:textId="77777777" w:rsidR="00BA5355" w:rsidRPr="00E3756C" w:rsidRDefault="00BA5355" w:rsidP="003D2281">
            <w:pPr>
              <w:pStyle w:val="TableBullet"/>
            </w:pPr>
            <w:r w:rsidRPr="00E3756C">
              <w:t>museums, arts, theatre</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2541A831" w14:textId="77777777" w:rsidR="00BA5355" w:rsidRPr="00E3756C" w:rsidRDefault="00BA5355" w:rsidP="003D2281">
            <w:pPr>
              <w:pStyle w:val="TableText"/>
              <w:spacing w:after="0"/>
            </w:pPr>
            <w:r w:rsidRPr="00E3756C">
              <w:t>MCH, MPP… others</w:t>
            </w:r>
          </w:p>
          <w:p w14:paraId="62DE33DE" w14:textId="77777777" w:rsidR="00BA5355" w:rsidRPr="00E3756C" w:rsidRDefault="00BA5355" w:rsidP="003D2281">
            <w:pPr>
              <w:pStyle w:val="TableText"/>
              <w:rPr>
                <w:shd w:val="clear" w:color="auto" w:fill="FFE599"/>
              </w:rPr>
            </w:pPr>
            <w:r w:rsidRPr="00E3756C">
              <w:t>DOC</w:t>
            </w:r>
          </w:p>
        </w:tc>
      </w:tr>
      <w:tr w:rsidR="00BA5355" w:rsidRPr="00E3756C" w14:paraId="1E8A9B96" w14:textId="77777777" w:rsidTr="00835C2B">
        <w:tc>
          <w:tcPr>
            <w:tcW w:w="926" w:type="dxa"/>
            <w:vMerge/>
            <w:tcBorders>
              <w:left w:val="nil"/>
              <w:bottom w:val="nil"/>
              <w:right w:val="single" w:sz="4" w:space="0" w:color="1C556C" w:themeColor="accent1"/>
            </w:tcBorders>
            <w:shd w:val="clear" w:color="auto" w:fill="1C556C" w:themeFill="accent1"/>
            <w:vAlign w:val="center"/>
          </w:tcPr>
          <w:p w14:paraId="110C0910" w14:textId="77777777" w:rsidR="00BA5355" w:rsidRPr="00E3756C" w:rsidRDefault="00BA5355" w:rsidP="003D2281">
            <w:pPr>
              <w:pStyle w:val="TableTextbold"/>
            </w:pPr>
          </w:p>
        </w:tc>
        <w:tc>
          <w:tcPr>
            <w:tcW w:w="800" w:type="dxa"/>
            <w:tcBorders>
              <w:top w:val="nil"/>
              <w:left w:val="single" w:sz="4" w:space="0" w:color="1C556C" w:themeColor="accent1"/>
              <w:bottom w:val="nil"/>
              <w:right w:val="nil"/>
            </w:tcBorders>
            <w:shd w:val="clear" w:color="auto" w:fill="1C556C" w:themeFill="accent1"/>
          </w:tcPr>
          <w:p w14:paraId="15C45C32"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29119DAE" w14:textId="77777777" w:rsidR="00BA5355" w:rsidRPr="00E3756C" w:rsidRDefault="00BA5355" w:rsidP="003D2281">
            <w:pPr>
              <w:pStyle w:val="TableText"/>
            </w:pPr>
            <w:r w:rsidRPr="00E3756C">
              <w:t>Ahurea Māori, tikanga Māori – Māori culture,</w:t>
            </w:r>
            <w:r w:rsidR="000E2143" w:rsidRPr="00E3756C">
              <w:t xml:space="preserve"> </w:t>
            </w:r>
            <w:r w:rsidRPr="00E3756C">
              <w:t>Māori values and principles</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23DADE30" w14:textId="77777777" w:rsidR="00BA5355" w:rsidRPr="00E3756C" w:rsidRDefault="00BA5355" w:rsidP="003D2281">
            <w:pPr>
              <w:pStyle w:val="TableText"/>
              <w:rPr>
                <w:color w:val="000000"/>
              </w:rPr>
            </w:pPr>
            <w:r w:rsidRPr="00E3756C">
              <w:rPr>
                <w:color w:val="000000"/>
              </w:rPr>
              <w:t xml:space="preserve">TPK, iwi, pan-Māori, </w:t>
            </w:r>
            <w:r w:rsidRPr="00E3756C">
              <w:t xml:space="preserve">Iwi Chairs Forum, Māori Women’s Welfare League, New Zealand </w:t>
            </w:r>
            <w:r w:rsidRPr="00E3756C">
              <w:lastRenderedPageBreak/>
              <w:t>Māori Council, Māori Climate Change Commission</w:t>
            </w:r>
          </w:p>
        </w:tc>
      </w:tr>
      <w:tr w:rsidR="00BA5355" w:rsidRPr="00E3756C" w14:paraId="6C6C595F" w14:textId="77777777" w:rsidTr="00835C2B">
        <w:tc>
          <w:tcPr>
            <w:tcW w:w="926" w:type="dxa"/>
            <w:vMerge/>
            <w:tcBorders>
              <w:left w:val="nil"/>
              <w:bottom w:val="nil"/>
              <w:right w:val="single" w:sz="4" w:space="0" w:color="1C556C" w:themeColor="accent1"/>
            </w:tcBorders>
            <w:shd w:val="clear" w:color="auto" w:fill="1C556C" w:themeFill="accent1"/>
            <w:vAlign w:val="center"/>
          </w:tcPr>
          <w:p w14:paraId="467F97E8" w14:textId="77777777" w:rsidR="00BA5355" w:rsidRPr="00E3756C" w:rsidRDefault="00BA5355" w:rsidP="003D2281">
            <w:pPr>
              <w:pStyle w:val="TableTextbold"/>
            </w:pPr>
          </w:p>
        </w:tc>
        <w:tc>
          <w:tcPr>
            <w:tcW w:w="800" w:type="dxa"/>
            <w:tcBorders>
              <w:top w:val="nil"/>
              <w:left w:val="single" w:sz="4" w:space="0" w:color="1C556C" w:themeColor="accent1"/>
              <w:bottom w:val="nil"/>
              <w:right w:val="single" w:sz="4" w:space="0" w:color="1C556C" w:themeColor="accent1"/>
            </w:tcBorders>
            <w:shd w:val="clear" w:color="auto" w:fill="1C556C" w:themeFill="accent1"/>
          </w:tcPr>
          <w:p w14:paraId="27F36946" w14:textId="77777777" w:rsidR="00BA5355" w:rsidRPr="00E3756C" w:rsidRDefault="00BA5355" w:rsidP="003D2281">
            <w:pPr>
              <w:pStyle w:val="TableTextbold"/>
            </w:pPr>
          </w:p>
        </w:tc>
        <w:tc>
          <w:tcPr>
            <w:tcW w:w="326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01A7740" w14:textId="77777777" w:rsidR="00BA5355" w:rsidRPr="00E3756C" w:rsidRDefault="00BA5355" w:rsidP="003D2281">
            <w:pPr>
              <w:pStyle w:val="TableText"/>
            </w:pPr>
            <w:r w:rsidRPr="00E3756C">
              <w:rPr>
                <w:color w:val="000000"/>
              </w:rPr>
              <w:t>Cultural taonga</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525D9D67" w14:textId="77777777" w:rsidR="00BA5355" w:rsidRPr="00E3756C" w:rsidRDefault="00BA5355" w:rsidP="003D2281">
            <w:pPr>
              <w:pStyle w:val="TableText"/>
              <w:spacing w:after="0"/>
            </w:pPr>
            <w:r w:rsidRPr="00E3756C">
              <w:rPr>
                <w:color w:val="000000"/>
              </w:rPr>
              <w:t xml:space="preserve">TPK, iwi, pan-Māori, </w:t>
            </w:r>
            <w:r w:rsidRPr="00E3756C">
              <w:t>DOC</w:t>
            </w:r>
          </w:p>
        </w:tc>
      </w:tr>
      <w:tr w:rsidR="00BA5355" w:rsidRPr="00E3756C" w14:paraId="37125A87" w14:textId="77777777" w:rsidTr="00835C2B">
        <w:tc>
          <w:tcPr>
            <w:tcW w:w="1726" w:type="dxa"/>
            <w:gridSpan w:val="2"/>
            <w:tcBorders>
              <w:top w:val="nil"/>
              <w:left w:val="nil"/>
              <w:bottom w:val="nil"/>
              <w:right w:val="nil"/>
            </w:tcBorders>
            <w:shd w:val="clear" w:color="auto" w:fill="2C9986" w:themeFill="accent4"/>
          </w:tcPr>
          <w:p w14:paraId="13AD935E" w14:textId="77777777" w:rsidR="00BA5355" w:rsidRPr="00E3756C" w:rsidRDefault="00BA5355" w:rsidP="003D2281">
            <w:pPr>
              <w:pStyle w:val="TableTextbold"/>
              <w:rPr>
                <w:color w:val="FFFFFF" w:themeColor="background1"/>
              </w:rPr>
            </w:pPr>
            <w:r w:rsidRPr="00E3756C">
              <w:rPr>
                <w:color w:val="FFFFFF" w:themeColor="background1"/>
              </w:rPr>
              <w:t>Natural environment</w:t>
            </w: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04FB2863" w14:textId="77777777" w:rsidR="00BA5355" w:rsidRPr="00E3756C" w:rsidRDefault="00BA5355" w:rsidP="003D2281">
            <w:pPr>
              <w:pStyle w:val="TableText"/>
            </w:pPr>
            <w:r w:rsidRPr="00E3756C">
              <w:t>He Kura Taiao – Living treasures</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32490A06" w14:textId="77777777" w:rsidR="00BA5355" w:rsidRPr="00E3756C" w:rsidRDefault="00BA5355" w:rsidP="003D2281">
            <w:pPr>
              <w:pStyle w:val="TableText"/>
              <w:spacing w:after="0"/>
            </w:pPr>
            <w:r w:rsidRPr="00E3756C">
              <w:t>TPK, iwi, pan-Māori, DOC, Iwi Chairs Forum, Māori Women’s Welfare League, New Zealand Māori Council, Office of the Māori Climate Commissioner</w:t>
            </w:r>
          </w:p>
        </w:tc>
      </w:tr>
      <w:tr w:rsidR="00BA5355" w:rsidRPr="00E3756C" w14:paraId="201236E2" w14:textId="77777777" w:rsidTr="00835C2B">
        <w:tc>
          <w:tcPr>
            <w:tcW w:w="1726" w:type="dxa"/>
            <w:gridSpan w:val="2"/>
            <w:tcBorders>
              <w:top w:val="nil"/>
              <w:left w:val="nil"/>
              <w:bottom w:val="nil"/>
              <w:right w:val="nil"/>
            </w:tcBorders>
            <w:shd w:val="clear" w:color="auto" w:fill="2C9986" w:themeFill="accent4"/>
          </w:tcPr>
          <w:p w14:paraId="5627B86B"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4CDAD6BC" w14:textId="77777777" w:rsidR="00BA5355" w:rsidRPr="00E3756C" w:rsidRDefault="000A17DE" w:rsidP="003D2281">
            <w:pPr>
              <w:pStyle w:val="TableText"/>
            </w:pPr>
            <w:r>
              <w:t>Freshwater</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026CB96D" w14:textId="77777777" w:rsidR="00BA5355" w:rsidRPr="00E3756C" w:rsidRDefault="00BA5355" w:rsidP="003D2281">
            <w:pPr>
              <w:pStyle w:val="TableText"/>
            </w:pPr>
            <w:r w:rsidRPr="00E3756C">
              <w:t>MfE, MPI, DOC, regional councils, PCE</w:t>
            </w:r>
          </w:p>
        </w:tc>
      </w:tr>
      <w:tr w:rsidR="00BA5355" w:rsidRPr="00E3756C" w14:paraId="7C32DA37" w14:textId="77777777" w:rsidTr="00835C2B">
        <w:tc>
          <w:tcPr>
            <w:tcW w:w="1726" w:type="dxa"/>
            <w:gridSpan w:val="2"/>
            <w:tcBorders>
              <w:top w:val="nil"/>
              <w:left w:val="nil"/>
              <w:bottom w:val="nil"/>
              <w:right w:val="nil"/>
            </w:tcBorders>
            <w:shd w:val="clear" w:color="auto" w:fill="2C9986" w:themeFill="accent4"/>
          </w:tcPr>
          <w:p w14:paraId="75D03CFD"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50C0B24A" w14:textId="77777777" w:rsidR="00BA5355" w:rsidRPr="00E3756C" w:rsidRDefault="00BA5355" w:rsidP="003D2281">
            <w:pPr>
              <w:pStyle w:val="TableText"/>
            </w:pPr>
            <w:r w:rsidRPr="00E3756C">
              <w:t>Coastal, estuarine and marine ecosystems</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0B84AECE" w14:textId="77777777" w:rsidR="00BA5355" w:rsidRPr="00E3756C" w:rsidRDefault="00BA5355" w:rsidP="003D2281">
            <w:pPr>
              <w:pStyle w:val="TableText"/>
            </w:pPr>
            <w:r w:rsidRPr="00E3756C">
              <w:t>MfE, MPI, DOC, regional councils, EPA, Hauraki Gulf Forum, PCE</w:t>
            </w:r>
          </w:p>
        </w:tc>
      </w:tr>
      <w:tr w:rsidR="00BA5355" w:rsidRPr="00E3756C" w14:paraId="44D18317" w14:textId="77777777" w:rsidTr="00835C2B">
        <w:tc>
          <w:tcPr>
            <w:tcW w:w="1726" w:type="dxa"/>
            <w:gridSpan w:val="2"/>
            <w:tcBorders>
              <w:top w:val="nil"/>
              <w:left w:val="nil"/>
              <w:bottom w:val="nil"/>
              <w:right w:val="nil"/>
            </w:tcBorders>
            <w:shd w:val="clear" w:color="auto" w:fill="2C9986" w:themeFill="accent4"/>
          </w:tcPr>
          <w:p w14:paraId="45EA77D3"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4F03BFA1" w14:textId="77777777" w:rsidR="00BA5355" w:rsidRPr="00E3756C" w:rsidRDefault="00BA5355" w:rsidP="003D2281">
            <w:pPr>
              <w:pStyle w:val="TableText"/>
              <w:rPr>
                <w:color w:val="000000"/>
              </w:rPr>
            </w:pPr>
            <w:r w:rsidRPr="00E3756C">
              <w:rPr>
                <w:color w:val="000000"/>
              </w:rPr>
              <w:t>Biosecurity – safety from pests and diseases</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5DDB657E" w14:textId="77777777" w:rsidR="00BA5355" w:rsidRPr="00E3756C" w:rsidRDefault="00BA5355" w:rsidP="003D2281">
            <w:pPr>
              <w:pStyle w:val="TableText"/>
            </w:pPr>
            <w:r w:rsidRPr="00E3756C">
              <w:t>MPI</w:t>
            </w:r>
          </w:p>
        </w:tc>
      </w:tr>
      <w:tr w:rsidR="00BA5355" w:rsidRPr="00E3756C" w14:paraId="709D8892" w14:textId="77777777" w:rsidTr="00835C2B">
        <w:tc>
          <w:tcPr>
            <w:tcW w:w="1726" w:type="dxa"/>
            <w:gridSpan w:val="2"/>
            <w:tcBorders>
              <w:top w:val="nil"/>
              <w:left w:val="nil"/>
              <w:bottom w:val="nil"/>
              <w:right w:val="nil"/>
            </w:tcBorders>
            <w:shd w:val="clear" w:color="auto" w:fill="2C9986" w:themeFill="accent4"/>
          </w:tcPr>
          <w:p w14:paraId="349EEDE9"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5019D457" w14:textId="77777777" w:rsidR="00BA5355" w:rsidRPr="00E3756C" w:rsidRDefault="00BA5355" w:rsidP="003D2281">
            <w:pPr>
              <w:pStyle w:val="TableText"/>
            </w:pPr>
            <w:r w:rsidRPr="00E3756C">
              <w:t>Land use</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09F3FF80" w14:textId="77777777" w:rsidR="00BA5355" w:rsidRPr="00E3756C" w:rsidRDefault="00BA5355" w:rsidP="003D2281">
            <w:pPr>
              <w:pStyle w:val="TableText"/>
            </w:pPr>
            <w:r w:rsidRPr="00E3756C">
              <w:t>LINZ, LGNZ, regional councils, local authorities, DOC, MPI, MfE, PCE</w:t>
            </w:r>
          </w:p>
        </w:tc>
      </w:tr>
      <w:tr w:rsidR="00BA5355" w:rsidRPr="00E3756C" w14:paraId="1863AA4C" w14:textId="77777777" w:rsidTr="00835C2B">
        <w:tc>
          <w:tcPr>
            <w:tcW w:w="1726" w:type="dxa"/>
            <w:gridSpan w:val="2"/>
            <w:tcBorders>
              <w:top w:val="nil"/>
              <w:left w:val="nil"/>
              <w:bottom w:val="single" w:sz="4" w:space="0" w:color="1C556C" w:themeColor="accent1"/>
              <w:right w:val="nil"/>
            </w:tcBorders>
            <w:shd w:val="clear" w:color="auto" w:fill="2C9986" w:themeFill="accent4"/>
          </w:tcPr>
          <w:p w14:paraId="668D3648"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52686210" w14:textId="77777777" w:rsidR="00BA5355" w:rsidRPr="00E3756C" w:rsidRDefault="00BA5355" w:rsidP="003D2281">
            <w:pPr>
              <w:pStyle w:val="TableText"/>
            </w:pPr>
            <w:r w:rsidRPr="00E3756C">
              <w:t>Biodiversity</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0986EDF6" w14:textId="77777777" w:rsidR="00BA5355" w:rsidRPr="00E3756C" w:rsidRDefault="00BA5355" w:rsidP="003D2281">
            <w:pPr>
              <w:pStyle w:val="TableText"/>
            </w:pPr>
            <w:r w:rsidRPr="00E3756C">
              <w:t>MfE, MPI, DOC, regional councils, PCE</w:t>
            </w:r>
          </w:p>
        </w:tc>
      </w:tr>
      <w:tr w:rsidR="00BA5355" w:rsidRPr="00E3756C" w14:paraId="31CCEC42" w14:textId="77777777" w:rsidTr="00835C2B">
        <w:tc>
          <w:tcPr>
            <w:tcW w:w="1726" w:type="dxa"/>
            <w:gridSpan w:val="2"/>
            <w:tcBorders>
              <w:top w:val="single" w:sz="4" w:space="0" w:color="1C556C" w:themeColor="accent1"/>
              <w:left w:val="nil"/>
              <w:bottom w:val="nil"/>
              <w:right w:val="nil"/>
            </w:tcBorders>
            <w:shd w:val="clear" w:color="auto" w:fill="32809C"/>
          </w:tcPr>
          <w:p w14:paraId="4288D45D" w14:textId="77777777" w:rsidR="00BA5355" w:rsidRPr="00E3756C" w:rsidRDefault="00BA5355" w:rsidP="003D2281">
            <w:pPr>
              <w:pStyle w:val="TableTextbold"/>
              <w:rPr>
                <w:color w:val="FFFFFF" w:themeColor="background1"/>
              </w:rPr>
            </w:pPr>
            <w:r w:rsidRPr="00E3756C">
              <w:rPr>
                <w:color w:val="FFFFFF" w:themeColor="background1"/>
              </w:rPr>
              <w:t>Economy</w:t>
            </w:r>
          </w:p>
        </w:tc>
        <w:tc>
          <w:tcPr>
            <w:tcW w:w="3260" w:type="dxa"/>
            <w:tcBorders>
              <w:top w:val="single" w:sz="4" w:space="0" w:color="1C556C" w:themeColor="accent1"/>
              <w:left w:val="nil"/>
              <w:bottom w:val="nil"/>
              <w:right w:val="single" w:sz="4" w:space="0" w:color="1C556C" w:themeColor="accent1"/>
            </w:tcBorders>
          </w:tcPr>
          <w:p w14:paraId="1647DAD0" w14:textId="77777777" w:rsidR="00BA5355" w:rsidRPr="00E3756C" w:rsidRDefault="00BA5355" w:rsidP="003D2281">
            <w:pPr>
              <w:pStyle w:val="TableText"/>
            </w:pPr>
            <w:r w:rsidRPr="00E3756C">
              <w:t xml:space="preserve">Primary industries: </w:t>
            </w:r>
          </w:p>
        </w:tc>
        <w:tc>
          <w:tcPr>
            <w:tcW w:w="3519" w:type="dxa"/>
            <w:tcBorders>
              <w:top w:val="single" w:sz="4" w:space="0" w:color="1C556C" w:themeColor="accent1"/>
              <w:left w:val="single" w:sz="4" w:space="0" w:color="1C556C" w:themeColor="accent1"/>
              <w:bottom w:val="nil"/>
              <w:right w:val="nil"/>
            </w:tcBorders>
          </w:tcPr>
          <w:p w14:paraId="5DA22E09" w14:textId="77777777" w:rsidR="00BA5355" w:rsidRPr="00E3756C" w:rsidRDefault="00BA5355" w:rsidP="003D2281">
            <w:pPr>
              <w:pStyle w:val="TableText"/>
            </w:pPr>
            <w:r w:rsidRPr="00E3756C">
              <w:t>MPI</w:t>
            </w:r>
          </w:p>
        </w:tc>
      </w:tr>
      <w:tr w:rsidR="00BA5355" w:rsidRPr="00E3756C" w14:paraId="610F4DFF" w14:textId="77777777" w:rsidTr="00835C2B">
        <w:tc>
          <w:tcPr>
            <w:tcW w:w="1726" w:type="dxa"/>
            <w:gridSpan w:val="2"/>
            <w:tcBorders>
              <w:top w:val="nil"/>
              <w:left w:val="nil"/>
              <w:bottom w:val="nil"/>
              <w:right w:val="nil"/>
            </w:tcBorders>
            <w:shd w:val="clear" w:color="auto" w:fill="32809C"/>
          </w:tcPr>
          <w:p w14:paraId="1D90636A" w14:textId="77777777" w:rsidR="00BA5355" w:rsidRPr="00E3756C" w:rsidRDefault="00BA5355" w:rsidP="003D2281">
            <w:pPr>
              <w:pStyle w:val="TableTextbold"/>
            </w:pPr>
          </w:p>
        </w:tc>
        <w:tc>
          <w:tcPr>
            <w:tcW w:w="3260" w:type="dxa"/>
            <w:tcBorders>
              <w:top w:val="nil"/>
              <w:left w:val="nil"/>
              <w:bottom w:val="nil"/>
              <w:right w:val="single" w:sz="4" w:space="0" w:color="1C556C" w:themeColor="accent1"/>
            </w:tcBorders>
          </w:tcPr>
          <w:p w14:paraId="47429F44" w14:textId="77777777" w:rsidR="00BA5355" w:rsidRPr="00E3756C" w:rsidRDefault="00B96067" w:rsidP="003D2281">
            <w:pPr>
              <w:pStyle w:val="TableBullet"/>
            </w:pPr>
            <w:r w:rsidRPr="00E3756C">
              <w:t>f</w:t>
            </w:r>
            <w:r w:rsidR="00BA5355" w:rsidRPr="00E3756C">
              <w:t>isheries</w:t>
            </w:r>
          </w:p>
          <w:p w14:paraId="61E4D1A9" w14:textId="77777777" w:rsidR="00BA5355" w:rsidRPr="00E3756C" w:rsidRDefault="00B96067" w:rsidP="003D2281">
            <w:pPr>
              <w:pStyle w:val="TableBullet"/>
            </w:pPr>
            <w:r w:rsidRPr="00E3756C">
              <w:t>a</w:t>
            </w:r>
            <w:r w:rsidR="00BA5355" w:rsidRPr="00E3756C">
              <w:t>quaculture and marine farming</w:t>
            </w:r>
          </w:p>
        </w:tc>
        <w:tc>
          <w:tcPr>
            <w:tcW w:w="3519" w:type="dxa"/>
            <w:tcBorders>
              <w:top w:val="nil"/>
              <w:left w:val="single" w:sz="4" w:space="0" w:color="1C556C" w:themeColor="accent1"/>
              <w:bottom w:val="nil"/>
              <w:right w:val="nil"/>
            </w:tcBorders>
          </w:tcPr>
          <w:p w14:paraId="224C380F" w14:textId="77777777" w:rsidR="00BA5355" w:rsidRPr="00E3756C" w:rsidRDefault="00BA5355" w:rsidP="003D2281">
            <w:pPr>
              <w:pStyle w:val="TableText"/>
              <w:spacing w:before="0"/>
            </w:pPr>
            <w:r w:rsidRPr="00E3756C">
              <w:t>MPI, DOC, MfE, Aquaculture New Zealand</w:t>
            </w:r>
          </w:p>
        </w:tc>
      </w:tr>
      <w:tr w:rsidR="00BA5355" w:rsidRPr="00E3756C" w14:paraId="20D85351" w14:textId="77777777" w:rsidTr="00835C2B">
        <w:tc>
          <w:tcPr>
            <w:tcW w:w="1726" w:type="dxa"/>
            <w:gridSpan w:val="2"/>
            <w:tcBorders>
              <w:top w:val="nil"/>
              <w:left w:val="nil"/>
              <w:bottom w:val="nil"/>
              <w:right w:val="nil"/>
            </w:tcBorders>
            <w:shd w:val="clear" w:color="auto" w:fill="32809C"/>
          </w:tcPr>
          <w:p w14:paraId="23301278" w14:textId="77777777" w:rsidR="00BA5355" w:rsidRPr="00E3756C" w:rsidRDefault="00BA5355" w:rsidP="003D2281">
            <w:pPr>
              <w:pStyle w:val="TableText"/>
              <w:spacing w:before="0"/>
            </w:pPr>
          </w:p>
        </w:tc>
        <w:tc>
          <w:tcPr>
            <w:tcW w:w="3260" w:type="dxa"/>
            <w:tcBorders>
              <w:top w:val="nil"/>
              <w:left w:val="nil"/>
              <w:bottom w:val="nil"/>
              <w:right w:val="single" w:sz="4" w:space="0" w:color="1C556C" w:themeColor="accent1"/>
            </w:tcBorders>
          </w:tcPr>
          <w:p w14:paraId="06414F7A" w14:textId="77777777" w:rsidR="00BA5355" w:rsidRPr="00E3756C" w:rsidRDefault="00B96067" w:rsidP="003D2281">
            <w:pPr>
              <w:pStyle w:val="TableBullet"/>
            </w:pPr>
            <w:r w:rsidRPr="00E3756C">
              <w:t>f</w:t>
            </w:r>
            <w:r w:rsidR="00BA5355" w:rsidRPr="00E3756C">
              <w:t>orestry</w:t>
            </w:r>
          </w:p>
        </w:tc>
        <w:tc>
          <w:tcPr>
            <w:tcW w:w="3519" w:type="dxa"/>
            <w:tcBorders>
              <w:top w:val="nil"/>
              <w:left w:val="single" w:sz="4" w:space="0" w:color="1C556C" w:themeColor="accent1"/>
              <w:bottom w:val="nil"/>
              <w:right w:val="nil"/>
            </w:tcBorders>
          </w:tcPr>
          <w:p w14:paraId="1292B28C" w14:textId="77777777" w:rsidR="00BA5355" w:rsidRPr="00E3756C" w:rsidRDefault="00BA5355" w:rsidP="003D2281">
            <w:pPr>
              <w:pStyle w:val="TableText"/>
              <w:spacing w:before="0"/>
            </w:pPr>
            <w:r w:rsidRPr="00E3756C">
              <w:t>MPI, DOC, MfE</w:t>
            </w:r>
          </w:p>
        </w:tc>
      </w:tr>
      <w:tr w:rsidR="00BA5355" w:rsidRPr="00E3756C" w14:paraId="143561E5" w14:textId="77777777" w:rsidTr="00835C2B">
        <w:tc>
          <w:tcPr>
            <w:tcW w:w="1726" w:type="dxa"/>
            <w:gridSpan w:val="2"/>
            <w:tcBorders>
              <w:top w:val="nil"/>
              <w:left w:val="nil"/>
              <w:bottom w:val="nil"/>
              <w:right w:val="nil"/>
            </w:tcBorders>
            <w:shd w:val="clear" w:color="auto" w:fill="32809C"/>
          </w:tcPr>
          <w:p w14:paraId="26011595" w14:textId="77777777" w:rsidR="00BA5355" w:rsidRPr="00E3756C" w:rsidRDefault="00BA5355" w:rsidP="003D2281">
            <w:pPr>
              <w:pStyle w:val="TableTextbold"/>
            </w:pPr>
          </w:p>
        </w:tc>
        <w:tc>
          <w:tcPr>
            <w:tcW w:w="3260" w:type="dxa"/>
            <w:tcBorders>
              <w:top w:val="nil"/>
              <w:left w:val="nil"/>
              <w:bottom w:val="single" w:sz="4" w:space="0" w:color="1C556C" w:themeColor="accent1"/>
              <w:right w:val="single" w:sz="4" w:space="0" w:color="1C556C" w:themeColor="accent1"/>
            </w:tcBorders>
          </w:tcPr>
          <w:p w14:paraId="12A5AFBA" w14:textId="77777777" w:rsidR="00BA5355" w:rsidRPr="00E3756C" w:rsidRDefault="00B96067" w:rsidP="003D2281">
            <w:pPr>
              <w:pStyle w:val="TableBullet"/>
            </w:pPr>
            <w:r w:rsidRPr="00E3756C">
              <w:t>a</w:t>
            </w:r>
            <w:r w:rsidR="00BA5355" w:rsidRPr="00E3756C">
              <w:t>griculture</w:t>
            </w:r>
          </w:p>
          <w:p w14:paraId="795327B1" w14:textId="77777777" w:rsidR="00BA5355" w:rsidRPr="00E3756C" w:rsidRDefault="00B96067" w:rsidP="003D2281">
            <w:pPr>
              <w:pStyle w:val="TableBullet"/>
            </w:pPr>
            <w:r w:rsidRPr="00E3756C">
              <w:t>h</w:t>
            </w:r>
            <w:r w:rsidR="00BA5355" w:rsidRPr="00E3756C">
              <w:t>orticulture and viticulture</w:t>
            </w:r>
          </w:p>
        </w:tc>
        <w:tc>
          <w:tcPr>
            <w:tcW w:w="3519" w:type="dxa"/>
            <w:tcBorders>
              <w:top w:val="nil"/>
              <w:left w:val="single" w:sz="4" w:space="0" w:color="1C556C" w:themeColor="accent1"/>
              <w:bottom w:val="single" w:sz="4" w:space="0" w:color="1C556C" w:themeColor="accent1"/>
              <w:right w:val="nil"/>
            </w:tcBorders>
          </w:tcPr>
          <w:p w14:paraId="0626A931" w14:textId="77777777" w:rsidR="00BA5355" w:rsidRPr="00E3756C" w:rsidRDefault="00BA5355" w:rsidP="003D2281">
            <w:pPr>
              <w:pStyle w:val="TableText"/>
              <w:spacing w:before="0"/>
            </w:pPr>
            <w:r w:rsidRPr="00E3756C">
              <w:t>MPI, DOC, MfE, Beef + Lamb New Zealand, Dairy NZ, Horticulture New Zealand, New Zealand Winegrowers</w:t>
            </w:r>
          </w:p>
        </w:tc>
      </w:tr>
      <w:tr w:rsidR="00BA5355" w:rsidRPr="00E3756C" w14:paraId="7BE002D0" w14:textId="77777777" w:rsidTr="00835C2B">
        <w:tc>
          <w:tcPr>
            <w:tcW w:w="1726" w:type="dxa"/>
            <w:gridSpan w:val="2"/>
            <w:tcBorders>
              <w:top w:val="nil"/>
              <w:left w:val="nil"/>
              <w:bottom w:val="nil"/>
              <w:right w:val="nil"/>
            </w:tcBorders>
            <w:shd w:val="clear" w:color="auto" w:fill="32809C"/>
          </w:tcPr>
          <w:p w14:paraId="5EF93E4B"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1AD7B49D" w14:textId="77777777" w:rsidR="00BA5355" w:rsidRPr="00E3756C" w:rsidRDefault="00BA5355" w:rsidP="003D2281">
            <w:pPr>
              <w:pStyle w:val="TableText"/>
            </w:pPr>
            <w:r w:rsidRPr="00E3756C">
              <w:t>Tourism</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6038BE0E" w14:textId="77777777" w:rsidR="00BA5355" w:rsidRPr="00E3756C" w:rsidRDefault="00BA5355" w:rsidP="003D2281">
            <w:pPr>
              <w:pStyle w:val="TableText"/>
            </w:pPr>
            <w:r w:rsidRPr="00E3756C">
              <w:t>MBIE, DOC, Tourism New Zealand</w:t>
            </w:r>
          </w:p>
        </w:tc>
      </w:tr>
      <w:tr w:rsidR="00BA5355" w:rsidRPr="00E3756C" w14:paraId="72F1C3AC" w14:textId="77777777" w:rsidTr="00835C2B">
        <w:tc>
          <w:tcPr>
            <w:tcW w:w="1726" w:type="dxa"/>
            <w:gridSpan w:val="2"/>
            <w:tcBorders>
              <w:top w:val="nil"/>
              <w:left w:val="nil"/>
              <w:bottom w:val="nil"/>
              <w:right w:val="nil"/>
            </w:tcBorders>
            <w:shd w:val="clear" w:color="auto" w:fill="32809C"/>
          </w:tcPr>
          <w:p w14:paraId="5BD8DCB2"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299791AD" w14:textId="77777777" w:rsidR="00BA5355" w:rsidRPr="00E3756C" w:rsidRDefault="00BA5355" w:rsidP="003D2281">
            <w:pPr>
              <w:pStyle w:val="TableText"/>
            </w:pPr>
            <w:r w:rsidRPr="00E3756C">
              <w:t xml:space="preserve">Technology and business </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36BC5ABD" w14:textId="77777777" w:rsidR="00BA5355" w:rsidRPr="00E3756C" w:rsidRDefault="00BA5355" w:rsidP="003D2281">
            <w:pPr>
              <w:pStyle w:val="TableText"/>
            </w:pPr>
            <w:r w:rsidRPr="00E3756C">
              <w:t>MBIE</w:t>
            </w:r>
          </w:p>
        </w:tc>
      </w:tr>
      <w:tr w:rsidR="00BA5355" w:rsidRPr="00E3756C" w14:paraId="13634740" w14:textId="77777777" w:rsidTr="00835C2B">
        <w:tc>
          <w:tcPr>
            <w:tcW w:w="1726" w:type="dxa"/>
            <w:gridSpan w:val="2"/>
            <w:tcBorders>
              <w:top w:val="nil"/>
              <w:left w:val="nil"/>
              <w:bottom w:val="nil"/>
              <w:right w:val="nil"/>
            </w:tcBorders>
            <w:shd w:val="clear" w:color="auto" w:fill="32809C"/>
          </w:tcPr>
          <w:p w14:paraId="3FEC9479"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7208AA84" w14:textId="77777777" w:rsidR="00BA5355" w:rsidRPr="00E3756C" w:rsidRDefault="00BA5355" w:rsidP="003D2281">
            <w:pPr>
              <w:pStyle w:val="TableText"/>
            </w:pPr>
            <w:r w:rsidRPr="00E3756C">
              <w:t>Whakatipu rawa – Māori enterprise</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51826B82" w14:textId="77777777" w:rsidR="00BA5355" w:rsidRPr="00E3756C" w:rsidRDefault="00BA5355" w:rsidP="003D2281">
            <w:pPr>
              <w:pStyle w:val="TableText"/>
            </w:pPr>
            <w:r w:rsidRPr="00E3756C">
              <w:t>TPK, iwi, pan-Māori, Iwi Chairs Forum, Māori Women’s Welfare League, New Zealand Māori Council, Māori Climate Change Commission, FOMA, Te Tumu Paeroa</w:t>
            </w:r>
          </w:p>
        </w:tc>
      </w:tr>
      <w:tr w:rsidR="00BA5355" w:rsidRPr="00E3756C" w14:paraId="21BC060B" w14:textId="77777777" w:rsidTr="00835C2B">
        <w:tc>
          <w:tcPr>
            <w:tcW w:w="1726" w:type="dxa"/>
            <w:gridSpan w:val="2"/>
            <w:tcBorders>
              <w:top w:val="nil"/>
              <w:left w:val="nil"/>
              <w:bottom w:val="single" w:sz="4" w:space="0" w:color="1C556C" w:themeColor="accent1"/>
              <w:right w:val="nil"/>
            </w:tcBorders>
            <w:shd w:val="clear" w:color="auto" w:fill="32809C"/>
          </w:tcPr>
          <w:p w14:paraId="62B120BD" w14:textId="77777777" w:rsidR="00BA5355" w:rsidRPr="00E3756C" w:rsidRDefault="00BA5355" w:rsidP="003D2281">
            <w:pPr>
              <w:pStyle w:val="TableTextbold"/>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4041DF3B" w14:textId="77777777" w:rsidR="00BA5355" w:rsidRPr="00E3756C" w:rsidRDefault="00BA5355" w:rsidP="003D2281">
            <w:pPr>
              <w:pStyle w:val="TableText"/>
            </w:pPr>
            <w:r w:rsidRPr="00E3756C">
              <w:t>Insurance and banking</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3A1DBBD7" w14:textId="77777777" w:rsidR="00BA5355" w:rsidRPr="00E3756C" w:rsidRDefault="00BA5355" w:rsidP="003D2281">
            <w:pPr>
              <w:pStyle w:val="TableText"/>
            </w:pPr>
            <w:r w:rsidRPr="00E3756C">
              <w:t>Treasury, New Zealand Insurance Council, banks</w:t>
            </w:r>
          </w:p>
        </w:tc>
      </w:tr>
      <w:tr w:rsidR="00BA5355" w:rsidRPr="00E3756C" w14:paraId="592BA75C" w14:textId="77777777" w:rsidTr="00835C2B">
        <w:tc>
          <w:tcPr>
            <w:tcW w:w="1726" w:type="dxa"/>
            <w:gridSpan w:val="2"/>
            <w:tcBorders>
              <w:top w:val="single" w:sz="4" w:space="0" w:color="1C556C" w:themeColor="accent1"/>
              <w:left w:val="nil"/>
              <w:bottom w:val="nil"/>
              <w:right w:val="nil"/>
            </w:tcBorders>
            <w:shd w:val="clear" w:color="auto" w:fill="0F7B7D" w:themeFill="accent2"/>
          </w:tcPr>
          <w:p w14:paraId="45408CCB" w14:textId="77777777" w:rsidR="00BA5355" w:rsidRPr="00E3756C" w:rsidRDefault="00BA5355" w:rsidP="003D2281">
            <w:pPr>
              <w:pStyle w:val="TableTextbold"/>
              <w:rPr>
                <w:color w:val="FFFFFF" w:themeColor="background1"/>
              </w:rPr>
            </w:pPr>
            <w:r w:rsidRPr="00E3756C">
              <w:rPr>
                <w:color w:val="FFFFFF" w:themeColor="background1"/>
              </w:rPr>
              <w:t>Built environment</w:t>
            </w: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58661572" w14:textId="77777777" w:rsidR="00BA5355" w:rsidRPr="00E3756C" w:rsidRDefault="00BA5355" w:rsidP="003D2281">
            <w:pPr>
              <w:pStyle w:val="TableText"/>
            </w:pPr>
            <w:r w:rsidRPr="00E3756C">
              <w:t>Infrastructure and services</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5F519E1D" w14:textId="77777777" w:rsidR="00BA5355" w:rsidRPr="00E3756C" w:rsidRDefault="00BA5355" w:rsidP="003D2281">
            <w:pPr>
              <w:pStyle w:val="TableText"/>
              <w:rPr>
                <w:color w:val="000000"/>
              </w:rPr>
            </w:pPr>
            <w:r w:rsidRPr="00E3756C">
              <w:rPr>
                <w:color w:val="000000"/>
              </w:rPr>
              <w:t>Local councils, specific sector organisations, N</w:t>
            </w:r>
            <w:r w:rsidRPr="00E3756C">
              <w:t xml:space="preserve">ew Zealand </w:t>
            </w:r>
            <w:r w:rsidRPr="00E3756C">
              <w:rPr>
                <w:color w:val="000000"/>
              </w:rPr>
              <w:t xml:space="preserve">Lifelines </w:t>
            </w:r>
            <w:r w:rsidRPr="00E3756C">
              <w:t>Council, Infrastructure Commission, Treasury, SOLGM, LGNZ, Engineering New Zealand</w:t>
            </w:r>
          </w:p>
        </w:tc>
      </w:tr>
      <w:tr w:rsidR="00BA5355" w:rsidRPr="00E3756C" w14:paraId="60E576BE" w14:textId="77777777" w:rsidTr="00835C2B">
        <w:tc>
          <w:tcPr>
            <w:tcW w:w="1726" w:type="dxa"/>
            <w:gridSpan w:val="2"/>
            <w:tcBorders>
              <w:top w:val="nil"/>
              <w:left w:val="nil"/>
              <w:bottom w:val="nil"/>
              <w:right w:val="nil"/>
            </w:tcBorders>
            <w:shd w:val="clear" w:color="auto" w:fill="0F7B7D" w:themeFill="accent2"/>
          </w:tcPr>
          <w:p w14:paraId="7AC052AE" w14:textId="77777777" w:rsidR="00BA5355" w:rsidRPr="00E3756C" w:rsidRDefault="00BA5355" w:rsidP="003D2281">
            <w:pPr>
              <w:pStyle w:val="TableText"/>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3F30CA62" w14:textId="77777777" w:rsidR="00BA5355" w:rsidRPr="00E3756C" w:rsidRDefault="00BA5355" w:rsidP="003D2281">
            <w:pPr>
              <w:pStyle w:val="TableBullet"/>
              <w:spacing w:before="60"/>
            </w:pPr>
            <w:r w:rsidRPr="00E3756C">
              <w:t xml:space="preserve">Water </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4DD0DE1A" w14:textId="77777777" w:rsidR="00BA5355" w:rsidRPr="00E3756C" w:rsidRDefault="00BA5355" w:rsidP="003D2281">
            <w:pPr>
              <w:pStyle w:val="TableText"/>
            </w:pPr>
            <w:r w:rsidRPr="00E3756C">
              <w:t>Water New Zealand, MOH, MfE, DIA</w:t>
            </w:r>
          </w:p>
        </w:tc>
      </w:tr>
      <w:tr w:rsidR="00BA5355" w:rsidRPr="00E3756C" w14:paraId="35606346" w14:textId="77777777" w:rsidTr="00835C2B">
        <w:tc>
          <w:tcPr>
            <w:tcW w:w="1726" w:type="dxa"/>
            <w:gridSpan w:val="2"/>
            <w:tcBorders>
              <w:top w:val="nil"/>
              <w:left w:val="nil"/>
              <w:bottom w:val="nil"/>
              <w:right w:val="nil"/>
            </w:tcBorders>
            <w:shd w:val="clear" w:color="auto" w:fill="0F7B7D" w:themeFill="accent2"/>
          </w:tcPr>
          <w:p w14:paraId="5E09350F" w14:textId="77777777" w:rsidR="00BA5355" w:rsidRPr="00E3756C" w:rsidRDefault="00BA5355" w:rsidP="003D2281">
            <w:pPr>
              <w:pStyle w:val="TableText"/>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224558B8" w14:textId="77777777" w:rsidR="00BA5355" w:rsidRPr="00E3756C" w:rsidRDefault="00BA5355" w:rsidP="003D2281">
            <w:pPr>
              <w:pStyle w:val="TableBullet"/>
              <w:spacing w:before="60"/>
            </w:pPr>
            <w:r w:rsidRPr="00E3756C">
              <w:t>Energy</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59693D45" w14:textId="77777777" w:rsidR="00BA5355" w:rsidRPr="00E3756C" w:rsidRDefault="00BA5355" w:rsidP="003D2281">
            <w:pPr>
              <w:pStyle w:val="TableText"/>
            </w:pPr>
            <w:r w:rsidRPr="00E3756C">
              <w:t>MBIE, Electricity Authority, Transpower, lines companies, electricity generators, GIC, Refining New Zealand, EECA, Commerce Commission</w:t>
            </w:r>
          </w:p>
        </w:tc>
      </w:tr>
      <w:tr w:rsidR="00BA5355" w:rsidRPr="00E3756C" w14:paraId="25B3363B" w14:textId="77777777" w:rsidTr="00835C2B">
        <w:tc>
          <w:tcPr>
            <w:tcW w:w="1726" w:type="dxa"/>
            <w:gridSpan w:val="2"/>
            <w:tcBorders>
              <w:top w:val="nil"/>
              <w:left w:val="nil"/>
              <w:bottom w:val="nil"/>
              <w:right w:val="nil"/>
            </w:tcBorders>
            <w:shd w:val="clear" w:color="auto" w:fill="0F7B7D" w:themeFill="accent2"/>
          </w:tcPr>
          <w:p w14:paraId="4DCD3AC9" w14:textId="77777777" w:rsidR="00BA5355" w:rsidRPr="00E3756C" w:rsidRDefault="00BA5355" w:rsidP="003D2281">
            <w:pPr>
              <w:pStyle w:val="TableText"/>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5555205D" w14:textId="77777777" w:rsidR="00BA5355" w:rsidRPr="00E3756C" w:rsidRDefault="00BA5355" w:rsidP="003D2281">
            <w:pPr>
              <w:pStyle w:val="TableBullet"/>
              <w:spacing w:before="60"/>
            </w:pPr>
            <w:r w:rsidRPr="00E3756C">
              <w:t xml:space="preserve">Transport </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3DC7667A" w14:textId="77777777" w:rsidR="00BA5355" w:rsidRPr="00E3756C" w:rsidRDefault="00BA5355" w:rsidP="003D2281">
            <w:pPr>
              <w:pStyle w:val="TableText"/>
            </w:pPr>
            <w:r w:rsidRPr="00E3756C">
              <w:rPr>
                <w:color w:val="000000"/>
              </w:rPr>
              <w:t xml:space="preserve">MOT, </w:t>
            </w:r>
            <w:r w:rsidRPr="00E3756C">
              <w:t>New Zealand Transport Agency, KiwiRail, CAA, lifeline utility airports, lifeline utility ports</w:t>
            </w:r>
          </w:p>
        </w:tc>
      </w:tr>
      <w:tr w:rsidR="00BA5355" w:rsidRPr="00E3756C" w14:paraId="0A834410" w14:textId="77777777" w:rsidTr="00835C2B">
        <w:tc>
          <w:tcPr>
            <w:tcW w:w="1726" w:type="dxa"/>
            <w:gridSpan w:val="2"/>
            <w:tcBorders>
              <w:top w:val="nil"/>
              <w:left w:val="nil"/>
              <w:bottom w:val="nil"/>
              <w:right w:val="nil"/>
            </w:tcBorders>
            <w:shd w:val="clear" w:color="auto" w:fill="0F7B7D" w:themeFill="accent2"/>
          </w:tcPr>
          <w:p w14:paraId="67343C17" w14:textId="77777777" w:rsidR="00BA5355" w:rsidRPr="00E3756C" w:rsidRDefault="00BA5355" w:rsidP="003D2281">
            <w:pPr>
              <w:pStyle w:val="TableText"/>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59F22335" w14:textId="77777777" w:rsidR="00BA5355" w:rsidRPr="00E3756C" w:rsidRDefault="00BA5355" w:rsidP="003D2281">
            <w:pPr>
              <w:pStyle w:val="TableBullet"/>
              <w:spacing w:before="60"/>
            </w:pPr>
            <w:r w:rsidRPr="00E3756C">
              <w:t>Information communication technology and communications</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393D94D3" w14:textId="77777777" w:rsidR="00BA5355" w:rsidRPr="00E3756C" w:rsidRDefault="00BA5355" w:rsidP="003D2281">
            <w:pPr>
              <w:pStyle w:val="TableText"/>
            </w:pPr>
            <w:r w:rsidRPr="00E3756C">
              <w:t>MBIE, Vodafone, Spark, 2degrees</w:t>
            </w:r>
          </w:p>
        </w:tc>
      </w:tr>
      <w:tr w:rsidR="00BA5355" w:rsidRPr="00E3756C" w14:paraId="3F045BD5" w14:textId="77777777" w:rsidTr="00835C2B">
        <w:tc>
          <w:tcPr>
            <w:tcW w:w="1726" w:type="dxa"/>
            <w:gridSpan w:val="2"/>
            <w:tcBorders>
              <w:top w:val="nil"/>
              <w:left w:val="nil"/>
              <w:bottom w:val="nil"/>
              <w:right w:val="nil"/>
            </w:tcBorders>
            <w:shd w:val="clear" w:color="auto" w:fill="0F7B7D" w:themeFill="accent2"/>
          </w:tcPr>
          <w:p w14:paraId="68D6D262" w14:textId="77777777" w:rsidR="00BA5355" w:rsidRPr="00E3756C" w:rsidRDefault="00BA5355" w:rsidP="003D2281">
            <w:pPr>
              <w:pStyle w:val="TableText"/>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1451D8C3" w14:textId="77777777" w:rsidR="00BA5355" w:rsidRPr="00E3756C" w:rsidRDefault="00BA5355" w:rsidP="003D2281">
            <w:pPr>
              <w:pStyle w:val="TableBullet"/>
              <w:spacing w:before="60"/>
            </w:pPr>
            <w:r w:rsidRPr="00E3756C">
              <w:t>Waste management</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22F57E8B" w14:textId="77777777" w:rsidR="00BA5355" w:rsidRPr="00E3756C" w:rsidRDefault="00BA5355" w:rsidP="003D2281">
            <w:pPr>
              <w:pStyle w:val="TableText"/>
            </w:pPr>
            <w:r w:rsidRPr="00E3756C">
              <w:t>WasteMINZ, MfE</w:t>
            </w:r>
          </w:p>
        </w:tc>
      </w:tr>
      <w:tr w:rsidR="00BA5355" w:rsidRPr="00E3756C" w14:paraId="2C12C940" w14:textId="77777777" w:rsidTr="00835C2B">
        <w:tc>
          <w:tcPr>
            <w:tcW w:w="1726" w:type="dxa"/>
            <w:gridSpan w:val="2"/>
            <w:tcBorders>
              <w:top w:val="nil"/>
              <w:left w:val="nil"/>
              <w:bottom w:val="nil"/>
              <w:right w:val="nil"/>
            </w:tcBorders>
            <w:shd w:val="clear" w:color="auto" w:fill="0F7B7D" w:themeFill="accent2"/>
          </w:tcPr>
          <w:p w14:paraId="2543E335" w14:textId="77777777" w:rsidR="00BA5355" w:rsidRPr="00E3756C" w:rsidRDefault="00BA5355" w:rsidP="003D2281">
            <w:pPr>
              <w:pStyle w:val="TableText"/>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38702027" w14:textId="77777777" w:rsidR="00BA5355" w:rsidRPr="00E3756C" w:rsidRDefault="00BA5355" w:rsidP="003D2281">
            <w:pPr>
              <w:pStyle w:val="TableBullet"/>
              <w:spacing w:before="60"/>
            </w:pPr>
            <w:r w:rsidRPr="00E3756C">
              <w:t xml:space="preserve">Buildings and housing </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408E3EFA" w14:textId="77777777" w:rsidR="00BA5355" w:rsidRPr="00E3756C" w:rsidRDefault="00BA5355" w:rsidP="003D2281">
            <w:pPr>
              <w:pStyle w:val="TableText"/>
              <w:spacing w:after="0"/>
              <w:rPr>
                <w:color w:val="000000"/>
              </w:rPr>
            </w:pPr>
            <w:r w:rsidRPr="00E3756C">
              <w:rPr>
                <w:color w:val="000000"/>
              </w:rPr>
              <w:t xml:space="preserve">MBIE, BRANZ, Housing New Zealand, </w:t>
            </w:r>
            <w:r w:rsidRPr="00E3756C">
              <w:t>local councils, MHUD, Engineering New Zealand</w:t>
            </w:r>
          </w:p>
        </w:tc>
      </w:tr>
      <w:tr w:rsidR="00BA5355" w:rsidRPr="00E3756C" w14:paraId="0F3CF6A0" w14:textId="77777777" w:rsidTr="00835C2B">
        <w:tc>
          <w:tcPr>
            <w:tcW w:w="1726" w:type="dxa"/>
            <w:gridSpan w:val="2"/>
            <w:tcBorders>
              <w:top w:val="nil"/>
              <w:left w:val="nil"/>
              <w:bottom w:val="nil"/>
              <w:right w:val="nil"/>
            </w:tcBorders>
            <w:shd w:val="clear" w:color="auto" w:fill="0F7B7D" w:themeFill="accent2"/>
          </w:tcPr>
          <w:p w14:paraId="67BF5A37" w14:textId="77777777" w:rsidR="00BA5355" w:rsidRPr="00E3756C" w:rsidRDefault="00BA5355" w:rsidP="003D2281">
            <w:pPr>
              <w:pStyle w:val="TableText"/>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32F4D223" w14:textId="77777777" w:rsidR="00BA5355" w:rsidRPr="00E3756C" w:rsidRDefault="00BA5355" w:rsidP="003D2281">
            <w:pPr>
              <w:pStyle w:val="TableText"/>
            </w:pPr>
            <w:r w:rsidRPr="00E3756C">
              <w:t>Urban spaces</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752E609A" w14:textId="77777777" w:rsidR="00BA5355" w:rsidRPr="00E3756C" w:rsidRDefault="00BA5355" w:rsidP="003D2281">
            <w:pPr>
              <w:pStyle w:val="TableText"/>
              <w:rPr>
                <w:color w:val="000000"/>
              </w:rPr>
            </w:pPr>
            <w:r w:rsidRPr="00E3756C">
              <w:rPr>
                <w:color w:val="000000"/>
              </w:rPr>
              <w:t>Local councils, MHUD</w:t>
            </w:r>
          </w:p>
        </w:tc>
      </w:tr>
      <w:tr w:rsidR="00BA5355" w:rsidRPr="00E3756C" w14:paraId="19CEAEE7" w14:textId="77777777" w:rsidTr="00835C2B">
        <w:tc>
          <w:tcPr>
            <w:tcW w:w="1726" w:type="dxa"/>
            <w:gridSpan w:val="2"/>
            <w:tcBorders>
              <w:top w:val="nil"/>
              <w:left w:val="nil"/>
              <w:bottom w:val="single" w:sz="4" w:space="0" w:color="1C556C" w:themeColor="accent1"/>
              <w:right w:val="nil"/>
            </w:tcBorders>
            <w:shd w:val="clear" w:color="auto" w:fill="0F7B7D" w:themeFill="accent2"/>
          </w:tcPr>
          <w:p w14:paraId="30CE0336" w14:textId="77777777" w:rsidR="00BA5355" w:rsidRPr="00E3756C" w:rsidRDefault="00BA5355" w:rsidP="003D2281">
            <w:pPr>
              <w:pStyle w:val="TableText"/>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6A5DF319" w14:textId="77777777" w:rsidR="00BA5355" w:rsidRPr="00E3756C" w:rsidRDefault="00BA5355" w:rsidP="003D2281">
            <w:pPr>
              <w:pStyle w:val="TableText"/>
            </w:pPr>
            <w:r w:rsidRPr="00E3756C">
              <w:t>Te Whare Āhuru He Oranga Tāngata – Safe homes, healthy people</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31440709" w14:textId="77777777" w:rsidR="00BA5355" w:rsidRPr="00E3756C" w:rsidRDefault="00BA5355" w:rsidP="003D2281">
            <w:pPr>
              <w:pStyle w:val="TableText"/>
              <w:spacing w:after="0"/>
              <w:rPr>
                <w:color w:val="000000"/>
              </w:rPr>
            </w:pPr>
            <w:r w:rsidRPr="00E3756C">
              <w:rPr>
                <w:color w:val="000000"/>
              </w:rPr>
              <w:t xml:space="preserve">Housing New Zealand, MBIE, TPK, iwi, pan-Māori, </w:t>
            </w:r>
            <w:r w:rsidRPr="00E3756C">
              <w:t>Iwi Chairs Forum, Māori Women’s Welfare League, New Zealand Māori Council, Office of the Māori Climate Commissioner, Te Aranga</w:t>
            </w:r>
          </w:p>
        </w:tc>
      </w:tr>
      <w:tr w:rsidR="00BA5355" w:rsidRPr="00E3756C" w14:paraId="108FFFA7" w14:textId="77777777" w:rsidTr="00835C2B">
        <w:tc>
          <w:tcPr>
            <w:tcW w:w="1726" w:type="dxa"/>
            <w:gridSpan w:val="2"/>
            <w:tcBorders>
              <w:top w:val="single" w:sz="4" w:space="0" w:color="1C556C" w:themeColor="accent1"/>
              <w:left w:val="nil"/>
              <w:bottom w:val="nil"/>
              <w:right w:val="nil"/>
            </w:tcBorders>
            <w:shd w:val="clear" w:color="auto" w:fill="6FC7B7" w:themeFill="accent5"/>
          </w:tcPr>
          <w:p w14:paraId="29188419" w14:textId="77777777" w:rsidR="00BA5355" w:rsidRPr="00E3756C" w:rsidRDefault="00BA5355" w:rsidP="003D2281">
            <w:pPr>
              <w:pStyle w:val="TableTextbold"/>
              <w:rPr>
                <w:color w:val="FFFFFF" w:themeColor="background1"/>
              </w:rPr>
            </w:pPr>
            <w:r w:rsidRPr="00E3756C">
              <w:rPr>
                <w:color w:val="FFFFFF" w:themeColor="background1"/>
              </w:rPr>
              <w:t>Governance</w:t>
            </w: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2C90850E" w14:textId="77777777" w:rsidR="00BA5355" w:rsidRPr="00E3756C" w:rsidRDefault="00BA5355" w:rsidP="003D2281">
            <w:pPr>
              <w:pStyle w:val="TableText"/>
            </w:pPr>
            <w:r w:rsidRPr="00E3756C">
              <w:t xml:space="preserve">Natural hazards </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3F4D38FC" w14:textId="77777777" w:rsidR="00BA5355" w:rsidRPr="00E3756C" w:rsidRDefault="00BA5355" w:rsidP="003D2281">
            <w:pPr>
              <w:pStyle w:val="TableText"/>
              <w:rPr>
                <w:color w:val="000000"/>
              </w:rPr>
            </w:pPr>
            <w:r w:rsidRPr="00E3756C">
              <w:rPr>
                <w:color w:val="000000"/>
              </w:rPr>
              <w:t xml:space="preserve">MCDEM, MfE, </w:t>
            </w:r>
            <w:r w:rsidRPr="00E3756C">
              <w:t>regional council special interest group on natural hazards, regional and local councils, DOC (coastal)</w:t>
            </w:r>
          </w:p>
        </w:tc>
      </w:tr>
      <w:tr w:rsidR="00BA5355" w:rsidRPr="00E3756C" w14:paraId="438F7AD1" w14:textId="77777777" w:rsidTr="00835C2B">
        <w:tc>
          <w:tcPr>
            <w:tcW w:w="1726" w:type="dxa"/>
            <w:gridSpan w:val="2"/>
            <w:tcBorders>
              <w:top w:val="nil"/>
              <w:left w:val="nil"/>
              <w:bottom w:val="nil"/>
              <w:right w:val="nil"/>
            </w:tcBorders>
            <w:shd w:val="clear" w:color="auto" w:fill="6FC7B7" w:themeFill="accent5"/>
          </w:tcPr>
          <w:p w14:paraId="7F4F76EA" w14:textId="77777777" w:rsidR="00BA5355" w:rsidRPr="00E3756C" w:rsidRDefault="00BA5355" w:rsidP="003D2281">
            <w:pPr>
              <w:pStyle w:val="TableTextbold"/>
              <w:rPr>
                <w:color w:val="FFFFFF" w:themeColor="background1"/>
              </w:rPr>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2691F9A1" w14:textId="77777777" w:rsidR="00BA5355" w:rsidRPr="00E3756C" w:rsidRDefault="00BA5355" w:rsidP="003D2281">
            <w:pPr>
              <w:pStyle w:val="TableText"/>
            </w:pPr>
            <w:r w:rsidRPr="00E3756C">
              <w:t xml:space="preserve">Defence </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49224A76" w14:textId="77777777" w:rsidR="00BA5355" w:rsidRPr="00E3756C" w:rsidRDefault="00BA5355" w:rsidP="003D2281">
            <w:pPr>
              <w:pStyle w:val="TableText"/>
              <w:rPr>
                <w:color w:val="000000"/>
              </w:rPr>
            </w:pPr>
            <w:r w:rsidRPr="00E3756C">
              <w:rPr>
                <w:color w:val="000000"/>
              </w:rPr>
              <w:t>MOD, N</w:t>
            </w:r>
            <w:r w:rsidRPr="00E3756C">
              <w:t>ZDF</w:t>
            </w:r>
          </w:p>
        </w:tc>
      </w:tr>
      <w:tr w:rsidR="00BA5355" w:rsidRPr="00E3756C" w14:paraId="368E1FCD" w14:textId="77777777" w:rsidTr="00835C2B">
        <w:tc>
          <w:tcPr>
            <w:tcW w:w="1726" w:type="dxa"/>
            <w:gridSpan w:val="2"/>
            <w:tcBorders>
              <w:top w:val="nil"/>
              <w:left w:val="nil"/>
              <w:bottom w:val="nil"/>
              <w:right w:val="nil"/>
            </w:tcBorders>
            <w:shd w:val="clear" w:color="auto" w:fill="6FC7B7" w:themeFill="accent5"/>
          </w:tcPr>
          <w:p w14:paraId="7267779E" w14:textId="77777777" w:rsidR="00BA5355" w:rsidRPr="00E3756C" w:rsidRDefault="00BA5355" w:rsidP="003D2281">
            <w:pPr>
              <w:pStyle w:val="TableTextbold"/>
              <w:rPr>
                <w:color w:val="FFFFFF" w:themeColor="background1"/>
              </w:rPr>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0664E47C" w14:textId="77777777" w:rsidR="00BA5355" w:rsidRPr="00E3756C" w:rsidRDefault="00BA5355" w:rsidP="003D2281">
            <w:pPr>
              <w:pStyle w:val="TableText"/>
            </w:pPr>
            <w:r w:rsidRPr="00E3756C">
              <w:rPr>
                <w:color w:val="000000"/>
              </w:rPr>
              <w:t xml:space="preserve">National security and justice </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679E14BA" w14:textId="77777777" w:rsidR="00BA5355" w:rsidRPr="00E3756C" w:rsidRDefault="00BA5355" w:rsidP="003D2281">
            <w:pPr>
              <w:pStyle w:val="TableText"/>
              <w:rPr>
                <w:color w:val="000000"/>
              </w:rPr>
            </w:pPr>
            <w:r w:rsidRPr="00E3756C">
              <w:t xml:space="preserve">DPMC, </w:t>
            </w:r>
            <w:r w:rsidRPr="00E3756C">
              <w:rPr>
                <w:color w:val="000000"/>
              </w:rPr>
              <w:t>MOD, MOJ, NSS, MFAT</w:t>
            </w:r>
          </w:p>
        </w:tc>
      </w:tr>
      <w:tr w:rsidR="00BA5355" w:rsidRPr="00E3756C" w14:paraId="673796CA" w14:textId="77777777" w:rsidTr="00835C2B">
        <w:tc>
          <w:tcPr>
            <w:tcW w:w="1726" w:type="dxa"/>
            <w:gridSpan w:val="2"/>
            <w:tcBorders>
              <w:top w:val="nil"/>
              <w:left w:val="nil"/>
              <w:bottom w:val="nil"/>
              <w:right w:val="nil"/>
            </w:tcBorders>
            <w:shd w:val="clear" w:color="auto" w:fill="6FC7B7" w:themeFill="accent5"/>
          </w:tcPr>
          <w:p w14:paraId="0566DB76" w14:textId="77777777" w:rsidR="00BA5355" w:rsidRPr="00E3756C" w:rsidRDefault="00BA5355" w:rsidP="003D2281">
            <w:pPr>
              <w:pStyle w:val="TableTextbold"/>
              <w:rPr>
                <w:color w:val="FFFFFF" w:themeColor="background1"/>
              </w:rPr>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55FDE521" w14:textId="77777777" w:rsidR="00BA5355" w:rsidRPr="00E3756C" w:rsidRDefault="00BA5355" w:rsidP="003D2281">
            <w:pPr>
              <w:pStyle w:val="TableText"/>
            </w:pPr>
            <w:r w:rsidRPr="00E3756C">
              <w:rPr>
                <w:color w:val="000000"/>
              </w:rPr>
              <w:t>Treaty partnerships</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084C03B9" w14:textId="77777777" w:rsidR="00BA5355" w:rsidRPr="00E3756C" w:rsidRDefault="001D22A7" w:rsidP="003D2281">
            <w:pPr>
              <w:pStyle w:val="TableText"/>
              <w:rPr>
                <w:color w:val="000000"/>
              </w:rPr>
            </w:pPr>
            <w:r>
              <w:rPr>
                <w:color w:val="000000"/>
              </w:rPr>
              <w:t xml:space="preserve">Office of </w:t>
            </w:r>
            <w:r w:rsidR="00BA5355" w:rsidRPr="00E3756C">
              <w:rPr>
                <w:color w:val="000000"/>
              </w:rPr>
              <w:t>Māori–</w:t>
            </w:r>
            <w:r w:rsidR="00BA5355" w:rsidRPr="00E3756C">
              <w:rPr>
                <w:color w:val="000000"/>
              </w:rPr>
              <w:softHyphen/>
              <w:t xml:space="preserve">Crown </w:t>
            </w:r>
            <w:r>
              <w:rPr>
                <w:color w:val="000000"/>
              </w:rPr>
              <w:t>R</w:t>
            </w:r>
            <w:r w:rsidR="00BA5355" w:rsidRPr="00E3756C">
              <w:rPr>
                <w:color w:val="000000"/>
              </w:rPr>
              <w:t xml:space="preserve">elations, MOJ, iwi, pan-Māori, </w:t>
            </w:r>
            <w:r w:rsidR="00BA5355" w:rsidRPr="00E3756C">
              <w:t>Iwi Chairs Forum, Māori Women’s Welfare League, New Zealand Māori Council, Office of the Māori Climate Commissioner, DOC</w:t>
            </w:r>
          </w:p>
        </w:tc>
      </w:tr>
      <w:tr w:rsidR="00BA5355" w:rsidRPr="00E3756C" w14:paraId="0A38C0AB" w14:textId="77777777" w:rsidTr="00835C2B">
        <w:tc>
          <w:tcPr>
            <w:tcW w:w="1726" w:type="dxa"/>
            <w:gridSpan w:val="2"/>
            <w:tcBorders>
              <w:top w:val="nil"/>
              <w:left w:val="nil"/>
              <w:bottom w:val="single" w:sz="4" w:space="0" w:color="1C556C" w:themeColor="accent1"/>
              <w:right w:val="nil"/>
            </w:tcBorders>
            <w:shd w:val="clear" w:color="auto" w:fill="6FC7B7" w:themeFill="accent5"/>
          </w:tcPr>
          <w:p w14:paraId="5AA0A144" w14:textId="77777777" w:rsidR="00BA5355" w:rsidRPr="00E3756C" w:rsidRDefault="00BA5355" w:rsidP="003D2281">
            <w:pPr>
              <w:pStyle w:val="TableTextbold"/>
              <w:rPr>
                <w:color w:val="FFFFFF" w:themeColor="background1"/>
              </w:rPr>
            </w:pPr>
          </w:p>
        </w:tc>
        <w:tc>
          <w:tcPr>
            <w:tcW w:w="3260" w:type="dxa"/>
            <w:tcBorders>
              <w:top w:val="single" w:sz="4" w:space="0" w:color="1C556C" w:themeColor="accent1"/>
              <w:left w:val="nil"/>
              <w:bottom w:val="single" w:sz="4" w:space="0" w:color="1C556C" w:themeColor="accent1"/>
              <w:right w:val="single" w:sz="4" w:space="0" w:color="1C556C" w:themeColor="accent1"/>
            </w:tcBorders>
          </w:tcPr>
          <w:p w14:paraId="5F579E65" w14:textId="77777777" w:rsidR="00BA5355" w:rsidRPr="00E3756C" w:rsidRDefault="00BA5355" w:rsidP="003D2281">
            <w:pPr>
              <w:pStyle w:val="TableText"/>
              <w:rPr>
                <w:color w:val="000000"/>
              </w:rPr>
            </w:pPr>
            <w:r w:rsidRPr="00E3756C">
              <w:t>Fiscal</w:t>
            </w:r>
          </w:p>
        </w:tc>
        <w:tc>
          <w:tcPr>
            <w:tcW w:w="3519" w:type="dxa"/>
            <w:tcBorders>
              <w:top w:val="single" w:sz="4" w:space="0" w:color="1C556C" w:themeColor="accent1"/>
              <w:left w:val="single" w:sz="4" w:space="0" w:color="1C556C" w:themeColor="accent1"/>
              <w:bottom w:val="single" w:sz="4" w:space="0" w:color="1C556C" w:themeColor="accent1"/>
              <w:right w:val="nil"/>
            </w:tcBorders>
          </w:tcPr>
          <w:p w14:paraId="3F6469B9" w14:textId="77777777" w:rsidR="00BA5355" w:rsidRPr="00E3756C" w:rsidRDefault="00BA5355" w:rsidP="003D2281">
            <w:pPr>
              <w:pStyle w:val="TableText"/>
              <w:rPr>
                <w:color w:val="000000"/>
              </w:rPr>
            </w:pPr>
            <w:r w:rsidRPr="00E3756C">
              <w:t>Treasury, Reserve Bank of New Zealand, Office of the Auditor-General</w:t>
            </w:r>
          </w:p>
        </w:tc>
      </w:tr>
    </w:tbl>
    <w:p w14:paraId="3E440729" w14:textId="77777777" w:rsidR="00BA5355" w:rsidRPr="00E3756C" w:rsidRDefault="00BA5355" w:rsidP="00E92547">
      <w:pPr>
        <w:pStyle w:val="Note"/>
        <w:spacing w:before="120"/>
      </w:pPr>
      <w:bookmarkStart w:id="58" w:name="_A3.3_Selection_of"/>
      <w:bookmarkStart w:id="59" w:name="_Toc13570350"/>
      <w:bookmarkStart w:id="60" w:name="_Toc14361536"/>
      <w:bookmarkStart w:id="61" w:name="_Toc14769382"/>
      <w:bookmarkEnd w:id="58"/>
      <w:r w:rsidRPr="00E3756C">
        <w:t xml:space="preserve">Note: These domains and elements should be assessed against impacts on all four LSF </w:t>
      </w:r>
      <w:r w:rsidR="000A17DE">
        <w:t>wellbeing</w:t>
      </w:r>
      <w:r w:rsidRPr="00E3756C">
        <w:t xml:space="preserve"> capitals. Not all</w:t>
      </w:r>
      <w:r w:rsidR="001E5EC8">
        <w:t> </w:t>
      </w:r>
      <w:r w:rsidRPr="00E3756C">
        <w:t>agencies, partners and stakeholders have been identified, and those listed are meant as a guide only. The assessor</w:t>
      </w:r>
      <w:r w:rsidR="001E5EC8">
        <w:t> </w:t>
      </w:r>
      <w:r w:rsidRPr="00E3756C">
        <w:t xml:space="preserve">will need to map out these elements. Refer to the </w:t>
      </w:r>
      <w:hyperlink w:anchor="_Abbreviations" w:history="1">
        <w:r w:rsidRPr="00E3756C">
          <w:rPr>
            <w:rStyle w:val="Hyperlink"/>
          </w:rPr>
          <w:t>Abbreviations</w:t>
        </w:r>
      </w:hyperlink>
      <w:r w:rsidRPr="00E3756C">
        <w:t xml:space="preserve"> for </w:t>
      </w:r>
      <w:r w:rsidR="001D22A7">
        <w:t xml:space="preserve">the </w:t>
      </w:r>
      <w:r w:rsidRPr="00E3756C">
        <w:t>full names of agencies, partners and</w:t>
      </w:r>
      <w:r w:rsidR="001E5EC8">
        <w:t> </w:t>
      </w:r>
      <w:r w:rsidRPr="00E3756C">
        <w:t>stakeholders.</w:t>
      </w:r>
    </w:p>
    <w:p w14:paraId="52D37BB9" w14:textId="77777777" w:rsidR="00BA5355" w:rsidRPr="00E3756C" w:rsidRDefault="00BA5355" w:rsidP="00BA5355">
      <w:pPr>
        <w:pStyle w:val="Heading2"/>
        <w:spacing w:before="480"/>
      </w:pPr>
      <w:bookmarkStart w:id="62" w:name="_A3.4_Selection_of"/>
      <w:bookmarkStart w:id="63" w:name="_Toc15409148"/>
      <w:bookmarkEnd w:id="62"/>
      <w:r w:rsidRPr="00E3756C">
        <w:t>A3.4</w:t>
      </w:r>
      <w:r w:rsidRPr="00E3756C">
        <w:tab/>
        <w:t>Selection of timeframes and climate change projections to assess risks</w:t>
      </w:r>
      <w:bookmarkEnd w:id="59"/>
      <w:bookmarkEnd w:id="60"/>
      <w:bookmarkEnd w:id="61"/>
      <w:bookmarkEnd w:id="63"/>
    </w:p>
    <w:p w14:paraId="163E3B28" w14:textId="77777777" w:rsidR="00BA5355" w:rsidRPr="00E3756C" w:rsidRDefault="00BA5355" w:rsidP="00BA5355">
      <w:pPr>
        <w:pStyle w:val="Heading3"/>
        <w:spacing w:before="240"/>
      </w:pPr>
      <w:bookmarkStart w:id="64" w:name="_Toc13570351"/>
      <w:r w:rsidRPr="00E3756C">
        <w:t xml:space="preserve">Selection of timeframes </w:t>
      </w:r>
      <w:bookmarkEnd w:id="64"/>
    </w:p>
    <w:p w14:paraId="6C7023ED" w14:textId="77777777" w:rsidR="00BA5355" w:rsidRPr="00E3756C" w:rsidRDefault="00BA5355" w:rsidP="00BA5355">
      <w:pPr>
        <w:pStyle w:val="BodyText"/>
      </w:pPr>
      <w:r w:rsidRPr="00E3756C">
        <w:t xml:space="preserve">The NCCRA framework considers three timeframes for assessing risks (and opportunities) from climate change. A fourth timeframe is considered in Stage 2 assessments for coastal hazard risks arising from ongoing rising sea level. </w:t>
      </w:r>
    </w:p>
    <w:p w14:paraId="251F365B" w14:textId="77777777" w:rsidR="00BA5355" w:rsidRPr="00E3756C" w:rsidRDefault="00BA5355" w:rsidP="00BA5355">
      <w:pPr>
        <w:pStyle w:val="Numberedparagraph"/>
      </w:pPr>
      <w:r w:rsidRPr="00E3756C">
        <w:rPr>
          <w:b/>
        </w:rPr>
        <w:t>Present day (past 10–20 years)</w:t>
      </w:r>
      <w:r w:rsidRPr="00E3756C">
        <w:t>, it is important to isolate impacts that are already occurring from climate change as a starting point for considering urgency on the higher risks identified through the three-stage assessment process. Canvassing the present situation was seen as a strength of the second NCCRA in the United Kingdom (Warren et al, 2018). This is also a useful starting point in engagement and elicitation processes before considering future impacts.</w:t>
      </w:r>
    </w:p>
    <w:p w14:paraId="39751341" w14:textId="77777777" w:rsidR="00BA5355" w:rsidRPr="00E3756C" w:rsidRDefault="00BA5355" w:rsidP="00BA5355">
      <w:pPr>
        <w:pStyle w:val="Numberedparagraph"/>
      </w:pPr>
      <w:r w:rsidRPr="00E3756C">
        <w:rPr>
          <w:b/>
        </w:rPr>
        <w:t>Thirty years</w:t>
      </w:r>
      <w:r w:rsidRPr="00E3756C">
        <w:t xml:space="preserve">, which is nominally around 2050 (or the decade 2040–2050). This covers the next few cycles of council long-term plans, and 30 years is the planning timeframe for local government infrastructure strategies (Local Government Act 2002, s101B) and asset management plans. It is also aligned with the longer terms granted for resource consents (up to 35 years), to better highlight climate risks at that juncture. </w:t>
      </w:r>
    </w:p>
    <w:p w14:paraId="5B70886B" w14:textId="77777777" w:rsidR="00BA5355" w:rsidRPr="00E3756C" w:rsidRDefault="00BA5355" w:rsidP="00BA5355">
      <w:pPr>
        <w:pStyle w:val="Numberedparagraph"/>
      </w:pPr>
      <w:r w:rsidRPr="00E3756C">
        <w:rPr>
          <w:b/>
        </w:rPr>
        <w:t>By 2100 (around 60–80 years)</w:t>
      </w:r>
      <w:r w:rsidRPr="00E3756C">
        <w:t xml:space="preserve">, which is typically used as the juncture for detailed climate change projections up until now (this timeframe enables projections for a wide range of climate variables to be used without the need for extrapolation). The 2080–2100 period </w:t>
      </w:r>
      <w:r w:rsidRPr="00E3756C">
        <w:lastRenderedPageBreak/>
        <w:t xml:space="preserve">will suffice, even though some decisions require at least 100-year timeframes, because the main objective of the national risk assessment is to prioritise actions for the higher risks on a comparative basis. </w:t>
      </w:r>
    </w:p>
    <w:p w14:paraId="072E489E" w14:textId="77777777" w:rsidR="001D22A7" w:rsidRDefault="00BA5355" w:rsidP="00BA5355">
      <w:pPr>
        <w:pStyle w:val="Numberedparagraph"/>
      </w:pPr>
      <w:r w:rsidRPr="00E3756C">
        <w:t xml:space="preserve">For </w:t>
      </w:r>
      <w:r w:rsidRPr="00E3756C">
        <w:rPr>
          <w:b/>
        </w:rPr>
        <w:t>coastal hazard risks</w:t>
      </w:r>
      <w:r w:rsidRPr="00E3756C">
        <w:t xml:space="preserve"> related to sea-level rise, also appraise the risks out to </w:t>
      </w:r>
      <w:r w:rsidRPr="00E3756C">
        <w:rPr>
          <w:b/>
        </w:rPr>
        <w:t>2150</w:t>
      </w:r>
      <w:r w:rsidRPr="00E3756C">
        <w:t xml:space="preserve"> in the Stage 2 assessment, given: </w:t>
      </w:r>
    </w:p>
    <w:p w14:paraId="15A47D6A" w14:textId="77777777" w:rsidR="001D22A7" w:rsidRDefault="00BA5355" w:rsidP="001D22A7">
      <w:pPr>
        <w:pStyle w:val="Numberedparagraph"/>
        <w:numPr>
          <w:ilvl w:val="1"/>
          <w:numId w:val="37"/>
        </w:numPr>
        <w:ind w:left="851" w:hanging="284"/>
      </w:pPr>
      <w:r w:rsidRPr="00E3756C">
        <w:t xml:space="preserve">that the mandate to assess coastal hazard risks (including climate change) out to “at least 100 years” is present in the </w:t>
      </w:r>
      <w:r w:rsidRPr="00E3756C">
        <w:rPr>
          <w:i/>
        </w:rPr>
        <w:t>New Zealand Coastal Policy Statement 2010</w:t>
      </w:r>
      <w:r w:rsidRPr="00E3756C">
        <w:t xml:space="preserve"> (Department of Conservation, 2010); </w:t>
      </w:r>
    </w:p>
    <w:p w14:paraId="626BFED5" w14:textId="77777777" w:rsidR="001D22A7" w:rsidRDefault="00BA5355" w:rsidP="001D22A7">
      <w:pPr>
        <w:pStyle w:val="Numberedparagraph"/>
        <w:numPr>
          <w:ilvl w:val="1"/>
          <w:numId w:val="37"/>
        </w:numPr>
        <w:ind w:left="851" w:hanging="284"/>
      </w:pPr>
      <w:r w:rsidRPr="00E3756C">
        <w:t xml:space="preserve">a set of New Zealand-specific projections for sea-level rise is available out to 2150 in the Coastal Hazards and Climate Change Guidance (Ministry for the Environment, 2017, p 105, figure 27), and </w:t>
      </w:r>
    </w:p>
    <w:p w14:paraId="641C1B7A" w14:textId="77777777" w:rsidR="001D22A7" w:rsidRDefault="00BA5355" w:rsidP="001D22A7">
      <w:pPr>
        <w:pStyle w:val="Numberedparagraph"/>
        <w:numPr>
          <w:ilvl w:val="1"/>
          <w:numId w:val="37"/>
        </w:numPr>
        <w:ind w:left="851" w:hanging="284"/>
      </w:pPr>
      <w:r w:rsidRPr="00E3756C">
        <w:t xml:space="preserve">coastal flooding risk exposure mapping for coastal areas up </w:t>
      </w:r>
      <w:r w:rsidR="001D22A7" w:rsidRPr="00E3756C">
        <w:t>t</w:t>
      </w:r>
      <w:r w:rsidR="001D22A7">
        <w:t>hree-</w:t>
      </w:r>
      <w:r w:rsidRPr="00E3756C">
        <w:t>metre rises already exists at the national scale (Parliamentary Commissioner for the Environment, 2015; Paulik et al, 2019; LGNZ, 2019</w:t>
      </w:r>
      <w:r w:rsidR="002C56C1" w:rsidRPr="00E3756C">
        <w:t>)</w:t>
      </w:r>
      <w:r w:rsidRPr="00E3756C">
        <w:t>.</w:t>
      </w:r>
    </w:p>
    <w:p w14:paraId="2556F8F4" w14:textId="77777777" w:rsidR="00BA5355" w:rsidRPr="00E3756C" w:rsidRDefault="00BA5355" w:rsidP="00294EEE">
      <w:pPr>
        <w:pStyle w:val="Numberedparagraph"/>
        <w:numPr>
          <w:ilvl w:val="0"/>
          <w:numId w:val="0"/>
        </w:numPr>
      </w:pPr>
      <w:r w:rsidRPr="00E3756C">
        <w:t xml:space="preserve"> Iwi and hapū are often mindful of and concerned with the longer</w:t>
      </w:r>
      <w:r w:rsidR="001D22A7">
        <w:t>-</w:t>
      </w:r>
      <w:r w:rsidRPr="00E3756C">
        <w:t xml:space="preserve">term view beyond 100 years around coastal areas </w:t>
      </w:r>
      <w:r w:rsidR="001D22A7">
        <w:t>that are facing</w:t>
      </w:r>
      <w:r w:rsidR="001D22A7" w:rsidRPr="00E3756C">
        <w:t xml:space="preserve"> </w:t>
      </w:r>
      <w:r w:rsidRPr="00E3756C">
        <w:t>ongoing impacts of sea-level rise on taonga and cultural sites. Consideration of this 2150 timeframe will highlight any potential lock-in or pathway dependency issues with the suggested actions at Stage 3.</w:t>
      </w:r>
    </w:p>
    <w:p w14:paraId="1499761F" w14:textId="77777777" w:rsidR="00BA5355" w:rsidRPr="00E3756C" w:rsidRDefault="00BA5355" w:rsidP="00350B00">
      <w:pPr>
        <w:pStyle w:val="Heading3"/>
        <w:spacing w:before="280"/>
      </w:pPr>
      <w:bookmarkStart w:id="65" w:name="_Toc13570352"/>
      <w:r w:rsidRPr="00E3756C">
        <w:t>Selection of climate change projections</w:t>
      </w:r>
      <w:bookmarkEnd w:id="65"/>
    </w:p>
    <w:p w14:paraId="5E552FB1" w14:textId="77777777" w:rsidR="00BA5355" w:rsidRPr="00E3756C" w:rsidRDefault="00BA5355" w:rsidP="00BA5355">
      <w:pPr>
        <w:pStyle w:val="BodyText"/>
      </w:pPr>
      <w:r w:rsidRPr="00E3756C">
        <w:t xml:space="preserve">The climate change projections recommended in the NCCRA framework are derived from four representative concentration pathways (RCPs) that were used by the </w:t>
      </w:r>
      <w:r w:rsidRPr="00E3756C">
        <w:rPr>
          <w:rFonts w:cs="Calibri"/>
          <w:szCs w:val="20"/>
        </w:rPr>
        <w:t>Intergovernmental Panel on Climate Change</w:t>
      </w:r>
      <w:r w:rsidRPr="00E3756C">
        <w:t xml:space="preserve"> (IPCC) in its fifth Assessment Report (2013–2014) (IPCC, 2014a). RCPs represent and describe a limited number of possible climate futures (figure A3-3) to work with in assessments. These few RCPs globally represent various scenarios in terms of the additional radiative forcing or heating </w:t>
      </w:r>
      <w:r w:rsidR="0073647F" w:rsidRPr="00E3756C">
        <w:t xml:space="preserve">(Watts) </w:t>
      </w:r>
      <w:r w:rsidRPr="00E3756C">
        <w:t xml:space="preserve">per square metre area of the Earth since pre-industrial conditions in 1750. The RCP emissions pathways also incorporate land use change, population projections and social and economic changes that could occur on a global scale. </w:t>
      </w:r>
    </w:p>
    <w:p w14:paraId="05138E7E" w14:textId="77777777" w:rsidR="00BA5355" w:rsidRPr="00E3756C" w:rsidRDefault="00BA5355" w:rsidP="00BA5355">
      <w:pPr>
        <w:pStyle w:val="Figureheading"/>
      </w:pPr>
      <w:bookmarkStart w:id="66" w:name="figureA33"/>
      <w:bookmarkStart w:id="67" w:name="_Toc16586515"/>
      <w:r w:rsidRPr="00E3756C">
        <w:lastRenderedPageBreak/>
        <w:t>Figure A3-3</w:t>
      </w:r>
      <w:bookmarkEnd w:id="66"/>
      <w:r w:rsidRPr="00E3756C">
        <w:t xml:space="preserve">: </w:t>
      </w:r>
      <w:r w:rsidRPr="00E3756C">
        <w:tab/>
        <w:t>Range of possible global pathways for carbon dioxide (CO</w:t>
      </w:r>
      <w:r w:rsidRPr="00E3756C">
        <w:rPr>
          <w:vertAlign w:val="subscript"/>
        </w:rPr>
        <w:t>2</w:t>
      </w:r>
      <w:r w:rsidRPr="00E3756C">
        <w:t>) emissions from fossil fuels and land use change with projected global temperature ranges by 2100</w:t>
      </w:r>
      <w:bookmarkEnd w:id="67"/>
    </w:p>
    <w:p w14:paraId="5A4E2E8B" w14:textId="77777777" w:rsidR="00BA5355" w:rsidRPr="00E3756C" w:rsidRDefault="00BA5355" w:rsidP="0065502F">
      <w:pPr>
        <w:spacing w:before="60"/>
        <w:jc w:val="center"/>
      </w:pPr>
      <w:r w:rsidRPr="00E3756C">
        <w:rPr>
          <w:noProof/>
        </w:rPr>
        <w:drawing>
          <wp:inline distT="0" distB="0" distL="0" distR="0" wp14:anchorId="44A4B33D" wp14:editId="7D7CF76F">
            <wp:extent cx="4299947" cy="2985025"/>
            <wp:effectExtent l="0" t="0" r="5715" b="6350"/>
            <wp:docPr id="1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4"/>
                    <a:srcRect t="2286" r="14578"/>
                    <a:stretch/>
                  </pic:blipFill>
                  <pic:spPr bwMode="auto">
                    <a:xfrm>
                      <a:off x="0" y="0"/>
                      <a:ext cx="4302079" cy="2986505"/>
                    </a:xfrm>
                    <a:prstGeom prst="rect">
                      <a:avLst/>
                    </a:prstGeom>
                    <a:ln>
                      <a:noFill/>
                    </a:ln>
                    <a:extLst>
                      <a:ext uri="{53640926-AAD7-44D8-BBD7-CCE9431645EC}">
                        <a14:shadowObscured xmlns:a14="http://schemas.microsoft.com/office/drawing/2010/main"/>
                      </a:ext>
                    </a:extLst>
                  </pic:spPr>
                </pic:pic>
              </a:graphicData>
            </a:graphic>
          </wp:inline>
        </w:drawing>
      </w:r>
    </w:p>
    <w:p w14:paraId="045C823C" w14:textId="77777777" w:rsidR="00BA5355" w:rsidRPr="00E3756C" w:rsidRDefault="00BA5355" w:rsidP="00BA5355">
      <w:pPr>
        <w:pStyle w:val="Source"/>
      </w:pPr>
      <w:r w:rsidRPr="00E3756C">
        <w:t>Source: Adapted from the Global Carbon Project: www.globalcarbonproject.org/carbonbudget/18/presentation.htm (Slide 40)</w:t>
      </w:r>
    </w:p>
    <w:p w14:paraId="6BFCF550" w14:textId="77777777" w:rsidR="00BA5355" w:rsidRPr="00E3756C" w:rsidRDefault="00BA5355" w:rsidP="00BA5355">
      <w:pPr>
        <w:pStyle w:val="Note"/>
      </w:pPr>
      <w:r w:rsidRPr="00E3756C">
        <w:t>Note: The representative concentration pathways (RCPs) used by the IPCC are annotated in the legend and the</w:t>
      </w:r>
      <w:r w:rsidR="00D93A6B">
        <w:t> </w:t>
      </w:r>
      <w:r w:rsidRPr="00E3756C">
        <w:t>two</w:t>
      </w:r>
      <w:r w:rsidR="00D93A6B">
        <w:t> </w:t>
      </w:r>
      <w:r w:rsidRPr="00E3756C">
        <w:t>RCPs selected for the NCCRA are annotated on the graph. The black line shows the trend in global carbon</w:t>
      </w:r>
      <w:r w:rsidR="00D93A6B">
        <w:t> </w:t>
      </w:r>
      <w:r w:rsidRPr="00E3756C">
        <w:t>dioxide emissions up to 2018. GCP = Global Carbon Project; GtCO</w:t>
      </w:r>
      <w:r w:rsidRPr="00E3756C">
        <w:rPr>
          <w:vertAlign w:val="subscript"/>
        </w:rPr>
        <w:t>2</w:t>
      </w:r>
      <w:r w:rsidRPr="00E3756C">
        <w:t>/yr = gigatonnes carbon dioxide per year;</w:t>
      </w:r>
      <w:r w:rsidR="00D93A6B">
        <w:t> </w:t>
      </w:r>
      <w:r w:rsidRPr="00E3756C">
        <w:t>IIASA</w:t>
      </w:r>
      <w:r w:rsidR="00D93A6B">
        <w:t> </w:t>
      </w:r>
      <w:r w:rsidRPr="00E3756C">
        <w:t>=</w:t>
      </w:r>
      <w:r w:rsidR="00D93A6B">
        <w:t> </w:t>
      </w:r>
      <w:r w:rsidRPr="00E3756C">
        <w:t>International Institute for Applied Systems Analysis; SSP = shared socio</w:t>
      </w:r>
      <w:r w:rsidR="00086660" w:rsidRPr="00E3756C">
        <w:t>-</w:t>
      </w:r>
      <w:r w:rsidRPr="00E3756C">
        <w:t>economic pathways; W/m</w:t>
      </w:r>
      <w:r w:rsidRPr="00E3756C">
        <w:rPr>
          <w:vertAlign w:val="superscript"/>
        </w:rPr>
        <w:t>2</w:t>
      </w:r>
      <w:r w:rsidR="00D93A6B">
        <w:t> </w:t>
      </w:r>
      <w:r w:rsidRPr="00E3756C">
        <w:t>=</w:t>
      </w:r>
      <w:r w:rsidR="00D93A6B">
        <w:t> </w:t>
      </w:r>
      <w:r w:rsidRPr="00E3756C">
        <w:t>Watts</w:t>
      </w:r>
      <w:r w:rsidR="00D93A6B">
        <w:t> </w:t>
      </w:r>
      <w:r w:rsidRPr="00E3756C">
        <w:t xml:space="preserve">per square metre. </w:t>
      </w:r>
    </w:p>
    <w:p w14:paraId="625BDCC5" w14:textId="77777777" w:rsidR="00BA5355" w:rsidRPr="00E3756C" w:rsidRDefault="00BA5355" w:rsidP="00BA5355">
      <w:pPr>
        <w:pStyle w:val="BodyText"/>
      </w:pPr>
      <w:r w:rsidRPr="00E3756C">
        <w:t>The two RCP projections selected for the overall risk assessment, with the median (50</w:t>
      </w:r>
      <w:r w:rsidRPr="00E3756C">
        <w:noBreakHyphen/>
        <w:t>percentile) projections of mean annual temperature rise relative to a 1986–2005 baseline (Ministry for the Environment, 2018; tables 5 and 6, pp 38</w:t>
      </w:r>
      <w:r w:rsidRPr="00E3756C">
        <w:softHyphen/>
        <w:t>–39), are:</w:t>
      </w:r>
    </w:p>
    <w:p w14:paraId="7931622E" w14:textId="77777777" w:rsidR="00BA5355" w:rsidRPr="00E3756C" w:rsidRDefault="00BA5355" w:rsidP="00BA5355">
      <w:pPr>
        <w:pStyle w:val="Bullet"/>
        <w:spacing w:line="280" w:lineRule="exact"/>
      </w:pPr>
      <w:r w:rsidRPr="00E3756C">
        <w:rPr>
          <w:b/>
        </w:rPr>
        <w:t>RCP 4.5</w:t>
      </w:r>
      <w:r w:rsidRPr="00E3756C">
        <w:t xml:space="preserve"> – with a range of mean annual temperature projected across Aotearoa New Zealand of 0.7–0.9 degrees</w:t>
      </w:r>
      <w:r w:rsidRPr="00E3756C">
        <w:rPr>
          <w:vertAlign w:val="superscript"/>
        </w:rPr>
        <w:t xml:space="preserve"> </w:t>
      </w:r>
      <w:r w:rsidRPr="00E3756C">
        <w:t>Celsius by 2031–2050 and 1.3–1.4 degrees</w:t>
      </w:r>
      <w:r w:rsidRPr="00E3756C">
        <w:rPr>
          <w:vertAlign w:val="superscript"/>
        </w:rPr>
        <w:t xml:space="preserve"> </w:t>
      </w:r>
      <w:r w:rsidRPr="00E3756C">
        <w:t>Celsius by</w:t>
      </w:r>
      <w:r w:rsidR="00D93A6B">
        <w:t> </w:t>
      </w:r>
      <w:r w:rsidRPr="00E3756C">
        <w:t xml:space="preserve">2081–2100 </w:t>
      </w:r>
    </w:p>
    <w:p w14:paraId="76907F23" w14:textId="77777777" w:rsidR="00BA5355" w:rsidRPr="00E3756C" w:rsidRDefault="00BA5355" w:rsidP="00BA5355">
      <w:pPr>
        <w:pStyle w:val="Bullet"/>
        <w:spacing w:line="280" w:lineRule="exact"/>
      </w:pPr>
      <w:r w:rsidRPr="00E3756C">
        <w:rPr>
          <w:b/>
        </w:rPr>
        <w:t>RCP 8.5</w:t>
      </w:r>
      <w:r w:rsidRPr="00E3756C">
        <w:t xml:space="preserve"> – with a range of mean annual temperature projected across Aotearoa New Zealand of 0.9–1.1 degrees</w:t>
      </w:r>
      <w:r w:rsidRPr="00E3756C">
        <w:rPr>
          <w:vertAlign w:val="superscript"/>
        </w:rPr>
        <w:t xml:space="preserve"> </w:t>
      </w:r>
      <w:r w:rsidRPr="00E3756C">
        <w:t>Celsius by 2031–2050 and 2.8–3.1 degrees</w:t>
      </w:r>
      <w:r w:rsidRPr="00E3756C">
        <w:rPr>
          <w:vertAlign w:val="superscript"/>
        </w:rPr>
        <w:t xml:space="preserve"> </w:t>
      </w:r>
      <w:r w:rsidRPr="00E3756C">
        <w:t>Celsius by</w:t>
      </w:r>
      <w:r w:rsidR="00D93A6B">
        <w:t> </w:t>
      </w:r>
      <w:r w:rsidRPr="00E3756C">
        <w:t xml:space="preserve">2081–2100. </w:t>
      </w:r>
    </w:p>
    <w:p w14:paraId="206A4872" w14:textId="7B93B2ED" w:rsidR="00BA5355" w:rsidRPr="00E3756C" w:rsidRDefault="00BA5355" w:rsidP="00BA5355">
      <w:pPr>
        <w:pStyle w:val="BodyText"/>
      </w:pPr>
      <w:r w:rsidRPr="00E3756C">
        <w:t xml:space="preserve">For the initial risk screening stage (Stage 1, </w:t>
      </w:r>
      <w:hyperlink w:anchor="_Chapter_B2:_Assessment" w:history="1">
        <w:r w:rsidRPr="00E3756C">
          <w:rPr>
            <w:rStyle w:val="Hyperlink"/>
          </w:rPr>
          <w:t>chapter B2</w:t>
        </w:r>
      </w:hyperlink>
      <w:r w:rsidRPr="00E3756C">
        <w:t>), only the higher RCP</w:t>
      </w:r>
      <w:r w:rsidR="001D22A7">
        <w:t xml:space="preserve"> </w:t>
      </w:r>
      <w:r w:rsidRPr="00E3756C">
        <w:t xml:space="preserve">8.5 projection is needed, because the purpose of the screening is to compare and determine the major climate-related risks to analyse during the detailed risk assessment. It also reduces the effort </w:t>
      </w:r>
      <w:r w:rsidR="00952AC8">
        <w:t xml:space="preserve">required and </w:t>
      </w:r>
      <w:r w:rsidRPr="00E3756C">
        <w:t>enable</w:t>
      </w:r>
      <w:r w:rsidR="00952AC8">
        <w:t>s</w:t>
      </w:r>
      <w:r w:rsidRPr="00E3756C">
        <w:t xml:space="preserve"> a wider breadth of impacts to be appraised and </w:t>
      </w:r>
      <w:r w:rsidR="00952AC8">
        <w:t>compared</w:t>
      </w:r>
      <w:r w:rsidRPr="00E3756C">
        <w:t xml:space="preserve">, under a single high scenario of continuing global emissions at the present rate. The use of two climate change projections is, however, recommended for the detailed risk assessment stage (Stage 2, </w:t>
      </w:r>
      <w:hyperlink w:anchor="_Chapter_B3:_Assessment" w:history="1">
        <w:r w:rsidRPr="00E3756C">
          <w:rPr>
            <w:rStyle w:val="Hyperlink"/>
          </w:rPr>
          <w:t>chapter B3</w:t>
        </w:r>
      </w:hyperlink>
      <w:r w:rsidRPr="00E3756C">
        <w:t>) to encapsulate uncertainty surrounding the future trajectory of global greenhouse gas emissions (</w:t>
      </w:r>
      <w:hyperlink w:anchor="figureA33" w:history="1">
        <w:r w:rsidRPr="00E3756C">
          <w:rPr>
            <w:rStyle w:val="Hyperlink"/>
          </w:rPr>
          <w:t>figure A3-3</w:t>
        </w:r>
      </w:hyperlink>
      <w:r w:rsidRPr="00E3756C">
        <w:t>) and associated climate responses.</w:t>
      </w:r>
    </w:p>
    <w:p w14:paraId="2869F217" w14:textId="77777777" w:rsidR="00BA5355" w:rsidRPr="00E3756C" w:rsidRDefault="00BA5355" w:rsidP="0065502F">
      <w:pPr>
        <w:pStyle w:val="Heading2"/>
        <w:spacing w:before="280"/>
      </w:pPr>
      <w:bookmarkStart w:id="68" w:name="_Toc13570353"/>
      <w:bookmarkStart w:id="69" w:name="_Toc14361537"/>
      <w:bookmarkStart w:id="70" w:name="_Toc15409149"/>
      <w:r w:rsidRPr="00E3756C">
        <w:t xml:space="preserve">A3.5 </w:t>
      </w:r>
      <w:r w:rsidRPr="00E3756C">
        <w:tab/>
        <w:t>Risk and urgency criteria</w:t>
      </w:r>
      <w:bookmarkEnd w:id="68"/>
      <w:bookmarkEnd w:id="69"/>
      <w:bookmarkEnd w:id="70"/>
    </w:p>
    <w:p w14:paraId="03792A6F" w14:textId="77777777" w:rsidR="00BA5355" w:rsidRPr="00E3756C" w:rsidRDefault="00BA5355" w:rsidP="00BA5355">
      <w:pPr>
        <w:pStyle w:val="BodyText"/>
      </w:pPr>
      <w:r w:rsidRPr="00E3756C">
        <w:t xml:space="preserve">Decision-making criteria flow from the objective of the NCCRA, which is to inform the development of the National Adaptation Plan (see </w:t>
      </w:r>
      <w:hyperlink w:anchor="_A1.3__Purpose" w:history="1">
        <w:r w:rsidRPr="00E3756C">
          <w:rPr>
            <w:rStyle w:val="Hyperlink"/>
          </w:rPr>
          <w:t>section A1.3</w:t>
        </w:r>
      </w:hyperlink>
      <w:r w:rsidRPr="00E3756C">
        <w:t xml:space="preserve">). This means a focus on </w:t>
      </w:r>
      <w:r w:rsidRPr="00E3756C">
        <w:lastRenderedPageBreak/>
        <w:t>national-level risks and an assessment that allows central government to prioritise actions that will have the greatest benefit on a national scale.</w:t>
      </w:r>
    </w:p>
    <w:p w14:paraId="5A5DA224" w14:textId="77777777" w:rsidR="001D22A7" w:rsidRDefault="00BA5355" w:rsidP="00BA5355">
      <w:pPr>
        <w:pStyle w:val="BodyText"/>
      </w:pPr>
      <w:r w:rsidRPr="00E3756C">
        <w:t>Risks will be rated based on</w:t>
      </w:r>
      <w:r w:rsidR="001D22A7">
        <w:t>:</w:t>
      </w:r>
    </w:p>
    <w:p w14:paraId="5522134C" w14:textId="77777777" w:rsidR="001D22A7" w:rsidRDefault="00BA5355" w:rsidP="00952AC8">
      <w:pPr>
        <w:pStyle w:val="Bullet"/>
      </w:pPr>
      <w:r w:rsidRPr="00E3756C">
        <w:t>the severity and magnitude of their consequences</w:t>
      </w:r>
    </w:p>
    <w:p w14:paraId="174B2ABF" w14:textId="77777777" w:rsidR="001D22A7" w:rsidRDefault="00BA5355" w:rsidP="00952AC8">
      <w:pPr>
        <w:pStyle w:val="Bullet"/>
      </w:pPr>
      <w:r w:rsidRPr="00E3756C">
        <w:t xml:space="preserve">the strength of evidence for the estimates of events occurring (hazards) or thresholds being crossed (stressors and trends) with respect to the selected climate change projections over the selected timeframes (see </w:t>
      </w:r>
      <w:hyperlink w:anchor="_A3.4_Selection_of" w:history="1">
        <w:r w:rsidRPr="00E3756C">
          <w:rPr>
            <w:rStyle w:val="Hyperlink"/>
          </w:rPr>
          <w:t>section A3.4</w:t>
        </w:r>
      </w:hyperlink>
      <w:r w:rsidRPr="00E3756C">
        <w:t xml:space="preserve"> and </w:t>
      </w:r>
      <w:hyperlink w:anchor="_Chapter_B1:_Defining" w:history="1">
        <w:r w:rsidRPr="00E3756C">
          <w:rPr>
            <w:rStyle w:val="Hyperlink"/>
          </w:rPr>
          <w:t>chapter B1</w:t>
        </w:r>
      </w:hyperlink>
      <w:r w:rsidRPr="00E3756C">
        <w:t>)</w:t>
      </w:r>
    </w:p>
    <w:p w14:paraId="39B39696" w14:textId="77777777" w:rsidR="00BA5355" w:rsidRPr="00E3756C" w:rsidRDefault="00BA5355" w:rsidP="00952AC8">
      <w:pPr>
        <w:pStyle w:val="Bullet"/>
      </w:pPr>
      <w:r w:rsidRPr="00E3756C">
        <w:t>the urgency of decision-making for adaptation to address the most significant risks.</w:t>
      </w:r>
    </w:p>
    <w:p w14:paraId="39A4D0FC" w14:textId="77777777" w:rsidR="00BA5355" w:rsidRPr="00E3756C" w:rsidRDefault="00BA5355" w:rsidP="0065502F">
      <w:pPr>
        <w:pStyle w:val="BodyText"/>
        <w:spacing w:after="100"/>
      </w:pPr>
      <w:r w:rsidRPr="00E3756C">
        <w:t>The criteria to select risks include:</w:t>
      </w:r>
    </w:p>
    <w:p w14:paraId="02F21AE2" w14:textId="77777777" w:rsidR="00BA5355" w:rsidRPr="00E3756C" w:rsidRDefault="00BA5355" w:rsidP="0065502F">
      <w:pPr>
        <w:pStyle w:val="Bullet"/>
        <w:spacing w:after="100" w:line="280" w:lineRule="exact"/>
      </w:pPr>
      <w:r w:rsidRPr="00E3756C">
        <w:t xml:space="preserve">strength of evidence for describing hazards, and assigning risk scores (see </w:t>
      </w:r>
      <w:hyperlink w:anchor="tableC21" w:history="1">
        <w:r w:rsidRPr="00E3756C">
          <w:rPr>
            <w:rStyle w:val="Hyperlink"/>
          </w:rPr>
          <w:t>table C2-1</w:t>
        </w:r>
      </w:hyperlink>
      <w:r w:rsidRPr="00E3756C">
        <w:t xml:space="preserve"> in</w:t>
      </w:r>
      <w:r w:rsidR="0042260F">
        <w:t> </w:t>
      </w:r>
      <w:r w:rsidRPr="00E3756C">
        <w:t>chapter C2)</w:t>
      </w:r>
    </w:p>
    <w:p w14:paraId="1CFE0095" w14:textId="77777777" w:rsidR="00BA5355" w:rsidRPr="00E3756C" w:rsidRDefault="00BA5355" w:rsidP="0065502F">
      <w:pPr>
        <w:pStyle w:val="Bullet"/>
        <w:spacing w:after="100" w:line="280" w:lineRule="exact"/>
      </w:pPr>
      <w:r w:rsidRPr="00E3756C">
        <w:t>magnitude of consequences (exposure and vulnerability) across all four LSF capitals (see</w:t>
      </w:r>
      <w:r w:rsidR="0042260F">
        <w:t> </w:t>
      </w:r>
      <w:hyperlink w:anchor="tableC22" w:history="1">
        <w:r w:rsidRPr="00E3756C">
          <w:rPr>
            <w:rStyle w:val="Hyperlink"/>
          </w:rPr>
          <w:t>table C2-2</w:t>
        </w:r>
      </w:hyperlink>
      <w:r w:rsidRPr="00E3756C">
        <w:t xml:space="preserve"> in chapter C2)</w:t>
      </w:r>
    </w:p>
    <w:p w14:paraId="57691B9D" w14:textId="77777777" w:rsidR="00BA5355" w:rsidRPr="00E3756C" w:rsidRDefault="00BA5355" w:rsidP="00BA5355">
      <w:pPr>
        <w:pStyle w:val="Bullet"/>
        <w:spacing w:line="280" w:lineRule="exact"/>
      </w:pPr>
      <w:r w:rsidRPr="00E3756C">
        <w:t>urgency with which decisions need to be made (</w:t>
      </w:r>
      <w:hyperlink w:anchor="_Chapter_B4:_Assessment" w:history="1">
        <w:r w:rsidRPr="00E3756C">
          <w:rPr>
            <w:rStyle w:val="Hyperlink"/>
          </w:rPr>
          <w:t>chapter B4</w:t>
        </w:r>
      </w:hyperlink>
      <w:r w:rsidRPr="00E3756C">
        <w:t>).</w:t>
      </w:r>
    </w:p>
    <w:p w14:paraId="76552B73" w14:textId="77777777" w:rsidR="00BA5355" w:rsidRPr="00E3756C" w:rsidRDefault="00BA5355" w:rsidP="00BA5355">
      <w:pPr>
        <w:pStyle w:val="BodyText"/>
      </w:pPr>
      <w:r w:rsidRPr="00E3756C">
        <w:t>For each element and asset, risks are rated by combining the consequence scores for each of the affected LSF capitals. It should be noted that the first NCCRA will not incorporate socio-economic projections into the rating of consequence magnitude and severity. This may be used in future iterations of the framework, incorporating techniques to assess the influence of (uncertain) socio-economic changes.</w:t>
      </w:r>
    </w:p>
    <w:p w14:paraId="3C70DDAD" w14:textId="77777777" w:rsidR="00BA5355" w:rsidRPr="00E3756C" w:rsidRDefault="00BA5355" w:rsidP="00BA5355">
      <w:pPr>
        <w:pStyle w:val="BodyText"/>
      </w:pPr>
      <w:r w:rsidRPr="00E3756C">
        <w:t xml:space="preserve">The framework does account for current and planned adaptation and the effect that existing government policy or actions already have on influencing the level of risks. </w:t>
      </w:r>
    </w:p>
    <w:p w14:paraId="50F51C46" w14:textId="77777777" w:rsidR="00BA5355" w:rsidRPr="00E3756C" w:rsidRDefault="00BA5355" w:rsidP="0065502F">
      <w:pPr>
        <w:pStyle w:val="Heading2"/>
        <w:spacing w:before="280"/>
      </w:pPr>
      <w:bookmarkStart w:id="71" w:name="_Toc13570354"/>
      <w:bookmarkStart w:id="72" w:name="_Toc14361538"/>
      <w:bookmarkStart w:id="73" w:name="_Toc15409150"/>
      <w:r w:rsidRPr="00E3756C">
        <w:t xml:space="preserve">A3.6 </w:t>
      </w:r>
      <w:r w:rsidRPr="00E3756C">
        <w:tab/>
        <w:t>Scale of assessment</w:t>
      </w:r>
      <w:bookmarkEnd w:id="71"/>
      <w:bookmarkEnd w:id="72"/>
      <w:bookmarkEnd w:id="73"/>
    </w:p>
    <w:p w14:paraId="664A8EE1" w14:textId="77777777" w:rsidR="00BA5355" w:rsidRPr="00E3756C" w:rsidRDefault="00BA5355" w:rsidP="00BA5355">
      <w:pPr>
        <w:pStyle w:val="BodyText"/>
      </w:pPr>
      <w:r w:rsidRPr="00E3756C">
        <w:t>The NCCRA is a national-scale assessment of climate change risks. A challenge for national-level assessments is how to deal with different geographical responses and differing levels of exposure to climate stressors so risk measures are not diluted when aggregating to a national scale. This can result in missing significant impacts that affect only some regions (eg, primary production, tourism or metropolitan infrastructure) or result from different frequencies of extreme hazard events at the regional scale but that contribute to cumulative impacts.</w:t>
      </w:r>
    </w:p>
    <w:p w14:paraId="55584BB1" w14:textId="77777777" w:rsidR="001D22A7" w:rsidRDefault="00BA5355" w:rsidP="00BA5355">
      <w:pPr>
        <w:pStyle w:val="BodyText"/>
      </w:pPr>
      <w:r w:rsidRPr="00E3756C">
        <w:t>To consider climate-related changes that will manifest in different impacts across geographical regions, the assessment will be carried out in the six sub-national regions used by the National Institute of Water and Atmospheric Research (NIWA) for assessing seasonal climate outlook (NIWA, 2019</w:t>
      </w:r>
      <w:r w:rsidR="006C3B61" w:rsidRPr="00E3756C">
        <w:t>b</w:t>
      </w:r>
      <w:r w:rsidRPr="00E3756C">
        <w:t xml:space="preserve">), plus a seventh zone for the Chatham Islands. </w:t>
      </w:r>
    </w:p>
    <w:p w14:paraId="375CAC1A" w14:textId="77777777" w:rsidR="001D22A7" w:rsidRDefault="00053883" w:rsidP="00BA5355">
      <w:pPr>
        <w:pStyle w:val="BodyText"/>
      </w:pPr>
      <w:hyperlink w:anchor="_B1.1__Sub-national" w:history="1">
        <w:r w:rsidR="00BA5355" w:rsidRPr="00E3756C">
          <w:rPr>
            <w:rStyle w:val="Hyperlink"/>
          </w:rPr>
          <w:t>Chapter B1.1</w:t>
        </w:r>
      </w:hyperlink>
      <w:r w:rsidR="00BA5355" w:rsidRPr="00E3756C">
        <w:t xml:space="preserve"> describes the regions. Risks deemed to be high or extreme at these regional scales are considered to be national risks. Similarly, where a risk rates as moderate or high in multiple regions, it is also considered a national risk. </w:t>
      </w:r>
    </w:p>
    <w:p w14:paraId="79434360" w14:textId="77777777" w:rsidR="00BA5355" w:rsidRPr="00E3756C" w:rsidRDefault="00BA5355" w:rsidP="00BA5355">
      <w:pPr>
        <w:pStyle w:val="BodyText"/>
      </w:pPr>
      <w:r w:rsidRPr="00E3756C">
        <w:t xml:space="preserve">The methodology for this assessment is explained in detail in </w:t>
      </w:r>
      <w:hyperlink w:anchor="_Chapter_A2:_Framework" w:history="1">
        <w:r w:rsidRPr="00E3756C">
          <w:rPr>
            <w:rStyle w:val="Hyperlink"/>
          </w:rPr>
          <w:t>chapter A2</w:t>
        </w:r>
      </w:hyperlink>
      <w:r w:rsidRPr="00E3756C">
        <w:t xml:space="preserve"> and Part B. Information about using the framework at different scales is presented</w:t>
      </w:r>
      <w:r w:rsidR="0065502F">
        <w:t> </w:t>
      </w:r>
      <w:r w:rsidRPr="00E3756C">
        <w:t xml:space="preserve">in </w:t>
      </w:r>
      <w:hyperlink w:anchor="_Chapter_C5:_Using" w:history="1">
        <w:r w:rsidRPr="00E3756C">
          <w:rPr>
            <w:rStyle w:val="Hyperlink"/>
          </w:rPr>
          <w:t>chapter C5</w:t>
        </w:r>
      </w:hyperlink>
      <w:r w:rsidRPr="00E3756C">
        <w:t>.</w:t>
      </w:r>
    </w:p>
    <w:p w14:paraId="247CA33A" w14:textId="77777777" w:rsidR="00BA5355" w:rsidRPr="00E3756C" w:rsidRDefault="00BA5355" w:rsidP="00BA5355">
      <w:pPr>
        <w:pStyle w:val="BodyText"/>
      </w:pPr>
    </w:p>
    <w:p w14:paraId="5C8EAA88" w14:textId="77777777" w:rsidR="00BA5355" w:rsidRPr="00E3756C" w:rsidRDefault="00BA5355">
      <w:pPr>
        <w:pStyle w:val="Heading1"/>
      </w:pPr>
      <w:bookmarkStart w:id="74" w:name="_Chapter_A4:_Risk"/>
      <w:bookmarkStart w:id="75" w:name="_Toc13570355"/>
      <w:bookmarkStart w:id="76" w:name="_Toc14361539"/>
      <w:bookmarkStart w:id="77" w:name="_Toc14769383"/>
      <w:bookmarkStart w:id="78" w:name="_Toc15409151"/>
      <w:bookmarkEnd w:id="74"/>
      <w:r w:rsidRPr="00E3756C">
        <w:lastRenderedPageBreak/>
        <w:t>Chapter A4: Risk assessment engagement</w:t>
      </w:r>
      <w:bookmarkEnd w:id="75"/>
      <w:bookmarkEnd w:id="76"/>
      <w:bookmarkEnd w:id="77"/>
      <w:bookmarkEnd w:id="78"/>
    </w:p>
    <w:p w14:paraId="683101AA" w14:textId="77777777" w:rsidR="00BA5355" w:rsidRPr="00E3756C" w:rsidRDefault="00BA5355" w:rsidP="00BA5355">
      <w:pPr>
        <w:pStyle w:val="Heading2"/>
        <w:spacing w:before="240"/>
      </w:pPr>
      <w:bookmarkStart w:id="79" w:name="_Toc14361540"/>
      <w:bookmarkStart w:id="80" w:name="_Toc14769384"/>
      <w:bookmarkStart w:id="81" w:name="_Toc15409152"/>
      <w:r w:rsidRPr="00E3756C">
        <w:t xml:space="preserve">A4.1 </w:t>
      </w:r>
      <w:r w:rsidRPr="00E3756C">
        <w:tab/>
        <w:t>General considerations</w:t>
      </w:r>
      <w:bookmarkEnd w:id="79"/>
      <w:bookmarkEnd w:id="80"/>
      <w:bookmarkEnd w:id="81"/>
    </w:p>
    <w:p w14:paraId="3B19C3EE" w14:textId="77777777" w:rsidR="00BA5355" w:rsidRPr="00E3756C" w:rsidRDefault="00BA5355" w:rsidP="00BA5355">
      <w:pPr>
        <w:pStyle w:val="BodyText"/>
      </w:pPr>
      <w:r w:rsidRPr="00E3756C">
        <w:t xml:space="preserve">Engagement is an important element in this climate change risk assessment framework. It should take place at each stage of the risk management process with pan-iwi organisations and both internal and external stakeholders. The engagement activities and prompts for each stage, for both the development of an engagement strategy to undertake the NCCRA and for implementing it, are outlined in </w:t>
      </w:r>
      <w:hyperlink w:anchor="_Chapter_C1:_Developing" w:history="1">
        <w:r w:rsidRPr="00E3756C">
          <w:rPr>
            <w:rStyle w:val="Hyperlink"/>
          </w:rPr>
          <w:t>chapter C1</w:t>
        </w:r>
      </w:hyperlink>
      <w:r w:rsidRPr="00E3756C">
        <w:t>, with reminders at the end of each assessment stage chapter (chapters B2, B3 and B4).</w:t>
      </w:r>
    </w:p>
    <w:p w14:paraId="667E4DE3" w14:textId="77777777" w:rsidR="00BA5355" w:rsidRPr="00E3756C" w:rsidRDefault="00BA5355" w:rsidP="00BA5355">
      <w:pPr>
        <w:pStyle w:val="BodyText"/>
      </w:pPr>
      <w:r w:rsidRPr="00E3756C">
        <w:t>In this framework, the word ‘stakeholder’ defines individuals, groups of individuals, organisations or a political entity with a specific stake in the outcome of a decision to the impact of a policy, project or proposition. The word ‘community’ may also be used, which defines individuals and groups of people, stakeholders, interest groups and citizen groups. A</w:t>
      </w:r>
      <w:r w:rsidR="0065502F">
        <w:t> </w:t>
      </w:r>
      <w:r w:rsidRPr="00E3756C">
        <w:t>community may be a geographical location (community of place), a community of similar interest (community of practice) or a community of affiliation or identity (such as industry). ‘Partner’ refers to specific engagement with Māori, iwi and hapū, reflecting the partnership principles of Te Tiriti o Waitangi.</w:t>
      </w:r>
    </w:p>
    <w:p w14:paraId="167EE1CC" w14:textId="77777777" w:rsidR="00BA5355" w:rsidRPr="00E3756C" w:rsidRDefault="00BA5355" w:rsidP="00BA5355">
      <w:pPr>
        <w:pStyle w:val="BodyText"/>
      </w:pPr>
      <w:r w:rsidRPr="00E3756C">
        <w:t>For this risk assessment, engagement is required to contribute to each stage of the assessment process. Many methods and forms of engagement may be needed at different stages of the process, and a spectrum of engagement activities may be required (ie, informing, consultation, involving, collaborating, as shown in figure A4-1). This risk assessment will not require or enable ‘empowerment’, because no adaptation decisions are made within the risk assessment that actively enable empowerment.</w:t>
      </w:r>
    </w:p>
    <w:p w14:paraId="1CA90AE8" w14:textId="77777777" w:rsidR="00BA5355" w:rsidRPr="00E3756C" w:rsidRDefault="00BA5355" w:rsidP="00BA5355">
      <w:pPr>
        <w:pStyle w:val="Figureheading"/>
      </w:pPr>
      <w:bookmarkStart w:id="82" w:name="_Toc16586516"/>
      <w:r w:rsidRPr="00E3756C">
        <w:t xml:space="preserve">Figure A4-1: </w:t>
      </w:r>
      <w:r w:rsidRPr="00E3756C">
        <w:tab/>
        <w:t>Adapted International Association of Public Participation (IAP2) spectrum of participation</w:t>
      </w:r>
      <w:bookmarkEnd w:id="82"/>
      <w:r w:rsidRPr="00E3756C">
        <w:t xml:space="preserve"> </w:t>
      </w:r>
    </w:p>
    <w:p w14:paraId="1C1417D0" w14:textId="77777777" w:rsidR="00BA5355" w:rsidRPr="00E3756C" w:rsidRDefault="0044507E" w:rsidP="00BA5355">
      <w:pPr>
        <w:pStyle w:val="BodyText"/>
        <w:spacing w:after="0"/>
      </w:pPr>
      <w:r>
        <w:rPr>
          <w:noProof/>
        </w:rPr>
        <w:drawing>
          <wp:inline distT="0" distB="0" distL="0" distR="0" wp14:anchorId="3E2D5A15" wp14:editId="6CE59BBC">
            <wp:extent cx="5057775" cy="33013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4-1.png"/>
                    <pic:cNvPicPr/>
                  </pic:nvPicPr>
                  <pic:blipFill>
                    <a:blip r:embed="rId25">
                      <a:extLst>
                        <a:ext uri="{28A0092B-C50C-407E-A947-70E740481C1C}">
                          <a14:useLocalDpi xmlns:a14="http://schemas.microsoft.com/office/drawing/2010/main" val="0"/>
                        </a:ext>
                      </a:extLst>
                    </a:blip>
                    <a:stretch>
                      <a:fillRect/>
                    </a:stretch>
                  </pic:blipFill>
                  <pic:spPr>
                    <a:xfrm>
                      <a:off x="0" y="0"/>
                      <a:ext cx="5067839" cy="3307917"/>
                    </a:xfrm>
                    <a:prstGeom prst="rect">
                      <a:avLst/>
                    </a:prstGeom>
                  </pic:spPr>
                </pic:pic>
              </a:graphicData>
            </a:graphic>
          </wp:inline>
        </w:drawing>
      </w:r>
    </w:p>
    <w:p w14:paraId="49E23C83" w14:textId="77777777" w:rsidR="00BA5355" w:rsidRPr="00E3756C" w:rsidRDefault="00BA5355" w:rsidP="00BA5355">
      <w:pPr>
        <w:pStyle w:val="Source"/>
        <w:spacing w:before="60"/>
      </w:pPr>
      <w:r w:rsidRPr="00E3756C">
        <w:t>Source: International Association of Public Participation www.iap2.org</w:t>
      </w:r>
    </w:p>
    <w:p w14:paraId="07383F0A" w14:textId="77777777" w:rsidR="001D22A7" w:rsidRDefault="00BA5355" w:rsidP="00BA5355">
      <w:pPr>
        <w:pStyle w:val="BodyText"/>
      </w:pPr>
      <w:r w:rsidRPr="00E3756C">
        <w:lastRenderedPageBreak/>
        <w:t xml:space="preserve">Engagement is a planned process with the purpose of working across organisations, partners, stakeholders and communities to shape decisions or actions in relation to a problem, opportunity or outcome. Not all those with a vested interested may want to be actively involved in the risk assessment process; some may prefer regular updates while others may need to be fully involved. </w:t>
      </w:r>
    </w:p>
    <w:p w14:paraId="13D7271F" w14:textId="77777777" w:rsidR="00BA5355" w:rsidRPr="00E3756C" w:rsidRDefault="00BA5355" w:rsidP="00BA5355">
      <w:pPr>
        <w:pStyle w:val="BodyText"/>
      </w:pPr>
      <w:r w:rsidRPr="00E3756C">
        <w:t>Several sources of guidance are available on engagement principles, process and design, including in the Coastal Hazards and Climate Change Guidance (Ministry for</w:t>
      </w:r>
      <w:r w:rsidR="0042260F">
        <w:t> </w:t>
      </w:r>
      <w:r w:rsidRPr="00E3756C">
        <w:t>the Environment, 2017); the International Association of Public Participation (IAP2); Standards Australia/New Zealand (2010) and the Commonwealth Scientific and Industrial Research Organisation (Gardner et al, 2009).</w:t>
      </w:r>
    </w:p>
    <w:p w14:paraId="4004847D" w14:textId="77777777" w:rsidR="00BA5355" w:rsidRPr="00E3756C" w:rsidRDefault="00BA5355" w:rsidP="00BA5355">
      <w:pPr>
        <w:pStyle w:val="Heading2"/>
      </w:pPr>
      <w:bookmarkStart w:id="83" w:name="_Toc14361541"/>
      <w:bookmarkStart w:id="84" w:name="_Toc15409153"/>
      <w:r w:rsidRPr="00E3756C">
        <w:t xml:space="preserve">A4.2 </w:t>
      </w:r>
      <w:r w:rsidRPr="00E3756C">
        <w:tab/>
        <w:t>Specific considerations for engaging with Māori</w:t>
      </w:r>
      <w:bookmarkEnd w:id="83"/>
      <w:bookmarkEnd w:id="84"/>
    </w:p>
    <w:p w14:paraId="085B7A0B" w14:textId="77777777" w:rsidR="00BA5355" w:rsidRPr="00E3756C" w:rsidRDefault="00BA5355" w:rsidP="00BA5355">
      <w:pPr>
        <w:pStyle w:val="BodyText"/>
      </w:pPr>
      <w:r w:rsidRPr="00E3756C">
        <w:t>When planning for engagement with Māori, iwi and hapū, we need to factor in the capacity</w:t>
      </w:r>
      <w:r w:rsidR="0042260F">
        <w:t> </w:t>
      </w:r>
      <w:r w:rsidRPr="00E3756C">
        <w:t>and</w:t>
      </w:r>
      <w:r w:rsidR="0042260F">
        <w:t> </w:t>
      </w:r>
      <w:r w:rsidRPr="00E3756C">
        <w:t>capability of those we engage with, including their skills, knowledge, competing priorities, resources and the time they need to effectively respond to our participation request (Waikato Regional C</w:t>
      </w:r>
      <w:r w:rsidRPr="00E3756C">
        <w:rPr>
          <w:rStyle w:val="FootnoteTextChar"/>
          <w:sz w:val="22"/>
        </w:rPr>
        <w:t>o</w:t>
      </w:r>
      <w:r w:rsidRPr="00E3756C">
        <w:t>uncil, 2017).</w:t>
      </w:r>
      <w:r w:rsidRPr="00E3756C">
        <w:rPr>
          <w:color w:val="2E74B5"/>
        </w:rPr>
        <w:t xml:space="preserve"> </w:t>
      </w:r>
      <w:r w:rsidRPr="00E3756C">
        <w:t>When undertaking the NCCRA, established best practice on</w:t>
      </w:r>
      <w:r w:rsidR="0042260F">
        <w:t> </w:t>
      </w:r>
      <w:r w:rsidRPr="00E3756C">
        <w:t xml:space="preserve">engagement with Māori should be used (eg, </w:t>
      </w:r>
      <w:r w:rsidRPr="00E3756C">
        <w:rPr>
          <w:rFonts w:cs="Calibri"/>
        </w:rPr>
        <w:t>Office for</w:t>
      </w:r>
      <w:r w:rsidRPr="00E3756C">
        <w:t xml:space="preserve"> Māori Crown Relations (2018) </w:t>
      </w:r>
      <w:r w:rsidRPr="00E3756C">
        <w:rPr>
          <w:i/>
        </w:rPr>
        <w:t>Guidelines for engagement with Māori</w:t>
      </w:r>
      <w:r w:rsidRPr="00E3756C">
        <w:t>), and a person with knowledge and experience of Māori</w:t>
      </w:r>
      <w:r w:rsidR="0042260F">
        <w:t> </w:t>
      </w:r>
      <w:r w:rsidRPr="00E3756C">
        <w:t>engagement principles and tikanga should be involved in the process.</w:t>
      </w:r>
    </w:p>
    <w:p w14:paraId="3865A82D" w14:textId="77777777" w:rsidR="00BA5355" w:rsidRPr="00E3756C" w:rsidRDefault="00BA5355" w:rsidP="00BA5355">
      <w:pPr>
        <w:pStyle w:val="BodyText"/>
      </w:pPr>
      <w:r w:rsidRPr="00E3756C">
        <w:t>Effective engagement with Māori is essential for producing better quality outcomes and realising Māori–Crown partnerships. It will let you gather on-the-ground information, views and</w:t>
      </w:r>
      <w:r w:rsidR="0042260F">
        <w:t> </w:t>
      </w:r>
      <w:r w:rsidRPr="00E3756C">
        <w:t xml:space="preserve">reactions, and it strengthens the legitimacy of outcomes. Engaging effectively with Māori contributes to the development of effective policy options, helps agencies provide robust advice to </w:t>
      </w:r>
      <w:r w:rsidR="001D22A7">
        <w:t>m</w:t>
      </w:r>
      <w:r w:rsidRPr="00E3756C">
        <w:t xml:space="preserve">inisters and </w:t>
      </w:r>
      <w:r w:rsidR="001D22A7">
        <w:t xml:space="preserve">to </w:t>
      </w:r>
      <w:r w:rsidRPr="00E3756C">
        <w:t>deliver improved outcomes. The process of genuine engagement with</w:t>
      </w:r>
      <w:r w:rsidR="0042260F">
        <w:t> </w:t>
      </w:r>
      <w:r w:rsidRPr="00E3756C">
        <w:t>Māori by the Government is (</w:t>
      </w:r>
      <w:r w:rsidRPr="00E3756C">
        <w:rPr>
          <w:rFonts w:cs="Calibri"/>
        </w:rPr>
        <w:t>Office for</w:t>
      </w:r>
      <w:r w:rsidRPr="00E3756C">
        <w:rPr>
          <w:highlight w:val="white"/>
        </w:rPr>
        <w:t xml:space="preserve"> Māori Crown Relations</w:t>
      </w:r>
      <w:r w:rsidRPr="00E3756C">
        <w:t>, 2018):</w:t>
      </w:r>
    </w:p>
    <w:p w14:paraId="2EF19852" w14:textId="77777777" w:rsidR="00BA5355" w:rsidRPr="00E3756C" w:rsidRDefault="00BA5355" w:rsidP="00BA5355">
      <w:pPr>
        <w:pStyle w:val="Bullet"/>
        <w:spacing w:line="280" w:lineRule="exact"/>
        <w:rPr>
          <w:color w:val="000000"/>
        </w:rPr>
      </w:pPr>
      <w:r w:rsidRPr="00E3756C">
        <w:t>an acknowledgement of their rangatiratanga and status as Te Tiriti o Waitangi partners</w:t>
      </w:r>
    </w:p>
    <w:p w14:paraId="056D50B1" w14:textId="77777777" w:rsidR="00BA5355" w:rsidRPr="00E3756C" w:rsidRDefault="00BA5355" w:rsidP="00BA5355">
      <w:pPr>
        <w:pStyle w:val="Bullet"/>
        <w:spacing w:line="280" w:lineRule="exact"/>
        <w:rPr>
          <w:color w:val="000000"/>
        </w:rPr>
      </w:pPr>
      <w:r w:rsidRPr="00E3756C">
        <w:t>an acknowledgement that Mātauranga Māori makes an important contribution to solving policy and practical problems</w:t>
      </w:r>
    </w:p>
    <w:p w14:paraId="4DBD540B" w14:textId="77777777" w:rsidR="00BA5355" w:rsidRPr="00E3756C" w:rsidRDefault="00BA5355" w:rsidP="00BA5355">
      <w:pPr>
        <w:pStyle w:val="Bullet"/>
        <w:spacing w:line="280" w:lineRule="exact"/>
        <w:rPr>
          <w:color w:val="000000"/>
        </w:rPr>
      </w:pPr>
      <w:r w:rsidRPr="00E3756C">
        <w:t>an acknowledgement that Māori have the resources and capability to contribute</w:t>
      </w:r>
    </w:p>
    <w:p w14:paraId="734DF73F" w14:textId="77777777" w:rsidR="00BA5355" w:rsidRPr="00E3756C" w:rsidRDefault="00BA5355" w:rsidP="00BA5355">
      <w:pPr>
        <w:pStyle w:val="Bullet"/>
        <w:spacing w:line="280" w:lineRule="exact"/>
        <w:rPr>
          <w:color w:val="000000"/>
        </w:rPr>
      </w:pPr>
      <w:r w:rsidRPr="00E3756C">
        <w:t xml:space="preserve">an acknowledgement that some issues affect Māori disproportionately and Māori are therefore better placed to develop solutions. </w:t>
      </w:r>
    </w:p>
    <w:p w14:paraId="11131025" w14:textId="77777777" w:rsidR="00BA5355" w:rsidRPr="00E3756C" w:rsidRDefault="00BA5355" w:rsidP="00BA5355">
      <w:pPr>
        <w:pStyle w:val="BodyText"/>
      </w:pPr>
      <w:r w:rsidRPr="00E3756C">
        <w:t>Engagement is fundamentally about building effective relationships; this is particularly important with Māori. Wherever possible, pick up the phone or make kanohi ki te kanohi (face</w:t>
      </w:r>
      <w:r w:rsidR="0042260F">
        <w:noBreakHyphen/>
      </w:r>
      <w:r w:rsidRPr="00E3756C">
        <w:t>to-face) contact, rather than sending emails.</w:t>
      </w:r>
    </w:p>
    <w:p w14:paraId="235F106B" w14:textId="77777777" w:rsidR="00BA5355" w:rsidRPr="00E3756C" w:rsidRDefault="00BA5355" w:rsidP="00BA5355">
      <w:pPr>
        <w:pStyle w:val="BodyText"/>
      </w:pPr>
      <w:r w:rsidRPr="00E3756C">
        <w:t xml:space="preserve">Māori, iwi and hapū organisations often have limited capacity for engagement and other competing priorities. Māori groups are under pressure to respond and react to requests from multiple agencies. Māori, iwi and hapū representatives may not be paid for their time, often have limited resources, and much of their workforce is voluntary or part-time. Māori organisations and representatives must be involved in the planning of engagement, so an achievable and appropriate process is designed that suits both parties. Considerations include: </w:t>
      </w:r>
    </w:p>
    <w:p w14:paraId="11059C76" w14:textId="77777777" w:rsidR="00BA5355" w:rsidRPr="00E3756C" w:rsidRDefault="00BA5355" w:rsidP="00BA5355">
      <w:pPr>
        <w:pStyle w:val="Bullet"/>
        <w:spacing w:line="280" w:lineRule="exact"/>
        <w:rPr>
          <w:color w:val="000000"/>
        </w:rPr>
      </w:pPr>
      <w:r w:rsidRPr="00E3756C">
        <w:t xml:space="preserve">checking if iwi, hapū or Māori organisations have organisational environmental or climate change management plans. If so, check the requirements within them before any engagement, because they may contain a preferred method for engagement, associated </w:t>
      </w:r>
      <w:r w:rsidRPr="00E3756C">
        <w:lastRenderedPageBreak/>
        <w:t>costs, and identified issues and priorities around climate change. These plans can inform the development of the engagement strategy</w:t>
      </w:r>
    </w:p>
    <w:p w14:paraId="1F500833" w14:textId="77777777" w:rsidR="00BA5355" w:rsidRPr="00E3756C" w:rsidRDefault="00BA5355" w:rsidP="00BA5355">
      <w:pPr>
        <w:pStyle w:val="Bullet"/>
        <w:spacing w:line="280" w:lineRule="exact"/>
        <w:rPr>
          <w:color w:val="000000"/>
        </w:rPr>
      </w:pPr>
      <w:r w:rsidRPr="00E3756C">
        <w:t>checking on the location of engagement activities and what Māori would prefer (eg,</w:t>
      </w:r>
      <w:r w:rsidR="0042260F">
        <w:t> </w:t>
      </w:r>
      <w:r w:rsidRPr="00E3756C">
        <w:t>at</w:t>
      </w:r>
      <w:r w:rsidR="0042260F">
        <w:t> </w:t>
      </w:r>
      <w:r w:rsidRPr="00E3756C">
        <w:t>a</w:t>
      </w:r>
      <w:r w:rsidR="0042260F">
        <w:t> </w:t>
      </w:r>
      <w:r w:rsidRPr="00E3756C">
        <w:t>marae, and who will book this, eg, the consultant or the Māori, iwi or hapū representative). Make sure you are aware of any particular protocols for that marae</w:t>
      </w:r>
    </w:p>
    <w:p w14:paraId="5C57623E" w14:textId="77777777" w:rsidR="00BA5355" w:rsidRPr="00E3756C" w:rsidRDefault="00BA5355" w:rsidP="00BA5355">
      <w:pPr>
        <w:pStyle w:val="Bullet"/>
        <w:spacing w:line="280" w:lineRule="exact"/>
        <w:rPr>
          <w:color w:val="000000"/>
        </w:rPr>
      </w:pPr>
      <w:r w:rsidRPr="00E3756C">
        <w:t>ensuring costs for the hui, Māori, iwi or hapū time, and any cultural support, have been included in the budget</w:t>
      </w:r>
    </w:p>
    <w:p w14:paraId="1F60DCEF" w14:textId="77777777" w:rsidR="001A7C11" w:rsidRPr="001A7C11" w:rsidRDefault="00BA5355" w:rsidP="00BA5355">
      <w:pPr>
        <w:pStyle w:val="Bullet"/>
        <w:spacing w:line="280" w:lineRule="exact"/>
        <w:rPr>
          <w:color w:val="000000"/>
        </w:rPr>
      </w:pPr>
      <w:r w:rsidRPr="00E3756C">
        <w:t>ensuring the timeframes for engagement are suitable to both parties</w:t>
      </w:r>
    </w:p>
    <w:p w14:paraId="620892B1" w14:textId="77777777" w:rsidR="00BA5355" w:rsidRPr="00E3756C" w:rsidRDefault="001A7C11" w:rsidP="001A7C11">
      <w:pPr>
        <w:pStyle w:val="Bullet"/>
        <w:spacing w:line="280" w:lineRule="exact"/>
        <w:rPr>
          <w:color w:val="000000"/>
        </w:rPr>
      </w:pPr>
      <w:r>
        <w:rPr>
          <w:rFonts w:asciiTheme="minorHAnsi" w:hAnsiTheme="minorHAnsi" w:cstheme="minorBidi"/>
          <w:szCs w:val="22"/>
          <w:lang w:eastAsia="en-US"/>
        </w:rPr>
        <w:t>before</w:t>
      </w:r>
      <w:r w:rsidRPr="00386E9F">
        <w:rPr>
          <w:rFonts w:asciiTheme="minorHAnsi" w:hAnsiTheme="minorHAnsi" w:cstheme="minorBidi"/>
          <w:szCs w:val="22"/>
          <w:lang w:eastAsia="en-US"/>
        </w:rPr>
        <w:t xml:space="preserve"> the collection of any mātauranga Māori for this risk assessment, the level of sensitivity, protection, dissemination, use and ‘ownership’  will be discussed and agreed upon by those offering the mātauranga</w:t>
      </w:r>
      <w:r w:rsidR="00BA5355" w:rsidRPr="00E3756C">
        <w:t>.</w:t>
      </w:r>
    </w:p>
    <w:p w14:paraId="7DF07048" w14:textId="77777777" w:rsidR="00BA5355" w:rsidRPr="00E3756C" w:rsidRDefault="00BA5355" w:rsidP="00BA5355">
      <w:pPr>
        <w:pStyle w:val="BodyText"/>
      </w:pPr>
      <w:r w:rsidRPr="00E3756C">
        <w:t>When engaging with Māori at a national level, we recommend the risk assessor considers, as an initial step, a process to engage with Māori who represent interests in the various domains and themes (eg, built environment, human (social, cultural and governance), natural environment and economy). These types of national scale and pan-Māori collectives could include: the Iwi Chairs Forum (Pou Taiao Committee); New Zealand Māori Council; New Zealand Māori Women’s Welfare League; Office of the Māori Climate Commission;</w:t>
      </w:r>
      <w:r w:rsidRPr="00E3756C">
        <w:rPr>
          <w:sz w:val="16"/>
          <w:szCs w:val="16"/>
        </w:rPr>
        <w:t xml:space="preserve"> </w:t>
      </w:r>
      <w:r w:rsidRPr="00E3756C">
        <w:t>and National Māori Climate Network. Relevant Māori engagement expertise and well-established and connected networks are preferred for successfully engaging with these institutions.</w:t>
      </w:r>
    </w:p>
    <w:p w14:paraId="0C106E26" w14:textId="77777777" w:rsidR="00BA5355" w:rsidRPr="00E3756C" w:rsidRDefault="00BA5355" w:rsidP="00BA5355">
      <w:pPr>
        <w:pStyle w:val="BodyText"/>
      </w:pPr>
      <w:r w:rsidRPr="00E3756C">
        <w:t>Some climate change risks may be specific to certain areas, such as increased drought severity in eastern areas, therefore engagement with tangata whenua (Māori, iwi, hapū mandated organisations and institutions) in the specific area at risk would be recommended. Once again, relevant expertise and well-established and connected networks are preferred for successfully engaging with these institutions. Adequate resourcing of the engagement process should also be considered, for example, paid time and travel for iwi and hapū representatives, koha, and cultural advisors, if required.</w:t>
      </w:r>
    </w:p>
    <w:p w14:paraId="6D5E622C" w14:textId="77777777" w:rsidR="00BA5355" w:rsidRPr="00E3756C" w:rsidRDefault="00BA5355" w:rsidP="00BA5355">
      <w:pPr>
        <w:pStyle w:val="BodyText"/>
      </w:pPr>
      <w:r w:rsidRPr="00E3756C">
        <w:t xml:space="preserve">Guidance for developing and engagement plan is given in </w:t>
      </w:r>
      <w:hyperlink w:anchor="_Chapter_C1:_Developing" w:history="1">
        <w:r w:rsidRPr="00E3756C">
          <w:rPr>
            <w:rStyle w:val="Hyperlink"/>
          </w:rPr>
          <w:t>chapter C1</w:t>
        </w:r>
      </w:hyperlink>
      <w:r w:rsidRPr="00E3756C">
        <w:t>.</w:t>
      </w:r>
    </w:p>
    <w:p w14:paraId="58E91EEE" w14:textId="77777777" w:rsidR="00BA5355" w:rsidRPr="00E3756C" w:rsidRDefault="00BA5355" w:rsidP="00BA5355">
      <w:pPr>
        <w:pStyle w:val="Heading2"/>
      </w:pPr>
      <w:bookmarkStart w:id="85" w:name="_heading=h.3v809jogxspb" w:colFirst="0" w:colLast="0"/>
      <w:bookmarkStart w:id="86" w:name="_Toc14361542"/>
      <w:bookmarkStart w:id="87" w:name="_Toc14769385"/>
      <w:bookmarkStart w:id="88" w:name="_Toc15409154"/>
      <w:bookmarkEnd w:id="85"/>
      <w:r w:rsidRPr="00E3756C">
        <w:t xml:space="preserve">A4.3 </w:t>
      </w:r>
      <w:r w:rsidRPr="00E3756C">
        <w:tab/>
        <w:t>Consideration of Mātauranga Māori in the risk assessment process</w:t>
      </w:r>
      <w:bookmarkEnd w:id="86"/>
      <w:bookmarkEnd w:id="87"/>
      <w:bookmarkEnd w:id="88"/>
    </w:p>
    <w:p w14:paraId="02546E80" w14:textId="77777777" w:rsidR="001D22A7" w:rsidRDefault="00BA5355" w:rsidP="00BA5355">
      <w:pPr>
        <w:pStyle w:val="BodyText"/>
      </w:pPr>
      <w:r w:rsidRPr="00E3756C">
        <w:t>Throughout the risk assessment stages, collaborative processes can be applied for identifying risks with Māori, iwi and hapū to specific taonga and assets across the value domains of this framework. Figure A4-2 shows how modelling, quantitative assessment and Mātauranga Māori can be used to generate land</w:t>
      </w:r>
      <w:r w:rsidR="001D22A7">
        <w:t>-</w:t>
      </w:r>
      <w:r w:rsidRPr="00E3756C">
        <w:t xml:space="preserve">management scenarios and mitigations to meet outcomes and aspirational targets of iwi and hapū for their cultural assets and taonga. </w:t>
      </w:r>
    </w:p>
    <w:p w14:paraId="7C1FD666" w14:textId="6C441B91" w:rsidR="00BA5355" w:rsidRPr="00E3756C" w:rsidRDefault="00BA5355" w:rsidP="00BA5355">
      <w:pPr>
        <w:pStyle w:val="BodyText"/>
      </w:pPr>
      <w:r w:rsidRPr="00E3756C">
        <w:t>In the figure A4-2 model, cultural and science monitoring are being used to observe trends towards or away from aspirational targets. This model was used by Harmsworth et al (2014) in the Manawatū and Kaipara catchments with continuous refinement and modification through ‘proof of concept’ and use of catchment-modelling tools</w:t>
      </w:r>
      <w:r w:rsidR="001D22A7">
        <w:t>. The tools included</w:t>
      </w:r>
      <w:r w:rsidR="000E5918">
        <w:t>,</w:t>
      </w:r>
      <w:r w:rsidR="001D22A7">
        <w:t xml:space="preserve"> for example</w:t>
      </w:r>
      <w:r w:rsidR="000E5918">
        <w:t>,</w:t>
      </w:r>
      <w:r w:rsidR="001D22A7">
        <w:t xml:space="preserve"> </w:t>
      </w:r>
      <w:r w:rsidRPr="00E3756C">
        <w:t xml:space="preserve">spatial analysis, the Catchment Land Use for Environmental Sustainability (CLUES) model (NIWA, </w:t>
      </w:r>
      <w:r w:rsidR="006C3B61" w:rsidRPr="00E3756C">
        <w:t>2019a</w:t>
      </w:r>
      <w:r w:rsidRPr="00E3756C">
        <w:t>) and SedNetNZ (</w:t>
      </w:r>
      <w:r w:rsidRPr="00E3756C">
        <w:rPr>
          <w:rFonts w:cs="Calibri"/>
        </w:rPr>
        <w:t>Dymond and Basher, 2019)</w:t>
      </w:r>
      <w:r w:rsidRPr="00E3756C">
        <w:t xml:space="preserve"> </w:t>
      </w:r>
      <w:r w:rsidR="001D22A7">
        <w:t xml:space="preserve">and were used </w:t>
      </w:r>
      <w:r w:rsidRPr="00E3756C">
        <w:t xml:space="preserve">to develop mitigation scenarios for freshwater contaminants, such as sediment, nitrogen, phosphorus, and pathogens. This approach can help inform risk management decisions to improve risk </w:t>
      </w:r>
      <w:r w:rsidRPr="00E3756C">
        <w:lastRenderedPageBreak/>
        <w:t>management strategies, sustain or protect cultural values and increase iwi and hapū participation in climate change adaptation.</w:t>
      </w:r>
    </w:p>
    <w:p w14:paraId="6C710635" w14:textId="77777777" w:rsidR="00BA5355" w:rsidRPr="00E3756C" w:rsidRDefault="00BA5355" w:rsidP="00BA5355">
      <w:pPr>
        <w:pStyle w:val="Figureheading"/>
      </w:pPr>
      <w:bookmarkStart w:id="89" w:name="_Toc16586517"/>
      <w:r w:rsidRPr="00E3756C">
        <w:t>Figure A4-2. Modelling towards Māori aspirations and outcomes</w:t>
      </w:r>
      <w:bookmarkEnd w:id="89"/>
      <w:r w:rsidRPr="00E3756C">
        <w:t xml:space="preserve"> </w:t>
      </w:r>
    </w:p>
    <w:p w14:paraId="47081976" w14:textId="77777777" w:rsidR="00BA5355" w:rsidRPr="00E3756C" w:rsidRDefault="00BE4C94" w:rsidP="0042260F">
      <w:pPr>
        <w:pStyle w:val="BodyText"/>
        <w:spacing w:before="0"/>
      </w:pPr>
      <w:r>
        <w:rPr>
          <w:noProof/>
        </w:rPr>
        <w:drawing>
          <wp:inline distT="0" distB="0" distL="0" distR="0" wp14:anchorId="3F947FC5" wp14:editId="3EF687CD">
            <wp:extent cx="5436235" cy="4048581"/>
            <wp:effectExtent l="0" t="0" r="0" b="9525"/>
            <wp:docPr id="176" name="image27.jpg" descr="Figure 2"/>
            <wp:cNvGraphicFramePr/>
            <a:graphic xmlns:a="http://schemas.openxmlformats.org/drawingml/2006/main">
              <a:graphicData uri="http://schemas.openxmlformats.org/drawingml/2006/picture">
                <pic:pic xmlns:pic="http://schemas.openxmlformats.org/drawingml/2006/picture">
                  <pic:nvPicPr>
                    <pic:cNvPr id="0" name="image27.jpg" descr="Figure 2"/>
                    <pic:cNvPicPr preferRelativeResize="0"/>
                  </pic:nvPicPr>
                  <pic:blipFill>
                    <a:blip r:embed="rId26"/>
                    <a:srcRect/>
                    <a:stretch>
                      <a:fillRect/>
                    </a:stretch>
                  </pic:blipFill>
                  <pic:spPr>
                    <a:xfrm>
                      <a:off x="0" y="0"/>
                      <a:ext cx="5436235" cy="4048581"/>
                    </a:xfrm>
                    <a:prstGeom prst="rect">
                      <a:avLst/>
                    </a:prstGeom>
                    <a:ln/>
                  </pic:spPr>
                </pic:pic>
              </a:graphicData>
            </a:graphic>
          </wp:inline>
        </w:drawing>
      </w:r>
    </w:p>
    <w:p w14:paraId="1CC5A799" w14:textId="77777777" w:rsidR="00BA5355" w:rsidRPr="00E3756C" w:rsidRDefault="00BA5355" w:rsidP="00B14503">
      <w:pPr>
        <w:pStyle w:val="Source"/>
      </w:pPr>
      <w:r w:rsidRPr="00E3756C">
        <w:t>Source: Harmsworth et al, 2014</w:t>
      </w:r>
    </w:p>
    <w:p w14:paraId="65BB695A" w14:textId="77777777" w:rsidR="00BA5355" w:rsidRPr="00E3756C" w:rsidRDefault="00BA5355" w:rsidP="00BA5355">
      <w:pPr>
        <w:spacing w:before="0" w:after="200" w:line="276" w:lineRule="auto"/>
        <w:jc w:val="left"/>
      </w:pPr>
    </w:p>
    <w:p w14:paraId="61C59A8E" w14:textId="77777777" w:rsidR="00B34692" w:rsidRPr="00E3756C" w:rsidRDefault="00B34692">
      <w:pPr>
        <w:spacing w:before="0" w:after="200" w:line="276" w:lineRule="auto"/>
        <w:jc w:val="left"/>
      </w:pPr>
      <w:r w:rsidRPr="00E3756C">
        <w:br w:type="page"/>
      </w:r>
    </w:p>
    <w:p w14:paraId="74C712E6" w14:textId="77777777" w:rsidR="000F7323" w:rsidRPr="00E3756C" w:rsidRDefault="000F7323" w:rsidP="000F7323">
      <w:pPr>
        <w:pStyle w:val="BodyText"/>
      </w:pPr>
      <w:bookmarkStart w:id="90" w:name="_Toc13570356"/>
      <w:bookmarkStart w:id="91" w:name="_Toc14361543"/>
    </w:p>
    <w:p w14:paraId="142CEF2E" w14:textId="77777777" w:rsidR="000F7323" w:rsidRPr="00E3756C" w:rsidRDefault="000F7323" w:rsidP="000F7323">
      <w:pPr>
        <w:pStyle w:val="BodyText"/>
      </w:pPr>
    </w:p>
    <w:p w14:paraId="1AE0614C" w14:textId="77777777" w:rsidR="000F7323" w:rsidRPr="00E3756C" w:rsidRDefault="000F7323" w:rsidP="000F7323">
      <w:pPr>
        <w:pStyle w:val="BodyText"/>
      </w:pPr>
    </w:p>
    <w:p w14:paraId="2D01732F" w14:textId="77777777" w:rsidR="000F7323" w:rsidRPr="00E3756C" w:rsidRDefault="000F7323" w:rsidP="000F7323">
      <w:pPr>
        <w:pStyle w:val="BodyText"/>
      </w:pPr>
    </w:p>
    <w:p w14:paraId="2BAC8BFF" w14:textId="77777777" w:rsidR="000F7323" w:rsidRPr="00E3756C" w:rsidRDefault="000F7323" w:rsidP="000F7323">
      <w:pPr>
        <w:pStyle w:val="BodyText"/>
      </w:pPr>
    </w:p>
    <w:p w14:paraId="158378C6" w14:textId="77777777" w:rsidR="000F7323" w:rsidRPr="00E3756C" w:rsidRDefault="000F7323" w:rsidP="000F7323">
      <w:pPr>
        <w:pStyle w:val="BodyText"/>
      </w:pPr>
    </w:p>
    <w:p w14:paraId="6FBD142D" w14:textId="77777777" w:rsidR="000F7323" w:rsidRPr="00E3756C" w:rsidRDefault="000F7323" w:rsidP="000F7323">
      <w:pPr>
        <w:pStyle w:val="BodyText"/>
      </w:pPr>
    </w:p>
    <w:p w14:paraId="43BBF0CB" w14:textId="77777777" w:rsidR="00B34692" w:rsidRDefault="00B34692" w:rsidP="00840BCA">
      <w:pPr>
        <w:pStyle w:val="Parttitle"/>
      </w:pPr>
      <w:r w:rsidRPr="00E3756C">
        <w:t>Part B</w:t>
      </w:r>
      <w:r w:rsidR="00037CE7" w:rsidRPr="00E3756C">
        <w:t>:</w:t>
      </w:r>
      <w:r w:rsidRPr="00E3756C">
        <w:t xml:space="preserve"> Technical </w:t>
      </w:r>
      <w:r w:rsidR="00037CE7" w:rsidRPr="00E3756C">
        <w:t>c</w:t>
      </w:r>
      <w:r w:rsidRPr="00E3756C">
        <w:t>hapters</w:t>
      </w:r>
      <w:bookmarkEnd w:id="90"/>
      <w:bookmarkEnd w:id="91"/>
    </w:p>
    <w:p w14:paraId="1C116BB2" w14:textId="77777777" w:rsidR="007D40B4" w:rsidRPr="007D40B4" w:rsidRDefault="007D40B4" w:rsidP="007D40B4">
      <w:pPr>
        <w:pStyle w:val="Heading1"/>
      </w:pPr>
      <w:r w:rsidRPr="007D40B4">
        <w:t>Wāhanga B: Upoko Mātauranga Whāiti</w:t>
      </w:r>
    </w:p>
    <w:p w14:paraId="635D5E3C" w14:textId="77777777" w:rsidR="00037CE7" w:rsidRPr="00E3756C" w:rsidRDefault="00037CE7">
      <w:pPr>
        <w:spacing w:before="0" w:after="200" w:line="276" w:lineRule="auto"/>
        <w:jc w:val="left"/>
        <w:rPr>
          <w:rFonts w:eastAsiaTheme="majorEastAsia" w:cstheme="majorBidi"/>
          <w:b/>
          <w:bCs/>
          <w:color w:val="1C556C"/>
          <w:sz w:val="48"/>
          <w:szCs w:val="28"/>
        </w:rPr>
      </w:pPr>
      <w:bookmarkStart w:id="92" w:name="_Chapter_B1:_Defining"/>
      <w:bookmarkStart w:id="93" w:name="_Toc13570357"/>
      <w:bookmarkStart w:id="94" w:name="_Toc14361544"/>
      <w:bookmarkEnd w:id="92"/>
      <w:r w:rsidRPr="00E3756C">
        <w:br w:type="page"/>
      </w:r>
    </w:p>
    <w:p w14:paraId="0FF50415" w14:textId="77777777" w:rsidR="00B34692" w:rsidRPr="00E3756C" w:rsidRDefault="00B34692" w:rsidP="00B34692">
      <w:pPr>
        <w:pStyle w:val="Heading1"/>
      </w:pPr>
      <w:bookmarkStart w:id="95" w:name="_Chapter_B1:_Defining_1"/>
      <w:bookmarkStart w:id="96" w:name="_Toc15409155"/>
      <w:bookmarkEnd w:id="95"/>
      <w:r w:rsidRPr="00E3756C">
        <w:lastRenderedPageBreak/>
        <w:t>Chapter B1: Defining the changing hazards</w:t>
      </w:r>
      <w:r w:rsidR="0042260F">
        <w:t> </w:t>
      </w:r>
      <w:r w:rsidRPr="00E3756C">
        <w:t>for risk assessment</w:t>
      </w:r>
      <w:bookmarkEnd w:id="93"/>
      <w:bookmarkEnd w:id="94"/>
      <w:bookmarkEnd w:id="96"/>
    </w:p>
    <w:p w14:paraId="45AA5CC4" w14:textId="77777777" w:rsidR="009A2A53" w:rsidRPr="00E3756C" w:rsidRDefault="00FD51E1" w:rsidP="0065502F">
      <w:pPr>
        <w:pStyle w:val="Heading2"/>
        <w:spacing w:before="240"/>
      </w:pPr>
      <w:bookmarkStart w:id="97" w:name="_Toc15409156"/>
      <w:r w:rsidRPr="00E3756C">
        <w:t>B1.1</w:t>
      </w:r>
      <w:r w:rsidRPr="00E3756C">
        <w:tab/>
      </w:r>
      <w:r w:rsidR="00AE0A66" w:rsidRPr="00E3756C">
        <w:t>Defining hazards</w:t>
      </w:r>
      <w:bookmarkEnd w:id="97"/>
    </w:p>
    <w:p w14:paraId="33B59B74" w14:textId="77777777" w:rsidR="00B34692" w:rsidRPr="00E3756C" w:rsidRDefault="00B34692" w:rsidP="00B34692">
      <w:pPr>
        <w:pStyle w:val="BodyText"/>
      </w:pPr>
      <w:r w:rsidRPr="00E3756C">
        <w:t>Chapter A3 described the conceptual basis for defining values</w:t>
      </w:r>
      <w:r w:rsidR="00B0797D" w:rsidRPr="00E3756C">
        <w:t xml:space="preserve">, </w:t>
      </w:r>
      <w:r w:rsidRPr="00E3756C">
        <w:t>assets</w:t>
      </w:r>
      <w:r w:rsidR="00B0797D" w:rsidRPr="00E3756C">
        <w:t xml:space="preserve"> and </w:t>
      </w:r>
      <w:r w:rsidRPr="00E3756C">
        <w:t>systems that may be</w:t>
      </w:r>
      <w:r w:rsidR="0065502F">
        <w:t> </w:t>
      </w:r>
      <w:r w:rsidRPr="00E3756C">
        <w:t>at risk from exposure to climate-related hazards and the selection of climate</w:t>
      </w:r>
      <w:r w:rsidR="00B0797D" w:rsidRPr="00E3756C">
        <w:t xml:space="preserve"> </w:t>
      </w:r>
      <w:r w:rsidRPr="00E3756C">
        <w:t xml:space="preserve">change projections and timeframes to consider. </w:t>
      </w:r>
    </w:p>
    <w:p w14:paraId="59197938" w14:textId="77777777" w:rsidR="00B34692" w:rsidRPr="00E3756C" w:rsidRDefault="00B34692" w:rsidP="00B34692">
      <w:pPr>
        <w:pStyle w:val="BodyText"/>
      </w:pPr>
      <w:r w:rsidRPr="00E3756C">
        <w:t>This chapter defines sub-national climate zones</w:t>
      </w:r>
      <w:r w:rsidR="00403470" w:rsidRPr="00E3756C">
        <w:t>.</w:t>
      </w:r>
      <w:r w:rsidRPr="00E3756C">
        <w:t xml:space="preserve"> </w:t>
      </w:r>
      <w:r w:rsidR="00403470" w:rsidRPr="00E3756C">
        <w:t xml:space="preserve">It </w:t>
      </w:r>
      <w:r w:rsidRPr="00E3756C">
        <w:t xml:space="preserve">outlines the process </w:t>
      </w:r>
      <w:r w:rsidR="00561138" w:rsidRPr="00E3756C">
        <w:t xml:space="preserve">for </w:t>
      </w:r>
      <w:r w:rsidRPr="00E3756C">
        <w:t>developing descriptors</w:t>
      </w:r>
      <w:r w:rsidR="00484C8A" w:rsidRPr="00E3756C">
        <w:t xml:space="preserve"> </w:t>
      </w:r>
      <w:r w:rsidRPr="00E3756C">
        <w:t>to represent the climate-related hazards for different emission scenarios and timeframes</w:t>
      </w:r>
      <w:r w:rsidRPr="00E3756C">
        <w:rPr>
          <w:b/>
        </w:rPr>
        <w:t xml:space="preserve"> </w:t>
      </w:r>
      <w:r w:rsidRPr="00E3756C">
        <w:t xml:space="preserve">as input to the climate change risk assessment stages. The </w:t>
      </w:r>
      <w:r w:rsidR="00561138" w:rsidRPr="00E3756C">
        <w:t>‘</w:t>
      </w:r>
      <w:r w:rsidRPr="00E3756C">
        <w:t>hazard component</w:t>
      </w:r>
      <w:r w:rsidR="00561138" w:rsidRPr="00E3756C">
        <w:t>’</w:t>
      </w:r>
      <w:r w:rsidRPr="00E3756C">
        <w:t xml:space="preserve"> of risk (left-hand part of </w:t>
      </w:r>
      <w:hyperlink w:anchor="figureA21" w:history="1">
        <w:r w:rsidR="00561138" w:rsidRPr="00E3756C">
          <w:rPr>
            <w:rStyle w:val="Hyperlink"/>
          </w:rPr>
          <w:t>f</w:t>
        </w:r>
        <w:r w:rsidRPr="00E3756C">
          <w:rPr>
            <w:rStyle w:val="Hyperlink"/>
          </w:rPr>
          <w:t>igure A2-1</w:t>
        </w:r>
      </w:hyperlink>
      <w:r w:rsidRPr="00E3756C">
        <w:t xml:space="preserve"> in </w:t>
      </w:r>
      <w:r w:rsidR="00561138" w:rsidRPr="00E3756C">
        <w:t>c</w:t>
      </w:r>
      <w:r w:rsidRPr="00E3756C">
        <w:t>hapter A2) can be related to either:</w:t>
      </w:r>
      <w:r w:rsidR="00484C8A" w:rsidRPr="00E3756C">
        <w:t xml:space="preserve"> </w:t>
      </w:r>
    </w:p>
    <w:p w14:paraId="414C4F82" w14:textId="77777777" w:rsidR="00B34692" w:rsidRPr="00E3756C" w:rsidRDefault="00B34692" w:rsidP="00B34692">
      <w:pPr>
        <w:pStyle w:val="Bullet"/>
      </w:pPr>
      <w:r w:rsidRPr="00E3756C">
        <w:t>a worsening of natural</w:t>
      </w:r>
      <w:r w:rsidR="00561138" w:rsidRPr="00E3756C">
        <w:t xml:space="preserve"> </w:t>
      </w:r>
      <w:r w:rsidRPr="00E3756C">
        <w:t xml:space="preserve">hazard events (magnitude, persistence and changing frequency with time), conventionally seen as a </w:t>
      </w:r>
      <w:r w:rsidR="00EF374E" w:rsidRPr="00E3756C">
        <w:t>‘</w:t>
      </w:r>
      <w:r w:rsidRPr="00631578">
        <w:t>hazard</w:t>
      </w:r>
      <w:r w:rsidR="00EF374E" w:rsidRPr="00E3756C">
        <w:t>’</w:t>
      </w:r>
      <w:r w:rsidRPr="00E3756C">
        <w:t xml:space="preserve"> (eg, more intense short-duration rainfall)</w:t>
      </w:r>
      <w:r w:rsidR="007F7ABF">
        <w:t xml:space="preserve"> </w:t>
      </w:r>
    </w:p>
    <w:p w14:paraId="2792F2DD" w14:textId="77777777" w:rsidR="00B34692" w:rsidRPr="00E3756C" w:rsidRDefault="00B34692" w:rsidP="00B34692">
      <w:pPr>
        <w:pStyle w:val="Bullet"/>
      </w:pPr>
      <w:r w:rsidRPr="00E3756C">
        <w:t>a gradual</w:t>
      </w:r>
      <w:r w:rsidR="00561138" w:rsidRPr="00E3756C">
        <w:t xml:space="preserve"> </w:t>
      </w:r>
      <w:r w:rsidRPr="00E3756C">
        <w:t xml:space="preserve">onset </w:t>
      </w:r>
      <w:r w:rsidR="00EF374E" w:rsidRPr="00E3756C">
        <w:t>‘</w:t>
      </w:r>
      <w:r w:rsidRPr="00631578">
        <w:t>stressor</w:t>
      </w:r>
      <w:r w:rsidR="00EF374E" w:rsidRPr="00E3756C">
        <w:t>’</w:t>
      </w:r>
      <w:r w:rsidRPr="00E3756C">
        <w:rPr>
          <w:b/>
        </w:rPr>
        <w:t xml:space="preserve"> </w:t>
      </w:r>
      <w:r w:rsidRPr="00E3756C">
        <w:t>or</w:t>
      </w:r>
      <w:r w:rsidRPr="00E3756C">
        <w:rPr>
          <w:b/>
        </w:rPr>
        <w:t xml:space="preserve"> </w:t>
      </w:r>
      <w:r w:rsidR="00EF374E" w:rsidRPr="00E3756C">
        <w:rPr>
          <w:b/>
        </w:rPr>
        <w:t>‘</w:t>
      </w:r>
      <w:r w:rsidRPr="00631578">
        <w:t>trend</w:t>
      </w:r>
      <w:r w:rsidR="00EF374E" w:rsidRPr="00E3756C">
        <w:t>’</w:t>
      </w:r>
      <w:r w:rsidRPr="00E3756C">
        <w:t xml:space="preserve"> (eg</w:t>
      </w:r>
      <w:r w:rsidR="00561138" w:rsidRPr="00E3756C">
        <w:t>,</w:t>
      </w:r>
      <w:r w:rsidRPr="00E3756C">
        <w:t xml:space="preserve"> change in seasonal rainfall patterns or receding snowlines, decreasing ocean pH or international climate-related influences).</w:t>
      </w:r>
    </w:p>
    <w:p w14:paraId="4B7BCA72" w14:textId="01ADDD59" w:rsidR="00B34692" w:rsidRPr="00E3756C" w:rsidRDefault="00B34692" w:rsidP="00B34692">
      <w:pPr>
        <w:pStyle w:val="BodyText"/>
      </w:pPr>
      <w:r w:rsidRPr="00E3756C">
        <w:t xml:space="preserve">The term </w:t>
      </w:r>
      <w:r w:rsidR="00561138" w:rsidRPr="00E3756C">
        <w:t>‘</w:t>
      </w:r>
      <w:r w:rsidRPr="00631578">
        <w:t>hazard</w:t>
      </w:r>
      <w:r w:rsidR="00561138" w:rsidRPr="00E3756C">
        <w:t>’</w:t>
      </w:r>
      <w:r w:rsidRPr="00E3756C">
        <w:t xml:space="preserve"> is used in this </w:t>
      </w:r>
      <w:r w:rsidR="00561138" w:rsidRPr="00E3756C">
        <w:t>f</w:t>
      </w:r>
      <w:r w:rsidRPr="00E3756C">
        <w:t xml:space="preserve">ramework to describe the component or driver of the </w:t>
      </w:r>
      <w:r w:rsidR="00EF374E" w:rsidRPr="00E3756C">
        <w:t>‘</w:t>
      </w:r>
      <w:r w:rsidRPr="00631578">
        <w:t>increased or accelerated</w:t>
      </w:r>
      <w:r w:rsidR="00EF374E" w:rsidRPr="00E3756C">
        <w:t>’</w:t>
      </w:r>
      <w:r w:rsidRPr="00E3756C">
        <w:t xml:space="preserve"> risks arising from climate change. This </w:t>
      </w:r>
      <w:r w:rsidR="002C1B07" w:rsidRPr="00E3756C">
        <w:t>follows</w:t>
      </w:r>
      <w:r w:rsidRPr="00E3756C">
        <w:t xml:space="preserve"> IPCC terminology</w:t>
      </w:r>
      <w:r w:rsidR="002C1B07" w:rsidRPr="00E3756C">
        <w:t>,</w:t>
      </w:r>
      <w:r w:rsidRPr="00E3756C">
        <w:t xml:space="preserve"> with</w:t>
      </w:r>
      <w:r w:rsidR="0065502F">
        <w:t> </w:t>
      </w:r>
      <w:r w:rsidRPr="00E3756C">
        <w:t>the term ‘hazard’ referring to hazards</w:t>
      </w:r>
      <w:r w:rsidR="00313ED7">
        <w:t xml:space="preserve">, </w:t>
      </w:r>
      <w:r w:rsidRPr="00E3756C">
        <w:t>stressors</w:t>
      </w:r>
      <w:r w:rsidR="002C1B07" w:rsidRPr="00E3756C">
        <w:t xml:space="preserve"> and </w:t>
      </w:r>
      <w:r w:rsidRPr="00E3756C">
        <w:t>trends.</w:t>
      </w:r>
      <w:r w:rsidR="00484C8A" w:rsidRPr="00E3756C">
        <w:t xml:space="preserve"> </w:t>
      </w:r>
      <w:r w:rsidR="00E92EDD" w:rsidRPr="00E3756C">
        <w:t>T</w:t>
      </w:r>
      <w:r w:rsidRPr="00E3756C">
        <w:t>his step</w:t>
      </w:r>
      <w:r w:rsidR="00E92EDD" w:rsidRPr="00E3756C">
        <w:t>’s main task</w:t>
      </w:r>
      <w:r w:rsidRPr="00E3756C">
        <w:t xml:space="preserve"> is to develop concise </w:t>
      </w:r>
      <w:r w:rsidR="00942ECC" w:rsidRPr="00E3756C">
        <w:t>‘</w:t>
      </w:r>
      <w:r w:rsidRPr="00631578">
        <w:t>descriptors</w:t>
      </w:r>
      <w:r w:rsidR="00942ECC" w:rsidRPr="00E3756C">
        <w:t>’</w:t>
      </w:r>
      <w:r w:rsidRPr="00E3756C">
        <w:t xml:space="preserve"> of the </w:t>
      </w:r>
      <w:r w:rsidR="00313ED7">
        <w:t>main</w:t>
      </w:r>
      <w:r w:rsidR="00313ED7" w:rsidRPr="00E3756C">
        <w:t xml:space="preserve"> </w:t>
      </w:r>
      <w:r w:rsidRPr="00E3756C">
        <w:t xml:space="preserve">hazards. These should include the magnitude of change and/or change in frequency of occurrence </w:t>
      </w:r>
      <w:r w:rsidR="004B3234">
        <w:t>by</w:t>
      </w:r>
      <w:r w:rsidR="004B3234" w:rsidRPr="00E3756C">
        <w:t xml:space="preserve"> </w:t>
      </w:r>
      <w:r w:rsidR="004B3EC9" w:rsidRPr="00E3756C">
        <w:t xml:space="preserve">around </w:t>
      </w:r>
      <w:r w:rsidRPr="00E3756C">
        <w:t>2050 (30 years) and 2100 (60–80 years), plus 2150 for coastal</w:t>
      </w:r>
      <w:r w:rsidR="004B3EC9" w:rsidRPr="00E3756C">
        <w:t xml:space="preserve"> </w:t>
      </w:r>
      <w:r w:rsidRPr="00E3756C">
        <w:t>hazard risks</w:t>
      </w:r>
      <w:r w:rsidR="004B3EC9" w:rsidRPr="00E3756C">
        <w:t xml:space="preserve"> only</w:t>
      </w:r>
      <w:r w:rsidRPr="00E3756C">
        <w:t>, for two climate projections and variations in geographic</w:t>
      </w:r>
      <w:r w:rsidR="004B3EC9" w:rsidRPr="00E3756C">
        <w:t>al</w:t>
      </w:r>
      <w:r w:rsidRPr="00E3756C">
        <w:t xml:space="preserve"> influence across defined sub-national climate zones (</w:t>
      </w:r>
      <w:hyperlink w:anchor="figureB11" w:history="1">
        <w:r w:rsidR="004B3EC9" w:rsidRPr="00E3756C">
          <w:rPr>
            <w:rStyle w:val="Hyperlink"/>
          </w:rPr>
          <w:t>f</w:t>
        </w:r>
        <w:r w:rsidRPr="00E3756C">
          <w:rPr>
            <w:rStyle w:val="Hyperlink"/>
          </w:rPr>
          <w:t>igure B1-1</w:t>
        </w:r>
      </w:hyperlink>
      <w:r w:rsidRPr="00E3756C">
        <w:t xml:space="preserve">). </w:t>
      </w:r>
    </w:p>
    <w:p w14:paraId="67126029" w14:textId="77777777" w:rsidR="00B34692" w:rsidRPr="00E3756C" w:rsidRDefault="00B34692" w:rsidP="00B34692">
      <w:pPr>
        <w:pStyle w:val="BodyText"/>
      </w:pPr>
      <w:r w:rsidRPr="00E3756C">
        <w:t xml:space="preserve">A useful starting </w:t>
      </w:r>
      <w:r w:rsidR="00990377" w:rsidRPr="00E3756C">
        <w:t xml:space="preserve">point </w:t>
      </w:r>
      <w:r w:rsidRPr="00E3756C">
        <w:t>for assessing future risk is to appraise the present situation of climate</w:t>
      </w:r>
      <w:r w:rsidR="00990377" w:rsidRPr="00E3756C">
        <w:t xml:space="preserve"> </w:t>
      </w:r>
      <w:r w:rsidRPr="00E3756C">
        <w:t xml:space="preserve">change effects, but </w:t>
      </w:r>
      <w:r w:rsidR="00990377" w:rsidRPr="00E3756C">
        <w:t>remembering</w:t>
      </w:r>
      <w:r w:rsidRPr="00E3756C">
        <w:t xml:space="preserve"> that future effects may accelerate, rendering past trends and occurrences as an unreliable guide to the future. </w:t>
      </w:r>
    </w:p>
    <w:p w14:paraId="4700028D" w14:textId="25474510" w:rsidR="00B34692" w:rsidRPr="00E3756C" w:rsidRDefault="00990377" w:rsidP="00B34692">
      <w:pPr>
        <w:pStyle w:val="BodyText"/>
      </w:pPr>
      <w:r w:rsidRPr="00E3756C">
        <w:t>D</w:t>
      </w:r>
      <w:r w:rsidR="00B34692" w:rsidRPr="00E3756C">
        <w:t>efin</w:t>
      </w:r>
      <w:r w:rsidRPr="00E3756C">
        <w:t>ing</w:t>
      </w:r>
      <w:r w:rsidR="00B34692" w:rsidRPr="00E3756C">
        <w:t xml:space="preserve"> hazard component</w:t>
      </w:r>
      <w:r w:rsidRPr="00E3756C">
        <w:t>s</w:t>
      </w:r>
      <w:r w:rsidR="00B34692" w:rsidRPr="00E3756C">
        <w:t xml:space="preserve"> is not intended to be extensive or time</w:t>
      </w:r>
      <w:r w:rsidRPr="00E3756C">
        <w:t xml:space="preserve"> </w:t>
      </w:r>
      <w:r w:rsidR="00B34692" w:rsidRPr="00E3756C">
        <w:t xml:space="preserve">consuming but </w:t>
      </w:r>
      <w:r w:rsidR="001F1663" w:rsidRPr="00E3756C">
        <w:t>should</w:t>
      </w:r>
      <w:r w:rsidR="00B34692" w:rsidRPr="00E3756C">
        <w:t xml:space="preserve"> develop a concise narrative of the expected hazard range, gleaned from current information and expert knowledge</w:t>
      </w:r>
      <w:r w:rsidR="00313ED7">
        <w:t xml:space="preserve">. This </w:t>
      </w:r>
      <w:r w:rsidR="00B34692" w:rsidRPr="00E3756C">
        <w:t>can then inform the risk assessments as to the nature of changes (relative to present-day) over the relevant timeframes.</w:t>
      </w:r>
    </w:p>
    <w:p w14:paraId="666EA626" w14:textId="77777777" w:rsidR="00B34692" w:rsidRPr="00E3756C" w:rsidRDefault="00B34692" w:rsidP="00B34692">
      <w:pPr>
        <w:pStyle w:val="BodyText"/>
      </w:pPr>
      <w:r w:rsidRPr="00E3756C">
        <w:t>Managing the heightened</w:t>
      </w:r>
      <w:r w:rsidR="00484C8A" w:rsidRPr="00E3756C">
        <w:t xml:space="preserve"> </w:t>
      </w:r>
      <w:r w:rsidRPr="00E3756C">
        <w:t xml:space="preserve">risks caused by climate change requires: </w:t>
      </w:r>
    </w:p>
    <w:p w14:paraId="3DE8F238" w14:textId="77777777" w:rsidR="00B34692" w:rsidRPr="00E3756C" w:rsidRDefault="00B34692" w:rsidP="00B34692">
      <w:pPr>
        <w:pStyle w:val="Bullet"/>
      </w:pPr>
      <w:r w:rsidRPr="00E3756C">
        <w:t>an understanding of the climate hazards that will exacerbate climate-sensitive risks imposed on the domain elements and systems being assessed</w:t>
      </w:r>
    </w:p>
    <w:p w14:paraId="2CA13632" w14:textId="31E7EDFC" w:rsidR="00B34692" w:rsidRPr="00E3756C" w:rsidRDefault="00B34692" w:rsidP="00B34692">
      <w:pPr>
        <w:pStyle w:val="Bullet"/>
      </w:pPr>
      <w:r w:rsidRPr="00E3756C">
        <w:t>identifying thresholds (where available) for emerging climate-related hazards. These thresholds relate to</w:t>
      </w:r>
      <w:r w:rsidR="00313ED7">
        <w:t>,</w:t>
      </w:r>
      <w:r w:rsidRPr="00E3756C">
        <w:t xml:space="preserve"> when agreed (through elicitation)</w:t>
      </w:r>
      <w:r w:rsidR="00313ED7">
        <w:t>,</w:t>
      </w:r>
      <w:r w:rsidRPr="00E3756C">
        <w:t xml:space="preserve"> future objectives associated with a domain element or sector </w:t>
      </w:r>
      <w:r w:rsidR="00144B88">
        <w:t xml:space="preserve">that </w:t>
      </w:r>
      <w:r w:rsidRPr="00E3756C">
        <w:t>would no longer be met (eg</w:t>
      </w:r>
      <w:r w:rsidR="000A4069" w:rsidRPr="00E3756C">
        <w:t>,</w:t>
      </w:r>
      <w:r w:rsidRPr="00E3756C">
        <w:t xml:space="preserve"> a rise of X</w:t>
      </w:r>
      <w:r w:rsidR="004060FA" w:rsidRPr="00E3756C">
        <w:t xml:space="preserve"> degrees </w:t>
      </w:r>
      <w:r w:rsidRPr="00E3756C">
        <w:t>C</w:t>
      </w:r>
      <w:r w:rsidR="004060FA" w:rsidRPr="00E3756C">
        <w:t>elsius</w:t>
      </w:r>
      <w:r w:rsidRPr="00E3756C">
        <w:t xml:space="preserve"> in mean air temperature could render a type of horticulture or viticulture unviable; or an X m</w:t>
      </w:r>
      <w:r w:rsidR="004060FA" w:rsidRPr="00E3756C">
        <w:t>etre</w:t>
      </w:r>
      <w:r w:rsidRPr="00E3756C">
        <w:t xml:space="preserve"> sea-level rise </w:t>
      </w:r>
      <w:r w:rsidR="00313ED7">
        <w:t>c</w:t>
      </w:r>
      <w:r w:rsidRPr="00E3756C">
        <w:t>ould lead to a significant national exposure of buildings and infrastructure).</w:t>
      </w:r>
    </w:p>
    <w:p w14:paraId="3FA8EC90" w14:textId="014F5E62" w:rsidR="00B34692" w:rsidRPr="00E3756C" w:rsidRDefault="00B34692" w:rsidP="00B34692">
      <w:pPr>
        <w:pStyle w:val="BodyText"/>
      </w:pPr>
      <w:r w:rsidRPr="00E3756C">
        <w:lastRenderedPageBreak/>
        <w:t xml:space="preserve">This framework </w:t>
      </w:r>
      <w:r w:rsidR="004B3234" w:rsidRPr="00E3756C">
        <w:t>presents</w:t>
      </w:r>
      <w:r w:rsidRPr="00E3756C">
        <w:t xml:space="preserve"> a suite of key hazards (</w:t>
      </w:r>
      <w:hyperlink w:anchor="tableB12" w:history="1">
        <w:r w:rsidR="009756BB" w:rsidRPr="00E3756C">
          <w:rPr>
            <w:rStyle w:val="Hyperlink"/>
          </w:rPr>
          <w:t>t</w:t>
        </w:r>
        <w:r w:rsidRPr="00E3756C">
          <w:rPr>
            <w:rStyle w:val="Hyperlink"/>
          </w:rPr>
          <w:t>able B1-2</w:t>
        </w:r>
      </w:hyperlink>
      <w:r w:rsidRPr="00E3756C">
        <w:t xml:space="preserve">) </w:t>
      </w:r>
      <w:r w:rsidR="00313ED7">
        <w:t xml:space="preserve">that are </w:t>
      </w:r>
      <w:r w:rsidRPr="00E3756C">
        <w:t>most likely to contribute to substantial climate-related risks, driven by primary and secondary climate variables that contribute to the hazard, to be input into the risk assessment as the hazard component. In most cases</w:t>
      </w:r>
      <w:r w:rsidR="000A4069" w:rsidRPr="00E3756C">
        <w:t>,</w:t>
      </w:r>
      <w:r w:rsidRPr="00E3756C">
        <w:t xml:space="preserve"> the degree of change in the variables and</w:t>
      </w:r>
      <w:r w:rsidR="000A4069" w:rsidRPr="00E3756C">
        <w:t>,</w:t>
      </w:r>
      <w:r w:rsidRPr="00E3756C">
        <w:t xml:space="preserve"> hence</w:t>
      </w:r>
      <w:r w:rsidR="000A4069" w:rsidRPr="00E3756C">
        <w:t>,</w:t>
      </w:r>
      <w:r w:rsidRPr="00E3756C">
        <w:t xml:space="preserve"> the change in the hazard through time, can be informed by:</w:t>
      </w:r>
    </w:p>
    <w:p w14:paraId="4E882654" w14:textId="77777777" w:rsidR="00E04BA9" w:rsidRPr="00E3756C" w:rsidRDefault="00E04BA9" w:rsidP="00382C3A">
      <w:pPr>
        <w:pStyle w:val="Numberedparagraph"/>
        <w:numPr>
          <w:ilvl w:val="0"/>
          <w:numId w:val="17"/>
        </w:numPr>
      </w:pPr>
      <w:r w:rsidRPr="00E3756C">
        <w:t>the assessor applying recommended climate</w:t>
      </w:r>
      <w:r w:rsidR="000A4069" w:rsidRPr="00E3756C">
        <w:t xml:space="preserve"> </w:t>
      </w:r>
      <w:r w:rsidRPr="00E3756C">
        <w:t xml:space="preserve">change projections for climate variables (or the hazards themselves, if available) at national and sub-national scales directly from available credible information sources or previous assessments and reports using those projections (see </w:t>
      </w:r>
      <w:hyperlink w:anchor="_Chapter_C4:_Information" w:history="1">
        <w:r w:rsidR="000A4069" w:rsidRPr="00E3756C">
          <w:rPr>
            <w:rStyle w:val="Hyperlink"/>
          </w:rPr>
          <w:t>s</w:t>
        </w:r>
        <w:r w:rsidRPr="00E3756C">
          <w:rPr>
            <w:rStyle w:val="Hyperlink"/>
          </w:rPr>
          <w:t>ection C4</w:t>
        </w:r>
      </w:hyperlink>
      <w:r w:rsidRPr="00E3756C">
        <w:t xml:space="preserve"> for information sources)</w:t>
      </w:r>
    </w:p>
    <w:p w14:paraId="5833526F" w14:textId="77777777" w:rsidR="00E04BA9" w:rsidRPr="00E3756C" w:rsidRDefault="00E04BA9" w:rsidP="00E04BA9">
      <w:pPr>
        <w:pStyle w:val="Numberedparagraph"/>
      </w:pPr>
      <w:r w:rsidRPr="00E3756C">
        <w:t>expert elicitation processes involving recognised researchers, practitioners</w:t>
      </w:r>
      <w:r w:rsidR="003C5FB2" w:rsidRPr="00E3756C">
        <w:t>,</w:t>
      </w:r>
      <w:r w:rsidRPr="00E3756C">
        <w:t xml:space="preserve"> climate</w:t>
      </w:r>
      <w:r w:rsidR="000A4069" w:rsidRPr="00E3756C">
        <w:t xml:space="preserve"> and </w:t>
      </w:r>
      <w:r w:rsidRPr="00E3756C">
        <w:t>policy analysts in local and central government</w:t>
      </w:r>
      <w:r w:rsidR="003C5FB2" w:rsidRPr="00E3756C">
        <w:t>,</w:t>
      </w:r>
      <w:r w:rsidRPr="00E3756C">
        <w:t xml:space="preserve"> and Māori experts to determine or confirm the relevant suite of hazards and their descriptors for each value domain or sector.</w:t>
      </w:r>
    </w:p>
    <w:p w14:paraId="43EE5812" w14:textId="77777777" w:rsidR="00E04BA9" w:rsidRPr="00E3756C" w:rsidRDefault="00E04BA9" w:rsidP="00E04BA9">
      <w:pPr>
        <w:pStyle w:val="BodyText"/>
      </w:pPr>
      <w:r w:rsidRPr="00E3756C">
        <w:t xml:space="preserve">To keep this task manageable, it is envisaged the assessor will compile descriptors for the suite of hazards (based on the set list), in conjunction with researchers and practitioners with climate and hazard expertise in the relevant sub-domain or sector. </w:t>
      </w:r>
    </w:p>
    <w:p w14:paraId="29B58C06" w14:textId="16B6BEDB" w:rsidR="00E04BA9" w:rsidRPr="00E3756C" w:rsidRDefault="003C5FB2" w:rsidP="00E04BA9">
      <w:pPr>
        <w:pStyle w:val="BodyText"/>
      </w:pPr>
      <w:r w:rsidRPr="00E3756C">
        <w:t>In a</w:t>
      </w:r>
      <w:r w:rsidR="00E04BA9" w:rsidRPr="00E3756C">
        <w:t xml:space="preserve">ddition, at the </w:t>
      </w:r>
      <w:r w:rsidRPr="00E3756C">
        <w:t xml:space="preserve">start </w:t>
      </w:r>
      <w:r w:rsidR="00E04BA9" w:rsidRPr="00E3756C">
        <w:t xml:space="preserve">of the elicitation or risk workshops </w:t>
      </w:r>
      <w:r w:rsidR="00313ED7">
        <w:t>for</w:t>
      </w:r>
      <w:r w:rsidR="00E04BA9" w:rsidRPr="00E3756C">
        <w:t xml:space="preserve"> the first-pass risk screening (</w:t>
      </w:r>
      <w:r w:rsidR="007968BA" w:rsidRPr="00E3756C">
        <w:t>a</w:t>
      </w:r>
      <w:r w:rsidR="00E04BA9" w:rsidRPr="00E3756C">
        <w:t xml:space="preserve">ssessment Stage 1), it would be pertinent to confirm the suite of hazards are the </w:t>
      </w:r>
      <w:r w:rsidR="007968BA" w:rsidRPr="00E3756C">
        <w:t xml:space="preserve">main </w:t>
      </w:r>
      <w:r w:rsidR="00E04BA9" w:rsidRPr="00E3756C">
        <w:t xml:space="preserve">ones to consider, or if any are missing, for the specific domain element or sector and across all sub-national climate zones. </w:t>
      </w:r>
    </w:p>
    <w:p w14:paraId="34C981B8" w14:textId="77777777" w:rsidR="00E04BA9" w:rsidRPr="00E3756C" w:rsidRDefault="00E04BA9" w:rsidP="00E04BA9">
      <w:pPr>
        <w:pStyle w:val="Heading2"/>
      </w:pPr>
      <w:bookmarkStart w:id="98" w:name="_B1.1__Sub-national"/>
      <w:bookmarkStart w:id="99" w:name="_Toc13570358"/>
      <w:bookmarkStart w:id="100" w:name="_Toc14361545"/>
      <w:bookmarkStart w:id="101" w:name="_Toc15409157"/>
      <w:bookmarkEnd w:id="98"/>
      <w:r w:rsidRPr="00E3756C">
        <w:t xml:space="preserve">B1.1 </w:t>
      </w:r>
      <w:r w:rsidR="00840BCA" w:rsidRPr="00E3756C">
        <w:tab/>
      </w:r>
      <w:r w:rsidRPr="00E3756C">
        <w:t>Sub-national climate zones</w:t>
      </w:r>
      <w:bookmarkEnd w:id="99"/>
      <w:bookmarkEnd w:id="100"/>
      <w:bookmarkEnd w:id="101"/>
    </w:p>
    <w:p w14:paraId="31824AE2" w14:textId="532A2786" w:rsidR="00E04BA9" w:rsidRPr="00E3756C" w:rsidRDefault="00E04BA9" w:rsidP="00E04BA9">
      <w:pPr>
        <w:pStyle w:val="BodyText"/>
      </w:pPr>
      <w:r w:rsidRPr="00E3756C">
        <w:t xml:space="preserve">For the </w:t>
      </w:r>
      <w:r w:rsidR="00627EE4">
        <w:t>national-scale</w:t>
      </w:r>
      <w:r w:rsidRPr="00E3756C">
        <w:t xml:space="preserve"> risk assessment, it is recommended hazards are developed for seven climate zones to represent broad sub-national climatologies</w:t>
      </w:r>
      <w:r w:rsidR="0029244F" w:rsidRPr="00E3756C">
        <w:t xml:space="preserve"> that</w:t>
      </w:r>
      <w:r w:rsidRPr="00E3756C">
        <w:t xml:space="preserve"> may </w:t>
      </w:r>
      <w:r w:rsidR="0029244F" w:rsidRPr="00E3756C">
        <w:t xml:space="preserve">show </w:t>
      </w:r>
      <w:r w:rsidRPr="00E3756C">
        <w:t>significant differences in climate</w:t>
      </w:r>
      <w:r w:rsidR="0029244F" w:rsidRPr="00E3756C">
        <w:t xml:space="preserve"> </w:t>
      </w:r>
      <w:r w:rsidRPr="00E3756C">
        <w:t xml:space="preserve">change impacts. </w:t>
      </w:r>
      <w:hyperlink w:anchor="figureB11" w:history="1">
        <w:r w:rsidR="0029244F" w:rsidRPr="00E3756C">
          <w:rPr>
            <w:rStyle w:val="Hyperlink"/>
          </w:rPr>
          <w:t>Figure B1-1</w:t>
        </w:r>
      </w:hyperlink>
      <w:r w:rsidR="0029244F" w:rsidRPr="00E3756C">
        <w:t xml:space="preserve"> shows t</w:t>
      </w:r>
      <w:r w:rsidRPr="00E3756C">
        <w:t xml:space="preserve">he sub-national climate zones. </w:t>
      </w:r>
    </w:p>
    <w:p w14:paraId="6E7F8E2D" w14:textId="77777777" w:rsidR="00E04BA9" w:rsidRPr="00E3756C" w:rsidRDefault="00E04BA9" w:rsidP="00E04BA9">
      <w:pPr>
        <w:pStyle w:val="BodyText"/>
      </w:pPr>
      <w:r w:rsidRPr="00E3756C">
        <w:t>Within each risk</w:t>
      </w:r>
      <w:r w:rsidR="0029244F" w:rsidRPr="00E3756C">
        <w:t xml:space="preserve"> </w:t>
      </w:r>
      <w:r w:rsidRPr="00E3756C">
        <w:t>assessment stage, the risks identified will need to be aggregated to the national</w:t>
      </w:r>
      <w:r w:rsidR="0029244F" w:rsidRPr="00E3756C">
        <w:t xml:space="preserve"> </w:t>
      </w:r>
      <w:r w:rsidRPr="00E3756C">
        <w:t xml:space="preserve">scale, while still retaining those risks that might be rated high in one or two climate zones that have significant national impact (see </w:t>
      </w:r>
      <w:r w:rsidR="0029244F" w:rsidRPr="00E3756C">
        <w:t>c</w:t>
      </w:r>
      <w:r w:rsidRPr="00E3756C">
        <w:t xml:space="preserve">hapters </w:t>
      </w:r>
      <w:hyperlink w:anchor="_Chapter_B2:_Assessment" w:history="1">
        <w:r w:rsidRPr="00E3756C">
          <w:rPr>
            <w:rStyle w:val="Hyperlink"/>
          </w:rPr>
          <w:t>B2</w:t>
        </w:r>
      </w:hyperlink>
      <w:r w:rsidRPr="00E3756C">
        <w:t xml:space="preserve"> and </w:t>
      </w:r>
      <w:hyperlink w:anchor="_Chapter_B3:_Assessment" w:history="1">
        <w:r w:rsidRPr="00E3756C">
          <w:rPr>
            <w:rStyle w:val="Hyperlink"/>
          </w:rPr>
          <w:t>B3</w:t>
        </w:r>
      </w:hyperlink>
      <w:r w:rsidRPr="00E3756C">
        <w:t>).</w:t>
      </w:r>
      <w:r w:rsidR="00484C8A" w:rsidRPr="00E3756C">
        <w:t xml:space="preserve"> </w:t>
      </w:r>
    </w:p>
    <w:p w14:paraId="2E7E3887" w14:textId="77777777" w:rsidR="00E04BA9" w:rsidRPr="00E3756C" w:rsidRDefault="00E04BA9" w:rsidP="00E04BA9">
      <w:pPr>
        <w:pStyle w:val="BodyText"/>
      </w:pPr>
      <w:r w:rsidRPr="00E3756C">
        <w:t>The extent of the sub-national climate zones is defined as follows</w:t>
      </w:r>
      <w:r w:rsidR="0029244F" w:rsidRPr="00E3756C">
        <w:t>.</w:t>
      </w:r>
    </w:p>
    <w:p w14:paraId="3B4B6757" w14:textId="77777777" w:rsidR="00E04BA9" w:rsidRPr="00E3756C" w:rsidRDefault="00E04BA9" w:rsidP="00382C3A">
      <w:pPr>
        <w:pStyle w:val="Numberedparagraph"/>
        <w:numPr>
          <w:ilvl w:val="0"/>
          <w:numId w:val="18"/>
        </w:numPr>
      </w:pPr>
      <w:r w:rsidRPr="00E3756C">
        <w:rPr>
          <w:b/>
        </w:rPr>
        <w:t>Region 1:</w:t>
      </w:r>
      <w:r w:rsidR="00484C8A" w:rsidRPr="00E3756C">
        <w:t xml:space="preserve"> </w:t>
      </w:r>
      <w:r w:rsidRPr="00E3756C">
        <w:t xml:space="preserve">Upper North Island (Te Ika ā Māui) </w:t>
      </w:r>
      <w:r w:rsidR="0029244F" w:rsidRPr="00E3756C">
        <w:t>–</w:t>
      </w:r>
      <w:r w:rsidRPr="00E3756C">
        <w:t xml:space="preserve"> extends to Mōkau on </w:t>
      </w:r>
      <w:r w:rsidR="0029244F" w:rsidRPr="00E3756C">
        <w:t xml:space="preserve">the </w:t>
      </w:r>
      <w:r w:rsidRPr="00E3756C">
        <w:t>west coast and Lottin Point (Wakatiri) in eastern Bay of Plenty, and cover</w:t>
      </w:r>
      <w:r w:rsidR="00E8112D" w:rsidRPr="00E3756C">
        <w:t>s</w:t>
      </w:r>
      <w:r w:rsidRPr="00E3756C">
        <w:t xml:space="preserve"> the northern part of Lake Taupō. For assessing climate impacts on coastal and marine activities or elements, split the west coast and Tasman Sea (zone 1A) from the east coast, Pacific Ocean and Hauraki Gulf (zone 1B). Includes the regions of Northland, Auckland, Waikato and Bay of Plenty. </w:t>
      </w:r>
    </w:p>
    <w:p w14:paraId="56C83558" w14:textId="77777777" w:rsidR="00E04BA9" w:rsidRPr="00E3756C" w:rsidRDefault="00E04BA9" w:rsidP="00E04BA9">
      <w:pPr>
        <w:pStyle w:val="Numberedparagraph"/>
      </w:pPr>
      <w:r w:rsidRPr="00E3756C">
        <w:rPr>
          <w:b/>
        </w:rPr>
        <w:t>Region 2:</w:t>
      </w:r>
      <w:r w:rsidR="00484C8A" w:rsidRPr="00E3756C">
        <w:rPr>
          <w:b/>
        </w:rPr>
        <w:t xml:space="preserve"> </w:t>
      </w:r>
      <w:r w:rsidRPr="00E3756C">
        <w:t>Western lower North Island</w:t>
      </w:r>
      <w:r w:rsidR="00484C8A" w:rsidRPr="00E3756C">
        <w:t xml:space="preserve"> </w:t>
      </w:r>
      <w:r w:rsidRPr="00E3756C">
        <w:t xml:space="preserve">(Te Ika </w:t>
      </w:r>
      <w:r w:rsidR="00E8112D" w:rsidRPr="00E3756C">
        <w:t>ā</w:t>
      </w:r>
      <w:r w:rsidRPr="00E3756C">
        <w:t xml:space="preserve"> M</w:t>
      </w:r>
      <w:r w:rsidR="00E8112D" w:rsidRPr="00E3756C">
        <w:t>ā</w:t>
      </w:r>
      <w:r w:rsidRPr="00E3756C">
        <w:t xml:space="preserve">ui) </w:t>
      </w:r>
      <w:r w:rsidR="00E8112D" w:rsidRPr="00E3756C">
        <w:t>–</w:t>
      </w:r>
      <w:r w:rsidRPr="00E3756C">
        <w:t xml:space="preserve"> covers Taranaki to Wellington (Te</w:t>
      </w:r>
      <w:r w:rsidR="00B90B6F" w:rsidRPr="00E3756C">
        <w:t> </w:t>
      </w:r>
      <w:r w:rsidRPr="00E3756C">
        <w:t>Whanga-nui-a-Tara) and includes National Park and southern Lake Taupō. Includes the regions of Taranaki, Manawat</w:t>
      </w:r>
      <w:r w:rsidR="00E8112D" w:rsidRPr="00E3756C">
        <w:rPr>
          <w:rFonts w:cs="Calibri"/>
        </w:rPr>
        <w:t>ū</w:t>
      </w:r>
      <w:r w:rsidR="00B90B6F" w:rsidRPr="00E3756C">
        <w:rPr>
          <w:rFonts w:cs="Calibri"/>
        </w:rPr>
        <w:t>–</w:t>
      </w:r>
      <w:r w:rsidRPr="00E3756C">
        <w:t>Whanganui (Horizons)</w:t>
      </w:r>
      <w:r w:rsidR="00E8112D" w:rsidRPr="00E3756C">
        <w:t xml:space="preserve"> and</w:t>
      </w:r>
      <w:r w:rsidRPr="00E3756C">
        <w:t xml:space="preserve"> Wellington</w:t>
      </w:r>
      <w:r w:rsidRPr="00E3756C">
        <w:rPr>
          <w:rFonts w:ascii="Roboto" w:hAnsi="Roboto"/>
          <w:color w:val="3C4043"/>
          <w:sz w:val="21"/>
        </w:rPr>
        <w:t xml:space="preserve">. </w:t>
      </w:r>
    </w:p>
    <w:p w14:paraId="59B34869" w14:textId="77777777" w:rsidR="00E04BA9" w:rsidRPr="00E3756C" w:rsidRDefault="00E04BA9" w:rsidP="00E04BA9">
      <w:pPr>
        <w:pStyle w:val="Numberedparagraph"/>
      </w:pPr>
      <w:r w:rsidRPr="00E3756C">
        <w:rPr>
          <w:b/>
        </w:rPr>
        <w:t xml:space="preserve">Region 3: </w:t>
      </w:r>
      <w:r w:rsidRPr="00E3756C">
        <w:t>Eastern lower North Island</w:t>
      </w:r>
      <w:r w:rsidR="00484C8A" w:rsidRPr="00E3756C">
        <w:t xml:space="preserve"> </w:t>
      </w:r>
      <w:r w:rsidRPr="00E3756C">
        <w:t xml:space="preserve">(Te Ika ā Māui) extends from Hicks Bay (Wharekahika) to Palliser Bay (Te Waha o te Ika ā Māui) and back to the Ruahine and Kaweka </w:t>
      </w:r>
      <w:r w:rsidR="00E8112D" w:rsidRPr="00E3756C">
        <w:t>r</w:t>
      </w:r>
      <w:r w:rsidRPr="00E3756C">
        <w:t xml:space="preserve">anges. Includes Gisborne, Hawke’s Bay and </w:t>
      </w:r>
      <w:r w:rsidR="00AC5564" w:rsidRPr="00E3756C">
        <w:t xml:space="preserve">the </w:t>
      </w:r>
      <w:r w:rsidRPr="00E3756C">
        <w:t xml:space="preserve">Wairarapa catchment of Wellington. </w:t>
      </w:r>
    </w:p>
    <w:p w14:paraId="4DEDBD02" w14:textId="77777777" w:rsidR="00E04BA9" w:rsidRPr="00E3756C" w:rsidRDefault="00E04BA9" w:rsidP="00E04BA9">
      <w:pPr>
        <w:pStyle w:val="Numberedparagraph"/>
      </w:pPr>
      <w:r w:rsidRPr="00E3756C">
        <w:rPr>
          <w:b/>
        </w:rPr>
        <w:t xml:space="preserve">Region 4: </w:t>
      </w:r>
      <w:r w:rsidRPr="00E3756C">
        <w:t xml:space="preserve">Northern South Island (Te Wai Pounamu) </w:t>
      </w:r>
      <w:r w:rsidR="00B90B6F" w:rsidRPr="00E3756C">
        <w:t>–</w:t>
      </w:r>
      <w:r w:rsidRPr="00E3756C">
        <w:t xml:space="preserve"> cover</w:t>
      </w:r>
      <w:r w:rsidR="00790AF1" w:rsidRPr="00E3756C">
        <w:t>s</w:t>
      </w:r>
      <w:r w:rsidRPr="00E3756C">
        <w:t xml:space="preserve"> Marlborough (from Kaikōura north), Nelson (Whakatū) and around to Punakaiki on the West Coast. Includes Tasman, Nelson, Marlborough and Buller District. </w:t>
      </w:r>
    </w:p>
    <w:p w14:paraId="3478DFE7" w14:textId="77777777" w:rsidR="00E04BA9" w:rsidRPr="00E3756C" w:rsidRDefault="00E04BA9" w:rsidP="00E04BA9">
      <w:pPr>
        <w:pStyle w:val="Numberedparagraph"/>
      </w:pPr>
      <w:r w:rsidRPr="00E3756C">
        <w:rPr>
          <w:b/>
        </w:rPr>
        <w:lastRenderedPageBreak/>
        <w:t xml:space="preserve">Region 5: </w:t>
      </w:r>
      <w:r w:rsidRPr="00E3756C">
        <w:t>Eastern South Island (Te Wai Pounamu) from Kaikōura to Owaka (South Otago) and includes Central Otago and the MacKenzie Basin including Lakes Tekapo to Ōhau to the east of the Southern Alps. Includes the West Coast, inland Otago and Southland.</w:t>
      </w:r>
    </w:p>
    <w:p w14:paraId="1C326328" w14:textId="77777777" w:rsidR="00E04BA9" w:rsidRPr="00E3756C" w:rsidRDefault="00E04BA9" w:rsidP="00E04BA9">
      <w:pPr>
        <w:pStyle w:val="Numberedparagraph"/>
      </w:pPr>
      <w:r w:rsidRPr="00E3756C">
        <w:rPr>
          <w:b/>
        </w:rPr>
        <w:t xml:space="preserve">Region 6: </w:t>
      </w:r>
      <w:r w:rsidRPr="00E3756C">
        <w:t xml:space="preserve">Western and southern South Island (Te Wai Pounamu) </w:t>
      </w:r>
      <w:r w:rsidR="00790AF1" w:rsidRPr="00E3756C">
        <w:t>–</w:t>
      </w:r>
      <w:r w:rsidRPr="00E3756C">
        <w:t xml:space="preserve"> cover</w:t>
      </w:r>
      <w:r w:rsidR="00790AF1" w:rsidRPr="00E3756C">
        <w:t>s</w:t>
      </w:r>
      <w:r w:rsidRPr="00E3756C">
        <w:t xml:space="preserve"> the West Coast, Fiordland, Southland and Stewart Island (Te Punga o Te Waka ā Māui) and includ</w:t>
      </w:r>
      <w:r w:rsidR="00790AF1" w:rsidRPr="00E3756C">
        <w:t>es</w:t>
      </w:r>
      <w:r w:rsidRPr="00E3756C">
        <w:t xml:space="preserve"> the Southern Alps and southern lakes. Includes Canterbury and Otago.</w:t>
      </w:r>
    </w:p>
    <w:p w14:paraId="5412BEE3" w14:textId="77777777" w:rsidR="00E04BA9" w:rsidRPr="00E3756C" w:rsidRDefault="00E04BA9" w:rsidP="00E04BA9">
      <w:pPr>
        <w:pStyle w:val="Numberedparagraph"/>
      </w:pPr>
      <w:r w:rsidRPr="00E3756C">
        <w:rPr>
          <w:b/>
        </w:rPr>
        <w:t>Region 7</w:t>
      </w:r>
      <w:r w:rsidRPr="00E3756C">
        <w:t>: Chatham Island</w:t>
      </w:r>
      <w:r w:rsidR="00790AF1" w:rsidRPr="00E3756C">
        <w:t>s</w:t>
      </w:r>
      <w:r w:rsidRPr="00E3756C">
        <w:t xml:space="preserve"> (Wharekauri</w:t>
      </w:r>
      <w:r w:rsidR="00E3756C">
        <w:t xml:space="preserve"> </w:t>
      </w:r>
      <w:r w:rsidR="00924ECA" w:rsidRPr="00E3756C">
        <w:t xml:space="preserve">– </w:t>
      </w:r>
      <w:r w:rsidRPr="00E3756C">
        <w:t>Rēkohu) and Pitt Island (Rangiauria</w:t>
      </w:r>
      <w:r w:rsidR="00924ECA" w:rsidRPr="00E3756C">
        <w:t xml:space="preserve"> –</w:t>
      </w:r>
      <w:r w:rsidRPr="00E3756C">
        <w:t>Rangiaotea) at longitude 183</w:t>
      </w:r>
      <w:r w:rsidR="00924ECA" w:rsidRPr="00E3756C">
        <w:t>–</w:t>
      </w:r>
      <w:r w:rsidRPr="00E3756C">
        <w:t>184</w:t>
      </w:r>
      <w:r w:rsidRPr="00E3756C">
        <w:rPr>
          <w:vertAlign w:val="superscript"/>
        </w:rPr>
        <w:t>o</w:t>
      </w:r>
      <w:r w:rsidRPr="00E3756C">
        <w:t>E</w:t>
      </w:r>
      <w:r w:rsidR="00924ECA" w:rsidRPr="00E3756C">
        <w:t>.</w:t>
      </w:r>
    </w:p>
    <w:p w14:paraId="6E31DDA2" w14:textId="77777777" w:rsidR="00E04BA9" w:rsidRPr="00E3756C" w:rsidRDefault="00E04BA9" w:rsidP="0042260F">
      <w:pPr>
        <w:pStyle w:val="Figureheading"/>
        <w:spacing w:after="0"/>
      </w:pPr>
      <w:bookmarkStart w:id="102" w:name="figureB11"/>
      <w:bookmarkStart w:id="103" w:name="_Toc16586518"/>
      <w:r w:rsidRPr="00E3756C">
        <w:t>Figure B1-1</w:t>
      </w:r>
      <w:bookmarkEnd w:id="102"/>
      <w:r w:rsidRPr="00E3756C">
        <w:t xml:space="preserve">: </w:t>
      </w:r>
      <w:r w:rsidRPr="00E3756C">
        <w:tab/>
        <w:t>Spatial coverage of the sub-national climate zones based on broad zones of</w:t>
      </w:r>
      <w:r w:rsidR="0042260F">
        <w:t> </w:t>
      </w:r>
      <w:r w:rsidRPr="00E3756C">
        <w:t>rainfall</w:t>
      </w:r>
      <w:r w:rsidR="0042260F">
        <w:t> </w:t>
      </w:r>
      <w:r w:rsidRPr="00E3756C">
        <w:t>climatologies</w:t>
      </w:r>
      <w:bookmarkEnd w:id="103"/>
      <w:r w:rsidRPr="00E3756C">
        <w:t xml:space="preserve"> </w:t>
      </w:r>
    </w:p>
    <w:p w14:paraId="0A108185" w14:textId="77777777" w:rsidR="00E04BA9" w:rsidRPr="00E3756C" w:rsidRDefault="00BF73F1" w:rsidP="00E04BA9">
      <w:pPr>
        <w:jc w:val="center"/>
      </w:pPr>
      <w:r>
        <w:rPr>
          <w:noProof/>
        </w:rPr>
        <w:drawing>
          <wp:inline distT="114300" distB="114300" distL="114300" distR="114300" wp14:anchorId="12C49825" wp14:editId="1B0D80A9">
            <wp:extent cx="3414713" cy="3780256"/>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3414713" cy="3780256"/>
                    </a:xfrm>
                    <a:prstGeom prst="rect">
                      <a:avLst/>
                    </a:prstGeom>
                    <a:ln/>
                  </pic:spPr>
                </pic:pic>
              </a:graphicData>
            </a:graphic>
          </wp:inline>
        </w:drawing>
      </w:r>
    </w:p>
    <w:p w14:paraId="364593EC" w14:textId="36975B4B" w:rsidR="00924ECA" w:rsidRPr="00E3756C" w:rsidRDefault="00924ECA" w:rsidP="00924ECA">
      <w:pPr>
        <w:pStyle w:val="Note"/>
      </w:pPr>
      <w:r w:rsidRPr="00E3756C">
        <w:t xml:space="preserve">Note: The spatial coverage of the sub-national climate zones are based on broad zones of rainfall climatologies that NIWA uses for seasonal forecasting (Kidson and Renwick, 2002). An additional </w:t>
      </w:r>
      <w:r w:rsidR="00A544ED" w:rsidRPr="00E3756C">
        <w:t>seventh</w:t>
      </w:r>
      <w:r w:rsidRPr="00E3756C">
        <w:t xml:space="preserve"> zone </w:t>
      </w:r>
      <w:r w:rsidR="00E3756C">
        <w:t>h</w:t>
      </w:r>
      <w:r w:rsidRPr="00E3756C">
        <w:t>as</w:t>
      </w:r>
      <w:r w:rsidR="00A544ED" w:rsidRPr="00E3756C">
        <w:t xml:space="preserve"> been added for </w:t>
      </w:r>
      <w:r w:rsidR="00012C6C">
        <w:t xml:space="preserve">the </w:t>
      </w:r>
      <w:r w:rsidR="00A544ED" w:rsidRPr="00E3756C">
        <w:t xml:space="preserve">Chatham Islands. Coastal and marine climate </w:t>
      </w:r>
      <w:r w:rsidRPr="00E3756C">
        <w:t xml:space="preserve">change risks should consider separately the west (1A) and east (1B) coasts in </w:t>
      </w:r>
      <w:r w:rsidR="00A544ED" w:rsidRPr="00E3756C">
        <w:t>z</w:t>
      </w:r>
      <w:r w:rsidRPr="00E3756C">
        <w:t xml:space="preserve">one </w:t>
      </w:r>
      <w:r w:rsidR="00A544ED" w:rsidRPr="00E3756C">
        <w:t xml:space="preserve">1, due to their different ocean and </w:t>
      </w:r>
      <w:r w:rsidRPr="00E3756C">
        <w:t>climate conditions.</w:t>
      </w:r>
    </w:p>
    <w:p w14:paraId="26489EF3" w14:textId="77777777" w:rsidR="00F947CE" w:rsidRPr="00E3756C" w:rsidRDefault="00F947CE" w:rsidP="00F947CE">
      <w:pPr>
        <w:pStyle w:val="Heading2"/>
      </w:pPr>
      <w:bookmarkStart w:id="104" w:name="_Toc13570359"/>
      <w:bookmarkStart w:id="105" w:name="_Toc14361546"/>
      <w:bookmarkStart w:id="106" w:name="_Toc15409158"/>
      <w:r w:rsidRPr="00E3756C">
        <w:t xml:space="preserve">B1.2 </w:t>
      </w:r>
      <w:r w:rsidRPr="00E3756C">
        <w:tab/>
        <w:t>Method for determining climate hazards</w:t>
      </w:r>
      <w:bookmarkEnd w:id="104"/>
      <w:bookmarkEnd w:id="105"/>
      <w:bookmarkEnd w:id="106"/>
    </w:p>
    <w:p w14:paraId="4B069E6D" w14:textId="77777777" w:rsidR="00F947CE" w:rsidRPr="00E3756C" w:rsidRDefault="00F947CE" w:rsidP="00F947CE">
      <w:pPr>
        <w:pStyle w:val="BodyText"/>
      </w:pPr>
      <w:r w:rsidRPr="00E3756C">
        <w:t>The hazard component of risk (</w:t>
      </w:r>
      <w:hyperlink w:anchor="figureA21" w:history="1">
        <w:r w:rsidR="00B8275E" w:rsidRPr="00E3756C">
          <w:rPr>
            <w:rStyle w:val="Hyperlink"/>
          </w:rPr>
          <w:t>f</w:t>
        </w:r>
        <w:r w:rsidRPr="00E3756C">
          <w:rPr>
            <w:rStyle w:val="Hyperlink"/>
          </w:rPr>
          <w:t>igure A2-1</w:t>
        </w:r>
      </w:hyperlink>
      <w:r w:rsidRPr="00E3756C">
        <w:t>) comprises both changing hazard profiles and gradual</w:t>
      </w:r>
      <w:r w:rsidR="00B8275E" w:rsidRPr="00E3756C">
        <w:t xml:space="preserve"> </w:t>
      </w:r>
      <w:r w:rsidRPr="00E3756C">
        <w:t>onset trends or shifts through time, driven by single or multiple climate variables (eg</w:t>
      </w:r>
      <w:r w:rsidR="00B8275E" w:rsidRPr="00E3756C">
        <w:t>,</w:t>
      </w:r>
      <w:r w:rsidRPr="00E3756C">
        <w:t xml:space="preserve"> heating and associated changes). The steps </w:t>
      </w:r>
      <w:r w:rsidR="003C1DCF" w:rsidRPr="00E3756C">
        <w:t xml:space="preserve">for </w:t>
      </w:r>
      <w:r w:rsidRPr="00E3756C">
        <w:t>defining the hazard component are out</w:t>
      </w:r>
      <w:r w:rsidR="003C1DCF" w:rsidRPr="00E3756C">
        <w:t>lined</w:t>
      </w:r>
      <w:r w:rsidRPr="00E3756C">
        <w:t xml:space="preserve"> in </w:t>
      </w:r>
      <w:hyperlink w:anchor="figureB12" w:history="1">
        <w:r w:rsidR="003C1DCF" w:rsidRPr="00E3756C">
          <w:rPr>
            <w:rStyle w:val="Hyperlink"/>
          </w:rPr>
          <w:t>f</w:t>
        </w:r>
        <w:r w:rsidRPr="00E3756C">
          <w:rPr>
            <w:rStyle w:val="Hyperlink"/>
          </w:rPr>
          <w:t>igure</w:t>
        </w:r>
        <w:r w:rsidR="003C1DCF" w:rsidRPr="00E3756C">
          <w:rPr>
            <w:rStyle w:val="Hyperlink"/>
          </w:rPr>
          <w:t> </w:t>
        </w:r>
        <w:r w:rsidRPr="00E3756C">
          <w:rPr>
            <w:rStyle w:val="Hyperlink"/>
          </w:rPr>
          <w:t>B1</w:t>
        </w:r>
        <w:r w:rsidR="003C1DCF" w:rsidRPr="00E3756C">
          <w:rPr>
            <w:rStyle w:val="Hyperlink"/>
          </w:rPr>
          <w:t>–</w:t>
        </w:r>
        <w:r w:rsidRPr="00E3756C">
          <w:rPr>
            <w:rStyle w:val="Hyperlink"/>
          </w:rPr>
          <w:t>2</w:t>
        </w:r>
      </w:hyperlink>
      <w:r w:rsidR="003C1DCF" w:rsidRPr="00E3756C">
        <w:t>,</w:t>
      </w:r>
      <w:r w:rsidRPr="00E3756C">
        <w:t xml:space="preserve"> which shows how various primary and secondary climate variables combine to cause the climate-related hazards. These hazards can be examined in the risk assessment stages for all value domains and associated sectors.</w:t>
      </w:r>
    </w:p>
    <w:p w14:paraId="57F8A6BE" w14:textId="77777777" w:rsidR="00F947CE" w:rsidRPr="00E3756C" w:rsidRDefault="00F947CE" w:rsidP="00F947CE">
      <w:pPr>
        <w:pStyle w:val="BodyText"/>
      </w:pPr>
      <w:r w:rsidRPr="00E3756C">
        <w:t>Changes or trends in climate-related variables at the sub-national scale (</w:t>
      </w:r>
      <w:r w:rsidR="00015BAB" w:rsidRPr="00E3756C">
        <w:t>seven</w:t>
      </w:r>
      <w:r w:rsidRPr="00E3756C">
        <w:t xml:space="preserve"> climate zones; </w:t>
      </w:r>
      <w:hyperlink w:anchor="figureB11" w:history="1">
        <w:r w:rsidR="00015BAB" w:rsidRPr="003E514E">
          <w:rPr>
            <w:rStyle w:val="Hyperlink"/>
          </w:rPr>
          <w:t>f</w:t>
        </w:r>
        <w:r w:rsidRPr="003E514E">
          <w:rPr>
            <w:rStyle w:val="Hyperlink"/>
          </w:rPr>
          <w:t>igure B1-1</w:t>
        </w:r>
      </w:hyperlink>
      <w:r w:rsidRPr="00E3756C">
        <w:t>) should be determined from recommended climate</w:t>
      </w:r>
      <w:r w:rsidR="00015BAB" w:rsidRPr="00E3756C">
        <w:t xml:space="preserve"> </w:t>
      </w:r>
      <w:r w:rsidRPr="00E3756C">
        <w:t xml:space="preserve">change projections (see </w:t>
      </w:r>
      <w:hyperlink w:anchor="_B1.3_Climate-related_changes:" w:history="1">
        <w:r w:rsidR="00015BAB" w:rsidRPr="00E3756C">
          <w:rPr>
            <w:rStyle w:val="Hyperlink"/>
          </w:rPr>
          <w:t>s</w:t>
        </w:r>
        <w:r w:rsidRPr="00E3756C">
          <w:rPr>
            <w:rStyle w:val="Hyperlink"/>
          </w:rPr>
          <w:t xml:space="preserve">ection </w:t>
        </w:r>
        <w:r w:rsidRPr="00E3756C">
          <w:rPr>
            <w:rStyle w:val="Hyperlink"/>
          </w:rPr>
          <w:lastRenderedPageBreak/>
          <w:t>B1.3</w:t>
        </w:r>
      </w:hyperlink>
      <w:r w:rsidRPr="00E3756C">
        <w:t>)</w:t>
      </w:r>
      <w:r w:rsidR="00015BAB" w:rsidRPr="00E3756C">
        <w:t>,</w:t>
      </w:r>
      <w:r w:rsidRPr="00E3756C">
        <w:t xml:space="preserve"> where available, or from credible information sources (examples in </w:t>
      </w:r>
      <w:hyperlink w:anchor="_Chapter_C4:_Information" w:history="1">
        <w:r w:rsidR="00015BAB" w:rsidRPr="00E3756C">
          <w:rPr>
            <w:rStyle w:val="Hyperlink"/>
          </w:rPr>
          <w:t>c</w:t>
        </w:r>
        <w:r w:rsidRPr="00E3756C">
          <w:rPr>
            <w:rStyle w:val="Hyperlink"/>
          </w:rPr>
          <w:t>hapter C4</w:t>
        </w:r>
      </w:hyperlink>
      <w:r w:rsidRPr="00E3756C">
        <w:t>) and/or elicitation processes. To reduce the workload at the first</w:t>
      </w:r>
      <w:r w:rsidR="00DC2B75" w:rsidRPr="00E3756C">
        <w:t>-</w:t>
      </w:r>
      <w:r w:rsidRPr="00E3756C">
        <w:t xml:space="preserve">pass risk screening stage (Stage 1, </w:t>
      </w:r>
      <w:hyperlink w:anchor="_Chapter_B2:_Assessment" w:history="1">
        <w:r w:rsidR="00015BAB" w:rsidRPr="00E3756C">
          <w:rPr>
            <w:rStyle w:val="Hyperlink"/>
          </w:rPr>
          <w:t>c</w:t>
        </w:r>
        <w:r w:rsidRPr="00E3756C">
          <w:rPr>
            <w:rStyle w:val="Hyperlink"/>
          </w:rPr>
          <w:t>hapter B2</w:t>
        </w:r>
      </w:hyperlink>
      <w:r w:rsidRPr="00E3756C">
        <w:t xml:space="preserve">) and to focus on the higher emerging risks, only hazards for the higher projection RCP8.5 are needed initially. Those higher risks transferred to the detailed risk assessment stage should then be </w:t>
      </w:r>
      <w:r w:rsidR="001053E7" w:rsidRPr="00E3756C">
        <w:t xml:space="preserve">further </w:t>
      </w:r>
      <w:r w:rsidRPr="00E3756C">
        <w:t>examined using hazards derived from both RCP4.5 and RCP8.5 projections in Stage 2 (</w:t>
      </w:r>
      <w:hyperlink w:anchor="_Chapter_B3:_Assessment" w:history="1">
        <w:r w:rsidR="001053E7" w:rsidRPr="00E3756C">
          <w:rPr>
            <w:rStyle w:val="Hyperlink"/>
          </w:rPr>
          <w:t>c</w:t>
        </w:r>
        <w:r w:rsidRPr="00E3756C">
          <w:rPr>
            <w:rStyle w:val="Hyperlink"/>
          </w:rPr>
          <w:t>hapter B3</w:t>
        </w:r>
      </w:hyperlink>
      <w:r w:rsidRPr="00E3756C">
        <w:t xml:space="preserve">). </w:t>
      </w:r>
    </w:p>
    <w:p w14:paraId="7921BD7B" w14:textId="77777777" w:rsidR="00F947CE" w:rsidRPr="00E3756C" w:rsidRDefault="00F947CE" w:rsidP="00F947CE">
      <w:pPr>
        <w:pStyle w:val="BodyText"/>
      </w:pPr>
      <w:r w:rsidRPr="00E3756C">
        <w:t>Hazard descriptors should be developed for the present</w:t>
      </w:r>
      <w:r w:rsidR="001053E7" w:rsidRPr="00E3756C">
        <w:t xml:space="preserve"> </w:t>
      </w:r>
      <w:r w:rsidRPr="00E3756C">
        <w:t>day (eg</w:t>
      </w:r>
      <w:r w:rsidR="001053E7" w:rsidRPr="00E3756C">
        <w:t>,</w:t>
      </w:r>
      <w:r w:rsidRPr="00E3756C">
        <w:t xml:space="preserve"> </w:t>
      </w:r>
      <w:r w:rsidR="001053E7" w:rsidRPr="00E3756C">
        <w:t>p</w:t>
      </w:r>
      <w:r w:rsidRPr="00E3756C">
        <w:t xml:space="preserve">ast </w:t>
      </w:r>
      <w:r w:rsidR="001053E7" w:rsidRPr="00E3756C">
        <w:t>one-to-two</w:t>
      </w:r>
      <w:r w:rsidRPr="00E3756C">
        <w:t xml:space="preserve"> decades) to appraise the climate-related changes presently being experienced, then at two selected future timeframes, plus by 2150 for coastal</w:t>
      </w:r>
      <w:r w:rsidR="00431B1A" w:rsidRPr="00E3756C">
        <w:t xml:space="preserve"> </w:t>
      </w:r>
      <w:r w:rsidRPr="00E3756C">
        <w:t xml:space="preserve">hazard risks </w:t>
      </w:r>
      <w:r w:rsidR="00431B1A" w:rsidRPr="00E3756C">
        <w:t xml:space="preserve">only </w:t>
      </w:r>
      <w:r w:rsidRPr="00E3756C">
        <w:t>(</w:t>
      </w:r>
      <w:hyperlink w:anchor="_A3.3__Identifying" w:history="1">
        <w:r w:rsidRPr="00E3756C">
          <w:rPr>
            <w:rStyle w:val="Hyperlink"/>
          </w:rPr>
          <w:t>section A3.3</w:t>
        </w:r>
      </w:hyperlink>
      <w:r w:rsidRPr="00E3756C">
        <w:t xml:space="preserve">). </w:t>
      </w:r>
    </w:p>
    <w:p w14:paraId="1E6F1E8F" w14:textId="77777777" w:rsidR="00F947CE" w:rsidRPr="00E3756C" w:rsidRDefault="00F947CE" w:rsidP="00F947CE">
      <w:pPr>
        <w:pStyle w:val="BodyText"/>
      </w:pPr>
      <w:r w:rsidRPr="00E3756C">
        <w:t>The aim is to determine a credible suite of hazard descriptors applicable to the seven sub-national climate zones (or generically across Aotearoa</w:t>
      </w:r>
      <w:r w:rsidR="001620D7" w:rsidRPr="00E3756C">
        <w:t xml:space="preserve"> </w:t>
      </w:r>
      <w:r w:rsidRPr="00E3756C">
        <w:t>N</w:t>
      </w:r>
      <w:r w:rsidR="001620D7" w:rsidRPr="00E3756C">
        <w:t xml:space="preserve">ew </w:t>
      </w:r>
      <w:r w:rsidRPr="00E3756C">
        <w:t>Z</w:t>
      </w:r>
      <w:r w:rsidR="001620D7" w:rsidRPr="00E3756C">
        <w:t>ealand</w:t>
      </w:r>
      <w:r w:rsidRPr="00E3756C">
        <w:t>, eg</w:t>
      </w:r>
      <w:r w:rsidR="001620D7" w:rsidRPr="00E3756C">
        <w:t>,</w:t>
      </w:r>
      <w:r w:rsidRPr="00E3756C">
        <w:t xml:space="preserve"> sea-level rise) to populate the hazard component for the risk assessments in </w:t>
      </w:r>
      <w:r w:rsidR="005E0E80" w:rsidRPr="00E3756C">
        <w:t>c</w:t>
      </w:r>
      <w:r w:rsidRPr="00E3756C">
        <w:t>hapter</w:t>
      </w:r>
      <w:r w:rsidR="005E0E80" w:rsidRPr="00E3756C">
        <w:t>s</w:t>
      </w:r>
      <w:r w:rsidRPr="00E3756C">
        <w:t xml:space="preserve"> </w:t>
      </w:r>
      <w:hyperlink w:anchor="_Chapter_B2:_Assessment" w:history="1">
        <w:r w:rsidRPr="003E514E">
          <w:rPr>
            <w:rStyle w:val="Hyperlink"/>
          </w:rPr>
          <w:t>B2</w:t>
        </w:r>
      </w:hyperlink>
      <w:r w:rsidRPr="00E3756C">
        <w:t xml:space="preserve"> and </w:t>
      </w:r>
      <w:hyperlink w:anchor="_Chapter_B3:_Assessment" w:history="1">
        <w:r w:rsidRPr="003E514E">
          <w:rPr>
            <w:rStyle w:val="Hyperlink"/>
          </w:rPr>
          <w:t>B3</w:t>
        </w:r>
      </w:hyperlink>
      <w:r w:rsidRPr="00E3756C">
        <w:t>.</w:t>
      </w:r>
    </w:p>
    <w:p w14:paraId="27F405A1" w14:textId="77777777" w:rsidR="00F947CE" w:rsidRPr="00E3756C" w:rsidRDefault="001240F8" w:rsidP="00F947CE">
      <w:pPr>
        <w:pStyle w:val="BodyText"/>
      </w:pPr>
      <w:r w:rsidRPr="00E3756C">
        <w:t>T</w:t>
      </w:r>
      <w:r w:rsidR="00F947CE" w:rsidRPr="00E3756C">
        <w:t xml:space="preserve">he assessor can augment </w:t>
      </w:r>
      <w:r w:rsidRPr="00E3756C">
        <w:t xml:space="preserve">the derivation of the suite of hazards and their descriptors </w:t>
      </w:r>
      <w:r w:rsidR="00F947CE" w:rsidRPr="00E3756C">
        <w:t>through</w:t>
      </w:r>
      <w:r w:rsidR="00FF21DE">
        <w:t xml:space="preserve"> </w:t>
      </w:r>
      <w:r w:rsidR="00F947CE" w:rsidRPr="00E3756C">
        <w:t>expert input</w:t>
      </w:r>
      <w:r w:rsidRPr="00E3756C">
        <w:t>. This can</w:t>
      </w:r>
      <w:r w:rsidR="00F947CE" w:rsidRPr="00E3756C">
        <w:t xml:space="preserve"> includ</w:t>
      </w:r>
      <w:r w:rsidRPr="00E3756C">
        <w:t>e</w:t>
      </w:r>
      <w:r w:rsidR="00F947CE" w:rsidRPr="00E3756C">
        <w:t xml:space="preserve"> how changes in primary and secondary climate variables</w:t>
      </w:r>
      <w:r w:rsidR="007A339A">
        <w:t> </w:t>
      </w:r>
      <w:r w:rsidR="00F947CE" w:rsidRPr="00E3756C">
        <w:t>influence changes in the hazard over time (from the present</w:t>
      </w:r>
      <w:r w:rsidR="00B72017" w:rsidRPr="00E3756C">
        <w:t xml:space="preserve"> </w:t>
      </w:r>
      <w:r w:rsidR="00F947CE" w:rsidRPr="00E3756C">
        <w:t>day), including changes</w:t>
      </w:r>
      <w:r w:rsidR="0065502F">
        <w:t> </w:t>
      </w:r>
      <w:r w:rsidR="00F947CE" w:rsidRPr="00E3756C">
        <w:t xml:space="preserve">in magnitude (severity), persistence </w:t>
      </w:r>
      <w:r w:rsidRPr="00E3756C">
        <w:t xml:space="preserve">and </w:t>
      </w:r>
      <w:r w:rsidR="00F947CE" w:rsidRPr="00E3756C">
        <w:t xml:space="preserve">changing frequency with time. </w:t>
      </w:r>
      <w:r w:rsidR="00C146DA" w:rsidRPr="00E3756C">
        <w:t>H</w:t>
      </w:r>
      <w:r w:rsidR="00F947CE" w:rsidRPr="00E3756C">
        <w:t>azard descriptors should also be confirmed at the outset of the first-pass risk screening stage during</w:t>
      </w:r>
      <w:r w:rsidR="0065502F">
        <w:t> </w:t>
      </w:r>
      <w:r w:rsidR="00F947CE" w:rsidRPr="00E3756C">
        <w:t xml:space="preserve">risk elicitation or workshops for each sector. </w:t>
      </w:r>
    </w:p>
    <w:p w14:paraId="5788B55F" w14:textId="77777777" w:rsidR="00F947CE" w:rsidRPr="00E3756C" w:rsidRDefault="00F947CE" w:rsidP="00F947CE">
      <w:pPr>
        <w:pStyle w:val="BodyText"/>
      </w:pPr>
      <w:r w:rsidRPr="00E3756C">
        <w:t>If the magnitudes and uncertainties or changes in climate hazards are largely unknown (ie</w:t>
      </w:r>
      <w:r w:rsidR="00C146DA" w:rsidRPr="00E3756C">
        <w:t>,</w:t>
      </w:r>
      <w:r w:rsidRPr="00E3756C">
        <w:t xml:space="preserve"> strength of evidence is low), this aspect should be carried into the risk assessment stages and noted as a gap and</w:t>
      </w:r>
      <w:r w:rsidR="006B5C22" w:rsidRPr="00E3756C">
        <w:t>,</w:t>
      </w:r>
      <w:r w:rsidRPr="00E3756C">
        <w:t xml:space="preserve"> hence</w:t>
      </w:r>
      <w:r w:rsidR="006B5C22" w:rsidRPr="00E3756C">
        <w:t>,</w:t>
      </w:r>
      <w:r w:rsidRPr="00E3756C">
        <w:t xml:space="preserve"> a potential research priority, particularly if the potential risk is perceived to be moderate or high (</w:t>
      </w:r>
      <w:hyperlink w:anchor="_Chapter_B4:_Assessment" w:history="1">
        <w:r w:rsidR="00C146DA" w:rsidRPr="00E3756C">
          <w:rPr>
            <w:rStyle w:val="Hyperlink"/>
          </w:rPr>
          <w:t>c</w:t>
        </w:r>
        <w:r w:rsidRPr="00E3756C">
          <w:rPr>
            <w:rStyle w:val="Hyperlink"/>
          </w:rPr>
          <w:t>hapter B4</w:t>
        </w:r>
      </w:hyperlink>
      <w:r w:rsidRPr="00E3756C">
        <w:t>).</w:t>
      </w:r>
    </w:p>
    <w:p w14:paraId="32A2ED15" w14:textId="77777777" w:rsidR="00F947CE" w:rsidRPr="00E3756C" w:rsidRDefault="00F947CE" w:rsidP="00E21424">
      <w:pPr>
        <w:pStyle w:val="Figureheading"/>
        <w:spacing w:after="0"/>
        <w:rPr>
          <w:sz w:val="16"/>
          <w:szCs w:val="16"/>
        </w:rPr>
      </w:pPr>
      <w:bookmarkStart w:id="107" w:name="figureB12"/>
      <w:bookmarkStart w:id="108" w:name="_Toc16586519"/>
      <w:r w:rsidRPr="00E3756C">
        <w:t>Figure B1-2</w:t>
      </w:r>
      <w:bookmarkEnd w:id="107"/>
      <w:r w:rsidRPr="00E3756C">
        <w:t>:</w:t>
      </w:r>
      <w:r w:rsidR="00484C8A" w:rsidRPr="00E3756C">
        <w:t xml:space="preserve"> </w:t>
      </w:r>
      <w:r w:rsidR="00E21424" w:rsidRPr="00E3756C">
        <w:tab/>
      </w:r>
      <w:r w:rsidRPr="00E3756C">
        <w:t>Steps in translating climate</w:t>
      </w:r>
      <w:r w:rsidR="00E21424" w:rsidRPr="00E3756C">
        <w:t xml:space="preserve"> </w:t>
      </w:r>
      <w:r w:rsidRPr="00E3756C">
        <w:t>change variables to hazards in each sub-national climate zone</w:t>
      </w:r>
      <w:r w:rsidR="00F924C5">
        <w:t>,</w:t>
      </w:r>
      <w:r w:rsidRPr="00E3756C">
        <w:t xml:space="preserve"> applicable to specified timeframes for two climate</w:t>
      </w:r>
      <w:r w:rsidR="00E21424" w:rsidRPr="00E3756C">
        <w:t xml:space="preserve"> </w:t>
      </w:r>
      <w:r w:rsidRPr="00E3756C">
        <w:t>change projections</w:t>
      </w:r>
      <w:bookmarkEnd w:id="108"/>
    </w:p>
    <w:p w14:paraId="2F6E03DD" w14:textId="77777777" w:rsidR="00F947CE" w:rsidRPr="00E3756C" w:rsidRDefault="008859B1" w:rsidP="003F2743">
      <w:pPr>
        <w:spacing w:before="0"/>
      </w:pPr>
      <w:r>
        <w:rPr>
          <w:noProof/>
        </w:rPr>
        <w:drawing>
          <wp:inline distT="0" distB="0" distL="0" distR="0" wp14:anchorId="700D963A" wp14:editId="5449302C">
            <wp:extent cx="5739879" cy="32289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lide1.JPG"/>
                    <pic:cNvPicPr/>
                  </pic:nvPicPr>
                  <pic:blipFill>
                    <a:blip r:embed="rId28">
                      <a:extLst>
                        <a:ext uri="{28A0092B-C50C-407E-A947-70E740481C1C}">
                          <a14:useLocalDpi xmlns:a14="http://schemas.microsoft.com/office/drawing/2010/main" val="0"/>
                        </a:ext>
                      </a:extLst>
                    </a:blip>
                    <a:stretch>
                      <a:fillRect/>
                    </a:stretch>
                  </pic:blipFill>
                  <pic:spPr>
                    <a:xfrm>
                      <a:off x="0" y="0"/>
                      <a:ext cx="5741606" cy="3229947"/>
                    </a:xfrm>
                    <a:prstGeom prst="rect">
                      <a:avLst/>
                    </a:prstGeom>
                  </pic:spPr>
                </pic:pic>
              </a:graphicData>
            </a:graphic>
          </wp:inline>
        </w:drawing>
      </w:r>
    </w:p>
    <w:p w14:paraId="2A9708D5" w14:textId="77777777" w:rsidR="00E21424" w:rsidRPr="00E3756C" w:rsidRDefault="00E21424" w:rsidP="00E21424">
      <w:pPr>
        <w:pStyle w:val="Note"/>
      </w:pPr>
      <w:r w:rsidRPr="00E3756C">
        <w:t xml:space="preserve">Note: The starting </w:t>
      </w:r>
      <w:r w:rsidR="002F4187" w:rsidRPr="00E3756C">
        <w:t>point</w:t>
      </w:r>
      <w:r w:rsidRPr="00E3756C">
        <w:t xml:space="preserve"> in the elicitation</w:t>
      </w:r>
      <w:r w:rsidR="006C18FD" w:rsidRPr="00E3756C">
        <w:t xml:space="preserve"> and </w:t>
      </w:r>
      <w:r w:rsidRPr="00E3756C">
        <w:t xml:space="preserve">engagement processes is the </w:t>
      </w:r>
      <w:r w:rsidR="00DA4369" w:rsidRPr="00E3756C">
        <w:t xml:space="preserve">list of </w:t>
      </w:r>
      <w:r w:rsidRPr="00E3756C">
        <w:t xml:space="preserve">suggested hazards in </w:t>
      </w:r>
      <w:hyperlink w:anchor="tableB11" w:history="1">
        <w:r w:rsidR="006C18FD" w:rsidRPr="00E3756C">
          <w:rPr>
            <w:rStyle w:val="Hyperlink"/>
          </w:rPr>
          <w:t>t</w:t>
        </w:r>
        <w:r w:rsidRPr="00E3756C">
          <w:rPr>
            <w:rStyle w:val="Hyperlink"/>
          </w:rPr>
          <w:t>able</w:t>
        </w:r>
        <w:r w:rsidR="006C18FD" w:rsidRPr="00E3756C">
          <w:rPr>
            <w:rStyle w:val="Hyperlink"/>
          </w:rPr>
          <w:t> </w:t>
        </w:r>
        <w:r w:rsidRPr="00E3756C">
          <w:rPr>
            <w:rStyle w:val="Hyperlink"/>
          </w:rPr>
          <w:t>B1</w:t>
        </w:r>
        <w:r w:rsidR="006C18FD" w:rsidRPr="00E3756C">
          <w:rPr>
            <w:rStyle w:val="Hyperlink"/>
          </w:rPr>
          <w:noBreakHyphen/>
        </w:r>
        <w:r w:rsidRPr="00E3756C">
          <w:rPr>
            <w:rStyle w:val="Hyperlink"/>
          </w:rPr>
          <w:t>1</w:t>
        </w:r>
      </w:hyperlink>
      <w:r w:rsidRPr="00E3756C">
        <w:t>. The outputs are the descriptors of hazards due to climate change that input to the risk assessment stages (</w:t>
      </w:r>
      <w:r w:rsidR="006C18FD" w:rsidRPr="00E3756C">
        <w:t>c</w:t>
      </w:r>
      <w:r w:rsidRPr="00E3756C">
        <w:t>hapter</w:t>
      </w:r>
      <w:r w:rsidR="006C18FD" w:rsidRPr="00E3756C">
        <w:t>s</w:t>
      </w:r>
      <w:r w:rsidRPr="00E3756C">
        <w:t xml:space="preserve"> B2 and B3). Inset map shows the sub-national climate zones (</w:t>
      </w:r>
      <w:hyperlink w:anchor="figureB11" w:history="1">
        <w:r w:rsidR="006C18FD" w:rsidRPr="00E3756C">
          <w:rPr>
            <w:rStyle w:val="Hyperlink"/>
          </w:rPr>
          <w:t>f</w:t>
        </w:r>
        <w:r w:rsidRPr="00E3756C">
          <w:rPr>
            <w:rStyle w:val="Hyperlink"/>
          </w:rPr>
          <w:t>igure B1-1</w:t>
        </w:r>
      </w:hyperlink>
      <w:r w:rsidRPr="00E3756C">
        <w:t>), with zones 1A and 1B applying to marine</w:t>
      </w:r>
      <w:r w:rsidR="006C18FD" w:rsidRPr="00E3756C">
        <w:t xml:space="preserve"> and </w:t>
      </w:r>
      <w:r w:rsidRPr="00E3756C">
        <w:t>coastal risks in northern Aotearoa</w:t>
      </w:r>
      <w:r w:rsidR="006C18FD" w:rsidRPr="00E3756C">
        <w:t xml:space="preserve"> </w:t>
      </w:r>
      <w:r w:rsidRPr="00E3756C">
        <w:t>N</w:t>
      </w:r>
      <w:r w:rsidR="006C18FD" w:rsidRPr="00E3756C">
        <w:t xml:space="preserve">ew </w:t>
      </w:r>
      <w:r w:rsidRPr="00E3756C">
        <w:t>Z</w:t>
      </w:r>
      <w:r w:rsidR="006C18FD" w:rsidRPr="00E3756C">
        <w:t>ealand</w:t>
      </w:r>
      <w:r w:rsidRPr="00E3756C">
        <w:t xml:space="preserve">. </w:t>
      </w:r>
      <w:r w:rsidR="00822F13" w:rsidRPr="00E3756C">
        <w:t xml:space="preserve">MfE = Ministry for the Environment; </w:t>
      </w:r>
      <w:r w:rsidRPr="00E3756C">
        <w:t>SLR = sea</w:t>
      </w:r>
      <w:r w:rsidR="00822F13" w:rsidRPr="00E3756C">
        <w:t>-</w:t>
      </w:r>
      <w:r w:rsidRPr="00E3756C">
        <w:t>level rise</w:t>
      </w:r>
      <w:r w:rsidR="00822F13" w:rsidRPr="00E3756C">
        <w:t>.</w:t>
      </w:r>
    </w:p>
    <w:p w14:paraId="7F3A9B28" w14:textId="77777777" w:rsidR="00F947CE" w:rsidRPr="00E3756C" w:rsidRDefault="00F947CE" w:rsidP="005B49FE">
      <w:pPr>
        <w:pStyle w:val="BodyText"/>
      </w:pPr>
      <w:r w:rsidRPr="00E3756C">
        <w:lastRenderedPageBreak/>
        <w:t xml:space="preserve">Table B1-1 provides an </w:t>
      </w:r>
      <w:r w:rsidR="00F924C5" w:rsidRPr="00E3756C">
        <w:t>exemplar</w:t>
      </w:r>
      <w:r w:rsidRPr="00E3756C">
        <w:t xml:space="preserve"> for recording the hazard descriptors for transferring to the risk assessments, with a useful starting point being </w:t>
      </w:r>
      <w:r w:rsidR="00D00DD1" w:rsidRPr="00E3756C">
        <w:t>t</w:t>
      </w:r>
      <w:r w:rsidRPr="00E3756C">
        <w:t xml:space="preserve">able 1 in the 2018 </w:t>
      </w:r>
      <w:r w:rsidR="00837705" w:rsidRPr="00E3756C">
        <w:t>Climate Change Projections for New Zealand (Ministry for the Environment, 2018)</w:t>
      </w:r>
      <w:r w:rsidRPr="00E3756C">
        <w:t xml:space="preserve">. </w:t>
      </w:r>
    </w:p>
    <w:p w14:paraId="065F4E30" w14:textId="77777777" w:rsidR="00B34692" w:rsidRPr="00E3756C" w:rsidRDefault="00F947CE" w:rsidP="00BF37FB">
      <w:pPr>
        <w:pStyle w:val="Tableheading"/>
      </w:pPr>
      <w:bookmarkStart w:id="109" w:name="tableB11"/>
      <w:bookmarkStart w:id="110" w:name="_Toc16586494"/>
      <w:r w:rsidRPr="00E3756C">
        <w:t>Table B1-1</w:t>
      </w:r>
      <w:bookmarkEnd w:id="109"/>
      <w:r w:rsidRPr="00E3756C">
        <w:t xml:space="preserve">: </w:t>
      </w:r>
      <w:r w:rsidR="005B49FE" w:rsidRPr="00E3756C">
        <w:tab/>
      </w:r>
      <w:r w:rsidRPr="00E3756C">
        <w:t>Example table for recording descriptors of the present state and future changes of hazards (including stressors</w:t>
      </w:r>
      <w:r w:rsidR="00573473" w:rsidRPr="00E3756C">
        <w:t xml:space="preserve"> and </w:t>
      </w:r>
      <w:r w:rsidRPr="00E3756C">
        <w:t>trends) for the two projections RCP4.5 (moderate emissions mitigation) and RCP8.5 (continuing high global</w:t>
      </w:r>
      <w:r w:rsidR="00727E48" w:rsidRPr="00E3756C">
        <w:t> </w:t>
      </w:r>
      <w:r w:rsidRPr="00E3756C">
        <w:t>emissions)</w:t>
      </w:r>
      <w:bookmarkEnd w:id="110"/>
      <w:r w:rsidR="00484C8A" w:rsidRPr="00E3756C">
        <w:t xml:space="preserve"> </w:t>
      </w: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CellMar>
          <w:left w:w="85" w:type="dxa"/>
          <w:right w:w="85" w:type="dxa"/>
        </w:tblCellMar>
        <w:tblLook w:val="0600" w:firstRow="0" w:lastRow="0" w:firstColumn="0" w:lastColumn="0" w:noHBand="1" w:noVBand="1"/>
      </w:tblPr>
      <w:tblGrid>
        <w:gridCol w:w="1703"/>
        <w:gridCol w:w="2410"/>
        <w:gridCol w:w="2268"/>
        <w:gridCol w:w="2124"/>
      </w:tblGrid>
      <w:tr w:rsidR="005B49FE" w:rsidRPr="00E3756C" w14:paraId="037DAFBA" w14:textId="77777777" w:rsidTr="003E514E">
        <w:trPr>
          <w:tblHeader/>
        </w:trPr>
        <w:tc>
          <w:tcPr>
            <w:tcW w:w="1703" w:type="dxa"/>
            <w:tcBorders>
              <w:bottom w:val="nil"/>
            </w:tcBorders>
            <w:shd w:val="clear" w:color="auto" w:fill="1C556C" w:themeFill="accent1"/>
            <w:tcMar>
              <w:top w:w="0" w:type="dxa"/>
              <w:left w:w="85" w:type="dxa"/>
              <w:bottom w:w="0" w:type="dxa"/>
              <w:right w:w="85" w:type="dxa"/>
            </w:tcMar>
            <w:vAlign w:val="bottom"/>
          </w:tcPr>
          <w:p w14:paraId="11473645" w14:textId="77777777" w:rsidR="005B49FE" w:rsidRPr="00E3756C" w:rsidRDefault="005B49FE" w:rsidP="005B49FE">
            <w:pPr>
              <w:pStyle w:val="TableTextbold"/>
              <w:keepNext/>
              <w:rPr>
                <w:color w:val="FFFFFF" w:themeColor="background1"/>
              </w:rPr>
            </w:pPr>
            <w:r w:rsidRPr="00E3756C">
              <w:rPr>
                <w:color w:val="FFFFFF" w:themeColor="background1"/>
              </w:rPr>
              <w:t>Hazard</w:t>
            </w:r>
          </w:p>
        </w:tc>
        <w:tc>
          <w:tcPr>
            <w:tcW w:w="2410" w:type="dxa"/>
            <w:tcBorders>
              <w:bottom w:val="nil"/>
            </w:tcBorders>
            <w:shd w:val="clear" w:color="auto" w:fill="1C556C" w:themeFill="accent1"/>
            <w:tcMar>
              <w:top w:w="0" w:type="dxa"/>
              <w:left w:w="85" w:type="dxa"/>
              <w:bottom w:w="0" w:type="dxa"/>
              <w:right w:w="85" w:type="dxa"/>
            </w:tcMar>
            <w:vAlign w:val="bottom"/>
          </w:tcPr>
          <w:p w14:paraId="73F9BCB2" w14:textId="77777777" w:rsidR="005B49FE" w:rsidRPr="00E3756C" w:rsidRDefault="005B49FE" w:rsidP="0088788F">
            <w:pPr>
              <w:pStyle w:val="TableTextbold"/>
              <w:keepNext/>
              <w:rPr>
                <w:color w:val="FFFFFF" w:themeColor="background1"/>
              </w:rPr>
            </w:pPr>
            <w:r w:rsidRPr="00E3756C">
              <w:rPr>
                <w:color w:val="FFFFFF" w:themeColor="background1"/>
              </w:rPr>
              <w:t>Recent</w:t>
            </w:r>
            <w:r w:rsidR="00925BD5" w:rsidRPr="00E3756C">
              <w:rPr>
                <w:color w:val="FFFFFF" w:themeColor="background1"/>
              </w:rPr>
              <w:t xml:space="preserve"> and </w:t>
            </w:r>
            <w:r w:rsidRPr="00E3756C">
              <w:rPr>
                <w:color w:val="FFFFFF" w:themeColor="background1"/>
              </w:rPr>
              <w:t>past effects or</w:t>
            </w:r>
            <w:r w:rsidR="0088788F" w:rsidRPr="00E3756C">
              <w:rPr>
                <w:color w:val="FFFFFF" w:themeColor="background1"/>
              </w:rPr>
              <w:t> </w:t>
            </w:r>
            <w:r w:rsidRPr="00E3756C">
              <w:rPr>
                <w:color w:val="FFFFFF" w:themeColor="background1"/>
              </w:rPr>
              <w:t>changes</w:t>
            </w:r>
          </w:p>
        </w:tc>
        <w:tc>
          <w:tcPr>
            <w:tcW w:w="2268" w:type="dxa"/>
            <w:tcBorders>
              <w:bottom w:val="nil"/>
            </w:tcBorders>
            <w:shd w:val="clear" w:color="auto" w:fill="1C556C" w:themeFill="accent1"/>
            <w:tcMar>
              <w:top w:w="0" w:type="dxa"/>
              <w:left w:w="85" w:type="dxa"/>
              <w:bottom w:w="0" w:type="dxa"/>
              <w:right w:w="85" w:type="dxa"/>
            </w:tcMar>
            <w:vAlign w:val="bottom"/>
          </w:tcPr>
          <w:p w14:paraId="4EC8EB61" w14:textId="77777777" w:rsidR="005B49FE" w:rsidRPr="00E3756C" w:rsidRDefault="005B49FE" w:rsidP="005B49FE">
            <w:pPr>
              <w:pStyle w:val="TableTextbold"/>
              <w:keepNext/>
              <w:spacing w:after="0"/>
              <w:rPr>
                <w:color w:val="FFFFFF" w:themeColor="background1"/>
              </w:rPr>
            </w:pPr>
            <w:r w:rsidRPr="00E3756C">
              <w:rPr>
                <w:color w:val="FFFFFF" w:themeColor="background1"/>
              </w:rPr>
              <w:t>Projected changes by ~2050 (30 y</w:t>
            </w:r>
            <w:r w:rsidR="00085840" w:rsidRPr="00E3756C">
              <w:rPr>
                <w:color w:val="FFFFFF" w:themeColor="background1"/>
              </w:rPr>
              <w:t>ea</w:t>
            </w:r>
            <w:r w:rsidRPr="00E3756C">
              <w:rPr>
                <w:color w:val="FFFFFF" w:themeColor="background1"/>
              </w:rPr>
              <w:t>rs)</w:t>
            </w:r>
          </w:p>
          <w:p w14:paraId="0CFAC5AD" w14:textId="77777777" w:rsidR="005B49FE" w:rsidRPr="00E3756C" w:rsidRDefault="005B49FE" w:rsidP="0088788F">
            <w:pPr>
              <w:pStyle w:val="TableTextbold"/>
              <w:keepNext/>
              <w:rPr>
                <w:i/>
                <w:color w:val="FFFFFF" w:themeColor="background1"/>
                <w:szCs w:val="18"/>
              </w:rPr>
            </w:pPr>
            <w:r w:rsidRPr="00E3756C">
              <w:rPr>
                <w:i/>
                <w:color w:val="FFFFFF" w:themeColor="background1"/>
                <w:szCs w:val="18"/>
              </w:rPr>
              <w:t>Direction and magnitude of</w:t>
            </w:r>
            <w:r w:rsidR="0088788F" w:rsidRPr="00E3756C">
              <w:rPr>
                <w:i/>
                <w:color w:val="FFFFFF" w:themeColor="background1"/>
                <w:szCs w:val="18"/>
              </w:rPr>
              <w:t> </w:t>
            </w:r>
            <w:r w:rsidRPr="00E3756C">
              <w:rPr>
                <w:i/>
                <w:color w:val="FFFFFF" w:themeColor="background1"/>
                <w:szCs w:val="18"/>
              </w:rPr>
              <w:t>change</w:t>
            </w:r>
          </w:p>
        </w:tc>
        <w:tc>
          <w:tcPr>
            <w:tcW w:w="2124" w:type="dxa"/>
            <w:tcBorders>
              <w:bottom w:val="nil"/>
            </w:tcBorders>
            <w:shd w:val="clear" w:color="auto" w:fill="1C556C" w:themeFill="accent1"/>
            <w:tcMar>
              <w:top w:w="0" w:type="dxa"/>
              <w:left w:w="85" w:type="dxa"/>
              <w:bottom w:w="0" w:type="dxa"/>
              <w:right w:w="85" w:type="dxa"/>
            </w:tcMar>
            <w:vAlign w:val="bottom"/>
          </w:tcPr>
          <w:p w14:paraId="0B7E44BC" w14:textId="77777777" w:rsidR="005B49FE" w:rsidRPr="00E3756C" w:rsidRDefault="005B49FE" w:rsidP="005B49FE">
            <w:pPr>
              <w:pStyle w:val="TableTextbold"/>
              <w:keepNext/>
              <w:spacing w:after="0"/>
              <w:rPr>
                <w:color w:val="FFFFFF" w:themeColor="background1"/>
              </w:rPr>
            </w:pPr>
            <w:r w:rsidRPr="00E3756C">
              <w:rPr>
                <w:color w:val="FFFFFF" w:themeColor="background1"/>
              </w:rPr>
              <w:t>Projected changes by ~2100 (60–80 y</w:t>
            </w:r>
            <w:r w:rsidR="00085840" w:rsidRPr="00E3756C">
              <w:rPr>
                <w:color w:val="FFFFFF" w:themeColor="background1"/>
              </w:rPr>
              <w:t>ea</w:t>
            </w:r>
            <w:r w:rsidRPr="00E3756C">
              <w:rPr>
                <w:color w:val="FFFFFF" w:themeColor="background1"/>
              </w:rPr>
              <w:t>rs)</w:t>
            </w:r>
          </w:p>
          <w:p w14:paraId="061F8D55" w14:textId="77777777" w:rsidR="005B49FE" w:rsidRPr="00E3756C" w:rsidRDefault="005B49FE" w:rsidP="0088788F">
            <w:pPr>
              <w:pStyle w:val="TableTextbold"/>
              <w:keepNext/>
              <w:rPr>
                <w:color w:val="FFFFFF" w:themeColor="background1"/>
              </w:rPr>
            </w:pPr>
            <w:r w:rsidRPr="00E3756C">
              <w:rPr>
                <w:i/>
                <w:color w:val="FFFFFF" w:themeColor="background1"/>
                <w:szCs w:val="18"/>
              </w:rPr>
              <w:t>Direction and magnitude of</w:t>
            </w:r>
            <w:r w:rsidR="0088788F" w:rsidRPr="00E3756C">
              <w:rPr>
                <w:i/>
                <w:color w:val="FFFFFF" w:themeColor="background1"/>
                <w:szCs w:val="18"/>
              </w:rPr>
              <w:t> </w:t>
            </w:r>
            <w:r w:rsidRPr="00E3756C">
              <w:rPr>
                <w:i/>
                <w:color w:val="FFFFFF" w:themeColor="background1"/>
                <w:szCs w:val="18"/>
              </w:rPr>
              <w:t>change</w:t>
            </w:r>
          </w:p>
        </w:tc>
      </w:tr>
      <w:tr w:rsidR="005B49FE" w:rsidRPr="00E3756C" w14:paraId="58AB0720" w14:textId="77777777" w:rsidTr="003E514E">
        <w:tc>
          <w:tcPr>
            <w:tcW w:w="1703" w:type="dxa"/>
            <w:tcBorders>
              <w:top w:val="nil"/>
            </w:tcBorders>
            <w:tcMar>
              <w:top w:w="0" w:type="dxa"/>
              <w:left w:w="85" w:type="dxa"/>
              <w:bottom w:w="0" w:type="dxa"/>
              <w:right w:w="85" w:type="dxa"/>
            </w:tcMar>
          </w:tcPr>
          <w:p w14:paraId="07CB2EBE" w14:textId="77777777" w:rsidR="005B49FE" w:rsidRPr="00E3756C" w:rsidRDefault="005B49FE" w:rsidP="00F1547B">
            <w:pPr>
              <w:pStyle w:val="TableText"/>
            </w:pPr>
            <w:r w:rsidRPr="00E3756C">
              <w:t>Rising mean</w:t>
            </w:r>
            <w:r w:rsidR="00484C8A" w:rsidRPr="00E3756C">
              <w:t xml:space="preserve"> </w:t>
            </w:r>
            <w:r w:rsidRPr="00E3756C">
              <w:t>temperature: air and</w:t>
            </w:r>
            <w:r w:rsidR="005D7137" w:rsidRPr="00E3756C">
              <w:t> </w:t>
            </w:r>
            <w:r w:rsidRPr="00E3756C">
              <w:t>water</w:t>
            </w:r>
          </w:p>
        </w:tc>
        <w:tc>
          <w:tcPr>
            <w:tcW w:w="2410" w:type="dxa"/>
            <w:tcBorders>
              <w:top w:val="nil"/>
            </w:tcBorders>
            <w:tcMar>
              <w:top w:w="0" w:type="dxa"/>
              <w:left w:w="85" w:type="dxa"/>
              <w:bottom w:w="0" w:type="dxa"/>
              <w:right w:w="85" w:type="dxa"/>
            </w:tcMar>
          </w:tcPr>
          <w:p w14:paraId="18CCDD08" w14:textId="77777777" w:rsidR="005B49FE" w:rsidRPr="00E3756C" w:rsidRDefault="005B49FE" w:rsidP="00F1547B">
            <w:pPr>
              <w:pStyle w:val="TableText"/>
            </w:pPr>
            <w:r w:rsidRPr="00E3756C">
              <w:t xml:space="preserve">Average air temperature has increased by 1.0°C over the </w:t>
            </w:r>
            <w:r w:rsidR="00085840" w:rsidRPr="00E3756C">
              <w:t>p</w:t>
            </w:r>
            <w:r w:rsidRPr="00E3756C">
              <w:t>ast 100</w:t>
            </w:r>
            <w:r w:rsidR="0088788F" w:rsidRPr="00E3756C">
              <w:t> </w:t>
            </w:r>
            <w:r w:rsidRPr="00E3756C">
              <w:t>years.</w:t>
            </w:r>
          </w:p>
          <w:p w14:paraId="0648439E" w14:textId="77777777" w:rsidR="005B49FE" w:rsidRPr="00E3756C" w:rsidRDefault="005B49FE" w:rsidP="00F1547B">
            <w:pPr>
              <w:pStyle w:val="TableText"/>
            </w:pPr>
            <w:r w:rsidRPr="00E3756C">
              <w:t xml:space="preserve">The </w:t>
            </w:r>
            <w:r w:rsidR="00085840" w:rsidRPr="00E3756C">
              <w:t>five</w:t>
            </w:r>
            <w:r w:rsidRPr="00E3756C">
              <w:t xml:space="preserve"> warmest years since 1909 are: 2016, 2018, 1998, 1999 and 2013</w:t>
            </w:r>
            <w:r w:rsidR="00BF37FB" w:rsidRPr="00E3756C">
              <w:t xml:space="preserve"> </w:t>
            </w:r>
            <w:r w:rsidRPr="00E3756C">
              <w:t>(0.84</w:t>
            </w:r>
            <w:r w:rsidR="003E514E">
              <w:t>–</w:t>
            </w:r>
            <w:r w:rsidRPr="00E3756C">
              <w:t>0.72°C above 1981</w:t>
            </w:r>
            <w:r w:rsidR="00375483" w:rsidRPr="00E3756C">
              <w:t>–</w:t>
            </w:r>
            <w:r w:rsidRPr="00E3756C">
              <w:t xml:space="preserve">2010 average) </w:t>
            </w:r>
            <w:r w:rsidR="00375483" w:rsidRPr="00E3756C">
              <w:t>(</w:t>
            </w:r>
            <w:r w:rsidRPr="00E3756C">
              <w:t>MfE</w:t>
            </w:r>
            <w:r w:rsidR="00066D6B" w:rsidRPr="00E3756C">
              <w:t xml:space="preserve">, </w:t>
            </w:r>
            <w:r w:rsidRPr="00E3756C">
              <w:t>Stats</w:t>
            </w:r>
            <w:r w:rsidR="00066D6B" w:rsidRPr="00E3756C">
              <w:t xml:space="preserve"> </w:t>
            </w:r>
            <w:r w:rsidRPr="00E3756C">
              <w:t>NZ</w:t>
            </w:r>
            <w:r w:rsidR="00484C8A" w:rsidRPr="00E3756C">
              <w:t xml:space="preserve"> </w:t>
            </w:r>
            <w:r w:rsidR="00375483" w:rsidRPr="00E3756C">
              <w:t>and</w:t>
            </w:r>
            <w:r w:rsidRPr="00E3756C">
              <w:t xml:space="preserve"> NIWA 7</w:t>
            </w:r>
            <w:r w:rsidR="00BF37FB" w:rsidRPr="00E3756C">
              <w:noBreakHyphen/>
            </w:r>
            <w:r w:rsidRPr="00E3756C">
              <w:t>station series</w:t>
            </w:r>
            <w:r w:rsidR="00375483" w:rsidRPr="00E3756C">
              <w:t>)</w:t>
            </w:r>
          </w:p>
          <w:p w14:paraId="1D56B15C" w14:textId="77777777" w:rsidR="005B49FE" w:rsidRPr="00E3756C" w:rsidRDefault="005B49FE" w:rsidP="00F1547B">
            <w:pPr>
              <w:pStyle w:val="TableText"/>
            </w:pPr>
            <w:r w:rsidRPr="00E3756C">
              <w:t>River and lake temperatures have risen by</w:t>
            </w:r>
            <w:r w:rsidR="00573473" w:rsidRPr="00E3756C">
              <w:t> </w:t>
            </w:r>
            <w:r w:rsidRPr="00E3756C">
              <w:t>...</w:t>
            </w:r>
          </w:p>
          <w:p w14:paraId="21DEC94D" w14:textId="77777777" w:rsidR="005B49FE" w:rsidRPr="00E3756C" w:rsidRDefault="005B49FE" w:rsidP="00B82368">
            <w:pPr>
              <w:pStyle w:val="TableText"/>
            </w:pPr>
            <w:r w:rsidRPr="00E3756C">
              <w:t>Sea-surface temperatures have risen by …. over period …</w:t>
            </w:r>
            <w:r w:rsidR="00375483" w:rsidRPr="00E3756C">
              <w:t xml:space="preserve"> </w:t>
            </w:r>
            <w:r w:rsidRPr="00E3756C">
              <w:t>with Tasman Sea marine heatwaves in the previous two summers</w:t>
            </w:r>
          </w:p>
        </w:tc>
        <w:tc>
          <w:tcPr>
            <w:tcW w:w="2268" w:type="dxa"/>
            <w:tcBorders>
              <w:top w:val="nil"/>
            </w:tcBorders>
            <w:tcMar>
              <w:top w:w="0" w:type="dxa"/>
              <w:left w:w="85" w:type="dxa"/>
              <w:bottom w:w="0" w:type="dxa"/>
              <w:right w:w="85" w:type="dxa"/>
            </w:tcMar>
          </w:tcPr>
          <w:p w14:paraId="7ADD4F42" w14:textId="77777777" w:rsidR="005B49FE" w:rsidRPr="00E3756C" w:rsidRDefault="005B49FE" w:rsidP="00F1547B">
            <w:pPr>
              <w:pStyle w:val="TableText"/>
            </w:pPr>
            <w:r w:rsidRPr="00E3756C">
              <w:rPr>
                <w:b/>
              </w:rPr>
              <w:t>RCP4.5</w:t>
            </w:r>
            <w:r w:rsidRPr="00E3756C">
              <w:t xml:space="preserve">: ensemble average increase for period </w:t>
            </w:r>
            <w:r w:rsidR="00BF37FB" w:rsidRPr="00E3756C">
              <w:br/>
            </w:r>
            <w:r w:rsidRPr="00B837FB">
              <w:rPr>
                <w:b/>
              </w:rPr>
              <w:t>2031</w:t>
            </w:r>
            <w:r w:rsidR="007445EE" w:rsidRPr="00E3756C">
              <w:rPr>
                <w:b/>
              </w:rPr>
              <w:t>–</w:t>
            </w:r>
            <w:r w:rsidRPr="00B837FB">
              <w:rPr>
                <w:b/>
              </w:rPr>
              <w:t>50</w:t>
            </w:r>
            <w:r w:rsidR="0088788F" w:rsidRPr="00E3756C">
              <w:t>,</w:t>
            </w:r>
            <w:r w:rsidRPr="00E3756C">
              <w:t xml:space="preserve"> eg</w:t>
            </w:r>
            <w:r w:rsidR="00E31109" w:rsidRPr="00E3756C">
              <w:t>,</w:t>
            </w:r>
            <w:r w:rsidRPr="00E3756C">
              <w:t xml:space="preserve"> zones 1, 4, 5</w:t>
            </w:r>
            <w:r w:rsidR="0088788F" w:rsidRPr="00E3756C">
              <w:t xml:space="preserve"> and </w:t>
            </w:r>
            <w:r w:rsidRPr="00E3756C">
              <w:t>6 (+</w:t>
            </w:r>
            <w:r w:rsidR="0088788F" w:rsidRPr="00E3756C">
              <w:t> </w:t>
            </w:r>
            <w:r w:rsidRPr="00E3756C">
              <w:t>0.9°C, +</w:t>
            </w:r>
            <w:r w:rsidR="00374D5D" w:rsidRPr="00E3756C">
              <w:t> </w:t>
            </w:r>
            <w:r w:rsidRPr="00E3756C">
              <w:t>0.9°C, +</w:t>
            </w:r>
            <w:r w:rsidR="00374D5D" w:rsidRPr="00E3756C">
              <w:t> </w:t>
            </w:r>
            <w:r w:rsidRPr="00E3756C">
              <w:t>0.7</w:t>
            </w:r>
            <w:r w:rsidR="00374D5D" w:rsidRPr="00E3756C">
              <w:t>–</w:t>
            </w:r>
            <w:r w:rsidRPr="00E3756C">
              <w:t>0.8°C)</w:t>
            </w:r>
            <w:r w:rsidR="00484C8A" w:rsidRPr="00E3756C">
              <w:t xml:space="preserve"> </w:t>
            </w:r>
            <w:r w:rsidR="00374D5D" w:rsidRPr="00E3756C">
              <w:t>(</w:t>
            </w:r>
            <w:r w:rsidRPr="00E3756C">
              <w:t>MfE</w:t>
            </w:r>
            <w:r w:rsidR="00374D5D" w:rsidRPr="00E3756C">
              <w:t xml:space="preserve">, </w:t>
            </w:r>
            <w:r w:rsidRPr="00E3756C">
              <w:t>2018)</w:t>
            </w:r>
          </w:p>
          <w:p w14:paraId="17369156" w14:textId="77777777" w:rsidR="005B49FE" w:rsidRPr="00E3756C" w:rsidRDefault="005B49FE" w:rsidP="00F1547B">
            <w:pPr>
              <w:pStyle w:val="TableText"/>
            </w:pPr>
            <w:r w:rsidRPr="00E3756C">
              <w:t>Freshwater temperatures for likely to rise by …</w:t>
            </w:r>
          </w:p>
          <w:p w14:paraId="23725B8C" w14:textId="77777777" w:rsidR="005B49FE" w:rsidRPr="00E3756C" w:rsidRDefault="00B82368" w:rsidP="00F1547B">
            <w:pPr>
              <w:pStyle w:val="TableText"/>
            </w:pPr>
            <w:r w:rsidRPr="00E3756C">
              <w:t>Sea-surface temperatures</w:t>
            </w:r>
            <w:r w:rsidR="005B49FE" w:rsidRPr="00E3756C">
              <w:t xml:space="preserve"> likely to rise by ... ?</w:t>
            </w:r>
          </w:p>
        </w:tc>
        <w:tc>
          <w:tcPr>
            <w:tcW w:w="2124" w:type="dxa"/>
            <w:tcBorders>
              <w:top w:val="nil"/>
            </w:tcBorders>
            <w:tcMar>
              <w:top w:w="0" w:type="dxa"/>
              <w:left w:w="85" w:type="dxa"/>
              <w:bottom w:w="0" w:type="dxa"/>
              <w:right w:w="85" w:type="dxa"/>
            </w:tcMar>
          </w:tcPr>
          <w:p w14:paraId="752ED263" w14:textId="77777777" w:rsidR="005B49FE" w:rsidRPr="00E3756C" w:rsidRDefault="005B49FE" w:rsidP="00F1547B">
            <w:pPr>
              <w:pStyle w:val="TableText"/>
            </w:pPr>
            <w:r w:rsidRPr="00E3756C">
              <w:rPr>
                <w:b/>
              </w:rPr>
              <w:t>RCP4.5</w:t>
            </w:r>
            <w:r w:rsidRPr="00E3756C">
              <w:t xml:space="preserve">: ensemble average increase for period </w:t>
            </w:r>
            <w:r w:rsidR="001D0261" w:rsidRPr="00E3756C">
              <w:br/>
            </w:r>
            <w:r w:rsidRPr="00B837FB">
              <w:rPr>
                <w:b/>
              </w:rPr>
              <w:t>2081</w:t>
            </w:r>
            <w:r w:rsidR="00374D5D" w:rsidRPr="00E3756C">
              <w:rPr>
                <w:b/>
              </w:rPr>
              <w:t>–</w:t>
            </w:r>
            <w:r w:rsidRPr="00B837FB">
              <w:rPr>
                <w:b/>
              </w:rPr>
              <w:t>2100</w:t>
            </w:r>
            <w:r w:rsidR="00374D5D" w:rsidRPr="00E3756C">
              <w:t>,</w:t>
            </w:r>
            <w:r w:rsidRPr="00E3756C">
              <w:t xml:space="preserve"> eg</w:t>
            </w:r>
            <w:r w:rsidR="00374D5D" w:rsidRPr="00E3756C">
              <w:t>,</w:t>
            </w:r>
            <w:r w:rsidRPr="00E3756C">
              <w:t xml:space="preserve"> zones 1, 4, 5</w:t>
            </w:r>
            <w:r w:rsidR="00374D5D" w:rsidRPr="00E3756C">
              <w:t xml:space="preserve"> and </w:t>
            </w:r>
            <w:r w:rsidRPr="00E3756C">
              <w:t>6 (+1.4°C, +1.4°C, +1.3</w:t>
            </w:r>
            <w:r w:rsidR="00374D5D" w:rsidRPr="00E3756C">
              <w:t>–</w:t>
            </w:r>
            <w:r w:rsidRPr="00E3756C">
              <w:t>1.4°C)</w:t>
            </w:r>
            <w:r w:rsidR="00484C8A" w:rsidRPr="00E3756C">
              <w:t xml:space="preserve"> </w:t>
            </w:r>
            <w:r w:rsidR="00374D5D" w:rsidRPr="00E3756C">
              <w:t>(</w:t>
            </w:r>
            <w:r w:rsidRPr="00E3756C">
              <w:t>MfE</w:t>
            </w:r>
            <w:r w:rsidR="00374D5D" w:rsidRPr="00E3756C">
              <w:t xml:space="preserve">, </w:t>
            </w:r>
            <w:r w:rsidRPr="00E3756C">
              <w:t>2018)</w:t>
            </w:r>
          </w:p>
          <w:p w14:paraId="204A1993" w14:textId="77777777" w:rsidR="005B49FE" w:rsidRPr="00E3756C" w:rsidRDefault="005B49FE" w:rsidP="00F1547B">
            <w:pPr>
              <w:pStyle w:val="TableText"/>
            </w:pPr>
            <w:r w:rsidRPr="00E3756C">
              <w:t>Freshwater temperatures for likely to rise by …</w:t>
            </w:r>
          </w:p>
          <w:p w14:paraId="55C3EEBF" w14:textId="77777777" w:rsidR="005B49FE" w:rsidRPr="00E3756C" w:rsidRDefault="00B82368" w:rsidP="00F1547B">
            <w:pPr>
              <w:pStyle w:val="TableText"/>
            </w:pPr>
            <w:r w:rsidRPr="00E3756C">
              <w:t>Sea-surface temperatures</w:t>
            </w:r>
            <w:r w:rsidR="005B49FE" w:rsidRPr="00E3756C">
              <w:t xml:space="preserve"> likely to rise by ... ?</w:t>
            </w:r>
          </w:p>
        </w:tc>
      </w:tr>
      <w:tr w:rsidR="005B49FE" w:rsidRPr="00E3756C" w14:paraId="4F513921" w14:textId="77777777" w:rsidTr="003E514E">
        <w:tc>
          <w:tcPr>
            <w:tcW w:w="1703" w:type="dxa"/>
            <w:tcBorders>
              <w:bottom w:val="single" w:sz="4" w:space="0" w:color="1C556C" w:themeColor="accent1"/>
            </w:tcBorders>
            <w:shd w:val="clear" w:color="auto" w:fill="auto"/>
            <w:tcMar>
              <w:top w:w="0" w:type="dxa"/>
              <w:left w:w="85" w:type="dxa"/>
              <w:bottom w:w="0" w:type="dxa"/>
              <w:right w:w="85" w:type="dxa"/>
            </w:tcMar>
          </w:tcPr>
          <w:p w14:paraId="343D4C7D" w14:textId="77777777" w:rsidR="005B49FE" w:rsidRPr="00E3756C" w:rsidRDefault="005B49FE" w:rsidP="00F1547B">
            <w:pPr>
              <w:pStyle w:val="TableText"/>
            </w:pPr>
          </w:p>
        </w:tc>
        <w:tc>
          <w:tcPr>
            <w:tcW w:w="2410" w:type="dxa"/>
            <w:tcBorders>
              <w:bottom w:val="single" w:sz="4" w:space="0" w:color="1C556C" w:themeColor="accent1"/>
            </w:tcBorders>
            <w:shd w:val="clear" w:color="auto" w:fill="auto"/>
            <w:tcMar>
              <w:top w:w="0" w:type="dxa"/>
              <w:left w:w="85" w:type="dxa"/>
              <w:bottom w:w="0" w:type="dxa"/>
              <w:right w:w="85" w:type="dxa"/>
            </w:tcMar>
          </w:tcPr>
          <w:p w14:paraId="2EAC2689" w14:textId="77777777" w:rsidR="005B49FE" w:rsidRPr="00E3756C" w:rsidRDefault="005B49FE" w:rsidP="00F1547B">
            <w:pPr>
              <w:pStyle w:val="TableText"/>
            </w:pPr>
          </w:p>
        </w:tc>
        <w:tc>
          <w:tcPr>
            <w:tcW w:w="2268" w:type="dxa"/>
            <w:tcBorders>
              <w:bottom w:val="single" w:sz="4" w:space="0" w:color="1C556C" w:themeColor="accent1"/>
            </w:tcBorders>
            <w:shd w:val="clear" w:color="auto" w:fill="auto"/>
            <w:tcMar>
              <w:top w:w="0" w:type="dxa"/>
              <w:left w:w="85" w:type="dxa"/>
              <w:bottom w:w="0" w:type="dxa"/>
              <w:right w:w="85" w:type="dxa"/>
            </w:tcMar>
          </w:tcPr>
          <w:p w14:paraId="1D4F286B" w14:textId="77777777" w:rsidR="005B49FE" w:rsidRPr="00E3756C" w:rsidRDefault="005B49FE" w:rsidP="00F1547B">
            <w:pPr>
              <w:pStyle w:val="TableText"/>
            </w:pPr>
            <w:r w:rsidRPr="00E3756C">
              <w:rPr>
                <w:b/>
              </w:rPr>
              <w:t>RCP8.5</w:t>
            </w:r>
            <w:r w:rsidRPr="00E3756C">
              <w:t xml:space="preserve">: ensemble average increase for period </w:t>
            </w:r>
            <w:r w:rsidR="00BF37FB" w:rsidRPr="00E3756C">
              <w:br/>
            </w:r>
            <w:r w:rsidRPr="00B837FB">
              <w:rPr>
                <w:b/>
              </w:rPr>
              <w:t>2031</w:t>
            </w:r>
            <w:r w:rsidR="001D0261" w:rsidRPr="00E3756C">
              <w:rPr>
                <w:b/>
              </w:rPr>
              <w:t>–</w:t>
            </w:r>
            <w:r w:rsidRPr="00B837FB">
              <w:rPr>
                <w:b/>
              </w:rPr>
              <w:t>50</w:t>
            </w:r>
            <w:r w:rsidR="001D0261" w:rsidRPr="00E3756C">
              <w:t>,</w:t>
            </w:r>
            <w:r w:rsidRPr="00E3756C">
              <w:t xml:space="preserve"> eg</w:t>
            </w:r>
            <w:r w:rsidR="001D0261" w:rsidRPr="00E3756C">
              <w:t>,</w:t>
            </w:r>
            <w:r w:rsidRPr="00E3756C">
              <w:t xml:space="preserve"> zones 1, 4, 5</w:t>
            </w:r>
            <w:r w:rsidR="001D0261" w:rsidRPr="00E3756C">
              <w:t xml:space="preserve"> and </w:t>
            </w:r>
            <w:r w:rsidRPr="00E3756C">
              <w:t>6 (+</w:t>
            </w:r>
            <w:r w:rsidR="005F7536" w:rsidRPr="00E3756C">
              <w:t> </w:t>
            </w:r>
            <w:r w:rsidRPr="00E3756C">
              <w:t>1.1°C, +</w:t>
            </w:r>
            <w:r w:rsidR="001D0261" w:rsidRPr="00E3756C">
              <w:t> </w:t>
            </w:r>
            <w:r w:rsidRPr="00E3756C">
              <w:t>1.0°C, +</w:t>
            </w:r>
            <w:r w:rsidR="001D0261" w:rsidRPr="00E3756C">
              <w:t> </w:t>
            </w:r>
            <w:r w:rsidRPr="00E3756C">
              <w:t>0.9</w:t>
            </w:r>
            <w:r w:rsidR="001D0261" w:rsidRPr="00E3756C">
              <w:t>–</w:t>
            </w:r>
            <w:r w:rsidRPr="00E3756C">
              <w:t>1.0°C)</w:t>
            </w:r>
            <w:r w:rsidR="00484C8A" w:rsidRPr="00E3756C">
              <w:t xml:space="preserve"> </w:t>
            </w:r>
            <w:r w:rsidR="001D0261" w:rsidRPr="00E3756C">
              <w:t>(</w:t>
            </w:r>
            <w:r w:rsidRPr="00E3756C">
              <w:t>MfE</w:t>
            </w:r>
            <w:r w:rsidR="001D0261" w:rsidRPr="00E3756C">
              <w:t xml:space="preserve">, </w:t>
            </w:r>
            <w:r w:rsidRPr="00E3756C">
              <w:t>2018)</w:t>
            </w:r>
            <w:r w:rsidR="00484C8A" w:rsidRPr="00E3756C">
              <w:t xml:space="preserve"> </w:t>
            </w:r>
          </w:p>
          <w:p w14:paraId="00CE51C3" w14:textId="77777777" w:rsidR="005B49FE" w:rsidRPr="00E3756C" w:rsidRDefault="005B49FE" w:rsidP="00B82368">
            <w:pPr>
              <w:pStyle w:val="TableText"/>
            </w:pPr>
            <w:r w:rsidRPr="00E3756C">
              <w:t>Rivers</w:t>
            </w:r>
            <w:r w:rsidR="001D0261" w:rsidRPr="00E3756C">
              <w:t xml:space="preserve">, </w:t>
            </w:r>
            <w:r w:rsidRPr="00E3756C">
              <w:t xml:space="preserve">lakes, </w:t>
            </w:r>
            <w:r w:rsidR="00B82368" w:rsidRPr="00E3756C">
              <w:t>sea-surface temperatures</w:t>
            </w:r>
            <w:r w:rsidR="001D0261" w:rsidRPr="00E3756C">
              <w:t xml:space="preserve"> </w:t>
            </w:r>
            <w:r w:rsidRPr="00E3756C">
              <w:t>will rise by ...</w:t>
            </w:r>
            <w:r w:rsidR="001D0261" w:rsidRPr="00E3756C">
              <w:t> </w:t>
            </w:r>
            <w:r w:rsidRPr="00E3756C">
              <w:t>?</w:t>
            </w:r>
          </w:p>
        </w:tc>
        <w:tc>
          <w:tcPr>
            <w:tcW w:w="2124" w:type="dxa"/>
            <w:tcBorders>
              <w:bottom w:val="single" w:sz="4" w:space="0" w:color="1C556C" w:themeColor="accent1"/>
            </w:tcBorders>
            <w:shd w:val="clear" w:color="auto" w:fill="auto"/>
            <w:tcMar>
              <w:top w:w="0" w:type="dxa"/>
              <w:left w:w="85" w:type="dxa"/>
              <w:bottom w:w="0" w:type="dxa"/>
              <w:right w:w="85" w:type="dxa"/>
            </w:tcMar>
          </w:tcPr>
          <w:p w14:paraId="062364DC" w14:textId="77777777" w:rsidR="005B49FE" w:rsidRPr="00E3756C" w:rsidRDefault="005B49FE" w:rsidP="00F1547B">
            <w:pPr>
              <w:pStyle w:val="TableText"/>
            </w:pPr>
            <w:r w:rsidRPr="00E3756C">
              <w:rPr>
                <w:b/>
              </w:rPr>
              <w:t>RCP8.5</w:t>
            </w:r>
            <w:r w:rsidRPr="00E3756C">
              <w:t xml:space="preserve">: ensemble average increase for period </w:t>
            </w:r>
            <w:r w:rsidR="001D0261" w:rsidRPr="00E3756C">
              <w:br/>
            </w:r>
            <w:r w:rsidRPr="00B837FB">
              <w:rPr>
                <w:b/>
              </w:rPr>
              <w:t>2081</w:t>
            </w:r>
            <w:r w:rsidR="001D0261" w:rsidRPr="00E3756C">
              <w:rPr>
                <w:b/>
              </w:rPr>
              <w:t>–</w:t>
            </w:r>
            <w:r w:rsidRPr="00B837FB">
              <w:rPr>
                <w:b/>
              </w:rPr>
              <w:t>2100</w:t>
            </w:r>
            <w:r w:rsidR="001D0261" w:rsidRPr="00E3756C">
              <w:t>,</w:t>
            </w:r>
            <w:r w:rsidRPr="00E3756C">
              <w:t xml:space="preserve"> eg</w:t>
            </w:r>
            <w:r w:rsidR="001D0261" w:rsidRPr="00E3756C">
              <w:t>,</w:t>
            </w:r>
            <w:r w:rsidRPr="00E3756C">
              <w:t xml:space="preserve"> zones 1, 4, 5</w:t>
            </w:r>
            <w:r w:rsidR="001D0261" w:rsidRPr="00E3756C">
              <w:t xml:space="preserve"> and </w:t>
            </w:r>
            <w:r w:rsidRPr="00E3756C">
              <w:t>6 (+</w:t>
            </w:r>
            <w:r w:rsidR="001D0261" w:rsidRPr="00E3756C">
              <w:t> </w:t>
            </w:r>
            <w:r w:rsidRPr="00E3756C">
              <w:t>3.1°C, +</w:t>
            </w:r>
            <w:r w:rsidR="001D0261" w:rsidRPr="00E3756C">
              <w:t> </w:t>
            </w:r>
            <w:r w:rsidRPr="00E3756C">
              <w:t>3.0°C, +</w:t>
            </w:r>
            <w:r w:rsidR="001D0261" w:rsidRPr="00E3756C">
              <w:t> </w:t>
            </w:r>
            <w:r w:rsidRPr="00E3756C">
              <w:t>2.8</w:t>
            </w:r>
            <w:r w:rsidR="001D0261" w:rsidRPr="00E3756C">
              <w:t>–</w:t>
            </w:r>
            <w:r w:rsidRPr="00E3756C">
              <w:t>3.0°C)</w:t>
            </w:r>
            <w:r w:rsidR="001D0261" w:rsidRPr="00E3756C">
              <w:t xml:space="preserve"> (</w:t>
            </w:r>
            <w:r w:rsidRPr="00E3756C">
              <w:t>MfE</w:t>
            </w:r>
            <w:r w:rsidR="001D0261" w:rsidRPr="00E3756C">
              <w:t xml:space="preserve">, </w:t>
            </w:r>
            <w:r w:rsidRPr="00E3756C">
              <w:t>2018)</w:t>
            </w:r>
          </w:p>
          <w:p w14:paraId="16E0F62F" w14:textId="77777777" w:rsidR="005B49FE" w:rsidRPr="00E3756C" w:rsidRDefault="005B49FE" w:rsidP="00B82368">
            <w:pPr>
              <w:pStyle w:val="TableText"/>
            </w:pPr>
            <w:r w:rsidRPr="00E3756C">
              <w:t>Rivers</w:t>
            </w:r>
            <w:r w:rsidR="001D0261" w:rsidRPr="00E3756C">
              <w:t xml:space="preserve">, </w:t>
            </w:r>
            <w:r w:rsidRPr="00E3756C">
              <w:t xml:space="preserve">lakes, </w:t>
            </w:r>
            <w:r w:rsidR="00B82368" w:rsidRPr="00E3756C">
              <w:t>sea-surface temperatures</w:t>
            </w:r>
            <w:r w:rsidR="001D0261" w:rsidRPr="00E3756C">
              <w:t xml:space="preserve"> </w:t>
            </w:r>
            <w:r w:rsidRPr="00E3756C">
              <w:t>will rise by ... ?</w:t>
            </w:r>
          </w:p>
        </w:tc>
      </w:tr>
      <w:tr w:rsidR="005B49FE" w:rsidRPr="00E3756C" w14:paraId="725C61AC" w14:textId="77777777" w:rsidTr="003E514E">
        <w:tc>
          <w:tcPr>
            <w:tcW w:w="1703" w:type="dxa"/>
            <w:shd w:val="clear" w:color="auto" w:fill="D2DDE2" w:themeFill="accent3"/>
            <w:tcMar>
              <w:top w:w="0" w:type="dxa"/>
              <w:left w:w="85" w:type="dxa"/>
              <w:bottom w:w="0" w:type="dxa"/>
              <w:right w:w="85" w:type="dxa"/>
            </w:tcMar>
          </w:tcPr>
          <w:p w14:paraId="7A098F91" w14:textId="77777777" w:rsidR="005B49FE" w:rsidRPr="00E3756C" w:rsidRDefault="005B49FE" w:rsidP="00F1547B">
            <w:pPr>
              <w:pStyle w:val="TableText"/>
            </w:pPr>
            <w:r w:rsidRPr="00E3756C">
              <w:t>Climate sub-national zones affected</w:t>
            </w:r>
          </w:p>
        </w:tc>
        <w:tc>
          <w:tcPr>
            <w:tcW w:w="2410" w:type="dxa"/>
            <w:shd w:val="clear" w:color="auto" w:fill="D2DDE2" w:themeFill="accent3"/>
            <w:tcMar>
              <w:top w:w="0" w:type="dxa"/>
              <w:left w:w="85" w:type="dxa"/>
              <w:bottom w:w="0" w:type="dxa"/>
              <w:right w:w="85" w:type="dxa"/>
            </w:tcMar>
          </w:tcPr>
          <w:p w14:paraId="5BD5A543" w14:textId="77777777" w:rsidR="005B49FE" w:rsidRPr="00E3756C" w:rsidRDefault="005F7536" w:rsidP="00F1547B">
            <w:pPr>
              <w:pStyle w:val="TableText"/>
            </w:pPr>
            <w:r w:rsidRPr="00E3756C">
              <w:t>A</w:t>
            </w:r>
            <w:r w:rsidR="005B49FE" w:rsidRPr="00E3756C">
              <w:t>ll</w:t>
            </w:r>
          </w:p>
        </w:tc>
        <w:tc>
          <w:tcPr>
            <w:tcW w:w="2268" w:type="dxa"/>
            <w:shd w:val="clear" w:color="auto" w:fill="D2DDE2" w:themeFill="accent3"/>
            <w:tcMar>
              <w:top w:w="0" w:type="dxa"/>
              <w:left w:w="85" w:type="dxa"/>
              <w:bottom w:w="0" w:type="dxa"/>
              <w:right w:w="85" w:type="dxa"/>
            </w:tcMar>
          </w:tcPr>
          <w:p w14:paraId="2E31D149" w14:textId="77777777" w:rsidR="005B49FE" w:rsidRPr="00E3756C" w:rsidRDefault="005F7536" w:rsidP="00F1547B">
            <w:pPr>
              <w:pStyle w:val="TableText"/>
            </w:pPr>
            <w:r w:rsidRPr="00E3756C">
              <w:t>A</w:t>
            </w:r>
            <w:r w:rsidR="005B49FE" w:rsidRPr="00E3756C">
              <w:t>ll (slightly smaller increase in south)</w:t>
            </w:r>
          </w:p>
        </w:tc>
        <w:tc>
          <w:tcPr>
            <w:tcW w:w="2124" w:type="dxa"/>
            <w:shd w:val="clear" w:color="auto" w:fill="D2DDE2" w:themeFill="accent3"/>
            <w:tcMar>
              <w:top w:w="0" w:type="dxa"/>
              <w:left w:w="85" w:type="dxa"/>
              <w:bottom w:w="0" w:type="dxa"/>
              <w:right w:w="85" w:type="dxa"/>
            </w:tcMar>
          </w:tcPr>
          <w:p w14:paraId="48369E1C" w14:textId="77777777" w:rsidR="005B49FE" w:rsidRPr="00E3756C" w:rsidRDefault="005F7536" w:rsidP="00F1547B">
            <w:pPr>
              <w:pStyle w:val="TableText"/>
            </w:pPr>
            <w:r w:rsidRPr="00E3756C">
              <w:t>A</w:t>
            </w:r>
            <w:r w:rsidR="005B49FE" w:rsidRPr="00E3756C">
              <w:t>ll (slightly smaller increase in south)</w:t>
            </w:r>
          </w:p>
        </w:tc>
      </w:tr>
      <w:tr w:rsidR="005B49FE" w:rsidRPr="00E3756C" w14:paraId="3AA0BC2E" w14:textId="77777777" w:rsidTr="003E514E">
        <w:tc>
          <w:tcPr>
            <w:tcW w:w="1703" w:type="dxa"/>
            <w:shd w:val="clear" w:color="auto" w:fill="auto"/>
            <w:tcMar>
              <w:top w:w="0" w:type="dxa"/>
              <w:left w:w="85" w:type="dxa"/>
              <w:bottom w:w="0" w:type="dxa"/>
              <w:right w:w="85" w:type="dxa"/>
            </w:tcMar>
          </w:tcPr>
          <w:p w14:paraId="5D1C0AF4" w14:textId="77777777" w:rsidR="005B49FE" w:rsidRPr="00E3756C" w:rsidRDefault="005B49FE" w:rsidP="00F1547B">
            <w:pPr>
              <w:pStyle w:val="TableText"/>
            </w:pPr>
            <w:r w:rsidRPr="00E3756C">
              <w:t xml:space="preserve">Reduced snow cover </w:t>
            </w:r>
            <w:r w:rsidR="005F7536" w:rsidRPr="00E3756C">
              <w:t>and</w:t>
            </w:r>
            <w:r w:rsidRPr="00E3756C">
              <w:t xml:space="preserve"> glaciers</w:t>
            </w:r>
          </w:p>
        </w:tc>
        <w:tc>
          <w:tcPr>
            <w:tcW w:w="2410" w:type="dxa"/>
            <w:shd w:val="clear" w:color="auto" w:fill="auto"/>
            <w:tcMar>
              <w:top w:w="0" w:type="dxa"/>
              <w:left w:w="85" w:type="dxa"/>
              <w:bottom w:w="0" w:type="dxa"/>
              <w:right w:w="85" w:type="dxa"/>
            </w:tcMar>
          </w:tcPr>
          <w:p w14:paraId="17DD1C11" w14:textId="77777777" w:rsidR="005B49FE" w:rsidRPr="00E3756C" w:rsidRDefault="005B49FE" w:rsidP="00F1547B">
            <w:pPr>
              <w:pStyle w:val="TableText"/>
            </w:pPr>
            <w:r w:rsidRPr="00E3756C">
              <w:t xml:space="preserve">Total ice volume of the Southern Alps for the small and medium glaciers has decreased by 33% from </w:t>
            </w:r>
            <w:r w:rsidR="005F7536" w:rsidRPr="00E3756C">
              <w:br/>
            </w:r>
            <w:r w:rsidRPr="00E3756C">
              <w:t>1977</w:t>
            </w:r>
            <w:r w:rsidR="005F7536" w:rsidRPr="00E3756C">
              <w:t>–</w:t>
            </w:r>
            <w:r w:rsidRPr="00E3756C">
              <w:t xml:space="preserve">2018 </w:t>
            </w:r>
            <w:r w:rsidR="005F7536" w:rsidRPr="00E3756C">
              <w:t>(</w:t>
            </w:r>
            <w:r w:rsidRPr="00E3756C">
              <w:t>Salinger et al, 2019</w:t>
            </w:r>
            <w:r w:rsidR="005F7536" w:rsidRPr="00E3756C">
              <w:t>)</w:t>
            </w:r>
            <w:r w:rsidRPr="00E3756C">
              <w:t xml:space="preserve">. Snow pack or snowlines have changed by </w:t>
            </w:r>
            <w:r w:rsidR="00573473" w:rsidRPr="00E3756C">
              <w:t>.</w:t>
            </w:r>
            <w:r w:rsidRPr="00E3756C">
              <w:t>..</w:t>
            </w:r>
          </w:p>
        </w:tc>
        <w:tc>
          <w:tcPr>
            <w:tcW w:w="2268" w:type="dxa"/>
            <w:shd w:val="clear" w:color="auto" w:fill="auto"/>
            <w:tcMar>
              <w:top w:w="0" w:type="dxa"/>
              <w:left w:w="85" w:type="dxa"/>
              <w:bottom w:w="0" w:type="dxa"/>
              <w:right w:w="85" w:type="dxa"/>
            </w:tcMar>
          </w:tcPr>
          <w:p w14:paraId="188A8175" w14:textId="77777777" w:rsidR="005B49FE" w:rsidRPr="00E3756C" w:rsidRDefault="005B49FE" w:rsidP="00F1547B">
            <w:pPr>
              <w:pStyle w:val="TableText"/>
            </w:pPr>
            <w:r w:rsidRPr="00E3756C">
              <w:rPr>
                <w:b/>
              </w:rPr>
              <w:t>RCP4.5</w:t>
            </w:r>
            <w:r w:rsidRPr="00E3756C">
              <w:t>:</w:t>
            </w:r>
          </w:p>
        </w:tc>
        <w:tc>
          <w:tcPr>
            <w:tcW w:w="2124" w:type="dxa"/>
            <w:shd w:val="clear" w:color="auto" w:fill="auto"/>
            <w:tcMar>
              <w:top w:w="0" w:type="dxa"/>
              <w:left w:w="85" w:type="dxa"/>
              <w:bottom w:w="0" w:type="dxa"/>
              <w:right w:w="85" w:type="dxa"/>
            </w:tcMar>
          </w:tcPr>
          <w:p w14:paraId="149531B5" w14:textId="77777777" w:rsidR="005B49FE" w:rsidRPr="00E3756C" w:rsidRDefault="005B49FE" w:rsidP="00F1547B">
            <w:pPr>
              <w:pStyle w:val="TableText"/>
            </w:pPr>
            <w:r w:rsidRPr="00E3756C">
              <w:rPr>
                <w:b/>
              </w:rPr>
              <w:t>RCP4.5</w:t>
            </w:r>
            <w:r w:rsidRPr="00E3756C">
              <w:t>:</w:t>
            </w:r>
          </w:p>
        </w:tc>
      </w:tr>
      <w:tr w:rsidR="005B49FE" w:rsidRPr="00E3756C" w14:paraId="79D51BBA" w14:textId="77777777" w:rsidTr="003E514E">
        <w:tc>
          <w:tcPr>
            <w:tcW w:w="1703" w:type="dxa"/>
            <w:tcBorders>
              <w:bottom w:val="single" w:sz="4" w:space="0" w:color="1C556C" w:themeColor="accent1"/>
            </w:tcBorders>
            <w:shd w:val="clear" w:color="auto" w:fill="auto"/>
            <w:tcMar>
              <w:top w:w="0" w:type="dxa"/>
              <w:left w:w="85" w:type="dxa"/>
              <w:bottom w:w="0" w:type="dxa"/>
              <w:right w:w="85" w:type="dxa"/>
            </w:tcMar>
          </w:tcPr>
          <w:p w14:paraId="435FF8DE" w14:textId="77777777" w:rsidR="005B49FE" w:rsidRPr="00E3756C" w:rsidRDefault="005B49FE" w:rsidP="00F1547B">
            <w:pPr>
              <w:pStyle w:val="TableText"/>
            </w:pPr>
          </w:p>
        </w:tc>
        <w:tc>
          <w:tcPr>
            <w:tcW w:w="2410" w:type="dxa"/>
            <w:tcBorders>
              <w:bottom w:val="single" w:sz="4" w:space="0" w:color="1C556C" w:themeColor="accent1"/>
            </w:tcBorders>
            <w:shd w:val="clear" w:color="auto" w:fill="auto"/>
            <w:tcMar>
              <w:top w:w="0" w:type="dxa"/>
              <w:left w:w="85" w:type="dxa"/>
              <w:bottom w:w="0" w:type="dxa"/>
              <w:right w:w="85" w:type="dxa"/>
            </w:tcMar>
          </w:tcPr>
          <w:p w14:paraId="53DB336A" w14:textId="77777777" w:rsidR="005B49FE" w:rsidRPr="00E3756C" w:rsidRDefault="005B49FE" w:rsidP="00F1547B">
            <w:pPr>
              <w:pStyle w:val="TableText"/>
            </w:pPr>
          </w:p>
        </w:tc>
        <w:tc>
          <w:tcPr>
            <w:tcW w:w="2268" w:type="dxa"/>
            <w:tcBorders>
              <w:bottom w:val="single" w:sz="4" w:space="0" w:color="1C556C" w:themeColor="accent1"/>
            </w:tcBorders>
            <w:shd w:val="clear" w:color="auto" w:fill="auto"/>
            <w:tcMar>
              <w:top w:w="0" w:type="dxa"/>
              <w:left w:w="85" w:type="dxa"/>
              <w:bottom w:w="0" w:type="dxa"/>
              <w:right w:w="85" w:type="dxa"/>
            </w:tcMar>
          </w:tcPr>
          <w:p w14:paraId="1B505063" w14:textId="77777777" w:rsidR="005B49FE" w:rsidRPr="00E3756C" w:rsidRDefault="005B49FE" w:rsidP="00F1547B">
            <w:pPr>
              <w:pStyle w:val="TableText"/>
            </w:pPr>
            <w:r w:rsidRPr="00E3756C">
              <w:rPr>
                <w:b/>
              </w:rPr>
              <w:t>RCP8.5</w:t>
            </w:r>
            <w:r w:rsidRPr="00E3756C">
              <w:t>:</w:t>
            </w:r>
          </w:p>
        </w:tc>
        <w:tc>
          <w:tcPr>
            <w:tcW w:w="2124" w:type="dxa"/>
            <w:tcBorders>
              <w:bottom w:val="single" w:sz="4" w:space="0" w:color="1C556C" w:themeColor="accent1"/>
            </w:tcBorders>
            <w:shd w:val="clear" w:color="auto" w:fill="auto"/>
            <w:tcMar>
              <w:top w:w="0" w:type="dxa"/>
              <w:left w:w="85" w:type="dxa"/>
              <w:bottom w:w="0" w:type="dxa"/>
              <w:right w:w="85" w:type="dxa"/>
            </w:tcMar>
          </w:tcPr>
          <w:p w14:paraId="7328A880" w14:textId="77777777" w:rsidR="005B49FE" w:rsidRPr="00E3756C" w:rsidRDefault="005B49FE" w:rsidP="00F1547B">
            <w:pPr>
              <w:pStyle w:val="TableText"/>
            </w:pPr>
            <w:r w:rsidRPr="00E3756C">
              <w:rPr>
                <w:b/>
              </w:rPr>
              <w:t>RCP8.5</w:t>
            </w:r>
            <w:r w:rsidRPr="00E3756C">
              <w:t>: Snow days per year reduce by 30 days or more by 2090</w:t>
            </w:r>
            <w:r w:rsidR="00066D6B" w:rsidRPr="00E3756C">
              <w:t xml:space="preserve"> (MfE, 2018)</w:t>
            </w:r>
            <w:r w:rsidRPr="00E3756C">
              <w:t>.</w:t>
            </w:r>
            <w:r w:rsidR="00484C8A" w:rsidRPr="00E3756C">
              <w:t xml:space="preserve"> </w:t>
            </w:r>
            <w:r w:rsidRPr="00E3756C">
              <w:t>By 2120, …</w:t>
            </w:r>
          </w:p>
        </w:tc>
      </w:tr>
      <w:tr w:rsidR="005B49FE" w:rsidRPr="00E3756C" w14:paraId="46A944CA" w14:textId="77777777" w:rsidTr="003E514E">
        <w:tc>
          <w:tcPr>
            <w:tcW w:w="1703" w:type="dxa"/>
            <w:shd w:val="clear" w:color="auto" w:fill="D2DDE2" w:themeFill="accent3"/>
            <w:tcMar>
              <w:top w:w="0" w:type="dxa"/>
              <w:left w:w="85" w:type="dxa"/>
              <w:bottom w:w="0" w:type="dxa"/>
              <w:right w:w="85" w:type="dxa"/>
            </w:tcMar>
          </w:tcPr>
          <w:p w14:paraId="7F9597B1" w14:textId="77777777" w:rsidR="005B49FE" w:rsidRPr="00E3756C" w:rsidRDefault="005B49FE" w:rsidP="00F1547B">
            <w:pPr>
              <w:pStyle w:val="TableText"/>
            </w:pPr>
            <w:r w:rsidRPr="00E3756C">
              <w:t>Climate sub-national zones affected</w:t>
            </w:r>
          </w:p>
        </w:tc>
        <w:tc>
          <w:tcPr>
            <w:tcW w:w="2410" w:type="dxa"/>
            <w:shd w:val="clear" w:color="auto" w:fill="D2DDE2" w:themeFill="accent3"/>
            <w:tcMar>
              <w:top w:w="0" w:type="dxa"/>
              <w:left w:w="85" w:type="dxa"/>
              <w:bottom w:w="0" w:type="dxa"/>
              <w:right w:w="85" w:type="dxa"/>
            </w:tcMar>
          </w:tcPr>
          <w:p w14:paraId="28E95B83" w14:textId="77777777" w:rsidR="005B49FE" w:rsidRPr="00E3756C" w:rsidRDefault="005B49FE" w:rsidP="00F1547B">
            <w:pPr>
              <w:pStyle w:val="TableText"/>
            </w:pPr>
            <w:r w:rsidRPr="00E3756C">
              <w:t>2,</w:t>
            </w:r>
            <w:r w:rsidR="00066D6B" w:rsidRPr="00E3756C">
              <w:t xml:space="preserve"> </w:t>
            </w:r>
            <w:r w:rsidRPr="00E3756C">
              <w:t>4, 6</w:t>
            </w:r>
          </w:p>
        </w:tc>
        <w:tc>
          <w:tcPr>
            <w:tcW w:w="2268" w:type="dxa"/>
            <w:shd w:val="clear" w:color="auto" w:fill="D2DDE2" w:themeFill="accent3"/>
            <w:tcMar>
              <w:top w:w="0" w:type="dxa"/>
              <w:left w:w="85" w:type="dxa"/>
              <w:bottom w:w="0" w:type="dxa"/>
              <w:right w:w="85" w:type="dxa"/>
            </w:tcMar>
          </w:tcPr>
          <w:p w14:paraId="1B686DF5" w14:textId="77777777" w:rsidR="005B49FE" w:rsidRPr="00E3756C" w:rsidRDefault="005B49FE" w:rsidP="00F1547B">
            <w:pPr>
              <w:pStyle w:val="TableText"/>
            </w:pPr>
            <w:r w:rsidRPr="00E3756C">
              <w:t>2 (Central Plateau),</w:t>
            </w:r>
            <w:r w:rsidR="00066D6B" w:rsidRPr="00E3756C">
              <w:t xml:space="preserve"> </w:t>
            </w:r>
            <w:r w:rsidRPr="00E3756C">
              <w:t>4, 6</w:t>
            </w:r>
          </w:p>
        </w:tc>
        <w:tc>
          <w:tcPr>
            <w:tcW w:w="2124" w:type="dxa"/>
            <w:shd w:val="clear" w:color="auto" w:fill="D2DDE2" w:themeFill="accent3"/>
            <w:tcMar>
              <w:top w:w="0" w:type="dxa"/>
              <w:left w:w="85" w:type="dxa"/>
              <w:bottom w:w="0" w:type="dxa"/>
              <w:right w:w="85" w:type="dxa"/>
            </w:tcMar>
          </w:tcPr>
          <w:p w14:paraId="104F20C8" w14:textId="77777777" w:rsidR="005B49FE" w:rsidRPr="00E3756C" w:rsidRDefault="005B49FE" w:rsidP="00F1547B">
            <w:pPr>
              <w:pStyle w:val="TableText"/>
            </w:pPr>
            <w:r w:rsidRPr="00E3756C">
              <w:t>2 (Central Plateau),</w:t>
            </w:r>
            <w:r w:rsidR="00066D6B" w:rsidRPr="00E3756C">
              <w:t xml:space="preserve"> </w:t>
            </w:r>
            <w:r w:rsidRPr="00E3756C">
              <w:t>4, 6</w:t>
            </w:r>
          </w:p>
        </w:tc>
      </w:tr>
      <w:tr w:rsidR="005B49FE" w:rsidRPr="00E3756C" w14:paraId="45F6CBA6" w14:textId="77777777" w:rsidTr="003E514E">
        <w:tc>
          <w:tcPr>
            <w:tcW w:w="1703" w:type="dxa"/>
            <w:shd w:val="clear" w:color="auto" w:fill="auto"/>
            <w:tcMar>
              <w:top w:w="0" w:type="dxa"/>
              <w:left w:w="85" w:type="dxa"/>
              <w:bottom w:w="0" w:type="dxa"/>
              <w:right w:w="85" w:type="dxa"/>
            </w:tcMar>
          </w:tcPr>
          <w:p w14:paraId="66C0D2B2" w14:textId="77777777" w:rsidR="005B49FE" w:rsidRPr="00E3756C" w:rsidRDefault="005B49FE" w:rsidP="00F1547B">
            <w:pPr>
              <w:pStyle w:val="TableText"/>
            </w:pPr>
            <w:r w:rsidRPr="00E3756C">
              <w:lastRenderedPageBreak/>
              <w:t>Hazard X</w:t>
            </w:r>
          </w:p>
        </w:tc>
        <w:tc>
          <w:tcPr>
            <w:tcW w:w="2410" w:type="dxa"/>
            <w:shd w:val="clear" w:color="auto" w:fill="auto"/>
            <w:tcMar>
              <w:top w:w="0" w:type="dxa"/>
              <w:left w:w="85" w:type="dxa"/>
              <w:bottom w:w="0" w:type="dxa"/>
              <w:right w:w="85" w:type="dxa"/>
            </w:tcMar>
          </w:tcPr>
          <w:p w14:paraId="0E5FE44A" w14:textId="77777777" w:rsidR="005B49FE" w:rsidRPr="00E3756C" w:rsidRDefault="005B49FE" w:rsidP="00F1547B">
            <w:pPr>
              <w:pStyle w:val="TableText"/>
              <w:rPr>
                <w:i/>
              </w:rPr>
            </w:pPr>
            <w:r w:rsidRPr="00E3756C">
              <w:rPr>
                <w:i/>
              </w:rPr>
              <w:t xml:space="preserve"> </w:t>
            </w:r>
          </w:p>
        </w:tc>
        <w:tc>
          <w:tcPr>
            <w:tcW w:w="2268" w:type="dxa"/>
            <w:shd w:val="clear" w:color="auto" w:fill="auto"/>
            <w:tcMar>
              <w:top w:w="0" w:type="dxa"/>
              <w:left w:w="85" w:type="dxa"/>
              <w:bottom w:w="0" w:type="dxa"/>
              <w:right w:w="85" w:type="dxa"/>
            </w:tcMar>
          </w:tcPr>
          <w:p w14:paraId="0FC59465" w14:textId="77777777" w:rsidR="005B49FE" w:rsidRPr="00E3756C" w:rsidRDefault="005B49FE" w:rsidP="00F1547B">
            <w:pPr>
              <w:pStyle w:val="TableText"/>
            </w:pPr>
            <w:r w:rsidRPr="00E3756C">
              <w:t>RCP4.5:</w:t>
            </w:r>
          </w:p>
        </w:tc>
        <w:tc>
          <w:tcPr>
            <w:tcW w:w="2124" w:type="dxa"/>
            <w:shd w:val="clear" w:color="auto" w:fill="auto"/>
            <w:tcMar>
              <w:top w:w="0" w:type="dxa"/>
              <w:left w:w="85" w:type="dxa"/>
              <w:bottom w:w="0" w:type="dxa"/>
              <w:right w:w="85" w:type="dxa"/>
            </w:tcMar>
          </w:tcPr>
          <w:p w14:paraId="29DAB24C" w14:textId="77777777" w:rsidR="005B49FE" w:rsidRPr="00E3756C" w:rsidRDefault="005B49FE" w:rsidP="00F1547B">
            <w:pPr>
              <w:pStyle w:val="TableText"/>
            </w:pPr>
            <w:r w:rsidRPr="00E3756C">
              <w:t>RCP4.5</w:t>
            </w:r>
          </w:p>
        </w:tc>
      </w:tr>
      <w:tr w:rsidR="005B49FE" w:rsidRPr="00E3756C" w14:paraId="0BDFB82F" w14:textId="77777777" w:rsidTr="003E514E">
        <w:tc>
          <w:tcPr>
            <w:tcW w:w="1703" w:type="dxa"/>
            <w:tcBorders>
              <w:bottom w:val="single" w:sz="4" w:space="0" w:color="1C556C" w:themeColor="accent1"/>
            </w:tcBorders>
            <w:shd w:val="clear" w:color="auto" w:fill="auto"/>
            <w:tcMar>
              <w:top w:w="0" w:type="dxa"/>
              <w:left w:w="85" w:type="dxa"/>
              <w:bottom w:w="0" w:type="dxa"/>
              <w:right w:w="85" w:type="dxa"/>
            </w:tcMar>
          </w:tcPr>
          <w:p w14:paraId="27EF886E" w14:textId="77777777" w:rsidR="005B49FE" w:rsidRPr="00E3756C" w:rsidRDefault="005B49FE" w:rsidP="00F1547B">
            <w:pPr>
              <w:pStyle w:val="TableText"/>
            </w:pPr>
          </w:p>
        </w:tc>
        <w:tc>
          <w:tcPr>
            <w:tcW w:w="2410" w:type="dxa"/>
            <w:tcBorders>
              <w:bottom w:val="single" w:sz="4" w:space="0" w:color="1C556C" w:themeColor="accent1"/>
            </w:tcBorders>
            <w:shd w:val="clear" w:color="auto" w:fill="auto"/>
            <w:tcMar>
              <w:top w:w="0" w:type="dxa"/>
              <w:left w:w="85" w:type="dxa"/>
              <w:bottom w:w="0" w:type="dxa"/>
              <w:right w:w="85" w:type="dxa"/>
            </w:tcMar>
          </w:tcPr>
          <w:p w14:paraId="2B51B7BB" w14:textId="77777777" w:rsidR="005B49FE" w:rsidRPr="00E3756C" w:rsidRDefault="005B49FE" w:rsidP="00F1547B">
            <w:pPr>
              <w:pStyle w:val="TableText"/>
            </w:pPr>
          </w:p>
        </w:tc>
        <w:tc>
          <w:tcPr>
            <w:tcW w:w="2268" w:type="dxa"/>
            <w:tcBorders>
              <w:bottom w:val="single" w:sz="4" w:space="0" w:color="1C556C" w:themeColor="accent1"/>
            </w:tcBorders>
            <w:shd w:val="clear" w:color="auto" w:fill="auto"/>
            <w:tcMar>
              <w:top w:w="0" w:type="dxa"/>
              <w:left w:w="85" w:type="dxa"/>
              <w:bottom w:w="0" w:type="dxa"/>
              <w:right w:w="85" w:type="dxa"/>
            </w:tcMar>
          </w:tcPr>
          <w:p w14:paraId="79025D9E" w14:textId="77777777" w:rsidR="005B49FE" w:rsidRPr="00E3756C" w:rsidRDefault="005B49FE" w:rsidP="00F1547B">
            <w:pPr>
              <w:pStyle w:val="TableText"/>
            </w:pPr>
            <w:r w:rsidRPr="00E3756C">
              <w:t>RCP8.5:</w:t>
            </w:r>
          </w:p>
        </w:tc>
        <w:tc>
          <w:tcPr>
            <w:tcW w:w="2124" w:type="dxa"/>
            <w:tcBorders>
              <w:bottom w:val="single" w:sz="4" w:space="0" w:color="1C556C" w:themeColor="accent1"/>
            </w:tcBorders>
            <w:shd w:val="clear" w:color="auto" w:fill="auto"/>
            <w:tcMar>
              <w:top w:w="0" w:type="dxa"/>
              <w:left w:w="85" w:type="dxa"/>
              <w:bottom w:w="0" w:type="dxa"/>
              <w:right w:w="85" w:type="dxa"/>
            </w:tcMar>
          </w:tcPr>
          <w:p w14:paraId="6ACE6AAF" w14:textId="77777777" w:rsidR="005B49FE" w:rsidRPr="00E3756C" w:rsidRDefault="005B49FE" w:rsidP="00F1547B">
            <w:pPr>
              <w:pStyle w:val="TableText"/>
            </w:pPr>
            <w:r w:rsidRPr="00E3756C">
              <w:t>RCP8.5:</w:t>
            </w:r>
          </w:p>
        </w:tc>
      </w:tr>
      <w:tr w:rsidR="005B49FE" w:rsidRPr="00E3756C" w14:paraId="45193C18" w14:textId="77777777" w:rsidTr="003E514E">
        <w:tc>
          <w:tcPr>
            <w:tcW w:w="1703" w:type="dxa"/>
            <w:tcBorders>
              <w:bottom w:val="single" w:sz="4" w:space="0" w:color="1C556C" w:themeColor="accent1"/>
            </w:tcBorders>
            <w:shd w:val="clear" w:color="auto" w:fill="D2DDE2" w:themeFill="accent3"/>
            <w:tcMar>
              <w:top w:w="0" w:type="dxa"/>
              <w:left w:w="85" w:type="dxa"/>
              <w:bottom w:w="0" w:type="dxa"/>
              <w:right w:w="85" w:type="dxa"/>
            </w:tcMar>
          </w:tcPr>
          <w:p w14:paraId="20A99940" w14:textId="77777777" w:rsidR="005B49FE" w:rsidRPr="00E3756C" w:rsidRDefault="005B49FE" w:rsidP="00F1547B">
            <w:pPr>
              <w:pStyle w:val="TableText"/>
            </w:pPr>
            <w:r w:rsidRPr="00E3756C">
              <w:t>Climate sub-national zones affected</w:t>
            </w:r>
          </w:p>
        </w:tc>
        <w:tc>
          <w:tcPr>
            <w:tcW w:w="2410" w:type="dxa"/>
            <w:tcBorders>
              <w:bottom w:val="single" w:sz="4" w:space="0" w:color="1C556C" w:themeColor="accent1"/>
            </w:tcBorders>
            <w:shd w:val="clear" w:color="auto" w:fill="D2DDE2" w:themeFill="accent3"/>
            <w:tcMar>
              <w:top w:w="0" w:type="dxa"/>
              <w:left w:w="85" w:type="dxa"/>
              <w:bottom w:w="0" w:type="dxa"/>
              <w:right w:w="85" w:type="dxa"/>
            </w:tcMar>
          </w:tcPr>
          <w:p w14:paraId="2568EC3E" w14:textId="77777777" w:rsidR="005B49FE" w:rsidRPr="00E3756C" w:rsidRDefault="005B49FE" w:rsidP="00F1547B">
            <w:pPr>
              <w:pStyle w:val="TableText"/>
            </w:pPr>
          </w:p>
        </w:tc>
        <w:tc>
          <w:tcPr>
            <w:tcW w:w="2268" w:type="dxa"/>
            <w:tcBorders>
              <w:bottom w:val="single" w:sz="4" w:space="0" w:color="1C556C" w:themeColor="accent1"/>
            </w:tcBorders>
            <w:shd w:val="clear" w:color="auto" w:fill="D2DDE2" w:themeFill="accent3"/>
            <w:tcMar>
              <w:top w:w="0" w:type="dxa"/>
              <w:left w:w="85" w:type="dxa"/>
              <w:bottom w:w="0" w:type="dxa"/>
              <w:right w:w="85" w:type="dxa"/>
            </w:tcMar>
          </w:tcPr>
          <w:p w14:paraId="453BBEA5" w14:textId="77777777" w:rsidR="005B49FE" w:rsidRPr="00E3756C" w:rsidRDefault="005B49FE" w:rsidP="00F1547B">
            <w:pPr>
              <w:pStyle w:val="TableText"/>
            </w:pPr>
          </w:p>
        </w:tc>
        <w:tc>
          <w:tcPr>
            <w:tcW w:w="2124" w:type="dxa"/>
            <w:tcBorders>
              <w:bottom w:val="single" w:sz="4" w:space="0" w:color="1C556C" w:themeColor="accent1"/>
            </w:tcBorders>
            <w:shd w:val="clear" w:color="auto" w:fill="D2DDE2" w:themeFill="accent3"/>
            <w:tcMar>
              <w:top w:w="0" w:type="dxa"/>
              <w:left w:w="85" w:type="dxa"/>
              <w:bottom w:w="0" w:type="dxa"/>
              <w:right w:w="85" w:type="dxa"/>
            </w:tcMar>
          </w:tcPr>
          <w:p w14:paraId="200D9BA8" w14:textId="77777777" w:rsidR="005B49FE" w:rsidRPr="00E3756C" w:rsidRDefault="005B49FE" w:rsidP="00F1547B">
            <w:pPr>
              <w:pStyle w:val="TableText"/>
            </w:pPr>
          </w:p>
        </w:tc>
      </w:tr>
    </w:tbl>
    <w:p w14:paraId="74234A2B" w14:textId="77777777" w:rsidR="00837705" w:rsidRPr="00E3756C" w:rsidRDefault="00837705" w:rsidP="00F1547B">
      <w:pPr>
        <w:pStyle w:val="Note"/>
        <w:spacing w:before="240"/>
      </w:pPr>
      <w:bookmarkStart w:id="111" w:name="_B1.3_Climate-related_changes:"/>
      <w:bookmarkStart w:id="112" w:name="_Toc13570360"/>
      <w:bookmarkStart w:id="113" w:name="_Toc14361547"/>
      <w:bookmarkEnd w:id="111"/>
      <w:r w:rsidRPr="00E3756C">
        <w:t xml:space="preserve">Note: </w:t>
      </w:r>
      <w:r w:rsidR="00925BD5" w:rsidRPr="00E3756C">
        <w:t>T</w:t>
      </w:r>
      <w:r w:rsidRPr="00E3756C">
        <w:t>he baseline (zero) for M</w:t>
      </w:r>
      <w:r w:rsidR="00925BD5" w:rsidRPr="00E3756C">
        <w:t xml:space="preserve">inistry </w:t>
      </w:r>
      <w:r w:rsidRPr="00E3756C">
        <w:t>f</w:t>
      </w:r>
      <w:r w:rsidR="00925BD5" w:rsidRPr="00E3756C">
        <w:t xml:space="preserve">or the </w:t>
      </w:r>
      <w:r w:rsidRPr="00E3756C">
        <w:t>E</w:t>
      </w:r>
      <w:r w:rsidR="00925BD5" w:rsidRPr="00E3756C">
        <w:t xml:space="preserve">nvironment </w:t>
      </w:r>
      <w:r w:rsidRPr="00E3756C">
        <w:t xml:space="preserve">(2018) and IPCC projections is the average over </w:t>
      </w:r>
      <w:r w:rsidR="00066D6B" w:rsidRPr="00E3756C">
        <w:br/>
      </w:r>
      <w:r w:rsidRPr="00E3756C">
        <w:t>1986</w:t>
      </w:r>
      <w:r w:rsidR="00925BD5" w:rsidRPr="00E3756C">
        <w:t>–</w:t>
      </w:r>
      <w:r w:rsidRPr="00E3756C">
        <w:t>2005.</w:t>
      </w:r>
      <w:r w:rsidR="00066D6B" w:rsidRPr="00E3756C">
        <w:t xml:space="preserve"> MfE = Ministry for the Environment; NIWA = </w:t>
      </w:r>
      <w:r w:rsidR="000D6D73" w:rsidRPr="00E3756C">
        <w:t>National Institute of Water and Atmospheric Research; Stats NZ = Statistics New Zealand.</w:t>
      </w:r>
    </w:p>
    <w:p w14:paraId="08E15194" w14:textId="77777777" w:rsidR="005B49FE" w:rsidRPr="00E3756C" w:rsidRDefault="00284835" w:rsidP="005B49FE">
      <w:pPr>
        <w:pStyle w:val="Heading2"/>
      </w:pPr>
      <w:bookmarkStart w:id="114" w:name="_Toc15409159"/>
      <w:r w:rsidRPr="00E3756C">
        <w:t>B1.3</w:t>
      </w:r>
      <w:r w:rsidRPr="00E3756C">
        <w:tab/>
      </w:r>
      <w:r w:rsidR="005B49FE" w:rsidRPr="00E3756C">
        <w:t xml:space="preserve">Climate-related changes: </w:t>
      </w:r>
      <w:r w:rsidR="006D0F31" w:rsidRPr="00E3756C">
        <w:t>D</w:t>
      </w:r>
      <w:r w:rsidR="005B49FE" w:rsidRPr="00E3756C">
        <w:t>efining hazards</w:t>
      </w:r>
      <w:bookmarkEnd w:id="114"/>
      <w:r w:rsidR="005B49FE" w:rsidRPr="00E3756C">
        <w:t xml:space="preserve"> </w:t>
      </w:r>
      <w:bookmarkEnd w:id="112"/>
      <w:bookmarkEnd w:id="113"/>
    </w:p>
    <w:p w14:paraId="47035B47" w14:textId="6C2BF04A" w:rsidR="005B49FE" w:rsidRPr="00E3756C" w:rsidRDefault="005B49FE" w:rsidP="005B49FE">
      <w:pPr>
        <w:pStyle w:val="BodyText"/>
      </w:pPr>
      <w:r w:rsidRPr="00E3756C">
        <w:t>Based on the expected climate changes for Aotearoa</w:t>
      </w:r>
      <w:r w:rsidR="00F1547B" w:rsidRPr="00E3756C">
        <w:t xml:space="preserve"> </w:t>
      </w:r>
      <w:r w:rsidRPr="00E3756C">
        <w:t>N</w:t>
      </w:r>
      <w:r w:rsidR="00F1547B" w:rsidRPr="00E3756C">
        <w:t xml:space="preserve">ew </w:t>
      </w:r>
      <w:r w:rsidRPr="00E3756C">
        <w:t>Z</w:t>
      </w:r>
      <w:r w:rsidR="00F1547B" w:rsidRPr="00E3756C">
        <w:t>ealand</w:t>
      </w:r>
      <w:r w:rsidRPr="00E3756C">
        <w:t xml:space="preserve">, </w:t>
      </w:r>
      <w:r w:rsidR="00F1547B" w:rsidRPr="00E3756C">
        <w:t>t</w:t>
      </w:r>
      <w:r w:rsidRPr="00E3756C">
        <w:t>able B1-2 provides the key categories (17) of hazards (which may be events or trends</w:t>
      </w:r>
      <w:r w:rsidR="00F1547B" w:rsidRPr="00E3756C">
        <w:t xml:space="preserve"> and </w:t>
      </w:r>
      <w:r w:rsidRPr="00E3756C">
        <w:t xml:space="preserve">stressors, or a mix of both) arising from climate change that are most likely to result in substantial risks to </w:t>
      </w:r>
      <w:r w:rsidR="007A121B" w:rsidRPr="00E3756C">
        <w:t xml:space="preserve">the </w:t>
      </w:r>
      <w:r w:rsidRPr="00E3756C">
        <w:t xml:space="preserve">nation’s </w:t>
      </w:r>
      <w:r w:rsidR="000A17DE">
        <w:t>wellbeing</w:t>
      </w:r>
      <w:r w:rsidRPr="00E3756C">
        <w:t xml:space="preserve"> (ie</w:t>
      </w:r>
      <w:r w:rsidR="007A121B" w:rsidRPr="00E3756C">
        <w:t>,</w:t>
      </w:r>
      <w:r w:rsidRPr="00E3756C">
        <w:t xml:space="preserve"> Treasury’s Living Standard</w:t>
      </w:r>
      <w:r w:rsidR="00484C8A" w:rsidRPr="00E3756C">
        <w:t xml:space="preserve"> </w:t>
      </w:r>
      <w:r w:rsidRPr="00E3756C">
        <w:t>Framework</w:t>
      </w:r>
      <w:r w:rsidR="007A121B" w:rsidRPr="00E3756C">
        <w:t xml:space="preserve"> as</w:t>
      </w:r>
      <w:r w:rsidRPr="00E3756C">
        <w:t xml:space="preserve"> outlined in </w:t>
      </w:r>
      <w:hyperlink w:anchor="_Chapter_A3:_Setting" w:history="1">
        <w:r w:rsidR="007A121B" w:rsidRPr="00E3756C">
          <w:rPr>
            <w:rStyle w:val="Hyperlink"/>
          </w:rPr>
          <w:t>c</w:t>
        </w:r>
        <w:r w:rsidRPr="00E3756C">
          <w:rPr>
            <w:rStyle w:val="Hyperlink"/>
          </w:rPr>
          <w:t>hapter A3</w:t>
        </w:r>
      </w:hyperlink>
      <w:r w:rsidRPr="00E3756C">
        <w:t>). The second and third columns outline the associated primary and secondary climate</w:t>
      </w:r>
      <w:r w:rsidR="007A121B" w:rsidRPr="00E3756C">
        <w:t xml:space="preserve"> </w:t>
      </w:r>
      <w:r w:rsidRPr="00E3756C">
        <w:t xml:space="preserve">change variables that contribute to each of the hazards. A </w:t>
      </w:r>
      <w:r w:rsidR="007A121B" w:rsidRPr="00E3756C">
        <w:t>‘</w:t>
      </w:r>
      <w:r w:rsidRPr="00E3756C">
        <w:t>long</w:t>
      </w:r>
      <w:r w:rsidR="007A121B" w:rsidRPr="00E3756C">
        <w:t xml:space="preserve"> </w:t>
      </w:r>
      <w:r w:rsidRPr="00E3756C">
        <w:t>list</w:t>
      </w:r>
      <w:r w:rsidR="007A121B" w:rsidRPr="00E3756C">
        <w:t>’</w:t>
      </w:r>
      <w:r w:rsidRPr="00E3756C">
        <w:t xml:space="preserve"> of these climate-related variables is available in </w:t>
      </w:r>
      <w:r w:rsidR="007A121B" w:rsidRPr="00E3756C">
        <w:t>c</w:t>
      </w:r>
      <w:r w:rsidRPr="00E3756C">
        <w:t>hapter C4 (</w:t>
      </w:r>
      <w:hyperlink w:anchor="tableC41" w:history="1">
        <w:r w:rsidR="007A121B" w:rsidRPr="00E3756C">
          <w:rPr>
            <w:rStyle w:val="Hyperlink"/>
          </w:rPr>
          <w:t>t</w:t>
        </w:r>
        <w:r w:rsidRPr="00E3756C">
          <w:rPr>
            <w:rStyle w:val="Hyperlink"/>
          </w:rPr>
          <w:t>able C4-1</w:t>
        </w:r>
      </w:hyperlink>
      <w:r w:rsidRPr="00E3756C">
        <w:t>)</w:t>
      </w:r>
      <w:r w:rsidR="00DC1E54" w:rsidRPr="00E3756C">
        <w:t>,</w:t>
      </w:r>
      <w:r w:rsidRPr="00E3756C">
        <w:t xml:space="preserve"> if amendments to </w:t>
      </w:r>
      <w:r w:rsidR="007A121B" w:rsidRPr="00E3756C">
        <w:t>t</w:t>
      </w:r>
      <w:r w:rsidRPr="00E3756C">
        <w:t>able B1-2 are necessary.</w:t>
      </w:r>
    </w:p>
    <w:p w14:paraId="66D19BB1" w14:textId="77777777" w:rsidR="005B49FE" w:rsidRPr="00E3756C" w:rsidRDefault="005B49FE" w:rsidP="005B49FE">
      <w:pPr>
        <w:pStyle w:val="BodyText"/>
      </w:pPr>
      <w:r w:rsidRPr="00E3756C">
        <w:t>The risk screening assessment (</w:t>
      </w:r>
      <w:hyperlink w:anchor="_Chapter_B2:_Assessment" w:history="1">
        <w:r w:rsidR="00DC1E54" w:rsidRPr="00E3756C">
          <w:rPr>
            <w:rStyle w:val="Hyperlink"/>
          </w:rPr>
          <w:t>c</w:t>
        </w:r>
        <w:r w:rsidRPr="00E3756C">
          <w:rPr>
            <w:rStyle w:val="Hyperlink"/>
          </w:rPr>
          <w:t>hapter B2</w:t>
        </w:r>
      </w:hyperlink>
      <w:r w:rsidRPr="00E3756C">
        <w:t>) provides an initial appraisal of whether these hazards pose a threat (and how significant)</w:t>
      </w:r>
      <w:r w:rsidR="007D3A6C" w:rsidRPr="00E3756C">
        <w:t>,</w:t>
      </w:r>
      <w:r w:rsidRPr="00E3756C">
        <w:t xml:space="preserve"> are minor or not applicable for the climate</w:t>
      </w:r>
      <w:r w:rsidR="00DC1E54" w:rsidRPr="00E3756C">
        <w:t xml:space="preserve"> </w:t>
      </w:r>
      <w:r w:rsidRPr="00E3756C">
        <w:t xml:space="preserve">sensitive elements of each value domain and associated sectors. </w:t>
      </w:r>
      <w:r w:rsidR="007D3A6C" w:rsidRPr="00E3756C">
        <w:t>O</w:t>
      </w:r>
      <w:r w:rsidRPr="00E3756C">
        <w:t>ther compound hazards (combinations of the listed hazards) could also pose a risk for a particular sector and could be added at the initial step (</w:t>
      </w:r>
      <w:hyperlink w:anchor="figureB12" w:history="1">
        <w:r w:rsidR="007D3A6C" w:rsidRPr="00E3756C">
          <w:rPr>
            <w:rStyle w:val="Hyperlink"/>
          </w:rPr>
          <w:t>f</w:t>
        </w:r>
        <w:r w:rsidRPr="00E3756C">
          <w:rPr>
            <w:rStyle w:val="Hyperlink"/>
          </w:rPr>
          <w:t>igure B1-2</w:t>
        </w:r>
      </w:hyperlink>
      <w:r w:rsidRPr="00E3756C">
        <w:t>).</w:t>
      </w:r>
    </w:p>
    <w:p w14:paraId="124EBA88" w14:textId="77777777" w:rsidR="00133D9F" w:rsidRPr="00E3756C" w:rsidRDefault="00133D9F" w:rsidP="00133D9F">
      <w:pPr>
        <w:pStyle w:val="Tableheading"/>
        <w:rPr>
          <w:b w:val="0"/>
        </w:rPr>
      </w:pPr>
      <w:bookmarkStart w:id="115" w:name="tableB12"/>
      <w:bookmarkStart w:id="116" w:name="_Toc16586495"/>
      <w:r w:rsidRPr="00E3756C">
        <w:t>Table B1-2</w:t>
      </w:r>
      <w:bookmarkEnd w:id="115"/>
      <w:r w:rsidRPr="00E3756C">
        <w:t xml:space="preserve">: </w:t>
      </w:r>
      <w:r w:rsidRPr="00E3756C">
        <w:tab/>
      </w:r>
      <w:r w:rsidRPr="00E3756C">
        <w:rPr>
          <w:b w:val="0"/>
        </w:rPr>
        <w:t>Key categories (17) of hazards (</w:t>
      </w:r>
      <w:r w:rsidR="00B82368" w:rsidRPr="00E3756C">
        <w:rPr>
          <w:b w:val="0"/>
        </w:rPr>
        <w:t xml:space="preserve">blue </w:t>
      </w:r>
      <w:r w:rsidRPr="00E3756C">
        <w:rPr>
          <w:b w:val="0"/>
        </w:rPr>
        <w:t xml:space="preserve">shading) arising from climate change most likely to result in substantial risks </w:t>
      </w:r>
      <w:r w:rsidR="006C6E36">
        <w:rPr>
          <w:b w:val="0"/>
        </w:rPr>
        <w:t xml:space="preserve">to include </w:t>
      </w:r>
      <w:r w:rsidRPr="00E3756C">
        <w:rPr>
          <w:b w:val="0"/>
        </w:rPr>
        <w:t>in the NCCRA</w:t>
      </w:r>
      <w:r w:rsidR="006C6E36">
        <w:rPr>
          <w:b w:val="0"/>
        </w:rPr>
        <w:t xml:space="preserve"> </w:t>
      </w:r>
      <w:r w:rsidR="00F271ED">
        <w:rPr>
          <w:b w:val="0"/>
        </w:rPr>
        <w:t>(t</w:t>
      </w:r>
      <w:r w:rsidR="006C6E36">
        <w:rPr>
          <w:b w:val="0"/>
        </w:rPr>
        <w:t>his is not an exhaustive list</w:t>
      </w:r>
      <w:r w:rsidR="00F271ED">
        <w:rPr>
          <w:b w:val="0"/>
        </w:rPr>
        <w:t>)</w:t>
      </w:r>
      <w:bookmarkEnd w:id="116"/>
      <w:r w:rsidR="007F7ABF">
        <w:rPr>
          <w:b w:val="0"/>
        </w:rPr>
        <w:t xml:space="preserve"> </w:t>
      </w: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600" w:firstRow="0" w:lastRow="0" w:firstColumn="0" w:lastColumn="0" w:noHBand="1" w:noVBand="1"/>
      </w:tblPr>
      <w:tblGrid>
        <w:gridCol w:w="2346"/>
        <w:gridCol w:w="3115"/>
        <w:gridCol w:w="3044"/>
      </w:tblGrid>
      <w:tr w:rsidR="00BE755C" w:rsidRPr="00E3756C" w14:paraId="010B870D" w14:textId="77777777" w:rsidTr="00F271ED">
        <w:trPr>
          <w:trHeight w:val="20"/>
          <w:tblHeader/>
        </w:trPr>
        <w:tc>
          <w:tcPr>
            <w:tcW w:w="2346" w:type="dxa"/>
            <w:tcBorders>
              <w:bottom w:val="single" w:sz="4" w:space="0" w:color="1C556C" w:themeColor="accent1"/>
            </w:tcBorders>
            <w:shd w:val="clear" w:color="auto" w:fill="1C556C" w:themeFill="accent1"/>
            <w:tcMar>
              <w:top w:w="0" w:type="dxa"/>
              <w:left w:w="108" w:type="dxa"/>
              <w:bottom w:w="0" w:type="dxa"/>
              <w:right w:w="108" w:type="dxa"/>
            </w:tcMar>
            <w:vAlign w:val="bottom"/>
          </w:tcPr>
          <w:p w14:paraId="7156B617" w14:textId="77777777" w:rsidR="00133D9F" w:rsidRPr="00E3756C" w:rsidRDefault="00133D9F" w:rsidP="00B82368">
            <w:pPr>
              <w:pStyle w:val="TableTextbold"/>
              <w:rPr>
                <w:color w:val="FFFFFF" w:themeColor="background1"/>
              </w:rPr>
            </w:pPr>
            <w:r w:rsidRPr="00E3756C">
              <w:rPr>
                <w:color w:val="FFFFFF" w:themeColor="background1"/>
              </w:rPr>
              <w:t>Hazard (arising from climate</w:t>
            </w:r>
            <w:r w:rsidR="00B82368" w:rsidRPr="00E3756C">
              <w:rPr>
                <w:color w:val="FFFFFF" w:themeColor="background1"/>
              </w:rPr>
              <w:t> </w:t>
            </w:r>
            <w:r w:rsidRPr="00E3756C">
              <w:rPr>
                <w:color w:val="FFFFFF" w:themeColor="background1"/>
              </w:rPr>
              <w:t>change)</w:t>
            </w:r>
            <w:r w:rsidRPr="00E3756C">
              <w:rPr>
                <w:i/>
                <w:color w:val="FFFFFF" w:themeColor="background1"/>
              </w:rPr>
              <w:t xml:space="preserve"> </w:t>
            </w:r>
          </w:p>
        </w:tc>
        <w:tc>
          <w:tcPr>
            <w:tcW w:w="3115" w:type="dxa"/>
            <w:tcBorders>
              <w:bottom w:val="single" w:sz="4" w:space="0" w:color="1C556C" w:themeColor="accent1"/>
            </w:tcBorders>
            <w:shd w:val="clear" w:color="auto" w:fill="1C556C" w:themeFill="accent1"/>
            <w:tcMar>
              <w:top w:w="0" w:type="dxa"/>
              <w:left w:w="108" w:type="dxa"/>
              <w:bottom w:w="0" w:type="dxa"/>
              <w:right w:w="108" w:type="dxa"/>
            </w:tcMar>
            <w:vAlign w:val="bottom"/>
          </w:tcPr>
          <w:p w14:paraId="26948386" w14:textId="77777777" w:rsidR="00133D9F" w:rsidRPr="00E3756C" w:rsidRDefault="00133D9F" w:rsidP="00133D9F">
            <w:pPr>
              <w:pStyle w:val="TableTextbold"/>
              <w:rPr>
                <w:color w:val="FFFFFF" w:themeColor="background1"/>
              </w:rPr>
            </w:pPr>
            <w:r w:rsidRPr="00E3756C">
              <w:rPr>
                <w:color w:val="FFFFFF" w:themeColor="background1"/>
              </w:rPr>
              <w:t>Primary climate-related variables</w:t>
            </w:r>
          </w:p>
        </w:tc>
        <w:tc>
          <w:tcPr>
            <w:tcW w:w="3044" w:type="dxa"/>
            <w:tcBorders>
              <w:bottom w:val="single" w:sz="4" w:space="0" w:color="1C556C" w:themeColor="accent1"/>
            </w:tcBorders>
            <w:shd w:val="clear" w:color="auto" w:fill="1C556C" w:themeFill="accent1"/>
            <w:tcMar>
              <w:top w:w="0" w:type="dxa"/>
              <w:left w:w="108" w:type="dxa"/>
              <w:bottom w:w="0" w:type="dxa"/>
              <w:right w:w="108" w:type="dxa"/>
            </w:tcMar>
            <w:vAlign w:val="bottom"/>
          </w:tcPr>
          <w:p w14:paraId="2A866633" w14:textId="77777777" w:rsidR="00133D9F" w:rsidRPr="00E3756C" w:rsidRDefault="00133D9F" w:rsidP="00133D9F">
            <w:pPr>
              <w:pStyle w:val="TableTextbold"/>
              <w:rPr>
                <w:color w:val="FFFFFF" w:themeColor="background1"/>
              </w:rPr>
            </w:pPr>
            <w:r w:rsidRPr="00E3756C">
              <w:rPr>
                <w:color w:val="FFFFFF" w:themeColor="background1"/>
              </w:rPr>
              <w:t>Secondary climate-related variables</w:t>
            </w:r>
          </w:p>
        </w:tc>
      </w:tr>
      <w:tr w:rsidR="00133D9F" w:rsidRPr="00E3756C" w14:paraId="1456E9A0" w14:textId="77777777" w:rsidTr="00F271ED">
        <w:trPr>
          <w:trHeight w:val="20"/>
        </w:trPr>
        <w:tc>
          <w:tcPr>
            <w:tcW w:w="2346" w:type="dxa"/>
            <w:shd w:val="clear" w:color="auto" w:fill="D2DDE2" w:themeFill="accent3"/>
            <w:tcMar>
              <w:top w:w="0" w:type="dxa"/>
              <w:left w:w="108" w:type="dxa"/>
              <w:bottom w:w="0" w:type="dxa"/>
              <w:right w:w="108" w:type="dxa"/>
            </w:tcMar>
          </w:tcPr>
          <w:p w14:paraId="3248AD01" w14:textId="77777777" w:rsidR="00133D9F" w:rsidRPr="00E3756C" w:rsidRDefault="00133D9F" w:rsidP="00133D9F">
            <w:pPr>
              <w:pStyle w:val="TableTextbold"/>
            </w:pPr>
            <w:r w:rsidRPr="00E3756C">
              <w:t xml:space="preserve">Higher mean temperatures: air and water </w:t>
            </w:r>
          </w:p>
        </w:tc>
        <w:tc>
          <w:tcPr>
            <w:tcW w:w="3115" w:type="dxa"/>
            <w:shd w:val="clear" w:color="auto" w:fill="D2DDE2" w:themeFill="accent3"/>
            <w:tcMar>
              <w:top w:w="0" w:type="dxa"/>
              <w:left w:w="108" w:type="dxa"/>
              <w:bottom w:w="0" w:type="dxa"/>
              <w:right w:w="108" w:type="dxa"/>
            </w:tcMar>
          </w:tcPr>
          <w:p w14:paraId="2921CA72" w14:textId="77777777" w:rsidR="00133D9F" w:rsidRPr="00E3756C" w:rsidRDefault="00133D9F" w:rsidP="00E06094">
            <w:pPr>
              <w:pStyle w:val="TableBullet"/>
              <w:spacing w:before="60"/>
            </w:pPr>
            <w:r w:rsidRPr="00E3756C">
              <w:t xml:space="preserve">Higher day </w:t>
            </w:r>
            <w:r w:rsidR="00F709BB" w:rsidRPr="00E3756C">
              <w:t>and</w:t>
            </w:r>
            <w:r w:rsidRPr="00E3756C">
              <w:t xml:space="preserve"> night temperatures</w:t>
            </w:r>
          </w:p>
          <w:p w14:paraId="1060368B" w14:textId="77777777" w:rsidR="00133D9F" w:rsidRPr="00E3756C" w:rsidRDefault="00133D9F" w:rsidP="00E06094">
            <w:pPr>
              <w:pStyle w:val="TableBullet"/>
            </w:pPr>
            <w:r w:rsidRPr="00E3756C">
              <w:t xml:space="preserve">Higher mean water (freshwater </w:t>
            </w:r>
            <w:r w:rsidR="00F709BB" w:rsidRPr="00E3756C">
              <w:t>and</w:t>
            </w:r>
            <w:r w:rsidRPr="00E3756C">
              <w:t xml:space="preserve"> marine) temperatures</w:t>
            </w:r>
          </w:p>
        </w:tc>
        <w:tc>
          <w:tcPr>
            <w:tcW w:w="3044" w:type="dxa"/>
            <w:shd w:val="clear" w:color="auto" w:fill="D2DDE2" w:themeFill="accent3"/>
            <w:tcMar>
              <w:top w:w="0" w:type="dxa"/>
              <w:left w:w="108" w:type="dxa"/>
              <w:bottom w:w="0" w:type="dxa"/>
              <w:right w:w="108" w:type="dxa"/>
            </w:tcMar>
          </w:tcPr>
          <w:p w14:paraId="56193A64" w14:textId="77777777" w:rsidR="00133D9F" w:rsidRPr="00E3756C" w:rsidRDefault="00133D9F" w:rsidP="00E06094">
            <w:pPr>
              <w:pStyle w:val="TableBullet"/>
              <w:spacing w:before="60"/>
            </w:pPr>
            <w:r w:rsidRPr="00E3756C">
              <w:t xml:space="preserve">More heatwaves </w:t>
            </w:r>
            <w:r w:rsidR="00F709BB" w:rsidRPr="00E3756C">
              <w:t>and</w:t>
            </w:r>
            <w:r w:rsidRPr="00E3756C">
              <w:t xml:space="preserve"> warm spells</w:t>
            </w:r>
          </w:p>
          <w:p w14:paraId="20E1DFE4" w14:textId="77777777" w:rsidR="00133D9F" w:rsidRPr="00E3756C" w:rsidRDefault="00133D9F" w:rsidP="00E06094">
            <w:pPr>
              <w:pStyle w:val="TableBullet"/>
            </w:pPr>
            <w:r w:rsidRPr="00E3756C">
              <w:t>Fewer frost</w:t>
            </w:r>
            <w:r w:rsidR="000204E8" w:rsidRPr="00E3756C">
              <w:t>s</w:t>
            </w:r>
            <w:r w:rsidRPr="00E3756C">
              <w:t xml:space="preserve"> or cold days</w:t>
            </w:r>
          </w:p>
        </w:tc>
      </w:tr>
      <w:tr w:rsidR="00133D9F" w:rsidRPr="00E3756C" w14:paraId="52E3BA02" w14:textId="77777777" w:rsidTr="00F271ED">
        <w:trPr>
          <w:trHeight w:val="20"/>
        </w:trPr>
        <w:tc>
          <w:tcPr>
            <w:tcW w:w="2346" w:type="dxa"/>
            <w:tcMar>
              <w:top w:w="0" w:type="dxa"/>
              <w:left w:w="108" w:type="dxa"/>
              <w:bottom w:w="0" w:type="dxa"/>
              <w:right w:w="108" w:type="dxa"/>
            </w:tcMar>
          </w:tcPr>
          <w:p w14:paraId="654D50A7" w14:textId="77777777" w:rsidR="00133D9F" w:rsidRPr="00E3756C" w:rsidRDefault="00133D9F" w:rsidP="00E06094">
            <w:pPr>
              <w:pStyle w:val="TableText"/>
            </w:pPr>
            <w:r w:rsidRPr="00E3756C">
              <w:rPr>
                <w:b/>
              </w:rPr>
              <w:t>Heatwaves</w:t>
            </w:r>
            <w:r w:rsidRPr="00E3756C">
              <w:t xml:space="preserve">: </w:t>
            </w:r>
            <w:r w:rsidR="007B19EE" w:rsidRPr="00E3756C">
              <w:t>i</w:t>
            </w:r>
            <w:r w:rsidRPr="00E3756C">
              <w:t xml:space="preserve">ncreasing persistence, frequency and magnitude </w:t>
            </w:r>
          </w:p>
        </w:tc>
        <w:tc>
          <w:tcPr>
            <w:tcW w:w="3115" w:type="dxa"/>
            <w:tcMar>
              <w:top w:w="0" w:type="dxa"/>
              <w:left w:w="108" w:type="dxa"/>
              <w:bottom w:w="0" w:type="dxa"/>
              <w:right w:w="108" w:type="dxa"/>
            </w:tcMar>
          </w:tcPr>
          <w:p w14:paraId="621BF2FA" w14:textId="77777777" w:rsidR="00133D9F" w:rsidRPr="00E3756C" w:rsidRDefault="00133D9F" w:rsidP="008B004F">
            <w:pPr>
              <w:pStyle w:val="TableBullet"/>
              <w:spacing w:before="60"/>
            </w:pPr>
            <w:r w:rsidRPr="00E3756C">
              <w:t xml:space="preserve">Higher day </w:t>
            </w:r>
            <w:r w:rsidR="00F709BB" w:rsidRPr="00E3756C">
              <w:t>and</w:t>
            </w:r>
            <w:r w:rsidRPr="00E3756C">
              <w:t xml:space="preserve"> night temperatures</w:t>
            </w:r>
          </w:p>
          <w:p w14:paraId="654558A1" w14:textId="77777777" w:rsidR="00133D9F" w:rsidRPr="00E3756C" w:rsidRDefault="00133D9F" w:rsidP="00E06094">
            <w:pPr>
              <w:pStyle w:val="TableBullet"/>
            </w:pPr>
            <w:r w:rsidRPr="00E3756C">
              <w:t>Increase in persistence of maximum daily temperatures above 25°C</w:t>
            </w:r>
          </w:p>
        </w:tc>
        <w:tc>
          <w:tcPr>
            <w:tcW w:w="3044" w:type="dxa"/>
            <w:tcMar>
              <w:top w:w="0" w:type="dxa"/>
              <w:left w:w="108" w:type="dxa"/>
              <w:bottom w:w="0" w:type="dxa"/>
              <w:right w:w="108" w:type="dxa"/>
            </w:tcMar>
          </w:tcPr>
          <w:p w14:paraId="30660356" w14:textId="77777777" w:rsidR="00133D9F" w:rsidRPr="00E3756C" w:rsidRDefault="00133D9F" w:rsidP="008B004F">
            <w:pPr>
              <w:pStyle w:val="TableBullet"/>
              <w:spacing w:before="60"/>
            </w:pPr>
            <w:r w:rsidRPr="00E3756C">
              <w:t>Changes in seasonal winds</w:t>
            </w:r>
          </w:p>
          <w:p w14:paraId="549AD4D4" w14:textId="77777777" w:rsidR="00133D9F" w:rsidRPr="00E3756C" w:rsidRDefault="00133D9F" w:rsidP="00E06094">
            <w:pPr>
              <w:pStyle w:val="TableBullet"/>
            </w:pPr>
            <w:r w:rsidRPr="00E3756C">
              <w:t>Humidity changes from changes in cloudiness</w:t>
            </w:r>
          </w:p>
        </w:tc>
      </w:tr>
      <w:tr w:rsidR="00133D9F" w:rsidRPr="00E3756C" w14:paraId="6832CF5B" w14:textId="77777777" w:rsidTr="00F271ED">
        <w:trPr>
          <w:trHeight w:val="20"/>
        </w:trPr>
        <w:tc>
          <w:tcPr>
            <w:tcW w:w="2346" w:type="dxa"/>
            <w:tcBorders>
              <w:bottom w:val="single" w:sz="4" w:space="0" w:color="1C556C" w:themeColor="accent1"/>
            </w:tcBorders>
            <w:tcMar>
              <w:top w:w="0" w:type="dxa"/>
              <w:left w:w="108" w:type="dxa"/>
              <w:bottom w:w="0" w:type="dxa"/>
              <w:right w:w="108" w:type="dxa"/>
            </w:tcMar>
          </w:tcPr>
          <w:p w14:paraId="0563B546" w14:textId="77777777" w:rsidR="00133D9F" w:rsidRPr="00E3756C" w:rsidRDefault="00133D9F" w:rsidP="00E06094">
            <w:pPr>
              <w:pStyle w:val="TableText"/>
            </w:pPr>
            <w:r w:rsidRPr="00E3756C">
              <w:t xml:space="preserve">More and longer dry spells and drought </w:t>
            </w:r>
          </w:p>
        </w:tc>
        <w:tc>
          <w:tcPr>
            <w:tcW w:w="3115" w:type="dxa"/>
            <w:tcBorders>
              <w:bottom w:val="single" w:sz="4" w:space="0" w:color="1C556C" w:themeColor="accent1"/>
            </w:tcBorders>
            <w:tcMar>
              <w:top w:w="0" w:type="dxa"/>
              <w:left w:w="108" w:type="dxa"/>
              <w:bottom w:w="0" w:type="dxa"/>
              <w:right w:w="108" w:type="dxa"/>
            </w:tcMar>
          </w:tcPr>
          <w:p w14:paraId="5D2DEA09" w14:textId="77777777" w:rsidR="00133D9F" w:rsidRPr="00E3756C" w:rsidRDefault="00133D9F" w:rsidP="008B004F">
            <w:pPr>
              <w:pStyle w:val="TableBullet"/>
              <w:spacing w:before="60"/>
            </w:pPr>
            <w:r w:rsidRPr="00E3756C">
              <w:t>Low seasonal rainfall</w:t>
            </w:r>
          </w:p>
          <w:p w14:paraId="45785088" w14:textId="77777777" w:rsidR="00133D9F" w:rsidRPr="00E3756C" w:rsidRDefault="00133D9F" w:rsidP="00E06094">
            <w:pPr>
              <w:pStyle w:val="TableBullet"/>
            </w:pPr>
            <w:r w:rsidRPr="00E3756C">
              <w:t>Change in seasonal wind patterns</w:t>
            </w:r>
          </w:p>
          <w:p w14:paraId="33B65583" w14:textId="77777777" w:rsidR="00133D9F" w:rsidRPr="00E3756C" w:rsidRDefault="00133D9F" w:rsidP="00F709BB">
            <w:pPr>
              <w:pStyle w:val="TableBullet"/>
            </w:pPr>
            <w:r w:rsidRPr="00E3756C">
              <w:t>Interannual variability (eg</w:t>
            </w:r>
            <w:r w:rsidR="00F709BB" w:rsidRPr="00E3756C">
              <w:t>,</w:t>
            </w:r>
            <w:r w:rsidRPr="00E3756C">
              <w:t xml:space="preserve"> ENSO)</w:t>
            </w:r>
          </w:p>
        </w:tc>
        <w:tc>
          <w:tcPr>
            <w:tcW w:w="3044" w:type="dxa"/>
            <w:tcBorders>
              <w:bottom w:val="single" w:sz="4" w:space="0" w:color="1C556C" w:themeColor="accent1"/>
            </w:tcBorders>
            <w:tcMar>
              <w:top w:w="0" w:type="dxa"/>
              <w:left w:w="108" w:type="dxa"/>
              <w:bottom w:w="0" w:type="dxa"/>
              <w:right w:w="108" w:type="dxa"/>
            </w:tcMar>
          </w:tcPr>
          <w:p w14:paraId="74FB4FD7" w14:textId="77777777" w:rsidR="00133D9F" w:rsidRPr="00E3756C" w:rsidRDefault="00133D9F" w:rsidP="008B004F">
            <w:pPr>
              <w:pStyle w:val="TableBullet"/>
              <w:spacing w:before="60"/>
            </w:pPr>
            <w:r w:rsidRPr="00E3756C">
              <w:t xml:space="preserve">Higher day </w:t>
            </w:r>
            <w:r w:rsidR="000204E8" w:rsidRPr="00E3756C">
              <w:t>and</w:t>
            </w:r>
            <w:r w:rsidRPr="00E3756C">
              <w:t xml:space="preserve"> night temperatures </w:t>
            </w:r>
          </w:p>
        </w:tc>
      </w:tr>
      <w:tr w:rsidR="00133D9F" w:rsidRPr="00E3756C" w14:paraId="5C672A2B" w14:textId="77777777" w:rsidTr="00F271ED">
        <w:trPr>
          <w:trHeight w:val="20"/>
        </w:trPr>
        <w:tc>
          <w:tcPr>
            <w:tcW w:w="2346" w:type="dxa"/>
            <w:shd w:val="clear" w:color="auto" w:fill="D2DDE2" w:themeFill="accent3"/>
            <w:tcMar>
              <w:top w:w="0" w:type="dxa"/>
              <w:left w:w="108" w:type="dxa"/>
              <w:bottom w:w="0" w:type="dxa"/>
              <w:right w:w="108" w:type="dxa"/>
            </w:tcMar>
          </w:tcPr>
          <w:p w14:paraId="0049D7C4" w14:textId="77777777" w:rsidR="00133D9F" w:rsidRPr="00E3756C" w:rsidRDefault="00133D9F" w:rsidP="00E06094">
            <w:pPr>
              <w:pStyle w:val="TableText"/>
            </w:pPr>
            <w:r w:rsidRPr="00E3756C">
              <w:rPr>
                <w:b/>
              </w:rPr>
              <w:t>Changes in climate</w:t>
            </w:r>
            <w:r w:rsidRPr="00E3756C">
              <w:t xml:space="preserve"> </w:t>
            </w:r>
            <w:r w:rsidRPr="00E3756C">
              <w:rPr>
                <w:b/>
              </w:rPr>
              <w:t>seasonality</w:t>
            </w:r>
            <w:r w:rsidRPr="00E3756C">
              <w:t xml:space="preserve"> with longer summers and shorter winters </w:t>
            </w:r>
          </w:p>
        </w:tc>
        <w:tc>
          <w:tcPr>
            <w:tcW w:w="3115" w:type="dxa"/>
            <w:shd w:val="clear" w:color="auto" w:fill="D2DDE2" w:themeFill="accent3"/>
            <w:tcMar>
              <w:top w:w="0" w:type="dxa"/>
              <w:left w:w="108" w:type="dxa"/>
              <w:bottom w:w="0" w:type="dxa"/>
              <w:right w:w="108" w:type="dxa"/>
            </w:tcMar>
          </w:tcPr>
          <w:p w14:paraId="2BE7176D" w14:textId="77777777" w:rsidR="00133D9F" w:rsidRPr="00E3756C" w:rsidRDefault="00133D9F" w:rsidP="008B004F">
            <w:pPr>
              <w:pStyle w:val="TableBullet"/>
              <w:spacing w:before="60"/>
            </w:pPr>
            <w:r w:rsidRPr="00E3756C">
              <w:t>Fewer frost</w:t>
            </w:r>
            <w:r w:rsidR="000204E8" w:rsidRPr="00E3756C">
              <w:t>s</w:t>
            </w:r>
            <w:r w:rsidRPr="00E3756C">
              <w:t xml:space="preserve"> or cold days</w:t>
            </w:r>
          </w:p>
          <w:p w14:paraId="5B7A844B" w14:textId="77777777" w:rsidR="00133D9F" w:rsidRPr="00E3756C" w:rsidRDefault="00133D9F" w:rsidP="00E06094">
            <w:pPr>
              <w:pStyle w:val="TableBullet"/>
            </w:pPr>
            <w:r w:rsidRPr="00E3756C">
              <w:t xml:space="preserve">Higher day </w:t>
            </w:r>
            <w:r w:rsidR="000204E8" w:rsidRPr="00E3756C">
              <w:t>and</w:t>
            </w:r>
            <w:r w:rsidRPr="00E3756C">
              <w:t xml:space="preserve"> night temperatures</w:t>
            </w:r>
          </w:p>
          <w:p w14:paraId="0632155B" w14:textId="77777777" w:rsidR="00133D9F" w:rsidRPr="00E3756C" w:rsidRDefault="00133D9F" w:rsidP="00E06094">
            <w:pPr>
              <w:pStyle w:val="TableBullet"/>
            </w:pPr>
            <w:r w:rsidRPr="00E3756C">
              <w:t>Changes in seasonal rainfall</w:t>
            </w:r>
          </w:p>
        </w:tc>
        <w:tc>
          <w:tcPr>
            <w:tcW w:w="3044" w:type="dxa"/>
            <w:shd w:val="clear" w:color="auto" w:fill="D2DDE2" w:themeFill="accent3"/>
            <w:tcMar>
              <w:top w:w="0" w:type="dxa"/>
              <w:left w:w="108" w:type="dxa"/>
              <w:bottom w:w="0" w:type="dxa"/>
              <w:right w:w="108" w:type="dxa"/>
            </w:tcMar>
          </w:tcPr>
          <w:p w14:paraId="4A69EAF2" w14:textId="77777777" w:rsidR="00133D9F" w:rsidRPr="00E3756C" w:rsidRDefault="00133D9F" w:rsidP="008B004F">
            <w:pPr>
              <w:pStyle w:val="TableBullet"/>
              <w:spacing w:before="60"/>
            </w:pPr>
            <w:r w:rsidRPr="00E3756C">
              <w:t>Changes in seasonal wind</w:t>
            </w:r>
          </w:p>
        </w:tc>
      </w:tr>
      <w:tr w:rsidR="00133D9F" w:rsidRPr="00E3756C" w14:paraId="313A5AB4" w14:textId="77777777" w:rsidTr="00F271ED">
        <w:trPr>
          <w:trHeight w:val="20"/>
        </w:trPr>
        <w:tc>
          <w:tcPr>
            <w:tcW w:w="2346" w:type="dxa"/>
            <w:tcMar>
              <w:top w:w="0" w:type="dxa"/>
              <w:left w:w="108" w:type="dxa"/>
              <w:bottom w:w="0" w:type="dxa"/>
              <w:right w:w="108" w:type="dxa"/>
            </w:tcMar>
          </w:tcPr>
          <w:p w14:paraId="7CC98ECE" w14:textId="77777777" w:rsidR="00133D9F" w:rsidRPr="00E3756C" w:rsidRDefault="00133D9F" w:rsidP="007B19EE">
            <w:pPr>
              <w:pStyle w:val="TableText"/>
            </w:pPr>
            <w:r w:rsidRPr="00E3756C">
              <w:lastRenderedPageBreak/>
              <w:t xml:space="preserve">Increasing </w:t>
            </w:r>
            <w:r w:rsidRPr="00E3756C">
              <w:rPr>
                <w:b/>
              </w:rPr>
              <w:t>fire</w:t>
            </w:r>
            <w:r w:rsidR="007B19EE" w:rsidRPr="00E3756C">
              <w:rPr>
                <w:b/>
              </w:rPr>
              <w:t>–</w:t>
            </w:r>
            <w:r w:rsidRPr="00E3756C">
              <w:rPr>
                <w:b/>
              </w:rPr>
              <w:t>weather</w:t>
            </w:r>
            <w:r w:rsidRPr="00E3756C">
              <w:t xml:space="preserve"> conditions: harsher, prolonged season </w:t>
            </w:r>
          </w:p>
        </w:tc>
        <w:tc>
          <w:tcPr>
            <w:tcW w:w="3115" w:type="dxa"/>
            <w:tcMar>
              <w:top w:w="0" w:type="dxa"/>
              <w:left w:w="108" w:type="dxa"/>
              <w:bottom w:w="0" w:type="dxa"/>
              <w:right w:w="108" w:type="dxa"/>
            </w:tcMar>
          </w:tcPr>
          <w:p w14:paraId="5B787736" w14:textId="77777777" w:rsidR="00133D9F" w:rsidRPr="00E3756C" w:rsidRDefault="00133D9F" w:rsidP="008B004F">
            <w:pPr>
              <w:pStyle w:val="TableBullet"/>
              <w:spacing w:before="60"/>
            </w:pPr>
            <w:r w:rsidRPr="00E3756C">
              <w:t>Low seasonal rainfall</w:t>
            </w:r>
          </w:p>
          <w:p w14:paraId="37822E8E" w14:textId="77777777" w:rsidR="00133D9F" w:rsidRPr="00E3756C" w:rsidRDefault="00133D9F" w:rsidP="00E06094">
            <w:pPr>
              <w:pStyle w:val="TableBullet"/>
            </w:pPr>
            <w:r w:rsidRPr="00E3756C">
              <w:t>Change in seasonal wind patterns</w:t>
            </w:r>
          </w:p>
          <w:p w14:paraId="1840D28F" w14:textId="77777777" w:rsidR="00133D9F" w:rsidRPr="00E3756C" w:rsidRDefault="00133D9F" w:rsidP="00E06094">
            <w:pPr>
              <w:pStyle w:val="TableBullet"/>
            </w:pPr>
            <w:r w:rsidRPr="00E3756C">
              <w:t>Increase in persistence of maximum daily temperatures above 25°C</w:t>
            </w:r>
          </w:p>
          <w:p w14:paraId="09DA6AAE" w14:textId="77777777" w:rsidR="00133D9F" w:rsidRPr="00E3756C" w:rsidRDefault="00133D9F" w:rsidP="00E06094">
            <w:pPr>
              <w:pStyle w:val="TableBullet"/>
            </w:pPr>
            <w:r w:rsidRPr="00E3756C">
              <w:t>Humidity changes from changes in cloudiness</w:t>
            </w:r>
          </w:p>
        </w:tc>
        <w:tc>
          <w:tcPr>
            <w:tcW w:w="3044" w:type="dxa"/>
            <w:tcMar>
              <w:top w:w="0" w:type="dxa"/>
              <w:left w:w="108" w:type="dxa"/>
              <w:bottom w:w="0" w:type="dxa"/>
              <w:right w:w="108" w:type="dxa"/>
            </w:tcMar>
          </w:tcPr>
          <w:p w14:paraId="1B3B4791" w14:textId="77777777" w:rsidR="00133D9F" w:rsidRPr="00E3756C" w:rsidRDefault="00133D9F" w:rsidP="008B004F">
            <w:pPr>
              <w:pStyle w:val="TableBullet"/>
              <w:spacing w:before="60"/>
            </w:pPr>
            <w:r w:rsidRPr="00E3756C">
              <w:t xml:space="preserve">Higher day </w:t>
            </w:r>
            <w:r w:rsidR="007B19EE" w:rsidRPr="00E3756C">
              <w:t>and</w:t>
            </w:r>
            <w:r w:rsidRPr="00E3756C">
              <w:t xml:space="preserve"> night temperatures</w:t>
            </w:r>
          </w:p>
          <w:p w14:paraId="4C353B8C" w14:textId="77777777" w:rsidR="00133D9F" w:rsidRPr="00E3756C" w:rsidRDefault="00133D9F" w:rsidP="007B19EE">
            <w:pPr>
              <w:pStyle w:val="TableBullet"/>
            </w:pPr>
            <w:r w:rsidRPr="00E3756C">
              <w:t>Interannual variability (eg</w:t>
            </w:r>
            <w:r w:rsidR="007B19EE" w:rsidRPr="00E3756C">
              <w:t>,</w:t>
            </w:r>
            <w:r w:rsidRPr="00E3756C">
              <w:t xml:space="preserve"> ENSO) </w:t>
            </w:r>
          </w:p>
        </w:tc>
      </w:tr>
      <w:tr w:rsidR="00133D9F" w:rsidRPr="00E3756C" w14:paraId="43752B44" w14:textId="77777777" w:rsidTr="00F271ED">
        <w:trPr>
          <w:trHeight w:val="20"/>
        </w:trPr>
        <w:tc>
          <w:tcPr>
            <w:tcW w:w="2346" w:type="dxa"/>
            <w:tcBorders>
              <w:bottom w:val="single" w:sz="4" w:space="0" w:color="1C556C" w:themeColor="accent1"/>
            </w:tcBorders>
            <w:tcMar>
              <w:top w:w="0" w:type="dxa"/>
              <w:left w:w="108" w:type="dxa"/>
              <w:bottom w:w="0" w:type="dxa"/>
              <w:right w:w="108" w:type="dxa"/>
            </w:tcMar>
          </w:tcPr>
          <w:p w14:paraId="26B673FF" w14:textId="77777777" w:rsidR="00133D9F" w:rsidRPr="00E3756C" w:rsidRDefault="00133D9F" w:rsidP="00E06094">
            <w:pPr>
              <w:pStyle w:val="TableText"/>
            </w:pPr>
            <w:r w:rsidRPr="00E3756C">
              <w:t xml:space="preserve">Increased </w:t>
            </w:r>
            <w:r w:rsidRPr="00E3756C">
              <w:rPr>
                <w:b/>
              </w:rPr>
              <w:t>storminess and extreme winds</w:t>
            </w:r>
            <w:r w:rsidRPr="00E3756C">
              <w:t xml:space="preserve"> </w:t>
            </w:r>
          </w:p>
        </w:tc>
        <w:tc>
          <w:tcPr>
            <w:tcW w:w="3115" w:type="dxa"/>
            <w:tcBorders>
              <w:bottom w:val="single" w:sz="4" w:space="0" w:color="1C556C" w:themeColor="accent1"/>
            </w:tcBorders>
            <w:tcMar>
              <w:top w:w="0" w:type="dxa"/>
              <w:left w:w="108" w:type="dxa"/>
              <w:bottom w:w="0" w:type="dxa"/>
              <w:right w:w="108" w:type="dxa"/>
            </w:tcMar>
          </w:tcPr>
          <w:p w14:paraId="408CD7DA" w14:textId="77777777" w:rsidR="00133D9F" w:rsidRPr="00E3756C" w:rsidRDefault="00133D9F" w:rsidP="008B004F">
            <w:pPr>
              <w:pStyle w:val="TableBullet"/>
              <w:spacing w:before="60"/>
            </w:pPr>
            <w:r w:rsidRPr="00E3756C">
              <w:t xml:space="preserve">Increase in storminess (frequency, intensity) including </w:t>
            </w:r>
            <w:r w:rsidR="007B19EE" w:rsidRPr="00E3756C">
              <w:t>tropical cyclones</w:t>
            </w:r>
          </w:p>
          <w:p w14:paraId="76419458" w14:textId="77777777" w:rsidR="00133D9F" w:rsidRPr="00E3756C" w:rsidRDefault="00133D9F" w:rsidP="00E06094">
            <w:pPr>
              <w:pStyle w:val="TableBullet"/>
            </w:pPr>
            <w:r w:rsidRPr="00E3756C">
              <w:t>Changes in extreme wind speed</w:t>
            </w:r>
            <w:r w:rsidR="00484C8A" w:rsidRPr="00E3756C">
              <w:rPr>
                <w:rFonts w:ascii="Times New Roman" w:eastAsia="Times New Roman" w:hAnsi="Times New Roman" w:cs="Times New Roman"/>
                <w:sz w:val="14"/>
                <w:szCs w:val="14"/>
              </w:rPr>
              <w:t xml:space="preserve"> </w:t>
            </w:r>
          </w:p>
        </w:tc>
        <w:tc>
          <w:tcPr>
            <w:tcW w:w="3044" w:type="dxa"/>
            <w:tcBorders>
              <w:bottom w:val="single" w:sz="4" w:space="0" w:color="1C556C" w:themeColor="accent1"/>
            </w:tcBorders>
            <w:tcMar>
              <w:top w:w="0" w:type="dxa"/>
              <w:left w:w="108" w:type="dxa"/>
              <w:bottom w:w="0" w:type="dxa"/>
              <w:right w:w="108" w:type="dxa"/>
            </w:tcMar>
          </w:tcPr>
          <w:p w14:paraId="4CE4DF1E" w14:textId="77777777" w:rsidR="00133D9F" w:rsidRPr="00E3756C" w:rsidRDefault="00133D9F" w:rsidP="008B004F">
            <w:pPr>
              <w:pStyle w:val="TableBullet"/>
              <w:spacing w:before="60"/>
            </w:pPr>
            <w:r w:rsidRPr="00E3756C">
              <w:t>Changes in wind seasonality</w:t>
            </w:r>
          </w:p>
          <w:p w14:paraId="03505227" w14:textId="77777777" w:rsidR="00133D9F" w:rsidRPr="00E3756C" w:rsidRDefault="00133D9F" w:rsidP="00E06094">
            <w:pPr>
              <w:pStyle w:val="TableBullet"/>
            </w:pPr>
            <w:r w:rsidRPr="00E3756C">
              <w:t>Interannual variability (eg</w:t>
            </w:r>
            <w:r w:rsidR="007B19EE" w:rsidRPr="00E3756C">
              <w:t>,</w:t>
            </w:r>
            <w:r w:rsidRPr="00E3756C">
              <w:t xml:space="preserve"> ENSO)</w:t>
            </w:r>
          </w:p>
          <w:p w14:paraId="3B6C43E3" w14:textId="77777777" w:rsidR="00133D9F" w:rsidRPr="00E3756C" w:rsidRDefault="00133D9F" w:rsidP="00E06094">
            <w:pPr>
              <w:pStyle w:val="TableBullet"/>
            </w:pPr>
            <w:r w:rsidRPr="00E3756C">
              <w:t>Increase in convective weather events (tornadoes, lightning)</w:t>
            </w:r>
          </w:p>
        </w:tc>
      </w:tr>
      <w:tr w:rsidR="00133D9F" w:rsidRPr="00E3756C" w14:paraId="7C2062FC" w14:textId="77777777" w:rsidTr="00F271ED">
        <w:trPr>
          <w:trHeight w:val="20"/>
        </w:trPr>
        <w:tc>
          <w:tcPr>
            <w:tcW w:w="2346" w:type="dxa"/>
            <w:shd w:val="clear" w:color="auto" w:fill="D2DDE2" w:themeFill="accent3"/>
            <w:tcMar>
              <w:top w:w="0" w:type="dxa"/>
              <w:left w:w="108" w:type="dxa"/>
              <w:bottom w:w="0" w:type="dxa"/>
              <w:right w:w="108" w:type="dxa"/>
            </w:tcMar>
          </w:tcPr>
          <w:p w14:paraId="0109AB58" w14:textId="77777777" w:rsidR="00133D9F" w:rsidRPr="00E3756C" w:rsidRDefault="00133D9F" w:rsidP="00E06094">
            <w:pPr>
              <w:pStyle w:val="TableText"/>
            </w:pPr>
            <w:r w:rsidRPr="00E3756C">
              <w:t xml:space="preserve">Change in </w:t>
            </w:r>
            <w:r w:rsidRPr="00E3756C">
              <w:rPr>
                <w:b/>
              </w:rPr>
              <w:t>mean annual rainfall</w:t>
            </w:r>
            <w:r w:rsidRPr="00E3756C">
              <w:t xml:space="preserve"> </w:t>
            </w:r>
          </w:p>
        </w:tc>
        <w:tc>
          <w:tcPr>
            <w:tcW w:w="3115" w:type="dxa"/>
            <w:shd w:val="clear" w:color="auto" w:fill="D2DDE2" w:themeFill="accent3"/>
            <w:tcMar>
              <w:top w:w="0" w:type="dxa"/>
              <w:left w:w="108" w:type="dxa"/>
              <w:bottom w:w="0" w:type="dxa"/>
              <w:right w:w="108" w:type="dxa"/>
            </w:tcMar>
          </w:tcPr>
          <w:p w14:paraId="6AFF0810" w14:textId="77777777" w:rsidR="00133D9F" w:rsidRPr="00E3756C" w:rsidRDefault="00133D9F" w:rsidP="008B004F">
            <w:pPr>
              <w:pStyle w:val="TableBullet"/>
              <w:spacing w:before="60"/>
            </w:pPr>
            <w:r w:rsidRPr="00E3756C">
              <w:t>Higher or lower mean annual rainfall in sub-national climate zones</w:t>
            </w:r>
          </w:p>
          <w:p w14:paraId="54E53763" w14:textId="77777777" w:rsidR="00133D9F" w:rsidRPr="00E3756C" w:rsidRDefault="00133D9F" w:rsidP="00E06094">
            <w:pPr>
              <w:pStyle w:val="TableBullet"/>
            </w:pPr>
            <w:r w:rsidRPr="00E3756C">
              <w:t>Changes in seasonal winds</w:t>
            </w:r>
            <w:r w:rsidR="00484C8A" w:rsidRPr="00E3756C">
              <w:rPr>
                <w:rFonts w:ascii="Times New Roman" w:eastAsia="Times New Roman" w:hAnsi="Times New Roman" w:cs="Times New Roman"/>
                <w:sz w:val="14"/>
                <w:szCs w:val="14"/>
              </w:rPr>
              <w:t xml:space="preserve"> </w:t>
            </w:r>
          </w:p>
        </w:tc>
        <w:tc>
          <w:tcPr>
            <w:tcW w:w="3044" w:type="dxa"/>
            <w:shd w:val="clear" w:color="auto" w:fill="D2DDE2" w:themeFill="accent3"/>
            <w:tcMar>
              <w:top w:w="0" w:type="dxa"/>
              <w:left w:w="108" w:type="dxa"/>
              <w:bottom w:w="0" w:type="dxa"/>
              <w:right w:w="108" w:type="dxa"/>
            </w:tcMar>
          </w:tcPr>
          <w:p w14:paraId="788AB3CB" w14:textId="77777777" w:rsidR="00133D9F" w:rsidRPr="00E3756C" w:rsidRDefault="00133D9F" w:rsidP="008B004F">
            <w:pPr>
              <w:pStyle w:val="TableBullet"/>
              <w:spacing w:before="60"/>
            </w:pPr>
            <w:r w:rsidRPr="00E3756C">
              <w:t>Humidity changes from changes in cloudiness</w:t>
            </w:r>
          </w:p>
        </w:tc>
      </w:tr>
      <w:tr w:rsidR="00133D9F" w:rsidRPr="00E3756C" w14:paraId="693A6692" w14:textId="77777777" w:rsidTr="00F271ED">
        <w:trPr>
          <w:trHeight w:val="20"/>
        </w:trPr>
        <w:tc>
          <w:tcPr>
            <w:tcW w:w="2346" w:type="dxa"/>
            <w:shd w:val="clear" w:color="auto" w:fill="D2DDE2" w:themeFill="accent3"/>
            <w:tcMar>
              <w:top w:w="0" w:type="dxa"/>
              <w:left w:w="108" w:type="dxa"/>
              <w:bottom w:w="0" w:type="dxa"/>
              <w:right w:w="108" w:type="dxa"/>
            </w:tcMar>
          </w:tcPr>
          <w:p w14:paraId="018261A6" w14:textId="77777777" w:rsidR="00133D9F" w:rsidRPr="00E3756C" w:rsidRDefault="00133D9F" w:rsidP="007B19EE">
            <w:pPr>
              <w:pStyle w:val="TableText"/>
            </w:pPr>
            <w:r w:rsidRPr="00E3756C">
              <w:t xml:space="preserve">Reducing </w:t>
            </w:r>
            <w:r w:rsidRPr="00E3756C">
              <w:rPr>
                <w:b/>
              </w:rPr>
              <w:t>snow</w:t>
            </w:r>
            <w:r w:rsidR="007B19EE" w:rsidRPr="00E3756C">
              <w:rPr>
                <w:b/>
              </w:rPr>
              <w:t xml:space="preserve"> and </w:t>
            </w:r>
            <w:r w:rsidRPr="00E3756C">
              <w:rPr>
                <w:b/>
              </w:rPr>
              <w:t>ice</w:t>
            </w:r>
            <w:r w:rsidRPr="00E3756C">
              <w:t xml:space="preserve"> </w:t>
            </w:r>
            <w:r w:rsidRPr="00E3756C">
              <w:rPr>
                <w:b/>
              </w:rPr>
              <w:t>cover</w:t>
            </w:r>
            <w:r w:rsidRPr="00E3756C">
              <w:t xml:space="preserve"> </w:t>
            </w:r>
          </w:p>
        </w:tc>
        <w:tc>
          <w:tcPr>
            <w:tcW w:w="3115" w:type="dxa"/>
            <w:shd w:val="clear" w:color="auto" w:fill="D2DDE2" w:themeFill="accent3"/>
            <w:tcMar>
              <w:top w:w="0" w:type="dxa"/>
              <w:left w:w="108" w:type="dxa"/>
              <w:bottom w:w="0" w:type="dxa"/>
              <w:right w:w="108" w:type="dxa"/>
            </w:tcMar>
          </w:tcPr>
          <w:p w14:paraId="01E8D9C7" w14:textId="77777777" w:rsidR="00133D9F" w:rsidRPr="00E3756C" w:rsidRDefault="00133D9F" w:rsidP="00E06094">
            <w:pPr>
              <w:pStyle w:val="TableBullet"/>
            </w:pPr>
            <w:r w:rsidRPr="00E3756C">
              <w:t xml:space="preserve">Higher day </w:t>
            </w:r>
            <w:r w:rsidR="007B19EE" w:rsidRPr="00E3756C">
              <w:t>and</w:t>
            </w:r>
            <w:r w:rsidRPr="00E3756C">
              <w:t xml:space="preserve"> night temperatures</w:t>
            </w:r>
          </w:p>
          <w:p w14:paraId="5CF74ACF" w14:textId="77777777" w:rsidR="00133D9F" w:rsidRPr="00E3756C" w:rsidRDefault="00133D9F" w:rsidP="00E06094">
            <w:pPr>
              <w:pStyle w:val="TableBullet"/>
            </w:pPr>
            <w:r w:rsidRPr="00E3756C">
              <w:t>Changes in rainfall seasonality</w:t>
            </w:r>
          </w:p>
          <w:p w14:paraId="15FDD049" w14:textId="77777777" w:rsidR="00133D9F" w:rsidRPr="00E3756C" w:rsidRDefault="00133D9F" w:rsidP="00E06094">
            <w:pPr>
              <w:pStyle w:val="TableBullet"/>
            </w:pPr>
            <w:r w:rsidRPr="00E3756C">
              <w:t>Change in seasonal wind patterns</w:t>
            </w:r>
          </w:p>
          <w:p w14:paraId="452C4D05" w14:textId="77777777" w:rsidR="00133D9F" w:rsidRPr="00E3756C" w:rsidRDefault="00133D9F" w:rsidP="00E06094">
            <w:pPr>
              <w:pStyle w:val="TableBullet"/>
            </w:pPr>
            <w:r w:rsidRPr="00E3756C">
              <w:t>Receding snowline</w:t>
            </w:r>
          </w:p>
          <w:p w14:paraId="4F93A41D" w14:textId="77777777" w:rsidR="00133D9F" w:rsidRPr="00E3756C" w:rsidRDefault="00133D9F" w:rsidP="00E06094">
            <w:pPr>
              <w:pStyle w:val="TableBullet"/>
            </w:pPr>
            <w:r w:rsidRPr="00E3756C">
              <w:t>Reduced snow and glacier cover</w:t>
            </w:r>
          </w:p>
          <w:p w14:paraId="6E0BCA91" w14:textId="77777777" w:rsidR="00133D9F" w:rsidRPr="00E3756C" w:rsidRDefault="00133D9F" w:rsidP="00E06094">
            <w:pPr>
              <w:pStyle w:val="TableBullet"/>
            </w:pPr>
            <w:r w:rsidRPr="00E3756C">
              <w:t xml:space="preserve">Earlier snow melt </w:t>
            </w:r>
          </w:p>
        </w:tc>
        <w:tc>
          <w:tcPr>
            <w:tcW w:w="3044" w:type="dxa"/>
            <w:shd w:val="clear" w:color="auto" w:fill="D2DDE2" w:themeFill="accent3"/>
            <w:tcMar>
              <w:top w:w="0" w:type="dxa"/>
              <w:left w:w="108" w:type="dxa"/>
              <w:bottom w:w="0" w:type="dxa"/>
              <w:right w:w="108" w:type="dxa"/>
            </w:tcMar>
          </w:tcPr>
          <w:p w14:paraId="55671B4E" w14:textId="77777777" w:rsidR="00133D9F" w:rsidRPr="00E3756C" w:rsidRDefault="00133D9F" w:rsidP="00E06094">
            <w:pPr>
              <w:pStyle w:val="TableBullet"/>
            </w:pPr>
            <w:r w:rsidRPr="00E3756C">
              <w:t>Increase in avalanches</w:t>
            </w:r>
          </w:p>
          <w:p w14:paraId="6F8F5846" w14:textId="77777777" w:rsidR="00133D9F" w:rsidRPr="00E3756C" w:rsidRDefault="00133D9F" w:rsidP="007B19EE">
            <w:pPr>
              <w:pStyle w:val="TableBullet"/>
            </w:pPr>
            <w:r w:rsidRPr="00E3756C">
              <w:t>Interannual variability (eg</w:t>
            </w:r>
            <w:r w:rsidR="007B19EE" w:rsidRPr="00E3756C">
              <w:t>,</w:t>
            </w:r>
            <w:r w:rsidRPr="00E3756C">
              <w:t xml:space="preserve"> ENSO) </w:t>
            </w:r>
          </w:p>
        </w:tc>
      </w:tr>
      <w:tr w:rsidR="00133D9F" w:rsidRPr="00E3756C" w14:paraId="03AE867C" w14:textId="77777777" w:rsidTr="00F271ED">
        <w:trPr>
          <w:trHeight w:val="20"/>
        </w:trPr>
        <w:tc>
          <w:tcPr>
            <w:tcW w:w="2346" w:type="dxa"/>
            <w:tcMar>
              <w:top w:w="0" w:type="dxa"/>
              <w:left w:w="108" w:type="dxa"/>
              <w:bottom w:w="0" w:type="dxa"/>
              <w:right w:w="108" w:type="dxa"/>
            </w:tcMar>
          </w:tcPr>
          <w:p w14:paraId="007DD3AC" w14:textId="77777777" w:rsidR="00133D9F" w:rsidRPr="00E3756C" w:rsidRDefault="00133D9F" w:rsidP="00E06094">
            <w:pPr>
              <w:pStyle w:val="TableText"/>
            </w:pPr>
            <w:r w:rsidRPr="00E3756C">
              <w:t xml:space="preserve">Increasing </w:t>
            </w:r>
            <w:r w:rsidRPr="00E3756C">
              <w:rPr>
                <w:b/>
              </w:rPr>
              <w:t>hail</w:t>
            </w:r>
            <w:r w:rsidRPr="00E3756C">
              <w:t xml:space="preserve"> severity or frequency</w:t>
            </w:r>
          </w:p>
        </w:tc>
        <w:tc>
          <w:tcPr>
            <w:tcW w:w="3115" w:type="dxa"/>
            <w:tcMar>
              <w:top w:w="0" w:type="dxa"/>
              <w:left w:w="108" w:type="dxa"/>
              <w:bottom w:w="0" w:type="dxa"/>
              <w:right w:w="108" w:type="dxa"/>
            </w:tcMar>
          </w:tcPr>
          <w:p w14:paraId="762E1EC9" w14:textId="77777777" w:rsidR="00133D9F" w:rsidRPr="00E3756C" w:rsidRDefault="00133D9F" w:rsidP="008B004F">
            <w:pPr>
              <w:pStyle w:val="TableBullet"/>
              <w:spacing w:before="60"/>
            </w:pPr>
            <w:r w:rsidRPr="00E3756C">
              <w:t>Increase in hail severity or frequency</w:t>
            </w:r>
          </w:p>
          <w:p w14:paraId="625FF2CA" w14:textId="77777777" w:rsidR="00133D9F" w:rsidRPr="00E3756C" w:rsidRDefault="00133D9F" w:rsidP="00E06094">
            <w:pPr>
              <w:pStyle w:val="TableBullet"/>
            </w:pPr>
            <w:r w:rsidRPr="00E3756C">
              <w:t>Increase in convective weather events (tornadoes, lightning)</w:t>
            </w:r>
          </w:p>
        </w:tc>
        <w:tc>
          <w:tcPr>
            <w:tcW w:w="3044" w:type="dxa"/>
            <w:tcMar>
              <w:top w:w="0" w:type="dxa"/>
              <w:left w:w="108" w:type="dxa"/>
              <w:bottom w:w="0" w:type="dxa"/>
              <w:right w:w="108" w:type="dxa"/>
            </w:tcMar>
          </w:tcPr>
          <w:p w14:paraId="15F218CF" w14:textId="77777777" w:rsidR="00133D9F" w:rsidRPr="00E3756C" w:rsidRDefault="00133D9F" w:rsidP="008B004F">
            <w:pPr>
              <w:pStyle w:val="TableBullet"/>
              <w:spacing w:before="60"/>
            </w:pPr>
            <w:r w:rsidRPr="00E3756C">
              <w:t>Humidity changes from changes in cloudiness</w:t>
            </w:r>
          </w:p>
        </w:tc>
      </w:tr>
      <w:tr w:rsidR="00133D9F" w:rsidRPr="00E3756C" w14:paraId="0289D0FB" w14:textId="77777777" w:rsidTr="00F271ED">
        <w:trPr>
          <w:trHeight w:val="20"/>
        </w:trPr>
        <w:tc>
          <w:tcPr>
            <w:tcW w:w="2346" w:type="dxa"/>
            <w:tcMar>
              <w:top w:w="0" w:type="dxa"/>
              <w:left w:w="108" w:type="dxa"/>
              <w:bottom w:w="0" w:type="dxa"/>
              <w:right w:w="108" w:type="dxa"/>
            </w:tcMar>
          </w:tcPr>
          <w:p w14:paraId="5969E8E2" w14:textId="77777777" w:rsidR="00133D9F" w:rsidRPr="00E3756C" w:rsidRDefault="00133D9F" w:rsidP="007B19EE">
            <w:pPr>
              <w:pStyle w:val="TableText"/>
            </w:pPr>
            <w:r w:rsidRPr="00E3756C">
              <w:rPr>
                <w:b/>
              </w:rPr>
              <w:t xml:space="preserve">River </w:t>
            </w:r>
            <w:r w:rsidR="007B19EE" w:rsidRPr="00E3756C">
              <w:rPr>
                <w:b/>
              </w:rPr>
              <w:t>and</w:t>
            </w:r>
            <w:r w:rsidRPr="00E3756C">
              <w:rPr>
                <w:b/>
              </w:rPr>
              <w:t xml:space="preserve"> pluvial</w:t>
            </w:r>
            <w:r w:rsidRPr="00E3756C">
              <w:t xml:space="preserve"> </w:t>
            </w:r>
            <w:r w:rsidRPr="00E3756C">
              <w:rPr>
                <w:b/>
              </w:rPr>
              <w:t>flooding</w:t>
            </w:r>
            <w:r w:rsidRPr="00E3756C">
              <w:t xml:space="preserve">: changes in frequency and magnitude in rural and urban areas </w:t>
            </w:r>
          </w:p>
        </w:tc>
        <w:tc>
          <w:tcPr>
            <w:tcW w:w="3115" w:type="dxa"/>
            <w:tcMar>
              <w:top w:w="0" w:type="dxa"/>
              <w:left w:w="108" w:type="dxa"/>
              <w:bottom w:w="0" w:type="dxa"/>
              <w:right w:w="108" w:type="dxa"/>
            </w:tcMar>
          </w:tcPr>
          <w:p w14:paraId="4F181BE3" w14:textId="77777777" w:rsidR="00133D9F" w:rsidRPr="00E3756C" w:rsidRDefault="00133D9F" w:rsidP="008B004F">
            <w:pPr>
              <w:pStyle w:val="TableBullet"/>
              <w:spacing w:before="60"/>
            </w:pPr>
            <w:r w:rsidRPr="00E3756C">
              <w:t xml:space="preserve">Changes in extremes: </w:t>
            </w:r>
            <w:r w:rsidR="00EA1DB0" w:rsidRPr="00E3756C">
              <w:t>h</w:t>
            </w:r>
            <w:r w:rsidRPr="00E3756C">
              <w:t xml:space="preserve">igh intensity </w:t>
            </w:r>
            <w:r w:rsidR="007B19EE" w:rsidRPr="00E3756C">
              <w:t>and</w:t>
            </w:r>
            <w:r w:rsidRPr="00E3756C">
              <w:t xml:space="preserve"> persistence of rainfall</w:t>
            </w:r>
          </w:p>
          <w:p w14:paraId="6AF2C1FB" w14:textId="77777777" w:rsidR="00133D9F" w:rsidRPr="00E3756C" w:rsidRDefault="00133D9F" w:rsidP="00E06094">
            <w:pPr>
              <w:pStyle w:val="TableBullet"/>
            </w:pPr>
            <w:r w:rsidRPr="00E3756C">
              <w:t>Increase in hail severity or frequency</w:t>
            </w:r>
          </w:p>
          <w:p w14:paraId="7E08B74F" w14:textId="77777777" w:rsidR="00133D9F" w:rsidRPr="00E3756C" w:rsidRDefault="00133D9F" w:rsidP="00E06094">
            <w:pPr>
              <w:pStyle w:val="TableBullet"/>
            </w:pPr>
            <w:r w:rsidRPr="00E3756C">
              <w:t>Interannual variability (eg</w:t>
            </w:r>
            <w:r w:rsidR="007B19EE" w:rsidRPr="00E3756C">
              <w:t>,</w:t>
            </w:r>
            <w:r w:rsidRPr="00E3756C">
              <w:t xml:space="preserve"> ENSO)</w:t>
            </w:r>
          </w:p>
          <w:p w14:paraId="2F6D5F17" w14:textId="77777777" w:rsidR="00133D9F" w:rsidRPr="00E3756C" w:rsidRDefault="00133D9F" w:rsidP="00E06094">
            <w:pPr>
              <w:pStyle w:val="TableBullet"/>
            </w:pPr>
            <w:r w:rsidRPr="00E3756C">
              <w:t>Increased storminess and wind</w:t>
            </w:r>
          </w:p>
          <w:p w14:paraId="11E5C5E8" w14:textId="77777777" w:rsidR="00133D9F" w:rsidRPr="00E3756C" w:rsidRDefault="00133D9F" w:rsidP="00E06094">
            <w:pPr>
              <w:pStyle w:val="TableBullet"/>
            </w:pPr>
            <w:r w:rsidRPr="00E3756C">
              <w:t>Relative sea-level rise (incl</w:t>
            </w:r>
            <w:r w:rsidR="007B19EE" w:rsidRPr="00E3756C">
              <w:t>uding</w:t>
            </w:r>
            <w:r w:rsidRPr="00E3756C">
              <w:t xml:space="preserve"> land movement)</w:t>
            </w:r>
          </w:p>
          <w:p w14:paraId="36E612E0" w14:textId="77777777" w:rsidR="00133D9F" w:rsidRPr="00E3756C" w:rsidRDefault="00133D9F" w:rsidP="00E06094">
            <w:pPr>
              <w:pStyle w:val="TableBullet"/>
            </w:pPr>
            <w:r w:rsidRPr="00E3756C">
              <w:t xml:space="preserve">Rising groundwater from </w:t>
            </w:r>
            <w:r w:rsidR="007B19EE" w:rsidRPr="00E3756C">
              <w:t>sea-level rise</w:t>
            </w:r>
          </w:p>
        </w:tc>
        <w:tc>
          <w:tcPr>
            <w:tcW w:w="3044" w:type="dxa"/>
            <w:tcMar>
              <w:top w:w="0" w:type="dxa"/>
              <w:left w:w="108" w:type="dxa"/>
              <w:bottom w:w="0" w:type="dxa"/>
              <w:right w:w="108" w:type="dxa"/>
            </w:tcMar>
          </w:tcPr>
          <w:p w14:paraId="336EDAB1" w14:textId="77777777" w:rsidR="00133D9F" w:rsidRPr="00E3756C" w:rsidRDefault="00133D9F" w:rsidP="008B004F">
            <w:pPr>
              <w:pStyle w:val="TableBullet"/>
              <w:spacing w:before="60"/>
            </w:pPr>
            <w:r w:rsidRPr="00E3756C">
              <w:t>Humidity changes from changes in cloudiness</w:t>
            </w:r>
          </w:p>
          <w:p w14:paraId="3EC87E6F" w14:textId="77777777" w:rsidR="00133D9F" w:rsidRPr="00E3756C" w:rsidRDefault="00133D9F" w:rsidP="00E06094">
            <w:pPr>
              <w:pStyle w:val="TableBullet"/>
            </w:pPr>
            <w:r w:rsidRPr="00E3756C">
              <w:t>Changes in rainfall seasonality</w:t>
            </w:r>
          </w:p>
          <w:p w14:paraId="2CA742C4" w14:textId="77777777" w:rsidR="00133D9F" w:rsidRPr="00E3756C" w:rsidRDefault="00133D9F" w:rsidP="00E06094">
            <w:pPr>
              <w:pStyle w:val="TableBullet"/>
            </w:pPr>
            <w:r w:rsidRPr="00E3756C">
              <w:t>Change in seasonal wind patterns</w:t>
            </w:r>
          </w:p>
          <w:p w14:paraId="27B915E6" w14:textId="77777777" w:rsidR="00133D9F" w:rsidRPr="00E3756C" w:rsidRDefault="00133D9F" w:rsidP="00E06094">
            <w:pPr>
              <w:pStyle w:val="TableBullet"/>
            </w:pPr>
            <w:r w:rsidRPr="00E3756C">
              <w:t>More and longer dry spells</w:t>
            </w:r>
            <w:r w:rsidR="007B19EE" w:rsidRPr="00E3756C">
              <w:t xml:space="preserve"> and </w:t>
            </w:r>
            <w:r w:rsidRPr="00E3756C">
              <w:t xml:space="preserve">droughts (antecedent conditions) </w:t>
            </w:r>
          </w:p>
        </w:tc>
      </w:tr>
      <w:tr w:rsidR="00133D9F" w:rsidRPr="00E3756C" w14:paraId="342CC395" w14:textId="77777777" w:rsidTr="00F271ED">
        <w:trPr>
          <w:trHeight w:val="20"/>
        </w:trPr>
        <w:tc>
          <w:tcPr>
            <w:tcW w:w="2346" w:type="dxa"/>
            <w:tcBorders>
              <w:bottom w:val="single" w:sz="4" w:space="0" w:color="1C556C" w:themeColor="accent1"/>
            </w:tcBorders>
            <w:tcMar>
              <w:top w:w="0" w:type="dxa"/>
              <w:left w:w="108" w:type="dxa"/>
              <w:bottom w:w="0" w:type="dxa"/>
              <w:right w:w="108" w:type="dxa"/>
            </w:tcMar>
          </w:tcPr>
          <w:p w14:paraId="7C22D80A" w14:textId="77777777" w:rsidR="00133D9F" w:rsidRPr="00E3756C" w:rsidRDefault="00133D9F" w:rsidP="00E06094">
            <w:pPr>
              <w:pStyle w:val="TableText"/>
            </w:pPr>
            <w:r w:rsidRPr="00E3756C">
              <w:rPr>
                <w:b/>
              </w:rPr>
              <w:t xml:space="preserve">Coastal </w:t>
            </w:r>
            <w:r w:rsidR="007B19EE" w:rsidRPr="00E3756C">
              <w:rPr>
                <w:b/>
              </w:rPr>
              <w:t>and</w:t>
            </w:r>
            <w:r w:rsidRPr="00E3756C">
              <w:rPr>
                <w:b/>
              </w:rPr>
              <w:t xml:space="preserve"> estuarine flooding</w:t>
            </w:r>
            <w:r w:rsidRPr="00E3756C">
              <w:t xml:space="preserve">: </w:t>
            </w:r>
            <w:r w:rsidR="00EA1DB0" w:rsidRPr="00E3756C">
              <w:t>i</w:t>
            </w:r>
            <w:r w:rsidRPr="00E3756C">
              <w:t xml:space="preserve">ncreasing persistence, frequency and magnitude </w:t>
            </w:r>
          </w:p>
        </w:tc>
        <w:tc>
          <w:tcPr>
            <w:tcW w:w="3115" w:type="dxa"/>
            <w:tcBorders>
              <w:bottom w:val="single" w:sz="4" w:space="0" w:color="1C556C" w:themeColor="accent1"/>
            </w:tcBorders>
            <w:tcMar>
              <w:top w:w="0" w:type="dxa"/>
              <w:left w:w="108" w:type="dxa"/>
              <w:bottom w:w="0" w:type="dxa"/>
              <w:right w:w="108" w:type="dxa"/>
            </w:tcMar>
          </w:tcPr>
          <w:p w14:paraId="5FC6F3F1" w14:textId="77777777" w:rsidR="00133D9F" w:rsidRPr="00E3756C" w:rsidRDefault="00133D9F" w:rsidP="008B004F">
            <w:pPr>
              <w:pStyle w:val="TableBullet"/>
              <w:spacing w:before="60"/>
            </w:pPr>
            <w:r w:rsidRPr="00E3756C">
              <w:t xml:space="preserve">Relative </w:t>
            </w:r>
            <w:r w:rsidR="00EA1DB0" w:rsidRPr="00E3756C">
              <w:t>sea-level rise</w:t>
            </w:r>
            <w:r w:rsidRPr="00E3756C">
              <w:t xml:space="preserve"> (incl</w:t>
            </w:r>
            <w:r w:rsidR="00EA1DB0" w:rsidRPr="00E3756C">
              <w:t>uding</w:t>
            </w:r>
            <w:r w:rsidRPr="00E3756C">
              <w:t xml:space="preserve"> land movement)</w:t>
            </w:r>
          </w:p>
          <w:p w14:paraId="6E893C24" w14:textId="77777777" w:rsidR="00133D9F" w:rsidRPr="00E3756C" w:rsidRDefault="00133D9F" w:rsidP="00E06094">
            <w:pPr>
              <w:pStyle w:val="TableBullet"/>
            </w:pPr>
            <w:r w:rsidRPr="00E3756C">
              <w:t>Change in tidal range or increased water depth</w:t>
            </w:r>
          </w:p>
          <w:p w14:paraId="21D517E2" w14:textId="77777777" w:rsidR="00133D9F" w:rsidRPr="00E3756C" w:rsidRDefault="00133D9F" w:rsidP="00E06094">
            <w:pPr>
              <w:pStyle w:val="TableBullet"/>
            </w:pPr>
            <w:r w:rsidRPr="00E3756C">
              <w:t>Permanent increase in spring high-tide inundation</w:t>
            </w:r>
          </w:p>
          <w:p w14:paraId="0701F4AC" w14:textId="77777777" w:rsidR="00133D9F" w:rsidRPr="00E3756C" w:rsidRDefault="00133D9F" w:rsidP="00E06094">
            <w:pPr>
              <w:pStyle w:val="TableBullet"/>
            </w:pPr>
            <w:r w:rsidRPr="00E3756C">
              <w:t xml:space="preserve">Rising groundwater from </w:t>
            </w:r>
            <w:r w:rsidR="00EA1DB0" w:rsidRPr="00E3756C">
              <w:t>sea-level rise</w:t>
            </w:r>
          </w:p>
          <w:p w14:paraId="71142D78" w14:textId="77777777" w:rsidR="00133D9F" w:rsidRPr="00E3756C" w:rsidRDefault="00133D9F" w:rsidP="00E06094">
            <w:pPr>
              <w:pStyle w:val="TableBullet"/>
            </w:pPr>
            <w:r w:rsidRPr="00E3756C">
              <w:t xml:space="preserve">Changes in extremes: </w:t>
            </w:r>
            <w:r w:rsidR="00EA1DB0" w:rsidRPr="00E3756C">
              <w:t>h</w:t>
            </w:r>
            <w:r w:rsidRPr="00E3756C">
              <w:t xml:space="preserve">igh intensity </w:t>
            </w:r>
            <w:r w:rsidR="00EA1DB0" w:rsidRPr="00E3756C">
              <w:t xml:space="preserve">and </w:t>
            </w:r>
            <w:r w:rsidRPr="00E3756C">
              <w:t>persistence of rainfall</w:t>
            </w:r>
          </w:p>
          <w:p w14:paraId="2E213D45" w14:textId="77777777" w:rsidR="00133D9F" w:rsidRPr="00E3756C" w:rsidRDefault="00133D9F" w:rsidP="00EA1DB0">
            <w:pPr>
              <w:pStyle w:val="TableBullet"/>
            </w:pPr>
            <w:r w:rsidRPr="00E3756C">
              <w:lastRenderedPageBreak/>
              <w:t xml:space="preserve">Increase in storminess (frequency, intensity) including </w:t>
            </w:r>
            <w:r w:rsidR="00EA1DB0" w:rsidRPr="00E3756C">
              <w:t>tropical cyclones</w:t>
            </w:r>
          </w:p>
        </w:tc>
        <w:tc>
          <w:tcPr>
            <w:tcW w:w="3044" w:type="dxa"/>
            <w:tcBorders>
              <w:bottom w:val="single" w:sz="4" w:space="0" w:color="1C556C" w:themeColor="accent1"/>
            </w:tcBorders>
            <w:tcMar>
              <w:top w:w="0" w:type="dxa"/>
              <w:left w:w="108" w:type="dxa"/>
              <w:bottom w:w="0" w:type="dxa"/>
              <w:right w:w="108" w:type="dxa"/>
            </w:tcMar>
          </w:tcPr>
          <w:p w14:paraId="4C385077" w14:textId="77777777" w:rsidR="00133D9F" w:rsidRPr="00E3756C" w:rsidRDefault="00133D9F" w:rsidP="008B004F">
            <w:pPr>
              <w:pStyle w:val="TableBullet"/>
              <w:spacing w:before="60"/>
            </w:pPr>
            <w:r w:rsidRPr="00E3756C">
              <w:lastRenderedPageBreak/>
              <w:t>Changes in waves</w:t>
            </w:r>
            <w:r w:rsidR="00EA1DB0" w:rsidRPr="00E3756C">
              <w:t xml:space="preserve"> and </w:t>
            </w:r>
            <w:r w:rsidRPr="00E3756C">
              <w:t>swell</w:t>
            </w:r>
          </w:p>
          <w:p w14:paraId="2773BB40" w14:textId="77777777" w:rsidR="00133D9F" w:rsidRPr="00E3756C" w:rsidRDefault="00133D9F" w:rsidP="00E06094">
            <w:pPr>
              <w:pStyle w:val="TableBullet"/>
            </w:pPr>
            <w:r w:rsidRPr="00E3756C">
              <w:t>Changes in extreme wind speed</w:t>
            </w:r>
          </w:p>
          <w:p w14:paraId="1DE34DCF" w14:textId="77777777" w:rsidR="00133D9F" w:rsidRPr="00E3756C" w:rsidRDefault="00133D9F" w:rsidP="00EA1DB0">
            <w:pPr>
              <w:pStyle w:val="TableBullet"/>
            </w:pPr>
            <w:r w:rsidRPr="00E3756C">
              <w:t>Changes in sedimentation (estuaries</w:t>
            </w:r>
            <w:r w:rsidR="00EA1DB0" w:rsidRPr="00E3756C">
              <w:t xml:space="preserve"> and </w:t>
            </w:r>
            <w:r w:rsidRPr="00E3756C">
              <w:t>harbour</w:t>
            </w:r>
            <w:r w:rsidR="00EA1DB0" w:rsidRPr="00E3756C">
              <w:t>s</w:t>
            </w:r>
            <w:r w:rsidRPr="00E3756C">
              <w:t>)</w:t>
            </w:r>
          </w:p>
        </w:tc>
      </w:tr>
      <w:tr w:rsidR="00133D9F" w:rsidRPr="00E3756C" w14:paraId="14D2B3C6" w14:textId="77777777" w:rsidTr="00F271ED">
        <w:trPr>
          <w:trHeight w:val="20"/>
        </w:trPr>
        <w:tc>
          <w:tcPr>
            <w:tcW w:w="2346" w:type="dxa"/>
            <w:shd w:val="clear" w:color="auto" w:fill="D2DDE2" w:themeFill="accent3"/>
            <w:tcMar>
              <w:top w:w="0" w:type="dxa"/>
              <w:left w:w="108" w:type="dxa"/>
              <w:bottom w:w="0" w:type="dxa"/>
              <w:right w:w="108" w:type="dxa"/>
            </w:tcMar>
          </w:tcPr>
          <w:p w14:paraId="34580C9D" w14:textId="77777777" w:rsidR="00133D9F" w:rsidRPr="00E3756C" w:rsidRDefault="00133D9F" w:rsidP="0022280F">
            <w:pPr>
              <w:pStyle w:val="TableText"/>
              <w:keepNext/>
            </w:pPr>
            <w:r w:rsidRPr="00E3756C">
              <w:rPr>
                <w:b/>
              </w:rPr>
              <w:t>S</w:t>
            </w:r>
            <w:r w:rsidR="00EA1DB0" w:rsidRPr="00E3756C">
              <w:rPr>
                <w:b/>
              </w:rPr>
              <w:t>ea-level rise</w:t>
            </w:r>
            <w:r w:rsidRPr="00E3756C">
              <w:rPr>
                <w:b/>
              </w:rPr>
              <w:t xml:space="preserve"> and salinity stresses on brackish</w:t>
            </w:r>
            <w:r w:rsidR="00EA1DB0" w:rsidRPr="00E3756C">
              <w:rPr>
                <w:b/>
              </w:rPr>
              <w:t xml:space="preserve"> and </w:t>
            </w:r>
            <w:r w:rsidRPr="00E3756C">
              <w:rPr>
                <w:b/>
              </w:rPr>
              <w:t xml:space="preserve">aquifer systems </w:t>
            </w:r>
            <w:r w:rsidRPr="00E3756C">
              <w:t xml:space="preserve">and coastal lowland rivers </w:t>
            </w:r>
          </w:p>
        </w:tc>
        <w:tc>
          <w:tcPr>
            <w:tcW w:w="3115" w:type="dxa"/>
            <w:shd w:val="clear" w:color="auto" w:fill="D2DDE2" w:themeFill="accent3"/>
            <w:tcMar>
              <w:top w:w="0" w:type="dxa"/>
              <w:left w:w="108" w:type="dxa"/>
              <w:bottom w:w="0" w:type="dxa"/>
              <w:right w:w="108" w:type="dxa"/>
            </w:tcMar>
          </w:tcPr>
          <w:p w14:paraId="30E8A293" w14:textId="77777777" w:rsidR="00133D9F" w:rsidRPr="00E3756C" w:rsidRDefault="00133D9F" w:rsidP="008B004F">
            <w:pPr>
              <w:pStyle w:val="TableBullet"/>
              <w:spacing w:before="60"/>
            </w:pPr>
            <w:r w:rsidRPr="00E3756C">
              <w:t xml:space="preserve">Relative </w:t>
            </w:r>
            <w:r w:rsidR="00EA1DB0" w:rsidRPr="00E3756C">
              <w:t>sea-level rise</w:t>
            </w:r>
            <w:r w:rsidRPr="00E3756C">
              <w:t xml:space="preserve"> (incl</w:t>
            </w:r>
            <w:r w:rsidR="00EA1DB0" w:rsidRPr="00E3756C">
              <w:t>uding</w:t>
            </w:r>
            <w:r w:rsidRPr="00E3756C">
              <w:t xml:space="preserve"> land movement)</w:t>
            </w:r>
          </w:p>
          <w:p w14:paraId="67B1BC70" w14:textId="77777777" w:rsidR="00133D9F" w:rsidRPr="00E3756C" w:rsidRDefault="00133D9F" w:rsidP="00E06094">
            <w:pPr>
              <w:pStyle w:val="TableBullet"/>
            </w:pPr>
            <w:r w:rsidRPr="00E3756C">
              <w:t>Permanent and episodic (low river flow) saline intrusion</w:t>
            </w:r>
          </w:p>
          <w:p w14:paraId="28970921" w14:textId="77777777" w:rsidR="00133D9F" w:rsidRPr="00E3756C" w:rsidRDefault="00133D9F" w:rsidP="00E06094">
            <w:pPr>
              <w:pStyle w:val="TableBullet"/>
            </w:pPr>
            <w:r w:rsidRPr="00E3756C">
              <w:t>Low seasonal rainfall</w:t>
            </w:r>
          </w:p>
          <w:p w14:paraId="4545F4CE" w14:textId="77777777" w:rsidR="00133D9F" w:rsidRPr="00E3756C" w:rsidRDefault="00133D9F" w:rsidP="00E06094">
            <w:pPr>
              <w:pStyle w:val="TableBullet"/>
            </w:pPr>
            <w:r w:rsidRPr="00E3756C">
              <w:t xml:space="preserve">Rising groundwater from </w:t>
            </w:r>
            <w:r w:rsidR="00EA1DB0" w:rsidRPr="00E3756C">
              <w:t>sea-level rise</w:t>
            </w:r>
          </w:p>
          <w:p w14:paraId="27CD570F" w14:textId="77777777" w:rsidR="00133D9F" w:rsidRPr="00E3756C" w:rsidRDefault="00133D9F" w:rsidP="00E06094">
            <w:pPr>
              <w:pStyle w:val="TableBullet"/>
            </w:pPr>
            <w:r w:rsidRPr="00E3756C">
              <w:t>Permanent increase in spring high-tide inundation</w:t>
            </w:r>
          </w:p>
        </w:tc>
        <w:tc>
          <w:tcPr>
            <w:tcW w:w="3044" w:type="dxa"/>
            <w:shd w:val="clear" w:color="auto" w:fill="D2DDE2" w:themeFill="accent3"/>
            <w:tcMar>
              <w:top w:w="0" w:type="dxa"/>
              <w:left w:w="108" w:type="dxa"/>
              <w:bottom w:w="0" w:type="dxa"/>
              <w:right w:w="108" w:type="dxa"/>
            </w:tcMar>
          </w:tcPr>
          <w:p w14:paraId="0B919439" w14:textId="77777777" w:rsidR="00133D9F" w:rsidRPr="00E3756C" w:rsidRDefault="00133D9F" w:rsidP="008B004F">
            <w:pPr>
              <w:pStyle w:val="TableBullet"/>
              <w:spacing w:before="60"/>
            </w:pPr>
            <w:r w:rsidRPr="00E3756C">
              <w:t>Changes in sedimentation (estuaries</w:t>
            </w:r>
            <w:r w:rsidR="00EA1DB0" w:rsidRPr="00E3756C">
              <w:t xml:space="preserve"> and </w:t>
            </w:r>
            <w:r w:rsidRPr="00E3756C">
              <w:t>harbour</w:t>
            </w:r>
            <w:r w:rsidR="00EA1DB0" w:rsidRPr="00E3756C">
              <w:t>s</w:t>
            </w:r>
            <w:r w:rsidRPr="00E3756C">
              <w:t>)</w:t>
            </w:r>
          </w:p>
          <w:p w14:paraId="6AF003E7" w14:textId="77777777" w:rsidR="00133D9F" w:rsidRPr="00E3756C" w:rsidRDefault="00133D9F" w:rsidP="00EA1DB0">
            <w:pPr>
              <w:pStyle w:val="TableBullet"/>
            </w:pPr>
            <w:r w:rsidRPr="00E3756C">
              <w:t>Interannual variability (eg</w:t>
            </w:r>
            <w:r w:rsidR="00EA1DB0" w:rsidRPr="00E3756C">
              <w:t>,</w:t>
            </w:r>
            <w:r w:rsidRPr="00E3756C">
              <w:t xml:space="preserve"> ENSO) </w:t>
            </w:r>
          </w:p>
        </w:tc>
      </w:tr>
      <w:tr w:rsidR="00133D9F" w:rsidRPr="00E3756C" w14:paraId="633B7F20" w14:textId="77777777" w:rsidTr="00F271ED">
        <w:trPr>
          <w:trHeight w:val="20"/>
        </w:trPr>
        <w:tc>
          <w:tcPr>
            <w:tcW w:w="2346" w:type="dxa"/>
            <w:tcMar>
              <w:top w:w="0" w:type="dxa"/>
              <w:left w:w="108" w:type="dxa"/>
              <w:bottom w:w="0" w:type="dxa"/>
              <w:right w:w="108" w:type="dxa"/>
            </w:tcMar>
          </w:tcPr>
          <w:p w14:paraId="72477A55" w14:textId="77777777" w:rsidR="00133D9F" w:rsidRPr="00E3756C" w:rsidRDefault="00133D9F" w:rsidP="00E06094">
            <w:pPr>
              <w:pStyle w:val="TableText"/>
            </w:pPr>
            <w:r w:rsidRPr="00E3756C">
              <w:t>Increasing</w:t>
            </w:r>
            <w:r w:rsidRPr="00E3756C">
              <w:rPr>
                <w:b/>
              </w:rPr>
              <w:t xml:space="preserve"> coastal erosion: </w:t>
            </w:r>
            <w:r w:rsidRPr="00E3756C">
              <w:t xml:space="preserve">cliffs and beaches </w:t>
            </w:r>
          </w:p>
        </w:tc>
        <w:tc>
          <w:tcPr>
            <w:tcW w:w="3115" w:type="dxa"/>
            <w:tcMar>
              <w:top w:w="0" w:type="dxa"/>
              <w:left w:w="108" w:type="dxa"/>
              <w:bottom w:w="0" w:type="dxa"/>
              <w:right w:w="108" w:type="dxa"/>
            </w:tcMar>
          </w:tcPr>
          <w:p w14:paraId="3B2D130E" w14:textId="77777777" w:rsidR="00133D9F" w:rsidRPr="00E3756C" w:rsidRDefault="00133D9F" w:rsidP="008B004F">
            <w:pPr>
              <w:pStyle w:val="TableBullet"/>
              <w:spacing w:before="60"/>
            </w:pPr>
            <w:r w:rsidRPr="00E3756C">
              <w:t xml:space="preserve">Relative </w:t>
            </w:r>
            <w:r w:rsidR="00EA1DB0" w:rsidRPr="00E3756C">
              <w:t>sea-level rise</w:t>
            </w:r>
            <w:r w:rsidRPr="00E3756C">
              <w:t xml:space="preserve"> (incl</w:t>
            </w:r>
            <w:r w:rsidR="00EA1DB0" w:rsidRPr="00E3756C">
              <w:t>uding</w:t>
            </w:r>
            <w:r w:rsidRPr="00E3756C">
              <w:t xml:space="preserve"> land movement)</w:t>
            </w:r>
          </w:p>
          <w:p w14:paraId="4B40C372" w14:textId="77777777" w:rsidR="00133D9F" w:rsidRPr="00E3756C" w:rsidRDefault="00133D9F" w:rsidP="00E06094">
            <w:pPr>
              <w:pStyle w:val="TableBullet"/>
            </w:pPr>
            <w:r w:rsidRPr="00E3756C">
              <w:t>Changes in waves</w:t>
            </w:r>
            <w:r w:rsidR="00EA1DB0" w:rsidRPr="00E3756C">
              <w:t xml:space="preserve"> and </w:t>
            </w:r>
            <w:r w:rsidRPr="00E3756C">
              <w:t>swell</w:t>
            </w:r>
          </w:p>
          <w:p w14:paraId="0E96D192" w14:textId="77777777" w:rsidR="00133D9F" w:rsidRPr="00E3756C" w:rsidRDefault="00133D9F" w:rsidP="00E06094">
            <w:pPr>
              <w:pStyle w:val="TableBullet"/>
            </w:pPr>
            <w:r w:rsidRPr="00E3756C">
              <w:t xml:space="preserve">Changes in extreme rainfall: </w:t>
            </w:r>
            <w:r w:rsidR="00EA1DB0" w:rsidRPr="00E3756C">
              <w:t>h</w:t>
            </w:r>
            <w:r w:rsidRPr="00E3756C">
              <w:t xml:space="preserve">igh intensity </w:t>
            </w:r>
            <w:r w:rsidR="00EA1DB0" w:rsidRPr="00E3756C">
              <w:t>and</w:t>
            </w:r>
            <w:r w:rsidRPr="00E3756C">
              <w:t xml:space="preserve"> persistence</w:t>
            </w:r>
          </w:p>
          <w:p w14:paraId="4AF289C2" w14:textId="77777777" w:rsidR="00133D9F" w:rsidRPr="00E3756C" w:rsidRDefault="00133D9F" w:rsidP="00E06094">
            <w:pPr>
              <w:pStyle w:val="TableBullet"/>
            </w:pPr>
            <w:r w:rsidRPr="00E3756C">
              <w:t>Changes in sedimentation from catchment run-off</w:t>
            </w:r>
          </w:p>
          <w:p w14:paraId="559BA866" w14:textId="77777777" w:rsidR="00133D9F" w:rsidRPr="00E3756C" w:rsidRDefault="00133D9F" w:rsidP="00E06094">
            <w:pPr>
              <w:pStyle w:val="TableBullet"/>
            </w:pPr>
            <w:r w:rsidRPr="00E3756C">
              <w:t>Increased storminess and extreme winds</w:t>
            </w:r>
          </w:p>
          <w:p w14:paraId="4F98317D" w14:textId="77777777" w:rsidR="00133D9F" w:rsidRPr="00E3756C" w:rsidRDefault="00133D9F" w:rsidP="00EA1DB0">
            <w:pPr>
              <w:pStyle w:val="TableBullet"/>
            </w:pPr>
            <w:r w:rsidRPr="00E3756C">
              <w:t>Interannual variability (eg</w:t>
            </w:r>
            <w:r w:rsidR="00EA1DB0" w:rsidRPr="00E3756C">
              <w:t>,</w:t>
            </w:r>
            <w:r w:rsidRPr="00E3756C">
              <w:t xml:space="preserve"> ENSO)</w:t>
            </w:r>
          </w:p>
        </w:tc>
        <w:tc>
          <w:tcPr>
            <w:tcW w:w="3044" w:type="dxa"/>
            <w:tcMar>
              <w:top w:w="0" w:type="dxa"/>
              <w:left w:w="108" w:type="dxa"/>
              <w:bottom w:w="0" w:type="dxa"/>
              <w:right w:w="108" w:type="dxa"/>
            </w:tcMar>
          </w:tcPr>
          <w:p w14:paraId="1CAF597C" w14:textId="77777777" w:rsidR="00133D9F" w:rsidRPr="00E3756C" w:rsidRDefault="00133D9F" w:rsidP="008B004F">
            <w:pPr>
              <w:pStyle w:val="TableBullet"/>
              <w:spacing w:before="60"/>
            </w:pPr>
            <w:r w:rsidRPr="00E3756C">
              <w:t xml:space="preserve">Rising groundwater from </w:t>
            </w:r>
            <w:r w:rsidR="00EA1DB0" w:rsidRPr="00E3756C">
              <w:t>sea-level rise</w:t>
            </w:r>
          </w:p>
          <w:p w14:paraId="0E08B20E" w14:textId="77777777" w:rsidR="00133D9F" w:rsidRPr="00E3756C" w:rsidRDefault="00133D9F" w:rsidP="00E06094">
            <w:pPr>
              <w:pStyle w:val="TableBullet"/>
            </w:pPr>
            <w:r w:rsidRPr="00E3756C">
              <w:t>Changes in rainfall seasonality</w:t>
            </w:r>
          </w:p>
          <w:p w14:paraId="7EA38BEA" w14:textId="77777777" w:rsidR="00133D9F" w:rsidRPr="00E3756C" w:rsidRDefault="00133D9F" w:rsidP="00E06094">
            <w:pPr>
              <w:pStyle w:val="TableBullet"/>
            </w:pPr>
            <w:r w:rsidRPr="00E3756C">
              <w:t>Change in seasonal wind patterns</w:t>
            </w:r>
          </w:p>
        </w:tc>
      </w:tr>
      <w:tr w:rsidR="00133D9F" w:rsidRPr="00E3756C" w14:paraId="6661BD9D" w14:textId="77777777" w:rsidTr="00F271ED">
        <w:trPr>
          <w:trHeight w:val="20"/>
        </w:trPr>
        <w:tc>
          <w:tcPr>
            <w:tcW w:w="2346" w:type="dxa"/>
            <w:tcMar>
              <w:top w:w="0" w:type="dxa"/>
              <w:left w:w="108" w:type="dxa"/>
              <w:bottom w:w="0" w:type="dxa"/>
              <w:right w:w="108" w:type="dxa"/>
            </w:tcMar>
          </w:tcPr>
          <w:p w14:paraId="7C88D6D9" w14:textId="77777777" w:rsidR="00133D9F" w:rsidRPr="00E3756C" w:rsidRDefault="00133D9F" w:rsidP="00E06094">
            <w:pPr>
              <w:pStyle w:val="TableText"/>
            </w:pPr>
            <w:r w:rsidRPr="00E3756C">
              <w:t xml:space="preserve">Increasing </w:t>
            </w:r>
            <w:r w:rsidRPr="00E3756C">
              <w:rPr>
                <w:b/>
              </w:rPr>
              <w:t>landslides and</w:t>
            </w:r>
            <w:r w:rsidRPr="00E3756C">
              <w:t xml:space="preserve"> </w:t>
            </w:r>
            <w:r w:rsidRPr="00E3756C">
              <w:rPr>
                <w:b/>
              </w:rPr>
              <w:t>soil erosion</w:t>
            </w:r>
          </w:p>
        </w:tc>
        <w:tc>
          <w:tcPr>
            <w:tcW w:w="3115" w:type="dxa"/>
            <w:tcMar>
              <w:top w:w="0" w:type="dxa"/>
              <w:left w:w="108" w:type="dxa"/>
              <w:bottom w:w="0" w:type="dxa"/>
              <w:right w:w="108" w:type="dxa"/>
            </w:tcMar>
          </w:tcPr>
          <w:p w14:paraId="28A73613" w14:textId="77777777" w:rsidR="00133D9F" w:rsidRPr="00E3756C" w:rsidRDefault="00133D9F" w:rsidP="008B004F">
            <w:pPr>
              <w:pStyle w:val="TableBullet"/>
              <w:spacing w:before="60"/>
            </w:pPr>
            <w:r w:rsidRPr="00E3756C">
              <w:t xml:space="preserve">Changes in extreme rainfall: </w:t>
            </w:r>
            <w:r w:rsidR="00EA1DB0" w:rsidRPr="00E3756C">
              <w:t>h</w:t>
            </w:r>
            <w:r w:rsidRPr="00E3756C">
              <w:t xml:space="preserve">igh intensity </w:t>
            </w:r>
            <w:r w:rsidR="00EA1DB0" w:rsidRPr="00E3756C">
              <w:t>and</w:t>
            </w:r>
            <w:r w:rsidRPr="00E3756C">
              <w:t xml:space="preserve"> persistence</w:t>
            </w:r>
          </w:p>
          <w:p w14:paraId="31D23877" w14:textId="77777777" w:rsidR="00133D9F" w:rsidRPr="00E3756C" w:rsidRDefault="00133D9F" w:rsidP="00E06094">
            <w:pPr>
              <w:pStyle w:val="TableBullet"/>
            </w:pPr>
            <w:r w:rsidRPr="00E3756C">
              <w:t>Changes in rainfall seasonality</w:t>
            </w:r>
          </w:p>
          <w:p w14:paraId="68CD0498" w14:textId="77777777" w:rsidR="00133D9F" w:rsidRPr="00E3756C" w:rsidRDefault="00133D9F" w:rsidP="00EA1DB0">
            <w:pPr>
              <w:pStyle w:val="TableBullet"/>
            </w:pPr>
            <w:r w:rsidRPr="00E3756C">
              <w:t>More and longer dry spells</w:t>
            </w:r>
            <w:r w:rsidR="00EA1DB0" w:rsidRPr="00E3756C">
              <w:t xml:space="preserve"> and </w:t>
            </w:r>
            <w:r w:rsidRPr="00E3756C">
              <w:t>droughts (antecedent conditions)</w:t>
            </w:r>
          </w:p>
        </w:tc>
        <w:tc>
          <w:tcPr>
            <w:tcW w:w="3044" w:type="dxa"/>
            <w:tcMar>
              <w:top w:w="0" w:type="dxa"/>
              <w:left w:w="108" w:type="dxa"/>
              <w:bottom w:w="0" w:type="dxa"/>
              <w:right w:w="108" w:type="dxa"/>
            </w:tcMar>
          </w:tcPr>
          <w:p w14:paraId="1C36337B" w14:textId="77777777" w:rsidR="00133D9F" w:rsidRPr="00E3756C" w:rsidRDefault="00133D9F" w:rsidP="00EA1DB0">
            <w:pPr>
              <w:pStyle w:val="TableBullet"/>
              <w:spacing w:before="60"/>
            </w:pPr>
            <w:r w:rsidRPr="00E3756C">
              <w:t>Interannual variability (eg</w:t>
            </w:r>
            <w:r w:rsidR="00EA1DB0" w:rsidRPr="00E3756C">
              <w:t>,</w:t>
            </w:r>
            <w:r w:rsidRPr="00E3756C">
              <w:t xml:space="preserve"> ENSO)</w:t>
            </w:r>
          </w:p>
        </w:tc>
      </w:tr>
      <w:tr w:rsidR="00133D9F" w:rsidRPr="00E3756C" w14:paraId="036FF598" w14:textId="77777777" w:rsidTr="00F271ED">
        <w:trPr>
          <w:trHeight w:val="20"/>
        </w:trPr>
        <w:tc>
          <w:tcPr>
            <w:tcW w:w="2346" w:type="dxa"/>
            <w:tcBorders>
              <w:bottom w:val="single" w:sz="4" w:space="0" w:color="1C556C" w:themeColor="accent1"/>
            </w:tcBorders>
            <w:tcMar>
              <w:top w:w="0" w:type="dxa"/>
              <w:left w:w="108" w:type="dxa"/>
              <w:bottom w:w="0" w:type="dxa"/>
              <w:right w:w="108" w:type="dxa"/>
            </w:tcMar>
          </w:tcPr>
          <w:p w14:paraId="4EB41843" w14:textId="77777777" w:rsidR="00133D9F" w:rsidRPr="00E3756C" w:rsidRDefault="00133D9F" w:rsidP="00E06094">
            <w:pPr>
              <w:pStyle w:val="TableText"/>
            </w:pPr>
            <w:r w:rsidRPr="00E3756C">
              <w:rPr>
                <w:b/>
              </w:rPr>
              <w:t xml:space="preserve">Marine heatwaves: </w:t>
            </w:r>
            <w:r w:rsidRPr="00E3756C">
              <w:t>more</w:t>
            </w:r>
            <w:r w:rsidRPr="00E3756C">
              <w:rPr>
                <w:b/>
              </w:rPr>
              <w:t xml:space="preserve"> </w:t>
            </w:r>
            <w:r w:rsidRPr="00E3756C">
              <w:t>persistent high summer sea temperatures</w:t>
            </w:r>
            <w:r w:rsidRPr="00E3756C">
              <w:rPr>
                <w:b/>
              </w:rPr>
              <w:t xml:space="preserve"> </w:t>
            </w:r>
          </w:p>
        </w:tc>
        <w:tc>
          <w:tcPr>
            <w:tcW w:w="3115" w:type="dxa"/>
            <w:tcBorders>
              <w:bottom w:val="single" w:sz="4" w:space="0" w:color="1C556C" w:themeColor="accent1"/>
            </w:tcBorders>
            <w:tcMar>
              <w:top w:w="0" w:type="dxa"/>
              <w:left w:w="108" w:type="dxa"/>
              <w:bottom w:w="0" w:type="dxa"/>
              <w:right w:w="108" w:type="dxa"/>
            </w:tcMar>
          </w:tcPr>
          <w:p w14:paraId="6E138F37" w14:textId="77777777" w:rsidR="00133D9F" w:rsidRPr="00E3756C" w:rsidRDefault="00133D9F" w:rsidP="008B004F">
            <w:pPr>
              <w:pStyle w:val="TableBullet"/>
              <w:spacing w:before="60"/>
            </w:pPr>
            <w:r w:rsidRPr="00E3756C">
              <w:t>Higher mean ocean temperatures</w:t>
            </w:r>
          </w:p>
          <w:p w14:paraId="7F6A18C1" w14:textId="2BC85073" w:rsidR="00133D9F" w:rsidRPr="00E3756C" w:rsidRDefault="00133D9F" w:rsidP="00E06094">
            <w:pPr>
              <w:pStyle w:val="TableBullet"/>
            </w:pPr>
            <w:r w:rsidRPr="00E3756C">
              <w:t>Increase in persistence of maximum daily temperatures eg</w:t>
            </w:r>
            <w:r w:rsidR="002234B0" w:rsidRPr="00E3756C">
              <w:t>,</w:t>
            </w:r>
            <w:r w:rsidRPr="00E3756C">
              <w:t xml:space="preserve"> above 25°C</w:t>
            </w:r>
          </w:p>
          <w:p w14:paraId="244493FC" w14:textId="77777777" w:rsidR="00133D9F" w:rsidRPr="00E3756C" w:rsidRDefault="00133D9F" w:rsidP="00E06094">
            <w:pPr>
              <w:pStyle w:val="TableBullet"/>
            </w:pPr>
            <w:r w:rsidRPr="00E3756C">
              <w:t>Change in seasonal wind patterns</w:t>
            </w:r>
          </w:p>
          <w:p w14:paraId="75EDE55D" w14:textId="77777777" w:rsidR="00133D9F" w:rsidRPr="00E3756C" w:rsidRDefault="00133D9F" w:rsidP="00E06094">
            <w:pPr>
              <w:pStyle w:val="TableBullet"/>
            </w:pPr>
            <w:r w:rsidRPr="00E3756C">
              <w:t>Ocean circulation changes</w:t>
            </w:r>
          </w:p>
        </w:tc>
        <w:tc>
          <w:tcPr>
            <w:tcW w:w="3044" w:type="dxa"/>
            <w:tcBorders>
              <w:bottom w:val="single" w:sz="4" w:space="0" w:color="1C556C" w:themeColor="accent1"/>
            </w:tcBorders>
            <w:tcMar>
              <w:top w:w="0" w:type="dxa"/>
              <w:left w:w="108" w:type="dxa"/>
              <w:bottom w:w="0" w:type="dxa"/>
              <w:right w:w="108" w:type="dxa"/>
            </w:tcMar>
          </w:tcPr>
          <w:p w14:paraId="4285112E" w14:textId="77777777" w:rsidR="00133D9F" w:rsidRPr="00E3756C" w:rsidRDefault="00133D9F" w:rsidP="008B004F">
            <w:pPr>
              <w:pStyle w:val="TableBullet"/>
              <w:spacing w:before="60"/>
            </w:pPr>
            <w:r w:rsidRPr="00E3756C">
              <w:t>Interannual variability (eg</w:t>
            </w:r>
            <w:r w:rsidR="002234B0" w:rsidRPr="00E3756C">
              <w:t>,</w:t>
            </w:r>
            <w:r w:rsidRPr="00E3756C">
              <w:t xml:space="preserve"> ENSO)</w:t>
            </w:r>
          </w:p>
          <w:p w14:paraId="05F0D6E0" w14:textId="77777777" w:rsidR="00133D9F" w:rsidRPr="00E3756C" w:rsidRDefault="00133D9F" w:rsidP="002234B0">
            <w:pPr>
              <w:pStyle w:val="TableBullet"/>
            </w:pPr>
            <w:r w:rsidRPr="00E3756C">
              <w:t>Changes in waves</w:t>
            </w:r>
            <w:r w:rsidR="002234B0" w:rsidRPr="00E3756C">
              <w:t xml:space="preserve"> and </w:t>
            </w:r>
            <w:r w:rsidRPr="00E3756C">
              <w:t>swell</w:t>
            </w:r>
          </w:p>
        </w:tc>
      </w:tr>
      <w:tr w:rsidR="00133D9F" w:rsidRPr="00E3756C" w14:paraId="25739D50" w14:textId="77777777" w:rsidTr="00F271ED">
        <w:trPr>
          <w:trHeight w:val="20"/>
        </w:trPr>
        <w:tc>
          <w:tcPr>
            <w:tcW w:w="2346" w:type="dxa"/>
            <w:shd w:val="clear" w:color="auto" w:fill="D2DDE2" w:themeFill="accent3"/>
            <w:tcMar>
              <w:top w:w="0" w:type="dxa"/>
              <w:left w:w="108" w:type="dxa"/>
              <w:bottom w:w="0" w:type="dxa"/>
              <w:right w:w="108" w:type="dxa"/>
            </w:tcMar>
          </w:tcPr>
          <w:p w14:paraId="792D6DC1" w14:textId="77777777" w:rsidR="00133D9F" w:rsidRPr="00E3756C" w:rsidRDefault="00133D9F" w:rsidP="00E06094">
            <w:pPr>
              <w:pStyle w:val="TableText"/>
            </w:pPr>
            <w:r w:rsidRPr="00E3756C">
              <w:rPr>
                <w:b/>
              </w:rPr>
              <w:t xml:space="preserve">Ocean chemistry changes: </w:t>
            </w:r>
            <w:r w:rsidRPr="00E3756C">
              <w:t xml:space="preserve">nutrient cycling </w:t>
            </w:r>
            <w:r w:rsidR="002234B0" w:rsidRPr="00E3756C">
              <w:t>and</w:t>
            </w:r>
            <w:r w:rsidRPr="00E3756C">
              <w:t xml:space="preserve"> pH</w:t>
            </w:r>
            <w:r w:rsidRPr="00E3756C">
              <w:rPr>
                <w:b/>
              </w:rPr>
              <w:t xml:space="preserve"> </w:t>
            </w:r>
            <w:r w:rsidRPr="00E3756C">
              <w:t>changes</w:t>
            </w:r>
            <w:r w:rsidRPr="00E3756C">
              <w:rPr>
                <w:b/>
              </w:rPr>
              <w:t xml:space="preserve"> </w:t>
            </w:r>
          </w:p>
        </w:tc>
        <w:tc>
          <w:tcPr>
            <w:tcW w:w="3115" w:type="dxa"/>
            <w:shd w:val="clear" w:color="auto" w:fill="D2DDE2" w:themeFill="accent3"/>
            <w:tcMar>
              <w:top w:w="0" w:type="dxa"/>
              <w:left w:w="108" w:type="dxa"/>
              <w:bottom w:w="0" w:type="dxa"/>
              <w:right w:w="108" w:type="dxa"/>
            </w:tcMar>
          </w:tcPr>
          <w:p w14:paraId="5ED88564" w14:textId="77777777" w:rsidR="00133D9F" w:rsidRPr="00E3756C" w:rsidRDefault="00133D9F" w:rsidP="008B004F">
            <w:pPr>
              <w:pStyle w:val="TableBullet"/>
              <w:spacing w:before="60"/>
            </w:pPr>
            <w:r w:rsidRPr="00E3756C">
              <w:t xml:space="preserve">Changes in ocean nutrient cycling – upwelling </w:t>
            </w:r>
            <w:r w:rsidR="002234B0" w:rsidRPr="00E3756C">
              <w:t>and</w:t>
            </w:r>
            <w:r w:rsidRPr="00E3756C">
              <w:t xml:space="preserve"> carbon</w:t>
            </w:r>
          </w:p>
          <w:p w14:paraId="338225F8" w14:textId="77777777" w:rsidR="00133D9F" w:rsidRPr="00E3756C" w:rsidRDefault="00133D9F" w:rsidP="00E06094">
            <w:pPr>
              <w:pStyle w:val="TableBullet"/>
            </w:pPr>
            <w:r w:rsidRPr="00E3756C">
              <w:t>Ocean acidification (pH decreasing)</w:t>
            </w:r>
          </w:p>
          <w:p w14:paraId="22F7705D" w14:textId="77777777" w:rsidR="00133D9F" w:rsidRPr="00E3756C" w:rsidRDefault="00133D9F" w:rsidP="00E06094">
            <w:pPr>
              <w:pStyle w:val="TableBullet"/>
            </w:pPr>
            <w:r w:rsidRPr="00E3756C">
              <w:t>Higher mean surface-water temperatures</w:t>
            </w:r>
          </w:p>
          <w:p w14:paraId="099E6E63" w14:textId="77777777" w:rsidR="00133D9F" w:rsidRPr="00E3756C" w:rsidRDefault="00133D9F" w:rsidP="00E06094">
            <w:pPr>
              <w:pStyle w:val="TableBullet"/>
            </w:pPr>
            <w:r w:rsidRPr="00E3756C">
              <w:t>Change in seasonal wind patterns</w:t>
            </w:r>
          </w:p>
        </w:tc>
        <w:tc>
          <w:tcPr>
            <w:tcW w:w="3044" w:type="dxa"/>
            <w:shd w:val="clear" w:color="auto" w:fill="D2DDE2" w:themeFill="accent3"/>
            <w:tcMar>
              <w:top w:w="0" w:type="dxa"/>
              <w:left w:w="108" w:type="dxa"/>
              <w:bottom w:w="0" w:type="dxa"/>
              <w:right w:w="108" w:type="dxa"/>
            </w:tcMar>
          </w:tcPr>
          <w:p w14:paraId="1DFD9433" w14:textId="77777777" w:rsidR="00133D9F" w:rsidRPr="00E3756C" w:rsidRDefault="00133D9F" w:rsidP="008B004F">
            <w:pPr>
              <w:pStyle w:val="TableBullet"/>
              <w:spacing w:before="60"/>
            </w:pPr>
            <w:r w:rsidRPr="00E3756C">
              <w:t>Ocean circulation changes</w:t>
            </w:r>
          </w:p>
          <w:p w14:paraId="242B1FE7" w14:textId="77777777" w:rsidR="00133D9F" w:rsidRPr="00E3756C" w:rsidRDefault="00133D9F" w:rsidP="002234B0">
            <w:pPr>
              <w:pStyle w:val="TableBullet"/>
            </w:pPr>
            <w:r w:rsidRPr="00E3756C">
              <w:t>Interannual variability (eg</w:t>
            </w:r>
            <w:r w:rsidR="002234B0" w:rsidRPr="00E3756C">
              <w:t>,</w:t>
            </w:r>
            <w:r w:rsidRPr="00E3756C">
              <w:t xml:space="preserve"> ENSO)</w:t>
            </w:r>
          </w:p>
        </w:tc>
      </w:tr>
      <w:tr w:rsidR="00133D9F" w:rsidRPr="00E3756C" w14:paraId="07D2A83C" w14:textId="77777777" w:rsidTr="00F271ED">
        <w:trPr>
          <w:trHeight w:val="20"/>
        </w:trPr>
        <w:tc>
          <w:tcPr>
            <w:tcW w:w="2346" w:type="dxa"/>
            <w:shd w:val="clear" w:color="auto" w:fill="D2DDE2" w:themeFill="accent3"/>
            <w:tcMar>
              <w:top w:w="0" w:type="dxa"/>
              <w:left w:w="108" w:type="dxa"/>
              <w:bottom w:w="0" w:type="dxa"/>
              <w:right w:w="108" w:type="dxa"/>
            </w:tcMar>
          </w:tcPr>
          <w:p w14:paraId="5F66C8F9" w14:textId="77777777" w:rsidR="00133D9F" w:rsidRPr="00E3756C" w:rsidRDefault="00133D9F" w:rsidP="00E06094">
            <w:pPr>
              <w:pStyle w:val="TableText"/>
            </w:pPr>
            <w:r w:rsidRPr="00E3756C">
              <w:rPr>
                <w:b/>
              </w:rPr>
              <w:t>International influences</w:t>
            </w:r>
            <w:r w:rsidRPr="00E3756C">
              <w:t xml:space="preserve"> from climate change and greenhouse gas mitigation preferences </w:t>
            </w:r>
          </w:p>
        </w:tc>
        <w:tc>
          <w:tcPr>
            <w:tcW w:w="3115" w:type="dxa"/>
            <w:shd w:val="clear" w:color="auto" w:fill="D2DDE2" w:themeFill="accent3"/>
            <w:tcMar>
              <w:top w:w="0" w:type="dxa"/>
              <w:left w:w="108" w:type="dxa"/>
              <w:bottom w:w="0" w:type="dxa"/>
              <w:right w:w="108" w:type="dxa"/>
            </w:tcMar>
          </w:tcPr>
          <w:p w14:paraId="0538DA2B" w14:textId="77777777" w:rsidR="00133D9F" w:rsidRPr="00E3756C" w:rsidRDefault="00133D9F" w:rsidP="008B004F">
            <w:pPr>
              <w:pStyle w:val="TableBullet"/>
              <w:spacing w:before="60"/>
            </w:pPr>
            <w:r w:rsidRPr="00E3756C">
              <w:t>Immigration</w:t>
            </w:r>
          </w:p>
          <w:p w14:paraId="711651B3" w14:textId="77777777" w:rsidR="00133D9F" w:rsidRPr="00E3756C" w:rsidRDefault="00133D9F" w:rsidP="00E06094">
            <w:pPr>
              <w:pStyle w:val="TableBullet"/>
            </w:pPr>
            <w:r w:rsidRPr="00E3756C">
              <w:t>Markets (pricing, preferences)</w:t>
            </w:r>
          </w:p>
          <w:p w14:paraId="00493512" w14:textId="77777777" w:rsidR="00133D9F" w:rsidRPr="00E3756C" w:rsidRDefault="00133D9F" w:rsidP="008B004F">
            <w:pPr>
              <w:pStyle w:val="TableBullet"/>
            </w:pPr>
            <w:r w:rsidRPr="00E3756C">
              <w:t xml:space="preserve">Pacific Island </w:t>
            </w:r>
            <w:r w:rsidR="002234B0" w:rsidRPr="00E3756C">
              <w:t>c</w:t>
            </w:r>
            <w:r w:rsidRPr="00E3756C">
              <w:t>ountries (disaster responses, development)</w:t>
            </w:r>
          </w:p>
        </w:tc>
        <w:tc>
          <w:tcPr>
            <w:tcW w:w="3044" w:type="dxa"/>
            <w:shd w:val="clear" w:color="auto" w:fill="D2DDE2" w:themeFill="accent3"/>
            <w:tcMar>
              <w:top w:w="0" w:type="dxa"/>
              <w:left w:w="108" w:type="dxa"/>
              <w:bottom w:w="0" w:type="dxa"/>
              <w:right w:w="108" w:type="dxa"/>
            </w:tcMar>
          </w:tcPr>
          <w:p w14:paraId="13859C87" w14:textId="77777777" w:rsidR="00133D9F" w:rsidRPr="00E3756C" w:rsidRDefault="00133D9F" w:rsidP="008B004F">
            <w:pPr>
              <w:pStyle w:val="TableText"/>
            </w:pPr>
          </w:p>
        </w:tc>
      </w:tr>
      <w:tr w:rsidR="00133D9F" w:rsidRPr="00E3756C" w14:paraId="749AC5CD" w14:textId="77777777" w:rsidTr="00F271ED">
        <w:trPr>
          <w:trHeight w:val="20"/>
        </w:trPr>
        <w:tc>
          <w:tcPr>
            <w:tcW w:w="2346" w:type="dxa"/>
            <w:tcMar>
              <w:top w:w="0" w:type="dxa"/>
              <w:left w:w="108" w:type="dxa"/>
              <w:bottom w:w="0" w:type="dxa"/>
              <w:right w:w="108" w:type="dxa"/>
            </w:tcMar>
          </w:tcPr>
          <w:p w14:paraId="378CC8B1" w14:textId="77777777" w:rsidR="00133D9F" w:rsidRPr="00E3756C" w:rsidRDefault="00133D9F" w:rsidP="00E06094">
            <w:pPr>
              <w:pStyle w:val="TableTextbold"/>
            </w:pPr>
            <w:r w:rsidRPr="00E3756C">
              <w:t>Other?</w:t>
            </w:r>
          </w:p>
        </w:tc>
        <w:tc>
          <w:tcPr>
            <w:tcW w:w="3115" w:type="dxa"/>
            <w:tcMar>
              <w:top w:w="0" w:type="dxa"/>
              <w:left w:w="108" w:type="dxa"/>
              <w:bottom w:w="0" w:type="dxa"/>
              <w:right w:w="108" w:type="dxa"/>
            </w:tcMar>
          </w:tcPr>
          <w:p w14:paraId="2EFBF17E" w14:textId="77777777" w:rsidR="00133D9F" w:rsidRPr="00E3756C" w:rsidRDefault="00133D9F" w:rsidP="008B004F">
            <w:pPr>
              <w:pStyle w:val="TableBullet"/>
              <w:spacing w:before="60"/>
            </w:pPr>
          </w:p>
          <w:p w14:paraId="126C4DDC" w14:textId="77777777" w:rsidR="00133D9F" w:rsidRPr="00E3756C" w:rsidRDefault="00133D9F" w:rsidP="00E06094">
            <w:pPr>
              <w:pStyle w:val="TableBullet"/>
            </w:pPr>
          </w:p>
          <w:p w14:paraId="5FF3B7A7" w14:textId="77777777" w:rsidR="00133D9F" w:rsidRPr="00E3756C" w:rsidRDefault="00133D9F" w:rsidP="00E06094">
            <w:pPr>
              <w:pStyle w:val="TableBullet"/>
            </w:pPr>
          </w:p>
        </w:tc>
        <w:tc>
          <w:tcPr>
            <w:tcW w:w="3044" w:type="dxa"/>
            <w:tcMar>
              <w:top w:w="0" w:type="dxa"/>
              <w:left w:w="108" w:type="dxa"/>
              <w:bottom w:w="0" w:type="dxa"/>
              <w:right w:w="108" w:type="dxa"/>
            </w:tcMar>
          </w:tcPr>
          <w:p w14:paraId="23D96D7E" w14:textId="77777777" w:rsidR="00133D9F" w:rsidRPr="00E3756C" w:rsidRDefault="00133D9F" w:rsidP="008B004F">
            <w:pPr>
              <w:pStyle w:val="TableBullet"/>
              <w:spacing w:before="60"/>
            </w:pPr>
          </w:p>
          <w:p w14:paraId="674A3CDC" w14:textId="77777777" w:rsidR="00133D9F" w:rsidRPr="00E3756C" w:rsidRDefault="00133D9F" w:rsidP="00E06094">
            <w:pPr>
              <w:pStyle w:val="TableBullet"/>
            </w:pPr>
          </w:p>
          <w:p w14:paraId="260DA5B5" w14:textId="77777777" w:rsidR="00133D9F" w:rsidRPr="00E3756C" w:rsidRDefault="00133D9F" w:rsidP="00E06094">
            <w:pPr>
              <w:pStyle w:val="TableBullet"/>
            </w:pPr>
          </w:p>
        </w:tc>
      </w:tr>
    </w:tbl>
    <w:p w14:paraId="70A33A63" w14:textId="77777777" w:rsidR="00F709BB" w:rsidRPr="00E3756C" w:rsidRDefault="00F709BB" w:rsidP="0022280F">
      <w:pPr>
        <w:pStyle w:val="Note"/>
        <w:spacing w:before="120" w:after="0"/>
      </w:pPr>
      <w:bookmarkStart w:id="117" w:name="_heading=h.2xcytpi" w:colFirst="0" w:colLast="0"/>
      <w:bookmarkStart w:id="118" w:name="_Toc13570363"/>
      <w:bookmarkStart w:id="119" w:name="_Toc14361548"/>
      <w:bookmarkEnd w:id="117"/>
      <w:r w:rsidRPr="00E3756C">
        <w:t>Note: This is not an exhaustive list. The second and third columns outline the associated primary and secondary climate</w:t>
      </w:r>
      <w:r w:rsidR="002234B0" w:rsidRPr="00E3756C">
        <w:t xml:space="preserve"> </w:t>
      </w:r>
      <w:r w:rsidRPr="00E3756C">
        <w:t xml:space="preserve">change variables that contribute to each of the hazards, which should be confirmed before developing the </w:t>
      </w:r>
      <w:r w:rsidR="002234B0" w:rsidRPr="00E3756C">
        <w:lastRenderedPageBreak/>
        <w:t>‘</w:t>
      </w:r>
      <w:r w:rsidRPr="00E3756C">
        <w:t>hazard component</w:t>
      </w:r>
      <w:r w:rsidR="002234B0" w:rsidRPr="00E3756C">
        <w:t>’</w:t>
      </w:r>
      <w:r w:rsidRPr="00E3756C">
        <w:t xml:space="preserve"> descriptors at the recommended timeframes and projections (extra space is provided in the </w:t>
      </w:r>
      <w:r w:rsidR="002234B0" w:rsidRPr="00E3756C">
        <w:t>t</w:t>
      </w:r>
      <w:r w:rsidRPr="00E3756C">
        <w:t xml:space="preserve">able). The long-list of variables is in </w:t>
      </w:r>
      <w:hyperlink w:anchor="_C4.2__Climate-change" w:history="1">
        <w:r w:rsidR="002234B0" w:rsidRPr="00E3756C">
          <w:rPr>
            <w:rStyle w:val="Hyperlink"/>
          </w:rPr>
          <w:t>c</w:t>
        </w:r>
        <w:r w:rsidRPr="00E3756C">
          <w:rPr>
            <w:rStyle w:val="Hyperlink"/>
          </w:rPr>
          <w:t>hapter C4.2</w:t>
        </w:r>
      </w:hyperlink>
      <w:r w:rsidR="002958D0" w:rsidRPr="00E3756C">
        <w:t xml:space="preserve"> (</w:t>
      </w:r>
      <w:hyperlink w:anchor="tableC41" w:history="1">
        <w:r w:rsidR="002958D0" w:rsidRPr="00E3756C">
          <w:rPr>
            <w:rStyle w:val="Hyperlink"/>
          </w:rPr>
          <w:t>table C4-1</w:t>
        </w:r>
      </w:hyperlink>
      <w:r w:rsidR="002958D0" w:rsidRPr="00E3756C">
        <w:t>).</w:t>
      </w:r>
      <w:r w:rsidRPr="00E3756C">
        <w:t xml:space="preserve"> ENSO</w:t>
      </w:r>
      <w:r w:rsidR="002234B0" w:rsidRPr="00E3756C">
        <w:t xml:space="preserve"> </w:t>
      </w:r>
      <w:r w:rsidRPr="00E3756C">
        <w:t>= 2</w:t>
      </w:r>
      <w:r w:rsidR="002234B0" w:rsidRPr="00E3756C">
        <w:t>–</w:t>
      </w:r>
      <w:r w:rsidRPr="00E3756C">
        <w:t>4 year El Niño–Southern Oscillation</w:t>
      </w:r>
      <w:r w:rsidR="002234B0" w:rsidRPr="00E3756C">
        <w:t>.</w:t>
      </w:r>
    </w:p>
    <w:p w14:paraId="4103DDFA" w14:textId="77777777" w:rsidR="00133D9F" w:rsidRPr="00E3756C" w:rsidRDefault="00133D9F" w:rsidP="008B004F">
      <w:pPr>
        <w:pStyle w:val="Heading2"/>
        <w:spacing w:before="480"/>
      </w:pPr>
      <w:bookmarkStart w:id="120" w:name="_B1.4__Guidance"/>
      <w:bookmarkStart w:id="121" w:name="_Toc15409160"/>
      <w:bookmarkEnd w:id="120"/>
      <w:r w:rsidRPr="00E3756C">
        <w:t xml:space="preserve">B1.4 </w:t>
      </w:r>
      <w:r w:rsidR="008B004F" w:rsidRPr="00E3756C">
        <w:tab/>
      </w:r>
      <w:r w:rsidRPr="00E3756C">
        <w:t xml:space="preserve">Guidance on alignment of information with </w:t>
      </w:r>
      <w:r w:rsidR="006C6E36">
        <w:t>R</w:t>
      </w:r>
      <w:r w:rsidR="002234B0" w:rsidRPr="00E3756C">
        <w:t xml:space="preserve">epresentative </w:t>
      </w:r>
      <w:r w:rsidR="006C6E36">
        <w:t>C</w:t>
      </w:r>
      <w:r w:rsidR="002234B0" w:rsidRPr="00E3756C">
        <w:t xml:space="preserve">oncentration </w:t>
      </w:r>
      <w:r w:rsidR="006C6E36">
        <w:t>P</w:t>
      </w:r>
      <w:r w:rsidR="002234B0" w:rsidRPr="00E3756C">
        <w:t>athway</w:t>
      </w:r>
      <w:r w:rsidR="007A339A">
        <w:t xml:space="preserve"> </w:t>
      </w:r>
      <w:r w:rsidRPr="00E3756C">
        <w:t>projections</w:t>
      </w:r>
      <w:r w:rsidR="007A339A">
        <w:t> </w:t>
      </w:r>
      <w:r w:rsidRPr="00E3756C">
        <w:t>and timeframes</w:t>
      </w:r>
      <w:bookmarkEnd w:id="118"/>
      <w:bookmarkEnd w:id="119"/>
      <w:bookmarkEnd w:id="121"/>
    </w:p>
    <w:p w14:paraId="4C679CF5" w14:textId="77777777" w:rsidR="00133D9F" w:rsidRPr="00E3756C" w:rsidRDefault="00053883" w:rsidP="00B5290F">
      <w:pPr>
        <w:pStyle w:val="BodyText"/>
      </w:pPr>
      <w:hyperlink w:anchor="figureB13" w:history="1">
        <w:r w:rsidR="002234B0" w:rsidRPr="00E3756C">
          <w:rPr>
            <w:rStyle w:val="Hyperlink"/>
          </w:rPr>
          <w:t>Figure B1-3</w:t>
        </w:r>
      </w:hyperlink>
      <w:r w:rsidR="002234B0" w:rsidRPr="00E3756C">
        <w:t xml:space="preserve"> gives a</w:t>
      </w:r>
      <w:r w:rsidR="00133D9F" w:rsidRPr="00E3756C">
        <w:t>n outline of approaches for mapping information</w:t>
      </w:r>
      <w:r w:rsidR="002344E1" w:rsidRPr="00E3756C">
        <w:t>, where possible,</w:t>
      </w:r>
      <w:r w:rsidR="00133D9F" w:rsidRPr="00E3756C">
        <w:t xml:space="preserve"> to align </w:t>
      </w:r>
      <w:r w:rsidR="00760D0C" w:rsidRPr="00E3756C">
        <w:t xml:space="preserve">consistently </w:t>
      </w:r>
      <w:r w:rsidR="00133D9F" w:rsidRPr="00E3756C">
        <w:t>with the recommended RCP4.5 and RCP8.5 projections for Aotearoa New Zealand at the recommended timeframes: present</w:t>
      </w:r>
      <w:r w:rsidR="00760D0C" w:rsidRPr="00E3756C">
        <w:t xml:space="preserve"> </w:t>
      </w:r>
      <w:r w:rsidR="00133D9F" w:rsidRPr="00E3756C">
        <w:t>day; 30 years (</w:t>
      </w:r>
      <w:r w:rsidR="00760D0C" w:rsidRPr="00E3756C">
        <w:t xml:space="preserve">around </w:t>
      </w:r>
      <w:r w:rsidR="00133D9F" w:rsidRPr="00E3756C">
        <w:t>2050); by 2100; and for sea-level rise and coastal</w:t>
      </w:r>
      <w:r w:rsidR="00760D0C" w:rsidRPr="00E3756C">
        <w:t xml:space="preserve"> </w:t>
      </w:r>
      <w:r w:rsidR="00133D9F" w:rsidRPr="00E3756C">
        <w:t>flooding impacts</w:t>
      </w:r>
      <w:r w:rsidR="00760D0C" w:rsidRPr="00E3756C">
        <w:t xml:space="preserve"> only</w:t>
      </w:r>
      <w:r w:rsidR="00133D9F" w:rsidRPr="00E3756C">
        <w:t xml:space="preserve">, by 2150 during Stage 2. An initial list of information sources and tools is </w:t>
      </w:r>
      <w:r w:rsidR="00760D0C" w:rsidRPr="00E3756C">
        <w:t xml:space="preserve">given </w:t>
      </w:r>
      <w:r w:rsidR="00133D9F" w:rsidRPr="00E3756C">
        <w:t xml:space="preserve">in </w:t>
      </w:r>
      <w:hyperlink w:anchor="_Chapter_C2:_Risk" w:history="1">
        <w:r w:rsidR="00760D0C" w:rsidRPr="00E3756C">
          <w:rPr>
            <w:rStyle w:val="Hyperlink"/>
          </w:rPr>
          <w:t>c</w:t>
        </w:r>
        <w:r w:rsidR="00133D9F" w:rsidRPr="00E3756C">
          <w:rPr>
            <w:rStyle w:val="Hyperlink"/>
          </w:rPr>
          <w:t>hapter C2</w:t>
        </w:r>
      </w:hyperlink>
      <w:r w:rsidR="00133D9F" w:rsidRPr="00E3756C">
        <w:t xml:space="preserve">. </w:t>
      </w:r>
    </w:p>
    <w:p w14:paraId="3DFD3460" w14:textId="77777777" w:rsidR="00B5290F" w:rsidRPr="00E3756C" w:rsidRDefault="00B5290F" w:rsidP="00B5290F">
      <w:pPr>
        <w:pStyle w:val="BodyText"/>
      </w:pPr>
      <w:r w:rsidRPr="00E3756C">
        <w:t>Types of information on climate</w:t>
      </w:r>
      <w:r w:rsidR="00760D0C" w:rsidRPr="00E3756C">
        <w:t xml:space="preserve"> </w:t>
      </w:r>
      <w:r w:rsidRPr="00E3756C">
        <w:t>change projections include</w:t>
      </w:r>
      <w:r w:rsidR="00760D0C" w:rsidRPr="00E3756C">
        <w:t xml:space="preserve"> the following.</w:t>
      </w:r>
    </w:p>
    <w:p w14:paraId="35CF2AC1" w14:textId="77777777" w:rsidR="00B5290F" w:rsidRPr="00E3756C" w:rsidRDefault="00B5290F" w:rsidP="006B20F7">
      <w:pPr>
        <w:pStyle w:val="BodyText"/>
        <w:spacing w:before="0"/>
        <w:ind w:left="397" w:hanging="397"/>
      </w:pPr>
      <w:r w:rsidRPr="00E3756C">
        <w:t>a)</w:t>
      </w:r>
      <w:r w:rsidRPr="00E3756C">
        <w:tab/>
        <w:t>Projections of the core group of</w:t>
      </w:r>
      <w:r w:rsidR="00484C8A" w:rsidRPr="00E3756C">
        <w:t xml:space="preserve"> </w:t>
      </w:r>
      <w:r w:rsidRPr="00E3756C">
        <w:t>primary climate variables that contribute to the key hazards. These are available for</w:t>
      </w:r>
      <w:r w:rsidR="00484C8A" w:rsidRPr="00E3756C">
        <w:t xml:space="preserve"> </w:t>
      </w:r>
      <w:r w:rsidRPr="00E3756C">
        <w:t xml:space="preserve">RCP4.5 and RCP8.5 projections, particularly temperature, rainfall, drought, wind and sea-level rise. The main sources for these primary variables are the </w:t>
      </w:r>
      <w:r w:rsidR="00FB6335" w:rsidRPr="00E3756C">
        <w:t>Climate Change Projections for New Zealand</w:t>
      </w:r>
      <w:r w:rsidRPr="00E3756C">
        <w:t xml:space="preserve"> </w:t>
      </w:r>
      <w:r w:rsidR="00FB6335" w:rsidRPr="00E3756C">
        <w:t xml:space="preserve">(Ministry for the Environment, </w:t>
      </w:r>
      <w:r w:rsidRPr="00E3756C">
        <w:t>2018</w:t>
      </w:r>
      <w:r w:rsidR="00FB6335" w:rsidRPr="00E3756C">
        <w:t>)</w:t>
      </w:r>
      <w:r w:rsidRPr="00E3756C">
        <w:t>, the</w:t>
      </w:r>
      <w:r w:rsidR="007A339A">
        <w:t> </w:t>
      </w:r>
      <w:r w:rsidR="00FB6335" w:rsidRPr="00E3756C">
        <w:t xml:space="preserve">Coastal Hazards and Climate Change Guidance </w:t>
      </w:r>
      <w:r w:rsidRPr="00E3756C">
        <w:t>(for sea-level rise to 2150)</w:t>
      </w:r>
      <w:r w:rsidR="00FB6335" w:rsidRPr="00E3756C">
        <w:t xml:space="preserve"> (Ministry for the Environment, 2017)</w:t>
      </w:r>
      <w:r w:rsidRPr="00E3756C">
        <w:t xml:space="preserve">, the Australasian IPCC chapter </w:t>
      </w:r>
      <w:r w:rsidR="008925D2" w:rsidRPr="00E3756C">
        <w:t xml:space="preserve">from </w:t>
      </w:r>
      <w:r w:rsidRPr="00E3756C">
        <w:t>W</w:t>
      </w:r>
      <w:r w:rsidR="008925D2" w:rsidRPr="00E3756C">
        <w:t xml:space="preserve">orking </w:t>
      </w:r>
      <w:r w:rsidRPr="00E3756C">
        <w:t>G</w:t>
      </w:r>
      <w:r w:rsidR="008925D2" w:rsidRPr="00E3756C">
        <w:t xml:space="preserve">roup </w:t>
      </w:r>
      <w:r w:rsidRPr="00E3756C">
        <w:t>II</w:t>
      </w:r>
      <w:r w:rsidR="008925D2" w:rsidRPr="00E3756C">
        <w:t xml:space="preserve"> to the IPCC’s </w:t>
      </w:r>
      <w:r w:rsidR="005200E8" w:rsidRPr="00E3756C">
        <w:t>F</w:t>
      </w:r>
      <w:r w:rsidR="008925D2" w:rsidRPr="00E3756C">
        <w:t>ifth Assessment Report (Reisinger et al, 2014)</w:t>
      </w:r>
      <w:r w:rsidRPr="00E3756C">
        <w:t xml:space="preserve">, </w:t>
      </w:r>
      <w:r w:rsidR="008925D2" w:rsidRPr="00E3756C">
        <w:t xml:space="preserve">and </w:t>
      </w:r>
      <w:r w:rsidRPr="00E3756C">
        <w:t>various papers and reports.</w:t>
      </w:r>
    </w:p>
    <w:p w14:paraId="67A80CD2" w14:textId="77777777" w:rsidR="00B5290F" w:rsidRPr="00E3756C" w:rsidRDefault="00B5290F" w:rsidP="006B20F7">
      <w:pPr>
        <w:pStyle w:val="BodyText"/>
        <w:spacing w:before="0"/>
        <w:ind w:left="397" w:hanging="397"/>
      </w:pPr>
      <w:r w:rsidRPr="00E3756C">
        <w:t>b)</w:t>
      </w:r>
      <w:r w:rsidRPr="00E3756C">
        <w:tab/>
        <w:t>Information derived from analysis of increments in climate</w:t>
      </w:r>
      <w:r w:rsidR="006F2D48" w:rsidRPr="00E3756C">
        <w:t xml:space="preserve"> </w:t>
      </w:r>
      <w:r w:rsidRPr="00E3756C">
        <w:t xml:space="preserve">change variables. </w:t>
      </w:r>
    </w:p>
    <w:p w14:paraId="3500C4E8" w14:textId="77777777" w:rsidR="00B5290F" w:rsidRPr="00E3756C" w:rsidRDefault="00B5290F" w:rsidP="006B20F7">
      <w:pPr>
        <w:pStyle w:val="BodyText"/>
        <w:spacing w:before="0"/>
        <w:ind w:left="397"/>
      </w:pPr>
      <w:r w:rsidRPr="00E3756C">
        <w:t>For example, high-intensity rainfall increases for various event duration</w:t>
      </w:r>
      <w:r w:rsidR="00445DE1" w:rsidRPr="00E3756C">
        <w:t>s</w:t>
      </w:r>
      <w:r w:rsidRPr="00E3756C">
        <w:t xml:space="preserve"> (</w:t>
      </w:r>
      <w:r w:rsidR="006F2D48" w:rsidRPr="00E3756C">
        <w:t>one</w:t>
      </w:r>
      <w:r w:rsidRPr="00E3756C">
        <w:t xml:space="preserve"> hour to </w:t>
      </w:r>
      <w:r w:rsidR="006F2D48" w:rsidRPr="00E3756C">
        <w:t xml:space="preserve">three </w:t>
      </w:r>
      <w:r w:rsidRPr="00E3756C">
        <w:t xml:space="preserve">days) are available in </w:t>
      </w:r>
      <w:r w:rsidR="006F2D48" w:rsidRPr="00E3756C">
        <w:t>the High Intensity Rainfall Design System (</w:t>
      </w:r>
      <w:r w:rsidRPr="00E3756C">
        <w:t>HIRDS</w:t>
      </w:r>
      <w:r w:rsidR="006F2D48" w:rsidRPr="00E3756C">
        <w:t>)</w:t>
      </w:r>
      <w:r w:rsidRPr="00E3756C">
        <w:t xml:space="preserve"> v</w:t>
      </w:r>
      <w:r w:rsidR="006F2D48" w:rsidRPr="00E3756C">
        <w:t xml:space="preserve">ersion </w:t>
      </w:r>
      <w:r w:rsidRPr="00E3756C">
        <w:t>4 (or</w:t>
      </w:r>
      <w:r w:rsidR="007A339A">
        <w:t> </w:t>
      </w:r>
      <w:r w:rsidR="006F2D48" w:rsidRPr="00E3756C">
        <w:t xml:space="preserve">the Climate Change Projections for New Zealand </w:t>
      </w:r>
      <w:r w:rsidRPr="00E3756C">
        <w:t>report</w:t>
      </w:r>
      <w:r w:rsidR="006F2D48" w:rsidRPr="00E3756C">
        <w:t xml:space="preserve"> (Ministry for the Environment, 2018)</w:t>
      </w:r>
      <w:r w:rsidRPr="00E3756C">
        <w:t>) for 1</w:t>
      </w:r>
      <w:r w:rsidR="006F2D48" w:rsidRPr="00E3756C">
        <w:t xml:space="preserve"> degree </w:t>
      </w:r>
      <w:r w:rsidRPr="00E3756C">
        <w:t>C</w:t>
      </w:r>
      <w:r w:rsidR="006F2D48" w:rsidRPr="00E3756C">
        <w:t>elsius</w:t>
      </w:r>
      <w:r w:rsidRPr="00E3756C">
        <w:t xml:space="preserve"> increments in rising air temperature or coastal risk exposure nationally in terms of 0.1 m</w:t>
      </w:r>
      <w:r w:rsidR="003045E0" w:rsidRPr="00E3756C">
        <w:t>etre</w:t>
      </w:r>
      <w:r w:rsidRPr="00E3756C">
        <w:t xml:space="preserve"> increments in sea-level rise (eg</w:t>
      </w:r>
      <w:r w:rsidR="003045E0" w:rsidRPr="00E3756C">
        <w:t>,</w:t>
      </w:r>
      <w:r w:rsidRPr="00E3756C">
        <w:t xml:space="preserve"> </w:t>
      </w:r>
      <w:r w:rsidR="003045E0" w:rsidRPr="00E3756C">
        <w:t>Parliamentary Commissioner for the Environment</w:t>
      </w:r>
      <w:r w:rsidRPr="00E3756C">
        <w:t xml:space="preserve">, 2015; </w:t>
      </w:r>
      <w:r w:rsidR="003045E0" w:rsidRPr="00E3756C">
        <w:t>Paulik et al,</w:t>
      </w:r>
      <w:r w:rsidRPr="00E3756C">
        <w:t xml:space="preserve"> 2019)</w:t>
      </w:r>
      <w:r w:rsidR="003045E0" w:rsidRPr="00E3756C">
        <w:t>.</w:t>
      </w:r>
    </w:p>
    <w:p w14:paraId="798ED258" w14:textId="640025B3" w:rsidR="00B5290F" w:rsidRPr="00E3756C" w:rsidRDefault="00B5290F" w:rsidP="006B20F7">
      <w:pPr>
        <w:pStyle w:val="BodyText"/>
        <w:spacing w:before="0"/>
        <w:ind w:left="397"/>
      </w:pPr>
      <w:r w:rsidRPr="00E3756C">
        <w:t xml:space="preserve">For the recommended timeframes, determine the magnitude of the relevant climate hazard or contributing climate variables from the RCP4.5 and RCP8.5 projections (see </w:t>
      </w:r>
      <w:r w:rsidR="00407086">
        <w:t xml:space="preserve">point </w:t>
      </w:r>
      <w:r w:rsidRPr="00E3756C">
        <w:t>a) above) and interpolate the available magnitude</w:t>
      </w:r>
      <w:r w:rsidR="003045E0" w:rsidRPr="00E3756C">
        <w:t xml:space="preserve"> and </w:t>
      </w:r>
      <w:r w:rsidRPr="00E3756C">
        <w:t>frequency in the information sources or tools from the nearest increments</w:t>
      </w:r>
      <w:r w:rsidR="00407086">
        <w:t>. F</w:t>
      </w:r>
      <w:r w:rsidR="003045E0" w:rsidRPr="00E3756C">
        <w:t>or example,</w:t>
      </w:r>
      <w:r w:rsidRPr="00E3756C">
        <w:t xml:space="preserve"> if </w:t>
      </w:r>
      <w:r w:rsidR="003045E0" w:rsidRPr="00E3756C">
        <w:t xml:space="preserve">the </w:t>
      </w:r>
      <w:r w:rsidRPr="00E3756C">
        <w:t>temperature were to rise by 2.8</w:t>
      </w:r>
      <w:r w:rsidR="003045E0" w:rsidRPr="00E3756C">
        <w:t xml:space="preserve"> degrees </w:t>
      </w:r>
      <w:r w:rsidRPr="00E3756C">
        <w:t>C</w:t>
      </w:r>
      <w:r w:rsidR="003045E0" w:rsidRPr="00E3756C">
        <w:t>elsius</w:t>
      </w:r>
      <w:r w:rsidRPr="00E3756C">
        <w:t xml:space="preserve"> in 100 years for the RCP8.5 projection</w:t>
      </w:r>
      <w:r w:rsidR="003045E0" w:rsidRPr="00E3756C">
        <w:t>,</w:t>
      </w:r>
      <w:r w:rsidRPr="00E3756C">
        <w:t xml:space="preserve"> then the high</w:t>
      </w:r>
      <w:r w:rsidR="003045E0" w:rsidRPr="00E3756C">
        <w:t>-</w:t>
      </w:r>
      <w:r w:rsidRPr="00E3756C">
        <w:t>intensity rainfall increase can be interpolated from the increases for 2</w:t>
      </w:r>
      <w:r w:rsidR="003045E0" w:rsidRPr="00E3756C">
        <w:t xml:space="preserve"> degrees </w:t>
      </w:r>
      <w:r w:rsidRPr="00E3756C">
        <w:t>C</w:t>
      </w:r>
      <w:r w:rsidR="003045E0" w:rsidRPr="00E3756C">
        <w:t>elsius</w:t>
      </w:r>
      <w:r w:rsidRPr="00E3756C">
        <w:t xml:space="preserve"> and 3</w:t>
      </w:r>
      <w:r w:rsidR="003045E0" w:rsidRPr="00E3756C">
        <w:t xml:space="preserve"> degrees </w:t>
      </w:r>
      <w:r w:rsidRPr="00E3756C">
        <w:t>C</w:t>
      </w:r>
      <w:r w:rsidR="003045E0" w:rsidRPr="00E3756C">
        <w:t>elsius</w:t>
      </w:r>
      <w:r w:rsidRPr="00E3756C">
        <w:t xml:space="preserve"> in the HIRDS tool.</w:t>
      </w:r>
    </w:p>
    <w:p w14:paraId="7728608B" w14:textId="1A357313" w:rsidR="00B5290F" w:rsidRPr="00E3756C" w:rsidRDefault="00B5290F" w:rsidP="006B20F7">
      <w:pPr>
        <w:pStyle w:val="BodyText"/>
        <w:ind w:left="397" w:hanging="397"/>
      </w:pPr>
      <w:r w:rsidRPr="00E3756C">
        <w:t>c)</w:t>
      </w:r>
      <w:r w:rsidRPr="00E3756C">
        <w:tab/>
        <w:t>Past reports or journal papers may have previously assessed climate</w:t>
      </w:r>
      <w:r w:rsidR="003045E0" w:rsidRPr="00E3756C">
        <w:t xml:space="preserve"> </w:t>
      </w:r>
      <w:r w:rsidRPr="00E3756C">
        <w:t xml:space="preserve">change effects with past </w:t>
      </w:r>
      <w:r w:rsidR="00407086">
        <w:t xml:space="preserve">scenarios from the </w:t>
      </w:r>
      <w:r w:rsidR="00C47DB6" w:rsidRPr="00E3756C">
        <w:t xml:space="preserve">IPCC </w:t>
      </w:r>
      <w:r w:rsidRPr="00E3756C">
        <w:t>Special Report on Emission Scenarios</w:t>
      </w:r>
      <w:r w:rsidR="00C47DB6" w:rsidRPr="00E3756C">
        <w:t xml:space="preserve"> (SRES</w:t>
      </w:r>
      <w:r w:rsidRPr="00E3756C">
        <w:t xml:space="preserve">) </w:t>
      </w:r>
      <w:r w:rsidR="00407086">
        <w:t xml:space="preserve">that were </w:t>
      </w:r>
      <w:r w:rsidRPr="00E3756C">
        <w:t xml:space="preserve">used in the </w:t>
      </w:r>
      <w:r w:rsidR="00C47DB6" w:rsidRPr="00E3756C">
        <w:t xml:space="preserve">third </w:t>
      </w:r>
      <w:r w:rsidRPr="00E3756C">
        <w:t xml:space="preserve">and </w:t>
      </w:r>
      <w:r w:rsidR="00C47DB6" w:rsidRPr="00E3756C">
        <w:t xml:space="preserve">fourth </w:t>
      </w:r>
      <w:r w:rsidRPr="00E3756C">
        <w:t>IPCC Assessment Reports</w:t>
      </w:r>
      <w:r w:rsidR="00407086">
        <w:t xml:space="preserve">. These scenarios </w:t>
      </w:r>
      <w:r w:rsidRPr="00E3756C">
        <w:t>are now superseded by the RCP projections.</w:t>
      </w:r>
    </w:p>
    <w:p w14:paraId="630CA7F5" w14:textId="77777777" w:rsidR="00B5290F" w:rsidRPr="00E3756C" w:rsidRDefault="00B5290F" w:rsidP="006B20F7">
      <w:pPr>
        <w:pStyle w:val="BodyText"/>
        <w:spacing w:before="0"/>
        <w:ind w:left="397"/>
      </w:pPr>
      <w:r w:rsidRPr="00E3756C">
        <w:t>In this case, map the equivalent SRES scenarios to RCP4.5 and RCP8.5 projections:</w:t>
      </w:r>
    </w:p>
    <w:p w14:paraId="77945EC2" w14:textId="77777777" w:rsidR="00B5290F" w:rsidRPr="00E3756C" w:rsidRDefault="00C47DB6" w:rsidP="006B20F7">
      <w:pPr>
        <w:pStyle w:val="Sub-list"/>
      </w:pPr>
      <w:r w:rsidRPr="00E3756C">
        <w:t>e</w:t>
      </w:r>
      <w:r w:rsidR="00B5290F" w:rsidRPr="00E3756C">
        <w:t>quivalent to RCP8.5 – use an average of A1FI (highest scenario) and A1B SRES scenarios for 30</w:t>
      </w:r>
      <w:r w:rsidR="00307BD0" w:rsidRPr="00E3756C">
        <w:t> </w:t>
      </w:r>
      <w:r w:rsidR="00B5290F" w:rsidRPr="00E3756C">
        <w:t>years and by 2100</w:t>
      </w:r>
    </w:p>
    <w:p w14:paraId="120422E1" w14:textId="77777777" w:rsidR="00B5290F" w:rsidRPr="00E3756C" w:rsidRDefault="00307BD0" w:rsidP="000C2EF8">
      <w:pPr>
        <w:pStyle w:val="Sub-list"/>
      </w:pPr>
      <w:r w:rsidRPr="00E3756C">
        <w:t>e</w:t>
      </w:r>
      <w:r w:rsidR="00B5290F" w:rsidRPr="00E3756C">
        <w:t>quivalent to RCP4.5 – use the B1 SRES scenarios for 30 years and by 2100</w:t>
      </w:r>
      <w:r w:rsidR="000C2EF8" w:rsidRPr="00E3756C">
        <w:t xml:space="preserve"> </w:t>
      </w:r>
      <w:r w:rsidR="00B5290F" w:rsidRPr="00E3756C">
        <w:t>(</w:t>
      </w:r>
      <w:r w:rsidRPr="00E3756C">
        <w:t xml:space="preserve">Ministry for the Environment, </w:t>
      </w:r>
      <w:r w:rsidR="00B5290F" w:rsidRPr="00E3756C">
        <w:t>2017</w:t>
      </w:r>
      <w:r w:rsidRPr="00E3756C">
        <w:t>,</w:t>
      </w:r>
      <w:r w:rsidR="00B5290F" w:rsidRPr="00E3756C">
        <w:t xml:space="preserve"> </w:t>
      </w:r>
      <w:r w:rsidRPr="00E3756C">
        <w:t>a</w:t>
      </w:r>
      <w:r w:rsidR="00B5290F" w:rsidRPr="00E3756C">
        <w:t>ppendix C)</w:t>
      </w:r>
      <w:r w:rsidRPr="00E3756C">
        <w:t>.</w:t>
      </w:r>
    </w:p>
    <w:p w14:paraId="43BAC284" w14:textId="77777777" w:rsidR="00B5290F" w:rsidRPr="00E3756C" w:rsidRDefault="00B5290F" w:rsidP="006B20F7">
      <w:pPr>
        <w:pStyle w:val="BodyText"/>
        <w:ind w:left="397" w:hanging="397"/>
      </w:pPr>
      <w:r w:rsidRPr="00E3756C">
        <w:lastRenderedPageBreak/>
        <w:t>d)</w:t>
      </w:r>
      <w:r w:rsidRPr="00E3756C">
        <w:tab/>
        <w:t xml:space="preserve">Expert or </w:t>
      </w:r>
      <w:r w:rsidR="00307BD0" w:rsidRPr="00E3756C">
        <w:t>M</w:t>
      </w:r>
      <w:r w:rsidRPr="00E3756C">
        <w:t xml:space="preserve">ātauranga Māori findings from stakeholder elicitation processes that may be able to express the hazard in terms of potential thresholds, where agreed future objectives or levels of service may no longer be met. </w:t>
      </w:r>
    </w:p>
    <w:p w14:paraId="6EC5254E" w14:textId="77777777" w:rsidR="00B5290F" w:rsidRPr="00E3756C" w:rsidRDefault="00B5290F" w:rsidP="006B20F7">
      <w:pPr>
        <w:pStyle w:val="BodyText"/>
        <w:spacing w:before="0"/>
        <w:ind w:left="397"/>
      </w:pPr>
      <w:r w:rsidRPr="00E3756C">
        <w:t>Such mixed quantitative</w:t>
      </w:r>
      <w:r w:rsidR="00687762" w:rsidRPr="00E3756C">
        <w:t>–</w:t>
      </w:r>
      <w:r w:rsidRPr="00E3756C">
        <w:t>qualitative information on thresholds should be aligned or mapped to the recommended RCPs and timeframes by the assessor</w:t>
      </w:r>
      <w:r w:rsidR="00687762" w:rsidRPr="00E3756C">
        <w:t>,</w:t>
      </w:r>
      <w:r w:rsidRPr="00E3756C">
        <w:t xml:space="preserve"> where possible. </w:t>
      </w:r>
      <w:r w:rsidR="0036506D" w:rsidRPr="00E3756C">
        <w:t>(</w:t>
      </w:r>
      <w:r w:rsidRPr="00E3756C">
        <w:t>For</w:t>
      </w:r>
      <w:r w:rsidR="004D0203">
        <w:t> </w:t>
      </w:r>
      <w:r w:rsidRPr="00E3756C">
        <w:t>example: a) a regional aquaculture activity may not be viable once the mean summer sea temperature is 1</w:t>
      </w:r>
      <w:r w:rsidR="00687762" w:rsidRPr="00E3756C">
        <w:t xml:space="preserve"> degree </w:t>
      </w:r>
      <w:r w:rsidRPr="00E3756C">
        <w:t>C</w:t>
      </w:r>
      <w:r w:rsidR="00687762" w:rsidRPr="00E3756C">
        <w:t>elsius</w:t>
      </w:r>
      <w:r w:rsidRPr="00E3756C">
        <w:t xml:space="preserve"> higher, or b) a sea-level rise threshold is agreed when more than [X] number of buildings nationally are at risk of more frequent flooding from available risk exposure assessments). From these deliberations, the assessor should align such thresholds with the recommended projections</w:t>
      </w:r>
      <w:r w:rsidR="0036506D" w:rsidRPr="00E3756C">
        <w:t>,</w:t>
      </w:r>
      <w:r w:rsidRPr="00E3756C">
        <w:t xml:space="preserve"> where possible (eg, timing for the emergence of the threshold under different projections). This then provides consistency when assessing and evaluating the risks. </w:t>
      </w:r>
    </w:p>
    <w:p w14:paraId="1C351BFF" w14:textId="77777777" w:rsidR="00B5290F" w:rsidRPr="00E3756C" w:rsidRDefault="00B5290F" w:rsidP="006B20F7">
      <w:pPr>
        <w:pStyle w:val="BodyText"/>
        <w:ind w:left="397" w:hanging="397"/>
      </w:pPr>
      <w:r w:rsidRPr="00E3756C">
        <w:t>e)</w:t>
      </w:r>
      <w:r w:rsidRPr="00E3756C">
        <w:tab/>
        <w:t>Where information on the changes in climate is unclear (has</w:t>
      </w:r>
      <w:r w:rsidR="0036506D" w:rsidRPr="00E3756C">
        <w:t xml:space="preserve"> </w:t>
      </w:r>
      <w:r w:rsidRPr="00E3756C">
        <w:t>n</w:t>
      </w:r>
      <w:r w:rsidR="0036506D" w:rsidRPr="00E3756C">
        <w:t>o</w:t>
      </w:r>
      <w:r w:rsidRPr="00E3756C">
        <w:t xml:space="preserve">t emerged), little known or </w:t>
      </w:r>
      <w:r w:rsidR="0036506D" w:rsidRPr="00E3756C">
        <w:t xml:space="preserve">is </w:t>
      </w:r>
      <w:r w:rsidRPr="00E3756C">
        <w:t>unlikely to be significant in terms of exposure or vulnerability.</w:t>
      </w:r>
    </w:p>
    <w:p w14:paraId="3C7FC673" w14:textId="77777777" w:rsidR="00B5290F" w:rsidRPr="00E3756C" w:rsidRDefault="00B5290F" w:rsidP="000C2EF8">
      <w:pPr>
        <w:pStyle w:val="BodyText"/>
        <w:spacing w:before="0"/>
        <w:ind w:left="397"/>
      </w:pPr>
      <w:r w:rsidRPr="00E3756C">
        <w:t xml:space="preserve">In this case, the findings can be transferred from the risk screening stage (Stage 1, </w:t>
      </w:r>
      <w:hyperlink w:anchor="_Chapter_B2:_Assessment" w:history="1">
        <w:r w:rsidR="0036506D" w:rsidRPr="00E3756C">
          <w:rPr>
            <w:rStyle w:val="Hyperlink"/>
          </w:rPr>
          <w:t>c</w:t>
        </w:r>
        <w:r w:rsidRPr="00E3756C">
          <w:rPr>
            <w:rStyle w:val="Hyperlink"/>
          </w:rPr>
          <w:t>hapter B2</w:t>
        </w:r>
      </w:hyperlink>
      <w:r w:rsidRPr="00E3756C">
        <w:t xml:space="preserve">) and </w:t>
      </w:r>
      <w:r w:rsidR="004504C0" w:rsidRPr="00E3756C">
        <w:t xml:space="preserve">assessed </w:t>
      </w:r>
      <w:r w:rsidR="0036506D" w:rsidRPr="00E3756C">
        <w:t xml:space="preserve">to see </w:t>
      </w:r>
      <w:r w:rsidRPr="00E3756C">
        <w:t>if further action or research is needed in Stage 3 (</w:t>
      </w:r>
      <w:hyperlink w:anchor="_Chapter_B4:_Assessment" w:history="1">
        <w:r w:rsidRPr="00E3756C">
          <w:rPr>
            <w:rStyle w:val="Hyperlink"/>
          </w:rPr>
          <w:t>chapter B4</w:t>
        </w:r>
      </w:hyperlink>
      <w:r w:rsidRPr="00E3756C">
        <w:t xml:space="preserve">) when evaluating the urgency rating. </w:t>
      </w:r>
    </w:p>
    <w:p w14:paraId="0CED0831" w14:textId="77777777" w:rsidR="007A4510" w:rsidRPr="00E3756C" w:rsidRDefault="007A4510" w:rsidP="00A33DCF">
      <w:pPr>
        <w:pStyle w:val="Figureheading"/>
      </w:pPr>
      <w:bookmarkStart w:id="122" w:name="figureB13"/>
      <w:bookmarkStart w:id="123" w:name="_Toc16586520"/>
      <w:r w:rsidRPr="00E3756C">
        <w:t>Figure B1-3</w:t>
      </w:r>
      <w:bookmarkEnd w:id="122"/>
      <w:r w:rsidRPr="00E3756C">
        <w:t xml:space="preserve">: </w:t>
      </w:r>
      <w:r w:rsidRPr="00E3756C">
        <w:tab/>
        <w:t>Mapping for producing mixed quantitative and qualitative information and knowledge on hazards and risk exposure for consistency and relativity between risks</w:t>
      </w:r>
      <w:bookmarkEnd w:id="123"/>
    </w:p>
    <w:p w14:paraId="7C5FEE2E" w14:textId="77777777" w:rsidR="00B5290F" w:rsidRPr="00E3756C" w:rsidRDefault="00E37DA1" w:rsidP="007A4510">
      <w:pPr>
        <w:pStyle w:val="BodyText"/>
        <w:jc w:val="center"/>
      </w:pPr>
      <w:r>
        <w:rPr>
          <w:noProof/>
          <w:sz w:val="16"/>
          <w:szCs w:val="16"/>
        </w:rPr>
        <w:drawing>
          <wp:inline distT="0" distB="0" distL="0" distR="0" wp14:anchorId="16C9E0A1" wp14:editId="59BB2F64">
            <wp:extent cx="5562600" cy="3129247"/>
            <wp:effectExtent l="19050" t="19050" r="1905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JPG"/>
                    <pic:cNvPicPr/>
                  </pic:nvPicPr>
                  <pic:blipFill>
                    <a:blip r:embed="rId29">
                      <a:extLst>
                        <a:ext uri="{28A0092B-C50C-407E-A947-70E740481C1C}">
                          <a14:useLocalDpi xmlns:a14="http://schemas.microsoft.com/office/drawing/2010/main" val="0"/>
                        </a:ext>
                      </a:extLst>
                    </a:blip>
                    <a:stretch>
                      <a:fillRect/>
                    </a:stretch>
                  </pic:blipFill>
                  <pic:spPr>
                    <a:xfrm>
                      <a:off x="0" y="0"/>
                      <a:ext cx="5568414" cy="3132518"/>
                    </a:xfrm>
                    <a:prstGeom prst="rect">
                      <a:avLst/>
                    </a:prstGeom>
                    <a:ln w="3175">
                      <a:solidFill>
                        <a:schemeClr val="tx1"/>
                      </a:solidFill>
                    </a:ln>
                  </pic:spPr>
                </pic:pic>
              </a:graphicData>
            </a:graphic>
          </wp:inline>
        </w:drawing>
      </w:r>
    </w:p>
    <w:p w14:paraId="07414543" w14:textId="77777777" w:rsidR="005B49FE" w:rsidRPr="00E3756C" w:rsidRDefault="005B49FE" w:rsidP="007A4510">
      <w:pPr>
        <w:pStyle w:val="BodyText"/>
      </w:pPr>
    </w:p>
    <w:p w14:paraId="6E0ADA34" w14:textId="77777777" w:rsidR="00546EC3" w:rsidRPr="00E3756C" w:rsidRDefault="00546EC3">
      <w:pPr>
        <w:spacing w:before="0" w:after="200" w:line="276" w:lineRule="auto"/>
        <w:jc w:val="left"/>
      </w:pPr>
      <w:r w:rsidRPr="00E3756C">
        <w:br w:type="page"/>
      </w:r>
    </w:p>
    <w:p w14:paraId="3161E5F1" w14:textId="77777777" w:rsidR="00660B12" w:rsidRPr="00E3756C" w:rsidRDefault="00660B12" w:rsidP="00660B12">
      <w:pPr>
        <w:pStyle w:val="Heading1"/>
      </w:pPr>
      <w:bookmarkStart w:id="124" w:name="_Chapter_B2:_Assessment"/>
      <w:bookmarkStart w:id="125" w:name="_Toc13570364"/>
      <w:bookmarkStart w:id="126" w:name="_Toc14361549"/>
      <w:bookmarkStart w:id="127" w:name="_Toc15409161"/>
      <w:bookmarkEnd w:id="124"/>
      <w:r w:rsidRPr="00E3756C">
        <w:lastRenderedPageBreak/>
        <w:t xml:space="preserve">Chapter B2: Assessment Stage 1: </w:t>
      </w:r>
      <w:r w:rsidR="00F05EA4" w:rsidRPr="00E3756C">
        <w:br/>
      </w:r>
      <w:r w:rsidRPr="00E3756C">
        <w:t>First-pass risk screening</w:t>
      </w:r>
      <w:bookmarkEnd w:id="125"/>
      <w:bookmarkEnd w:id="126"/>
      <w:bookmarkEnd w:id="127"/>
    </w:p>
    <w:p w14:paraId="13BF1B81" w14:textId="77777777" w:rsidR="00660B12" w:rsidRPr="00E3756C" w:rsidRDefault="00660B12" w:rsidP="00F05EA4">
      <w:pPr>
        <w:pStyle w:val="Heading2"/>
        <w:spacing w:before="240"/>
      </w:pPr>
      <w:bookmarkStart w:id="128" w:name="_Toc15409162"/>
      <w:bookmarkStart w:id="129" w:name="_Toc14361550"/>
      <w:r w:rsidRPr="00E3756C">
        <w:t xml:space="preserve">B2.1 </w:t>
      </w:r>
      <w:r w:rsidR="00F05EA4" w:rsidRPr="00E3756C">
        <w:tab/>
      </w:r>
      <w:r w:rsidRPr="00E3756C">
        <w:t>Scope and purpose for first-pass risk screening</w:t>
      </w:r>
      <w:bookmarkEnd w:id="128"/>
      <w:r w:rsidRPr="00E3756C">
        <w:t xml:space="preserve"> </w:t>
      </w:r>
      <w:bookmarkEnd w:id="129"/>
    </w:p>
    <w:p w14:paraId="258EEC3F" w14:textId="77777777" w:rsidR="00660B12" w:rsidRPr="00E3756C" w:rsidRDefault="00827BBB" w:rsidP="00660B12">
      <w:pPr>
        <w:pStyle w:val="BodyText"/>
        <w:rPr>
          <w:b/>
          <w:sz w:val="20"/>
          <w:szCs w:val="20"/>
        </w:rPr>
      </w:pPr>
      <w:r w:rsidRPr="00E3756C">
        <w:t xml:space="preserve">Once </w:t>
      </w:r>
      <w:r w:rsidR="00660B12" w:rsidRPr="00E3756C">
        <w:t xml:space="preserve">the context of the climate change risk assessment </w:t>
      </w:r>
      <w:r w:rsidRPr="00E3756C">
        <w:t>has been set (</w:t>
      </w:r>
      <w:r w:rsidR="00660B12" w:rsidRPr="00E3756C">
        <w:t>by identifying the important assets</w:t>
      </w:r>
      <w:r w:rsidRPr="00E3756C">
        <w:t xml:space="preserve">, </w:t>
      </w:r>
      <w:r w:rsidR="00660B12" w:rsidRPr="00E3756C">
        <w:t>taonga</w:t>
      </w:r>
      <w:r w:rsidRPr="00E3756C">
        <w:t xml:space="preserve"> and </w:t>
      </w:r>
      <w:r w:rsidR="00660B12" w:rsidRPr="00E3756C">
        <w:t>elements at risk (</w:t>
      </w:r>
      <w:hyperlink w:anchor="_Chapter_A3:_Setting" w:history="1">
        <w:r w:rsidRPr="00E3756C">
          <w:rPr>
            <w:rStyle w:val="Hyperlink"/>
          </w:rPr>
          <w:t>c</w:t>
        </w:r>
        <w:r w:rsidR="00660B12" w:rsidRPr="00E3756C">
          <w:rPr>
            <w:rStyle w:val="Hyperlink"/>
          </w:rPr>
          <w:t>hapter A3</w:t>
        </w:r>
      </w:hyperlink>
      <w:r w:rsidR="00660B12" w:rsidRPr="00E3756C">
        <w:t>)</w:t>
      </w:r>
      <w:r w:rsidR="00A42A0C" w:rsidRPr="00E3756C">
        <w:t>)</w:t>
      </w:r>
      <w:r w:rsidR="00660B12" w:rsidRPr="00E3756C">
        <w:t xml:space="preserve">, and descriptors </w:t>
      </w:r>
      <w:r w:rsidRPr="00E3756C">
        <w:t xml:space="preserve">identified </w:t>
      </w:r>
      <w:r w:rsidR="00A42A0C" w:rsidRPr="00E3756C">
        <w:t xml:space="preserve">for </w:t>
      </w:r>
      <w:r w:rsidR="00660B12" w:rsidRPr="00E3756C">
        <w:t>the climate</w:t>
      </w:r>
      <w:r w:rsidRPr="00E3756C">
        <w:t xml:space="preserve"> </w:t>
      </w:r>
      <w:r w:rsidR="00660B12" w:rsidRPr="00E3756C">
        <w:t>change hazards to which these elements may be exposed and vulnerable (</w:t>
      </w:r>
      <w:hyperlink w:anchor="_Chapter_B1:_Defining_1" w:history="1">
        <w:r w:rsidRPr="00E3756C">
          <w:rPr>
            <w:rStyle w:val="Hyperlink"/>
          </w:rPr>
          <w:t>c</w:t>
        </w:r>
        <w:r w:rsidR="00660B12" w:rsidRPr="00E3756C">
          <w:rPr>
            <w:rStyle w:val="Hyperlink"/>
          </w:rPr>
          <w:t>hapter B1</w:t>
        </w:r>
      </w:hyperlink>
      <w:r w:rsidR="00660B12" w:rsidRPr="00E3756C">
        <w:t>), the next step is assess</w:t>
      </w:r>
      <w:r w:rsidR="00A42A0C" w:rsidRPr="00E3756C">
        <w:t>ing</w:t>
      </w:r>
      <w:r w:rsidR="00660B12" w:rsidRPr="00E3756C">
        <w:t xml:space="preserve"> how and where these components interact, to identify the risks. This assessment </w:t>
      </w:r>
      <w:r w:rsidR="00A42A0C" w:rsidRPr="00E3756C">
        <w:t xml:space="preserve">starts </w:t>
      </w:r>
      <w:r w:rsidR="00660B12" w:rsidRPr="00E3756C">
        <w:t>with a first-pass screening stage. The purpose is to provide a transparent process that encompasses a broad exploration of climate</w:t>
      </w:r>
      <w:r w:rsidR="00A42A0C" w:rsidRPr="00E3756C">
        <w:t xml:space="preserve"> </w:t>
      </w:r>
      <w:r w:rsidR="00660B12" w:rsidRPr="00E3756C">
        <w:t>change risks to identify those that require a more detailed risk assessment (</w:t>
      </w:r>
      <w:hyperlink w:anchor="_Chapter_B3:_Assessment" w:history="1">
        <w:r w:rsidR="00A42A0C" w:rsidRPr="00E3756C">
          <w:rPr>
            <w:rStyle w:val="Hyperlink"/>
          </w:rPr>
          <w:t>c</w:t>
        </w:r>
        <w:r w:rsidR="00660B12" w:rsidRPr="00E3756C">
          <w:rPr>
            <w:rStyle w:val="Hyperlink"/>
          </w:rPr>
          <w:t>hapter B3</w:t>
        </w:r>
      </w:hyperlink>
      <w:r w:rsidR="00660B12" w:rsidRPr="00E3756C">
        <w:t xml:space="preserve">). </w:t>
      </w:r>
    </w:p>
    <w:p w14:paraId="7709F231" w14:textId="77777777" w:rsidR="00660B12" w:rsidRPr="00E3756C" w:rsidRDefault="00660B12" w:rsidP="00660B12">
      <w:pPr>
        <w:pStyle w:val="BodyText"/>
        <w:rPr>
          <w:color w:val="000000"/>
        </w:rPr>
      </w:pPr>
      <w:bookmarkStart w:id="130" w:name="_heading=h.3as4poj" w:colFirst="0" w:colLast="0"/>
      <w:bookmarkEnd w:id="130"/>
      <w:r w:rsidRPr="00E3756C">
        <w:rPr>
          <w:color w:val="000000"/>
        </w:rPr>
        <w:t xml:space="preserve">First-pass climate change risk screening is </w:t>
      </w:r>
      <w:r w:rsidR="006C6E36">
        <w:rPr>
          <w:color w:val="000000"/>
        </w:rPr>
        <w:t xml:space="preserve">primarily </w:t>
      </w:r>
      <w:r w:rsidRPr="00E3756C">
        <w:rPr>
          <w:color w:val="000000"/>
        </w:rPr>
        <w:t xml:space="preserve">a qualitative process </w:t>
      </w:r>
      <w:r w:rsidR="008A4F58" w:rsidRPr="00E3756C">
        <w:rPr>
          <w:color w:val="000000"/>
        </w:rPr>
        <w:t xml:space="preserve">that </w:t>
      </w:r>
      <w:r w:rsidRPr="00E3756C">
        <w:rPr>
          <w:color w:val="000000"/>
        </w:rPr>
        <w:t xml:space="preserve">can be </w:t>
      </w:r>
      <w:r w:rsidRPr="00E3756C">
        <w:t>co-produced</w:t>
      </w:r>
      <w:r w:rsidR="00484C8A" w:rsidRPr="00E3756C">
        <w:t xml:space="preserve"> </w:t>
      </w:r>
      <w:r w:rsidRPr="00E3756C">
        <w:rPr>
          <w:color w:val="000000"/>
        </w:rPr>
        <w:t>without detailed data to develop a preliminary understanding of the extent and relativity of climate change risks to a value domain, sector or at the regional</w:t>
      </w:r>
      <w:r w:rsidR="008A4F58" w:rsidRPr="00E3756C">
        <w:rPr>
          <w:color w:val="000000"/>
        </w:rPr>
        <w:t xml:space="preserve"> or </w:t>
      </w:r>
      <w:r w:rsidRPr="00E3756C">
        <w:rPr>
          <w:color w:val="000000"/>
        </w:rPr>
        <w:t>local level</w:t>
      </w:r>
      <w:r w:rsidR="00723EF9" w:rsidRPr="00E3756C">
        <w:rPr>
          <w:color w:val="000000"/>
        </w:rPr>
        <w:t xml:space="preserve"> (CoastAdapt, 2016)</w:t>
      </w:r>
      <w:r w:rsidRPr="00E3756C">
        <w:rPr>
          <w:color w:val="000000"/>
        </w:rPr>
        <w:t xml:space="preserve">. </w:t>
      </w:r>
      <w:r w:rsidR="006D551C" w:rsidRPr="00E3756C">
        <w:rPr>
          <w:color w:val="000000"/>
        </w:rPr>
        <w:t>It helps users assess the broad risk spectrum qualitatively using existing and available information,</w:t>
      </w:r>
      <w:r w:rsidR="006D551C">
        <w:rPr>
          <w:color w:val="000000"/>
        </w:rPr>
        <w:t xml:space="preserve"> and through </w:t>
      </w:r>
      <w:r w:rsidR="006D551C" w:rsidRPr="00E3756C">
        <w:rPr>
          <w:color w:val="000000"/>
        </w:rPr>
        <w:t>elicitation processes or risk workshops and engagement</w:t>
      </w:r>
      <w:r w:rsidR="006D551C">
        <w:rPr>
          <w:color w:val="000000"/>
        </w:rPr>
        <w:t xml:space="preserve"> with </w:t>
      </w:r>
      <w:r w:rsidR="006D551C" w:rsidRPr="00E3756C">
        <w:rPr>
          <w:color w:val="000000"/>
        </w:rPr>
        <w:t xml:space="preserve">expert and sector adaptation leaders, </w:t>
      </w:r>
      <w:r w:rsidR="006D551C" w:rsidRPr="00E3756C">
        <w:t>and</w:t>
      </w:r>
      <w:r w:rsidR="006D551C" w:rsidRPr="00E3756C">
        <w:rPr>
          <w:color w:val="000000"/>
        </w:rPr>
        <w:t xml:space="preserve"> Mātauranga Māori in the context of values (</w:t>
      </w:r>
      <w:hyperlink w:anchor="_Chapter_A3:_Setting" w:history="1">
        <w:r w:rsidR="006D551C" w:rsidRPr="00E3756C">
          <w:rPr>
            <w:rStyle w:val="Hyperlink"/>
          </w:rPr>
          <w:t>chapter A3</w:t>
        </w:r>
      </w:hyperlink>
      <w:r w:rsidR="006D551C" w:rsidRPr="00E3756C">
        <w:rPr>
          <w:color w:val="000000"/>
        </w:rPr>
        <w:t>) and agreed objectives or thresholds of change</w:t>
      </w:r>
      <w:r w:rsidRPr="00E3756C">
        <w:rPr>
          <w:color w:val="000000"/>
        </w:rPr>
        <w:t>.</w:t>
      </w:r>
    </w:p>
    <w:p w14:paraId="539D42AD" w14:textId="77777777" w:rsidR="00660B12" w:rsidRPr="00E3756C" w:rsidRDefault="00660B12" w:rsidP="00660B12">
      <w:pPr>
        <w:pStyle w:val="BodyText"/>
      </w:pPr>
      <w:r w:rsidRPr="00E3756C">
        <w:t xml:space="preserve">Acknowledging the </w:t>
      </w:r>
      <w:r w:rsidR="006C6E36">
        <w:t xml:space="preserve">primarily </w:t>
      </w:r>
      <w:r w:rsidRPr="00E3756C">
        <w:t>qualitative nature of information gathered, this stage still requires grounding by canvassing the present</w:t>
      </w:r>
      <w:r w:rsidR="0064450B" w:rsidRPr="00E3756C">
        <w:t xml:space="preserve"> </w:t>
      </w:r>
      <w:r w:rsidRPr="00E3756C">
        <w:t>day risk exposure and appraising future risks arising from the hazards based on the higher RCP8.5 climate projections and two future timeframes (</w:t>
      </w:r>
      <w:hyperlink w:anchor="_Chapter_B1:_Defining_1" w:history="1">
        <w:r w:rsidR="0064450B" w:rsidRPr="00E3756C">
          <w:rPr>
            <w:rStyle w:val="Hyperlink"/>
          </w:rPr>
          <w:t>c</w:t>
        </w:r>
        <w:r w:rsidRPr="00E3756C">
          <w:rPr>
            <w:rStyle w:val="Hyperlink"/>
          </w:rPr>
          <w:t>hapter B1</w:t>
        </w:r>
      </w:hyperlink>
      <w:r w:rsidRPr="00E3756C">
        <w:t>).</w:t>
      </w:r>
      <w:r w:rsidR="00484C8A" w:rsidRPr="00E3756C">
        <w:t xml:space="preserve"> </w:t>
      </w:r>
      <w:r w:rsidRPr="00E3756C">
        <w:t>A first-pass screening process should not be relied on to make initial or early adaptation decisions</w:t>
      </w:r>
      <w:r w:rsidR="0064450B" w:rsidRPr="00E3756C">
        <w:t>,</w:t>
      </w:r>
      <w:r w:rsidRPr="00E3756C">
        <w:t xml:space="preserve"> but the actual process and engagement is an important step for overlaying values, objectives and potential threats from climate change</w:t>
      </w:r>
      <w:r w:rsidR="001B2E62" w:rsidRPr="00E3756C">
        <w:t>.</w:t>
      </w:r>
      <w:r w:rsidRPr="00E3756C">
        <w:t xml:space="preserve"> </w:t>
      </w:r>
      <w:r w:rsidR="001B2E62" w:rsidRPr="00E3756C">
        <w:t xml:space="preserve">It is </w:t>
      </w:r>
      <w:r w:rsidRPr="00E3756C">
        <w:t xml:space="preserve">also </w:t>
      </w:r>
      <w:r w:rsidR="001B2E62" w:rsidRPr="00E3756C">
        <w:t xml:space="preserve">important </w:t>
      </w:r>
      <w:r w:rsidRPr="00E3756C">
        <w:t>for identifying opportunities arising from a warmer climate</w:t>
      </w:r>
      <w:r w:rsidR="001B1BD0" w:rsidRPr="00E3756C">
        <w:t>,</w:t>
      </w:r>
      <w:r w:rsidRPr="00E3756C">
        <w:t xml:space="preserve"> quick</w:t>
      </w:r>
      <w:r w:rsidR="001B2E62" w:rsidRPr="00E3756C">
        <w:t xml:space="preserve"> </w:t>
      </w:r>
      <w:r w:rsidRPr="00E3756C">
        <w:t>wins for adaptation or research gaps that can be picked up in Stage 3 (</w:t>
      </w:r>
      <w:hyperlink w:anchor="_Chapter_B4:_Assessment" w:history="1">
        <w:r w:rsidR="001B2E62" w:rsidRPr="00E3756C">
          <w:rPr>
            <w:rStyle w:val="Hyperlink"/>
          </w:rPr>
          <w:t>c</w:t>
        </w:r>
        <w:r w:rsidRPr="00E3756C">
          <w:rPr>
            <w:rStyle w:val="Hyperlink"/>
          </w:rPr>
          <w:t>hapter B4</w:t>
        </w:r>
      </w:hyperlink>
      <w:r w:rsidRPr="00E3756C">
        <w:t>).</w:t>
      </w:r>
    </w:p>
    <w:p w14:paraId="5313D0DF" w14:textId="77777777" w:rsidR="00660B12" w:rsidRPr="00E3756C" w:rsidRDefault="00660B12" w:rsidP="00660B12">
      <w:pPr>
        <w:pStyle w:val="BodyText"/>
      </w:pPr>
      <w:r w:rsidRPr="00E3756C">
        <w:t>To start th</w:t>
      </w:r>
      <w:r w:rsidR="001B1BD0" w:rsidRPr="00E3756C">
        <w:t>e</w:t>
      </w:r>
      <w:r w:rsidRPr="00E3756C">
        <w:t xml:space="preserve"> process, ensure all key partners and stakeholders have been identified for engagement purposes and participation in the elicitation or risk workshop process</w:t>
      </w:r>
      <w:r w:rsidR="001B1BD0" w:rsidRPr="00E3756C">
        <w:t>,</w:t>
      </w:r>
      <w:r w:rsidRPr="00E3756C">
        <w:t xml:space="preserve"> to co</w:t>
      </w:r>
      <w:r w:rsidR="001B1BD0" w:rsidRPr="00E3756C">
        <w:noBreakHyphen/>
      </w:r>
      <w:r w:rsidRPr="00E3756C">
        <w:t>produce the first-pass risk screening. This stage will:</w:t>
      </w:r>
    </w:p>
    <w:p w14:paraId="3A40D5AD" w14:textId="2B8CC34F" w:rsidR="00660B12" w:rsidRPr="00E3756C" w:rsidRDefault="00660B12" w:rsidP="00660B12">
      <w:pPr>
        <w:pStyle w:val="Bullet"/>
      </w:pPr>
      <w:r w:rsidRPr="00E3756C">
        <w:t>provide participants with a rapid starting point for understanding broader climate change impact</w:t>
      </w:r>
      <w:r w:rsidR="00171EE9">
        <w:t>s</w:t>
      </w:r>
      <w:r w:rsidRPr="00E3756C">
        <w:t xml:space="preserve"> and implications </w:t>
      </w:r>
    </w:p>
    <w:p w14:paraId="64521F71" w14:textId="77777777" w:rsidR="00660B12" w:rsidRPr="00E3756C" w:rsidRDefault="00660B12" w:rsidP="00660B12">
      <w:pPr>
        <w:pStyle w:val="Bullet"/>
      </w:pPr>
      <w:r w:rsidRPr="00E3756C">
        <w:t>leverage existing national, regional or local information and expert knowledge. This includes accessing and identifying Māori aspirations and values along with mātauranga ā</w:t>
      </w:r>
      <w:r w:rsidR="004D0203">
        <w:t> </w:t>
      </w:r>
      <w:r w:rsidRPr="00E3756C">
        <w:t>iwi/hapū (iwi</w:t>
      </w:r>
      <w:r w:rsidR="001B1BD0" w:rsidRPr="00E3756C">
        <w:t xml:space="preserve"> and </w:t>
      </w:r>
      <w:r w:rsidRPr="00E3756C">
        <w:t>hapū knowledge) and hītori (histories)</w:t>
      </w:r>
    </w:p>
    <w:p w14:paraId="3D8D2AD6" w14:textId="77777777" w:rsidR="00660B12" w:rsidRPr="00E3756C" w:rsidRDefault="00660B12" w:rsidP="00660B12">
      <w:pPr>
        <w:pStyle w:val="Bullet"/>
      </w:pPr>
      <w:r w:rsidRPr="00E3756C">
        <w:t>s</w:t>
      </w:r>
      <w:r w:rsidRPr="00E3756C">
        <w:rPr>
          <w:color w:val="000000"/>
        </w:rPr>
        <w:t>hortlist potential future climate risks (or exposure</w:t>
      </w:r>
      <w:r w:rsidR="001B1BD0" w:rsidRPr="00E3756C">
        <w:rPr>
          <w:color w:val="000000"/>
        </w:rPr>
        <w:t>,</w:t>
      </w:r>
      <w:r w:rsidRPr="00E3756C">
        <w:rPr>
          <w:color w:val="000000"/>
        </w:rPr>
        <w:t xml:space="preserve"> if risk is not well described) from the broad</w:t>
      </w:r>
      <w:r w:rsidR="00484C8A" w:rsidRPr="00E3756C">
        <w:rPr>
          <w:color w:val="000000"/>
        </w:rPr>
        <w:t xml:space="preserve"> </w:t>
      </w:r>
      <w:r w:rsidRPr="00E3756C">
        <w:t>categories</w:t>
      </w:r>
      <w:r w:rsidRPr="00E3756C">
        <w:rPr>
          <w:color w:val="000000"/>
        </w:rPr>
        <w:t xml:space="preserve"> of potential </w:t>
      </w:r>
      <w:r w:rsidRPr="00E3756C">
        <w:t xml:space="preserve">hazards </w:t>
      </w:r>
      <w:r w:rsidRPr="00E3756C">
        <w:rPr>
          <w:color w:val="000000"/>
        </w:rPr>
        <w:t>(</w:t>
      </w:r>
      <w:hyperlink w:anchor="tableB11" w:history="1">
        <w:r w:rsidR="001B1BD0" w:rsidRPr="00E3756C">
          <w:rPr>
            <w:rStyle w:val="Hyperlink"/>
          </w:rPr>
          <w:t>t</w:t>
        </w:r>
        <w:r w:rsidRPr="00E3756C">
          <w:rPr>
            <w:rStyle w:val="Hyperlink"/>
          </w:rPr>
          <w:t>able B1-1</w:t>
        </w:r>
      </w:hyperlink>
      <w:r w:rsidRPr="00E3756C">
        <w:rPr>
          <w:color w:val="000000"/>
        </w:rPr>
        <w:t>) for the relevant value domain, decision area or system to be assessed in detail in Stage 2.</w:t>
      </w:r>
    </w:p>
    <w:p w14:paraId="6BB12616" w14:textId="77777777" w:rsidR="00660B12" w:rsidRPr="00E3756C" w:rsidRDefault="001B1BD0" w:rsidP="00660B12">
      <w:pPr>
        <w:pStyle w:val="BodyText"/>
      </w:pPr>
      <w:r w:rsidRPr="00E3756C">
        <w:t>Figure B2-1 outlines t</w:t>
      </w:r>
      <w:r w:rsidR="00660B12" w:rsidRPr="00E3756C">
        <w:t>he process for the Stage 1 first-pass risk screening.</w:t>
      </w:r>
    </w:p>
    <w:p w14:paraId="060F0BBD" w14:textId="77777777" w:rsidR="00660B12" w:rsidRPr="00E3756C" w:rsidRDefault="00660B12" w:rsidP="00660B12">
      <w:pPr>
        <w:pStyle w:val="Figureheading"/>
      </w:pPr>
      <w:bookmarkStart w:id="131" w:name="_Toc16586521"/>
      <w:r w:rsidRPr="00E3756C">
        <w:lastRenderedPageBreak/>
        <w:t>Figure B2-1</w:t>
      </w:r>
      <w:r w:rsidR="00723EF9" w:rsidRPr="00E3756C">
        <w:t>:</w:t>
      </w:r>
      <w:r w:rsidRPr="00E3756C">
        <w:t xml:space="preserve"> </w:t>
      </w:r>
      <w:r w:rsidRPr="00E3756C">
        <w:tab/>
        <w:t>Stage 1 first-pass risk screening process</w:t>
      </w:r>
      <w:bookmarkEnd w:id="131"/>
    </w:p>
    <w:p w14:paraId="0A41FAF3" w14:textId="68FB50A9" w:rsidR="00660B12" w:rsidRPr="00E3756C" w:rsidRDefault="00AF042F" w:rsidP="007A339A">
      <w:pPr>
        <w:spacing w:before="0"/>
        <w:rPr>
          <w:sz w:val="20"/>
          <w:szCs w:val="20"/>
        </w:rPr>
      </w:pPr>
      <w:r>
        <w:rPr>
          <w:noProof/>
        </w:rPr>
        <w:drawing>
          <wp:inline distT="0" distB="0" distL="0" distR="0" wp14:anchorId="0C525823" wp14:editId="4279A6D3">
            <wp:extent cx="5436235" cy="3058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 chart figures_updated colours.jpg"/>
                    <pic:cNvPicPr/>
                  </pic:nvPicPr>
                  <pic:blipFill>
                    <a:blip r:embed="rId30">
                      <a:extLst>
                        <a:ext uri="{28A0092B-C50C-407E-A947-70E740481C1C}">
                          <a14:useLocalDpi xmlns:a14="http://schemas.microsoft.com/office/drawing/2010/main" val="0"/>
                        </a:ext>
                      </a:extLst>
                    </a:blip>
                    <a:stretch>
                      <a:fillRect/>
                    </a:stretch>
                  </pic:blipFill>
                  <pic:spPr>
                    <a:xfrm>
                      <a:off x="0" y="0"/>
                      <a:ext cx="5436235" cy="3058160"/>
                    </a:xfrm>
                    <a:prstGeom prst="rect">
                      <a:avLst/>
                    </a:prstGeom>
                  </pic:spPr>
                </pic:pic>
              </a:graphicData>
            </a:graphic>
          </wp:inline>
        </w:drawing>
      </w:r>
      <w:r w:rsidR="00660B12" w:rsidRPr="00E3756C" w:rsidDel="0044629E">
        <w:t xml:space="preserve"> </w:t>
      </w:r>
    </w:p>
    <w:p w14:paraId="2044F2FA" w14:textId="77777777" w:rsidR="00660B12" w:rsidRPr="00E3756C" w:rsidRDefault="00660B12" w:rsidP="00660B12">
      <w:pPr>
        <w:pStyle w:val="Heading2"/>
        <w:spacing w:before="480"/>
      </w:pPr>
      <w:bookmarkStart w:id="132" w:name="_B2.2__Method"/>
      <w:bookmarkStart w:id="133" w:name="_Toc13570366"/>
      <w:bookmarkStart w:id="134" w:name="_Toc14361551"/>
      <w:bookmarkStart w:id="135" w:name="_Toc15409163"/>
      <w:bookmarkEnd w:id="132"/>
      <w:r w:rsidRPr="00E3756C">
        <w:t xml:space="preserve">B2.2 </w:t>
      </w:r>
      <w:r w:rsidRPr="00E3756C">
        <w:tab/>
        <w:t>Method for the first-pass risk screening</w:t>
      </w:r>
      <w:bookmarkEnd w:id="133"/>
      <w:bookmarkEnd w:id="134"/>
      <w:bookmarkEnd w:id="135"/>
    </w:p>
    <w:p w14:paraId="102A2B3A" w14:textId="77777777" w:rsidR="00660B12" w:rsidRPr="00E3756C" w:rsidRDefault="00660B12" w:rsidP="00660B12">
      <w:pPr>
        <w:pStyle w:val="BodyText"/>
      </w:pPr>
      <w:r w:rsidRPr="00E3756C">
        <w:t>The four steps and various prompts covering the first-pass risk screening are outlined below</w:t>
      </w:r>
      <w:r w:rsidR="00BE5080" w:rsidRPr="00E3756C">
        <w:t xml:space="preserve"> (adapted from CoastAdapt, 2016)</w:t>
      </w:r>
      <w:r w:rsidRPr="00E3756C">
        <w:t>.</w:t>
      </w:r>
    </w:p>
    <w:p w14:paraId="3CC911B5" w14:textId="77777777" w:rsidR="00660B12" w:rsidRPr="00E3756C" w:rsidRDefault="00660B12" w:rsidP="00660B12">
      <w:pPr>
        <w:pStyle w:val="Bullet"/>
        <w:rPr>
          <w:b/>
        </w:rPr>
      </w:pPr>
      <w:r w:rsidRPr="00E3756C">
        <w:rPr>
          <w:b/>
        </w:rPr>
        <w:t>Step 1: Establish the context and define the scope and parties involved in the first-pass screening for each value domain or sector</w:t>
      </w:r>
    </w:p>
    <w:p w14:paraId="08B92B18" w14:textId="77777777" w:rsidR="00660B12" w:rsidRPr="00E3756C" w:rsidRDefault="00660B12" w:rsidP="00660B12">
      <w:pPr>
        <w:pStyle w:val="Sub-list"/>
      </w:pPr>
      <w:r w:rsidRPr="00E3756C">
        <w:t>Set objectives and scope of the domain or sector risk screening and allotted time period</w:t>
      </w:r>
      <w:r w:rsidR="00475267">
        <w:t>.</w:t>
      </w:r>
    </w:p>
    <w:p w14:paraId="42B6DF22" w14:textId="77777777" w:rsidR="00660B12" w:rsidRPr="00E3756C" w:rsidRDefault="00660B12" w:rsidP="00660B12">
      <w:pPr>
        <w:pStyle w:val="Sub-list"/>
      </w:pPr>
      <w:r w:rsidRPr="00E3756C">
        <w:t>Confirm and set</w:t>
      </w:r>
      <w:r w:rsidR="008621AB" w:rsidRPr="00E3756C">
        <w:t xml:space="preserve"> </w:t>
      </w:r>
      <w:r w:rsidRPr="00E3756C">
        <w:t>up the elicitation (risk workshops) and engagement processes (see</w:t>
      </w:r>
      <w:r w:rsidR="007A339A">
        <w:t> </w:t>
      </w:r>
      <w:hyperlink w:anchor="_Chapter_A4:_Risk" w:history="1">
        <w:r w:rsidR="008621AB" w:rsidRPr="00E3756C">
          <w:rPr>
            <w:rStyle w:val="Hyperlink"/>
          </w:rPr>
          <w:t>s</w:t>
        </w:r>
        <w:r w:rsidRPr="00E3756C">
          <w:rPr>
            <w:rStyle w:val="Hyperlink"/>
          </w:rPr>
          <w:t>ection A4</w:t>
        </w:r>
      </w:hyperlink>
      <w:r w:rsidRPr="00E3756C">
        <w:t>)</w:t>
      </w:r>
      <w:r w:rsidR="008621AB" w:rsidRPr="00E3756C">
        <w:t>.</w:t>
      </w:r>
      <w:r w:rsidRPr="00E3756C">
        <w:t xml:space="preserve"> </w:t>
      </w:r>
    </w:p>
    <w:p w14:paraId="7C9AE3A7" w14:textId="77777777" w:rsidR="00660B12" w:rsidRPr="00E3756C" w:rsidRDefault="00660B12" w:rsidP="00660B12">
      <w:pPr>
        <w:pStyle w:val="Sub-list"/>
      </w:pPr>
      <w:r w:rsidRPr="00E3756C">
        <w:t>Confirm the applicability of the qualitative criteria (domain or sectoral consequence criteria and strength of evidence) for which risks are carried forward into the detailed risk assessment</w:t>
      </w:r>
      <w:r w:rsidR="008621AB" w:rsidRPr="00E3756C">
        <w:t>.</w:t>
      </w:r>
      <w:r w:rsidRPr="00E3756C">
        <w:t xml:space="preserve"> </w:t>
      </w:r>
    </w:p>
    <w:p w14:paraId="5D1C88BC" w14:textId="77777777" w:rsidR="00660B12" w:rsidRPr="00E3756C" w:rsidRDefault="00660B12" w:rsidP="00660B12">
      <w:pPr>
        <w:pStyle w:val="Sub-list"/>
      </w:pPr>
      <w:r w:rsidRPr="00E3756C">
        <w:t xml:space="preserve">Reconfirm </w:t>
      </w:r>
      <w:r w:rsidR="008621AB" w:rsidRPr="00E3756C">
        <w:t xml:space="preserve">that </w:t>
      </w:r>
      <w:r w:rsidRPr="00E3756C">
        <w:t xml:space="preserve">hazard descriptors from </w:t>
      </w:r>
      <w:hyperlink w:anchor="_Chapter_B1:_Defining_1" w:history="1">
        <w:r w:rsidR="008621AB" w:rsidRPr="00E3756C">
          <w:rPr>
            <w:rStyle w:val="Hyperlink"/>
          </w:rPr>
          <w:t>c</w:t>
        </w:r>
        <w:r w:rsidRPr="00E3756C">
          <w:rPr>
            <w:rStyle w:val="Hyperlink"/>
          </w:rPr>
          <w:t>hapter B1</w:t>
        </w:r>
      </w:hyperlink>
      <w:r w:rsidRPr="00E3756C">
        <w:t xml:space="preserve"> together cover the main hazard component for the value domain or sector </w:t>
      </w:r>
      <w:r w:rsidR="008621AB" w:rsidRPr="00E3756C">
        <w:softHyphen/>
        <w:t>–</w:t>
      </w:r>
      <w:r w:rsidRPr="00E3756C">
        <w:t xml:space="preserve"> noting that only</w:t>
      </w:r>
      <w:r w:rsidR="00484C8A" w:rsidRPr="00E3756C">
        <w:t xml:space="preserve"> </w:t>
      </w:r>
      <w:r w:rsidRPr="00E3756C">
        <w:t>RCP8.5 projections out to</w:t>
      </w:r>
      <w:r w:rsidR="007A339A">
        <w:t> </w:t>
      </w:r>
      <w:r w:rsidRPr="00E3756C">
        <w:t>2100 are used for this risk screening stage.</w:t>
      </w:r>
    </w:p>
    <w:p w14:paraId="2AB672EF" w14:textId="77777777" w:rsidR="00660B12" w:rsidRPr="00E3756C" w:rsidRDefault="00660B12" w:rsidP="00660B12">
      <w:pPr>
        <w:pStyle w:val="Sub-list"/>
        <w:rPr>
          <w:color w:val="000000"/>
        </w:rPr>
      </w:pPr>
      <w:r w:rsidRPr="00E3756C">
        <w:t>Define how the spatial scale (for the sub-national climate zones) of the first-pass assessment is handled</w:t>
      </w:r>
      <w:r w:rsidR="008621AB" w:rsidRPr="00E3756C">
        <w:t>,</w:t>
      </w:r>
      <w:r w:rsidRPr="00E3756C">
        <w:t xml:space="preserve"> to aggregate to national-scale risk ratings.</w:t>
      </w:r>
      <w:r w:rsidR="00484C8A" w:rsidRPr="00E3756C">
        <w:t xml:space="preserve"> </w:t>
      </w:r>
    </w:p>
    <w:p w14:paraId="3463FE1C" w14:textId="77777777" w:rsidR="00660B12" w:rsidRPr="00E3756C" w:rsidRDefault="00660B12" w:rsidP="00660B12">
      <w:pPr>
        <w:pStyle w:val="Bullet"/>
        <w:rPr>
          <w:b/>
        </w:rPr>
      </w:pPr>
      <w:r w:rsidRPr="00E3756C">
        <w:rPr>
          <w:b/>
        </w:rPr>
        <w:t>Step 2: Identify the existing climate risks (both past and present</w:t>
      </w:r>
      <w:r w:rsidR="00013E36" w:rsidRPr="00E3756C">
        <w:rPr>
          <w:b/>
        </w:rPr>
        <w:t xml:space="preserve"> </w:t>
      </w:r>
      <w:r w:rsidRPr="00E3756C">
        <w:rPr>
          <w:b/>
        </w:rPr>
        <w:t>day)</w:t>
      </w:r>
    </w:p>
    <w:p w14:paraId="7B18565A" w14:textId="77777777" w:rsidR="00660B12" w:rsidRPr="00E3756C" w:rsidRDefault="00660B12" w:rsidP="00660B12">
      <w:pPr>
        <w:pStyle w:val="Sub-list"/>
      </w:pPr>
      <w:r w:rsidRPr="00E3756C">
        <w:t xml:space="preserve">Using hazards from </w:t>
      </w:r>
      <w:hyperlink w:anchor="tableB12" w:history="1">
        <w:r w:rsidR="00013E36" w:rsidRPr="00E3756C">
          <w:rPr>
            <w:rStyle w:val="Hyperlink"/>
          </w:rPr>
          <w:t>t</w:t>
        </w:r>
        <w:r w:rsidRPr="00E3756C">
          <w:rPr>
            <w:rStyle w:val="Hyperlink"/>
          </w:rPr>
          <w:t>able B1-2</w:t>
        </w:r>
      </w:hyperlink>
      <w:r w:rsidRPr="00E3756C">
        <w:t xml:space="preserve">, complete </w:t>
      </w:r>
      <w:hyperlink w:anchor="tableB11" w:history="1">
        <w:r w:rsidR="008B429B" w:rsidRPr="00E3756C">
          <w:rPr>
            <w:rStyle w:val="Hyperlink"/>
          </w:rPr>
          <w:t>t</w:t>
        </w:r>
        <w:r w:rsidRPr="00E3756C">
          <w:rPr>
            <w:rStyle w:val="Hyperlink"/>
          </w:rPr>
          <w:t>able B1-1</w:t>
        </w:r>
      </w:hyperlink>
      <w:r w:rsidRPr="00E3756C">
        <w:t xml:space="preserve"> on the impacts observed for the present</w:t>
      </w:r>
      <w:r w:rsidR="00635A22" w:rsidRPr="00E3756C">
        <w:t xml:space="preserve"> </w:t>
      </w:r>
      <w:r w:rsidRPr="00E3756C">
        <w:t>day or recent past,</w:t>
      </w:r>
      <w:r w:rsidR="00484C8A" w:rsidRPr="00E3756C">
        <w:t xml:space="preserve"> </w:t>
      </w:r>
      <w:r w:rsidRPr="00E3756C">
        <w:t xml:space="preserve">assess the broad impacts on sectors and elements across the value domains. Include </w:t>
      </w:r>
      <w:r w:rsidRPr="00E3756C">
        <w:rPr>
          <w:color w:val="000000"/>
        </w:rPr>
        <w:t xml:space="preserve">any available records or accounts of trends or changes in climate or weather-related hazards in recent times, relative to the past. </w:t>
      </w:r>
    </w:p>
    <w:p w14:paraId="6FB5C742" w14:textId="77777777" w:rsidR="00660B12" w:rsidRPr="00E3756C" w:rsidRDefault="00660B12" w:rsidP="00660B12">
      <w:pPr>
        <w:pStyle w:val="Bullet"/>
        <w:rPr>
          <w:b/>
        </w:rPr>
      </w:pPr>
      <w:r w:rsidRPr="00E3756C">
        <w:rPr>
          <w:b/>
        </w:rPr>
        <w:t>Step 3: Analyse future climate</w:t>
      </w:r>
      <w:r w:rsidR="005C6FAB" w:rsidRPr="00E3756C">
        <w:rPr>
          <w:b/>
        </w:rPr>
        <w:t xml:space="preserve"> </w:t>
      </w:r>
      <w:r w:rsidRPr="00E3756C">
        <w:rPr>
          <w:b/>
        </w:rPr>
        <w:t>change risks</w:t>
      </w:r>
      <w:r w:rsidR="00484C8A" w:rsidRPr="00E3756C">
        <w:rPr>
          <w:b/>
        </w:rPr>
        <w:t xml:space="preserve"> </w:t>
      </w:r>
      <w:r w:rsidRPr="00E3756C">
        <w:rPr>
          <w:b/>
        </w:rPr>
        <w:t>for the RCP8.5 projections out to 2100 and rate the evidence base</w:t>
      </w:r>
    </w:p>
    <w:p w14:paraId="2BAA25E4" w14:textId="39C1881D" w:rsidR="00660B12" w:rsidRPr="00E3756C" w:rsidRDefault="00660B12" w:rsidP="00660B12">
      <w:pPr>
        <w:pStyle w:val="Sub-list"/>
      </w:pPr>
      <w:r w:rsidRPr="00E3756C">
        <w:lastRenderedPageBreak/>
        <w:t xml:space="preserve">Using hazards from </w:t>
      </w:r>
      <w:hyperlink w:anchor="tableB12" w:history="1">
        <w:r w:rsidR="005C6FAB" w:rsidRPr="00E3756C">
          <w:rPr>
            <w:rStyle w:val="Hyperlink"/>
          </w:rPr>
          <w:t>t</w:t>
        </w:r>
        <w:r w:rsidRPr="00E3756C">
          <w:rPr>
            <w:rStyle w:val="Hyperlink"/>
          </w:rPr>
          <w:t>able B1-2</w:t>
        </w:r>
      </w:hyperlink>
      <w:r w:rsidRPr="00E3756C">
        <w:t xml:space="preserve">, complete </w:t>
      </w:r>
      <w:hyperlink w:anchor="tableB11" w:history="1">
        <w:r w:rsidR="005C6FAB" w:rsidRPr="00E3756C">
          <w:rPr>
            <w:rStyle w:val="Hyperlink"/>
          </w:rPr>
          <w:t>t</w:t>
        </w:r>
        <w:r w:rsidRPr="00E3756C">
          <w:rPr>
            <w:rStyle w:val="Hyperlink"/>
          </w:rPr>
          <w:t>able B1-1</w:t>
        </w:r>
      </w:hyperlink>
      <w:r w:rsidRPr="00E3756C">
        <w:t xml:space="preserve"> for the RCP8.5 projections for the </w:t>
      </w:r>
      <w:r w:rsidRPr="00E3756C">
        <w:rPr>
          <w:color w:val="000000"/>
        </w:rPr>
        <w:t xml:space="preserve">recommended timeframes </w:t>
      </w:r>
      <w:r w:rsidR="005C6FAB" w:rsidRPr="00E3756C">
        <w:rPr>
          <w:color w:val="000000"/>
        </w:rPr>
        <w:t xml:space="preserve">(around </w:t>
      </w:r>
      <w:r w:rsidRPr="00E3756C">
        <w:rPr>
          <w:color w:val="000000"/>
        </w:rPr>
        <w:t>30 years and by 2100)</w:t>
      </w:r>
      <w:r w:rsidR="00171EE9">
        <w:rPr>
          <w:color w:val="000000"/>
        </w:rPr>
        <w:t xml:space="preserve">. Then </w:t>
      </w:r>
      <w:r w:rsidRPr="00E3756C">
        <w:t>explore the degree of climate</w:t>
      </w:r>
      <w:r w:rsidR="005C6FAB" w:rsidRPr="00E3756C">
        <w:t xml:space="preserve"> </w:t>
      </w:r>
      <w:r w:rsidRPr="00E3756C">
        <w:t>change impacts on the climate-sensitive elements or activities for the relevant value</w:t>
      </w:r>
      <w:r w:rsidRPr="00E3756C">
        <w:rPr>
          <w:color w:val="000000"/>
        </w:rPr>
        <w:t xml:space="preserve"> domain or sector </w:t>
      </w:r>
      <w:r w:rsidRPr="00E3756C">
        <w:t>using</w:t>
      </w:r>
      <w:r w:rsidRPr="00E3756C">
        <w:rPr>
          <w:color w:val="000000"/>
        </w:rPr>
        <w:t xml:space="preserve"> available information and co-production through elicitation processes. This can be undertaken using a precursory mapping exercise </w:t>
      </w:r>
      <w:r w:rsidR="00171EE9">
        <w:rPr>
          <w:color w:val="000000"/>
        </w:rPr>
        <w:t>(</w:t>
      </w:r>
      <w:r w:rsidRPr="00E3756C">
        <w:rPr>
          <w:color w:val="000000"/>
        </w:rPr>
        <w:t xml:space="preserve">as shown in </w:t>
      </w:r>
      <w:hyperlink w:anchor="tableB21" w:history="1">
        <w:r w:rsidR="0077662A" w:rsidRPr="00E3756C">
          <w:rPr>
            <w:rStyle w:val="Hyperlink"/>
          </w:rPr>
          <w:t>t</w:t>
        </w:r>
        <w:r w:rsidRPr="00E3756C">
          <w:rPr>
            <w:rStyle w:val="Hyperlink"/>
          </w:rPr>
          <w:t>able B2-1</w:t>
        </w:r>
      </w:hyperlink>
      <w:r w:rsidR="00171EE9">
        <w:rPr>
          <w:rStyle w:val="Hyperlink"/>
        </w:rPr>
        <w:t>)</w:t>
      </w:r>
      <w:r w:rsidRPr="00E3756C">
        <w:t xml:space="preserve"> to map the potential threats or where the impact of the hazard is minor, neutral or not applicable.</w:t>
      </w:r>
    </w:p>
    <w:p w14:paraId="397C597F" w14:textId="77777777" w:rsidR="00660B12" w:rsidRPr="00E3756C" w:rsidRDefault="00660B12" w:rsidP="00660B12">
      <w:pPr>
        <w:pStyle w:val="Sub-list"/>
      </w:pPr>
      <w:r w:rsidRPr="00E3756C">
        <w:rPr>
          <w:color w:val="000000"/>
        </w:rPr>
        <w:t>Can any existing risk get sub</w:t>
      </w:r>
      <w:r w:rsidRPr="00E3756C">
        <w:t>s</w:t>
      </w:r>
      <w:r w:rsidRPr="00E3756C">
        <w:rPr>
          <w:color w:val="000000"/>
        </w:rPr>
        <w:t>tantially worse, or exceed an agreed or known adaptation threshold, under the projected climate change?</w:t>
      </w:r>
    </w:p>
    <w:p w14:paraId="7282236B" w14:textId="77777777" w:rsidR="00660B12" w:rsidRPr="00E3756C" w:rsidRDefault="00DF5F23" w:rsidP="00660B12">
      <w:pPr>
        <w:pStyle w:val="Sub-list"/>
      </w:pPr>
      <w:r w:rsidRPr="00E3756C">
        <w:rPr>
          <w:color w:val="000000"/>
        </w:rPr>
        <w:t>Could</w:t>
      </w:r>
      <w:r w:rsidR="00660B12" w:rsidRPr="00E3756C">
        <w:rPr>
          <w:color w:val="000000"/>
        </w:rPr>
        <w:t xml:space="preserve"> any new or heigh</w:t>
      </w:r>
      <w:r w:rsidR="00660B12" w:rsidRPr="00E3756C">
        <w:t>tened</w:t>
      </w:r>
      <w:r w:rsidR="00660B12" w:rsidRPr="00E3756C">
        <w:rPr>
          <w:color w:val="000000"/>
        </w:rPr>
        <w:t xml:space="preserve"> risks emerge under the future projected change?</w:t>
      </w:r>
    </w:p>
    <w:p w14:paraId="0595A840" w14:textId="77777777" w:rsidR="00660B12" w:rsidRPr="00E3756C" w:rsidRDefault="00660B12" w:rsidP="00660B12">
      <w:pPr>
        <w:pStyle w:val="Sub-list"/>
      </w:pPr>
      <w:r w:rsidRPr="00E3756C">
        <w:rPr>
          <w:color w:val="000000"/>
        </w:rPr>
        <w:t xml:space="preserve">How confident are we in the pedigree or </w:t>
      </w:r>
      <w:r w:rsidRPr="00E3756C">
        <w:t>strength</w:t>
      </w:r>
      <w:r w:rsidRPr="00E3756C">
        <w:rPr>
          <w:color w:val="000000"/>
        </w:rPr>
        <w:t xml:space="preserve"> of the initial evidence collated</w:t>
      </w:r>
      <w:r w:rsidR="00484C8A" w:rsidRPr="00E3756C">
        <w:rPr>
          <w:color w:val="000000"/>
        </w:rPr>
        <w:t xml:space="preserve"> </w:t>
      </w:r>
      <w:r w:rsidRPr="00E3756C">
        <w:rPr>
          <w:color w:val="000000"/>
        </w:rPr>
        <w:t xml:space="preserve">(information, knowledge from elicitation) for assessing the risk in this screening process? Apply a </w:t>
      </w:r>
      <w:r w:rsidRPr="00E3756C">
        <w:t xml:space="preserve">strength-of-evidence rating from </w:t>
      </w:r>
      <w:hyperlink w:anchor="tableC21" w:history="1">
        <w:r w:rsidR="00B11DFF" w:rsidRPr="00E3756C">
          <w:rPr>
            <w:rStyle w:val="Hyperlink"/>
          </w:rPr>
          <w:t>t</w:t>
        </w:r>
        <w:r w:rsidRPr="00E3756C">
          <w:rPr>
            <w:rStyle w:val="Hyperlink"/>
          </w:rPr>
          <w:t>able C2-1</w:t>
        </w:r>
      </w:hyperlink>
      <w:r w:rsidRPr="00E3756C">
        <w:t xml:space="preserve"> (</w:t>
      </w:r>
      <w:r w:rsidR="00B11DFF" w:rsidRPr="00E3756C">
        <w:t>c</w:t>
      </w:r>
      <w:r w:rsidRPr="00E3756C">
        <w:t>hapter C2).</w:t>
      </w:r>
      <w:r w:rsidRPr="00E3756C">
        <w:rPr>
          <w:color w:val="000000"/>
        </w:rPr>
        <w:t xml:space="preserve"> </w:t>
      </w:r>
    </w:p>
    <w:p w14:paraId="596453C6" w14:textId="77777777" w:rsidR="00660B12" w:rsidRPr="008B019D" w:rsidRDefault="00660B12" w:rsidP="00660B12">
      <w:pPr>
        <w:pStyle w:val="Bullet"/>
        <w:rPr>
          <w:b/>
        </w:rPr>
      </w:pPr>
      <w:r w:rsidRPr="008B019D">
        <w:rPr>
          <w:b/>
        </w:rPr>
        <w:t>Step 4: Evaluate (screen) risks according to the potential consequences to determine need for a detailed risk assessment for the more</w:t>
      </w:r>
      <w:r w:rsidR="00B11DFF" w:rsidRPr="008B019D">
        <w:rPr>
          <w:b/>
        </w:rPr>
        <w:t xml:space="preserve"> </w:t>
      </w:r>
      <w:r w:rsidRPr="008B019D">
        <w:rPr>
          <w:b/>
        </w:rPr>
        <w:t xml:space="preserve">at-risk elements or activities </w:t>
      </w:r>
    </w:p>
    <w:p w14:paraId="78EEB96E" w14:textId="77777777" w:rsidR="00660B12" w:rsidRPr="00E3756C" w:rsidRDefault="00660B12" w:rsidP="00660B12">
      <w:pPr>
        <w:pStyle w:val="Sub-list"/>
      </w:pPr>
      <w:r w:rsidRPr="00E3756C">
        <w:t>Identify which hazards or specific risks (if well described or known) may cause problems in the future for the value domain or sector.</w:t>
      </w:r>
    </w:p>
    <w:p w14:paraId="794C9D61" w14:textId="1AB15030" w:rsidR="00660B12" w:rsidRPr="00E3756C" w:rsidRDefault="00660B12" w:rsidP="00660B12">
      <w:pPr>
        <w:pStyle w:val="Sub-list"/>
      </w:pPr>
      <w:r w:rsidRPr="00E3756C">
        <w:t xml:space="preserve">Rank the risks for the two timeframes, applicable to RCP8.5 projections, by scoring according to the </w:t>
      </w:r>
      <w:r w:rsidR="00B11DFF" w:rsidRPr="00E3756C">
        <w:t>five</w:t>
      </w:r>
      <w:r w:rsidRPr="00E3756C">
        <w:t>-level</w:t>
      </w:r>
      <w:r w:rsidR="00171EE9">
        <w:t>,</w:t>
      </w:r>
      <w:r w:rsidRPr="00E3756C">
        <w:t xml:space="preserve"> risk</w:t>
      </w:r>
      <w:r w:rsidR="000861C0" w:rsidRPr="00E3756C">
        <w:t>-</w:t>
      </w:r>
      <w:r w:rsidRPr="00E3756C">
        <w:t>rating scale from the consequences table (</w:t>
      </w:r>
      <w:hyperlink w:anchor="tableC22" w:history="1">
        <w:r w:rsidR="000861C0" w:rsidRPr="00E3756C">
          <w:rPr>
            <w:rStyle w:val="Hyperlink"/>
          </w:rPr>
          <w:t>t</w:t>
        </w:r>
        <w:r w:rsidRPr="00E3756C">
          <w:rPr>
            <w:rStyle w:val="Hyperlink"/>
          </w:rPr>
          <w:t>able C2-2</w:t>
        </w:r>
      </w:hyperlink>
      <w:r w:rsidRPr="00E3756C">
        <w:t xml:space="preserve">, </w:t>
      </w:r>
      <w:r w:rsidR="000861C0" w:rsidRPr="00E3756C">
        <w:t xml:space="preserve">chapter </w:t>
      </w:r>
      <w:r w:rsidRPr="00E3756C">
        <w:t xml:space="preserve">C2) for the relevant value domain. Outline and document how the </w:t>
      </w:r>
      <w:r w:rsidR="00627EE4">
        <w:t>national-scale</w:t>
      </w:r>
      <w:r w:rsidRPr="00E3756C">
        <w:t xml:space="preserve"> risk rating has been aggregated from the sub-national climate zones (eg</w:t>
      </w:r>
      <w:r w:rsidR="00180A82" w:rsidRPr="00E3756C">
        <w:t>,</w:t>
      </w:r>
      <w:r w:rsidRPr="00E3756C">
        <w:t xml:space="preserve"> if any sub-national zone score is </w:t>
      </w:r>
      <w:r w:rsidR="00171EE9">
        <w:t>h</w:t>
      </w:r>
      <w:r w:rsidRPr="00E3756C">
        <w:t xml:space="preserve">igh, then a national score is </w:t>
      </w:r>
      <w:r w:rsidR="00171EE9">
        <w:t>h</w:t>
      </w:r>
      <w:r w:rsidRPr="00E3756C">
        <w:t>igh, or if there are two</w:t>
      </w:r>
      <w:r w:rsidR="00180A82" w:rsidRPr="00E3756C">
        <w:t xml:space="preserve">, </w:t>
      </w:r>
      <w:r w:rsidRPr="00E3756C">
        <w:t xml:space="preserve">three or more </w:t>
      </w:r>
      <w:r w:rsidR="00171EE9">
        <w:t>m</w:t>
      </w:r>
      <w:r w:rsidRPr="00E3756C">
        <w:t>edium ratings</w:t>
      </w:r>
      <w:r w:rsidR="00180A82" w:rsidRPr="00E3756C">
        <w:t>,</w:t>
      </w:r>
      <w:r w:rsidRPr="00E3756C">
        <w:t xml:space="preserve"> then the national rating may be set to </w:t>
      </w:r>
      <w:r w:rsidR="00171EE9">
        <w:t>h</w:t>
      </w:r>
      <w:r w:rsidRPr="00E3756C">
        <w:t xml:space="preserve">igh </w:t>
      </w:r>
      <w:r w:rsidR="00180A82" w:rsidRPr="00E3756C">
        <w:t>and so on</w:t>
      </w:r>
      <w:r w:rsidRPr="00E3756C">
        <w:t>). Note: for marine or coastal activities or sectors</w:t>
      </w:r>
      <w:r w:rsidR="00180A82" w:rsidRPr="00E3756C">
        <w:t>,</w:t>
      </w:r>
      <w:r w:rsidRPr="00E3756C">
        <w:t xml:space="preserve"> use sub-national climate zones 1A and 1B separately instead of just zone 1 (upper North Island).</w:t>
      </w:r>
    </w:p>
    <w:p w14:paraId="0B3E8C26" w14:textId="77777777" w:rsidR="00660B12" w:rsidRPr="00E3756C" w:rsidRDefault="00660B12" w:rsidP="00660B12">
      <w:pPr>
        <w:pStyle w:val="Sub-list"/>
      </w:pPr>
      <w:r w:rsidRPr="00E3756C">
        <w:t xml:space="preserve">Are opportunities </w:t>
      </w:r>
      <w:r w:rsidR="00267072" w:rsidRPr="00E3756C">
        <w:t xml:space="preserve">available </w:t>
      </w:r>
      <w:r w:rsidRPr="00E3756C">
        <w:t>for beneficial effects arising from climate change that could prompt transformational change with low regrets?</w:t>
      </w:r>
    </w:p>
    <w:p w14:paraId="799355A8" w14:textId="4F781EC4" w:rsidR="00660B12" w:rsidRPr="00E3756C" w:rsidRDefault="00660B12" w:rsidP="00660B12">
      <w:pPr>
        <w:pStyle w:val="BodyText"/>
      </w:pPr>
      <w:r w:rsidRPr="00E3756C">
        <w:t>Following these steps, select the high risks, and any moderate risk</w:t>
      </w:r>
      <w:r w:rsidR="00267072" w:rsidRPr="00E3756C">
        <w:t>s</w:t>
      </w:r>
      <w:r w:rsidRPr="00E3756C">
        <w:t xml:space="preserve"> with associated high uncertainty (eg</w:t>
      </w:r>
      <w:r w:rsidR="00267072" w:rsidRPr="00E3756C">
        <w:t>,</w:t>
      </w:r>
      <w:r w:rsidRPr="00E3756C">
        <w:t xml:space="preserve"> strength of initial evidence is low to medium, or </w:t>
      </w:r>
      <w:r w:rsidR="00267072" w:rsidRPr="00E3756C">
        <w:t xml:space="preserve">it is </w:t>
      </w:r>
      <w:r w:rsidRPr="00E3756C">
        <w:t>unknown how the sector may adapt or cope), to transfer through the detailed risk assessment stage (</w:t>
      </w:r>
      <w:hyperlink w:anchor="_Chapter_B3:_Assessment" w:history="1">
        <w:r w:rsidR="00267072" w:rsidRPr="00E3756C">
          <w:rPr>
            <w:rStyle w:val="Hyperlink"/>
          </w:rPr>
          <w:t>c</w:t>
        </w:r>
        <w:r w:rsidRPr="00E3756C">
          <w:rPr>
            <w:rStyle w:val="Hyperlink"/>
          </w:rPr>
          <w:t>hapter B3</w:t>
        </w:r>
      </w:hyperlink>
      <w:r w:rsidRPr="00E3756C">
        <w:t xml:space="preserve">). The </w:t>
      </w:r>
      <w:r w:rsidR="00267072" w:rsidRPr="00E3756C">
        <w:t>four</w:t>
      </w:r>
      <w:r w:rsidRPr="00E3756C">
        <w:t>-step process for the first-pass screening is not necessarily a linear progression</w:t>
      </w:r>
      <w:r w:rsidR="00171EE9">
        <w:t>. P</w:t>
      </w:r>
      <w:r w:rsidRPr="00E3756C">
        <w:t xml:space="preserve">revious steps may need to be revisited if new information or knowledge arises or earlier findings need readjusting to establish a consistent set of priority risks. </w:t>
      </w:r>
    </w:p>
    <w:p w14:paraId="244A15A7" w14:textId="77777777" w:rsidR="00960347" w:rsidRPr="00E3756C" w:rsidRDefault="00960347" w:rsidP="00960347">
      <w:pPr>
        <w:pStyle w:val="Heading2"/>
      </w:pPr>
      <w:bookmarkStart w:id="136" w:name="_Toc13570369"/>
      <w:bookmarkStart w:id="137" w:name="_Toc14361552"/>
      <w:bookmarkStart w:id="138" w:name="_Toc15409164"/>
      <w:r w:rsidRPr="00E3756C">
        <w:t xml:space="preserve">B2.3 </w:t>
      </w:r>
      <w:r w:rsidRPr="00E3756C">
        <w:tab/>
        <w:t>Guidance on the screening steps</w:t>
      </w:r>
      <w:bookmarkEnd w:id="136"/>
      <w:bookmarkEnd w:id="137"/>
      <w:bookmarkEnd w:id="138"/>
    </w:p>
    <w:p w14:paraId="492D78D1" w14:textId="77777777" w:rsidR="00960347" w:rsidRPr="00E3756C" w:rsidRDefault="00960347" w:rsidP="00960347">
      <w:pPr>
        <w:pStyle w:val="Heading3"/>
        <w:spacing w:before="240"/>
      </w:pPr>
      <w:bookmarkStart w:id="139" w:name="_Toc13570370"/>
      <w:r w:rsidRPr="00E3756C">
        <w:t>Guidance on Step 1: Establish the context and scope, set</w:t>
      </w:r>
      <w:r w:rsidR="00B65826" w:rsidRPr="00E3756C">
        <w:t xml:space="preserve"> </w:t>
      </w:r>
      <w:r w:rsidRPr="00E3756C">
        <w:t>up engagement</w:t>
      </w:r>
      <w:r w:rsidR="00F05EA4" w:rsidRPr="00E3756C">
        <w:t> </w:t>
      </w:r>
      <w:r w:rsidRPr="00E3756C">
        <w:t>processes</w:t>
      </w:r>
      <w:bookmarkEnd w:id="139"/>
    </w:p>
    <w:p w14:paraId="7080B8E6" w14:textId="77777777" w:rsidR="00960347" w:rsidRPr="00E3756C" w:rsidRDefault="00960347" w:rsidP="00F05EA4">
      <w:pPr>
        <w:pStyle w:val="BodyText"/>
        <w:keepNext/>
      </w:pPr>
      <w:r w:rsidRPr="00E3756C">
        <w:t xml:space="preserve">Step 1 has several components. </w:t>
      </w:r>
    </w:p>
    <w:p w14:paraId="15423AA1" w14:textId="77777777" w:rsidR="00960347" w:rsidRPr="00E3756C" w:rsidRDefault="00960347" w:rsidP="00901EAE">
      <w:pPr>
        <w:pStyle w:val="BodyText"/>
      </w:pPr>
      <w:r w:rsidRPr="00E3756C">
        <w:rPr>
          <w:b/>
          <w:color w:val="000000"/>
        </w:rPr>
        <w:t>Understand the scope and purpose</w:t>
      </w:r>
      <w:r w:rsidRPr="00E3756C">
        <w:rPr>
          <w:color w:val="595959"/>
        </w:rPr>
        <w:t xml:space="preserve"> </w:t>
      </w:r>
      <w:r w:rsidRPr="00E3756C">
        <w:t xml:space="preserve">of the exercise. This should be established at the </w:t>
      </w:r>
      <w:r w:rsidR="00C256D0" w:rsidRPr="00E3756C">
        <w:t xml:space="preserve">start </w:t>
      </w:r>
      <w:r w:rsidRPr="00E3756C">
        <w:t>of any level of risk assessment</w:t>
      </w:r>
      <w:r w:rsidR="00DD7CB4" w:rsidRPr="00E3756C">
        <w:t xml:space="preserve"> </w:t>
      </w:r>
      <w:r w:rsidR="00B83AA6" w:rsidRPr="00E3756C">
        <w:t>to</w:t>
      </w:r>
      <w:r w:rsidR="00DD7CB4" w:rsidRPr="00E3756C">
        <w:t xml:space="preserve"> </w:t>
      </w:r>
      <w:r w:rsidRPr="00E3756C">
        <w:t xml:space="preserve">clarify what is included or excluded in the assessment. Guidance on the context and underpinning values for the NCCRA is discussed in </w:t>
      </w:r>
      <w:hyperlink w:anchor="_Chapter_A3:_Setting" w:history="1">
        <w:r w:rsidR="00B83AA6" w:rsidRPr="00E3756C">
          <w:rPr>
            <w:rStyle w:val="Hyperlink"/>
          </w:rPr>
          <w:t>c</w:t>
        </w:r>
        <w:r w:rsidRPr="00E3756C">
          <w:rPr>
            <w:rStyle w:val="Hyperlink"/>
          </w:rPr>
          <w:t>hapter A3</w:t>
        </w:r>
      </w:hyperlink>
      <w:r w:rsidRPr="00E3756C">
        <w:t>.</w:t>
      </w:r>
    </w:p>
    <w:p w14:paraId="28CFFBB2" w14:textId="77777777" w:rsidR="00960347" w:rsidRPr="00E3756C" w:rsidRDefault="00960347" w:rsidP="00901EAE">
      <w:pPr>
        <w:pStyle w:val="BodyText"/>
      </w:pPr>
      <w:r w:rsidRPr="00E3756C">
        <w:rPr>
          <w:b/>
          <w:color w:val="000000"/>
        </w:rPr>
        <w:lastRenderedPageBreak/>
        <w:t>Develop an engagement plan</w:t>
      </w:r>
      <w:r w:rsidR="00C256D0" w:rsidRPr="00E3756C">
        <w:rPr>
          <w:b/>
          <w:color w:val="000000"/>
        </w:rPr>
        <w:t>.</w:t>
      </w:r>
      <w:r w:rsidRPr="00E3756C">
        <w:t xml:space="preserve"> </w:t>
      </w:r>
      <w:r w:rsidR="00C256D0" w:rsidRPr="00E3756C">
        <w:t>I</w:t>
      </w:r>
      <w:r w:rsidRPr="00E3756C">
        <w:t xml:space="preserve">nvolve parties who should be part of the first-pass risk assessment in co-producing value domain or sector </w:t>
      </w:r>
      <w:r w:rsidR="00710A06" w:rsidRPr="00E3756C">
        <w:t xml:space="preserve">risk priorities </w:t>
      </w:r>
      <w:r w:rsidRPr="00E3756C">
        <w:t>to be further evaluated in the</w:t>
      </w:r>
      <w:r w:rsidR="007A339A">
        <w:t> </w:t>
      </w:r>
      <w:r w:rsidRPr="00E3756C">
        <w:t xml:space="preserve">detailed risk assessment. The levels of engagement and methods should be </w:t>
      </w:r>
      <w:r w:rsidR="00F81A86">
        <w:t>defined</w:t>
      </w:r>
      <w:r w:rsidR="00F81A86" w:rsidRPr="00E3756C">
        <w:t xml:space="preserve"> </w:t>
      </w:r>
      <w:r w:rsidRPr="00E3756C">
        <w:t xml:space="preserve">(see </w:t>
      </w:r>
      <w:hyperlink w:anchor="_Chapter_A4:_Risk" w:history="1">
        <w:r w:rsidR="00B83AA6" w:rsidRPr="00E3756C">
          <w:rPr>
            <w:rStyle w:val="Hyperlink"/>
          </w:rPr>
          <w:t>c</w:t>
        </w:r>
        <w:r w:rsidRPr="00E3756C">
          <w:rPr>
            <w:rStyle w:val="Hyperlink"/>
          </w:rPr>
          <w:t>hapter A4</w:t>
        </w:r>
      </w:hyperlink>
      <w:r w:rsidRPr="00E3756C">
        <w:t xml:space="preserve"> and </w:t>
      </w:r>
      <w:hyperlink w:anchor="_Chapter_C1:_Developing" w:history="1">
        <w:r w:rsidR="00B83AA6" w:rsidRPr="00E3756C">
          <w:rPr>
            <w:rStyle w:val="Hyperlink"/>
          </w:rPr>
          <w:t xml:space="preserve">chapter </w:t>
        </w:r>
        <w:r w:rsidRPr="00E3756C">
          <w:rPr>
            <w:rStyle w:val="Hyperlink"/>
          </w:rPr>
          <w:t>C1</w:t>
        </w:r>
      </w:hyperlink>
      <w:r w:rsidRPr="00E3756C">
        <w:t xml:space="preserve">). </w:t>
      </w:r>
    </w:p>
    <w:p w14:paraId="4DF7A0E6" w14:textId="77777777" w:rsidR="00960347" w:rsidRPr="00E3756C" w:rsidRDefault="00960347" w:rsidP="00901EAE">
      <w:pPr>
        <w:pStyle w:val="BodyText"/>
      </w:pPr>
      <w:r w:rsidRPr="00E3756C">
        <w:rPr>
          <w:b/>
          <w:color w:val="000000"/>
        </w:rPr>
        <w:t>Define the qualitative criteria</w:t>
      </w:r>
      <w:r w:rsidR="00710A06" w:rsidRPr="00E3756C">
        <w:rPr>
          <w:b/>
          <w:color w:val="000000"/>
        </w:rPr>
        <w:t>.</w:t>
      </w:r>
      <w:r w:rsidRPr="00E3756C">
        <w:rPr>
          <w:b/>
        </w:rPr>
        <w:t xml:space="preserve"> </w:t>
      </w:r>
      <w:r w:rsidR="00710A06" w:rsidRPr="00E3756C">
        <w:t>A</w:t>
      </w:r>
      <w:r w:rsidRPr="00E3756C">
        <w:t>t the outset</w:t>
      </w:r>
      <w:r w:rsidR="00710A06" w:rsidRPr="00E3756C">
        <w:t>,</w:t>
      </w:r>
      <w:r w:rsidRPr="00E3756C">
        <w:rPr>
          <w:b/>
        </w:rPr>
        <w:t xml:space="preserve"> </w:t>
      </w:r>
      <w:r w:rsidR="00710A06" w:rsidRPr="00E3756C">
        <w:t xml:space="preserve">define </w:t>
      </w:r>
      <w:r w:rsidR="00F81A86">
        <w:t xml:space="preserve">the criteria used to decide </w:t>
      </w:r>
      <w:r w:rsidRPr="00E3756C">
        <w:t>which risks are carried forward to the detailed risk assessment. This may be by consensus, a majority, via review of a reference group, or significant consistent evidence for indicators</w:t>
      </w:r>
      <w:r w:rsidR="00F21B6E" w:rsidRPr="00E3756C">
        <w:t>,</w:t>
      </w:r>
      <w:r w:rsidRPr="00E3756C">
        <w:t xml:space="preserve"> such as potential national impact, maximum number of risks for each domain or sector, or whether the risks are amenable to being addressed in a National Adaptation Plan.</w:t>
      </w:r>
    </w:p>
    <w:p w14:paraId="2FE46B1A" w14:textId="77777777" w:rsidR="00960347" w:rsidRPr="00E3756C" w:rsidRDefault="00960347" w:rsidP="00901EAE">
      <w:pPr>
        <w:pStyle w:val="BodyText"/>
      </w:pPr>
      <w:r w:rsidRPr="00E3756C">
        <w:rPr>
          <w:b/>
          <w:color w:val="000000"/>
        </w:rPr>
        <w:t>Define how the spatial scale of the first-pass screening assessment is handled.</w:t>
      </w:r>
      <w:r w:rsidRPr="00E3756C">
        <w:t xml:space="preserve"> The NCCRA assessment is primarily intended to be applied nationally to feed into the National Adaptation Plan (</w:t>
      </w:r>
      <w:hyperlink w:anchor="_Chapter_A1:_Introduction" w:history="1">
        <w:r w:rsidR="00F21B6E" w:rsidRPr="00E3756C">
          <w:rPr>
            <w:rStyle w:val="Hyperlink"/>
          </w:rPr>
          <w:t>c</w:t>
        </w:r>
        <w:r w:rsidRPr="00E3756C">
          <w:rPr>
            <w:rStyle w:val="Hyperlink"/>
          </w:rPr>
          <w:t>hapter A1</w:t>
        </w:r>
      </w:hyperlink>
      <w:r w:rsidRPr="00E3756C">
        <w:t>)</w:t>
      </w:r>
      <w:r w:rsidR="00F21B6E" w:rsidRPr="00E3756C">
        <w:t>.</w:t>
      </w:r>
      <w:r w:rsidRPr="00E3756C">
        <w:t xml:space="preserve"> </w:t>
      </w:r>
      <w:r w:rsidR="00984271" w:rsidRPr="00E3756C">
        <w:t>I</w:t>
      </w:r>
      <w:r w:rsidR="00F21B6E" w:rsidRPr="00E3756C">
        <w:t xml:space="preserve">t </w:t>
      </w:r>
      <w:r w:rsidRPr="00E3756C">
        <w:t xml:space="preserve">also </w:t>
      </w:r>
      <w:r w:rsidR="00F21B6E" w:rsidRPr="00E3756C">
        <w:t xml:space="preserve">needs to </w:t>
      </w:r>
      <w:r w:rsidRPr="00E3756C">
        <w:t xml:space="preserve">identify significant regional-scale risks that would be of </w:t>
      </w:r>
      <w:r w:rsidR="00F21B6E" w:rsidRPr="00E3756C">
        <w:t xml:space="preserve">major </w:t>
      </w:r>
      <w:r w:rsidRPr="00E3756C">
        <w:t>concern to central and local government, industry, services, infrastructure providers, business and the insurance</w:t>
      </w:r>
      <w:r w:rsidR="001F012E" w:rsidRPr="00E3756C">
        <w:t xml:space="preserve"> and </w:t>
      </w:r>
      <w:r w:rsidRPr="00E3756C">
        <w:t>banking sector.</w:t>
      </w:r>
    </w:p>
    <w:p w14:paraId="68ED8C39" w14:textId="77777777" w:rsidR="00960347" w:rsidRPr="00E3756C" w:rsidRDefault="00960347" w:rsidP="005B0048">
      <w:pPr>
        <w:pStyle w:val="BodyText"/>
      </w:pPr>
      <w:r w:rsidRPr="00E3756C">
        <w:rPr>
          <w:b/>
          <w:color w:val="000000"/>
        </w:rPr>
        <w:t>Incorporate the recommended timeframes</w:t>
      </w:r>
      <w:r w:rsidRPr="00E3756C">
        <w:t xml:space="preserve"> to consider (</w:t>
      </w:r>
      <w:hyperlink w:anchor="_Chapter_B1:_Defining_1" w:history="1">
        <w:r w:rsidR="001F012E" w:rsidRPr="00E3756C">
          <w:rPr>
            <w:rStyle w:val="Hyperlink"/>
          </w:rPr>
          <w:t>c</w:t>
        </w:r>
        <w:r w:rsidRPr="00E3756C">
          <w:rPr>
            <w:rStyle w:val="Hyperlink"/>
          </w:rPr>
          <w:t>hapter B1</w:t>
        </w:r>
      </w:hyperlink>
      <w:r w:rsidRPr="00E3756C">
        <w:t>)</w:t>
      </w:r>
      <w:r w:rsidR="00984271" w:rsidRPr="00E3756C">
        <w:t xml:space="preserve"> covering </w:t>
      </w:r>
      <w:r w:rsidRPr="00E3756C">
        <w:t>present-day changes or trends (and the recent past) in Step 2</w:t>
      </w:r>
      <w:r w:rsidR="001F012E" w:rsidRPr="00E3756C">
        <w:t>.</w:t>
      </w:r>
      <w:r w:rsidRPr="00E3756C">
        <w:t xml:space="preserve"> </w:t>
      </w:r>
      <w:r w:rsidR="001F012E" w:rsidRPr="00E3756C">
        <w:t>I</w:t>
      </w:r>
      <w:r w:rsidRPr="00E3756C">
        <w:t xml:space="preserve">n Step 3, use </w:t>
      </w:r>
      <w:r w:rsidR="001F012E" w:rsidRPr="00E3756C">
        <w:t>the</w:t>
      </w:r>
      <w:r w:rsidRPr="00E3756C">
        <w:t xml:space="preserve"> 30-year </w:t>
      </w:r>
      <w:r w:rsidR="001F012E" w:rsidRPr="00E3756C">
        <w:t xml:space="preserve">(around </w:t>
      </w:r>
      <w:r w:rsidRPr="00E3756C">
        <w:t>2050) and 2100 timeframes (leaving the additional long-term appraisal for coastal</w:t>
      </w:r>
      <w:r w:rsidR="005B0048" w:rsidRPr="00E3756C">
        <w:t xml:space="preserve"> </w:t>
      </w:r>
      <w:r w:rsidRPr="00E3756C">
        <w:t xml:space="preserve">flood risk to 2150 to be undertaken in Stage 2). </w:t>
      </w:r>
    </w:p>
    <w:p w14:paraId="7C29675B" w14:textId="37BB5770" w:rsidR="00960347" w:rsidRPr="00E3756C" w:rsidRDefault="00960347" w:rsidP="00901EAE">
      <w:pPr>
        <w:pStyle w:val="BodyText"/>
      </w:pPr>
      <w:r w:rsidRPr="00E3756C">
        <w:rPr>
          <w:b/>
          <w:color w:val="000000"/>
        </w:rPr>
        <w:t>Incorporate the RCP8.5 climate</w:t>
      </w:r>
      <w:r w:rsidR="005B0048" w:rsidRPr="00E3756C">
        <w:rPr>
          <w:b/>
          <w:color w:val="000000"/>
        </w:rPr>
        <w:t xml:space="preserve"> </w:t>
      </w:r>
      <w:r w:rsidRPr="00E3756C">
        <w:rPr>
          <w:b/>
          <w:color w:val="000000"/>
        </w:rPr>
        <w:t>change projection</w:t>
      </w:r>
      <w:r w:rsidRPr="00E3756C">
        <w:rPr>
          <w:color w:val="000000"/>
        </w:rPr>
        <w:t xml:space="preserve"> </w:t>
      </w:r>
      <w:r w:rsidRPr="00E3756C">
        <w:t>from</w:t>
      </w:r>
      <w:r w:rsidR="000E2143" w:rsidRPr="00E3756C">
        <w:t xml:space="preserve"> </w:t>
      </w:r>
      <w:r w:rsidR="005B0048" w:rsidRPr="00E3756C">
        <w:t>c</w:t>
      </w:r>
      <w:r w:rsidRPr="00E3756C">
        <w:t xml:space="preserve">hapter B1 (the completed </w:t>
      </w:r>
      <w:hyperlink w:anchor="tableB11" w:history="1">
        <w:r w:rsidR="005B0048" w:rsidRPr="00E3756C">
          <w:rPr>
            <w:rStyle w:val="Hyperlink"/>
          </w:rPr>
          <w:t>t</w:t>
        </w:r>
        <w:r w:rsidRPr="00E3756C">
          <w:rPr>
            <w:rStyle w:val="Hyperlink"/>
          </w:rPr>
          <w:t>able B1</w:t>
        </w:r>
        <w:r w:rsidR="00901EAE" w:rsidRPr="00E3756C">
          <w:rPr>
            <w:rStyle w:val="Hyperlink"/>
          </w:rPr>
          <w:noBreakHyphen/>
        </w:r>
        <w:r w:rsidRPr="00E3756C">
          <w:rPr>
            <w:rStyle w:val="Hyperlink"/>
          </w:rPr>
          <w:t>1</w:t>
        </w:r>
      </w:hyperlink>
      <w:r w:rsidRPr="00E3756C">
        <w:t>)</w:t>
      </w:r>
      <w:r w:rsidR="00984271" w:rsidRPr="00E3756C">
        <w:t>.</w:t>
      </w:r>
      <w:r w:rsidRPr="00E3756C">
        <w:t xml:space="preserve"> </w:t>
      </w:r>
      <w:r w:rsidR="00984271" w:rsidRPr="00E3756C">
        <w:t xml:space="preserve">Include this </w:t>
      </w:r>
      <w:r w:rsidRPr="00E3756C">
        <w:t>where possible</w:t>
      </w:r>
      <w:r w:rsidR="005B0048" w:rsidRPr="00E3756C">
        <w:t>,</w:t>
      </w:r>
      <w:r w:rsidRPr="00E3756C">
        <w:t xml:space="preserve"> to provide a consistent grounding for deliberations and </w:t>
      </w:r>
      <w:r w:rsidR="00171EE9">
        <w:t xml:space="preserve">establish </w:t>
      </w:r>
      <w:r w:rsidRPr="00E3756C">
        <w:t xml:space="preserve">relative priorities. An example is that participants in the risk screening could be </w:t>
      </w:r>
      <w:r w:rsidR="0087185D" w:rsidRPr="00E3756C">
        <w:t>given</w:t>
      </w:r>
      <w:r w:rsidRPr="00E3756C">
        <w:t xml:space="preserve"> summary factsheets (derived from </w:t>
      </w:r>
      <w:r w:rsidR="005B0048" w:rsidRPr="00E3756C">
        <w:t>t</w:t>
      </w:r>
      <w:r w:rsidRPr="00E3756C">
        <w:t>able B1-1) outlin</w:t>
      </w:r>
      <w:r w:rsidR="0087185D" w:rsidRPr="00E3756C">
        <w:t>ing</w:t>
      </w:r>
      <w:r w:rsidRPr="00E3756C">
        <w:t xml:space="preserve"> the </w:t>
      </w:r>
      <w:r w:rsidR="005B0048" w:rsidRPr="00E3756C">
        <w:t xml:space="preserve">main </w:t>
      </w:r>
      <w:r w:rsidRPr="00E3756C">
        <w:t>categories of climate</w:t>
      </w:r>
      <w:r w:rsidR="005B0048" w:rsidRPr="00E3756C">
        <w:t xml:space="preserve"> </w:t>
      </w:r>
      <w:r w:rsidRPr="00E3756C">
        <w:t>change effects nationally and regionally</w:t>
      </w:r>
      <w:r w:rsidR="00171EE9">
        <w:t xml:space="preserve">. The effects could include </w:t>
      </w:r>
      <w:r w:rsidRPr="00E3756C">
        <w:t xml:space="preserve"> temperature rise, rainfall intensity, sea-level rise, pH change and rainfall, wind and drought patterns, </w:t>
      </w:r>
      <w:r w:rsidR="0087185D" w:rsidRPr="00E3756C">
        <w:t>and so on</w:t>
      </w:r>
      <w:r w:rsidRPr="00E3756C">
        <w:t xml:space="preserve">, for the relevant projection at the two future timeframes. </w:t>
      </w:r>
      <w:r w:rsidR="009E181E" w:rsidRPr="00E3756C">
        <w:t xml:space="preserve">It would also be useful to include </w:t>
      </w:r>
      <w:r w:rsidRPr="00E3756C">
        <w:t>increments of change and by decade for these climate</w:t>
      </w:r>
      <w:r w:rsidR="0087185D" w:rsidRPr="00E3756C">
        <w:t xml:space="preserve"> </w:t>
      </w:r>
      <w:r w:rsidRPr="00E3756C">
        <w:t>change effects for the relevant projection</w:t>
      </w:r>
      <w:r w:rsidR="00AE3339">
        <w:t>,</w:t>
      </w:r>
      <w:r w:rsidRPr="00E3756C">
        <w:t xml:space="preserve"> to align thresholds that emerge from elicitation processes. </w:t>
      </w:r>
    </w:p>
    <w:p w14:paraId="5B6F098A" w14:textId="56FA9F35" w:rsidR="00960347" w:rsidRPr="00E3756C" w:rsidRDefault="00960347" w:rsidP="00901EAE">
      <w:pPr>
        <w:pStyle w:val="BodyText"/>
      </w:pPr>
      <w:r w:rsidRPr="006A5062">
        <w:rPr>
          <w:b/>
        </w:rPr>
        <w:t>Example</w:t>
      </w:r>
      <w:r w:rsidRPr="00E3756C">
        <w:t xml:space="preserve">: if nationally a threshold sea-level rise of say </w:t>
      </w:r>
      <w:r w:rsidR="0087185D" w:rsidRPr="00E3756C">
        <w:t xml:space="preserve">around </w:t>
      </w:r>
      <w:r w:rsidRPr="00E3756C">
        <w:t>0.3 m</w:t>
      </w:r>
      <w:r w:rsidR="0087185D" w:rsidRPr="00E3756C">
        <w:t>etres</w:t>
      </w:r>
      <w:r w:rsidRPr="00E3756C">
        <w:t xml:space="preserve"> was deemed to lead to a significant loss of estuarine wetlands and salt</w:t>
      </w:r>
      <w:r w:rsidR="00171EE9">
        <w:t>-</w:t>
      </w:r>
      <w:r w:rsidRPr="00E3756C">
        <w:t xml:space="preserve">marsh environments, tables like </w:t>
      </w:r>
      <w:r w:rsidR="0087185D" w:rsidRPr="00E3756C">
        <w:t>t</w:t>
      </w:r>
      <w:r w:rsidRPr="00E3756C">
        <w:t xml:space="preserve">able 10 (decadal increments) and </w:t>
      </w:r>
      <w:r w:rsidR="00A229D1" w:rsidRPr="00E3756C">
        <w:t>t</w:t>
      </w:r>
      <w:r w:rsidRPr="00E3756C">
        <w:t>able 11 (0.1 m</w:t>
      </w:r>
      <w:r w:rsidR="00A229D1" w:rsidRPr="00E3756C">
        <w:t>etre</w:t>
      </w:r>
      <w:r w:rsidRPr="00E3756C">
        <w:t xml:space="preserve"> sea-level rise increments) in the </w:t>
      </w:r>
      <w:r w:rsidR="00A229D1" w:rsidRPr="00E3756C">
        <w:t>Coastal Hazards and Climate Change Guidance</w:t>
      </w:r>
      <w:r w:rsidR="00A229D1" w:rsidRPr="00E3756C" w:rsidDel="00A229D1">
        <w:t xml:space="preserve"> </w:t>
      </w:r>
      <w:r w:rsidRPr="00E3756C">
        <w:t xml:space="preserve">would indicate this would occur around 2050 for RCP8.5 </w:t>
      </w:r>
      <w:r w:rsidR="00D24797" w:rsidRPr="00E3756C">
        <w:t>(</w:t>
      </w:r>
      <w:r w:rsidRPr="00E3756C">
        <w:t>or</w:t>
      </w:r>
      <w:r w:rsidR="00433F54" w:rsidRPr="00E3756C">
        <w:t> </w:t>
      </w:r>
      <w:r w:rsidRPr="00E3756C">
        <w:t>earlier</w:t>
      </w:r>
      <w:r w:rsidR="00D24797" w:rsidRPr="00E3756C">
        <w:t>,</w:t>
      </w:r>
      <w:r w:rsidRPr="00E3756C">
        <w:t xml:space="preserve"> if polar ice sheet response was greater than expected using a higher RCP8.5 H</w:t>
      </w:r>
      <w:r w:rsidRPr="00E3756C">
        <w:rPr>
          <w:vertAlign w:val="superscript"/>
        </w:rPr>
        <w:t>+</w:t>
      </w:r>
      <w:r w:rsidRPr="00E3756C">
        <w:t xml:space="preserve"> sea</w:t>
      </w:r>
      <w:r w:rsidR="00433F54" w:rsidRPr="00E3756C">
        <w:noBreakHyphen/>
      </w:r>
      <w:r w:rsidRPr="00E3756C">
        <w:t>level scenario</w:t>
      </w:r>
      <w:r w:rsidR="00D24797" w:rsidRPr="00E3756C">
        <w:t>)</w:t>
      </w:r>
      <w:r w:rsidR="00433F54" w:rsidRPr="00E3756C">
        <w:t xml:space="preserve"> (Ministry for the Environment, 2017)</w:t>
      </w:r>
      <w:r w:rsidRPr="00E3756C">
        <w:t xml:space="preserve">. </w:t>
      </w:r>
    </w:p>
    <w:p w14:paraId="4DCDDA29" w14:textId="77777777" w:rsidR="00960347" w:rsidRPr="00E3756C" w:rsidRDefault="00960347" w:rsidP="00901EAE">
      <w:pPr>
        <w:pStyle w:val="BodyText"/>
      </w:pPr>
      <w:r w:rsidRPr="00E3756C">
        <w:t>The types of information and sources of climate</w:t>
      </w:r>
      <w:r w:rsidR="00D24797" w:rsidRPr="00E3756C">
        <w:t xml:space="preserve"> </w:t>
      </w:r>
      <w:r w:rsidRPr="00E3756C">
        <w:t>change projections are outlined in</w:t>
      </w:r>
      <w:r w:rsidR="00F05EA4" w:rsidRPr="00E3756C">
        <w:t> </w:t>
      </w:r>
      <w:hyperlink w:anchor="_Chapter_C4:_Information" w:history="1">
        <w:r w:rsidR="00D24797" w:rsidRPr="00E3756C">
          <w:rPr>
            <w:rStyle w:val="Hyperlink"/>
          </w:rPr>
          <w:t>c</w:t>
        </w:r>
        <w:r w:rsidRPr="00E3756C">
          <w:rPr>
            <w:rStyle w:val="Hyperlink"/>
          </w:rPr>
          <w:t>hapter C4</w:t>
        </w:r>
      </w:hyperlink>
      <w:r w:rsidRPr="00E3756C">
        <w:t>.</w:t>
      </w:r>
    </w:p>
    <w:p w14:paraId="6D37275D" w14:textId="77777777" w:rsidR="00960347" w:rsidRPr="00E3756C" w:rsidRDefault="00960347" w:rsidP="00F05EA4">
      <w:pPr>
        <w:pStyle w:val="Heading3"/>
      </w:pPr>
      <w:bookmarkStart w:id="140" w:name="_Toc13570371"/>
      <w:r w:rsidRPr="00E3756C">
        <w:t xml:space="preserve">Guidance on Step 2: Identify the existing climate risks </w:t>
      </w:r>
      <w:bookmarkEnd w:id="140"/>
    </w:p>
    <w:p w14:paraId="77EE1E22" w14:textId="379E6395" w:rsidR="00960347" w:rsidRPr="00E3756C" w:rsidRDefault="00053883" w:rsidP="00901EAE">
      <w:pPr>
        <w:pStyle w:val="BodyText"/>
      </w:pPr>
      <w:hyperlink w:anchor="tableB11" w:history="1">
        <w:r w:rsidR="00960347" w:rsidRPr="00E3756C">
          <w:rPr>
            <w:rStyle w:val="Hyperlink"/>
          </w:rPr>
          <w:t>Table B1-1</w:t>
        </w:r>
      </w:hyperlink>
      <w:r w:rsidR="00960347" w:rsidRPr="00E3756C">
        <w:t xml:space="preserve"> (</w:t>
      </w:r>
      <w:r w:rsidR="00D24797" w:rsidRPr="00E3756C">
        <w:t>c</w:t>
      </w:r>
      <w:r w:rsidR="00960347" w:rsidRPr="00E3756C">
        <w:t xml:space="preserve">hapter B1), once completed, should outline a range of hazards exacerbated by climate change (look-up list in </w:t>
      </w:r>
      <w:hyperlink w:anchor="tableB12" w:history="1">
        <w:r w:rsidR="00D24797" w:rsidRPr="00E3756C">
          <w:rPr>
            <w:rStyle w:val="Hyperlink"/>
          </w:rPr>
          <w:t>t</w:t>
        </w:r>
        <w:r w:rsidR="00960347" w:rsidRPr="00E3756C">
          <w:rPr>
            <w:rStyle w:val="Hyperlink"/>
          </w:rPr>
          <w:t>able B1-2</w:t>
        </w:r>
      </w:hyperlink>
      <w:r w:rsidR="00960347" w:rsidRPr="00E3756C">
        <w:t>). The same hazard</w:t>
      </w:r>
      <w:r w:rsidR="0061597B" w:rsidRPr="00E3756C">
        <w:t xml:space="preserve"> set</w:t>
      </w:r>
      <w:r w:rsidR="00960347" w:rsidRPr="00E3756C">
        <w:t xml:space="preserve"> can be used as a starting point for identifying and reviewing recent or past changes or trends of these hazards for the </w:t>
      </w:r>
      <w:r w:rsidR="00D24797" w:rsidRPr="00E3756C">
        <w:t>‘</w:t>
      </w:r>
      <w:r w:rsidR="00960347" w:rsidRPr="00E3756C">
        <w:t>present</w:t>
      </w:r>
      <w:r w:rsidR="00D24797" w:rsidRPr="00E3756C">
        <w:t xml:space="preserve"> </w:t>
      </w:r>
      <w:r w:rsidR="00960347" w:rsidRPr="00E3756C">
        <w:t>day</w:t>
      </w:r>
      <w:r w:rsidR="00D24797" w:rsidRPr="00E3756C">
        <w:t>’</w:t>
      </w:r>
      <w:r w:rsidR="00960347" w:rsidRPr="00E3756C">
        <w:t xml:space="preserve"> situational analysis. Many of the </w:t>
      </w:r>
      <w:r w:rsidR="00627EE4">
        <w:t xml:space="preserve">listed </w:t>
      </w:r>
      <w:r w:rsidR="00960347" w:rsidRPr="00E3756C">
        <w:t xml:space="preserve">hazards </w:t>
      </w:r>
      <w:r w:rsidR="00627EE4">
        <w:t xml:space="preserve">that were </w:t>
      </w:r>
      <w:r w:rsidR="00960347" w:rsidRPr="00E3756C">
        <w:t xml:space="preserve">induced by changes to the climate and oceans may not </w:t>
      </w:r>
      <w:r w:rsidR="008E6E5A" w:rsidRPr="00E3756C">
        <w:t xml:space="preserve">yet </w:t>
      </w:r>
      <w:r w:rsidR="00960347" w:rsidRPr="00E3756C">
        <w:t>have emerged</w:t>
      </w:r>
      <w:r w:rsidR="008E6E5A" w:rsidRPr="00E3756C">
        <w:t>,</w:t>
      </w:r>
      <w:r w:rsidR="00960347" w:rsidRPr="00E3756C">
        <w:t xml:space="preserve"> but </w:t>
      </w:r>
      <w:r w:rsidR="008E6E5A" w:rsidRPr="00E3756C">
        <w:t>several</w:t>
      </w:r>
      <w:r w:rsidR="00960347" w:rsidRPr="00E3756C">
        <w:t xml:space="preserve"> changes in extremes (eg</w:t>
      </w:r>
      <w:r w:rsidR="008E6E5A" w:rsidRPr="00E3756C">
        <w:t>,</w:t>
      </w:r>
      <w:r w:rsidR="00960347" w:rsidRPr="00E3756C">
        <w:t xml:space="preserve"> flooding, intense rainfall) or seasonal </w:t>
      </w:r>
      <w:r w:rsidR="00F81A86">
        <w:t>changes</w:t>
      </w:r>
      <w:r w:rsidR="00F81A86" w:rsidRPr="00E3756C">
        <w:t xml:space="preserve"> </w:t>
      </w:r>
      <w:r w:rsidR="00960347" w:rsidRPr="00E3756C">
        <w:t>in temperature or precipitation (eg</w:t>
      </w:r>
      <w:r w:rsidR="008E6E5A" w:rsidRPr="00E3756C">
        <w:t>,</w:t>
      </w:r>
      <w:r w:rsidR="00960347" w:rsidRPr="00E3756C">
        <w:t xml:space="preserve"> droughts) have become evident in recent decades.</w:t>
      </w:r>
    </w:p>
    <w:p w14:paraId="0506E83B" w14:textId="2112A20D" w:rsidR="00CC2C14" w:rsidRPr="00E3756C" w:rsidRDefault="00960347" w:rsidP="00901EAE">
      <w:pPr>
        <w:pStyle w:val="BodyText"/>
      </w:pPr>
      <w:r w:rsidRPr="00E3756C">
        <w:lastRenderedPageBreak/>
        <w:t>At this step,</w:t>
      </w:r>
      <w:r w:rsidRPr="00E3756C">
        <w:rPr>
          <w:b/>
        </w:rPr>
        <w:t xml:space="preserve"> identify any records</w:t>
      </w:r>
      <w:r w:rsidRPr="00FA02B4">
        <w:t xml:space="preserve">, </w:t>
      </w:r>
      <w:r w:rsidRPr="00E3756C">
        <w:rPr>
          <w:b/>
        </w:rPr>
        <w:t>accounts</w:t>
      </w:r>
      <w:r w:rsidRPr="00FA02B4">
        <w:t xml:space="preserve">, </w:t>
      </w:r>
      <w:r w:rsidRPr="00E3756C">
        <w:rPr>
          <w:b/>
        </w:rPr>
        <w:t>reports or other sources</w:t>
      </w:r>
      <w:r w:rsidRPr="00E3756C">
        <w:t xml:space="preserve"> (see </w:t>
      </w:r>
      <w:hyperlink w:anchor="_Chapter_C4:_Information" w:history="1">
        <w:r w:rsidR="007948B2" w:rsidRPr="00E3756C">
          <w:rPr>
            <w:rStyle w:val="Hyperlink"/>
          </w:rPr>
          <w:t>c</w:t>
        </w:r>
        <w:r w:rsidRPr="00E3756C">
          <w:rPr>
            <w:rStyle w:val="Hyperlink"/>
          </w:rPr>
          <w:t>hapter C4</w:t>
        </w:r>
      </w:hyperlink>
      <w:r w:rsidRPr="00E3756C">
        <w:t>) that discuss trends or changes in climate or weather-related hazards (eg</w:t>
      </w:r>
      <w:r w:rsidR="007948B2" w:rsidRPr="00E3756C">
        <w:t>,</w:t>
      </w:r>
      <w:r w:rsidRPr="00E3756C">
        <w:t xml:space="preserve"> drought occurrence or persistence, flooding) in recent times (</w:t>
      </w:r>
      <w:r w:rsidR="007948B2" w:rsidRPr="00E3756C">
        <w:t>o</w:t>
      </w:r>
      <w:r w:rsidR="005C1C86" w:rsidRPr="00E3756C">
        <w:t>ne-</w:t>
      </w:r>
      <w:r w:rsidR="007948B2" w:rsidRPr="00E3756C">
        <w:t>to</w:t>
      </w:r>
      <w:r w:rsidR="005C1C86" w:rsidRPr="00E3756C">
        <w:t>-</w:t>
      </w:r>
      <w:r w:rsidR="007948B2" w:rsidRPr="00E3756C">
        <w:t>two</w:t>
      </w:r>
      <w:r w:rsidRPr="00E3756C">
        <w:t xml:space="preserve"> decades) relative to the past.</w:t>
      </w:r>
      <w:r w:rsidRPr="00E3756C">
        <w:rPr>
          <w:vertAlign w:val="superscript"/>
        </w:rPr>
        <w:footnoteReference w:id="4"/>
      </w:r>
      <w:r w:rsidRPr="00E3756C">
        <w:t xml:space="preserve"> Elicitation with</w:t>
      </w:r>
      <w:r w:rsidR="007A339A">
        <w:t> </w:t>
      </w:r>
      <w:r w:rsidRPr="00E3756C">
        <w:t>experts (climate scientists, social scientists, Māori experts</w:t>
      </w:r>
      <w:r w:rsidR="005C1C86" w:rsidRPr="00E3756C">
        <w:t xml:space="preserve"> and so on</w:t>
      </w:r>
      <w:r w:rsidRPr="00E3756C">
        <w:t>) and stakeholders, including</w:t>
      </w:r>
      <w:r w:rsidR="00F87FA8" w:rsidRPr="00E3756C">
        <w:t xml:space="preserve"> and </w:t>
      </w:r>
      <w:r w:rsidRPr="00E3756C">
        <w:t>especially those who could be considered ‘custodians’ of the risk</w:t>
      </w:r>
      <w:r w:rsidR="00F87FA8" w:rsidRPr="00E3756C">
        <w:t>,</w:t>
      </w:r>
      <w:r w:rsidRPr="00E3756C">
        <w:t xml:space="preserve"> will be required at this </w:t>
      </w:r>
      <w:r w:rsidR="009F4E52" w:rsidRPr="00E3756C">
        <w:t>s</w:t>
      </w:r>
      <w:r w:rsidRPr="00E3756C">
        <w:t xml:space="preserve">tage and could be combined with </w:t>
      </w:r>
      <w:r w:rsidR="000A17DE">
        <w:t>s</w:t>
      </w:r>
      <w:r w:rsidRPr="00E3756C">
        <w:t xml:space="preserve">tep 3 engagement requirements. </w:t>
      </w:r>
    </w:p>
    <w:p w14:paraId="7507C5DE" w14:textId="77777777" w:rsidR="00960347" w:rsidRPr="00E3756C" w:rsidRDefault="00960347" w:rsidP="00901EAE">
      <w:pPr>
        <w:pStyle w:val="BodyText"/>
        <w:rPr>
          <w:sz w:val="16"/>
          <w:szCs w:val="16"/>
        </w:rPr>
      </w:pPr>
      <w:r w:rsidRPr="00E3756C">
        <w:t>For a national assessment</w:t>
      </w:r>
      <w:r w:rsidR="009F4E52" w:rsidRPr="00E3756C">
        <w:t>,</w:t>
      </w:r>
      <w:r w:rsidRPr="00E3756C">
        <w:t xml:space="preserve"> these experts and knowledgeable practitioners would first be identified by mapping the sectors or elements at risk (described in </w:t>
      </w:r>
      <w:hyperlink w:anchor="_Chapter_A3:_Setting" w:history="1">
        <w:r w:rsidR="009F4E52" w:rsidRPr="00E3756C">
          <w:rPr>
            <w:rStyle w:val="Hyperlink"/>
          </w:rPr>
          <w:t>c</w:t>
        </w:r>
        <w:r w:rsidRPr="00E3756C">
          <w:rPr>
            <w:rStyle w:val="Hyperlink"/>
          </w:rPr>
          <w:t>hapter A3</w:t>
        </w:r>
      </w:hyperlink>
      <w:r w:rsidRPr="00E3756C">
        <w:t xml:space="preserve">) against the climate drivers and impact chains (the ‘hazards’, described in </w:t>
      </w:r>
      <w:hyperlink w:anchor="_Chapter_B1:_Defining_1" w:history="1">
        <w:r w:rsidR="00194DB9" w:rsidRPr="00E3756C">
          <w:rPr>
            <w:rStyle w:val="Hyperlink"/>
          </w:rPr>
          <w:t>c</w:t>
        </w:r>
        <w:r w:rsidRPr="00E3756C">
          <w:rPr>
            <w:rStyle w:val="Hyperlink"/>
          </w:rPr>
          <w:t>hapter B1</w:t>
        </w:r>
      </w:hyperlink>
      <w:r w:rsidR="00194DB9" w:rsidRPr="00E3756C">
        <w:t xml:space="preserve">). This would be done </w:t>
      </w:r>
      <w:r w:rsidRPr="00E3756C">
        <w:t>according to the scope of the risk assessment (ie</w:t>
      </w:r>
      <w:r w:rsidR="00194DB9" w:rsidRPr="00E3756C">
        <w:t>,</w:t>
      </w:r>
      <w:r w:rsidRPr="00E3756C">
        <w:t xml:space="preserve"> regional or local assessments may use different criteria to decide on sectors</w:t>
      </w:r>
      <w:r w:rsidR="002D7528" w:rsidRPr="00E3756C">
        <w:t xml:space="preserve"> or </w:t>
      </w:r>
      <w:r w:rsidRPr="00E3756C">
        <w:t xml:space="preserve">elements to be screened). </w:t>
      </w:r>
    </w:p>
    <w:p w14:paraId="463EDCD2" w14:textId="77777777" w:rsidR="00960347" w:rsidRPr="00E3756C" w:rsidRDefault="00960347" w:rsidP="00901EAE">
      <w:pPr>
        <w:pStyle w:val="BodyText"/>
      </w:pPr>
      <w:r w:rsidRPr="00E3756C">
        <w:t xml:space="preserve">Expert elicitation will include relevant representatives </w:t>
      </w:r>
      <w:r w:rsidR="00630984" w:rsidRPr="00E3756C">
        <w:t>such as</w:t>
      </w:r>
      <w:r w:rsidRPr="00E3756C">
        <w:t>:</w:t>
      </w:r>
    </w:p>
    <w:p w14:paraId="74AA31D6" w14:textId="77777777" w:rsidR="00960347" w:rsidRPr="00E3756C" w:rsidRDefault="002D7528" w:rsidP="00901EAE">
      <w:pPr>
        <w:pStyle w:val="Bullet"/>
      </w:pPr>
      <w:r w:rsidRPr="00E3756C">
        <w:t>p</w:t>
      </w:r>
      <w:r w:rsidR="00960347" w:rsidRPr="00E3756C">
        <w:t>an-Māori organisations</w:t>
      </w:r>
    </w:p>
    <w:p w14:paraId="4046DEDF" w14:textId="77777777" w:rsidR="00960347" w:rsidRPr="00E3756C" w:rsidRDefault="002D7528" w:rsidP="00901EAE">
      <w:pPr>
        <w:pStyle w:val="Bullet"/>
      </w:pPr>
      <w:r w:rsidRPr="00E3756C">
        <w:t>r</w:t>
      </w:r>
      <w:r w:rsidR="00960347" w:rsidRPr="00E3756C">
        <w:t>esearchers (ie</w:t>
      </w:r>
      <w:r w:rsidR="00630984" w:rsidRPr="00E3756C">
        <w:t>,</w:t>
      </w:r>
      <w:r w:rsidR="00960347" w:rsidRPr="00E3756C">
        <w:t xml:space="preserve"> C</w:t>
      </w:r>
      <w:r w:rsidR="00630984" w:rsidRPr="00E3756C">
        <w:t>rown research institutes</w:t>
      </w:r>
      <w:r w:rsidR="00960347" w:rsidRPr="00E3756C">
        <w:t xml:space="preserve">, </w:t>
      </w:r>
      <w:r w:rsidR="00630984" w:rsidRPr="00E3756C">
        <w:t>u</w:t>
      </w:r>
      <w:r w:rsidR="00960347" w:rsidRPr="00E3756C">
        <w:t>niversities, private research companies)</w:t>
      </w:r>
    </w:p>
    <w:p w14:paraId="79E0DBDD" w14:textId="77777777" w:rsidR="00960347" w:rsidRPr="00E3756C" w:rsidRDefault="00630984" w:rsidP="00901EAE">
      <w:pPr>
        <w:pStyle w:val="Bullet"/>
      </w:pPr>
      <w:r w:rsidRPr="00E3756C">
        <w:t>p</w:t>
      </w:r>
      <w:r w:rsidR="00960347" w:rsidRPr="00E3756C">
        <w:t>olicy analysts (ie</w:t>
      </w:r>
      <w:r w:rsidRPr="00E3756C">
        <w:t>,</w:t>
      </w:r>
      <w:r w:rsidR="00960347" w:rsidRPr="00E3756C">
        <w:t xml:space="preserve"> climate</w:t>
      </w:r>
      <w:r w:rsidRPr="00E3756C">
        <w:t xml:space="preserve">, </w:t>
      </w:r>
      <w:r w:rsidR="00960347" w:rsidRPr="00E3756C">
        <w:t>hazard</w:t>
      </w:r>
      <w:r w:rsidRPr="00E3756C">
        <w:t xml:space="preserve">, </w:t>
      </w:r>
      <w:r w:rsidR="00960347" w:rsidRPr="00E3756C">
        <w:t>risk and climate policy) in central and local government (including quasi-government organisations and state-owned enterprises)</w:t>
      </w:r>
    </w:p>
    <w:p w14:paraId="425F98BC" w14:textId="77777777" w:rsidR="00960347" w:rsidRPr="00E3756C" w:rsidRDefault="00630984" w:rsidP="00901EAE">
      <w:pPr>
        <w:pStyle w:val="Bullet"/>
      </w:pPr>
      <w:r w:rsidRPr="00E3756C">
        <w:t>p</w:t>
      </w:r>
      <w:r w:rsidR="00960347" w:rsidRPr="00E3756C">
        <w:t>ractitioners (ie</w:t>
      </w:r>
      <w:r w:rsidRPr="00E3756C">
        <w:t>,</w:t>
      </w:r>
      <w:r w:rsidR="00960347" w:rsidRPr="00E3756C">
        <w:t xml:space="preserve"> planners, engineers, economists, social, cultural) with experience in climate matters</w:t>
      </w:r>
    </w:p>
    <w:p w14:paraId="68732A0E" w14:textId="77777777" w:rsidR="00960347" w:rsidRPr="00E3756C" w:rsidRDefault="00F0657C" w:rsidP="00901EAE">
      <w:pPr>
        <w:pStyle w:val="Bullet"/>
      </w:pPr>
      <w:r w:rsidRPr="00E3756C">
        <w:t>p</w:t>
      </w:r>
      <w:r w:rsidR="00960347" w:rsidRPr="00E3756C">
        <w:t>rofessional bodies (ie</w:t>
      </w:r>
      <w:r w:rsidRPr="00E3756C">
        <w:t>,</w:t>
      </w:r>
      <w:r w:rsidR="00960347" w:rsidRPr="00E3756C">
        <w:t xml:space="preserve"> </w:t>
      </w:r>
      <w:r w:rsidR="00900DCA" w:rsidRPr="00E3756C">
        <w:t>Society of Local Government Managers</w:t>
      </w:r>
      <w:r w:rsidR="00960347" w:rsidRPr="00E3756C">
        <w:t>, Engineering N</w:t>
      </w:r>
      <w:r w:rsidRPr="00E3756C">
        <w:t xml:space="preserve">ew </w:t>
      </w:r>
      <w:r w:rsidR="00960347" w:rsidRPr="00E3756C">
        <w:t>Z</w:t>
      </w:r>
      <w:r w:rsidRPr="00E3756C">
        <w:t>ealand</w:t>
      </w:r>
      <w:r w:rsidR="00960347" w:rsidRPr="00E3756C">
        <w:t>, N</w:t>
      </w:r>
      <w:r w:rsidRPr="00E3756C">
        <w:t xml:space="preserve">ew </w:t>
      </w:r>
      <w:r w:rsidR="00960347" w:rsidRPr="00E3756C">
        <w:t>Z</w:t>
      </w:r>
      <w:r w:rsidRPr="00E3756C">
        <w:t>ealand</w:t>
      </w:r>
      <w:r w:rsidR="00960347" w:rsidRPr="00E3756C">
        <w:t xml:space="preserve"> Planning Institute, N</w:t>
      </w:r>
      <w:r w:rsidRPr="00E3756C">
        <w:t xml:space="preserve">ew </w:t>
      </w:r>
      <w:r w:rsidR="00960347" w:rsidRPr="00E3756C">
        <w:t>Z</w:t>
      </w:r>
      <w:r w:rsidRPr="00E3756C">
        <w:t>ealand</w:t>
      </w:r>
      <w:r w:rsidR="00960347" w:rsidRPr="00E3756C">
        <w:t xml:space="preserve"> Sustainability Council) </w:t>
      </w:r>
      <w:r w:rsidR="00DB28C9" w:rsidRPr="00E3756C">
        <w:t xml:space="preserve">and </w:t>
      </w:r>
      <w:r w:rsidR="00960347" w:rsidRPr="00E3756C">
        <w:t>representatives well</w:t>
      </w:r>
      <w:r w:rsidR="00DB28C9" w:rsidRPr="00E3756C">
        <w:t xml:space="preserve"> </w:t>
      </w:r>
      <w:r w:rsidR="00960347" w:rsidRPr="00E3756C">
        <w:t>versed in climate</w:t>
      </w:r>
      <w:r w:rsidR="00DB28C9" w:rsidRPr="00E3756C">
        <w:t xml:space="preserve"> </w:t>
      </w:r>
      <w:r w:rsidR="00960347" w:rsidRPr="00E3756C">
        <w:t>change issues.</w:t>
      </w:r>
    </w:p>
    <w:p w14:paraId="2521390C" w14:textId="77777777" w:rsidR="00960347" w:rsidRPr="00E3756C" w:rsidRDefault="00960347" w:rsidP="00901EAE">
      <w:pPr>
        <w:pStyle w:val="Heading3"/>
      </w:pPr>
      <w:bookmarkStart w:id="141" w:name="_Toc13570372"/>
      <w:r w:rsidRPr="00E3756C">
        <w:t>Guidance on Step 3: Identify future climate</w:t>
      </w:r>
      <w:r w:rsidR="00DB28C9" w:rsidRPr="00E3756C">
        <w:t xml:space="preserve"> </w:t>
      </w:r>
      <w:r w:rsidRPr="00E3756C">
        <w:t>change risks and</w:t>
      </w:r>
      <w:r w:rsidR="000C2EF8" w:rsidRPr="00E3756C">
        <w:t> </w:t>
      </w:r>
      <w:r w:rsidRPr="00E3756C">
        <w:t>opportunities</w:t>
      </w:r>
      <w:bookmarkEnd w:id="141"/>
    </w:p>
    <w:p w14:paraId="069652A9" w14:textId="77777777" w:rsidR="00960347" w:rsidRPr="00E3756C" w:rsidRDefault="00960347" w:rsidP="00901EAE">
      <w:pPr>
        <w:pStyle w:val="BodyText"/>
      </w:pPr>
      <w:r w:rsidRPr="00E3756C">
        <w:t>Once the source of your climate</w:t>
      </w:r>
      <w:r w:rsidR="0035746D" w:rsidRPr="00E3756C">
        <w:t xml:space="preserve"> </w:t>
      </w:r>
      <w:r w:rsidRPr="00E3756C">
        <w:t xml:space="preserve">change projection data or information for the recommended timeframes is finalised (completed </w:t>
      </w:r>
      <w:hyperlink w:anchor="tableB11" w:history="1">
        <w:r w:rsidR="0074552A" w:rsidRPr="00E3756C">
          <w:rPr>
            <w:rStyle w:val="Hyperlink"/>
          </w:rPr>
          <w:t>t</w:t>
        </w:r>
        <w:r w:rsidRPr="00E3756C">
          <w:rPr>
            <w:rStyle w:val="Hyperlink"/>
          </w:rPr>
          <w:t>able B1-1</w:t>
        </w:r>
      </w:hyperlink>
      <w:r w:rsidRPr="00E3756C">
        <w:t>), start exploring the degree of climate</w:t>
      </w:r>
      <w:r w:rsidR="0074552A" w:rsidRPr="00E3756C">
        <w:t xml:space="preserve"> </w:t>
      </w:r>
      <w:r w:rsidRPr="00E3756C">
        <w:t xml:space="preserve">change </w:t>
      </w:r>
      <w:r w:rsidR="0074552A" w:rsidRPr="00E3756C">
        <w:t xml:space="preserve">impacts </w:t>
      </w:r>
      <w:r w:rsidRPr="00E3756C">
        <w:t xml:space="preserve">that will </w:t>
      </w:r>
      <w:r w:rsidR="00CA78FE" w:rsidRPr="00E3756C">
        <w:t>a</w:t>
      </w:r>
      <w:r w:rsidR="0074552A" w:rsidRPr="00E3756C">
        <w:t xml:space="preserve">ffect </w:t>
      </w:r>
      <w:r w:rsidRPr="00E3756C">
        <w:t xml:space="preserve">the relevant value domain. </w:t>
      </w:r>
      <w:r w:rsidR="0074552A" w:rsidRPr="00E3756C">
        <w:t>S</w:t>
      </w:r>
      <w:r w:rsidRPr="00E3756C">
        <w:t xml:space="preserve">ector or domain climate impact scenarios </w:t>
      </w:r>
      <w:r w:rsidR="0074552A" w:rsidRPr="00E3756C">
        <w:t xml:space="preserve">may </w:t>
      </w:r>
      <w:r w:rsidRPr="00E3756C">
        <w:t xml:space="preserve">already </w:t>
      </w:r>
      <w:r w:rsidR="0074552A" w:rsidRPr="00E3756C">
        <w:t xml:space="preserve">have </w:t>
      </w:r>
      <w:r w:rsidRPr="00E3756C">
        <w:t>been developed and analysed that would be useful to introduce to the first-pass screening assessment</w:t>
      </w:r>
      <w:r w:rsidR="003E5FD6" w:rsidRPr="00E3756C">
        <w:t>. These could be</w:t>
      </w:r>
      <w:r w:rsidR="0073508D" w:rsidRPr="00E3756C">
        <w:t>, for example,</w:t>
      </w:r>
      <w:r w:rsidRPr="00E3756C">
        <w:t xml:space="preserve"> the pastoral sector scenarios in various SLMACC (Sustainable Land Management and Climate Change) research or review reports </w:t>
      </w:r>
      <w:r w:rsidR="00CC2C14" w:rsidRPr="00E3756C">
        <w:t>collated and assessed by</w:t>
      </w:r>
      <w:r w:rsidRPr="00E3756C">
        <w:t xml:space="preserve"> </w:t>
      </w:r>
      <w:r w:rsidR="0073508D" w:rsidRPr="00E3756C">
        <w:t xml:space="preserve">the </w:t>
      </w:r>
      <w:r w:rsidRPr="00E3756C">
        <w:t>M</w:t>
      </w:r>
      <w:r w:rsidR="0073508D" w:rsidRPr="00E3756C">
        <w:t xml:space="preserve">inistry for </w:t>
      </w:r>
      <w:r w:rsidRPr="00E3756C">
        <w:t>P</w:t>
      </w:r>
      <w:r w:rsidR="0073508D" w:rsidRPr="00E3756C">
        <w:t xml:space="preserve">rimary </w:t>
      </w:r>
      <w:r w:rsidRPr="00E3756C">
        <w:t>I</w:t>
      </w:r>
      <w:r w:rsidR="0073508D" w:rsidRPr="00E3756C">
        <w:t>ndustries</w:t>
      </w:r>
      <w:r w:rsidRPr="00E3756C">
        <w:t xml:space="preserve"> </w:t>
      </w:r>
      <w:r w:rsidR="00955913" w:rsidRPr="00E3756C">
        <w:t>(2019)</w:t>
      </w:r>
      <w:r w:rsidRPr="00E3756C">
        <w:t xml:space="preserve">. </w:t>
      </w:r>
    </w:p>
    <w:p w14:paraId="4FEDD3F1" w14:textId="1A603D14" w:rsidR="00960347" w:rsidRPr="00E3756C" w:rsidRDefault="00960347" w:rsidP="00901EAE">
      <w:pPr>
        <w:pStyle w:val="BodyText"/>
      </w:pPr>
      <w:r w:rsidRPr="00E3756C">
        <w:t>Some national</w:t>
      </w:r>
      <w:r w:rsidR="00627EE4">
        <w:t>-</w:t>
      </w:r>
      <w:r w:rsidRPr="00E3756C">
        <w:t>scale</w:t>
      </w:r>
      <w:r w:rsidR="00627EE4">
        <w:t>,</w:t>
      </w:r>
      <w:r w:rsidRPr="00E3756C">
        <w:t xml:space="preserve"> risk exposure assessments have been completed, especially for coastal areas </w:t>
      </w:r>
      <w:r w:rsidR="003E5FD6" w:rsidRPr="00E3756C">
        <w:t xml:space="preserve">affected </w:t>
      </w:r>
      <w:r w:rsidRPr="00E3756C">
        <w:t>by sea-level rise and associated hazards</w:t>
      </w:r>
      <w:r w:rsidR="003E5FD6" w:rsidRPr="00E3756C">
        <w:t xml:space="preserve"> (Bell et al, 2016</w:t>
      </w:r>
      <w:r w:rsidR="00F90528" w:rsidRPr="00E3756C">
        <w:t>; LGNZ, 2019;</w:t>
      </w:r>
      <w:r w:rsidR="000E2143" w:rsidRPr="00E3756C">
        <w:t xml:space="preserve"> </w:t>
      </w:r>
      <w:r w:rsidR="00F90528" w:rsidRPr="00E3756C">
        <w:t>Parliamentary Commissioner for the Environment, 2015; Paulik et al, 2019; Tait, 2019</w:t>
      </w:r>
      <w:r w:rsidR="003E5FD6" w:rsidRPr="00E3756C">
        <w:t>).</w:t>
      </w:r>
      <w:r w:rsidRPr="00E3756C">
        <w:t xml:space="preserve"> These provide a regional and aggregated national-scale analysis of the exposure to sea-level rise and coastal flooding, </w:t>
      </w:r>
      <w:r w:rsidR="003E5FD6" w:rsidRPr="00E3756C">
        <w:t xml:space="preserve">and </w:t>
      </w:r>
      <w:r w:rsidRPr="00E3756C">
        <w:t>a high-level assessment for riverine flood plains</w:t>
      </w:r>
      <w:r w:rsidR="00BE4465" w:rsidRPr="00E3756C">
        <w:t xml:space="preserve"> (Paulik et al, 2019)</w:t>
      </w:r>
      <w:r w:rsidRPr="00E3756C">
        <w:t xml:space="preserve">. </w:t>
      </w:r>
    </w:p>
    <w:p w14:paraId="71E8A761" w14:textId="77777777" w:rsidR="00960347" w:rsidRPr="00E3756C" w:rsidRDefault="00960347" w:rsidP="00901EAE">
      <w:pPr>
        <w:pStyle w:val="BodyText"/>
      </w:pPr>
      <w:r w:rsidRPr="00E3756C">
        <w:t>Questions to ask during this stage of the assessment follow.</w:t>
      </w:r>
    </w:p>
    <w:p w14:paraId="056A247C" w14:textId="77777777" w:rsidR="00960347" w:rsidRPr="00E3756C" w:rsidRDefault="00960347" w:rsidP="00901EAE">
      <w:pPr>
        <w:pStyle w:val="Heading4"/>
      </w:pPr>
      <w:r w:rsidRPr="00E3756C">
        <w:lastRenderedPageBreak/>
        <w:t xml:space="preserve">Can any existing risk get worse under projected climate changes? </w:t>
      </w:r>
    </w:p>
    <w:p w14:paraId="5406606B" w14:textId="5B7629FA" w:rsidR="00960347" w:rsidRPr="00E3756C" w:rsidRDefault="00960347" w:rsidP="00901EAE">
      <w:pPr>
        <w:pStyle w:val="BodyText"/>
      </w:pPr>
      <w:r w:rsidRPr="00E3756C">
        <w:t>Qualitative understanding of the change in direction (increase, decrease or no change) of future climate hazards, as well as other risk</w:t>
      </w:r>
      <w:r w:rsidR="005E22E9" w:rsidRPr="00E3756C">
        <w:t>-</w:t>
      </w:r>
      <w:r w:rsidRPr="00E3756C">
        <w:t>related information (eg</w:t>
      </w:r>
      <w:r w:rsidR="005E22E9" w:rsidRPr="00E3756C">
        <w:t>,</w:t>
      </w:r>
      <w:r w:rsidRPr="00E3756C">
        <w:t xml:space="preserve"> erodibility of the coastline or catchment soils)</w:t>
      </w:r>
      <w:r w:rsidR="005E22E9" w:rsidRPr="00E3756C">
        <w:t>,</w:t>
      </w:r>
      <w:r w:rsidRPr="00E3756C">
        <w:t xml:space="preserve"> should provide a qualitative understanding of how existing risks, identified in </w:t>
      </w:r>
      <w:r w:rsidR="000A17DE">
        <w:t>Step</w:t>
      </w:r>
      <w:r w:rsidRPr="00E3756C">
        <w:t xml:space="preserve"> 2, may change in future at the nominated timeframes.</w:t>
      </w:r>
    </w:p>
    <w:p w14:paraId="13ADCBA1" w14:textId="36A03984" w:rsidR="00960347" w:rsidRPr="00E3756C" w:rsidRDefault="00960347" w:rsidP="00901EAE">
      <w:pPr>
        <w:pStyle w:val="BodyText"/>
      </w:pPr>
      <w:r w:rsidRPr="00E3756C">
        <w:t xml:space="preserve">As an example, with projected sea-level rise, those parts of </w:t>
      </w:r>
      <w:r w:rsidR="005E22E9" w:rsidRPr="00E3756C">
        <w:t xml:space="preserve">the </w:t>
      </w:r>
      <w:r w:rsidRPr="00E3756C">
        <w:t>coast nationally that have previously experienced coastal flooding or erosion-related problems</w:t>
      </w:r>
      <w:r w:rsidR="005E22E9" w:rsidRPr="00E3756C">
        <w:t>,</w:t>
      </w:r>
      <w:r w:rsidRPr="00E3756C">
        <w:t xml:space="preserve"> or </w:t>
      </w:r>
      <w:r w:rsidR="00627EE4">
        <w:t xml:space="preserve">that </w:t>
      </w:r>
      <w:r w:rsidRPr="00E3756C">
        <w:t xml:space="preserve">exhibit a tidal signal in groundwater levels (existing risk), </w:t>
      </w:r>
      <w:r w:rsidR="00312C28" w:rsidRPr="00E3756C">
        <w:t xml:space="preserve">will clearly face </w:t>
      </w:r>
      <w:r w:rsidR="002D7305" w:rsidRPr="00E3756C">
        <w:t xml:space="preserve">increasing </w:t>
      </w:r>
      <w:r w:rsidRPr="00E3756C">
        <w:t xml:space="preserve">risks from these hazards in future. </w:t>
      </w:r>
    </w:p>
    <w:p w14:paraId="0D69A267" w14:textId="77777777" w:rsidR="00960347" w:rsidRPr="00E3756C" w:rsidRDefault="00312C28" w:rsidP="00901EAE">
      <w:pPr>
        <w:pStyle w:val="Heading4"/>
      </w:pPr>
      <w:r w:rsidRPr="00E3756C">
        <w:t xml:space="preserve">Could </w:t>
      </w:r>
      <w:r w:rsidR="00960347" w:rsidRPr="00E3756C">
        <w:t>any new risks emerge under the future projected changes?</w:t>
      </w:r>
    </w:p>
    <w:p w14:paraId="288804C3" w14:textId="32C382AA" w:rsidR="00960347" w:rsidRPr="00E3756C" w:rsidRDefault="00EA0168" w:rsidP="006B023C">
      <w:pPr>
        <w:pStyle w:val="BodyText"/>
      </w:pPr>
      <w:r>
        <w:t>Just b</w:t>
      </w:r>
      <w:r w:rsidR="004B0F86" w:rsidRPr="00E3756C">
        <w:t>ecause an</w:t>
      </w:r>
      <w:r w:rsidR="00312C28" w:rsidRPr="00E3756C">
        <w:t xml:space="preserve"> area has </w:t>
      </w:r>
      <w:r w:rsidR="00960347" w:rsidRPr="00E3756C">
        <w:t xml:space="preserve">no previous record of a particular hazard, </w:t>
      </w:r>
      <w:r w:rsidR="002816A7" w:rsidRPr="00E3756C">
        <w:t xml:space="preserve">this </w:t>
      </w:r>
      <w:r w:rsidR="004B0F86" w:rsidRPr="00E3756C">
        <w:t xml:space="preserve">is </w:t>
      </w:r>
      <w:r w:rsidR="00960347" w:rsidRPr="00E3756C">
        <w:t xml:space="preserve">not </w:t>
      </w:r>
      <w:r w:rsidR="004B0F86" w:rsidRPr="00E3756C">
        <w:t xml:space="preserve">a </w:t>
      </w:r>
      <w:r w:rsidR="00960347" w:rsidRPr="00E3756C">
        <w:t xml:space="preserve">guarantee it will not happen in future. </w:t>
      </w:r>
      <w:r w:rsidR="00A07D6F">
        <w:t>The assessor</w:t>
      </w:r>
      <w:r w:rsidR="00A07D6F" w:rsidRPr="00E3756C">
        <w:t xml:space="preserve"> </w:t>
      </w:r>
      <w:r w:rsidR="00960347" w:rsidRPr="00E3756C">
        <w:t xml:space="preserve">should consider whether the qualitative change of a hazard in future could give rise to risk </w:t>
      </w:r>
      <w:r w:rsidR="00EE2B8C" w:rsidRPr="00E3756C">
        <w:t xml:space="preserve">that </w:t>
      </w:r>
      <w:r w:rsidR="00960347" w:rsidRPr="00E3756C">
        <w:t>has not yet been realised (</w:t>
      </w:r>
      <w:r w:rsidR="009A6C99" w:rsidRPr="00E3756C">
        <w:t>CoastAdapt</w:t>
      </w:r>
      <w:r w:rsidR="00960347" w:rsidRPr="00E3756C">
        <w:t>, 2016). As an example, prolonged summer heatwaves may not be an issue in some coastal urban areas</w:t>
      </w:r>
      <w:r w:rsidR="00C27590" w:rsidRPr="00E3756C">
        <w:t>,</w:t>
      </w:r>
      <w:r w:rsidR="00960347" w:rsidRPr="00E3756C">
        <w:t xml:space="preserve"> like Auckland at present</w:t>
      </w:r>
      <w:r w:rsidR="00C27590" w:rsidRPr="00E3756C">
        <w:t>,</w:t>
      </w:r>
      <w:r w:rsidR="00960347" w:rsidRPr="00E3756C">
        <w:t xml:space="preserve"> </w:t>
      </w:r>
      <w:r w:rsidR="00C27590" w:rsidRPr="00E3756C">
        <w:t>b</w:t>
      </w:r>
      <w:r w:rsidR="00960347" w:rsidRPr="00E3756C">
        <w:t>ut with rapid urbanisation</w:t>
      </w:r>
      <w:r w:rsidR="00C27590" w:rsidRPr="00E3756C">
        <w:t>,</w:t>
      </w:r>
      <w:r w:rsidR="00960347" w:rsidRPr="00E3756C">
        <w:t xml:space="preserve"> combined with growth in </w:t>
      </w:r>
      <w:r w:rsidR="00C27590" w:rsidRPr="00E3756C">
        <w:t xml:space="preserve">the </w:t>
      </w:r>
      <w:r w:rsidR="00960347" w:rsidRPr="00E3756C">
        <w:t xml:space="preserve">aged population and </w:t>
      </w:r>
      <w:r w:rsidR="00C27590" w:rsidRPr="00E3756C">
        <w:t xml:space="preserve">a </w:t>
      </w:r>
      <w:r w:rsidR="00960347" w:rsidRPr="00E3756C">
        <w:t xml:space="preserve">rise in average temperature, the health risk to people living in </w:t>
      </w:r>
      <w:r w:rsidR="00C27590" w:rsidRPr="00E3756C">
        <w:t xml:space="preserve">these </w:t>
      </w:r>
      <w:r w:rsidR="00960347" w:rsidRPr="00E3756C">
        <w:t>area</w:t>
      </w:r>
      <w:r w:rsidR="00C27590" w:rsidRPr="00E3756C">
        <w:t>s</w:t>
      </w:r>
      <w:r w:rsidR="00960347" w:rsidRPr="00E3756C">
        <w:t xml:space="preserve"> may increase in future heatwaves. Another example </w:t>
      </w:r>
      <w:r w:rsidR="00627EE4">
        <w:t>could</w:t>
      </w:r>
      <w:r w:rsidR="00627EE4" w:rsidRPr="00E3756C">
        <w:t xml:space="preserve"> </w:t>
      </w:r>
      <w:r w:rsidR="00960347" w:rsidRPr="00E3756C">
        <w:t>be as sea level increases, the increased extent of semi-permanent</w:t>
      </w:r>
      <w:r w:rsidR="00C27590" w:rsidRPr="00E3756C">
        <w:t>,</w:t>
      </w:r>
      <w:r w:rsidR="00960347" w:rsidRPr="00E3756C">
        <w:t xml:space="preserve"> high-tide inundation or coastal flooding could create new challenges</w:t>
      </w:r>
      <w:r w:rsidR="00BA4A04" w:rsidRPr="00E3756C">
        <w:t>.</w:t>
      </w:r>
      <w:r w:rsidR="00960347" w:rsidRPr="00E3756C">
        <w:t xml:space="preserve"> </w:t>
      </w:r>
      <w:r w:rsidR="00BA4A04" w:rsidRPr="00E3756C">
        <w:t>F</w:t>
      </w:r>
      <w:r w:rsidR="00C27590" w:rsidRPr="00E3756C">
        <w:t>or example,</w:t>
      </w:r>
      <w:r w:rsidR="00960347" w:rsidRPr="00E3756C">
        <w:t xml:space="preserve"> large tracts of coastline in </w:t>
      </w:r>
      <w:r w:rsidR="004B0F86" w:rsidRPr="00E3756C">
        <w:t xml:space="preserve">Aotearoa </w:t>
      </w:r>
      <w:r w:rsidR="00960347" w:rsidRPr="00E3756C">
        <w:t>N</w:t>
      </w:r>
      <w:r w:rsidR="00C27590" w:rsidRPr="00E3756C">
        <w:t xml:space="preserve">ew </w:t>
      </w:r>
      <w:r w:rsidR="00960347" w:rsidRPr="00E3756C">
        <w:t>Z</w:t>
      </w:r>
      <w:r w:rsidR="00C27590" w:rsidRPr="00E3756C">
        <w:t>ealand</w:t>
      </w:r>
      <w:r w:rsidR="00960347" w:rsidRPr="00E3756C">
        <w:t xml:space="preserve"> have not yet experienced these impacts but</w:t>
      </w:r>
      <w:r w:rsidR="00C27590" w:rsidRPr="00E3756C">
        <w:t>,</w:t>
      </w:r>
      <w:r w:rsidR="00960347" w:rsidRPr="00E3756C">
        <w:t xml:space="preserve"> with ongoing rising seas, it will only be a matter of time before such risks emerge. </w:t>
      </w:r>
    </w:p>
    <w:p w14:paraId="052B814A" w14:textId="77777777" w:rsidR="00960347" w:rsidRPr="00E3756C" w:rsidRDefault="00960347" w:rsidP="006B023C">
      <w:pPr>
        <w:pStyle w:val="BodyText"/>
      </w:pPr>
      <w:r w:rsidRPr="00E3756C">
        <w:t>List any possible future damage, losses or declines in services or primary production against each of the relevant hazards</w:t>
      </w:r>
      <w:r w:rsidR="00BA4A04" w:rsidRPr="00E3756C">
        <w:t xml:space="preserve"> (CoastAdapt, 2016)</w:t>
      </w:r>
      <w:r w:rsidRPr="00E3756C">
        <w:t xml:space="preserve">. This will help identify assets, areas, activities, environments, cultural taonga or communities that may be exposed to </w:t>
      </w:r>
      <w:r w:rsidR="00BA4A04" w:rsidRPr="00E3756C">
        <w:t xml:space="preserve">future </w:t>
      </w:r>
      <w:r w:rsidRPr="00E3756C">
        <w:t>climate</w:t>
      </w:r>
      <w:r w:rsidR="00C27590" w:rsidRPr="00E3756C">
        <w:t>-</w:t>
      </w:r>
      <w:r w:rsidRPr="00E3756C">
        <w:t xml:space="preserve">related hazards. In the coastal situation, the coastal risk-exposure reports above would </w:t>
      </w:r>
      <w:r w:rsidR="00BA4A04" w:rsidRPr="00E3756C">
        <w:t xml:space="preserve">give </w:t>
      </w:r>
      <w:r w:rsidRPr="00E3756C">
        <w:t>an indication of the emergence of those risks in different coastal regions of New Zealand</w:t>
      </w:r>
      <w:r w:rsidR="00BA4A04" w:rsidRPr="00E3756C">
        <w:t>,</w:t>
      </w:r>
      <w:r w:rsidRPr="00E3756C">
        <w:t xml:space="preserve"> </w:t>
      </w:r>
      <w:r w:rsidR="00BA4A04" w:rsidRPr="00E3756C">
        <w:t xml:space="preserve">for example, </w:t>
      </w:r>
      <w:r w:rsidRPr="00E3756C">
        <w:t>number of buildings and roads exposed at different sea-level rise increments.</w:t>
      </w:r>
    </w:p>
    <w:p w14:paraId="710B9C31" w14:textId="77777777" w:rsidR="000F62E5" w:rsidRPr="00E3756C" w:rsidRDefault="000F62E5" w:rsidP="000F62E5">
      <w:pPr>
        <w:pStyle w:val="Heading4"/>
      </w:pPr>
      <w:r w:rsidRPr="00E3756C">
        <w:t>How confident are we in the strength of the evidence base (information, knowledge,</w:t>
      </w:r>
      <w:r w:rsidR="00F05EA4" w:rsidRPr="00E3756C">
        <w:t> </w:t>
      </w:r>
      <w:r w:rsidRPr="00E3756C">
        <w:t xml:space="preserve">from elicitation) for assessing the risk? </w:t>
      </w:r>
    </w:p>
    <w:p w14:paraId="6573F95C" w14:textId="109B9665" w:rsidR="000F62E5" w:rsidRPr="00E3756C" w:rsidRDefault="000F62E5" w:rsidP="000F62E5">
      <w:pPr>
        <w:pStyle w:val="BodyText"/>
      </w:pPr>
      <w:r w:rsidRPr="00E3756C">
        <w:t xml:space="preserve">Some rating of the strength of evidence is important before evaluating the risk in </w:t>
      </w:r>
      <w:r w:rsidR="000A17DE">
        <w:t>Step</w:t>
      </w:r>
      <w:r w:rsidRPr="00E3756C">
        <w:t xml:space="preserve"> 4 (especially if the rating is low)</w:t>
      </w:r>
      <w:r w:rsidR="00CA2EF0" w:rsidRPr="00E3756C">
        <w:t>.</w:t>
      </w:r>
      <w:r w:rsidRPr="00E3756C">
        <w:t xml:space="preserve"> </w:t>
      </w:r>
      <w:r w:rsidR="00CA2EF0" w:rsidRPr="00E3756C">
        <w:t>It is also important for</w:t>
      </w:r>
      <w:r w:rsidRPr="00E3756C">
        <w:t xml:space="preserve"> transparent communicat</w:t>
      </w:r>
      <w:r w:rsidR="00CA2EF0" w:rsidRPr="00E3756C">
        <w:t>ion</w:t>
      </w:r>
      <w:r w:rsidRPr="00E3756C">
        <w:t xml:space="preserve"> </w:t>
      </w:r>
      <w:r w:rsidR="00CA2EF0" w:rsidRPr="00E3756C">
        <w:t xml:space="preserve">of </w:t>
      </w:r>
      <w:r w:rsidRPr="00E3756C">
        <w:t xml:space="preserve">decisions </w:t>
      </w:r>
      <w:r w:rsidR="00111189" w:rsidRPr="00E3756C">
        <w:t xml:space="preserve">when </w:t>
      </w:r>
      <w:r w:rsidRPr="00E3756C">
        <w:t xml:space="preserve">selecting a category for action in </w:t>
      </w:r>
      <w:r w:rsidR="000124AB" w:rsidRPr="00E3756C">
        <w:t>c</w:t>
      </w:r>
      <w:r w:rsidRPr="00E3756C">
        <w:t xml:space="preserve">hapter B4 (that may </w:t>
      </w:r>
      <w:r w:rsidR="00111189" w:rsidRPr="00E3756C">
        <w:t xml:space="preserve">eventually </w:t>
      </w:r>
      <w:r w:rsidRPr="00E3756C">
        <w:t>be part of the National Adaptation Plan) or for taking the uncertain risk through to the detailed risk assessment stage. If little is known</w:t>
      </w:r>
      <w:r w:rsidR="000124AB" w:rsidRPr="00E3756C">
        <w:t>,</w:t>
      </w:r>
      <w:r w:rsidRPr="00E3756C">
        <w:t xml:space="preserve"> but a climate</w:t>
      </w:r>
      <w:r w:rsidR="000124AB" w:rsidRPr="00E3756C">
        <w:t xml:space="preserve"> </w:t>
      </w:r>
      <w:r w:rsidRPr="00E3756C">
        <w:t xml:space="preserve">change effect is perceived as a threat, then that risk could be a candidate for assigning it to a ‘Research Priority’ action (see </w:t>
      </w:r>
      <w:hyperlink w:anchor="_Chapter_B4:_Assessment" w:history="1">
        <w:r w:rsidR="000124AB" w:rsidRPr="00E3756C">
          <w:rPr>
            <w:rStyle w:val="Hyperlink"/>
          </w:rPr>
          <w:t>c</w:t>
        </w:r>
        <w:r w:rsidRPr="00E3756C">
          <w:rPr>
            <w:rStyle w:val="Hyperlink"/>
          </w:rPr>
          <w:t>hapter B4</w:t>
        </w:r>
      </w:hyperlink>
      <w:r w:rsidRPr="00E3756C">
        <w:t>)</w:t>
      </w:r>
      <w:r w:rsidR="00824E77" w:rsidRPr="00E3756C">
        <w:t>. It could also be</w:t>
      </w:r>
      <w:r w:rsidRPr="00E3756C">
        <w:t xml:space="preserve"> analysed in the detailed risk assessment (</w:t>
      </w:r>
      <w:hyperlink w:anchor="_Chapter_B3:_Assessment" w:history="1">
        <w:r w:rsidR="00DF0B33" w:rsidRPr="00E3756C">
          <w:rPr>
            <w:rStyle w:val="Hyperlink"/>
          </w:rPr>
          <w:t>c</w:t>
        </w:r>
        <w:r w:rsidRPr="00E3756C">
          <w:rPr>
            <w:rStyle w:val="Hyperlink"/>
          </w:rPr>
          <w:t>hapter B3</w:t>
        </w:r>
      </w:hyperlink>
      <w:r w:rsidRPr="00E3756C">
        <w:t>)</w:t>
      </w:r>
      <w:r w:rsidR="00824E77" w:rsidRPr="00E3756C">
        <w:t>,</w:t>
      </w:r>
      <w:r w:rsidRPr="00E3756C">
        <w:t xml:space="preserve"> if information on exposure and vulnerability can be determined through expert and stakeholder elicitation. A suggested score card of the confidence in ‘strength of evidence’ is shown in </w:t>
      </w:r>
      <w:hyperlink w:anchor="tableC21" w:history="1">
        <w:r w:rsidRPr="00E3756C">
          <w:rPr>
            <w:rStyle w:val="Hyperlink"/>
          </w:rPr>
          <w:t>table C2-1</w:t>
        </w:r>
      </w:hyperlink>
      <w:r w:rsidRPr="00E3756C">
        <w:t xml:space="preserve"> in </w:t>
      </w:r>
      <w:r w:rsidR="00DF0B33" w:rsidRPr="00E3756C">
        <w:t>c</w:t>
      </w:r>
      <w:r w:rsidRPr="00E3756C">
        <w:t>hapter C2.</w:t>
      </w:r>
    </w:p>
    <w:p w14:paraId="2D323E7A" w14:textId="77777777" w:rsidR="000F62E5" w:rsidRPr="00E3756C" w:rsidRDefault="000F62E5" w:rsidP="000F62E5">
      <w:pPr>
        <w:pStyle w:val="Heading4"/>
      </w:pPr>
      <w:r w:rsidRPr="00E3756C">
        <w:t>Precursory mapping of climate change threats and opportunities</w:t>
      </w:r>
    </w:p>
    <w:p w14:paraId="7B93920D" w14:textId="2EA08BE6" w:rsidR="000F62E5" w:rsidRPr="00E3756C" w:rsidRDefault="000F62E5" w:rsidP="000F62E5">
      <w:pPr>
        <w:pStyle w:val="BodyText"/>
      </w:pPr>
      <w:r w:rsidRPr="00E3756C">
        <w:t xml:space="preserve">In </w:t>
      </w:r>
      <w:r w:rsidR="000A17DE">
        <w:t>Step</w:t>
      </w:r>
      <w:r w:rsidRPr="00E3756C">
        <w:t xml:space="preserve"> 3, precursory mapping of a value domain or sector</w:t>
      </w:r>
      <w:r w:rsidR="00824E77" w:rsidRPr="00E3756C">
        <w:t>’s elements</w:t>
      </w:r>
      <w:r w:rsidRPr="00E3756C">
        <w:t xml:space="preserve"> (where specific climate risks are known at the sector level) to the generic list of climate</w:t>
      </w:r>
      <w:r w:rsidR="00B84691" w:rsidRPr="00E3756C">
        <w:t xml:space="preserve"> </w:t>
      </w:r>
      <w:r w:rsidRPr="00E3756C">
        <w:t>change hazards (</w:t>
      </w:r>
      <w:hyperlink w:anchor="tableB12" w:history="1">
        <w:r w:rsidR="00734D85" w:rsidRPr="00E3756C">
          <w:rPr>
            <w:rStyle w:val="Hyperlink"/>
          </w:rPr>
          <w:t>t</w:t>
        </w:r>
        <w:r w:rsidRPr="00E3756C">
          <w:rPr>
            <w:rStyle w:val="Hyperlink"/>
          </w:rPr>
          <w:t>able B1-2</w:t>
        </w:r>
      </w:hyperlink>
      <w:r w:rsidRPr="00E3756C">
        <w:t xml:space="preserve">, </w:t>
      </w:r>
      <w:r w:rsidR="00734D85" w:rsidRPr="00E3756C">
        <w:t>c</w:t>
      </w:r>
      <w:r w:rsidRPr="00E3756C">
        <w:t xml:space="preserve">hapter B1) will be a useful preliminary step to identify which elements could be exposed to a hazard, or are neutral (ie, not relevant or impact on that element is minor or unlikely). </w:t>
      </w:r>
    </w:p>
    <w:p w14:paraId="675704B7" w14:textId="77777777" w:rsidR="000F62E5" w:rsidRPr="00E3756C" w:rsidRDefault="000F62E5" w:rsidP="000F62E5">
      <w:pPr>
        <w:pStyle w:val="BodyText"/>
      </w:pPr>
      <w:r w:rsidRPr="00E3756C">
        <w:lastRenderedPageBreak/>
        <w:t xml:space="preserve">Such an exercise provides a wider landscape of the impacts and can be a useful starting </w:t>
      </w:r>
      <w:r w:rsidR="00734D85" w:rsidRPr="00E3756C">
        <w:t xml:space="preserve">point </w:t>
      </w:r>
      <w:r w:rsidRPr="00E3756C">
        <w:t>for engaging with stakeholders, Māori</w:t>
      </w:r>
      <w:r w:rsidR="00734D85" w:rsidRPr="00E3756C">
        <w:t xml:space="preserve">, </w:t>
      </w:r>
      <w:r w:rsidRPr="00E3756C">
        <w:t>iwi</w:t>
      </w:r>
      <w:r w:rsidR="00734D85" w:rsidRPr="00E3756C">
        <w:t xml:space="preserve">, </w:t>
      </w:r>
      <w:r w:rsidRPr="00E3756C">
        <w:t xml:space="preserve">hāpu, sector leaders and experts on the relevancy of hazards and their potential impacts. </w:t>
      </w:r>
    </w:p>
    <w:p w14:paraId="105CD466" w14:textId="77777777" w:rsidR="000F62E5" w:rsidRPr="00E3756C" w:rsidRDefault="000F62E5" w:rsidP="000F62E5">
      <w:pPr>
        <w:pStyle w:val="BodyText"/>
        <w:rPr>
          <w:highlight w:val="yellow"/>
        </w:rPr>
      </w:pPr>
      <w:r w:rsidRPr="00E3756C">
        <w:t xml:space="preserve">Table B2-1 shows an example that encapsulates this precursory mapping. </w:t>
      </w:r>
    </w:p>
    <w:p w14:paraId="544D0074" w14:textId="77777777" w:rsidR="000F62E5" w:rsidRPr="00E3756C" w:rsidRDefault="000F62E5" w:rsidP="000F62E5">
      <w:pPr>
        <w:pStyle w:val="Tableheading"/>
        <w:rPr>
          <w:b w:val="0"/>
        </w:rPr>
      </w:pPr>
      <w:bookmarkStart w:id="142" w:name="tableB21"/>
      <w:bookmarkStart w:id="143" w:name="_Toc16586496"/>
      <w:r w:rsidRPr="00E3756C">
        <w:t>Table B2-1</w:t>
      </w:r>
      <w:bookmarkEnd w:id="142"/>
      <w:r w:rsidRPr="00E3756C">
        <w:t>:</w:t>
      </w:r>
      <w:r w:rsidRPr="00E3756C">
        <w:tab/>
        <w:t>Example template</w:t>
      </w:r>
      <w:r w:rsidR="00342401" w:rsidRPr="00E3756C">
        <w:t xml:space="preserve"> for precursory mapping of climate change threats and opportunities</w:t>
      </w:r>
      <w:bookmarkEnd w:id="143"/>
      <w:r w:rsidRPr="00E3756C">
        <w:rPr>
          <w:b w:val="0"/>
        </w:rPr>
        <w:t xml:space="preserve"> </w:t>
      </w:r>
    </w:p>
    <w:p w14:paraId="29175336" w14:textId="77777777" w:rsidR="000F62E5" w:rsidRPr="00E3756C" w:rsidRDefault="00C47F4C" w:rsidP="000F62E5">
      <w:pPr>
        <w:pStyle w:val="BodyText"/>
      </w:pPr>
      <w:r w:rsidRPr="00C47F4C">
        <w:rPr>
          <w:noProof/>
        </w:rPr>
        <w:drawing>
          <wp:inline distT="0" distB="0" distL="0" distR="0" wp14:anchorId="76D41B0D" wp14:editId="421ECAD7">
            <wp:extent cx="5436235" cy="398932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6235" cy="3989328"/>
                    </a:xfrm>
                    <a:prstGeom prst="rect">
                      <a:avLst/>
                    </a:prstGeom>
                    <a:noFill/>
                    <a:ln>
                      <a:noFill/>
                    </a:ln>
                  </pic:spPr>
                </pic:pic>
              </a:graphicData>
            </a:graphic>
          </wp:inline>
        </w:drawing>
      </w:r>
    </w:p>
    <w:p w14:paraId="7EDFF5C3" w14:textId="77777777" w:rsidR="00342401" w:rsidRPr="00E3756C" w:rsidRDefault="00342401" w:rsidP="004D62A8">
      <w:pPr>
        <w:pStyle w:val="Note"/>
      </w:pPr>
      <w:r w:rsidRPr="00E3756C">
        <w:t>Note: This example template provides for precursory mapping of potential threats (from hazards) for each element of a value domain or sector, or where the climate</w:t>
      </w:r>
      <w:r w:rsidR="00060468" w:rsidRPr="00E3756C">
        <w:t xml:space="preserve"> </w:t>
      </w:r>
      <w:r w:rsidRPr="00E3756C">
        <w:t>change effect is not likely to be significant or relevant to that domain or sector (blank cell).</w:t>
      </w:r>
      <w:r w:rsidR="00060468" w:rsidRPr="00E3756C">
        <w:t xml:space="preserve"> SLR = sea-level rise.</w:t>
      </w:r>
    </w:p>
    <w:p w14:paraId="70E42E0D" w14:textId="01AE24CB" w:rsidR="000F62E5" w:rsidRPr="00E3756C" w:rsidRDefault="000F62E5" w:rsidP="000F62E5">
      <w:pPr>
        <w:pStyle w:val="BodyText"/>
        <w:spacing w:before="240"/>
      </w:pPr>
      <w:r w:rsidRPr="00E3756C">
        <w:t>This template example, which maps climate</w:t>
      </w:r>
      <w:r w:rsidR="00B735E4" w:rsidRPr="00E3756C">
        <w:t xml:space="preserve"> </w:t>
      </w:r>
      <w:r w:rsidRPr="00E3756C">
        <w:t>change effects (hazards) to elements of a value domain or sector, can be updated throughout the risk assessment and engagement processes (as new information is revealed), and to provide an overview of where the risks potentially lie from climate change. The relevant climate</w:t>
      </w:r>
      <w:r w:rsidR="00B735E4" w:rsidRPr="00E3756C">
        <w:t xml:space="preserve"> </w:t>
      </w:r>
      <w:r w:rsidRPr="00E3756C">
        <w:t>change threats for each element of a value domain or sector can then be taken through to the first-pass climate</w:t>
      </w:r>
      <w:r w:rsidR="00A621CD" w:rsidRPr="00E3756C">
        <w:t xml:space="preserve"> </w:t>
      </w:r>
      <w:r w:rsidRPr="00E3756C">
        <w:t>change risk screening (</w:t>
      </w:r>
      <w:r w:rsidR="000A17DE">
        <w:t>Step</w:t>
      </w:r>
      <w:r w:rsidRPr="00E3756C">
        <w:t xml:space="preserve"> 4).</w:t>
      </w:r>
    </w:p>
    <w:p w14:paraId="7CC79E6E" w14:textId="591D758F" w:rsidR="000F62E5" w:rsidRPr="00E3756C" w:rsidRDefault="000F62E5" w:rsidP="000F62E5">
      <w:pPr>
        <w:pStyle w:val="Heading3"/>
      </w:pPr>
      <w:r w:rsidRPr="00E3756C">
        <w:t xml:space="preserve">Guidance on </w:t>
      </w:r>
      <w:r w:rsidR="000A17DE">
        <w:t>Step</w:t>
      </w:r>
      <w:r w:rsidRPr="00E3756C">
        <w:t xml:space="preserve"> 4: Analyse risks and evaluate priorities for detailed risk assessment</w:t>
      </w:r>
      <w:r w:rsidR="00484C8A" w:rsidRPr="00E3756C">
        <w:t xml:space="preserve"> </w:t>
      </w:r>
      <w:r w:rsidRPr="00E3756C">
        <w:t>or exploration of opportunities</w:t>
      </w:r>
    </w:p>
    <w:p w14:paraId="1115EFF4" w14:textId="77777777" w:rsidR="000F62E5" w:rsidRPr="00E3756C" w:rsidRDefault="000F62E5" w:rsidP="000F62E5">
      <w:pPr>
        <w:pStyle w:val="Heading4"/>
        <w:spacing w:before="240"/>
      </w:pPr>
      <w:r w:rsidRPr="00E3756C">
        <w:t>Identify hazards or specific risks that may cause problems in the future</w:t>
      </w:r>
    </w:p>
    <w:p w14:paraId="11A31F36" w14:textId="6F0A236C" w:rsidR="000F62E5" w:rsidRPr="00E3756C" w:rsidRDefault="000F62E5" w:rsidP="00BD7BF1">
      <w:pPr>
        <w:pStyle w:val="BodyText"/>
        <w:spacing w:before="100" w:after="100"/>
      </w:pPr>
      <w:r w:rsidRPr="00E3756C">
        <w:t xml:space="preserve">Through structured engagement and elicitation processes </w:t>
      </w:r>
      <w:r w:rsidR="00B51031" w:rsidRPr="00E3756C">
        <w:t xml:space="preserve">that </w:t>
      </w:r>
      <w:r w:rsidRPr="00E3756C">
        <w:t xml:space="preserve">address </w:t>
      </w:r>
      <w:r w:rsidR="000A17DE">
        <w:t>Step</w:t>
      </w:r>
      <w:r w:rsidRPr="00E3756C">
        <w:t xml:space="preserve"> 2</w:t>
      </w:r>
      <w:r w:rsidR="00B51031" w:rsidRPr="00E3756C">
        <w:t xml:space="preserve"> and </w:t>
      </w:r>
      <w:r w:rsidR="000A17DE">
        <w:t>Step</w:t>
      </w:r>
      <w:r w:rsidR="00B51031" w:rsidRPr="00E3756C">
        <w:t xml:space="preserve"> </w:t>
      </w:r>
      <w:r w:rsidRPr="00E3756C">
        <w:t>3</w:t>
      </w:r>
      <w:r w:rsidR="00BB00D1" w:rsidRPr="00E3756C">
        <w:t xml:space="preserve"> questions</w:t>
      </w:r>
      <w:r w:rsidRPr="00E3756C">
        <w:t>, work through risk</w:t>
      </w:r>
      <w:r w:rsidR="00B51031" w:rsidRPr="00E3756C">
        <w:t xml:space="preserve"> </w:t>
      </w:r>
      <w:r w:rsidRPr="00E3756C">
        <w:t>screening summary sheets for the elements in each value domain or sector for the key hazards identified in the precursory mapping in Step 3.</w:t>
      </w:r>
      <w:r w:rsidR="00484C8A" w:rsidRPr="00E3756C">
        <w:t xml:space="preserve"> </w:t>
      </w:r>
      <w:r w:rsidRPr="00E3756C">
        <w:t xml:space="preserve">An example sheet is shown in </w:t>
      </w:r>
      <w:hyperlink w:anchor="tableB22" w:history="1">
        <w:r w:rsidR="00B51031" w:rsidRPr="00E3756C">
          <w:rPr>
            <w:rStyle w:val="Hyperlink"/>
          </w:rPr>
          <w:t>t</w:t>
        </w:r>
        <w:r w:rsidRPr="00E3756C">
          <w:rPr>
            <w:rStyle w:val="Hyperlink"/>
          </w:rPr>
          <w:t>able B2-2</w:t>
        </w:r>
      </w:hyperlink>
      <w:r w:rsidRPr="00E3756C">
        <w:t>.</w:t>
      </w:r>
    </w:p>
    <w:p w14:paraId="39F11D9B" w14:textId="77777777" w:rsidR="000F62E5" w:rsidRPr="00E3756C" w:rsidRDefault="000F62E5" w:rsidP="00BD7BF1">
      <w:pPr>
        <w:pStyle w:val="BodyText"/>
        <w:spacing w:before="100" w:after="100"/>
      </w:pPr>
      <w:r w:rsidRPr="00E3756C">
        <w:lastRenderedPageBreak/>
        <w:t>The threat</w:t>
      </w:r>
      <w:r w:rsidR="00BB00D1" w:rsidRPr="00E3756C">
        <w:t xml:space="preserve"> or </w:t>
      </w:r>
      <w:r w:rsidRPr="00E3756C">
        <w:t xml:space="preserve">opportunity would be derived from a template such as </w:t>
      </w:r>
      <w:hyperlink w:anchor="tableB21" w:history="1">
        <w:r w:rsidR="00BB00D1" w:rsidRPr="00E3756C">
          <w:rPr>
            <w:rStyle w:val="Hyperlink"/>
          </w:rPr>
          <w:t>t</w:t>
        </w:r>
        <w:r w:rsidRPr="00E3756C">
          <w:rPr>
            <w:rStyle w:val="Hyperlink"/>
          </w:rPr>
          <w:t>able B2-1</w:t>
        </w:r>
      </w:hyperlink>
      <w:r w:rsidRPr="00E3756C">
        <w:t xml:space="preserve">, the strength of evidence from </w:t>
      </w:r>
      <w:r w:rsidR="00BB00D1" w:rsidRPr="00E3756C">
        <w:t>t</w:t>
      </w:r>
      <w:r w:rsidRPr="00E3756C">
        <w:t xml:space="preserve">able B2-2, and codes used to indicate the different types of evidence (data, knowledge, reports, existing risk assessments </w:t>
      </w:r>
      <w:r w:rsidR="00BB00D1" w:rsidRPr="00E3756C">
        <w:t>and so on</w:t>
      </w:r>
      <w:r w:rsidRPr="00E3756C">
        <w:t>).</w:t>
      </w:r>
    </w:p>
    <w:p w14:paraId="7209859E" w14:textId="7B4B94E0" w:rsidR="000F62E5" w:rsidRPr="00E3756C" w:rsidRDefault="00B72ACD" w:rsidP="00BD7BF1">
      <w:pPr>
        <w:pStyle w:val="BodyText"/>
        <w:spacing w:before="100" w:after="100"/>
      </w:pPr>
      <w:r w:rsidRPr="00E3756C">
        <w:t>D</w:t>
      </w:r>
      <w:r w:rsidR="000F62E5" w:rsidRPr="00E3756C">
        <w:t>efin</w:t>
      </w:r>
      <w:r w:rsidRPr="00E3756C">
        <w:t>ing</w:t>
      </w:r>
      <w:r w:rsidR="000F62E5" w:rsidRPr="00E3756C">
        <w:t xml:space="preserve"> consistent criteria across all value domains </w:t>
      </w:r>
      <w:r w:rsidRPr="00E3756C">
        <w:t xml:space="preserve">is difficult </w:t>
      </w:r>
      <w:r w:rsidR="000F62E5" w:rsidRPr="00E3756C">
        <w:t xml:space="preserve">for the initial risk rating in the short </w:t>
      </w:r>
      <w:r w:rsidR="00050894">
        <w:t xml:space="preserve">term </w:t>
      </w:r>
      <w:r w:rsidR="000F62E5" w:rsidRPr="00E3756C">
        <w:t>(30 years) and long</w:t>
      </w:r>
      <w:r w:rsidRPr="00E3756C">
        <w:t xml:space="preserve"> </w:t>
      </w:r>
      <w:r w:rsidR="000F62E5" w:rsidRPr="00E3756C">
        <w:t>term (100</w:t>
      </w:r>
      <w:r w:rsidRPr="00E3756C">
        <w:t>-plus</w:t>
      </w:r>
      <w:r w:rsidR="000F62E5" w:rsidRPr="00E3756C">
        <w:t xml:space="preserve"> years)</w:t>
      </w:r>
      <w:r w:rsidRPr="00E3756C">
        <w:t>,</w:t>
      </w:r>
      <w:r w:rsidR="000F62E5" w:rsidRPr="00E3756C">
        <w:t xml:space="preserve"> given the variety of activities and elements. However, </w:t>
      </w:r>
      <w:r w:rsidRPr="00E3756C">
        <w:t>an</w:t>
      </w:r>
      <w:r w:rsidR="000F62E5" w:rsidRPr="00E3756C">
        <w:t xml:space="preserve"> initial step the assessment team should explore when undertaking the facilitated elicitation process (</w:t>
      </w:r>
      <w:r w:rsidR="009E0F48" w:rsidRPr="00E3756C">
        <w:t>‘</w:t>
      </w:r>
      <w:r w:rsidR="000F62E5" w:rsidRPr="00E3756C">
        <w:t>risk workshop</w:t>
      </w:r>
      <w:r w:rsidR="009E0F48" w:rsidRPr="00E3756C">
        <w:t>’</w:t>
      </w:r>
      <w:r w:rsidR="000F62E5" w:rsidRPr="00E3756C">
        <w:t>) for a sector or domain is co-producing qualitative descriptors of what would constitute a low, medium or high risk for th</w:t>
      </w:r>
      <w:r w:rsidR="009E0F48" w:rsidRPr="00E3756C">
        <w:t>e</w:t>
      </w:r>
      <w:r w:rsidR="000F62E5" w:rsidRPr="00E3756C">
        <w:t xml:space="preserve"> sector</w:t>
      </w:r>
      <w:r w:rsidR="009E0F48" w:rsidRPr="00E3756C">
        <w:t>,</w:t>
      </w:r>
      <w:r w:rsidR="000F62E5" w:rsidRPr="00E3756C">
        <w:t xml:space="preserve"> to produce reasonable relativity between risks. It is important in elicitation or workshop processes to revisit</w:t>
      </w:r>
      <w:r w:rsidR="00DE6498" w:rsidRPr="00E3756C">
        <w:t xml:space="preserve"> the </w:t>
      </w:r>
      <w:r w:rsidR="00317278" w:rsidRPr="00E3756C">
        <w:t>risk</w:t>
      </w:r>
      <w:r w:rsidR="00050894">
        <w:t>-</w:t>
      </w:r>
      <w:r w:rsidR="00575897" w:rsidRPr="00E3756C">
        <w:t xml:space="preserve">screening </w:t>
      </w:r>
      <w:r w:rsidR="00DE6498" w:rsidRPr="00E3756C">
        <w:t>scoring</w:t>
      </w:r>
      <w:r w:rsidR="000F62E5" w:rsidRPr="00E3756C">
        <w:t xml:space="preserve"> after the first round</w:t>
      </w:r>
      <w:r w:rsidR="009E0F48" w:rsidRPr="00E3756C">
        <w:t>,</w:t>
      </w:r>
      <w:r w:rsidR="000F62E5" w:rsidRPr="00E3756C">
        <w:t xml:space="preserve"> to apply a relativity lens </w:t>
      </w:r>
      <w:r w:rsidR="00575897" w:rsidRPr="00E3756C">
        <w:t>and</w:t>
      </w:r>
      <w:r w:rsidR="000F62E5" w:rsidRPr="00E3756C">
        <w:t xml:space="preserve"> ensure consistency</w:t>
      </w:r>
      <w:r w:rsidR="00DA6F23" w:rsidRPr="00E3756C">
        <w:t>.</w:t>
      </w:r>
      <w:r w:rsidR="000F62E5" w:rsidRPr="00E3756C">
        <w:t xml:space="preserve"> </w:t>
      </w:r>
      <w:r w:rsidR="00DA6F23" w:rsidRPr="00E3756C">
        <w:t xml:space="preserve">It is </w:t>
      </w:r>
      <w:r w:rsidR="000F62E5" w:rsidRPr="00E3756C">
        <w:t xml:space="preserve">also </w:t>
      </w:r>
      <w:r w:rsidR="00DA6F23" w:rsidRPr="00E3756C">
        <w:t xml:space="preserve">helpful to </w:t>
      </w:r>
      <w:r w:rsidR="000F62E5" w:rsidRPr="00E3756C">
        <w:t>consider input from an external review of the outputs, before proceeding to the detailed risk assessment (</w:t>
      </w:r>
      <w:r w:rsidR="00DE6498" w:rsidRPr="00E3756C">
        <w:t>c</w:t>
      </w:r>
      <w:r w:rsidR="000F62E5" w:rsidRPr="00E3756C">
        <w:t>hapter B3).</w:t>
      </w:r>
      <w:r w:rsidR="00484C8A" w:rsidRPr="00E3756C">
        <w:t xml:space="preserve"> </w:t>
      </w:r>
    </w:p>
    <w:p w14:paraId="7257F515" w14:textId="380CE700" w:rsidR="000F62E5" w:rsidRPr="00E3756C" w:rsidRDefault="000F62E5" w:rsidP="00BD7BF1">
      <w:pPr>
        <w:pStyle w:val="BodyText"/>
        <w:spacing w:before="100" w:after="100"/>
      </w:pPr>
      <w:r w:rsidRPr="00E3756C">
        <w:t>From this first-pass risk assessment and the completed risk</w:t>
      </w:r>
      <w:r w:rsidR="00317278" w:rsidRPr="00E3756C">
        <w:t xml:space="preserve"> </w:t>
      </w:r>
      <w:r w:rsidRPr="00E3756C">
        <w:t xml:space="preserve">screening summary templates, </w:t>
      </w:r>
      <w:r w:rsidR="00A87C47" w:rsidRPr="00E3756C">
        <w:t>several</w:t>
      </w:r>
      <w:r w:rsidRPr="00E3756C">
        <w:t xml:space="preserve"> climate impacts can be identified for further analysis in the detailed risk assessment using criteria defined in </w:t>
      </w:r>
      <w:r w:rsidR="00050894">
        <w:t>S</w:t>
      </w:r>
      <w:r w:rsidR="000A17DE">
        <w:t>tep</w:t>
      </w:r>
      <w:r w:rsidRPr="00E3756C">
        <w:t xml:space="preserve"> 1. </w:t>
      </w:r>
    </w:p>
    <w:p w14:paraId="33621C0B" w14:textId="77777777" w:rsidR="000F62E5" w:rsidRPr="00E3756C" w:rsidRDefault="000F62E5" w:rsidP="00BD7BF1">
      <w:pPr>
        <w:pStyle w:val="Heading4"/>
        <w:spacing w:before="240"/>
      </w:pPr>
      <w:r w:rsidRPr="00E3756C">
        <w:t>Are there opportunities (beneficial effects) arising from climate</w:t>
      </w:r>
      <w:r w:rsidR="00A87C47" w:rsidRPr="00E3756C">
        <w:t xml:space="preserve"> </w:t>
      </w:r>
      <w:r w:rsidRPr="00E3756C">
        <w:t xml:space="preserve">change that could be explored within a National Adaptation Plan? </w:t>
      </w:r>
    </w:p>
    <w:p w14:paraId="55DA9DBF" w14:textId="34E8E9C0" w:rsidR="000F62E5" w:rsidRPr="00E3756C" w:rsidRDefault="000F62E5" w:rsidP="00BD7BF1">
      <w:pPr>
        <w:pStyle w:val="BodyText"/>
        <w:spacing w:before="100" w:after="100"/>
      </w:pPr>
      <w:r w:rsidRPr="00E3756C">
        <w:t>Collate the credible opportunities for beneficial effects (eg</w:t>
      </w:r>
      <w:r w:rsidR="00A14C86" w:rsidRPr="00E3756C">
        <w:t>,</w:t>
      </w:r>
      <w:r w:rsidRPr="00E3756C">
        <w:t xml:space="preserve"> reduced or negligible frost days) </w:t>
      </w:r>
      <w:r w:rsidR="00050894">
        <w:t>which</w:t>
      </w:r>
      <w:r w:rsidR="00050894" w:rsidRPr="00E3756C">
        <w:t xml:space="preserve"> </w:t>
      </w:r>
      <w:r w:rsidRPr="00E3756C">
        <w:t xml:space="preserve">could arise from a warmer climate for the relevant value domain or sector (and any potential side-effects or indirect implications) </w:t>
      </w:r>
      <w:r w:rsidR="00050894">
        <w:t xml:space="preserve">and </w:t>
      </w:r>
      <w:r w:rsidRPr="00E3756C">
        <w:t xml:space="preserve">that could be transferred to the evaluation of risks and opportunities in </w:t>
      </w:r>
      <w:r w:rsidR="00555290" w:rsidRPr="00E3756C">
        <w:t>c</w:t>
      </w:r>
      <w:r w:rsidRPr="00E3756C">
        <w:t>hapter B4 (</w:t>
      </w:r>
      <w:r w:rsidR="00555290" w:rsidRPr="00E3756C">
        <w:t>because</w:t>
      </w:r>
      <w:r w:rsidRPr="00E3756C">
        <w:t xml:space="preserve"> these types of opportunities do</w:t>
      </w:r>
      <w:r w:rsidR="00555290" w:rsidRPr="00E3756C">
        <w:t xml:space="preserve"> </w:t>
      </w:r>
      <w:r w:rsidRPr="00E3756C">
        <w:t>n</w:t>
      </w:r>
      <w:r w:rsidR="00555290" w:rsidRPr="00E3756C">
        <w:t>o</w:t>
      </w:r>
      <w:r w:rsidRPr="00E3756C">
        <w:t xml:space="preserve">t readily fit the risk assessment framework in </w:t>
      </w:r>
      <w:r w:rsidR="00555290" w:rsidRPr="00E3756C">
        <w:t>c</w:t>
      </w:r>
      <w:r w:rsidRPr="00E3756C">
        <w:t xml:space="preserve">hapter B3). </w:t>
      </w:r>
    </w:p>
    <w:p w14:paraId="3EE29ABA" w14:textId="2E4439E4" w:rsidR="000F62E5" w:rsidRPr="00E3756C" w:rsidRDefault="00555290" w:rsidP="00BD7BF1">
      <w:pPr>
        <w:pStyle w:val="BodyText"/>
        <w:spacing w:before="100" w:after="100"/>
      </w:pPr>
      <w:r w:rsidRPr="00E3756C">
        <w:t>Table B</w:t>
      </w:r>
      <w:r w:rsidR="00B850A2">
        <w:t>2-2</w:t>
      </w:r>
      <w:r w:rsidRPr="00E3756C">
        <w:t xml:space="preserve"> shows a</w:t>
      </w:r>
      <w:r w:rsidR="00B72F9E" w:rsidRPr="00E3756C">
        <w:t>n example</w:t>
      </w:r>
      <w:r w:rsidRPr="00E3756C">
        <w:t xml:space="preserve"> template f</w:t>
      </w:r>
      <w:r w:rsidR="000F62E5" w:rsidRPr="00E3756C">
        <w:t xml:space="preserve">or </w:t>
      </w:r>
      <w:r w:rsidR="00050894">
        <w:t>S</w:t>
      </w:r>
      <w:r w:rsidR="000A17DE">
        <w:t>tep</w:t>
      </w:r>
      <w:r w:rsidR="000F62E5" w:rsidRPr="00E3756C">
        <w:t xml:space="preserve"> 4 that could be used to record findings from the risk screening process.</w:t>
      </w:r>
    </w:p>
    <w:p w14:paraId="1656B275" w14:textId="37E1B37F" w:rsidR="000F62E5" w:rsidRPr="00E3756C" w:rsidRDefault="000F62E5" w:rsidP="00BD7BF1">
      <w:pPr>
        <w:pStyle w:val="Tableheading"/>
        <w:spacing w:after="0" w:line="240" w:lineRule="atLeast"/>
      </w:pPr>
      <w:bookmarkStart w:id="144" w:name="tableB22"/>
      <w:bookmarkStart w:id="145" w:name="_Toc16586497"/>
      <w:r w:rsidRPr="00E3756C">
        <w:lastRenderedPageBreak/>
        <w:t>Table B2-2</w:t>
      </w:r>
      <w:bookmarkEnd w:id="144"/>
      <w:r w:rsidRPr="00E3756C">
        <w:t>:</w:t>
      </w:r>
      <w:r w:rsidR="00484C8A" w:rsidRPr="00E3756C">
        <w:t xml:space="preserve"> </w:t>
      </w:r>
      <w:r w:rsidR="00A0327B" w:rsidRPr="00E3756C">
        <w:tab/>
      </w:r>
      <w:r w:rsidRPr="00E3756C">
        <w:t xml:space="preserve">Example template of how the </w:t>
      </w:r>
      <w:r w:rsidR="009E44A5">
        <w:t>climate-related</w:t>
      </w:r>
      <w:r w:rsidRPr="00E3756C">
        <w:t xml:space="preserve"> risks for key elements or activities in a value domain or sector can be assessed in the first-pass screening process </w:t>
      </w:r>
      <w:bookmarkEnd w:id="145"/>
    </w:p>
    <w:p w14:paraId="1708E0AA" w14:textId="77777777" w:rsidR="000F62E5" w:rsidRPr="00E3756C" w:rsidRDefault="00A04470" w:rsidP="00A0327B">
      <w:pPr>
        <w:pStyle w:val="BodyText"/>
      </w:pPr>
      <w:r w:rsidRPr="00A04470">
        <w:rPr>
          <w:noProof/>
        </w:rPr>
        <w:drawing>
          <wp:inline distT="0" distB="0" distL="0" distR="0" wp14:anchorId="32588388" wp14:editId="08BAC1B1">
            <wp:extent cx="5436235" cy="430921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235" cy="4309211"/>
                    </a:xfrm>
                    <a:prstGeom prst="rect">
                      <a:avLst/>
                    </a:prstGeom>
                    <a:noFill/>
                    <a:ln>
                      <a:noFill/>
                    </a:ln>
                  </pic:spPr>
                </pic:pic>
              </a:graphicData>
            </a:graphic>
          </wp:inline>
        </w:drawing>
      </w:r>
    </w:p>
    <w:p w14:paraId="4A9F890A" w14:textId="77777777" w:rsidR="00B72F9E" w:rsidRPr="00E3756C" w:rsidRDefault="00B72F9E" w:rsidP="00021D81">
      <w:pPr>
        <w:pStyle w:val="Note"/>
      </w:pPr>
      <w:r w:rsidRPr="00E3756C">
        <w:t xml:space="preserve">Note: The table uses incomplete examples for the aquaculture and marine farming sector; these do not contain verified information but simply show the method. </w:t>
      </w:r>
      <w:hyperlink w:anchor="tableC21" w:history="1">
        <w:r w:rsidRPr="00E3756C">
          <w:rPr>
            <w:rStyle w:val="Hyperlink"/>
          </w:rPr>
          <w:t>Table C2-1</w:t>
        </w:r>
      </w:hyperlink>
      <w:r w:rsidRPr="00E3756C">
        <w:t xml:space="preserve"> lists the strength of evidence criteria and </w:t>
      </w:r>
      <w:hyperlink w:anchor="tableC22" w:history="1">
        <w:r w:rsidRPr="00E3756C">
          <w:rPr>
            <w:rStyle w:val="Hyperlink"/>
          </w:rPr>
          <w:t>table C2-2</w:t>
        </w:r>
      </w:hyperlink>
      <w:r w:rsidRPr="00E3756C">
        <w:t xml:space="preserve"> the criteria for consequences, which are used in the risk screening stage for initially rating the risks mapped in a template</w:t>
      </w:r>
      <w:r w:rsidR="00A9583E" w:rsidRPr="00E3756C">
        <w:t>, such as f</w:t>
      </w:r>
      <w:r w:rsidRPr="00E3756C">
        <w:t>igure B2-1.</w:t>
      </w:r>
    </w:p>
    <w:p w14:paraId="65590FB6" w14:textId="3628FDD9" w:rsidR="000F62E5" w:rsidRPr="00E3756C" w:rsidRDefault="00A9583E" w:rsidP="00A0327B">
      <w:pPr>
        <w:pStyle w:val="Heading4"/>
      </w:pPr>
      <w:r w:rsidRPr="00E3756C">
        <w:t>Produce interim report a</w:t>
      </w:r>
      <w:r w:rsidR="000F62E5" w:rsidRPr="00E3756C">
        <w:t xml:space="preserve">t the end of </w:t>
      </w:r>
      <w:r w:rsidR="00050894">
        <w:t>S</w:t>
      </w:r>
      <w:r w:rsidR="000A17DE">
        <w:t>tep</w:t>
      </w:r>
      <w:r w:rsidR="000F62E5" w:rsidRPr="00E3756C">
        <w:t xml:space="preserve"> 4 on preliminary </w:t>
      </w:r>
      <w:r w:rsidR="00DD4913" w:rsidRPr="00E3756C">
        <w:t xml:space="preserve">risk screening assessment </w:t>
      </w:r>
      <w:r w:rsidR="000F62E5" w:rsidRPr="00E3756C">
        <w:t>findings including potential opportunities arising from climate change</w:t>
      </w:r>
    </w:p>
    <w:p w14:paraId="24BC931C" w14:textId="4D5523AE" w:rsidR="000F62E5" w:rsidRPr="00E3756C" w:rsidRDefault="00E01B52" w:rsidP="00A0327B">
      <w:pPr>
        <w:pStyle w:val="BodyText"/>
      </w:pPr>
      <w:r w:rsidRPr="00E3756C">
        <w:t xml:space="preserve">Rather than producing one report at the end of the NCCRA, it is recommended the Stage 1 screening exercise results are communicated in an interim report </w:t>
      </w:r>
      <w:r w:rsidR="00DD4913" w:rsidRPr="00E3756C">
        <w:t xml:space="preserve">at the end of </w:t>
      </w:r>
      <w:r w:rsidR="00050894">
        <w:t>S</w:t>
      </w:r>
      <w:r w:rsidR="000A17DE">
        <w:t>tep</w:t>
      </w:r>
      <w:r w:rsidR="00DD4913" w:rsidRPr="00E3756C">
        <w:t xml:space="preserve"> 4 </w:t>
      </w:r>
      <w:r w:rsidR="00050894">
        <w:t>for the general public</w:t>
      </w:r>
      <w:r w:rsidR="000F62E5" w:rsidRPr="00E3756C">
        <w:t xml:space="preserve">. </w:t>
      </w:r>
    </w:p>
    <w:p w14:paraId="7164526A" w14:textId="7B90725D" w:rsidR="000F62E5" w:rsidRPr="00E3756C" w:rsidRDefault="00050894" w:rsidP="00F05EA4">
      <w:pPr>
        <w:pStyle w:val="BodyText"/>
        <w:spacing w:after="240"/>
        <w:rPr>
          <w:b/>
        </w:rPr>
      </w:pPr>
      <w:r>
        <w:t xml:space="preserve">Step 4 requires expert judgements to be validated </w:t>
      </w:r>
      <w:r w:rsidR="00DD4913" w:rsidRPr="00E3756C">
        <w:t>because</w:t>
      </w:r>
      <w:r w:rsidR="000F62E5" w:rsidRPr="00E3756C">
        <w:t xml:space="preserve"> opinions gathered may not be able to be fully justified if data</w:t>
      </w:r>
      <w:r w:rsidR="00DD4913" w:rsidRPr="00E3756C">
        <w:t xml:space="preserve"> and </w:t>
      </w:r>
      <w:r w:rsidR="000F62E5" w:rsidRPr="00E3756C">
        <w:t>information</w:t>
      </w:r>
      <w:r w:rsidR="00DD4913" w:rsidRPr="00E3756C">
        <w:t xml:space="preserve"> </w:t>
      </w:r>
      <w:r w:rsidR="00560383" w:rsidRPr="00E3756C">
        <w:t>are</w:t>
      </w:r>
      <w:r w:rsidR="00DD4913" w:rsidRPr="00E3756C">
        <w:t xml:space="preserve"> scar</w:t>
      </w:r>
      <w:r>
        <w:t>c</w:t>
      </w:r>
      <w:r w:rsidR="00DD4913" w:rsidRPr="00E3756C">
        <w:t>e</w:t>
      </w:r>
      <w:r w:rsidR="000F62E5" w:rsidRPr="00E3756C">
        <w:t>.</w:t>
      </w:r>
      <w:r w:rsidR="00484C8A" w:rsidRPr="00E3756C">
        <w:t xml:space="preserve"> </w:t>
      </w:r>
      <w:r w:rsidR="000F62E5" w:rsidRPr="00E3756C">
        <w:t xml:space="preserve">Additional engagement activities at this </w:t>
      </w:r>
      <w:r w:rsidR="00560383" w:rsidRPr="00E3756C">
        <w:t xml:space="preserve">point </w:t>
      </w:r>
      <w:r w:rsidR="000F62E5" w:rsidRPr="00E3756C">
        <w:t xml:space="preserve">should include verifying the </w:t>
      </w:r>
      <w:r w:rsidR="00DD4913" w:rsidRPr="00E3756C">
        <w:t xml:space="preserve">first screening </w:t>
      </w:r>
      <w:r w:rsidR="000F62E5" w:rsidRPr="00E3756C">
        <w:t xml:space="preserve">findings with those </w:t>
      </w:r>
      <w:r>
        <w:t xml:space="preserve">people </w:t>
      </w:r>
      <w:r w:rsidR="000F62E5" w:rsidRPr="00E3756C">
        <w:t xml:space="preserve">engaged, to </w:t>
      </w:r>
      <w:r w:rsidR="00560383" w:rsidRPr="00E3756C">
        <w:t>en</w:t>
      </w:r>
      <w:r w:rsidR="000F62E5" w:rsidRPr="00E3756C">
        <w:t xml:space="preserve">sure </w:t>
      </w:r>
      <w:r>
        <w:t>the findings</w:t>
      </w:r>
      <w:r w:rsidRPr="00E3756C">
        <w:t xml:space="preserve"> </w:t>
      </w:r>
      <w:r w:rsidR="000F62E5" w:rsidRPr="00E3756C">
        <w:t>reflect the actual risks</w:t>
      </w:r>
      <w:r w:rsidR="00DD4913" w:rsidRPr="00E3756C">
        <w:t>.</w:t>
      </w:r>
    </w:p>
    <w:tbl>
      <w:tblPr>
        <w:tblW w:w="8505" w:type="dxa"/>
        <w:tblInd w:w="57"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600" w:firstRow="0" w:lastRow="0" w:firstColumn="0" w:lastColumn="0" w:noHBand="1" w:noVBand="1"/>
      </w:tblPr>
      <w:tblGrid>
        <w:gridCol w:w="2336"/>
        <w:gridCol w:w="6169"/>
      </w:tblGrid>
      <w:tr w:rsidR="00032A0B" w:rsidRPr="00E3756C" w14:paraId="5BCD6A53" w14:textId="77777777" w:rsidTr="00190C7F">
        <w:tc>
          <w:tcPr>
            <w:tcW w:w="2336" w:type="dxa"/>
            <w:shd w:val="clear" w:color="auto" w:fill="1C556C" w:themeFill="accent1"/>
            <w:tcMar>
              <w:top w:w="0" w:type="dxa"/>
              <w:left w:w="100" w:type="dxa"/>
              <w:bottom w:w="0" w:type="dxa"/>
              <w:right w:w="100" w:type="dxa"/>
            </w:tcMar>
          </w:tcPr>
          <w:p w14:paraId="30BAA405" w14:textId="77777777" w:rsidR="00032A0B" w:rsidRPr="00E3756C" w:rsidRDefault="00032A0B" w:rsidP="00032A0B">
            <w:pPr>
              <w:pStyle w:val="TableTextbold"/>
              <w:rPr>
                <w:color w:val="FFFFFF" w:themeColor="background1"/>
              </w:rPr>
            </w:pPr>
            <w:r w:rsidRPr="00E3756C">
              <w:rPr>
                <w:color w:val="FFFFFF" w:themeColor="background1"/>
              </w:rPr>
              <w:t>Engagement activities</w:t>
            </w:r>
          </w:p>
        </w:tc>
        <w:tc>
          <w:tcPr>
            <w:tcW w:w="6169" w:type="dxa"/>
            <w:shd w:val="clear" w:color="auto" w:fill="1C556C" w:themeFill="accent1"/>
            <w:tcMar>
              <w:top w:w="0" w:type="dxa"/>
              <w:left w:w="100" w:type="dxa"/>
              <w:bottom w:w="0" w:type="dxa"/>
              <w:right w:w="100" w:type="dxa"/>
            </w:tcMar>
          </w:tcPr>
          <w:p w14:paraId="033322DF" w14:textId="77777777" w:rsidR="00032A0B" w:rsidRPr="00E3756C" w:rsidRDefault="00032A0B" w:rsidP="00032A0B">
            <w:pPr>
              <w:pStyle w:val="TableTextbold"/>
              <w:rPr>
                <w:color w:val="FFFFFF" w:themeColor="background1"/>
              </w:rPr>
            </w:pPr>
            <w:r w:rsidRPr="00E3756C">
              <w:rPr>
                <w:color w:val="FFFFFF" w:themeColor="background1"/>
              </w:rPr>
              <w:t>Prompts</w:t>
            </w:r>
          </w:p>
        </w:tc>
      </w:tr>
      <w:tr w:rsidR="00032A0B" w:rsidRPr="00E3756C" w14:paraId="74150D92" w14:textId="77777777" w:rsidTr="00190C7F">
        <w:tc>
          <w:tcPr>
            <w:tcW w:w="2336" w:type="dxa"/>
            <w:tcMar>
              <w:top w:w="0" w:type="dxa"/>
              <w:left w:w="100" w:type="dxa"/>
              <w:bottom w:w="0" w:type="dxa"/>
              <w:right w:w="100" w:type="dxa"/>
            </w:tcMar>
          </w:tcPr>
          <w:p w14:paraId="7274DD86" w14:textId="77777777" w:rsidR="00032A0B" w:rsidRPr="00E3756C" w:rsidRDefault="00032A0B" w:rsidP="00032A0B">
            <w:pPr>
              <w:pStyle w:val="TableTextbold"/>
            </w:pPr>
            <w:r w:rsidRPr="00E3756C">
              <w:t>Verifying Stage 1 outcomes</w:t>
            </w:r>
          </w:p>
        </w:tc>
        <w:tc>
          <w:tcPr>
            <w:tcW w:w="6169" w:type="dxa"/>
            <w:tcMar>
              <w:top w:w="0" w:type="dxa"/>
              <w:left w:w="100" w:type="dxa"/>
              <w:bottom w:w="0" w:type="dxa"/>
              <w:right w:w="100" w:type="dxa"/>
            </w:tcMar>
          </w:tcPr>
          <w:p w14:paraId="086359B1" w14:textId="76257E30" w:rsidR="00032A0B" w:rsidRPr="00E3756C" w:rsidRDefault="00032A0B" w:rsidP="00032A0B">
            <w:pPr>
              <w:pStyle w:val="TableBullet"/>
              <w:spacing w:before="60"/>
            </w:pPr>
            <w:r w:rsidRPr="00E3756C">
              <w:t xml:space="preserve">Were all those with expert knowledge or information engaged in </w:t>
            </w:r>
            <w:r w:rsidR="00050894">
              <w:t xml:space="preserve">the </w:t>
            </w:r>
            <w:r w:rsidRPr="00E3756C">
              <w:t>process?</w:t>
            </w:r>
          </w:p>
          <w:p w14:paraId="66748017" w14:textId="77777777" w:rsidR="00032A0B" w:rsidRPr="00E3756C" w:rsidRDefault="00032A0B" w:rsidP="00032A0B">
            <w:pPr>
              <w:pStyle w:val="TableBullet"/>
            </w:pPr>
            <w:r w:rsidRPr="00E3756C">
              <w:t xml:space="preserve">Do the results reflect perceived </w:t>
            </w:r>
            <w:r w:rsidR="00DD4913" w:rsidRPr="00E3756C">
              <w:t>and</w:t>
            </w:r>
            <w:r w:rsidRPr="00E3756C">
              <w:t xml:space="preserve"> actual risks?</w:t>
            </w:r>
          </w:p>
          <w:p w14:paraId="1E62D351" w14:textId="77777777" w:rsidR="00032A0B" w:rsidRPr="00E3756C" w:rsidRDefault="00032A0B" w:rsidP="00032A0B">
            <w:pPr>
              <w:pStyle w:val="TableBullet"/>
            </w:pPr>
            <w:r w:rsidRPr="00E3756C">
              <w:t>Are there any perverse outcomes?</w:t>
            </w:r>
          </w:p>
          <w:p w14:paraId="50517F8D" w14:textId="77777777" w:rsidR="00032A0B" w:rsidRPr="00E3756C" w:rsidRDefault="00032A0B" w:rsidP="00032A0B">
            <w:pPr>
              <w:pStyle w:val="TableBullet"/>
            </w:pPr>
            <w:r w:rsidRPr="00E3756C">
              <w:lastRenderedPageBreak/>
              <w:t>Are assessment attributes weighted for regional context</w:t>
            </w:r>
            <w:r w:rsidR="00DD4913" w:rsidRPr="00E3756C">
              <w:t>, that is,</w:t>
            </w:r>
            <w:r w:rsidRPr="00E3756C">
              <w:t xml:space="preserve"> population, impact? If so, why and how?</w:t>
            </w:r>
          </w:p>
          <w:p w14:paraId="619715BE" w14:textId="77777777" w:rsidR="00032A0B" w:rsidRPr="00E3756C" w:rsidRDefault="00032A0B" w:rsidP="00032A0B">
            <w:pPr>
              <w:pStyle w:val="TableBullet"/>
            </w:pPr>
            <w:r w:rsidRPr="00E3756C">
              <w:t>Send first screening results back to engaged stakeholders for their verification of outcome</w:t>
            </w:r>
            <w:r w:rsidR="00DD4913" w:rsidRPr="00E3756C">
              <w:t>.</w:t>
            </w:r>
          </w:p>
          <w:p w14:paraId="7C2A0BD6" w14:textId="77777777" w:rsidR="00032A0B" w:rsidRPr="00E3756C" w:rsidRDefault="00032A0B" w:rsidP="00032A0B">
            <w:pPr>
              <w:pStyle w:val="TableBullet"/>
            </w:pPr>
            <w:r w:rsidRPr="00E3756C">
              <w:t>Does the engagement strategy need to be revised and updated?</w:t>
            </w:r>
          </w:p>
        </w:tc>
      </w:tr>
    </w:tbl>
    <w:p w14:paraId="66B68B8E" w14:textId="77777777" w:rsidR="00F31F97" w:rsidRPr="00E3756C" w:rsidRDefault="00F31F97" w:rsidP="00F31F97">
      <w:pPr>
        <w:pStyle w:val="BodyText"/>
      </w:pPr>
      <w:bookmarkStart w:id="146" w:name="_Toc13570375"/>
      <w:bookmarkStart w:id="147" w:name="_Toc14361553"/>
    </w:p>
    <w:p w14:paraId="0414A79F" w14:textId="77777777" w:rsidR="00F31F97" w:rsidRPr="00E3756C" w:rsidRDefault="00F31F97" w:rsidP="00F31F97">
      <w:pPr>
        <w:pStyle w:val="BodyText"/>
      </w:pPr>
      <w:r w:rsidRPr="00E3756C">
        <w:br w:type="page"/>
      </w:r>
    </w:p>
    <w:p w14:paraId="276F3ADB" w14:textId="77777777" w:rsidR="00F31F97" w:rsidRPr="00E3756C" w:rsidRDefault="00F31F97" w:rsidP="00F31F97">
      <w:pPr>
        <w:pStyle w:val="Heading1"/>
      </w:pPr>
      <w:bookmarkStart w:id="148" w:name="_Chapter_B3:_Assessment"/>
      <w:bookmarkStart w:id="149" w:name="_Toc15409165"/>
      <w:bookmarkEnd w:id="148"/>
      <w:r w:rsidRPr="00E3756C">
        <w:lastRenderedPageBreak/>
        <w:t>Chapter B3: Assessment Stage 2</w:t>
      </w:r>
      <w:r w:rsidR="00E82C87" w:rsidRPr="00E3756C">
        <w:t>:</w:t>
      </w:r>
      <w:r w:rsidRPr="00E3756C">
        <w:t xml:space="preserve"> Detailed</w:t>
      </w:r>
      <w:r w:rsidR="001847A5">
        <w:t> </w:t>
      </w:r>
      <w:r w:rsidRPr="00E3756C">
        <w:t>risk assessment</w:t>
      </w:r>
      <w:bookmarkEnd w:id="146"/>
      <w:bookmarkEnd w:id="147"/>
      <w:bookmarkEnd w:id="149"/>
    </w:p>
    <w:p w14:paraId="7131B0F5" w14:textId="77777777" w:rsidR="00F31F97" w:rsidRPr="00E3756C" w:rsidRDefault="00F31F97" w:rsidP="00F31F97">
      <w:pPr>
        <w:pStyle w:val="Heading2"/>
        <w:spacing w:before="240"/>
      </w:pPr>
      <w:bookmarkStart w:id="150" w:name="_Toc15409166"/>
      <w:bookmarkStart w:id="151" w:name="_Toc14361554"/>
      <w:r w:rsidRPr="00E3756C">
        <w:t xml:space="preserve">B3.1 </w:t>
      </w:r>
      <w:r w:rsidR="00F05EA4" w:rsidRPr="00E3756C">
        <w:tab/>
      </w:r>
      <w:r w:rsidR="00796D6A" w:rsidRPr="00E3756C">
        <w:t>Detailed risk assessment s</w:t>
      </w:r>
      <w:r w:rsidRPr="00E3756C">
        <w:t>cope and purpose</w:t>
      </w:r>
      <w:bookmarkEnd w:id="150"/>
      <w:r w:rsidRPr="00E3756C">
        <w:t xml:space="preserve"> </w:t>
      </w:r>
      <w:bookmarkEnd w:id="151"/>
    </w:p>
    <w:p w14:paraId="1A5E9932" w14:textId="77777777" w:rsidR="00F31F97" w:rsidRPr="00E3756C" w:rsidRDefault="00F31F97" w:rsidP="00F31F97">
      <w:pPr>
        <w:pStyle w:val="BodyText"/>
      </w:pPr>
      <w:r w:rsidRPr="00E3756C">
        <w:t xml:space="preserve">The purpose of the detailed risk assessment is to refine our knowledge about risks rated as </w:t>
      </w:r>
      <w:r w:rsidR="000E1F63" w:rsidRPr="00E3756C">
        <w:t xml:space="preserve">of </w:t>
      </w:r>
      <w:r w:rsidRPr="00E3756C">
        <w:t>potential</w:t>
      </w:r>
      <w:r w:rsidR="007259FC" w:rsidRPr="00E3756C">
        <w:t xml:space="preserve"> </w:t>
      </w:r>
      <w:r w:rsidRPr="00E3756C">
        <w:t>concern in the first-pass screening (</w:t>
      </w:r>
      <w:hyperlink w:anchor="_Chapter_B2:_Assessment" w:history="1">
        <w:r w:rsidR="00796D6A" w:rsidRPr="00E3756C">
          <w:rPr>
            <w:rStyle w:val="Hyperlink"/>
          </w:rPr>
          <w:t>c</w:t>
        </w:r>
        <w:r w:rsidRPr="00E3756C">
          <w:rPr>
            <w:rStyle w:val="Hyperlink"/>
          </w:rPr>
          <w:t>hapter B2</w:t>
        </w:r>
      </w:hyperlink>
      <w:r w:rsidRPr="00E3756C">
        <w:t>)</w:t>
      </w:r>
      <w:r w:rsidR="00CC0007" w:rsidRPr="00E3756C">
        <w:t>.</w:t>
      </w:r>
      <w:r w:rsidRPr="00E3756C">
        <w:t xml:space="preserve"> </w:t>
      </w:r>
      <w:r w:rsidR="00CC0007" w:rsidRPr="00E3756C">
        <w:t>T</w:t>
      </w:r>
      <w:r w:rsidR="007259FC" w:rsidRPr="00E3756C">
        <w:t xml:space="preserve">his </w:t>
      </w:r>
      <w:r w:rsidR="00CC0007" w:rsidRPr="00E3756C">
        <w:t xml:space="preserve">process </w:t>
      </w:r>
      <w:r w:rsidR="007259FC" w:rsidRPr="00E3756C">
        <w:t xml:space="preserve">helps </w:t>
      </w:r>
      <w:r w:rsidRPr="00E3756C">
        <w:t>to identify key risks to be considered in the development of a National Adaptation Plan. The assessment will require an engagement plan</w:t>
      </w:r>
      <w:r w:rsidR="00CC0007" w:rsidRPr="00E3756C">
        <w:t>,</w:t>
      </w:r>
      <w:r w:rsidRPr="00E3756C">
        <w:t xml:space="preserve"> including expert elicitation, as discussed in </w:t>
      </w:r>
      <w:r w:rsidR="007259FC" w:rsidRPr="00E3756C">
        <w:t>c</w:t>
      </w:r>
      <w:r w:rsidRPr="00E3756C">
        <w:t>hapters A4 and C1.</w:t>
      </w:r>
    </w:p>
    <w:p w14:paraId="3A27E61C" w14:textId="77777777" w:rsidR="00F31F97" w:rsidRPr="00E3756C" w:rsidRDefault="00F31F97" w:rsidP="00F31F97">
      <w:pPr>
        <w:pStyle w:val="BodyText"/>
      </w:pPr>
      <w:r w:rsidRPr="00E3756C">
        <w:t>Following the first</w:t>
      </w:r>
      <w:r w:rsidR="007259FC" w:rsidRPr="00E3756C">
        <w:t>-</w:t>
      </w:r>
      <w:r w:rsidRPr="00E3756C">
        <w:t>pass assessment, a number of elements will have been identified as being at moderate or high risk due to changes in climate-related hazards associated with the RCP8.5 projection. The Stage 2 assessment will further examine the extent of exposure of the assets</w:t>
      </w:r>
      <w:r w:rsidR="007225EA" w:rsidRPr="00E3756C">
        <w:t xml:space="preserve">, </w:t>
      </w:r>
      <w:r w:rsidRPr="00E3756C">
        <w:t>sectors</w:t>
      </w:r>
      <w:r w:rsidR="007225EA" w:rsidRPr="00E3756C">
        <w:t xml:space="preserve"> and </w:t>
      </w:r>
      <w:r w:rsidRPr="00E3756C">
        <w:t>taonga, and their vulnerability to the identified climate-related hazards</w:t>
      </w:r>
      <w:r w:rsidR="00AB4329" w:rsidRPr="00E3756C">
        <w:t>.</w:t>
      </w:r>
      <w:r w:rsidRPr="00E3756C">
        <w:t xml:space="preserve"> </w:t>
      </w:r>
      <w:r w:rsidR="00AB4329" w:rsidRPr="00E3756C">
        <w:t xml:space="preserve">This helps </w:t>
      </w:r>
      <w:r w:rsidRPr="00E3756C">
        <w:t>determine the potential severity of consequences under both RCP4.5 and RCP8.5 projections, at all three recommended timeframes (</w:t>
      </w:r>
      <w:hyperlink w:anchor="_Chapter_B1:_Defining_1" w:history="1">
        <w:r w:rsidR="007D69F2" w:rsidRPr="00E3756C">
          <w:rPr>
            <w:rStyle w:val="Hyperlink"/>
          </w:rPr>
          <w:t>c</w:t>
        </w:r>
        <w:r w:rsidRPr="00E3756C">
          <w:rPr>
            <w:rStyle w:val="Hyperlink"/>
          </w:rPr>
          <w:t>hapter B1</w:t>
        </w:r>
      </w:hyperlink>
      <w:r w:rsidRPr="00E3756C">
        <w:t>)</w:t>
      </w:r>
      <w:r w:rsidR="007D69F2" w:rsidRPr="00E3756C">
        <w:t>,</w:t>
      </w:r>
      <w:r w:rsidRPr="00E3756C">
        <w:t xml:space="preserve"> plus out to 2150 for only coastal</w:t>
      </w:r>
      <w:r w:rsidR="007D69F2" w:rsidRPr="00E3756C">
        <w:t xml:space="preserve"> </w:t>
      </w:r>
      <w:r w:rsidRPr="00E3756C">
        <w:t>flood risks associated with sea-level rise (</w:t>
      </w:r>
      <w:r w:rsidR="007D69F2" w:rsidRPr="00E3756C">
        <w:t>c</w:t>
      </w:r>
      <w:r w:rsidRPr="00E3756C">
        <w:t>hapter B1). The latter extension highlight</w:t>
      </w:r>
      <w:r w:rsidR="00AE3064" w:rsidRPr="00E3756C">
        <w:t>s</w:t>
      </w:r>
      <w:r w:rsidRPr="00E3756C">
        <w:t xml:space="preserve"> this long-run risk (for which risk exposure information is available out to 2150)</w:t>
      </w:r>
      <w:r w:rsidR="00806667" w:rsidRPr="00E3756C">
        <w:t>,</w:t>
      </w:r>
      <w:r w:rsidRPr="00E3756C">
        <w:t xml:space="preserve"> to ensure short-term actions or long-term options </w:t>
      </w:r>
      <w:r w:rsidR="00806667" w:rsidRPr="00E3756C">
        <w:t xml:space="preserve">that </w:t>
      </w:r>
      <w:r w:rsidRPr="00E3756C">
        <w:t>address adaptation are sufficiently flexible and adaptive to avoid locking in pathway dependency.</w:t>
      </w:r>
    </w:p>
    <w:p w14:paraId="27B39CEF" w14:textId="77777777" w:rsidR="00F31F97" w:rsidRPr="00E3756C" w:rsidRDefault="00F31F97" w:rsidP="00F31F97">
      <w:pPr>
        <w:pStyle w:val="BodyText"/>
      </w:pPr>
      <w:r w:rsidRPr="00E3756C">
        <w:t xml:space="preserve">As summarised in </w:t>
      </w:r>
      <w:hyperlink w:anchor="_Chapter_A2:_Framework" w:history="1">
        <w:r w:rsidR="00806667" w:rsidRPr="00E3756C">
          <w:rPr>
            <w:rStyle w:val="Hyperlink"/>
          </w:rPr>
          <w:t>c</w:t>
        </w:r>
        <w:r w:rsidRPr="00E3756C">
          <w:rPr>
            <w:rStyle w:val="Hyperlink"/>
          </w:rPr>
          <w:t>hapter A2</w:t>
        </w:r>
      </w:hyperlink>
      <w:r w:rsidRPr="00E3756C">
        <w:t>, the NCCRA framework is based on the hazard–exposure–vulnerability framing of climate</w:t>
      </w:r>
      <w:r w:rsidR="00806667" w:rsidRPr="00E3756C">
        <w:t xml:space="preserve"> </w:t>
      </w:r>
      <w:r w:rsidRPr="00E3756C">
        <w:t xml:space="preserve">change risks from the IPCC Working Group II </w:t>
      </w:r>
      <w:r w:rsidR="00806667" w:rsidRPr="00E3756C">
        <w:t xml:space="preserve">Fifth </w:t>
      </w:r>
      <w:r w:rsidRPr="00E3756C">
        <w:t>Assessment Report</w:t>
      </w:r>
      <w:r w:rsidR="00C04744" w:rsidRPr="00E3756C">
        <w:t xml:space="preserve"> (IPCC, 2014a)</w:t>
      </w:r>
      <w:r w:rsidRPr="00E3756C">
        <w:t>. Risk results from the interactions of climate-related hazards (</w:t>
      </w:r>
      <w:hyperlink w:anchor="_Chapter_B1:_Defining_1" w:history="1">
        <w:r w:rsidR="00C04744" w:rsidRPr="00E3756C">
          <w:rPr>
            <w:rStyle w:val="Hyperlink"/>
          </w:rPr>
          <w:t>c</w:t>
        </w:r>
        <w:r w:rsidRPr="00E3756C">
          <w:rPr>
            <w:rStyle w:val="Hyperlink"/>
          </w:rPr>
          <w:t>hapter B1</w:t>
        </w:r>
      </w:hyperlink>
      <w:r w:rsidRPr="00E3756C">
        <w:t xml:space="preserve">) with exposure and vulnerability to those hazards from the changing climate. Vulnerability relates to how sensitive the elements are to changes in the climate, as well as their adaptive capacity (the ability to cope with the impacts and/or rate of change). In the detailed risk assessment, risk is rated in terms of consequences (impacts) resulting from these interactions. </w:t>
      </w:r>
    </w:p>
    <w:p w14:paraId="309851B8" w14:textId="77777777" w:rsidR="00F31F97" w:rsidRPr="00E3756C" w:rsidRDefault="00F31F97" w:rsidP="00F31F97">
      <w:pPr>
        <w:pStyle w:val="BodyText"/>
      </w:pPr>
      <w:r w:rsidRPr="00E3756C">
        <w:t>Like the first-pass assessment, the detailed assessment assess</w:t>
      </w:r>
      <w:r w:rsidR="005555DD" w:rsidRPr="00E3756C">
        <w:t>es</w:t>
      </w:r>
      <w:r w:rsidRPr="00E3756C">
        <w:t xml:space="preserve"> risks across the seven designated sub-regional climate zones (</w:t>
      </w:r>
      <w:hyperlink w:anchor="_Chapter_B1:_Defining_1" w:history="1">
        <w:r w:rsidR="005555DD" w:rsidRPr="00E3756C">
          <w:rPr>
            <w:rStyle w:val="Hyperlink"/>
          </w:rPr>
          <w:t>c</w:t>
        </w:r>
        <w:r w:rsidRPr="00E3756C">
          <w:rPr>
            <w:rStyle w:val="Hyperlink"/>
          </w:rPr>
          <w:t>hapter B1</w:t>
        </w:r>
      </w:hyperlink>
      <w:r w:rsidRPr="00E3756C">
        <w:t>) and aggregate</w:t>
      </w:r>
      <w:r w:rsidR="005555DD" w:rsidRPr="00E3756C">
        <w:t>s</w:t>
      </w:r>
      <w:r w:rsidRPr="00E3756C">
        <w:t xml:space="preserve"> the consequence scores to determine a national-level risk rating. </w:t>
      </w:r>
    </w:p>
    <w:p w14:paraId="5E83D1F7" w14:textId="77777777" w:rsidR="00F31F97" w:rsidRPr="00E3756C" w:rsidRDefault="00F31F97" w:rsidP="00F31F97">
      <w:pPr>
        <w:pStyle w:val="BodyText"/>
      </w:pPr>
      <w:r w:rsidRPr="00E3756C">
        <w:t xml:space="preserve">The Stage 2 detailed risk assessment process is </w:t>
      </w:r>
      <w:r w:rsidR="005555DD" w:rsidRPr="00E3756C">
        <w:t xml:space="preserve">shown </w:t>
      </w:r>
      <w:r w:rsidRPr="00E3756C">
        <w:t xml:space="preserve">in </w:t>
      </w:r>
      <w:r w:rsidR="005555DD" w:rsidRPr="00E3756C">
        <w:t>f</w:t>
      </w:r>
      <w:r w:rsidRPr="00E3756C">
        <w:t>igure B3-1.</w:t>
      </w:r>
    </w:p>
    <w:p w14:paraId="021ACD92" w14:textId="77777777" w:rsidR="00F31F97" w:rsidRPr="00E3756C" w:rsidRDefault="00F31F97" w:rsidP="00A652C7">
      <w:pPr>
        <w:pStyle w:val="Figureheading"/>
        <w:spacing w:after="180"/>
      </w:pPr>
      <w:bookmarkStart w:id="152" w:name="_Toc16586522"/>
      <w:r w:rsidRPr="00E3756C">
        <w:lastRenderedPageBreak/>
        <w:t>Figure B3-1</w:t>
      </w:r>
      <w:r w:rsidR="005555DD" w:rsidRPr="00E3756C">
        <w:t>:</w:t>
      </w:r>
      <w:r w:rsidRPr="00E3756C">
        <w:t xml:space="preserve"> Stage 2 detailed climate-change risk assessment</w:t>
      </w:r>
      <w:bookmarkEnd w:id="152"/>
    </w:p>
    <w:p w14:paraId="594D0F89" w14:textId="2799DD0E" w:rsidR="00F31F97" w:rsidRPr="00E3756C" w:rsidRDefault="00FD2EB8" w:rsidP="00A652C7">
      <w:pPr>
        <w:pStyle w:val="BodyText"/>
        <w:spacing w:before="0"/>
      </w:pPr>
      <w:r>
        <w:rPr>
          <w:noProof/>
        </w:rPr>
        <w:drawing>
          <wp:inline distT="0" distB="0" distL="0" distR="0" wp14:anchorId="54C22C7D" wp14:editId="1A1C8597">
            <wp:extent cx="5436235" cy="3058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33">
                      <a:extLst>
                        <a:ext uri="{28A0092B-C50C-407E-A947-70E740481C1C}">
                          <a14:useLocalDpi xmlns:a14="http://schemas.microsoft.com/office/drawing/2010/main" val="0"/>
                        </a:ext>
                      </a:extLst>
                    </a:blip>
                    <a:stretch>
                      <a:fillRect/>
                    </a:stretch>
                  </pic:blipFill>
                  <pic:spPr>
                    <a:xfrm>
                      <a:off x="0" y="0"/>
                      <a:ext cx="5436235" cy="3058160"/>
                    </a:xfrm>
                    <a:prstGeom prst="rect">
                      <a:avLst/>
                    </a:prstGeom>
                  </pic:spPr>
                </pic:pic>
              </a:graphicData>
            </a:graphic>
          </wp:inline>
        </w:drawing>
      </w:r>
      <w:bookmarkStart w:id="153" w:name="_GoBack"/>
      <w:bookmarkEnd w:id="153"/>
    </w:p>
    <w:p w14:paraId="7C59EF22" w14:textId="77777777" w:rsidR="00F31F97" w:rsidRPr="00E3756C" w:rsidRDefault="00F31F97" w:rsidP="00F31F97">
      <w:pPr>
        <w:pStyle w:val="Heading2"/>
      </w:pPr>
      <w:bookmarkStart w:id="154" w:name="_Toc14361555"/>
      <w:bookmarkStart w:id="155" w:name="_Toc15409167"/>
      <w:r w:rsidRPr="00E3756C">
        <w:t xml:space="preserve">B3.2 </w:t>
      </w:r>
      <w:r w:rsidRPr="00E3756C">
        <w:tab/>
        <w:t>Method for detailed risk assessment</w:t>
      </w:r>
      <w:bookmarkEnd w:id="154"/>
      <w:bookmarkEnd w:id="155"/>
    </w:p>
    <w:p w14:paraId="2137DF91" w14:textId="77777777" w:rsidR="00F31F97" w:rsidRPr="00E3756C" w:rsidRDefault="00954FD1" w:rsidP="00F31F97">
      <w:pPr>
        <w:pStyle w:val="BodyText"/>
      </w:pPr>
      <w:r w:rsidRPr="00E3756C">
        <w:t>A</w:t>
      </w:r>
      <w:r w:rsidR="00F31F97" w:rsidRPr="00E3756C">
        <w:t xml:space="preserve">s </w:t>
      </w:r>
      <w:r w:rsidRPr="00E3756C">
        <w:t xml:space="preserve">shown </w:t>
      </w:r>
      <w:r w:rsidR="00F31F97" w:rsidRPr="00E3756C">
        <w:t xml:space="preserve">in </w:t>
      </w:r>
      <w:r w:rsidRPr="00E3756C">
        <w:t>f</w:t>
      </w:r>
      <w:r w:rsidR="00F31F97" w:rsidRPr="00E3756C">
        <w:t>igure B3-1</w:t>
      </w:r>
      <w:r w:rsidRPr="00E3756C">
        <w:t xml:space="preserve">, this assessment stage involves five steps, </w:t>
      </w:r>
      <w:r w:rsidR="00EF1F76" w:rsidRPr="00E3756C">
        <w:t xml:space="preserve">as </w:t>
      </w:r>
      <w:r w:rsidRPr="00E3756C">
        <w:t xml:space="preserve">discussed </w:t>
      </w:r>
      <w:r w:rsidR="00F31F97" w:rsidRPr="00E3756C">
        <w:t>below.</w:t>
      </w:r>
    </w:p>
    <w:p w14:paraId="77888D06" w14:textId="77777777" w:rsidR="00954FD1" w:rsidRPr="004D62A8" w:rsidRDefault="00F31F97" w:rsidP="00F31F97">
      <w:pPr>
        <w:pStyle w:val="Bullet"/>
      </w:pPr>
      <w:r w:rsidRPr="00E3756C">
        <w:rPr>
          <w:b/>
        </w:rPr>
        <w:t>Step 1: Establish the context and define the scope and parties involved</w:t>
      </w:r>
    </w:p>
    <w:p w14:paraId="4C9706BB" w14:textId="77777777" w:rsidR="00F31F97" w:rsidRPr="00E3756C" w:rsidRDefault="00890BA8" w:rsidP="000C0836">
      <w:pPr>
        <w:pStyle w:val="BodyText"/>
        <w:spacing w:before="0"/>
        <w:ind w:left="397"/>
      </w:pPr>
      <w:r w:rsidRPr="00E3756C">
        <w:t>B</w:t>
      </w:r>
      <w:r w:rsidR="00F31F97" w:rsidRPr="00E3756C">
        <w:t>ased on results of Stage 1, including further detail on hazards</w:t>
      </w:r>
      <w:r w:rsidR="00954FD1" w:rsidRPr="00E3756C">
        <w:t>:</w:t>
      </w:r>
    </w:p>
    <w:p w14:paraId="58EA0EF8" w14:textId="77777777" w:rsidR="00F31F97" w:rsidRPr="00E3756C" w:rsidRDefault="00890BA8" w:rsidP="00F31F97">
      <w:pPr>
        <w:pStyle w:val="Sub-list"/>
      </w:pPr>
      <w:r w:rsidRPr="00E3756C">
        <w:t>r</w:t>
      </w:r>
      <w:r w:rsidR="00F31F97" w:rsidRPr="00E3756C">
        <w:t>econfirm the list of risks from Stage 1 to explore in detail (</w:t>
      </w:r>
      <w:hyperlink w:anchor="_Chapter_B2:_Assessment" w:history="1">
        <w:r w:rsidRPr="00E3756C">
          <w:rPr>
            <w:rStyle w:val="Hyperlink"/>
          </w:rPr>
          <w:t>c</w:t>
        </w:r>
        <w:r w:rsidR="00F31F97" w:rsidRPr="00E3756C">
          <w:rPr>
            <w:rStyle w:val="Hyperlink"/>
          </w:rPr>
          <w:t>hapter B2</w:t>
        </w:r>
      </w:hyperlink>
      <w:r w:rsidR="00F31F97" w:rsidRPr="00E3756C">
        <w:t>)</w:t>
      </w:r>
    </w:p>
    <w:p w14:paraId="264D3489" w14:textId="77777777" w:rsidR="00F31F97" w:rsidRPr="00E3756C" w:rsidRDefault="00890BA8" w:rsidP="00F31F97">
      <w:pPr>
        <w:pStyle w:val="Sub-list"/>
      </w:pPr>
      <w:r w:rsidRPr="00E3756C">
        <w:t>c</w:t>
      </w:r>
      <w:r w:rsidR="00F31F97" w:rsidRPr="00E3756C">
        <w:t>onfirm the</w:t>
      </w:r>
      <w:r w:rsidR="00F31F97" w:rsidRPr="00E3756C">
        <w:rPr>
          <w:color w:val="000000"/>
        </w:rPr>
        <w:t xml:space="preserve"> parties and the</w:t>
      </w:r>
      <w:r w:rsidR="00F31F97" w:rsidRPr="00E3756C">
        <w:t xml:space="preserve"> elicitation (risk workshops) and</w:t>
      </w:r>
      <w:r w:rsidR="00F31F97" w:rsidRPr="00E3756C">
        <w:rPr>
          <w:color w:val="000000"/>
        </w:rPr>
        <w:t xml:space="preserve"> engagement processes based on Stage 1 identified risks (see </w:t>
      </w:r>
      <w:hyperlink w:anchor="_Chapter_A1:_Introduction" w:history="1">
        <w:r w:rsidRPr="00E3756C">
          <w:rPr>
            <w:rStyle w:val="Hyperlink"/>
          </w:rPr>
          <w:t>c</w:t>
        </w:r>
        <w:r w:rsidR="00F31F97" w:rsidRPr="00E3756C">
          <w:rPr>
            <w:rStyle w:val="Hyperlink"/>
          </w:rPr>
          <w:t>hapter A4</w:t>
        </w:r>
      </w:hyperlink>
      <w:r w:rsidR="00F31F97" w:rsidRPr="00E3756C">
        <w:rPr>
          <w:color w:val="000000"/>
        </w:rPr>
        <w:t xml:space="preserve"> and </w:t>
      </w:r>
      <w:hyperlink w:anchor="_Chapter_C1:_Developing" w:history="1">
        <w:r w:rsidRPr="00E3756C">
          <w:rPr>
            <w:rStyle w:val="Hyperlink"/>
          </w:rPr>
          <w:t xml:space="preserve">chapter </w:t>
        </w:r>
        <w:r w:rsidR="00F31F97" w:rsidRPr="00E3756C">
          <w:rPr>
            <w:rStyle w:val="Hyperlink"/>
          </w:rPr>
          <w:t>C1</w:t>
        </w:r>
      </w:hyperlink>
      <w:r w:rsidR="00F31F97" w:rsidRPr="00E3756C">
        <w:rPr>
          <w:color w:val="000000"/>
        </w:rPr>
        <w:t xml:space="preserve">) </w:t>
      </w:r>
    </w:p>
    <w:p w14:paraId="7AE52995" w14:textId="77777777" w:rsidR="00F31F97" w:rsidRPr="00E3756C" w:rsidRDefault="00890BA8" w:rsidP="00F31F97">
      <w:pPr>
        <w:pStyle w:val="Sub-list"/>
      </w:pPr>
      <w:r w:rsidRPr="00E3756C">
        <w:t>g</w:t>
      </w:r>
      <w:r w:rsidR="00F31F97" w:rsidRPr="00E3756C">
        <w:t xml:space="preserve">ather detail on hazards from Stage 1 for RCP4.5 and </w:t>
      </w:r>
      <w:r w:rsidR="00F31F97" w:rsidRPr="00E3756C">
        <w:rPr>
          <w:color w:val="000000"/>
        </w:rPr>
        <w:t>RCP8.5</w:t>
      </w:r>
      <w:r w:rsidR="00F31F97" w:rsidRPr="00E3756C">
        <w:t xml:space="preserve"> projections and the recommended timeframes (</w:t>
      </w:r>
      <w:r w:rsidRPr="00E3756C">
        <w:t xml:space="preserve">around </w:t>
      </w:r>
      <w:r w:rsidR="00F31F97" w:rsidRPr="00E3756C">
        <w:t>30 years</w:t>
      </w:r>
      <w:r w:rsidR="00F31F97" w:rsidRPr="00E3756C">
        <w:rPr>
          <w:color w:val="000000"/>
        </w:rPr>
        <w:t xml:space="preserve">, by 2100, and for </w:t>
      </w:r>
      <w:r w:rsidRPr="00E3756C">
        <w:rPr>
          <w:color w:val="000000"/>
        </w:rPr>
        <w:t>sea-level rise</w:t>
      </w:r>
      <w:r w:rsidR="00F31F97" w:rsidRPr="00E3756C">
        <w:rPr>
          <w:color w:val="000000"/>
        </w:rPr>
        <w:t xml:space="preserve"> in relation to coastal flooding, out to 2150) across the seven sub-regional climate zones (from the updated and completed </w:t>
      </w:r>
      <w:hyperlink w:anchor="tableB11" w:history="1">
        <w:r w:rsidR="001A3F09" w:rsidRPr="00E3756C">
          <w:rPr>
            <w:rStyle w:val="Hyperlink"/>
          </w:rPr>
          <w:t>t</w:t>
        </w:r>
        <w:r w:rsidR="00F31F97" w:rsidRPr="00E3756C">
          <w:rPr>
            <w:rStyle w:val="Hyperlink"/>
          </w:rPr>
          <w:t>able B1-1</w:t>
        </w:r>
      </w:hyperlink>
      <w:r w:rsidR="00F31F97" w:rsidRPr="00E3756C">
        <w:rPr>
          <w:color w:val="000000"/>
        </w:rPr>
        <w:t xml:space="preserve">, </w:t>
      </w:r>
      <w:r w:rsidR="001A3F09" w:rsidRPr="00E3756C">
        <w:rPr>
          <w:color w:val="000000"/>
        </w:rPr>
        <w:t>c</w:t>
      </w:r>
      <w:r w:rsidR="00F31F97" w:rsidRPr="00E3756C">
        <w:rPr>
          <w:color w:val="000000"/>
        </w:rPr>
        <w:t>hapter B1).</w:t>
      </w:r>
    </w:p>
    <w:p w14:paraId="447933B6" w14:textId="77777777" w:rsidR="00F31F97" w:rsidRPr="00E3756C" w:rsidRDefault="00F31F97" w:rsidP="00F31F97">
      <w:pPr>
        <w:pStyle w:val="Bullet"/>
        <w:rPr>
          <w:b/>
        </w:rPr>
      </w:pPr>
      <w:r w:rsidRPr="00E3756C">
        <w:rPr>
          <w:b/>
        </w:rPr>
        <w:t>Step 2: Exposure assessment</w:t>
      </w:r>
    </w:p>
    <w:p w14:paraId="78C1AD3F" w14:textId="1E139649" w:rsidR="00F31F97" w:rsidRPr="00E3756C" w:rsidRDefault="00F31F97" w:rsidP="00F31F97">
      <w:pPr>
        <w:pStyle w:val="Sub-list"/>
      </w:pPr>
      <w:r w:rsidRPr="00E3756C">
        <w:t>Define elements at risk by</w:t>
      </w:r>
      <w:r w:rsidR="00484C8A" w:rsidRPr="00E3756C">
        <w:t xml:space="preserve"> </w:t>
      </w:r>
      <w:r w:rsidRPr="00E3756C">
        <w:t>value domain or sector (</w:t>
      </w:r>
      <w:hyperlink w:anchor="_Chapter_A3:_Setting" w:history="1">
        <w:r w:rsidR="001A3F09" w:rsidRPr="00E3756C">
          <w:rPr>
            <w:rStyle w:val="Hyperlink"/>
          </w:rPr>
          <w:t>c</w:t>
        </w:r>
        <w:r w:rsidRPr="00E3756C">
          <w:rPr>
            <w:rStyle w:val="Hyperlink"/>
          </w:rPr>
          <w:t>hapter A3</w:t>
        </w:r>
      </w:hyperlink>
      <w:r w:rsidRPr="00E3756C">
        <w:t>) for the priority risks from the screening assessment (</w:t>
      </w:r>
      <w:hyperlink w:anchor="_Chapter_B2:_Assessment" w:history="1">
        <w:r w:rsidR="001A3F09" w:rsidRPr="00E3756C">
          <w:rPr>
            <w:rStyle w:val="Hyperlink"/>
          </w:rPr>
          <w:t>c</w:t>
        </w:r>
        <w:r w:rsidRPr="00E3756C">
          <w:rPr>
            <w:rStyle w:val="Hyperlink"/>
          </w:rPr>
          <w:t>hapter B2</w:t>
        </w:r>
      </w:hyperlink>
      <w:r w:rsidRPr="00E3756C">
        <w:t>), by sourcing relevant data and knowledge on elements from databases</w:t>
      </w:r>
      <w:r w:rsidR="00A80A13">
        <w:t xml:space="preserve">. For example these databases include </w:t>
      </w:r>
      <w:r w:rsidRPr="00E3756C">
        <w:t>Census, sector databases, N</w:t>
      </w:r>
      <w:r w:rsidR="00933E64" w:rsidRPr="00E3756C">
        <w:t xml:space="preserve">ew </w:t>
      </w:r>
      <w:r w:rsidRPr="00E3756C">
        <w:t>Z</w:t>
      </w:r>
      <w:r w:rsidR="00933E64" w:rsidRPr="00E3756C">
        <w:t>ealand</w:t>
      </w:r>
      <w:r w:rsidRPr="00E3756C">
        <w:t xml:space="preserve"> Landcover Database,</w:t>
      </w:r>
      <w:r w:rsidR="00484C8A" w:rsidRPr="00E3756C">
        <w:t xml:space="preserve"> </w:t>
      </w:r>
      <w:r w:rsidRPr="00E3756C">
        <w:t>L</w:t>
      </w:r>
      <w:r w:rsidR="00933E64" w:rsidRPr="00E3756C">
        <w:t xml:space="preserve">and </w:t>
      </w:r>
      <w:r w:rsidRPr="00E3756C">
        <w:t>I</w:t>
      </w:r>
      <w:r w:rsidR="00933E64" w:rsidRPr="00E3756C">
        <w:t xml:space="preserve">nformation </w:t>
      </w:r>
      <w:r w:rsidRPr="00E3756C">
        <w:t>N</w:t>
      </w:r>
      <w:r w:rsidR="00933E64" w:rsidRPr="00E3756C">
        <w:t xml:space="preserve">ew </w:t>
      </w:r>
      <w:r w:rsidRPr="00E3756C">
        <w:t>Z</w:t>
      </w:r>
      <w:r w:rsidR="00933E64" w:rsidRPr="00E3756C">
        <w:t>ealand</w:t>
      </w:r>
      <w:r w:rsidRPr="00E3756C">
        <w:t xml:space="preserve"> </w:t>
      </w:r>
      <w:r w:rsidR="004D62A8">
        <w:t>NZ Building Outlines</w:t>
      </w:r>
      <w:r w:rsidRPr="00E3756C">
        <w:t>, RiskScape asset</w:t>
      </w:r>
      <w:r w:rsidR="00933E64" w:rsidRPr="00E3756C">
        <w:t xml:space="preserve"> and </w:t>
      </w:r>
      <w:r w:rsidRPr="00E3756C">
        <w:t>buildings databases, environment and conservation classifications, tourism hotspots, marine habitats and fisheries environment classifications</w:t>
      </w:r>
      <w:r w:rsidR="00AD7142" w:rsidRPr="00E3756C">
        <w:rPr>
          <w:rFonts w:cs="Calibri"/>
        </w:rPr>
        <w:t>.</w:t>
      </w:r>
      <w:r w:rsidR="00E56869" w:rsidRPr="00E3756C">
        <w:rPr>
          <w:rStyle w:val="FootnoteReference"/>
          <w:rFonts w:cs="Calibri"/>
        </w:rPr>
        <w:footnoteReference w:id="5"/>
      </w:r>
    </w:p>
    <w:p w14:paraId="39204BD0" w14:textId="77777777" w:rsidR="00F31F97" w:rsidRPr="00E3756C" w:rsidRDefault="00F31F97" w:rsidP="00C22F18">
      <w:pPr>
        <w:pStyle w:val="Sub-list"/>
      </w:pPr>
      <w:r w:rsidRPr="00E3756C">
        <w:t>Quantify the value</w:t>
      </w:r>
      <w:r w:rsidRPr="00E3756C">
        <w:rPr>
          <w:b/>
        </w:rPr>
        <w:t xml:space="preserve"> </w:t>
      </w:r>
      <w:r w:rsidRPr="00E3756C">
        <w:t>(in monetary terms</w:t>
      </w:r>
      <w:r w:rsidR="00C557ED" w:rsidRPr="00E3756C">
        <w:t>,</w:t>
      </w:r>
      <w:r w:rsidRPr="00E3756C">
        <w:t xml:space="preserve"> if possible) of the defined assets</w:t>
      </w:r>
      <w:r w:rsidR="00C557ED" w:rsidRPr="00E3756C">
        <w:t xml:space="preserve">, </w:t>
      </w:r>
      <w:r w:rsidRPr="00E3756C">
        <w:t>taonga</w:t>
      </w:r>
      <w:r w:rsidR="00C557ED" w:rsidRPr="00E3756C">
        <w:t xml:space="preserve">, </w:t>
      </w:r>
      <w:r w:rsidRPr="00E3756C">
        <w:t>environments</w:t>
      </w:r>
      <w:r w:rsidR="00C557ED" w:rsidRPr="00E3756C">
        <w:t xml:space="preserve"> and </w:t>
      </w:r>
      <w:r w:rsidRPr="00E3756C">
        <w:t>people exposed to the identified climate hazards</w:t>
      </w:r>
      <w:r w:rsidR="00AD7142" w:rsidRPr="00E3756C">
        <w:t>.</w:t>
      </w:r>
    </w:p>
    <w:p w14:paraId="27094334" w14:textId="77777777" w:rsidR="00F31F97" w:rsidRPr="00E3756C" w:rsidRDefault="00F31F97" w:rsidP="001847A5">
      <w:pPr>
        <w:pStyle w:val="Sub-list"/>
        <w:keepLines/>
      </w:pPr>
      <w:r w:rsidRPr="00E3756C">
        <w:lastRenderedPageBreak/>
        <w:t xml:space="preserve">Assess the elements at </w:t>
      </w:r>
      <w:r w:rsidR="000124EE" w:rsidRPr="00E3756C">
        <w:t xml:space="preserve">the </w:t>
      </w:r>
      <w:r w:rsidRPr="00E3756C">
        <w:t>temporal and spatial scales</w:t>
      </w:r>
      <w:r w:rsidRPr="00E3756C">
        <w:rPr>
          <w:b/>
        </w:rPr>
        <w:t xml:space="preserve"> </w:t>
      </w:r>
      <w:r w:rsidR="004D62A8" w:rsidRPr="004D62A8">
        <w:t>of exposure</w:t>
      </w:r>
      <w:r w:rsidR="004D62A8">
        <w:rPr>
          <w:b/>
        </w:rPr>
        <w:t xml:space="preserve"> </w:t>
      </w:r>
      <w:r w:rsidRPr="00E3756C">
        <w:t xml:space="preserve">(where quantifiable for the </w:t>
      </w:r>
      <w:r w:rsidR="00AD7142" w:rsidRPr="00E3756C">
        <w:t>seven</w:t>
      </w:r>
      <w:r w:rsidRPr="00E3756C">
        <w:t xml:space="preserve"> sub-national climate zones) for current and specified future timeframes (</w:t>
      </w:r>
      <w:hyperlink w:anchor="_Chapter_A3:_Setting" w:history="1">
        <w:r w:rsidR="00AD7142" w:rsidRPr="00E3756C">
          <w:rPr>
            <w:rStyle w:val="Hyperlink"/>
          </w:rPr>
          <w:t>c</w:t>
        </w:r>
        <w:r w:rsidRPr="00E3756C">
          <w:rPr>
            <w:rStyle w:val="Hyperlink"/>
          </w:rPr>
          <w:t>hapter A3</w:t>
        </w:r>
      </w:hyperlink>
      <w:r w:rsidRPr="00E3756C">
        <w:t xml:space="preserve"> and </w:t>
      </w:r>
      <w:hyperlink w:anchor="_Chapter_B1:_Defining_1" w:history="1">
        <w:r w:rsidR="00AD7142" w:rsidRPr="00E3756C">
          <w:rPr>
            <w:rStyle w:val="Hyperlink"/>
          </w:rPr>
          <w:t xml:space="preserve">chapter </w:t>
        </w:r>
        <w:r w:rsidRPr="00E3756C">
          <w:rPr>
            <w:rStyle w:val="Hyperlink"/>
          </w:rPr>
          <w:t>B1</w:t>
        </w:r>
      </w:hyperlink>
      <w:r w:rsidRPr="00E3756C">
        <w:t>) for the two recommended projections (RCP4.5 and RCP8.5).</w:t>
      </w:r>
      <w:r w:rsidR="00484C8A" w:rsidRPr="00E3756C">
        <w:t xml:space="preserve"> </w:t>
      </w:r>
    </w:p>
    <w:p w14:paraId="2963F729" w14:textId="223AFA91" w:rsidR="00F31F97" w:rsidRPr="00E3756C" w:rsidRDefault="00F31F97" w:rsidP="00C22F18">
      <w:pPr>
        <w:pStyle w:val="Sub-list"/>
      </w:pPr>
      <w:r w:rsidRPr="00E3756C">
        <w:t xml:space="preserve">Record the exposure quantitatively or qualitatively in geospatial maps or tabular form, </w:t>
      </w:r>
      <w:r w:rsidR="000124EE" w:rsidRPr="00E3756C">
        <w:t xml:space="preserve">and </w:t>
      </w:r>
      <w:r w:rsidRPr="00E3756C">
        <w:t xml:space="preserve">apply ratings on a </w:t>
      </w:r>
      <w:r w:rsidR="000124EE" w:rsidRPr="00E3756C">
        <w:t>four</w:t>
      </w:r>
      <w:r w:rsidRPr="00E3756C">
        <w:t xml:space="preserve">-level scale from low to extreme exposure across the sub-national climate zones using </w:t>
      </w:r>
      <w:hyperlink w:anchor="tableB31" w:history="1">
        <w:r w:rsidR="000124EE" w:rsidRPr="00E3756C">
          <w:rPr>
            <w:rStyle w:val="Hyperlink"/>
          </w:rPr>
          <w:t>t</w:t>
        </w:r>
        <w:r w:rsidRPr="00E3756C">
          <w:rPr>
            <w:rStyle w:val="Hyperlink"/>
          </w:rPr>
          <w:t>able B3-1</w:t>
        </w:r>
      </w:hyperlink>
      <w:r w:rsidRPr="00E3756C">
        <w:t xml:space="preserve">. Except where the asset values are easily quantifiable in objective terms, </w:t>
      </w:r>
      <w:r w:rsidR="00A80A13">
        <w:t>it will be necessary to engage</w:t>
      </w:r>
      <w:r w:rsidRPr="00E3756C">
        <w:t xml:space="preserve"> with key stakeholders, experts and sector adaptation leaders in an elicitation process to define thresholds for the key elements exposure that constitute a risk.</w:t>
      </w:r>
      <w:r w:rsidR="00484C8A" w:rsidRPr="00E3756C">
        <w:t xml:space="preserve"> </w:t>
      </w:r>
    </w:p>
    <w:p w14:paraId="7B0DAE7E" w14:textId="77777777" w:rsidR="00F31F97" w:rsidRPr="00E3756C" w:rsidRDefault="00F31F97" w:rsidP="00C22F18">
      <w:pPr>
        <w:pStyle w:val="Bullet"/>
        <w:rPr>
          <w:b/>
        </w:rPr>
      </w:pPr>
      <w:r w:rsidRPr="00E3756C">
        <w:rPr>
          <w:b/>
        </w:rPr>
        <w:t>Step 3: Vulnerability assessment</w:t>
      </w:r>
    </w:p>
    <w:p w14:paraId="56EC065E" w14:textId="77777777" w:rsidR="00F31F97" w:rsidRPr="00E3756C" w:rsidRDefault="00F31F97" w:rsidP="00C22F18">
      <w:pPr>
        <w:pStyle w:val="Sub-list"/>
      </w:pPr>
      <w:r w:rsidRPr="00E3756C">
        <w:t>Through an elicitation process with key stakeholders, experts and sector adaptation leaders, decide on appropriate data</w:t>
      </w:r>
      <w:r w:rsidR="005A7D7B" w:rsidRPr="00E3756C">
        <w:t xml:space="preserve"> and </w:t>
      </w:r>
      <w:r w:rsidRPr="00E3756C">
        <w:t>information, indicators or qualitative descriptors for the vulnerability assessment</w:t>
      </w:r>
      <w:r w:rsidR="001832F8" w:rsidRPr="00E3756C">
        <w:t>. This information should</w:t>
      </w:r>
      <w:r w:rsidRPr="00E3756C">
        <w:t xml:space="preserve"> cover </w:t>
      </w:r>
      <w:r w:rsidRPr="00E3756C">
        <w:rPr>
          <w:b/>
        </w:rPr>
        <w:t>sensitivity</w:t>
      </w:r>
      <w:r w:rsidRPr="00E3756C">
        <w:t xml:space="preserve"> and </w:t>
      </w:r>
      <w:r w:rsidRPr="00E3756C">
        <w:rPr>
          <w:b/>
        </w:rPr>
        <w:t>adaptive capacity</w:t>
      </w:r>
      <w:r w:rsidRPr="00E3756C">
        <w:t xml:space="preserve"> </w:t>
      </w:r>
      <w:r w:rsidR="005A7D7B" w:rsidRPr="00E3756C">
        <w:t>relating</w:t>
      </w:r>
      <w:r w:rsidRPr="00E3756C">
        <w:t xml:space="preserve"> to the elements or activities at risk in a value domain or</w:t>
      </w:r>
      <w:r w:rsidR="001847A5">
        <w:t> </w:t>
      </w:r>
      <w:r w:rsidRPr="00E3756C">
        <w:t xml:space="preserve">sector. </w:t>
      </w:r>
    </w:p>
    <w:p w14:paraId="37BD21E2" w14:textId="77777777" w:rsidR="00F31F97" w:rsidRPr="00E3756C" w:rsidRDefault="00F31F97" w:rsidP="00C22F18">
      <w:pPr>
        <w:pStyle w:val="Sub-list"/>
      </w:pPr>
      <w:r w:rsidRPr="00E3756C">
        <w:t xml:space="preserve">Assess data and information for each value domain or sector across the seven sub-national climate zones and record a qualitative ranking using the </w:t>
      </w:r>
      <w:r w:rsidR="0061189C" w:rsidRPr="00E3756C">
        <w:t>four</w:t>
      </w:r>
      <w:r w:rsidRPr="00E3756C">
        <w:t>-level scale</w:t>
      </w:r>
      <w:r w:rsidR="003F565A" w:rsidRPr="00E3756C">
        <w:t>,</w:t>
      </w:r>
      <w:r w:rsidRPr="00E3756C">
        <w:t xml:space="preserve"> from low to extreme</w:t>
      </w:r>
      <w:r w:rsidR="003F565A" w:rsidRPr="00E3756C">
        <w:t>,</w:t>
      </w:r>
      <w:r w:rsidRPr="00E3756C">
        <w:t xml:space="preserve"> shown in </w:t>
      </w:r>
      <w:hyperlink w:anchor="tableB32" w:history="1">
        <w:r w:rsidR="0061189C" w:rsidRPr="00E3756C">
          <w:rPr>
            <w:rStyle w:val="Hyperlink"/>
          </w:rPr>
          <w:t>t</w:t>
        </w:r>
        <w:r w:rsidRPr="00E3756C">
          <w:rPr>
            <w:rStyle w:val="Hyperlink"/>
          </w:rPr>
          <w:t>able B3-2</w:t>
        </w:r>
      </w:hyperlink>
      <w:r w:rsidRPr="00E3756C">
        <w:t xml:space="preserve">. </w:t>
      </w:r>
    </w:p>
    <w:p w14:paraId="6DC9BDDB" w14:textId="77777777" w:rsidR="00F31F97" w:rsidRPr="00E3756C" w:rsidRDefault="00F31F97" w:rsidP="00C22F18">
      <w:pPr>
        <w:pStyle w:val="Bullet"/>
        <w:rPr>
          <w:b/>
        </w:rPr>
      </w:pPr>
      <w:r w:rsidRPr="00E3756C">
        <w:rPr>
          <w:b/>
        </w:rPr>
        <w:t>Step 4: Consequence assessment</w:t>
      </w:r>
    </w:p>
    <w:p w14:paraId="6F8563D5" w14:textId="77777777" w:rsidR="00F31F97" w:rsidRPr="00E3756C" w:rsidRDefault="00F31F97" w:rsidP="00C22F18">
      <w:pPr>
        <w:pStyle w:val="Sub-list"/>
      </w:pPr>
      <w:r w:rsidRPr="00E3756C">
        <w:t>Confirm the</w:t>
      </w:r>
      <w:r w:rsidRPr="00E3756C">
        <w:rPr>
          <w:color w:val="000000"/>
        </w:rPr>
        <w:t xml:space="preserve"> criteria of relevance for assessing consequence</w:t>
      </w:r>
      <w:r w:rsidR="00AC1A28" w:rsidRPr="00E3756C">
        <w:rPr>
          <w:color w:val="000000"/>
        </w:rPr>
        <w:t>s</w:t>
      </w:r>
      <w:r w:rsidRPr="00E3756C">
        <w:rPr>
          <w:color w:val="000000"/>
        </w:rPr>
        <w:t xml:space="preserve"> for </w:t>
      </w:r>
      <w:r w:rsidRPr="00E3756C">
        <w:t>each</w:t>
      </w:r>
      <w:r w:rsidRPr="00E3756C">
        <w:rPr>
          <w:color w:val="000000"/>
        </w:rPr>
        <w:t xml:space="preserve"> value domain or sec</w:t>
      </w:r>
      <w:r w:rsidRPr="00E3756C">
        <w:t>tor</w:t>
      </w:r>
      <w:r w:rsidRPr="00E3756C">
        <w:rPr>
          <w:color w:val="000000"/>
        </w:rPr>
        <w:t xml:space="preserve">. </w:t>
      </w:r>
      <w:r w:rsidR="00AC1A28" w:rsidRPr="00E3756C">
        <w:t>Chapter C2 (</w:t>
      </w:r>
      <w:hyperlink w:anchor="tableC22" w:history="1">
        <w:r w:rsidR="00AC1A28" w:rsidRPr="00E3756C">
          <w:rPr>
            <w:rStyle w:val="Hyperlink"/>
          </w:rPr>
          <w:t>table C2-2</w:t>
        </w:r>
      </w:hyperlink>
      <w:r w:rsidR="00AC1A28" w:rsidRPr="00E3756C">
        <w:t>) gives a</w:t>
      </w:r>
      <w:r w:rsidRPr="00E3756C">
        <w:t xml:space="preserve">n example of consequence indicators for </w:t>
      </w:r>
      <w:r w:rsidR="00AC1A28" w:rsidRPr="00E3756C">
        <w:t xml:space="preserve">five </w:t>
      </w:r>
      <w:r w:rsidRPr="00E3756C">
        <w:t>impact levels across the NCCRA value domains</w:t>
      </w:r>
      <w:r w:rsidR="00AC1A28" w:rsidRPr="00E3756C">
        <w:t>.</w:t>
      </w:r>
      <w:r w:rsidRPr="00E3756C">
        <w:t xml:space="preserve"> </w:t>
      </w:r>
    </w:p>
    <w:p w14:paraId="6B53C428" w14:textId="77777777" w:rsidR="00F31F97" w:rsidRPr="00E3756C" w:rsidRDefault="00F31F97" w:rsidP="00C22F18">
      <w:pPr>
        <w:pStyle w:val="Sub-list"/>
      </w:pPr>
      <w:r w:rsidRPr="00E3756C">
        <w:rPr>
          <w:color w:val="000000"/>
        </w:rPr>
        <w:t>Engage experts and knowledgeable practitioners to evaluate the consequences based on the agreed criteria, considering the rat</w:t>
      </w:r>
      <w:r w:rsidRPr="00E3756C">
        <w:t>ings for exposure and vulnerability</w:t>
      </w:r>
      <w:r w:rsidRPr="00E3756C">
        <w:rPr>
          <w:color w:val="000000"/>
        </w:rPr>
        <w:t xml:space="preserve">. </w:t>
      </w:r>
    </w:p>
    <w:p w14:paraId="07993463" w14:textId="77777777" w:rsidR="00F31F97" w:rsidRPr="00E3756C" w:rsidRDefault="00F31F97" w:rsidP="00C22F18">
      <w:pPr>
        <w:pStyle w:val="Sub-list"/>
      </w:pPr>
      <w:r w:rsidRPr="00E3756C">
        <w:rPr>
          <w:color w:val="000000"/>
        </w:rPr>
        <w:t xml:space="preserve">Where multiple consequences criteria </w:t>
      </w:r>
      <w:r w:rsidR="00AC1A28" w:rsidRPr="00E3756C">
        <w:rPr>
          <w:color w:val="000000"/>
        </w:rPr>
        <w:t xml:space="preserve">are </w:t>
      </w:r>
      <w:r w:rsidRPr="00E3756C">
        <w:rPr>
          <w:color w:val="000000"/>
        </w:rPr>
        <w:t>scored for each value domain or sector, use an agreed weighting or normali</w:t>
      </w:r>
      <w:r w:rsidRPr="00E3756C">
        <w:t>sation</w:t>
      </w:r>
      <w:r w:rsidRPr="00E3756C">
        <w:rPr>
          <w:color w:val="000000"/>
        </w:rPr>
        <w:t xml:space="preserve"> method to determine an aggregate score.</w:t>
      </w:r>
    </w:p>
    <w:p w14:paraId="1B7B6533" w14:textId="77777777" w:rsidR="00F31F97" w:rsidRPr="00E3756C" w:rsidRDefault="00F31F97" w:rsidP="00C22F18">
      <w:pPr>
        <w:pStyle w:val="Bullet"/>
        <w:rPr>
          <w:b/>
        </w:rPr>
      </w:pPr>
      <w:r w:rsidRPr="00E3756C">
        <w:rPr>
          <w:b/>
        </w:rPr>
        <w:t>Step 5: Risk scoring</w:t>
      </w:r>
    </w:p>
    <w:p w14:paraId="67E627F2" w14:textId="775DDBD9" w:rsidR="00F31F97" w:rsidRPr="00E3756C" w:rsidRDefault="00F31F97" w:rsidP="00C22F18">
      <w:pPr>
        <w:pStyle w:val="Sub-list"/>
      </w:pPr>
      <w:r w:rsidRPr="00E3756C">
        <w:t xml:space="preserve">Prepare a workbook for scoring risks by domain or sector. Risks will be rated based on the consequences score, aggregated across the sub-national climate zones (using criteria </w:t>
      </w:r>
      <w:r w:rsidR="00AA0A25" w:rsidRPr="00E3756C">
        <w:t xml:space="preserve">prepared </w:t>
      </w:r>
      <w:r w:rsidRPr="00E3756C">
        <w:t xml:space="preserve">for </w:t>
      </w:r>
      <w:r w:rsidR="00AA0A25" w:rsidRPr="00E3756C">
        <w:t xml:space="preserve">the </w:t>
      </w:r>
      <w:r w:rsidRPr="00E3756C">
        <w:t>aggregation of risk scores to the national scale eg</w:t>
      </w:r>
      <w:r w:rsidR="003F565A" w:rsidRPr="00E3756C">
        <w:t>,</w:t>
      </w:r>
      <w:r w:rsidRPr="00E3756C">
        <w:t xml:space="preserve"> </w:t>
      </w:r>
      <w:r w:rsidR="00A80A13">
        <w:t>S</w:t>
      </w:r>
      <w:r w:rsidR="000A17DE">
        <w:t>tep</w:t>
      </w:r>
      <w:r w:rsidRPr="00E3756C">
        <w:t xml:space="preserve"> 1, </w:t>
      </w:r>
      <w:hyperlink w:anchor="_B2.2__Method" w:history="1">
        <w:r w:rsidR="003F565A" w:rsidRPr="00E3756C">
          <w:rPr>
            <w:rStyle w:val="Hyperlink"/>
          </w:rPr>
          <w:t>s</w:t>
        </w:r>
        <w:r w:rsidRPr="00E3756C">
          <w:rPr>
            <w:rStyle w:val="Hyperlink"/>
          </w:rPr>
          <w:t>ection B2.2</w:t>
        </w:r>
      </w:hyperlink>
      <w:r w:rsidRPr="00E3756C">
        <w:t xml:space="preserve">). Only risks falling under consequence categories of </w:t>
      </w:r>
      <w:r w:rsidR="00C97261" w:rsidRPr="00E3756C">
        <w:t>m</w:t>
      </w:r>
      <w:r w:rsidRPr="00E3756C">
        <w:t xml:space="preserve">oderate to </w:t>
      </w:r>
      <w:r w:rsidR="00C97261" w:rsidRPr="00E3756C">
        <w:t>e</w:t>
      </w:r>
      <w:r w:rsidRPr="00E3756C">
        <w:t xml:space="preserve">xtreme from </w:t>
      </w:r>
      <w:r w:rsidR="00A80A13">
        <w:t>S</w:t>
      </w:r>
      <w:r w:rsidR="000A17DE">
        <w:t>tep</w:t>
      </w:r>
      <w:r w:rsidRPr="00E3756C">
        <w:t xml:space="preserve"> 4 need to be scrutinised further in Stage 3.</w:t>
      </w:r>
    </w:p>
    <w:p w14:paraId="039767A1" w14:textId="77777777" w:rsidR="00F31F97" w:rsidRPr="00E3756C" w:rsidRDefault="00F31F97" w:rsidP="00C22F18">
      <w:pPr>
        <w:pStyle w:val="Sub-list"/>
      </w:pPr>
      <w:r w:rsidRPr="00E3756C">
        <w:t xml:space="preserve">Assess strength of evidence and uncertainty using the strength of evidence criteria outlined in </w:t>
      </w:r>
      <w:r w:rsidR="00AA0A25" w:rsidRPr="00E3756C">
        <w:t>c</w:t>
      </w:r>
      <w:r w:rsidRPr="00E3756C">
        <w:t xml:space="preserve">hapter C2, </w:t>
      </w:r>
      <w:hyperlink w:anchor="tableC21" w:history="1">
        <w:r w:rsidR="00AA0A25" w:rsidRPr="00E3756C">
          <w:rPr>
            <w:rStyle w:val="Hyperlink"/>
          </w:rPr>
          <w:t>t</w:t>
        </w:r>
        <w:r w:rsidRPr="00E3756C">
          <w:rPr>
            <w:rStyle w:val="Hyperlink"/>
          </w:rPr>
          <w:t>able C2-1</w:t>
        </w:r>
      </w:hyperlink>
      <w:r w:rsidRPr="00E3756C">
        <w:t xml:space="preserve">. </w:t>
      </w:r>
    </w:p>
    <w:p w14:paraId="626F3080" w14:textId="77777777" w:rsidR="00F31F97" w:rsidRPr="00E3756C" w:rsidRDefault="00F31F97" w:rsidP="00C22F18">
      <w:pPr>
        <w:pStyle w:val="Sub-list"/>
      </w:pPr>
      <w:r w:rsidRPr="00E3756C">
        <w:t xml:space="preserve">Identify key risks. Following assessment of strength of evidence levels, </w:t>
      </w:r>
      <w:r w:rsidR="0042347C" w:rsidRPr="00E3756C">
        <w:t xml:space="preserve">prepare </w:t>
      </w:r>
      <w:r w:rsidRPr="00E3756C">
        <w:t>a summary tabulation by domain or sector</w:t>
      </w:r>
      <w:r w:rsidRPr="008F26C8">
        <w:t>,</w:t>
      </w:r>
      <w:r w:rsidRPr="00E3756C">
        <w:rPr>
          <w:b/>
        </w:rPr>
        <w:t xml:space="preserve"> </w:t>
      </w:r>
      <w:r w:rsidRPr="00E3756C">
        <w:t>as shown in</w:t>
      </w:r>
      <w:r w:rsidRPr="00E3756C">
        <w:rPr>
          <w:b/>
        </w:rPr>
        <w:t xml:space="preserve"> </w:t>
      </w:r>
      <w:hyperlink w:anchor="tableB35" w:history="1">
        <w:r w:rsidR="0042347C" w:rsidRPr="00E3756C">
          <w:rPr>
            <w:rStyle w:val="Hyperlink"/>
          </w:rPr>
          <w:t>t</w:t>
        </w:r>
        <w:r w:rsidRPr="00E3756C">
          <w:rPr>
            <w:rStyle w:val="Hyperlink"/>
          </w:rPr>
          <w:t>able B3-</w:t>
        </w:r>
        <w:r w:rsidR="00D06A15" w:rsidRPr="00E3756C">
          <w:rPr>
            <w:rStyle w:val="Hyperlink"/>
          </w:rPr>
          <w:t>5</w:t>
        </w:r>
      </w:hyperlink>
      <w:r w:rsidRPr="00E3756C">
        <w:t>.</w:t>
      </w:r>
    </w:p>
    <w:p w14:paraId="5EA4945C" w14:textId="77777777" w:rsidR="006E65F9" w:rsidRPr="00E3756C" w:rsidRDefault="006E65F9" w:rsidP="006E65F9">
      <w:pPr>
        <w:pStyle w:val="Heading2"/>
      </w:pPr>
      <w:bookmarkStart w:id="156" w:name="_Toc14361556"/>
      <w:bookmarkStart w:id="157" w:name="_Toc15409168"/>
      <w:bookmarkStart w:id="158" w:name="_Toc13570376"/>
      <w:r w:rsidRPr="00E3756C">
        <w:lastRenderedPageBreak/>
        <w:t xml:space="preserve">B3.3 </w:t>
      </w:r>
      <w:r w:rsidR="00F05EA4" w:rsidRPr="00E3756C">
        <w:tab/>
      </w:r>
      <w:r w:rsidRPr="00E3756C">
        <w:t>Guidance on the assessment steps</w:t>
      </w:r>
      <w:bookmarkEnd w:id="156"/>
      <w:bookmarkEnd w:id="157"/>
    </w:p>
    <w:p w14:paraId="6ADC82E8" w14:textId="49BF9DF2" w:rsidR="006E65F9" w:rsidRPr="00E3756C" w:rsidRDefault="006E65F9" w:rsidP="006E65F9">
      <w:pPr>
        <w:pStyle w:val="Heading3"/>
        <w:spacing w:before="240"/>
      </w:pPr>
      <w:r w:rsidRPr="00E3756C">
        <w:t xml:space="preserve">Guidance on </w:t>
      </w:r>
      <w:r w:rsidR="00A80A13">
        <w:t>S</w:t>
      </w:r>
      <w:r w:rsidR="000A17DE">
        <w:t>tep</w:t>
      </w:r>
      <w:r w:rsidRPr="00E3756C">
        <w:t xml:space="preserve"> 1</w:t>
      </w:r>
      <w:r w:rsidR="00E82C87" w:rsidRPr="00E3756C">
        <w:t>:</w:t>
      </w:r>
      <w:r w:rsidRPr="00E3756C">
        <w:t xml:space="preserve"> Context and hazards</w:t>
      </w:r>
    </w:p>
    <w:p w14:paraId="2896F74B" w14:textId="77777777" w:rsidR="006E65F9" w:rsidRPr="00E3756C" w:rsidRDefault="006E65F9" w:rsidP="006E65F9">
      <w:pPr>
        <w:pStyle w:val="BodyText"/>
      </w:pPr>
      <w:r w:rsidRPr="00E3756C">
        <w:t>The context for Stage 2 flows from the results of Stage 1. Engagement is again required to gather and analyse information, following similar methods with stakeholders, agencies</w:t>
      </w:r>
      <w:r w:rsidR="00484C8A" w:rsidRPr="00E3756C">
        <w:t xml:space="preserve"> </w:t>
      </w:r>
      <w:r w:rsidRPr="00E3756C">
        <w:t xml:space="preserve">and partners </w:t>
      </w:r>
      <w:r w:rsidR="00A21DD9" w:rsidRPr="00E3756C">
        <w:t xml:space="preserve">as </w:t>
      </w:r>
      <w:r w:rsidRPr="00E3756C">
        <w:t xml:space="preserve">identified in Stage 1. Guidance is provided in </w:t>
      </w:r>
      <w:hyperlink w:anchor="_Chapter_C1:_Developing" w:history="1">
        <w:r w:rsidR="00F578EB" w:rsidRPr="00E3756C">
          <w:rPr>
            <w:rStyle w:val="Hyperlink"/>
          </w:rPr>
          <w:t>c</w:t>
        </w:r>
        <w:r w:rsidRPr="00E3756C">
          <w:rPr>
            <w:rStyle w:val="Hyperlink"/>
          </w:rPr>
          <w:t>hapter C1</w:t>
        </w:r>
      </w:hyperlink>
      <w:r w:rsidRPr="00E3756C">
        <w:t>.</w:t>
      </w:r>
    </w:p>
    <w:p w14:paraId="4299B936" w14:textId="77777777" w:rsidR="006E65F9" w:rsidRPr="00E3756C" w:rsidRDefault="006E65F9" w:rsidP="006E65F9">
      <w:pPr>
        <w:pStyle w:val="Heading4"/>
      </w:pPr>
      <w:r w:rsidRPr="00E3756C">
        <w:t xml:space="preserve">Hazards </w:t>
      </w:r>
      <w:bookmarkEnd w:id="158"/>
    </w:p>
    <w:p w14:paraId="1E63129A" w14:textId="77777777" w:rsidR="006E65F9" w:rsidRPr="00E3756C" w:rsidRDefault="006E65F9" w:rsidP="006E65F9">
      <w:pPr>
        <w:pStyle w:val="BodyText"/>
      </w:pPr>
      <w:r w:rsidRPr="00E3756C">
        <w:t>Chapter B1 describe</w:t>
      </w:r>
      <w:r w:rsidR="00083ED4" w:rsidRPr="00E3756C">
        <w:t>s</w:t>
      </w:r>
      <w:r w:rsidRPr="00E3756C">
        <w:t xml:space="preserve"> </w:t>
      </w:r>
      <w:r w:rsidR="00F578EB" w:rsidRPr="00E3756C">
        <w:t>several</w:t>
      </w:r>
      <w:r w:rsidRPr="00E3756C">
        <w:t xml:space="preserve"> hazard categories based on primary and secondary climate variables</w:t>
      </w:r>
      <w:r w:rsidR="00F578EB" w:rsidRPr="00E3756C">
        <w:t>,</w:t>
      </w:r>
      <w:r w:rsidRPr="00E3756C">
        <w:t xml:space="preserve"> such as changes in temperature, precipitation, storms, and changes to coasts and oceans (see </w:t>
      </w:r>
      <w:hyperlink w:anchor="tableB12" w:history="1">
        <w:r w:rsidR="00F578EB" w:rsidRPr="00E3756C">
          <w:rPr>
            <w:rStyle w:val="Hyperlink"/>
          </w:rPr>
          <w:t>t</w:t>
        </w:r>
        <w:r w:rsidRPr="00E3756C">
          <w:rPr>
            <w:rStyle w:val="Hyperlink"/>
          </w:rPr>
          <w:t>able B1-2</w:t>
        </w:r>
      </w:hyperlink>
      <w:r w:rsidRPr="00E3756C">
        <w:t xml:space="preserve">). The first-pass risk screening (Stage 1, </w:t>
      </w:r>
      <w:hyperlink w:anchor="_Chapter_B2:_Assessment" w:history="1">
        <w:r w:rsidR="00F578EB" w:rsidRPr="00E3756C">
          <w:rPr>
            <w:rStyle w:val="Hyperlink"/>
          </w:rPr>
          <w:t>c</w:t>
        </w:r>
        <w:r w:rsidRPr="00E3756C">
          <w:rPr>
            <w:rStyle w:val="Hyperlink"/>
          </w:rPr>
          <w:t>hapter B2</w:t>
        </w:r>
      </w:hyperlink>
      <w:r w:rsidRPr="00E3756C">
        <w:t>) should have identified priority hazards for each value domain or sector, including changes to these hazards for the RCP8.5 projection (eg</w:t>
      </w:r>
      <w:r w:rsidR="00083ED4" w:rsidRPr="00E3756C">
        <w:t>,</w:t>
      </w:r>
      <w:r w:rsidRPr="00E3756C">
        <w:t xml:space="preserve"> changes in climate seasonality), considered over the three timeframes (present day, </w:t>
      </w:r>
      <w:r w:rsidR="00C97261" w:rsidRPr="00E3756C">
        <w:t xml:space="preserve">around </w:t>
      </w:r>
      <w:r w:rsidRPr="00E3756C">
        <w:t>30 years, and</w:t>
      </w:r>
      <w:r w:rsidR="00484C8A" w:rsidRPr="00E3756C">
        <w:t xml:space="preserve"> </w:t>
      </w:r>
      <w:r w:rsidRPr="00E3756C">
        <w:t xml:space="preserve">by 2100). </w:t>
      </w:r>
    </w:p>
    <w:p w14:paraId="59CD6A72" w14:textId="77777777" w:rsidR="006E65F9" w:rsidRPr="00E3756C" w:rsidRDefault="006E65F9" w:rsidP="006E65F9">
      <w:pPr>
        <w:pStyle w:val="BodyText"/>
      </w:pPr>
      <w:r w:rsidRPr="00E3756C">
        <w:t xml:space="preserve">For the detailed risk assessment, further available information, publications and data should be sourced to better resolve the exposure and vulnerability components across the sub-national climate zones for risks rated moderate to high in Stage 1. Combined expert elicitation may be </w:t>
      </w:r>
      <w:r w:rsidR="00683022" w:rsidRPr="00E3756C">
        <w:t xml:space="preserve">needed </w:t>
      </w:r>
      <w:r w:rsidRPr="00E3756C">
        <w:t>to provide more specific and detailed information on hazards, exposure, vulnerability and impacts.</w:t>
      </w:r>
      <w:r w:rsidR="00484C8A" w:rsidRPr="00E3756C">
        <w:t xml:space="preserve"> </w:t>
      </w:r>
      <w:r w:rsidRPr="00E3756C">
        <w:t xml:space="preserve">This should be undertaken with the aim </w:t>
      </w:r>
      <w:r w:rsidR="00E97DAC" w:rsidRPr="00E3756C">
        <w:t xml:space="preserve">of </w:t>
      </w:r>
      <w:r w:rsidRPr="00E3756C">
        <w:t>better defin</w:t>
      </w:r>
      <w:r w:rsidR="00E97DAC" w:rsidRPr="00E3756C">
        <w:t>ing</w:t>
      </w:r>
      <w:r w:rsidRPr="00E3756C">
        <w:t xml:space="preserve"> </w:t>
      </w:r>
      <w:r w:rsidR="00EF0F43" w:rsidRPr="00E3756C">
        <w:t xml:space="preserve">the </w:t>
      </w:r>
      <w:r w:rsidRPr="00E3756C">
        <w:t>exposure, sensitivity and coping capacity of each sector.</w:t>
      </w:r>
    </w:p>
    <w:p w14:paraId="387982B6" w14:textId="77777777" w:rsidR="006E65F9" w:rsidRPr="00E3756C" w:rsidRDefault="00EF0F43" w:rsidP="006E65F9">
      <w:pPr>
        <w:pStyle w:val="BodyText"/>
      </w:pPr>
      <w:r w:rsidRPr="00E3756C">
        <w:t>R</w:t>
      </w:r>
      <w:r w:rsidR="006E65F9" w:rsidRPr="00E3756C">
        <w:t xml:space="preserve">esults from this engagement then need to be reconciled between sectors (see </w:t>
      </w:r>
      <w:hyperlink w:anchor="_Chapter_C1:_Developing" w:history="1">
        <w:r w:rsidRPr="00E3756C">
          <w:rPr>
            <w:rStyle w:val="Hyperlink"/>
          </w:rPr>
          <w:t>c</w:t>
        </w:r>
        <w:r w:rsidR="006E65F9" w:rsidRPr="00E3756C">
          <w:rPr>
            <w:rStyle w:val="Hyperlink"/>
          </w:rPr>
          <w:t>hapter C1</w:t>
        </w:r>
      </w:hyperlink>
      <w:r w:rsidR="006E65F9" w:rsidRPr="00E3756C">
        <w:t>) into the vulnerability rating scale</w:t>
      </w:r>
      <w:r w:rsidR="006E65F9" w:rsidRPr="00E3756C">
        <w:rPr>
          <w:sz w:val="16"/>
          <w:szCs w:val="16"/>
        </w:rPr>
        <w:t xml:space="preserve"> </w:t>
      </w:r>
      <w:r w:rsidR="006E65F9" w:rsidRPr="00E3756C">
        <w:t>(</w:t>
      </w:r>
      <w:hyperlink w:anchor="tableB31" w:history="1">
        <w:r w:rsidRPr="00E3756C">
          <w:rPr>
            <w:rStyle w:val="Hyperlink"/>
          </w:rPr>
          <w:t>t</w:t>
        </w:r>
        <w:r w:rsidR="006E65F9" w:rsidRPr="00E3756C">
          <w:rPr>
            <w:rStyle w:val="Hyperlink"/>
          </w:rPr>
          <w:t>able B3-1</w:t>
        </w:r>
      </w:hyperlink>
      <w:r w:rsidR="006E65F9" w:rsidRPr="00E3756C">
        <w:t>)</w:t>
      </w:r>
      <w:r w:rsidRPr="00E3756C">
        <w:t>.</w:t>
      </w:r>
    </w:p>
    <w:p w14:paraId="28985E27" w14:textId="77777777" w:rsidR="006E65F9" w:rsidRPr="00E3756C" w:rsidRDefault="006E65F9" w:rsidP="006E65F9">
      <w:pPr>
        <w:pStyle w:val="BodyText"/>
      </w:pPr>
      <w:r w:rsidRPr="00E3756C">
        <w:t>This could involve in-depth discussions with research providers, local and central government agencies, Māori</w:t>
      </w:r>
      <w:r w:rsidR="00EF0F43" w:rsidRPr="00E3756C">
        <w:t xml:space="preserve">, </w:t>
      </w:r>
      <w:r w:rsidRPr="00E3756C">
        <w:t>iwi</w:t>
      </w:r>
      <w:r w:rsidR="00EF0F43" w:rsidRPr="00E3756C">
        <w:t xml:space="preserve">, </w:t>
      </w:r>
      <w:r w:rsidRPr="00E3756C">
        <w:t>hāpu and other stakeholders to source data and information to better define exposure, sensitivity and coping capacity</w:t>
      </w:r>
      <w:r w:rsidR="00EF0F43" w:rsidRPr="00E3756C">
        <w:t>.</w:t>
      </w:r>
      <w:r w:rsidRPr="00E3756C">
        <w:t xml:space="preserve"> </w:t>
      </w:r>
      <w:r w:rsidR="00E75440">
        <w:t>This can be supported by</w:t>
      </w:r>
      <w:r w:rsidR="003B65DD" w:rsidRPr="00E3756C">
        <w:t xml:space="preserve"> </w:t>
      </w:r>
      <w:r w:rsidRPr="00E3756C">
        <w:t xml:space="preserve">literature reviews of relevant New Zealand and international reports and publications. </w:t>
      </w:r>
    </w:p>
    <w:p w14:paraId="7860D66E" w14:textId="4EA76A49" w:rsidR="006E65F9" w:rsidRPr="00E3756C" w:rsidRDefault="006E65F9" w:rsidP="006E65F9">
      <w:pPr>
        <w:pStyle w:val="Heading3"/>
      </w:pPr>
      <w:r w:rsidRPr="00E3756C">
        <w:t xml:space="preserve">Guidance on </w:t>
      </w:r>
      <w:r w:rsidR="00A80A13">
        <w:t>S</w:t>
      </w:r>
      <w:r w:rsidR="000A17DE">
        <w:t>tep</w:t>
      </w:r>
      <w:r w:rsidRPr="00E3756C">
        <w:t xml:space="preserve"> 2</w:t>
      </w:r>
      <w:r w:rsidR="00CC2677" w:rsidRPr="00E3756C">
        <w:t>:</w:t>
      </w:r>
      <w:r w:rsidRPr="00E3756C">
        <w:t xml:space="preserve"> Exposure assessment</w:t>
      </w:r>
    </w:p>
    <w:p w14:paraId="360F391D" w14:textId="77777777" w:rsidR="0088422F" w:rsidRPr="00E3756C" w:rsidRDefault="006E65F9" w:rsidP="006E65F9">
      <w:pPr>
        <w:pStyle w:val="BodyText"/>
      </w:pPr>
      <w:r w:rsidRPr="00E3756C">
        <w:t>Exposure is defined as</w:t>
      </w:r>
      <w:r w:rsidR="00CC2677" w:rsidRPr="00E3756C">
        <w:t>:</w:t>
      </w:r>
      <w:r w:rsidRPr="00E3756C">
        <w:t xml:space="preserve"> </w:t>
      </w:r>
    </w:p>
    <w:p w14:paraId="010EF0D2" w14:textId="77777777" w:rsidR="006E65F9" w:rsidRPr="00E3756C" w:rsidRDefault="0088422F" w:rsidP="00907F38">
      <w:pPr>
        <w:pStyle w:val="Quote"/>
      </w:pPr>
      <w:r w:rsidRPr="00E3756C">
        <w:t>T</w:t>
      </w:r>
      <w:r w:rsidR="006E65F9" w:rsidRPr="00907F38">
        <w:t>he presence of people, livelihoods, species or ecosystems, environmental functions, services, and resources, infrastructure, or economic, social, or cultural assets in places and</w:t>
      </w:r>
      <w:r w:rsidR="006711E8" w:rsidRPr="00E3756C">
        <w:t> </w:t>
      </w:r>
      <w:r w:rsidR="006E65F9" w:rsidRPr="00907F38">
        <w:t>settings that could be adversely affected by natural hazards and climate change</w:t>
      </w:r>
      <w:r w:rsidR="006E65F9" w:rsidRPr="00E3756C">
        <w:rPr>
          <w:szCs w:val="20"/>
        </w:rPr>
        <w:t xml:space="preserve"> </w:t>
      </w:r>
      <w:r w:rsidR="006E65F9" w:rsidRPr="00E3756C">
        <w:t>(see</w:t>
      </w:r>
      <w:r w:rsidR="006711E8" w:rsidRPr="00E3756C">
        <w:t> </w:t>
      </w:r>
      <w:hyperlink w:anchor="_Glossary" w:history="1">
        <w:r w:rsidR="006E65F9" w:rsidRPr="00907F38">
          <w:rPr>
            <w:rStyle w:val="Hyperlink"/>
          </w:rPr>
          <w:t>Glossary</w:t>
        </w:r>
      </w:hyperlink>
      <w:r w:rsidR="006E65F9" w:rsidRPr="00907F38">
        <w:t>)</w:t>
      </w:r>
      <w:r w:rsidR="006E65F9" w:rsidRPr="00E3756C">
        <w:t>.</w:t>
      </w:r>
      <w:r w:rsidR="00484C8A" w:rsidRPr="00E3756C">
        <w:t xml:space="preserve"> </w:t>
      </w:r>
    </w:p>
    <w:p w14:paraId="35394F41" w14:textId="77777777" w:rsidR="008D198C" w:rsidRPr="00E3756C" w:rsidRDefault="006E65F9" w:rsidP="006E65F9">
      <w:pPr>
        <w:pStyle w:val="BodyText"/>
      </w:pPr>
      <w:r w:rsidRPr="00E3756C">
        <w:t>Elements (eg</w:t>
      </w:r>
      <w:r w:rsidR="0088422F" w:rsidRPr="00E3756C">
        <w:t>,</w:t>
      </w:r>
      <w:r w:rsidRPr="00E3756C">
        <w:t xml:space="preserve"> people, buildings, infrastructure, environments</w:t>
      </w:r>
      <w:r w:rsidR="008D198C" w:rsidRPr="00E3756C">
        <w:t>,</w:t>
      </w:r>
      <w:r w:rsidRPr="00E3756C">
        <w:t xml:space="preserve"> primary production</w:t>
      </w:r>
      <w:r w:rsidR="008D198C" w:rsidRPr="00E3756C">
        <w:t xml:space="preserve"> and</w:t>
      </w:r>
      <w:r w:rsidRPr="00E3756C">
        <w:t xml:space="preserve"> critical facilities) are exposed to climate change hazards if they are spatially located within an area affected by a climate-related hazard</w:t>
      </w:r>
      <w:r w:rsidR="00780424">
        <w:t>. Exposure is assessed</w:t>
      </w:r>
      <w:r w:rsidRPr="00E3756C">
        <w:t xml:space="preserve"> using the projections (eg</w:t>
      </w:r>
      <w:r w:rsidR="00BC161D" w:rsidRPr="00E3756C">
        <w:t>,</w:t>
      </w:r>
      <w:r w:rsidRPr="00E3756C">
        <w:t xml:space="preserve"> </w:t>
      </w:r>
      <w:r w:rsidR="009F2A79" w:rsidRPr="00E3756C">
        <w:t xml:space="preserve">Ministry for the Environment (2018) </w:t>
      </w:r>
      <w:r w:rsidRPr="00E3756C">
        <w:t>maps of climate projections) or other available hazard-exposure layers (eg</w:t>
      </w:r>
      <w:r w:rsidR="00BC161D" w:rsidRPr="00E3756C">
        <w:t>,</w:t>
      </w:r>
      <w:r w:rsidRPr="00E3756C">
        <w:t xml:space="preserve"> coastal flooding with sea</w:t>
      </w:r>
      <w:r w:rsidR="00171770" w:rsidRPr="00E3756C">
        <w:noBreakHyphen/>
      </w:r>
      <w:r w:rsidRPr="00E3756C">
        <w:t xml:space="preserve">level rise). </w:t>
      </w:r>
    </w:p>
    <w:p w14:paraId="72A23579" w14:textId="77777777" w:rsidR="006E65F9" w:rsidRPr="00E3756C" w:rsidRDefault="00171770" w:rsidP="006E65F9">
      <w:pPr>
        <w:pStyle w:val="BodyText"/>
      </w:pPr>
      <w:r w:rsidRPr="00E3756C">
        <w:t>F</w:t>
      </w:r>
      <w:r w:rsidR="006E65F9" w:rsidRPr="00E3756C">
        <w:t>igure B3-</w:t>
      </w:r>
      <w:r w:rsidRPr="00E3756C">
        <w:t>2</w:t>
      </w:r>
      <w:r w:rsidR="006E65F9" w:rsidRPr="00E3756C">
        <w:t xml:space="preserve"> shows a coastal example of a national exposure assessment for sea</w:t>
      </w:r>
      <w:r w:rsidRPr="00E3756C">
        <w:noBreakHyphen/>
      </w:r>
      <w:r w:rsidR="006E65F9" w:rsidRPr="00E3756C">
        <w:t xml:space="preserve">level rise. </w:t>
      </w:r>
    </w:p>
    <w:p w14:paraId="53EA4586" w14:textId="3ABDC178" w:rsidR="006E65F9" w:rsidRPr="00E3756C" w:rsidRDefault="006E65F9" w:rsidP="003873EE">
      <w:pPr>
        <w:pStyle w:val="Figureheading"/>
      </w:pPr>
      <w:bookmarkStart w:id="159" w:name="_Toc16586523"/>
      <w:r w:rsidRPr="00E3756C">
        <w:lastRenderedPageBreak/>
        <w:t>Figure B3-</w:t>
      </w:r>
      <w:r w:rsidR="005E4409" w:rsidRPr="00E3756C">
        <w:t>2</w:t>
      </w:r>
      <w:r w:rsidRPr="00E3756C">
        <w:t xml:space="preserve">: </w:t>
      </w:r>
      <w:r w:rsidRPr="00E3756C">
        <w:tab/>
        <w:t xml:space="preserve">Example of a </w:t>
      </w:r>
      <w:r w:rsidR="00627EE4">
        <w:t>national-scale</w:t>
      </w:r>
      <w:r w:rsidRPr="00E3756C">
        <w:t xml:space="preserve"> exposure analysis of physical assets and people in coastal areas potentially affected by a sea-level rise of 1.5 metres</w:t>
      </w:r>
      <w:bookmarkEnd w:id="159"/>
    </w:p>
    <w:p w14:paraId="5D7A10C0" w14:textId="77777777" w:rsidR="006E65F9" w:rsidRPr="00E3756C" w:rsidRDefault="006E65F9" w:rsidP="001847A5">
      <w:pPr>
        <w:pStyle w:val="BodyText"/>
        <w:spacing w:before="60"/>
      </w:pPr>
      <w:r w:rsidRPr="00E3756C">
        <w:rPr>
          <w:noProof/>
        </w:rPr>
        <w:drawing>
          <wp:inline distT="0" distB="0" distL="0" distR="0" wp14:anchorId="5B205205" wp14:editId="01F76097">
            <wp:extent cx="5467350" cy="2886075"/>
            <wp:effectExtent l="0" t="0" r="0" b="9525"/>
            <wp:docPr id="1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5468388" cy="2886623"/>
                    </a:xfrm>
                    <a:prstGeom prst="rect">
                      <a:avLst/>
                    </a:prstGeom>
                    <a:ln/>
                  </pic:spPr>
                </pic:pic>
              </a:graphicData>
            </a:graphic>
          </wp:inline>
        </w:drawing>
      </w:r>
    </w:p>
    <w:p w14:paraId="2EE1853F" w14:textId="77777777" w:rsidR="001B5A62" w:rsidRPr="00E3756C" w:rsidRDefault="003873EE" w:rsidP="001B5A62">
      <w:pPr>
        <w:pStyle w:val="Source"/>
      </w:pPr>
      <w:r w:rsidRPr="00E3756C">
        <w:t>Source: Bell et al, 2015; Ministry for the Environment, 2017</w:t>
      </w:r>
    </w:p>
    <w:p w14:paraId="1CC18028" w14:textId="77777777" w:rsidR="001B5A62" w:rsidRPr="00E3756C" w:rsidRDefault="001B5A62" w:rsidP="00907F38">
      <w:pPr>
        <w:pStyle w:val="Note"/>
      </w:pPr>
      <w:r w:rsidRPr="00E3756C">
        <w:t>Note: LiDAR = Light Detection and Ranging</w:t>
      </w:r>
      <w:r w:rsidR="00A94AB1" w:rsidRPr="00E3756C">
        <w:t>.</w:t>
      </w:r>
    </w:p>
    <w:p w14:paraId="465E2FD6" w14:textId="77777777" w:rsidR="006E65F9" w:rsidRPr="00E3756C" w:rsidRDefault="006E65F9" w:rsidP="006E65F9">
      <w:pPr>
        <w:pStyle w:val="BodyText"/>
      </w:pPr>
      <w:r w:rsidRPr="00E3756C">
        <w:t>The degree of exposure can be expressed by absolute numbers, densities or proportions of the elements at risk (eg</w:t>
      </w:r>
      <w:r w:rsidR="00B21559" w:rsidRPr="00E3756C">
        <w:t>,</w:t>
      </w:r>
      <w:r w:rsidRPr="00E3756C">
        <w:t xml:space="preserve"> people, buildings, infrastructure, and the economy) that are exposed. The extent of exposure is measured spatially (eg</w:t>
      </w:r>
      <w:r w:rsidR="00B76BE8" w:rsidRPr="00E3756C">
        <w:t>,</w:t>
      </w:r>
      <w:r w:rsidRPr="00E3756C">
        <w:t xml:space="preserve"> a map of the hazard overlying the elements present or tabulated lists) and temporally (the three timeframes</w:t>
      </w:r>
      <w:r w:rsidR="00F96045" w:rsidRPr="00E3756C">
        <w:t>,</w:t>
      </w:r>
      <w:r w:rsidRPr="00E3756C">
        <w:t xml:space="preserve"> plus 2150 for coastal</w:t>
      </w:r>
      <w:r w:rsidR="00F96045" w:rsidRPr="00E3756C">
        <w:t xml:space="preserve"> </w:t>
      </w:r>
      <w:r w:rsidRPr="00E3756C">
        <w:t xml:space="preserve">flooding exposure) to determine this aspect of risk. </w:t>
      </w:r>
    </w:p>
    <w:p w14:paraId="265DEC27" w14:textId="77777777" w:rsidR="006E65F9" w:rsidRPr="00E3756C" w:rsidRDefault="00F96045" w:rsidP="006E65F9">
      <w:pPr>
        <w:pStyle w:val="BodyText"/>
      </w:pPr>
      <w:r w:rsidRPr="00E3756C">
        <w:t>In most cases, t</w:t>
      </w:r>
      <w:r w:rsidR="006E65F9" w:rsidRPr="00E3756C">
        <w:t>he extent and numbers defining the exposure will increase with time for any given climate</w:t>
      </w:r>
      <w:r w:rsidR="009E4706" w:rsidRPr="00E3756C">
        <w:t xml:space="preserve"> </w:t>
      </w:r>
      <w:r w:rsidR="006E65F9" w:rsidRPr="00E3756C">
        <w:t>change projection.</w:t>
      </w:r>
      <w:r w:rsidR="00484C8A" w:rsidRPr="00E3756C">
        <w:t xml:space="preserve"> </w:t>
      </w:r>
      <w:r w:rsidR="006E65F9" w:rsidRPr="00E3756C">
        <w:t xml:space="preserve">Besides the change in hazard over time (projections), which </w:t>
      </w:r>
      <w:r w:rsidR="00731CBB" w:rsidRPr="00E3756C">
        <w:t xml:space="preserve">alters </w:t>
      </w:r>
      <w:r w:rsidR="006E65F9" w:rsidRPr="00E3756C">
        <w:t>the extent or location of exposure, the</w:t>
      </w:r>
      <w:r w:rsidR="00484C8A" w:rsidRPr="00E3756C">
        <w:t xml:space="preserve"> </w:t>
      </w:r>
      <w:r w:rsidR="006E65F9" w:rsidRPr="00E3756C">
        <w:t xml:space="preserve">temporal component of exposure can also relate to the </w:t>
      </w:r>
      <w:r w:rsidR="00B76BE8" w:rsidRPr="00E3756C">
        <w:t xml:space="preserve">assets’ </w:t>
      </w:r>
      <w:r w:rsidR="006E65F9" w:rsidRPr="00E3756C">
        <w:t>lifespan (eg</w:t>
      </w:r>
      <w:r w:rsidR="009E4706" w:rsidRPr="00E3756C">
        <w:t>,</w:t>
      </w:r>
      <w:r w:rsidR="006E65F9" w:rsidRPr="00E3756C">
        <w:t xml:space="preserve"> could be short-life assets), or changes to the asset base over time (eg</w:t>
      </w:r>
      <w:r w:rsidR="00B555C9" w:rsidRPr="00E3756C">
        <w:t>,</w:t>
      </w:r>
      <w:r w:rsidR="006E65F9" w:rsidRPr="00E3756C">
        <w:t xml:space="preserve"> more buildings or infrastructure in the hazard area, or a growing population such that</w:t>
      </w:r>
      <w:r w:rsidR="00B555C9" w:rsidRPr="00E3756C">
        <w:t>,</w:t>
      </w:r>
      <w:r w:rsidR="006E65F9" w:rsidRPr="00E3756C">
        <w:t xml:space="preserve"> over</w:t>
      </w:r>
      <w:r w:rsidR="00B555C9" w:rsidRPr="00E3756C">
        <w:t xml:space="preserve"> </w:t>
      </w:r>
      <w:r w:rsidR="006E65F9" w:rsidRPr="00E3756C">
        <w:t xml:space="preserve">time, more </w:t>
      </w:r>
      <w:r w:rsidR="00731CBB" w:rsidRPr="00E3756C">
        <w:t xml:space="preserve">people </w:t>
      </w:r>
      <w:r w:rsidR="006E65F9" w:rsidRPr="00E3756C">
        <w:t>are exposed</w:t>
      </w:r>
      <w:r w:rsidR="00B555C9" w:rsidRPr="00E3756C">
        <w:t>)</w:t>
      </w:r>
      <w:r w:rsidR="006E65F9" w:rsidRPr="00E3756C">
        <w:t xml:space="preserve">. </w:t>
      </w:r>
    </w:p>
    <w:p w14:paraId="7C394B9D" w14:textId="12FCE69D" w:rsidR="006E65F9" w:rsidRPr="00E3756C" w:rsidRDefault="006E65F9" w:rsidP="006E65F9">
      <w:pPr>
        <w:pStyle w:val="BodyText"/>
      </w:pPr>
      <w:r w:rsidRPr="00E3756C">
        <w:t xml:space="preserve">Exposure data can therefore be spatial and temporal. The </w:t>
      </w:r>
      <w:r w:rsidR="00731CBB" w:rsidRPr="00E3756C">
        <w:t>‘</w:t>
      </w:r>
      <w:r w:rsidRPr="00E3756C">
        <w:t>quality</w:t>
      </w:r>
      <w:r w:rsidR="00731CBB" w:rsidRPr="00E3756C">
        <w:t>’</w:t>
      </w:r>
      <w:r w:rsidRPr="00E3756C">
        <w:t xml:space="preserve"> of spatial resolution will be influenced by the availability of trustworthy data, the total available human resources and the time spent on the assessment. </w:t>
      </w:r>
      <w:r w:rsidR="00627EE4">
        <w:t>National-scale</w:t>
      </w:r>
      <w:r w:rsidR="00731CBB" w:rsidRPr="00E3756C">
        <w:t xml:space="preserve"> e</w:t>
      </w:r>
      <w:r w:rsidRPr="00E3756C">
        <w:t xml:space="preserve">xposure analysis may need to be tailored to </w:t>
      </w:r>
      <w:r w:rsidR="00AF1839" w:rsidRPr="00E3756C">
        <w:t xml:space="preserve">the </w:t>
      </w:r>
      <w:r w:rsidRPr="00E3756C">
        <w:t>broad</w:t>
      </w:r>
      <w:r w:rsidR="00490462">
        <w:t>,</w:t>
      </w:r>
      <w:r w:rsidRPr="00E3756C">
        <w:t xml:space="preserve"> regional (sub-national scale) enumeration of elements exposed to different hazards</w:t>
      </w:r>
      <w:r w:rsidR="00AF1839" w:rsidRPr="00E3756C">
        <w:t>.</w:t>
      </w:r>
      <w:r w:rsidRPr="00E3756C">
        <w:t xml:space="preserve"> </w:t>
      </w:r>
      <w:r w:rsidR="00AF1839" w:rsidRPr="00E3756C">
        <w:t>F</w:t>
      </w:r>
      <w:r w:rsidRPr="00E3756C">
        <w:t>or example</w:t>
      </w:r>
      <w:r w:rsidR="00AF1839" w:rsidRPr="00E3756C">
        <w:t>,</w:t>
      </w:r>
      <w:r w:rsidR="00484C8A" w:rsidRPr="00E3756C">
        <w:t xml:space="preserve"> </w:t>
      </w:r>
      <w:r w:rsidRPr="00E3756C">
        <w:t>drier summers</w:t>
      </w:r>
      <w:r w:rsidR="00AF1839" w:rsidRPr="00E3756C">
        <w:t xml:space="preserve"> or </w:t>
      </w:r>
      <w:r w:rsidRPr="00E3756C">
        <w:t xml:space="preserve">autumns in the east from North Otago to East Cape for </w:t>
      </w:r>
      <w:r w:rsidR="00AF1839" w:rsidRPr="00E3756C">
        <w:t>z</w:t>
      </w:r>
      <w:r w:rsidRPr="00E3756C">
        <w:t>ones 3, 4 and 5 (</w:t>
      </w:r>
      <w:hyperlink w:anchor="figureB11" w:history="1">
        <w:r w:rsidR="00AF1839" w:rsidRPr="00E3756C">
          <w:rPr>
            <w:rStyle w:val="Hyperlink"/>
          </w:rPr>
          <w:t>f</w:t>
        </w:r>
        <w:r w:rsidRPr="00E3756C">
          <w:rPr>
            <w:rStyle w:val="Hyperlink"/>
          </w:rPr>
          <w:t>ig</w:t>
        </w:r>
        <w:r w:rsidR="00AF1839" w:rsidRPr="00E3756C">
          <w:rPr>
            <w:rStyle w:val="Hyperlink"/>
          </w:rPr>
          <w:t>ure</w:t>
        </w:r>
        <w:r w:rsidRPr="00E3756C">
          <w:rPr>
            <w:rStyle w:val="Hyperlink"/>
          </w:rPr>
          <w:t xml:space="preserve"> B1-1</w:t>
        </w:r>
      </w:hyperlink>
      <w:r w:rsidRPr="00E3756C">
        <w:t>) may affect dairying</w:t>
      </w:r>
      <w:r w:rsidR="00AF1839" w:rsidRPr="00E3756C">
        <w:t>,</w:t>
      </w:r>
      <w:r w:rsidRPr="00E3756C">
        <w:t xml:space="preserve"> so a broad estimate of the exposure could be the area (hectares) of dairying land in those regions (and also aggregated to national scale) likely to be exposed to drier conditions.</w:t>
      </w:r>
    </w:p>
    <w:p w14:paraId="3D16AFC2" w14:textId="595E8CC6" w:rsidR="006E65F9" w:rsidRPr="00E3756C" w:rsidRDefault="00144B88" w:rsidP="006E65F9">
      <w:r>
        <w:t>Rate e</w:t>
      </w:r>
      <w:r w:rsidR="006E65F9" w:rsidRPr="00E3756C">
        <w:t xml:space="preserve">xposure on a </w:t>
      </w:r>
      <w:r w:rsidR="00A94AB1" w:rsidRPr="00E3756C">
        <w:t>four</w:t>
      </w:r>
      <w:r w:rsidR="006E65F9" w:rsidRPr="00E3756C">
        <w:t>-point scale</w:t>
      </w:r>
      <w:r w:rsidR="00A94AB1" w:rsidRPr="00E3756C">
        <w:t>,</w:t>
      </w:r>
      <w:r w:rsidR="006E65F9" w:rsidRPr="00E3756C">
        <w:t xml:space="preserve"> from low to extreme</w:t>
      </w:r>
      <w:r w:rsidR="00A94AB1" w:rsidRPr="00E3756C">
        <w:t>,</w:t>
      </w:r>
      <w:r w:rsidR="006E65F9" w:rsidRPr="00E3756C">
        <w:t xml:space="preserve"> as indicated in </w:t>
      </w:r>
      <w:r w:rsidR="00A94AB1" w:rsidRPr="00E3756C">
        <w:t>t</w:t>
      </w:r>
      <w:r w:rsidR="006E65F9" w:rsidRPr="00E3756C">
        <w:t xml:space="preserve">able B3-1. Any elements that have a ‘low’ exposure rating at this step should not be carried through to the next step (vulnerability assessment). </w:t>
      </w:r>
    </w:p>
    <w:p w14:paraId="2A618AB5" w14:textId="77777777" w:rsidR="00680232" w:rsidRPr="00E3756C" w:rsidRDefault="00680232" w:rsidP="00680232">
      <w:pPr>
        <w:pStyle w:val="Tableheading"/>
      </w:pPr>
      <w:bookmarkStart w:id="160" w:name="tableB31"/>
      <w:bookmarkStart w:id="161" w:name="_Toc16586498"/>
      <w:r w:rsidRPr="00E3756C">
        <w:lastRenderedPageBreak/>
        <w:t>Table B3-1</w:t>
      </w:r>
      <w:bookmarkEnd w:id="160"/>
      <w:r w:rsidR="00A94AB1" w:rsidRPr="00E3756C">
        <w:t>:</w:t>
      </w:r>
      <w:r w:rsidRPr="00E3756C">
        <w:t xml:space="preserve"> </w:t>
      </w:r>
      <w:r w:rsidRPr="00E3756C">
        <w:tab/>
        <w:t>Exposure rating scale</w:t>
      </w:r>
      <w:bookmarkEnd w:id="161"/>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00" w:firstRow="0" w:lastRow="0" w:firstColumn="0" w:lastColumn="0" w:noHBand="0" w:noVBand="1"/>
      </w:tblPr>
      <w:tblGrid>
        <w:gridCol w:w="2542"/>
        <w:gridCol w:w="5963"/>
      </w:tblGrid>
      <w:tr w:rsidR="00680232" w:rsidRPr="00E3756C" w14:paraId="069E9F15" w14:textId="77777777" w:rsidTr="00B850A2">
        <w:tc>
          <w:tcPr>
            <w:tcW w:w="2689" w:type="dxa"/>
            <w:tcBorders>
              <w:bottom w:val="single" w:sz="4" w:space="0" w:color="1C556C" w:themeColor="accent1"/>
            </w:tcBorders>
            <w:shd w:val="clear" w:color="auto" w:fill="1C556C" w:themeFill="accent1"/>
          </w:tcPr>
          <w:p w14:paraId="7B130470" w14:textId="77777777" w:rsidR="00680232" w:rsidRPr="00E3756C" w:rsidRDefault="00680232" w:rsidP="00A94AB1">
            <w:pPr>
              <w:pStyle w:val="TableTextbold"/>
              <w:keepNext/>
              <w:rPr>
                <w:color w:val="FFFFFF" w:themeColor="background1"/>
              </w:rPr>
            </w:pPr>
            <w:r w:rsidRPr="00E3756C">
              <w:rPr>
                <w:color w:val="FFFFFF" w:themeColor="background1"/>
              </w:rPr>
              <w:t>Description of exposure level</w:t>
            </w:r>
          </w:p>
        </w:tc>
        <w:tc>
          <w:tcPr>
            <w:tcW w:w="6327" w:type="dxa"/>
            <w:shd w:val="clear" w:color="auto" w:fill="1C556C" w:themeFill="accent1"/>
          </w:tcPr>
          <w:p w14:paraId="239E2FDB" w14:textId="77777777" w:rsidR="00680232" w:rsidRPr="00E3756C" w:rsidRDefault="00680232" w:rsidP="00A94AB1">
            <w:pPr>
              <w:pStyle w:val="TableTextbold"/>
              <w:keepNext/>
              <w:rPr>
                <w:color w:val="FFFFFF" w:themeColor="background1"/>
              </w:rPr>
            </w:pPr>
            <w:r w:rsidRPr="00E3756C">
              <w:rPr>
                <w:color w:val="FFFFFF" w:themeColor="background1"/>
              </w:rPr>
              <w:t>Definition</w:t>
            </w:r>
          </w:p>
        </w:tc>
      </w:tr>
      <w:tr w:rsidR="00680232" w:rsidRPr="00E3756C" w14:paraId="4F7DAED6" w14:textId="77777777" w:rsidTr="00B850A2">
        <w:tc>
          <w:tcPr>
            <w:tcW w:w="2689" w:type="dxa"/>
            <w:tcBorders>
              <w:bottom w:val="single" w:sz="4" w:space="0" w:color="1C556C" w:themeColor="accent1"/>
              <w:right w:val="nil"/>
            </w:tcBorders>
            <w:shd w:val="clear" w:color="auto" w:fill="991009"/>
          </w:tcPr>
          <w:p w14:paraId="0E4996CA" w14:textId="77777777" w:rsidR="00680232" w:rsidRPr="00144B88" w:rsidRDefault="00680232" w:rsidP="00A94AB1">
            <w:pPr>
              <w:pStyle w:val="TableText"/>
              <w:keepNext/>
              <w:rPr>
                <w:b/>
                <w:color w:val="000000" w:themeColor="text1"/>
              </w:rPr>
            </w:pPr>
            <w:r w:rsidRPr="00144B88">
              <w:rPr>
                <w:b/>
                <w:color w:val="000000" w:themeColor="text1"/>
              </w:rPr>
              <w:t xml:space="preserve">Extreme </w:t>
            </w:r>
          </w:p>
        </w:tc>
        <w:tc>
          <w:tcPr>
            <w:tcW w:w="6327" w:type="dxa"/>
            <w:tcBorders>
              <w:left w:val="nil"/>
            </w:tcBorders>
          </w:tcPr>
          <w:p w14:paraId="382A72AA" w14:textId="77777777" w:rsidR="00680232" w:rsidRPr="00E3756C" w:rsidRDefault="00680232" w:rsidP="00A94AB1">
            <w:pPr>
              <w:pStyle w:val="TableText"/>
              <w:keepNext/>
            </w:pPr>
            <w:r w:rsidRPr="00E3756C">
              <w:t>&gt;75% of sector</w:t>
            </w:r>
            <w:r w:rsidR="00A94AB1" w:rsidRPr="00E3756C">
              <w:t xml:space="preserve"> or </w:t>
            </w:r>
            <w:r w:rsidRPr="00E3756C">
              <w:t>element is exposed to the hazard</w:t>
            </w:r>
          </w:p>
        </w:tc>
      </w:tr>
      <w:tr w:rsidR="00680232" w:rsidRPr="00E3756C" w14:paraId="0722BFA6" w14:textId="77777777" w:rsidTr="00B850A2">
        <w:tc>
          <w:tcPr>
            <w:tcW w:w="2689" w:type="dxa"/>
            <w:tcBorders>
              <w:bottom w:val="single" w:sz="4" w:space="0" w:color="1C556C" w:themeColor="accent1"/>
              <w:right w:val="nil"/>
            </w:tcBorders>
            <w:shd w:val="clear" w:color="auto" w:fill="EB7821"/>
          </w:tcPr>
          <w:p w14:paraId="23A921BC" w14:textId="77777777" w:rsidR="00680232" w:rsidRPr="00144B88" w:rsidRDefault="00680232" w:rsidP="00680232">
            <w:pPr>
              <w:pStyle w:val="TableText"/>
              <w:rPr>
                <w:b/>
                <w:color w:val="000000" w:themeColor="text1"/>
              </w:rPr>
            </w:pPr>
            <w:r w:rsidRPr="00144B88">
              <w:rPr>
                <w:b/>
                <w:color w:val="000000" w:themeColor="text1"/>
              </w:rPr>
              <w:t xml:space="preserve">High </w:t>
            </w:r>
          </w:p>
        </w:tc>
        <w:tc>
          <w:tcPr>
            <w:tcW w:w="6327" w:type="dxa"/>
            <w:tcBorders>
              <w:left w:val="nil"/>
            </w:tcBorders>
          </w:tcPr>
          <w:p w14:paraId="2A7FE28B" w14:textId="77777777" w:rsidR="00680232" w:rsidRPr="00E3756C" w:rsidRDefault="00680232" w:rsidP="001A3C6C">
            <w:pPr>
              <w:pStyle w:val="TableText"/>
            </w:pPr>
            <w:r w:rsidRPr="00E3756C">
              <w:t>50</w:t>
            </w:r>
            <w:r w:rsidR="001A3C6C" w:rsidRPr="00E3756C">
              <w:t>–</w:t>
            </w:r>
            <w:r w:rsidRPr="00E3756C">
              <w:t>75% of sector</w:t>
            </w:r>
            <w:r w:rsidR="00A94AB1" w:rsidRPr="00E3756C">
              <w:t xml:space="preserve"> or </w:t>
            </w:r>
            <w:r w:rsidRPr="00E3756C">
              <w:t>element is exposed to the hazard</w:t>
            </w:r>
          </w:p>
        </w:tc>
      </w:tr>
      <w:tr w:rsidR="00680232" w:rsidRPr="00E3756C" w14:paraId="4EABFDC2" w14:textId="77777777" w:rsidTr="00B850A2">
        <w:tc>
          <w:tcPr>
            <w:tcW w:w="2689" w:type="dxa"/>
            <w:tcBorders>
              <w:bottom w:val="single" w:sz="4" w:space="0" w:color="1C556C" w:themeColor="accent1"/>
              <w:right w:val="nil"/>
            </w:tcBorders>
            <w:shd w:val="clear" w:color="auto" w:fill="FFC715"/>
          </w:tcPr>
          <w:p w14:paraId="5B1EEBEA" w14:textId="77777777" w:rsidR="00680232" w:rsidRPr="00144B88" w:rsidRDefault="00680232" w:rsidP="00680232">
            <w:pPr>
              <w:pStyle w:val="TableText"/>
              <w:rPr>
                <w:b/>
                <w:color w:val="000000" w:themeColor="text1"/>
              </w:rPr>
            </w:pPr>
            <w:r w:rsidRPr="00144B88">
              <w:rPr>
                <w:b/>
                <w:color w:val="000000" w:themeColor="text1"/>
              </w:rPr>
              <w:t xml:space="preserve">Moderate </w:t>
            </w:r>
          </w:p>
        </w:tc>
        <w:tc>
          <w:tcPr>
            <w:tcW w:w="6327" w:type="dxa"/>
            <w:tcBorders>
              <w:left w:val="nil"/>
            </w:tcBorders>
          </w:tcPr>
          <w:p w14:paraId="4C4D5B14" w14:textId="77777777" w:rsidR="00680232" w:rsidRPr="00E3756C" w:rsidRDefault="00680232" w:rsidP="00680232">
            <w:pPr>
              <w:pStyle w:val="TableText"/>
            </w:pPr>
            <w:r w:rsidRPr="00E3756C">
              <w:t>25</w:t>
            </w:r>
            <w:r w:rsidR="001A3C6C" w:rsidRPr="00E3756C">
              <w:t>–</w:t>
            </w:r>
            <w:r w:rsidRPr="00E3756C">
              <w:t>50% of sector</w:t>
            </w:r>
            <w:r w:rsidR="00A94AB1" w:rsidRPr="00E3756C">
              <w:t xml:space="preserve"> or </w:t>
            </w:r>
            <w:r w:rsidRPr="00E3756C">
              <w:t>element is exposed to the hazard</w:t>
            </w:r>
          </w:p>
        </w:tc>
      </w:tr>
      <w:tr w:rsidR="00680232" w:rsidRPr="00E3756C" w14:paraId="784566B9" w14:textId="77777777" w:rsidTr="00B850A2">
        <w:tc>
          <w:tcPr>
            <w:tcW w:w="2689" w:type="dxa"/>
            <w:tcBorders>
              <w:right w:val="nil"/>
            </w:tcBorders>
            <w:shd w:val="clear" w:color="auto" w:fill="2C9986"/>
          </w:tcPr>
          <w:p w14:paraId="3732E01B" w14:textId="77777777" w:rsidR="00680232" w:rsidRPr="00144B88" w:rsidRDefault="00680232" w:rsidP="00680232">
            <w:pPr>
              <w:pStyle w:val="TableText"/>
              <w:rPr>
                <w:b/>
                <w:color w:val="000000" w:themeColor="text1"/>
              </w:rPr>
            </w:pPr>
            <w:r w:rsidRPr="00144B88">
              <w:rPr>
                <w:b/>
                <w:color w:val="000000" w:themeColor="text1"/>
              </w:rPr>
              <w:t xml:space="preserve">Low </w:t>
            </w:r>
          </w:p>
        </w:tc>
        <w:tc>
          <w:tcPr>
            <w:tcW w:w="6327" w:type="dxa"/>
            <w:tcBorders>
              <w:left w:val="nil"/>
            </w:tcBorders>
          </w:tcPr>
          <w:p w14:paraId="35CC437A" w14:textId="77777777" w:rsidR="00680232" w:rsidRPr="00E3756C" w:rsidRDefault="00680232" w:rsidP="00680232">
            <w:pPr>
              <w:pStyle w:val="TableText"/>
            </w:pPr>
            <w:r w:rsidRPr="00E3756C">
              <w:t>5</w:t>
            </w:r>
            <w:r w:rsidR="001A3C6C" w:rsidRPr="00E3756C">
              <w:t>–</w:t>
            </w:r>
            <w:r w:rsidRPr="00E3756C">
              <w:t>25% of sector</w:t>
            </w:r>
            <w:r w:rsidR="00A94AB1" w:rsidRPr="00E3756C">
              <w:t xml:space="preserve"> or </w:t>
            </w:r>
            <w:r w:rsidRPr="00E3756C">
              <w:t>element is exposed to the hazard</w:t>
            </w:r>
          </w:p>
        </w:tc>
      </w:tr>
    </w:tbl>
    <w:p w14:paraId="1982CB62" w14:textId="18F52349" w:rsidR="00680232" w:rsidRPr="00E3756C" w:rsidRDefault="00680232" w:rsidP="00DA1DA0">
      <w:pPr>
        <w:pStyle w:val="Heading3"/>
        <w:spacing w:before="480"/>
      </w:pPr>
      <w:r w:rsidRPr="00E3756C">
        <w:t xml:space="preserve">Guidance on </w:t>
      </w:r>
      <w:r w:rsidR="00490462">
        <w:t>S</w:t>
      </w:r>
      <w:r w:rsidR="000A17DE">
        <w:t>tep</w:t>
      </w:r>
      <w:r w:rsidRPr="00E3756C">
        <w:t xml:space="preserve"> 3</w:t>
      </w:r>
      <w:r w:rsidR="001A3C6C" w:rsidRPr="00E3756C">
        <w:t>:</w:t>
      </w:r>
      <w:r w:rsidRPr="00E3756C">
        <w:t xml:space="preserve"> Vulnerability assessment</w:t>
      </w:r>
    </w:p>
    <w:p w14:paraId="49C131F6" w14:textId="54819AAE" w:rsidR="00680232" w:rsidRPr="00E3756C" w:rsidRDefault="00490462" w:rsidP="00DA1DA0">
      <w:pPr>
        <w:pStyle w:val="BodyText"/>
      </w:pPr>
      <w:r>
        <w:t>T</w:t>
      </w:r>
      <w:r w:rsidR="00680232" w:rsidRPr="00E3756C">
        <w:t xml:space="preserve">he </w:t>
      </w:r>
      <w:r w:rsidR="00680B3A" w:rsidRPr="00E3756C">
        <w:t>IPCC’s Fifth</w:t>
      </w:r>
      <w:r w:rsidR="00680232" w:rsidRPr="00E3756C">
        <w:t xml:space="preserve"> Assessment Report (AR5</w:t>
      </w:r>
      <w:r>
        <w:t>)</w:t>
      </w:r>
      <w:r w:rsidR="00680232" w:rsidRPr="00E3756C">
        <w:t xml:space="preserve"> describes vulnerability as encompassing “a variety of concepts and elements, including sensitivity or susceptibility to harm or damage, and lack of capacity to cope and adapt (adaptive capacity)</w:t>
      </w:r>
      <w:r w:rsidR="00E3218B" w:rsidRPr="00E3756C">
        <w:t xml:space="preserve">” (IPCC, </w:t>
      </w:r>
      <w:r w:rsidR="007C1400" w:rsidRPr="00E3756C">
        <w:t>2014</w:t>
      </w:r>
      <w:r w:rsidR="007C1400">
        <w:t>a</w:t>
      </w:r>
      <w:r w:rsidR="00E3218B" w:rsidRPr="00E3756C">
        <w:t xml:space="preserve">, </w:t>
      </w:r>
      <w:r w:rsidR="007C1400">
        <w:t>p 128</w:t>
      </w:r>
      <w:r w:rsidR="00E3218B" w:rsidRPr="00E3756C">
        <w:t>)</w:t>
      </w:r>
      <w:r w:rsidR="00680232" w:rsidRPr="00E3756C">
        <w:t>.</w:t>
      </w:r>
      <w:r w:rsidR="00680232" w:rsidRPr="00E3756C">
        <w:rPr>
          <w:color w:val="2E75B5"/>
        </w:rPr>
        <w:t xml:space="preserve"> </w:t>
      </w:r>
      <w:r w:rsidR="00680232" w:rsidRPr="00E3756C">
        <w:t xml:space="preserve">Vulnerability is </w:t>
      </w:r>
      <w:r>
        <w:t>d</w:t>
      </w:r>
      <w:r w:rsidR="00680232" w:rsidRPr="00E3756C">
        <w:t xml:space="preserve">erived from the interplay of sensitivity and adaptive capacity. It contributes directly to the impact or consequences of a hazard on the exposed objects. </w:t>
      </w:r>
    </w:p>
    <w:p w14:paraId="13A68F86" w14:textId="77777777" w:rsidR="00680232" w:rsidRPr="00E3756C" w:rsidRDefault="00680232" w:rsidP="003F6158">
      <w:pPr>
        <w:pStyle w:val="Heading4"/>
        <w:rPr>
          <w:rStyle w:val="Heading5Char"/>
          <w:i w:val="0"/>
        </w:rPr>
      </w:pPr>
      <w:bookmarkStart w:id="162" w:name="_Toc13570380"/>
      <w:r w:rsidRPr="00E3756C">
        <w:rPr>
          <w:rStyle w:val="Heading5Char"/>
          <w:i w:val="0"/>
        </w:rPr>
        <w:t>Sensitivity</w:t>
      </w:r>
      <w:bookmarkEnd w:id="162"/>
    </w:p>
    <w:p w14:paraId="77DCC365" w14:textId="03E028FC" w:rsidR="00546EC3" w:rsidRPr="00E3756C" w:rsidRDefault="00A507F3" w:rsidP="00F727A8">
      <w:pPr>
        <w:pStyle w:val="BodyText"/>
        <w:spacing w:after="240"/>
      </w:pPr>
      <w:r w:rsidRPr="00E3756C">
        <w:rPr>
          <w:b/>
        </w:rPr>
        <w:t>S</w:t>
      </w:r>
      <w:r w:rsidR="00680232" w:rsidRPr="00E3756C">
        <w:rPr>
          <w:b/>
        </w:rPr>
        <w:t>ensitivity</w:t>
      </w:r>
      <w:r w:rsidR="00680232" w:rsidRPr="00E3756C">
        <w:t xml:space="preserve"> </w:t>
      </w:r>
      <w:r w:rsidRPr="00E3756C">
        <w:t xml:space="preserve">as a concept </w:t>
      </w:r>
      <w:r w:rsidR="00680232" w:rsidRPr="00E3756C">
        <w:t>defines the degree to which an exposed object, species, system, sector, taonga or community could be affected by a specific climate-related hazard.</w:t>
      </w:r>
      <w:r w:rsidR="00484C8A" w:rsidRPr="00E3756C">
        <w:t xml:space="preserve"> </w:t>
      </w:r>
      <w:r w:rsidR="00680232" w:rsidRPr="00E3756C">
        <w:t>Sensitivity may include physical attributes of a system (eg</w:t>
      </w:r>
      <w:r w:rsidR="005504AB" w:rsidRPr="00E3756C">
        <w:t>,</w:t>
      </w:r>
      <w:r w:rsidR="00680232" w:rsidRPr="00E3756C">
        <w:t xml:space="preserve"> building material of houses, type of soil on agriculture fields, temperature or frost tolerance of a type of horticulture or viticulture), </w:t>
      </w:r>
      <w:r w:rsidR="00C4396E" w:rsidRPr="00E3756C">
        <w:t xml:space="preserve">and </w:t>
      </w:r>
      <w:r w:rsidR="00680232" w:rsidRPr="00E3756C">
        <w:t>social, economic and cultural attributes (eg</w:t>
      </w:r>
      <w:r w:rsidR="005504AB" w:rsidRPr="00E3756C">
        <w:t>,</w:t>
      </w:r>
      <w:r w:rsidR="00680232" w:rsidRPr="00E3756C">
        <w:t xml:space="preserve"> age structure, income structure). Examples of sensitivity and their connection to </w:t>
      </w:r>
      <w:r w:rsidR="00642568" w:rsidRPr="00E3756C">
        <w:t xml:space="preserve">exposed </w:t>
      </w:r>
      <w:r w:rsidR="00680232" w:rsidRPr="00E3756C">
        <w:t xml:space="preserve">elements are described in </w:t>
      </w:r>
      <w:r w:rsidR="00642568" w:rsidRPr="00E3756C">
        <w:t>b</w:t>
      </w:r>
      <w:r w:rsidR="00680232" w:rsidRPr="00E3756C">
        <w:t>ox B3-1.</w:t>
      </w:r>
      <w:r w:rsidR="00484C8A" w:rsidRPr="00E3756C">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F727A8" w:rsidRPr="00E3756C" w14:paraId="784413A7" w14:textId="77777777" w:rsidTr="00B850A2">
        <w:tc>
          <w:tcPr>
            <w:tcW w:w="0" w:type="auto"/>
            <w:shd w:val="clear" w:color="auto" w:fill="D2DDE2"/>
          </w:tcPr>
          <w:p w14:paraId="6B40F0FA" w14:textId="77777777" w:rsidR="00642568" w:rsidRPr="00E3756C" w:rsidRDefault="00F727A8" w:rsidP="00C44702">
            <w:pPr>
              <w:pStyle w:val="Blueboxheading"/>
              <w:keepNext w:val="0"/>
            </w:pPr>
            <w:r w:rsidRPr="00E3756C">
              <w:t>Box B3-1</w:t>
            </w:r>
            <w:r w:rsidR="00CF2682" w:rsidRPr="00E3756C">
              <w:t>:</w:t>
            </w:r>
            <w:r w:rsidR="00CF2682" w:rsidRPr="00E3756C">
              <w:tab/>
            </w:r>
            <w:r w:rsidRPr="00E3756C">
              <w:t>Examples of sensitivity of elements to climate</w:t>
            </w:r>
            <w:r w:rsidR="00642568" w:rsidRPr="00E3756C">
              <w:t xml:space="preserve"> </w:t>
            </w:r>
            <w:r w:rsidRPr="00E3756C">
              <w:t xml:space="preserve">change hazards </w:t>
            </w:r>
          </w:p>
          <w:p w14:paraId="35698741" w14:textId="77777777" w:rsidR="00F727A8" w:rsidRPr="00E3756C" w:rsidRDefault="00642568" w:rsidP="008E60D1">
            <w:pPr>
              <w:pStyle w:val="Blueboxtext"/>
            </w:pPr>
            <w:r w:rsidRPr="00E3756C">
              <w:t xml:space="preserve">Examples of sensitivity </w:t>
            </w:r>
            <w:r w:rsidR="00F727A8" w:rsidRPr="00E3756C">
              <w:t>include:</w:t>
            </w:r>
          </w:p>
          <w:p w14:paraId="2C7699C3" w14:textId="567564B4" w:rsidR="00F727A8" w:rsidRPr="00E3756C" w:rsidRDefault="00F727A8" w:rsidP="00F727A8">
            <w:pPr>
              <w:pStyle w:val="Blue-boxbullet"/>
            </w:pPr>
            <w:r w:rsidRPr="00E3756C">
              <w:t xml:space="preserve">characteristics of an exposed population, such as age, which contribute to a predisposition to be more sensitive to </w:t>
            </w:r>
            <w:r w:rsidR="0076209C">
              <w:t>heatwave</w:t>
            </w:r>
            <w:r w:rsidRPr="00E3756C">
              <w:t xml:space="preserve">s </w:t>
            </w:r>
          </w:p>
          <w:p w14:paraId="5CF59CD0" w14:textId="77777777" w:rsidR="00F727A8" w:rsidRPr="00E3756C" w:rsidRDefault="008527A5" w:rsidP="00F727A8">
            <w:pPr>
              <w:pStyle w:val="Blue-boxbullet"/>
            </w:pPr>
            <w:r w:rsidRPr="00E3756C">
              <w:t xml:space="preserve">incomes of </w:t>
            </w:r>
            <w:r w:rsidR="00F727A8" w:rsidRPr="00E3756C">
              <w:t>household</w:t>
            </w:r>
            <w:r w:rsidRPr="00E3756C">
              <w:t>s</w:t>
            </w:r>
            <w:r w:rsidR="00F727A8" w:rsidRPr="00E3756C">
              <w:t xml:space="preserve"> or business</w:t>
            </w:r>
            <w:r w:rsidRPr="00E3756C">
              <w:t>es</w:t>
            </w:r>
            <w:r w:rsidR="00F727A8" w:rsidRPr="00E3756C">
              <w:t xml:space="preserve"> (eg</w:t>
            </w:r>
            <w:r w:rsidR="009112DB" w:rsidRPr="00E3756C">
              <w:t>,</w:t>
            </w:r>
            <w:r w:rsidR="00F727A8" w:rsidRPr="00E3756C">
              <w:t xml:space="preserve"> lack of access to insurance leads to higher sensitivity to hazards)</w:t>
            </w:r>
          </w:p>
          <w:p w14:paraId="558DC2A2" w14:textId="77777777" w:rsidR="00F727A8" w:rsidRPr="00E3756C" w:rsidRDefault="00F727A8" w:rsidP="00F727A8">
            <w:pPr>
              <w:pStyle w:val="Blue-boxbullet"/>
            </w:pPr>
            <w:r w:rsidRPr="00E3756C">
              <w:t>quality and durability of building materials or the condition of assets</w:t>
            </w:r>
            <w:r w:rsidR="009112DB" w:rsidRPr="00E3756C">
              <w:t>,</w:t>
            </w:r>
            <w:r w:rsidRPr="00E3756C">
              <w:t xml:space="preserve"> infrastructure or services (eg</w:t>
            </w:r>
            <w:r w:rsidR="009112DB" w:rsidRPr="00E3756C">
              <w:t>,</w:t>
            </w:r>
            <w:r w:rsidRPr="00E3756C">
              <w:t xml:space="preserve"> aged or poorly maintained assets have a higher sensitivity)</w:t>
            </w:r>
          </w:p>
          <w:p w14:paraId="3A70B058" w14:textId="77777777" w:rsidR="00F727A8" w:rsidRPr="00E3756C" w:rsidRDefault="00F727A8" w:rsidP="00F727A8">
            <w:pPr>
              <w:pStyle w:val="Blue-boxbullet"/>
            </w:pPr>
            <w:r w:rsidRPr="00E3756C">
              <w:t>infrastructure network redundancy (eg</w:t>
            </w:r>
            <w:r w:rsidR="009112DB" w:rsidRPr="00E3756C">
              <w:t>,</w:t>
            </w:r>
            <w:r w:rsidRPr="00E3756C">
              <w:t xml:space="preserve"> are there alternative road routes, how sensitive is the electricity network to exposed sub-stations)</w:t>
            </w:r>
          </w:p>
          <w:p w14:paraId="102A049A" w14:textId="77777777" w:rsidR="00F727A8" w:rsidRPr="00E3756C" w:rsidRDefault="00F727A8" w:rsidP="00F727A8">
            <w:pPr>
              <w:pStyle w:val="Blue-boxbullet"/>
            </w:pPr>
            <w:r w:rsidRPr="00E3756C">
              <w:t>aquaculture and marine farming</w:t>
            </w:r>
            <w:r w:rsidR="008527A5" w:rsidRPr="00E3756C">
              <w:t>, which</w:t>
            </w:r>
            <w:r w:rsidRPr="00E3756C">
              <w:t xml:space="preserve"> are particularly sensitive to sea temperatures and nutrient availability</w:t>
            </w:r>
          </w:p>
          <w:p w14:paraId="36FF3940" w14:textId="77777777" w:rsidR="00F727A8" w:rsidRPr="00E3756C" w:rsidRDefault="00F727A8" w:rsidP="00F727A8">
            <w:pPr>
              <w:pStyle w:val="Blue-boxbullet"/>
              <w:spacing w:after="240"/>
            </w:pPr>
            <w:r w:rsidRPr="00E3756C">
              <w:t>tolerance of sub-alpine habitats and species to changing snow lines and rising mean temperatures</w:t>
            </w:r>
            <w:r w:rsidR="008527A5" w:rsidRPr="00E3756C">
              <w:t>.</w:t>
            </w:r>
          </w:p>
        </w:tc>
      </w:tr>
    </w:tbl>
    <w:p w14:paraId="66B2F1D7" w14:textId="77777777" w:rsidR="003F6158" w:rsidRPr="00E3756C" w:rsidRDefault="003F6158" w:rsidP="00C44702">
      <w:pPr>
        <w:pStyle w:val="Heading4"/>
        <w:spacing w:before="360"/>
        <w:rPr>
          <w:rStyle w:val="Heading5Char"/>
          <w:i w:val="0"/>
        </w:rPr>
      </w:pPr>
      <w:bookmarkStart w:id="163" w:name="_Toc13570381"/>
      <w:r w:rsidRPr="00E3756C">
        <w:rPr>
          <w:rStyle w:val="Heading5Char"/>
          <w:i w:val="0"/>
        </w:rPr>
        <w:lastRenderedPageBreak/>
        <w:t>Adaptive capacity</w:t>
      </w:r>
      <w:bookmarkEnd w:id="163"/>
    </w:p>
    <w:p w14:paraId="79F4AED3" w14:textId="77777777" w:rsidR="00C44702" w:rsidRPr="00E3756C" w:rsidRDefault="003F6158" w:rsidP="00C44702">
      <w:pPr>
        <w:pStyle w:val="BodyText"/>
        <w:keepNext/>
      </w:pPr>
      <w:r w:rsidRPr="00E3756C">
        <w:t>The Climate Change Adaptation Technical Working Group’s Stocktake Report</w:t>
      </w:r>
      <w:r w:rsidR="00C44702" w:rsidRPr="00E3756C">
        <w:t xml:space="preserve"> (2017, p</w:t>
      </w:r>
      <w:r w:rsidR="0000205E" w:rsidRPr="00E3756C">
        <w:t xml:space="preserve"> 98</w:t>
      </w:r>
      <w:r w:rsidR="00C44702" w:rsidRPr="00E3756C">
        <w:t>)</w:t>
      </w:r>
      <w:r w:rsidRPr="00E3756C">
        <w:rPr>
          <w:color w:val="2E75B5"/>
        </w:rPr>
        <w:t xml:space="preserve"> </w:t>
      </w:r>
      <w:r w:rsidRPr="00E3756C">
        <w:t xml:space="preserve">defined </w:t>
      </w:r>
      <w:r w:rsidRPr="00E3756C">
        <w:rPr>
          <w:b/>
        </w:rPr>
        <w:t>adaptive capacity</w:t>
      </w:r>
      <w:r w:rsidRPr="00E3756C">
        <w:t xml:space="preserve"> as</w:t>
      </w:r>
      <w:r w:rsidR="00C44702" w:rsidRPr="00E3756C">
        <w:t>:</w:t>
      </w:r>
    </w:p>
    <w:p w14:paraId="3AE3E02B" w14:textId="77777777" w:rsidR="0000205E" w:rsidRPr="00E3756C" w:rsidRDefault="0000205E" w:rsidP="0000205E">
      <w:pPr>
        <w:pStyle w:val="Quote"/>
      </w:pPr>
      <w:r w:rsidRPr="00E3756C">
        <w:t xml:space="preserve">The </w:t>
      </w:r>
      <w:r w:rsidR="003F6158" w:rsidRPr="00E3756C">
        <w:t xml:space="preserve">resources available for adaptation to climate change and variability or other related stresses, as well as the ability of a system to use these resources effectively in pursuit of adaptation. </w:t>
      </w:r>
    </w:p>
    <w:p w14:paraId="531BB3DA" w14:textId="756B6D66" w:rsidR="00F727A8" w:rsidRPr="00E3756C" w:rsidRDefault="003F6158" w:rsidP="0000205E">
      <w:pPr>
        <w:pStyle w:val="BodyText"/>
        <w:spacing w:after="240"/>
      </w:pPr>
      <w:r w:rsidRPr="00E3756C">
        <w:t>However, adaptive capacity goes beyond having the necessary resources at hand</w:t>
      </w:r>
      <w:r w:rsidR="00490462">
        <w:t>. It</w:t>
      </w:r>
      <w:r w:rsidRPr="00E3756C">
        <w:t xml:space="preserve"> also reflects the willingness and capability to convert those resources into effective adaptive action</w:t>
      </w:r>
      <w:r w:rsidR="0000205E" w:rsidRPr="00E3756C">
        <w:t xml:space="preserve"> (Cinner et al, 2018). E</w:t>
      </w:r>
      <w:r w:rsidRPr="00E3756C">
        <w:t xml:space="preserve">xamples of adaptive capacity characteristics are described in </w:t>
      </w:r>
      <w:r w:rsidR="0000205E" w:rsidRPr="00E3756C">
        <w:t>b</w:t>
      </w:r>
      <w:r w:rsidRPr="00E3756C">
        <w:t>ox B3-2.</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B0A35" w:rsidRPr="00E3756C" w14:paraId="054490ED" w14:textId="77777777" w:rsidTr="00B850A2">
        <w:tc>
          <w:tcPr>
            <w:tcW w:w="0" w:type="auto"/>
            <w:shd w:val="clear" w:color="auto" w:fill="D2DDE2"/>
          </w:tcPr>
          <w:p w14:paraId="68CF910D" w14:textId="77777777" w:rsidR="00F04C15" w:rsidRPr="0094101F" w:rsidRDefault="009B0A35" w:rsidP="00CF2682">
            <w:pPr>
              <w:pStyle w:val="Blueboxtext"/>
              <w:spacing w:before="240"/>
              <w:ind w:left="964" w:hanging="680"/>
              <w:rPr>
                <w:b/>
              </w:rPr>
            </w:pPr>
            <w:r w:rsidRPr="0094101F">
              <w:rPr>
                <w:b/>
              </w:rPr>
              <w:t>Box B3-2</w:t>
            </w:r>
            <w:r w:rsidR="00F04C15" w:rsidRPr="0094101F">
              <w:rPr>
                <w:b/>
              </w:rPr>
              <w:t>:</w:t>
            </w:r>
            <w:r w:rsidRPr="0094101F">
              <w:rPr>
                <w:b/>
              </w:rPr>
              <w:t xml:space="preserve"> </w:t>
            </w:r>
            <w:r w:rsidR="00CF2682" w:rsidRPr="0094101F">
              <w:rPr>
                <w:b/>
              </w:rPr>
              <w:tab/>
            </w:r>
            <w:r w:rsidR="00F04C15" w:rsidRPr="00E3756C">
              <w:rPr>
                <w:b/>
              </w:rPr>
              <w:t>A</w:t>
            </w:r>
            <w:r w:rsidRPr="0094101F">
              <w:rPr>
                <w:b/>
              </w:rPr>
              <w:t xml:space="preserve">daptive capacity </w:t>
            </w:r>
            <w:r w:rsidR="00F04C15" w:rsidRPr="00E3756C">
              <w:rPr>
                <w:b/>
              </w:rPr>
              <w:t>characteristics</w:t>
            </w:r>
          </w:p>
          <w:p w14:paraId="7DFC9E46" w14:textId="77777777" w:rsidR="009B0A35" w:rsidRPr="00E3756C" w:rsidRDefault="00F04C15" w:rsidP="00F04C15">
            <w:pPr>
              <w:pStyle w:val="Blueboxtext"/>
              <w:spacing w:before="0"/>
              <w:ind w:left="964" w:hanging="680"/>
            </w:pPr>
            <w:r w:rsidRPr="00E3756C">
              <w:t xml:space="preserve">Examples </w:t>
            </w:r>
            <w:r w:rsidR="00B25845" w:rsidRPr="00E3756C">
              <w:t>of</w:t>
            </w:r>
            <w:r w:rsidRPr="00E3756C">
              <w:t xml:space="preserve"> adaptive capacity</w:t>
            </w:r>
            <w:r w:rsidR="00EA467B" w:rsidRPr="00E3756C">
              <w:t xml:space="preserve"> characteristics</w:t>
            </w:r>
            <w:r w:rsidRPr="00E3756C">
              <w:t xml:space="preserve"> </w:t>
            </w:r>
            <w:r w:rsidR="009B0A35" w:rsidRPr="00E3756C">
              <w:t>include:</w:t>
            </w:r>
          </w:p>
          <w:p w14:paraId="5F50DB9D" w14:textId="49A2372C" w:rsidR="009B0A35" w:rsidRPr="00E3756C" w:rsidRDefault="009B0A35" w:rsidP="009B0A35">
            <w:pPr>
              <w:pStyle w:val="Blue-boxbullet"/>
            </w:pPr>
            <w:r w:rsidRPr="00E3756C">
              <w:t>appropriate emergency response capacity to respond to more frequent hazard events or stressors</w:t>
            </w:r>
            <w:r w:rsidR="005A5721" w:rsidRPr="00E3756C">
              <w:t>,</w:t>
            </w:r>
            <w:r w:rsidRPr="00E3756C">
              <w:t xml:space="preserve"> such as drought, pest</w:t>
            </w:r>
            <w:r w:rsidR="00B25845" w:rsidRPr="00E3756C">
              <w:t xml:space="preserve"> and </w:t>
            </w:r>
            <w:r w:rsidRPr="00E3756C">
              <w:t xml:space="preserve">disease invasions, </w:t>
            </w:r>
            <w:r w:rsidR="0076209C">
              <w:t>heatwave</w:t>
            </w:r>
            <w:r w:rsidRPr="00E3756C">
              <w:t>s, epidemics from vector</w:t>
            </w:r>
            <w:r w:rsidR="005A5721" w:rsidRPr="00E3756C">
              <w:noBreakHyphen/>
            </w:r>
            <w:r w:rsidRPr="00E3756C">
              <w:t>borne diseases</w:t>
            </w:r>
          </w:p>
          <w:p w14:paraId="3C05FD5D" w14:textId="77777777" w:rsidR="009B0A35" w:rsidRPr="00E3756C" w:rsidRDefault="009B0A35" w:rsidP="009B0A35">
            <w:pPr>
              <w:pStyle w:val="Blue-boxbullet"/>
            </w:pPr>
            <w:r w:rsidRPr="00E3756C">
              <w:t>business continuity plans and strategies to reduce risk</w:t>
            </w:r>
            <w:r w:rsidR="00B25845" w:rsidRPr="00E3756C">
              <w:t xml:space="preserve"> and </w:t>
            </w:r>
            <w:r w:rsidRPr="00E3756C">
              <w:t>minimi</w:t>
            </w:r>
            <w:r w:rsidR="00B25845" w:rsidRPr="00E3756C">
              <w:t>s</w:t>
            </w:r>
            <w:r w:rsidRPr="00E3756C">
              <w:t xml:space="preserve">e disruption </w:t>
            </w:r>
          </w:p>
          <w:p w14:paraId="4CD59EC5" w14:textId="77777777" w:rsidR="009B0A35" w:rsidRPr="00E3756C" w:rsidRDefault="009B0A35" w:rsidP="009B0A35">
            <w:pPr>
              <w:pStyle w:val="Blue-boxbullet"/>
            </w:pPr>
            <w:r w:rsidRPr="00E3756C">
              <w:t>capacity and resources to upgrade or change critical infrastructure and utilities (eg</w:t>
            </w:r>
            <w:r w:rsidR="00B25845" w:rsidRPr="00E3756C">
              <w:t>, respond to</w:t>
            </w:r>
            <w:r w:rsidRPr="00E3756C">
              <w:t xml:space="preserve"> electricity demand in hotter summers, rerout</w:t>
            </w:r>
            <w:r w:rsidR="005A5721" w:rsidRPr="00E3756C">
              <w:t>e</w:t>
            </w:r>
            <w:r w:rsidRPr="00E3756C">
              <w:t xml:space="preserve"> coastal roads, upgrade bridges, shift primary</w:t>
            </w:r>
            <w:r w:rsidR="00B25845" w:rsidRPr="00E3756C">
              <w:t>–</w:t>
            </w:r>
            <w:r w:rsidRPr="00E3756C">
              <w:t>industry processing plant</w:t>
            </w:r>
            <w:r w:rsidR="00B25845" w:rsidRPr="00E3756C">
              <w:t>s</w:t>
            </w:r>
            <w:r w:rsidRPr="00E3756C">
              <w:t>)</w:t>
            </w:r>
          </w:p>
          <w:p w14:paraId="3A38B812" w14:textId="797F48D4" w:rsidR="009B0A35" w:rsidRPr="00E3756C" w:rsidRDefault="009B0A35" w:rsidP="009B0A35">
            <w:pPr>
              <w:pStyle w:val="Blue-boxbullet"/>
            </w:pPr>
            <w:r w:rsidRPr="00E3756C">
              <w:t xml:space="preserve">capacity and willingness of communities, businesses and </w:t>
            </w:r>
            <w:r w:rsidR="00490462">
              <w:t xml:space="preserve">the </w:t>
            </w:r>
            <w:r w:rsidRPr="00E3756C">
              <w:t>primary sector to accept reducing levels of service (eg</w:t>
            </w:r>
            <w:r w:rsidR="005A5721" w:rsidRPr="00E3756C">
              <w:t>,</w:t>
            </w:r>
            <w:r w:rsidRPr="00E3756C">
              <w:t xml:space="preserve"> stormwater, maintaining road access, wastewater systems, flood protection in transition to a more transformative situation)</w:t>
            </w:r>
          </w:p>
          <w:p w14:paraId="2CFA4F79" w14:textId="77777777" w:rsidR="009B0A35" w:rsidRPr="00E3756C" w:rsidRDefault="009B0A35" w:rsidP="009B0A35">
            <w:pPr>
              <w:pStyle w:val="Blue-boxbullet"/>
            </w:pPr>
            <w:r w:rsidRPr="00E3756C">
              <w:t>resources and capability of local government to address climate change impacts and implications</w:t>
            </w:r>
          </w:p>
          <w:p w14:paraId="19C7B2FF" w14:textId="77777777" w:rsidR="009B0A35" w:rsidRPr="00E3756C" w:rsidRDefault="009B0A35" w:rsidP="009B0A35">
            <w:pPr>
              <w:pStyle w:val="Blue-boxbullet"/>
            </w:pPr>
            <w:r w:rsidRPr="00E3756C">
              <w:t xml:space="preserve">access to insurance and hence bank finance (private and public assets) </w:t>
            </w:r>
          </w:p>
          <w:p w14:paraId="1D2A928B" w14:textId="77777777" w:rsidR="009B0A35" w:rsidRPr="00E3756C" w:rsidRDefault="009B0A35" w:rsidP="009B3BCB">
            <w:pPr>
              <w:pStyle w:val="Blue-boxbullet"/>
              <w:spacing w:after="240"/>
            </w:pPr>
            <w:r w:rsidRPr="00E3756C">
              <w:t>capacity and resources available to switch to alternative types of activities or production (eg</w:t>
            </w:r>
            <w:r w:rsidR="009B3BCB" w:rsidRPr="00E3756C">
              <w:t>,</w:t>
            </w:r>
            <w:r w:rsidRPr="00E3756C">
              <w:t xml:space="preserve"> capacity of fishing quota system to respond to changes in geographic</w:t>
            </w:r>
            <w:r w:rsidR="009B3BCB" w:rsidRPr="00E3756C">
              <w:t>al</w:t>
            </w:r>
            <w:r w:rsidRPr="00E3756C">
              <w:t xml:space="preserve"> distribution of fish stocks), different tourism activities (eg</w:t>
            </w:r>
            <w:r w:rsidR="009B3BCB" w:rsidRPr="00E3756C">
              <w:t>,</w:t>
            </w:r>
            <w:r w:rsidRPr="00E3756C">
              <w:t xml:space="preserve"> loss of glaciers), changing type</w:t>
            </w:r>
            <w:r w:rsidR="004E27B9" w:rsidRPr="00E3756C">
              <w:t>s</w:t>
            </w:r>
            <w:r w:rsidRPr="00E3756C">
              <w:t xml:space="preserve"> of horticulture or aquaculture.</w:t>
            </w:r>
          </w:p>
        </w:tc>
      </w:tr>
    </w:tbl>
    <w:p w14:paraId="327890F1" w14:textId="77777777" w:rsidR="000B535C" w:rsidRPr="00E3756C" w:rsidRDefault="000B535C" w:rsidP="000B535C">
      <w:pPr>
        <w:pStyle w:val="Heading4"/>
        <w:spacing w:before="480"/>
      </w:pPr>
      <w:r w:rsidRPr="00E3756C">
        <w:t>Determining vulnerability rating</w:t>
      </w:r>
      <w:r w:rsidR="00691C7D" w:rsidRPr="00E3756C">
        <w:t>s</w:t>
      </w:r>
    </w:p>
    <w:p w14:paraId="565D33E8" w14:textId="0AB4C1FC" w:rsidR="000B535C" w:rsidRPr="00E3756C" w:rsidRDefault="000B535C" w:rsidP="000B535C">
      <w:pPr>
        <w:pStyle w:val="BodyText"/>
      </w:pPr>
      <w:r w:rsidRPr="00E3756C">
        <w:t xml:space="preserve">Quantitative vulnerability assessments are complex and not </w:t>
      </w:r>
      <w:r w:rsidR="00D92FC1" w:rsidRPr="00E3756C">
        <w:t xml:space="preserve">yet </w:t>
      </w:r>
      <w:r w:rsidRPr="00E3756C">
        <w:t>well</w:t>
      </w:r>
      <w:r w:rsidR="00EA467B" w:rsidRPr="00E3756C">
        <w:t xml:space="preserve"> </w:t>
      </w:r>
      <w:r w:rsidRPr="00E3756C">
        <w:t xml:space="preserve">developed in </w:t>
      </w:r>
      <w:r w:rsidR="00EA467B" w:rsidRPr="00E3756C">
        <w:t xml:space="preserve">Aotearoa </w:t>
      </w:r>
      <w:r w:rsidRPr="00E3756C">
        <w:t>New Zealand</w:t>
      </w:r>
      <w:r w:rsidR="00EA467B" w:rsidRPr="00E3756C">
        <w:t>.</w:t>
      </w:r>
      <w:r w:rsidRPr="00E3756C">
        <w:rPr>
          <w:vertAlign w:val="superscript"/>
        </w:rPr>
        <w:footnoteReference w:id="6"/>
      </w:r>
      <w:r w:rsidRPr="00E3756C">
        <w:t xml:space="preserve"> </w:t>
      </w:r>
      <w:r w:rsidR="001A2590" w:rsidRPr="00E3756C">
        <w:t>T</w:t>
      </w:r>
      <w:r w:rsidRPr="00E3756C">
        <w:t xml:space="preserve">he main challenge </w:t>
      </w:r>
      <w:r w:rsidR="001A2590" w:rsidRPr="00E3756C">
        <w:t xml:space="preserve">is </w:t>
      </w:r>
      <w:r w:rsidR="00C8470F">
        <w:t xml:space="preserve">understanding </w:t>
      </w:r>
      <w:r w:rsidRPr="00E3756C">
        <w:t>how sensitivity and adaptive capacity will evolve in the future</w:t>
      </w:r>
      <w:r w:rsidR="001A2590" w:rsidRPr="00E3756C">
        <w:t>,</w:t>
      </w:r>
      <w:r w:rsidRPr="00E3756C">
        <w:t xml:space="preserve"> as New Zealand faces increasing risks and social-economic adjustments from climate change and policy responses to mitigating greenhouse gas emissions. </w:t>
      </w:r>
      <w:r w:rsidR="00144B88">
        <w:t>Therefore, t</w:t>
      </w:r>
      <w:r w:rsidRPr="00E3756C">
        <w:t>he first iteration of the NCCRA will</w:t>
      </w:r>
      <w:r w:rsidR="00144B88">
        <w:t xml:space="preserve"> </w:t>
      </w:r>
      <w:r w:rsidRPr="00E3756C">
        <w:t xml:space="preserve">only involve a high-level qualitative assessment, allowing </w:t>
      </w:r>
      <w:r w:rsidR="001A2590" w:rsidRPr="00E3756C">
        <w:t xml:space="preserve">further </w:t>
      </w:r>
      <w:r w:rsidRPr="00E3756C">
        <w:t>narratives to be introduced and appraised in future iterations.</w:t>
      </w:r>
      <w:r w:rsidR="00484C8A" w:rsidRPr="00E3756C">
        <w:t xml:space="preserve"> </w:t>
      </w:r>
      <w:r w:rsidRPr="00E3756C">
        <w:t>The first assessment will</w:t>
      </w:r>
      <w:r w:rsidR="00036FC7" w:rsidRPr="00E3756C">
        <w:t> </w:t>
      </w:r>
      <w:r w:rsidRPr="00E3756C">
        <w:t>not involve the use of different future scenarios</w:t>
      </w:r>
      <w:r w:rsidR="001A2590" w:rsidRPr="00E3756C">
        <w:t>,</w:t>
      </w:r>
      <w:r w:rsidRPr="00E3756C">
        <w:t xml:space="preserve"> such as the Shared Socioeconomic Pathways (SSPs)</w:t>
      </w:r>
      <w:r w:rsidR="001A2590" w:rsidRPr="00E3756C">
        <w:t xml:space="preserve"> (Frame et al, 2018</w:t>
      </w:r>
      <w:r w:rsidR="008D3839" w:rsidRPr="00E3756C">
        <w:t>a</w:t>
      </w:r>
      <w:r w:rsidR="001A2590" w:rsidRPr="00E3756C">
        <w:t>)</w:t>
      </w:r>
      <w:r w:rsidRPr="00E3756C">
        <w:t xml:space="preserve">. </w:t>
      </w:r>
    </w:p>
    <w:p w14:paraId="509D3AA0" w14:textId="77777777" w:rsidR="000B535C" w:rsidRPr="00E3756C" w:rsidRDefault="000B535C" w:rsidP="003735CF">
      <w:pPr>
        <w:pStyle w:val="BodyText"/>
        <w:keepLines/>
      </w:pPr>
      <w:r w:rsidRPr="00E3756C">
        <w:lastRenderedPageBreak/>
        <w:t>The vulnerability of Māori populations and taonga needs to be discussed in detail with local iwi</w:t>
      </w:r>
      <w:r w:rsidR="008F7DC3">
        <w:t> </w:t>
      </w:r>
      <w:r w:rsidRPr="00E3756C">
        <w:t xml:space="preserve">or hapū. Each value domain in this framework has a kaupapa Māori component to it: Culture – Ahurea Māori/Tikanga Māori/Māori culture; </w:t>
      </w:r>
      <w:r w:rsidR="008D3839" w:rsidRPr="00E3756C">
        <w:t>n</w:t>
      </w:r>
      <w:r w:rsidRPr="00E3756C">
        <w:t xml:space="preserve">atural </w:t>
      </w:r>
      <w:r w:rsidR="008D3839" w:rsidRPr="00E3756C">
        <w:t>e</w:t>
      </w:r>
      <w:r w:rsidRPr="00E3756C">
        <w:t xml:space="preserve">nvironment – He Kura Taiao/Living treasures; </w:t>
      </w:r>
      <w:r w:rsidR="008D3839" w:rsidRPr="00E3756C">
        <w:t>e</w:t>
      </w:r>
      <w:r w:rsidRPr="00E3756C">
        <w:t xml:space="preserve">conomy – Whakatipu Rawa/Māori enterprise, </w:t>
      </w:r>
      <w:r w:rsidR="008D3839" w:rsidRPr="00E3756C">
        <w:t>b</w:t>
      </w:r>
      <w:r w:rsidRPr="00E3756C">
        <w:t xml:space="preserve">uilt </w:t>
      </w:r>
      <w:r w:rsidR="008D3839" w:rsidRPr="00E3756C">
        <w:t>i</w:t>
      </w:r>
      <w:r w:rsidRPr="00E3756C">
        <w:t>nfrastructure – Te</w:t>
      </w:r>
      <w:r w:rsidR="008F7DC3">
        <w:t> </w:t>
      </w:r>
      <w:r w:rsidRPr="00E3756C">
        <w:t xml:space="preserve">Whare Āhuru He Oranga Tāngata/Safe homes, healthy people; and </w:t>
      </w:r>
      <w:r w:rsidR="008D3839" w:rsidRPr="00E3756C">
        <w:t>g</w:t>
      </w:r>
      <w:r w:rsidRPr="00E3756C">
        <w:t>overnance</w:t>
      </w:r>
      <w:r w:rsidR="00B81580" w:rsidRPr="00E3756C">
        <w:t>–</w:t>
      </w:r>
      <w:r w:rsidR="008D3839" w:rsidRPr="00E3756C">
        <w:t>Te Tiriti o</w:t>
      </w:r>
      <w:r w:rsidR="008F7DC3">
        <w:t> </w:t>
      </w:r>
      <w:r w:rsidR="008D3839" w:rsidRPr="00E3756C">
        <w:t>Waitangi</w:t>
      </w:r>
      <w:r w:rsidRPr="00E3756C">
        <w:t xml:space="preserve"> partnerships. Through an elicitation process with key stakeholders and partners</w:t>
      </w:r>
      <w:r w:rsidR="00B81580" w:rsidRPr="00E3756C">
        <w:t>,</w:t>
      </w:r>
      <w:r w:rsidRPr="00E3756C">
        <w:t xml:space="preserve"> such as the Iwi Chairs Forum, Māori Women’s Welfare League, N</w:t>
      </w:r>
      <w:r w:rsidR="00B81580" w:rsidRPr="00E3756C">
        <w:t xml:space="preserve">ew </w:t>
      </w:r>
      <w:r w:rsidRPr="00E3756C">
        <w:t>Z</w:t>
      </w:r>
      <w:r w:rsidR="00B81580" w:rsidRPr="00E3756C">
        <w:t>ealand</w:t>
      </w:r>
      <w:r w:rsidRPr="00E3756C">
        <w:t xml:space="preserve"> Māori Council and </w:t>
      </w:r>
      <w:r w:rsidR="00B81580" w:rsidRPr="00E3756C">
        <w:t xml:space="preserve">Office of the </w:t>
      </w:r>
      <w:r w:rsidRPr="00E3756C">
        <w:t>Māori Climate Commission</w:t>
      </w:r>
      <w:r w:rsidR="007B3579" w:rsidRPr="00E3756C">
        <w:t>er</w:t>
      </w:r>
      <w:r w:rsidRPr="00E3756C">
        <w:t>, decide on appropriate data</w:t>
      </w:r>
      <w:r w:rsidR="008D3E82" w:rsidRPr="00E3756C">
        <w:t xml:space="preserve"> and </w:t>
      </w:r>
      <w:r w:rsidRPr="00E3756C">
        <w:t>information, indicators or qualitative descriptors for the vulnerability assessment that covers both sensitivity and adaptive capacity with regard to the elements or activities at risk</w:t>
      </w:r>
      <w:r w:rsidR="008D3E82" w:rsidRPr="00E3756C">
        <w:t>. This should be done</w:t>
      </w:r>
      <w:r w:rsidRPr="00E3756C">
        <w:t xml:space="preserve"> specifically for the kaupapa Māori components for each value domain or sector.</w:t>
      </w:r>
    </w:p>
    <w:p w14:paraId="3ADEE2D1" w14:textId="77777777" w:rsidR="000B535C" w:rsidRPr="00E3756C" w:rsidRDefault="000B535C" w:rsidP="001B6EF0">
      <w:pPr>
        <w:pStyle w:val="BodyText"/>
      </w:pPr>
      <w:r w:rsidRPr="00E3756C">
        <w:t xml:space="preserve">The elicitation process should produce a </w:t>
      </w:r>
      <w:r w:rsidR="004F28D1" w:rsidRPr="00E3756C">
        <w:t>‘</w:t>
      </w:r>
      <w:r w:rsidRPr="00805026">
        <w:t>qualitative</w:t>
      </w:r>
      <w:r w:rsidR="004F28D1" w:rsidRPr="00E3756C">
        <w:t>’</w:t>
      </w:r>
      <w:r w:rsidRPr="00E3756C">
        <w:t xml:space="preserve"> ranking of vulnerability from low to extreme</w:t>
      </w:r>
      <w:r w:rsidR="004F28D1" w:rsidRPr="00E3756C">
        <w:t>,</w:t>
      </w:r>
      <w:r w:rsidRPr="00E3756C">
        <w:t xml:space="preserve"> based on the descriptions and definitions in </w:t>
      </w:r>
      <w:r w:rsidR="004F28D1" w:rsidRPr="00E3756C">
        <w:t>t</w:t>
      </w:r>
      <w:r w:rsidRPr="00E3756C">
        <w:t>able B3-2.</w:t>
      </w:r>
    </w:p>
    <w:p w14:paraId="13B04BD6" w14:textId="77777777" w:rsidR="009B0A35" w:rsidRPr="00E3756C" w:rsidRDefault="000B535C" w:rsidP="001B6EF0">
      <w:pPr>
        <w:pStyle w:val="Tableheading"/>
      </w:pPr>
      <w:bookmarkStart w:id="164" w:name="tableB32"/>
      <w:bookmarkStart w:id="165" w:name="_Toc16586499"/>
      <w:r w:rsidRPr="00E3756C">
        <w:t>Table B3-2</w:t>
      </w:r>
      <w:bookmarkEnd w:id="164"/>
      <w:r w:rsidR="004F28D1" w:rsidRPr="00E3756C">
        <w:t>:</w:t>
      </w:r>
      <w:r w:rsidRPr="00E3756C">
        <w:t xml:space="preserve"> </w:t>
      </w:r>
      <w:r w:rsidR="001B6EF0" w:rsidRPr="00E3756C">
        <w:tab/>
      </w:r>
      <w:r w:rsidRPr="00E3756C">
        <w:t>Vulnerability rating scale</w:t>
      </w:r>
      <w:bookmarkEnd w:id="165"/>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00" w:firstRow="0" w:lastRow="0" w:firstColumn="0" w:lastColumn="0" w:noHBand="0" w:noVBand="1"/>
      </w:tblPr>
      <w:tblGrid>
        <w:gridCol w:w="2542"/>
        <w:gridCol w:w="5963"/>
      </w:tblGrid>
      <w:tr w:rsidR="00C1625D" w:rsidRPr="00E3756C" w14:paraId="2AD11901" w14:textId="77777777" w:rsidTr="00B850A2">
        <w:tc>
          <w:tcPr>
            <w:tcW w:w="2689" w:type="dxa"/>
            <w:tcBorders>
              <w:bottom w:val="single" w:sz="4" w:space="0" w:color="1C556C" w:themeColor="accent1"/>
            </w:tcBorders>
            <w:shd w:val="clear" w:color="auto" w:fill="1C556C" w:themeFill="accent1"/>
          </w:tcPr>
          <w:p w14:paraId="6D5A1766" w14:textId="77777777" w:rsidR="00C1625D" w:rsidRPr="00E3756C" w:rsidRDefault="00C1625D" w:rsidP="00C1625D">
            <w:pPr>
              <w:pStyle w:val="TableTextbold"/>
              <w:rPr>
                <w:color w:val="FFFFFF" w:themeColor="background1"/>
              </w:rPr>
            </w:pPr>
            <w:r w:rsidRPr="00E3756C">
              <w:rPr>
                <w:color w:val="FFFFFF" w:themeColor="background1"/>
              </w:rPr>
              <w:t xml:space="preserve">Description of vulnerability </w:t>
            </w:r>
          </w:p>
        </w:tc>
        <w:tc>
          <w:tcPr>
            <w:tcW w:w="6327" w:type="dxa"/>
            <w:shd w:val="clear" w:color="auto" w:fill="1C556C" w:themeFill="accent1"/>
          </w:tcPr>
          <w:p w14:paraId="344088E9" w14:textId="77777777" w:rsidR="00C1625D" w:rsidRPr="00E3756C" w:rsidRDefault="00C1625D" w:rsidP="00C1625D">
            <w:pPr>
              <w:pStyle w:val="TableTextbold"/>
              <w:rPr>
                <w:color w:val="FFFFFF" w:themeColor="background1"/>
              </w:rPr>
            </w:pPr>
            <w:r w:rsidRPr="00E3756C">
              <w:rPr>
                <w:color w:val="FFFFFF" w:themeColor="background1"/>
              </w:rPr>
              <w:t xml:space="preserve">Definitions </w:t>
            </w:r>
          </w:p>
        </w:tc>
      </w:tr>
      <w:tr w:rsidR="00C1625D" w:rsidRPr="00E3756C" w14:paraId="37B6854E" w14:textId="77777777" w:rsidTr="00B850A2">
        <w:tc>
          <w:tcPr>
            <w:tcW w:w="2689" w:type="dxa"/>
            <w:tcBorders>
              <w:bottom w:val="single" w:sz="4" w:space="0" w:color="1C556C" w:themeColor="accent1"/>
              <w:right w:val="nil"/>
            </w:tcBorders>
            <w:shd w:val="clear" w:color="auto" w:fill="991009"/>
          </w:tcPr>
          <w:p w14:paraId="32B90458" w14:textId="77777777" w:rsidR="00C1625D" w:rsidRPr="00144B88" w:rsidRDefault="00C1625D" w:rsidP="00C1625D">
            <w:pPr>
              <w:pStyle w:val="TableText"/>
              <w:rPr>
                <w:b/>
                <w:color w:val="000000" w:themeColor="text1"/>
              </w:rPr>
            </w:pPr>
            <w:r w:rsidRPr="00144B88">
              <w:rPr>
                <w:b/>
                <w:color w:val="000000" w:themeColor="text1"/>
              </w:rPr>
              <w:t xml:space="preserve">Extreme </w:t>
            </w:r>
          </w:p>
        </w:tc>
        <w:tc>
          <w:tcPr>
            <w:tcW w:w="6327" w:type="dxa"/>
            <w:tcBorders>
              <w:left w:val="nil"/>
            </w:tcBorders>
          </w:tcPr>
          <w:p w14:paraId="7EE87AA8" w14:textId="77777777" w:rsidR="00C1625D" w:rsidRPr="00E3756C" w:rsidRDefault="00C1625D" w:rsidP="00532E80">
            <w:pPr>
              <w:pStyle w:val="TableText"/>
            </w:pPr>
            <w:r w:rsidRPr="00E3756C">
              <w:t>Extremely likely to be adversely affected, because the element</w:t>
            </w:r>
            <w:r w:rsidR="00532E80" w:rsidRPr="00E3756C">
              <w:t xml:space="preserve"> or </w:t>
            </w:r>
            <w:r w:rsidRPr="00E3756C">
              <w:t>asset is highly sensitive to a given hazard and has a low capacity to adapt.</w:t>
            </w:r>
          </w:p>
        </w:tc>
      </w:tr>
      <w:tr w:rsidR="00C1625D" w:rsidRPr="00E3756C" w14:paraId="39BDF859" w14:textId="77777777" w:rsidTr="00B850A2">
        <w:tc>
          <w:tcPr>
            <w:tcW w:w="2689" w:type="dxa"/>
            <w:tcBorders>
              <w:bottom w:val="single" w:sz="4" w:space="0" w:color="1C556C" w:themeColor="accent1"/>
              <w:right w:val="nil"/>
            </w:tcBorders>
            <w:shd w:val="clear" w:color="auto" w:fill="EB7821"/>
          </w:tcPr>
          <w:p w14:paraId="7024C7FE" w14:textId="77777777" w:rsidR="00C1625D" w:rsidRPr="00144B88" w:rsidRDefault="00C1625D" w:rsidP="00C1625D">
            <w:pPr>
              <w:pStyle w:val="TableText"/>
              <w:rPr>
                <w:b/>
                <w:color w:val="000000" w:themeColor="text1"/>
              </w:rPr>
            </w:pPr>
            <w:r w:rsidRPr="00144B88">
              <w:rPr>
                <w:b/>
                <w:color w:val="000000" w:themeColor="text1"/>
              </w:rPr>
              <w:t xml:space="preserve">High </w:t>
            </w:r>
          </w:p>
        </w:tc>
        <w:tc>
          <w:tcPr>
            <w:tcW w:w="6327" w:type="dxa"/>
            <w:tcBorders>
              <w:left w:val="nil"/>
            </w:tcBorders>
          </w:tcPr>
          <w:p w14:paraId="4E194020" w14:textId="77777777" w:rsidR="00C1625D" w:rsidRPr="00E3756C" w:rsidRDefault="00C1625D" w:rsidP="002951D8">
            <w:pPr>
              <w:pStyle w:val="TableText"/>
            </w:pPr>
            <w:r w:rsidRPr="00E3756C">
              <w:t>Highly likely to be adversely affected, because the element</w:t>
            </w:r>
            <w:r w:rsidR="002951D8" w:rsidRPr="00E3756C">
              <w:t xml:space="preserve"> or </w:t>
            </w:r>
            <w:r w:rsidRPr="00E3756C">
              <w:t>asset is highly sensitive to a given hazard and has a low capacity to adapt.</w:t>
            </w:r>
          </w:p>
        </w:tc>
      </w:tr>
      <w:tr w:rsidR="00C1625D" w:rsidRPr="00E3756C" w14:paraId="465BA205" w14:textId="77777777" w:rsidTr="00B850A2">
        <w:tc>
          <w:tcPr>
            <w:tcW w:w="2689" w:type="dxa"/>
            <w:tcBorders>
              <w:bottom w:val="single" w:sz="4" w:space="0" w:color="1C556C" w:themeColor="accent1"/>
              <w:right w:val="nil"/>
            </w:tcBorders>
            <w:shd w:val="clear" w:color="auto" w:fill="FFC715"/>
          </w:tcPr>
          <w:p w14:paraId="47ED3750" w14:textId="77777777" w:rsidR="00C1625D" w:rsidRPr="00144B88" w:rsidRDefault="00C1625D" w:rsidP="00C1625D">
            <w:pPr>
              <w:pStyle w:val="TableText"/>
              <w:rPr>
                <w:b/>
                <w:color w:val="000000" w:themeColor="text1"/>
              </w:rPr>
            </w:pPr>
            <w:r w:rsidRPr="00144B88">
              <w:rPr>
                <w:b/>
                <w:color w:val="000000" w:themeColor="text1"/>
              </w:rPr>
              <w:t xml:space="preserve">Moderate </w:t>
            </w:r>
          </w:p>
        </w:tc>
        <w:tc>
          <w:tcPr>
            <w:tcW w:w="6327" w:type="dxa"/>
            <w:tcBorders>
              <w:left w:val="nil"/>
            </w:tcBorders>
          </w:tcPr>
          <w:p w14:paraId="726FCEC0" w14:textId="77777777" w:rsidR="00C1625D" w:rsidRPr="00E3756C" w:rsidRDefault="00C1625D" w:rsidP="008F7DC3">
            <w:pPr>
              <w:pStyle w:val="TableText"/>
            </w:pPr>
            <w:r w:rsidRPr="00E3756C">
              <w:t>Moderately likely to be adversely affected, because the element</w:t>
            </w:r>
            <w:r w:rsidR="002951D8" w:rsidRPr="00E3756C">
              <w:t xml:space="preserve"> or </w:t>
            </w:r>
            <w:r w:rsidRPr="00E3756C">
              <w:t>asset is moderately sensitive to a given hazard and has a low or moderate capacity to</w:t>
            </w:r>
            <w:r w:rsidR="008F7DC3">
              <w:t> </w:t>
            </w:r>
            <w:r w:rsidRPr="00E3756C">
              <w:t>adapt.</w:t>
            </w:r>
          </w:p>
        </w:tc>
      </w:tr>
      <w:tr w:rsidR="00C1625D" w:rsidRPr="00E3756C" w14:paraId="4D0F47CA" w14:textId="77777777" w:rsidTr="00B850A2">
        <w:tc>
          <w:tcPr>
            <w:tcW w:w="2689" w:type="dxa"/>
            <w:tcBorders>
              <w:right w:val="nil"/>
            </w:tcBorders>
            <w:shd w:val="clear" w:color="auto" w:fill="2C9986" w:themeFill="accent4"/>
          </w:tcPr>
          <w:p w14:paraId="446386D6" w14:textId="77777777" w:rsidR="00C1625D" w:rsidRPr="00144B88" w:rsidRDefault="00C1625D" w:rsidP="00C1625D">
            <w:pPr>
              <w:pStyle w:val="TableText"/>
              <w:rPr>
                <w:b/>
                <w:color w:val="000000" w:themeColor="text1"/>
              </w:rPr>
            </w:pPr>
            <w:r w:rsidRPr="00144B88">
              <w:rPr>
                <w:b/>
                <w:color w:val="000000" w:themeColor="text1"/>
              </w:rPr>
              <w:t xml:space="preserve">Low </w:t>
            </w:r>
          </w:p>
        </w:tc>
        <w:tc>
          <w:tcPr>
            <w:tcW w:w="6327" w:type="dxa"/>
            <w:tcBorders>
              <w:left w:val="nil"/>
            </w:tcBorders>
          </w:tcPr>
          <w:p w14:paraId="3938A499" w14:textId="77777777" w:rsidR="00C1625D" w:rsidRPr="00E3756C" w:rsidRDefault="00C1625D" w:rsidP="00D8235B">
            <w:pPr>
              <w:pStyle w:val="TableText"/>
            </w:pPr>
            <w:r w:rsidRPr="00E3756C">
              <w:t>Low likelihood of being adversely affected, because the element</w:t>
            </w:r>
            <w:r w:rsidR="00D8235B" w:rsidRPr="00E3756C">
              <w:t xml:space="preserve"> or </w:t>
            </w:r>
            <w:r w:rsidRPr="00E3756C">
              <w:t>asset has low sensitivity to a given hazard and has a high capacity to adapt.</w:t>
            </w:r>
          </w:p>
        </w:tc>
      </w:tr>
    </w:tbl>
    <w:p w14:paraId="5E41F1CA" w14:textId="77777777" w:rsidR="00C1625D" w:rsidRPr="00E3756C" w:rsidRDefault="00D8235B" w:rsidP="004C4829">
      <w:pPr>
        <w:pStyle w:val="BodyText"/>
        <w:spacing w:before="240"/>
      </w:pPr>
      <w:r w:rsidRPr="00E3756C">
        <w:t>O</w:t>
      </w:r>
      <w:r w:rsidR="00C1625D" w:rsidRPr="00E3756C">
        <w:t>utcomes of the vulnerability assessments need to be reconciled according to sector and expert agreement categories, to ensure biases are not averaged.</w:t>
      </w:r>
      <w:r w:rsidR="00484C8A" w:rsidRPr="00E3756C">
        <w:t xml:space="preserve"> </w:t>
      </w:r>
      <w:r w:rsidR="00C1625D" w:rsidRPr="00E3756C">
        <w:t xml:space="preserve">The same members </w:t>
      </w:r>
      <w:r w:rsidR="00337D06" w:rsidRPr="00E3756C">
        <w:t xml:space="preserve">and assessors </w:t>
      </w:r>
      <w:r w:rsidR="00C1625D" w:rsidRPr="00E3756C">
        <w:t xml:space="preserve">of the engagement project team should </w:t>
      </w:r>
      <w:r w:rsidRPr="00E3756C">
        <w:t xml:space="preserve">meet </w:t>
      </w:r>
      <w:r w:rsidR="00C1625D" w:rsidRPr="00E3756C">
        <w:t xml:space="preserve">to assess the responses, rather than </w:t>
      </w:r>
      <w:r w:rsidRPr="00E3756C">
        <w:t xml:space="preserve">this </w:t>
      </w:r>
      <w:r w:rsidR="00C1625D" w:rsidRPr="00E3756C">
        <w:t xml:space="preserve">being done separately or by </w:t>
      </w:r>
      <w:r w:rsidRPr="00E3756C">
        <w:t>several</w:t>
      </w:r>
      <w:r w:rsidR="00C1625D" w:rsidRPr="00E3756C">
        <w:t xml:space="preserve"> people independently of each other.</w:t>
      </w:r>
      <w:r w:rsidR="00484C8A" w:rsidRPr="00E3756C">
        <w:t xml:space="preserve"> </w:t>
      </w:r>
      <w:r w:rsidR="00C1625D" w:rsidRPr="00E3756C">
        <w:t>Once each expert</w:t>
      </w:r>
      <w:r w:rsidR="00BB1F61">
        <w:t> </w:t>
      </w:r>
      <w:r w:rsidR="00C1625D" w:rsidRPr="00E3756C">
        <w:t xml:space="preserve">group has been coded, the </w:t>
      </w:r>
      <w:r w:rsidRPr="00E3756C">
        <w:t>a</w:t>
      </w:r>
      <w:r w:rsidR="00C1625D" w:rsidRPr="00E3756C">
        <w:t xml:space="preserve">ssessor(s) can reconcile the various groups according to their level of agreement. An example of how this reconciliation process could proceed is </w:t>
      </w:r>
      <w:r w:rsidRPr="00E3756C">
        <w:t>given</w:t>
      </w:r>
      <w:r w:rsidR="00BB1F61">
        <w:t> </w:t>
      </w:r>
      <w:r w:rsidR="00C1625D" w:rsidRPr="00E3756C">
        <w:t xml:space="preserve">in </w:t>
      </w:r>
      <w:hyperlink w:anchor="_Chapter_C1:_Developing" w:history="1">
        <w:r w:rsidRPr="00E3756C">
          <w:rPr>
            <w:rStyle w:val="Hyperlink"/>
          </w:rPr>
          <w:t>c</w:t>
        </w:r>
        <w:r w:rsidR="00C1625D" w:rsidRPr="00E3756C">
          <w:rPr>
            <w:rStyle w:val="Hyperlink"/>
          </w:rPr>
          <w:t>hapter</w:t>
        </w:r>
        <w:r w:rsidR="00337D06" w:rsidRPr="00E3756C">
          <w:rPr>
            <w:rStyle w:val="Hyperlink"/>
          </w:rPr>
          <w:t> </w:t>
        </w:r>
        <w:r w:rsidR="00C1625D" w:rsidRPr="00E3756C">
          <w:rPr>
            <w:rStyle w:val="Hyperlink"/>
          </w:rPr>
          <w:t>C1</w:t>
        </w:r>
      </w:hyperlink>
      <w:r w:rsidR="00C1625D" w:rsidRPr="00E3756C">
        <w:t>.</w:t>
      </w:r>
    </w:p>
    <w:p w14:paraId="22E5B152" w14:textId="288A6B24" w:rsidR="00661162" w:rsidRPr="00E3756C" w:rsidRDefault="00661162" w:rsidP="00661162">
      <w:pPr>
        <w:pStyle w:val="Heading3"/>
      </w:pPr>
      <w:r w:rsidRPr="00E3756C">
        <w:t xml:space="preserve">Guidance on </w:t>
      </w:r>
      <w:r w:rsidR="00A0058B">
        <w:t>S</w:t>
      </w:r>
      <w:r w:rsidR="000A17DE">
        <w:t>tep</w:t>
      </w:r>
      <w:r w:rsidRPr="00E3756C">
        <w:t xml:space="preserve"> 4</w:t>
      </w:r>
      <w:r w:rsidR="006D6B3C" w:rsidRPr="00E3756C">
        <w:t>:</w:t>
      </w:r>
      <w:r w:rsidRPr="00E3756C">
        <w:t xml:space="preserve"> Consequence assessment</w:t>
      </w:r>
    </w:p>
    <w:p w14:paraId="60D04F95" w14:textId="77777777" w:rsidR="00661162" w:rsidRPr="00E3756C" w:rsidRDefault="00661162" w:rsidP="00661162">
      <w:pPr>
        <w:pStyle w:val="BodyText"/>
      </w:pPr>
      <w:r w:rsidRPr="00E3756C">
        <w:t>Consequence is a</w:t>
      </w:r>
      <w:r w:rsidR="00691C7D" w:rsidRPr="00E3756C">
        <w:t>n</w:t>
      </w:r>
      <w:r w:rsidRPr="00E3756C">
        <w:t xml:space="preserve"> </w:t>
      </w:r>
      <w:r w:rsidR="00691C7D" w:rsidRPr="00E3756C">
        <w:t xml:space="preserve">important </w:t>
      </w:r>
      <w:r w:rsidRPr="00E3756C">
        <w:t>component of assessing risk</w:t>
      </w:r>
      <w:r w:rsidR="00691C7D" w:rsidRPr="00E3756C">
        <w:t>.</w:t>
      </w:r>
      <w:r w:rsidRPr="00E3756C">
        <w:t xml:space="preserve"> </w:t>
      </w:r>
      <w:r w:rsidR="00691C7D" w:rsidRPr="00E3756C">
        <w:t>A</w:t>
      </w:r>
      <w:r w:rsidRPr="00E3756C">
        <w:t xml:space="preserve"> higher consequence from a hazard significantly exacerbated by climate change</w:t>
      </w:r>
      <w:r w:rsidRPr="00E3756C" w:rsidDel="003C5015">
        <w:t xml:space="preserve"> </w:t>
      </w:r>
      <w:r w:rsidRPr="00E3756C">
        <w:t>(eg</w:t>
      </w:r>
      <w:r w:rsidR="00691C7D" w:rsidRPr="00E3756C">
        <w:t>,</w:t>
      </w:r>
      <w:r w:rsidRPr="00E3756C">
        <w:t xml:space="preserve"> more frequent coastal flooding or a seasonal shift in rainfall) will naturally lead to a higher risk rating. The level of exposure and vulnerability of a sector or element will influence the consequences</w:t>
      </w:r>
      <w:r w:rsidR="00691C7D" w:rsidRPr="00E3756C">
        <w:t xml:space="preserve"> and affect</w:t>
      </w:r>
      <w:r w:rsidRPr="00E3756C">
        <w:t xml:space="preserve"> severity. </w:t>
      </w:r>
    </w:p>
    <w:p w14:paraId="3289FB32" w14:textId="77777777" w:rsidR="00661162" w:rsidRPr="00E3756C" w:rsidRDefault="00661162" w:rsidP="00661162">
      <w:pPr>
        <w:pStyle w:val="BodyText"/>
      </w:pPr>
      <w:r w:rsidRPr="00E3756C">
        <w:t xml:space="preserve">The development of consistent consequence tables is critical for comparing consequences across a range of outcome types. This will </w:t>
      </w:r>
      <w:r w:rsidR="006E03BB" w:rsidRPr="00E3756C">
        <w:t xml:space="preserve">need </w:t>
      </w:r>
      <w:r w:rsidRPr="00E3756C">
        <w:t xml:space="preserve">expert consultation and elicitation. </w:t>
      </w:r>
      <w:r w:rsidR="006E03BB" w:rsidRPr="00E3756C">
        <w:t>Chapter C2 (</w:t>
      </w:r>
      <w:hyperlink w:anchor="tableC22" w:history="1">
        <w:r w:rsidR="006E03BB" w:rsidRPr="00E3756C">
          <w:rPr>
            <w:rStyle w:val="Hyperlink"/>
          </w:rPr>
          <w:t>table C2-2</w:t>
        </w:r>
      </w:hyperlink>
      <w:r w:rsidR="006E03BB" w:rsidRPr="00E3756C">
        <w:t>) sets out t</w:t>
      </w:r>
      <w:r w:rsidRPr="00E3756C">
        <w:t xml:space="preserve">he proposed consequence table for the NCCRA. The example criteria in table </w:t>
      </w:r>
      <w:r w:rsidR="006E03BB" w:rsidRPr="00E3756C">
        <w:t xml:space="preserve">C2-2 </w:t>
      </w:r>
      <w:r w:rsidRPr="00E3756C">
        <w:t xml:space="preserve">represent only broad consequence measures that may </w:t>
      </w:r>
      <w:r w:rsidR="006E03BB" w:rsidRPr="00E3756C">
        <w:t xml:space="preserve">need </w:t>
      </w:r>
      <w:r w:rsidRPr="00E3756C">
        <w:t xml:space="preserve">further detailed articulation across the </w:t>
      </w:r>
      <w:r w:rsidR="006E03BB" w:rsidRPr="00E3756C">
        <w:t>various</w:t>
      </w:r>
      <w:r w:rsidRPr="00E3756C">
        <w:t xml:space="preserve"> sectors. This requires an expert group representing different disciplines and domains </w:t>
      </w:r>
      <w:r w:rsidR="006447BB" w:rsidRPr="00E3756C">
        <w:t xml:space="preserve">to </w:t>
      </w:r>
      <w:r w:rsidRPr="00E3756C">
        <w:t>work together to align consequence levels across the domains.</w:t>
      </w:r>
    </w:p>
    <w:p w14:paraId="72766E80" w14:textId="268711BE" w:rsidR="00661162" w:rsidRPr="00E3756C" w:rsidRDefault="00661162" w:rsidP="00661162">
      <w:pPr>
        <w:pStyle w:val="BodyText"/>
      </w:pPr>
      <w:r w:rsidRPr="00E3756C">
        <w:t>The severity of consequences also relates to the importance of a particular asset</w:t>
      </w:r>
      <w:r w:rsidR="00491010" w:rsidRPr="00E3756C">
        <w:t xml:space="preserve">, </w:t>
      </w:r>
      <w:r w:rsidRPr="00E3756C">
        <w:t>taonga</w:t>
      </w:r>
      <w:r w:rsidR="00491010" w:rsidRPr="00E3756C">
        <w:t xml:space="preserve">, </w:t>
      </w:r>
      <w:r w:rsidRPr="00E3756C">
        <w:t>sector</w:t>
      </w:r>
      <w:r w:rsidR="00491010" w:rsidRPr="00E3756C">
        <w:t>,</w:t>
      </w:r>
      <w:r w:rsidRPr="00E3756C">
        <w:t xml:space="preserve"> environment or service provision or function</w:t>
      </w:r>
      <w:r w:rsidR="00FF1AEB" w:rsidRPr="00E3756C">
        <w:t>.</w:t>
      </w:r>
      <w:r w:rsidRPr="00E3756C">
        <w:t xml:space="preserve"> </w:t>
      </w:r>
      <w:r w:rsidR="003F27E3">
        <w:t xml:space="preserve">This </w:t>
      </w:r>
      <w:r w:rsidRPr="00E3756C">
        <w:t xml:space="preserve">will vary based on differing values </w:t>
      </w:r>
      <w:r w:rsidRPr="00E3756C">
        <w:lastRenderedPageBreak/>
        <w:t xml:space="preserve">and worldviews </w:t>
      </w:r>
      <w:r w:rsidR="00FF1AEB" w:rsidRPr="00E3756C">
        <w:t xml:space="preserve">that </w:t>
      </w:r>
      <w:r w:rsidRPr="00E3756C">
        <w:t xml:space="preserve">may be held, Te Tiriti o Waitangi principles, statutory requirements and standards, and the balance of consequences across the four LSF </w:t>
      </w:r>
      <w:r w:rsidR="000A17DE">
        <w:t>wellbeing</w:t>
      </w:r>
      <w:r w:rsidRPr="00E3756C">
        <w:t xml:space="preserve"> capitals (rather than</w:t>
      </w:r>
      <w:r w:rsidR="008F7DC3">
        <w:t> </w:t>
      </w:r>
      <w:r w:rsidRPr="00E3756C">
        <w:t>just monetisation of the consequences</w:t>
      </w:r>
      <w:r w:rsidR="00FF1AEB" w:rsidRPr="00E3756C">
        <w:t>,</w:t>
      </w:r>
      <w:r w:rsidRPr="00E3756C">
        <w:t xml:space="preserve"> such as at-risk building replacement costs).</w:t>
      </w:r>
      <w:r w:rsidR="00484C8A" w:rsidRPr="00E3756C">
        <w:t xml:space="preserve"> </w:t>
      </w:r>
      <w:r w:rsidRPr="00E3756C">
        <w:t xml:space="preserve">For </w:t>
      </w:r>
      <w:r w:rsidR="00E3756C" w:rsidRPr="00E3756C">
        <w:t>example</w:t>
      </w:r>
      <w:r w:rsidRPr="00E3756C">
        <w:t>, in a built environment or economic context, a hospital within a floodplain will be rated as more important (higher consequence</w:t>
      </w:r>
      <w:r w:rsidR="00D17C5D" w:rsidRPr="00E3756C">
        <w:t xml:space="preserve"> and </w:t>
      </w:r>
      <w:r w:rsidRPr="00E3756C">
        <w:t>impact) than a residential house</w:t>
      </w:r>
      <w:r w:rsidR="00D17C5D" w:rsidRPr="00E3756C">
        <w:t>,</w:t>
      </w:r>
      <w:r w:rsidRPr="00E3756C">
        <w:t xml:space="preserve"> due to the potential social, economic and health consequences that would result </w:t>
      </w:r>
      <w:r w:rsidR="00147309" w:rsidRPr="00E3756C">
        <w:t>if it were</w:t>
      </w:r>
      <w:r w:rsidRPr="00E3756C">
        <w:t xml:space="preserve"> adversely affected. In an environmental context, certain taonga species may be deemed of higher cultural consequence (importance) than others. For community-based elements, consequence is likely to be more difficult to assess. </w:t>
      </w:r>
    </w:p>
    <w:p w14:paraId="447A0D53" w14:textId="77777777" w:rsidR="00F727A8" w:rsidRPr="00E3756C" w:rsidRDefault="00661162" w:rsidP="000A3541">
      <w:pPr>
        <w:pStyle w:val="BodyText"/>
        <w:spacing w:after="240"/>
      </w:pPr>
      <w:r w:rsidRPr="00E3756C">
        <w:t xml:space="preserve">A single risk event or episode can generate </w:t>
      </w:r>
      <w:r w:rsidR="00147309" w:rsidRPr="00E3756C">
        <w:t>many</w:t>
      </w:r>
      <w:r w:rsidRPr="00E3756C">
        <w:t xml:space="preserve"> consequences </w:t>
      </w:r>
      <w:r w:rsidR="00147309" w:rsidRPr="00E3756C">
        <w:t xml:space="preserve">that </w:t>
      </w:r>
      <w:r w:rsidRPr="00E3756C">
        <w:t>can have both positive and negative effects across the four LSF capitals and impact multiple value domains and sectors. Initial consequences can escalate through cascading and cumulative effects, but ongoing stressors can also lead to cumulative effects.</w:t>
      </w:r>
      <w:r w:rsidR="00484C8A" w:rsidRPr="00E3756C">
        <w:t xml:space="preserve"> </w:t>
      </w:r>
      <w:r w:rsidRPr="00E3756C">
        <w:t xml:space="preserve">Examples are described in </w:t>
      </w:r>
      <w:r w:rsidR="00A95B1F" w:rsidRPr="00E3756C">
        <w:t>b</w:t>
      </w:r>
      <w:r w:rsidRPr="00E3756C">
        <w:t>ox B3-3.</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E18B5" w:rsidRPr="00E3756C" w14:paraId="6C9686BA" w14:textId="77777777" w:rsidTr="003735CF">
        <w:tc>
          <w:tcPr>
            <w:tcW w:w="0" w:type="auto"/>
            <w:shd w:val="clear" w:color="auto" w:fill="D2DDE2"/>
          </w:tcPr>
          <w:p w14:paraId="195E077D" w14:textId="77777777" w:rsidR="00DE18B5" w:rsidRPr="00E3756C" w:rsidRDefault="00F04C15" w:rsidP="00F04C15">
            <w:pPr>
              <w:pStyle w:val="Blueboxheading"/>
              <w:ind w:left="1248" w:hanging="964"/>
            </w:pPr>
            <w:r w:rsidRPr="00E3756C">
              <w:t>Box B3-3:</w:t>
            </w:r>
            <w:r w:rsidRPr="00E3756C">
              <w:tab/>
            </w:r>
            <w:r w:rsidR="00DE18B5" w:rsidRPr="00E3756C">
              <w:t>Examples of cascading and cross-cutting risks</w:t>
            </w:r>
            <w:r w:rsidR="00A95B1F" w:rsidRPr="00E3756C">
              <w:t xml:space="preserve"> and </w:t>
            </w:r>
            <w:r w:rsidR="00DE18B5" w:rsidRPr="00E3756C">
              <w:t>consequences</w:t>
            </w:r>
          </w:p>
          <w:p w14:paraId="47521430" w14:textId="77777777" w:rsidR="00DE18B5" w:rsidRPr="00E3756C" w:rsidRDefault="00DE18B5" w:rsidP="00DE18B5">
            <w:pPr>
              <w:pStyle w:val="Blueboxtext"/>
            </w:pPr>
            <w:r w:rsidRPr="00E3756C">
              <w:t xml:space="preserve">Cascading effects, also known as knock-on effects, tend to be associated with events where a primary threat is followed by a dynamic sequence of secondary hazards. For example, earthquakes or floods can not only heavily damage roads </w:t>
            </w:r>
            <w:r w:rsidR="00A95B1F" w:rsidRPr="00E3756C">
              <w:t>and</w:t>
            </w:r>
            <w:r w:rsidRPr="00E3756C">
              <w:t xml:space="preserve"> compromise other critical infrastructure or services</w:t>
            </w:r>
            <w:r w:rsidR="00A95B1F" w:rsidRPr="00E3756C">
              <w:t>,</w:t>
            </w:r>
            <w:r w:rsidRPr="00E3756C">
              <w:t xml:space="preserve"> such as electricity grids, potable water supply</w:t>
            </w:r>
            <w:r w:rsidR="00A95B1F" w:rsidRPr="00E3756C">
              <w:t>,</w:t>
            </w:r>
            <w:r w:rsidRPr="00E3756C">
              <w:t xml:space="preserve"> </w:t>
            </w:r>
            <w:r w:rsidR="005670F8" w:rsidRPr="00E3756C">
              <w:t xml:space="preserve">but </w:t>
            </w:r>
            <w:r w:rsidRPr="00E3756C">
              <w:t>also disrupt tourism operations</w:t>
            </w:r>
            <w:r w:rsidR="00A95B1F" w:rsidRPr="00E3756C">
              <w:t xml:space="preserve"> and</w:t>
            </w:r>
            <w:r w:rsidRPr="00E3756C">
              <w:t xml:space="preserve"> supply-chain logistics. The cascading effect of heatwaves or drought could also trigger wildfires, which could be </w:t>
            </w:r>
            <w:r w:rsidR="005670F8" w:rsidRPr="00E3756C">
              <w:t>exacerbated</w:t>
            </w:r>
            <w:r w:rsidR="003735CF">
              <w:t xml:space="preserve"> </w:t>
            </w:r>
            <w:r w:rsidRPr="00E3756C">
              <w:t>by a lack of water supply and inaccessible roads, causing trickle-down impacts and consequences on other value domains</w:t>
            </w:r>
            <w:r w:rsidR="008F3DDA" w:rsidRPr="00E3756C">
              <w:t>,</w:t>
            </w:r>
            <w:r w:rsidRPr="00E3756C">
              <w:t xml:space="preserve"> unless planned for.</w:t>
            </w:r>
          </w:p>
          <w:p w14:paraId="32DD3DBF" w14:textId="77777777" w:rsidR="00DE18B5" w:rsidRPr="00E3756C" w:rsidRDefault="00DE18B5" w:rsidP="00E3756C">
            <w:pPr>
              <w:pStyle w:val="Blueboxtext"/>
              <w:spacing w:after="240"/>
            </w:pPr>
            <w:r w:rsidRPr="00E3756C">
              <w:t>Sim</w:t>
            </w:r>
            <w:r w:rsidR="00E3756C">
              <w:t>i</w:t>
            </w:r>
            <w:r w:rsidRPr="00E3756C">
              <w:t xml:space="preserve">larly, an ongoing rise in groundwater levels </w:t>
            </w:r>
            <w:r w:rsidR="00742211" w:rsidRPr="00E3756C">
              <w:t>as a result of</w:t>
            </w:r>
            <w:r w:rsidRPr="00E3756C">
              <w:t xml:space="preserve"> sea-level rise will lead to dampness</w:t>
            </w:r>
            <w:r w:rsidR="00742211" w:rsidRPr="00E3756C">
              <w:t xml:space="preserve"> and </w:t>
            </w:r>
            <w:r w:rsidRPr="00E3756C">
              <w:t>mould issues in housing, foundation</w:t>
            </w:r>
            <w:r w:rsidR="00742211" w:rsidRPr="00E3756C">
              <w:t xml:space="preserve"> and </w:t>
            </w:r>
            <w:r w:rsidRPr="00E3756C">
              <w:t>road instabilities and increase liquefaction potential, thereby affecting multiple domains and sectors in a cascading and cumulative manner.</w:t>
            </w:r>
          </w:p>
        </w:tc>
      </w:tr>
    </w:tbl>
    <w:p w14:paraId="65BB6C34" w14:textId="77777777" w:rsidR="00F81AA5" w:rsidRPr="00E3756C" w:rsidRDefault="00F81AA5" w:rsidP="00036FC7">
      <w:pPr>
        <w:pStyle w:val="Heading4"/>
        <w:spacing w:before="360"/>
      </w:pPr>
      <w:bookmarkStart w:id="166" w:name="_Toc13570385"/>
      <w:r w:rsidRPr="00E3756C">
        <w:t>Evaluating cross-cutting risks and issues</w:t>
      </w:r>
      <w:bookmarkEnd w:id="166"/>
    </w:p>
    <w:p w14:paraId="6232F09D" w14:textId="77777777" w:rsidR="00F81AA5" w:rsidRPr="00E3756C" w:rsidRDefault="00F81AA5" w:rsidP="000A3541">
      <w:pPr>
        <w:pStyle w:val="BodyText"/>
      </w:pPr>
      <w:r w:rsidRPr="00E3756C">
        <w:t>In undertaking the risk assessment, cross-cutting risks and issues will arise from two main directions:</w:t>
      </w:r>
    </w:p>
    <w:p w14:paraId="57459C30" w14:textId="77777777" w:rsidR="00F81AA5" w:rsidRPr="00E3756C" w:rsidRDefault="00742211" w:rsidP="00382C3A">
      <w:pPr>
        <w:pStyle w:val="Numberedparagraph"/>
        <w:numPr>
          <w:ilvl w:val="0"/>
          <w:numId w:val="19"/>
        </w:numPr>
      </w:pPr>
      <w:r w:rsidRPr="00E3756C">
        <w:t>t</w:t>
      </w:r>
      <w:r w:rsidR="00F81AA5" w:rsidRPr="00E3756C">
        <w:t>hose being revealed during assessment of discrete domains and sub-domains</w:t>
      </w:r>
    </w:p>
    <w:p w14:paraId="2485BF85" w14:textId="4FDF4E94" w:rsidR="00F81AA5" w:rsidRPr="00E3756C" w:rsidRDefault="00742211" w:rsidP="000A3541">
      <w:pPr>
        <w:pStyle w:val="Numberedparagraph"/>
      </w:pPr>
      <w:r w:rsidRPr="00E3756C">
        <w:t>o</w:t>
      </w:r>
      <w:r w:rsidR="00F81AA5" w:rsidRPr="00E3756C">
        <w:t xml:space="preserve">thers at the domain or sub-domain level </w:t>
      </w:r>
      <w:r w:rsidR="008F3DDA" w:rsidRPr="00E3756C">
        <w:t xml:space="preserve">that </w:t>
      </w:r>
      <w:r w:rsidR="00F81AA5" w:rsidRPr="00E3756C">
        <w:t>are considered relatively low risk but have the potential</w:t>
      </w:r>
      <w:r w:rsidR="00A0058B">
        <w:t>,</w:t>
      </w:r>
      <w:r w:rsidR="00F81AA5" w:rsidRPr="00E3756C">
        <w:t xml:space="preserve"> cumulatively across </w:t>
      </w:r>
      <w:r w:rsidR="008F3DDA" w:rsidRPr="00E3756C">
        <w:t>several</w:t>
      </w:r>
      <w:r w:rsidR="00F81AA5" w:rsidRPr="00E3756C">
        <w:t xml:space="preserve"> domains</w:t>
      </w:r>
      <w:r w:rsidR="00A0058B">
        <w:t>,</w:t>
      </w:r>
      <w:r w:rsidR="00F81AA5" w:rsidRPr="00E3756C">
        <w:t xml:space="preserve"> to present significant risk across multiple sub-national zones.</w:t>
      </w:r>
    </w:p>
    <w:p w14:paraId="3A11223D" w14:textId="77777777" w:rsidR="00F81AA5" w:rsidRPr="00E3756C" w:rsidRDefault="00F81AA5" w:rsidP="008F3DDA">
      <w:pPr>
        <w:pStyle w:val="BodyText"/>
      </w:pPr>
      <w:r w:rsidRPr="00E3756C">
        <w:t>For those in the first category</w:t>
      </w:r>
      <w:r w:rsidR="008F3DDA" w:rsidRPr="00E3756C">
        <w:t>,</w:t>
      </w:r>
      <w:r w:rsidRPr="00E3756C">
        <w:t xml:space="preserve"> it is likely judgement calls can be made in terms of materiality and potential consequence. Where minor</w:t>
      </w:r>
      <w:r w:rsidR="008F3DDA" w:rsidRPr="00E3756C">
        <w:t>,</w:t>
      </w:r>
      <w:r w:rsidRPr="00E3756C">
        <w:t xml:space="preserve"> the</w:t>
      </w:r>
      <w:r w:rsidR="005372CC" w:rsidRPr="00E3756C">
        <w:t>y</w:t>
      </w:r>
      <w:r w:rsidRPr="00E3756C">
        <w:t xml:space="preserve"> can likely be ignored</w:t>
      </w:r>
      <w:r w:rsidR="005372CC" w:rsidRPr="00E3756C">
        <w:t>,</w:t>
      </w:r>
      <w:r w:rsidRPr="00E3756C">
        <w:t xml:space="preserve"> </w:t>
      </w:r>
      <w:r w:rsidR="005372CC" w:rsidRPr="00E3756C">
        <w:t xml:space="preserve">but </w:t>
      </w:r>
      <w:r w:rsidRPr="00E3756C">
        <w:t>if otherwise, the</w:t>
      </w:r>
      <w:r w:rsidR="005372CC" w:rsidRPr="00E3756C">
        <w:t>y</w:t>
      </w:r>
      <w:r w:rsidRPr="00E3756C">
        <w:t xml:space="preserve"> need to be reported along with other risks. These may need further assessment alongside assessment in other domains.</w:t>
      </w:r>
    </w:p>
    <w:p w14:paraId="3E5B5E98" w14:textId="77777777" w:rsidR="00F81AA5" w:rsidRPr="00E3756C" w:rsidRDefault="00F81AA5" w:rsidP="000A3541">
      <w:pPr>
        <w:pStyle w:val="BodyText"/>
      </w:pPr>
      <w:r w:rsidRPr="00E3756C">
        <w:t xml:space="preserve">Those in the second category will be more difficult to identify. During the engagement process, specific attention should be </w:t>
      </w:r>
      <w:r w:rsidR="00EE3584" w:rsidRPr="00E3756C">
        <w:t xml:space="preserve">paid </w:t>
      </w:r>
      <w:r w:rsidRPr="00E3756C">
        <w:t xml:space="preserve">to identifying potential </w:t>
      </w:r>
      <w:r w:rsidR="002C0C99" w:rsidRPr="00E3756C">
        <w:t>cross-</w:t>
      </w:r>
      <w:r w:rsidR="00EE3584" w:rsidRPr="00E3756C">
        <w:t xml:space="preserve">cutting </w:t>
      </w:r>
      <w:r w:rsidRPr="00E3756C">
        <w:t xml:space="preserve">risks </w:t>
      </w:r>
      <w:r w:rsidR="00EE3584" w:rsidRPr="00E3756C">
        <w:t>that may be</w:t>
      </w:r>
      <w:r w:rsidRPr="00E3756C">
        <w:t xml:space="preserve"> relatively minor under individual domains or sub-domains </w:t>
      </w:r>
      <w:r w:rsidR="00EE3584" w:rsidRPr="00E3756C">
        <w:t xml:space="preserve">but that cumulatively </w:t>
      </w:r>
      <w:r w:rsidRPr="00E3756C">
        <w:t>may pose significant risks. Again</w:t>
      </w:r>
      <w:r w:rsidR="00EE3584" w:rsidRPr="00E3756C">
        <w:t>,</w:t>
      </w:r>
      <w:r w:rsidRPr="00E3756C">
        <w:t xml:space="preserve"> these need to be reported on</w:t>
      </w:r>
      <w:r w:rsidR="00EE3584" w:rsidRPr="00E3756C">
        <w:t>,</w:t>
      </w:r>
      <w:r w:rsidRPr="00E3756C">
        <w:t xml:space="preserve"> particularly to enable active ongoing monitoring and evaluation.</w:t>
      </w:r>
    </w:p>
    <w:p w14:paraId="5248BE4A" w14:textId="77777777" w:rsidR="00F81AA5" w:rsidRPr="00E3756C" w:rsidRDefault="00F81AA5" w:rsidP="000A3541">
      <w:pPr>
        <w:pStyle w:val="BodyText"/>
      </w:pPr>
      <w:r w:rsidRPr="00E3756C">
        <w:lastRenderedPageBreak/>
        <w:t>Cross-cutting risks and issues of material significance are to be separately reported on</w:t>
      </w:r>
      <w:r w:rsidR="000F67EF" w:rsidRPr="00E3756C">
        <w:t>,</w:t>
      </w:r>
      <w:r w:rsidRPr="00E3756C">
        <w:t xml:space="preserve"> to enable consideration relative to all domains. An example of where cross-cutting issues are</w:t>
      </w:r>
      <w:r w:rsidR="006977AC" w:rsidRPr="00E3756C">
        <w:t> </w:t>
      </w:r>
      <w:r w:rsidRPr="00E3756C">
        <w:t xml:space="preserve">separately reported is the </w:t>
      </w:r>
      <w:r w:rsidR="006977AC" w:rsidRPr="00C80FBC">
        <w:rPr>
          <w:i/>
        </w:rPr>
        <w:t xml:space="preserve">Thirty Year </w:t>
      </w:r>
      <w:r w:rsidR="002C0C99" w:rsidRPr="00C80FBC">
        <w:rPr>
          <w:i/>
        </w:rPr>
        <w:t>New Zealand</w:t>
      </w:r>
      <w:r w:rsidR="002C0C99" w:rsidRPr="00406B29">
        <w:rPr>
          <w:i/>
        </w:rPr>
        <w:t xml:space="preserve"> </w:t>
      </w:r>
      <w:r w:rsidRPr="00406B29">
        <w:rPr>
          <w:i/>
        </w:rPr>
        <w:t>Infrastructure Plan 2015</w:t>
      </w:r>
      <w:r w:rsidR="000F67EF" w:rsidRPr="00E3756C">
        <w:t xml:space="preserve"> (</w:t>
      </w:r>
      <w:r w:rsidR="000F67EF" w:rsidRPr="00E3756C">
        <w:rPr>
          <w:rFonts w:cs="Calibri"/>
        </w:rPr>
        <w:t>The Treasury,</w:t>
      </w:r>
      <w:r w:rsidR="006977AC" w:rsidRPr="00E3756C">
        <w:rPr>
          <w:rFonts w:cs="Calibri"/>
        </w:rPr>
        <w:t> </w:t>
      </w:r>
      <w:r w:rsidR="000F67EF" w:rsidRPr="00E3756C">
        <w:rPr>
          <w:rFonts w:cs="Calibri"/>
        </w:rPr>
        <w:t>2015)</w:t>
      </w:r>
      <w:r w:rsidRPr="00E3756C">
        <w:t>.</w:t>
      </w:r>
    </w:p>
    <w:p w14:paraId="4BB90B40" w14:textId="366376C5" w:rsidR="00F81AA5" w:rsidRPr="00E3756C" w:rsidRDefault="00F81AA5" w:rsidP="000A3541">
      <w:pPr>
        <w:pStyle w:val="Heading3"/>
      </w:pPr>
      <w:r w:rsidRPr="00E3756C">
        <w:t xml:space="preserve">Guidance on </w:t>
      </w:r>
      <w:r w:rsidR="00A0058B">
        <w:t>S</w:t>
      </w:r>
      <w:r w:rsidR="000A17DE">
        <w:t>tep</w:t>
      </w:r>
      <w:r w:rsidRPr="00E3756C">
        <w:t xml:space="preserve"> 5</w:t>
      </w:r>
      <w:r w:rsidR="006977AC" w:rsidRPr="00E3756C">
        <w:t>:</w:t>
      </w:r>
      <w:r w:rsidRPr="00E3756C">
        <w:t xml:space="preserve"> Risk scoring</w:t>
      </w:r>
    </w:p>
    <w:p w14:paraId="14F18572" w14:textId="77777777" w:rsidR="00F81AA5" w:rsidRPr="00E3756C" w:rsidRDefault="00F81AA5" w:rsidP="000A3541">
      <w:pPr>
        <w:pStyle w:val="BodyText"/>
      </w:pPr>
      <w:r w:rsidRPr="00E3756C">
        <w:t xml:space="preserve">A </w:t>
      </w:r>
      <w:r w:rsidRPr="00E3756C">
        <w:rPr>
          <w:b/>
        </w:rPr>
        <w:t>risk score</w:t>
      </w:r>
      <w:r w:rsidRPr="00E3756C">
        <w:t xml:space="preserve"> is conventionally derived by combining the probability (or likelihood) of an adverse event with the magnitude of the expected consequences. To address the evolving impacts of climate change, risk is better defined as the interplay between hazards, exposure and vulnerability, as discussed in </w:t>
      </w:r>
      <w:hyperlink w:anchor="_Chapter_A2:_Framework" w:history="1">
        <w:r w:rsidR="0011479A" w:rsidRPr="00E3756C">
          <w:rPr>
            <w:rStyle w:val="Hyperlink"/>
          </w:rPr>
          <w:t>c</w:t>
        </w:r>
        <w:r w:rsidRPr="00E3756C">
          <w:rPr>
            <w:rStyle w:val="Hyperlink"/>
          </w:rPr>
          <w:t>hapter A2</w:t>
        </w:r>
      </w:hyperlink>
      <w:r w:rsidRPr="00E3756C">
        <w:t>.</w:t>
      </w:r>
      <w:r w:rsidRPr="00E3756C">
        <w:rPr>
          <w:color w:val="2E75B5"/>
        </w:rPr>
        <w:t xml:space="preserve"> </w:t>
      </w:r>
      <w:r w:rsidRPr="00E3756C">
        <w:t xml:space="preserve">Risk assessments that consider risks from ongoing climate change must </w:t>
      </w:r>
      <w:r w:rsidR="0029229E" w:rsidRPr="00E3756C">
        <w:t>consider</w:t>
      </w:r>
      <w:r w:rsidRPr="00E3756C">
        <w:t xml:space="preserve"> the changing characteristics</w:t>
      </w:r>
      <w:r w:rsidR="0029229E" w:rsidRPr="00E3756C">
        <w:t xml:space="preserve"> and </w:t>
      </w:r>
      <w:r w:rsidRPr="00E3756C">
        <w:t xml:space="preserve">intensity of the considered hazard and the set of receptors exposed to it. </w:t>
      </w:r>
    </w:p>
    <w:p w14:paraId="10992F2C" w14:textId="77777777" w:rsidR="00F81AA5" w:rsidRPr="00E3756C" w:rsidRDefault="00F81AA5" w:rsidP="000A3541">
      <w:pPr>
        <w:pStyle w:val="BodyText"/>
      </w:pPr>
      <w:r w:rsidRPr="00E3756C">
        <w:t xml:space="preserve">The probability aspect of a climate-related hazard impacting </w:t>
      </w:r>
      <w:r w:rsidR="00C5180B" w:rsidRPr="00E3756C">
        <w:t xml:space="preserve">on </w:t>
      </w:r>
      <w:r w:rsidRPr="00E3756C">
        <w:t>receptors is better reframed for</w:t>
      </w:r>
      <w:r w:rsidR="008F7DC3">
        <w:t> </w:t>
      </w:r>
      <w:r w:rsidRPr="00E3756C">
        <w:t>climate</w:t>
      </w:r>
      <w:r w:rsidR="00C5180B" w:rsidRPr="00E3756C">
        <w:t xml:space="preserve"> </w:t>
      </w:r>
      <w:r w:rsidRPr="00E3756C">
        <w:t>change risk by assessing consequences at different junctures (present and two future timeframes</w:t>
      </w:r>
      <w:r w:rsidR="00CE06E8" w:rsidRPr="00E3756C">
        <w:t>,</w:t>
      </w:r>
      <w:r w:rsidRPr="00E3756C">
        <w:t xml:space="preserve"> plus by 2150 for coastal</w:t>
      </w:r>
      <w:r w:rsidR="00C5180B" w:rsidRPr="00E3756C">
        <w:t xml:space="preserve"> </w:t>
      </w:r>
      <w:r w:rsidRPr="00E3756C">
        <w:t>flooding risk) and across different climate projections (two</w:t>
      </w:r>
      <w:r w:rsidR="008F7DC3">
        <w:t> </w:t>
      </w:r>
      <w:r w:rsidRPr="00E3756C">
        <w:t xml:space="preserve">for this framework). </w:t>
      </w:r>
      <w:r w:rsidR="001C5110">
        <w:t>The assessment should consider</w:t>
      </w:r>
      <w:r w:rsidRPr="00E3756C">
        <w:t>:</w:t>
      </w:r>
      <w:r w:rsidR="00484C8A" w:rsidRPr="00E3756C">
        <w:t xml:space="preserve"> </w:t>
      </w:r>
    </w:p>
    <w:p w14:paraId="5FB36CC5" w14:textId="6B033E78" w:rsidR="00711A0A" w:rsidRPr="00E3756C" w:rsidRDefault="00711A0A" w:rsidP="00382C3A">
      <w:pPr>
        <w:pStyle w:val="Numberedparagraph"/>
        <w:numPr>
          <w:ilvl w:val="0"/>
          <w:numId w:val="20"/>
        </w:numPr>
      </w:pPr>
      <w:r w:rsidRPr="00E3756C">
        <w:t>adaptation thresholds for consequences (eg</w:t>
      </w:r>
      <w:r w:rsidR="00CE06E8" w:rsidRPr="00E3756C">
        <w:t>,</w:t>
      </w:r>
      <w:r w:rsidRPr="00E3756C">
        <w:t xml:space="preserve"> number of floods in a decade, increment of sea-level rise, a seasonal temperature threshold) when objectives for safety, </w:t>
      </w:r>
      <w:r w:rsidR="000A17DE">
        <w:t>wellbeing</w:t>
      </w:r>
      <w:r w:rsidRPr="00E3756C">
        <w:t xml:space="preserve">, economic returns or system performance can no longer be met, and the </w:t>
      </w:r>
      <w:r w:rsidR="00C80FBC">
        <w:t xml:space="preserve">timeframes </w:t>
      </w:r>
      <w:r w:rsidR="00CE06E8" w:rsidRPr="00E3756C">
        <w:t xml:space="preserve">for </w:t>
      </w:r>
      <w:r w:rsidRPr="00E3756C">
        <w:t xml:space="preserve">when these thresholds will eventuate for different projections </w:t>
      </w:r>
    </w:p>
    <w:p w14:paraId="0160ADD8" w14:textId="2312F4F1" w:rsidR="00711A0A" w:rsidRPr="00E3756C" w:rsidRDefault="00711A0A" w:rsidP="00711A0A">
      <w:pPr>
        <w:pStyle w:val="Numberedparagraph"/>
      </w:pPr>
      <w:r w:rsidRPr="00E3756C">
        <w:t>high consequence (life safety) hazards (eg</w:t>
      </w:r>
      <w:r w:rsidR="00DD5E3F" w:rsidRPr="00E3756C">
        <w:t>,</w:t>
      </w:r>
      <w:r w:rsidRPr="00E3756C">
        <w:t xml:space="preserve"> landslides and debris flows) generated by high intensity events (ie</w:t>
      </w:r>
      <w:r w:rsidR="00DD5E3F" w:rsidRPr="00E3756C">
        <w:t>,</w:t>
      </w:r>
      <w:r w:rsidRPr="00E3756C">
        <w:t xml:space="preserve"> rainfall), the frequency of which will increase over time</w:t>
      </w:r>
      <w:r w:rsidR="001C5110">
        <w:t xml:space="preserve">. </w:t>
      </w:r>
      <w:r w:rsidR="00175998">
        <w:t>These require p</w:t>
      </w:r>
      <w:r w:rsidR="001C5110" w:rsidRPr="00E3756C">
        <w:t>roactive risk reduction interventions</w:t>
      </w:r>
      <w:r w:rsidR="001C5110" w:rsidRPr="00E3756C" w:rsidDel="00CE06E8">
        <w:t xml:space="preserve"> </w:t>
      </w:r>
      <w:r w:rsidRPr="00E3756C">
        <w:t>in the short</w:t>
      </w:r>
      <w:r w:rsidR="00A0058B">
        <w:t xml:space="preserve"> </w:t>
      </w:r>
      <w:r w:rsidRPr="00E3756C">
        <w:t>term rather than continuing to respond to consequences post-event</w:t>
      </w:r>
      <w:r w:rsidR="00AA0E30" w:rsidRPr="00E3756C">
        <w:t>.</w:t>
      </w:r>
      <w:r w:rsidRPr="00E3756C">
        <w:t xml:space="preserve"> </w:t>
      </w:r>
    </w:p>
    <w:p w14:paraId="74F9D6A3" w14:textId="77777777" w:rsidR="00711A0A" w:rsidRPr="00E3756C" w:rsidRDefault="001B5461" w:rsidP="00711A0A">
      <w:pPr>
        <w:pStyle w:val="BodyText"/>
        <w:rPr>
          <w:color w:val="000000"/>
        </w:rPr>
      </w:pPr>
      <w:r w:rsidRPr="00E3756C">
        <w:t>R</w:t>
      </w:r>
      <w:r w:rsidR="00711A0A" w:rsidRPr="00E3756C">
        <w:t>isk should also</w:t>
      </w:r>
      <w:r w:rsidRPr="00E3756C">
        <w:t>, ideally,</w:t>
      </w:r>
      <w:r w:rsidR="00711A0A" w:rsidRPr="00E3756C">
        <w:t xml:space="preserve"> consider evolving social-economic scenarios for different futures (eg,</w:t>
      </w:r>
      <w:r w:rsidR="003735CF">
        <w:t> </w:t>
      </w:r>
      <w:r w:rsidR="00711A0A" w:rsidRPr="00E3756C">
        <w:t>how primary production, land</w:t>
      </w:r>
      <w:r w:rsidRPr="00E3756C">
        <w:t xml:space="preserve"> </w:t>
      </w:r>
      <w:r w:rsidR="00711A0A" w:rsidRPr="00E3756C">
        <w:t>use, business and societies might operate under different degrees of climate</w:t>
      </w:r>
      <w:r w:rsidRPr="00E3756C">
        <w:t xml:space="preserve"> </w:t>
      </w:r>
      <w:r w:rsidR="00711A0A" w:rsidRPr="00E3756C">
        <w:t xml:space="preserve">change and commitments to greenhouse gas emissions). </w:t>
      </w:r>
      <w:r w:rsidR="00D77D4D" w:rsidRPr="00E3756C">
        <w:t>F</w:t>
      </w:r>
      <w:r w:rsidR="00711A0A" w:rsidRPr="00E3756C">
        <w:t>or the first NCCRA, in absence of a well-developed suite of national scenarios (other than the broad New</w:t>
      </w:r>
      <w:r w:rsidR="003735CF">
        <w:t> </w:t>
      </w:r>
      <w:r w:rsidR="00711A0A" w:rsidRPr="00E3756C">
        <w:t>Zealand shared socio-economic pathways – CCII report</w:t>
      </w:r>
      <w:r w:rsidRPr="00E3756C">
        <w:t xml:space="preserve"> (Tait et al, 2016</w:t>
      </w:r>
      <w:r w:rsidR="004A252B" w:rsidRPr="00E3756C">
        <w:t>)</w:t>
      </w:r>
      <w:r w:rsidR="00711A0A" w:rsidRPr="00E3756C">
        <w:t>), assessments will need to be limited to narratives developed through elicitation processes or adopting domain or sector scenarios that have already been applied and assessed. The vulnerability of</w:t>
      </w:r>
      <w:r w:rsidR="003735CF">
        <w:t> </w:t>
      </w:r>
      <w:r w:rsidR="00711A0A" w:rsidRPr="00E3756C">
        <w:t>the receptors exposed to the climate hazard then determines the consequences</w:t>
      </w:r>
      <w:r w:rsidR="00D77D4D" w:rsidRPr="00E3756C">
        <w:t xml:space="preserve"> and </w:t>
      </w:r>
      <w:r w:rsidR="00711A0A" w:rsidRPr="00E3756C">
        <w:t>impact</w:t>
      </w:r>
      <w:r w:rsidR="003735CF">
        <w:t> </w:t>
      </w:r>
      <w:r w:rsidR="00711A0A" w:rsidRPr="00E3756C">
        <w:t xml:space="preserve">severity. </w:t>
      </w:r>
    </w:p>
    <w:p w14:paraId="2FAC1AA3" w14:textId="77777777" w:rsidR="00711A0A" w:rsidRPr="00E3756C" w:rsidRDefault="00711A0A" w:rsidP="00711A0A">
      <w:pPr>
        <w:pStyle w:val="BodyText"/>
      </w:pPr>
      <w:r w:rsidRPr="00E3756C">
        <w:rPr>
          <w:b/>
        </w:rPr>
        <w:t>Assemble a workbook by value domain or sector.</w:t>
      </w:r>
      <w:r w:rsidR="00484C8A" w:rsidRPr="00E3756C">
        <w:t xml:space="preserve"> </w:t>
      </w:r>
      <w:r w:rsidR="00D77D4D" w:rsidRPr="00E3756C">
        <w:t>T</w:t>
      </w:r>
      <w:r w:rsidRPr="00E3756C">
        <w:t>o complete the risk assessment to this point, a workbook</w:t>
      </w:r>
      <w:r w:rsidR="00D77D4D" w:rsidRPr="00E3756C">
        <w:t>,</w:t>
      </w:r>
      <w:r w:rsidRPr="00E3756C">
        <w:t xml:space="preserve"> such as in </w:t>
      </w:r>
      <w:hyperlink w:anchor="tableB33" w:history="1">
        <w:r w:rsidR="00D253CC" w:rsidRPr="00E3756C">
          <w:rPr>
            <w:rStyle w:val="Hyperlink"/>
          </w:rPr>
          <w:t>table B3-3</w:t>
        </w:r>
      </w:hyperlink>
      <w:r w:rsidR="00D77D4D" w:rsidRPr="00E3756C">
        <w:t>,</w:t>
      </w:r>
      <w:r w:rsidRPr="00E3756C">
        <w:t xml:space="preserve"> could be used to assemble and present the components of the risk scoring, as well as the final risk score. Other approaches may be chosen</w:t>
      </w:r>
      <w:r w:rsidR="005B6830" w:rsidRPr="00E3756C">
        <w:t>,</w:t>
      </w:r>
      <w:r w:rsidRPr="00E3756C">
        <w:t xml:space="preserve"> but transparen</w:t>
      </w:r>
      <w:r w:rsidR="000C569D" w:rsidRPr="00E3756C">
        <w:t>t</w:t>
      </w:r>
      <w:r w:rsidRPr="00E3756C">
        <w:t xml:space="preserve"> decision-making </w:t>
      </w:r>
      <w:r w:rsidR="00A32720" w:rsidRPr="00E3756C">
        <w:t xml:space="preserve">must be maintained </w:t>
      </w:r>
      <w:r w:rsidRPr="00E3756C">
        <w:t>in assembling the components and to enable easy transition to the next stage of reporting (</w:t>
      </w:r>
      <w:hyperlink w:anchor="_Chapter_B4:_Assessment" w:history="1">
        <w:r w:rsidR="000C569D" w:rsidRPr="00E3756C">
          <w:rPr>
            <w:rStyle w:val="Hyperlink"/>
          </w:rPr>
          <w:t>c</w:t>
        </w:r>
        <w:r w:rsidRPr="00E3756C">
          <w:rPr>
            <w:rStyle w:val="Hyperlink"/>
          </w:rPr>
          <w:t>hapter B4</w:t>
        </w:r>
      </w:hyperlink>
      <w:r w:rsidRPr="00E3756C">
        <w:t>), which is important for informing the development of the National Adaptation Plan.</w:t>
      </w:r>
    </w:p>
    <w:p w14:paraId="7886A21F" w14:textId="77777777" w:rsidR="00711A0A" w:rsidRPr="00E3756C" w:rsidRDefault="00711A0A" w:rsidP="001238C4">
      <w:pPr>
        <w:pStyle w:val="Bullet"/>
      </w:pPr>
      <w:r w:rsidRPr="00E3756C">
        <w:t>A workbook should be developed for each value domain or sector, where key climate-related hazard</w:t>
      </w:r>
      <w:r w:rsidR="00A32720" w:rsidRPr="00E3756C">
        <w:t>s</w:t>
      </w:r>
      <w:r w:rsidRPr="00E3756C">
        <w:t xml:space="preserve"> and their exposure and sensitivity will be defined first. </w:t>
      </w:r>
    </w:p>
    <w:p w14:paraId="60068754" w14:textId="77777777" w:rsidR="00711A0A" w:rsidRPr="00E3756C" w:rsidRDefault="00711A0A" w:rsidP="001238C4">
      <w:pPr>
        <w:pStyle w:val="Bullet"/>
      </w:pPr>
      <w:r w:rsidRPr="00E3756C">
        <w:t>Climate risk and opportunity will be identified based on the elicitation</w:t>
      </w:r>
      <w:r w:rsidR="00A32720" w:rsidRPr="00E3756C">
        <w:t xml:space="preserve"> and </w:t>
      </w:r>
      <w:r w:rsidRPr="00E3756C">
        <w:t>workshop process. Opportunities that will result from climate changes could be captured separately</w:t>
      </w:r>
      <w:r w:rsidR="008F7DC3">
        <w:t> </w:t>
      </w:r>
      <w:r w:rsidRPr="00E3756C">
        <w:t>and transferred to Stage 3</w:t>
      </w:r>
      <w:r w:rsidR="00A32720" w:rsidRPr="00E3756C">
        <w:t>,</w:t>
      </w:r>
      <w:r w:rsidRPr="00E3756C">
        <w:t xml:space="preserve"> so they can be documented clearly within the final</w:t>
      </w:r>
      <w:r w:rsidR="008F7DC3">
        <w:t> </w:t>
      </w:r>
      <w:r w:rsidRPr="00E3756C">
        <w:t>NCCRA</w:t>
      </w:r>
      <w:r w:rsidR="00484C8A" w:rsidRPr="00E3756C">
        <w:t xml:space="preserve"> </w:t>
      </w:r>
      <w:r w:rsidRPr="00E3756C">
        <w:t>report.</w:t>
      </w:r>
    </w:p>
    <w:p w14:paraId="75829C52" w14:textId="1AA50DF1" w:rsidR="00711A0A" w:rsidRPr="00E3756C" w:rsidRDefault="00711A0A" w:rsidP="001238C4">
      <w:pPr>
        <w:pStyle w:val="Bullet"/>
      </w:pPr>
      <w:r w:rsidRPr="00E3756C">
        <w:lastRenderedPageBreak/>
        <w:t>Based on the hazard, exposure, vulnerability and consequences guidance (section B3.1</w:t>
      </w:r>
      <w:r w:rsidR="00A32720" w:rsidRPr="00E3756C">
        <w:t xml:space="preserve"> to </w:t>
      </w:r>
      <w:r w:rsidRPr="00E3756C">
        <w:t>B3.</w:t>
      </w:r>
      <w:r w:rsidR="00CC4800" w:rsidRPr="00E3756C">
        <w:t>3</w:t>
      </w:r>
      <w:r w:rsidRPr="00E3756C">
        <w:t>)</w:t>
      </w:r>
      <w:r w:rsidR="00D253CC" w:rsidRPr="00E3756C">
        <w:t>,</w:t>
      </w:r>
      <w:r w:rsidRPr="00E3756C">
        <w:t xml:space="preserve"> scoring should be completed</w:t>
      </w:r>
      <w:r w:rsidR="00A0058B">
        <w:t>,</w:t>
      </w:r>
      <w:r w:rsidRPr="00E3756C">
        <w:t xml:space="preserve"> ranking from insignificant to extreme. </w:t>
      </w:r>
    </w:p>
    <w:p w14:paraId="2EB3EAD4" w14:textId="77777777" w:rsidR="00711A0A" w:rsidRPr="00E3756C" w:rsidRDefault="00711A0A" w:rsidP="001238C4">
      <w:pPr>
        <w:pStyle w:val="Bullet"/>
      </w:pPr>
      <w:r w:rsidRPr="00E3756C">
        <w:t>In some cases, the consequence component may not be able to be meaningfully assessed</w:t>
      </w:r>
      <w:r w:rsidR="00D253CC" w:rsidRPr="00E3756C">
        <w:t xml:space="preserve"> or </w:t>
      </w:r>
      <w:r w:rsidRPr="00E3756C">
        <w:t xml:space="preserve">differentiated for a particular risk or risk area. In </w:t>
      </w:r>
      <w:r w:rsidR="00D253CC" w:rsidRPr="00E3756C">
        <w:t>this instance</w:t>
      </w:r>
      <w:r w:rsidRPr="00E3756C">
        <w:t xml:space="preserve">, the risk will be based on the assessment of exposure and vulnerability only. </w:t>
      </w:r>
    </w:p>
    <w:p w14:paraId="4744965D" w14:textId="77777777" w:rsidR="007B5136" w:rsidRDefault="007B5136" w:rsidP="001238C4">
      <w:pPr>
        <w:pStyle w:val="Tableheading"/>
        <w:sectPr w:rsidR="007B5136" w:rsidSect="00826BEB">
          <w:footerReference w:type="even" r:id="rId35"/>
          <w:footerReference w:type="default" r:id="rId36"/>
          <w:pgSz w:w="11907" w:h="16840" w:code="9"/>
          <w:pgMar w:top="1134" w:right="1418" w:bottom="1134" w:left="1418" w:header="567" w:footer="567" w:gutter="510"/>
          <w:cols w:space="720"/>
          <w:docGrid w:linePitch="299"/>
        </w:sectPr>
      </w:pPr>
      <w:bookmarkStart w:id="167" w:name="tableB33"/>
      <w:bookmarkStart w:id="168" w:name="_Toc16586500"/>
    </w:p>
    <w:p w14:paraId="2D495556" w14:textId="77777777" w:rsidR="001238C4" w:rsidRDefault="001238C4" w:rsidP="001238C4">
      <w:pPr>
        <w:pStyle w:val="Tableheading"/>
      </w:pPr>
      <w:r w:rsidRPr="00E3756C">
        <w:lastRenderedPageBreak/>
        <w:t>Table B3-</w:t>
      </w:r>
      <w:r w:rsidR="00CC4800" w:rsidRPr="00E3756C">
        <w:t>3</w:t>
      </w:r>
      <w:bookmarkEnd w:id="167"/>
      <w:r w:rsidR="005E2C44" w:rsidRPr="00E3756C">
        <w:t>:</w:t>
      </w:r>
      <w:r w:rsidRPr="00E3756C">
        <w:tab/>
        <w:t>Sample workbook</w:t>
      </w:r>
      <w:bookmarkEnd w:id="168"/>
    </w:p>
    <w:p w14:paraId="715B9F21" w14:textId="77777777" w:rsidR="007B5136" w:rsidRDefault="007B5136" w:rsidP="001238C4">
      <w:pPr>
        <w:pStyle w:val="BodyText"/>
      </w:pPr>
      <w:r w:rsidRPr="007B5136">
        <w:rPr>
          <w:noProof/>
        </w:rPr>
        <w:drawing>
          <wp:inline distT="0" distB="0" distL="0" distR="0" wp14:anchorId="0A413203" wp14:editId="02285691">
            <wp:extent cx="9363075" cy="3419701"/>
            <wp:effectExtent l="19050" t="19050" r="9525" b="285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88187" cy="3428873"/>
                    </a:xfrm>
                    <a:prstGeom prst="rect">
                      <a:avLst/>
                    </a:prstGeom>
                    <a:noFill/>
                    <a:ln w="3175">
                      <a:solidFill>
                        <a:schemeClr val="tx1"/>
                      </a:solidFill>
                    </a:ln>
                  </pic:spPr>
                </pic:pic>
              </a:graphicData>
            </a:graphic>
          </wp:inline>
        </w:drawing>
      </w:r>
    </w:p>
    <w:p w14:paraId="62F49B7D" w14:textId="77777777" w:rsidR="007B5136" w:rsidRDefault="007B5136" w:rsidP="001238C4">
      <w:pPr>
        <w:pStyle w:val="BodyText"/>
      </w:pPr>
      <w:r w:rsidRPr="007B5136">
        <w:rPr>
          <w:noProof/>
        </w:rPr>
        <w:drawing>
          <wp:inline distT="0" distB="0" distL="0" distR="0" wp14:anchorId="608DA8FE" wp14:editId="35990F4A">
            <wp:extent cx="2349224" cy="151447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1601" cy="1548241"/>
                    </a:xfrm>
                    <a:prstGeom prst="rect">
                      <a:avLst/>
                    </a:prstGeom>
                    <a:noFill/>
                    <a:ln>
                      <a:noFill/>
                    </a:ln>
                  </pic:spPr>
                </pic:pic>
              </a:graphicData>
            </a:graphic>
          </wp:inline>
        </w:drawing>
      </w:r>
    </w:p>
    <w:p w14:paraId="5CFDF6D4" w14:textId="77777777" w:rsidR="007B5136" w:rsidRDefault="007B5136" w:rsidP="001238C4">
      <w:pPr>
        <w:pStyle w:val="BodyText"/>
        <w:sectPr w:rsidR="007B5136" w:rsidSect="007B5136">
          <w:footerReference w:type="default" r:id="rId39"/>
          <w:pgSz w:w="16840" w:h="11907" w:orient="landscape" w:code="9"/>
          <w:pgMar w:top="851" w:right="1134" w:bottom="1418" w:left="1134" w:header="567" w:footer="567" w:gutter="510"/>
          <w:cols w:space="720"/>
          <w:docGrid w:linePitch="299"/>
        </w:sectPr>
      </w:pPr>
    </w:p>
    <w:p w14:paraId="15F31CDA" w14:textId="31C895DF" w:rsidR="001238C4" w:rsidRPr="00E3756C" w:rsidRDefault="001238C4" w:rsidP="001238C4">
      <w:pPr>
        <w:pStyle w:val="BodyText"/>
      </w:pPr>
      <w:r w:rsidRPr="00E3756C">
        <w:lastRenderedPageBreak/>
        <w:t xml:space="preserve">The consequences score is derived based on consideration of the hazard, exposure and vulnerability </w:t>
      </w:r>
      <w:r w:rsidR="009B09B5" w:rsidRPr="00E3756C">
        <w:t xml:space="preserve">as described in </w:t>
      </w:r>
      <w:r w:rsidR="00A0058B">
        <w:t>S</w:t>
      </w:r>
      <w:r w:rsidR="000A17DE">
        <w:t>tep</w:t>
      </w:r>
      <w:r w:rsidR="009B09B5" w:rsidRPr="00E3756C">
        <w:t xml:space="preserve"> 4 above </w:t>
      </w:r>
      <w:r w:rsidR="0089719A" w:rsidRPr="00E3756C">
        <w:t>(</w:t>
      </w:r>
      <w:r w:rsidR="009B09B5" w:rsidRPr="00E3756C">
        <w:t xml:space="preserve">see also </w:t>
      </w:r>
      <w:hyperlink w:anchor="tableC22" w:history="1">
        <w:r w:rsidR="0089719A" w:rsidRPr="00E3756C">
          <w:rPr>
            <w:rStyle w:val="Hyperlink"/>
          </w:rPr>
          <w:t>table C2.2</w:t>
        </w:r>
      </w:hyperlink>
      <w:r w:rsidR="0089719A" w:rsidRPr="00E3756C">
        <w:t xml:space="preserve"> </w:t>
      </w:r>
      <w:r w:rsidR="009B09B5" w:rsidRPr="00E3756C">
        <w:t xml:space="preserve">for a </w:t>
      </w:r>
      <w:r w:rsidRPr="00E3756C">
        <w:t>descri</w:t>
      </w:r>
      <w:r w:rsidR="009B09B5" w:rsidRPr="00E3756C">
        <w:t>ption of</w:t>
      </w:r>
      <w:r w:rsidRPr="00E3756C">
        <w:t xml:space="preserve"> a </w:t>
      </w:r>
      <w:r w:rsidR="0089719A" w:rsidRPr="00E3756C">
        <w:t>five</w:t>
      </w:r>
      <w:r w:rsidRPr="00E3756C">
        <w:t>-level scale from ‘</w:t>
      </w:r>
      <w:r w:rsidR="00A0058B">
        <w:t>i</w:t>
      </w:r>
      <w:r w:rsidRPr="00E3756C">
        <w:t>nsignificant’ to ‘</w:t>
      </w:r>
      <w:r w:rsidR="00A0058B">
        <w:t>e</w:t>
      </w:r>
      <w:r w:rsidRPr="00E3756C">
        <w:t>xtreme’).</w:t>
      </w:r>
      <w:r w:rsidR="00484C8A" w:rsidRPr="00E3756C">
        <w:t xml:space="preserve"> </w:t>
      </w:r>
      <w:r w:rsidRPr="00E3756C">
        <w:t>At this stage</w:t>
      </w:r>
      <w:r w:rsidR="009B09B5" w:rsidRPr="00E3756C">
        <w:t>,</w:t>
      </w:r>
      <w:r w:rsidRPr="00E3756C">
        <w:t xml:space="preserve"> the risk assessment score will be taken as the consequence score. It is anticipated that risks will be assessed via a workshop approach, with input from various stakeholders and specialists. </w:t>
      </w:r>
    </w:p>
    <w:p w14:paraId="2AA69803" w14:textId="2417371A" w:rsidR="001238C4" w:rsidRPr="00E3756C" w:rsidRDefault="001238C4" w:rsidP="001238C4">
      <w:pPr>
        <w:pStyle w:val="BodyText"/>
      </w:pPr>
      <w:r w:rsidRPr="00E3756C">
        <w:t xml:space="preserve">Only risks falling under </w:t>
      </w:r>
      <w:r w:rsidR="009B09B5" w:rsidRPr="00E3756C">
        <w:t xml:space="preserve">the </w:t>
      </w:r>
      <w:r w:rsidRPr="00E3756C">
        <w:t xml:space="preserve">categories of </w:t>
      </w:r>
      <w:r w:rsidR="00A0058B">
        <w:t>m</w:t>
      </w:r>
      <w:r w:rsidRPr="00E3756C">
        <w:t xml:space="preserve">oderate, </w:t>
      </w:r>
      <w:r w:rsidR="00A0058B">
        <w:t>m</w:t>
      </w:r>
      <w:r w:rsidRPr="00E3756C">
        <w:t>ajor or</w:t>
      </w:r>
      <w:r w:rsidR="00484C8A" w:rsidRPr="00E3756C">
        <w:t xml:space="preserve"> </w:t>
      </w:r>
      <w:r w:rsidR="00A0058B">
        <w:t>e</w:t>
      </w:r>
      <w:r w:rsidRPr="00E3756C">
        <w:t xml:space="preserve">xtreme as in the timescales </w:t>
      </w:r>
      <w:r w:rsidR="005E2C44" w:rsidRPr="00E3756C">
        <w:t xml:space="preserve">in table B3-4 </w:t>
      </w:r>
      <w:r w:rsidRPr="00E3756C">
        <w:t>need to be scrutinised further.</w:t>
      </w:r>
    </w:p>
    <w:p w14:paraId="54226323" w14:textId="77777777" w:rsidR="005E2C44" w:rsidRPr="00E3756C" w:rsidRDefault="005E2C44" w:rsidP="007764C9">
      <w:pPr>
        <w:pStyle w:val="Tableheading"/>
      </w:pPr>
      <w:bookmarkStart w:id="169" w:name="_Toc16586501"/>
      <w:r w:rsidRPr="00E3756C">
        <w:t xml:space="preserve">Table B3-4: </w:t>
      </w:r>
      <w:r w:rsidRPr="00E3756C">
        <w:tab/>
      </w:r>
      <w:r w:rsidR="00C40D7A">
        <w:t>Ratings and t</w:t>
      </w:r>
      <w:r w:rsidRPr="00E3756C">
        <w:t>imescales for risks requiring further assessment</w:t>
      </w:r>
      <w:bookmarkEnd w:id="169"/>
    </w:p>
    <w:tbl>
      <w:tblPr>
        <w:tblStyle w:val="TableGrid"/>
        <w:tblW w:w="8505"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ook w:val="04A0" w:firstRow="1" w:lastRow="0" w:firstColumn="1" w:lastColumn="0" w:noHBand="0" w:noVBand="1"/>
      </w:tblPr>
      <w:tblGrid>
        <w:gridCol w:w="2122"/>
        <w:gridCol w:w="2126"/>
        <w:gridCol w:w="2126"/>
        <w:gridCol w:w="2131"/>
      </w:tblGrid>
      <w:tr w:rsidR="00AB1313" w:rsidRPr="00E3756C" w14:paraId="6E98150D" w14:textId="77777777" w:rsidTr="003735CF">
        <w:trPr>
          <w:tblHeader/>
        </w:trPr>
        <w:tc>
          <w:tcPr>
            <w:tcW w:w="8505" w:type="dxa"/>
            <w:gridSpan w:val="4"/>
            <w:tcBorders>
              <w:top w:val="single" w:sz="4" w:space="0" w:color="17556C"/>
              <w:left w:val="nil"/>
              <w:bottom w:val="single" w:sz="4" w:space="0" w:color="17556C"/>
              <w:right w:val="single" w:sz="4" w:space="0" w:color="17556C"/>
            </w:tcBorders>
            <w:shd w:val="clear" w:color="auto" w:fill="17556C"/>
          </w:tcPr>
          <w:p w14:paraId="46420A75" w14:textId="77777777" w:rsidR="00AB1313" w:rsidRPr="00E3756C" w:rsidRDefault="00AB1313" w:rsidP="00F955C5">
            <w:pPr>
              <w:pStyle w:val="TableTextbold"/>
              <w:jc w:val="center"/>
              <w:rPr>
                <w:color w:val="FFFFFF" w:themeColor="background1"/>
              </w:rPr>
            </w:pPr>
            <w:r w:rsidRPr="00E3756C">
              <w:rPr>
                <w:color w:val="FFFFFF" w:themeColor="background1"/>
              </w:rPr>
              <w:t>Risks requiring further assessment</w:t>
            </w:r>
          </w:p>
        </w:tc>
      </w:tr>
      <w:tr w:rsidR="00AB1313" w:rsidRPr="00E3756C" w14:paraId="3F9147B8" w14:textId="77777777" w:rsidTr="003735CF">
        <w:tc>
          <w:tcPr>
            <w:tcW w:w="2122" w:type="dxa"/>
            <w:vMerge w:val="restart"/>
            <w:tcBorders>
              <w:top w:val="single" w:sz="4" w:space="0" w:color="17556C"/>
              <w:left w:val="nil"/>
              <w:right w:val="single" w:sz="4" w:space="0" w:color="auto"/>
            </w:tcBorders>
            <w:shd w:val="clear" w:color="auto" w:fill="auto"/>
            <w:vAlign w:val="bottom"/>
          </w:tcPr>
          <w:p w14:paraId="5B6C78CD" w14:textId="77777777" w:rsidR="00AB1313" w:rsidRPr="00E3756C" w:rsidRDefault="00AB1313" w:rsidP="00F75C37">
            <w:pPr>
              <w:pStyle w:val="TableTextbold"/>
            </w:pPr>
            <w:r w:rsidRPr="00E3756C">
              <w:t>Present</w:t>
            </w:r>
          </w:p>
        </w:tc>
        <w:tc>
          <w:tcPr>
            <w:tcW w:w="2126" w:type="dxa"/>
            <w:vMerge w:val="restart"/>
            <w:tcBorders>
              <w:top w:val="single" w:sz="4" w:space="0" w:color="17556C"/>
              <w:left w:val="single" w:sz="4" w:space="0" w:color="auto"/>
              <w:right w:val="single" w:sz="4" w:space="0" w:color="17556C"/>
            </w:tcBorders>
            <w:shd w:val="clear" w:color="auto" w:fill="auto"/>
            <w:vAlign w:val="bottom"/>
          </w:tcPr>
          <w:p w14:paraId="6B632BA8" w14:textId="77777777" w:rsidR="00AB1313" w:rsidRPr="00E3756C" w:rsidRDefault="00AB1313" w:rsidP="00F75C37">
            <w:pPr>
              <w:pStyle w:val="TableTextbold"/>
            </w:pPr>
            <w:r w:rsidRPr="00E3756C">
              <w:t>30 years</w:t>
            </w:r>
          </w:p>
        </w:tc>
        <w:tc>
          <w:tcPr>
            <w:tcW w:w="4257" w:type="dxa"/>
            <w:gridSpan w:val="2"/>
            <w:tcBorders>
              <w:top w:val="single" w:sz="4" w:space="0" w:color="17556C"/>
              <w:left w:val="single" w:sz="4" w:space="0" w:color="auto"/>
              <w:bottom w:val="single" w:sz="4" w:space="0" w:color="17556C"/>
              <w:right w:val="nil"/>
            </w:tcBorders>
            <w:shd w:val="clear" w:color="auto" w:fill="auto"/>
          </w:tcPr>
          <w:p w14:paraId="568ECE68" w14:textId="77777777" w:rsidR="00AB1313" w:rsidRPr="00E3756C" w:rsidRDefault="00AB1313" w:rsidP="00F75C37">
            <w:pPr>
              <w:pStyle w:val="TableTextbold"/>
              <w:jc w:val="center"/>
            </w:pPr>
            <w:r w:rsidRPr="00E3756C">
              <w:t>100-plus years</w:t>
            </w:r>
          </w:p>
        </w:tc>
      </w:tr>
      <w:tr w:rsidR="00AB1313" w:rsidRPr="00E3756C" w14:paraId="023B7E97" w14:textId="77777777" w:rsidTr="003735CF">
        <w:tc>
          <w:tcPr>
            <w:tcW w:w="2122" w:type="dxa"/>
            <w:vMerge/>
            <w:tcBorders>
              <w:left w:val="nil"/>
              <w:bottom w:val="single" w:sz="4" w:space="0" w:color="17556C"/>
              <w:right w:val="single" w:sz="4" w:space="0" w:color="auto"/>
            </w:tcBorders>
            <w:shd w:val="clear" w:color="auto" w:fill="auto"/>
          </w:tcPr>
          <w:p w14:paraId="437932D0" w14:textId="77777777" w:rsidR="00AB1313" w:rsidRPr="00E3756C" w:rsidRDefault="00AB1313" w:rsidP="00F75C37">
            <w:pPr>
              <w:pStyle w:val="TableTextbold"/>
            </w:pPr>
          </w:p>
        </w:tc>
        <w:tc>
          <w:tcPr>
            <w:tcW w:w="2126" w:type="dxa"/>
            <w:vMerge/>
            <w:tcBorders>
              <w:left w:val="single" w:sz="4" w:space="0" w:color="auto"/>
              <w:bottom w:val="single" w:sz="4" w:space="0" w:color="17556C"/>
              <w:right w:val="single" w:sz="4" w:space="0" w:color="17556C"/>
            </w:tcBorders>
            <w:shd w:val="clear" w:color="auto" w:fill="auto"/>
          </w:tcPr>
          <w:p w14:paraId="1B9F2EA8" w14:textId="77777777" w:rsidR="00AB1313" w:rsidRPr="00E3756C" w:rsidRDefault="00AB1313" w:rsidP="00F75C37">
            <w:pPr>
              <w:pStyle w:val="TableTextbold"/>
            </w:pPr>
          </w:p>
        </w:tc>
        <w:tc>
          <w:tcPr>
            <w:tcW w:w="2126" w:type="dxa"/>
            <w:tcBorders>
              <w:top w:val="single" w:sz="4" w:space="0" w:color="17556C"/>
              <w:left w:val="single" w:sz="4" w:space="0" w:color="auto"/>
              <w:bottom w:val="single" w:sz="4" w:space="0" w:color="17556C"/>
              <w:right w:val="single" w:sz="4" w:space="0" w:color="17556C"/>
            </w:tcBorders>
            <w:shd w:val="clear" w:color="auto" w:fill="auto"/>
          </w:tcPr>
          <w:p w14:paraId="44CD9562" w14:textId="77777777" w:rsidR="00AB1313" w:rsidRPr="00E3756C" w:rsidRDefault="00F75C37" w:rsidP="00F75C37">
            <w:pPr>
              <w:pStyle w:val="TableTextbold"/>
              <w:jc w:val="center"/>
            </w:pPr>
            <w:r w:rsidRPr="00E3756C">
              <w:t>RCP4.5</w:t>
            </w:r>
          </w:p>
        </w:tc>
        <w:tc>
          <w:tcPr>
            <w:tcW w:w="2131" w:type="dxa"/>
            <w:tcBorders>
              <w:top w:val="single" w:sz="4" w:space="0" w:color="17556C"/>
              <w:left w:val="single" w:sz="4" w:space="0" w:color="17556C"/>
              <w:bottom w:val="single" w:sz="4" w:space="0" w:color="17556C"/>
              <w:right w:val="nil"/>
            </w:tcBorders>
            <w:shd w:val="clear" w:color="auto" w:fill="auto"/>
          </w:tcPr>
          <w:p w14:paraId="1DE8ACD7" w14:textId="77777777" w:rsidR="00AB1313" w:rsidRPr="00E3756C" w:rsidRDefault="00F75C37" w:rsidP="00F75C37">
            <w:pPr>
              <w:pStyle w:val="TableTextbold"/>
              <w:jc w:val="center"/>
            </w:pPr>
            <w:r w:rsidRPr="00E3756C">
              <w:t>RCP8.5</w:t>
            </w:r>
          </w:p>
        </w:tc>
      </w:tr>
      <w:tr w:rsidR="00AB1313" w:rsidRPr="00E3756C" w14:paraId="5BC57EA8" w14:textId="77777777" w:rsidTr="003735CF">
        <w:tc>
          <w:tcPr>
            <w:tcW w:w="2122" w:type="dxa"/>
            <w:tcBorders>
              <w:top w:val="single" w:sz="4" w:space="0" w:color="17556C"/>
              <w:left w:val="nil"/>
              <w:bottom w:val="single" w:sz="4" w:space="0" w:color="17556C"/>
              <w:right w:val="single" w:sz="4" w:space="0" w:color="auto"/>
            </w:tcBorders>
            <w:shd w:val="clear" w:color="auto" w:fill="FFC715"/>
          </w:tcPr>
          <w:p w14:paraId="3F740919" w14:textId="77777777" w:rsidR="00AB1313" w:rsidRPr="00B7422A" w:rsidRDefault="00F75C37" w:rsidP="002F1231">
            <w:pPr>
              <w:pStyle w:val="TableText"/>
              <w:rPr>
                <w:b/>
                <w:color w:val="000000" w:themeColor="text1"/>
              </w:rPr>
            </w:pPr>
            <w:r w:rsidRPr="00B7422A">
              <w:rPr>
                <w:b/>
                <w:color w:val="000000" w:themeColor="text1"/>
              </w:rPr>
              <w:t>Moderate</w:t>
            </w:r>
          </w:p>
        </w:tc>
        <w:tc>
          <w:tcPr>
            <w:tcW w:w="2126" w:type="dxa"/>
            <w:tcBorders>
              <w:top w:val="single" w:sz="4" w:space="0" w:color="17556C"/>
              <w:left w:val="single" w:sz="4" w:space="0" w:color="auto"/>
              <w:bottom w:val="single" w:sz="4" w:space="0" w:color="17556C"/>
              <w:right w:val="single" w:sz="4" w:space="0" w:color="17556C"/>
            </w:tcBorders>
            <w:shd w:val="clear" w:color="auto" w:fill="FFC715"/>
          </w:tcPr>
          <w:p w14:paraId="618DDE4C" w14:textId="77777777" w:rsidR="00AB1313" w:rsidRPr="00B7422A" w:rsidRDefault="00F75C37" w:rsidP="00AB1313">
            <w:pPr>
              <w:pStyle w:val="TableText"/>
              <w:rPr>
                <w:b/>
                <w:color w:val="000000" w:themeColor="text1"/>
              </w:rPr>
            </w:pPr>
            <w:r w:rsidRPr="00B7422A">
              <w:rPr>
                <w:b/>
                <w:color w:val="000000" w:themeColor="text1"/>
              </w:rPr>
              <w:t>Moderate</w:t>
            </w:r>
          </w:p>
        </w:tc>
        <w:tc>
          <w:tcPr>
            <w:tcW w:w="2126" w:type="dxa"/>
            <w:tcBorders>
              <w:top w:val="single" w:sz="4" w:space="0" w:color="17556C"/>
              <w:left w:val="single" w:sz="4" w:space="0" w:color="auto"/>
              <w:bottom w:val="single" w:sz="4" w:space="0" w:color="17556C"/>
              <w:right w:val="single" w:sz="4" w:space="0" w:color="17556C"/>
            </w:tcBorders>
          </w:tcPr>
          <w:p w14:paraId="1A95EEC4" w14:textId="77777777" w:rsidR="00AB1313" w:rsidRPr="00B7422A" w:rsidRDefault="00AB1313" w:rsidP="00AB1313">
            <w:pPr>
              <w:pStyle w:val="TableText"/>
              <w:rPr>
                <w:b/>
                <w:color w:val="000000" w:themeColor="text1"/>
              </w:rPr>
            </w:pPr>
          </w:p>
        </w:tc>
        <w:tc>
          <w:tcPr>
            <w:tcW w:w="2131" w:type="dxa"/>
            <w:tcBorders>
              <w:top w:val="single" w:sz="4" w:space="0" w:color="17556C"/>
              <w:left w:val="single" w:sz="4" w:space="0" w:color="17556C"/>
              <w:bottom w:val="single" w:sz="4" w:space="0" w:color="17556C"/>
              <w:right w:val="nil"/>
            </w:tcBorders>
          </w:tcPr>
          <w:p w14:paraId="04F590ED" w14:textId="77777777" w:rsidR="00AB1313" w:rsidRPr="00B7422A" w:rsidRDefault="00AB1313" w:rsidP="002F1231">
            <w:pPr>
              <w:pStyle w:val="TableText"/>
              <w:rPr>
                <w:color w:val="000000" w:themeColor="text1"/>
              </w:rPr>
            </w:pPr>
          </w:p>
        </w:tc>
      </w:tr>
      <w:tr w:rsidR="00AB1313" w:rsidRPr="00E3756C" w14:paraId="342E321A" w14:textId="77777777" w:rsidTr="003735CF">
        <w:tc>
          <w:tcPr>
            <w:tcW w:w="2122" w:type="dxa"/>
            <w:tcBorders>
              <w:top w:val="single" w:sz="4" w:space="0" w:color="17556C"/>
              <w:left w:val="nil"/>
              <w:bottom w:val="single" w:sz="4" w:space="0" w:color="17556C"/>
              <w:right w:val="single" w:sz="4" w:space="0" w:color="auto"/>
            </w:tcBorders>
            <w:shd w:val="clear" w:color="auto" w:fill="EB7821"/>
          </w:tcPr>
          <w:p w14:paraId="4298D377" w14:textId="77777777" w:rsidR="00AB1313" w:rsidRPr="00B7422A" w:rsidRDefault="00F75C37" w:rsidP="002F1231">
            <w:pPr>
              <w:pStyle w:val="TableText"/>
              <w:rPr>
                <w:b/>
                <w:color w:val="000000" w:themeColor="text1"/>
              </w:rPr>
            </w:pPr>
            <w:r w:rsidRPr="00B7422A">
              <w:rPr>
                <w:b/>
                <w:color w:val="000000" w:themeColor="text1"/>
              </w:rPr>
              <w:t>High</w:t>
            </w:r>
          </w:p>
        </w:tc>
        <w:tc>
          <w:tcPr>
            <w:tcW w:w="2126" w:type="dxa"/>
            <w:tcBorders>
              <w:top w:val="single" w:sz="4" w:space="0" w:color="17556C"/>
              <w:left w:val="single" w:sz="4" w:space="0" w:color="auto"/>
              <w:bottom w:val="single" w:sz="4" w:space="0" w:color="17556C"/>
              <w:right w:val="single" w:sz="4" w:space="0" w:color="17556C"/>
            </w:tcBorders>
            <w:shd w:val="clear" w:color="auto" w:fill="EB7821"/>
          </w:tcPr>
          <w:p w14:paraId="7BF54D4D" w14:textId="77777777" w:rsidR="00AB1313" w:rsidRPr="00B7422A" w:rsidRDefault="00F75C37" w:rsidP="00AB1313">
            <w:pPr>
              <w:pStyle w:val="TableText"/>
              <w:rPr>
                <w:b/>
                <w:color w:val="000000" w:themeColor="text1"/>
              </w:rPr>
            </w:pPr>
            <w:r w:rsidRPr="00B7422A">
              <w:rPr>
                <w:b/>
                <w:color w:val="000000" w:themeColor="text1"/>
              </w:rPr>
              <w:t>High</w:t>
            </w:r>
          </w:p>
        </w:tc>
        <w:tc>
          <w:tcPr>
            <w:tcW w:w="2126" w:type="dxa"/>
            <w:tcBorders>
              <w:top w:val="single" w:sz="4" w:space="0" w:color="17556C"/>
              <w:left w:val="single" w:sz="4" w:space="0" w:color="auto"/>
              <w:bottom w:val="single" w:sz="4" w:space="0" w:color="17556C"/>
              <w:right w:val="single" w:sz="4" w:space="0" w:color="17556C"/>
            </w:tcBorders>
            <w:shd w:val="clear" w:color="auto" w:fill="EB7821"/>
          </w:tcPr>
          <w:p w14:paraId="0CA37158" w14:textId="77777777" w:rsidR="00AB1313" w:rsidRPr="00B7422A" w:rsidRDefault="00F75C37" w:rsidP="00AB1313">
            <w:pPr>
              <w:pStyle w:val="TableText"/>
              <w:rPr>
                <w:b/>
                <w:color w:val="000000" w:themeColor="text1"/>
              </w:rPr>
            </w:pPr>
            <w:r w:rsidRPr="00B7422A">
              <w:rPr>
                <w:b/>
                <w:color w:val="000000" w:themeColor="text1"/>
              </w:rPr>
              <w:t>High</w:t>
            </w:r>
          </w:p>
        </w:tc>
        <w:tc>
          <w:tcPr>
            <w:tcW w:w="2131" w:type="dxa"/>
            <w:tcBorders>
              <w:top w:val="single" w:sz="4" w:space="0" w:color="17556C"/>
              <w:left w:val="single" w:sz="4" w:space="0" w:color="17556C"/>
              <w:bottom w:val="single" w:sz="4" w:space="0" w:color="17556C"/>
              <w:right w:val="nil"/>
            </w:tcBorders>
          </w:tcPr>
          <w:p w14:paraId="754005DF" w14:textId="77777777" w:rsidR="00AB1313" w:rsidRPr="00B7422A" w:rsidRDefault="00AB1313" w:rsidP="002F1231">
            <w:pPr>
              <w:pStyle w:val="TableText"/>
              <w:rPr>
                <w:color w:val="000000" w:themeColor="text1"/>
              </w:rPr>
            </w:pPr>
          </w:p>
        </w:tc>
      </w:tr>
      <w:tr w:rsidR="00F75C37" w:rsidRPr="00E3756C" w14:paraId="3363A37C" w14:textId="77777777" w:rsidTr="003735CF">
        <w:tc>
          <w:tcPr>
            <w:tcW w:w="2122" w:type="dxa"/>
            <w:tcBorders>
              <w:top w:val="single" w:sz="4" w:space="0" w:color="17556C"/>
              <w:left w:val="nil"/>
              <w:bottom w:val="single" w:sz="4" w:space="0" w:color="17556C"/>
              <w:right w:val="single" w:sz="4" w:space="0" w:color="auto"/>
            </w:tcBorders>
            <w:shd w:val="clear" w:color="auto" w:fill="991009"/>
          </w:tcPr>
          <w:p w14:paraId="6B44CD1C" w14:textId="77777777" w:rsidR="00F75C37" w:rsidRPr="00B7422A" w:rsidRDefault="00F75C37" w:rsidP="002F1231">
            <w:pPr>
              <w:pStyle w:val="TableText"/>
              <w:rPr>
                <w:color w:val="FFFFFF" w:themeColor="background1"/>
              </w:rPr>
            </w:pPr>
            <w:r w:rsidRPr="00B7422A">
              <w:rPr>
                <w:color w:val="FFFFFF" w:themeColor="background1"/>
              </w:rPr>
              <w:t>Extreme</w:t>
            </w:r>
          </w:p>
        </w:tc>
        <w:tc>
          <w:tcPr>
            <w:tcW w:w="2126" w:type="dxa"/>
            <w:tcBorders>
              <w:top w:val="single" w:sz="4" w:space="0" w:color="17556C"/>
              <w:left w:val="single" w:sz="4" w:space="0" w:color="auto"/>
              <w:bottom w:val="single" w:sz="4" w:space="0" w:color="17556C"/>
              <w:right w:val="single" w:sz="4" w:space="0" w:color="17556C"/>
            </w:tcBorders>
            <w:shd w:val="clear" w:color="auto" w:fill="991009"/>
          </w:tcPr>
          <w:p w14:paraId="497D97D1" w14:textId="77777777" w:rsidR="00F75C37" w:rsidRPr="00B7422A" w:rsidRDefault="00F75C37" w:rsidP="00AB1313">
            <w:pPr>
              <w:pStyle w:val="TableText"/>
              <w:rPr>
                <w:color w:val="FFFFFF" w:themeColor="background1"/>
              </w:rPr>
            </w:pPr>
            <w:r w:rsidRPr="00B7422A">
              <w:rPr>
                <w:color w:val="FFFFFF" w:themeColor="background1"/>
              </w:rPr>
              <w:t>Extreme</w:t>
            </w:r>
          </w:p>
        </w:tc>
        <w:tc>
          <w:tcPr>
            <w:tcW w:w="2126" w:type="dxa"/>
            <w:tcBorders>
              <w:top w:val="single" w:sz="4" w:space="0" w:color="17556C"/>
              <w:left w:val="single" w:sz="4" w:space="0" w:color="auto"/>
              <w:bottom w:val="single" w:sz="4" w:space="0" w:color="17556C"/>
              <w:right w:val="single" w:sz="4" w:space="0" w:color="17556C"/>
            </w:tcBorders>
            <w:shd w:val="clear" w:color="auto" w:fill="991009"/>
          </w:tcPr>
          <w:p w14:paraId="72361573" w14:textId="77777777" w:rsidR="00F75C37" w:rsidRPr="00B7422A" w:rsidRDefault="00F75C37" w:rsidP="00AB1313">
            <w:pPr>
              <w:pStyle w:val="TableText"/>
              <w:rPr>
                <w:color w:val="FFFFFF" w:themeColor="background1"/>
              </w:rPr>
            </w:pPr>
            <w:r w:rsidRPr="00B7422A">
              <w:rPr>
                <w:color w:val="FFFFFF" w:themeColor="background1"/>
              </w:rPr>
              <w:t>Extreme</w:t>
            </w:r>
          </w:p>
        </w:tc>
        <w:tc>
          <w:tcPr>
            <w:tcW w:w="2131" w:type="dxa"/>
            <w:tcBorders>
              <w:top w:val="single" w:sz="4" w:space="0" w:color="17556C"/>
              <w:left w:val="single" w:sz="4" w:space="0" w:color="17556C"/>
              <w:bottom w:val="single" w:sz="4" w:space="0" w:color="17556C"/>
              <w:right w:val="nil"/>
            </w:tcBorders>
            <w:shd w:val="clear" w:color="auto" w:fill="991009"/>
          </w:tcPr>
          <w:p w14:paraId="1FE1C588" w14:textId="77777777" w:rsidR="00F75C37" w:rsidRPr="00B7422A" w:rsidRDefault="00F75C37" w:rsidP="002F1231">
            <w:pPr>
              <w:pStyle w:val="TableText"/>
              <w:rPr>
                <w:color w:val="FFFFFF" w:themeColor="background1"/>
              </w:rPr>
            </w:pPr>
            <w:r w:rsidRPr="00B7422A">
              <w:rPr>
                <w:color w:val="FFFFFF" w:themeColor="background1"/>
              </w:rPr>
              <w:t>Extreme</w:t>
            </w:r>
          </w:p>
        </w:tc>
      </w:tr>
    </w:tbl>
    <w:p w14:paraId="1083A4EA" w14:textId="77777777" w:rsidR="001238C4" w:rsidRPr="00E3756C" w:rsidRDefault="001238C4" w:rsidP="00F75C37">
      <w:pPr>
        <w:pStyle w:val="Heading4"/>
        <w:rPr>
          <w:u w:val="single"/>
        </w:rPr>
      </w:pPr>
      <w:bookmarkStart w:id="170" w:name="_heading=h.2lwamvv" w:colFirst="0" w:colLast="0"/>
      <w:bookmarkEnd w:id="170"/>
      <w:r w:rsidRPr="00E3756C">
        <w:t>Assess strength of evidence and uncertainty</w:t>
      </w:r>
    </w:p>
    <w:p w14:paraId="255A68D2" w14:textId="77777777" w:rsidR="001238C4" w:rsidRPr="00E3756C" w:rsidRDefault="002A5586" w:rsidP="001238C4">
      <w:pPr>
        <w:pStyle w:val="BodyText"/>
      </w:pPr>
      <w:r>
        <w:t>A certain pedigree of literature and information is needed to develop a robust summary of observed or projected impacts on sectors, particularly those associated w</w:t>
      </w:r>
      <w:r w:rsidRPr="001238C4">
        <w:t>i</w:t>
      </w:r>
      <w:r>
        <w:t>th uncertain variables that support th</w:t>
      </w:r>
      <w:r w:rsidR="003735CF">
        <w:t>e scenarios and timeframes used</w:t>
      </w:r>
      <w:r w:rsidR="001238C4" w:rsidRPr="00E3756C">
        <w:t>.</w:t>
      </w:r>
      <w:r w:rsidR="001238C4" w:rsidRPr="00E3756C">
        <w:rPr>
          <w:b/>
        </w:rPr>
        <w:t xml:space="preserve"> </w:t>
      </w:r>
      <w:r w:rsidR="001238C4" w:rsidRPr="00E3756C">
        <w:t xml:space="preserve">The strength of evidence criteria outlined in </w:t>
      </w:r>
      <w:hyperlink w:anchor="tableC21" w:history="1">
        <w:r w:rsidR="001F2F29" w:rsidRPr="00E3756C">
          <w:rPr>
            <w:rStyle w:val="Hyperlink"/>
          </w:rPr>
          <w:t>t</w:t>
        </w:r>
        <w:r w:rsidR="001238C4" w:rsidRPr="00E3756C">
          <w:rPr>
            <w:rStyle w:val="Hyperlink"/>
          </w:rPr>
          <w:t>able C2-1</w:t>
        </w:r>
      </w:hyperlink>
      <w:r w:rsidR="001238C4" w:rsidRPr="00E3756C">
        <w:t xml:space="preserve"> in </w:t>
      </w:r>
      <w:r w:rsidR="001F2F29" w:rsidRPr="00E3756C">
        <w:t>c</w:t>
      </w:r>
      <w:r w:rsidR="001238C4" w:rsidRPr="00E3756C">
        <w:t xml:space="preserve">hapter C2 provide guidance that includes demonstrated consensus in any elicitation process, including with </w:t>
      </w:r>
      <w:r w:rsidR="000D7333" w:rsidRPr="00E3756C">
        <w:t>M</w:t>
      </w:r>
      <w:r w:rsidR="001238C4" w:rsidRPr="00E3756C">
        <w:t>ātauranga Maori experts. If the strength of evidence rating is low</w:t>
      </w:r>
      <w:r w:rsidR="000D7333" w:rsidRPr="00E3756C">
        <w:t xml:space="preserve"> or </w:t>
      </w:r>
      <w:r w:rsidR="001238C4" w:rsidRPr="00E3756C">
        <w:t>weak, but the risk is perceived to be relatively high, then recommendations for any key research</w:t>
      </w:r>
      <w:r w:rsidR="00D06A15" w:rsidRPr="00E3756C">
        <w:t>,</w:t>
      </w:r>
      <w:r w:rsidR="001238C4" w:rsidRPr="00E3756C">
        <w:t xml:space="preserve"> information</w:t>
      </w:r>
      <w:r w:rsidR="000D7333" w:rsidRPr="00E3756C">
        <w:t xml:space="preserve"> or </w:t>
      </w:r>
      <w:r w:rsidR="001238C4" w:rsidRPr="00E3756C">
        <w:t>monitoring gaps should be transferred to Stage 3.</w:t>
      </w:r>
    </w:p>
    <w:p w14:paraId="18740287" w14:textId="77777777" w:rsidR="001238C4" w:rsidRPr="00E3756C" w:rsidRDefault="001238C4" w:rsidP="000A3050">
      <w:pPr>
        <w:pStyle w:val="Heading4"/>
        <w:spacing w:before="240"/>
      </w:pPr>
      <w:r w:rsidRPr="00E3756C">
        <w:t>Identify key risks</w:t>
      </w:r>
    </w:p>
    <w:p w14:paraId="3591BE66" w14:textId="77777777" w:rsidR="00674F0D" w:rsidRDefault="00C60468" w:rsidP="001238C4">
      <w:pPr>
        <w:pStyle w:val="BodyText"/>
        <w:sectPr w:rsidR="00674F0D" w:rsidSect="00826BEB">
          <w:pgSz w:w="11907" w:h="16840" w:code="9"/>
          <w:pgMar w:top="1134" w:right="1418" w:bottom="1134" w:left="1418" w:header="567" w:footer="567" w:gutter="510"/>
          <w:cols w:space="720"/>
          <w:docGrid w:linePitch="299"/>
        </w:sectPr>
      </w:pPr>
      <w:r w:rsidRPr="00E3756C">
        <w:t>As shown in</w:t>
      </w:r>
      <w:r w:rsidRPr="00E3756C">
        <w:rPr>
          <w:b/>
        </w:rPr>
        <w:t xml:space="preserve"> </w:t>
      </w:r>
      <w:r w:rsidRPr="00E3756C">
        <w:t>table B3-5, a</w:t>
      </w:r>
      <w:r w:rsidR="001238C4" w:rsidRPr="00E3756C">
        <w:t xml:space="preserve"> summary tabulation by domain or sector should be prepared</w:t>
      </w:r>
      <w:r w:rsidR="00D06A15" w:rsidRPr="00E3756C">
        <w:t xml:space="preserve"> </w:t>
      </w:r>
      <w:r w:rsidRPr="00E3756C">
        <w:t xml:space="preserve">following </w:t>
      </w:r>
      <w:r w:rsidR="00D06A15" w:rsidRPr="00E3756C">
        <w:t>assessment of the strength of evidence</w:t>
      </w:r>
      <w:r w:rsidR="001238C4" w:rsidRPr="00E3756C">
        <w:t>.</w:t>
      </w:r>
      <w:r w:rsidR="00484C8A" w:rsidRPr="00E3756C">
        <w:rPr>
          <w:b/>
        </w:rPr>
        <w:t xml:space="preserve"> </w:t>
      </w:r>
      <w:r w:rsidR="001238C4" w:rsidRPr="00E3756C">
        <w:t>An Excel spreadsheet has been developed to expedite this reporting and incorporates automatic colour coding to entered ratings.</w:t>
      </w:r>
    </w:p>
    <w:p w14:paraId="3342223A" w14:textId="77777777" w:rsidR="001238C4" w:rsidRDefault="001238C4" w:rsidP="000A3050">
      <w:pPr>
        <w:pStyle w:val="Tableheading"/>
        <w:spacing w:after="60"/>
      </w:pPr>
      <w:bookmarkStart w:id="171" w:name="tableB34"/>
      <w:bookmarkStart w:id="172" w:name="tableB35"/>
      <w:bookmarkStart w:id="173" w:name="_Toc16586502"/>
      <w:r w:rsidRPr="00E3756C">
        <w:lastRenderedPageBreak/>
        <w:t>Table B3-</w:t>
      </w:r>
      <w:bookmarkEnd w:id="171"/>
      <w:r w:rsidR="005E2C44" w:rsidRPr="00E3756C">
        <w:t>5</w:t>
      </w:r>
      <w:bookmarkEnd w:id="172"/>
      <w:r w:rsidR="005E2C44" w:rsidRPr="00E3756C">
        <w:t>:</w:t>
      </w:r>
      <w:r w:rsidRPr="00E3756C">
        <w:t xml:space="preserve"> </w:t>
      </w:r>
      <w:r w:rsidRPr="00E3756C">
        <w:tab/>
        <w:t>Summary table for domain or sector (example)</w:t>
      </w:r>
      <w:bookmarkEnd w:id="173"/>
    </w:p>
    <w:p w14:paraId="0B27D660" w14:textId="77777777" w:rsidR="00674F0D" w:rsidRDefault="00674F0D" w:rsidP="00674F0D">
      <w:pPr>
        <w:sectPr w:rsidR="00674F0D" w:rsidSect="00674F0D">
          <w:pgSz w:w="16840" w:h="11907" w:orient="landscape" w:code="9"/>
          <w:pgMar w:top="1135" w:right="1134" w:bottom="1418" w:left="1134" w:header="567" w:footer="567" w:gutter="510"/>
          <w:cols w:space="720"/>
          <w:docGrid w:linePitch="299"/>
        </w:sectPr>
      </w:pPr>
      <w:bookmarkStart w:id="174" w:name="_heading=h.111kx3o" w:colFirst="0" w:colLast="0"/>
      <w:bookmarkEnd w:id="174"/>
      <w:r w:rsidRPr="00674F0D">
        <w:rPr>
          <w:noProof/>
        </w:rPr>
        <w:drawing>
          <wp:inline distT="0" distB="0" distL="0" distR="0" wp14:anchorId="4BEC6CDD" wp14:editId="4819321A">
            <wp:extent cx="9253220" cy="4778054"/>
            <wp:effectExtent l="0" t="0" r="508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53220" cy="4778054"/>
                    </a:xfrm>
                    <a:prstGeom prst="rect">
                      <a:avLst/>
                    </a:prstGeom>
                    <a:noFill/>
                    <a:ln>
                      <a:noFill/>
                    </a:ln>
                  </pic:spPr>
                </pic:pic>
              </a:graphicData>
            </a:graphic>
          </wp:inline>
        </w:drawing>
      </w:r>
    </w:p>
    <w:p w14:paraId="1257E969" w14:textId="23240ABE" w:rsidR="00ED73AF" w:rsidRPr="00E3756C" w:rsidRDefault="00ED73AF" w:rsidP="00A15D72">
      <w:pPr>
        <w:pStyle w:val="BodyText"/>
        <w:spacing w:after="240"/>
      </w:pPr>
      <w:r w:rsidRPr="00E3756C">
        <w:lastRenderedPageBreak/>
        <w:t>The resulting risk scoring results should be made available for the expert participants to review, verify and suggest modifications if needed.</w:t>
      </w:r>
      <w:r w:rsidR="00484C8A" w:rsidRPr="00E3756C">
        <w:t xml:space="preserve"> </w:t>
      </w:r>
      <w:r w:rsidRPr="00E3756C">
        <w:t>This ensure</w:t>
      </w:r>
      <w:r w:rsidR="000A3050" w:rsidRPr="00E3756C">
        <w:t>s</w:t>
      </w:r>
      <w:r w:rsidRPr="00E3756C">
        <w:t xml:space="preserve"> that any perverse or bias outcomes are identified and reassessed if required.</w:t>
      </w: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600" w:firstRow="0" w:lastRow="0" w:firstColumn="0" w:lastColumn="0" w:noHBand="1" w:noVBand="1"/>
      </w:tblPr>
      <w:tblGrid>
        <w:gridCol w:w="2143"/>
        <w:gridCol w:w="6362"/>
      </w:tblGrid>
      <w:tr w:rsidR="00A15D72" w:rsidRPr="00E3756C" w14:paraId="2CBCBA56" w14:textId="77777777" w:rsidTr="003735CF">
        <w:tc>
          <w:tcPr>
            <w:tcW w:w="2143" w:type="dxa"/>
            <w:shd w:val="clear" w:color="auto" w:fill="1C556C" w:themeFill="accent1"/>
            <w:tcMar>
              <w:top w:w="0" w:type="dxa"/>
              <w:left w:w="100" w:type="dxa"/>
              <w:bottom w:w="0" w:type="dxa"/>
              <w:right w:w="100" w:type="dxa"/>
            </w:tcMar>
          </w:tcPr>
          <w:p w14:paraId="51A20E07" w14:textId="77777777" w:rsidR="00ED73AF" w:rsidRPr="00E3756C" w:rsidRDefault="00ED73AF" w:rsidP="00A15D72">
            <w:pPr>
              <w:pStyle w:val="TableTextbold"/>
              <w:rPr>
                <w:color w:val="FFFFFF" w:themeColor="background1"/>
              </w:rPr>
            </w:pPr>
            <w:r w:rsidRPr="00E3756C">
              <w:rPr>
                <w:color w:val="FFFFFF" w:themeColor="background1"/>
              </w:rPr>
              <w:t>Engagement activities</w:t>
            </w:r>
          </w:p>
        </w:tc>
        <w:tc>
          <w:tcPr>
            <w:tcW w:w="6362" w:type="dxa"/>
            <w:shd w:val="clear" w:color="auto" w:fill="1C556C" w:themeFill="accent1"/>
            <w:tcMar>
              <w:top w:w="0" w:type="dxa"/>
              <w:left w:w="100" w:type="dxa"/>
              <w:bottom w:w="0" w:type="dxa"/>
              <w:right w:w="100" w:type="dxa"/>
            </w:tcMar>
          </w:tcPr>
          <w:p w14:paraId="5100F4D0" w14:textId="77777777" w:rsidR="00ED73AF" w:rsidRPr="00E3756C" w:rsidRDefault="00ED73AF" w:rsidP="00A15D72">
            <w:pPr>
              <w:pStyle w:val="TableTextbold"/>
              <w:rPr>
                <w:color w:val="FFFFFF" w:themeColor="background1"/>
              </w:rPr>
            </w:pPr>
            <w:r w:rsidRPr="00E3756C">
              <w:rPr>
                <w:color w:val="FFFFFF" w:themeColor="background1"/>
              </w:rPr>
              <w:t>Prompts</w:t>
            </w:r>
          </w:p>
        </w:tc>
      </w:tr>
      <w:tr w:rsidR="00ED73AF" w:rsidRPr="00E3756C" w14:paraId="08601658" w14:textId="77777777" w:rsidTr="003735CF">
        <w:tc>
          <w:tcPr>
            <w:tcW w:w="2143" w:type="dxa"/>
            <w:tcMar>
              <w:top w:w="0" w:type="dxa"/>
              <w:left w:w="100" w:type="dxa"/>
              <w:bottom w:w="0" w:type="dxa"/>
              <w:right w:w="100" w:type="dxa"/>
            </w:tcMar>
          </w:tcPr>
          <w:p w14:paraId="5F4548DC" w14:textId="77777777" w:rsidR="00ED73AF" w:rsidRPr="00E3756C" w:rsidRDefault="00ED73AF" w:rsidP="00A15D72">
            <w:pPr>
              <w:pStyle w:val="TableTextbold"/>
            </w:pPr>
            <w:r w:rsidRPr="00E3756C">
              <w:t>Verifying Stage 2 outcomes</w:t>
            </w:r>
          </w:p>
        </w:tc>
        <w:tc>
          <w:tcPr>
            <w:tcW w:w="6362" w:type="dxa"/>
            <w:tcMar>
              <w:top w:w="0" w:type="dxa"/>
              <w:left w:w="100" w:type="dxa"/>
              <w:bottom w:w="0" w:type="dxa"/>
              <w:right w:w="100" w:type="dxa"/>
            </w:tcMar>
          </w:tcPr>
          <w:p w14:paraId="0009150A" w14:textId="77777777" w:rsidR="00ED73AF" w:rsidRPr="00E3756C" w:rsidRDefault="00ED73AF" w:rsidP="000A3050">
            <w:pPr>
              <w:pStyle w:val="TableBullet"/>
              <w:spacing w:before="60"/>
            </w:pPr>
            <w:r w:rsidRPr="00E3756C">
              <w:t xml:space="preserve">Were all those with expert knowledge or information engaged in </w:t>
            </w:r>
            <w:r w:rsidR="000A3050" w:rsidRPr="00E3756C">
              <w:t xml:space="preserve">the </w:t>
            </w:r>
            <w:r w:rsidRPr="00E3756C">
              <w:t>process?</w:t>
            </w:r>
          </w:p>
          <w:p w14:paraId="7778D06F" w14:textId="77777777" w:rsidR="00ED73AF" w:rsidRPr="00E3756C" w:rsidRDefault="00ED73AF" w:rsidP="00A15D72">
            <w:pPr>
              <w:pStyle w:val="TableBullet"/>
            </w:pPr>
            <w:r w:rsidRPr="00E3756C">
              <w:t xml:space="preserve">Do the results reflect perceived </w:t>
            </w:r>
            <w:r w:rsidR="000A3050" w:rsidRPr="00E3756C">
              <w:t>or</w:t>
            </w:r>
            <w:r w:rsidRPr="00E3756C">
              <w:t xml:space="preserve"> actual risks?</w:t>
            </w:r>
          </w:p>
          <w:p w14:paraId="70E12E2E" w14:textId="77777777" w:rsidR="00ED73AF" w:rsidRPr="00E3756C" w:rsidRDefault="00ED73AF" w:rsidP="00A15D72">
            <w:pPr>
              <w:pStyle w:val="TableBullet"/>
            </w:pPr>
            <w:r w:rsidRPr="00E3756C">
              <w:t>Are there any perverse outcomes?</w:t>
            </w:r>
          </w:p>
          <w:p w14:paraId="09B58BEE" w14:textId="667666E7" w:rsidR="00ED73AF" w:rsidRPr="00E3756C" w:rsidRDefault="00ED73AF" w:rsidP="00A15D72">
            <w:pPr>
              <w:pStyle w:val="TableBullet"/>
            </w:pPr>
            <w:r w:rsidRPr="00E3756C">
              <w:t>Send results back to engaged stakeholders for their verification of outcome</w:t>
            </w:r>
            <w:r w:rsidR="00A0058B">
              <w:t>.</w:t>
            </w:r>
          </w:p>
          <w:p w14:paraId="14C5EE9F" w14:textId="77777777" w:rsidR="00ED73AF" w:rsidRPr="00E3756C" w:rsidRDefault="00ED73AF" w:rsidP="00A15D72">
            <w:pPr>
              <w:pStyle w:val="TableBullet"/>
            </w:pPr>
            <w:r w:rsidRPr="00E3756C">
              <w:t xml:space="preserve">Does the engagement strategy need to be revised and updated? </w:t>
            </w:r>
          </w:p>
        </w:tc>
      </w:tr>
    </w:tbl>
    <w:p w14:paraId="6945D381" w14:textId="77777777" w:rsidR="004E0A9F" w:rsidRPr="00E3756C" w:rsidRDefault="004E0A9F" w:rsidP="000A3050">
      <w:pPr>
        <w:pStyle w:val="BodyText"/>
      </w:pPr>
      <w:bookmarkStart w:id="175" w:name="_Toc13826167"/>
      <w:bookmarkEnd w:id="175"/>
      <w:r w:rsidRPr="00E3756C">
        <w:br w:type="page"/>
      </w:r>
    </w:p>
    <w:p w14:paraId="36CFFC24" w14:textId="77777777" w:rsidR="00D35233" w:rsidRPr="00E3756C" w:rsidRDefault="00D35233" w:rsidP="00D35233">
      <w:pPr>
        <w:pStyle w:val="Heading1"/>
      </w:pPr>
      <w:bookmarkStart w:id="176" w:name="_Chapter_B4:_Assessment"/>
      <w:bookmarkStart w:id="177" w:name="_Toc14361557"/>
      <w:bookmarkStart w:id="178" w:name="_Toc15409169"/>
      <w:bookmarkEnd w:id="176"/>
      <w:r w:rsidRPr="00B7422A">
        <w:lastRenderedPageBreak/>
        <w:t>Chapter B4: Assessment</w:t>
      </w:r>
      <w:r w:rsidRPr="00E3756C">
        <w:t xml:space="preserve"> Stage 3</w:t>
      </w:r>
      <w:r w:rsidR="000A3050" w:rsidRPr="00E3756C">
        <w:t>:</w:t>
      </w:r>
      <w:r w:rsidRPr="00E3756C">
        <w:t xml:space="preserve"> Adaptation and decision urgency assessment</w:t>
      </w:r>
      <w:bookmarkEnd w:id="177"/>
      <w:bookmarkEnd w:id="178"/>
    </w:p>
    <w:p w14:paraId="6408C9B7" w14:textId="77777777" w:rsidR="00D35233" w:rsidRPr="00E3756C" w:rsidRDefault="00D35233" w:rsidP="00D35233">
      <w:pPr>
        <w:pStyle w:val="Heading2"/>
        <w:rPr>
          <w:szCs w:val="28"/>
        </w:rPr>
      </w:pPr>
      <w:bookmarkStart w:id="179" w:name="_heading=h.206ipza" w:colFirst="0" w:colLast="0"/>
      <w:bookmarkStart w:id="180" w:name="_Toc15409170"/>
      <w:bookmarkEnd w:id="179"/>
      <w:r w:rsidRPr="00E3756C">
        <w:t xml:space="preserve">B4.1 </w:t>
      </w:r>
      <w:r w:rsidRPr="00E3756C">
        <w:tab/>
        <w:t>Scope and purpose of adaptation and decision urgency assessment</w:t>
      </w:r>
      <w:bookmarkEnd w:id="180"/>
      <w:r w:rsidRPr="00E3756C">
        <w:t xml:space="preserve"> </w:t>
      </w:r>
    </w:p>
    <w:p w14:paraId="402F6D1D" w14:textId="77777777" w:rsidR="00D35233" w:rsidRPr="00E3756C" w:rsidRDefault="00D35233" w:rsidP="00D35233">
      <w:pPr>
        <w:pStyle w:val="BodyText"/>
        <w:rPr>
          <w:b/>
          <w:bCs/>
        </w:rPr>
      </w:pPr>
      <w:r w:rsidRPr="00E3756C">
        <w:t xml:space="preserve">The main objective of undertaking the NCCRA </w:t>
      </w:r>
      <w:r w:rsidR="00607B28">
        <w:t>using</w:t>
      </w:r>
      <w:r w:rsidR="00607B28" w:rsidRPr="00E3756C">
        <w:t xml:space="preserve"> </w:t>
      </w:r>
      <w:r w:rsidRPr="00E3756C">
        <w:t xml:space="preserve">this framework is to highlight key risks </w:t>
      </w:r>
      <w:r w:rsidR="004D0959" w:rsidRPr="00E3756C">
        <w:t xml:space="preserve">that will </w:t>
      </w:r>
      <w:r w:rsidRPr="00E3756C">
        <w:t>help inform development of a National Adaptation Plan. It is important</w:t>
      </w:r>
      <w:r w:rsidR="004D0959" w:rsidRPr="00E3756C">
        <w:t>, therefore,</w:t>
      </w:r>
      <w:r w:rsidRPr="00E3756C">
        <w:t xml:space="preserve"> that the outputs from the NCCRA are targeted towards this purpose. </w:t>
      </w:r>
    </w:p>
    <w:p w14:paraId="5F969151" w14:textId="22A63428" w:rsidR="0066063C" w:rsidRDefault="0066063C" w:rsidP="00D35233">
      <w:pPr>
        <w:pStyle w:val="BodyText"/>
      </w:pPr>
      <w:r>
        <w:t>To achieve this, a</w:t>
      </w:r>
      <w:r w:rsidR="00D35233" w:rsidRPr="00E3756C">
        <w:t xml:space="preserve"> third assessment stage is recommended</w:t>
      </w:r>
      <w:r w:rsidR="00A05785" w:rsidRPr="00E3756C">
        <w:t xml:space="preserve"> </w:t>
      </w:r>
      <w:r w:rsidR="00D35233" w:rsidRPr="00E3756C">
        <w:t xml:space="preserve">to assess current and planned adaptation strategies and actions to </w:t>
      </w:r>
      <w:r>
        <w:t>identify</w:t>
      </w:r>
      <w:r w:rsidRPr="00E3756C">
        <w:t xml:space="preserve"> </w:t>
      </w:r>
      <w:r w:rsidR="00D35233" w:rsidRPr="00E3756C">
        <w:t xml:space="preserve">where gaps exist and </w:t>
      </w:r>
      <w:r>
        <w:t>quick</w:t>
      </w:r>
      <w:r w:rsidRPr="00E3756C">
        <w:t xml:space="preserve"> </w:t>
      </w:r>
      <w:r w:rsidR="00D35233" w:rsidRPr="00E3756C">
        <w:t xml:space="preserve">decisions need to be made to prevent maladaptive path dependencies or irreversible consequences. This stage should also highlight opportunities where early action can reap benefits from changing climatic circumstances. </w:t>
      </w:r>
    </w:p>
    <w:p w14:paraId="7679C022" w14:textId="33019AA6" w:rsidR="00D35233" w:rsidRPr="00E3756C" w:rsidRDefault="00D35233" w:rsidP="00D35233">
      <w:pPr>
        <w:pStyle w:val="BodyText"/>
      </w:pPr>
      <w:r w:rsidRPr="00E3756C">
        <w:t xml:space="preserve">The framework uses the urgency ratings from the </w:t>
      </w:r>
      <w:r w:rsidR="006170D6" w:rsidRPr="00E3756C">
        <w:t xml:space="preserve">2017 </w:t>
      </w:r>
      <w:r w:rsidRPr="00E3756C">
        <w:t>UK Climate Change Risk Assessment (</w:t>
      </w:r>
      <w:r w:rsidR="006170D6" w:rsidRPr="00E3756C">
        <w:t>Committee on Climate Change, 2017</w:t>
      </w:r>
      <w:r w:rsidRPr="00E3756C">
        <w:t>) to signal the need for adaptation decision</w:t>
      </w:r>
      <w:r w:rsidR="00251CD2" w:rsidRPr="00E3756C">
        <w:t>-</w:t>
      </w:r>
      <w:r w:rsidRPr="00E3756C">
        <w:t xml:space="preserve">making, and </w:t>
      </w:r>
      <w:r w:rsidR="00251CD2" w:rsidRPr="00E3756C">
        <w:t xml:space="preserve">the </w:t>
      </w:r>
      <w:r w:rsidRPr="00E3756C">
        <w:t>IPCC AR5 reporting frameworks have been adapted for New Zealand purposes</w:t>
      </w:r>
      <w:r w:rsidR="00251CD2" w:rsidRPr="00E3756C">
        <w:t xml:space="preserve"> (IPCC, 2014b)</w:t>
      </w:r>
      <w:r w:rsidRPr="00E3756C">
        <w:t xml:space="preserve">. </w:t>
      </w:r>
      <w:r w:rsidR="001429CF" w:rsidRPr="00E3756C">
        <w:t>Figure B4-1 shows t</w:t>
      </w:r>
      <w:r w:rsidRPr="00E3756C">
        <w:t xml:space="preserve">he process for Stage 3. </w:t>
      </w:r>
    </w:p>
    <w:p w14:paraId="37CCC6F2" w14:textId="2AB92249" w:rsidR="00D35233" w:rsidRPr="00E3756C" w:rsidRDefault="00D35233" w:rsidP="00D35233">
      <w:pPr>
        <w:pStyle w:val="BodyText"/>
        <w:rPr>
          <w:color w:val="000000"/>
        </w:rPr>
      </w:pPr>
      <w:r w:rsidRPr="00E3756C">
        <w:t xml:space="preserve">All risks through to this stage will </w:t>
      </w:r>
      <w:r w:rsidR="0066063C">
        <w:t xml:space="preserve">either </w:t>
      </w:r>
      <w:r w:rsidRPr="00E3756C">
        <w:t>have been rated as key risks</w:t>
      </w:r>
      <w:r w:rsidR="001429CF" w:rsidRPr="00E3756C">
        <w:t>,</w:t>
      </w:r>
      <w:r w:rsidRPr="00E3756C">
        <w:t xml:space="preserve"> based on potential future impacts across a range of </w:t>
      </w:r>
      <w:r w:rsidR="000A17DE">
        <w:t>wellbeing</w:t>
      </w:r>
      <w:r w:rsidRPr="00E3756C">
        <w:t xml:space="preserve"> indicators, or </w:t>
      </w:r>
      <w:r w:rsidR="00B7422A">
        <w:t>be</w:t>
      </w:r>
      <w:r w:rsidRPr="00E3756C">
        <w:t xml:space="preserve"> perceived as potentially high but more evidence is needed. </w:t>
      </w:r>
      <w:r w:rsidRPr="00E3756C">
        <w:rPr>
          <w:color w:val="000000"/>
        </w:rPr>
        <w:t>It will be the role of those developing the subsequent National Adaptation Plan to decide on the priorities</w:t>
      </w:r>
      <w:r w:rsidR="001429CF" w:rsidRPr="00E3756C">
        <w:rPr>
          <w:color w:val="000000"/>
        </w:rPr>
        <w:t>,</w:t>
      </w:r>
      <w:r w:rsidRPr="00E3756C">
        <w:rPr>
          <w:color w:val="000000"/>
        </w:rPr>
        <w:t xml:space="preserve"> particularly </w:t>
      </w:r>
      <w:r w:rsidR="001429CF" w:rsidRPr="00E3756C">
        <w:rPr>
          <w:color w:val="000000"/>
        </w:rPr>
        <w:t xml:space="preserve">because </w:t>
      </w:r>
      <w:r w:rsidR="0066063C">
        <w:rPr>
          <w:color w:val="000000"/>
        </w:rPr>
        <w:t>these</w:t>
      </w:r>
      <w:r w:rsidR="0066063C" w:rsidRPr="00E3756C">
        <w:rPr>
          <w:color w:val="000000"/>
        </w:rPr>
        <w:t xml:space="preserve"> </w:t>
      </w:r>
      <w:r w:rsidRPr="00E3756C">
        <w:rPr>
          <w:color w:val="000000"/>
        </w:rPr>
        <w:t>may coincide with government policy and budgeting cycles. The intention is to enable the NCCRA to deliver fairly</w:t>
      </w:r>
      <w:r w:rsidR="003735CF">
        <w:rPr>
          <w:color w:val="000000"/>
        </w:rPr>
        <w:t> </w:t>
      </w:r>
      <w:r w:rsidRPr="00E3756C">
        <w:rPr>
          <w:color w:val="000000"/>
        </w:rPr>
        <w:t xml:space="preserve">clear messages across sectors in terms of key risks that </w:t>
      </w:r>
      <w:r w:rsidR="0066063C">
        <w:rPr>
          <w:color w:val="000000"/>
        </w:rPr>
        <w:t>need</w:t>
      </w:r>
      <w:r w:rsidR="0066063C" w:rsidRPr="00E3756C">
        <w:rPr>
          <w:color w:val="000000"/>
        </w:rPr>
        <w:t xml:space="preserve"> </w:t>
      </w:r>
      <w:r w:rsidRPr="00E3756C">
        <w:rPr>
          <w:color w:val="000000"/>
        </w:rPr>
        <w:t xml:space="preserve">action. </w:t>
      </w:r>
    </w:p>
    <w:p w14:paraId="45F90FA6" w14:textId="77777777" w:rsidR="00071C47" w:rsidRPr="00E3756C" w:rsidRDefault="00071C47" w:rsidP="00935506">
      <w:pPr>
        <w:pStyle w:val="Figureheading"/>
        <w:spacing w:after="0"/>
      </w:pPr>
      <w:bookmarkStart w:id="181" w:name="_Toc16586524"/>
      <w:r w:rsidRPr="00E3756C">
        <w:lastRenderedPageBreak/>
        <w:t>Figure B4-1</w:t>
      </w:r>
      <w:r w:rsidR="00251CD2" w:rsidRPr="00E3756C">
        <w:t>:</w:t>
      </w:r>
      <w:r w:rsidRPr="00E3756C">
        <w:t xml:space="preserve"> </w:t>
      </w:r>
      <w:r w:rsidRPr="00E3756C">
        <w:tab/>
        <w:t>Stage 3 process for assessment of adaptation and decision urgency</w:t>
      </w:r>
      <w:bookmarkEnd w:id="181"/>
    </w:p>
    <w:p w14:paraId="7EDA360F" w14:textId="77777777" w:rsidR="00071C47" w:rsidRPr="00E3756C" w:rsidRDefault="00E150EB" w:rsidP="00935506">
      <w:pPr>
        <w:pStyle w:val="BodyText"/>
        <w:spacing w:after="60"/>
      </w:pPr>
      <w:r>
        <w:rPr>
          <w:noProof/>
          <w:sz w:val="16"/>
          <w:szCs w:val="16"/>
        </w:rPr>
        <w:drawing>
          <wp:inline distT="0" distB="0" distL="0" distR="0" wp14:anchorId="09A3E4CB" wp14:editId="6F8CEEF3">
            <wp:extent cx="5722947" cy="3219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4.JPG"/>
                    <pic:cNvPicPr/>
                  </pic:nvPicPr>
                  <pic:blipFill>
                    <a:blip r:embed="rId41">
                      <a:extLst>
                        <a:ext uri="{28A0092B-C50C-407E-A947-70E740481C1C}">
                          <a14:useLocalDpi xmlns:a14="http://schemas.microsoft.com/office/drawing/2010/main" val="0"/>
                        </a:ext>
                      </a:extLst>
                    </a:blip>
                    <a:stretch>
                      <a:fillRect/>
                    </a:stretch>
                  </pic:blipFill>
                  <pic:spPr>
                    <a:xfrm>
                      <a:off x="0" y="0"/>
                      <a:ext cx="5724325" cy="3220225"/>
                    </a:xfrm>
                    <a:prstGeom prst="rect">
                      <a:avLst/>
                    </a:prstGeom>
                  </pic:spPr>
                </pic:pic>
              </a:graphicData>
            </a:graphic>
          </wp:inline>
        </w:drawing>
      </w:r>
    </w:p>
    <w:p w14:paraId="1458C6BA" w14:textId="77777777" w:rsidR="00D35233" w:rsidRPr="00E3756C" w:rsidRDefault="00D35233" w:rsidP="00D35233">
      <w:pPr>
        <w:pStyle w:val="Heading2"/>
      </w:pPr>
      <w:bookmarkStart w:id="182" w:name="_Toc14361558"/>
      <w:bookmarkStart w:id="183" w:name="_Toc15409171"/>
      <w:r w:rsidRPr="00E3756C">
        <w:rPr>
          <w:rStyle w:val="Heading3Char"/>
          <w:b/>
          <w:bCs/>
          <w:sz w:val="36"/>
        </w:rPr>
        <w:t xml:space="preserve">B4.2 </w:t>
      </w:r>
      <w:r w:rsidRPr="00E3756C">
        <w:rPr>
          <w:rStyle w:val="Heading3Char"/>
          <w:b/>
          <w:bCs/>
          <w:sz w:val="36"/>
        </w:rPr>
        <w:tab/>
        <w:t>Method for adaptation and decision urgency</w:t>
      </w:r>
      <w:r w:rsidR="00927CE4" w:rsidRPr="00E3756C">
        <w:rPr>
          <w:rStyle w:val="Heading3Char"/>
          <w:b/>
          <w:bCs/>
          <w:sz w:val="36"/>
        </w:rPr>
        <w:t> </w:t>
      </w:r>
      <w:r w:rsidRPr="00E3756C">
        <w:rPr>
          <w:rStyle w:val="Heading3Char"/>
          <w:b/>
          <w:bCs/>
          <w:sz w:val="36"/>
        </w:rPr>
        <w:t>assessment</w:t>
      </w:r>
      <w:bookmarkEnd w:id="182"/>
      <w:bookmarkEnd w:id="183"/>
    </w:p>
    <w:p w14:paraId="2CCC88FD" w14:textId="5A3E9F02" w:rsidR="00D35233" w:rsidRPr="00E3756C" w:rsidRDefault="00D35233" w:rsidP="00D35233">
      <w:pPr>
        <w:pStyle w:val="BodyText"/>
      </w:pPr>
      <w:bookmarkStart w:id="184" w:name="_Toc13570390"/>
      <w:r w:rsidRPr="00E3756C">
        <w:t>Taking the key risks from Stage 2</w:t>
      </w:r>
      <w:r w:rsidRPr="00E3756C">
        <w:rPr>
          <w:color w:val="000000"/>
        </w:rPr>
        <w:t xml:space="preserve">, analyse the </w:t>
      </w:r>
      <w:r w:rsidRPr="00E3756C">
        <w:t>current and planned adaptation</w:t>
      </w:r>
      <w:r w:rsidRPr="00E3756C">
        <w:rPr>
          <w:color w:val="000000"/>
        </w:rPr>
        <w:t xml:space="preserve"> to </w:t>
      </w:r>
      <w:r w:rsidRPr="00E3756C">
        <w:t>highlight risks for which adaptation decisions need to be made most urgently, to inform a National Adaptation Plan.</w:t>
      </w:r>
    </w:p>
    <w:p w14:paraId="3DB02D53" w14:textId="77777777" w:rsidR="00D35233" w:rsidRPr="00E3756C" w:rsidRDefault="00D35233" w:rsidP="00D35233">
      <w:pPr>
        <w:pStyle w:val="Bullet"/>
        <w:rPr>
          <w:b/>
        </w:rPr>
      </w:pPr>
      <w:r w:rsidRPr="00E3756C">
        <w:rPr>
          <w:b/>
        </w:rPr>
        <w:t xml:space="preserve">Step 1: Assess current and planned adaptation </w:t>
      </w:r>
    </w:p>
    <w:p w14:paraId="2AC793B5" w14:textId="54895D70" w:rsidR="00D35233" w:rsidRPr="00E3756C" w:rsidRDefault="00D35233" w:rsidP="00D35233">
      <w:pPr>
        <w:pStyle w:val="Sub-list"/>
      </w:pPr>
      <w:r w:rsidRPr="00E3756C">
        <w:t>Confirm list of key risks from Stage 2 and involve stakeholders</w:t>
      </w:r>
      <w:r w:rsidR="00935506" w:rsidRPr="00E3756C">
        <w:t xml:space="preserve">, </w:t>
      </w:r>
      <w:r w:rsidRPr="00E3756C">
        <w:t>partners</w:t>
      </w:r>
      <w:r w:rsidR="0066063C">
        <w:t xml:space="preserve"> and</w:t>
      </w:r>
      <w:r w:rsidR="00935506" w:rsidRPr="00E3756C">
        <w:t xml:space="preserve"> </w:t>
      </w:r>
      <w:r w:rsidRPr="00E3756C">
        <w:t>agencies to canvass plans and activities to manage the identified risks.</w:t>
      </w:r>
      <w:r w:rsidRPr="00E3756C">
        <w:rPr>
          <w:b/>
        </w:rPr>
        <w:t xml:space="preserve"> </w:t>
      </w:r>
    </w:p>
    <w:p w14:paraId="457A5654" w14:textId="77777777" w:rsidR="00D35233" w:rsidRPr="00E3756C" w:rsidRDefault="00D35233" w:rsidP="00935506">
      <w:pPr>
        <w:pStyle w:val="Bullet"/>
        <w:spacing w:after="100"/>
        <w:rPr>
          <w:b/>
        </w:rPr>
      </w:pPr>
      <w:r w:rsidRPr="00E3756C">
        <w:rPr>
          <w:b/>
        </w:rPr>
        <w:t xml:space="preserve">Step 2: Assess decision urgency </w:t>
      </w:r>
    </w:p>
    <w:p w14:paraId="014EAA9D" w14:textId="77777777" w:rsidR="00D35233" w:rsidRPr="00E3756C" w:rsidRDefault="00D35233" w:rsidP="00935506">
      <w:pPr>
        <w:pStyle w:val="Sub-list"/>
        <w:spacing w:after="100"/>
      </w:pPr>
      <w:r w:rsidRPr="00E3756C">
        <w:t>Are current actions sufficient to manage the evolving risk? Identify actions that limit future adaptations (ie</w:t>
      </w:r>
      <w:r w:rsidR="00935506" w:rsidRPr="00E3756C">
        <w:t>,</w:t>
      </w:r>
      <w:r w:rsidRPr="00E3756C">
        <w:t xml:space="preserve"> may result in lock-in of current practice or vulnerability).</w:t>
      </w:r>
    </w:p>
    <w:p w14:paraId="41F3F132" w14:textId="0773EBB8" w:rsidR="00D35233" w:rsidRPr="00E3756C" w:rsidRDefault="00D35233" w:rsidP="00935506">
      <w:pPr>
        <w:pStyle w:val="Sub-list"/>
        <w:spacing w:after="100"/>
      </w:pPr>
      <w:r w:rsidRPr="00E3756C">
        <w:t xml:space="preserve">Consider where </w:t>
      </w:r>
      <w:r w:rsidR="0066063C">
        <w:t xml:space="preserve">early </w:t>
      </w:r>
      <w:r w:rsidRPr="00E3756C">
        <w:t xml:space="preserve">action is </w:t>
      </w:r>
      <w:r w:rsidR="0066063C">
        <w:t>needed</w:t>
      </w:r>
      <w:r w:rsidR="0066063C" w:rsidRPr="00E3756C">
        <w:t xml:space="preserve"> </w:t>
      </w:r>
      <w:r w:rsidRPr="00E3756C">
        <w:t xml:space="preserve">to avoid current pathway dependency (maladaptation) or irreversible negative consequences. </w:t>
      </w:r>
    </w:p>
    <w:p w14:paraId="4678F2CA" w14:textId="77777777" w:rsidR="00D35233" w:rsidRPr="00E3756C" w:rsidRDefault="00D35233" w:rsidP="00935506">
      <w:pPr>
        <w:pStyle w:val="Sub-list"/>
        <w:spacing w:after="100"/>
      </w:pPr>
      <w:r w:rsidRPr="00E3756C">
        <w:t>Consider decisions</w:t>
      </w:r>
      <w:r w:rsidR="00935506" w:rsidRPr="00E3756C">
        <w:t xml:space="preserve"> and </w:t>
      </w:r>
      <w:r w:rsidRPr="00E3756C">
        <w:t>actions that have long lead times for implementation</w:t>
      </w:r>
      <w:r w:rsidR="00935506" w:rsidRPr="00E3756C">
        <w:t>.</w:t>
      </w:r>
    </w:p>
    <w:p w14:paraId="29071CB4" w14:textId="77777777" w:rsidR="00D35233" w:rsidRPr="00E3756C" w:rsidRDefault="00D35233" w:rsidP="00935506">
      <w:pPr>
        <w:pStyle w:val="Sub-list"/>
        <w:spacing w:after="100"/>
      </w:pPr>
      <w:r w:rsidRPr="00E3756C">
        <w:t>Consider decisions that have long life</w:t>
      </w:r>
      <w:r w:rsidR="00935506" w:rsidRPr="00E3756C">
        <w:t xml:space="preserve"> </w:t>
      </w:r>
      <w:r w:rsidRPr="00E3756C">
        <w:t>spans (eg</w:t>
      </w:r>
      <w:r w:rsidR="00935506" w:rsidRPr="00E3756C">
        <w:t>,</w:t>
      </w:r>
      <w:r w:rsidRPr="00E3756C">
        <w:t xml:space="preserve"> infrastructure)</w:t>
      </w:r>
      <w:r w:rsidR="00935506" w:rsidRPr="00E3756C">
        <w:t>.</w:t>
      </w:r>
    </w:p>
    <w:p w14:paraId="10E4FFC2" w14:textId="77777777" w:rsidR="00D35233" w:rsidRPr="00E3756C" w:rsidRDefault="00D35233" w:rsidP="00935506">
      <w:pPr>
        <w:pStyle w:val="Sub-list"/>
        <w:spacing w:after="100"/>
      </w:pPr>
      <w:r w:rsidRPr="00E3756C">
        <w:t>Identify research gaps where strength of evidence is low or there is deep uncertainty</w:t>
      </w:r>
      <w:r w:rsidR="00935506" w:rsidRPr="00E3756C">
        <w:t>.</w:t>
      </w:r>
    </w:p>
    <w:p w14:paraId="3C346B33" w14:textId="77777777" w:rsidR="00D35233" w:rsidRPr="00E3756C" w:rsidRDefault="00D35233" w:rsidP="00D35233">
      <w:pPr>
        <w:pStyle w:val="Sub-list"/>
      </w:pPr>
      <w:r w:rsidRPr="00E3756C">
        <w:t>Identify monitoring gaps</w:t>
      </w:r>
      <w:r w:rsidR="00935506" w:rsidRPr="00E3756C">
        <w:t>.</w:t>
      </w:r>
    </w:p>
    <w:p w14:paraId="4201666F" w14:textId="77777777" w:rsidR="00D35233" w:rsidRPr="00E3756C" w:rsidRDefault="00D35233" w:rsidP="00935506">
      <w:pPr>
        <w:pStyle w:val="Bullet"/>
        <w:spacing w:after="100"/>
      </w:pPr>
      <w:r w:rsidRPr="00E3756C">
        <w:rPr>
          <w:b/>
        </w:rPr>
        <w:t>Step 3: Report on key risks</w:t>
      </w:r>
      <w:r w:rsidRPr="00E3756C">
        <w:t xml:space="preserve"> </w:t>
      </w:r>
      <w:r w:rsidRPr="00607B28">
        <w:rPr>
          <w:b/>
        </w:rPr>
        <w:t>based on urgency for adaptation decisions and action</w:t>
      </w:r>
      <w:r w:rsidRPr="00E3756C">
        <w:t xml:space="preserve"> </w:t>
      </w:r>
    </w:p>
    <w:p w14:paraId="4AC3812C" w14:textId="77777777" w:rsidR="00D35233" w:rsidRPr="00E3756C" w:rsidRDefault="00D35233" w:rsidP="00935506">
      <w:pPr>
        <w:pStyle w:val="Sub-list"/>
        <w:spacing w:after="100"/>
        <w:rPr>
          <w:color w:val="000000"/>
        </w:rPr>
      </w:pPr>
      <w:r w:rsidRPr="00E3756C">
        <w:t xml:space="preserve">Highlight where </w:t>
      </w:r>
      <w:r w:rsidR="00935506" w:rsidRPr="00E3756C">
        <w:t xml:space="preserve">further </w:t>
      </w:r>
      <w:r w:rsidRPr="00E3756C">
        <w:t xml:space="preserve">action is needed or there is a research priority. </w:t>
      </w:r>
    </w:p>
    <w:p w14:paraId="493F4E73" w14:textId="77777777" w:rsidR="00D35233" w:rsidRPr="00E3756C" w:rsidRDefault="00D35233" w:rsidP="00935506">
      <w:pPr>
        <w:pStyle w:val="Sub-list"/>
        <w:spacing w:after="100"/>
        <w:rPr>
          <w:color w:val="000000"/>
        </w:rPr>
      </w:pPr>
      <w:r w:rsidRPr="00E3756C">
        <w:t>Use an integrated reporting template to show risk scores and impact of adaptation.</w:t>
      </w:r>
    </w:p>
    <w:p w14:paraId="1CB166F9" w14:textId="77777777" w:rsidR="00D35233" w:rsidRPr="00E3756C" w:rsidRDefault="00D35233" w:rsidP="00D35233">
      <w:pPr>
        <w:pStyle w:val="Sub-list"/>
        <w:rPr>
          <w:color w:val="000000"/>
        </w:rPr>
      </w:pPr>
      <w:r w:rsidRPr="00E3756C">
        <w:rPr>
          <w:color w:val="000000"/>
        </w:rPr>
        <w:t>Include where early action is critical</w:t>
      </w:r>
      <w:r w:rsidR="00935506" w:rsidRPr="00E3756C">
        <w:rPr>
          <w:color w:val="000000"/>
        </w:rPr>
        <w:t>,</w:t>
      </w:r>
      <w:r w:rsidRPr="00E3756C">
        <w:rPr>
          <w:color w:val="000000"/>
        </w:rPr>
        <w:t xml:space="preserve"> to take advantage of opportunities</w:t>
      </w:r>
      <w:r w:rsidR="00935506" w:rsidRPr="00E3756C">
        <w:rPr>
          <w:color w:val="000000"/>
        </w:rPr>
        <w:t>.</w:t>
      </w:r>
    </w:p>
    <w:p w14:paraId="5CC82616" w14:textId="77777777" w:rsidR="00D35233" w:rsidRPr="00E3756C" w:rsidRDefault="00D35233" w:rsidP="00D35233">
      <w:pPr>
        <w:pStyle w:val="Heading2"/>
      </w:pPr>
      <w:bookmarkStart w:id="185" w:name="_Toc14361559"/>
      <w:bookmarkStart w:id="186" w:name="_Toc15409172"/>
      <w:r w:rsidRPr="00E3756C">
        <w:lastRenderedPageBreak/>
        <w:t xml:space="preserve">B4.3 </w:t>
      </w:r>
      <w:r w:rsidR="00927CE4" w:rsidRPr="00E3756C">
        <w:tab/>
      </w:r>
      <w:r w:rsidRPr="00E3756C">
        <w:t>Guidance on the assessment steps</w:t>
      </w:r>
      <w:bookmarkEnd w:id="185"/>
      <w:bookmarkEnd w:id="186"/>
      <w:r w:rsidRPr="00E3756C">
        <w:t xml:space="preserve"> </w:t>
      </w:r>
      <w:bookmarkEnd w:id="184"/>
    </w:p>
    <w:p w14:paraId="056A0CB6" w14:textId="60E82B1B" w:rsidR="00D35233" w:rsidRPr="00E3756C" w:rsidRDefault="00D35233" w:rsidP="00D35233">
      <w:pPr>
        <w:pStyle w:val="Heading3"/>
        <w:spacing w:before="240"/>
      </w:pPr>
      <w:r w:rsidRPr="00E3756C">
        <w:t xml:space="preserve">Guidance on </w:t>
      </w:r>
      <w:r w:rsidR="0066063C">
        <w:t>S</w:t>
      </w:r>
      <w:r w:rsidR="000A17DE">
        <w:t>tep</w:t>
      </w:r>
      <w:r w:rsidRPr="00E3756C">
        <w:t xml:space="preserve"> 1</w:t>
      </w:r>
      <w:r w:rsidR="003970C1" w:rsidRPr="00E3756C">
        <w:t>:</w:t>
      </w:r>
      <w:r w:rsidRPr="00E3756C">
        <w:t xml:space="preserve"> Assess current and planned adaptation</w:t>
      </w:r>
    </w:p>
    <w:p w14:paraId="5076591D" w14:textId="2F83DC76" w:rsidR="00D35233" w:rsidRPr="00E3756C" w:rsidRDefault="0066063C" w:rsidP="00D35233">
      <w:pPr>
        <w:pStyle w:val="BodyText"/>
      </w:pPr>
      <w:r>
        <w:t>Once</w:t>
      </w:r>
      <w:r w:rsidR="00D35233" w:rsidRPr="00E3756C">
        <w:t xml:space="preserve"> </w:t>
      </w:r>
      <w:r w:rsidR="00B7422A">
        <w:t xml:space="preserve">you have identified </w:t>
      </w:r>
      <w:r w:rsidR="00D35233" w:rsidRPr="00E3756C">
        <w:t xml:space="preserve">major risks </w:t>
      </w:r>
      <w:r>
        <w:t>for</w:t>
      </w:r>
      <w:r w:rsidR="00D35233" w:rsidRPr="00E3756C">
        <w:t xml:space="preserve"> potential consequences (based on</w:t>
      </w:r>
      <w:r w:rsidR="00484C8A" w:rsidRPr="00E3756C">
        <w:t xml:space="preserve"> </w:t>
      </w:r>
      <w:r w:rsidR="00D35233" w:rsidRPr="00E3756C">
        <w:t>the exposure and vulnerability of the sector</w:t>
      </w:r>
      <w:r w:rsidR="003970C1" w:rsidRPr="00E3756C">
        <w:t xml:space="preserve">, </w:t>
      </w:r>
      <w:r w:rsidR="00D35233" w:rsidRPr="00E3756C">
        <w:t>system</w:t>
      </w:r>
      <w:r w:rsidR="003970C1" w:rsidRPr="00E3756C">
        <w:t xml:space="preserve"> or </w:t>
      </w:r>
      <w:r w:rsidR="00D35233" w:rsidRPr="00E3756C">
        <w:t xml:space="preserve">asset), </w:t>
      </w:r>
      <w:r>
        <w:t xml:space="preserve">next </w:t>
      </w:r>
      <w:r w:rsidR="00D35233" w:rsidRPr="00E3756C">
        <w:t>review current adaptations, regulations</w:t>
      </w:r>
      <w:r w:rsidR="003970C1" w:rsidRPr="00E3756C">
        <w:t xml:space="preserve"> and </w:t>
      </w:r>
      <w:r w:rsidR="00D35233" w:rsidRPr="00E3756C">
        <w:t xml:space="preserve">policies to identify gaps where more action is needed or current actions </w:t>
      </w:r>
      <w:r>
        <w:t>need modifying</w:t>
      </w:r>
      <w:r w:rsidR="00D35233" w:rsidRPr="00E3756C">
        <w:t xml:space="preserve">. This is the starting point </w:t>
      </w:r>
      <w:r w:rsidR="009C2C3E" w:rsidRPr="00E3756C">
        <w:t xml:space="preserve">for </w:t>
      </w:r>
      <w:r w:rsidR="00D35233" w:rsidRPr="00E3756C">
        <w:t>assess</w:t>
      </w:r>
      <w:r w:rsidR="009C2C3E" w:rsidRPr="00E3756C">
        <w:t>ing</w:t>
      </w:r>
      <w:r w:rsidR="00D35233" w:rsidRPr="00E3756C">
        <w:t xml:space="preserve"> the urgency of decision</w:t>
      </w:r>
      <w:r w:rsidR="003970C1" w:rsidRPr="00E3756C">
        <w:t>-</w:t>
      </w:r>
      <w:r w:rsidR="00D35233" w:rsidRPr="00E3756C">
        <w:t>making around future adaptation actions.</w:t>
      </w:r>
    </w:p>
    <w:p w14:paraId="674593CF" w14:textId="77777777" w:rsidR="00D35233" w:rsidRPr="00E3756C" w:rsidRDefault="003970C1" w:rsidP="00927CE4">
      <w:pPr>
        <w:pStyle w:val="BodyText"/>
        <w:spacing w:after="240"/>
      </w:pPr>
      <w:r w:rsidRPr="00E3756C">
        <w:t>D</w:t>
      </w:r>
      <w:r w:rsidR="00D35233" w:rsidRPr="00E3756C">
        <w:t>ifferent types of adaptation activities need to be considered when determining the current level of adaptation, as shown in</w:t>
      </w:r>
      <w:r w:rsidR="00D35233" w:rsidRPr="00E3756C">
        <w:rPr>
          <w:b/>
        </w:rPr>
        <w:t xml:space="preserve"> </w:t>
      </w:r>
      <w:r w:rsidR="009C2C3E" w:rsidRPr="00E3756C">
        <w:t>b</w:t>
      </w:r>
      <w:r w:rsidR="00D35233" w:rsidRPr="00E3756C">
        <w:t xml:space="preserve">ox B4-1. Stakeholder, partner and agency engagement should be used to tease out all types </w:t>
      </w:r>
      <w:r w:rsidR="00972922" w:rsidRPr="00E3756C">
        <w:t xml:space="preserve">of activities </w:t>
      </w:r>
      <w:r w:rsidR="00D35233" w:rsidRPr="00E3756C">
        <w:t>to compile a full picture of adaptation strategies for the key risks.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242B7" w:rsidRPr="00E3756C" w14:paraId="582DC59F" w14:textId="77777777" w:rsidTr="003735CF">
        <w:tc>
          <w:tcPr>
            <w:tcW w:w="0" w:type="auto"/>
            <w:shd w:val="clear" w:color="auto" w:fill="D2DDE2"/>
          </w:tcPr>
          <w:p w14:paraId="73446A13" w14:textId="77777777" w:rsidR="002242B7" w:rsidRPr="00E3756C" w:rsidRDefault="002242B7" w:rsidP="00772D36">
            <w:pPr>
              <w:pStyle w:val="Blueboxheading"/>
              <w:spacing w:after="120"/>
              <w:ind w:left="1168" w:hanging="884"/>
            </w:pPr>
            <w:r w:rsidRPr="00E3756C">
              <w:t xml:space="preserve">Box B4-1: </w:t>
            </w:r>
            <w:r w:rsidR="00772D36" w:rsidRPr="00E3756C">
              <w:tab/>
            </w:r>
            <w:r w:rsidRPr="00E3756C">
              <w:t xml:space="preserve">Types of adaptation </w:t>
            </w:r>
          </w:p>
          <w:p w14:paraId="22A6611A" w14:textId="77777777" w:rsidR="002242B7" w:rsidRPr="00E3756C" w:rsidRDefault="002242B7" w:rsidP="002242B7">
            <w:pPr>
              <w:pStyle w:val="Blue-boxbullet"/>
            </w:pPr>
            <w:r w:rsidRPr="00E3756C">
              <w:rPr>
                <w:b/>
              </w:rPr>
              <w:t xml:space="preserve">Anticipatory </w:t>
            </w:r>
            <w:r w:rsidR="00972922" w:rsidRPr="00E3756C">
              <w:rPr>
                <w:b/>
              </w:rPr>
              <w:t>a</w:t>
            </w:r>
            <w:r w:rsidRPr="00E3756C">
              <w:rPr>
                <w:b/>
              </w:rPr>
              <w:t>daptation</w:t>
            </w:r>
            <w:r w:rsidRPr="00E3756C">
              <w:t xml:space="preserve"> </w:t>
            </w:r>
            <w:r w:rsidR="00972922" w:rsidRPr="00E3756C">
              <w:t>–</w:t>
            </w:r>
            <w:r w:rsidRPr="00E3756C">
              <w:t xml:space="preserve"> Adaptation that takes place before impacts of climate change are observed. Also referred to as proactive adaptation.</w:t>
            </w:r>
          </w:p>
          <w:p w14:paraId="63E7E235" w14:textId="77777777" w:rsidR="002242B7" w:rsidRPr="00E3756C" w:rsidRDefault="002242B7" w:rsidP="002242B7">
            <w:pPr>
              <w:pStyle w:val="Blue-boxbullet"/>
            </w:pPr>
            <w:r w:rsidRPr="00E3756C">
              <w:rPr>
                <w:b/>
              </w:rPr>
              <w:t xml:space="preserve">Autonomous </w:t>
            </w:r>
            <w:r w:rsidR="00972922" w:rsidRPr="00E3756C">
              <w:rPr>
                <w:b/>
              </w:rPr>
              <w:t>a</w:t>
            </w:r>
            <w:r w:rsidRPr="00E3756C">
              <w:rPr>
                <w:b/>
              </w:rPr>
              <w:t>daptation</w:t>
            </w:r>
            <w:r w:rsidRPr="00E3756C">
              <w:t xml:space="preserve"> </w:t>
            </w:r>
            <w:r w:rsidR="00972922" w:rsidRPr="00E3756C">
              <w:t xml:space="preserve">– </w:t>
            </w:r>
            <w:r w:rsidRPr="00E3756C">
              <w:t>Adaptation that does not constitute a conscious response to climatic stimuli but is triggered by ecological changes in natural systems and by market or welfare changes in human systems. Also referred to as spontaneous adaptation.</w:t>
            </w:r>
          </w:p>
          <w:p w14:paraId="51DDFB32" w14:textId="77777777" w:rsidR="002242B7" w:rsidRPr="00E3756C" w:rsidRDefault="002242B7" w:rsidP="002242B7">
            <w:pPr>
              <w:pStyle w:val="Blue-boxbullet"/>
            </w:pPr>
            <w:r w:rsidRPr="00E3756C">
              <w:rPr>
                <w:b/>
              </w:rPr>
              <w:t xml:space="preserve">Planned </w:t>
            </w:r>
            <w:r w:rsidR="00972922" w:rsidRPr="00E3756C">
              <w:rPr>
                <w:b/>
              </w:rPr>
              <w:t>a</w:t>
            </w:r>
            <w:r w:rsidRPr="00E3756C">
              <w:rPr>
                <w:b/>
              </w:rPr>
              <w:t>daptation</w:t>
            </w:r>
            <w:r w:rsidRPr="00E3756C">
              <w:t xml:space="preserve"> </w:t>
            </w:r>
            <w:r w:rsidR="00972922" w:rsidRPr="00E3756C">
              <w:t>–</w:t>
            </w:r>
            <w:r w:rsidRPr="00E3756C">
              <w:t xml:space="preserve"> Adaptation that is the result of a deliberate policy decision, based on an awareness that conditions have changed or are about to change and that action is required to return to, maintain or achieve a desired state.</w:t>
            </w:r>
          </w:p>
          <w:p w14:paraId="4BFA953D" w14:textId="77777777" w:rsidR="002242B7" w:rsidRPr="00E3756C" w:rsidRDefault="002242B7" w:rsidP="002242B7">
            <w:pPr>
              <w:pStyle w:val="Blue-boxbullet"/>
            </w:pPr>
            <w:r w:rsidRPr="00E3756C">
              <w:rPr>
                <w:b/>
              </w:rPr>
              <w:t xml:space="preserve">Private </w:t>
            </w:r>
            <w:r w:rsidR="00972922" w:rsidRPr="00E3756C">
              <w:rPr>
                <w:b/>
              </w:rPr>
              <w:t>a</w:t>
            </w:r>
            <w:r w:rsidRPr="00E3756C">
              <w:rPr>
                <w:b/>
              </w:rPr>
              <w:t>daptation</w:t>
            </w:r>
            <w:r w:rsidRPr="00E3756C">
              <w:t xml:space="preserve"> </w:t>
            </w:r>
            <w:r w:rsidR="00972922" w:rsidRPr="00E3756C">
              <w:t>–</w:t>
            </w:r>
            <w:r w:rsidRPr="00E3756C">
              <w:t xml:space="preserve"> Adaptation that is initiated and implemented by individuals, households or private companies. Private adaptation is usually in the actor</w:t>
            </w:r>
            <w:r w:rsidR="00972922" w:rsidRPr="00E3756C">
              <w:t>’</w:t>
            </w:r>
            <w:r w:rsidRPr="00E3756C">
              <w:t>s rational self</w:t>
            </w:r>
            <w:r w:rsidR="00972922" w:rsidRPr="00E3756C">
              <w:noBreakHyphen/>
            </w:r>
            <w:r w:rsidRPr="00E3756C">
              <w:t>interest.</w:t>
            </w:r>
          </w:p>
          <w:p w14:paraId="673C2A76" w14:textId="77777777" w:rsidR="002242B7" w:rsidRPr="00E3756C" w:rsidRDefault="002242B7" w:rsidP="002242B7">
            <w:pPr>
              <w:pStyle w:val="Blue-boxbullet"/>
            </w:pPr>
            <w:r w:rsidRPr="00E3756C">
              <w:rPr>
                <w:b/>
              </w:rPr>
              <w:t xml:space="preserve">Public </w:t>
            </w:r>
            <w:r w:rsidR="00972922" w:rsidRPr="00E3756C">
              <w:rPr>
                <w:b/>
              </w:rPr>
              <w:t>a</w:t>
            </w:r>
            <w:r w:rsidRPr="00E3756C">
              <w:rPr>
                <w:b/>
              </w:rPr>
              <w:t>daptation</w:t>
            </w:r>
            <w:r w:rsidRPr="00E3756C">
              <w:t xml:space="preserve"> </w:t>
            </w:r>
            <w:r w:rsidR="00972922" w:rsidRPr="00E3756C">
              <w:t>–</w:t>
            </w:r>
            <w:r w:rsidRPr="00E3756C">
              <w:t xml:space="preserve"> Adaptation that is initiated and implemented by governments at all levels. Public adaptation is usually directed at collective needs.</w:t>
            </w:r>
          </w:p>
          <w:p w14:paraId="0A35E0E3" w14:textId="77777777" w:rsidR="002242B7" w:rsidRPr="00E3756C" w:rsidRDefault="002242B7" w:rsidP="00972922">
            <w:pPr>
              <w:pStyle w:val="Blue-boxbullet"/>
            </w:pPr>
            <w:r w:rsidRPr="00E3756C">
              <w:rPr>
                <w:b/>
              </w:rPr>
              <w:t xml:space="preserve">Reactive </w:t>
            </w:r>
            <w:r w:rsidR="00972922" w:rsidRPr="00E3756C">
              <w:rPr>
                <w:b/>
              </w:rPr>
              <w:t>a</w:t>
            </w:r>
            <w:r w:rsidRPr="00E3756C">
              <w:rPr>
                <w:b/>
              </w:rPr>
              <w:t>daptation</w:t>
            </w:r>
            <w:r w:rsidRPr="00E3756C">
              <w:t xml:space="preserve"> </w:t>
            </w:r>
            <w:r w:rsidR="00972922" w:rsidRPr="00E3756C">
              <w:t>–</w:t>
            </w:r>
            <w:r w:rsidRPr="00E3756C">
              <w:t xml:space="preserve"> Adaptation that takes place after impacts of climate change have been observed.</w:t>
            </w:r>
          </w:p>
          <w:p w14:paraId="50012D25" w14:textId="77777777" w:rsidR="00972922" w:rsidRPr="00E3756C" w:rsidRDefault="00972922" w:rsidP="00972922">
            <w:pPr>
              <w:pStyle w:val="Blueboxtext"/>
              <w:spacing w:before="0" w:after="240"/>
            </w:pPr>
            <w:r w:rsidRPr="00E3756C">
              <w:rPr>
                <w:sz w:val="18"/>
              </w:rPr>
              <w:t>Source: IPCC, 2001.</w:t>
            </w:r>
          </w:p>
        </w:tc>
      </w:tr>
    </w:tbl>
    <w:p w14:paraId="6F035527" w14:textId="77777777" w:rsidR="00FB13A8" w:rsidRPr="00E3756C" w:rsidRDefault="00FB13A8" w:rsidP="00FB13A8">
      <w:pPr>
        <w:pStyle w:val="BodyText"/>
        <w:spacing w:before="240"/>
      </w:pPr>
      <w:r w:rsidRPr="00E3756C">
        <w:t xml:space="preserve">Assess whether any risk management or adaptation strategies or actions </w:t>
      </w:r>
      <w:r w:rsidR="003157A7" w:rsidRPr="00E3756C">
        <w:t xml:space="preserve">are </w:t>
      </w:r>
      <w:r w:rsidRPr="00E3756C">
        <w:t xml:space="preserve">already in place or under development. If past or present changes in climate-related hazards or risk have been identified for the relevant value domain or sector, then consider whether </w:t>
      </w:r>
      <w:r w:rsidR="003157A7" w:rsidRPr="00E3756C">
        <w:t>any</w:t>
      </w:r>
      <w:r w:rsidRPr="00E3756C">
        <w:t xml:space="preserve"> risk management or adaptation strategies </w:t>
      </w:r>
      <w:r w:rsidR="003157A7" w:rsidRPr="00E3756C">
        <w:t xml:space="preserve">are </w:t>
      </w:r>
      <w:r w:rsidRPr="00E3756C">
        <w:t>in place (or under development) to tackle this rising or emergent risk. This step should only be a high-level assessment of activities that may influence the level of risk for the sector or element.</w:t>
      </w:r>
    </w:p>
    <w:p w14:paraId="6DE6A4B0" w14:textId="02685FB3" w:rsidR="00FB13A8" w:rsidRPr="00E3756C" w:rsidRDefault="00FB13A8" w:rsidP="00FB13A8">
      <w:pPr>
        <w:pStyle w:val="BodyText"/>
      </w:pPr>
      <w:r w:rsidRPr="00E3756C">
        <w:t xml:space="preserve">After gathering information on current actions and plans in </w:t>
      </w:r>
      <w:r w:rsidR="0066063C">
        <w:t>S</w:t>
      </w:r>
      <w:r w:rsidR="000A17DE">
        <w:t>tep</w:t>
      </w:r>
      <w:r w:rsidRPr="00E3756C">
        <w:t xml:space="preserve"> 1, a follow-on consideration is whether these strategies or actions are sufficient to reduce risk by asking if they are: </w:t>
      </w:r>
    </w:p>
    <w:p w14:paraId="4448E6F4" w14:textId="792BF7D1" w:rsidR="00FB13A8" w:rsidRPr="00E3756C" w:rsidRDefault="00FB13A8" w:rsidP="00FB13A8">
      <w:pPr>
        <w:pStyle w:val="Bullet"/>
      </w:pPr>
      <w:r w:rsidRPr="00E3756C">
        <w:t>short-term fixes to buy time or lock in future path dependencies – therefore</w:t>
      </w:r>
      <w:r w:rsidR="003157A7" w:rsidRPr="00E3756C">
        <w:t>,</w:t>
      </w:r>
      <w:r w:rsidRPr="00E3756C">
        <w:t xml:space="preserve"> the risks (or residual risks eg</w:t>
      </w:r>
      <w:r w:rsidR="003157A7" w:rsidRPr="00E3756C">
        <w:t>,</w:t>
      </w:r>
      <w:r w:rsidRPr="00E3756C">
        <w:t xml:space="preserve"> higher sea</w:t>
      </w:r>
      <w:r w:rsidR="0066063C">
        <w:t xml:space="preserve"> </w:t>
      </w:r>
      <w:r w:rsidRPr="00E3756C">
        <w:t>wall could be breached) are still present and need to be assessed in the NCCRA</w:t>
      </w:r>
    </w:p>
    <w:p w14:paraId="3BD0F196" w14:textId="77777777" w:rsidR="00FB13A8" w:rsidRPr="00E3756C" w:rsidRDefault="00FB13A8" w:rsidP="00FB13A8">
      <w:pPr>
        <w:pStyle w:val="Bullet"/>
      </w:pPr>
      <w:r w:rsidRPr="00E3756C">
        <w:t>long-term options or transformational changes in practices or responses, with inherent adaptive flexibility and</w:t>
      </w:r>
      <w:r w:rsidR="003157A7" w:rsidRPr="00E3756C">
        <w:t>,</w:t>
      </w:r>
      <w:r w:rsidRPr="00E3756C">
        <w:t xml:space="preserve"> therefore</w:t>
      </w:r>
      <w:r w:rsidR="003157A7" w:rsidRPr="00E3756C">
        <w:t>,</w:t>
      </w:r>
      <w:r w:rsidRPr="00E3756C">
        <w:t xml:space="preserve"> only require </w:t>
      </w:r>
      <w:r w:rsidR="003157A7" w:rsidRPr="00E3756C">
        <w:t>‘</w:t>
      </w:r>
      <w:r w:rsidRPr="00E3756C">
        <w:t>ongoing monitoring</w:t>
      </w:r>
      <w:r w:rsidR="003157A7" w:rsidRPr="00E3756C">
        <w:t>’</w:t>
      </w:r>
      <w:r w:rsidRPr="00E3756C">
        <w:t xml:space="preserve"> or a </w:t>
      </w:r>
      <w:r w:rsidR="003157A7" w:rsidRPr="00E3756C">
        <w:t>‘</w:t>
      </w:r>
      <w:r w:rsidRPr="00E3756C">
        <w:t>watching brief</w:t>
      </w:r>
      <w:r w:rsidR="003157A7" w:rsidRPr="00E3756C">
        <w:t>’</w:t>
      </w:r>
      <w:r w:rsidRPr="00E3756C">
        <w:t xml:space="preserve"> to ensure maladaptation or unintended impacts have not occurred. </w:t>
      </w:r>
    </w:p>
    <w:p w14:paraId="59D0E441" w14:textId="78D16F3A" w:rsidR="00FB13A8" w:rsidRPr="00E3756C" w:rsidRDefault="00FB13A8" w:rsidP="00FB13A8">
      <w:pPr>
        <w:pStyle w:val="BodyText"/>
      </w:pPr>
      <w:r w:rsidRPr="00E3756C">
        <w:lastRenderedPageBreak/>
        <w:t>Integrating adaptation into climate change planning and decision-making will include both incremental and transformational adjustments. It is important to consider that the time horizons for risk often differ from those required for adaptation planning. For example, a risk such as rising groundwater levels may not manifest itself for several decades, but the timeframes related to land</w:t>
      </w:r>
      <w:r w:rsidR="0066063C">
        <w:t>-</w:t>
      </w:r>
      <w:r w:rsidRPr="00E3756C">
        <w:t xml:space="preserve">use planning processes mean adaptations now may reduce consequences and impact severity in future. </w:t>
      </w:r>
    </w:p>
    <w:p w14:paraId="3DD16682" w14:textId="150EA270" w:rsidR="00FB13A8" w:rsidRPr="00E3756C" w:rsidRDefault="00FB13A8" w:rsidP="00FB13A8">
      <w:pPr>
        <w:pStyle w:val="Heading3"/>
      </w:pPr>
      <w:r w:rsidRPr="00E3756C">
        <w:t xml:space="preserve">Guidance on </w:t>
      </w:r>
      <w:r w:rsidR="0066063C">
        <w:t>S</w:t>
      </w:r>
      <w:r w:rsidR="000A17DE">
        <w:t>tep</w:t>
      </w:r>
      <w:r w:rsidRPr="00E3756C">
        <w:t xml:space="preserve"> 2</w:t>
      </w:r>
      <w:r w:rsidR="00930345" w:rsidRPr="00E3756C">
        <w:t>:</w:t>
      </w:r>
      <w:r w:rsidRPr="00E3756C">
        <w:t xml:space="preserve"> Assess decision urgency</w:t>
      </w:r>
    </w:p>
    <w:p w14:paraId="25565B5A" w14:textId="6D7A6F69" w:rsidR="00FB13A8" w:rsidRPr="00E3756C" w:rsidRDefault="0066063C" w:rsidP="00FB13A8">
      <w:pPr>
        <w:pStyle w:val="BodyText"/>
      </w:pPr>
      <w:r>
        <w:t>Adaptation</w:t>
      </w:r>
      <w:r w:rsidR="00FB13A8" w:rsidRPr="00E3756C">
        <w:t xml:space="preserve"> actions or options will require considerable lead times not only to develop a plan but to implement it (eg</w:t>
      </w:r>
      <w:r w:rsidR="00917DBD" w:rsidRPr="00E3756C">
        <w:t>,</w:t>
      </w:r>
      <w:r w:rsidR="00FB13A8" w:rsidRPr="00E3756C">
        <w:t xml:space="preserve"> managed relocation from very low-lying coastal or flood</w:t>
      </w:r>
      <w:r w:rsidR="00917DBD" w:rsidRPr="00E3756C">
        <w:t xml:space="preserve"> </w:t>
      </w:r>
      <w:r w:rsidR="00FB13A8" w:rsidRPr="00E3756C">
        <w:t>plain areas may take decades to achieve). If an important risk looks to be emerging in the medium</w:t>
      </w:r>
      <w:r w:rsidR="008448C7" w:rsidRPr="00E3756C">
        <w:t>-</w:t>
      </w:r>
      <w:r w:rsidR="00FB13A8" w:rsidRPr="00E3756C">
        <w:t>to</w:t>
      </w:r>
      <w:r w:rsidR="008448C7" w:rsidRPr="00E3756C">
        <w:t>-</w:t>
      </w:r>
      <w:r w:rsidR="00FB13A8" w:rsidRPr="00E3756C">
        <w:t>long</w:t>
      </w:r>
      <w:r w:rsidR="008448C7" w:rsidRPr="00E3756C">
        <w:t xml:space="preserve"> </w:t>
      </w:r>
      <w:r w:rsidR="00FB13A8" w:rsidRPr="00E3756C">
        <w:t>term (30</w:t>
      </w:r>
      <w:r w:rsidR="008448C7" w:rsidRPr="00E3756C">
        <w:t>-plus</w:t>
      </w:r>
      <w:r w:rsidR="00FB13A8" w:rsidRPr="00E3756C">
        <w:t xml:space="preserve"> years), but requires long lead times for implementation or effectiveness of an adaptation strategy, then this could be rated as more urgent than a decision on another risk where adaptation does not require such a lead time, even if it may emerge sooner.</w:t>
      </w:r>
    </w:p>
    <w:p w14:paraId="7CFB422A" w14:textId="77777777" w:rsidR="00FB13A8" w:rsidRPr="00E3756C" w:rsidRDefault="00FB13A8" w:rsidP="00FB13A8">
      <w:pPr>
        <w:pStyle w:val="BodyText"/>
      </w:pPr>
      <w:r w:rsidRPr="00E3756C">
        <w:t>The assessment should consider where delays may increase long-term costs or reduce expected benefits. This can happen particularly in the case of slow-onset trends, which can grow steadily but imperceptibly until they reach a tipping point.</w:t>
      </w:r>
    </w:p>
    <w:p w14:paraId="4E26477C" w14:textId="77777777" w:rsidR="00FB13A8" w:rsidRPr="00E3756C" w:rsidRDefault="00FB13A8" w:rsidP="00FB13A8">
      <w:pPr>
        <w:pStyle w:val="BodyText"/>
      </w:pPr>
      <w:r w:rsidRPr="00E3756C">
        <w:t xml:space="preserve">Engagement with stakeholders in a series of </w:t>
      </w:r>
      <w:r w:rsidR="008448C7" w:rsidRPr="00E3756C">
        <w:t>‘</w:t>
      </w:r>
      <w:r w:rsidRPr="00E3756C">
        <w:t>positive enquiry</w:t>
      </w:r>
      <w:r w:rsidR="008448C7" w:rsidRPr="00E3756C">
        <w:t>’</w:t>
      </w:r>
      <w:r w:rsidRPr="00E3756C">
        <w:t xml:space="preserve"> questions can elicit information on options and barriers. Such questions could include</w:t>
      </w:r>
      <w:r w:rsidR="008448C7" w:rsidRPr="00E3756C">
        <w:t xml:space="preserve"> the following.</w:t>
      </w:r>
    </w:p>
    <w:p w14:paraId="2D912E33" w14:textId="653ED9C4" w:rsidR="00FB13A8" w:rsidRPr="00E3756C" w:rsidRDefault="00FB13A8" w:rsidP="001E0125">
      <w:pPr>
        <w:pStyle w:val="Bullet"/>
        <w:rPr>
          <w:b/>
        </w:rPr>
      </w:pPr>
      <w:r w:rsidRPr="00E3756C">
        <w:rPr>
          <w:b/>
        </w:rPr>
        <w:t>Would action have early, robust benefits?</w:t>
      </w:r>
    </w:p>
    <w:p w14:paraId="35A61F50" w14:textId="77777777" w:rsidR="00FB13A8" w:rsidRPr="00E3756C" w:rsidRDefault="00FB13A8" w:rsidP="001E0125">
      <w:pPr>
        <w:pStyle w:val="BodyText"/>
        <w:spacing w:before="0" w:after="240"/>
        <w:ind w:left="397"/>
      </w:pPr>
      <w:r w:rsidRPr="00E3756C">
        <w:t>This could lead to identified ‘no-regret’</w:t>
      </w:r>
      <w:r w:rsidR="00967166" w:rsidRPr="00E3756C">
        <w:t xml:space="preserve"> or </w:t>
      </w:r>
      <w:r w:rsidRPr="00E3756C">
        <w:t xml:space="preserve">’low-regret’ actions </w:t>
      </w:r>
      <w:r w:rsidR="00967166" w:rsidRPr="00E3756C">
        <w:t xml:space="preserve">that </w:t>
      </w:r>
      <w:r w:rsidRPr="00E3756C">
        <w:t xml:space="preserve">help build future resilience. </w:t>
      </w:r>
    </w:p>
    <w:p w14:paraId="410C1029" w14:textId="77777777" w:rsidR="00FB13A8" w:rsidRPr="00E3756C" w:rsidRDefault="00FB13A8" w:rsidP="001E0125">
      <w:pPr>
        <w:pStyle w:val="Bullet"/>
        <w:rPr>
          <w:b/>
        </w:rPr>
      </w:pPr>
      <w:r w:rsidRPr="00E3756C">
        <w:rPr>
          <w:b/>
        </w:rPr>
        <w:t>Do decisions have long lead times?</w:t>
      </w:r>
    </w:p>
    <w:p w14:paraId="06D4D568" w14:textId="77777777" w:rsidR="00FB13A8" w:rsidRPr="00E3756C" w:rsidRDefault="00FB13A8" w:rsidP="001E0125">
      <w:pPr>
        <w:pStyle w:val="BodyText"/>
        <w:spacing w:before="0" w:after="240"/>
        <w:ind w:left="397"/>
      </w:pPr>
      <w:r w:rsidRPr="00E3756C">
        <w:t>Adaptations with long lead times may require action sooner.</w:t>
      </w:r>
    </w:p>
    <w:p w14:paraId="2E0BA876" w14:textId="77777777" w:rsidR="00FB13A8" w:rsidRPr="00E3756C" w:rsidRDefault="00FB13A8" w:rsidP="001E0125">
      <w:pPr>
        <w:pStyle w:val="Bullet"/>
        <w:rPr>
          <w:b/>
        </w:rPr>
      </w:pPr>
      <w:r w:rsidRPr="00E3756C">
        <w:rPr>
          <w:b/>
        </w:rPr>
        <w:t>Is there potential for lock-in?</w:t>
      </w:r>
    </w:p>
    <w:p w14:paraId="104A7AC1" w14:textId="652EC353" w:rsidR="00FB13A8" w:rsidRPr="00E3756C" w:rsidRDefault="00FB13A8" w:rsidP="001E0125">
      <w:pPr>
        <w:pStyle w:val="BodyText"/>
        <w:spacing w:before="0" w:after="240"/>
        <w:ind w:left="397"/>
      </w:pPr>
      <w:r w:rsidRPr="00E3756C">
        <w:t xml:space="preserve">This point serves to </w:t>
      </w:r>
      <w:r w:rsidR="00967166" w:rsidRPr="00E3756C">
        <w:t xml:space="preserve">show </w:t>
      </w:r>
      <w:r w:rsidRPr="00E3756C">
        <w:t>that</w:t>
      </w:r>
      <w:r w:rsidR="00967166" w:rsidRPr="00E3756C">
        <w:t>,</w:t>
      </w:r>
      <w:r w:rsidRPr="00E3756C">
        <w:t xml:space="preserve"> in some instances</w:t>
      </w:r>
      <w:r w:rsidR="00967166" w:rsidRPr="00E3756C">
        <w:t>,</w:t>
      </w:r>
      <w:r w:rsidRPr="00E3756C">
        <w:t xml:space="preserve"> avoiding actions can maintain options and be more effective in the longer term. This includes areas where decisions today could ‘lock-in’ vulnerability of assets or communities for a long time. </w:t>
      </w:r>
      <w:r w:rsidR="00967166" w:rsidRPr="00E3756C">
        <w:t>F</w:t>
      </w:r>
      <w:r w:rsidRPr="00E3756C">
        <w:t xml:space="preserve">ast-tracking of adaptation may be desirable if a wrong decision today </w:t>
      </w:r>
      <w:r w:rsidR="00967166" w:rsidRPr="00E3756C">
        <w:t xml:space="preserve">will </w:t>
      </w:r>
      <w:r w:rsidRPr="00E3756C">
        <w:t>make us more vulnerable in the future and if those effects are costly to reverse. Several strategic decisions potentially fall into this category, including those on long-term infrastructure (eg</w:t>
      </w:r>
      <w:r w:rsidR="00967166" w:rsidRPr="00E3756C">
        <w:t>,</w:t>
      </w:r>
      <w:r w:rsidRPr="00E3756C">
        <w:t xml:space="preserve"> the location of new ports, airports, roads), land</w:t>
      </w:r>
      <w:r w:rsidR="00D2002A">
        <w:t>-</w:t>
      </w:r>
      <w:r w:rsidRPr="00E3756C">
        <w:t>use planning and the management of development trends, such as regional water demand.</w:t>
      </w:r>
    </w:p>
    <w:p w14:paraId="14540752" w14:textId="77777777" w:rsidR="00FB13A8" w:rsidRPr="00E3756C" w:rsidRDefault="002021C9" w:rsidP="00E86BF3">
      <w:pPr>
        <w:pStyle w:val="BodyText"/>
      </w:pPr>
      <w:r w:rsidRPr="00E3756C">
        <w:t>P</w:t>
      </w:r>
      <w:r w:rsidR="00FB13A8" w:rsidRPr="00E3756C">
        <w:t>rompts for engagement on assessing current and planned adaptation are shown below</w:t>
      </w:r>
      <w:r w:rsidRPr="00E3756C">
        <w:t>.</w:t>
      </w: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600" w:firstRow="0" w:lastRow="0" w:firstColumn="0" w:lastColumn="0" w:noHBand="1" w:noVBand="1"/>
      </w:tblPr>
      <w:tblGrid>
        <w:gridCol w:w="2001"/>
        <w:gridCol w:w="6504"/>
      </w:tblGrid>
      <w:tr w:rsidR="00D07454" w:rsidRPr="00E3756C" w14:paraId="4076C66D" w14:textId="77777777" w:rsidTr="003735CF">
        <w:trPr>
          <w:tblHeader/>
        </w:trPr>
        <w:tc>
          <w:tcPr>
            <w:tcW w:w="2001" w:type="dxa"/>
            <w:shd w:val="clear" w:color="auto" w:fill="1C556C" w:themeFill="accent1"/>
            <w:tcMar>
              <w:top w:w="0" w:type="dxa"/>
              <w:left w:w="100" w:type="dxa"/>
              <w:bottom w:w="0" w:type="dxa"/>
              <w:right w:w="100" w:type="dxa"/>
            </w:tcMar>
          </w:tcPr>
          <w:p w14:paraId="76A99A05" w14:textId="77777777" w:rsidR="00D07454" w:rsidRPr="00E3756C" w:rsidRDefault="00D07454" w:rsidP="00D07454">
            <w:pPr>
              <w:pStyle w:val="TableTextbold"/>
              <w:rPr>
                <w:color w:val="FFFFFF" w:themeColor="background1"/>
              </w:rPr>
            </w:pPr>
            <w:r w:rsidRPr="00E3756C">
              <w:rPr>
                <w:color w:val="FFFFFF" w:themeColor="background1"/>
              </w:rPr>
              <w:t>Engagement activities</w:t>
            </w:r>
          </w:p>
        </w:tc>
        <w:tc>
          <w:tcPr>
            <w:tcW w:w="6504" w:type="dxa"/>
            <w:shd w:val="clear" w:color="auto" w:fill="1C556C" w:themeFill="accent1"/>
            <w:tcMar>
              <w:top w:w="0" w:type="dxa"/>
              <w:left w:w="100" w:type="dxa"/>
              <w:bottom w:w="0" w:type="dxa"/>
              <w:right w:w="100" w:type="dxa"/>
            </w:tcMar>
          </w:tcPr>
          <w:p w14:paraId="6386ABB9" w14:textId="77777777" w:rsidR="00D07454" w:rsidRPr="00E3756C" w:rsidRDefault="00D07454" w:rsidP="00D07454">
            <w:pPr>
              <w:pStyle w:val="TableTextbold"/>
              <w:rPr>
                <w:color w:val="FFFFFF" w:themeColor="background1"/>
              </w:rPr>
            </w:pPr>
            <w:r w:rsidRPr="00E3756C">
              <w:rPr>
                <w:color w:val="FFFFFF" w:themeColor="background1"/>
              </w:rPr>
              <w:t>Prompts</w:t>
            </w:r>
          </w:p>
        </w:tc>
      </w:tr>
      <w:tr w:rsidR="00D07454" w:rsidRPr="00E3756C" w14:paraId="2AFF6789" w14:textId="77777777" w:rsidTr="003735CF">
        <w:tc>
          <w:tcPr>
            <w:tcW w:w="2001" w:type="dxa"/>
            <w:tcMar>
              <w:top w:w="0" w:type="dxa"/>
              <w:left w:w="100" w:type="dxa"/>
              <w:bottom w:w="0" w:type="dxa"/>
              <w:right w:w="100" w:type="dxa"/>
            </w:tcMar>
          </w:tcPr>
          <w:p w14:paraId="27A724DB" w14:textId="77777777" w:rsidR="00D07454" w:rsidRPr="00E3756C" w:rsidRDefault="00D07454" w:rsidP="00D07454">
            <w:pPr>
              <w:pStyle w:val="TableTextbold"/>
            </w:pPr>
            <w:r w:rsidRPr="00E3756C">
              <w:t>Assessing current and planned adaptation</w:t>
            </w:r>
          </w:p>
        </w:tc>
        <w:tc>
          <w:tcPr>
            <w:tcW w:w="6504" w:type="dxa"/>
            <w:tcMar>
              <w:top w:w="0" w:type="dxa"/>
              <w:left w:w="100" w:type="dxa"/>
              <w:bottom w:w="0" w:type="dxa"/>
              <w:right w:w="100" w:type="dxa"/>
            </w:tcMar>
          </w:tcPr>
          <w:p w14:paraId="523DB68E" w14:textId="77777777" w:rsidR="00D07454" w:rsidRPr="00E3756C" w:rsidRDefault="00D07454" w:rsidP="00D07454">
            <w:pPr>
              <w:pStyle w:val="TableBullet"/>
              <w:spacing w:before="60"/>
            </w:pPr>
            <w:r w:rsidRPr="00E3756C">
              <w:t>What adaptation measures</w:t>
            </w:r>
            <w:r w:rsidR="00215DAF" w:rsidRPr="00E3756C">
              <w:t xml:space="preserve"> and </w:t>
            </w:r>
            <w:r w:rsidRPr="00E3756C">
              <w:t xml:space="preserve">policies is your agency currently </w:t>
            </w:r>
            <w:r w:rsidR="00215DAF" w:rsidRPr="00E3756C">
              <w:t xml:space="preserve">undertaking </w:t>
            </w:r>
            <w:r w:rsidRPr="00E3756C">
              <w:t>or planning for climate change?</w:t>
            </w:r>
          </w:p>
          <w:p w14:paraId="24914CFD" w14:textId="77777777" w:rsidR="00D07454" w:rsidRPr="00E3756C" w:rsidRDefault="00D07454" w:rsidP="00D07454">
            <w:pPr>
              <w:pStyle w:val="TableBullet"/>
            </w:pPr>
            <w:r w:rsidRPr="00E3756C">
              <w:t>What adaptive measures could be taken in the future?</w:t>
            </w:r>
          </w:p>
          <w:p w14:paraId="754352DC" w14:textId="77777777" w:rsidR="00D07454" w:rsidRPr="00E3756C" w:rsidRDefault="00D07454" w:rsidP="00D07454">
            <w:pPr>
              <w:pStyle w:val="TableBullet"/>
            </w:pPr>
            <w:r w:rsidRPr="00E3756C">
              <w:t xml:space="preserve">Are there any new policy initiatives that need to be implemented? </w:t>
            </w:r>
          </w:p>
          <w:p w14:paraId="32CEB0AB" w14:textId="77777777" w:rsidR="00D07454" w:rsidRPr="00E3756C" w:rsidRDefault="00D07454" w:rsidP="00D07454">
            <w:pPr>
              <w:pStyle w:val="TableBullet"/>
            </w:pPr>
            <w:r w:rsidRPr="00E3756C">
              <w:t>What are the implications of any actions to the different sectors and Māori?</w:t>
            </w:r>
          </w:p>
          <w:p w14:paraId="3E5C5594" w14:textId="77777777" w:rsidR="00D07454" w:rsidRPr="00E3756C" w:rsidRDefault="00D07454" w:rsidP="00D07454">
            <w:pPr>
              <w:pStyle w:val="TableBullet"/>
            </w:pPr>
            <w:r w:rsidRPr="00E3756C">
              <w:t>What is the impact on sectors of waiting or not waiting on actions?</w:t>
            </w:r>
          </w:p>
          <w:p w14:paraId="774BF736" w14:textId="77777777" w:rsidR="00D07454" w:rsidRPr="00E3756C" w:rsidRDefault="00D07454" w:rsidP="00D07454">
            <w:pPr>
              <w:pStyle w:val="TableBullet"/>
            </w:pPr>
            <w:r w:rsidRPr="00E3756C">
              <w:t>How will your agency monitor the effectiveness of climate change policies?</w:t>
            </w:r>
          </w:p>
          <w:p w14:paraId="3857DAC3" w14:textId="77777777" w:rsidR="00D07454" w:rsidRPr="00E3756C" w:rsidRDefault="00D07454" w:rsidP="00D07454">
            <w:pPr>
              <w:pStyle w:val="TableBullet"/>
            </w:pPr>
            <w:r w:rsidRPr="00E3756C">
              <w:lastRenderedPageBreak/>
              <w:t>Is there a process for changing policies if they are deemed ineffective?</w:t>
            </w:r>
          </w:p>
          <w:p w14:paraId="1D704654" w14:textId="77777777" w:rsidR="00D07454" w:rsidRPr="00E3756C" w:rsidRDefault="00D07454" w:rsidP="00D07454">
            <w:pPr>
              <w:pStyle w:val="TableBullet"/>
            </w:pPr>
            <w:r w:rsidRPr="00E3756C">
              <w:t>Do any regions require a national all-of-government approach?</w:t>
            </w:r>
          </w:p>
          <w:p w14:paraId="7746D609" w14:textId="77777777" w:rsidR="00D07454" w:rsidRPr="00E3756C" w:rsidRDefault="00D07454" w:rsidP="00D07454">
            <w:pPr>
              <w:pStyle w:val="TableBullet"/>
            </w:pPr>
            <w:r w:rsidRPr="00E3756C">
              <w:t>What are the priority issues? To whom?</w:t>
            </w:r>
          </w:p>
          <w:p w14:paraId="738E0915" w14:textId="77777777" w:rsidR="00D07454" w:rsidRPr="00E3756C" w:rsidRDefault="00D07454" w:rsidP="00D07454">
            <w:pPr>
              <w:pStyle w:val="TableBullet"/>
            </w:pPr>
            <w:r w:rsidRPr="00E3756C">
              <w:t>Where are the gaps in knowledge?</w:t>
            </w:r>
          </w:p>
        </w:tc>
      </w:tr>
    </w:tbl>
    <w:p w14:paraId="2333C4D1" w14:textId="77777777" w:rsidR="00781695" w:rsidRPr="00E3756C" w:rsidRDefault="00781695" w:rsidP="001E0125">
      <w:pPr>
        <w:pStyle w:val="Heading4"/>
        <w:spacing w:before="360"/>
      </w:pPr>
      <w:r w:rsidRPr="00E3756C">
        <w:lastRenderedPageBreak/>
        <w:t>Urgency categories for decision</w:t>
      </w:r>
      <w:r w:rsidR="00215DAF" w:rsidRPr="00E3756C">
        <w:t>-</w:t>
      </w:r>
      <w:r w:rsidRPr="00E3756C">
        <w:t>making</w:t>
      </w:r>
    </w:p>
    <w:p w14:paraId="14125BCC" w14:textId="77777777" w:rsidR="00781695" w:rsidRPr="00E3756C" w:rsidRDefault="00781695" w:rsidP="00BD3B07">
      <w:pPr>
        <w:pStyle w:val="BodyText"/>
        <w:keepNext/>
      </w:pPr>
      <w:r w:rsidRPr="00E3756C">
        <w:t>From the engagement process, the major risks are ranked</w:t>
      </w:r>
      <w:r w:rsidR="00215DAF" w:rsidRPr="00E3756C">
        <w:t xml:space="preserve"> and </w:t>
      </w:r>
      <w:r w:rsidRPr="00E3756C">
        <w:t>rated in terms of urgency for action. Judg</w:t>
      </w:r>
      <w:r w:rsidR="00215DAF" w:rsidRPr="00E3756C">
        <w:t>e</w:t>
      </w:r>
      <w:r w:rsidRPr="00E3756C">
        <w:t xml:space="preserve">ment of urgency is based on available evidence about: </w:t>
      </w:r>
    </w:p>
    <w:p w14:paraId="1F585ABB" w14:textId="77777777" w:rsidR="00781695" w:rsidRPr="00E3756C" w:rsidRDefault="00781695" w:rsidP="001E0125">
      <w:pPr>
        <w:pStyle w:val="Bullet"/>
      </w:pPr>
      <w:r w:rsidRPr="00E3756C">
        <w:t xml:space="preserve">the opportunity for intervention or early adaptation </w:t>
      </w:r>
    </w:p>
    <w:p w14:paraId="1B9D8590" w14:textId="77777777" w:rsidR="00781695" w:rsidRPr="00E3756C" w:rsidRDefault="00781695" w:rsidP="001E0125">
      <w:pPr>
        <w:pStyle w:val="Bullet"/>
      </w:pPr>
      <w:r w:rsidRPr="00E3756C">
        <w:t xml:space="preserve">the difficulty of adaptation </w:t>
      </w:r>
    </w:p>
    <w:p w14:paraId="05199FB0" w14:textId="77777777" w:rsidR="00781695" w:rsidRPr="00E3756C" w:rsidRDefault="00781695" w:rsidP="001E0125">
      <w:pPr>
        <w:pStyle w:val="Bullet"/>
      </w:pPr>
      <w:r w:rsidRPr="00E3756C">
        <w:t xml:space="preserve">the lead time for adaptation </w:t>
      </w:r>
    </w:p>
    <w:p w14:paraId="430FC328" w14:textId="77777777" w:rsidR="00781695" w:rsidRPr="00E3756C" w:rsidRDefault="00781695" w:rsidP="001E0125">
      <w:pPr>
        <w:pStyle w:val="Bullet"/>
      </w:pPr>
      <w:r w:rsidRPr="00E3756C">
        <w:t xml:space="preserve">existing or expected socio-economic trends </w:t>
      </w:r>
    </w:p>
    <w:p w14:paraId="4EBEB36A" w14:textId="77777777" w:rsidR="00781695" w:rsidRPr="00E3756C" w:rsidRDefault="00781695" w:rsidP="001E0125">
      <w:pPr>
        <w:pStyle w:val="Bullet"/>
        <w:rPr>
          <w:rFonts w:asciiTheme="minorHAnsi" w:hAnsiTheme="minorHAnsi" w:cstheme="minorHAnsi"/>
          <w:i/>
        </w:rPr>
      </w:pPr>
      <w:r w:rsidRPr="00E3756C">
        <w:t xml:space="preserve">the flexibility of the system in terms of the ability to change decisions in the future that are made today. </w:t>
      </w:r>
    </w:p>
    <w:p w14:paraId="22064DF5" w14:textId="1F553023" w:rsidR="00D2002A" w:rsidRDefault="00781695" w:rsidP="001E0125">
      <w:pPr>
        <w:pStyle w:val="BodyText"/>
      </w:pPr>
      <w:r w:rsidRPr="00E3756C">
        <w:t xml:space="preserve">Typical risk management language refers to levels of risk, </w:t>
      </w:r>
      <w:r w:rsidR="00AE5CD3" w:rsidRPr="00E3756C">
        <w:t>that is,</w:t>
      </w:r>
      <w:r w:rsidRPr="00E3756C">
        <w:t xml:space="preserve"> high, medium, low; or acceptable, tolerable, intolerable. To avoid confusion and provide a measure that relates directly to </w:t>
      </w:r>
      <w:r w:rsidR="007A58FE" w:rsidRPr="00E3756C">
        <w:t>‘</w:t>
      </w:r>
      <w:r w:rsidRPr="005969DE">
        <w:t>adaptation decision</w:t>
      </w:r>
      <w:r w:rsidR="00D2002A">
        <w:t>-</w:t>
      </w:r>
      <w:r w:rsidRPr="005969DE">
        <w:t>making</w:t>
      </w:r>
      <w:r w:rsidR="007A58FE" w:rsidRPr="00E3756C">
        <w:t>’</w:t>
      </w:r>
      <w:r w:rsidRPr="00E3756C">
        <w:t xml:space="preserve">, the NCCRA framework adopts the UK </w:t>
      </w:r>
      <w:r w:rsidR="00AE5CD3" w:rsidRPr="00E3756C">
        <w:t xml:space="preserve">Climate Change Risk Assessment </w:t>
      </w:r>
      <w:r w:rsidRPr="00E3756C">
        <w:t>urgency categories</w:t>
      </w:r>
      <w:r w:rsidR="00D2002A">
        <w:t xml:space="preserve">. This provides </w:t>
      </w:r>
      <w:r w:rsidRPr="00E3756C">
        <w:t>clear signals about the urgency of decisions and actions</w:t>
      </w:r>
      <w:r w:rsidR="00003706" w:rsidRPr="00E3756C">
        <w:t xml:space="preserve"> (Committee on Climate Change, 2017)</w:t>
      </w:r>
      <w:r w:rsidRPr="00E3756C">
        <w:t xml:space="preserve">. </w:t>
      </w:r>
    </w:p>
    <w:p w14:paraId="04F5DA34" w14:textId="620CD9A4" w:rsidR="00781695" w:rsidRPr="00E3756C" w:rsidRDefault="00781695" w:rsidP="001E0125">
      <w:pPr>
        <w:pStyle w:val="BodyText"/>
      </w:pPr>
      <w:r w:rsidRPr="00E3756C">
        <w:t>In this approach, less urgent categories are designated as either ‘</w:t>
      </w:r>
      <w:r w:rsidRPr="005969DE">
        <w:t>watching brief</w:t>
      </w:r>
      <w:r w:rsidRPr="00E3756C">
        <w:t>’ (where risks should be monitored and reviewed)</w:t>
      </w:r>
      <w:r w:rsidR="00484C8A" w:rsidRPr="00E3756C">
        <w:t xml:space="preserve"> </w:t>
      </w:r>
      <w:r w:rsidRPr="00E3756C">
        <w:t>or ‘</w:t>
      </w:r>
      <w:r w:rsidRPr="005969DE">
        <w:t>sustain current action</w:t>
      </w:r>
      <w:r w:rsidRPr="00E3756C">
        <w:t>’ (where current or planned actions need to be carried out)</w:t>
      </w:r>
      <w:r w:rsidR="00555B24" w:rsidRPr="00E3756C">
        <w:t>.</w:t>
      </w:r>
      <w:r w:rsidRPr="00E3756C">
        <w:t xml:space="preserve"> </w:t>
      </w:r>
      <w:r w:rsidR="00555B24" w:rsidRPr="00E3756C">
        <w:t>T</w:t>
      </w:r>
      <w:r w:rsidRPr="00E3756C">
        <w:t>he more urgent categories are designated ‘</w:t>
      </w:r>
      <w:r w:rsidRPr="005969DE">
        <w:t>research priority’</w:t>
      </w:r>
      <w:r w:rsidRPr="00E3756C">
        <w:t xml:space="preserve"> (where risks are potentially high but significant evidence gaps </w:t>
      </w:r>
      <w:r w:rsidR="00555B24" w:rsidRPr="00E3756C">
        <w:t xml:space="preserve">exist </w:t>
      </w:r>
      <w:r w:rsidRPr="00E3756C">
        <w:t xml:space="preserve">and/or little </w:t>
      </w:r>
      <w:r w:rsidR="00555B24" w:rsidRPr="00E3756C">
        <w:t xml:space="preserve">is </w:t>
      </w:r>
      <w:r w:rsidRPr="00E3756C">
        <w:t>known about adaptation) and</w:t>
      </w:r>
      <w:r w:rsidR="00484C8A" w:rsidRPr="00E3756C">
        <w:t xml:space="preserve"> </w:t>
      </w:r>
      <w:r w:rsidRPr="00E3756C">
        <w:t>‘</w:t>
      </w:r>
      <w:r w:rsidRPr="005969DE">
        <w:t>more action needed’</w:t>
      </w:r>
      <w:r w:rsidRPr="00E3756C">
        <w:t xml:space="preserve"> for risks where stronger change in adaptation planning and activity is urgently required to reduce the impacts (consequences). </w:t>
      </w:r>
    </w:p>
    <w:p w14:paraId="66C0B78F" w14:textId="77777777" w:rsidR="001E0125" w:rsidRPr="00E3756C" w:rsidRDefault="00D36EBE" w:rsidP="001E0125">
      <w:pPr>
        <w:pStyle w:val="BodyText"/>
        <w:rPr>
          <w:b/>
          <w:highlight w:val="yellow"/>
        </w:rPr>
      </w:pPr>
      <w:r w:rsidRPr="00E3756C">
        <w:t xml:space="preserve">Figure B4-2 lists </w:t>
      </w:r>
      <w:r w:rsidR="001E0125" w:rsidRPr="00E3756C">
        <w:t xml:space="preserve">definitions </w:t>
      </w:r>
      <w:r w:rsidR="00FA4103" w:rsidRPr="00E3756C">
        <w:t xml:space="preserve">for </w:t>
      </w:r>
      <w:r w:rsidR="001E0125" w:rsidRPr="00E3756C">
        <w:t>the urgency categories</w:t>
      </w:r>
      <w:r w:rsidRPr="00E3756C">
        <w:t>.</w:t>
      </w:r>
      <w:r w:rsidR="001E0125" w:rsidRPr="00E3756C">
        <w:t xml:space="preserve"> </w:t>
      </w:r>
    </w:p>
    <w:p w14:paraId="0A4ECB69" w14:textId="77777777" w:rsidR="001E0125" w:rsidRPr="00E3756C" w:rsidRDefault="001E0125" w:rsidP="001E0125">
      <w:pPr>
        <w:pStyle w:val="Figureheading"/>
      </w:pPr>
      <w:bookmarkStart w:id="187" w:name="_Toc16586525"/>
      <w:r w:rsidRPr="00E3756C">
        <w:lastRenderedPageBreak/>
        <w:t>Figure B4-2</w:t>
      </w:r>
      <w:r w:rsidR="00D36EBE" w:rsidRPr="00E3756C">
        <w:t>:</w:t>
      </w:r>
      <w:r w:rsidRPr="00E3756C">
        <w:t xml:space="preserve"> </w:t>
      </w:r>
      <w:r w:rsidRPr="00E3756C">
        <w:tab/>
        <w:t>Urgency categories for adaptation action on key risks</w:t>
      </w:r>
      <w:bookmarkEnd w:id="187"/>
    </w:p>
    <w:p w14:paraId="0BDE2230" w14:textId="77777777" w:rsidR="00781695" w:rsidRPr="00E3756C" w:rsidRDefault="00674F0D" w:rsidP="00BD3B07">
      <w:pPr>
        <w:pStyle w:val="BodyText"/>
        <w:spacing w:before="0"/>
        <w:rPr>
          <w:highlight w:val="yellow"/>
        </w:rPr>
      </w:pPr>
      <w:r>
        <w:rPr>
          <w:noProof/>
        </w:rPr>
        <w:drawing>
          <wp:inline distT="0" distB="0" distL="0" distR="0" wp14:anchorId="0CB7CAC1" wp14:editId="01EA05F0">
            <wp:extent cx="5539292" cy="3056890"/>
            <wp:effectExtent l="0" t="0" r="444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lide5.JPG"/>
                    <pic:cNvPicPr/>
                  </pic:nvPicPr>
                  <pic:blipFill rotWithShape="1">
                    <a:blip r:embed="rId42">
                      <a:extLst>
                        <a:ext uri="{28A0092B-C50C-407E-A947-70E740481C1C}">
                          <a14:useLocalDpi xmlns:a14="http://schemas.microsoft.com/office/drawing/2010/main" val="0"/>
                        </a:ext>
                      </a:extLst>
                    </a:blip>
                    <a:srcRect l="4993" t="10590" r="5133" b="5939"/>
                    <a:stretch/>
                  </pic:blipFill>
                  <pic:spPr bwMode="auto">
                    <a:xfrm>
                      <a:off x="0" y="0"/>
                      <a:ext cx="5547508" cy="3061424"/>
                    </a:xfrm>
                    <a:prstGeom prst="rect">
                      <a:avLst/>
                    </a:prstGeom>
                    <a:ln>
                      <a:noFill/>
                    </a:ln>
                    <a:extLst>
                      <a:ext uri="{53640926-AAD7-44D8-BBD7-CCE9431645EC}">
                        <a14:shadowObscured xmlns:a14="http://schemas.microsoft.com/office/drawing/2010/main"/>
                      </a:ext>
                    </a:extLst>
                  </pic:spPr>
                </pic:pic>
              </a:graphicData>
            </a:graphic>
          </wp:inline>
        </w:drawing>
      </w:r>
      <w:r w:rsidR="00781695" w:rsidRPr="00E3756C">
        <w:t xml:space="preserve"> </w:t>
      </w:r>
    </w:p>
    <w:p w14:paraId="63D230E6" w14:textId="77777777" w:rsidR="00D36EBE" w:rsidRPr="00E3756C" w:rsidRDefault="00D36EBE" w:rsidP="005969DE">
      <w:pPr>
        <w:pStyle w:val="Note"/>
      </w:pPr>
      <w:r w:rsidRPr="00E3756C">
        <w:t>Source: Based on the Climate Change Risk Assessment urgency categories (Committee on Climate Change, 2017)</w:t>
      </w:r>
    </w:p>
    <w:p w14:paraId="11AAE0DE" w14:textId="714A2962" w:rsidR="00781695" w:rsidRPr="00E3756C" w:rsidRDefault="00781695" w:rsidP="00BD3B07">
      <w:pPr>
        <w:pStyle w:val="BodyText"/>
      </w:pPr>
      <w:r w:rsidRPr="00E3756C">
        <w:t xml:space="preserve">The overall assessment </w:t>
      </w:r>
      <w:r w:rsidR="00FA4103" w:rsidRPr="00E3756C">
        <w:t>considers</w:t>
      </w:r>
      <w:r w:rsidRPr="00E3756C">
        <w:t xml:space="preserve"> uncertainties about the levels of future climate change</w:t>
      </w:r>
      <w:r w:rsidR="00F920A7" w:rsidRPr="00E3756C">
        <w:t>,</w:t>
      </w:r>
      <w:r w:rsidRPr="00E3756C">
        <w:t xml:space="preserve"> exposure and vulnerability identified in </w:t>
      </w:r>
      <w:r w:rsidR="00FA4103" w:rsidRPr="00E3756C">
        <w:t>c</w:t>
      </w:r>
      <w:r w:rsidRPr="00E3756C">
        <w:t>hapter B3.</w:t>
      </w:r>
      <w:r w:rsidR="00484C8A" w:rsidRPr="00E3756C">
        <w:t xml:space="preserve"> </w:t>
      </w:r>
      <w:r w:rsidRPr="00E3756C">
        <w:t>Specific</w:t>
      </w:r>
      <w:r w:rsidR="00D2002A">
        <w:t>,</w:t>
      </w:r>
      <w:r w:rsidRPr="00E3756C">
        <w:t xml:space="preserve"> tailored engagement may be required with those agencies where </w:t>
      </w:r>
      <w:r w:rsidR="00102E62" w:rsidRPr="00E3756C">
        <w:t xml:space="preserve">further </w:t>
      </w:r>
      <w:r w:rsidRPr="00E3756C">
        <w:t>urgency is required for adaptation</w:t>
      </w:r>
      <w:r w:rsidR="00102E62" w:rsidRPr="00E3756C">
        <w:t>,</w:t>
      </w:r>
      <w:r w:rsidRPr="00E3756C">
        <w:t xml:space="preserve"> to ensure no actions have been missed in the previous step</w:t>
      </w:r>
      <w:r w:rsidR="00D2002A">
        <w:t>,</w:t>
      </w:r>
      <w:r w:rsidRPr="00E3756C">
        <w:t xml:space="preserve"> and it is within their mandate to action the urgency rating that is applied.</w:t>
      </w:r>
      <w:r w:rsidR="00484C8A" w:rsidRPr="00E3756C">
        <w:t xml:space="preserve"> </w:t>
      </w:r>
      <w:r w:rsidRPr="00E3756C">
        <w:t>This should address whether any other planned adaptation activities have been missed.</w:t>
      </w:r>
    </w:p>
    <w:p w14:paraId="63815B0B" w14:textId="4AD78793" w:rsidR="00781695" w:rsidRPr="00E3756C" w:rsidRDefault="00781695" w:rsidP="00BD3B07">
      <w:pPr>
        <w:pStyle w:val="Heading3"/>
      </w:pPr>
      <w:bookmarkStart w:id="188" w:name="_Toc13570393"/>
      <w:r w:rsidRPr="00E3756C">
        <w:t xml:space="preserve">Guidance on </w:t>
      </w:r>
      <w:r w:rsidR="00D2002A">
        <w:t>S</w:t>
      </w:r>
      <w:r w:rsidR="000A17DE">
        <w:t>tep</w:t>
      </w:r>
      <w:r w:rsidRPr="00E3756C">
        <w:t xml:space="preserve"> 3</w:t>
      </w:r>
      <w:r w:rsidR="00F920A7" w:rsidRPr="00E3756C">
        <w:t>:</w:t>
      </w:r>
      <w:r w:rsidRPr="00E3756C">
        <w:t xml:space="preserve"> Report on key risks</w:t>
      </w:r>
    </w:p>
    <w:p w14:paraId="748EB040" w14:textId="77777777" w:rsidR="00781695" w:rsidRPr="00E3756C" w:rsidRDefault="00781695" w:rsidP="00BD3B07">
      <w:pPr>
        <w:pStyle w:val="Heading4"/>
        <w:spacing w:before="240"/>
      </w:pPr>
      <w:r w:rsidRPr="00E3756C">
        <w:t>Integrated reporting for policy</w:t>
      </w:r>
      <w:r w:rsidR="00F920A7" w:rsidRPr="00E3756C">
        <w:t>-</w:t>
      </w:r>
      <w:r w:rsidRPr="00E3756C">
        <w:t>makers and others</w:t>
      </w:r>
      <w:bookmarkEnd w:id="188"/>
    </w:p>
    <w:p w14:paraId="210C7FBD" w14:textId="6DFE84EF" w:rsidR="00781695" w:rsidRPr="00E3756C" w:rsidRDefault="00781695" w:rsidP="00BD3B07">
      <w:pPr>
        <w:pStyle w:val="BodyText"/>
      </w:pPr>
      <w:r w:rsidRPr="00E3756C">
        <w:t>The IPCC AR5 developed a climate adaptation reporting framework targeted at policy</w:t>
      </w:r>
      <w:r w:rsidR="00D4738A" w:rsidRPr="00E3756C">
        <w:t>-</w:t>
      </w:r>
      <w:r w:rsidRPr="00E3756C">
        <w:t xml:space="preserve">makers </w:t>
      </w:r>
      <w:r w:rsidR="00376D13" w:rsidRPr="00E3756C">
        <w:t xml:space="preserve">but that is </w:t>
      </w:r>
      <w:r w:rsidRPr="00E3756C">
        <w:t>useful for many other users</w:t>
      </w:r>
      <w:r w:rsidR="00D4738A" w:rsidRPr="00E3756C">
        <w:t xml:space="preserve"> (IPCC, 2014b)</w:t>
      </w:r>
      <w:r w:rsidRPr="00E3756C">
        <w:t xml:space="preserve">. This is considered to be particularly applicable </w:t>
      </w:r>
      <w:r w:rsidR="00D2002A">
        <w:t>to</w:t>
      </w:r>
      <w:r w:rsidRPr="00E3756C">
        <w:t xml:space="preserve"> </w:t>
      </w:r>
      <w:r w:rsidR="00A77D2A" w:rsidRPr="00E3756C">
        <w:t xml:space="preserve">Aotearoa </w:t>
      </w:r>
      <w:r w:rsidRPr="00E3756C">
        <w:t xml:space="preserve">New Zealand and </w:t>
      </w:r>
      <w:r w:rsidR="00D2002A">
        <w:t>for the purpose of informing development</w:t>
      </w:r>
      <w:r w:rsidRPr="00E3756C">
        <w:t xml:space="preserve"> of the National Adaptation Plan. It helps focus on the key risks </w:t>
      </w:r>
      <w:r w:rsidR="00D2002A">
        <w:t xml:space="preserve">that need attention </w:t>
      </w:r>
      <w:r w:rsidRPr="00E3756C">
        <w:t xml:space="preserve">in the National Adaptation Plan and should </w:t>
      </w:r>
      <w:r w:rsidR="00376D13" w:rsidRPr="00E3756C">
        <w:t xml:space="preserve">also </w:t>
      </w:r>
      <w:r w:rsidR="00A77D2A" w:rsidRPr="00E3756C">
        <w:t xml:space="preserve">help </w:t>
      </w:r>
      <w:r w:rsidR="00D2002A">
        <w:t>manage</w:t>
      </w:r>
      <w:r w:rsidRPr="00E3756C">
        <w:t xml:space="preserve"> trade-offs and monitoring. </w:t>
      </w:r>
      <w:r w:rsidR="00D2002A">
        <w:t>E</w:t>
      </w:r>
      <w:r w:rsidRPr="00E3756C">
        <w:t xml:space="preserve">nhancements to the IPCC approach </w:t>
      </w:r>
      <w:r w:rsidR="00D2002A">
        <w:t xml:space="preserve">include adding </w:t>
      </w:r>
      <w:r w:rsidRPr="00E3756C">
        <w:t>confidence levels, urgency ratings and custodians of risk.</w:t>
      </w:r>
      <w:r w:rsidR="00A8427D">
        <w:t xml:space="preserve"> </w:t>
      </w:r>
    </w:p>
    <w:p w14:paraId="778D2C21" w14:textId="23942309" w:rsidR="00781695" w:rsidRPr="00E3756C" w:rsidRDefault="00781695" w:rsidP="00BD3B07">
      <w:pPr>
        <w:pStyle w:val="BodyText"/>
      </w:pPr>
      <w:r w:rsidRPr="00E3756C">
        <w:t xml:space="preserve">This format can be used to present risks in terms of urgency for each </w:t>
      </w:r>
      <w:r w:rsidR="00376D13" w:rsidRPr="00E3756C">
        <w:t>v</w:t>
      </w:r>
      <w:r w:rsidRPr="00E3756C">
        <w:t xml:space="preserve">alue </w:t>
      </w:r>
      <w:r w:rsidR="00376D13" w:rsidRPr="00E3756C">
        <w:t>d</w:t>
      </w:r>
      <w:r w:rsidRPr="00E3756C">
        <w:t xml:space="preserve">omain </w:t>
      </w:r>
      <w:r w:rsidR="00D2002A">
        <w:t>as well as</w:t>
      </w:r>
      <w:r w:rsidRPr="00E3756C">
        <w:t xml:space="preserve"> subsets. Guidance is provided below on the content and methods to be applied. The content in </w:t>
      </w:r>
      <w:r w:rsidR="007F5318">
        <w:t>table</w:t>
      </w:r>
      <w:r w:rsidR="007F5318" w:rsidRPr="00E3756C">
        <w:t xml:space="preserve"> </w:t>
      </w:r>
      <w:r w:rsidRPr="00E3756C">
        <w:t>B4-</w:t>
      </w:r>
      <w:r w:rsidR="007F5318">
        <w:t>1</w:t>
      </w:r>
      <w:r w:rsidRPr="00E3756C">
        <w:t xml:space="preserve"> is indicative only and represents no level of analysis or assessment.</w:t>
      </w:r>
    </w:p>
    <w:p w14:paraId="7DE2F036" w14:textId="77777777" w:rsidR="00223BFC" w:rsidRDefault="00223BFC" w:rsidP="000B136A">
      <w:pPr>
        <w:pStyle w:val="Tableheading"/>
        <w:sectPr w:rsidR="00223BFC" w:rsidSect="00826BEB">
          <w:pgSz w:w="11907" w:h="16840" w:code="9"/>
          <w:pgMar w:top="1134" w:right="1418" w:bottom="1134" w:left="1418" w:header="567" w:footer="567" w:gutter="510"/>
          <w:cols w:space="720"/>
          <w:docGrid w:linePitch="299"/>
        </w:sectPr>
      </w:pPr>
      <w:bookmarkStart w:id="189" w:name="_Toc16586503"/>
    </w:p>
    <w:p w14:paraId="06263C22" w14:textId="77777777" w:rsidR="00BD3B07" w:rsidRDefault="007F5318" w:rsidP="000B136A">
      <w:pPr>
        <w:pStyle w:val="Tableheading"/>
      </w:pPr>
      <w:r>
        <w:lastRenderedPageBreak/>
        <w:t>Table</w:t>
      </w:r>
      <w:r w:rsidRPr="00E3756C">
        <w:t xml:space="preserve"> </w:t>
      </w:r>
      <w:r w:rsidR="00BD3B07" w:rsidRPr="00E3756C">
        <w:t>B4-</w:t>
      </w:r>
      <w:r>
        <w:t>1</w:t>
      </w:r>
      <w:r w:rsidR="00625B40" w:rsidRPr="00E3756C">
        <w:t>:</w:t>
      </w:r>
      <w:r w:rsidR="00BD3B07" w:rsidRPr="00E3756C">
        <w:t xml:space="preserve"> </w:t>
      </w:r>
      <w:r w:rsidR="00BD3B07" w:rsidRPr="00E3756C">
        <w:tab/>
        <w:t xml:space="preserve">Integrated </w:t>
      </w:r>
      <w:r w:rsidR="00625B40" w:rsidRPr="00E3756C">
        <w:t>r</w:t>
      </w:r>
      <w:r w:rsidR="00BD3B07" w:rsidRPr="00E3756C">
        <w:t>eporting</w:t>
      </w:r>
      <w:bookmarkEnd w:id="189"/>
    </w:p>
    <w:p w14:paraId="03DDA937" w14:textId="77777777" w:rsidR="00223BFC" w:rsidRPr="00223BFC" w:rsidRDefault="008859B1" w:rsidP="00223BFC">
      <w:r>
        <w:rPr>
          <w:noProof/>
        </w:rPr>
        <mc:AlternateContent>
          <mc:Choice Requires="wpg">
            <w:drawing>
              <wp:anchor distT="0" distB="0" distL="114300" distR="114300" simplePos="0" relativeHeight="251721728" behindDoc="0" locked="0" layoutInCell="1" allowOverlap="1" wp14:anchorId="09F28808" wp14:editId="38594518">
                <wp:simplePos x="0" y="0"/>
                <wp:positionH relativeFrom="column">
                  <wp:posOffset>-129540</wp:posOffset>
                </wp:positionH>
                <wp:positionV relativeFrom="paragraph">
                  <wp:posOffset>3310890</wp:posOffset>
                </wp:positionV>
                <wp:extent cx="7381875" cy="1762125"/>
                <wp:effectExtent l="0" t="0" r="28575" b="28575"/>
                <wp:wrapNone/>
                <wp:docPr id="205" name="Group 205"/>
                <wp:cNvGraphicFramePr/>
                <a:graphic xmlns:a="http://schemas.openxmlformats.org/drawingml/2006/main">
                  <a:graphicData uri="http://schemas.microsoft.com/office/word/2010/wordprocessingGroup">
                    <wpg:wgp>
                      <wpg:cNvGrpSpPr/>
                      <wpg:grpSpPr>
                        <a:xfrm>
                          <a:off x="0" y="0"/>
                          <a:ext cx="7381875" cy="1762125"/>
                          <a:chOff x="0" y="0"/>
                          <a:chExt cx="7381875" cy="1762125"/>
                        </a:xfrm>
                      </wpg:grpSpPr>
                      <wpg:grpSp>
                        <wpg:cNvPr id="181" name="Group 181"/>
                        <wpg:cNvGrpSpPr/>
                        <wpg:grpSpPr>
                          <a:xfrm>
                            <a:off x="6896100" y="1323975"/>
                            <a:ext cx="457200" cy="438150"/>
                            <a:chOff x="0" y="0"/>
                            <a:chExt cx="457200" cy="438150"/>
                          </a:xfrm>
                        </wpg:grpSpPr>
                        <wps:wsp>
                          <wps:cNvPr id="217" name="Text Box 2"/>
                          <wps:cNvSpPr txBox="1">
                            <a:spLocks noChangeArrowheads="1"/>
                          </wps:cNvSpPr>
                          <wps:spPr bwMode="auto">
                            <a:xfrm>
                              <a:off x="76200" y="47625"/>
                              <a:ext cx="295275" cy="323850"/>
                            </a:xfrm>
                            <a:prstGeom prst="rect">
                              <a:avLst/>
                            </a:prstGeom>
                            <a:solidFill>
                              <a:srgbClr val="FFFFFF"/>
                            </a:solidFill>
                            <a:ln w="9525">
                              <a:noFill/>
                              <a:miter lim="800000"/>
                              <a:headEnd/>
                              <a:tailEnd/>
                            </a:ln>
                          </wps:spPr>
                          <wps:txbx>
                            <w:txbxContent>
                              <w:p w14:paraId="5F66210D" w14:textId="77777777" w:rsidR="00144B88" w:rsidRPr="004414FF" w:rsidRDefault="00144B88" w:rsidP="004414FF">
                                <w:pPr>
                                  <w:spacing w:before="0" w:after="0"/>
                                  <w:jc w:val="center"/>
                                  <w:rPr>
                                    <w:sz w:val="18"/>
                                    <w:szCs w:val="18"/>
                                  </w:rPr>
                                </w:pPr>
                                <w:r>
                                  <w:rPr>
                                    <w:sz w:val="18"/>
                                    <w:szCs w:val="18"/>
                                  </w:rPr>
                                  <w:t>5</w:t>
                                </w:r>
                              </w:p>
                            </w:txbxContent>
                          </wps:txbx>
                          <wps:bodyPr rot="0" vert="horz" wrap="square" lIns="91440" tIns="45720" rIns="91440" bIns="45720" anchor="t" anchorCtr="0">
                            <a:noAutofit/>
                          </wps:bodyPr>
                        </wps:wsp>
                        <wps:wsp>
                          <wps:cNvPr id="180" name="Oval 180"/>
                          <wps:cNvSpPr/>
                          <wps:spPr>
                            <a:xfrm>
                              <a:off x="0" y="0"/>
                              <a:ext cx="457200" cy="43815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 name="Group 182"/>
                        <wpg:cNvGrpSpPr/>
                        <wpg:grpSpPr>
                          <a:xfrm>
                            <a:off x="790575" y="1314450"/>
                            <a:ext cx="457200" cy="438150"/>
                            <a:chOff x="0" y="0"/>
                            <a:chExt cx="457200" cy="438150"/>
                          </a:xfrm>
                        </wpg:grpSpPr>
                        <wps:wsp>
                          <wps:cNvPr id="183" name="Text Box 2"/>
                          <wps:cNvSpPr txBox="1">
                            <a:spLocks noChangeArrowheads="1"/>
                          </wps:cNvSpPr>
                          <wps:spPr bwMode="auto">
                            <a:xfrm>
                              <a:off x="76200" y="47625"/>
                              <a:ext cx="295275" cy="323850"/>
                            </a:xfrm>
                            <a:prstGeom prst="rect">
                              <a:avLst/>
                            </a:prstGeom>
                            <a:solidFill>
                              <a:srgbClr val="FFFFFF"/>
                            </a:solidFill>
                            <a:ln w="9525">
                              <a:noFill/>
                              <a:miter lim="800000"/>
                              <a:headEnd/>
                              <a:tailEnd/>
                            </a:ln>
                          </wps:spPr>
                          <wps:txbx>
                            <w:txbxContent>
                              <w:p w14:paraId="0E2F2CCC" w14:textId="77777777" w:rsidR="00144B88" w:rsidRPr="004414FF" w:rsidRDefault="00144B88" w:rsidP="00730524">
                                <w:pPr>
                                  <w:spacing w:before="0" w:after="0"/>
                                  <w:jc w:val="center"/>
                                  <w:rPr>
                                    <w:sz w:val="18"/>
                                    <w:szCs w:val="18"/>
                                  </w:rPr>
                                </w:pPr>
                                <w:r w:rsidRPr="004414FF">
                                  <w:rPr>
                                    <w:sz w:val="18"/>
                                    <w:szCs w:val="18"/>
                                  </w:rPr>
                                  <w:t>1</w:t>
                                </w:r>
                              </w:p>
                            </w:txbxContent>
                          </wps:txbx>
                          <wps:bodyPr rot="0" vert="horz" wrap="square" lIns="91440" tIns="45720" rIns="91440" bIns="45720" anchor="t" anchorCtr="0">
                            <a:noAutofit/>
                          </wps:bodyPr>
                        </wps:wsp>
                        <wps:wsp>
                          <wps:cNvPr id="184" name="Oval 184"/>
                          <wps:cNvSpPr/>
                          <wps:spPr>
                            <a:xfrm>
                              <a:off x="0" y="0"/>
                              <a:ext cx="457200" cy="43815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 185"/>
                        <wpg:cNvGrpSpPr/>
                        <wpg:grpSpPr>
                          <a:xfrm>
                            <a:off x="1924050" y="1323975"/>
                            <a:ext cx="457200" cy="438150"/>
                            <a:chOff x="0" y="0"/>
                            <a:chExt cx="457200" cy="438150"/>
                          </a:xfrm>
                        </wpg:grpSpPr>
                        <wps:wsp>
                          <wps:cNvPr id="186" name="Text Box 2"/>
                          <wps:cNvSpPr txBox="1">
                            <a:spLocks noChangeArrowheads="1"/>
                          </wps:cNvSpPr>
                          <wps:spPr bwMode="auto">
                            <a:xfrm>
                              <a:off x="76200" y="47625"/>
                              <a:ext cx="295275" cy="323850"/>
                            </a:xfrm>
                            <a:prstGeom prst="rect">
                              <a:avLst/>
                            </a:prstGeom>
                            <a:solidFill>
                              <a:srgbClr val="FFFFFF"/>
                            </a:solidFill>
                            <a:ln w="9525">
                              <a:noFill/>
                              <a:miter lim="800000"/>
                              <a:headEnd/>
                              <a:tailEnd/>
                            </a:ln>
                          </wps:spPr>
                          <wps:txbx>
                            <w:txbxContent>
                              <w:p w14:paraId="33734893" w14:textId="77777777" w:rsidR="00144B88" w:rsidRPr="004414FF" w:rsidRDefault="00144B88" w:rsidP="00730524">
                                <w:pPr>
                                  <w:spacing w:before="0" w:after="0"/>
                                  <w:jc w:val="center"/>
                                  <w:rPr>
                                    <w:sz w:val="18"/>
                                    <w:szCs w:val="18"/>
                                  </w:rPr>
                                </w:pPr>
                                <w:r>
                                  <w:rPr>
                                    <w:sz w:val="18"/>
                                    <w:szCs w:val="18"/>
                                  </w:rPr>
                                  <w:t>2</w:t>
                                </w:r>
                              </w:p>
                            </w:txbxContent>
                          </wps:txbx>
                          <wps:bodyPr rot="0" vert="horz" wrap="square" lIns="91440" tIns="45720" rIns="91440" bIns="45720" anchor="t" anchorCtr="0">
                            <a:noAutofit/>
                          </wps:bodyPr>
                        </wps:wsp>
                        <wps:wsp>
                          <wps:cNvPr id="187" name="Oval 187"/>
                          <wps:cNvSpPr/>
                          <wps:spPr>
                            <a:xfrm>
                              <a:off x="0" y="0"/>
                              <a:ext cx="457200" cy="43815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 name="Group 188"/>
                        <wpg:cNvGrpSpPr/>
                        <wpg:grpSpPr>
                          <a:xfrm>
                            <a:off x="3009900" y="1285875"/>
                            <a:ext cx="457200" cy="438150"/>
                            <a:chOff x="0" y="0"/>
                            <a:chExt cx="457200" cy="438150"/>
                          </a:xfrm>
                        </wpg:grpSpPr>
                        <wps:wsp>
                          <wps:cNvPr id="189" name="Text Box 2"/>
                          <wps:cNvSpPr txBox="1">
                            <a:spLocks noChangeArrowheads="1"/>
                          </wps:cNvSpPr>
                          <wps:spPr bwMode="auto">
                            <a:xfrm>
                              <a:off x="76200" y="47625"/>
                              <a:ext cx="295275" cy="323850"/>
                            </a:xfrm>
                            <a:prstGeom prst="rect">
                              <a:avLst/>
                            </a:prstGeom>
                            <a:solidFill>
                              <a:srgbClr val="FFFFFF"/>
                            </a:solidFill>
                            <a:ln w="9525">
                              <a:noFill/>
                              <a:miter lim="800000"/>
                              <a:headEnd/>
                              <a:tailEnd/>
                            </a:ln>
                          </wps:spPr>
                          <wps:txbx>
                            <w:txbxContent>
                              <w:p w14:paraId="5D5AA6A0" w14:textId="77777777" w:rsidR="00144B88" w:rsidRPr="004414FF" w:rsidRDefault="00144B88" w:rsidP="00730524">
                                <w:pPr>
                                  <w:spacing w:before="0" w:after="0"/>
                                  <w:jc w:val="center"/>
                                  <w:rPr>
                                    <w:sz w:val="18"/>
                                    <w:szCs w:val="18"/>
                                  </w:rPr>
                                </w:pPr>
                                <w:r>
                                  <w:rPr>
                                    <w:sz w:val="18"/>
                                    <w:szCs w:val="18"/>
                                  </w:rPr>
                                  <w:t>3</w:t>
                                </w:r>
                              </w:p>
                            </w:txbxContent>
                          </wps:txbx>
                          <wps:bodyPr rot="0" vert="horz" wrap="square" lIns="91440" tIns="45720" rIns="91440" bIns="45720" anchor="t" anchorCtr="0">
                            <a:noAutofit/>
                          </wps:bodyPr>
                        </wps:wsp>
                        <wps:wsp>
                          <wps:cNvPr id="190" name="Oval 190"/>
                          <wps:cNvSpPr/>
                          <wps:spPr>
                            <a:xfrm>
                              <a:off x="0" y="0"/>
                              <a:ext cx="457200" cy="43815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 name="Group 191"/>
                        <wpg:cNvGrpSpPr/>
                        <wpg:grpSpPr>
                          <a:xfrm>
                            <a:off x="4057650" y="1285875"/>
                            <a:ext cx="457200" cy="438150"/>
                            <a:chOff x="0" y="0"/>
                            <a:chExt cx="457200" cy="438150"/>
                          </a:xfrm>
                        </wpg:grpSpPr>
                        <wps:wsp>
                          <wps:cNvPr id="192" name="Text Box 2"/>
                          <wps:cNvSpPr txBox="1">
                            <a:spLocks noChangeArrowheads="1"/>
                          </wps:cNvSpPr>
                          <wps:spPr bwMode="auto">
                            <a:xfrm>
                              <a:off x="76200" y="47625"/>
                              <a:ext cx="295275" cy="323850"/>
                            </a:xfrm>
                            <a:prstGeom prst="rect">
                              <a:avLst/>
                            </a:prstGeom>
                            <a:solidFill>
                              <a:srgbClr val="FFFFFF"/>
                            </a:solidFill>
                            <a:ln w="9525">
                              <a:noFill/>
                              <a:miter lim="800000"/>
                              <a:headEnd/>
                              <a:tailEnd/>
                            </a:ln>
                          </wps:spPr>
                          <wps:txbx>
                            <w:txbxContent>
                              <w:p w14:paraId="047EB14D" w14:textId="77777777" w:rsidR="00144B88" w:rsidRPr="004414FF" w:rsidRDefault="00144B88" w:rsidP="00730524">
                                <w:pPr>
                                  <w:spacing w:before="0" w:after="0"/>
                                  <w:jc w:val="center"/>
                                  <w:rPr>
                                    <w:sz w:val="18"/>
                                    <w:szCs w:val="18"/>
                                  </w:rPr>
                                </w:pPr>
                                <w:r>
                                  <w:rPr>
                                    <w:sz w:val="18"/>
                                    <w:szCs w:val="18"/>
                                  </w:rPr>
                                  <w:t>4</w:t>
                                </w:r>
                              </w:p>
                            </w:txbxContent>
                          </wps:txbx>
                          <wps:bodyPr rot="0" vert="horz" wrap="square" lIns="91440" tIns="45720" rIns="91440" bIns="45720" anchor="t" anchorCtr="0">
                            <a:noAutofit/>
                          </wps:bodyPr>
                        </wps:wsp>
                        <wps:wsp>
                          <wps:cNvPr id="193" name="Oval 193"/>
                          <wps:cNvSpPr/>
                          <wps:spPr>
                            <a:xfrm>
                              <a:off x="0" y="0"/>
                              <a:ext cx="457200" cy="43815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 name="Straight Connector 194"/>
                        <wps:cNvCnPr/>
                        <wps:spPr>
                          <a:xfrm flipH="1" flipV="1">
                            <a:off x="600075" y="962025"/>
                            <a:ext cx="285750" cy="390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flipH="1" flipV="1">
                            <a:off x="7000875" y="1038225"/>
                            <a:ext cx="171450" cy="29527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H="1">
                            <a:off x="4486275" y="885825"/>
                            <a:ext cx="904875" cy="495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flipV="1">
                            <a:off x="2238375" y="1038225"/>
                            <a:ext cx="857250" cy="32385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H="1" flipV="1">
                            <a:off x="1333500" y="1162050"/>
                            <a:ext cx="643890" cy="2762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9" name="Oval 199"/>
                        <wps:cNvSpPr/>
                        <wps:spPr>
                          <a:xfrm>
                            <a:off x="6410325" y="28575"/>
                            <a:ext cx="971550" cy="1009650"/>
                          </a:xfrm>
                          <a:prstGeom prst="ellipse">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0" y="866775"/>
                            <a:ext cx="1314450" cy="142875"/>
                          </a:xfrm>
                          <a:prstGeom prst="ellipse">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133350" y="1009650"/>
                            <a:ext cx="1314450" cy="190500"/>
                          </a:xfrm>
                          <a:prstGeom prst="ellipse">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l 202"/>
                        <wps:cNvSpPr/>
                        <wps:spPr>
                          <a:xfrm>
                            <a:off x="1343025" y="885825"/>
                            <a:ext cx="1314450" cy="142875"/>
                          </a:xfrm>
                          <a:prstGeom prst="ellipse">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5286375" y="0"/>
                            <a:ext cx="847725" cy="1162050"/>
                          </a:xfrm>
                          <a:prstGeom prst="ellipse">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F28808" id="Group 205" o:spid="_x0000_s1026" style="position:absolute;left:0;text-align:left;margin-left:-10.2pt;margin-top:260.7pt;width:581.25pt;height:138.75pt;z-index:251721728" coordsize="73818,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">
                <v:group id="Group 181" o:spid="_x0000_s1027" style="position:absolute;left:68961;top:13239;width:4572;height:4382" coordsize="4572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202" coordsize="21600,21600" o:spt="202" path="m,l,21600r21600,l21600,xe">
                    <v:stroke joinstyle="miter"/>
                    <v:path gradientshapeok="t" o:connecttype="rect"/>
                  </v:shapetype>
                  <v:shape id="Text Box 2" o:spid="_x0000_s1028" type="#_x0000_t202" style="position:absolute;left:76200;top:47625;width:295275;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F66210D" w14:textId="77777777" w:rsidR="00144B88" w:rsidRPr="004414FF" w:rsidRDefault="00144B88" w:rsidP="004414FF">
                          <w:pPr>
                            <w:spacing w:before="0" w:after="0"/>
                            <w:jc w:val="center"/>
                            <w:rPr>
                              <w:sz w:val="18"/>
                              <w:szCs w:val="18"/>
                            </w:rPr>
                          </w:pPr>
                          <w:r>
                            <w:rPr>
                              <w:sz w:val="18"/>
                              <w:szCs w:val="18"/>
                            </w:rPr>
                            <w:t>5</w:t>
                          </w:r>
                        </w:p>
                      </w:txbxContent>
                    </v:textbox>
                  </v:shape>
                  <v:oval id="Oval 180" o:spid="_x0000_s1029" style="position:absolute;width:457200;height:43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" filled="f" strokecolor="#0e2a35 [1604]" strokeweight=".25pt"/>
                </v:group>
                <v:group id="Group 182" o:spid="_x0000_s1030" style="position:absolute;left:7905;top:13144;width:4572;height:4382" coordsize="4572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Text Box 2" o:spid="_x0000_s1031" type="#_x0000_t202" style="position:absolute;left:76200;top:47625;width:295275;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14:paraId="0E2F2CCC" w14:textId="77777777" w:rsidR="00144B88" w:rsidRPr="004414FF" w:rsidRDefault="00144B88" w:rsidP="00730524">
                          <w:pPr>
                            <w:spacing w:before="0" w:after="0"/>
                            <w:jc w:val="center"/>
                            <w:rPr>
                              <w:sz w:val="18"/>
                              <w:szCs w:val="18"/>
                            </w:rPr>
                          </w:pPr>
                          <w:r w:rsidRPr="004414FF">
                            <w:rPr>
                              <w:sz w:val="18"/>
                              <w:szCs w:val="18"/>
                            </w:rPr>
                            <w:t>1</w:t>
                          </w:r>
                        </w:p>
                      </w:txbxContent>
                    </v:textbox>
                  </v:shape>
                  <v:oval id="Oval 184" o:spid="_x0000_s1032" style="position:absolute;width:457200;height:43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" filled="f" strokecolor="#0e2a35 [1604]" strokeweight=".25pt"/>
                </v:group>
                <v:group id="Group 185" o:spid="_x0000_s1033" style="position:absolute;left:19240;top:13239;width:4572;height:4382" coordsize="4572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Text Box 2" o:spid="_x0000_s1034" type="#_x0000_t202" style="position:absolute;left:76200;top:47625;width:295275;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33734893" w14:textId="77777777" w:rsidR="00144B88" w:rsidRPr="004414FF" w:rsidRDefault="00144B88" w:rsidP="00730524">
                          <w:pPr>
                            <w:spacing w:before="0" w:after="0"/>
                            <w:jc w:val="center"/>
                            <w:rPr>
                              <w:sz w:val="18"/>
                              <w:szCs w:val="18"/>
                            </w:rPr>
                          </w:pPr>
                          <w:r>
                            <w:rPr>
                              <w:sz w:val="18"/>
                              <w:szCs w:val="18"/>
                            </w:rPr>
                            <w:t>2</w:t>
                          </w:r>
                        </w:p>
                      </w:txbxContent>
                    </v:textbox>
                  </v:shape>
                  <v:oval id="Oval 187" o:spid="_x0000_s1035" style="position:absolute;width:457200;height:43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" filled="f" strokecolor="#0e2a35 [1604]" strokeweight=".25pt"/>
                </v:group>
                <v:group id="Group 188" o:spid="_x0000_s1036" style="position:absolute;left:30099;top:12858;width:4572;height:4382" coordsize="4572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Text Box 2" o:spid="_x0000_s1037" type="#_x0000_t202" style="position:absolute;left:76200;top:47625;width:295275;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" stroked="f">
                    <v:textbox>
                      <w:txbxContent>
                        <w:p w14:paraId="5D5AA6A0" w14:textId="77777777" w:rsidR="00144B88" w:rsidRPr="004414FF" w:rsidRDefault="00144B88" w:rsidP="00730524">
                          <w:pPr>
                            <w:spacing w:before="0" w:after="0"/>
                            <w:jc w:val="center"/>
                            <w:rPr>
                              <w:sz w:val="18"/>
                              <w:szCs w:val="18"/>
                            </w:rPr>
                          </w:pPr>
                          <w:r>
                            <w:rPr>
                              <w:sz w:val="18"/>
                              <w:szCs w:val="18"/>
                            </w:rPr>
                            <w:t>3</w:t>
                          </w:r>
                        </w:p>
                      </w:txbxContent>
                    </v:textbox>
                  </v:shape>
                  <v:oval id="Oval 190" o:spid="_x0000_s1038" style="position:absolute;width:457200;height:43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" filled="f" strokecolor="#0e2a35 [1604]" strokeweight=".25pt"/>
                </v:group>
                <v:group id="Group 191" o:spid="_x0000_s1039" style="position:absolute;left:40576;top:12858;width:4572;height:4382" coordsize="4572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Text Box 2" o:spid="_x0000_s1040" type="#_x0000_t202" style="position:absolute;left:76200;top:47625;width:295275;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047EB14D" w14:textId="77777777" w:rsidR="00144B88" w:rsidRPr="004414FF" w:rsidRDefault="00144B88" w:rsidP="00730524">
                          <w:pPr>
                            <w:spacing w:before="0" w:after="0"/>
                            <w:jc w:val="center"/>
                            <w:rPr>
                              <w:sz w:val="18"/>
                              <w:szCs w:val="18"/>
                            </w:rPr>
                          </w:pPr>
                          <w:r>
                            <w:rPr>
                              <w:sz w:val="18"/>
                              <w:szCs w:val="18"/>
                            </w:rPr>
                            <w:t>4</w:t>
                          </w:r>
                        </w:p>
                      </w:txbxContent>
                    </v:textbox>
                  </v:shape>
                  <v:oval id="Oval 193" o:spid="_x0000_s1041" style="position:absolute;width:457200;height:43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" filled="f" strokecolor="#0e2a35 [1604]" strokeweight=".25pt"/>
                </v:group>
                <v:line id="Straight Connector 194" o:spid="_x0000_s1042" style="position:absolute;flip:x y;visibility:visible;mso-wrap-style:square" from="6000,9620" to="8858,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" strokecolor="#1a5066 [3044]" strokeweight="1.5pt"/>
                <v:line id="Straight Connector 195" o:spid="_x0000_s1043" style="position:absolute;flip:x y;visibility:visible;mso-wrap-style:square" from="70008,10382" to="71723,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" strokecolor="#1a5066 [3044]" strokeweight="1.5pt"/>
                <v:line id="Straight Connector 196" o:spid="_x0000_s1044" style="position:absolute;flip:x;visibility:visible;mso-wrap-style:square" from="44862,8858" to="53911,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" strokecolor="#1a5066 [3044]" strokeweight="1.5pt"/>
                <v:line id="Straight Connector 197" o:spid="_x0000_s1045" style="position:absolute;flip:x y;visibility:visible;mso-wrap-style:square" from="22383,10382" to="3095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" strokecolor="#1a5066 [3044]" strokeweight="1.5pt"/>
                <v:line id="Straight Connector 198" o:spid="_x0000_s1046" style="position:absolute;flip:x y;visibility:visible;mso-wrap-style:square" from="13335,11620" to="1977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" strokecolor="#1a5066 [3044]" strokeweight="1.5pt"/>
                <v:oval id="Oval 199" o:spid="_x0000_s1047" style="position:absolute;left:64103;top:285;width:9715;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" filled="f" strokecolor="#c00000" strokeweight=".5pt"/>
                <v:oval id="Oval 200" o:spid="_x0000_s1048" style="position:absolute;top:8667;width:13144;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" filled="f" strokecolor="#c00000" strokeweight=".5pt"/>
                <v:oval id="Oval 201" o:spid="_x0000_s1049" style="position:absolute;left:1333;top:10096;width:1314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" filled="f" strokecolor="#c00000" strokeweight=".5pt"/>
                <v:oval id="Oval 202" o:spid="_x0000_s1050" style="position:absolute;left:13430;top:8858;width:13144;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" filled="f" strokecolor="#c00000" strokeweight=".5pt"/>
                <v:oval id="Oval 203" o:spid="_x0000_s1051" style="position:absolute;left:52863;width:8478;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" filled="f" strokecolor="#c00000" strokeweight=".5pt"/>
              </v:group>
            </w:pict>
          </mc:Fallback>
        </mc:AlternateContent>
      </w:r>
      <w:r w:rsidR="00223BFC" w:rsidRPr="00223BFC">
        <w:rPr>
          <w:noProof/>
        </w:rPr>
        <w:drawing>
          <wp:inline distT="0" distB="0" distL="0" distR="0" wp14:anchorId="53BC7E4D" wp14:editId="014643AB">
            <wp:extent cx="7639050" cy="4363885"/>
            <wp:effectExtent l="19050" t="19050" r="19050" b="177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59187" cy="4375388"/>
                    </a:xfrm>
                    <a:prstGeom prst="rect">
                      <a:avLst/>
                    </a:prstGeom>
                    <a:noFill/>
                    <a:ln w="3175">
                      <a:solidFill>
                        <a:schemeClr val="tx1"/>
                      </a:solidFill>
                    </a:ln>
                  </pic:spPr>
                </pic:pic>
              </a:graphicData>
            </a:graphic>
          </wp:inline>
        </w:drawing>
      </w:r>
    </w:p>
    <w:p w14:paraId="69B153AF" w14:textId="77777777" w:rsidR="00A8427D" w:rsidRDefault="00A8427D" w:rsidP="00A8427D">
      <w:pPr>
        <w:pStyle w:val="BodyText"/>
      </w:pPr>
      <w:r>
        <w:rPr>
          <w:noProof/>
        </w:rPr>
        <mc:AlternateContent>
          <mc:Choice Requires="wps">
            <w:drawing>
              <wp:anchor distT="0" distB="0" distL="114300" distR="114300" simplePos="0" relativeHeight="251688960" behindDoc="0" locked="0" layoutInCell="1" allowOverlap="1" wp14:anchorId="7F9E959D" wp14:editId="01DEA578">
                <wp:simplePos x="0" y="0"/>
                <wp:positionH relativeFrom="column">
                  <wp:posOffset>904240</wp:posOffset>
                </wp:positionH>
                <wp:positionV relativeFrom="paragraph">
                  <wp:posOffset>3375025</wp:posOffset>
                </wp:positionV>
                <wp:extent cx="816610" cy="158750"/>
                <wp:effectExtent l="0" t="0" r="2540" b="0"/>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8750"/>
                        </a:xfrm>
                        <a:prstGeom prst="ellipse">
                          <a:avLst/>
                        </a:prstGeom>
                        <a:noFill/>
                        <a:ln w="12700" cap="flat" cmpd="sng">
                          <a:solidFill>
                            <a:srgbClr val="31538F"/>
                          </a:solidFill>
                          <a:prstDash val="solid"/>
                          <a:miter lim="800000"/>
                          <a:headEnd type="none" w="sm" len="sm"/>
                          <a:tailEnd type="none" w="sm" len="sm"/>
                        </a:ln>
                      </wps:spPr>
                      <wps:txbx>
                        <w:txbxContent>
                          <w:p w14:paraId="2834D113" w14:textId="77777777" w:rsidR="00144B88" w:rsidRDefault="00144B88" w:rsidP="00A8427D">
                            <w:pPr>
                              <w:spacing w:after="0" w:line="240" w:lineRule="auto"/>
                              <w:jc w:val="left"/>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w14:anchorId="7F9E959D" id="Oval 165" o:spid="_x0000_s1052" style="position:absolute;margin-left:71.2pt;margin-top:265.75pt;width:64.3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" filled="f" strokecolor="#31538f" strokeweight="1pt">
                <v:stroke startarrowwidth="narrow" startarrowlength="short" endarrowwidth="narrow" endarrowlength="short" joinstyle="miter"/>
                <v:path arrowok="t"/>
                <v:textbox inset="2.53958mm,2.53958mm,2.53958mm,2.53958mm">
                  <w:txbxContent>
                    <w:p w14:paraId="2834D113" w14:textId="77777777" w:rsidR="00144B88" w:rsidRDefault="00144B88" w:rsidP="00A8427D">
                      <w:pPr>
                        <w:spacing w:after="0" w:line="240" w:lineRule="auto"/>
                        <w:jc w:val="left"/>
                        <w:textDirection w:val="btLr"/>
                      </w:pPr>
                    </w:p>
                  </w:txbxContent>
                </v:textbox>
              </v:oval>
            </w:pict>
          </mc:Fallback>
        </mc:AlternateContent>
      </w:r>
      <w:r w:rsidRPr="00A8427D">
        <w:rPr>
          <w:noProof/>
        </w:rPr>
        <mc:AlternateContent>
          <mc:Choice Requires="wps">
            <w:drawing>
              <wp:anchor distT="0" distB="0" distL="114300" distR="114300" simplePos="0" relativeHeight="251686912" behindDoc="0" locked="0" layoutInCell="1" allowOverlap="1" wp14:anchorId="557EAE28" wp14:editId="77EC0BE6">
                <wp:simplePos x="0" y="0"/>
                <wp:positionH relativeFrom="column">
                  <wp:posOffset>2641600</wp:posOffset>
                </wp:positionH>
                <wp:positionV relativeFrom="paragraph">
                  <wp:posOffset>3727450</wp:posOffset>
                </wp:positionV>
                <wp:extent cx="451485" cy="436880"/>
                <wp:effectExtent l="6350" t="13335" r="8890" b="6985"/>
                <wp:wrapNone/>
                <wp:docPr id="163"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36880"/>
                        </a:xfrm>
                        <a:prstGeom prst="ellipse">
                          <a:avLst/>
                        </a:prstGeom>
                        <a:noFill/>
                        <a:ln w="12700">
                          <a:solidFill>
                            <a:srgbClr val="31538F"/>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2955321" w14:textId="77777777" w:rsidR="00144B88" w:rsidRDefault="00144B88" w:rsidP="00A8427D">
                            <w:pPr>
                              <w:spacing w:line="258" w:lineRule="auto"/>
                              <w:jc w:val="center"/>
                              <w:textDirection w:val="btLr"/>
                            </w:pPr>
                            <w:r>
                              <w:rPr>
                                <w:color w:val="000000"/>
                              </w:rPr>
                              <w:t>4</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7EAE28" id="Oval 149" o:spid="_x0000_s1053" style="position:absolute;margin-left:208pt;margin-top:293.5pt;width:35.55pt;height:3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" filled="f" strokecolor="#31538f" strokeweight="1pt">
                <v:stroke startarrowwidth="narrow" startarrowlength="short" endarrowwidth="narrow" endarrowlength="short" joinstyle="miter"/>
                <v:textbox inset="2.53958mm,1.2694mm,2.53958mm,1.2694mm">
                  <w:txbxContent>
                    <w:p w14:paraId="42955321" w14:textId="77777777" w:rsidR="00144B88" w:rsidRDefault="00144B88" w:rsidP="00A8427D">
                      <w:pPr>
                        <w:spacing w:line="258" w:lineRule="auto"/>
                        <w:jc w:val="center"/>
                        <w:textDirection w:val="btLr"/>
                      </w:pPr>
                      <w:r>
                        <w:rPr>
                          <w:color w:val="000000"/>
                        </w:rPr>
                        <w:t>4</w:t>
                      </w:r>
                    </w:p>
                  </w:txbxContent>
                </v:textbox>
              </v:oval>
            </w:pict>
          </mc:Fallback>
        </mc:AlternateContent>
      </w:r>
      <w:r w:rsidRPr="00A8427D">
        <w:rPr>
          <w:noProof/>
        </w:rPr>
        <mc:AlternateContent>
          <mc:Choice Requires="wps">
            <w:drawing>
              <wp:anchor distT="0" distB="0" distL="114300" distR="114300" simplePos="0" relativeHeight="251685888" behindDoc="0" locked="0" layoutInCell="1" allowOverlap="1" wp14:anchorId="35915F75" wp14:editId="2507CA5F">
                <wp:simplePos x="0" y="0"/>
                <wp:positionH relativeFrom="column">
                  <wp:posOffset>4381500</wp:posOffset>
                </wp:positionH>
                <wp:positionV relativeFrom="paragraph">
                  <wp:posOffset>3771900</wp:posOffset>
                </wp:positionV>
                <wp:extent cx="451485" cy="436880"/>
                <wp:effectExtent l="12700" t="6985" r="12065" b="13335"/>
                <wp:wrapNone/>
                <wp:docPr id="162"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36880"/>
                        </a:xfrm>
                        <a:prstGeom prst="ellipse">
                          <a:avLst/>
                        </a:prstGeom>
                        <a:noFill/>
                        <a:ln w="12700">
                          <a:solidFill>
                            <a:srgbClr val="31538F"/>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46AA1CD" w14:textId="77777777" w:rsidR="00144B88" w:rsidRDefault="00144B88" w:rsidP="00A8427D">
                            <w:pPr>
                              <w:spacing w:line="258" w:lineRule="auto"/>
                              <w:jc w:val="center"/>
                              <w:textDirection w:val="btLr"/>
                            </w:pPr>
                            <w:r>
                              <w:rPr>
                                <w:color w:val="000000"/>
                              </w:rPr>
                              <w:t>5</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915F75" id="Oval 140" o:spid="_x0000_s1054" style="position:absolute;margin-left:345pt;margin-top:297pt;width:35.55pt;height:3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" filled="f" strokecolor="#31538f" strokeweight="1pt">
                <v:stroke startarrowwidth="narrow" startarrowlength="short" endarrowwidth="narrow" endarrowlength="short" joinstyle="miter"/>
                <v:textbox inset="2.53958mm,1.2694mm,2.53958mm,1.2694mm">
                  <w:txbxContent>
                    <w:p w14:paraId="046AA1CD" w14:textId="77777777" w:rsidR="00144B88" w:rsidRDefault="00144B88" w:rsidP="00A8427D">
                      <w:pPr>
                        <w:spacing w:line="258" w:lineRule="auto"/>
                        <w:jc w:val="center"/>
                        <w:textDirection w:val="btLr"/>
                      </w:pPr>
                      <w:r>
                        <w:rPr>
                          <w:color w:val="000000"/>
                        </w:rPr>
                        <w:t>5</w:t>
                      </w:r>
                    </w:p>
                  </w:txbxContent>
                </v:textbox>
              </v:oval>
            </w:pict>
          </mc:Fallback>
        </mc:AlternateContent>
      </w:r>
      <w:r w:rsidRPr="00A8427D">
        <w:rPr>
          <w:noProof/>
        </w:rPr>
        <mc:AlternateContent>
          <mc:Choice Requires="wps">
            <w:drawing>
              <wp:anchor distT="0" distB="0" distL="114300" distR="114300" simplePos="0" relativeHeight="251684864" behindDoc="0" locked="0" layoutInCell="1" allowOverlap="1" wp14:anchorId="36EB6133" wp14:editId="7EFCAE53">
                <wp:simplePos x="0" y="0"/>
                <wp:positionH relativeFrom="column">
                  <wp:posOffset>1981200</wp:posOffset>
                </wp:positionH>
                <wp:positionV relativeFrom="paragraph">
                  <wp:posOffset>3727450</wp:posOffset>
                </wp:positionV>
                <wp:extent cx="451485" cy="436880"/>
                <wp:effectExtent l="12700" t="13335" r="12065" b="6985"/>
                <wp:wrapNone/>
                <wp:docPr id="157"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36880"/>
                        </a:xfrm>
                        <a:prstGeom prst="ellipse">
                          <a:avLst/>
                        </a:prstGeom>
                        <a:noFill/>
                        <a:ln w="12700">
                          <a:solidFill>
                            <a:srgbClr val="31538F"/>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8832593" w14:textId="77777777" w:rsidR="00144B88" w:rsidRDefault="00144B88" w:rsidP="00A8427D">
                            <w:pPr>
                              <w:spacing w:line="258" w:lineRule="auto"/>
                              <w:jc w:val="center"/>
                              <w:textDirection w:val="btLr"/>
                            </w:pPr>
                            <w:r>
                              <w:rPr>
                                <w:color w:val="000000"/>
                              </w:rPr>
                              <w:t>3</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EB6133" id="Oval 142" o:spid="_x0000_s1055" style="position:absolute;margin-left:156pt;margin-top:293.5pt;width:35.55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" filled="f" strokecolor="#31538f" strokeweight="1pt">
                <v:stroke startarrowwidth="narrow" startarrowlength="short" endarrowwidth="narrow" endarrowlength="short" joinstyle="miter"/>
                <v:textbox inset="2.53958mm,1.2694mm,2.53958mm,1.2694mm">
                  <w:txbxContent>
                    <w:p w14:paraId="38832593" w14:textId="77777777" w:rsidR="00144B88" w:rsidRDefault="00144B88" w:rsidP="00A8427D">
                      <w:pPr>
                        <w:spacing w:line="258" w:lineRule="auto"/>
                        <w:jc w:val="center"/>
                        <w:textDirection w:val="btLr"/>
                      </w:pPr>
                      <w:r>
                        <w:rPr>
                          <w:color w:val="000000"/>
                        </w:rPr>
                        <w:t>3</w:t>
                      </w:r>
                    </w:p>
                  </w:txbxContent>
                </v:textbox>
              </v:oval>
            </w:pict>
          </mc:Fallback>
        </mc:AlternateContent>
      </w:r>
      <w:r w:rsidRPr="00A8427D">
        <w:rPr>
          <w:noProof/>
        </w:rPr>
        <mc:AlternateContent>
          <mc:Choice Requires="wps">
            <w:drawing>
              <wp:anchor distT="0" distB="0" distL="114300" distR="114300" simplePos="0" relativeHeight="251683840" behindDoc="0" locked="0" layoutInCell="1" allowOverlap="1" wp14:anchorId="3EB8AD53" wp14:editId="4DDE16B4">
                <wp:simplePos x="0" y="0"/>
                <wp:positionH relativeFrom="column">
                  <wp:posOffset>1270000</wp:posOffset>
                </wp:positionH>
                <wp:positionV relativeFrom="paragraph">
                  <wp:posOffset>3733800</wp:posOffset>
                </wp:positionV>
                <wp:extent cx="451485" cy="436880"/>
                <wp:effectExtent l="6350" t="6985" r="8890" b="13335"/>
                <wp:wrapNone/>
                <wp:docPr id="15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36880"/>
                        </a:xfrm>
                        <a:prstGeom prst="ellipse">
                          <a:avLst/>
                        </a:prstGeom>
                        <a:noFill/>
                        <a:ln w="12700">
                          <a:solidFill>
                            <a:srgbClr val="31538F"/>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FF82BA0" w14:textId="77777777" w:rsidR="00144B88" w:rsidRDefault="00144B88" w:rsidP="00A8427D">
                            <w:pPr>
                              <w:spacing w:line="258" w:lineRule="auto"/>
                              <w:jc w:val="center"/>
                              <w:textDirection w:val="btLr"/>
                            </w:pPr>
                            <w:r>
                              <w:rPr>
                                <w:color w:val="000000"/>
                              </w:rPr>
                              <w:t>2</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B8AD53" id="Oval 144" o:spid="_x0000_s1056" style="position:absolute;margin-left:100pt;margin-top:294pt;width:35.55pt;height:3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" filled="f" strokecolor="#31538f" strokeweight="1pt">
                <v:stroke startarrowwidth="narrow" startarrowlength="short" endarrowwidth="narrow" endarrowlength="short" joinstyle="miter"/>
                <v:textbox inset="2.53958mm,1.2694mm,2.53958mm,1.2694mm">
                  <w:txbxContent>
                    <w:p w14:paraId="6FF82BA0" w14:textId="77777777" w:rsidR="00144B88" w:rsidRDefault="00144B88" w:rsidP="00A8427D">
                      <w:pPr>
                        <w:spacing w:line="258" w:lineRule="auto"/>
                        <w:jc w:val="center"/>
                        <w:textDirection w:val="btLr"/>
                      </w:pPr>
                      <w:r>
                        <w:rPr>
                          <w:color w:val="000000"/>
                        </w:rPr>
                        <w:t>2</w:t>
                      </w:r>
                    </w:p>
                  </w:txbxContent>
                </v:textbox>
              </v:oval>
            </w:pict>
          </mc:Fallback>
        </mc:AlternateContent>
      </w:r>
      <w:r w:rsidRPr="00A8427D">
        <w:rPr>
          <w:noProof/>
        </w:rPr>
        <mc:AlternateContent>
          <mc:Choice Requires="wps">
            <w:drawing>
              <wp:anchor distT="0" distB="0" distL="114300" distR="114300" simplePos="0" relativeHeight="251682816" behindDoc="0" locked="0" layoutInCell="1" allowOverlap="1" wp14:anchorId="5C19D127" wp14:editId="6579B63C">
                <wp:simplePos x="0" y="0"/>
                <wp:positionH relativeFrom="column">
                  <wp:posOffset>609600</wp:posOffset>
                </wp:positionH>
                <wp:positionV relativeFrom="paragraph">
                  <wp:posOffset>3749675</wp:posOffset>
                </wp:positionV>
                <wp:extent cx="451485" cy="436880"/>
                <wp:effectExtent l="12700" t="10160" r="12065" b="10160"/>
                <wp:wrapNone/>
                <wp:docPr id="153"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36880"/>
                        </a:xfrm>
                        <a:prstGeom prst="ellipse">
                          <a:avLst/>
                        </a:prstGeom>
                        <a:noFill/>
                        <a:ln w="12700">
                          <a:solidFill>
                            <a:srgbClr val="31538F"/>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285D1E5F" w14:textId="77777777" w:rsidR="00144B88" w:rsidRDefault="00144B88" w:rsidP="00A8427D">
                            <w:pPr>
                              <w:spacing w:line="258" w:lineRule="auto"/>
                              <w:jc w:val="center"/>
                              <w:textDirection w:val="btLr"/>
                            </w:pPr>
                            <w:r>
                              <w:rPr>
                                <w:color w:val="000000"/>
                              </w:rPr>
                              <w:t>1</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19D127" id="Oval 137" o:spid="_x0000_s1057" style="position:absolute;margin-left:48pt;margin-top:295.25pt;width:35.55pt;height:3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" filled="f" strokecolor="#31538f" strokeweight="1pt">
                <v:stroke startarrowwidth="narrow" startarrowlength="short" endarrowwidth="narrow" endarrowlength="short" joinstyle="miter"/>
                <v:textbox inset="2.53958mm,1.2694mm,2.53958mm,1.2694mm">
                  <w:txbxContent>
                    <w:p w14:paraId="285D1E5F" w14:textId="77777777" w:rsidR="00144B88" w:rsidRDefault="00144B88" w:rsidP="00A8427D">
                      <w:pPr>
                        <w:spacing w:line="258" w:lineRule="auto"/>
                        <w:jc w:val="center"/>
                        <w:textDirection w:val="btLr"/>
                      </w:pPr>
                      <w:r>
                        <w:rPr>
                          <w:color w:val="000000"/>
                        </w:rPr>
                        <w:t>1</w:t>
                      </w:r>
                    </w:p>
                  </w:txbxContent>
                </v:textbox>
              </v:oval>
            </w:pict>
          </mc:Fallback>
        </mc:AlternateContent>
      </w:r>
      <w:r w:rsidRPr="00A8427D">
        <w:rPr>
          <w:noProof/>
        </w:rPr>
        <mc:AlternateContent>
          <mc:Choice Requires="wps">
            <w:drawing>
              <wp:anchor distT="0" distB="0" distL="114300" distR="114300" simplePos="0" relativeHeight="251681792" behindDoc="0" locked="0" layoutInCell="1" allowOverlap="1" wp14:anchorId="0950F950" wp14:editId="0279198E">
                <wp:simplePos x="0" y="0"/>
                <wp:positionH relativeFrom="column">
                  <wp:posOffset>0</wp:posOffset>
                </wp:positionH>
                <wp:positionV relativeFrom="paragraph">
                  <wp:posOffset>3477895</wp:posOffset>
                </wp:positionV>
                <wp:extent cx="949325" cy="158750"/>
                <wp:effectExtent l="0" t="0" r="3175" b="0"/>
                <wp:wrapNone/>
                <wp:docPr id="151"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325" cy="158750"/>
                        </a:xfrm>
                        <a:prstGeom prst="ellipse">
                          <a:avLst/>
                        </a:prstGeom>
                        <a:noFill/>
                        <a:ln w="12700" cap="flat" cmpd="sng">
                          <a:solidFill>
                            <a:srgbClr val="31538F"/>
                          </a:solidFill>
                          <a:prstDash val="solid"/>
                          <a:miter lim="800000"/>
                          <a:headEnd type="none" w="sm" len="sm"/>
                          <a:tailEnd type="none" w="sm" len="sm"/>
                        </a:ln>
                      </wps:spPr>
                      <wps:txbx>
                        <w:txbxContent>
                          <w:p w14:paraId="49921039" w14:textId="77777777" w:rsidR="00144B88" w:rsidRDefault="00144B88" w:rsidP="00A8427D">
                            <w:pPr>
                              <w:spacing w:after="0" w:line="240" w:lineRule="auto"/>
                              <w:jc w:val="left"/>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w14:anchorId="0950F950" id="Oval 151" o:spid="_x0000_s1058" style="position:absolute;margin-left:0;margin-top:273.85pt;width:74.75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" filled="f" strokecolor="#31538f" strokeweight="1pt">
                <v:stroke startarrowwidth="narrow" startarrowlength="short" endarrowwidth="narrow" endarrowlength="short" joinstyle="miter"/>
                <v:path arrowok="t"/>
                <v:textbox inset="2.53958mm,2.53958mm,2.53958mm,2.53958mm">
                  <w:txbxContent>
                    <w:p w14:paraId="49921039" w14:textId="77777777" w:rsidR="00144B88" w:rsidRDefault="00144B88" w:rsidP="00A8427D">
                      <w:pPr>
                        <w:spacing w:after="0" w:line="240" w:lineRule="auto"/>
                        <w:jc w:val="left"/>
                        <w:textDirection w:val="btLr"/>
                      </w:pPr>
                    </w:p>
                  </w:txbxContent>
                </v:textbox>
              </v:oval>
            </w:pict>
          </mc:Fallback>
        </mc:AlternateContent>
      </w:r>
      <w:r w:rsidRPr="00A8427D">
        <w:rPr>
          <w:noProof/>
        </w:rPr>
        <mc:AlternateContent>
          <mc:Choice Requires="wps">
            <w:drawing>
              <wp:anchor distT="0" distB="0" distL="114300" distR="114300" simplePos="0" relativeHeight="251680768" behindDoc="0" locked="0" layoutInCell="1" allowOverlap="1" wp14:anchorId="7AD6057E" wp14:editId="7F9DB9B8">
                <wp:simplePos x="0" y="0"/>
                <wp:positionH relativeFrom="column">
                  <wp:posOffset>0</wp:posOffset>
                </wp:positionH>
                <wp:positionV relativeFrom="paragraph">
                  <wp:posOffset>3376295</wp:posOffset>
                </wp:positionV>
                <wp:extent cx="816610" cy="158750"/>
                <wp:effectExtent l="0" t="0" r="2540" b="0"/>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8750"/>
                        </a:xfrm>
                        <a:prstGeom prst="ellipse">
                          <a:avLst/>
                        </a:prstGeom>
                        <a:noFill/>
                        <a:ln w="12700" cap="flat" cmpd="sng">
                          <a:solidFill>
                            <a:srgbClr val="31538F"/>
                          </a:solidFill>
                          <a:prstDash val="solid"/>
                          <a:miter lim="800000"/>
                          <a:headEnd type="none" w="sm" len="sm"/>
                          <a:tailEnd type="none" w="sm" len="sm"/>
                        </a:ln>
                      </wps:spPr>
                      <wps:txbx>
                        <w:txbxContent>
                          <w:p w14:paraId="290F8718" w14:textId="77777777" w:rsidR="00144B88" w:rsidRDefault="00144B88" w:rsidP="00A8427D">
                            <w:pPr>
                              <w:spacing w:after="0" w:line="240" w:lineRule="auto"/>
                              <w:jc w:val="left"/>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w14:anchorId="7AD6057E" id="_x0000_s1059" style="position:absolute;margin-left:0;margin-top:265.85pt;width:64.3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" filled="f" strokecolor="#31538f" strokeweight="1pt">
                <v:stroke startarrowwidth="narrow" startarrowlength="short" endarrowwidth="narrow" endarrowlength="short" joinstyle="miter"/>
                <v:path arrowok="t"/>
                <v:textbox inset="2.53958mm,2.53958mm,2.53958mm,2.53958mm">
                  <w:txbxContent>
                    <w:p w14:paraId="290F8718" w14:textId="77777777" w:rsidR="00144B88" w:rsidRDefault="00144B88" w:rsidP="00A8427D">
                      <w:pPr>
                        <w:spacing w:after="0" w:line="240" w:lineRule="auto"/>
                        <w:jc w:val="left"/>
                        <w:textDirection w:val="btLr"/>
                      </w:pPr>
                    </w:p>
                  </w:txbxContent>
                </v:textbox>
              </v:oval>
            </w:pict>
          </mc:Fallback>
        </mc:AlternateContent>
      </w:r>
      <w:r w:rsidRPr="00A8427D">
        <w:rPr>
          <w:noProof/>
        </w:rPr>
        <mc:AlternateContent>
          <mc:Choice Requires="wps">
            <w:drawing>
              <wp:anchor distT="0" distB="0" distL="114300" distR="114300" simplePos="0" relativeHeight="251679744" behindDoc="0" locked="0" layoutInCell="1" allowOverlap="1" wp14:anchorId="60EABDDB" wp14:editId="288257B2">
                <wp:simplePos x="0" y="0"/>
                <wp:positionH relativeFrom="column">
                  <wp:posOffset>1308100</wp:posOffset>
                </wp:positionH>
                <wp:positionV relativeFrom="paragraph">
                  <wp:posOffset>3515995</wp:posOffset>
                </wp:positionV>
                <wp:extent cx="756920" cy="411480"/>
                <wp:effectExtent l="0" t="0" r="5080" b="762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920" cy="411480"/>
                        </a:xfrm>
                        <a:prstGeom prst="straightConnector1">
                          <a:avLst/>
                        </a:prstGeom>
                        <a:noFill/>
                        <a:ln w="25400" cap="flat" cmpd="sng">
                          <a:solidFill>
                            <a:srgbClr val="4472C4"/>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32700291" id="_x0000_t32" coordsize="21600,21600" o:spt="32" o:oned="t" path="m,l21600,21600e" filled="f">
                <v:path arrowok="t" fillok="f" o:connecttype="none"/>
                <o:lock v:ext="edit" shapetype="t"/>
              </v:shapetype>
              <v:shape id="Straight Arrow Connector 144" o:spid="_x0000_s1026" type="#_x0000_t32" style="position:absolute;margin-left:103pt;margin-top:276.85pt;width:59.6pt;height:3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" strokecolor="#4472c4" strokeweight="2pt">
                <v:stroke startarrowwidth="narrow" startarrowlength="short" endarrowwidth="narrow" endarrowlength="short" joinstyle="miter"/>
                <o:lock v:ext="edit" shapetype="f"/>
              </v:shape>
            </w:pict>
          </mc:Fallback>
        </mc:AlternateContent>
      </w:r>
      <w:r w:rsidRPr="00A8427D">
        <w:rPr>
          <w:noProof/>
        </w:rPr>
        <mc:AlternateContent>
          <mc:Choice Requires="wps">
            <w:drawing>
              <wp:anchor distT="0" distB="0" distL="114300" distR="114300" simplePos="0" relativeHeight="251678720" behindDoc="0" locked="0" layoutInCell="1" allowOverlap="1" wp14:anchorId="2B6B190A" wp14:editId="46AC5226">
                <wp:simplePos x="0" y="0"/>
                <wp:positionH relativeFrom="column">
                  <wp:posOffset>228600</wp:posOffset>
                </wp:positionH>
                <wp:positionV relativeFrom="paragraph">
                  <wp:posOffset>3388995</wp:posOffset>
                </wp:positionV>
                <wp:extent cx="464185" cy="535940"/>
                <wp:effectExtent l="0" t="0" r="12065" b="1651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185" cy="535940"/>
                        </a:xfrm>
                        <a:prstGeom prst="straightConnector1">
                          <a:avLst/>
                        </a:prstGeom>
                        <a:noFill/>
                        <a:ln w="25400" cap="flat" cmpd="sng">
                          <a:solidFill>
                            <a:srgbClr val="4472C4"/>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0B1260F1" id="Straight Arrow Connector 142" o:spid="_x0000_s1026" type="#_x0000_t32" style="position:absolute;margin-left:18pt;margin-top:266.85pt;width:36.55pt;height:4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" strokecolor="#4472c4" strokeweight="2pt">
                <v:stroke startarrowwidth="narrow" startarrowlength="short" endarrowwidth="narrow" endarrowlength="short" joinstyle="miter"/>
                <o:lock v:ext="edit" shapetype="f"/>
              </v:shape>
            </w:pict>
          </mc:Fallback>
        </mc:AlternateContent>
      </w:r>
      <w:r w:rsidRPr="00A8427D">
        <w:rPr>
          <w:noProof/>
        </w:rPr>
        <mc:AlternateContent>
          <mc:Choice Requires="wps">
            <w:drawing>
              <wp:anchor distT="0" distB="0" distL="114300" distR="114300" simplePos="0" relativeHeight="251677696" behindDoc="0" locked="0" layoutInCell="1" allowOverlap="1" wp14:anchorId="5BD85A83" wp14:editId="16154436">
                <wp:simplePos x="0" y="0"/>
                <wp:positionH relativeFrom="column">
                  <wp:posOffset>673100</wp:posOffset>
                </wp:positionH>
                <wp:positionV relativeFrom="paragraph">
                  <wp:posOffset>3592195</wp:posOffset>
                </wp:positionV>
                <wp:extent cx="697865" cy="353060"/>
                <wp:effectExtent l="0" t="0" r="6985" b="889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865" cy="353060"/>
                        </a:xfrm>
                        <a:prstGeom prst="straightConnector1">
                          <a:avLst/>
                        </a:prstGeom>
                        <a:noFill/>
                        <a:ln w="25400" cap="flat" cmpd="sng">
                          <a:solidFill>
                            <a:srgbClr val="4472C4"/>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9339935" id="Straight Arrow Connector 140" o:spid="_x0000_s1026" type="#_x0000_t32" style="position:absolute;margin-left:53pt;margin-top:282.85pt;width:54.95pt;height:2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" strokecolor="#4472c4" strokeweight="2pt">
                <v:stroke startarrowwidth="narrow" startarrowlength="short" endarrowwidth="narrow" endarrowlength="short" joinstyle="miter"/>
                <o:lock v:ext="edit" shapetype="f"/>
              </v:shape>
            </w:pict>
          </mc:Fallback>
        </mc:AlternateContent>
      </w:r>
      <w:r w:rsidRPr="00A8427D">
        <w:rPr>
          <w:noProof/>
        </w:rPr>
        <mc:AlternateContent>
          <mc:Choice Requires="wps">
            <w:drawing>
              <wp:anchor distT="0" distB="0" distL="114300" distR="114300" simplePos="0" relativeHeight="251676672" behindDoc="0" locked="0" layoutInCell="1" allowOverlap="1" wp14:anchorId="48E67F51" wp14:editId="4DAF2D01">
                <wp:simplePos x="0" y="0"/>
                <wp:positionH relativeFrom="column">
                  <wp:posOffset>3035300</wp:posOffset>
                </wp:positionH>
                <wp:positionV relativeFrom="paragraph">
                  <wp:posOffset>3604895</wp:posOffset>
                </wp:positionV>
                <wp:extent cx="1049655" cy="330200"/>
                <wp:effectExtent l="0" t="0" r="0" b="1270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9655" cy="330200"/>
                        </a:xfrm>
                        <a:prstGeom prst="straightConnector1">
                          <a:avLst/>
                        </a:prstGeom>
                        <a:noFill/>
                        <a:ln w="25400" cap="flat" cmpd="sng">
                          <a:solidFill>
                            <a:srgbClr val="4472C4"/>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14D1A799" id="Straight Arrow Connector 137" o:spid="_x0000_s1026" type="#_x0000_t32" style="position:absolute;margin-left:239pt;margin-top:283.85pt;width:82.65pt;height:2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" strokecolor="#4472c4" strokeweight="2pt">
                <v:stroke startarrowwidth="narrow" startarrowlength="short" endarrowwidth="narrow" endarrowlength="short" joinstyle="miter"/>
                <o:lock v:ext="edit" shapetype="f"/>
              </v:shape>
            </w:pict>
          </mc:Fallback>
        </mc:AlternateContent>
      </w:r>
      <w:r w:rsidRPr="00A8427D">
        <w:rPr>
          <w:noProof/>
        </w:rPr>
        <mc:AlternateContent>
          <mc:Choice Requires="wps">
            <w:drawing>
              <wp:anchor distT="0" distB="0" distL="114300" distR="114300" simplePos="0" relativeHeight="251675648" behindDoc="0" locked="0" layoutInCell="1" allowOverlap="1" wp14:anchorId="545E4C63" wp14:editId="40A567AD">
                <wp:simplePos x="0" y="0"/>
                <wp:positionH relativeFrom="column">
                  <wp:posOffset>3810000</wp:posOffset>
                </wp:positionH>
                <wp:positionV relativeFrom="paragraph">
                  <wp:posOffset>2563495</wp:posOffset>
                </wp:positionV>
                <wp:extent cx="648970" cy="1109345"/>
                <wp:effectExtent l="0" t="0" r="0" b="0"/>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70" cy="1109345"/>
                        </a:xfrm>
                        <a:prstGeom prst="ellipse">
                          <a:avLst/>
                        </a:prstGeom>
                        <a:noFill/>
                        <a:ln w="12700" cap="flat" cmpd="sng">
                          <a:solidFill>
                            <a:srgbClr val="31538F"/>
                          </a:solidFill>
                          <a:prstDash val="solid"/>
                          <a:miter lim="800000"/>
                          <a:headEnd type="none" w="sm" len="sm"/>
                          <a:tailEnd type="none" w="sm" len="sm"/>
                        </a:ln>
                      </wps:spPr>
                      <wps:txbx>
                        <w:txbxContent>
                          <w:p w14:paraId="48FB8123" w14:textId="77777777" w:rsidR="00144B88" w:rsidRDefault="00144B88" w:rsidP="00A8427D">
                            <w:pPr>
                              <w:spacing w:after="0" w:line="240" w:lineRule="auto"/>
                              <w:jc w:val="left"/>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w14:anchorId="545E4C63" id="Oval 135" o:spid="_x0000_s1060" style="position:absolute;margin-left:300pt;margin-top:201.85pt;width:51.1pt;height:8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" filled="f" strokecolor="#31538f" strokeweight="1pt">
                <v:stroke startarrowwidth="narrow" startarrowlength="short" endarrowwidth="narrow" endarrowlength="short" joinstyle="miter"/>
                <v:path arrowok="t"/>
                <v:textbox inset="2.53958mm,2.53958mm,2.53958mm,2.53958mm">
                  <w:txbxContent>
                    <w:p w14:paraId="48FB8123" w14:textId="77777777" w:rsidR="00144B88" w:rsidRDefault="00144B88" w:rsidP="00A8427D">
                      <w:pPr>
                        <w:spacing w:after="0" w:line="240" w:lineRule="auto"/>
                        <w:jc w:val="left"/>
                        <w:textDirection w:val="btLr"/>
                      </w:pPr>
                    </w:p>
                  </w:txbxContent>
                </v:textbox>
              </v:oval>
            </w:pict>
          </mc:Fallback>
        </mc:AlternateContent>
      </w:r>
      <w:r w:rsidRPr="00A8427D">
        <w:rPr>
          <w:noProof/>
        </w:rPr>
        <mc:AlternateContent>
          <mc:Choice Requires="wps">
            <w:drawing>
              <wp:anchor distT="0" distB="0" distL="114300" distR="114300" simplePos="0" relativeHeight="251674624" behindDoc="0" locked="0" layoutInCell="1" allowOverlap="1" wp14:anchorId="24873F67" wp14:editId="739806F1">
                <wp:simplePos x="0" y="0"/>
                <wp:positionH relativeFrom="column">
                  <wp:posOffset>4330700</wp:posOffset>
                </wp:positionH>
                <wp:positionV relativeFrom="paragraph">
                  <wp:posOffset>2715895</wp:posOffset>
                </wp:positionV>
                <wp:extent cx="970915" cy="861060"/>
                <wp:effectExtent l="0" t="0" r="635" b="0"/>
                <wp:wrapNone/>
                <wp:docPr id="1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915" cy="861060"/>
                        </a:xfrm>
                        <a:prstGeom prst="ellipse">
                          <a:avLst/>
                        </a:prstGeom>
                        <a:noFill/>
                        <a:ln w="12700" cap="flat" cmpd="sng">
                          <a:solidFill>
                            <a:srgbClr val="31538F"/>
                          </a:solidFill>
                          <a:prstDash val="solid"/>
                          <a:miter lim="800000"/>
                          <a:headEnd type="none" w="sm" len="sm"/>
                          <a:tailEnd type="none" w="sm" len="sm"/>
                        </a:ln>
                      </wps:spPr>
                      <wps:txbx>
                        <w:txbxContent>
                          <w:p w14:paraId="5A957EC8" w14:textId="77777777" w:rsidR="00144B88" w:rsidRDefault="00144B88" w:rsidP="00A8427D">
                            <w:pPr>
                              <w:spacing w:after="0" w:line="240" w:lineRule="auto"/>
                              <w:jc w:val="left"/>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w14:anchorId="24873F67" id="Oval 134" o:spid="_x0000_s1061" style="position:absolute;margin-left:341pt;margin-top:213.85pt;width:76.45pt;height:6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" filled="f" strokecolor="#31538f" strokeweight="1pt">
                <v:stroke startarrowwidth="narrow" startarrowlength="short" endarrowwidth="narrow" endarrowlength="short" joinstyle="miter"/>
                <v:path arrowok="t"/>
                <v:textbox inset="2.53958mm,2.53958mm,2.53958mm,2.53958mm">
                  <w:txbxContent>
                    <w:p w14:paraId="5A957EC8" w14:textId="77777777" w:rsidR="00144B88" w:rsidRDefault="00144B88" w:rsidP="00A8427D">
                      <w:pPr>
                        <w:spacing w:after="0" w:line="240" w:lineRule="auto"/>
                        <w:jc w:val="left"/>
                        <w:textDirection w:val="btLr"/>
                      </w:pPr>
                    </w:p>
                  </w:txbxContent>
                </v:textbox>
              </v:oval>
            </w:pict>
          </mc:Fallback>
        </mc:AlternateContent>
      </w:r>
      <w:r w:rsidRPr="00A8427D">
        <w:rPr>
          <w:noProof/>
        </w:rPr>
        <mc:AlternateContent>
          <mc:Choice Requires="wps">
            <w:drawing>
              <wp:anchor distT="0" distB="0" distL="114300" distR="114300" simplePos="0" relativeHeight="251673600" behindDoc="0" locked="0" layoutInCell="1" allowOverlap="1" wp14:anchorId="2A4F320E" wp14:editId="3B400925">
                <wp:simplePos x="0" y="0"/>
                <wp:positionH relativeFrom="column">
                  <wp:posOffset>4635500</wp:posOffset>
                </wp:positionH>
                <wp:positionV relativeFrom="paragraph">
                  <wp:posOffset>3528695</wp:posOffset>
                </wp:positionV>
                <wp:extent cx="208280" cy="376555"/>
                <wp:effectExtent l="0" t="0" r="1270" b="444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8280" cy="376555"/>
                        </a:xfrm>
                        <a:prstGeom prst="straightConnector1">
                          <a:avLst/>
                        </a:prstGeom>
                        <a:noFill/>
                        <a:ln w="25400" cap="flat" cmpd="sng">
                          <a:solidFill>
                            <a:schemeClr val="accent1"/>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04F6027" id="Straight Arrow Connector 133" o:spid="_x0000_s1026" type="#_x0000_t32" style="position:absolute;margin-left:365pt;margin-top:277.85pt;width:16.4pt;height:29.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" strokecolor="#1c556c [3204]" strokeweight="2pt">
                <v:stroke startarrowwidth="narrow" startarrowlength="short" endarrowwidth="narrow" endarrowlength="short" joinstyle="miter"/>
                <o:lock v:ext="edit" shapetype="f"/>
              </v:shape>
            </w:pict>
          </mc:Fallback>
        </mc:AlternateContent>
      </w:r>
    </w:p>
    <w:p w14:paraId="52E43CF6" w14:textId="77777777" w:rsidR="00223BFC" w:rsidRDefault="00223BFC" w:rsidP="00A8427D">
      <w:pPr>
        <w:pStyle w:val="BodyText"/>
        <w:sectPr w:rsidR="00223BFC" w:rsidSect="00223BFC">
          <w:footerReference w:type="default" r:id="rId44"/>
          <w:pgSz w:w="16840" w:h="11907" w:orient="landscape" w:code="9"/>
          <w:pgMar w:top="851" w:right="1134" w:bottom="1418" w:left="1134" w:header="567" w:footer="567" w:gutter="510"/>
          <w:cols w:space="720"/>
          <w:docGrid w:linePitch="299"/>
        </w:sectPr>
      </w:pPr>
    </w:p>
    <w:p w14:paraId="190381C9" w14:textId="77777777" w:rsidR="00BD3B07" w:rsidRPr="00E3756C" w:rsidRDefault="00BD3B07" w:rsidP="002A25F6">
      <w:pPr>
        <w:pStyle w:val="Heading3"/>
        <w:spacing w:after="120"/>
      </w:pPr>
      <w:bookmarkStart w:id="190" w:name="_Toc13570394"/>
      <w:r w:rsidRPr="00E3756C">
        <w:lastRenderedPageBreak/>
        <w:t>Guidance on the reporting template</w:t>
      </w:r>
      <w:bookmarkEnd w:id="190"/>
    </w:p>
    <w:p w14:paraId="3696BC62" w14:textId="77777777" w:rsidR="00BD3B07" w:rsidRPr="00E3756C" w:rsidRDefault="00BD3B07" w:rsidP="00382C3A">
      <w:pPr>
        <w:pStyle w:val="Numberedparagraph"/>
        <w:numPr>
          <w:ilvl w:val="0"/>
          <w:numId w:val="21"/>
        </w:numPr>
      </w:pPr>
      <w:r w:rsidRPr="00E3756C">
        <w:t xml:space="preserve">The </w:t>
      </w:r>
      <w:r w:rsidR="00F14380">
        <w:t>strength of evidence</w:t>
      </w:r>
      <w:r w:rsidRPr="00E3756C">
        <w:t xml:space="preserve"> is directly sourced from outputs of the Stage 2 </w:t>
      </w:r>
      <w:r w:rsidR="002B141C" w:rsidRPr="00E3756C">
        <w:t>d</w:t>
      </w:r>
      <w:r w:rsidRPr="00E3756C">
        <w:t xml:space="preserve">etailed </w:t>
      </w:r>
      <w:r w:rsidR="002B141C" w:rsidRPr="00E3756C">
        <w:t>r</w:t>
      </w:r>
      <w:r w:rsidRPr="00E3756C">
        <w:t xml:space="preserve">isk </w:t>
      </w:r>
      <w:r w:rsidR="002B141C" w:rsidRPr="00E3756C">
        <w:t>a</w:t>
      </w:r>
      <w:r w:rsidRPr="00E3756C">
        <w:t>ssessment (</w:t>
      </w:r>
      <w:r w:rsidR="002B141C" w:rsidRPr="00E3756C">
        <w:t>c</w:t>
      </w:r>
      <w:r w:rsidRPr="00E3756C">
        <w:t xml:space="preserve">hapter B3, </w:t>
      </w:r>
      <w:hyperlink w:anchor="tableB35" w:history="1">
        <w:r w:rsidR="002B141C" w:rsidRPr="00E3756C">
          <w:rPr>
            <w:rStyle w:val="Hyperlink"/>
          </w:rPr>
          <w:t>t</w:t>
        </w:r>
        <w:r w:rsidRPr="00E3756C">
          <w:rPr>
            <w:rStyle w:val="Hyperlink"/>
          </w:rPr>
          <w:t>able B3-</w:t>
        </w:r>
        <w:r w:rsidR="002B141C" w:rsidRPr="00E3756C">
          <w:rPr>
            <w:rStyle w:val="Hyperlink"/>
          </w:rPr>
          <w:t>5</w:t>
        </w:r>
      </w:hyperlink>
      <w:r w:rsidRPr="00E3756C">
        <w:t xml:space="preserve">). Options are </w:t>
      </w:r>
      <w:r w:rsidR="0041411A" w:rsidRPr="00E3756C">
        <w:t>l</w:t>
      </w:r>
      <w:r w:rsidRPr="00E3756C">
        <w:t xml:space="preserve">ow, </w:t>
      </w:r>
      <w:r w:rsidR="0041411A" w:rsidRPr="00E3756C">
        <w:t>m</w:t>
      </w:r>
      <w:r w:rsidRPr="00E3756C">
        <w:t xml:space="preserve">edium and </w:t>
      </w:r>
      <w:r w:rsidR="0041411A" w:rsidRPr="00E3756C">
        <w:t>h</w:t>
      </w:r>
      <w:r w:rsidRPr="00E3756C">
        <w:t>igh.</w:t>
      </w:r>
    </w:p>
    <w:p w14:paraId="4FC5D690" w14:textId="77777777" w:rsidR="00BD3B07" w:rsidRPr="00E3756C" w:rsidRDefault="00F14380" w:rsidP="002A25F6">
      <w:pPr>
        <w:pStyle w:val="Numberedparagraph"/>
      </w:pPr>
      <w:r>
        <w:t>Key agencies</w:t>
      </w:r>
      <w:r w:rsidRPr="00E3756C">
        <w:t xml:space="preserve"> </w:t>
      </w:r>
      <w:r w:rsidR="00BD3B07" w:rsidRPr="00E3756C">
        <w:t>are those parties that have been identified to date with responsibilities related to the risk. Where known or anticipated</w:t>
      </w:r>
      <w:r w:rsidR="0041411A" w:rsidRPr="00E3756C">
        <w:t>,</w:t>
      </w:r>
      <w:r w:rsidR="00BD3B07" w:rsidRPr="00E3756C">
        <w:t xml:space="preserve"> the lead custodian is highlighted.</w:t>
      </w:r>
    </w:p>
    <w:p w14:paraId="73C53FC8" w14:textId="77777777" w:rsidR="00BD3B07" w:rsidRPr="00E3756C" w:rsidRDefault="00BD3B07" w:rsidP="002A25F6">
      <w:pPr>
        <w:pStyle w:val="Numberedparagraph"/>
      </w:pPr>
      <w:r w:rsidRPr="00E3756C">
        <w:t>The urgency rating is directly derived from qualitative assessment (</w:t>
      </w:r>
      <w:hyperlink w:anchor="_Chapter_B4:_Assessment" w:history="1">
        <w:r w:rsidR="0041411A" w:rsidRPr="00E3756C">
          <w:rPr>
            <w:rStyle w:val="Hyperlink"/>
          </w:rPr>
          <w:t>c</w:t>
        </w:r>
        <w:r w:rsidRPr="00E3756C">
          <w:rPr>
            <w:rStyle w:val="Hyperlink"/>
          </w:rPr>
          <w:t>hapter B4</w:t>
        </w:r>
      </w:hyperlink>
      <w:r w:rsidRPr="00E3756C">
        <w:t>). Options are</w:t>
      </w:r>
      <w:r w:rsidR="008275D9" w:rsidRPr="00E3756C">
        <w:t>:</w:t>
      </w:r>
      <w:r w:rsidRPr="00E3756C">
        <w:t xml:space="preserve"> </w:t>
      </w:r>
      <w:r w:rsidR="008275D9" w:rsidRPr="00E3756C">
        <w:t>m</w:t>
      </w:r>
      <w:r w:rsidRPr="00E3756C">
        <w:t xml:space="preserve">ore action (for More Action Needed), </w:t>
      </w:r>
      <w:r w:rsidR="008275D9" w:rsidRPr="00E3756C">
        <w:t>r</w:t>
      </w:r>
      <w:r w:rsidRPr="00E3756C">
        <w:t xml:space="preserve">esearch (for Research Priority), </w:t>
      </w:r>
      <w:r w:rsidR="008275D9" w:rsidRPr="00E3756C">
        <w:t>s</w:t>
      </w:r>
      <w:r w:rsidRPr="00E3756C">
        <w:t xml:space="preserve">ustain (for Sustain Current Action) and </w:t>
      </w:r>
      <w:r w:rsidR="008275D9" w:rsidRPr="00E3756C">
        <w:t>w</w:t>
      </w:r>
      <w:r w:rsidRPr="00E3756C">
        <w:t>atching (for Watching Brief).</w:t>
      </w:r>
    </w:p>
    <w:p w14:paraId="712CC3F4" w14:textId="77777777" w:rsidR="00BD3B07" w:rsidRPr="00E3756C" w:rsidRDefault="00BD3B07" w:rsidP="002A25F6">
      <w:pPr>
        <w:pStyle w:val="Numberedparagraph"/>
      </w:pPr>
      <w:r w:rsidRPr="00E3756C">
        <w:t xml:space="preserve">The timeframes </w:t>
      </w:r>
      <w:r w:rsidR="00B045B2">
        <w:t>are as discussed</w:t>
      </w:r>
      <w:r w:rsidRPr="00E3756C">
        <w:t xml:space="preserve"> in </w:t>
      </w:r>
      <w:hyperlink w:anchor="_Chapter_A3:_Setting" w:history="1">
        <w:r w:rsidR="00176CE8" w:rsidRPr="00E3756C">
          <w:rPr>
            <w:rStyle w:val="Hyperlink"/>
          </w:rPr>
          <w:t>c</w:t>
        </w:r>
        <w:r w:rsidRPr="00E3756C">
          <w:rPr>
            <w:rStyle w:val="Hyperlink"/>
          </w:rPr>
          <w:t>hapter A3</w:t>
        </w:r>
      </w:hyperlink>
      <w:r w:rsidRPr="00E3756C">
        <w:t xml:space="preserve"> and </w:t>
      </w:r>
      <w:hyperlink w:anchor="_Chapter_B1:_Defining_1" w:history="1">
        <w:r w:rsidR="00176CE8" w:rsidRPr="00E3756C">
          <w:rPr>
            <w:rStyle w:val="Hyperlink"/>
          </w:rPr>
          <w:t xml:space="preserve">chapter </w:t>
        </w:r>
        <w:r w:rsidRPr="00E3756C">
          <w:rPr>
            <w:rStyle w:val="Hyperlink"/>
          </w:rPr>
          <w:t>B1</w:t>
        </w:r>
      </w:hyperlink>
      <w:r w:rsidR="00176CE8" w:rsidRPr="00E3756C">
        <w:t>.</w:t>
      </w:r>
    </w:p>
    <w:p w14:paraId="5D6661D9" w14:textId="77777777" w:rsidR="00BD3B07" w:rsidRPr="00E3756C" w:rsidRDefault="00BD3B07" w:rsidP="002A25F6">
      <w:pPr>
        <w:pStyle w:val="Numberedparagraph"/>
      </w:pPr>
      <w:r w:rsidRPr="00E3756C">
        <w:t>The total risk level (orange plus hatched yellow) is the level as derived from the Detailed Assessment (</w:t>
      </w:r>
      <w:r w:rsidR="000F7323" w:rsidRPr="00E3756C">
        <w:t>c</w:t>
      </w:r>
      <w:r w:rsidRPr="00E3756C">
        <w:t>hapter B3). The hatched yellow represents the largely qualitative assessment of potential for adaptation (</w:t>
      </w:r>
      <w:r w:rsidR="000F7323" w:rsidRPr="00E3756C">
        <w:t>c</w:t>
      </w:r>
      <w:r w:rsidRPr="00E3756C">
        <w:t>hapter B4)</w:t>
      </w:r>
      <w:r w:rsidR="000F7323" w:rsidRPr="00E3756C">
        <w:t>.</w:t>
      </w:r>
      <w:r w:rsidRPr="00E3756C">
        <w:t xml:space="preserve"> </w:t>
      </w:r>
    </w:p>
    <w:p w14:paraId="3BC4A590" w14:textId="77777777" w:rsidR="00BD3B07" w:rsidRPr="00E3756C" w:rsidRDefault="00BD3B07" w:rsidP="002A25F6">
      <w:pPr>
        <w:pStyle w:val="BodyText"/>
      </w:pPr>
      <w:r w:rsidRPr="00E3756C">
        <w:t xml:space="preserve">An Excel spreadsheet has been developed to expedite this reporting and incorporates automatic colour coding across points 1, 3, 4 and 5. </w:t>
      </w:r>
    </w:p>
    <w:p w14:paraId="02105617" w14:textId="77777777" w:rsidR="001238C4" w:rsidRPr="00E3756C" w:rsidRDefault="001238C4" w:rsidP="00E86BF3">
      <w:pPr>
        <w:pStyle w:val="BodyText"/>
      </w:pPr>
    </w:p>
    <w:p w14:paraId="47C35C7D" w14:textId="77777777" w:rsidR="00891E5E" w:rsidRPr="00E3756C" w:rsidRDefault="00891E5E">
      <w:pPr>
        <w:spacing w:before="0" w:after="200" w:line="276" w:lineRule="auto"/>
        <w:jc w:val="left"/>
      </w:pPr>
      <w:r w:rsidRPr="00E3756C">
        <w:br w:type="page"/>
      </w:r>
    </w:p>
    <w:p w14:paraId="2CC000BB" w14:textId="77777777" w:rsidR="000F7323" w:rsidRPr="00E3756C" w:rsidRDefault="000F7323" w:rsidP="000F7323">
      <w:pPr>
        <w:pStyle w:val="BodyText"/>
      </w:pPr>
      <w:bookmarkStart w:id="191" w:name="_Toc13570395"/>
      <w:bookmarkStart w:id="192" w:name="_Toc14361560"/>
    </w:p>
    <w:p w14:paraId="5CE8BDD4" w14:textId="77777777" w:rsidR="000F7323" w:rsidRPr="00E3756C" w:rsidRDefault="000F7323" w:rsidP="000F7323">
      <w:pPr>
        <w:pStyle w:val="BodyText"/>
      </w:pPr>
    </w:p>
    <w:p w14:paraId="67C75B2F" w14:textId="77777777" w:rsidR="000F7323" w:rsidRPr="00E3756C" w:rsidRDefault="000F7323" w:rsidP="000F7323">
      <w:pPr>
        <w:pStyle w:val="BodyText"/>
      </w:pPr>
    </w:p>
    <w:p w14:paraId="66020CDD" w14:textId="77777777" w:rsidR="000F7323" w:rsidRPr="00E3756C" w:rsidRDefault="000F7323" w:rsidP="000F7323">
      <w:pPr>
        <w:pStyle w:val="BodyText"/>
      </w:pPr>
    </w:p>
    <w:p w14:paraId="77B45E9C" w14:textId="77777777" w:rsidR="000F7323" w:rsidRPr="00E3756C" w:rsidRDefault="000F7323" w:rsidP="000F7323">
      <w:pPr>
        <w:pStyle w:val="BodyText"/>
      </w:pPr>
    </w:p>
    <w:p w14:paraId="5D9E8F31" w14:textId="77777777" w:rsidR="000F7323" w:rsidRPr="00E3756C" w:rsidRDefault="000F7323" w:rsidP="000F7323">
      <w:pPr>
        <w:pStyle w:val="BodyText"/>
      </w:pPr>
    </w:p>
    <w:p w14:paraId="26E822D8" w14:textId="77777777" w:rsidR="000F7323" w:rsidRPr="00E3756C" w:rsidRDefault="000F7323" w:rsidP="000F7323">
      <w:pPr>
        <w:pStyle w:val="BodyText"/>
      </w:pPr>
    </w:p>
    <w:p w14:paraId="328D7C5B" w14:textId="77777777" w:rsidR="000F7323" w:rsidRPr="00E3756C" w:rsidRDefault="000F7323" w:rsidP="000F7323">
      <w:pPr>
        <w:pStyle w:val="BodyText"/>
      </w:pPr>
    </w:p>
    <w:p w14:paraId="78E87843" w14:textId="77777777" w:rsidR="00891E5E" w:rsidRPr="00E3756C" w:rsidRDefault="00891E5E" w:rsidP="00927CE4">
      <w:pPr>
        <w:pStyle w:val="Parttitle"/>
      </w:pPr>
      <w:r w:rsidRPr="00E3756C">
        <w:t>Part C</w:t>
      </w:r>
      <w:r w:rsidR="000F7323" w:rsidRPr="00E3756C">
        <w:t>:</w:t>
      </w:r>
      <w:r w:rsidRPr="00E3756C">
        <w:t xml:space="preserve"> Supplementary material</w:t>
      </w:r>
      <w:bookmarkEnd w:id="191"/>
      <w:bookmarkEnd w:id="192"/>
    </w:p>
    <w:p w14:paraId="095A8DF1" w14:textId="77777777" w:rsidR="000F7323" w:rsidRPr="00E3756C" w:rsidRDefault="007D40B4" w:rsidP="007D40B4">
      <w:pPr>
        <w:pStyle w:val="Heading1"/>
      </w:pPr>
      <w:bookmarkStart w:id="193" w:name="_Chapter_C1:_Developing"/>
      <w:bookmarkStart w:id="194" w:name="_Toc13570396"/>
      <w:bookmarkStart w:id="195" w:name="_Toc14361561"/>
      <w:bookmarkEnd w:id="193"/>
      <w:r w:rsidRPr="007D40B4">
        <w:t xml:space="preserve">Wāhanga C: Kōrero āpiti </w:t>
      </w:r>
      <w:r w:rsidR="000F7323" w:rsidRPr="00E3756C">
        <w:br w:type="page"/>
      </w:r>
    </w:p>
    <w:p w14:paraId="720403BB" w14:textId="77777777" w:rsidR="00891E5E" w:rsidRPr="00E3756C" w:rsidRDefault="00891E5E" w:rsidP="00927CE4">
      <w:pPr>
        <w:pStyle w:val="Heading1"/>
        <w:rPr>
          <w:sz w:val="46"/>
          <w:szCs w:val="46"/>
        </w:rPr>
      </w:pPr>
      <w:bookmarkStart w:id="196" w:name="_Toc15409173"/>
      <w:r w:rsidRPr="00E3756C">
        <w:rPr>
          <w:sz w:val="46"/>
          <w:szCs w:val="46"/>
        </w:rPr>
        <w:lastRenderedPageBreak/>
        <w:t>Chapter C1: Developing an engagement plan</w:t>
      </w:r>
      <w:bookmarkEnd w:id="194"/>
      <w:bookmarkEnd w:id="195"/>
      <w:bookmarkEnd w:id="196"/>
    </w:p>
    <w:p w14:paraId="1F100B15" w14:textId="77777777" w:rsidR="00891E5E" w:rsidRPr="00E3756C" w:rsidRDefault="00891E5E" w:rsidP="00F002B7">
      <w:pPr>
        <w:pStyle w:val="BodyText"/>
        <w:spacing w:before="100" w:after="100"/>
      </w:pPr>
      <w:r w:rsidRPr="00E3756C">
        <w:t>Any engagement process will follow accepted good practice, for example</w:t>
      </w:r>
      <w:r w:rsidR="00CF0F28" w:rsidRPr="00E3756C">
        <w:t>,</w:t>
      </w:r>
      <w:r w:rsidRPr="00E3756C">
        <w:t xml:space="preserve"> the International Association of Public Participation process</w:t>
      </w:r>
      <w:r w:rsidR="004D17F4" w:rsidRPr="00E3756C">
        <w:t xml:space="preserve"> </w:t>
      </w:r>
      <w:r w:rsidRPr="00E3756C">
        <w:t>of design, methods</w:t>
      </w:r>
      <w:r w:rsidR="00CF0F28" w:rsidRPr="00E3756C">
        <w:t xml:space="preserve"> and</w:t>
      </w:r>
      <w:r w:rsidRPr="00E3756C">
        <w:t xml:space="preserve"> evaluation.</w:t>
      </w:r>
      <w:r w:rsidR="004D17F4" w:rsidRPr="00E3756C">
        <w:rPr>
          <w:vertAlign w:val="superscript"/>
        </w:rPr>
        <w:footnoteReference w:id="7"/>
      </w:r>
      <w:r w:rsidR="007F7ABF">
        <w:rPr>
          <w:vertAlign w:val="superscript"/>
        </w:rPr>
        <w:t xml:space="preserve"> </w:t>
      </w:r>
      <w:r w:rsidRPr="00E3756C">
        <w:t>At the outset of planning the risk assessment process</w:t>
      </w:r>
      <w:r w:rsidR="00CF0F28" w:rsidRPr="00E3756C">
        <w:t>,</w:t>
      </w:r>
      <w:r w:rsidRPr="00E3756C">
        <w:t xml:space="preserve"> and while starting to understand the context of the assessment, an engagement plan </w:t>
      </w:r>
      <w:r w:rsidR="004D17F4" w:rsidRPr="00E3756C">
        <w:t xml:space="preserve">should </w:t>
      </w:r>
      <w:r w:rsidRPr="00E3756C">
        <w:t xml:space="preserve">be developed </w:t>
      </w:r>
      <w:r w:rsidR="004D17F4" w:rsidRPr="00E3756C">
        <w:t xml:space="preserve">that </w:t>
      </w:r>
      <w:r w:rsidRPr="00E3756C">
        <w:t xml:space="preserve">reflects the process shown in </w:t>
      </w:r>
      <w:hyperlink w:anchor="tableC11" w:history="1">
        <w:r w:rsidR="005E4409" w:rsidRPr="00E3756C">
          <w:rPr>
            <w:rStyle w:val="Hyperlink"/>
          </w:rPr>
          <w:t xml:space="preserve">table </w:t>
        </w:r>
        <w:r w:rsidRPr="00E3756C">
          <w:rPr>
            <w:rStyle w:val="Hyperlink"/>
          </w:rPr>
          <w:t>C1-1</w:t>
        </w:r>
      </w:hyperlink>
      <w:r w:rsidRPr="00E3756C">
        <w:t>.</w:t>
      </w:r>
      <w:r w:rsidR="00484C8A" w:rsidRPr="00E3756C">
        <w:t xml:space="preserve"> </w:t>
      </w:r>
      <w:r w:rsidRPr="00E3756C">
        <w:t>This plan will guide the engagement process</w:t>
      </w:r>
      <w:r w:rsidR="004D17F4" w:rsidRPr="00E3756C">
        <w:t>,</w:t>
      </w:r>
      <w:r w:rsidRPr="00E3756C">
        <w:t xml:space="preserve"> to ensure project outcomes are met. </w:t>
      </w:r>
    </w:p>
    <w:p w14:paraId="4585D8B4" w14:textId="3F84CD7E" w:rsidR="00891E5E" w:rsidRPr="00E3756C" w:rsidRDefault="00891E5E" w:rsidP="00F002B7">
      <w:pPr>
        <w:pStyle w:val="BodyText"/>
        <w:spacing w:before="100" w:after="100"/>
      </w:pPr>
      <w:r w:rsidRPr="00E3756C">
        <w:t>It is expected that</w:t>
      </w:r>
      <w:r w:rsidR="004D17F4" w:rsidRPr="00E3756C">
        <w:t>,</w:t>
      </w:r>
      <w:r w:rsidRPr="00E3756C">
        <w:t xml:space="preserve"> while different forms of engagement will be required (as described in </w:t>
      </w:r>
      <w:hyperlink w:anchor="_Chapter_A4:_Risk" w:history="1">
        <w:r w:rsidR="004D17F4" w:rsidRPr="00E3756C">
          <w:rPr>
            <w:rStyle w:val="Hyperlink"/>
          </w:rPr>
          <w:t>c</w:t>
        </w:r>
        <w:r w:rsidRPr="00E3756C">
          <w:rPr>
            <w:rStyle w:val="Hyperlink"/>
          </w:rPr>
          <w:t>hapter A4</w:t>
        </w:r>
      </w:hyperlink>
      <w:r w:rsidRPr="00E3756C">
        <w:t xml:space="preserve"> and shown in </w:t>
      </w:r>
      <w:hyperlink w:anchor="figureA41" w:history="1">
        <w:r w:rsidR="004D17F4" w:rsidRPr="00E3756C">
          <w:rPr>
            <w:rStyle w:val="Hyperlink"/>
          </w:rPr>
          <w:t>f</w:t>
        </w:r>
        <w:r w:rsidRPr="00E3756C">
          <w:rPr>
            <w:rStyle w:val="Hyperlink"/>
          </w:rPr>
          <w:t>igure A4-1</w:t>
        </w:r>
      </w:hyperlink>
      <w:r w:rsidRPr="00E3756C">
        <w:t xml:space="preserve">), expert elicitation will </w:t>
      </w:r>
      <w:r w:rsidR="000041A2" w:rsidRPr="00E3756C">
        <w:t xml:space="preserve">be </w:t>
      </w:r>
      <w:r w:rsidRPr="00E3756C">
        <w:t xml:space="preserve">the </w:t>
      </w:r>
      <w:r w:rsidR="000041A2" w:rsidRPr="00E3756C">
        <w:t xml:space="preserve">main </w:t>
      </w:r>
      <w:r w:rsidRPr="00E3756C">
        <w:t xml:space="preserve">method </w:t>
      </w:r>
      <w:r w:rsidR="000041A2" w:rsidRPr="00E3756C">
        <w:t xml:space="preserve">for </w:t>
      </w:r>
      <w:r w:rsidRPr="00E3756C">
        <w:t>extract</w:t>
      </w:r>
      <w:r w:rsidR="000041A2" w:rsidRPr="00E3756C">
        <w:t>ing</w:t>
      </w:r>
      <w:r w:rsidRPr="00E3756C">
        <w:t xml:space="preserve"> information from the different sectors.</w:t>
      </w:r>
      <w:r w:rsidR="00484C8A" w:rsidRPr="00E3756C">
        <w:t xml:space="preserve"> </w:t>
      </w:r>
      <w:r w:rsidR="000041A2" w:rsidRPr="00E3756C">
        <w:t xml:space="preserve">This </w:t>
      </w:r>
      <w:r w:rsidRPr="00E3756C">
        <w:t xml:space="preserve">formal procedure </w:t>
      </w:r>
      <w:r w:rsidR="000041A2" w:rsidRPr="00E3756C">
        <w:t xml:space="preserve">is used </w:t>
      </w:r>
      <w:r w:rsidRPr="00E3756C">
        <w:t>for obtaining and combining expert judg</w:t>
      </w:r>
      <w:r w:rsidR="000041A2" w:rsidRPr="00E3756C">
        <w:t>e</w:t>
      </w:r>
      <w:r w:rsidRPr="00E3756C">
        <w:t>ments, and is often used when existing information cannot be easily provided, agreed upon or accessed.</w:t>
      </w:r>
      <w:r w:rsidR="00484C8A" w:rsidRPr="00E3756C">
        <w:t xml:space="preserve"> </w:t>
      </w:r>
      <w:r w:rsidR="000041A2" w:rsidRPr="00E3756C">
        <w:t xml:space="preserve">Because </w:t>
      </w:r>
      <w:r w:rsidRPr="00E3756C">
        <w:t xml:space="preserve">expert biases can result in perverse outcomes, it is important structured elicitation protocols are followed, and the reconciliation across experts is </w:t>
      </w:r>
      <w:r w:rsidR="00D2002A">
        <w:t>carried out</w:t>
      </w:r>
      <w:r w:rsidR="00D2002A" w:rsidRPr="00E3756C">
        <w:t xml:space="preserve"> </w:t>
      </w:r>
      <w:r w:rsidRPr="00E3756C">
        <w:t xml:space="preserve">in a transparent and robust manner (see </w:t>
      </w:r>
      <w:r w:rsidR="002A5586">
        <w:t>table C1-1</w:t>
      </w:r>
      <w:r w:rsidR="002A5586" w:rsidRPr="00E3756C">
        <w:t xml:space="preserve"> </w:t>
      </w:r>
      <w:r w:rsidRPr="00E3756C">
        <w:t xml:space="preserve">for an example of how this can be </w:t>
      </w:r>
      <w:r w:rsidR="00D2002A">
        <w:t>done</w:t>
      </w:r>
      <w:r w:rsidRPr="00E3756C">
        <w:t xml:space="preserve">). </w:t>
      </w:r>
    </w:p>
    <w:p w14:paraId="3AD75472" w14:textId="3B03C072" w:rsidR="00891E5E" w:rsidRPr="00E3756C" w:rsidRDefault="00891E5E" w:rsidP="00F002B7">
      <w:pPr>
        <w:pStyle w:val="BodyText"/>
        <w:spacing w:before="100" w:after="100"/>
      </w:pPr>
      <w:r w:rsidRPr="00E3756C">
        <w:t xml:space="preserve">The engagement strategy is a living document and </w:t>
      </w:r>
      <w:r w:rsidR="00D2002A">
        <w:t>you should update it</w:t>
      </w:r>
      <w:r w:rsidRPr="00E3756C">
        <w:t xml:space="preserve"> as the project progresses.</w:t>
      </w:r>
      <w:r w:rsidR="00484C8A" w:rsidRPr="00E3756C">
        <w:t xml:space="preserve"> </w:t>
      </w:r>
      <w:r w:rsidRPr="00E3756C">
        <w:t xml:space="preserve">For example, once engagement begins, if </w:t>
      </w:r>
      <w:r w:rsidR="00D2002A">
        <w:t xml:space="preserve">you identify </w:t>
      </w:r>
      <w:r w:rsidRPr="00E3756C">
        <w:t>further stakeholders (eg</w:t>
      </w:r>
      <w:r w:rsidR="007679BB" w:rsidRPr="00E3756C">
        <w:t>,</w:t>
      </w:r>
      <w:r w:rsidRPr="00E3756C">
        <w:t xml:space="preserve"> experts, pan</w:t>
      </w:r>
      <w:r w:rsidR="007679BB" w:rsidRPr="00E3756C">
        <w:noBreakHyphen/>
      </w:r>
      <w:r w:rsidRPr="00E3756C">
        <w:t xml:space="preserve">Māori representatives), </w:t>
      </w:r>
      <w:r w:rsidR="00D2002A">
        <w:t>add them</w:t>
      </w:r>
      <w:r w:rsidRPr="00E3756C">
        <w:t xml:space="preserve"> </w:t>
      </w:r>
      <w:r w:rsidR="00D2002A">
        <w:t>to</w:t>
      </w:r>
      <w:r w:rsidR="00D2002A" w:rsidRPr="00E3756C">
        <w:t xml:space="preserve"> </w:t>
      </w:r>
      <w:r w:rsidRPr="00E3756C">
        <w:t>the engagement strategy.</w:t>
      </w:r>
      <w:r w:rsidR="00484C8A" w:rsidRPr="00E3756C">
        <w:t xml:space="preserve"> </w:t>
      </w:r>
      <w:r w:rsidRPr="00E3756C">
        <w:t>The</w:t>
      </w:r>
      <w:r w:rsidR="00D2002A">
        <w:t>re should be a regular</w:t>
      </w:r>
      <w:r w:rsidRPr="00E3756C">
        <w:t xml:space="preserve"> cycle of engagement planning</w:t>
      </w:r>
      <w:r w:rsidR="007679BB" w:rsidRPr="00E3756C">
        <w:t>,</w:t>
      </w:r>
      <w:r w:rsidRPr="00E3756C">
        <w:t xml:space="preserve"> implementing </w:t>
      </w:r>
      <w:r w:rsidR="007679BB" w:rsidRPr="00E3756C">
        <w:t xml:space="preserve">the </w:t>
      </w:r>
      <w:r w:rsidRPr="00E3756C">
        <w:t>plan</w:t>
      </w:r>
      <w:r w:rsidR="007679BB" w:rsidRPr="00E3756C">
        <w:t>,</w:t>
      </w:r>
      <w:r w:rsidRPr="00E3756C">
        <w:t xml:space="preserve"> monitoring and reflecting on the outcomes against objectives</w:t>
      </w:r>
      <w:r w:rsidR="007679BB" w:rsidRPr="00E3756C">
        <w:t xml:space="preserve"> and</w:t>
      </w:r>
      <w:r w:rsidRPr="00E3756C">
        <w:t xml:space="preserve"> </w:t>
      </w:r>
      <w:r w:rsidR="00D2002A">
        <w:t xml:space="preserve">plan </w:t>
      </w:r>
      <w:r w:rsidRPr="00E3756C">
        <w:t>review.</w:t>
      </w:r>
      <w:r w:rsidR="00484C8A" w:rsidRPr="00E3756C">
        <w:t xml:space="preserve"> </w:t>
      </w:r>
      <w:r w:rsidRPr="00E3756C">
        <w:t xml:space="preserve">As well as ensuring the engagement plan is meeting its objectives, </w:t>
      </w:r>
      <w:r w:rsidR="00D2002A">
        <w:t>this review cycle</w:t>
      </w:r>
      <w:r w:rsidR="00D2002A" w:rsidRPr="00E3756C">
        <w:t xml:space="preserve"> </w:t>
      </w:r>
      <w:r w:rsidRPr="00E3756C">
        <w:t>also</w:t>
      </w:r>
      <w:r w:rsidR="00484C8A" w:rsidRPr="00E3756C">
        <w:t xml:space="preserve"> </w:t>
      </w:r>
      <w:r w:rsidRPr="00E3756C">
        <w:t>provides for the ‘monitor and review’ part of the risk assessment process.</w:t>
      </w:r>
      <w:r w:rsidR="00484C8A" w:rsidRPr="00E3756C">
        <w:t xml:space="preserve"> </w:t>
      </w:r>
      <w:r w:rsidRPr="00E3756C">
        <w:t xml:space="preserve">To inform the development of the strategy, the activities in </w:t>
      </w:r>
      <w:r w:rsidR="007679BB" w:rsidRPr="00E3756C">
        <w:t>t</w:t>
      </w:r>
      <w:r w:rsidRPr="00E3756C">
        <w:t>able C1-1 should be undertaken.</w:t>
      </w:r>
      <w:r w:rsidR="00484C8A" w:rsidRPr="00E3756C">
        <w:t xml:space="preserve"> </w:t>
      </w:r>
    </w:p>
    <w:p w14:paraId="71CF7832" w14:textId="77777777" w:rsidR="00891E5E" w:rsidRPr="00E3756C" w:rsidRDefault="00891E5E" w:rsidP="00891E5E">
      <w:pPr>
        <w:pStyle w:val="Tableheading"/>
      </w:pPr>
      <w:bookmarkStart w:id="197" w:name="tableC11"/>
      <w:bookmarkStart w:id="198" w:name="_Toc16586504"/>
      <w:r w:rsidRPr="00E3756C">
        <w:t>Table C1-1</w:t>
      </w:r>
      <w:bookmarkEnd w:id="197"/>
      <w:r w:rsidRPr="00E3756C">
        <w:t>:</w:t>
      </w:r>
      <w:r w:rsidR="00484C8A" w:rsidRPr="00E3756C">
        <w:t xml:space="preserve"> </w:t>
      </w:r>
      <w:r w:rsidRPr="00E3756C">
        <w:tab/>
        <w:t>Engagement activities required to develop the engagement plan</w:t>
      </w:r>
      <w:bookmarkEnd w:id="198"/>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600" w:firstRow="0" w:lastRow="0" w:firstColumn="0" w:lastColumn="0" w:noHBand="1" w:noVBand="1"/>
      </w:tblPr>
      <w:tblGrid>
        <w:gridCol w:w="1849"/>
        <w:gridCol w:w="6656"/>
      </w:tblGrid>
      <w:tr w:rsidR="00131A86" w:rsidRPr="00E3756C" w14:paraId="0584F142" w14:textId="77777777" w:rsidTr="005F774D">
        <w:trPr>
          <w:tblHeader/>
        </w:trPr>
        <w:tc>
          <w:tcPr>
            <w:tcW w:w="1814" w:type="dxa"/>
            <w:shd w:val="clear" w:color="auto" w:fill="1C556C" w:themeFill="accent1"/>
            <w:tcMar>
              <w:top w:w="0" w:type="dxa"/>
              <w:left w:w="100" w:type="dxa"/>
              <w:bottom w:w="0" w:type="dxa"/>
              <w:right w:w="100" w:type="dxa"/>
            </w:tcMar>
          </w:tcPr>
          <w:p w14:paraId="3F430DC0" w14:textId="77777777" w:rsidR="00891E5E" w:rsidRPr="00E3756C" w:rsidRDefault="00891E5E" w:rsidP="00D012DA">
            <w:pPr>
              <w:pStyle w:val="TableTextbold"/>
              <w:keepNext/>
              <w:rPr>
                <w:color w:val="FFFFFF" w:themeColor="background1"/>
              </w:rPr>
            </w:pPr>
            <w:r w:rsidRPr="00E3756C">
              <w:rPr>
                <w:color w:val="FFFFFF" w:themeColor="background1"/>
              </w:rPr>
              <w:t xml:space="preserve">Engagement </w:t>
            </w:r>
            <w:r w:rsidR="007679BB" w:rsidRPr="00E3756C">
              <w:rPr>
                <w:color w:val="FFFFFF" w:themeColor="background1"/>
              </w:rPr>
              <w:t>a</w:t>
            </w:r>
            <w:r w:rsidRPr="00E3756C">
              <w:rPr>
                <w:color w:val="FFFFFF" w:themeColor="background1"/>
              </w:rPr>
              <w:t>ctivities</w:t>
            </w:r>
          </w:p>
        </w:tc>
        <w:tc>
          <w:tcPr>
            <w:tcW w:w="6528" w:type="dxa"/>
            <w:shd w:val="clear" w:color="auto" w:fill="1C556C" w:themeFill="accent1"/>
            <w:tcMar>
              <w:top w:w="0" w:type="dxa"/>
              <w:left w:w="100" w:type="dxa"/>
              <w:bottom w:w="0" w:type="dxa"/>
              <w:right w:w="100" w:type="dxa"/>
            </w:tcMar>
          </w:tcPr>
          <w:p w14:paraId="0A7354B2" w14:textId="77777777" w:rsidR="00891E5E" w:rsidRPr="00E3756C" w:rsidRDefault="00891E5E" w:rsidP="00D012DA">
            <w:pPr>
              <w:pStyle w:val="TableTextbold"/>
              <w:keepNext/>
              <w:rPr>
                <w:color w:val="FFFFFF" w:themeColor="background1"/>
                <w:szCs w:val="18"/>
              </w:rPr>
            </w:pPr>
            <w:r w:rsidRPr="00E3756C">
              <w:rPr>
                <w:color w:val="FFFFFF" w:themeColor="background1"/>
              </w:rPr>
              <w:t>Prompts</w:t>
            </w:r>
          </w:p>
        </w:tc>
      </w:tr>
      <w:tr w:rsidR="00891E5E" w:rsidRPr="00E3756C" w14:paraId="59A4C781" w14:textId="77777777" w:rsidTr="005F774D">
        <w:tc>
          <w:tcPr>
            <w:tcW w:w="1814" w:type="dxa"/>
            <w:shd w:val="clear" w:color="auto" w:fill="auto"/>
            <w:tcMar>
              <w:top w:w="0" w:type="dxa"/>
              <w:left w:w="100" w:type="dxa"/>
              <w:bottom w:w="0" w:type="dxa"/>
              <w:right w:w="100" w:type="dxa"/>
            </w:tcMar>
          </w:tcPr>
          <w:p w14:paraId="5828141E" w14:textId="77777777" w:rsidR="00891E5E" w:rsidRPr="00E3756C" w:rsidRDefault="00891E5E" w:rsidP="00131A86">
            <w:pPr>
              <w:pStyle w:val="TableTextbold"/>
            </w:pPr>
            <w:r w:rsidRPr="00E3756C">
              <w:t>Understand context</w:t>
            </w:r>
          </w:p>
        </w:tc>
        <w:tc>
          <w:tcPr>
            <w:tcW w:w="6528" w:type="dxa"/>
            <w:shd w:val="clear" w:color="auto" w:fill="auto"/>
            <w:tcMar>
              <w:top w:w="0" w:type="dxa"/>
              <w:left w:w="100" w:type="dxa"/>
              <w:bottom w:w="0" w:type="dxa"/>
              <w:right w:w="100" w:type="dxa"/>
            </w:tcMar>
          </w:tcPr>
          <w:p w14:paraId="1498A402" w14:textId="77777777" w:rsidR="00891E5E" w:rsidRPr="00E3756C" w:rsidRDefault="00891E5E" w:rsidP="00D012DA">
            <w:pPr>
              <w:pStyle w:val="TableBullet"/>
              <w:spacing w:before="60"/>
            </w:pPr>
            <w:r w:rsidRPr="00E3756C">
              <w:t>What are the international, national and regional influences?</w:t>
            </w:r>
          </w:p>
          <w:p w14:paraId="3ED8A3CA" w14:textId="77777777" w:rsidR="00891E5E" w:rsidRPr="00E3756C" w:rsidRDefault="00891E5E" w:rsidP="007337AE">
            <w:pPr>
              <w:pStyle w:val="TableBullet"/>
              <w:spacing w:after="50"/>
            </w:pPr>
            <w:r w:rsidRPr="00E3756C">
              <w:t>What political debate is occurring?</w:t>
            </w:r>
          </w:p>
          <w:p w14:paraId="181045AA" w14:textId="77777777" w:rsidR="00891E5E" w:rsidRPr="00E3756C" w:rsidRDefault="00891E5E" w:rsidP="007337AE">
            <w:pPr>
              <w:pStyle w:val="TableBullet"/>
              <w:spacing w:after="50"/>
            </w:pPr>
            <w:r w:rsidRPr="00E3756C">
              <w:t>How important is the project to New Zealand?</w:t>
            </w:r>
          </w:p>
          <w:p w14:paraId="434D56F6" w14:textId="77777777" w:rsidR="00891E5E" w:rsidRPr="00E3756C" w:rsidRDefault="00891E5E" w:rsidP="007337AE">
            <w:pPr>
              <w:pStyle w:val="TableBullet"/>
              <w:spacing w:after="50"/>
            </w:pPr>
            <w:r w:rsidRPr="00E3756C">
              <w:t>Where does the need to make a decision come from?</w:t>
            </w:r>
          </w:p>
          <w:p w14:paraId="090DEACB" w14:textId="77777777" w:rsidR="00891E5E" w:rsidRPr="00E3756C" w:rsidRDefault="00891E5E" w:rsidP="007337AE">
            <w:pPr>
              <w:pStyle w:val="TableBullet"/>
              <w:spacing w:after="50"/>
            </w:pPr>
            <w:r w:rsidRPr="00E3756C">
              <w:t xml:space="preserve">What is the policy approach to engagement from </w:t>
            </w:r>
            <w:r w:rsidR="007679BB" w:rsidRPr="00E3756C">
              <w:t xml:space="preserve">the </w:t>
            </w:r>
            <w:r w:rsidRPr="00E3756C">
              <w:t>M</w:t>
            </w:r>
            <w:r w:rsidR="007679BB" w:rsidRPr="00E3756C">
              <w:t xml:space="preserve">inistry </w:t>
            </w:r>
            <w:r w:rsidRPr="00E3756C">
              <w:t>f</w:t>
            </w:r>
            <w:r w:rsidR="007679BB" w:rsidRPr="00E3756C">
              <w:t xml:space="preserve">or the </w:t>
            </w:r>
            <w:r w:rsidRPr="00E3756C">
              <w:t>E</w:t>
            </w:r>
            <w:r w:rsidR="007679BB" w:rsidRPr="00E3756C">
              <w:t>nvironment</w:t>
            </w:r>
            <w:r w:rsidRPr="00E3756C">
              <w:t>?</w:t>
            </w:r>
          </w:p>
          <w:p w14:paraId="75F535E6" w14:textId="77777777" w:rsidR="00891E5E" w:rsidRPr="00E3756C" w:rsidRDefault="00891E5E" w:rsidP="007337AE">
            <w:pPr>
              <w:pStyle w:val="TableBullet"/>
              <w:spacing w:after="50"/>
            </w:pPr>
            <w:r w:rsidRPr="00E3756C">
              <w:t>What are the key drivers for engagement?</w:t>
            </w:r>
          </w:p>
          <w:p w14:paraId="5B21B5AF" w14:textId="77777777" w:rsidR="00891E5E" w:rsidRPr="00E3756C" w:rsidRDefault="00891E5E" w:rsidP="007337AE">
            <w:pPr>
              <w:pStyle w:val="TableBullet"/>
              <w:spacing w:after="50"/>
            </w:pPr>
            <w:r w:rsidRPr="00E3756C">
              <w:t>How is climate change affecting New Zealand now, in 30 and 100 years</w:t>
            </w:r>
            <w:r w:rsidR="00F002B7" w:rsidRPr="00E3756C">
              <w:t>’</w:t>
            </w:r>
            <w:r w:rsidRPr="00E3756C">
              <w:t xml:space="preserve"> time?</w:t>
            </w:r>
          </w:p>
          <w:p w14:paraId="3743E19A" w14:textId="77777777" w:rsidR="00891E5E" w:rsidRPr="00E3756C" w:rsidRDefault="00891E5E" w:rsidP="007337AE">
            <w:pPr>
              <w:pStyle w:val="TableBullet"/>
              <w:spacing w:after="50"/>
            </w:pPr>
            <w:r w:rsidRPr="00E3756C">
              <w:t>What overlaps or cross-cutting themes are emerging for climate change adaptation?</w:t>
            </w:r>
          </w:p>
          <w:p w14:paraId="4232A16B" w14:textId="77777777" w:rsidR="00891E5E" w:rsidRPr="00E3756C" w:rsidRDefault="00891E5E" w:rsidP="007337AE">
            <w:pPr>
              <w:pStyle w:val="TableBullet"/>
              <w:spacing w:after="50"/>
            </w:pPr>
            <w:r w:rsidRPr="00E3756C">
              <w:t>How will the engagement outcomes be used to inform the risk assessment?</w:t>
            </w:r>
          </w:p>
          <w:p w14:paraId="2B6762DC" w14:textId="77777777" w:rsidR="00891E5E" w:rsidRPr="00E3756C" w:rsidRDefault="00891E5E" w:rsidP="007337AE">
            <w:pPr>
              <w:pStyle w:val="TableBullet"/>
              <w:spacing w:after="50"/>
            </w:pPr>
            <w:r w:rsidRPr="00E3756C">
              <w:t>Is there any potential cross-over with any other engagement processes occurring around the same time?</w:t>
            </w:r>
          </w:p>
          <w:p w14:paraId="3848555C" w14:textId="77777777" w:rsidR="00891E5E" w:rsidRPr="00E3756C" w:rsidRDefault="00891E5E" w:rsidP="007337AE">
            <w:pPr>
              <w:pStyle w:val="TableBullet"/>
              <w:spacing w:after="50"/>
            </w:pPr>
            <w:r w:rsidRPr="00E3756C">
              <w:t xml:space="preserve">Is the </w:t>
            </w:r>
            <w:r w:rsidR="00F002B7" w:rsidRPr="00E3756C">
              <w:t>G</w:t>
            </w:r>
            <w:r w:rsidRPr="00E3756C">
              <w:t>overnment currently engaging with this group on any other matters?</w:t>
            </w:r>
          </w:p>
          <w:p w14:paraId="49FF702E" w14:textId="77777777" w:rsidR="00891E5E" w:rsidRPr="00E3756C" w:rsidRDefault="00891E5E" w:rsidP="007337AE">
            <w:pPr>
              <w:pStyle w:val="TableBullet"/>
              <w:spacing w:after="50"/>
            </w:pPr>
            <w:r w:rsidRPr="00E3756C">
              <w:t xml:space="preserve">Has the </w:t>
            </w:r>
            <w:r w:rsidR="00F002B7" w:rsidRPr="00E3756C">
              <w:t>G</w:t>
            </w:r>
            <w:r w:rsidRPr="00E3756C">
              <w:t>overnment engaged recently on this issue or with the same audience, and what was the result?</w:t>
            </w:r>
          </w:p>
          <w:p w14:paraId="677F72AB" w14:textId="77777777" w:rsidR="00891E5E" w:rsidRPr="00E3756C" w:rsidRDefault="00891E5E" w:rsidP="007337AE">
            <w:pPr>
              <w:pStyle w:val="TableBullet"/>
              <w:spacing w:after="50"/>
            </w:pPr>
            <w:r w:rsidRPr="00E3756C">
              <w:t xml:space="preserve">What other activities might be occurring within Māori communities that may </w:t>
            </w:r>
            <w:r w:rsidR="00F002B7" w:rsidRPr="00E3756C">
              <w:t>affect</w:t>
            </w:r>
            <w:r w:rsidRPr="00E3756C">
              <w:t xml:space="preserve"> your process?</w:t>
            </w:r>
          </w:p>
          <w:p w14:paraId="1F5F01C9" w14:textId="77777777" w:rsidR="00891E5E" w:rsidRPr="00E3756C" w:rsidRDefault="00891E5E" w:rsidP="007337AE">
            <w:pPr>
              <w:pStyle w:val="TableBullet"/>
              <w:spacing w:after="50"/>
            </w:pPr>
            <w:r w:rsidRPr="00E3756C">
              <w:t>Is there an opportunity to coordinate with other engagement processes occurring?</w:t>
            </w:r>
          </w:p>
          <w:p w14:paraId="1AD43292" w14:textId="77777777" w:rsidR="00891E5E" w:rsidRPr="00E3756C" w:rsidRDefault="00891E5E" w:rsidP="00131A86">
            <w:pPr>
              <w:pStyle w:val="TableBullet"/>
            </w:pPr>
            <w:r w:rsidRPr="00E3756C">
              <w:t>How can this opportunity for involvement and meaningful engagement be maximised?</w:t>
            </w:r>
          </w:p>
        </w:tc>
      </w:tr>
      <w:tr w:rsidR="00891E5E" w:rsidRPr="00E3756C" w14:paraId="5C7E73DD" w14:textId="77777777" w:rsidTr="005F774D">
        <w:tc>
          <w:tcPr>
            <w:tcW w:w="1814" w:type="dxa"/>
            <w:shd w:val="clear" w:color="auto" w:fill="auto"/>
            <w:tcMar>
              <w:top w:w="0" w:type="dxa"/>
              <w:left w:w="100" w:type="dxa"/>
              <w:bottom w:w="0" w:type="dxa"/>
              <w:right w:w="100" w:type="dxa"/>
            </w:tcMar>
          </w:tcPr>
          <w:p w14:paraId="2186901C" w14:textId="77777777" w:rsidR="00891E5E" w:rsidRPr="00E3756C" w:rsidRDefault="00891E5E" w:rsidP="00131A86">
            <w:pPr>
              <w:pStyle w:val="TableTextbold"/>
            </w:pPr>
            <w:r w:rsidRPr="00E3756C">
              <w:lastRenderedPageBreak/>
              <w:t>Scope the project</w:t>
            </w:r>
          </w:p>
        </w:tc>
        <w:tc>
          <w:tcPr>
            <w:tcW w:w="6528" w:type="dxa"/>
            <w:shd w:val="clear" w:color="auto" w:fill="auto"/>
            <w:tcMar>
              <w:top w:w="0" w:type="dxa"/>
              <w:left w:w="100" w:type="dxa"/>
              <w:bottom w:w="0" w:type="dxa"/>
              <w:right w:w="100" w:type="dxa"/>
            </w:tcMar>
          </w:tcPr>
          <w:p w14:paraId="42533965" w14:textId="46E19A11" w:rsidR="00891E5E" w:rsidRPr="00E3756C" w:rsidRDefault="00891E5E" w:rsidP="00D012DA">
            <w:pPr>
              <w:pStyle w:val="TableBullet"/>
              <w:spacing w:before="60"/>
            </w:pPr>
            <w:r w:rsidRPr="00E3756C">
              <w:t>Provide a clear statement of why this project and engagement is being undertaken</w:t>
            </w:r>
            <w:r w:rsidR="00D2002A">
              <w:t>.</w:t>
            </w:r>
          </w:p>
          <w:p w14:paraId="0DCDAC83" w14:textId="77777777" w:rsidR="00891E5E" w:rsidRPr="00E3756C" w:rsidRDefault="00891E5E" w:rsidP="00131A86">
            <w:pPr>
              <w:pStyle w:val="TableBullet"/>
            </w:pPr>
            <w:r w:rsidRPr="00E3756C">
              <w:t>What is the understanding of the focus of the engagement?</w:t>
            </w:r>
          </w:p>
          <w:p w14:paraId="265FE8BF" w14:textId="77777777" w:rsidR="00891E5E" w:rsidRPr="00E3756C" w:rsidRDefault="00891E5E" w:rsidP="00131A86">
            <w:pPr>
              <w:pStyle w:val="TableBullet"/>
            </w:pPr>
            <w:r w:rsidRPr="00E3756C">
              <w:t>What is the reason for the engagement? Why now? Why is it a priority?</w:t>
            </w:r>
          </w:p>
          <w:p w14:paraId="4870A1FB" w14:textId="77777777" w:rsidR="00891E5E" w:rsidRPr="00E3756C" w:rsidRDefault="00891E5E" w:rsidP="00131A86">
            <w:pPr>
              <w:pStyle w:val="TableBullet"/>
            </w:pPr>
            <w:r w:rsidRPr="00E3756C">
              <w:t>What is the outcome of the project</w:t>
            </w:r>
            <w:r w:rsidR="007337AE" w:rsidRPr="00E3756C">
              <w:t>, that is,</w:t>
            </w:r>
            <w:r w:rsidRPr="00E3756C">
              <w:t xml:space="preserve"> what influence will it have?</w:t>
            </w:r>
          </w:p>
          <w:p w14:paraId="2402F5AC" w14:textId="77777777" w:rsidR="00891E5E" w:rsidRPr="00E3756C" w:rsidRDefault="00891E5E" w:rsidP="00131A86">
            <w:pPr>
              <w:pStyle w:val="TableBullet"/>
            </w:pPr>
            <w:r w:rsidRPr="00E3756C">
              <w:t>What are the limitations of the scope, and what</w:t>
            </w:r>
            <w:r w:rsidR="007337AE" w:rsidRPr="00E3756C">
              <w:t xml:space="preserve"> i</w:t>
            </w:r>
            <w:r w:rsidRPr="00E3756C">
              <w:t>s out of scope?</w:t>
            </w:r>
          </w:p>
          <w:p w14:paraId="20979902" w14:textId="77777777" w:rsidR="00891E5E" w:rsidRPr="00E3756C" w:rsidRDefault="00891E5E" w:rsidP="00131A86">
            <w:pPr>
              <w:pStyle w:val="TableBullet"/>
            </w:pPr>
            <w:r w:rsidRPr="00E3756C">
              <w:t>What are the absolute requirements to achieve the outcome?</w:t>
            </w:r>
          </w:p>
          <w:p w14:paraId="72D5AD2D" w14:textId="77777777" w:rsidR="00891E5E" w:rsidRPr="00E3756C" w:rsidRDefault="00891E5E" w:rsidP="00131A86">
            <w:pPr>
              <w:pStyle w:val="TableBullet"/>
            </w:pPr>
            <w:r w:rsidRPr="00E3756C">
              <w:t>What are the key messages?</w:t>
            </w:r>
          </w:p>
          <w:p w14:paraId="0A61942F" w14:textId="77777777" w:rsidR="00891E5E" w:rsidRPr="00E3756C" w:rsidRDefault="00891E5E" w:rsidP="00131A86">
            <w:pPr>
              <w:pStyle w:val="TableBullet"/>
            </w:pPr>
            <w:r w:rsidRPr="00E3756C">
              <w:t>How will information be gathered, stored, accessed, used?</w:t>
            </w:r>
          </w:p>
        </w:tc>
      </w:tr>
      <w:tr w:rsidR="00891E5E" w:rsidRPr="00E3756C" w14:paraId="60938B24" w14:textId="77777777" w:rsidTr="005F774D">
        <w:tc>
          <w:tcPr>
            <w:tcW w:w="1814" w:type="dxa"/>
            <w:shd w:val="clear" w:color="auto" w:fill="auto"/>
            <w:tcMar>
              <w:top w:w="0" w:type="dxa"/>
              <w:left w:w="100" w:type="dxa"/>
              <w:bottom w:w="0" w:type="dxa"/>
              <w:right w:w="100" w:type="dxa"/>
            </w:tcMar>
          </w:tcPr>
          <w:p w14:paraId="7A2FC63D" w14:textId="77777777" w:rsidR="00891E5E" w:rsidRPr="00E3756C" w:rsidRDefault="00891E5E" w:rsidP="00131A86">
            <w:pPr>
              <w:pStyle w:val="TableTextbold"/>
            </w:pPr>
            <w:r w:rsidRPr="00E3756C">
              <w:t>Understand people</w:t>
            </w:r>
          </w:p>
        </w:tc>
        <w:tc>
          <w:tcPr>
            <w:tcW w:w="6528" w:type="dxa"/>
            <w:shd w:val="clear" w:color="auto" w:fill="auto"/>
            <w:tcMar>
              <w:top w:w="0" w:type="dxa"/>
              <w:left w:w="100" w:type="dxa"/>
              <w:bottom w:w="0" w:type="dxa"/>
              <w:right w:w="100" w:type="dxa"/>
            </w:tcMar>
          </w:tcPr>
          <w:p w14:paraId="15D51404" w14:textId="77777777" w:rsidR="00891E5E" w:rsidRPr="00E3756C" w:rsidRDefault="00891E5E" w:rsidP="00D012DA">
            <w:pPr>
              <w:pStyle w:val="TableBullet"/>
              <w:spacing w:before="60"/>
            </w:pPr>
            <w:r w:rsidRPr="00E3756C">
              <w:t xml:space="preserve">Who should be in the engagement team? </w:t>
            </w:r>
          </w:p>
          <w:p w14:paraId="2A6D88B0" w14:textId="77777777" w:rsidR="00891E5E" w:rsidRPr="00E3756C" w:rsidRDefault="00891E5E" w:rsidP="00131A86">
            <w:pPr>
              <w:pStyle w:val="TableDash"/>
            </w:pPr>
            <w:r w:rsidRPr="00E3756C">
              <w:t>What skills do they bring?</w:t>
            </w:r>
          </w:p>
          <w:p w14:paraId="47219A5C" w14:textId="77777777" w:rsidR="00891E5E" w:rsidRPr="00E3756C" w:rsidRDefault="00891E5E" w:rsidP="00131A86">
            <w:pPr>
              <w:pStyle w:val="TableDash"/>
            </w:pPr>
            <w:r w:rsidRPr="00E3756C">
              <w:t>Are team members IAP2 certified?</w:t>
            </w:r>
          </w:p>
          <w:p w14:paraId="6F2B8DC4" w14:textId="77777777" w:rsidR="00891E5E" w:rsidRPr="00E3756C" w:rsidRDefault="00891E5E" w:rsidP="00131A86">
            <w:pPr>
              <w:pStyle w:val="TableDash"/>
            </w:pPr>
            <w:r w:rsidRPr="00E3756C">
              <w:t>Do they have experience and knowledge of effective Māori engagement?</w:t>
            </w:r>
          </w:p>
          <w:p w14:paraId="74EA89F1" w14:textId="77777777" w:rsidR="00891E5E" w:rsidRPr="00E3756C" w:rsidRDefault="00891E5E" w:rsidP="00131A86">
            <w:pPr>
              <w:pStyle w:val="TableBullet"/>
            </w:pPr>
            <w:r w:rsidRPr="00E3756C">
              <w:t>What type of interest should people have in this project?</w:t>
            </w:r>
            <w:r w:rsidR="00484C8A" w:rsidRPr="00E3756C">
              <w:t xml:space="preserve"> </w:t>
            </w:r>
            <w:r w:rsidR="007337AE" w:rsidRPr="00E3756C">
              <w:t>For example,</w:t>
            </w:r>
            <w:r w:rsidRPr="00E3756C">
              <w:t xml:space="preserve"> IAP2 Orbit of Public Participation</w:t>
            </w:r>
            <w:r w:rsidR="007337AE" w:rsidRPr="00E3756C">
              <w:t>?</w:t>
            </w:r>
          </w:p>
          <w:p w14:paraId="64BAD890" w14:textId="77777777" w:rsidR="00891E5E" w:rsidRPr="00E3756C" w:rsidRDefault="00891E5E" w:rsidP="00131A86">
            <w:pPr>
              <w:pStyle w:val="TableDash"/>
            </w:pPr>
            <w:r w:rsidRPr="00E3756C">
              <w:t>Who needs to be aware but not actively involved?</w:t>
            </w:r>
          </w:p>
          <w:p w14:paraId="6F12E972" w14:textId="77777777" w:rsidR="00891E5E" w:rsidRPr="00E3756C" w:rsidRDefault="00891E5E" w:rsidP="00131A86">
            <w:pPr>
              <w:pStyle w:val="TableDash"/>
            </w:pPr>
            <w:r w:rsidRPr="00E3756C">
              <w:t>Who will be watching the process who the consultant may not be aware of?</w:t>
            </w:r>
          </w:p>
          <w:p w14:paraId="4392B226" w14:textId="77777777" w:rsidR="00891E5E" w:rsidRPr="00E3756C" w:rsidRDefault="00891E5E" w:rsidP="00131A86">
            <w:pPr>
              <w:pStyle w:val="TableDash"/>
            </w:pPr>
            <w:r w:rsidRPr="00E3756C">
              <w:t>Who will need to review the outcome?</w:t>
            </w:r>
          </w:p>
          <w:p w14:paraId="6DC93FD5" w14:textId="77777777" w:rsidR="00891E5E" w:rsidRPr="00E3756C" w:rsidRDefault="00891E5E" w:rsidP="00131A86">
            <w:pPr>
              <w:pStyle w:val="TableDash"/>
            </w:pPr>
            <w:r w:rsidRPr="00E3756C">
              <w:t>Will advisors be required to the project team?</w:t>
            </w:r>
          </w:p>
          <w:p w14:paraId="5CA2BB06" w14:textId="77777777" w:rsidR="00891E5E" w:rsidRPr="00E3756C" w:rsidRDefault="00891E5E" w:rsidP="00131A86">
            <w:pPr>
              <w:pStyle w:val="TableDash"/>
            </w:pPr>
            <w:r w:rsidRPr="00E3756C">
              <w:t>Who has interest and knowledge so their direct involvement is required?</w:t>
            </w:r>
          </w:p>
          <w:p w14:paraId="69EDBDB4" w14:textId="77777777" w:rsidR="00891E5E" w:rsidRPr="00E3756C" w:rsidRDefault="00891E5E" w:rsidP="001A72F3">
            <w:pPr>
              <w:pStyle w:val="TableDash"/>
            </w:pPr>
            <w:r w:rsidRPr="00E3756C">
              <w:t>Who are the decision</w:t>
            </w:r>
            <w:r w:rsidR="001A72F3" w:rsidRPr="00E3756C">
              <w:t>-</w:t>
            </w:r>
            <w:r w:rsidRPr="00E3756C">
              <w:t>makers in the final outcome?</w:t>
            </w:r>
          </w:p>
        </w:tc>
      </w:tr>
      <w:tr w:rsidR="00891E5E" w:rsidRPr="00E3756C" w14:paraId="239FE24C" w14:textId="77777777" w:rsidTr="005F774D">
        <w:tc>
          <w:tcPr>
            <w:tcW w:w="1814" w:type="dxa"/>
            <w:shd w:val="clear" w:color="auto" w:fill="auto"/>
            <w:tcMar>
              <w:top w:w="0" w:type="dxa"/>
              <w:left w:w="100" w:type="dxa"/>
              <w:bottom w:w="0" w:type="dxa"/>
              <w:right w:w="100" w:type="dxa"/>
            </w:tcMar>
          </w:tcPr>
          <w:p w14:paraId="174DBB5F" w14:textId="77777777" w:rsidR="00891E5E" w:rsidRPr="00E3756C" w:rsidRDefault="00891E5E" w:rsidP="00131A86">
            <w:pPr>
              <w:pStyle w:val="TableTextbold"/>
            </w:pPr>
            <w:r w:rsidRPr="00E3756C">
              <w:t>Set purpose</w:t>
            </w:r>
          </w:p>
        </w:tc>
        <w:tc>
          <w:tcPr>
            <w:tcW w:w="6528" w:type="dxa"/>
            <w:shd w:val="clear" w:color="auto" w:fill="auto"/>
            <w:tcMar>
              <w:top w:w="0" w:type="dxa"/>
              <w:left w:w="100" w:type="dxa"/>
              <w:bottom w:w="0" w:type="dxa"/>
              <w:right w:w="100" w:type="dxa"/>
            </w:tcMar>
          </w:tcPr>
          <w:p w14:paraId="1C19F671" w14:textId="77777777" w:rsidR="00891E5E" w:rsidRPr="00E3756C" w:rsidRDefault="00891E5E" w:rsidP="00D012DA">
            <w:pPr>
              <w:pStyle w:val="TableBullet"/>
              <w:spacing w:before="60"/>
            </w:pPr>
            <w:r w:rsidRPr="00E3756C">
              <w:t>What is the purpose of the engagement?</w:t>
            </w:r>
          </w:p>
          <w:p w14:paraId="2B10191B" w14:textId="1C7B6EE5" w:rsidR="00891E5E" w:rsidRPr="00E3756C" w:rsidRDefault="00891E5E" w:rsidP="000172C1">
            <w:pPr>
              <w:pStyle w:val="TableBullet"/>
            </w:pPr>
            <w:r w:rsidRPr="00E3756C">
              <w:t>What engagement goals can be set so that progress can be monitored and milestones achieved?</w:t>
            </w:r>
          </w:p>
        </w:tc>
      </w:tr>
    </w:tbl>
    <w:p w14:paraId="47B94E02" w14:textId="77777777" w:rsidR="001A72F3" w:rsidRPr="00E3756C" w:rsidRDefault="001A72F3" w:rsidP="002A5586">
      <w:pPr>
        <w:pStyle w:val="Note"/>
        <w:spacing w:before="120"/>
      </w:pPr>
      <w:r w:rsidRPr="00E3756C">
        <w:t>Note: IAP2 = International Association of Public Participation.</w:t>
      </w:r>
    </w:p>
    <w:p w14:paraId="2AF278BF" w14:textId="77777777" w:rsidR="00891E5E" w:rsidRPr="00E3756C" w:rsidRDefault="00891E5E" w:rsidP="00D012DA">
      <w:pPr>
        <w:pStyle w:val="BodyText"/>
      </w:pPr>
      <w:r w:rsidRPr="00E3756C">
        <w:t xml:space="preserve">When establishing timeframes, you </w:t>
      </w:r>
      <w:r w:rsidR="000A32F2" w:rsidRPr="00E3756C">
        <w:t>should</w:t>
      </w:r>
      <w:r w:rsidRPr="00E3756C">
        <w:t xml:space="preserve"> consider the capacity of your partners and stakeholders to participate effectively in your engagement process, and timeframes should remain as flexible as possible to allow for unexpected situations. In particular</w:t>
      </w:r>
      <w:r w:rsidR="002F4B4F" w:rsidRPr="00E3756C">
        <w:t>,</w:t>
      </w:r>
      <w:r w:rsidRPr="00E3756C">
        <w:t xml:space="preserve"> for Māori, negotiating sufficient time to consider the kaupapa and response should be agreed together</w:t>
      </w:r>
      <w:r w:rsidR="000A32F2" w:rsidRPr="00E3756C">
        <w:t>;</w:t>
      </w:r>
      <w:r w:rsidRPr="00E3756C">
        <w:t xml:space="preserve"> it is important to go to Māori with initial thinking</w:t>
      </w:r>
      <w:r w:rsidR="002F4B4F" w:rsidRPr="00E3756C">
        <w:t xml:space="preserve"> and </w:t>
      </w:r>
      <w:r w:rsidRPr="00E3756C">
        <w:t>proposals rather than a fully formed or fixed</w:t>
      </w:r>
      <w:r w:rsidR="00927CE4" w:rsidRPr="00E3756C">
        <w:t> </w:t>
      </w:r>
      <w:r w:rsidRPr="00E3756C">
        <w:t>view</w:t>
      </w:r>
      <w:r w:rsidR="002F4B4F" w:rsidRPr="00E3756C">
        <w:t xml:space="preserve"> (</w:t>
      </w:r>
      <w:r w:rsidR="002F4B4F" w:rsidRPr="00E3756C">
        <w:rPr>
          <w:highlight w:val="white"/>
        </w:rPr>
        <w:t>Ministry for the Environment, 2018)</w:t>
      </w:r>
      <w:r w:rsidR="00D012DA" w:rsidRPr="00E3756C">
        <w:t>.</w:t>
      </w:r>
    </w:p>
    <w:p w14:paraId="330EFEF2" w14:textId="718815DD" w:rsidR="001A7C11" w:rsidRPr="00E3756C" w:rsidRDefault="002A5586" w:rsidP="001A7C11">
      <w:pPr>
        <w:pStyle w:val="BodyText"/>
      </w:pPr>
      <w:r>
        <w:t>Some engagement processes will need to include full disclosure on how information gathered will be used, stored, accessed; privacy requirements and longevity (ie, they will be undertaken according to ethical principles)</w:t>
      </w:r>
      <w:r w:rsidR="00891E5E" w:rsidRPr="00E3756C">
        <w:t>.</w:t>
      </w:r>
      <w:r w:rsidR="00484C8A" w:rsidRPr="00E3756C">
        <w:t xml:space="preserve"> </w:t>
      </w:r>
      <w:bookmarkStart w:id="199" w:name="_Toc13570397"/>
      <w:r w:rsidR="001A7C11" w:rsidRPr="00E3756C">
        <w:t>This is particularly important for citizen or stakeholder surveys, hui</w:t>
      </w:r>
      <w:r w:rsidR="001A7C11">
        <w:t>,</w:t>
      </w:r>
      <w:r w:rsidR="001A7C11" w:rsidRPr="00E3756C">
        <w:t xml:space="preserve"> structured interviews</w:t>
      </w:r>
      <w:r w:rsidR="001A7C11">
        <w:t xml:space="preserve"> and any mātauranga Māori that is collected</w:t>
      </w:r>
      <w:r w:rsidR="001A7C11" w:rsidRPr="00E3756C">
        <w:t>. Any ethical considerations should be included in the engagement plan.</w:t>
      </w:r>
      <w:r w:rsidR="001A7C11">
        <w:t xml:space="preserve"> The Royal Society of New Zealand provides a code of ethics which should be followed throughout the risk assessment process.</w:t>
      </w:r>
    </w:p>
    <w:p w14:paraId="61574F4C" w14:textId="77777777" w:rsidR="00492C13" w:rsidRPr="00E3756C" w:rsidRDefault="00492C13" w:rsidP="001A7C11">
      <w:pPr>
        <w:pStyle w:val="Heading3"/>
      </w:pPr>
      <w:r w:rsidRPr="00E3756C">
        <w:t>Example of how to reconcile different sector expert elicitation outcomes</w:t>
      </w:r>
      <w:bookmarkEnd w:id="199"/>
    </w:p>
    <w:p w14:paraId="6D89F817" w14:textId="0CBBB154" w:rsidR="00492C13" w:rsidRPr="00E3756C" w:rsidRDefault="00492C13" w:rsidP="00492C13">
      <w:pPr>
        <w:pStyle w:val="BodyText"/>
      </w:pPr>
      <w:r w:rsidRPr="00E3756C">
        <w:t xml:space="preserve">The elicitation process could involve scenarios based on the consequence table </w:t>
      </w:r>
      <w:r w:rsidR="00BD4905" w:rsidRPr="00E3756C">
        <w:t xml:space="preserve">that </w:t>
      </w:r>
      <w:r w:rsidRPr="00E3756C">
        <w:t>experts associate a timeframe to (eg</w:t>
      </w:r>
      <w:r w:rsidR="00BD4905" w:rsidRPr="00E3756C">
        <w:t>,</w:t>
      </w:r>
      <w:r w:rsidRPr="00E3756C">
        <w:t xml:space="preserve"> present; 30 years; 100 years).</w:t>
      </w:r>
      <w:r w:rsidR="00484C8A" w:rsidRPr="00E3756C">
        <w:rPr>
          <w:sz w:val="16"/>
          <w:szCs w:val="16"/>
        </w:rPr>
        <w:t xml:space="preserve"> </w:t>
      </w:r>
      <w:r w:rsidRPr="00E3756C">
        <w:t xml:space="preserve">This is then reconciled by the </w:t>
      </w:r>
      <w:r w:rsidR="00EA1438" w:rsidRPr="00E3756C">
        <w:t>a</w:t>
      </w:r>
      <w:r w:rsidRPr="00E3756C">
        <w:t xml:space="preserve">ssessor. An example is </w:t>
      </w:r>
      <w:r w:rsidR="00EA1438" w:rsidRPr="00E3756C">
        <w:t xml:space="preserve">given </w:t>
      </w:r>
      <w:r w:rsidRPr="00E3756C">
        <w:t xml:space="preserve">in </w:t>
      </w:r>
      <w:r w:rsidR="00EA1438" w:rsidRPr="00E3756C">
        <w:t>f</w:t>
      </w:r>
      <w:r w:rsidRPr="00E3756C">
        <w:t>igure C1-</w:t>
      </w:r>
      <w:r w:rsidR="0000291E" w:rsidRPr="00E3756C">
        <w:t>1</w:t>
      </w:r>
      <w:r w:rsidRPr="00E3756C">
        <w:t>, based on three levels of risk</w:t>
      </w:r>
      <w:r w:rsidR="00EA1438" w:rsidRPr="00E3756C">
        <w:t>;</w:t>
      </w:r>
      <w:r w:rsidRPr="00E3756C">
        <w:t xml:space="preserve"> however</w:t>
      </w:r>
      <w:r w:rsidR="00EA1438" w:rsidRPr="00E3756C">
        <w:t>,</w:t>
      </w:r>
      <w:r w:rsidRPr="00E3756C">
        <w:t xml:space="preserve"> this could be adapted to different levels of risk, such as extreme, high, medium, low.</w:t>
      </w:r>
      <w:r w:rsidR="00484C8A" w:rsidRPr="00E3756C">
        <w:t xml:space="preserve"> </w:t>
      </w:r>
      <w:r w:rsidRPr="00E3756C">
        <w:t xml:space="preserve">The number of percentage categories are important to ensure averages are not used, </w:t>
      </w:r>
      <w:r w:rsidR="00EA1438" w:rsidRPr="00E3756C">
        <w:t>because</w:t>
      </w:r>
      <w:r w:rsidRPr="00E3756C">
        <w:t xml:space="preserve"> averages will bias the outcome. </w:t>
      </w:r>
    </w:p>
    <w:p w14:paraId="60FF7042" w14:textId="77777777" w:rsidR="00492C13" w:rsidRPr="00E3756C" w:rsidRDefault="00492C13" w:rsidP="005E4409">
      <w:pPr>
        <w:pStyle w:val="Figureheading"/>
      </w:pPr>
      <w:bookmarkStart w:id="200" w:name="_Toc16586526"/>
      <w:r w:rsidRPr="00E3756C">
        <w:lastRenderedPageBreak/>
        <w:t>Figure C1</w:t>
      </w:r>
      <w:r w:rsidR="005E4409" w:rsidRPr="00E3756C">
        <w:t>-</w:t>
      </w:r>
      <w:r w:rsidR="0000291E" w:rsidRPr="00E3756C">
        <w:t>1</w:t>
      </w:r>
      <w:r w:rsidRPr="00E3756C">
        <w:t xml:space="preserve">: </w:t>
      </w:r>
      <w:r w:rsidRPr="00E3756C">
        <w:tab/>
        <w:t>An example of coded responses for expert elicitation on consequences and</w:t>
      </w:r>
      <w:r w:rsidR="00061EC5" w:rsidRPr="00E3756C">
        <w:t> </w:t>
      </w:r>
      <w:r w:rsidRPr="00E3756C">
        <w:t xml:space="preserve">timeliness </w:t>
      </w:r>
      <w:bookmarkEnd w:id="200"/>
    </w:p>
    <w:p w14:paraId="42826F04" w14:textId="77777777" w:rsidR="00492C13" w:rsidRPr="00E3756C" w:rsidRDefault="004414FF" w:rsidP="008036CA">
      <w:pPr>
        <w:pStyle w:val="BodyText"/>
        <w:spacing w:before="0"/>
      </w:pPr>
      <w:r w:rsidRPr="004414FF">
        <w:rPr>
          <w:noProof/>
        </w:rPr>
        <w:drawing>
          <wp:inline distT="0" distB="0" distL="0" distR="0" wp14:anchorId="22ABA3EA" wp14:editId="2DBC08D2">
            <wp:extent cx="4515344" cy="33909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3169" cy="3396776"/>
                    </a:xfrm>
                    <a:prstGeom prst="rect">
                      <a:avLst/>
                    </a:prstGeom>
                    <a:noFill/>
                    <a:ln>
                      <a:noFill/>
                    </a:ln>
                  </pic:spPr>
                </pic:pic>
              </a:graphicData>
            </a:graphic>
          </wp:inline>
        </w:drawing>
      </w:r>
    </w:p>
    <w:p w14:paraId="20E9BA88" w14:textId="77777777" w:rsidR="00EA1438" w:rsidRPr="00E3756C" w:rsidRDefault="00EA1438" w:rsidP="00D50005">
      <w:pPr>
        <w:pStyle w:val="Note"/>
      </w:pPr>
      <w:r w:rsidRPr="00E3756C">
        <w:t>Source:</w:t>
      </w:r>
      <w:r w:rsidRPr="00E3756C">
        <w:rPr>
          <w:highlight w:val="white"/>
        </w:rPr>
        <w:t xml:space="preserve"> Kilvington and Saunders (2015</w:t>
      </w:r>
      <w:r w:rsidRPr="00E3756C">
        <w:t>)</w:t>
      </w:r>
    </w:p>
    <w:p w14:paraId="41A5B139" w14:textId="77777777" w:rsidR="00492C13" w:rsidRPr="00E3756C" w:rsidRDefault="00492C13" w:rsidP="00492C13">
      <w:pPr>
        <w:pStyle w:val="BodyText"/>
      </w:pPr>
      <w:r w:rsidRPr="00E3756C">
        <w:t>To reconcile the elicitation activities from five different groups</w:t>
      </w:r>
      <w:r w:rsidR="00FE3E97" w:rsidRPr="00E3756C">
        <w:t>,</w:t>
      </w:r>
      <w:r w:rsidRPr="00E3756C">
        <w:t xml:space="preserve"> the process </w:t>
      </w:r>
      <w:r w:rsidR="00FE3E97" w:rsidRPr="00E3756C">
        <w:t xml:space="preserve">below </w:t>
      </w:r>
      <w:r w:rsidRPr="00E3756C">
        <w:t xml:space="preserve">could be followed (refer to Kilvington </w:t>
      </w:r>
      <w:r w:rsidR="00FE3E97" w:rsidRPr="00E3756C">
        <w:t>and</w:t>
      </w:r>
      <w:r w:rsidRPr="00E3756C">
        <w:t xml:space="preserve"> Saunders </w:t>
      </w:r>
      <w:r w:rsidR="00FE3E97" w:rsidRPr="00E3756C">
        <w:t>(</w:t>
      </w:r>
      <w:r w:rsidRPr="00E3756C">
        <w:t>2015</w:t>
      </w:r>
      <w:r w:rsidR="00FE3E97" w:rsidRPr="00E3756C">
        <w:t>)</w:t>
      </w:r>
      <w:r w:rsidRPr="00E3756C">
        <w:t xml:space="preserve"> for the full process) to compile one recommended set of thresholds:</w:t>
      </w:r>
    </w:p>
    <w:p w14:paraId="0C8CABEE" w14:textId="77777777" w:rsidR="00492C13" w:rsidRPr="00E3756C" w:rsidRDefault="00FE3E97" w:rsidP="00492C13">
      <w:pPr>
        <w:pStyle w:val="BodyText"/>
        <w:spacing w:before="0"/>
        <w:ind w:left="397" w:hanging="397"/>
      </w:pPr>
      <w:r w:rsidRPr="00E3756C">
        <w:t>1</w:t>
      </w:r>
      <w:r w:rsidR="00492C13" w:rsidRPr="00E3756C">
        <w:t>.</w:t>
      </w:r>
      <w:r w:rsidR="00492C13" w:rsidRPr="00E3756C">
        <w:rPr>
          <w:sz w:val="14"/>
          <w:szCs w:val="14"/>
        </w:rPr>
        <w:tab/>
      </w:r>
      <w:r w:rsidR="005D1A26" w:rsidRPr="00E3756C">
        <w:t>i</w:t>
      </w:r>
      <w:r w:rsidR="00492C13" w:rsidRPr="00E3756C">
        <w:t>nsert all 100</w:t>
      </w:r>
      <w:r w:rsidR="005D1A26" w:rsidRPr="00E3756C">
        <w:t> per cent</w:t>
      </w:r>
      <w:r w:rsidR="00492C13" w:rsidRPr="00E3756C">
        <w:t xml:space="preserve"> scores</w:t>
      </w:r>
    </w:p>
    <w:p w14:paraId="0BAC833C" w14:textId="77777777" w:rsidR="00492C13" w:rsidRPr="00E3756C" w:rsidRDefault="00FE3E97" w:rsidP="00492C13">
      <w:pPr>
        <w:pStyle w:val="BodyText"/>
        <w:spacing w:before="0"/>
        <w:ind w:left="397" w:hanging="397"/>
      </w:pPr>
      <w:r w:rsidRPr="00E3756C">
        <w:t>2</w:t>
      </w:r>
      <w:r w:rsidR="00492C13" w:rsidRPr="00E3756C">
        <w:t>.</w:t>
      </w:r>
      <w:r w:rsidR="00492C13" w:rsidRPr="00E3756C">
        <w:rPr>
          <w:sz w:val="14"/>
          <w:szCs w:val="14"/>
        </w:rPr>
        <w:tab/>
      </w:r>
      <w:r w:rsidR="005D1A26" w:rsidRPr="00E3756C">
        <w:t>i</w:t>
      </w:r>
      <w:r w:rsidR="00492C13" w:rsidRPr="00E3756C">
        <w:t>nsert all remaining scores and colours</w:t>
      </w:r>
    </w:p>
    <w:p w14:paraId="743349FE" w14:textId="77777777" w:rsidR="00492C13" w:rsidRPr="00E3756C" w:rsidRDefault="00FE3E97" w:rsidP="00492C13">
      <w:pPr>
        <w:pStyle w:val="BodyText"/>
        <w:spacing w:before="0"/>
        <w:ind w:left="397" w:hanging="397"/>
      </w:pPr>
      <w:r w:rsidRPr="00E3756C">
        <w:t>3</w:t>
      </w:r>
      <w:r w:rsidR="00492C13" w:rsidRPr="00E3756C">
        <w:t>.</w:t>
      </w:r>
      <w:r w:rsidR="00492C13" w:rsidRPr="00E3756C">
        <w:rPr>
          <w:sz w:val="14"/>
          <w:szCs w:val="14"/>
        </w:rPr>
        <w:tab/>
      </w:r>
      <w:r w:rsidR="005D1A26" w:rsidRPr="00E3756C">
        <w:t>m</w:t>
      </w:r>
      <w:r w:rsidR="00492C13" w:rsidRPr="00E3756C">
        <w:t>ake judgement calls where majorities from each information stream align; leave blank where there are inconsistent majorities requiring considered judgement</w:t>
      </w:r>
    </w:p>
    <w:p w14:paraId="6EAA9420" w14:textId="77777777" w:rsidR="00492C13" w:rsidRPr="00E3756C" w:rsidRDefault="00FE3E97" w:rsidP="00492C13">
      <w:pPr>
        <w:pStyle w:val="BodyText"/>
        <w:spacing w:before="0"/>
        <w:ind w:left="397" w:hanging="397"/>
      </w:pPr>
      <w:r w:rsidRPr="00E3756C">
        <w:t>4</w:t>
      </w:r>
      <w:r w:rsidR="00492C13" w:rsidRPr="00E3756C">
        <w:t>.</w:t>
      </w:r>
      <w:r w:rsidR="00492C13" w:rsidRPr="00E3756C">
        <w:rPr>
          <w:sz w:val="14"/>
          <w:szCs w:val="14"/>
        </w:rPr>
        <w:tab/>
      </w:r>
      <w:r w:rsidR="005D1A26" w:rsidRPr="00E3756C">
        <w:t>m</w:t>
      </w:r>
      <w:r w:rsidR="00492C13" w:rsidRPr="00E3756C">
        <w:t>ake considered judgement for outlier areas – relying on knowledge about how numbers were determined and weight of opinion, as well as consistency and workability of final</w:t>
      </w:r>
      <w:r w:rsidR="00823AA2">
        <w:t> </w:t>
      </w:r>
      <w:r w:rsidR="00492C13" w:rsidRPr="00E3756C">
        <w:t>outcome.</w:t>
      </w:r>
    </w:p>
    <w:p w14:paraId="21017D66" w14:textId="77777777" w:rsidR="00492C13" w:rsidRPr="00E3756C" w:rsidRDefault="00492C13" w:rsidP="00492C13">
      <w:pPr>
        <w:pStyle w:val="BodyText"/>
      </w:pPr>
      <w:r w:rsidRPr="00E3756C">
        <w:t xml:space="preserve">When opinion </w:t>
      </w:r>
      <w:r w:rsidR="005D1A26" w:rsidRPr="00E3756C">
        <w:t xml:space="preserve">diverges </w:t>
      </w:r>
      <w:r w:rsidRPr="00E3756C">
        <w:t xml:space="preserve">between the groups, judgement is required on which direction to take. Factors that need to be </w:t>
      </w:r>
      <w:r w:rsidR="005D1A26" w:rsidRPr="00E3756C">
        <w:t>considered</w:t>
      </w:r>
      <w:r w:rsidRPr="00E3756C">
        <w:t xml:space="preserve"> include the strength of opinion expressed by each contributing group, the overall trend towards risk acceptability, and emphasis on either consequence or likelihood.</w:t>
      </w:r>
    </w:p>
    <w:p w14:paraId="51346993" w14:textId="77777777" w:rsidR="00CA66C4" w:rsidRPr="00E3756C" w:rsidRDefault="00CA66C4" w:rsidP="00927CE4">
      <w:pPr>
        <w:pStyle w:val="BodyText"/>
        <w:spacing w:before="0" w:after="0"/>
      </w:pPr>
      <w:bookmarkStart w:id="201" w:name="_Toc13570398"/>
      <w:bookmarkStart w:id="202" w:name="_Toc14361562"/>
      <w:r w:rsidRPr="00E3756C">
        <w:br w:type="page"/>
      </w:r>
    </w:p>
    <w:p w14:paraId="62C31D18" w14:textId="77777777" w:rsidR="00CA66C4" w:rsidRPr="00E3756C" w:rsidRDefault="00CA66C4" w:rsidP="00CA66C4">
      <w:pPr>
        <w:pStyle w:val="Heading1"/>
      </w:pPr>
      <w:bookmarkStart w:id="203" w:name="_Chapter_C2:_Risk"/>
      <w:bookmarkStart w:id="204" w:name="_Toc15409174"/>
      <w:bookmarkEnd w:id="203"/>
      <w:r w:rsidRPr="00E3756C">
        <w:lastRenderedPageBreak/>
        <w:t>Chapter C2: Risk assessment criteria</w:t>
      </w:r>
      <w:bookmarkEnd w:id="201"/>
      <w:bookmarkEnd w:id="202"/>
      <w:bookmarkEnd w:id="204"/>
    </w:p>
    <w:p w14:paraId="724002C0" w14:textId="77777777" w:rsidR="00CA66C4" w:rsidRPr="00E3756C" w:rsidRDefault="00CA66C4" w:rsidP="00CA66C4">
      <w:pPr>
        <w:pStyle w:val="Heading2"/>
        <w:spacing w:before="240"/>
      </w:pPr>
      <w:bookmarkStart w:id="205" w:name="_Toc13570399"/>
      <w:bookmarkStart w:id="206" w:name="_Toc14361563"/>
      <w:bookmarkStart w:id="207" w:name="_Toc15409175"/>
      <w:r w:rsidRPr="00E3756C">
        <w:t xml:space="preserve">C2.1 </w:t>
      </w:r>
      <w:r w:rsidR="008E4F54" w:rsidRPr="00E3756C">
        <w:tab/>
      </w:r>
      <w:r w:rsidRPr="00E3756C">
        <w:t>Strength of evidence criteria</w:t>
      </w:r>
      <w:bookmarkEnd w:id="205"/>
      <w:bookmarkEnd w:id="206"/>
      <w:bookmarkEnd w:id="207"/>
    </w:p>
    <w:p w14:paraId="1CB66235" w14:textId="77777777" w:rsidR="00CA66C4" w:rsidRPr="00E3756C" w:rsidRDefault="005D1A26" w:rsidP="00CA66C4">
      <w:pPr>
        <w:pStyle w:val="BodyText"/>
        <w:rPr>
          <w:sz w:val="20"/>
          <w:szCs w:val="20"/>
        </w:rPr>
      </w:pPr>
      <w:r w:rsidRPr="00E3756C">
        <w:t>T</w:t>
      </w:r>
      <w:r w:rsidR="00CA66C4" w:rsidRPr="00E3756C">
        <w:t xml:space="preserve">able </w:t>
      </w:r>
      <w:r w:rsidRPr="00E3756C">
        <w:t xml:space="preserve">C2-1 </w:t>
      </w:r>
      <w:r w:rsidR="00CA66C4" w:rsidRPr="00E3756C">
        <w:t>provides a metric to rate the strength of evidence, including expert consensus (and therefore level of confidence), for use in the risk screening and detailed risk assessment stages.</w:t>
      </w:r>
    </w:p>
    <w:p w14:paraId="1BE258CF" w14:textId="77777777" w:rsidR="00CA66C4" w:rsidRPr="00E3756C" w:rsidRDefault="00CA66C4" w:rsidP="00CA66C4">
      <w:pPr>
        <w:pStyle w:val="Tableheading"/>
      </w:pPr>
      <w:bookmarkStart w:id="208" w:name="tableC21"/>
      <w:bookmarkStart w:id="209" w:name="_Toc16586505"/>
      <w:r w:rsidRPr="00E3756C">
        <w:t>Table C2-1</w:t>
      </w:r>
      <w:bookmarkEnd w:id="208"/>
      <w:r w:rsidR="005D1A26" w:rsidRPr="00E3756C">
        <w:t>:</w:t>
      </w:r>
      <w:r w:rsidRPr="00E3756C">
        <w:t xml:space="preserve"> </w:t>
      </w:r>
      <w:r w:rsidRPr="00E3756C">
        <w:tab/>
        <w:t>Strength of evidence indicators</w:t>
      </w:r>
      <w:bookmarkEnd w:id="209"/>
      <w:r w:rsidRPr="00E3756C">
        <w:t xml:space="preserve"> </w:t>
      </w: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00" w:firstRow="0" w:lastRow="0" w:firstColumn="0" w:lastColumn="0" w:noHBand="0" w:noVBand="1"/>
      </w:tblPr>
      <w:tblGrid>
        <w:gridCol w:w="1442"/>
        <w:gridCol w:w="1900"/>
        <w:gridCol w:w="1839"/>
        <w:gridCol w:w="1081"/>
        <w:gridCol w:w="2243"/>
      </w:tblGrid>
      <w:tr w:rsidR="00CA66C4" w:rsidRPr="00E3756C" w14:paraId="233F4E43" w14:textId="77777777" w:rsidTr="00A20707">
        <w:tc>
          <w:tcPr>
            <w:tcW w:w="1442" w:type="dxa"/>
            <w:shd w:val="clear" w:color="auto" w:fill="1C556C" w:themeFill="accent1"/>
          </w:tcPr>
          <w:p w14:paraId="5575B099" w14:textId="77777777" w:rsidR="00CA66C4" w:rsidRPr="00E3756C" w:rsidRDefault="00CA66C4" w:rsidP="00CA66C4">
            <w:pPr>
              <w:pStyle w:val="TableTextbold"/>
              <w:rPr>
                <w:color w:val="FFFFFF" w:themeColor="background1"/>
              </w:rPr>
            </w:pPr>
            <w:r w:rsidRPr="00E3756C">
              <w:rPr>
                <w:color w:val="FFFFFF" w:themeColor="background1"/>
              </w:rPr>
              <w:t>Measure</w:t>
            </w:r>
          </w:p>
        </w:tc>
        <w:tc>
          <w:tcPr>
            <w:tcW w:w="1900" w:type="dxa"/>
            <w:shd w:val="clear" w:color="auto" w:fill="1C556C" w:themeFill="accent1"/>
          </w:tcPr>
          <w:p w14:paraId="1F04CEA7" w14:textId="77777777" w:rsidR="00CA66C4" w:rsidRPr="00E3756C" w:rsidRDefault="00CA66C4" w:rsidP="00CA66C4">
            <w:pPr>
              <w:pStyle w:val="TableTextbold"/>
              <w:rPr>
                <w:color w:val="FFFFFF" w:themeColor="background1"/>
              </w:rPr>
            </w:pPr>
            <w:r w:rsidRPr="00E3756C">
              <w:rPr>
                <w:color w:val="FFFFFF" w:themeColor="background1"/>
              </w:rPr>
              <w:t>Evidence</w:t>
            </w:r>
          </w:p>
        </w:tc>
        <w:tc>
          <w:tcPr>
            <w:tcW w:w="1839" w:type="dxa"/>
            <w:shd w:val="clear" w:color="auto" w:fill="1C556C" w:themeFill="accent1"/>
          </w:tcPr>
          <w:p w14:paraId="167893D1" w14:textId="77777777" w:rsidR="00CA66C4" w:rsidRPr="00E3756C" w:rsidRDefault="00CA66C4" w:rsidP="00CA66C4">
            <w:pPr>
              <w:pStyle w:val="TableTextbold"/>
              <w:rPr>
                <w:color w:val="FFFFFF" w:themeColor="background1"/>
              </w:rPr>
            </w:pPr>
            <w:r w:rsidRPr="00E3756C">
              <w:rPr>
                <w:color w:val="FFFFFF" w:themeColor="background1"/>
              </w:rPr>
              <w:t>Information</w:t>
            </w:r>
          </w:p>
        </w:tc>
        <w:tc>
          <w:tcPr>
            <w:tcW w:w="1081" w:type="dxa"/>
            <w:shd w:val="clear" w:color="auto" w:fill="1C556C" w:themeFill="accent1"/>
          </w:tcPr>
          <w:p w14:paraId="2ACB86C7" w14:textId="77777777" w:rsidR="00CA66C4" w:rsidRPr="00E3756C" w:rsidRDefault="00CA66C4" w:rsidP="00CA66C4">
            <w:pPr>
              <w:pStyle w:val="TableTextbold"/>
              <w:rPr>
                <w:color w:val="FFFFFF" w:themeColor="background1"/>
              </w:rPr>
            </w:pPr>
            <w:r w:rsidRPr="00E3756C">
              <w:rPr>
                <w:color w:val="FFFFFF" w:themeColor="background1"/>
              </w:rPr>
              <w:t>Methods</w:t>
            </w:r>
          </w:p>
        </w:tc>
        <w:tc>
          <w:tcPr>
            <w:tcW w:w="2243" w:type="dxa"/>
            <w:shd w:val="clear" w:color="auto" w:fill="1C556C" w:themeFill="accent1"/>
          </w:tcPr>
          <w:p w14:paraId="5CFE4F91" w14:textId="77777777" w:rsidR="00CA66C4" w:rsidRPr="00E3756C" w:rsidRDefault="00CA66C4" w:rsidP="00CA66C4">
            <w:pPr>
              <w:pStyle w:val="TableTextbold"/>
              <w:rPr>
                <w:color w:val="FFFFFF" w:themeColor="background1"/>
              </w:rPr>
            </w:pPr>
            <w:r w:rsidRPr="00E3756C">
              <w:rPr>
                <w:color w:val="FFFFFF" w:themeColor="background1"/>
              </w:rPr>
              <w:t>Consensus</w:t>
            </w:r>
          </w:p>
        </w:tc>
      </w:tr>
      <w:tr w:rsidR="00CA66C4" w:rsidRPr="00E3756C" w14:paraId="0088A5D3" w14:textId="77777777" w:rsidTr="00A20707">
        <w:tc>
          <w:tcPr>
            <w:tcW w:w="1442" w:type="dxa"/>
          </w:tcPr>
          <w:p w14:paraId="4EAA18FC" w14:textId="77777777" w:rsidR="00CA66C4" w:rsidRPr="00E3756C" w:rsidRDefault="00CA66C4" w:rsidP="00CA66C4">
            <w:pPr>
              <w:pStyle w:val="TableTextbold"/>
              <w:rPr>
                <w:sz w:val="20"/>
                <w:szCs w:val="20"/>
              </w:rPr>
            </w:pPr>
            <w:r w:rsidRPr="00E3756C">
              <w:rPr>
                <w:sz w:val="20"/>
                <w:szCs w:val="20"/>
              </w:rPr>
              <w:t>1 – Low</w:t>
            </w:r>
          </w:p>
        </w:tc>
        <w:tc>
          <w:tcPr>
            <w:tcW w:w="1900" w:type="dxa"/>
          </w:tcPr>
          <w:p w14:paraId="6E8D61AC" w14:textId="77777777" w:rsidR="00CA66C4" w:rsidRPr="00E3756C" w:rsidRDefault="00CA66C4" w:rsidP="00CA66C4">
            <w:pPr>
              <w:pStyle w:val="TableText"/>
            </w:pPr>
            <w:r w:rsidRPr="00E3756C">
              <w:t>Inconclusive evidence for impacts</w:t>
            </w:r>
          </w:p>
        </w:tc>
        <w:tc>
          <w:tcPr>
            <w:tcW w:w="1839" w:type="dxa"/>
          </w:tcPr>
          <w:p w14:paraId="40E8F36D" w14:textId="77777777" w:rsidR="00CA66C4" w:rsidRPr="00E3756C" w:rsidRDefault="00CA66C4" w:rsidP="00CA66C4">
            <w:pPr>
              <w:pStyle w:val="TableText"/>
            </w:pPr>
            <w:r w:rsidRPr="00E3756C">
              <w:t>Limited information, extrapolations, poor documentation</w:t>
            </w:r>
          </w:p>
        </w:tc>
        <w:tc>
          <w:tcPr>
            <w:tcW w:w="1081" w:type="dxa"/>
          </w:tcPr>
          <w:p w14:paraId="43CF84D3" w14:textId="77777777" w:rsidR="00CA66C4" w:rsidRPr="00E3756C" w:rsidRDefault="00CA66C4" w:rsidP="00CA66C4">
            <w:pPr>
              <w:pStyle w:val="TableText"/>
            </w:pPr>
            <w:r w:rsidRPr="00E3756C">
              <w:t>Not tested</w:t>
            </w:r>
          </w:p>
        </w:tc>
        <w:tc>
          <w:tcPr>
            <w:tcW w:w="2243" w:type="dxa"/>
          </w:tcPr>
          <w:p w14:paraId="0B275F88" w14:textId="77777777" w:rsidR="00CA66C4" w:rsidRPr="00E3756C" w:rsidRDefault="00CA66C4" w:rsidP="005D1A26">
            <w:pPr>
              <w:pStyle w:val="TableText"/>
            </w:pPr>
            <w:r w:rsidRPr="00E3756C">
              <w:t>Disagreement or lack of consensus among subject matter experts. No views expressed and shared</w:t>
            </w:r>
            <w:r w:rsidR="00484C8A" w:rsidRPr="00E3756C">
              <w:t xml:space="preserve"> </w:t>
            </w:r>
            <w:r w:rsidRPr="00E3756C">
              <w:t xml:space="preserve">by </w:t>
            </w:r>
            <w:r w:rsidR="005D1A26" w:rsidRPr="00E3756C">
              <w:t>M</w:t>
            </w:r>
            <w:r w:rsidRPr="00E3756C">
              <w:t>ātauranga Māori experts</w:t>
            </w:r>
          </w:p>
        </w:tc>
      </w:tr>
      <w:tr w:rsidR="00CA66C4" w:rsidRPr="00E3756C" w14:paraId="1374661E" w14:textId="77777777" w:rsidTr="00A20707">
        <w:tc>
          <w:tcPr>
            <w:tcW w:w="1442" w:type="dxa"/>
          </w:tcPr>
          <w:p w14:paraId="154E32B9" w14:textId="77777777" w:rsidR="00CA66C4" w:rsidRPr="00E3756C" w:rsidRDefault="00CA66C4" w:rsidP="00CA66C4">
            <w:pPr>
              <w:pStyle w:val="TableTextbold"/>
              <w:rPr>
                <w:sz w:val="20"/>
                <w:szCs w:val="20"/>
              </w:rPr>
            </w:pPr>
            <w:r w:rsidRPr="00E3756C">
              <w:rPr>
                <w:sz w:val="20"/>
                <w:szCs w:val="20"/>
              </w:rPr>
              <w:t>2 – Medium</w:t>
            </w:r>
          </w:p>
        </w:tc>
        <w:tc>
          <w:tcPr>
            <w:tcW w:w="1900" w:type="dxa"/>
          </w:tcPr>
          <w:p w14:paraId="73FC96FB" w14:textId="77777777" w:rsidR="00CA66C4" w:rsidRPr="00E3756C" w:rsidRDefault="00CA66C4" w:rsidP="00CA66C4">
            <w:pPr>
              <w:pStyle w:val="TableText"/>
            </w:pPr>
            <w:r w:rsidRPr="00E3756C">
              <w:t>Suggestive evidence for impacts</w:t>
            </w:r>
          </w:p>
        </w:tc>
        <w:tc>
          <w:tcPr>
            <w:tcW w:w="1839" w:type="dxa"/>
          </w:tcPr>
          <w:p w14:paraId="3C39143B" w14:textId="77777777" w:rsidR="00CA66C4" w:rsidRPr="00E3756C" w:rsidRDefault="00CA66C4" w:rsidP="00CA66C4">
            <w:pPr>
              <w:pStyle w:val="TableText"/>
            </w:pPr>
            <w:r w:rsidRPr="00E3756C">
              <w:t>A few sources of information, incomplete models, minor documentation</w:t>
            </w:r>
          </w:p>
        </w:tc>
        <w:tc>
          <w:tcPr>
            <w:tcW w:w="1081" w:type="dxa"/>
          </w:tcPr>
          <w:p w14:paraId="74C9F306" w14:textId="77777777" w:rsidR="00CA66C4" w:rsidRPr="00E3756C" w:rsidRDefault="00CA66C4" w:rsidP="00CA66C4">
            <w:pPr>
              <w:pStyle w:val="TableText"/>
            </w:pPr>
            <w:r w:rsidRPr="00E3756C">
              <w:t>Emerging</w:t>
            </w:r>
          </w:p>
        </w:tc>
        <w:tc>
          <w:tcPr>
            <w:tcW w:w="2243" w:type="dxa"/>
          </w:tcPr>
          <w:p w14:paraId="027D13FC" w14:textId="77777777" w:rsidR="00CA66C4" w:rsidRPr="00E3756C" w:rsidRDefault="00CA66C4" w:rsidP="005D1A26">
            <w:pPr>
              <w:pStyle w:val="TableText"/>
            </w:pPr>
            <w:r w:rsidRPr="00E3756C">
              <w:t>Competing consensus among subject matter experts. Few views expressed and shared</w:t>
            </w:r>
            <w:r w:rsidR="00484C8A" w:rsidRPr="00E3756C">
              <w:t xml:space="preserve"> </w:t>
            </w:r>
            <w:r w:rsidRPr="00E3756C">
              <w:t xml:space="preserve">by </w:t>
            </w:r>
            <w:r w:rsidR="005D1A26" w:rsidRPr="00E3756C">
              <w:t>M</w:t>
            </w:r>
            <w:r w:rsidRPr="00E3756C">
              <w:t>ātauranga Māori experts</w:t>
            </w:r>
          </w:p>
        </w:tc>
      </w:tr>
      <w:tr w:rsidR="00CA66C4" w:rsidRPr="00E3756C" w14:paraId="1F566DCC" w14:textId="77777777" w:rsidTr="00A20707">
        <w:tc>
          <w:tcPr>
            <w:tcW w:w="1442" w:type="dxa"/>
          </w:tcPr>
          <w:p w14:paraId="737E4FE2" w14:textId="77777777" w:rsidR="00CA66C4" w:rsidRPr="00E3756C" w:rsidRDefault="00CA66C4" w:rsidP="00CA66C4">
            <w:pPr>
              <w:pStyle w:val="TableTextbold"/>
              <w:rPr>
                <w:sz w:val="20"/>
                <w:szCs w:val="20"/>
              </w:rPr>
            </w:pPr>
            <w:r w:rsidRPr="00E3756C">
              <w:rPr>
                <w:sz w:val="20"/>
                <w:szCs w:val="20"/>
              </w:rPr>
              <w:t xml:space="preserve">3 – High </w:t>
            </w:r>
          </w:p>
        </w:tc>
        <w:tc>
          <w:tcPr>
            <w:tcW w:w="1900" w:type="dxa"/>
          </w:tcPr>
          <w:p w14:paraId="4FCB90C7" w14:textId="77777777" w:rsidR="00CA66C4" w:rsidRPr="00E3756C" w:rsidRDefault="00CA66C4" w:rsidP="00CA66C4">
            <w:pPr>
              <w:pStyle w:val="TableText"/>
            </w:pPr>
            <w:r w:rsidRPr="00E3756C">
              <w:t>Moderate evidence for impacts</w:t>
            </w:r>
          </w:p>
        </w:tc>
        <w:tc>
          <w:tcPr>
            <w:tcW w:w="1839" w:type="dxa"/>
          </w:tcPr>
          <w:p w14:paraId="4F7E0FEA" w14:textId="77777777" w:rsidR="00CA66C4" w:rsidRPr="00E3756C" w:rsidRDefault="00CA66C4" w:rsidP="00CA66C4">
            <w:pPr>
              <w:pStyle w:val="TableText"/>
            </w:pPr>
            <w:r w:rsidRPr="00E3756C">
              <w:t>Several sources of information, partial models, some documentation</w:t>
            </w:r>
          </w:p>
        </w:tc>
        <w:tc>
          <w:tcPr>
            <w:tcW w:w="1081" w:type="dxa"/>
          </w:tcPr>
          <w:p w14:paraId="323553E2" w14:textId="77777777" w:rsidR="00CA66C4" w:rsidRPr="00E3756C" w:rsidRDefault="00CA66C4" w:rsidP="00CA66C4">
            <w:pPr>
              <w:pStyle w:val="TableText"/>
            </w:pPr>
            <w:r w:rsidRPr="00E3756C">
              <w:t>Varying</w:t>
            </w:r>
          </w:p>
        </w:tc>
        <w:tc>
          <w:tcPr>
            <w:tcW w:w="2243" w:type="dxa"/>
          </w:tcPr>
          <w:p w14:paraId="42DFD0B4" w14:textId="77777777" w:rsidR="00CA66C4" w:rsidRPr="00E3756C" w:rsidRDefault="00CA66C4" w:rsidP="00CA66C4">
            <w:pPr>
              <w:pStyle w:val="TableText"/>
            </w:pPr>
            <w:r w:rsidRPr="00E3756C">
              <w:t xml:space="preserve">Moderate consensus among subject matter experts. Some views expressed and shared by </w:t>
            </w:r>
            <w:r w:rsidR="00C97FE4" w:rsidRPr="00E3756C">
              <w:t>M</w:t>
            </w:r>
            <w:r w:rsidRPr="00E3756C">
              <w:t>ātauranga Māori experts</w:t>
            </w:r>
          </w:p>
        </w:tc>
      </w:tr>
      <w:tr w:rsidR="00CA66C4" w:rsidRPr="00E3756C" w14:paraId="47F77EC9" w14:textId="77777777" w:rsidTr="00A20707">
        <w:tc>
          <w:tcPr>
            <w:tcW w:w="1442" w:type="dxa"/>
          </w:tcPr>
          <w:p w14:paraId="51BEEDDF" w14:textId="77777777" w:rsidR="00CA66C4" w:rsidRPr="00E3756C" w:rsidRDefault="00CA66C4" w:rsidP="00C97FE4">
            <w:pPr>
              <w:pStyle w:val="TableTextbold"/>
              <w:rPr>
                <w:sz w:val="20"/>
                <w:szCs w:val="20"/>
              </w:rPr>
            </w:pPr>
            <w:r w:rsidRPr="00E3756C">
              <w:rPr>
                <w:sz w:val="20"/>
                <w:szCs w:val="20"/>
              </w:rPr>
              <w:t xml:space="preserve">4 – Very </w:t>
            </w:r>
            <w:r w:rsidR="00C97FE4" w:rsidRPr="00E3756C">
              <w:rPr>
                <w:sz w:val="20"/>
                <w:szCs w:val="20"/>
              </w:rPr>
              <w:t>h</w:t>
            </w:r>
            <w:r w:rsidRPr="00E3756C">
              <w:rPr>
                <w:sz w:val="20"/>
                <w:szCs w:val="20"/>
              </w:rPr>
              <w:t>igh</w:t>
            </w:r>
          </w:p>
        </w:tc>
        <w:tc>
          <w:tcPr>
            <w:tcW w:w="1900" w:type="dxa"/>
          </w:tcPr>
          <w:p w14:paraId="24B857C9" w14:textId="77777777" w:rsidR="00CA66C4" w:rsidRPr="00E3756C" w:rsidRDefault="00CA66C4" w:rsidP="00CA66C4">
            <w:pPr>
              <w:pStyle w:val="TableText"/>
            </w:pPr>
            <w:r w:rsidRPr="00E3756C">
              <w:t>Strong evidence for impacts</w:t>
            </w:r>
          </w:p>
        </w:tc>
        <w:tc>
          <w:tcPr>
            <w:tcW w:w="1839" w:type="dxa"/>
          </w:tcPr>
          <w:p w14:paraId="4F0C7058" w14:textId="77777777" w:rsidR="00CA66C4" w:rsidRPr="00E3756C" w:rsidRDefault="00CA66C4" w:rsidP="00CA66C4">
            <w:pPr>
              <w:pStyle w:val="TableText"/>
            </w:pPr>
            <w:r w:rsidRPr="00E3756C">
              <w:t>Multiple sources of information, established models, well documented</w:t>
            </w:r>
          </w:p>
        </w:tc>
        <w:tc>
          <w:tcPr>
            <w:tcW w:w="1081" w:type="dxa"/>
          </w:tcPr>
          <w:p w14:paraId="2B3EADE5" w14:textId="77777777" w:rsidR="00CA66C4" w:rsidRPr="00E3756C" w:rsidRDefault="00CA66C4" w:rsidP="00CA66C4">
            <w:pPr>
              <w:pStyle w:val="TableText"/>
            </w:pPr>
            <w:r w:rsidRPr="00E3756C">
              <w:t>Accepted</w:t>
            </w:r>
          </w:p>
        </w:tc>
        <w:tc>
          <w:tcPr>
            <w:tcW w:w="2243" w:type="dxa"/>
          </w:tcPr>
          <w:p w14:paraId="1EA20070" w14:textId="77777777" w:rsidR="00CA66C4" w:rsidRPr="00E3756C" w:rsidRDefault="00CA66C4" w:rsidP="00CA66C4">
            <w:pPr>
              <w:pStyle w:val="TableText"/>
            </w:pPr>
            <w:r w:rsidRPr="00E3756C">
              <w:t xml:space="preserve">Strong consensus among subject matter experts. Multiple views expressed and shared by </w:t>
            </w:r>
            <w:r w:rsidR="00C97FE4" w:rsidRPr="00E3756C">
              <w:t>M</w:t>
            </w:r>
            <w:r w:rsidRPr="00E3756C">
              <w:t>ātauranga Māori experts</w:t>
            </w:r>
          </w:p>
        </w:tc>
      </w:tr>
    </w:tbl>
    <w:p w14:paraId="7CC7C466" w14:textId="77777777" w:rsidR="00CA66C4" w:rsidRPr="00E3756C" w:rsidRDefault="00CA66C4" w:rsidP="008E4F54">
      <w:pPr>
        <w:pStyle w:val="Heading2"/>
        <w:spacing w:before="480"/>
      </w:pPr>
      <w:bookmarkStart w:id="210" w:name="_Toc13570400"/>
      <w:bookmarkStart w:id="211" w:name="_Toc14361564"/>
      <w:bookmarkStart w:id="212" w:name="_Toc15409176"/>
      <w:r w:rsidRPr="00E3756C">
        <w:t xml:space="preserve">C2.2 </w:t>
      </w:r>
      <w:r w:rsidR="008E4F54" w:rsidRPr="00E3756C">
        <w:tab/>
      </w:r>
      <w:r w:rsidRPr="00E3756C">
        <w:t>Consequence rating criteria</w:t>
      </w:r>
      <w:bookmarkEnd w:id="210"/>
      <w:bookmarkEnd w:id="211"/>
      <w:bookmarkEnd w:id="212"/>
    </w:p>
    <w:p w14:paraId="16C68607" w14:textId="77777777" w:rsidR="00891E5E" w:rsidRPr="00E3756C" w:rsidRDefault="00C97FE4" w:rsidP="008E4F54">
      <w:pPr>
        <w:pStyle w:val="BodyText"/>
      </w:pPr>
      <w:r w:rsidRPr="00E3756C">
        <w:t>T</w:t>
      </w:r>
      <w:r w:rsidR="00CA66C4" w:rsidRPr="00E3756C">
        <w:t xml:space="preserve">able </w:t>
      </w:r>
      <w:r w:rsidRPr="00E3756C">
        <w:t xml:space="preserve">C2-2 </w:t>
      </w:r>
      <w:r w:rsidR="00CA66C4" w:rsidRPr="00E3756C">
        <w:t>provides indicative metrics for rating the severity of consequences against the LSF</w:t>
      </w:r>
      <w:r w:rsidRPr="00E3756C">
        <w:t> </w:t>
      </w:r>
      <w:r w:rsidR="00CA66C4" w:rsidRPr="00E3756C">
        <w:t>capitals and across the framework’s six value domains. The metrics generally do not reflect</w:t>
      </w:r>
      <w:r w:rsidRPr="00E3756C">
        <w:t> </w:t>
      </w:r>
      <w:r w:rsidR="00CA66C4" w:rsidRPr="00E3756C">
        <w:t>event-based consequences but focus on impacts resulting from changes in climate</w:t>
      </w:r>
      <w:r w:rsidRPr="00E3756C">
        <w:noBreakHyphen/>
      </w:r>
      <w:r w:rsidR="00CA66C4" w:rsidRPr="00E3756C">
        <w:t>related hazards.</w:t>
      </w:r>
    </w:p>
    <w:p w14:paraId="59106F84" w14:textId="77777777" w:rsidR="008E4F54" w:rsidRPr="00E3756C" w:rsidRDefault="008E4F54" w:rsidP="008E4F54">
      <w:pPr>
        <w:pStyle w:val="BodyText"/>
      </w:pPr>
    </w:p>
    <w:p w14:paraId="669304E6" w14:textId="77777777" w:rsidR="008E4F54" w:rsidRPr="00E3756C" w:rsidRDefault="008E4F54" w:rsidP="008E4F54">
      <w:pPr>
        <w:pStyle w:val="BodyText"/>
        <w:spacing w:before="0" w:after="0"/>
        <w:sectPr w:rsidR="008E4F54" w:rsidRPr="00E3756C" w:rsidSect="00826BEB">
          <w:pgSz w:w="11907" w:h="16840" w:code="9"/>
          <w:pgMar w:top="1134" w:right="1418" w:bottom="1134" w:left="1418" w:header="567" w:footer="567" w:gutter="510"/>
          <w:cols w:space="720"/>
          <w:docGrid w:linePitch="299"/>
        </w:sectPr>
      </w:pPr>
    </w:p>
    <w:p w14:paraId="312FE59D" w14:textId="77777777" w:rsidR="008E4F54" w:rsidRPr="00E3756C" w:rsidRDefault="00215FC9" w:rsidP="00F966FF">
      <w:pPr>
        <w:pStyle w:val="Tableheading"/>
        <w:spacing w:before="0"/>
      </w:pPr>
      <w:bookmarkStart w:id="213" w:name="tableC22"/>
      <w:bookmarkStart w:id="214" w:name="_Toc16586506"/>
      <w:r w:rsidRPr="00E3756C">
        <w:lastRenderedPageBreak/>
        <w:t>Table C</w:t>
      </w:r>
      <w:r w:rsidR="00B74638" w:rsidRPr="00E3756C">
        <w:t>2-2</w:t>
      </w:r>
      <w:bookmarkEnd w:id="213"/>
      <w:r w:rsidRPr="00E3756C">
        <w:t xml:space="preserve">: </w:t>
      </w:r>
      <w:r w:rsidR="00460BEC" w:rsidRPr="00E3756C">
        <w:tab/>
      </w:r>
      <w:r w:rsidR="00CC53CE" w:rsidRPr="00E3756C">
        <w:t>Consequence rating criteria</w:t>
      </w:r>
      <w:bookmarkEnd w:id="214"/>
    </w:p>
    <w:tbl>
      <w:tblPr>
        <w:tblStyle w:val="TableGrid"/>
        <w:tblW w:w="14629"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855"/>
        <w:gridCol w:w="853"/>
        <w:gridCol w:w="2456"/>
        <w:gridCol w:w="2527"/>
        <w:gridCol w:w="2551"/>
        <w:gridCol w:w="2693"/>
        <w:gridCol w:w="2694"/>
      </w:tblGrid>
      <w:tr w:rsidR="006A0DA7" w:rsidRPr="00E3756C" w14:paraId="16C0B5C4" w14:textId="77777777" w:rsidTr="00A20707">
        <w:trPr>
          <w:tblHeader/>
        </w:trPr>
        <w:tc>
          <w:tcPr>
            <w:tcW w:w="1708" w:type="dxa"/>
            <w:gridSpan w:val="2"/>
            <w:vMerge w:val="restart"/>
            <w:shd w:val="clear" w:color="auto" w:fill="1C556C" w:themeFill="accent1"/>
            <w:vAlign w:val="bottom"/>
          </w:tcPr>
          <w:p w14:paraId="15888DC2" w14:textId="77777777" w:rsidR="008E4F54" w:rsidRPr="00E3756C" w:rsidRDefault="008E4F54" w:rsidP="006A0DA7">
            <w:pPr>
              <w:pStyle w:val="TableTextbold"/>
              <w:rPr>
                <w:color w:val="FFFFFF" w:themeColor="background1"/>
              </w:rPr>
            </w:pPr>
            <w:r w:rsidRPr="00E3756C">
              <w:rPr>
                <w:color w:val="FFFFFF" w:themeColor="background1"/>
              </w:rPr>
              <w:t>Value domain</w:t>
            </w:r>
          </w:p>
        </w:tc>
        <w:tc>
          <w:tcPr>
            <w:tcW w:w="12921" w:type="dxa"/>
            <w:gridSpan w:val="5"/>
            <w:shd w:val="clear" w:color="auto" w:fill="1C556C" w:themeFill="accent1"/>
            <w:vAlign w:val="bottom"/>
          </w:tcPr>
          <w:p w14:paraId="32B2F729" w14:textId="77777777" w:rsidR="008E4F54" w:rsidRPr="00E3756C" w:rsidRDefault="008E4F54" w:rsidP="002D0E5B">
            <w:pPr>
              <w:pStyle w:val="TableTextbold"/>
              <w:jc w:val="center"/>
              <w:rPr>
                <w:color w:val="FFFFFF" w:themeColor="background1"/>
              </w:rPr>
            </w:pPr>
            <w:r w:rsidRPr="00E3756C">
              <w:rPr>
                <w:color w:val="FFFFFF" w:themeColor="background1"/>
              </w:rPr>
              <w:t xml:space="preserve">Consequence level (national scale aggregated from the </w:t>
            </w:r>
            <w:r w:rsidR="002D0E5B" w:rsidRPr="00E3756C">
              <w:rPr>
                <w:color w:val="FFFFFF" w:themeColor="background1"/>
              </w:rPr>
              <w:t>seven</w:t>
            </w:r>
            <w:r w:rsidRPr="00E3756C">
              <w:rPr>
                <w:color w:val="FFFFFF" w:themeColor="background1"/>
              </w:rPr>
              <w:t xml:space="preserve"> sub-national climate zones)</w:t>
            </w:r>
          </w:p>
        </w:tc>
      </w:tr>
      <w:tr w:rsidR="008E4F54" w:rsidRPr="00E3756C" w14:paraId="02560185" w14:textId="77777777" w:rsidTr="00B7422A">
        <w:trPr>
          <w:tblHeader/>
        </w:trPr>
        <w:tc>
          <w:tcPr>
            <w:tcW w:w="1708" w:type="dxa"/>
            <w:gridSpan w:val="2"/>
            <w:vMerge/>
            <w:tcBorders>
              <w:bottom w:val="nil"/>
            </w:tcBorders>
            <w:vAlign w:val="bottom"/>
          </w:tcPr>
          <w:p w14:paraId="7A09D9D2" w14:textId="77777777" w:rsidR="008E4F54" w:rsidRPr="00E3756C" w:rsidRDefault="008E4F54" w:rsidP="003F2743">
            <w:pPr>
              <w:jc w:val="right"/>
              <w:rPr>
                <w:b/>
                <w:color w:val="FFFFFF" w:themeColor="background1"/>
              </w:rPr>
            </w:pPr>
          </w:p>
        </w:tc>
        <w:tc>
          <w:tcPr>
            <w:tcW w:w="2456" w:type="dxa"/>
            <w:tcBorders>
              <w:bottom w:val="nil"/>
            </w:tcBorders>
            <w:shd w:val="clear" w:color="auto" w:fill="D7E5D5"/>
          </w:tcPr>
          <w:p w14:paraId="66F64147" w14:textId="77777777" w:rsidR="008E4F54" w:rsidRPr="00E3756C" w:rsidRDefault="008E4F54" w:rsidP="00F966FF">
            <w:pPr>
              <w:pStyle w:val="TableTextbold"/>
              <w:spacing w:before="40" w:after="40"/>
            </w:pPr>
            <w:r w:rsidRPr="00E3756C">
              <w:t>Insignificant</w:t>
            </w:r>
          </w:p>
          <w:p w14:paraId="10332187" w14:textId="60AE3E80" w:rsidR="008E4F54" w:rsidRPr="00E3756C" w:rsidRDefault="008E4F54" w:rsidP="00F966FF">
            <w:pPr>
              <w:pStyle w:val="TableText"/>
              <w:spacing w:before="40" w:after="40"/>
            </w:pPr>
            <w:r w:rsidRPr="00E3756C">
              <w:t>No significant change in impact nationally</w:t>
            </w:r>
            <w:r w:rsidR="00484C8A" w:rsidRPr="00E3756C">
              <w:t xml:space="preserve"> </w:t>
            </w:r>
            <w:r w:rsidRPr="00E3756C">
              <w:t xml:space="preserve">that can be handled through </w:t>
            </w:r>
            <w:r w:rsidR="004918A8" w:rsidRPr="00E3756C">
              <w:t>business</w:t>
            </w:r>
            <w:r w:rsidR="00D2002A">
              <w:t>-</w:t>
            </w:r>
            <w:r w:rsidR="004918A8" w:rsidRPr="00E3756C">
              <w:t>as</w:t>
            </w:r>
            <w:r w:rsidR="00D2002A">
              <w:t>-</w:t>
            </w:r>
            <w:r w:rsidR="004918A8" w:rsidRPr="00E3756C">
              <w:t>usual</w:t>
            </w:r>
            <w:r w:rsidRPr="00E3756C">
              <w:t xml:space="preserve"> processes or some local</w:t>
            </w:r>
            <w:r w:rsidR="004918A8" w:rsidRPr="00E3756C">
              <w:t xml:space="preserve"> or </w:t>
            </w:r>
            <w:r w:rsidRPr="00E3756C">
              <w:t>regional</w:t>
            </w:r>
            <w:r w:rsidR="00484C8A" w:rsidRPr="00E3756C">
              <w:t xml:space="preserve"> </w:t>
            </w:r>
            <w:r w:rsidRPr="00E3756C">
              <w:t>impacts with no specialised management required</w:t>
            </w:r>
          </w:p>
        </w:tc>
        <w:tc>
          <w:tcPr>
            <w:tcW w:w="2527" w:type="dxa"/>
            <w:tcBorders>
              <w:bottom w:val="nil"/>
            </w:tcBorders>
            <w:shd w:val="clear" w:color="auto" w:fill="2C9986" w:themeFill="accent4"/>
          </w:tcPr>
          <w:p w14:paraId="1499FEA1" w14:textId="77777777" w:rsidR="008E4F54" w:rsidRPr="00E3756C" w:rsidRDefault="008E4F54" w:rsidP="00F966FF">
            <w:pPr>
              <w:pStyle w:val="TableTextbold"/>
              <w:spacing w:before="40" w:after="40"/>
              <w:rPr>
                <w:color w:val="FFFFFF" w:themeColor="background1"/>
              </w:rPr>
            </w:pPr>
            <w:r w:rsidRPr="00E3756C">
              <w:rPr>
                <w:color w:val="FFFFFF" w:themeColor="background1"/>
              </w:rPr>
              <w:t>Minor</w:t>
            </w:r>
          </w:p>
          <w:p w14:paraId="72CA1E02" w14:textId="77777777" w:rsidR="008E4F54" w:rsidRPr="00E3756C" w:rsidRDefault="008E4F54" w:rsidP="00F966FF">
            <w:pPr>
              <w:pStyle w:val="TableText"/>
              <w:spacing w:before="40" w:after="40"/>
              <w:rPr>
                <w:color w:val="FFFFFF" w:themeColor="background1"/>
              </w:rPr>
            </w:pPr>
            <w:r w:rsidRPr="00E3756C">
              <w:rPr>
                <w:color w:val="FFFFFF" w:themeColor="background1"/>
              </w:rPr>
              <w:t>Some minor impacts at the national scale that could be addressed through local</w:t>
            </w:r>
            <w:r w:rsidR="004918A8" w:rsidRPr="00E3756C">
              <w:rPr>
                <w:color w:val="FFFFFF" w:themeColor="background1"/>
              </w:rPr>
              <w:t xml:space="preserve"> or </w:t>
            </w:r>
            <w:r w:rsidRPr="00E3756C">
              <w:rPr>
                <w:color w:val="FFFFFF" w:themeColor="background1"/>
              </w:rPr>
              <w:t>regional management and adaptation processes</w:t>
            </w:r>
          </w:p>
        </w:tc>
        <w:tc>
          <w:tcPr>
            <w:tcW w:w="2551" w:type="dxa"/>
            <w:tcBorders>
              <w:bottom w:val="nil"/>
            </w:tcBorders>
            <w:shd w:val="clear" w:color="auto" w:fill="FFC715"/>
          </w:tcPr>
          <w:p w14:paraId="4EEE236B" w14:textId="77777777" w:rsidR="008E4F54" w:rsidRPr="00B7422A" w:rsidRDefault="008E4F54" w:rsidP="00F966FF">
            <w:pPr>
              <w:pStyle w:val="TableTextbold"/>
              <w:spacing w:before="40" w:after="40"/>
              <w:rPr>
                <w:color w:val="000000" w:themeColor="text1"/>
              </w:rPr>
            </w:pPr>
            <w:r w:rsidRPr="00B7422A">
              <w:rPr>
                <w:color w:val="000000" w:themeColor="text1"/>
              </w:rPr>
              <w:t>Moderate</w:t>
            </w:r>
          </w:p>
          <w:p w14:paraId="20D1A0E8" w14:textId="77777777" w:rsidR="008E4F54" w:rsidRPr="00E3756C" w:rsidRDefault="008E4F54" w:rsidP="00F966FF">
            <w:pPr>
              <w:pStyle w:val="TableText"/>
              <w:spacing w:before="40" w:after="40"/>
              <w:rPr>
                <w:color w:val="FFFFFF" w:themeColor="background1"/>
              </w:rPr>
            </w:pPr>
            <w:r w:rsidRPr="00B7422A">
              <w:rPr>
                <w:color w:val="000000" w:themeColor="text1"/>
              </w:rPr>
              <w:t>Significant impacts at the national scale of interest to national agencies to address adaptation, or a major impact for 1</w:t>
            </w:r>
            <w:r w:rsidR="004918A8" w:rsidRPr="00B7422A">
              <w:rPr>
                <w:color w:val="000000" w:themeColor="text1"/>
              </w:rPr>
              <w:t>–</w:t>
            </w:r>
            <w:r w:rsidRPr="00B7422A">
              <w:rPr>
                <w:color w:val="000000" w:themeColor="text1"/>
              </w:rPr>
              <w:t xml:space="preserve">2 sub-national climate zones </w:t>
            </w:r>
          </w:p>
        </w:tc>
        <w:tc>
          <w:tcPr>
            <w:tcW w:w="2693" w:type="dxa"/>
            <w:tcBorders>
              <w:bottom w:val="nil"/>
            </w:tcBorders>
            <w:shd w:val="clear" w:color="auto" w:fill="DA5A28"/>
          </w:tcPr>
          <w:p w14:paraId="2516A060" w14:textId="77777777" w:rsidR="008E4F54" w:rsidRPr="00E3756C" w:rsidRDefault="008E4F54" w:rsidP="00F966FF">
            <w:pPr>
              <w:pStyle w:val="TableTextbold"/>
              <w:spacing w:before="40" w:after="40"/>
              <w:rPr>
                <w:color w:val="FFFFFF" w:themeColor="background1"/>
              </w:rPr>
            </w:pPr>
            <w:r w:rsidRPr="00E3756C">
              <w:rPr>
                <w:color w:val="FFFFFF" w:themeColor="background1"/>
              </w:rPr>
              <w:t>Major</w:t>
            </w:r>
          </w:p>
          <w:p w14:paraId="70135046" w14:textId="17A08E6B" w:rsidR="008E4F54" w:rsidRPr="00E3756C" w:rsidRDefault="008E4F54" w:rsidP="00F966FF">
            <w:pPr>
              <w:pStyle w:val="TableText"/>
              <w:spacing w:before="40" w:after="40"/>
              <w:rPr>
                <w:b/>
                <w:color w:val="FFFFFF" w:themeColor="background1"/>
                <w:sz w:val="20"/>
              </w:rPr>
            </w:pPr>
            <w:r w:rsidRPr="00E3756C">
              <w:rPr>
                <w:color w:val="FFFFFF" w:themeColor="background1"/>
              </w:rPr>
              <w:t xml:space="preserve">Major impacts at the national scale of high interest to national agencies to quickly address adaptation, or an extreme impact for </w:t>
            </w:r>
            <w:r w:rsidR="00D2002A">
              <w:rPr>
                <w:color w:val="FFFFFF" w:themeColor="background1"/>
              </w:rPr>
              <w:t>1</w:t>
            </w:r>
            <w:r w:rsidRPr="00E3756C">
              <w:rPr>
                <w:color w:val="FFFFFF" w:themeColor="background1"/>
              </w:rPr>
              <w:t xml:space="preserve"> sub-national climate zone</w:t>
            </w:r>
          </w:p>
        </w:tc>
        <w:tc>
          <w:tcPr>
            <w:tcW w:w="2694" w:type="dxa"/>
            <w:tcBorders>
              <w:bottom w:val="nil"/>
            </w:tcBorders>
            <w:shd w:val="clear" w:color="auto" w:fill="8B391D"/>
          </w:tcPr>
          <w:p w14:paraId="2FFB7F9F" w14:textId="77777777" w:rsidR="008E4F54" w:rsidRPr="00E3756C" w:rsidRDefault="008E4F54" w:rsidP="00F966FF">
            <w:pPr>
              <w:pStyle w:val="TableTextbold"/>
              <w:spacing w:before="40" w:after="40"/>
              <w:rPr>
                <w:color w:val="FFFFFF" w:themeColor="background1"/>
              </w:rPr>
            </w:pPr>
            <w:r w:rsidRPr="00E3756C">
              <w:rPr>
                <w:color w:val="FFFFFF" w:themeColor="background1"/>
              </w:rPr>
              <w:t>Extreme</w:t>
            </w:r>
          </w:p>
          <w:p w14:paraId="5E5BC9B5" w14:textId="77777777" w:rsidR="008E4F54" w:rsidRPr="00E3756C" w:rsidRDefault="008E4F54" w:rsidP="00F966FF">
            <w:pPr>
              <w:pStyle w:val="TableText"/>
              <w:spacing w:before="40" w:after="40"/>
              <w:rPr>
                <w:color w:val="FFFFFF" w:themeColor="background1"/>
              </w:rPr>
            </w:pPr>
            <w:r w:rsidRPr="00E3756C">
              <w:rPr>
                <w:color w:val="FFFFFF" w:themeColor="background1"/>
              </w:rPr>
              <w:t>Extreme impacts at the national scale (or even in a few sub-national climate zone</w:t>
            </w:r>
            <w:r w:rsidR="00F801EA" w:rsidRPr="00E3756C">
              <w:rPr>
                <w:color w:val="FFFFFF" w:themeColor="background1"/>
              </w:rPr>
              <w:t>s</w:t>
            </w:r>
            <w:r w:rsidRPr="00E3756C">
              <w:rPr>
                <w:color w:val="FFFFFF" w:themeColor="background1"/>
              </w:rPr>
              <w:t>) of heightened interest to national agencies to urgently address adaptation. May be of interest to international partners or financial</w:t>
            </w:r>
            <w:r w:rsidR="00F801EA" w:rsidRPr="00E3756C">
              <w:rPr>
                <w:color w:val="FFFFFF" w:themeColor="background1"/>
              </w:rPr>
              <w:t xml:space="preserve"> or </w:t>
            </w:r>
            <w:r w:rsidRPr="00E3756C">
              <w:rPr>
                <w:color w:val="FFFFFF" w:themeColor="background1"/>
              </w:rPr>
              <w:t>insurance institutions</w:t>
            </w:r>
          </w:p>
        </w:tc>
      </w:tr>
      <w:tr w:rsidR="00417513" w:rsidRPr="00E3756C" w14:paraId="03A66BDA" w14:textId="77777777" w:rsidTr="001C3FE4">
        <w:tc>
          <w:tcPr>
            <w:tcW w:w="855" w:type="dxa"/>
            <w:vMerge w:val="restart"/>
            <w:tcBorders>
              <w:top w:val="nil"/>
              <w:bottom w:val="nil"/>
            </w:tcBorders>
            <w:shd w:val="clear" w:color="auto" w:fill="1C556C" w:themeFill="accent1"/>
          </w:tcPr>
          <w:p w14:paraId="3884F9D9" w14:textId="77777777" w:rsidR="008E4F54" w:rsidRPr="00E3756C" w:rsidRDefault="008E4F54" w:rsidP="00C92DEB">
            <w:pPr>
              <w:pStyle w:val="TableText"/>
              <w:rPr>
                <w:b/>
                <w:color w:val="FFFFFF" w:themeColor="background1"/>
              </w:rPr>
            </w:pPr>
            <w:r w:rsidRPr="00E3756C">
              <w:rPr>
                <w:b/>
                <w:color w:val="FFFFFF" w:themeColor="background1"/>
              </w:rPr>
              <w:t>Human</w:t>
            </w:r>
          </w:p>
        </w:tc>
        <w:tc>
          <w:tcPr>
            <w:tcW w:w="853" w:type="dxa"/>
            <w:tcBorders>
              <w:top w:val="nil"/>
              <w:bottom w:val="nil"/>
            </w:tcBorders>
            <w:shd w:val="clear" w:color="auto" w:fill="DA5A28"/>
          </w:tcPr>
          <w:p w14:paraId="6071CBF4" w14:textId="77777777" w:rsidR="008E4F54" w:rsidRPr="00E3756C" w:rsidRDefault="008E4F54" w:rsidP="00417513">
            <w:pPr>
              <w:pStyle w:val="TableText"/>
              <w:spacing w:before="80"/>
              <w:rPr>
                <w:b/>
                <w:color w:val="FFFFFF" w:themeColor="background1"/>
              </w:rPr>
            </w:pPr>
            <w:r w:rsidRPr="00E3756C">
              <w:rPr>
                <w:b/>
                <w:color w:val="FFFFFF" w:themeColor="background1"/>
              </w:rPr>
              <w:t>Society</w:t>
            </w:r>
          </w:p>
        </w:tc>
        <w:tc>
          <w:tcPr>
            <w:tcW w:w="2456" w:type="dxa"/>
            <w:tcBorders>
              <w:top w:val="nil"/>
              <w:bottom w:val="nil"/>
            </w:tcBorders>
          </w:tcPr>
          <w:p w14:paraId="08AA437C" w14:textId="77777777" w:rsidR="008E4F54" w:rsidRPr="00E3756C" w:rsidRDefault="008E4F54" w:rsidP="00F966FF">
            <w:pPr>
              <w:pStyle w:val="TableText"/>
              <w:spacing w:before="40" w:after="40"/>
              <w:rPr>
                <w:szCs w:val="18"/>
              </w:rPr>
            </w:pPr>
            <w:r w:rsidRPr="00E3756C">
              <w:rPr>
                <w:szCs w:val="18"/>
              </w:rPr>
              <w:t>No discernible</w:t>
            </w:r>
            <w:r w:rsidR="00484C8A" w:rsidRPr="00E3756C">
              <w:rPr>
                <w:szCs w:val="18"/>
              </w:rPr>
              <w:t xml:space="preserve"> </w:t>
            </w:r>
            <w:r w:rsidRPr="001D27B9">
              <w:rPr>
                <w:szCs w:val="18"/>
              </w:rPr>
              <w:t>changes</w:t>
            </w:r>
            <w:r w:rsidRPr="00E3756C">
              <w:rPr>
                <w:szCs w:val="18"/>
              </w:rPr>
              <w:t xml:space="preserve"> in damage, casualties or displacement of households from weather-related events.</w:t>
            </w:r>
          </w:p>
          <w:p w14:paraId="06EB987C" w14:textId="77777777" w:rsidR="008E4F54" w:rsidRPr="00E3756C" w:rsidRDefault="008E4F54" w:rsidP="00F966FF">
            <w:pPr>
              <w:pStyle w:val="TableText"/>
              <w:spacing w:before="40" w:after="40"/>
              <w:rPr>
                <w:szCs w:val="18"/>
              </w:rPr>
            </w:pPr>
            <w:r w:rsidRPr="00E3756C">
              <w:rPr>
                <w:szCs w:val="18"/>
              </w:rPr>
              <w:t>Small increase in demand nationally for welfare, education and community services after events</w:t>
            </w:r>
            <w:r w:rsidR="00F801EA" w:rsidRPr="00E3756C">
              <w:rPr>
                <w:szCs w:val="18"/>
              </w:rPr>
              <w:t>,</w:t>
            </w:r>
            <w:r w:rsidRPr="00E3756C">
              <w:rPr>
                <w:szCs w:val="18"/>
              </w:rPr>
              <w:t xml:space="preserve"> including prolonged drought or heatwaves.</w:t>
            </w:r>
            <w:r w:rsidR="00F966FF">
              <w:rPr>
                <w:szCs w:val="18"/>
              </w:rPr>
              <w:t xml:space="preserve"> </w:t>
            </w:r>
          </w:p>
          <w:p w14:paraId="17457583" w14:textId="77777777" w:rsidR="008E4F54" w:rsidRPr="00E3756C" w:rsidRDefault="008E4F54" w:rsidP="00F966FF">
            <w:pPr>
              <w:pStyle w:val="TableText"/>
              <w:spacing w:before="40" w:after="40"/>
              <w:rPr>
                <w:szCs w:val="18"/>
              </w:rPr>
            </w:pPr>
            <w:r w:rsidRPr="00E3756C">
              <w:rPr>
                <w:szCs w:val="18"/>
              </w:rPr>
              <w:t>Full access to essential consumer products (apart from expected major events).</w:t>
            </w:r>
          </w:p>
          <w:p w14:paraId="5EB9D95C" w14:textId="77777777" w:rsidR="008E4F54" w:rsidRPr="00E3756C" w:rsidRDefault="008E4F54" w:rsidP="00F966FF">
            <w:pPr>
              <w:pStyle w:val="TableText"/>
              <w:spacing w:before="40" w:after="40"/>
              <w:rPr>
                <w:color w:val="000000" w:themeColor="text1"/>
                <w:szCs w:val="18"/>
              </w:rPr>
            </w:pPr>
            <w:r w:rsidRPr="00E3756C">
              <w:rPr>
                <w:color w:val="000000" w:themeColor="text1"/>
                <w:szCs w:val="18"/>
              </w:rPr>
              <w:t xml:space="preserve">Individuals generally feel attached to their communities and </w:t>
            </w:r>
            <w:r w:rsidR="00F801EA" w:rsidRPr="00E3756C">
              <w:rPr>
                <w:color w:val="000000" w:themeColor="text1"/>
                <w:szCs w:val="18"/>
              </w:rPr>
              <w:t>trust and cooperation is</w:t>
            </w:r>
            <w:r w:rsidRPr="00E3756C">
              <w:rPr>
                <w:color w:val="000000" w:themeColor="text1"/>
                <w:szCs w:val="18"/>
              </w:rPr>
              <w:t xml:space="preserve"> high.</w:t>
            </w:r>
          </w:p>
          <w:p w14:paraId="1AD49629" w14:textId="77777777" w:rsidR="008E4F54" w:rsidRPr="00E3756C" w:rsidRDefault="008E4F54" w:rsidP="00F966FF">
            <w:pPr>
              <w:pStyle w:val="TableText"/>
              <w:spacing w:before="40" w:after="40"/>
              <w:rPr>
                <w:rFonts w:cs="Arial"/>
                <w:szCs w:val="18"/>
              </w:rPr>
            </w:pPr>
            <w:r w:rsidRPr="00E3756C">
              <w:rPr>
                <w:rFonts w:cs="Arial"/>
                <w:szCs w:val="18"/>
              </w:rPr>
              <w:t>Most people satisfied or very</w:t>
            </w:r>
            <w:r w:rsidR="00F966FF">
              <w:rPr>
                <w:rFonts w:cs="Arial"/>
                <w:szCs w:val="18"/>
              </w:rPr>
              <w:t> </w:t>
            </w:r>
            <w:r w:rsidRPr="00E3756C">
              <w:rPr>
                <w:rFonts w:cs="Arial"/>
                <w:szCs w:val="18"/>
              </w:rPr>
              <w:t>satisfied with life in New</w:t>
            </w:r>
            <w:r w:rsidR="00F966FF">
              <w:rPr>
                <w:rFonts w:cs="Arial"/>
                <w:szCs w:val="18"/>
              </w:rPr>
              <w:t> </w:t>
            </w:r>
            <w:r w:rsidRPr="00E3756C">
              <w:rPr>
                <w:rFonts w:cs="Arial"/>
                <w:szCs w:val="18"/>
              </w:rPr>
              <w:t>Zealand</w:t>
            </w:r>
            <w:r w:rsidR="00EA4F50" w:rsidRPr="00E3756C">
              <w:rPr>
                <w:rFonts w:cs="Arial"/>
                <w:szCs w:val="18"/>
              </w:rPr>
              <w:t>,</w:t>
            </w:r>
            <w:r w:rsidRPr="00E3756C">
              <w:rPr>
                <w:rFonts w:cs="Arial"/>
                <w:szCs w:val="18"/>
              </w:rPr>
              <w:t xml:space="preserve"> despite the </w:t>
            </w:r>
            <w:r w:rsidRPr="00E3756C">
              <w:rPr>
                <w:rFonts w:cs="Arial"/>
                <w:szCs w:val="18"/>
              </w:rPr>
              <w:lastRenderedPageBreak/>
              <w:t>climate-related changes</w:t>
            </w:r>
            <w:r w:rsidR="00EA4F50" w:rsidRPr="00E3756C">
              <w:rPr>
                <w:rFonts w:cs="Arial"/>
                <w:szCs w:val="18"/>
              </w:rPr>
              <w:t>,</w:t>
            </w:r>
            <w:r w:rsidRPr="00E3756C">
              <w:rPr>
                <w:rFonts w:cs="Arial"/>
                <w:szCs w:val="18"/>
              </w:rPr>
              <w:t xml:space="preserve"> and can see the opportunities.</w:t>
            </w:r>
          </w:p>
          <w:p w14:paraId="68916069" w14:textId="5E17770F" w:rsidR="008E4F54" w:rsidRPr="00E3756C" w:rsidRDefault="008E4F54" w:rsidP="00643B2E">
            <w:pPr>
              <w:pStyle w:val="TableText"/>
              <w:spacing w:before="50" w:after="50"/>
              <w:rPr>
                <w:rFonts w:cs="Arial"/>
                <w:szCs w:val="18"/>
              </w:rPr>
            </w:pPr>
            <w:r w:rsidRPr="00E3756C">
              <w:rPr>
                <w:rFonts w:cs="Arial"/>
                <w:szCs w:val="18"/>
              </w:rPr>
              <w:t xml:space="preserve">The </w:t>
            </w:r>
            <w:r w:rsidR="000A17DE">
              <w:rPr>
                <w:rFonts w:cs="Arial"/>
                <w:szCs w:val="18"/>
              </w:rPr>
              <w:t>wellbeing</w:t>
            </w:r>
            <w:r w:rsidRPr="00E3756C">
              <w:rPr>
                <w:rFonts w:cs="Arial"/>
                <w:szCs w:val="18"/>
              </w:rPr>
              <w:t xml:space="preserve"> of whānau is minimally </w:t>
            </w:r>
            <w:r w:rsidR="00E3756C" w:rsidRPr="00E3756C">
              <w:rPr>
                <w:rFonts w:cs="Arial"/>
                <w:szCs w:val="18"/>
              </w:rPr>
              <w:t>affected. The</w:t>
            </w:r>
            <w:r w:rsidRPr="00E3756C">
              <w:rPr>
                <w:rFonts w:cs="Arial"/>
                <w:szCs w:val="18"/>
              </w:rPr>
              <w:t xml:space="preserve"> overall </w:t>
            </w:r>
            <w:r w:rsidR="000A17DE">
              <w:rPr>
                <w:rFonts w:cs="Arial"/>
                <w:szCs w:val="18"/>
              </w:rPr>
              <w:t>wellbeing</w:t>
            </w:r>
            <w:r w:rsidRPr="00E3756C">
              <w:rPr>
                <w:rFonts w:cs="Arial"/>
                <w:szCs w:val="18"/>
              </w:rPr>
              <w:t xml:space="preserve"> of rural or urban communities is minimally affected (including support industries and primary production).</w:t>
            </w:r>
          </w:p>
          <w:p w14:paraId="2C2C7ADB" w14:textId="77777777" w:rsidR="008E4F54" w:rsidRPr="00E3756C" w:rsidRDefault="008E4F54" w:rsidP="00643B2E">
            <w:pPr>
              <w:pStyle w:val="TableText"/>
              <w:spacing w:before="50" w:after="50"/>
              <w:rPr>
                <w:rFonts w:cs="Arial"/>
                <w:szCs w:val="18"/>
              </w:rPr>
            </w:pPr>
            <w:r w:rsidRPr="00E3756C">
              <w:rPr>
                <w:rFonts w:cs="Arial"/>
                <w:szCs w:val="18"/>
              </w:rPr>
              <w:t xml:space="preserve">Climate-related changes are well inside the </w:t>
            </w:r>
            <w:r w:rsidR="00EA4F50" w:rsidRPr="00E3756C">
              <w:rPr>
                <w:rFonts w:cs="Arial"/>
                <w:szCs w:val="18"/>
              </w:rPr>
              <w:t>‘</w:t>
            </w:r>
            <w:r w:rsidRPr="00E3756C">
              <w:rPr>
                <w:rFonts w:cs="Arial"/>
                <w:szCs w:val="18"/>
              </w:rPr>
              <w:t>coping range</w:t>
            </w:r>
            <w:r w:rsidR="00EA4F50" w:rsidRPr="00E3756C">
              <w:rPr>
                <w:rFonts w:cs="Arial"/>
                <w:szCs w:val="18"/>
              </w:rPr>
              <w:t>’.</w:t>
            </w:r>
          </w:p>
        </w:tc>
        <w:tc>
          <w:tcPr>
            <w:tcW w:w="2527" w:type="dxa"/>
            <w:tcBorders>
              <w:top w:val="nil"/>
              <w:bottom w:val="nil"/>
            </w:tcBorders>
          </w:tcPr>
          <w:p w14:paraId="4171EDD0" w14:textId="77777777" w:rsidR="008E4F54" w:rsidRPr="00E3756C" w:rsidRDefault="008E4F54" w:rsidP="00643B2E">
            <w:pPr>
              <w:pStyle w:val="TableText"/>
              <w:spacing w:before="50" w:after="50"/>
              <w:rPr>
                <w:rFonts w:cs="Arial"/>
                <w:szCs w:val="18"/>
              </w:rPr>
            </w:pPr>
            <w:r w:rsidRPr="00E3756C">
              <w:rPr>
                <w:rFonts w:cs="Arial"/>
                <w:szCs w:val="18"/>
              </w:rPr>
              <w:lastRenderedPageBreak/>
              <w:t xml:space="preserve">Growing number of people affected by more frequent weather-related events and sea-level rise in different pockets around </w:t>
            </w:r>
            <w:r w:rsidR="00F801EA" w:rsidRPr="00E3756C">
              <w:rPr>
                <w:rFonts w:cs="Arial"/>
                <w:szCs w:val="18"/>
              </w:rPr>
              <w:t xml:space="preserve">Aotearoa New </w:t>
            </w:r>
            <w:r w:rsidRPr="00E3756C">
              <w:rPr>
                <w:rFonts w:cs="Arial"/>
                <w:szCs w:val="18"/>
              </w:rPr>
              <w:t>Z</w:t>
            </w:r>
            <w:r w:rsidR="00F801EA" w:rsidRPr="00E3756C">
              <w:rPr>
                <w:rFonts w:cs="Arial"/>
                <w:szCs w:val="18"/>
              </w:rPr>
              <w:t>ealand</w:t>
            </w:r>
            <w:r w:rsidRPr="00E3756C">
              <w:rPr>
                <w:rFonts w:cs="Arial"/>
                <w:szCs w:val="18"/>
              </w:rPr>
              <w:t xml:space="preserve">, but the slight increase in injuries and illness (and even a few climate-related fatalities) can still be managed through existing health and emergency management plans. </w:t>
            </w:r>
          </w:p>
          <w:p w14:paraId="4ABD1EA0" w14:textId="30ECF4AD" w:rsidR="008E4F54" w:rsidRPr="00E3756C" w:rsidRDefault="00F801EA" w:rsidP="00643B2E">
            <w:pPr>
              <w:pStyle w:val="TableText"/>
              <w:spacing w:before="50" w:after="50"/>
              <w:rPr>
                <w:rFonts w:cs="Arial"/>
                <w:szCs w:val="18"/>
              </w:rPr>
            </w:pPr>
            <w:r w:rsidRPr="00E3756C">
              <w:rPr>
                <w:rFonts w:cs="Arial"/>
                <w:szCs w:val="18"/>
              </w:rPr>
              <w:t xml:space="preserve">Less than </w:t>
            </w:r>
            <w:r w:rsidR="008E4F54" w:rsidRPr="00E3756C">
              <w:rPr>
                <w:rFonts w:cs="Arial"/>
                <w:szCs w:val="18"/>
              </w:rPr>
              <w:t>100 additional displaced households during more frequent</w:t>
            </w:r>
            <w:r w:rsidR="00D2002A">
              <w:rPr>
                <w:rFonts w:cs="Arial"/>
                <w:szCs w:val="18"/>
              </w:rPr>
              <w:t>,</w:t>
            </w:r>
            <w:r w:rsidR="008E4F54" w:rsidRPr="00E3756C">
              <w:rPr>
                <w:rFonts w:cs="Arial"/>
                <w:szCs w:val="18"/>
              </w:rPr>
              <w:t xml:space="preserve"> weather-related events, with local</w:t>
            </w:r>
            <w:r w:rsidRPr="00E3756C">
              <w:rPr>
                <w:rFonts w:cs="Arial"/>
                <w:szCs w:val="18"/>
              </w:rPr>
              <w:t xml:space="preserve"> or </w:t>
            </w:r>
            <w:r w:rsidR="008E4F54" w:rsidRPr="00E3756C">
              <w:rPr>
                <w:rFonts w:cs="Arial"/>
                <w:szCs w:val="18"/>
              </w:rPr>
              <w:t>regional housing agencies managing within existing resources.</w:t>
            </w:r>
          </w:p>
          <w:p w14:paraId="544CC6B3" w14:textId="77777777" w:rsidR="008E4F54" w:rsidRPr="00E3756C" w:rsidRDefault="008E4F54" w:rsidP="00643B2E">
            <w:pPr>
              <w:pStyle w:val="TableText"/>
              <w:spacing w:before="50" w:after="50"/>
              <w:rPr>
                <w:rFonts w:cs="Arial"/>
                <w:szCs w:val="18"/>
              </w:rPr>
            </w:pPr>
            <w:r w:rsidRPr="00E3756C">
              <w:rPr>
                <w:rFonts w:cs="Arial"/>
                <w:szCs w:val="18"/>
              </w:rPr>
              <w:t>Despite increasing number of events</w:t>
            </w:r>
            <w:r w:rsidR="00F801EA" w:rsidRPr="00E3756C">
              <w:rPr>
                <w:rFonts w:cs="Arial"/>
                <w:szCs w:val="18"/>
              </w:rPr>
              <w:t>,</w:t>
            </w:r>
            <w:r w:rsidRPr="00E3756C">
              <w:rPr>
                <w:rFonts w:cs="Arial"/>
                <w:szCs w:val="18"/>
              </w:rPr>
              <w:t xml:space="preserve"> including persistent drought</w:t>
            </w:r>
            <w:r w:rsidR="00F801EA" w:rsidRPr="00E3756C">
              <w:rPr>
                <w:rFonts w:cs="Arial"/>
                <w:szCs w:val="18"/>
              </w:rPr>
              <w:t xml:space="preserve"> and </w:t>
            </w:r>
            <w:r w:rsidRPr="00E3756C">
              <w:rPr>
                <w:rFonts w:cs="Arial"/>
                <w:szCs w:val="18"/>
              </w:rPr>
              <w:t xml:space="preserve">heatwaves, welfare services can still be </w:t>
            </w:r>
            <w:r w:rsidRPr="00E3756C">
              <w:rPr>
                <w:rFonts w:cs="Arial"/>
                <w:szCs w:val="18"/>
              </w:rPr>
              <w:lastRenderedPageBreak/>
              <w:t>managed through existing local</w:t>
            </w:r>
            <w:r w:rsidR="00EA4F50" w:rsidRPr="00E3756C">
              <w:rPr>
                <w:rFonts w:cs="Arial"/>
                <w:szCs w:val="18"/>
              </w:rPr>
              <w:t xml:space="preserve"> or </w:t>
            </w:r>
            <w:r w:rsidRPr="00E3756C">
              <w:rPr>
                <w:rFonts w:cs="Arial"/>
                <w:szCs w:val="18"/>
              </w:rPr>
              <w:t>regional services.</w:t>
            </w:r>
          </w:p>
          <w:p w14:paraId="206FB46B" w14:textId="77777777" w:rsidR="008E4F54" w:rsidRPr="00E3756C" w:rsidRDefault="008E4F54" w:rsidP="00643B2E">
            <w:pPr>
              <w:pStyle w:val="TableText"/>
              <w:spacing w:before="50" w:after="50"/>
              <w:rPr>
                <w:rFonts w:cs="Arial"/>
                <w:szCs w:val="18"/>
              </w:rPr>
            </w:pPr>
            <w:r w:rsidRPr="00E3756C">
              <w:rPr>
                <w:rFonts w:cs="Arial"/>
                <w:szCs w:val="18"/>
              </w:rPr>
              <w:t>Isolated and short-term disruption to education, employment and community services.</w:t>
            </w:r>
          </w:p>
          <w:p w14:paraId="78693C38" w14:textId="77777777" w:rsidR="008E4F54" w:rsidRPr="00E3756C" w:rsidRDefault="008E4F54" w:rsidP="00643B2E">
            <w:pPr>
              <w:pStyle w:val="TableText"/>
              <w:spacing w:before="50" w:after="50"/>
              <w:rPr>
                <w:rFonts w:cs="Arial"/>
                <w:szCs w:val="18"/>
              </w:rPr>
            </w:pPr>
            <w:r w:rsidRPr="00E3756C">
              <w:rPr>
                <w:rFonts w:cs="Arial"/>
                <w:szCs w:val="18"/>
              </w:rPr>
              <w:t>Minor increase in short-term disruption to accessing essential consumer products.</w:t>
            </w:r>
          </w:p>
          <w:p w14:paraId="783817E4" w14:textId="2122DEBD" w:rsidR="008E4F54" w:rsidRPr="00E3756C" w:rsidRDefault="008E4F54" w:rsidP="00643B2E">
            <w:pPr>
              <w:pStyle w:val="TableText"/>
              <w:spacing w:before="50" w:after="50"/>
              <w:rPr>
                <w:rFonts w:cs="Arial"/>
                <w:szCs w:val="18"/>
              </w:rPr>
            </w:pPr>
            <w:r w:rsidRPr="00E3756C">
              <w:rPr>
                <w:rFonts w:cs="Arial"/>
                <w:szCs w:val="18"/>
              </w:rPr>
              <w:t xml:space="preserve">The </w:t>
            </w:r>
            <w:r w:rsidR="000A17DE">
              <w:rPr>
                <w:rFonts w:cs="Arial"/>
                <w:szCs w:val="18"/>
              </w:rPr>
              <w:t>wellbeing</w:t>
            </w:r>
            <w:r w:rsidRPr="00E3756C">
              <w:rPr>
                <w:rFonts w:cs="Arial"/>
                <w:szCs w:val="18"/>
              </w:rPr>
              <w:t xml:space="preserve"> of whānau within some communities increasingly becomes negatively </w:t>
            </w:r>
            <w:r w:rsidR="00EA4F50" w:rsidRPr="00E3756C">
              <w:rPr>
                <w:rFonts w:cs="Arial"/>
                <w:szCs w:val="18"/>
              </w:rPr>
              <w:t>affected</w:t>
            </w:r>
            <w:r w:rsidRPr="00E3756C">
              <w:rPr>
                <w:rFonts w:cs="Arial"/>
                <w:szCs w:val="18"/>
              </w:rPr>
              <w:t>.</w:t>
            </w:r>
          </w:p>
          <w:p w14:paraId="1AF9873B" w14:textId="59FF4F89" w:rsidR="008E4F54" w:rsidRPr="00E3756C" w:rsidRDefault="008E4F54" w:rsidP="00643B2E">
            <w:pPr>
              <w:pStyle w:val="TableText"/>
              <w:spacing w:before="50" w:after="50"/>
              <w:rPr>
                <w:rFonts w:cs="Arial"/>
                <w:szCs w:val="18"/>
              </w:rPr>
            </w:pPr>
            <w:r w:rsidRPr="00E3756C">
              <w:rPr>
                <w:rFonts w:cs="Arial"/>
                <w:szCs w:val="18"/>
              </w:rPr>
              <w:t xml:space="preserve">The overall </w:t>
            </w:r>
            <w:r w:rsidR="000A17DE">
              <w:rPr>
                <w:rFonts w:cs="Arial"/>
                <w:szCs w:val="18"/>
              </w:rPr>
              <w:t>wellbeing</w:t>
            </w:r>
            <w:r w:rsidRPr="00E3756C">
              <w:rPr>
                <w:rFonts w:cs="Arial"/>
                <w:szCs w:val="18"/>
              </w:rPr>
              <w:t xml:space="preserve"> of rural or urban communities is somewhat affected and more often (including support industries and primary production).</w:t>
            </w:r>
          </w:p>
          <w:p w14:paraId="71C5B095" w14:textId="77777777" w:rsidR="008E4F54" w:rsidRPr="00E3756C" w:rsidRDefault="008E4F54" w:rsidP="00643B2E">
            <w:pPr>
              <w:pStyle w:val="TableText"/>
              <w:spacing w:before="50" w:after="50"/>
              <w:rPr>
                <w:rFonts w:cs="Arial"/>
                <w:szCs w:val="18"/>
              </w:rPr>
            </w:pPr>
            <w:r w:rsidRPr="00E3756C">
              <w:rPr>
                <w:rFonts w:cs="Arial"/>
                <w:szCs w:val="18"/>
              </w:rPr>
              <w:t xml:space="preserve">Climate-related changes remain inside the </w:t>
            </w:r>
            <w:r w:rsidR="00EA4F50" w:rsidRPr="00E3756C">
              <w:rPr>
                <w:rFonts w:cs="Arial"/>
                <w:szCs w:val="18"/>
              </w:rPr>
              <w:t>‘</w:t>
            </w:r>
            <w:r w:rsidRPr="00E3756C">
              <w:rPr>
                <w:rFonts w:cs="Arial"/>
                <w:szCs w:val="18"/>
              </w:rPr>
              <w:t>coping range</w:t>
            </w:r>
            <w:r w:rsidR="00EA4F50" w:rsidRPr="00E3756C">
              <w:rPr>
                <w:rFonts w:cs="Arial"/>
                <w:szCs w:val="18"/>
              </w:rPr>
              <w:t>’,</w:t>
            </w:r>
            <w:r w:rsidRPr="00E3756C">
              <w:rPr>
                <w:rFonts w:cs="Arial"/>
                <w:szCs w:val="18"/>
              </w:rPr>
              <w:t xml:space="preserve"> but can be stretched during more frequent </w:t>
            </w:r>
            <w:r w:rsidR="00EA4F50" w:rsidRPr="00E3756C">
              <w:rPr>
                <w:rFonts w:cs="Arial"/>
                <w:szCs w:val="18"/>
              </w:rPr>
              <w:t>‘</w:t>
            </w:r>
            <w:r w:rsidRPr="00E3756C">
              <w:rPr>
                <w:rFonts w:cs="Arial"/>
                <w:szCs w:val="18"/>
              </w:rPr>
              <w:t>nuisance</w:t>
            </w:r>
            <w:r w:rsidR="00EA4F50" w:rsidRPr="00E3756C">
              <w:rPr>
                <w:rFonts w:cs="Arial"/>
                <w:szCs w:val="18"/>
              </w:rPr>
              <w:t>’</w:t>
            </w:r>
            <w:r w:rsidRPr="00E3756C">
              <w:rPr>
                <w:rFonts w:cs="Arial"/>
                <w:szCs w:val="18"/>
              </w:rPr>
              <w:t xml:space="preserve"> weather </w:t>
            </w:r>
            <w:r w:rsidRPr="00E3756C">
              <w:rPr>
                <w:rFonts w:cs="Arial"/>
                <w:szCs w:val="18"/>
              </w:rPr>
              <w:lastRenderedPageBreak/>
              <w:t>events from flooding, especially in coastal areas.</w:t>
            </w:r>
          </w:p>
          <w:p w14:paraId="48142F47" w14:textId="77777777" w:rsidR="008E4F54" w:rsidRPr="00E3756C" w:rsidRDefault="008E4F54" w:rsidP="00643B2E">
            <w:pPr>
              <w:pStyle w:val="TableText"/>
              <w:spacing w:before="50" w:after="50"/>
              <w:rPr>
                <w:rFonts w:cs="Arial"/>
                <w:szCs w:val="18"/>
              </w:rPr>
            </w:pPr>
            <w:r w:rsidRPr="00E3756C">
              <w:rPr>
                <w:rFonts w:cs="Arial"/>
                <w:szCs w:val="18"/>
              </w:rPr>
              <w:t>Access to climate-related insurance and mortgages declines in some local pockets.</w:t>
            </w:r>
          </w:p>
        </w:tc>
        <w:tc>
          <w:tcPr>
            <w:tcW w:w="2551" w:type="dxa"/>
            <w:tcBorders>
              <w:top w:val="nil"/>
              <w:bottom w:val="nil"/>
            </w:tcBorders>
          </w:tcPr>
          <w:p w14:paraId="4966870A" w14:textId="4029F413" w:rsidR="008E4F54" w:rsidRPr="00E3756C" w:rsidRDefault="008E4F54" w:rsidP="00643B2E">
            <w:pPr>
              <w:pStyle w:val="TableText"/>
              <w:spacing w:before="50" w:after="40"/>
              <w:rPr>
                <w:color w:val="000000" w:themeColor="text1"/>
              </w:rPr>
            </w:pPr>
            <w:r w:rsidRPr="00E3756C">
              <w:rPr>
                <w:color w:val="000000" w:themeColor="text1"/>
              </w:rPr>
              <w:lastRenderedPageBreak/>
              <w:t xml:space="preserve">Significant </w:t>
            </w:r>
            <w:r w:rsidRPr="00E3756C">
              <w:t>number of people (</w:t>
            </w:r>
            <w:r w:rsidR="00EA4F50" w:rsidRPr="00E3756C">
              <w:t>hundreds</w:t>
            </w:r>
            <w:r w:rsidRPr="00E3756C">
              <w:t xml:space="preserve">) and communities affected by more frequent weather-related events and sea-level rise around </w:t>
            </w:r>
            <w:r w:rsidR="00EA4F50" w:rsidRPr="00E3756C">
              <w:t xml:space="preserve">Aotearoa New </w:t>
            </w:r>
            <w:r w:rsidRPr="00E3756C">
              <w:t>Z</w:t>
            </w:r>
            <w:r w:rsidR="00EA4F50" w:rsidRPr="00E3756C">
              <w:t>ealand</w:t>
            </w:r>
            <w:r w:rsidRPr="00E3756C">
              <w:t>, with noticeable increase</w:t>
            </w:r>
            <w:r w:rsidR="00D2002A">
              <w:t>s</w:t>
            </w:r>
            <w:r w:rsidRPr="00E3756C">
              <w:t xml:space="preserve"> in injuries, casualties (</w:t>
            </w:r>
            <w:r w:rsidR="00EA4F50" w:rsidRPr="00E3756C">
              <w:t xml:space="preserve">tens of </w:t>
            </w:r>
            <w:r w:rsidRPr="00E3756C">
              <w:t xml:space="preserve">more people than expected over time), illness and heat stress, which may challenge existing health and emergency management responses. May </w:t>
            </w:r>
            <w:r w:rsidRPr="00E3756C">
              <w:rPr>
                <w:color w:val="000000" w:themeColor="text1"/>
              </w:rPr>
              <w:t>require additional support from outside the region and national agencies.</w:t>
            </w:r>
          </w:p>
          <w:p w14:paraId="7D577913" w14:textId="77777777" w:rsidR="008E4F54" w:rsidRPr="00E3756C" w:rsidRDefault="008E4F54" w:rsidP="00643B2E">
            <w:pPr>
              <w:pStyle w:val="TableText"/>
              <w:spacing w:before="50" w:after="50"/>
              <w:rPr>
                <w:color w:val="000000" w:themeColor="text1"/>
              </w:rPr>
            </w:pPr>
            <w:r w:rsidRPr="00E3756C">
              <w:rPr>
                <w:color w:val="000000" w:themeColor="text1"/>
              </w:rPr>
              <w:t xml:space="preserve">Significant number of people affected (and more frequently) with </w:t>
            </w:r>
            <w:r w:rsidR="00D211DD" w:rsidRPr="00E3756C">
              <w:rPr>
                <w:color w:val="000000" w:themeColor="text1"/>
              </w:rPr>
              <w:t xml:space="preserve">hundreds </w:t>
            </w:r>
            <w:r w:rsidRPr="00E3756C">
              <w:rPr>
                <w:color w:val="000000" w:themeColor="text1"/>
              </w:rPr>
              <w:t xml:space="preserve">more displaced households during events exacerbated by climate change. </w:t>
            </w:r>
          </w:p>
          <w:p w14:paraId="1FCCC411" w14:textId="77777777" w:rsidR="008E4F54" w:rsidRPr="00E3756C" w:rsidRDefault="008E4F54" w:rsidP="00643B2E">
            <w:pPr>
              <w:pStyle w:val="TableText"/>
              <w:spacing w:before="50" w:after="50"/>
              <w:rPr>
                <w:color w:val="000000" w:themeColor="text1"/>
              </w:rPr>
            </w:pPr>
            <w:r w:rsidRPr="00E3756C">
              <w:rPr>
                <w:color w:val="000000" w:themeColor="text1"/>
              </w:rPr>
              <w:lastRenderedPageBreak/>
              <w:t>Welfare services in response to hazard events and stressors (eg</w:t>
            </w:r>
            <w:r w:rsidR="00D211DD" w:rsidRPr="00E3756C">
              <w:rPr>
                <w:color w:val="000000" w:themeColor="text1"/>
              </w:rPr>
              <w:t>,</w:t>
            </w:r>
            <w:r w:rsidRPr="00E3756C">
              <w:rPr>
                <w:color w:val="000000" w:themeColor="text1"/>
              </w:rPr>
              <w:t xml:space="preserve"> drought, heatwaves) require more substantial regional and occasional national coordination than previously</w:t>
            </w:r>
            <w:r w:rsidR="00D211DD" w:rsidRPr="00E3756C">
              <w:rPr>
                <w:color w:val="000000" w:themeColor="text1"/>
              </w:rPr>
              <w:t>.</w:t>
            </w:r>
            <w:r w:rsidRPr="00E3756C">
              <w:rPr>
                <w:color w:val="000000" w:themeColor="text1"/>
              </w:rPr>
              <w:t xml:space="preserve"> </w:t>
            </w:r>
          </w:p>
          <w:p w14:paraId="0D8A84E3" w14:textId="77777777" w:rsidR="008E4F54" w:rsidRPr="00E3756C" w:rsidRDefault="008E4F54" w:rsidP="00643B2E">
            <w:pPr>
              <w:pStyle w:val="TableText"/>
              <w:spacing w:before="50" w:after="50"/>
              <w:rPr>
                <w:color w:val="000000" w:themeColor="text1"/>
              </w:rPr>
            </w:pPr>
            <w:r w:rsidRPr="00E3756C">
              <w:rPr>
                <w:color w:val="000000" w:themeColor="text1"/>
              </w:rPr>
              <w:t>Multiple short- to-medium term disruption to education, business and community services.</w:t>
            </w:r>
          </w:p>
          <w:p w14:paraId="1618C199" w14:textId="77777777" w:rsidR="008E4F54" w:rsidRPr="00E3756C" w:rsidRDefault="008E4F54" w:rsidP="00643B2E">
            <w:pPr>
              <w:pStyle w:val="TableText"/>
              <w:spacing w:before="50" w:after="50"/>
              <w:rPr>
                <w:color w:val="000000" w:themeColor="text1"/>
              </w:rPr>
            </w:pPr>
            <w:r w:rsidRPr="00E3756C">
              <w:rPr>
                <w:color w:val="000000" w:themeColor="text1"/>
              </w:rPr>
              <w:t>Pockets of individuals are distrustful or disengaged.</w:t>
            </w:r>
          </w:p>
          <w:p w14:paraId="4EC7C8D9" w14:textId="77777777" w:rsidR="008E4F54" w:rsidRPr="00E3756C" w:rsidRDefault="008E4F54" w:rsidP="00643B2E">
            <w:pPr>
              <w:pStyle w:val="TableText"/>
              <w:spacing w:before="50" w:after="50"/>
              <w:rPr>
                <w:color w:val="000000" w:themeColor="text1"/>
              </w:rPr>
            </w:pPr>
            <w:r w:rsidRPr="00E3756C">
              <w:rPr>
                <w:color w:val="000000" w:themeColor="text1"/>
              </w:rPr>
              <w:t xml:space="preserve">Multiple short-term disruptions to access </w:t>
            </w:r>
            <w:r w:rsidR="00A9569A">
              <w:rPr>
                <w:color w:val="000000" w:themeColor="text1"/>
              </w:rPr>
              <w:t xml:space="preserve">to </w:t>
            </w:r>
            <w:r w:rsidRPr="00E3756C">
              <w:rPr>
                <w:color w:val="000000" w:themeColor="text1"/>
              </w:rPr>
              <w:t xml:space="preserve">essential consumer products. </w:t>
            </w:r>
          </w:p>
          <w:p w14:paraId="6171047F" w14:textId="7E5CB113" w:rsidR="008E4F54" w:rsidRPr="00E3756C" w:rsidRDefault="008E4F54" w:rsidP="00643B2E">
            <w:pPr>
              <w:pStyle w:val="TableText"/>
              <w:spacing w:before="50" w:after="50"/>
            </w:pPr>
            <w:r w:rsidRPr="00E3756C">
              <w:t xml:space="preserve">The </w:t>
            </w:r>
            <w:r w:rsidR="000A17DE">
              <w:t>wellbeing</w:t>
            </w:r>
            <w:r w:rsidRPr="00E3756C">
              <w:t xml:space="preserve"> of hapū and iwi within some regions or across some sub-national climate zones is significantly</w:t>
            </w:r>
            <w:r w:rsidR="00484C8A" w:rsidRPr="00E3756C">
              <w:t xml:space="preserve"> </w:t>
            </w:r>
            <w:r w:rsidR="00D211DD" w:rsidRPr="00E3756C">
              <w:t>affected</w:t>
            </w:r>
            <w:r w:rsidRPr="00E3756C">
              <w:t>.</w:t>
            </w:r>
          </w:p>
          <w:p w14:paraId="47C669E8" w14:textId="1F14CE9A" w:rsidR="008E4F54" w:rsidRPr="00E3756C" w:rsidRDefault="008E4F54" w:rsidP="00643B2E">
            <w:pPr>
              <w:pStyle w:val="TableText"/>
              <w:spacing w:before="50" w:after="50"/>
            </w:pPr>
            <w:r w:rsidRPr="00E3756C">
              <w:t xml:space="preserve">The overall </w:t>
            </w:r>
            <w:r w:rsidR="000A17DE">
              <w:t>wellbeing</w:t>
            </w:r>
            <w:r w:rsidRPr="00E3756C">
              <w:t xml:space="preserve"> of rural or urban communities is </w:t>
            </w:r>
            <w:r w:rsidRPr="00E3756C">
              <w:lastRenderedPageBreak/>
              <w:t xml:space="preserve">significantly affected across some sub-national climate zones and more often (including support industries, lifelines </w:t>
            </w:r>
            <w:r w:rsidR="00D211DD" w:rsidRPr="00E3756C">
              <w:t>and</w:t>
            </w:r>
            <w:r w:rsidRPr="00E3756C">
              <w:t xml:space="preserve"> utility services and primary production) – with some communities permanently </w:t>
            </w:r>
            <w:r w:rsidR="00D211DD" w:rsidRPr="00E3756C">
              <w:t xml:space="preserve">affected </w:t>
            </w:r>
            <w:r w:rsidRPr="00E3756C">
              <w:t>from changes in primary production, tourism or rising sea level</w:t>
            </w:r>
            <w:r w:rsidR="00D2002A">
              <w:t>s</w:t>
            </w:r>
            <w:r w:rsidRPr="00E3756C">
              <w:t>.</w:t>
            </w:r>
          </w:p>
          <w:p w14:paraId="21D9C718" w14:textId="77777777" w:rsidR="008E4F54" w:rsidRPr="00E3756C" w:rsidRDefault="008E4F54" w:rsidP="00643B2E">
            <w:pPr>
              <w:pStyle w:val="TableText"/>
              <w:spacing w:before="50" w:after="50"/>
            </w:pPr>
            <w:r w:rsidRPr="00E3756C">
              <w:t xml:space="preserve">Climate-related changes begin to challenge the </w:t>
            </w:r>
            <w:r w:rsidR="00D211DD" w:rsidRPr="00E3756C">
              <w:t>‘</w:t>
            </w:r>
            <w:r w:rsidRPr="00E3756C">
              <w:t>coping range</w:t>
            </w:r>
            <w:r w:rsidR="00D211DD" w:rsidRPr="00E3756C">
              <w:t>’,</w:t>
            </w:r>
            <w:r w:rsidRPr="00E3756C">
              <w:t xml:space="preserve"> and more frequent </w:t>
            </w:r>
            <w:r w:rsidR="00D211DD" w:rsidRPr="00E3756C">
              <w:t>‘</w:t>
            </w:r>
            <w:r w:rsidRPr="00E3756C">
              <w:t>nuisance</w:t>
            </w:r>
            <w:r w:rsidR="00D211DD" w:rsidRPr="00E3756C">
              <w:t>’</w:t>
            </w:r>
            <w:r w:rsidRPr="00E3756C">
              <w:t xml:space="preserve"> weather events (flooding</w:t>
            </w:r>
            <w:r w:rsidR="00D211DD" w:rsidRPr="00E3756C">
              <w:t>,</w:t>
            </w:r>
            <w:r w:rsidRPr="00E3756C">
              <w:t xml:space="preserve"> especially in coastal areas) will</w:t>
            </w:r>
            <w:r w:rsidR="00D211DD" w:rsidRPr="00E3756C">
              <w:t>,</w:t>
            </w:r>
            <w:r w:rsidRPr="00E3756C">
              <w:t xml:space="preserve"> for some communities</w:t>
            </w:r>
            <w:r w:rsidR="00D211DD" w:rsidRPr="00E3756C">
              <w:t xml:space="preserve"> and </w:t>
            </w:r>
            <w:r w:rsidRPr="00E3756C">
              <w:t>areas</w:t>
            </w:r>
            <w:r w:rsidR="00D211DD" w:rsidRPr="00E3756C">
              <w:t>,</w:t>
            </w:r>
            <w:r w:rsidRPr="00E3756C">
              <w:t xml:space="preserve"> exceed </w:t>
            </w:r>
            <w:r w:rsidR="00D211DD" w:rsidRPr="00E3756C">
              <w:t>‘</w:t>
            </w:r>
            <w:r w:rsidRPr="00E3756C">
              <w:t>coping capacity</w:t>
            </w:r>
            <w:r w:rsidR="00D211DD" w:rsidRPr="00E3756C">
              <w:t>’</w:t>
            </w:r>
            <w:r w:rsidRPr="00E3756C">
              <w:t>.</w:t>
            </w:r>
          </w:p>
          <w:p w14:paraId="3AB7A714" w14:textId="77777777" w:rsidR="008E4F54" w:rsidRPr="00E3756C" w:rsidRDefault="008E4F54" w:rsidP="00643B2E">
            <w:pPr>
              <w:pStyle w:val="TableText"/>
              <w:spacing w:before="50" w:after="50"/>
            </w:pPr>
            <w:r w:rsidRPr="00E3756C">
              <w:t>Access to climate-related insurance and mortgages declines in some localities</w:t>
            </w:r>
            <w:r w:rsidR="00D211DD" w:rsidRPr="00E3756C">
              <w:t>,</w:t>
            </w:r>
            <w:r w:rsidRPr="00E3756C">
              <w:t xml:space="preserve"> especially low-lying coastal areas. </w:t>
            </w:r>
          </w:p>
        </w:tc>
        <w:tc>
          <w:tcPr>
            <w:tcW w:w="2693" w:type="dxa"/>
            <w:tcBorders>
              <w:top w:val="nil"/>
              <w:bottom w:val="nil"/>
            </w:tcBorders>
          </w:tcPr>
          <w:p w14:paraId="32918F6C" w14:textId="2362ECC0" w:rsidR="008E4F54" w:rsidRPr="00E3756C" w:rsidRDefault="008E4F54" w:rsidP="00643B2E">
            <w:pPr>
              <w:pStyle w:val="TableText"/>
              <w:spacing w:before="50" w:after="40"/>
              <w:rPr>
                <w:color w:val="000000" w:themeColor="text1"/>
              </w:rPr>
            </w:pPr>
            <w:r w:rsidRPr="00E3756C">
              <w:rPr>
                <w:color w:val="000000" w:themeColor="text1"/>
              </w:rPr>
              <w:lastRenderedPageBreak/>
              <w:t xml:space="preserve">High </w:t>
            </w:r>
            <w:r w:rsidRPr="00E3756C">
              <w:t>number of people (</w:t>
            </w:r>
            <w:r w:rsidR="004D6CB4" w:rsidRPr="00E3756C">
              <w:t>thousands</w:t>
            </w:r>
            <w:r w:rsidRPr="00E3756C">
              <w:t>) and communities affected by more frequent</w:t>
            </w:r>
            <w:r w:rsidR="00D2002A">
              <w:t>,</w:t>
            </w:r>
            <w:r w:rsidRPr="00E3756C">
              <w:t xml:space="preserve"> weather-related events and sea</w:t>
            </w:r>
            <w:r w:rsidR="00643B2E" w:rsidRPr="00E3756C">
              <w:noBreakHyphen/>
            </w:r>
            <w:r w:rsidRPr="00E3756C">
              <w:t xml:space="preserve">level rise around </w:t>
            </w:r>
            <w:r w:rsidR="004D6CB4" w:rsidRPr="00E3756C">
              <w:t xml:space="preserve">Aotearoa </w:t>
            </w:r>
            <w:r w:rsidRPr="00E3756C">
              <w:t>N</w:t>
            </w:r>
            <w:r w:rsidR="004D6CB4" w:rsidRPr="00E3756C">
              <w:t xml:space="preserve">ew </w:t>
            </w:r>
            <w:r w:rsidRPr="00E3756C">
              <w:t>Z</w:t>
            </w:r>
            <w:r w:rsidR="004D6CB4" w:rsidRPr="00E3756C">
              <w:t>ealand</w:t>
            </w:r>
            <w:r w:rsidRPr="00E3756C">
              <w:t>, with large increases in injuries, casualties (</w:t>
            </w:r>
            <w:r w:rsidR="004D6CB4" w:rsidRPr="00E3756C">
              <w:t xml:space="preserve">tens </w:t>
            </w:r>
            <w:r w:rsidRPr="00E3756C">
              <w:t xml:space="preserve">to </w:t>
            </w:r>
            <w:r w:rsidR="004D6CB4" w:rsidRPr="00E3756C">
              <w:t xml:space="preserve">hundreds </w:t>
            </w:r>
            <w:r w:rsidRPr="00E3756C">
              <w:t xml:space="preserve">more people than expected over time), illness and heat stress, which strongly challenge existing health and emergency management responses. Will </w:t>
            </w:r>
            <w:r w:rsidRPr="00E3756C">
              <w:rPr>
                <w:color w:val="000000" w:themeColor="text1"/>
              </w:rPr>
              <w:t>require strong support from outside the region and national agencies.</w:t>
            </w:r>
          </w:p>
          <w:p w14:paraId="1537DDF5" w14:textId="77777777" w:rsidR="008E4F54" w:rsidRPr="00E3756C" w:rsidRDefault="008E4F54" w:rsidP="00643B2E">
            <w:pPr>
              <w:pStyle w:val="TableText"/>
              <w:spacing w:before="50" w:after="50"/>
              <w:rPr>
                <w:color w:val="000000" w:themeColor="text1"/>
              </w:rPr>
            </w:pPr>
            <w:r w:rsidRPr="00E3756C">
              <w:rPr>
                <w:color w:val="000000" w:themeColor="text1"/>
              </w:rPr>
              <w:t xml:space="preserve">Significant number of people affected (and more frequently) with </w:t>
            </w:r>
            <w:r w:rsidR="004D6CB4" w:rsidRPr="00E3756C">
              <w:rPr>
                <w:color w:val="000000" w:themeColor="text1"/>
              </w:rPr>
              <w:t xml:space="preserve">thousands </w:t>
            </w:r>
            <w:r w:rsidRPr="00E3756C">
              <w:rPr>
                <w:color w:val="000000" w:themeColor="text1"/>
              </w:rPr>
              <w:t>more displaced households during events exacerbated by climate change.</w:t>
            </w:r>
            <w:r w:rsidR="00417513" w:rsidRPr="00E3756C">
              <w:rPr>
                <w:color w:val="000000" w:themeColor="text1"/>
              </w:rPr>
              <w:br/>
            </w:r>
            <w:r w:rsidRPr="00E3756C">
              <w:rPr>
                <w:color w:val="000000" w:themeColor="text1"/>
              </w:rPr>
              <w:t xml:space="preserve"> </w:t>
            </w:r>
          </w:p>
          <w:p w14:paraId="1B4AAA91" w14:textId="77777777" w:rsidR="008E4F54" w:rsidRPr="00E3756C" w:rsidRDefault="008E4F54" w:rsidP="00643B2E">
            <w:pPr>
              <w:pStyle w:val="TableText"/>
              <w:spacing w:before="50" w:after="50"/>
              <w:rPr>
                <w:color w:val="000000" w:themeColor="text1"/>
              </w:rPr>
            </w:pPr>
            <w:r w:rsidRPr="00E3756C">
              <w:rPr>
                <w:color w:val="000000" w:themeColor="text1"/>
              </w:rPr>
              <w:lastRenderedPageBreak/>
              <w:t>Special welfare funds become available (eg</w:t>
            </w:r>
            <w:r w:rsidR="004D6CB4" w:rsidRPr="00E3756C">
              <w:rPr>
                <w:color w:val="000000" w:themeColor="text1"/>
              </w:rPr>
              <w:t>,</w:t>
            </w:r>
            <w:r w:rsidRPr="00E3756C">
              <w:rPr>
                <w:color w:val="000000" w:themeColor="text1"/>
              </w:rPr>
              <w:t xml:space="preserve"> mayoral relief).</w:t>
            </w:r>
          </w:p>
          <w:p w14:paraId="1A7E36BF" w14:textId="77777777" w:rsidR="008E4F54" w:rsidRPr="00E3756C" w:rsidRDefault="008E4F54" w:rsidP="00643B2E">
            <w:pPr>
              <w:pStyle w:val="TableText"/>
              <w:spacing w:before="50" w:after="50"/>
              <w:rPr>
                <w:color w:val="000000" w:themeColor="text1"/>
              </w:rPr>
            </w:pPr>
            <w:r w:rsidRPr="00E3756C">
              <w:rPr>
                <w:color w:val="000000" w:themeColor="text1"/>
              </w:rPr>
              <w:t>Widespread short</w:t>
            </w:r>
            <w:r w:rsidR="004D6CB4" w:rsidRPr="00E3756C">
              <w:rPr>
                <w:color w:val="000000" w:themeColor="text1"/>
              </w:rPr>
              <w:t>-</w:t>
            </w:r>
            <w:r w:rsidRPr="00E3756C">
              <w:rPr>
                <w:color w:val="000000" w:themeColor="text1"/>
              </w:rPr>
              <w:t>to</w:t>
            </w:r>
            <w:r w:rsidR="004D6CB4" w:rsidRPr="00E3756C">
              <w:rPr>
                <w:color w:val="000000" w:themeColor="text1"/>
              </w:rPr>
              <w:t>-</w:t>
            </w:r>
            <w:r w:rsidRPr="00E3756C">
              <w:rPr>
                <w:color w:val="000000" w:themeColor="text1"/>
              </w:rPr>
              <w:t xml:space="preserve">medium term disruption to education, business and community services. </w:t>
            </w:r>
          </w:p>
          <w:p w14:paraId="77070E75" w14:textId="77777777" w:rsidR="008E4F54" w:rsidRPr="00E3756C" w:rsidRDefault="008E4F54" w:rsidP="00643B2E">
            <w:pPr>
              <w:pStyle w:val="TableText"/>
              <w:spacing w:before="50" w:after="50"/>
              <w:rPr>
                <w:color w:val="000000" w:themeColor="text1"/>
              </w:rPr>
            </w:pPr>
            <w:r w:rsidRPr="00E3756C">
              <w:rPr>
                <w:color w:val="000000" w:themeColor="text1"/>
              </w:rPr>
              <w:t>Distrust or disengagement evident across multiple communities throughout</w:t>
            </w:r>
            <w:r w:rsidR="004D6CB4" w:rsidRPr="00E3756C">
              <w:rPr>
                <w:color w:val="000000" w:themeColor="text1"/>
              </w:rPr>
              <w:t xml:space="preserve"> Aotearoa</w:t>
            </w:r>
            <w:r w:rsidRPr="00E3756C">
              <w:rPr>
                <w:color w:val="000000" w:themeColor="text1"/>
              </w:rPr>
              <w:t xml:space="preserve"> N</w:t>
            </w:r>
            <w:r w:rsidR="004D6CB4" w:rsidRPr="00E3756C">
              <w:rPr>
                <w:color w:val="000000" w:themeColor="text1"/>
              </w:rPr>
              <w:t xml:space="preserve">ew </w:t>
            </w:r>
            <w:r w:rsidRPr="00E3756C">
              <w:rPr>
                <w:color w:val="000000" w:themeColor="text1"/>
              </w:rPr>
              <w:t>Z</w:t>
            </w:r>
            <w:r w:rsidR="004D6CB4" w:rsidRPr="00E3756C">
              <w:rPr>
                <w:color w:val="000000" w:themeColor="text1"/>
              </w:rPr>
              <w:t>ealand</w:t>
            </w:r>
            <w:r w:rsidRPr="00E3756C">
              <w:rPr>
                <w:color w:val="000000" w:themeColor="text1"/>
              </w:rPr>
              <w:t>.</w:t>
            </w:r>
          </w:p>
          <w:p w14:paraId="64C28CDF" w14:textId="77777777" w:rsidR="008E4F54" w:rsidRPr="00E3756C" w:rsidRDefault="008E4F54" w:rsidP="00643B2E">
            <w:pPr>
              <w:pStyle w:val="TableText"/>
              <w:spacing w:before="50" w:after="50"/>
              <w:rPr>
                <w:color w:val="000000" w:themeColor="text1"/>
              </w:rPr>
            </w:pPr>
            <w:r w:rsidRPr="00E3756C">
              <w:rPr>
                <w:color w:val="000000" w:themeColor="text1"/>
              </w:rPr>
              <w:t>Widespread short</w:t>
            </w:r>
            <w:r w:rsidR="004D6CB4" w:rsidRPr="00E3756C">
              <w:rPr>
                <w:color w:val="000000" w:themeColor="text1"/>
              </w:rPr>
              <w:t>-</w:t>
            </w:r>
            <w:r w:rsidRPr="00E3756C">
              <w:rPr>
                <w:color w:val="000000" w:themeColor="text1"/>
              </w:rPr>
              <w:t>to</w:t>
            </w:r>
            <w:r w:rsidR="004D6CB4" w:rsidRPr="00E3756C">
              <w:rPr>
                <w:color w:val="000000" w:themeColor="text1"/>
              </w:rPr>
              <w:t>-</w:t>
            </w:r>
            <w:r w:rsidRPr="00E3756C">
              <w:rPr>
                <w:color w:val="000000" w:themeColor="text1"/>
              </w:rPr>
              <w:t xml:space="preserve">long term disruption to essential consumer products. </w:t>
            </w:r>
          </w:p>
          <w:p w14:paraId="16A33648" w14:textId="36A4EEF5" w:rsidR="008E4F54" w:rsidRPr="00E3756C" w:rsidRDefault="008E4F54" w:rsidP="00643B2E">
            <w:pPr>
              <w:pStyle w:val="TableText"/>
              <w:spacing w:before="50" w:after="50"/>
            </w:pPr>
            <w:r w:rsidRPr="00E3756C">
              <w:t xml:space="preserve">The </w:t>
            </w:r>
            <w:r w:rsidR="000A17DE">
              <w:t>wellbeing</w:t>
            </w:r>
            <w:r w:rsidRPr="00E3756C">
              <w:t xml:space="preserve"> of hapū and iwi within most regions or sub-national climate zones is majorly </w:t>
            </w:r>
            <w:r w:rsidR="004D6CB4" w:rsidRPr="00E3756C">
              <w:t>affected</w:t>
            </w:r>
            <w:r w:rsidRPr="00E3756C">
              <w:t>.</w:t>
            </w:r>
          </w:p>
          <w:p w14:paraId="0E6637E2" w14:textId="7372E2B9" w:rsidR="008E4F54" w:rsidRPr="00E3756C" w:rsidRDefault="008E4F54" w:rsidP="00643B2E">
            <w:pPr>
              <w:pStyle w:val="TableText"/>
              <w:spacing w:before="50" w:after="50"/>
            </w:pPr>
            <w:r w:rsidRPr="00E3756C">
              <w:t xml:space="preserve">The overall </w:t>
            </w:r>
            <w:r w:rsidR="000A17DE">
              <w:t>wellbeing</w:t>
            </w:r>
            <w:r w:rsidRPr="00E3756C">
              <w:t xml:space="preserve"> of rural or urban communities is majorly affected across most sub-national climate zones and more often (including support industries, </w:t>
            </w:r>
            <w:r w:rsidRPr="00E3756C">
              <w:lastRenderedPageBreak/>
              <w:t xml:space="preserve">lifelines </w:t>
            </w:r>
            <w:r w:rsidR="004D6CB4" w:rsidRPr="00E3756C">
              <w:t xml:space="preserve">and </w:t>
            </w:r>
            <w:r w:rsidRPr="00E3756C">
              <w:t>utility services and primary production)</w:t>
            </w:r>
            <w:r w:rsidR="004D6CB4" w:rsidRPr="00E3756C">
              <w:t>,</w:t>
            </w:r>
            <w:r w:rsidRPr="00E3756C">
              <w:t xml:space="preserve"> with a significant number of communities permanently </w:t>
            </w:r>
            <w:r w:rsidR="004D6CB4" w:rsidRPr="00E3756C">
              <w:t xml:space="preserve">affected </w:t>
            </w:r>
            <w:r w:rsidRPr="00E3756C">
              <w:t>from changes in primary production, tourism or rising sea level</w:t>
            </w:r>
            <w:r w:rsidR="00D2002A">
              <w:t>s</w:t>
            </w:r>
            <w:r w:rsidRPr="00E3756C">
              <w:t>.</w:t>
            </w:r>
          </w:p>
          <w:p w14:paraId="027A96C6" w14:textId="77777777" w:rsidR="008E4F54" w:rsidRPr="00E3756C" w:rsidRDefault="008E4F54" w:rsidP="00643B2E">
            <w:pPr>
              <w:pStyle w:val="TableText"/>
              <w:spacing w:before="50" w:after="50"/>
            </w:pPr>
            <w:r w:rsidRPr="00E3756C">
              <w:t xml:space="preserve">Climate-related changes challenge the </w:t>
            </w:r>
            <w:r w:rsidR="004D6CB4" w:rsidRPr="00E3756C">
              <w:t>‘</w:t>
            </w:r>
            <w:r w:rsidRPr="00E3756C">
              <w:t>coping range</w:t>
            </w:r>
            <w:r w:rsidR="004D6CB4" w:rsidRPr="00E3756C">
              <w:t>’,</w:t>
            </w:r>
            <w:r w:rsidRPr="00E3756C">
              <w:t xml:space="preserve"> and more frequent </w:t>
            </w:r>
            <w:r w:rsidR="004D6CB4" w:rsidRPr="00E3756C">
              <w:t>‘</w:t>
            </w:r>
            <w:r w:rsidRPr="00E3756C">
              <w:t>nuisance</w:t>
            </w:r>
            <w:r w:rsidR="004D6CB4" w:rsidRPr="00E3756C">
              <w:t>’</w:t>
            </w:r>
            <w:r w:rsidRPr="00E3756C">
              <w:t xml:space="preserve"> weather events (flooding</w:t>
            </w:r>
            <w:r w:rsidR="004D6CB4" w:rsidRPr="00E3756C">
              <w:t>,</w:t>
            </w:r>
            <w:r w:rsidRPr="00E3756C">
              <w:t xml:space="preserve"> especially in coastal areas) will</w:t>
            </w:r>
            <w:r w:rsidR="004D6CB4" w:rsidRPr="00E3756C">
              <w:t>,</w:t>
            </w:r>
            <w:r w:rsidRPr="00E3756C">
              <w:t xml:space="preserve"> for some communities</w:t>
            </w:r>
            <w:r w:rsidR="004D6CB4" w:rsidRPr="00E3756C">
              <w:t xml:space="preserve"> and </w:t>
            </w:r>
            <w:r w:rsidRPr="00E3756C">
              <w:t>areas</w:t>
            </w:r>
            <w:r w:rsidR="004D6CB4" w:rsidRPr="00E3756C">
              <w:t>,</w:t>
            </w:r>
            <w:r w:rsidRPr="00E3756C">
              <w:t xml:space="preserve"> exceed local </w:t>
            </w:r>
            <w:r w:rsidR="004D6CB4" w:rsidRPr="00E3756C">
              <w:t>‘</w:t>
            </w:r>
            <w:r w:rsidRPr="00E3756C">
              <w:t>coping capacity</w:t>
            </w:r>
            <w:r w:rsidR="004D6CB4" w:rsidRPr="00E3756C">
              <w:t>’</w:t>
            </w:r>
            <w:r w:rsidRPr="00E3756C">
              <w:t>.</w:t>
            </w:r>
          </w:p>
          <w:p w14:paraId="33F6C9DA" w14:textId="77777777" w:rsidR="008E4F54" w:rsidRPr="00E3756C" w:rsidRDefault="008E4F54" w:rsidP="00643B2E">
            <w:pPr>
              <w:pStyle w:val="TableText"/>
              <w:spacing w:before="50" w:after="50"/>
            </w:pPr>
            <w:r w:rsidRPr="00E3756C">
              <w:t xml:space="preserve">Access to climate-related insurance and mortgages declines for a significant number of communities (or suburbs) across </w:t>
            </w:r>
            <w:r w:rsidR="009A4200" w:rsidRPr="00E3756C">
              <w:t xml:space="preserve">Aotearoa </w:t>
            </w:r>
            <w:r w:rsidRPr="00E3756C">
              <w:t>N</w:t>
            </w:r>
            <w:r w:rsidR="009A4200" w:rsidRPr="00E3756C">
              <w:t xml:space="preserve">ew </w:t>
            </w:r>
            <w:r w:rsidRPr="00E3756C">
              <w:t>Z</w:t>
            </w:r>
            <w:r w:rsidR="009A4200" w:rsidRPr="00E3756C">
              <w:t>ealand,</w:t>
            </w:r>
            <w:r w:rsidRPr="00E3756C">
              <w:t xml:space="preserve"> especially low-lying coastal areas. </w:t>
            </w:r>
          </w:p>
          <w:p w14:paraId="1DAA7236" w14:textId="77777777" w:rsidR="008E4F54" w:rsidRPr="00E3756C" w:rsidRDefault="008E4F54" w:rsidP="00643B2E">
            <w:pPr>
              <w:pStyle w:val="TableText"/>
              <w:spacing w:before="50" w:after="50"/>
            </w:pPr>
          </w:p>
        </w:tc>
        <w:tc>
          <w:tcPr>
            <w:tcW w:w="2694" w:type="dxa"/>
            <w:tcBorders>
              <w:top w:val="nil"/>
              <w:bottom w:val="nil"/>
            </w:tcBorders>
          </w:tcPr>
          <w:p w14:paraId="2EEC4D12" w14:textId="4670CF3F" w:rsidR="008E4F54" w:rsidRPr="00E3756C" w:rsidRDefault="008E4F54" w:rsidP="00643B2E">
            <w:pPr>
              <w:pStyle w:val="TableText"/>
              <w:spacing w:before="50" w:after="40"/>
              <w:rPr>
                <w:color w:val="000000" w:themeColor="text1"/>
              </w:rPr>
            </w:pPr>
            <w:r w:rsidRPr="00E3756C">
              <w:rPr>
                <w:color w:val="000000" w:themeColor="text1"/>
              </w:rPr>
              <w:lastRenderedPageBreak/>
              <w:t xml:space="preserve">Large </w:t>
            </w:r>
            <w:r w:rsidRPr="00E3756C">
              <w:t>number of people (</w:t>
            </w:r>
            <w:r w:rsidR="003D2281" w:rsidRPr="00E3756C">
              <w:t>tens of thousands</w:t>
            </w:r>
            <w:r w:rsidRPr="00E3756C">
              <w:t>) and communities affected by more frequent</w:t>
            </w:r>
            <w:r w:rsidR="00D2002A">
              <w:t>,</w:t>
            </w:r>
            <w:r w:rsidRPr="00E3756C">
              <w:t xml:space="preserve"> weather-related events and sea-level rise around </w:t>
            </w:r>
            <w:r w:rsidR="003D2281" w:rsidRPr="00E3756C">
              <w:t>Ao</w:t>
            </w:r>
            <w:r w:rsidR="00E3756C">
              <w:t>t</w:t>
            </w:r>
            <w:r w:rsidR="003D2281" w:rsidRPr="00E3756C">
              <w:t xml:space="preserve">earoa </w:t>
            </w:r>
            <w:r w:rsidRPr="00E3756C">
              <w:t>N</w:t>
            </w:r>
            <w:r w:rsidR="003D2281" w:rsidRPr="00E3756C">
              <w:t xml:space="preserve">ew </w:t>
            </w:r>
            <w:r w:rsidRPr="00E3756C">
              <w:t>Z</w:t>
            </w:r>
            <w:r w:rsidR="003D2281" w:rsidRPr="00E3756C">
              <w:t>ealand</w:t>
            </w:r>
            <w:r w:rsidRPr="00E3756C">
              <w:t>, with steep increases in injuries, casualties (</w:t>
            </w:r>
            <w:r w:rsidR="003D2281" w:rsidRPr="00E3756C">
              <w:t xml:space="preserve">hundreds </w:t>
            </w:r>
            <w:r w:rsidRPr="00E3756C">
              <w:t>more people than expected over time), illness and heat stress, which may overwhe</w:t>
            </w:r>
            <w:r w:rsidR="00E3756C">
              <w:t>l</w:t>
            </w:r>
            <w:r w:rsidRPr="00E3756C">
              <w:t xml:space="preserve">m existing health and emergency management responses. Will </w:t>
            </w:r>
            <w:r w:rsidRPr="00E3756C">
              <w:rPr>
                <w:color w:val="000000" w:themeColor="text1"/>
              </w:rPr>
              <w:t>require strong ongoing support from national agencies.</w:t>
            </w:r>
          </w:p>
          <w:p w14:paraId="3A558202" w14:textId="77777777" w:rsidR="008E4F54" w:rsidRPr="00E3756C" w:rsidRDefault="008E4F54" w:rsidP="00643B2E">
            <w:pPr>
              <w:pStyle w:val="TableText"/>
              <w:spacing w:before="50" w:after="50"/>
              <w:rPr>
                <w:color w:val="000000" w:themeColor="text1"/>
              </w:rPr>
            </w:pPr>
            <w:r w:rsidRPr="00E3756C">
              <w:rPr>
                <w:color w:val="000000" w:themeColor="text1"/>
              </w:rPr>
              <w:t xml:space="preserve">Significant number of people affected (and more frequently) with </w:t>
            </w:r>
            <w:r w:rsidR="003D2281" w:rsidRPr="00E3756C">
              <w:t>tens of thousands</w:t>
            </w:r>
            <w:r w:rsidRPr="00E3756C">
              <w:rPr>
                <w:color w:val="000000" w:themeColor="text1"/>
              </w:rPr>
              <w:t xml:space="preserve"> more displaced households during events exacerbated by climate change.</w:t>
            </w:r>
            <w:r w:rsidR="00417513" w:rsidRPr="00E3756C">
              <w:rPr>
                <w:color w:val="000000" w:themeColor="text1"/>
              </w:rPr>
              <w:br/>
            </w:r>
          </w:p>
          <w:p w14:paraId="7D6951BA" w14:textId="77777777" w:rsidR="008E4F54" w:rsidRPr="00E3756C" w:rsidRDefault="008E4F54" w:rsidP="00643B2E">
            <w:pPr>
              <w:pStyle w:val="TableText"/>
              <w:spacing w:before="50" w:after="50"/>
              <w:rPr>
                <w:color w:val="000000" w:themeColor="text1"/>
              </w:rPr>
            </w:pPr>
            <w:r w:rsidRPr="00E3756C">
              <w:rPr>
                <w:color w:val="000000" w:themeColor="text1"/>
              </w:rPr>
              <w:lastRenderedPageBreak/>
              <w:t>Additional national welfare funding mechanisms needed.</w:t>
            </w:r>
          </w:p>
          <w:p w14:paraId="4C7145F4" w14:textId="77777777" w:rsidR="008E4F54" w:rsidRPr="00E3756C" w:rsidRDefault="008E4F54" w:rsidP="00643B2E">
            <w:pPr>
              <w:pStyle w:val="TableText"/>
              <w:spacing w:before="50" w:after="50"/>
              <w:rPr>
                <w:color w:val="000000" w:themeColor="text1"/>
              </w:rPr>
            </w:pPr>
            <w:r w:rsidRPr="00E3756C">
              <w:rPr>
                <w:color w:val="000000" w:themeColor="text1"/>
              </w:rPr>
              <w:t>Widespread longer-term disruption to education, business and community services.</w:t>
            </w:r>
          </w:p>
          <w:p w14:paraId="3095855F" w14:textId="77777777" w:rsidR="008E4F54" w:rsidRPr="00E3756C" w:rsidRDefault="008E4F54" w:rsidP="00643B2E">
            <w:pPr>
              <w:pStyle w:val="TableText"/>
              <w:spacing w:before="50" w:after="50"/>
              <w:rPr>
                <w:color w:val="000000" w:themeColor="text1"/>
              </w:rPr>
            </w:pPr>
            <w:r w:rsidRPr="00E3756C">
              <w:rPr>
                <w:color w:val="000000" w:themeColor="text1"/>
              </w:rPr>
              <w:t>Widespread distrust or disengagement nationally.</w:t>
            </w:r>
            <w:r w:rsidR="00484C8A" w:rsidRPr="00E3756C">
              <w:rPr>
                <w:color w:val="000000" w:themeColor="text1"/>
              </w:rPr>
              <w:t xml:space="preserve"> </w:t>
            </w:r>
          </w:p>
          <w:p w14:paraId="732A5E48" w14:textId="77777777" w:rsidR="008E4F54" w:rsidRPr="00E3756C" w:rsidRDefault="008E4F54" w:rsidP="00643B2E">
            <w:pPr>
              <w:pStyle w:val="TableText"/>
              <w:spacing w:before="50" w:after="50"/>
            </w:pPr>
            <w:r w:rsidRPr="00E3756C">
              <w:rPr>
                <w:color w:val="000000" w:themeColor="text1"/>
              </w:rPr>
              <w:t>Widespread medium</w:t>
            </w:r>
            <w:r w:rsidR="003D2281" w:rsidRPr="00E3756C">
              <w:rPr>
                <w:color w:val="000000" w:themeColor="text1"/>
              </w:rPr>
              <w:t>-</w:t>
            </w:r>
            <w:r w:rsidRPr="00E3756C">
              <w:rPr>
                <w:color w:val="000000" w:themeColor="text1"/>
              </w:rPr>
              <w:t>to</w:t>
            </w:r>
            <w:r w:rsidR="003D2281" w:rsidRPr="00E3756C">
              <w:rPr>
                <w:color w:val="000000" w:themeColor="text1"/>
              </w:rPr>
              <w:t>-</w:t>
            </w:r>
            <w:r w:rsidRPr="00E3756C">
              <w:rPr>
                <w:color w:val="000000" w:themeColor="text1"/>
              </w:rPr>
              <w:t>long term disruption to essential consumer products – otherwise make changes to infrastructure services, community locations or local</w:t>
            </w:r>
            <w:r w:rsidR="003D2281" w:rsidRPr="00E3756C">
              <w:rPr>
                <w:color w:val="000000" w:themeColor="text1"/>
              </w:rPr>
              <w:t xml:space="preserve"> or </w:t>
            </w:r>
            <w:r w:rsidRPr="00E3756C">
              <w:rPr>
                <w:color w:val="000000" w:themeColor="text1"/>
              </w:rPr>
              <w:t>regional economic activities.</w:t>
            </w:r>
          </w:p>
          <w:p w14:paraId="3B6FE904" w14:textId="772D60D6" w:rsidR="008E4F54" w:rsidRPr="00E3756C" w:rsidRDefault="008E4F54" w:rsidP="00643B2E">
            <w:pPr>
              <w:pStyle w:val="TableText"/>
              <w:spacing w:before="50" w:after="50"/>
            </w:pPr>
            <w:r w:rsidRPr="00E3756C">
              <w:t xml:space="preserve">The </w:t>
            </w:r>
            <w:r w:rsidR="000A17DE">
              <w:t>wellbeing</w:t>
            </w:r>
            <w:r w:rsidRPr="00E3756C">
              <w:t xml:space="preserve"> of hapū and iwi within most regions or sub-national climate zones is seriously </w:t>
            </w:r>
            <w:r w:rsidR="003D2281" w:rsidRPr="00E3756C">
              <w:t>affected</w:t>
            </w:r>
            <w:r w:rsidRPr="00E3756C">
              <w:t xml:space="preserve">. </w:t>
            </w:r>
          </w:p>
          <w:p w14:paraId="4F4B17D8" w14:textId="7E9B6CF9" w:rsidR="008E4F54" w:rsidRPr="00E3756C" w:rsidRDefault="008E4F54" w:rsidP="00643B2E">
            <w:pPr>
              <w:pStyle w:val="TableText"/>
              <w:spacing w:before="50" w:after="50"/>
            </w:pPr>
            <w:r w:rsidRPr="00E3756C">
              <w:t xml:space="preserve">The overall </w:t>
            </w:r>
            <w:r w:rsidR="000A17DE">
              <w:t>wellbeing</w:t>
            </w:r>
            <w:r w:rsidRPr="00E3756C">
              <w:t xml:space="preserve"> of rural or urban communities is seriously affected across most sub-national climate zones and more often </w:t>
            </w:r>
            <w:r w:rsidRPr="00E3756C">
              <w:lastRenderedPageBreak/>
              <w:t xml:space="preserve">(including support industries, lifelines </w:t>
            </w:r>
            <w:r w:rsidR="003D2281" w:rsidRPr="00E3756C">
              <w:t>and</w:t>
            </w:r>
            <w:r w:rsidRPr="00E3756C">
              <w:t xml:space="preserve"> utility services and primary production)</w:t>
            </w:r>
            <w:r w:rsidR="000E07D0" w:rsidRPr="00E3756C">
              <w:t>,</w:t>
            </w:r>
            <w:r w:rsidRPr="00E3756C">
              <w:t xml:space="preserve"> with a high number of communities permanently </w:t>
            </w:r>
            <w:r w:rsidR="000E07D0" w:rsidRPr="00E3756C">
              <w:t>affected by</w:t>
            </w:r>
            <w:r w:rsidRPr="00E3756C">
              <w:t xml:space="preserve"> changes in primary production, tourism or rising sea level</w:t>
            </w:r>
            <w:r w:rsidR="00D2002A">
              <w:t>s</w:t>
            </w:r>
            <w:r w:rsidRPr="00E3756C">
              <w:t>.</w:t>
            </w:r>
          </w:p>
          <w:p w14:paraId="0EDE87B2" w14:textId="77777777" w:rsidR="008E4F54" w:rsidRPr="00E3756C" w:rsidRDefault="008E4F54" w:rsidP="00643B2E">
            <w:pPr>
              <w:pStyle w:val="TableText"/>
              <w:spacing w:before="50" w:after="50"/>
            </w:pPr>
            <w:r w:rsidRPr="00E3756C">
              <w:t xml:space="preserve">Climate-related changes exceed the </w:t>
            </w:r>
            <w:r w:rsidR="000E07D0" w:rsidRPr="00E3756C">
              <w:t>‘</w:t>
            </w:r>
            <w:r w:rsidRPr="00E3756C">
              <w:t>coping range</w:t>
            </w:r>
            <w:r w:rsidR="000E07D0" w:rsidRPr="00E3756C">
              <w:t>’</w:t>
            </w:r>
            <w:r w:rsidRPr="00E3756C">
              <w:t xml:space="preserve"> for many communities or a primary</w:t>
            </w:r>
            <w:r w:rsidR="000E07D0" w:rsidRPr="00E3756C">
              <w:t xml:space="preserve"> or </w:t>
            </w:r>
            <w:r w:rsidRPr="00E3756C">
              <w:t>secondary industry</w:t>
            </w:r>
            <w:r w:rsidR="000E07D0" w:rsidRPr="00E3756C">
              <w:t>,</w:t>
            </w:r>
            <w:r w:rsidRPr="00E3756C">
              <w:t xml:space="preserve"> and more frequent </w:t>
            </w:r>
            <w:r w:rsidR="000E07D0" w:rsidRPr="00E3756C">
              <w:t>‘</w:t>
            </w:r>
            <w:r w:rsidRPr="00E3756C">
              <w:t>nuisance</w:t>
            </w:r>
            <w:r w:rsidR="000E07D0" w:rsidRPr="00E3756C">
              <w:t>’</w:t>
            </w:r>
            <w:r w:rsidRPr="00E3756C">
              <w:t xml:space="preserve"> weather events (flooding</w:t>
            </w:r>
            <w:r w:rsidR="000E07D0" w:rsidRPr="00E3756C">
              <w:t>,</w:t>
            </w:r>
            <w:r w:rsidRPr="00E3756C">
              <w:t xml:space="preserve"> especially in coastal areas) will</w:t>
            </w:r>
            <w:r w:rsidR="000E07D0" w:rsidRPr="00E3756C">
              <w:t>,</w:t>
            </w:r>
            <w:r w:rsidRPr="00E3756C">
              <w:t xml:space="preserve"> for a significant number of communities</w:t>
            </w:r>
            <w:r w:rsidR="000E07D0" w:rsidRPr="00E3756C">
              <w:t xml:space="preserve"> and </w:t>
            </w:r>
            <w:r w:rsidRPr="00E3756C">
              <w:t>areas</w:t>
            </w:r>
            <w:r w:rsidR="000E07D0" w:rsidRPr="00E3756C">
              <w:t>,</w:t>
            </w:r>
            <w:r w:rsidRPr="00E3756C">
              <w:t xml:space="preserve"> exceed both local and regional </w:t>
            </w:r>
            <w:r w:rsidR="000E07D0" w:rsidRPr="00E3756C">
              <w:t>‘</w:t>
            </w:r>
            <w:r w:rsidRPr="00E3756C">
              <w:t>coping capacity</w:t>
            </w:r>
            <w:r w:rsidR="000E07D0" w:rsidRPr="00E3756C">
              <w:t>’</w:t>
            </w:r>
            <w:r w:rsidRPr="00E3756C">
              <w:t>.</w:t>
            </w:r>
          </w:p>
          <w:p w14:paraId="0A08836C" w14:textId="77777777" w:rsidR="008E4F54" w:rsidRPr="00E3756C" w:rsidRDefault="008E4F54" w:rsidP="00643B2E">
            <w:pPr>
              <w:pStyle w:val="TableText"/>
              <w:spacing w:before="50" w:after="50"/>
            </w:pPr>
            <w:r w:rsidRPr="00E3756C">
              <w:t xml:space="preserve">Access to climate-related insurance and mortgages declines for many communities or suburbs across </w:t>
            </w:r>
            <w:r w:rsidR="000E07D0" w:rsidRPr="00E3756C">
              <w:t xml:space="preserve">Aotearoa </w:t>
            </w:r>
            <w:r w:rsidRPr="00E3756C">
              <w:t>N</w:t>
            </w:r>
            <w:r w:rsidR="000E07D0" w:rsidRPr="00E3756C">
              <w:t xml:space="preserve">ew </w:t>
            </w:r>
            <w:r w:rsidRPr="00E3756C">
              <w:t>Z</w:t>
            </w:r>
            <w:r w:rsidR="000E07D0" w:rsidRPr="00E3756C">
              <w:t>ealand,</w:t>
            </w:r>
            <w:r w:rsidRPr="00E3756C">
              <w:t xml:space="preserve"> especially low-lying coastal areas.</w:t>
            </w:r>
          </w:p>
        </w:tc>
      </w:tr>
      <w:tr w:rsidR="00417513" w:rsidRPr="00E3756C" w14:paraId="7CBF76E7" w14:textId="77777777" w:rsidTr="00AF652F">
        <w:tc>
          <w:tcPr>
            <w:tcW w:w="855" w:type="dxa"/>
            <w:vMerge/>
            <w:tcBorders>
              <w:top w:val="nil"/>
              <w:bottom w:val="nil"/>
            </w:tcBorders>
            <w:shd w:val="clear" w:color="auto" w:fill="1C556C" w:themeFill="accent1"/>
          </w:tcPr>
          <w:p w14:paraId="228444B7" w14:textId="77777777" w:rsidR="008E4F54" w:rsidRPr="00E3756C" w:rsidRDefault="008E4F54" w:rsidP="003F2743">
            <w:pPr>
              <w:rPr>
                <w:b/>
                <w:color w:val="FFFFFF" w:themeColor="background1"/>
              </w:rPr>
            </w:pPr>
          </w:p>
        </w:tc>
        <w:tc>
          <w:tcPr>
            <w:tcW w:w="853" w:type="dxa"/>
            <w:tcBorders>
              <w:top w:val="nil"/>
              <w:bottom w:val="nil"/>
            </w:tcBorders>
            <w:shd w:val="clear" w:color="auto" w:fill="1C556C" w:themeFill="accent1"/>
          </w:tcPr>
          <w:p w14:paraId="474CF500" w14:textId="77777777" w:rsidR="008E4F54" w:rsidRPr="00E3756C" w:rsidRDefault="008E4F54" w:rsidP="006E5C59">
            <w:pPr>
              <w:spacing w:before="60"/>
              <w:jc w:val="right"/>
              <w:rPr>
                <w:b/>
                <w:color w:val="FFFFFF" w:themeColor="background1"/>
              </w:rPr>
            </w:pPr>
            <w:r w:rsidRPr="00AF652F">
              <w:rPr>
                <w:b/>
                <w:color w:val="FFFFFF" w:themeColor="background1"/>
                <w:sz w:val="18"/>
              </w:rPr>
              <w:t>Culture</w:t>
            </w:r>
          </w:p>
        </w:tc>
        <w:tc>
          <w:tcPr>
            <w:tcW w:w="2456" w:type="dxa"/>
            <w:tcBorders>
              <w:top w:val="nil"/>
              <w:bottom w:val="nil"/>
            </w:tcBorders>
          </w:tcPr>
          <w:p w14:paraId="6E5FD6A4" w14:textId="77777777" w:rsidR="008E4F54" w:rsidRPr="00E3756C" w:rsidRDefault="008E4F54" w:rsidP="00417513">
            <w:pPr>
              <w:spacing w:before="60"/>
              <w:rPr>
                <w:rFonts w:eastAsia="Times New Roman" w:cstheme="minorHAnsi"/>
                <w:color w:val="000000"/>
                <w:sz w:val="18"/>
                <w:szCs w:val="18"/>
              </w:rPr>
            </w:pPr>
            <w:r w:rsidRPr="00E3756C">
              <w:rPr>
                <w:rFonts w:eastAsia="Times New Roman"/>
                <w:color w:val="000000"/>
                <w:sz w:val="18"/>
                <w:szCs w:val="18"/>
              </w:rPr>
              <w:t>No impact</w:t>
            </w:r>
          </w:p>
        </w:tc>
        <w:tc>
          <w:tcPr>
            <w:tcW w:w="2527" w:type="dxa"/>
            <w:tcBorders>
              <w:top w:val="nil"/>
              <w:bottom w:val="nil"/>
            </w:tcBorders>
          </w:tcPr>
          <w:p w14:paraId="6DBA4304" w14:textId="77777777" w:rsidR="008E4F54" w:rsidRPr="00E3756C" w:rsidRDefault="008E4F54" w:rsidP="00C92DEB">
            <w:pPr>
              <w:pStyle w:val="TableText"/>
              <w:rPr>
                <w:rFonts w:eastAsia="Times New Roman" w:cstheme="minorHAnsi"/>
                <w:color w:val="000000"/>
                <w:szCs w:val="18"/>
              </w:rPr>
            </w:pPr>
            <w:r w:rsidRPr="00E3756C">
              <w:rPr>
                <w:rFonts w:eastAsia="Times New Roman" w:cstheme="minorHAnsi"/>
                <w:color w:val="000000"/>
                <w:szCs w:val="18"/>
              </w:rPr>
              <w:t>Little impact o</w:t>
            </w:r>
            <w:r w:rsidR="00E827EF" w:rsidRPr="00E3756C">
              <w:rPr>
                <w:rFonts w:eastAsia="Times New Roman" w:cstheme="minorHAnsi"/>
                <w:color w:val="000000"/>
                <w:szCs w:val="18"/>
              </w:rPr>
              <w:t>n</w:t>
            </w:r>
            <w:r w:rsidRPr="00E3756C">
              <w:rPr>
                <w:rFonts w:eastAsia="Times New Roman" w:cstheme="minorHAnsi"/>
                <w:color w:val="000000"/>
                <w:szCs w:val="18"/>
              </w:rPr>
              <w:t xml:space="preserve"> the ability of people to participate and/or express their cultural identity.</w:t>
            </w:r>
          </w:p>
          <w:p w14:paraId="1DA9F0F5" w14:textId="77777777" w:rsidR="008E4F54" w:rsidRPr="00E3756C" w:rsidRDefault="008E4F54" w:rsidP="00C92DEB">
            <w:pPr>
              <w:pStyle w:val="TableText"/>
              <w:rPr>
                <w:rFonts w:cstheme="minorHAnsi"/>
                <w:szCs w:val="18"/>
              </w:rPr>
            </w:pPr>
            <w:r w:rsidRPr="00E3756C">
              <w:rPr>
                <w:rFonts w:cstheme="minorHAnsi"/>
                <w:szCs w:val="18"/>
              </w:rPr>
              <w:t xml:space="preserve">Temporary minor </w:t>
            </w:r>
            <w:r w:rsidRPr="00E3756C">
              <w:rPr>
                <w:rFonts w:eastAsia="Times New Roman"/>
                <w:color w:val="000000"/>
                <w:szCs w:val="18"/>
              </w:rPr>
              <w:t>damage to cultural values, identity, heritage and knowledge.</w:t>
            </w:r>
          </w:p>
        </w:tc>
        <w:tc>
          <w:tcPr>
            <w:tcW w:w="2551" w:type="dxa"/>
            <w:tcBorders>
              <w:top w:val="nil"/>
              <w:bottom w:val="nil"/>
            </w:tcBorders>
          </w:tcPr>
          <w:p w14:paraId="1B8DAE43" w14:textId="77777777" w:rsidR="008E4F54" w:rsidRPr="00E3756C" w:rsidRDefault="008E4F54" w:rsidP="00C92DEB">
            <w:pPr>
              <w:pStyle w:val="TableText"/>
              <w:rPr>
                <w:szCs w:val="18"/>
              </w:rPr>
            </w:pPr>
            <w:r w:rsidRPr="00E3756C">
              <w:rPr>
                <w:szCs w:val="18"/>
              </w:rPr>
              <w:t>Most people have the ability to participate in cultural life</w:t>
            </w:r>
            <w:r w:rsidR="00E827EF" w:rsidRPr="00E3756C">
              <w:rPr>
                <w:szCs w:val="18"/>
              </w:rPr>
              <w:t xml:space="preserve"> and </w:t>
            </w:r>
            <w:r w:rsidRPr="00E3756C">
              <w:rPr>
                <w:szCs w:val="18"/>
              </w:rPr>
              <w:t>express their cultural identity, but some pockets of dissatisfaction.</w:t>
            </w:r>
            <w:r w:rsidR="00484C8A" w:rsidRPr="00E3756C">
              <w:rPr>
                <w:szCs w:val="18"/>
              </w:rPr>
              <w:t xml:space="preserve"> </w:t>
            </w:r>
          </w:p>
          <w:p w14:paraId="25631037" w14:textId="77777777" w:rsidR="008E4F54" w:rsidRPr="00E3756C" w:rsidRDefault="008E4F54" w:rsidP="00E827EF">
            <w:pPr>
              <w:pStyle w:val="TableText"/>
              <w:rPr>
                <w:rFonts w:cstheme="minorHAnsi"/>
                <w:szCs w:val="18"/>
              </w:rPr>
            </w:pPr>
            <w:r w:rsidRPr="00E3756C">
              <w:rPr>
                <w:rFonts w:cstheme="minorHAnsi"/>
                <w:szCs w:val="18"/>
              </w:rPr>
              <w:t>Some decline in status</w:t>
            </w:r>
            <w:r w:rsidR="00E827EF" w:rsidRPr="00E3756C">
              <w:rPr>
                <w:rFonts w:cstheme="minorHAnsi"/>
                <w:szCs w:val="18"/>
              </w:rPr>
              <w:t xml:space="preserve"> and </w:t>
            </w:r>
            <w:r w:rsidRPr="00E3756C">
              <w:rPr>
                <w:rFonts w:cstheme="minorHAnsi"/>
                <w:szCs w:val="18"/>
              </w:rPr>
              <w:t xml:space="preserve">condition of sites of national cultural significance, loss of </w:t>
            </w:r>
            <w:r w:rsidRPr="00E3756C">
              <w:rPr>
                <w:rFonts w:eastAsia="Times New Roman"/>
                <w:color w:val="000000"/>
                <w:szCs w:val="18"/>
              </w:rPr>
              <w:t>cultural values, identity, heritage and knowledge.</w:t>
            </w:r>
          </w:p>
        </w:tc>
        <w:tc>
          <w:tcPr>
            <w:tcW w:w="2693" w:type="dxa"/>
            <w:tcBorders>
              <w:top w:val="nil"/>
              <w:bottom w:val="nil"/>
            </w:tcBorders>
          </w:tcPr>
          <w:p w14:paraId="6471D995" w14:textId="77777777" w:rsidR="008E4F54" w:rsidRPr="00E3756C" w:rsidRDefault="008E4F54" w:rsidP="00C92DEB">
            <w:pPr>
              <w:pStyle w:val="TableText"/>
            </w:pPr>
            <w:r w:rsidRPr="00E3756C">
              <w:t>Many people unable to participate in cultural life and/or express their cultural identity</w:t>
            </w:r>
            <w:r w:rsidR="00E827EF" w:rsidRPr="00E3756C">
              <w:t>.</w:t>
            </w:r>
            <w:r w:rsidRPr="00E3756C">
              <w:t xml:space="preserve"> Large pockets of dissatisfaction. </w:t>
            </w:r>
          </w:p>
          <w:p w14:paraId="7EB50D88" w14:textId="77777777" w:rsidR="008E4F54" w:rsidRPr="00E3756C" w:rsidRDefault="008E4F54" w:rsidP="00C92DEB">
            <w:pPr>
              <w:pStyle w:val="TableText"/>
              <w:rPr>
                <w:rFonts w:asciiTheme="minorHAnsi" w:hAnsiTheme="minorHAnsi" w:cstheme="minorHAnsi"/>
              </w:rPr>
            </w:pPr>
            <w:r w:rsidRPr="00E3756C">
              <w:rPr>
                <w:rFonts w:asciiTheme="minorHAnsi" w:hAnsiTheme="minorHAnsi" w:cstheme="minorHAnsi"/>
              </w:rPr>
              <w:t>Major decline in status</w:t>
            </w:r>
            <w:r w:rsidR="00E827EF" w:rsidRPr="00E3756C">
              <w:rPr>
                <w:rFonts w:asciiTheme="minorHAnsi" w:hAnsiTheme="minorHAnsi" w:cstheme="minorHAnsi"/>
              </w:rPr>
              <w:t xml:space="preserve"> and </w:t>
            </w:r>
            <w:r w:rsidRPr="00E3756C">
              <w:rPr>
                <w:rFonts w:asciiTheme="minorHAnsi" w:hAnsiTheme="minorHAnsi" w:cstheme="minorHAnsi"/>
              </w:rPr>
              <w:t xml:space="preserve">condition of sites of national cultural significance. </w:t>
            </w:r>
          </w:p>
          <w:p w14:paraId="02D50389" w14:textId="77777777" w:rsidR="008E4F54" w:rsidRPr="00E3756C" w:rsidRDefault="008E4F54" w:rsidP="00C92DEB">
            <w:pPr>
              <w:pStyle w:val="TableText"/>
              <w:rPr>
                <w:b/>
              </w:rPr>
            </w:pPr>
            <w:r w:rsidRPr="00E3756C">
              <w:t>Significant loss of cultural capital, cultural values, identity, heritage and knowledge.</w:t>
            </w:r>
          </w:p>
        </w:tc>
        <w:tc>
          <w:tcPr>
            <w:tcW w:w="2694" w:type="dxa"/>
            <w:tcBorders>
              <w:top w:val="nil"/>
              <w:bottom w:val="nil"/>
            </w:tcBorders>
          </w:tcPr>
          <w:p w14:paraId="40F54C40" w14:textId="77777777" w:rsidR="008E4F54" w:rsidRPr="00E3756C" w:rsidRDefault="008E4F54" w:rsidP="00C92DEB">
            <w:pPr>
              <w:pStyle w:val="TableText"/>
            </w:pPr>
            <w:r w:rsidRPr="00E3756C">
              <w:t>Most people unable to access</w:t>
            </w:r>
            <w:r w:rsidR="00E827EF" w:rsidRPr="00E3756C">
              <w:t xml:space="preserve"> or </w:t>
            </w:r>
            <w:r w:rsidRPr="00E3756C">
              <w:t>participate in cultural life and/or express their cultural identity.</w:t>
            </w:r>
          </w:p>
          <w:p w14:paraId="1D7B16E9" w14:textId="77777777" w:rsidR="008E4F54" w:rsidRPr="00E3756C" w:rsidRDefault="008E4F54" w:rsidP="00C92DEB">
            <w:pPr>
              <w:pStyle w:val="TableText"/>
              <w:rPr>
                <w:b/>
              </w:rPr>
            </w:pPr>
            <w:r w:rsidRPr="00E3756C">
              <w:t>Permanent loss of cultural capital, cultural values, identity, heritage and knowledge.</w:t>
            </w:r>
          </w:p>
          <w:p w14:paraId="162AA317" w14:textId="77777777" w:rsidR="008E4F54" w:rsidRPr="00E3756C" w:rsidRDefault="008E4F54" w:rsidP="00B6069E">
            <w:pPr>
              <w:pStyle w:val="TableText"/>
              <w:rPr>
                <w:rFonts w:asciiTheme="minorHAnsi" w:hAnsiTheme="minorHAnsi" w:cstheme="minorHAnsi"/>
              </w:rPr>
            </w:pPr>
            <w:r w:rsidRPr="00E3756C">
              <w:rPr>
                <w:rFonts w:asciiTheme="minorHAnsi" w:hAnsiTheme="minorHAnsi" w:cstheme="minorHAnsi"/>
              </w:rPr>
              <w:t>Irreversible decline in status</w:t>
            </w:r>
            <w:r w:rsidR="00B6069E" w:rsidRPr="00E3756C">
              <w:rPr>
                <w:rFonts w:asciiTheme="minorHAnsi" w:hAnsiTheme="minorHAnsi" w:cstheme="minorHAnsi"/>
              </w:rPr>
              <w:t xml:space="preserve"> and </w:t>
            </w:r>
            <w:r w:rsidRPr="00E3756C">
              <w:rPr>
                <w:rFonts w:asciiTheme="minorHAnsi" w:hAnsiTheme="minorHAnsi" w:cstheme="minorHAnsi"/>
              </w:rPr>
              <w:t>condition of sites of national cultural significance.</w:t>
            </w:r>
          </w:p>
        </w:tc>
      </w:tr>
      <w:tr w:rsidR="00EB6D6D" w:rsidRPr="00932ADD" w14:paraId="44E41CEF" w14:textId="77777777" w:rsidTr="00AF652F">
        <w:tc>
          <w:tcPr>
            <w:tcW w:w="1708" w:type="dxa"/>
            <w:gridSpan w:val="2"/>
            <w:tcBorders>
              <w:top w:val="nil"/>
              <w:bottom w:val="single" w:sz="4" w:space="0" w:color="1C556C" w:themeColor="accent1"/>
            </w:tcBorders>
            <w:shd w:val="clear" w:color="auto" w:fill="1C556C" w:themeFill="accent1"/>
          </w:tcPr>
          <w:p w14:paraId="58417C0B" w14:textId="77777777" w:rsidR="00EB6D6D" w:rsidRPr="00AF652F" w:rsidRDefault="00EB6D6D" w:rsidP="00EB6D6D">
            <w:pPr>
              <w:pStyle w:val="TableText"/>
              <w:spacing w:before="0" w:after="0" w:line="240" w:lineRule="auto"/>
              <w:rPr>
                <w:sz w:val="2"/>
                <w:szCs w:val="16"/>
              </w:rPr>
            </w:pPr>
          </w:p>
        </w:tc>
        <w:tc>
          <w:tcPr>
            <w:tcW w:w="2456" w:type="dxa"/>
            <w:tcBorders>
              <w:top w:val="nil"/>
              <w:bottom w:val="single" w:sz="4" w:space="0" w:color="1C556C" w:themeColor="accent1"/>
            </w:tcBorders>
            <w:shd w:val="clear" w:color="auto" w:fill="FFFFFF" w:themeFill="background1"/>
          </w:tcPr>
          <w:p w14:paraId="6340A336" w14:textId="77777777" w:rsidR="00EB6D6D" w:rsidRPr="00AF652F" w:rsidRDefault="00EB6D6D" w:rsidP="00EB6D6D">
            <w:pPr>
              <w:pStyle w:val="TableText"/>
              <w:spacing w:before="0" w:after="0" w:line="240" w:lineRule="auto"/>
              <w:rPr>
                <w:rFonts w:eastAsia="Times New Roman"/>
                <w:sz w:val="2"/>
                <w:szCs w:val="16"/>
              </w:rPr>
            </w:pPr>
          </w:p>
        </w:tc>
        <w:tc>
          <w:tcPr>
            <w:tcW w:w="2527" w:type="dxa"/>
            <w:tcBorders>
              <w:top w:val="nil"/>
              <w:bottom w:val="single" w:sz="4" w:space="0" w:color="1C556C" w:themeColor="accent1"/>
            </w:tcBorders>
            <w:shd w:val="clear" w:color="auto" w:fill="FFFFFF" w:themeFill="background1"/>
          </w:tcPr>
          <w:p w14:paraId="41C23A11" w14:textId="77777777" w:rsidR="00EB6D6D" w:rsidRPr="00AF652F" w:rsidRDefault="00EB6D6D" w:rsidP="00EB6D6D">
            <w:pPr>
              <w:pStyle w:val="TableText"/>
              <w:spacing w:before="0" w:after="0" w:line="240" w:lineRule="auto"/>
              <w:rPr>
                <w:sz w:val="2"/>
                <w:szCs w:val="16"/>
              </w:rPr>
            </w:pPr>
          </w:p>
        </w:tc>
        <w:tc>
          <w:tcPr>
            <w:tcW w:w="2551" w:type="dxa"/>
            <w:tcBorders>
              <w:top w:val="nil"/>
              <w:bottom w:val="single" w:sz="4" w:space="0" w:color="1C556C" w:themeColor="accent1"/>
            </w:tcBorders>
            <w:shd w:val="clear" w:color="auto" w:fill="FFFFFF" w:themeFill="background1"/>
          </w:tcPr>
          <w:p w14:paraId="533A63C9" w14:textId="77777777" w:rsidR="00EB6D6D" w:rsidRPr="00AF652F" w:rsidRDefault="00EB6D6D" w:rsidP="00EB6D6D">
            <w:pPr>
              <w:pStyle w:val="TableText"/>
              <w:spacing w:before="0" w:after="0" w:line="240" w:lineRule="auto"/>
              <w:rPr>
                <w:sz w:val="2"/>
                <w:szCs w:val="16"/>
              </w:rPr>
            </w:pPr>
          </w:p>
        </w:tc>
        <w:tc>
          <w:tcPr>
            <w:tcW w:w="2693" w:type="dxa"/>
            <w:tcBorders>
              <w:top w:val="nil"/>
              <w:bottom w:val="single" w:sz="4" w:space="0" w:color="1C556C" w:themeColor="accent1"/>
            </w:tcBorders>
            <w:shd w:val="clear" w:color="auto" w:fill="FFFFFF" w:themeFill="background1"/>
          </w:tcPr>
          <w:p w14:paraId="0212E60C" w14:textId="77777777" w:rsidR="00EB6D6D" w:rsidRPr="00AF652F" w:rsidRDefault="00EB6D6D" w:rsidP="00EB6D6D">
            <w:pPr>
              <w:pStyle w:val="TableText"/>
              <w:spacing w:before="0" w:after="0" w:line="240" w:lineRule="auto"/>
              <w:rPr>
                <w:sz w:val="2"/>
                <w:szCs w:val="16"/>
              </w:rPr>
            </w:pPr>
          </w:p>
        </w:tc>
        <w:tc>
          <w:tcPr>
            <w:tcW w:w="2694" w:type="dxa"/>
            <w:tcBorders>
              <w:top w:val="nil"/>
              <w:bottom w:val="single" w:sz="4" w:space="0" w:color="1C556C" w:themeColor="accent1"/>
            </w:tcBorders>
            <w:shd w:val="clear" w:color="auto" w:fill="FFFFFF" w:themeFill="background1"/>
          </w:tcPr>
          <w:p w14:paraId="2A100D89" w14:textId="77777777" w:rsidR="00EB6D6D" w:rsidRPr="00AF652F" w:rsidRDefault="00EB6D6D" w:rsidP="00EB6D6D">
            <w:pPr>
              <w:pStyle w:val="TableText"/>
              <w:spacing w:before="0" w:after="0" w:line="240" w:lineRule="auto"/>
              <w:rPr>
                <w:sz w:val="2"/>
                <w:szCs w:val="16"/>
              </w:rPr>
            </w:pPr>
          </w:p>
        </w:tc>
      </w:tr>
      <w:tr w:rsidR="00417513" w:rsidRPr="00E3756C" w14:paraId="7410EBE7" w14:textId="77777777" w:rsidTr="00AF652F">
        <w:tc>
          <w:tcPr>
            <w:tcW w:w="1708" w:type="dxa"/>
            <w:gridSpan w:val="2"/>
            <w:tcBorders>
              <w:top w:val="single" w:sz="4" w:space="0" w:color="1C556C" w:themeColor="accent1"/>
              <w:bottom w:val="single" w:sz="4" w:space="0" w:color="1C556C" w:themeColor="accent1"/>
            </w:tcBorders>
            <w:shd w:val="clear" w:color="auto" w:fill="2C9986" w:themeFill="accent4"/>
          </w:tcPr>
          <w:p w14:paraId="7E36D756" w14:textId="77777777" w:rsidR="008E4F54" w:rsidRPr="00E3756C" w:rsidRDefault="008E4F54" w:rsidP="003F2743">
            <w:pPr>
              <w:rPr>
                <w:b/>
                <w:color w:val="FFFFFF" w:themeColor="background1"/>
              </w:rPr>
            </w:pPr>
            <w:r w:rsidRPr="00AF652F">
              <w:rPr>
                <w:b/>
                <w:color w:val="FFFFFF" w:themeColor="background1"/>
                <w:sz w:val="18"/>
              </w:rPr>
              <w:t>Natural environment</w:t>
            </w:r>
          </w:p>
        </w:tc>
        <w:tc>
          <w:tcPr>
            <w:tcW w:w="2456" w:type="dxa"/>
            <w:tcBorders>
              <w:top w:val="single" w:sz="4" w:space="0" w:color="1C556C" w:themeColor="accent1"/>
              <w:bottom w:val="single" w:sz="4" w:space="0" w:color="1C556C" w:themeColor="accent1"/>
            </w:tcBorders>
          </w:tcPr>
          <w:p w14:paraId="18EFE845" w14:textId="45ED1414" w:rsidR="008E4F54" w:rsidRPr="00E3756C" w:rsidRDefault="008E4F54" w:rsidP="00C92DEB">
            <w:pPr>
              <w:pStyle w:val="TableText"/>
            </w:pPr>
            <w:r w:rsidRPr="00E3756C">
              <w:rPr>
                <w:rFonts w:eastAsia="Times New Roman"/>
              </w:rPr>
              <w:t>Negligible impact or very short-term</w:t>
            </w:r>
            <w:r w:rsidR="00D2002A">
              <w:rPr>
                <w:rFonts w:eastAsia="Times New Roman"/>
              </w:rPr>
              <w:t>,</w:t>
            </w:r>
            <w:r w:rsidRPr="00E3756C">
              <w:rPr>
                <w:rFonts w:eastAsia="Times New Roman"/>
              </w:rPr>
              <w:t xml:space="preserve"> event-driven, reversible effects.</w:t>
            </w:r>
          </w:p>
          <w:p w14:paraId="46AE5371" w14:textId="77777777" w:rsidR="008E4F54" w:rsidRPr="00E3756C" w:rsidRDefault="008E4F54" w:rsidP="00C92DEB">
            <w:pPr>
              <w:pStyle w:val="TableText"/>
              <w:rPr>
                <w:rFonts w:cs="Arial"/>
              </w:rPr>
            </w:pPr>
            <w:r w:rsidRPr="00E3756C">
              <w:rPr>
                <w:rFonts w:cs="Arial"/>
              </w:rPr>
              <w:t>Difficult to isolate the trend for any climate-change influence from other natural, climatic and human factors (very low signal to noise ratio).</w:t>
            </w:r>
          </w:p>
        </w:tc>
        <w:tc>
          <w:tcPr>
            <w:tcW w:w="2527" w:type="dxa"/>
            <w:tcBorders>
              <w:top w:val="single" w:sz="4" w:space="0" w:color="1C556C" w:themeColor="accent1"/>
              <w:bottom w:val="single" w:sz="4" w:space="0" w:color="1C556C" w:themeColor="accent1"/>
            </w:tcBorders>
          </w:tcPr>
          <w:p w14:paraId="28C3EE9E" w14:textId="77777777" w:rsidR="008E4F54" w:rsidRPr="00E3756C" w:rsidRDefault="008E4F54" w:rsidP="00C92DEB">
            <w:pPr>
              <w:pStyle w:val="TableText"/>
            </w:pPr>
            <w:r w:rsidRPr="00E3756C">
              <w:t>Temporary localised or minor regional decline in land</w:t>
            </w:r>
            <w:r w:rsidR="00B6069E" w:rsidRPr="00E3756C">
              <w:t xml:space="preserve">, </w:t>
            </w:r>
            <w:r w:rsidRPr="00E3756C">
              <w:t>water</w:t>
            </w:r>
            <w:r w:rsidR="00B6069E" w:rsidRPr="00E3756C">
              <w:t xml:space="preserve">, </w:t>
            </w:r>
            <w:r w:rsidRPr="00E3756C">
              <w:t>air</w:t>
            </w:r>
            <w:r w:rsidR="00B6069E" w:rsidRPr="00E3756C">
              <w:t xml:space="preserve">, </w:t>
            </w:r>
            <w:r w:rsidRPr="00E3756C">
              <w:t>soil</w:t>
            </w:r>
            <w:r w:rsidR="00B6069E" w:rsidRPr="00E3756C">
              <w:t xml:space="preserve">, </w:t>
            </w:r>
            <w:r w:rsidRPr="00E3756C">
              <w:t xml:space="preserve">ocean quality or habitats and landscape attributable to climate change. </w:t>
            </w:r>
          </w:p>
          <w:p w14:paraId="7FA5F1B2" w14:textId="77777777" w:rsidR="008E4F54" w:rsidRPr="00E3756C" w:rsidRDefault="008E4F54" w:rsidP="00C92DEB">
            <w:pPr>
              <w:pStyle w:val="TableText"/>
            </w:pPr>
            <w:r w:rsidRPr="00E3756C">
              <w:t>Short-term temporary loss</w:t>
            </w:r>
            <w:r w:rsidR="00B6069E" w:rsidRPr="00E3756C">
              <w:t xml:space="preserve"> or </w:t>
            </w:r>
            <w:r w:rsidRPr="00E3756C">
              <w:t>minor decline in quality</w:t>
            </w:r>
            <w:r w:rsidR="00B6069E" w:rsidRPr="00E3756C">
              <w:t xml:space="preserve"> and </w:t>
            </w:r>
            <w:r w:rsidRPr="00E3756C">
              <w:t xml:space="preserve">status of designated sites attributable to climate change. </w:t>
            </w:r>
            <w:r w:rsidR="00417513" w:rsidRPr="00E3756C">
              <w:br/>
            </w:r>
            <w:r w:rsidR="00417513" w:rsidRPr="00E3756C">
              <w:br/>
            </w:r>
          </w:p>
          <w:p w14:paraId="1C3632C0" w14:textId="77777777" w:rsidR="008E4F54" w:rsidRPr="00E3756C" w:rsidRDefault="008E4F54" w:rsidP="00C92DEB">
            <w:pPr>
              <w:pStyle w:val="TableText"/>
            </w:pPr>
            <w:r w:rsidRPr="00E3756C">
              <w:lastRenderedPageBreak/>
              <w:t>Temporary short-term loss</w:t>
            </w:r>
            <w:r w:rsidR="00B6069E" w:rsidRPr="00E3756C">
              <w:t xml:space="preserve"> or </w:t>
            </w:r>
            <w:r w:rsidRPr="00E3756C">
              <w:t>minor decline in quality</w:t>
            </w:r>
            <w:r w:rsidR="00B6069E" w:rsidRPr="00E3756C">
              <w:t xml:space="preserve"> and </w:t>
            </w:r>
            <w:r w:rsidRPr="00E3756C">
              <w:t>status of taonga species.</w:t>
            </w:r>
          </w:p>
          <w:p w14:paraId="6645B79B" w14:textId="77777777" w:rsidR="008E4F54" w:rsidRPr="00E3756C" w:rsidRDefault="008E4F54" w:rsidP="00C92DEB">
            <w:pPr>
              <w:pStyle w:val="TableText"/>
              <w:rPr>
                <w:rFonts w:eastAsia="Times New Roman"/>
              </w:rPr>
            </w:pPr>
            <w:r w:rsidRPr="00E3756C">
              <w:rPr>
                <w:rFonts w:cs="Arial"/>
              </w:rPr>
              <w:t>Ability to detect minor evolving trends from climate-change influences over the background of other natural, climatic and human factors (low signal to noise ratio).</w:t>
            </w:r>
          </w:p>
        </w:tc>
        <w:tc>
          <w:tcPr>
            <w:tcW w:w="2551" w:type="dxa"/>
            <w:tcBorders>
              <w:top w:val="single" w:sz="4" w:space="0" w:color="1C556C" w:themeColor="accent1"/>
              <w:bottom w:val="single" w:sz="4" w:space="0" w:color="1C556C" w:themeColor="accent1"/>
            </w:tcBorders>
          </w:tcPr>
          <w:p w14:paraId="1BA19691" w14:textId="77777777" w:rsidR="008E4F54" w:rsidRPr="00E3756C" w:rsidRDefault="008E4F54" w:rsidP="00C92DEB">
            <w:pPr>
              <w:pStyle w:val="TableText"/>
            </w:pPr>
            <w:r w:rsidRPr="00E3756C">
              <w:lastRenderedPageBreak/>
              <w:t>Sustained local</w:t>
            </w:r>
            <w:r w:rsidR="00B6069E" w:rsidRPr="00E3756C">
              <w:t xml:space="preserve"> and </w:t>
            </w:r>
            <w:r w:rsidRPr="00E3756C">
              <w:t>regional impacts on taonga species</w:t>
            </w:r>
            <w:r w:rsidR="00B6069E" w:rsidRPr="00E3756C">
              <w:t xml:space="preserve">, </w:t>
            </w:r>
            <w:r w:rsidRPr="00E3756C">
              <w:t xml:space="preserve">habitats </w:t>
            </w:r>
            <w:r w:rsidR="00B6069E" w:rsidRPr="00E3756C">
              <w:t xml:space="preserve">and </w:t>
            </w:r>
            <w:r w:rsidRPr="00E3756C">
              <w:t xml:space="preserve">landscapes across some sub-national climate zones. </w:t>
            </w:r>
          </w:p>
          <w:p w14:paraId="211A09AD" w14:textId="24854B81" w:rsidR="008E4F54" w:rsidRPr="00E3756C" w:rsidRDefault="008E4F54" w:rsidP="00C92DEB">
            <w:pPr>
              <w:pStyle w:val="TableText"/>
            </w:pPr>
            <w:r w:rsidRPr="00E3756C">
              <w:t>Sustained locali</w:t>
            </w:r>
            <w:r w:rsidR="00B6069E" w:rsidRPr="00E3756C">
              <w:t>s</w:t>
            </w:r>
            <w:r w:rsidRPr="00E3756C">
              <w:t>ed or regional impacts on quality</w:t>
            </w:r>
            <w:r w:rsidR="00B6069E" w:rsidRPr="00E3756C">
              <w:t xml:space="preserve"> and </w:t>
            </w:r>
            <w:r w:rsidRPr="00E3756C">
              <w:t>status of environmental protected sites or marine</w:t>
            </w:r>
            <w:r w:rsidR="000172C1">
              <w:t>-</w:t>
            </w:r>
            <w:r w:rsidRPr="00E3756C">
              <w:t xml:space="preserve">protected areas of national importance. </w:t>
            </w:r>
            <w:r w:rsidR="00417513" w:rsidRPr="00E3756C">
              <w:br/>
            </w:r>
          </w:p>
          <w:p w14:paraId="7EF1F2E2" w14:textId="3A2BBE37" w:rsidR="008E4F54" w:rsidRPr="00E3756C" w:rsidRDefault="008E4F54" w:rsidP="00C92DEB">
            <w:pPr>
              <w:pStyle w:val="TableText"/>
            </w:pPr>
            <w:r w:rsidRPr="00E3756C">
              <w:lastRenderedPageBreak/>
              <w:t xml:space="preserve">Sustained localised impacts </w:t>
            </w:r>
            <w:r w:rsidR="00B6069E" w:rsidRPr="00E3756C">
              <w:t>o</w:t>
            </w:r>
            <w:r w:rsidRPr="00E3756C">
              <w:t>n ecosystem services and water</w:t>
            </w:r>
            <w:r w:rsidR="00B6069E" w:rsidRPr="00E3756C">
              <w:t xml:space="preserve">, </w:t>
            </w:r>
            <w:r w:rsidRPr="00E3756C">
              <w:t>air</w:t>
            </w:r>
            <w:r w:rsidR="00B6069E" w:rsidRPr="00E3756C">
              <w:t xml:space="preserve">, </w:t>
            </w:r>
            <w:r w:rsidR="000172C1">
              <w:t xml:space="preserve">and </w:t>
            </w:r>
            <w:r w:rsidRPr="00E3756C">
              <w:t xml:space="preserve">soil quality. </w:t>
            </w:r>
          </w:p>
          <w:p w14:paraId="22FFBB6B" w14:textId="77777777" w:rsidR="008E4F54" w:rsidRPr="00E3756C" w:rsidRDefault="008E4F54" w:rsidP="00C92DEB">
            <w:pPr>
              <w:pStyle w:val="TableText"/>
            </w:pPr>
            <w:r w:rsidRPr="00E3756C">
              <w:t xml:space="preserve">Sustained localised impacts on recreation, aesthetics, bio-chemistry or biodiversity attributable to climate change. </w:t>
            </w:r>
          </w:p>
          <w:p w14:paraId="47C5C054" w14:textId="28AE5C19" w:rsidR="008E4F54" w:rsidRPr="00E3756C" w:rsidRDefault="008E4F54" w:rsidP="00C92DEB">
            <w:pPr>
              <w:pStyle w:val="TableText"/>
            </w:pPr>
            <w:r w:rsidRPr="00E3756C">
              <w:t>Emergence of geographical shifts of species to maintain preferences for climate tolerance eg</w:t>
            </w:r>
            <w:r w:rsidR="00B6069E" w:rsidRPr="00E3756C">
              <w:t>,</w:t>
            </w:r>
            <w:r w:rsidRPr="00E3756C">
              <w:t xml:space="preserve"> fisheries, mangroves, tuna?</w:t>
            </w:r>
          </w:p>
          <w:p w14:paraId="087022CC" w14:textId="77777777" w:rsidR="008E4F54" w:rsidRPr="00E3756C" w:rsidRDefault="008E4F54" w:rsidP="00C92DEB">
            <w:pPr>
              <w:pStyle w:val="TableText"/>
            </w:pPr>
            <w:r w:rsidRPr="00E3756C">
              <w:t>Ability to detect trends of stronger effects or decline</w:t>
            </w:r>
            <w:r w:rsidR="00223801" w:rsidRPr="00E3756C">
              <w:t xml:space="preserve"> or </w:t>
            </w:r>
            <w:r w:rsidRPr="00E3756C">
              <w:t>increase from climate-change influences over the background of other natural, climatic and human factors (moderate signal to noise ratio).</w:t>
            </w:r>
          </w:p>
          <w:p w14:paraId="50F39C23" w14:textId="77777777" w:rsidR="008E4F54" w:rsidRPr="00E3756C" w:rsidRDefault="008E4F54" w:rsidP="00223801">
            <w:pPr>
              <w:pStyle w:val="TableText"/>
            </w:pPr>
            <w:r w:rsidRPr="00E3756C">
              <w:t xml:space="preserve">Moderate cross-sector consequences from </w:t>
            </w:r>
            <w:r w:rsidRPr="00E3756C">
              <w:lastRenderedPageBreak/>
              <w:t>environmental change (eg</w:t>
            </w:r>
            <w:r w:rsidR="00223801" w:rsidRPr="00E3756C">
              <w:t>,</w:t>
            </w:r>
            <w:r w:rsidRPr="00E3756C">
              <w:t xml:space="preserve"> primary sector, tourism, ecosystem services, Māori businesses, governance).</w:t>
            </w:r>
          </w:p>
        </w:tc>
        <w:tc>
          <w:tcPr>
            <w:tcW w:w="2693" w:type="dxa"/>
            <w:tcBorders>
              <w:top w:val="single" w:sz="4" w:space="0" w:color="1C556C" w:themeColor="accent1"/>
              <w:bottom w:val="single" w:sz="4" w:space="0" w:color="1C556C" w:themeColor="accent1"/>
            </w:tcBorders>
          </w:tcPr>
          <w:p w14:paraId="2CB9D51D" w14:textId="77777777" w:rsidR="008E4F54" w:rsidRPr="00E3756C" w:rsidRDefault="008E4F54" w:rsidP="00C92DEB">
            <w:pPr>
              <w:pStyle w:val="TableText"/>
            </w:pPr>
            <w:r w:rsidRPr="00E3756C">
              <w:lastRenderedPageBreak/>
              <w:t>Widespread degradation of air quality, water quality, soils, and marine environments across most sub-national climate zones</w:t>
            </w:r>
            <w:r w:rsidR="00223801" w:rsidRPr="00E3756C">
              <w:t>.</w:t>
            </w:r>
          </w:p>
          <w:p w14:paraId="703190AD" w14:textId="77777777" w:rsidR="008E4F54" w:rsidRPr="00E3756C" w:rsidRDefault="008E4F54" w:rsidP="00EE5CF1">
            <w:pPr>
              <w:pStyle w:val="TableText"/>
              <w:spacing w:after="0"/>
            </w:pPr>
            <w:r w:rsidRPr="00E3756C">
              <w:t>Medium-term loss of biodiversity after more frequent or persistent events (eg</w:t>
            </w:r>
            <w:r w:rsidR="00223801" w:rsidRPr="00E3756C">
              <w:t>,</w:t>
            </w:r>
            <w:r w:rsidRPr="00E3756C">
              <w:t xml:space="preserve"> droughts, marine heatwaves, floods) and increasing pressure of more permanent loss of biodiversity.</w:t>
            </w:r>
            <w:r w:rsidR="00417513" w:rsidRPr="00E3756C">
              <w:br/>
            </w:r>
          </w:p>
          <w:p w14:paraId="38882034" w14:textId="77777777" w:rsidR="008E4F54" w:rsidRPr="00E3756C" w:rsidRDefault="008E4F54" w:rsidP="00C92DEB">
            <w:pPr>
              <w:pStyle w:val="TableText"/>
            </w:pPr>
            <w:r w:rsidRPr="00E3756C">
              <w:lastRenderedPageBreak/>
              <w:t>Loss of significant natural areas or taonga species.</w:t>
            </w:r>
          </w:p>
          <w:p w14:paraId="59483F55" w14:textId="77777777" w:rsidR="008E4F54" w:rsidRPr="00E3756C" w:rsidRDefault="008E4F54" w:rsidP="00C92DEB">
            <w:pPr>
              <w:pStyle w:val="TableText"/>
            </w:pPr>
            <w:r w:rsidRPr="00E3756C">
              <w:t>Increasing decline or loss of climate-sensitive environments (eg</w:t>
            </w:r>
            <w:r w:rsidR="00223801" w:rsidRPr="00E3756C">
              <w:t>,</w:t>
            </w:r>
            <w:r w:rsidRPr="00E3756C">
              <w:t xml:space="preserve"> salt marsh, coastal lakes, sub-alpine ecosystems).</w:t>
            </w:r>
          </w:p>
          <w:p w14:paraId="43B294EB" w14:textId="440FE274" w:rsidR="008E4F54" w:rsidRPr="00E3756C" w:rsidRDefault="008E4F54" w:rsidP="00C92DEB">
            <w:pPr>
              <w:pStyle w:val="TableText"/>
            </w:pPr>
            <w:r w:rsidRPr="00E3756C">
              <w:t xml:space="preserve">Noticeable geographical shifts of species to maintain preferences for climate tolerance </w:t>
            </w:r>
            <w:r w:rsidR="000172C1">
              <w:t>eg,</w:t>
            </w:r>
            <w:r w:rsidRPr="00E3756C">
              <w:t xml:space="preserve"> fisheries, mangroves, tuna?</w:t>
            </w:r>
          </w:p>
          <w:p w14:paraId="3507CA92" w14:textId="77777777" w:rsidR="008E4F54" w:rsidRPr="00E3756C" w:rsidRDefault="008E4F54" w:rsidP="00C92DEB">
            <w:pPr>
              <w:pStyle w:val="TableText"/>
            </w:pPr>
            <w:r w:rsidRPr="00E3756C">
              <w:t>Ability to detect trends of deleterious effects or decline</w:t>
            </w:r>
            <w:r w:rsidR="002B7CAB" w:rsidRPr="00E3756C">
              <w:t xml:space="preserve"> or </w:t>
            </w:r>
            <w:r w:rsidRPr="00E3756C">
              <w:t>increase from climate-change influences over the background of other natural, climatic and human factors (high signal to noise ratio).</w:t>
            </w:r>
          </w:p>
          <w:p w14:paraId="06F31CA8" w14:textId="77777777" w:rsidR="008E4F54" w:rsidRPr="00E3756C" w:rsidRDefault="008E4F54" w:rsidP="002B7CAB">
            <w:pPr>
              <w:pStyle w:val="TableText"/>
            </w:pPr>
            <w:r w:rsidRPr="00E3756C">
              <w:t>Major cross-sector consequences from environmental change (eg</w:t>
            </w:r>
            <w:r w:rsidR="002B7CAB" w:rsidRPr="00E3756C">
              <w:t>,</w:t>
            </w:r>
            <w:r w:rsidRPr="00E3756C">
              <w:t xml:space="preserve"> primary sector, tourism, ecosystem services, Māori businesses, governance).</w:t>
            </w:r>
          </w:p>
        </w:tc>
        <w:tc>
          <w:tcPr>
            <w:tcW w:w="2694" w:type="dxa"/>
            <w:tcBorders>
              <w:top w:val="single" w:sz="4" w:space="0" w:color="1C556C" w:themeColor="accent1"/>
              <w:bottom w:val="single" w:sz="4" w:space="0" w:color="1C556C" w:themeColor="accent1"/>
            </w:tcBorders>
          </w:tcPr>
          <w:p w14:paraId="379F15CD" w14:textId="77777777" w:rsidR="008E4F54" w:rsidRPr="00E3756C" w:rsidRDefault="008E4F54" w:rsidP="00EE5CF1">
            <w:pPr>
              <w:pStyle w:val="TableText"/>
              <w:spacing w:after="20"/>
            </w:pPr>
            <w:r w:rsidRPr="00E3756C">
              <w:lastRenderedPageBreak/>
              <w:t>Permanent degradation of air quality, water quality, soils and marine environments nationally.</w:t>
            </w:r>
          </w:p>
          <w:p w14:paraId="6D1418DC" w14:textId="77777777" w:rsidR="008E4F54" w:rsidRPr="00E3756C" w:rsidRDefault="008E4F54" w:rsidP="00EE5CF1">
            <w:pPr>
              <w:pStyle w:val="TableText"/>
              <w:spacing w:after="20"/>
            </w:pPr>
            <w:r w:rsidRPr="00E3756C">
              <w:t>Permanent loss of biodiversity.</w:t>
            </w:r>
          </w:p>
          <w:p w14:paraId="370AA363" w14:textId="59DEC588" w:rsidR="008E4F54" w:rsidRPr="00E3756C" w:rsidRDefault="008E4F54" w:rsidP="00EE5CF1">
            <w:pPr>
              <w:pStyle w:val="TableText"/>
              <w:spacing w:after="20"/>
            </w:pPr>
            <w:r w:rsidRPr="00E3756C">
              <w:t>Permanent, widespread loss of significant natural area</w:t>
            </w:r>
            <w:r w:rsidR="000172C1">
              <w:t>s</w:t>
            </w:r>
            <w:r w:rsidRPr="00E3756C">
              <w:t xml:space="preserve"> or taonga species.</w:t>
            </w:r>
          </w:p>
          <w:p w14:paraId="2E2AE35C" w14:textId="77777777" w:rsidR="008E4F54" w:rsidRPr="00E3756C" w:rsidRDefault="008E4F54" w:rsidP="00C92DEB">
            <w:pPr>
              <w:pStyle w:val="TableText"/>
            </w:pPr>
            <w:r w:rsidRPr="00E3756C">
              <w:t>Substantial loss of climate-sensitive environments (eg</w:t>
            </w:r>
            <w:r w:rsidR="002B7CAB" w:rsidRPr="00E3756C">
              <w:t>,</w:t>
            </w:r>
            <w:r w:rsidRPr="00E3756C">
              <w:t xml:space="preserve"> salt </w:t>
            </w:r>
            <w:r w:rsidRPr="00E3756C">
              <w:lastRenderedPageBreak/>
              <w:t>marsh, coastal lakes, sub-alpine ecosystems).</w:t>
            </w:r>
          </w:p>
          <w:p w14:paraId="3E610475" w14:textId="306F5EE6" w:rsidR="008E4F54" w:rsidRPr="00E3756C" w:rsidRDefault="008E4F54" w:rsidP="00C92DEB">
            <w:pPr>
              <w:pStyle w:val="TableText"/>
            </w:pPr>
            <w:r w:rsidRPr="00E3756C">
              <w:t>Strong geographical shifts of species to maintain preferences for climate tolerance eg</w:t>
            </w:r>
            <w:r w:rsidR="002B7CAB" w:rsidRPr="00E3756C">
              <w:t>,</w:t>
            </w:r>
            <w:r w:rsidRPr="00E3756C">
              <w:t xml:space="preserve"> fisheries, mangroves, tuna?</w:t>
            </w:r>
          </w:p>
          <w:p w14:paraId="2AF4D3A6" w14:textId="3B986077" w:rsidR="008E4F54" w:rsidRPr="00E3756C" w:rsidRDefault="008E4F54" w:rsidP="00C92DEB">
            <w:pPr>
              <w:pStyle w:val="TableText"/>
            </w:pPr>
            <w:r w:rsidRPr="00E3756C">
              <w:t>Obvious trends of major effects or</w:t>
            </w:r>
            <w:r w:rsidR="000172C1">
              <w:t xml:space="preserve"> </w:t>
            </w:r>
            <w:r w:rsidRPr="00E3756C">
              <w:t>decline</w:t>
            </w:r>
            <w:r w:rsidR="002B7CAB" w:rsidRPr="00E3756C">
              <w:t xml:space="preserve"> or </w:t>
            </w:r>
            <w:r w:rsidRPr="00E3756C">
              <w:t>increase from climate-change influences over the background of other natural, climatic and human factors (high signal to noise ratio).</w:t>
            </w:r>
          </w:p>
          <w:p w14:paraId="0D68444D" w14:textId="77777777" w:rsidR="008E4F54" w:rsidRPr="00E3756C" w:rsidRDefault="008E4F54" w:rsidP="002B7CAB">
            <w:pPr>
              <w:pStyle w:val="TableText"/>
            </w:pPr>
            <w:r w:rsidRPr="00E3756C">
              <w:t>Substantial cross-sector consequences from environmental change (eg</w:t>
            </w:r>
            <w:r w:rsidR="002B7CAB" w:rsidRPr="00E3756C">
              <w:t>,</w:t>
            </w:r>
            <w:r w:rsidRPr="00E3756C">
              <w:t xml:space="preserve"> primary sector, tourism, ecosystem services, Māori businesses, governance).</w:t>
            </w:r>
          </w:p>
        </w:tc>
      </w:tr>
      <w:tr w:rsidR="008E4F54" w:rsidRPr="00E3756C" w14:paraId="7E4DBB11" w14:textId="77777777" w:rsidTr="00AF652F">
        <w:tc>
          <w:tcPr>
            <w:tcW w:w="1708" w:type="dxa"/>
            <w:gridSpan w:val="2"/>
            <w:tcBorders>
              <w:top w:val="single" w:sz="4" w:space="0" w:color="1C556C" w:themeColor="accent1"/>
              <w:bottom w:val="single" w:sz="4" w:space="0" w:color="1C556C" w:themeColor="accent1"/>
            </w:tcBorders>
            <w:shd w:val="clear" w:color="auto" w:fill="32809C"/>
          </w:tcPr>
          <w:p w14:paraId="4836E405" w14:textId="77777777" w:rsidR="008E4F54" w:rsidRPr="00E3756C" w:rsidRDefault="008E4F54" w:rsidP="00C92DEB">
            <w:pPr>
              <w:pStyle w:val="TableText"/>
              <w:rPr>
                <w:b/>
                <w:color w:val="FFFFFF" w:themeColor="background1"/>
              </w:rPr>
            </w:pPr>
            <w:r w:rsidRPr="00E3756C">
              <w:rPr>
                <w:b/>
                <w:color w:val="FFFFFF" w:themeColor="background1"/>
              </w:rPr>
              <w:lastRenderedPageBreak/>
              <w:t>Economy</w:t>
            </w:r>
          </w:p>
        </w:tc>
        <w:tc>
          <w:tcPr>
            <w:tcW w:w="2456" w:type="dxa"/>
            <w:tcBorders>
              <w:top w:val="single" w:sz="4" w:space="0" w:color="1C556C" w:themeColor="accent1"/>
            </w:tcBorders>
          </w:tcPr>
          <w:p w14:paraId="7CD66B41" w14:textId="77777777" w:rsidR="008E4F54" w:rsidRPr="00E3756C" w:rsidRDefault="008E4F54" w:rsidP="002B7CAB">
            <w:pPr>
              <w:pStyle w:val="TableText"/>
            </w:pPr>
            <w:r w:rsidRPr="00E3756C">
              <w:t xml:space="preserve">No impact; </w:t>
            </w:r>
            <w:r w:rsidR="002B7CAB" w:rsidRPr="00E3756C">
              <w:t xml:space="preserve">less than </w:t>
            </w:r>
            <w:r w:rsidRPr="00E3756C">
              <w:t xml:space="preserve">1% of </w:t>
            </w:r>
            <w:r w:rsidR="002B7CAB" w:rsidRPr="00E3756C">
              <w:t>g</w:t>
            </w:r>
            <w:r w:rsidRPr="00E3756C">
              <w:t xml:space="preserve">ross </w:t>
            </w:r>
            <w:r w:rsidR="002B7CAB" w:rsidRPr="00E3756C">
              <w:t>domestic</w:t>
            </w:r>
            <w:r w:rsidRPr="00E3756C">
              <w:t xml:space="preserve"> </w:t>
            </w:r>
            <w:r w:rsidR="002B7CAB" w:rsidRPr="00E3756C">
              <w:t>p</w:t>
            </w:r>
            <w:r w:rsidRPr="00E3756C">
              <w:t>roduct (GDP).</w:t>
            </w:r>
          </w:p>
        </w:tc>
        <w:tc>
          <w:tcPr>
            <w:tcW w:w="2527" w:type="dxa"/>
            <w:tcBorders>
              <w:top w:val="single" w:sz="4" w:space="0" w:color="1C556C" w:themeColor="accent1"/>
            </w:tcBorders>
          </w:tcPr>
          <w:p w14:paraId="48DD9BD7"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A small number of individuals are affected with minimal financial losses.</w:t>
            </w:r>
          </w:p>
          <w:p w14:paraId="78B0716D"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Short</w:t>
            </w:r>
            <w:r w:rsidR="002B7CAB" w:rsidRPr="00E3756C">
              <w:rPr>
                <w:rFonts w:cs="Arial"/>
                <w:color w:val="000000" w:themeColor="text1"/>
                <w:szCs w:val="18"/>
              </w:rPr>
              <w:t>-</w:t>
            </w:r>
            <w:r w:rsidRPr="00E3756C">
              <w:rPr>
                <w:rFonts w:cs="Arial"/>
                <w:color w:val="000000" w:themeColor="text1"/>
                <w:szCs w:val="18"/>
              </w:rPr>
              <w:t xml:space="preserve">term business disruption and/or minimal impact </w:t>
            </w:r>
            <w:r w:rsidR="000E48A8" w:rsidRPr="00E3756C">
              <w:rPr>
                <w:rFonts w:cs="Arial"/>
                <w:color w:val="000000" w:themeColor="text1"/>
                <w:szCs w:val="18"/>
              </w:rPr>
              <w:t>on</w:t>
            </w:r>
            <w:r w:rsidRPr="00E3756C">
              <w:rPr>
                <w:rFonts w:cs="Arial"/>
                <w:color w:val="000000" w:themeColor="text1"/>
                <w:szCs w:val="18"/>
              </w:rPr>
              <w:t xml:space="preserve"> profitability.</w:t>
            </w:r>
          </w:p>
          <w:p w14:paraId="23FC5923"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Short-term increases in local</w:t>
            </w:r>
            <w:r w:rsidR="002B7CAB" w:rsidRPr="00E3756C">
              <w:rPr>
                <w:rFonts w:cs="Arial"/>
                <w:color w:val="000000" w:themeColor="text1"/>
                <w:szCs w:val="18"/>
              </w:rPr>
              <w:t xml:space="preserve"> and </w:t>
            </w:r>
            <w:r w:rsidRPr="00E3756C">
              <w:rPr>
                <w:rFonts w:cs="Arial"/>
                <w:color w:val="000000" w:themeColor="text1"/>
                <w:szCs w:val="18"/>
              </w:rPr>
              <w:t>central government costs.</w:t>
            </w:r>
          </w:p>
          <w:p w14:paraId="22F454FB"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Short</w:t>
            </w:r>
            <w:r w:rsidR="002B7CAB" w:rsidRPr="00E3756C">
              <w:rPr>
                <w:rFonts w:cs="Arial"/>
                <w:color w:val="000000" w:themeColor="text1"/>
                <w:szCs w:val="18"/>
              </w:rPr>
              <w:t>-</w:t>
            </w:r>
            <w:r w:rsidRPr="00E3756C">
              <w:rPr>
                <w:rFonts w:cs="Arial"/>
                <w:color w:val="000000" w:themeColor="text1"/>
                <w:szCs w:val="18"/>
              </w:rPr>
              <w:t>term loss of output for a key economic sector.</w:t>
            </w:r>
          </w:p>
          <w:p w14:paraId="126CDCAE"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Limited disruption to employment.</w:t>
            </w:r>
          </w:p>
          <w:p w14:paraId="755ABB3A"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Total financial losses 1</w:t>
            </w:r>
            <w:r w:rsidR="000E48A8" w:rsidRPr="00E3756C">
              <w:rPr>
                <w:rFonts w:cs="Arial"/>
                <w:color w:val="000000" w:themeColor="text1"/>
                <w:szCs w:val="18"/>
              </w:rPr>
              <w:t>–</w:t>
            </w:r>
            <w:r w:rsidRPr="00E3756C">
              <w:rPr>
                <w:rFonts w:cs="Arial"/>
                <w:color w:val="000000" w:themeColor="text1"/>
                <w:szCs w:val="18"/>
              </w:rPr>
              <w:t xml:space="preserve">2% of GDP. </w:t>
            </w:r>
          </w:p>
          <w:p w14:paraId="34CD8CDE" w14:textId="77777777" w:rsidR="008E4F54" w:rsidRPr="00E3756C" w:rsidRDefault="008E4F54" w:rsidP="00C92DEB">
            <w:pPr>
              <w:pStyle w:val="TableText"/>
              <w:rPr>
                <w:rFonts w:cs="Arial"/>
                <w:color w:val="000000" w:themeColor="text1"/>
                <w:szCs w:val="18"/>
              </w:rPr>
            </w:pPr>
            <w:r w:rsidRPr="00E3756C">
              <w:rPr>
                <w:rFonts w:cs="Arial"/>
                <w:color w:val="000000" w:themeColor="text1"/>
                <w:szCs w:val="18"/>
              </w:rPr>
              <w:t>A small number of livestock lost with minimal financial</w:t>
            </w:r>
            <w:r w:rsidR="00C92DEB" w:rsidRPr="00E3756C">
              <w:rPr>
                <w:rFonts w:cs="Arial"/>
                <w:color w:val="000000" w:themeColor="text1"/>
                <w:szCs w:val="18"/>
              </w:rPr>
              <w:t xml:space="preserve"> </w:t>
            </w:r>
            <w:r w:rsidRPr="00E3756C">
              <w:rPr>
                <w:rFonts w:cs="Arial"/>
                <w:color w:val="000000" w:themeColor="text1"/>
                <w:szCs w:val="18"/>
              </w:rPr>
              <w:t>losses.</w:t>
            </w:r>
          </w:p>
        </w:tc>
        <w:tc>
          <w:tcPr>
            <w:tcW w:w="2551" w:type="dxa"/>
            <w:tcBorders>
              <w:top w:val="single" w:sz="4" w:space="0" w:color="1C556C" w:themeColor="accent1"/>
            </w:tcBorders>
          </w:tcPr>
          <w:p w14:paraId="4CA1F099"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Many individuals with significant financial losses.</w:t>
            </w:r>
          </w:p>
          <w:p w14:paraId="7B97F026" w14:textId="77777777" w:rsidR="008E4F54" w:rsidRPr="00E3756C" w:rsidRDefault="008E4F54" w:rsidP="00AF652F">
            <w:pPr>
              <w:pStyle w:val="TableText"/>
              <w:spacing w:before="40" w:after="40"/>
              <w:rPr>
                <w:rFonts w:cs="Arial"/>
                <w:color w:val="000000" w:themeColor="text1"/>
                <w:szCs w:val="18"/>
              </w:rPr>
            </w:pPr>
            <w:r w:rsidRPr="00E3756C">
              <w:rPr>
                <w:rFonts w:cs="Arial"/>
                <w:color w:val="000000" w:themeColor="text1"/>
                <w:szCs w:val="18"/>
              </w:rPr>
              <w:t>Medium</w:t>
            </w:r>
            <w:r w:rsidR="000E48A8" w:rsidRPr="00E3756C">
              <w:rPr>
                <w:rFonts w:cs="Arial"/>
                <w:color w:val="000000" w:themeColor="text1"/>
                <w:szCs w:val="18"/>
              </w:rPr>
              <w:t>-</w:t>
            </w:r>
            <w:r w:rsidRPr="00E3756C">
              <w:rPr>
                <w:rFonts w:cs="Arial"/>
                <w:color w:val="000000" w:themeColor="text1"/>
                <w:szCs w:val="18"/>
              </w:rPr>
              <w:t xml:space="preserve">term business disruption and/or moderate impact </w:t>
            </w:r>
            <w:r w:rsidR="000E48A8" w:rsidRPr="00E3756C">
              <w:rPr>
                <w:rFonts w:cs="Arial"/>
                <w:color w:val="000000" w:themeColor="text1"/>
                <w:szCs w:val="18"/>
              </w:rPr>
              <w:t>on</w:t>
            </w:r>
            <w:r w:rsidR="00C92DEB" w:rsidRPr="00E3756C">
              <w:rPr>
                <w:rFonts w:cs="Arial"/>
                <w:color w:val="000000" w:themeColor="text1"/>
                <w:szCs w:val="18"/>
              </w:rPr>
              <w:t xml:space="preserve"> </w:t>
            </w:r>
            <w:r w:rsidRPr="00E3756C">
              <w:rPr>
                <w:rFonts w:cs="Arial"/>
                <w:color w:val="000000" w:themeColor="text1"/>
                <w:szCs w:val="18"/>
              </w:rPr>
              <w:t>profitability.</w:t>
            </w:r>
          </w:p>
          <w:p w14:paraId="0EE4E874" w14:textId="5FB996EF"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Medium</w:t>
            </w:r>
            <w:r w:rsidR="000172C1">
              <w:rPr>
                <w:rFonts w:cs="Arial"/>
                <w:color w:val="000000" w:themeColor="text1"/>
                <w:szCs w:val="18"/>
              </w:rPr>
              <w:t>-</w:t>
            </w:r>
            <w:r w:rsidRPr="00E3756C">
              <w:rPr>
                <w:rFonts w:cs="Arial"/>
                <w:color w:val="000000" w:themeColor="text1"/>
                <w:szCs w:val="18"/>
              </w:rPr>
              <w:t>term increase in local</w:t>
            </w:r>
            <w:r w:rsidR="000E48A8" w:rsidRPr="00E3756C">
              <w:rPr>
                <w:rFonts w:cs="Arial"/>
                <w:color w:val="000000" w:themeColor="text1"/>
                <w:szCs w:val="18"/>
              </w:rPr>
              <w:t xml:space="preserve"> and </w:t>
            </w:r>
            <w:r w:rsidRPr="00E3756C">
              <w:rPr>
                <w:rFonts w:cs="Arial"/>
                <w:color w:val="000000" w:themeColor="text1"/>
                <w:szCs w:val="18"/>
              </w:rPr>
              <w:t>central government</w:t>
            </w:r>
            <w:r w:rsidR="00C92DEB" w:rsidRPr="00E3756C">
              <w:rPr>
                <w:rFonts w:cs="Arial"/>
                <w:color w:val="000000" w:themeColor="text1"/>
                <w:szCs w:val="18"/>
              </w:rPr>
              <w:t xml:space="preserve"> </w:t>
            </w:r>
            <w:r w:rsidRPr="00E3756C">
              <w:rPr>
                <w:rFonts w:cs="Arial"/>
                <w:color w:val="000000" w:themeColor="text1"/>
                <w:szCs w:val="18"/>
              </w:rPr>
              <w:t>costs, minimal loss of assets.</w:t>
            </w:r>
          </w:p>
          <w:p w14:paraId="7EB66D59"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Medium</w:t>
            </w:r>
            <w:r w:rsidR="000E48A8" w:rsidRPr="00E3756C">
              <w:rPr>
                <w:rFonts w:cs="Arial"/>
                <w:color w:val="000000" w:themeColor="text1"/>
                <w:szCs w:val="18"/>
              </w:rPr>
              <w:t>-</w:t>
            </w:r>
            <w:r w:rsidRPr="00E3756C">
              <w:rPr>
                <w:rFonts w:cs="Arial"/>
                <w:color w:val="000000" w:themeColor="text1"/>
                <w:szCs w:val="18"/>
              </w:rPr>
              <w:t>term loss of output for a key economic</w:t>
            </w:r>
            <w:r w:rsidR="00484C8A" w:rsidRPr="00E3756C">
              <w:rPr>
                <w:rFonts w:cs="Arial"/>
                <w:color w:val="000000" w:themeColor="text1"/>
                <w:szCs w:val="18"/>
              </w:rPr>
              <w:t xml:space="preserve"> </w:t>
            </w:r>
            <w:r w:rsidRPr="00E3756C">
              <w:rPr>
                <w:rFonts w:cs="Arial"/>
                <w:color w:val="000000" w:themeColor="text1"/>
                <w:szCs w:val="18"/>
              </w:rPr>
              <w:t>sector.</w:t>
            </w:r>
          </w:p>
          <w:p w14:paraId="378DECEA"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Temporary reduction in employment.</w:t>
            </w:r>
          </w:p>
          <w:p w14:paraId="5AC690F7"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Total financial losses 2</w:t>
            </w:r>
            <w:r w:rsidR="000E48A8" w:rsidRPr="00E3756C">
              <w:rPr>
                <w:rFonts w:cs="Arial"/>
                <w:color w:val="000000" w:themeColor="text1"/>
                <w:szCs w:val="18"/>
              </w:rPr>
              <w:t>–</w:t>
            </w:r>
            <w:r w:rsidRPr="00E3756C">
              <w:rPr>
                <w:rFonts w:cs="Arial"/>
                <w:color w:val="000000" w:themeColor="text1"/>
                <w:szCs w:val="18"/>
              </w:rPr>
              <w:t>3% of GDP.</w:t>
            </w:r>
          </w:p>
          <w:p w14:paraId="0EB44A45" w14:textId="77777777" w:rsidR="008E4F54" w:rsidRPr="00E3756C" w:rsidRDefault="008E4F54" w:rsidP="00C92DEB">
            <w:pPr>
              <w:pStyle w:val="TableText"/>
              <w:rPr>
                <w:rFonts w:cs="Arial"/>
                <w:color w:val="000000" w:themeColor="text1"/>
                <w:szCs w:val="18"/>
              </w:rPr>
            </w:pPr>
            <w:r w:rsidRPr="00E3756C">
              <w:rPr>
                <w:rFonts w:cs="Arial"/>
                <w:color w:val="000000" w:themeColor="text1"/>
                <w:szCs w:val="18"/>
              </w:rPr>
              <w:t>Many stock losses with significant financial losses.</w:t>
            </w:r>
          </w:p>
        </w:tc>
        <w:tc>
          <w:tcPr>
            <w:tcW w:w="2693" w:type="dxa"/>
            <w:tcBorders>
              <w:top w:val="single" w:sz="4" w:space="0" w:color="1C556C" w:themeColor="accent1"/>
            </w:tcBorders>
          </w:tcPr>
          <w:p w14:paraId="3591FA2E"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Significant number of people affected, with large financial losses.</w:t>
            </w:r>
          </w:p>
          <w:p w14:paraId="3C378AA2" w14:textId="77777777" w:rsidR="008E4F54" w:rsidRPr="00E3756C" w:rsidRDefault="008E4F54" w:rsidP="00AF652F">
            <w:pPr>
              <w:pStyle w:val="TableText"/>
              <w:spacing w:before="40" w:after="40"/>
              <w:rPr>
                <w:rFonts w:cs="Arial"/>
                <w:color w:val="000000" w:themeColor="text1"/>
                <w:szCs w:val="18"/>
              </w:rPr>
            </w:pPr>
            <w:r w:rsidRPr="00E3756C">
              <w:rPr>
                <w:rFonts w:cs="Arial"/>
                <w:color w:val="000000" w:themeColor="text1"/>
                <w:szCs w:val="18"/>
              </w:rPr>
              <w:t>Long</w:t>
            </w:r>
            <w:r w:rsidR="000E48A8" w:rsidRPr="00E3756C">
              <w:rPr>
                <w:rFonts w:cs="Arial"/>
                <w:color w:val="000000" w:themeColor="text1"/>
                <w:szCs w:val="18"/>
              </w:rPr>
              <w:t>-</w:t>
            </w:r>
            <w:r w:rsidRPr="00E3756C">
              <w:rPr>
                <w:rFonts w:cs="Arial"/>
                <w:color w:val="000000" w:themeColor="text1"/>
                <w:szCs w:val="18"/>
              </w:rPr>
              <w:t>term business disruption and/or</w:t>
            </w:r>
            <w:r w:rsidR="00C92DEB" w:rsidRPr="00E3756C">
              <w:rPr>
                <w:rFonts w:cs="Arial"/>
                <w:color w:val="000000" w:themeColor="text1"/>
                <w:szCs w:val="18"/>
              </w:rPr>
              <w:t xml:space="preserve"> </w:t>
            </w:r>
            <w:r w:rsidRPr="00E3756C">
              <w:rPr>
                <w:rFonts w:cs="Arial"/>
                <w:color w:val="000000" w:themeColor="text1"/>
                <w:szCs w:val="18"/>
              </w:rPr>
              <w:t xml:space="preserve">significant impact </w:t>
            </w:r>
            <w:r w:rsidR="000E48A8" w:rsidRPr="00E3756C">
              <w:rPr>
                <w:rFonts w:cs="Arial"/>
                <w:color w:val="000000" w:themeColor="text1"/>
                <w:szCs w:val="18"/>
              </w:rPr>
              <w:t>on</w:t>
            </w:r>
            <w:r w:rsidR="00C92DEB" w:rsidRPr="00E3756C">
              <w:rPr>
                <w:rFonts w:cs="Arial"/>
                <w:color w:val="000000" w:themeColor="text1"/>
                <w:szCs w:val="18"/>
              </w:rPr>
              <w:t xml:space="preserve"> </w:t>
            </w:r>
            <w:r w:rsidRPr="00E3756C">
              <w:rPr>
                <w:rFonts w:cs="Arial"/>
                <w:color w:val="000000" w:themeColor="text1"/>
                <w:szCs w:val="18"/>
              </w:rPr>
              <w:t>profitability.</w:t>
            </w:r>
          </w:p>
          <w:p w14:paraId="39CE2D1D" w14:textId="77777777" w:rsidR="008E4F54" w:rsidRPr="00E3756C" w:rsidRDefault="008E4F54" w:rsidP="00AF652F">
            <w:pPr>
              <w:pStyle w:val="TableText"/>
              <w:spacing w:before="40" w:after="40"/>
              <w:rPr>
                <w:rFonts w:cs="Arial"/>
                <w:color w:val="000000" w:themeColor="text1"/>
                <w:szCs w:val="18"/>
              </w:rPr>
            </w:pPr>
            <w:r w:rsidRPr="00E3756C">
              <w:rPr>
                <w:rFonts w:cs="Arial"/>
                <w:color w:val="000000" w:themeColor="text1"/>
                <w:szCs w:val="18"/>
              </w:rPr>
              <w:t>Long</w:t>
            </w:r>
            <w:r w:rsidR="000E48A8" w:rsidRPr="00E3756C">
              <w:rPr>
                <w:rFonts w:cs="Arial"/>
                <w:color w:val="000000" w:themeColor="text1"/>
                <w:szCs w:val="18"/>
              </w:rPr>
              <w:t>-</w:t>
            </w:r>
            <w:r w:rsidRPr="00E3756C">
              <w:rPr>
                <w:rFonts w:cs="Arial"/>
                <w:color w:val="000000" w:themeColor="text1"/>
                <w:szCs w:val="18"/>
              </w:rPr>
              <w:t>term increases in local</w:t>
            </w:r>
            <w:r w:rsidR="000E48A8" w:rsidRPr="00E3756C">
              <w:rPr>
                <w:rFonts w:cs="Arial"/>
                <w:color w:val="000000" w:themeColor="text1"/>
                <w:szCs w:val="18"/>
              </w:rPr>
              <w:t xml:space="preserve"> and </w:t>
            </w:r>
            <w:r w:rsidRPr="00E3756C">
              <w:rPr>
                <w:rFonts w:cs="Arial"/>
                <w:color w:val="000000" w:themeColor="text1"/>
                <w:szCs w:val="18"/>
              </w:rPr>
              <w:t>central government costs, some loss of assets.</w:t>
            </w:r>
          </w:p>
          <w:p w14:paraId="35A57738" w14:textId="77777777" w:rsidR="008E4F54" w:rsidRPr="00E3756C" w:rsidRDefault="008E4F54" w:rsidP="00AF652F">
            <w:pPr>
              <w:pStyle w:val="TableText"/>
              <w:spacing w:before="40" w:after="40"/>
              <w:rPr>
                <w:rFonts w:cs="Arial"/>
                <w:color w:val="000000" w:themeColor="text1"/>
                <w:szCs w:val="18"/>
              </w:rPr>
            </w:pPr>
            <w:r w:rsidRPr="00E3756C">
              <w:rPr>
                <w:rFonts w:cs="Arial"/>
                <w:color w:val="000000" w:themeColor="text1"/>
                <w:szCs w:val="18"/>
              </w:rPr>
              <w:t>Long</w:t>
            </w:r>
            <w:r w:rsidR="000E48A8" w:rsidRPr="00E3756C">
              <w:rPr>
                <w:rFonts w:cs="Arial"/>
                <w:color w:val="000000" w:themeColor="text1"/>
                <w:szCs w:val="18"/>
              </w:rPr>
              <w:t>-</w:t>
            </w:r>
            <w:r w:rsidRPr="00E3756C">
              <w:rPr>
                <w:rFonts w:cs="Arial"/>
                <w:color w:val="000000" w:themeColor="text1"/>
                <w:szCs w:val="18"/>
              </w:rPr>
              <w:t>term loss of output for a key economic sector.</w:t>
            </w:r>
          </w:p>
          <w:p w14:paraId="27DB7656" w14:textId="77777777" w:rsidR="008E4F54" w:rsidRPr="00E3756C" w:rsidRDefault="008E4F54" w:rsidP="00AF652F">
            <w:pPr>
              <w:pStyle w:val="TableText"/>
              <w:spacing w:before="40" w:after="40"/>
              <w:rPr>
                <w:rFonts w:cs="Arial"/>
                <w:color w:val="000000" w:themeColor="text1"/>
                <w:szCs w:val="18"/>
              </w:rPr>
            </w:pPr>
            <w:r w:rsidRPr="00E3756C">
              <w:rPr>
                <w:rFonts w:cs="Arial"/>
                <w:color w:val="000000" w:themeColor="text1"/>
                <w:szCs w:val="18"/>
              </w:rPr>
              <w:t>Medium</w:t>
            </w:r>
            <w:r w:rsidR="000E48A8" w:rsidRPr="00E3756C">
              <w:rPr>
                <w:rFonts w:cs="Arial"/>
                <w:color w:val="000000" w:themeColor="text1"/>
                <w:szCs w:val="18"/>
              </w:rPr>
              <w:t>-</w:t>
            </w:r>
            <w:r w:rsidRPr="00E3756C">
              <w:rPr>
                <w:rFonts w:cs="Arial"/>
                <w:color w:val="000000" w:themeColor="text1"/>
                <w:szCs w:val="18"/>
              </w:rPr>
              <w:t xml:space="preserve"> to long</w:t>
            </w:r>
            <w:r w:rsidR="000E48A8" w:rsidRPr="00E3756C">
              <w:rPr>
                <w:rFonts w:cs="Arial"/>
                <w:color w:val="000000" w:themeColor="text1"/>
                <w:szCs w:val="18"/>
              </w:rPr>
              <w:t>-</w:t>
            </w:r>
            <w:r w:rsidRPr="00E3756C">
              <w:rPr>
                <w:rFonts w:cs="Arial"/>
                <w:color w:val="000000" w:themeColor="text1"/>
                <w:szCs w:val="18"/>
              </w:rPr>
              <w:t>term</w:t>
            </w:r>
            <w:r w:rsidR="00C92DEB" w:rsidRPr="00E3756C">
              <w:rPr>
                <w:rFonts w:cs="Arial"/>
                <w:color w:val="000000" w:themeColor="text1"/>
                <w:szCs w:val="18"/>
              </w:rPr>
              <w:t xml:space="preserve"> </w:t>
            </w:r>
            <w:r w:rsidRPr="00E3756C">
              <w:rPr>
                <w:rFonts w:cs="Arial"/>
                <w:color w:val="000000" w:themeColor="text1"/>
                <w:szCs w:val="18"/>
              </w:rPr>
              <w:t>reduction in employment.</w:t>
            </w:r>
          </w:p>
          <w:p w14:paraId="295796AA" w14:textId="77777777" w:rsidR="00AF652F" w:rsidRDefault="008E4F54" w:rsidP="00AF652F">
            <w:pPr>
              <w:pStyle w:val="TableText"/>
              <w:spacing w:before="40" w:after="40"/>
              <w:rPr>
                <w:rFonts w:cs="Arial"/>
                <w:color w:val="000000" w:themeColor="text1"/>
                <w:szCs w:val="18"/>
              </w:rPr>
            </w:pPr>
            <w:r w:rsidRPr="00E3756C">
              <w:rPr>
                <w:rFonts w:cs="Arial"/>
                <w:color w:val="000000" w:themeColor="text1"/>
                <w:szCs w:val="18"/>
              </w:rPr>
              <w:t>Total financial losses</w:t>
            </w:r>
            <w:r w:rsidR="00484C8A" w:rsidRPr="00E3756C">
              <w:rPr>
                <w:rFonts w:cs="Arial"/>
                <w:color w:val="000000" w:themeColor="text1"/>
                <w:szCs w:val="18"/>
              </w:rPr>
              <w:t xml:space="preserve"> </w:t>
            </w:r>
            <w:r w:rsidRPr="00E3756C">
              <w:rPr>
                <w:rFonts w:cs="Arial"/>
                <w:color w:val="000000" w:themeColor="text1"/>
                <w:szCs w:val="18"/>
              </w:rPr>
              <w:t>3</w:t>
            </w:r>
            <w:r w:rsidR="000E48A8" w:rsidRPr="00E3756C">
              <w:rPr>
                <w:rFonts w:cs="Arial"/>
                <w:color w:val="000000" w:themeColor="text1"/>
                <w:szCs w:val="18"/>
              </w:rPr>
              <w:t>–</w:t>
            </w:r>
            <w:r w:rsidRPr="00E3756C">
              <w:rPr>
                <w:rFonts w:cs="Arial"/>
                <w:color w:val="000000" w:themeColor="text1"/>
                <w:szCs w:val="18"/>
              </w:rPr>
              <w:t>4% of GDP.</w:t>
            </w:r>
            <w:r w:rsidR="00AF652F">
              <w:rPr>
                <w:rFonts w:cs="Arial"/>
                <w:color w:val="000000" w:themeColor="text1"/>
                <w:szCs w:val="18"/>
              </w:rPr>
              <w:t xml:space="preserve"> </w:t>
            </w:r>
          </w:p>
          <w:p w14:paraId="203BADEF" w14:textId="77777777" w:rsidR="008E4F54" w:rsidRPr="00E3756C" w:rsidRDefault="008E4F54" w:rsidP="00AF652F">
            <w:pPr>
              <w:pStyle w:val="TableText"/>
              <w:spacing w:after="40"/>
              <w:rPr>
                <w:rFonts w:cs="Arial"/>
                <w:color w:val="000000" w:themeColor="text1"/>
                <w:szCs w:val="18"/>
              </w:rPr>
            </w:pPr>
            <w:r w:rsidRPr="00E3756C">
              <w:rPr>
                <w:rFonts w:cs="Arial"/>
                <w:color w:val="000000" w:themeColor="text1"/>
                <w:szCs w:val="18"/>
              </w:rPr>
              <w:t>Significant number of</w:t>
            </w:r>
            <w:r w:rsidR="00C92DEB" w:rsidRPr="00E3756C">
              <w:rPr>
                <w:rFonts w:cs="Arial"/>
                <w:color w:val="000000" w:themeColor="text1"/>
                <w:szCs w:val="18"/>
              </w:rPr>
              <w:t xml:space="preserve"> </w:t>
            </w:r>
            <w:r w:rsidRPr="00E3756C">
              <w:rPr>
                <w:rFonts w:cs="Arial"/>
                <w:color w:val="000000" w:themeColor="text1"/>
                <w:szCs w:val="18"/>
              </w:rPr>
              <w:t>livestock losses, with large financial losses.</w:t>
            </w:r>
          </w:p>
        </w:tc>
        <w:tc>
          <w:tcPr>
            <w:tcW w:w="2694" w:type="dxa"/>
            <w:tcBorders>
              <w:top w:val="single" w:sz="4" w:space="0" w:color="1C556C" w:themeColor="accent1"/>
            </w:tcBorders>
          </w:tcPr>
          <w:p w14:paraId="2C8C69D1" w14:textId="42A06FE1" w:rsidR="008E4F54" w:rsidRPr="00E3756C" w:rsidRDefault="008E4F54" w:rsidP="00B7422A">
            <w:pPr>
              <w:pStyle w:val="TableText"/>
              <w:spacing w:before="0" w:after="120"/>
              <w:rPr>
                <w:rFonts w:cs="Arial"/>
                <w:color w:val="000000" w:themeColor="text1"/>
                <w:szCs w:val="18"/>
              </w:rPr>
            </w:pPr>
            <w:r w:rsidRPr="00E3756C">
              <w:rPr>
                <w:rFonts w:cs="Arial"/>
                <w:color w:val="000000" w:themeColor="text1"/>
                <w:szCs w:val="18"/>
              </w:rPr>
              <w:t>Whole</w:t>
            </w:r>
            <w:r w:rsidR="000172C1">
              <w:rPr>
                <w:rFonts w:cs="Arial"/>
                <w:color w:val="000000" w:themeColor="text1"/>
                <w:szCs w:val="18"/>
              </w:rPr>
              <w:t>-</w:t>
            </w:r>
            <w:r w:rsidRPr="00E3756C">
              <w:rPr>
                <w:rFonts w:cs="Arial"/>
                <w:color w:val="000000" w:themeColor="text1"/>
                <w:szCs w:val="18"/>
              </w:rPr>
              <w:t>of</w:t>
            </w:r>
            <w:r w:rsidR="000172C1">
              <w:rPr>
                <w:rFonts w:cs="Arial"/>
                <w:color w:val="000000" w:themeColor="text1"/>
                <w:szCs w:val="18"/>
              </w:rPr>
              <w:t>-</w:t>
            </w:r>
            <w:r w:rsidRPr="00E3756C">
              <w:rPr>
                <w:rFonts w:cs="Arial"/>
                <w:color w:val="000000" w:themeColor="text1"/>
                <w:szCs w:val="18"/>
              </w:rPr>
              <w:t>community impacts with large financi</w:t>
            </w:r>
            <w:r w:rsidR="000172C1">
              <w:rPr>
                <w:rFonts w:cs="Arial"/>
                <w:color w:val="000000" w:themeColor="text1"/>
                <w:szCs w:val="18"/>
              </w:rPr>
              <w:t>al losses</w:t>
            </w:r>
            <w:r w:rsidRPr="00E3756C">
              <w:rPr>
                <w:rFonts w:cs="Arial"/>
                <w:color w:val="000000" w:themeColor="text1"/>
                <w:szCs w:val="18"/>
              </w:rPr>
              <w:t>.</w:t>
            </w:r>
          </w:p>
          <w:p w14:paraId="632AA806" w14:textId="77777777" w:rsidR="00B7422A" w:rsidRPr="0070277B" w:rsidRDefault="00B7422A" w:rsidP="00B7422A">
            <w:pPr>
              <w:spacing w:line="240" w:lineRule="auto"/>
              <w:jc w:val="left"/>
              <w:rPr>
                <w:rFonts w:cs="Arial"/>
                <w:color w:val="000000" w:themeColor="text1"/>
                <w:sz w:val="18"/>
                <w:szCs w:val="18"/>
              </w:rPr>
            </w:pPr>
            <w:r w:rsidRPr="0070277B">
              <w:rPr>
                <w:rFonts w:cs="Arial"/>
                <w:color w:val="000000" w:themeColor="text1"/>
                <w:sz w:val="18"/>
                <w:szCs w:val="18"/>
              </w:rPr>
              <w:t>Permanent loss of business output and / or widespread business failure.</w:t>
            </w:r>
          </w:p>
          <w:p w14:paraId="0C7A26CA" w14:textId="65BC0785" w:rsidR="00B7422A" w:rsidRPr="0070277B" w:rsidRDefault="00B7422A" w:rsidP="00B7422A">
            <w:pPr>
              <w:spacing w:line="240" w:lineRule="auto"/>
              <w:jc w:val="left"/>
              <w:rPr>
                <w:rFonts w:cs="Arial"/>
                <w:color w:val="000000" w:themeColor="text1"/>
                <w:sz w:val="18"/>
                <w:szCs w:val="18"/>
              </w:rPr>
            </w:pPr>
            <w:r w:rsidRPr="0070277B">
              <w:rPr>
                <w:rFonts w:cs="Arial"/>
                <w:color w:val="000000" w:themeColor="text1"/>
                <w:sz w:val="18"/>
                <w:szCs w:val="18"/>
              </w:rPr>
              <w:t>Long</w:t>
            </w:r>
            <w:r>
              <w:rPr>
                <w:rFonts w:cs="Arial"/>
                <w:color w:val="000000" w:themeColor="text1"/>
                <w:sz w:val="18"/>
                <w:szCs w:val="18"/>
              </w:rPr>
              <w:t>-</w:t>
            </w:r>
            <w:r w:rsidRPr="0070277B">
              <w:rPr>
                <w:rFonts w:cs="Arial"/>
                <w:color w:val="000000" w:themeColor="text1"/>
                <w:sz w:val="18"/>
                <w:szCs w:val="18"/>
              </w:rPr>
              <w:t>term costs for local/central government increases,</w:t>
            </w:r>
            <w:r>
              <w:rPr>
                <w:rFonts w:cs="Arial"/>
                <w:color w:val="000000" w:themeColor="text1"/>
                <w:sz w:val="18"/>
                <w:szCs w:val="18"/>
              </w:rPr>
              <w:t xml:space="preserve"> </w:t>
            </w:r>
            <w:r w:rsidRPr="0070277B">
              <w:rPr>
                <w:rFonts w:cs="Arial"/>
                <w:color w:val="000000" w:themeColor="text1"/>
                <w:sz w:val="18"/>
                <w:szCs w:val="18"/>
              </w:rPr>
              <w:t>and significant loss of assets.</w:t>
            </w:r>
          </w:p>
          <w:p w14:paraId="05EF2F68" w14:textId="31631ECA" w:rsidR="00B7422A" w:rsidRPr="0070277B" w:rsidRDefault="00B7422A" w:rsidP="00B7422A">
            <w:pPr>
              <w:spacing w:line="240" w:lineRule="auto"/>
              <w:rPr>
                <w:rFonts w:cs="Arial"/>
                <w:color w:val="000000" w:themeColor="text1"/>
                <w:sz w:val="18"/>
                <w:szCs w:val="18"/>
              </w:rPr>
            </w:pPr>
            <w:r w:rsidRPr="0070277B">
              <w:rPr>
                <w:rFonts w:cs="Arial"/>
                <w:color w:val="000000" w:themeColor="text1"/>
                <w:sz w:val="18"/>
                <w:szCs w:val="18"/>
              </w:rPr>
              <w:t>Closure of key economic</w:t>
            </w:r>
            <w:r>
              <w:rPr>
                <w:rFonts w:cs="Arial"/>
                <w:color w:val="000000" w:themeColor="text1"/>
                <w:sz w:val="18"/>
                <w:szCs w:val="18"/>
              </w:rPr>
              <w:t xml:space="preserve"> </w:t>
            </w:r>
            <w:r w:rsidRPr="0070277B">
              <w:rPr>
                <w:rFonts w:cs="Arial"/>
                <w:color w:val="000000" w:themeColor="text1"/>
                <w:sz w:val="18"/>
                <w:szCs w:val="18"/>
              </w:rPr>
              <w:t>sector(s).</w:t>
            </w:r>
          </w:p>
          <w:p w14:paraId="77BA95BF" w14:textId="77777777" w:rsidR="00B7422A" w:rsidRPr="0070277B" w:rsidRDefault="00B7422A" w:rsidP="00B7422A">
            <w:pPr>
              <w:spacing w:line="240" w:lineRule="auto"/>
              <w:rPr>
                <w:rFonts w:cs="Arial"/>
                <w:color w:val="000000" w:themeColor="text1"/>
                <w:sz w:val="18"/>
                <w:szCs w:val="18"/>
              </w:rPr>
            </w:pPr>
            <w:r w:rsidRPr="0070277B">
              <w:rPr>
                <w:rFonts w:cs="Arial"/>
                <w:color w:val="000000" w:themeColor="text1"/>
                <w:sz w:val="18"/>
                <w:szCs w:val="18"/>
              </w:rPr>
              <w:t>Widespread job losses.</w:t>
            </w:r>
          </w:p>
          <w:p w14:paraId="0C4D3AF9" w14:textId="77777777" w:rsidR="00B7422A" w:rsidRDefault="00B7422A" w:rsidP="00B7422A">
            <w:pPr>
              <w:spacing w:line="240" w:lineRule="auto"/>
              <w:jc w:val="left"/>
              <w:rPr>
                <w:rFonts w:cs="Arial"/>
                <w:color w:val="000000" w:themeColor="text1"/>
                <w:sz w:val="18"/>
                <w:szCs w:val="18"/>
              </w:rPr>
            </w:pPr>
            <w:r w:rsidRPr="0070277B">
              <w:rPr>
                <w:rFonts w:cs="Arial"/>
                <w:color w:val="000000" w:themeColor="text1"/>
                <w:sz w:val="18"/>
                <w:szCs w:val="18"/>
              </w:rPr>
              <w:t>Total financial losses &gt;4% of Gross Regional</w:t>
            </w:r>
            <w:r>
              <w:rPr>
                <w:rFonts w:cs="Arial"/>
                <w:color w:val="000000" w:themeColor="text1"/>
                <w:sz w:val="18"/>
                <w:szCs w:val="18"/>
              </w:rPr>
              <w:t xml:space="preserve"> </w:t>
            </w:r>
            <w:r w:rsidRPr="0070277B">
              <w:rPr>
                <w:rFonts w:cs="Arial"/>
                <w:color w:val="000000" w:themeColor="text1"/>
                <w:sz w:val="18"/>
                <w:szCs w:val="18"/>
              </w:rPr>
              <w:t>Product.</w:t>
            </w:r>
          </w:p>
          <w:p w14:paraId="21C42F0D" w14:textId="2E9ED60C" w:rsidR="008E4F54" w:rsidRPr="00E3756C" w:rsidRDefault="00B7422A" w:rsidP="003D0995">
            <w:pPr>
              <w:spacing w:line="240" w:lineRule="auto"/>
              <w:jc w:val="left"/>
              <w:rPr>
                <w:rFonts w:cs="Arial"/>
                <w:color w:val="000000" w:themeColor="text1"/>
                <w:szCs w:val="18"/>
              </w:rPr>
            </w:pPr>
            <w:r w:rsidRPr="0070277B">
              <w:rPr>
                <w:rFonts w:cs="Arial"/>
                <w:color w:val="000000" w:themeColor="text1"/>
                <w:sz w:val="18"/>
                <w:szCs w:val="18"/>
              </w:rPr>
              <w:t>Whole of livestock sector</w:t>
            </w:r>
            <w:r>
              <w:rPr>
                <w:rFonts w:cs="Arial"/>
                <w:color w:val="000000" w:themeColor="text1"/>
                <w:sz w:val="18"/>
                <w:szCs w:val="18"/>
              </w:rPr>
              <w:t xml:space="preserve"> </w:t>
            </w:r>
            <w:r w:rsidRPr="0070277B">
              <w:rPr>
                <w:rFonts w:cs="Arial"/>
                <w:color w:val="000000" w:themeColor="text1"/>
                <w:sz w:val="18"/>
                <w:szCs w:val="18"/>
              </w:rPr>
              <w:t>with large financial losses.</w:t>
            </w:r>
          </w:p>
        </w:tc>
      </w:tr>
      <w:tr w:rsidR="00417513" w:rsidRPr="00E3756C" w14:paraId="1A426C63" w14:textId="77777777" w:rsidTr="00A20707">
        <w:tc>
          <w:tcPr>
            <w:tcW w:w="1708" w:type="dxa"/>
            <w:gridSpan w:val="2"/>
            <w:tcBorders>
              <w:bottom w:val="single" w:sz="4" w:space="0" w:color="1C556C" w:themeColor="accent1"/>
            </w:tcBorders>
            <w:shd w:val="clear" w:color="auto" w:fill="0F7B7D" w:themeFill="accent2"/>
          </w:tcPr>
          <w:p w14:paraId="070E87F8" w14:textId="77777777" w:rsidR="008E4F54" w:rsidRPr="00E3756C" w:rsidRDefault="008E4F54" w:rsidP="00C92DEB">
            <w:pPr>
              <w:pStyle w:val="TableText"/>
              <w:rPr>
                <w:b/>
                <w:color w:val="FFFFFF" w:themeColor="background1"/>
              </w:rPr>
            </w:pPr>
            <w:r w:rsidRPr="00E3756C">
              <w:rPr>
                <w:b/>
                <w:color w:val="FFFFFF" w:themeColor="background1"/>
              </w:rPr>
              <w:lastRenderedPageBreak/>
              <w:t>Built environment</w:t>
            </w:r>
          </w:p>
        </w:tc>
        <w:tc>
          <w:tcPr>
            <w:tcW w:w="2456" w:type="dxa"/>
          </w:tcPr>
          <w:p w14:paraId="5382F442" w14:textId="77777777" w:rsidR="008E4F54" w:rsidRPr="00E3756C" w:rsidRDefault="008E4F54" w:rsidP="00C92DEB">
            <w:pPr>
              <w:pStyle w:val="TableText"/>
              <w:rPr>
                <w:rFonts w:eastAsia="Times New Roman" w:cstheme="minorHAnsi"/>
                <w:color w:val="000000"/>
                <w:szCs w:val="18"/>
              </w:rPr>
            </w:pPr>
            <w:r w:rsidRPr="00E3756C">
              <w:rPr>
                <w:rFonts w:eastAsia="Times New Roman" w:cstheme="minorHAnsi"/>
                <w:color w:val="000000"/>
                <w:szCs w:val="18"/>
              </w:rPr>
              <w:t>Minor</w:t>
            </w:r>
            <w:r w:rsidR="00572017" w:rsidRPr="00E3756C">
              <w:rPr>
                <w:rFonts w:eastAsia="Times New Roman" w:cstheme="minorHAnsi"/>
                <w:color w:val="000000"/>
                <w:szCs w:val="18"/>
              </w:rPr>
              <w:t xml:space="preserve"> or </w:t>
            </w:r>
            <w:r w:rsidRPr="00E3756C">
              <w:rPr>
                <w:rFonts w:eastAsia="Times New Roman" w:cstheme="minorHAnsi"/>
                <w:color w:val="000000"/>
                <w:szCs w:val="18"/>
              </w:rPr>
              <w:t>insignificant infrastructure disruption at local level (business as usual)</w:t>
            </w:r>
            <w:r w:rsidR="00572017" w:rsidRPr="00E3756C">
              <w:rPr>
                <w:rFonts w:eastAsia="Times New Roman" w:cstheme="minorHAnsi"/>
                <w:color w:val="000000"/>
                <w:szCs w:val="18"/>
              </w:rPr>
              <w:t>.</w:t>
            </w:r>
            <w:r w:rsidRPr="00E3756C">
              <w:rPr>
                <w:rFonts w:eastAsia="Times New Roman" w:cstheme="minorHAnsi"/>
                <w:color w:val="000000"/>
                <w:szCs w:val="18"/>
              </w:rPr>
              <w:t xml:space="preserve"> </w:t>
            </w:r>
          </w:p>
          <w:p w14:paraId="61E16689" w14:textId="77777777" w:rsidR="008E4F54" w:rsidRPr="00E3756C" w:rsidRDefault="008E4F54" w:rsidP="00C92DEB">
            <w:pPr>
              <w:pStyle w:val="TableText"/>
              <w:rPr>
                <w:rFonts w:cs="Arial"/>
                <w:szCs w:val="18"/>
              </w:rPr>
            </w:pPr>
            <w:r w:rsidRPr="00E3756C">
              <w:rPr>
                <w:rFonts w:cs="Arial"/>
                <w:szCs w:val="18"/>
              </w:rPr>
              <w:t>Negligible damage to residential dwellings, commercial, government, and non-commercial buildings.</w:t>
            </w:r>
            <w:r w:rsidR="00484C8A" w:rsidRPr="00E3756C">
              <w:rPr>
                <w:rFonts w:cs="Arial"/>
                <w:szCs w:val="18"/>
              </w:rPr>
              <w:t xml:space="preserve"> </w:t>
            </w:r>
          </w:p>
          <w:p w14:paraId="1F277874" w14:textId="77777777" w:rsidR="008E4F54" w:rsidRPr="00E3756C" w:rsidRDefault="008E4F54" w:rsidP="00D33445">
            <w:pPr>
              <w:pStyle w:val="TableText"/>
              <w:rPr>
                <w:rFonts w:eastAsia="Times New Roman" w:cstheme="minorHAnsi"/>
                <w:color w:val="000000"/>
                <w:szCs w:val="18"/>
              </w:rPr>
            </w:pPr>
            <w:r w:rsidRPr="00E3756C">
              <w:rPr>
                <w:rFonts w:cs="Arial"/>
                <w:szCs w:val="18"/>
              </w:rPr>
              <w:t>Negligible damage to</w:t>
            </w:r>
            <w:r w:rsidR="00484C8A" w:rsidRPr="00E3756C">
              <w:rPr>
                <w:rFonts w:cs="Arial"/>
                <w:szCs w:val="18"/>
              </w:rPr>
              <w:t xml:space="preserve"> </w:t>
            </w:r>
            <w:r w:rsidRPr="00E3756C">
              <w:rPr>
                <w:rFonts w:cs="Arial"/>
                <w:szCs w:val="18"/>
              </w:rPr>
              <w:t>Māori cultural assets</w:t>
            </w:r>
            <w:r w:rsidR="00572017" w:rsidRPr="00E3756C">
              <w:rPr>
                <w:rFonts w:cs="Arial"/>
                <w:szCs w:val="18"/>
              </w:rPr>
              <w:t>,</w:t>
            </w:r>
            <w:r w:rsidRPr="00E3756C">
              <w:rPr>
                <w:rFonts w:cs="Arial"/>
                <w:szCs w:val="18"/>
              </w:rPr>
              <w:t xml:space="preserve"> such as marae, urupā, wāhi tapu</w:t>
            </w:r>
            <w:r w:rsidR="00D33445" w:rsidRPr="00E3756C">
              <w:rPr>
                <w:rFonts w:cs="Arial"/>
                <w:szCs w:val="18"/>
              </w:rPr>
              <w:t xml:space="preserve"> and</w:t>
            </w:r>
            <w:r w:rsidRPr="00E3756C">
              <w:rPr>
                <w:rFonts w:cs="Arial"/>
                <w:szCs w:val="18"/>
              </w:rPr>
              <w:t xml:space="preserve"> wāhi taonga</w:t>
            </w:r>
            <w:r w:rsidR="00D33445" w:rsidRPr="00E3756C">
              <w:rPr>
                <w:rFonts w:cs="Arial"/>
                <w:szCs w:val="18"/>
              </w:rPr>
              <w:t>.</w:t>
            </w:r>
          </w:p>
        </w:tc>
        <w:tc>
          <w:tcPr>
            <w:tcW w:w="2527" w:type="dxa"/>
          </w:tcPr>
          <w:p w14:paraId="4844B615" w14:textId="77777777" w:rsidR="008E4F54" w:rsidRPr="00E3756C" w:rsidRDefault="008E4F54" w:rsidP="00C92DEB">
            <w:pPr>
              <w:pStyle w:val="TableText"/>
              <w:rPr>
                <w:rFonts w:eastAsia="Times New Roman"/>
                <w:color w:val="000000"/>
                <w:szCs w:val="18"/>
              </w:rPr>
            </w:pPr>
            <w:r w:rsidRPr="00E3756C">
              <w:rPr>
                <w:rFonts w:eastAsia="Times New Roman"/>
                <w:color w:val="000000"/>
                <w:szCs w:val="18"/>
              </w:rPr>
              <w:t>Isolated and short-term infrastructure service disruption. No permanent damage. Some minor restoration work required. Early renewal of infrastructure by 10</w:t>
            </w:r>
            <w:r w:rsidR="00572017" w:rsidRPr="00E3756C">
              <w:rPr>
                <w:rFonts w:eastAsia="Times New Roman"/>
                <w:color w:val="000000"/>
                <w:szCs w:val="18"/>
              </w:rPr>
              <w:t>–</w:t>
            </w:r>
            <w:r w:rsidRPr="00E3756C">
              <w:rPr>
                <w:rFonts w:eastAsia="Times New Roman"/>
                <w:color w:val="000000"/>
                <w:szCs w:val="18"/>
              </w:rPr>
              <w:t>20%. Need for new</w:t>
            </w:r>
            <w:r w:rsidR="00572017" w:rsidRPr="00E3756C">
              <w:rPr>
                <w:rFonts w:eastAsia="Times New Roman"/>
                <w:color w:val="000000"/>
                <w:szCs w:val="18"/>
              </w:rPr>
              <w:t xml:space="preserve"> or </w:t>
            </w:r>
            <w:r w:rsidRPr="00E3756C">
              <w:rPr>
                <w:rFonts w:eastAsia="Times New Roman"/>
                <w:color w:val="000000"/>
                <w:szCs w:val="18"/>
              </w:rPr>
              <w:t>modified ancillary equipment.</w:t>
            </w:r>
          </w:p>
          <w:p w14:paraId="0F0A2976" w14:textId="39451E90" w:rsidR="008E4F54" w:rsidRPr="00E3756C" w:rsidRDefault="00572017" w:rsidP="008B3024">
            <w:pPr>
              <w:pStyle w:val="TableText"/>
              <w:spacing w:after="40"/>
              <w:rPr>
                <w:rFonts w:eastAsia="Times New Roman" w:cstheme="minorHAnsi"/>
                <w:color w:val="000000"/>
                <w:szCs w:val="18"/>
              </w:rPr>
            </w:pPr>
            <w:r w:rsidRPr="00E3756C">
              <w:rPr>
                <w:rFonts w:eastAsia="Times New Roman" w:cstheme="minorHAnsi"/>
                <w:color w:val="000000"/>
                <w:szCs w:val="18"/>
              </w:rPr>
              <w:t xml:space="preserve">Between </w:t>
            </w:r>
            <w:r w:rsidR="008E4F54" w:rsidRPr="00E3756C">
              <w:rPr>
                <w:rFonts w:eastAsia="Times New Roman" w:cstheme="minorHAnsi"/>
                <w:color w:val="000000"/>
                <w:szCs w:val="18"/>
              </w:rPr>
              <w:t>1</w:t>
            </w:r>
            <w:r w:rsidRPr="00E3756C">
              <w:rPr>
                <w:rFonts w:eastAsia="Times New Roman" w:cstheme="minorHAnsi"/>
                <w:color w:val="000000"/>
                <w:szCs w:val="18"/>
              </w:rPr>
              <w:t>–</w:t>
            </w:r>
            <w:r w:rsidR="008E4F54" w:rsidRPr="00E3756C">
              <w:rPr>
                <w:rFonts w:eastAsia="Times New Roman" w:cstheme="minorHAnsi"/>
                <w:color w:val="000000"/>
                <w:szCs w:val="18"/>
              </w:rPr>
              <w:t>50 residential homes</w:t>
            </w:r>
            <w:r w:rsidR="000172C1">
              <w:rPr>
                <w:rFonts w:eastAsia="Times New Roman" w:cstheme="minorHAnsi"/>
                <w:color w:val="000000"/>
                <w:szCs w:val="18"/>
              </w:rPr>
              <w:t xml:space="preserve">, </w:t>
            </w:r>
            <w:r w:rsidR="008E4F54" w:rsidRPr="00E3756C">
              <w:rPr>
                <w:rFonts w:eastAsia="Times New Roman" w:cstheme="minorHAnsi"/>
                <w:color w:val="000000"/>
                <w:szCs w:val="18"/>
              </w:rPr>
              <w:t>1</w:t>
            </w:r>
            <w:r w:rsidRPr="00E3756C">
              <w:rPr>
                <w:rFonts w:eastAsia="Times New Roman" w:cstheme="minorHAnsi"/>
                <w:color w:val="000000"/>
                <w:szCs w:val="18"/>
              </w:rPr>
              <w:t>–</w:t>
            </w:r>
            <w:r w:rsidR="008E4F54" w:rsidRPr="00E3756C">
              <w:rPr>
                <w:rFonts w:eastAsia="Times New Roman" w:cstheme="minorHAnsi"/>
                <w:color w:val="000000"/>
                <w:szCs w:val="18"/>
              </w:rPr>
              <w:t xml:space="preserve">10 commercial buildings </w:t>
            </w:r>
            <w:r w:rsidR="000172C1">
              <w:rPr>
                <w:rFonts w:eastAsia="Times New Roman" w:cstheme="minorHAnsi"/>
                <w:color w:val="000000"/>
                <w:szCs w:val="18"/>
              </w:rPr>
              <w:t>and</w:t>
            </w:r>
            <w:r w:rsidR="008E4F54" w:rsidRPr="00E3756C">
              <w:rPr>
                <w:rFonts w:eastAsia="Times New Roman" w:cstheme="minorHAnsi"/>
                <w:color w:val="000000"/>
                <w:szCs w:val="18"/>
              </w:rPr>
              <w:t xml:space="preserve"> 1</w:t>
            </w:r>
            <w:r w:rsidRPr="00E3756C">
              <w:rPr>
                <w:rFonts w:eastAsia="Times New Roman" w:cstheme="minorHAnsi"/>
                <w:color w:val="000000"/>
                <w:szCs w:val="18"/>
              </w:rPr>
              <w:t>–</w:t>
            </w:r>
            <w:r w:rsidR="008E4F54" w:rsidRPr="00E3756C">
              <w:rPr>
                <w:rFonts w:eastAsia="Times New Roman" w:cstheme="minorHAnsi"/>
                <w:color w:val="000000"/>
                <w:szCs w:val="18"/>
              </w:rPr>
              <w:t>10 government and non-commercial buildings require assessment.</w:t>
            </w:r>
          </w:p>
          <w:p w14:paraId="13E54194" w14:textId="77777777" w:rsidR="008E4F54" w:rsidRPr="00E3756C" w:rsidRDefault="008E4F54" w:rsidP="008B3024">
            <w:pPr>
              <w:pStyle w:val="TableText"/>
              <w:spacing w:after="40"/>
              <w:rPr>
                <w:rFonts w:eastAsia="Times New Roman" w:cstheme="minorHAnsi"/>
                <w:color w:val="000000"/>
                <w:szCs w:val="18"/>
              </w:rPr>
            </w:pPr>
            <w:r w:rsidRPr="00E3756C">
              <w:rPr>
                <w:rFonts w:eastAsia="Times New Roman" w:cstheme="minorHAnsi"/>
                <w:color w:val="000000"/>
                <w:szCs w:val="18"/>
              </w:rPr>
              <w:t>Planning for future relocation required.</w:t>
            </w:r>
          </w:p>
          <w:p w14:paraId="5D117699" w14:textId="77777777" w:rsidR="008E4F54" w:rsidRPr="00E3756C" w:rsidRDefault="008E4F54" w:rsidP="008B3024">
            <w:pPr>
              <w:pStyle w:val="TableText"/>
              <w:spacing w:after="40"/>
              <w:rPr>
                <w:rFonts w:eastAsia="Times New Roman" w:cstheme="minorHAnsi"/>
                <w:color w:val="000000"/>
                <w:szCs w:val="18"/>
              </w:rPr>
            </w:pPr>
            <w:r w:rsidRPr="00E3756C">
              <w:rPr>
                <w:rFonts w:cs="Arial"/>
                <w:szCs w:val="18"/>
              </w:rPr>
              <w:t>Damage to 11</w:t>
            </w:r>
            <w:r w:rsidR="00572017" w:rsidRPr="00E3756C">
              <w:rPr>
                <w:rFonts w:cs="Arial"/>
                <w:szCs w:val="18"/>
              </w:rPr>
              <w:t>–</w:t>
            </w:r>
            <w:r w:rsidRPr="00E3756C">
              <w:rPr>
                <w:rFonts w:cs="Arial"/>
                <w:szCs w:val="18"/>
              </w:rPr>
              <w:t>25% of Māori cultural assets</w:t>
            </w:r>
            <w:r w:rsidR="00572017" w:rsidRPr="00E3756C">
              <w:rPr>
                <w:rFonts w:cs="Arial"/>
                <w:szCs w:val="18"/>
              </w:rPr>
              <w:t>,</w:t>
            </w:r>
            <w:r w:rsidRPr="00E3756C">
              <w:rPr>
                <w:rFonts w:cs="Arial"/>
                <w:szCs w:val="18"/>
              </w:rPr>
              <w:t xml:space="preserve"> such as marae, urupā, wāhi tapu and wāhi taonga</w:t>
            </w:r>
            <w:r w:rsidR="00572017" w:rsidRPr="00E3756C">
              <w:rPr>
                <w:rFonts w:cs="Arial"/>
                <w:szCs w:val="18"/>
              </w:rPr>
              <w:t>.</w:t>
            </w:r>
          </w:p>
        </w:tc>
        <w:tc>
          <w:tcPr>
            <w:tcW w:w="2551" w:type="dxa"/>
          </w:tcPr>
          <w:p w14:paraId="01FFAF64" w14:textId="77777777" w:rsidR="008E4F54" w:rsidRPr="00E3756C" w:rsidRDefault="008E4F54" w:rsidP="00EE5CF1">
            <w:pPr>
              <w:pStyle w:val="TableText"/>
              <w:spacing w:after="20"/>
              <w:rPr>
                <w:rFonts w:eastAsia="Times New Roman" w:cstheme="minorHAnsi"/>
                <w:color w:val="000000"/>
                <w:szCs w:val="18"/>
              </w:rPr>
            </w:pPr>
            <w:r w:rsidRPr="00E3756C">
              <w:rPr>
                <w:rFonts w:eastAsia="Times New Roman" w:cstheme="minorHAnsi"/>
                <w:color w:val="000000"/>
                <w:szCs w:val="18"/>
              </w:rPr>
              <w:t>Multiple short</w:t>
            </w:r>
            <w:r w:rsidR="00572017" w:rsidRPr="00E3756C">
              <w:rPr>
                <w:rFonts w:eastAsia="Times New Roman" w:cstheme="minorHAnsi"/>
                <w:color w:val="000000"/>
                <w:szCs w:val="18"/>
              </w:rPr>
              <w:t>-</w:t>
            </w:r>
            <w:r w:rsidRPr="00E3756C">
              <w:rPr>
                <w:rFonts w:eastAsia="Times New Roman" w:cstheme="minorHAnsi"/>
                <w:color w:val="000000"/>
                <w:szCs w:val="18"/>
              </w:rPr>
              <w:t>term infrastructure service disruptions. Damage recoverable b</w:t>
            </w:r>
            <w:r w:rsidR="00C92DEB" w:rsidRPr="00E3756C">
              <w:rPr>
                <w:rFonts w:eastAsia="Times New Roman" w:cstheme="minorHAnsi"/>
                <w:color w:val="000000"/>
                <w:szCs w:val="18"/>
              </w:rPr>
              <w:t>y maintenance and minor repair.</w:t>
            </w:r>
          </w:p>
          <w:p w14:paraId="48F840B5" w14:textId="77777777" w:rsidR="008E4F54" w:rsidRPr="00E3756C" w:rsidRDefault="008E4F54" w:rsidP="00EE5CF1">
            <w:pPr>
              <w:pStyle w:val="TableText"/>
              <w:spacing w:after="20"/>
              <w:rPr>
                <w:rFonts w:eastAsia="Times New Roman" w:cstheme="minorHAnsi"/>
                <w:color w:val="000000"/>
                <w:szCs w:val="18"/>
              </w:rPr>
            </w:pPr>
            <w:r w:rsidRPr="00E3756C">
              <w:rPr>
                <w:rFonts w:eastAsia="Times New Roman" w:cstheme="minorHAnsi"/>
                <w:color w:val="000000"/>
                <w:szCs w:val="18"/>
              </w:rPr>
              <w:t>Early renewal of infrastructure by 21</w:t>
            </w:r>
            <w:r w:rsidR="00572017" w:rsidRPr="00E3756C">
              <w:rPr>
                <w:rFonts w:eastAsia="Times New Roman" w:cstheme="minorHAnsi"/>
                <w:color w:val="000000"/>
                <w:szCs w:val="18"/>
              </w:rPr>
              <w:t>–</w:t>
            </w:r>
            <w:r w:rsidRPr="00E3756C">
              <w:rPr>
                <w:rFonts w:eastAsia="Times New Roman" w:cstheme="minorHAnsi"/>
                <w:color w:val="000000"/>
                <w:szCs w:val="18"/>
              </w:rPr>
              <w:t>50%.</w:t>
            </w:r>
          </w:p>
          <w:p w14:paraId="76D72E21" w14:textId="2BB2549A" w:rsidR="008E4F54" w:rsidRPr="00E3756C" w:rsidRDefault="008E4F54" w:rsidP="008B3024">
            <w:pPr>
              <w:pStyle w:val="TableText"/>
              <w:spacing w:before="40" w:after="20"/>
              <w:rPr>
                <w:rFonts w:cs="Arial"/>
                <w:szCs w:val="18"/>
              </w:rPr>
            </w:pPr>
            <w:r w:rsidRPr="00E3756C">
              <w:rPr>
                <w:rFonts w:cs="Arial"/>
                <w:szCs w:val="18"/>
              </w:rPr>
              <w:t>Damage to 51</w:t>
            </w:r>
            <w:r w:rsidR="00301702" w:rsidRPr="00E3756C">
              <w:rPr>
                <w:rFonts w:cs="Arial"/>
                <w:szCs w:val="18"/>
              </w:rPr>
              <w:t>–</w:t>
            </w:r>
            <w:r w:rsidRPr="00E3756C">
              <w:rPr>
                <w:rFonts w:cs="Arial"/>
                <w:szCs w:val="18"/>
              </w:rPr>
              <w:t>250 residential dwellings require</w:t>
            </w:r>
            <w:r w:rsidR="00301702" w:rsidRPr="00E3756C">
              <w:rPr>
                <w:rFonts w:cs="Arial"/>
                <w:szCs w:val="18"/>
              </w:rPr>
              <w:t>s</w:t>
            </w:r>
            <w:r w:rsidRPr="00E3756C">
              <w:rPr>
                <w:rFonts w:cs="Arial"/>
                <w:szCs w:val="18"/>
              </w:rPr>
              <w:t xml:space="preserve"> assessment. Most easily repa</w:t>
            </w:r>
            <w:r w:rsidR="000172C1">
              <w:rPr>
                <w:rFonts w:cs="Arial"/>
                <w:szCs w:val="18"/>
              </w:rPr>
              <w:t>i</w:t>
            </w:r>
            <w:r w:rsidRPr="00E3756C">
              <w:rPr>
                <w:rFonts w:cs="Arial"/>
                <w:szCs w:val="18"/>
              </w:rPr>
              <w:t>rable</w:t>
            </w:r>
            <w:r w:rsidR="000172C1">
              <w:rPr>
                <w:rFonts w:cs="Arial"/>
                <w:szCs w:val="18"/>
              </w:rPr>
              <w:t xml:space="preserve"> and</w:t>
            </w:r>
            <w:r w:rsidRPr="00E3756C">
              <w:rPr>
                <w:rFonts w:cs="Arial"/>
                <w:szCs w:val="18"/>
              </w:rPr>
              <w:t xml:space="preserve"> covered by insurance, but some specialised relief and financial assistance required. Some </w:t>
            </w:r>
            <w:r w:rsidR="000172C1">
              <w:rPr>
                <w:rFonts w:cs="Arial"/>
                <w:szCs w:val="18"/>
              </w:rPr>
              <w:t xml:space="preserve">dwellings </w:t>
            </w:r>
            <w:r w:rsidRPr="00E3756C">
              <w:rPr>
                <w:rFonts w:cs="Arial"/>
                <w:szCs w:val="18"/>
              </w:rPr>
              <w:t>require immediate relocation.</w:t>
            </w:r>
          </w:p>
          <w:p w14:paraId="381198AE" w14:textId="6EB8E5D6" w:rsidR="008E4F54" w:rsidRDefault="00301702" w:rsidP="008B3024">
            <w:pPr>
              <w:pStyle w:val="TableText"/>
              <w:spacing w:before="40" w:after="20"/>
              <w:rPr>
                <w:rFonts w:cs="Arial"/>
                <w:szCs w:val="18"/>
              </w:rPr>
            </w:pPr>
            <w:r w:rsidRPr="00E3756C">
              <w:rPr>
                <w:rFonts w:cs="Arial"/>
                <w:szCs w:val="18"/>
              </w:rPr>
              <w:t xml:space="preserve">Between </w:t>
            </w:r>
            <w:r w:rsidR="008E4F54" w:rsidRPr="00E3756C">
              <w:rPr>
                <w:rFonts w:cs="Arial"/>
                <w:szCs w:val="18"/>
              </w:rPr>
              <w:t>11</w:t>
            </w:r>
            <w:r w:rsidR="000172C1">
              <w:rPr>
                <w:rFonts w:cs="Arial"/>
                <w:szCs w:val="18"/>
              </w:rPr>
              <w:t>–</w:t>
            </w:r>
            <w:r w:rsidR="008E4F54" w:rsidRPr="00E3756C">
              <w:rPr>
                <w:rFonts w:cs="Arial"/>
                <w:szCs w:val="18"/>
              </w:rPr>
              <w:t xml:space="preserve">100 commercial buildings </w:t>
            </w:r>
            <w:r w:rsidR="000172C1">
              <w:rPr>
                <w:rFonts w:cs="Arial"/>
                <w:szCs w:val="18"/>
              </w:rPr>
              <w:t>and</w:t>
            </w:r>
            <w:r w:rsidR="008E4F54" w:rsidRPr="00E3756C">
              <w:rPr>
                <w:rFonts w:cs="Arial"/>
                <w:szCs w:val="18"/>
              </w:rPr>
              <w:t xml:space="preserve"> 11</w:t>
            </w:r>
            <w:r w:rsidRPr="00E3756C">
              <w:rPr>
                <w:rFonts w:cs="Arial"/>
                <w:szCs w:val="18"/>
              </w:rPr>
              <w:t>–</w:t>
            </w:r>
            <w:r w:rsidR="008E4F54" w:rsidRPr="00E3756C">
              <w:rPr>
                <w:rFonts w:cs="Arial"/>
                <w:szCs w:val="18"/>
              </w:rPr>
              <w:t>100 government and non-commercial buildings require assessment. So</w:t>
            </w:r>
            <w:r w:rsidR="00AF652F">
              <w:rPr>
                <w:rFonts w:cs="Arial"/>
                <w:szCs w:val="18"/>
              </w:rPr>
              <w:t>me require temporary relocation</w:t>
            </w:r>
            <w:r w:rsidR="000172C1">
              <w:rPr>
                <w:rFonts w:cs="Arial"/>
                <w:szCs w:val="18"/>
              </w:rPr>
              <w:t>.</w:t>
            </w:r>
          </w:p>
          <w:p w14:paraId="161B2C3F" w14:textId="77777777" w:rsidR="008B3024" w:rsidRPr="00E3756C" w:rsidRDefault="008B3024" w:rsidP="008B3024">
            <w:pPr>
              <w:pStyle w:val="TableText"/>
              <w:spacing w:before="40" w:after="20"/>
              <w:rPr>
                <w:rFonts w:cs="Arial"/>
                <w:szCs w:val="18"/>
              </w:rPr>
            </w:pPr>
          </w:p>
          <w:p w14:paraId="2B7D28FB" w14:textId="77777777" w:rsidR="008E4F54" w:rsidRPr="00E3756C" w:rsidRDefault="008E4F54" w:rsidP="00301702">
            <w:pPr>
              <w:pStyle w:val="TableText"/>
              <w:rPr>
                <w:rFonts w:eastAsia="Times New Roman" w:cstheme="minorHAnsi"/>
                <w:color w:val="000000"/>
                <w:szCs w:val="18"/>
              </w:rPr>
            </w:pPr>
            <w:r w:rsidRPr="00E3756C">
              <w:rPr>
                <w:rFonts w:cs="Arial"/>
                <w:szCs w:val="18"/>
              </w:rPr>
              <w:lastRenderedPageBreak/>
              <w:t>Damage to 26</w:t>
            </w:r>
            <w:r w:rsidR="00301702" w:rsidRPr="00E3756C">
              <w:rPr>
                <w:rFonts w:cs="Arial"/>
                <w:szCs w:val="18"/>
              </w:rPr>
              <w:t>–</w:t>
            </w:r>
            <w:r w:rsidRPr="00E3756C">
              <w:rPr>
                <w:rFonts w:cs="Arial"/>
                <w:szCs w:val="18"/>
              </w:rPr>
              <w:t>50% of Māori cultural assets</w:t>
            </w:r>
            <w:r w:rsidR="00301702" w:rsidRPr="00E3756C">
              <w:rPr>
                <w:rFonts w:cs="Arial"/>
                <w:szCs w:val="18"/>
              </w:rPr>
              <w:t>,</w:t>
            </w:r>
            <w:r w:rsidRPr="00E3756C">
              <w:rPr>
                <w:rFonts w:cs="Arial"/>
                <w:szCs w:val="18"/>
              </w:rPr>
              <w:t xml:space="preserve"> such as marae, urupā, wāhi tapu and wāhi taonga</w:t>
            </w:r>
            <w:r w:rsidR="00301702" w:rsidRPr="00E3756C">
              <w:rPr>
                <w:rFonts w:cs="Arial"/>
                <w:szCs w:val="18"/>
              </w:rPr>
              <w:t>.</w:t>
            </w:r>
          </w:p>
        </w:tc>
        <w:tc>
          <w:tcPr>
            <w:tcW w:w="2693" w:type="dxa"/>
          </w:tcPr>
          <w:p w14:paraId="7B99F295" w14:textId="465639A7" w:rsidR="00C92DEB" w:rsidRPr="00E3756C" w:rsidRDefault="008E4F54" w:rsidP="00EE5CF1">
            <w:pPr>
              <w:pStyle w:val="TableText"/>
              <w:spacing w:after="20"/>
              <w:rPr>
                <w:rFonts w:eastAsia="Times New Roman"/>
                <w:color w:val="000000"/>
                <w:szCs w:val="18"/>
              </w:rPr>
            </w:pPr>
            <w:r w:rsidRPr="00E3756C">
              <w:rPr>
                <w:rFonts w:eastAsia="Times New Roman"/>
                <w:color w:val="000000"/>
                <w:szCs w:val="18"/>
              </w:rPr>
              <w:lastRenderedPageBreak/>
              <w:t>Widespread short</w:t>
            </w:r>
            <w:r w:rsidR="00301702" w:rsidRPr="00E3756C">
              <w:rPr>
                <w:rFonts w:eastAsia="Times New Roman"/>
                <w:color w:val="000000"/>
                <w:szCs w:val="18"/>
              </w:rPr>
              <w:t>-</w:t>
            </w:r>
            <w:r w:rsidRPr="00E3756C">
              <w:rPr>
                <w:rFonts w:eastAsia="Times New Roman"/>
                <w:color w:val="000000"/>
                <w:szCs w:val="18"/>
              </w:rPr>
              <w:t>to</w:t>
            </w:r>
            <w:r w:rsidR="00301702" w:rsidRPr="00E3756C">
              <w:rPr>
                <w:rFonts w:eastAsia="Times New Roman"/>
                <w:color w:val="000000"/>
                <w:szCs w:val="18"/>
              </w:rPr>
              <w:t>-</w:t>
            </w:r>
            <w:r w:rsidRPr="00E3756C">
              <w:rPr>
                <w:rFonts w:eastAsia="Times New Roman"/>
                <w:color w:val="000000"/>
                <w:szCs w:val="18"/>
              </w:rPr>
              <w:t xml:space="preserve">medium term </w:t>
            </w:r>
            <w:r w:rsidR="000172C1">
              <w:rPr>
                <w:rFonts w:eastAsia="Times New Roman"/>
                <w:color w:val="000000"/>
                <w:szCs w:val="18"/>
              </w:rPr>
              <w:t xml:space="preserve">distuptions to </w:t>
            </w:r>
            <w:r w:rsidRPr="00E3756C">
              <w:rPr>
                <w:rFonts w:eastAsia="Times New Roman"/>
                <w:color w:val="000000"/>
                <w:szCs w:val="18"/>
              </w:rPr>
              <w:t>infrastructure service. Extensive infrastructure damage requiring major repair.</w:t>
            </w:r>
          </w:p>
          <w:p w14:paraId="5BFC3051" w14:textId="77777777" w:rsidR="00C92DEB" w:rsidRPr="00E3756C" w:rsidRDefault="008E4F54" w:rsidP="00EE5CF1">
            <w:pPr>
              <w:pStyle w:val="TableText"/>
              <w:spacing w:after="20"/>
              <w:rPr>
                <w:rFonts w:eastAsia="Times New Roman"/>
                <w:color w:val="000000"/>
                <w:szCs w:val="18"/>
              </w:rPr>
            </w:pPr>
            <w:r w:rsidRPr="00E3756C">
              <w:rPr>
                <w:rFonts w:eastAsia="Times New Roman"/>
                <w:color w:val="000000"/>
                <w:szCs w:val="18"/>
              </w:rPr>
              <w:t>Major loss of infrastructure service.</w:t>
            </w:r>
          </w:p>
          <w:p w14:paraId="74D68CBB" w14:textId="77777777" w:rsidR="008E4F54" w:rsidRPr="00E3756C" w:rsidRDefault="008E4F54" w:rsidP="00EE5CF1">
            <w:pPr>
              <w:pStyle w:val="TableText"/>
              <w:spacing w:after="20"/>
              <w:rPr>
                <w:rFonts w:eastAsia="Times New Roman"/>
                <w:color w:val="000000"/>
                <w:szCs w:val="18"/>
              </w:rPr>
            </w:pPr>
            <w:r w:rsidRPr="00E3756C">
              <w:rPr>
                <w:rFonts w:eastAsia="Times New Roman"/>
                <w:color w:val="000000"/>
                <w:szCs w:val="18"/>
              </w:rPr>
              <w:t>Early renewal of infrastructure by 51</w:t>
            </w:r>
            <w:r w:rsidR="00301702" w:rsidRPr="00E3756C">
              <w:rPr>
                <w:rFonts w:eastAsia="Times New Roman"/>
                <w:color w:val="000000"/>
                <w:szCs w:val="18"/>
              </w:rPr>
              <w:t>–</w:t>
            </w:r>
            <w:r w:rsidRPr="00E3756C">
              <w:rPr>
                <w:rFonts w:eastAsia="Times New Roman"/>
                <w:color w:val="000000"/>
                <w:szCs w:val="18"/>
              </w:rPr>
              <w:t>90%.</w:t>
            </w:r>
          </w:p>
          <w:p w14:paraId="65E1E50E" w14:textId="1BFE77D1" w:rsidR="008E4F54" w:rsidRPr="00E3756C" w:rsidRDefault="008E4F54" w:rsidP="00EE5CF1">
            <w:pPr>
              <w:pStyle w:val="TableText"/>
              <w:spacing w:after="20"/>
              <w:rPr>
                <w:rFonts w:cs="Arial"/>
                <w:szCs w:val="18"/>
              </w:rPr>
            </w:pPr>
            <w:r w:rsidRPr="00E3756C">
              <w:rPr>
                <w:rFonts w:cs="Arial"/>
                <w:szCs w:val="18"/>
              </w:rPr>
              <w:t>Damage to 251</w:t>
            </w:r>
            <w:r w:rsidR="00301702" w:rsidRPr="00E3756C">
              <w:rPr>
                <w:rFonts w:cs="Arial"/>
                <w:szCs w:val="18"/>
              </w:rPr>
              <w:t>–</w:t>
            </w:r>
            <w:r w:rsidRPr="00E3756C">
              <w:rPr>
                <w:rFonts w:cs="Arial"/>
                <w:szCs w:val="18"/>
              </w:rPr>
              <w:t>1000 residential dwellings requires assessment.</w:t>
            </w:r>
            <w:r w:rsidR="00484C8A" w:rsidRPr="00E3756C">
              <w:rPr>
                <w:rFonts w:cs="Arial"/>
                <w:szCs w:val="18"/>
              </w:rPr>
              <w:t xml:space="preserve"> </w:t>
            </w:r>
            <w:r w:rsidRPr="00E3756C">
              <w:rPr>
                <w:rFonts w:cs="Arial"/>
                <w:szCs w:val="18"/>
              </w:rPr>
              <w:t>Widespread structural damage mostly repa</w:t>
            </w:r>
            <w:r w:rsidR="000172C1">
              <w:rPr>
                <w:rFonts w:cs="Arial"/>
                <w:szCs w:val="18"/>
              </w:rPr>
              <w:t>i</w:t>
            </w:r>
            <w:r w:rsidRPr="00E3756C">
              <w:rPr>
                <w:rFonts w:cs="Arial"/>
                <w:szCs w:val="18"/>
              </w:rPr>
              <w:t xml:space="preserve">rable, but significant numbers need to be immediately relocated. </w:t>
            </w:r>
          </w:p>
          <w:p w14:paraId="261D457F" w14:textId="77777777" w:rsidR="008E4F54" w:rsidRPr="00E3756C" w:rsidRDefault="008E4F54" w:rsidP="00EE5CF1">
            <w:pPr>
              <w:pStyle w:val="TableText"/>
              <w:spacing w:after="20"/>
              <w:rPr>
                <w:rFonts w:cs="Arial"/>
                <w:szCs w:val="18"/>
              </w:rPr>
            </w:pPr>
            <w:r w:rsidRPr="00E3756C">
              <w:rPr>
                <w:rFonts w:cs="Arial"/>
                <w:szCs w:val="18"/>
              </w:rPr>
              <w:t>Costs exceed insured value.</w:t>
            </w:r>
          </w:p>
          <w:p w14:paraId="4BFFD2D5" w14:textId="01715C50" w:rsidR="008E4F54" w:rsidRPr="00E3756C" w:rsidRDefault="00301702" w:rsidP="00C92DEB">
            <w:pPr>
              <w:pStyle w:val="TableText"/>
              <w:rPr>
                <w:rFonts w:cs="Arial"/>
                <w:szCs w:val="18"/>
              </w:rPr>
            </w:pPr>
            <w:r w:rsidRPr="00E3756C">
              <w:rPr>
                <w:rFonts w:cs="Arial"/>
                <w:szCs w:val="18"/>
              </w:rPr>
              <w:t xml:space="preserve">Between </w:t>
            </w:r>
            <w:r w:rsidR="008E4F54" w:rsidRPr="00E3756C">
              <w:rPr>
                <w:rFonts w:cs="Arial"/>
                <w:szCs w:val="18"/>
              </w:rPr>
              <w:t>101</w:t>
            </w:r>
            <w:r w:rsidRPr="00E3756C">
              <w:rPr>
                <w:rFonts w:cs="Arial"/>
                <w:szCs w:val="18"/>
              </w:rPr>
              <w:t>–</w:t>
            </w:r>
            <w:r w:rsidR="008E4F54" w:rsidRPr="00E3756C">
              <w:rPr>
                <w:rFonts w:cs="Arial"/>
                <w:szCs w:val="18"/>
              </w:rPr>
              <w:t xml:space="preserve">500 commercial buildings </w:t>
            </w:r>
            <w:r w:rsidR="000172C1">
              <w:rPr>
                <w:rFonts w:cs="Arial"/>
                <w:szCs w:val="18"/>
              </w:rPr>
              <w:t>and</w:t>
            </w:r>
            <w:r w:rsidR="008E4F54" w:rsidRPr="00E3756C">
              <w:rPr>
                <w:rFonts w:cs="Arial"/>
                <w:szCs w:val="18"/>
              </w:rPr>
              <w:t xml:space="preserve"> 101</w:t>
            </w:r>
            <w:r w:rsidRPr="00E3756C">
              <w:rPr>
                <w:rFonts w:cs="Arial"/>
                <w:szCs w:val="18"/>
              </w:rPr>
              <w:t>–</w:t>
            </w:r>
            <w:r w:rsidR="008E4F54" w:rsidRPr="00E3756C">
              <w:rPr>
                <w:rFonts w:cs="Arial"/>
                <w:szCs w:val="18"/>
              </w:rPr>
              <w:t>500 government and non-commercial buildings require assessment. Many need to be permanently</w:t>
            </w:r>
            <w:r w:rsidR="000172C1">
              <w:rPr>
                <w:rFonts w:cs="Arial"/>
                <w:szCs w:val="18"/>
              </w:rPr>
              <w:t xml:space="preserve"> </w:t>
            </w:r>
            <w:r w:rsidR="008E4F54" w:rsidRPr="00E3756C">
              <w:rPr>
                <w:rFonts w:cs="Arial"/>
                <w:szCs w:val="18"/>
              </w:rPr>
              <w:t>relocated.</w:t>
            </w:r>
          </w:p>
          <w:p w14:paraId="304809F9" w14:textId="77777777" w:rsidR="008E4F54" w:rsidRPr="00E3756C" w:rsidRDefault="008E4F54" w:rsidP="00D33445">
            <w:pPr>
              <w:pStyle w:val="TableText"/>
              <w:rPr>
                <w:rFonts w:eastAsia="Times New Roman" w:cstheme="minorHAnsi"/>
                <w:color w:val="000000"/>
                <w:szCs w:val="18"/>
              </w:rPr>
            </w:pPr>
            <w:r w:rsidRPr="00E3756C">
              <w:rPr>
                <w:rFonts w:cs="Arial"/>
                <w:szCs w:val="18"/>
              </w:rPr>
              <w:lastRenderedPageBreak/>
              <w:t>Damage to 51</w:t>
            </w:r>
            <w:r w:rsidR="00301702" w:rsidRPr="00E3756C">
              <w:rPr>
                <w:rFonts w:cs="Arial"/>
                <w:szCs w:val="18"/>
              </w:rPr>
              <w:t>–</w:t>
            </w:r>
            <w:r w:rsidRPr="00E3756C">
              <w:rPr>
                <w:rFonts w:cs="Arial"/>
                <w:szCs w:val="18"/>
              </w:rPr>
              <w:t>75% of Māori cultural assets</w:t>
            </w:r>
            <w:r w:rsidR="00301702" w:rsidRPr="00E3756C">
              <w:rPr>
                <w:rFonts w:cs="Arial"/>
                <w:szCs w:val="18"/>
              </w:rPr>
              <w:t>,</w:t>
            </w:r>
            <w:r w:rsidRPr="00E3756C">
              <w:rPr>
                <w:rFonts w:cs="Arial"/>
                <w:szCs w:val="18"/>
              </w:rPr>
              <w:t xml:space="preserve"> such as marae, urupā, wāhi tapu and wāhi taonga</w:t>
            </w:r>
            <w:r w:rsidR="00301702" w:rsidRPr="00E3756C">
              <w:rPr>
                <w:rFonts w:cs="Arial"/>
                <w:szCs w:val="18"/>
              </w:rPr>
              <w:t>.</w:t>
            </w:r>
          </w:p>
        </w:tc>
        <w:tc>
          <w:tcPr>
            <w:tcW w:w="2694" w:type="dxa"/>
          </w:tcPr>
          <w:p w14:paraId="56B37211" w14:textId="74EF2B39" w:rsidR="00C92DEB" w:rsidRPr="00E3756C" w:rsidRDefault="008E4F54" w:rsidP="00C92DEB">
            <w:pPr>
              <w:pStyle w:val="TableText"/>
              <w:rPr>
                <w:rFonts w:eastAsia="Times New Roman"/>
                <w:color w:val="000000"/>
                <w:szCs w:val="18"/>
              </w:rPr>
            </w:pPr>
            <w:r w:rsidRPr="00E3756C">
              <w:rPr>
                <w:rFonts w:eastAsia="Times New Roman"/>
                <w:color w:val="000000"/>
                <w:szCs w:val="18"/>
              </w:rPr>
              <w:lastRenderedPageBreak/>
              <w:t>Widespread, long</w:t>
            </w:r>
            <w:r w:rsidR="00301702" w:rsidRPr="00E3756C">
              <w:rPr>
                <w:rFonts w:eastAsia="Times New Roman"/>
                <w:color w:val="000000"/>
                <w:szCs w:val="18"/>
              </w:rPr>
              <w:t>-</w:t>
            </w:r>
            <w:r w:rsidRPr="00E3756C">
              <w:rPr>
                <w:rFonts w:eastAsia="Times New Roman"/>
                <w:color w:val="000000"/>
                <w:szCs w:val="18"/>
              </w:rPr>
              <w:t xml:space="preserve">term service disruption. Significant permanent damage and/or complete loss of the infrastructure and </w:t>
            </w:r>
            <w:r w:rsidR="000172C1">
              <w:rPr>
                <w:rFonts w:eastAsia="Times New Roman"/>
                <w:color w:val="000000"/>
                <w:szCs w:val="18"/>
              </w:rPr>
              <w:t>its</w:t>
            </w:r>
            <w:r w:rsidRPr="00E3756C">
              <w:rPr>
                <w:rFonts w:eastAsia="Times New Roman"/>
                <w:color w:val="000000"/>
                <w:szCs w:val="18"/>
              </w:rPr>
              <w:t xml:space="preserve"> service.</w:t>
            </w:r>
            <w:r w:rsidR="00C92DEB" w:rsidRPr="00E3756C">
              <w:rPr>
                <w:rFonts w:eastAsia="Times New Roman"/>
                <w:color w:val="000000"/>
                <w:szCs w:val="18"/>
              </w:rPr>
              <w:t xml:space="preserve"> </w:t>
            </w:r>
          </w:p>
          <w:p w14:paraId="3D2BE37F" w14:textId="77777777" w:rsidR="008E4F54" w:rsidRPr="00E3756C" w:rsidRDefault="008E4F54" w:rsidP="008B3024">
            <w:pPr>
              <w:pStyle w:val="TableText"/>
              <w:spacing w:before="40"/>
              <w:rPr>
                <w:rFonts w:eastAsia="Times New Roman"/>
                <w:color w:val="000000"/>
                <w:szCs w:val="18"/>
              </w:rPr>
            </w:pPr>
            <w:r w:rsidRPr="00E3756C">
              <w:rPr>
                <w:rFonts w:eastAsia="Times New Roman"/>
                <w:color w:val="000000"/>
                <w:szCs w:val="18"/>
              </w:rPr>
              <w:t>Loss of infrastructure support and translocation of service</w:t>
            </w:r>
            <w:r w:rsidRPr="00E3756C">
              <w:rPr>
                <w:rFonts w:eastAsia="Times New Roman"/>
                <w:color w:val="000000"/>
                <w:szCs w:val="18"/>
              </w:rPr>
              <w:br/>
              <w:t xml:space="preserve">to other sites. Early renewal of infrastructure by </w:t>
            </w:r>
            <w:r w:rsidR="008F1656" w:rsidRPr="00E3756C">
              <w:rPr>
                <w:rFonts w:eastAsia="Times New Roman"/>
                <w:color w:val="000000"/>
                <w:szCs w:val="18"/>
              </w:rPr>
              <w:t xml:space="preserve">more than </w:t>
            </w:r>
            <w:r w:rsidRPr="00E3756C">
              <w:rPr>
                <w:rFonts w:eastAsia="Times New Roman"/>
                <w:color w:val="000000"/>
                <w:szCs w:val="18"/>
              </w:rPr>
              <w:t>90%.</w:t>
            </w:r>
          </w:p>
          <w:p w14:paraId="57C35980" w14:textId="77777777" w:rsidR="008E4F54" w:rsidRPr="00E3756C" w:rsidRDefault="008F1656" w:rsidP="008B3024">
            <w:pPr>
              <w:pStyle w:val="TableText"/>
              <w:spacing w:before="40"/>
              <w:rPr>
                <w:rFonts w:cs="Arial"/>
                <w:szCs w:val="18"/>
              </w:rPr>
            </w:pPr>
            <w:r w:rsidRPr="00E3756C">
              <w:rPr>
                <w:rFonts w:eastAsia="Times New Roman"/>
                <w:color w:val="000000"/>
                <w:szCs w:val="18"/>
              </w:rPr>
              <w:t>More than</w:t>
            </w:r>
            <w:r w:rsidR="008E4F54" w:rsidRPr="00E3756C">
              <w:rPr>
                <w:rFonts w:cs="Arial"/>
                <w:szCs w:val="18"/>
              </w:rPr>
              <w:t xml:space="preserve"> 1000 residential dwellings require assessments for immediate relocation.</w:t>
            </w:r>
          </w:p>
          <w:p w14:paraId="7C4D5F95" w14:textId="165A1276" w:rsidR="008E4F54" w:rsidRPr="00E3756C" w:rsidRDefault="008F1656" w:rsidP="008B3024">
            <w:pPr>
              <w:pStyle w:val="TableText"/>
              <w:spacing w:before="40"/>
              <w:rPr>
                <w:rFonts w:cs="Arial"/>
                <w:szCs w:val="18"/>
              </w:rPr>
            </w:pPr>
            <w:r w:rsidRPr="00E3756C">
              <w:rPr>
                <w:rFonts w:cs="Arial"/>
                <w:szCs w:val="18"/>
              </w:rPr>
              <w:t xml:space="preserve">More than </w:t>
            </w:r>
            <w:r w:rsidR="008E4F54" w:rsidRPr="00E3756C">
              <w:rPr>
                <w:rFonts w:cs="Arial"/>
                <w:szCs w:val="18"/>
              </w:rPr>
              <w:t xml:space="preserve">500 commercial buildings </w:t>
            </w:r>
            <w:r w:rsidR="000172C1">
              <w:rPr>
                <w:rFonts w:cs="Arial"/>
                <w:szCs w:val="18"/>
              </w:rPr>
              <w:t>and</w:t>
            </w:r>
            <w:r w:rsidR="008E4F54" w:rsidRPr="00E3756C">
              <w:rPr>
                <w:rFonts w:cs="Arial"/>
                <w:szCs w:val="18"/>
              </w:rPr>
              <w:t xml:space="preserve"> </w:t>
            </w:r>
            <w:r w:rsidRPr="00E3756C">
              <w:rPr>
                <w:rFonts w:cs="Arial"/>
                <w:szCs w:val="18"/>
              </w:rPr>
              <w:t xml:space="preserve">more than </w:t>
            </w:r>
            <w:r w:rsidR="008E4F54" w:rsidRPr="00E3756C">
              <w:rPr>
                <w:rFonts w:cs="Arial"/>
                <w:szCs w:val="18"/>
              </w:rPr>
              <w:t>500 government and non-commercial buildings require assessment for permanent relocation options</w:t>
            </w:r>
            <w:r w:rsidRPr="00E3756C">
              <w:rPr>
                <w:rFonts w:cs="Arial"/>
                <w:szCs w:val="18"/>
              </w:rPr>
              <w:t>.</w:t>
            </w:r>
          </w:p>
          <w:p w14:paraId="3F58E066" w14:textId="77777777" w:rsidR="008E4F54" w:rsidRPr="00E3756C" w:rsidRDefault="008E4F54" w:rsidP="008B3024">
            <w:pPr>
              <w:pStyle w:val="TableText"/>
              <w:spacing w:before="40"/>
              <w:rPr>
                <w:rFonts w:cs="Arial"/>
                <w:szCs w:val="18"/>
              </w:rPr>
            </w:pPr>
            <w:r w:rsidRPr="00E3756C">
              <w:rPr>
                <w:rFonts w:cs="Arial"/>
                <w:szCs w:val="18"/>
              </w:rPr>
              <w:t>Extensive structural damage in multiple regions and cities. Costs significantly exceed insured value.</w:t>
            </w:r>
          </w:p>
          <w:p w14:paraId="4FA579E7" w14:textId="77777777" w:rsidR="008E4F54" w:rsidRPr="00E3756C" w:rsidRDefault="008E4F54" w:rsidP="00D33445">
            <w:pPr>
              <w:pStyle w:val="TableText"/>
              <w:rPr>
                <w:rFonts w:eastAsia="Times New Roman" w:cstheme="minorHAnsi"/>
                <w:color w:val="000000"/>
                <w:szCs w:val="18"/>
              </w:rPr>
            </w:pPr>
            <w:r w:rsidRPr="00E3756C">
              <w:rPr>
                <w:rFonts w:cs="Arial"/>
                <w:szCs w:val="18"/>
              </w:rPr>
              <w:t xml:space="preserve">Damage to </w:t>
            </w:r>
            <w:r w:rsidR="00D33445" w:rsidRPr="00E3756C">
              <w:rPr>
                <w:rFonts w:cs="Arial"/>
                <w:szCs w:val="18"/>
              </w:rPr>
              <w:t xml:space="preserve">more than </w:t>
            </w:r>
            <w:r w:rsidRPr="00E3756C">
              <w:rPr>
                <w:rFonts w:cs="Arial"/>
                <w:szCs w:val="18"/>
              </w:rPr>
              <w:t>75% of Māori cultural assets</w:t>
            </w:r>
            <w:r w:rsidR="00D33445" w:rsidRPr="00E3756C">
              <w:rPr>
                <w:rFonts w:cs="Arial"/>
                <w:szCs w:val="18"/>
              </w:rPr>
              <w:t>,</w:t>
            </w:r>
            <w:r w:rsidRPr="00E3756C">
              <w:rPr>
                <w:rFonts w:cs="Arial"/>
                <w:szCs w:val="18"/>
              </w:rPr>
              <w:t xml:space="preserve"> such as </w:t>
            </w:r>
            <w:r w:rsidRPr="00E3756C">
              <w:rPr>
                <w:rFonts w:cs="Arial"/>
                <w:szCs w:val="18"/>
              </w:rPr>
              <w:lastRenderedPageBreak/>
              <w:t>marae, urupā, wāhi tapu and wāhi taonga</w:t>
            </w:r>
            <w:r w:rsidR="00D33445" w:rsidRPr="00E3756C">
              <w:rPr>
                <w:rFonts w:cs="Arial"/>
                <w:szCs w:val="18"/>
              </w:rPr>
              <w:t>.</w:t>
            </w:r>
          </w:p>
        </w:tc>
      </w:tr>
      <w:tr w:rsidR="008E4F54" w:rsidRPr="00E3756C" w14:paraId="7E72ACDA" w14:textId="77777777" w:rsidTr="00A20707">
        <w:tc>
          <w:tcPr>
            <w:tcW w:w="1708" w:type="dxa"/>
            <w:gridSpan w:val="2"/>
            <w:shd w:val="clear" w:color="auto" w:fill="6FC7B7" w:themeFill="accent5"/>
          </w:tcPr>
          <w:p w14:paraId="0144C0CD" w14:textId="77777777" w:rsidR="008E4F54" w:rsidRPr="00E3756C" w:rsidRDefault="008E4F54" w:rsidP="00C92DEB">
            <w:pPr>
              <w:pStyle w:val="TableText"/>
              <w:rPr>
                <w:b/>
                <w:color w:val="FFFFFF" w:themeColor="background1"/>
              </w:rPr>
            </w:pPr>
            <w:r w:rsidRPr="00E3756C">
              <w:rPr>
                <w:b/>
                <w:color w:val="FFFFFF" w:themeColor="background1"/>
              </w:rPr>
              <w:lastRenderedPageBreak/>
              <w:t>Governance</w:t>
            </w:r>
          </w:p>
        </w:tc>
        <w:tc>
          <w:tcPr>
            <w:tcW w:w="2456" w:type="dxa"/>
          </w:tcPr>
          <w:p w14:paraId="45A519BE" w14:textId="77777777" w:rsidR="008E4F54" w:rsidRPr="00E3756C" w:rsidRDefault="008E4F54" w:rsidP="00C92DEB">
            <w:pPr>
              <w:pStyle w:val="TableText"/>
              <w:rPr>
                <w:rFonts w:cs="Arial"/>
                <w:szCs w:val="18"/>
              </w:rPr>
            </w:pPr>
            <w:r w:rsidRPr="00E3756C">
              <w:rPr>
                <w:rFonts w:cs="Arial"/>
                <w:szCs w:val="18"/>
              </w:rPr>
              <w:t>No impact or some low</w:t>
            </w:r>
            <w:r w:rsidR="00D33445" w:rsidRPr="00E3756C">
              <w:rPr>
                <w:rFonts w:cs="Arial"/>
                <w:szCs w:val="18"/>
              </w:rPr>
              <w:t>-</w:t>
            </w:r>
            <w:r w:rsidRPr="00E3756C">
              <w:rPr>
                <w:rFonts w:cs="Arial"/>
                <w:szCs w:val="18"/>
              </w:rPr>
              <w:t>level inconsequential impacts</w:t>
            </w:r>
            <w:r w:rsidR="00D33445" w:rsidRPr="00E3756C">
              <w:rPr>
                <w:rFonts w:cs="Arial"/>
                <w:szCs w:val="18"/>
              </w:rPr>
              <w:t>.</w:t>
            </w:r>
          </w:p>
          <w:p w14:paraId="69D95A60" w14:textId="730AAE1E" w:rsidR="008E4F54" w:rsidRPr="00E3756C" w:rsidRDefault="008E4F54" w:rsidP="00D33445">
            <w:pPr>
              <w:pStyle w:val="TableText"/>
              <w:rPr>
                <w:rFonts w:cs="Arial"/>
                <w:szCs w:val="18"/>
              </w:rPr>
            </w:pPr>
            <w:r w:rsidRPr="00E3756C">
              <w:rPr>
                <w:rFonts w:cs="Arial"/>
                <w:szCs w:val="18"/>
              </w:rPr>
              <w:t>B</w:t>
            </w:r>
            <w:r w:rsidR="00D33445" w:rsidRPr="00E3756C">
              <w:rPr>
                <w:rFonts w:cs="Arial"/>
                <w:szCs w:val="18"/>
              </w:rPr>
              <w:t>usines</w:t>
            </w:r>
            <w:r w:rsidR="000172C1">
              <w:rPr>
                <w:rFonts w:cs="Arial"/>
                <w:szCs w:val="18"/>
              </w:rPr>
              <w:t>-</w:t>
            </w:r>
            <w:r w:rsidR="00D33445" w:rsidRPr="00E3756C">
              <w:rPr>
                <w:rFonts w:cs="Arial"/>
                <w:szCs w:val="18"/>
              </w:rPr>
              <w:t xml:space="preserve"> as</w:t>
            </w:r>
            <w:r w:rsidR="000172C1">
              <w:rPr>
                <w:rFonts w:cs="Arial"/>
                <w:szCs w:val="18"/>
              </w:rPr>
              <w:t>-</w:t>
            </w:r>
            <w:r w:rsidR="00D33445" w:rsidRPr="00E3756C">
              <w:rPr>
                <w:rFonts w:cs="Arial"/>
                <w:szCs w:val="18"/>
              </w:rPr>
              <w:t>usual</w:t>
            </w:r>
            <w:r w:rsidRPr="00E3756C">
              <w:rPr>
                <w:rFonts w:cs="Arial"/>
                <w:szCs w:val="18"/>
              </w:rPr>
              <w:t xml:space="preserve"> disruption to non-essential local level governance.</w:t>
            </w:r>
          </w:p>
        </w:tc>
        <w:tc>
          <w:tcPr>
            <w:tcW w:w="2527" w:type="dxa"/>
          </w:tcPr>
          <w:p w14:paraId="526CFDB3" w14:textId="77777777" w:rsidR="008E4F54" w:rsidRPr="00E3756C" w:rsidRDefault="008E4F54" w:rsidP="00C92DEB">
            <w:pPr>
              <w:pStyle w:val="TableText"/>
              <w:rPr>
                <w:rFonts w:cs="Arial"/>
                <w:szCs w:val="18"/>
              </w:rPr>
            </w:pPr>
            <w:r w:rsidRPr="00E3756C">
              <w:rPr>
                <w:rFonts w:cs="Arial"/>
                <w:szCs w:val="18"/>
              </w:rPr>
              <w:t>Some minor impacts at the local level.</w:t>
            </w:r>
          </w:p>
          <w:p w14:paraId="3A4D9A4A" w14:textId="77777777" w:rsidR="008E4F54" w:rsidRPr="00E3756C" w:rsidRDefault="008E4F54" w:rsidP="00C92DEB">
            <w:pPr>
              <w:pStyle w:val="TableText"/>
              <w:rPr>
                <w:rFonts w:cs="Arial"/>
                <w:szCs w:val="18"/>
              </w:rPr>
            </w:pPr>
            <w:r w:rsidRPr="00E3756C">
              <w:rPr>
                <w:rFonts w:cs="Arial"/>
                <w:szCs w:val="18"/>
              </w:rPr>
              <w:t>Disruption to some local level governance and decision</w:t>
            </w:r>
            <w:r w:rsidR="00D33445" w:rsidRPr="00E3756C">
              <w:rPr>
                <w:rFonts w:cs="Arial"/>
                <w:szCs w:val="18"/>
              </w:rPr>
              <w:t>-</w:t>
            </w:r>
            <w:r w:rsidRPr="00E3756C">
              <w:rPr>
                <w:rFonts w:cs="Arial"/>
                <w:szCs w:val="18"/>
              </w:rPr>
              <w:t>making functions (eg</w:t>
            </w:r>
            <w:r w:rsidR="00D33445" w:rsidRPr="00E3756C">
              <w:rPr>
                <w:rFonts w:cs="Arial"/>
                <w:szCs w:val="18"/>
              </w:rPr>
              <w:t>,</w:t>
            </w:r>
            <w:r w:rsidRPr="00E3756C">
              <w:rPr>
                <w:rFonts w:cs="Arial"/>
                <w:szCs w:val="18"/>
              </w:rPr>
              <w:t xml:space="preserve"> temporary limited access to local facilities).</w:t>
            </w:r>
          </w:p>
          <w:p w14:paraId="4E24CFB1" w14:textId="77777777" w:rsidR="008E4F54" w:rsidRPr="00E3756C" w:rsidRDefault="008E4F54" w:rsidP="00C92DEB">
            <w:pPr>
              <w:pStyle w:val="TableText"/>
              <w:rPr>
                <w:rFonts w:cs="Arial"/>
                <w:szCs w:val="18"/>
              </w:rPr>
            </w:pPr>
            <w:r w:rsidRPr="00E3756C">
              <w:rPr>
                <w:rFonts w:cs="Arial"/>
                <w:szCs w:val="18"/>
              </w:rPr>
              <w:t>Some negative impacts on perceived reputation</w:t>
            </w:r>
            <w:r w:rsidR="00D33445" w:rsidRPr="00E3756C">
              <w:rPr>
                <w:rFonts w:cs="Arial"/>
                <w:szCs w:val="18"/>
              </w:rPr>
              <w:t>.</w:t>
            </w:r>
          </w:p>
          <w:p w14:paraId="754085BA" w14:textId="77777777" w:rsidR="008E4F54" w:rsidRPr="00E3756C" w:rsidRDefault="008E4F54" w:rsidP="00147CDD">
            <w:pPr>
              <w:pStyle w:val="TableText"/>
              <w:rPr>
                <w:rFonts w:cs="Arial"/>
                <w:szCs w:val="18"/>
              </w:rPr>
            </w:pPr>
            <w:r w:rsidRPr="00E3756C">
              <w:rPr>
                <w:rFonts w:eastAsia="Times New Roman"/>
                <w:color w:val="000000"/>
                <w:szCs w:val="18"/>
              </w:rPr>
              <w:t>Minimal effects to Te Tiriti o Waitangi rights</w:t>
            </w:r>
            <w:r w:rsidR="00D33445" w:rsidRPr="00E3756C">
              <w:rPr>
                <w:rFonts w:eastAsia="Times New Roman"/>
                <w:color w:val="000000"/>
                <w:szCs w:val="18"/>
              </w:rPr>
              <w:t>.</w:t>
            </w:r>
          </w:p>
        </w:tc>
        <w:tc>
          <w:tcPr>
            <w:tcW w:w="2551" w:type="dxa"/>
          </w:tcPr>
          <w:p w14:paraId="475714E6" w14:textId="77777777" w:rsidR="008E4F54" w:rsidRPr="00E3756C" w:rsidRDefault="008E4F54" w:rsidP="008B3024">
            <w:pPr>
              <w:pStyle w:val="TableText"/>
              <w:spacing w:after="40"/>
              <w:rPr>
                <w:rFonts w:cs="Arial"/>
                <w:szCs w:val="18"/>
              </w:rPr>
            </w:pPr>
            <w:r w:rsidRPr="00E3756C">
              <w:rPr>
                <w:rFonts w:cs="Arial"/>
                <w:szCs w:val="18"/>
              </w:rPr>
              <w:t>Moderate localised impacts on decision</w:t>
            </w:r>
            <w:r w:rsidR="00D33445" w:rsidRPr="00E3756C">
              <w:rPr>
                <w:rFonts w:cs="Arial"/>
                <w:szCs w:val="18"/>
              </w:rPr>
              <w:t>-</w:t>
            </w:r>
            <w:r w:rsidRPr="00E3756C">
              <w:rPr>
                <w:rFonts w:cs="Arial"/>
                <w:szCs w:val="18"/>
              </w:rPr>
              <w:t>making functions</w:t>
            </w:r>
            <w:r w:rsidR="00D33445" w:rsidRPr="00E3756C">
              <w:rPr>
                <w:rFonts w:cs="Arial"/>
                <w:szCs w:val="18"/>
              </w:rPr>
              <w:t>.</w:t>
            </w:r>
          </w:p>
          <w:p w14:paraId="72C99DC8" w14:textId="77777777" w:rsidR="008E4F54" w:rsidRPr="00E3756C" w:rsidRDefault="008E4F54" w:rsidP="008B3024">
            <w:pPr>
              <w:pStyle w:val="TableText"/>
              <w:spacing w:after="40"/>
              <w:rPr>
                <w:rFonts w:cs="Arial"/>
                <w:szCs w:val="18"/>
              </w:rPr>
            </w:pPr>
            <w:r w:rsidRPr="00E3756C">
              <w:rPr>
                <w:rFonts w:cs="Arial"/>
                <w:szCs w:val="18"/>
              </w:rPr>
              <w:t>Limited access or damage to district facilities requiring temporary relocation, which has minor impacts on service delivery.</w:t>
            </w:r>
          </w:p>
          <w:p w14:paraId="3BB706E1" w14:textId="77777777" w:rsidR="008E4F54" w:rsidRPr="00E3756C" w:rsidRDefault="008E4F54" w:rsidP="008B3024">
            <w:pPr>
              <w:pStyle w:val="TableText"/>
              <w:spacing w:after="40"/>
              <w:rPr>
                <w:rFonts w:cs="Arial"/>
                <w:szCs w:val="18"/>
              </w:rPr>
            </w:pPr>
            <w:r w:rsidRPr="00E3756C">
              <w:rPr>
                <w:rFonts w:cs="Arial"/>
                <w:szCs w:val="18"/>
              </w:rPr>
              <w:t>Moderate impacts on perceived reputation</w:t>
            </w:r>
            <w:r w:rsidR="00484C8A" w:rsidRPr="00E3756C">
              <w:rPr>
                <w:rFonts w:cs="Arial"/>
                <w:szCs w:val="18"/>
              </w:rPr>
              <w:t xml:space="preserve"> </w:t>
            </w:r>
            <w:r w:rsidRPr="00E3756C">
              <w:rPr>
                <w:rFonts w:cs="Arial"/>
                <w:szCs w:val="18"/>
              </w:rPr>
              <w:t>that will require specialised management to restore</w:t>
            </w:r>
            <w:r w:rsidR="00147CDD" w:rsidRPr="00E3756C">
              <w:rPr>
                <w:rFonts w:cs="Arial"/>
                <w:szCs w:val="18"/>
              </w:rPr>
              <w:t>.</w:t>
            </w:r>
          </w:p>
          <w:p w14:paraId="778FBE13" w14:textId="77777777" w:rsidR="008E4F54" w:rsidRPr="00E3756C" w:rsidRDefault="008E4F54" w:rsidP="00C92DEB">
            <w:pPr>
              <w:pStyle w:val="TableText"/>
              <w:rPr>
                <w:rFonts w:cs="Arial"/>
                <w:szCs w:val="18"/>
              </w:rPr>
            </w:pPr>
            <w:r w:rsidRPr="00E3756C">
              <w:rPr>
                <w:rFonts w:eastAsia="Times New Roman"/>
                <w:color w:val="000000"/>
                <w:szCs w:val="18"/>
              </w:rPr>
              <w:t xml:space="preserve">Some </w:t>
            </w:r>
            <w:r w:rsidR="00147CDD" w:rsidRPr="00E3756C">
              <w:rPr>
                <w:rFonts w:eastAsia="Times New Roman"/>
                <w:color w:val="000000"/>
                <w:szCs w:val="18"/>
              </w:rPr>
              <w:t>Te Tiriti o Waitangi</w:t>
            </w:r>
            <w:r w:rsidRPr="00E3756C">
              <w:rPr>
                <w:rFonts w:eastAsia="Times New Roman"/>
                <w:color w:val="000000"/>
                <w:szCs w:val="18"/>
              </w:rPr>
              <w:t xml:space="preserve"> rights are temporarily eroded or damaged</w:t>
            </w:r>
            <w:r w:rsidR="00147CDD" w:rsidRPr="00E3756C">
              <w:rPr>
                <w:rFonts w:eastAsia="Times New Roman"/>
                <w:color w:val="000000"/>
                <w:szCs w:val="18"/>
              </w:rPr>
              <w:t>.</w:t>
            </w:r>
            <w:r w:rsidRPr="00E3756C">
              <w:rPr>
                <w:rFonts w:eastAsia="Times New Roman"/>
                <w:color w:val="000000"/>
                <w:szCs w:val="18"/>
              </w:rPr>
              <w:t xml:space="preserve"> </w:t>
            </w:r>
          </w:p>
        </w:tc>
        <w:tc>
          <w:tcPr>
            <w:tcW w:w="2693" w:type="dxa"/>
          </w:tcPr>
          <w:p w14:paraId="607BE506" w14:textId="77777777" w:rsidR="008E4F54" w:rsidRPr="00E3756C" w:rsidRDefault="008E4F54" w:rsidP="00C92DEB">
            <w:pPr>
              <w:pStyle w:val="TableText"/>
              <w:rPr>
                <w:rFonts w:cs="Arial"/>
                <w:szCs w:val="18"/>
              </w:rPr>
            </w:pPr>
            <w:r w:rsidRPr="00E3756C">
              <w:rPr>
                <w:rFonts w:cs="Arial"/>
                <w:szCs w:val="18"/>
              </w:rPr>
              <w:t>Major multi-functional, multi-regional impacts on decision</w:t>
            </w:r>
            <w:r w:rsidR="00147CDD" w:rsidRPr="00E3756C">
              <w:rPr>
                <w:rFonts w:cs="Arial"/>
                <w:szCs w:val="18"/>
              </w:rPr>
              <w:t>-</w:t>
            </w:r>
            <w:r w:rsidRPr="00E3756C">
              <w:rPr>
                <w:rFonts w:cs="Arial"/>
                <w:szCs w:val="18"/>
              </w:rPr>
              <w:t>making functions.</w:t>
            </w:r>
          </w:p>
          <w:p w14:paraId="0C0DF66B" w14:textId="77777777" w:rsidR="008E4F54" w:rsidRPr="00E3756C" w:rsidRDefault="008E4F54" w:rsidP="008B3024">
            <w:pPr>
              <w:pStyle w:val="TableText"/>
              <w:spacing w:after="40"/>
              <w:rPr>
                <w:rFonts w:cs="Arial"/>
                <w:szCs w:val="18"/>
              </w:rPr>
            </w:pPr>
            <w:r w:rsidRPr="00E3756C">
              <w:rPr>
                <w:rFonts w:cs="Arial"/>
                <w:szCs w:val="18"/>
              </w:rPr>
              <w:t>Limited access or damage to regional facilities, requiring long</w:t>
            </w:r>
            <w:r w:rsidR="00147CDD" w:rsidRPr="00E3756C">
              <w:rPr>
                <w:rFonts w:cs="Arial"/>
                <w:szCs w:val="18"/>
              </w:rPr>
              <w:t>-</w:t>
            </w:r>
            <w:r w:rsidRPr="00E3756C">
              <w:rPr>
                <w:rFonts w:cs="Arial"/>
                <w:szCs w:val="18"/>
              </w:rPr>
              <w:t>term or permanent relocation</w:t>
            </w:r>
            <w:r w:rsidR="00147CDD" w:rsidRPr="00E3756C">
              <w:rPr>
                <w:rFonts w:cs="Arial"/>
                <w:szCs w:val="18"/>
              </w:rPr>
              <w:t>,</w:t>
            </w:r>
            <w:r w:rsidRPr="00E3756C">
              <w:rPr>
                <w:rFonts w:cs="Arial"/>
                <w:szCs w:val="18"/>
              </w:rPr>
              <w:t xml:space="preserve"> which has moderate impacts on service delivery.</w:t>
            </w:r>
          </w:p>
          <w:p w14:paraId="0EB3152E" w14:textId="77777777" w:rsidR="008E4F54" w:rsidRPr="00E3756C" w:rsidRDefault="008E4F54" w:rsidP="008B3024">
            <w:pPr>
              <w:pStyle w:val="TableText"/>
              <w:spacing w:after="40"/>
              <w:rPr>
                <w:rFonts w:cs="Arial"/>
                <w:szCs w:val="18"/>
              </w:rPr>
            </w:pPr>
            <w:r w:rsidRPr="00E3756C">
              <w:rPr>
                <w:rFonts w:cs="Arial"/>
                <w:szCs w:val="18"/>
              </w:rPr>
              <w:t>Major impacts on perceived reputation that will require significant resource</w:t>
            </w:r>
            <w:r w:rsidR="00147CDD" w:rsidRPr="00E3756C">
              <w:rPr>
                <w:rFonts w:cs="Arial"/>
                <w:szCs w:val="18"/>
              </w:rPr>
              <w:t>s</w:t>
            </w:r>
            <w:r w:rsidRPr="00E3756C">
              <w:rPr>
                <w:rFonts w:cs="Arial"/>
                <w:szCs w:val="18"/>
              </w:rPr>
              <w:t xml:space="preserve"> and time to mitigate.</w:t>
            </w:r>
          </w:p>
          <w:p w14:paraId="074042EE" w14:textId="77777777" w:rsidR="008E4F54" w:rsidRPr="00E3756C" w:rsidRDefault="008E4F54" w:rsidP="008B3024">
            <w:pPr>
              <w:pStyle w:val="TableText"/>
              <w:spacing w:after="40"/>
              <w:rPr>
                <w:rFonts w:cs="Arial"/>
                <w:szCs w:val="18"/>
              </w:rPr>
            </w:pPr>
            <w:r w:rsidRPr="00E3756C">
              <w:rPr>
                <w:rFonts w:eastAsia="Times New Roman"/>
                <w:color w:val="000000"/>
                <w:szCs w:val="18"/>
              </w:rPr>
              <w:t xml:space="preserve">Major erosion or damage to </w:t>
            </w:r>
            <w:r w:rsidR="00147CDD" w:rsidRPr="00E3756C">
              <w:rPr>
                <w:rFonts w:eastAsia="Times New Roman"/>
                <w:color w:val="000000"/>
                <w:szCs w:val="18"/>
              </w:rPr>
              <w:t>Te Tiriti o Waitangi</w:t>
            </w:r>
            <w:r w:rsidRPr="00E3756C">
              <w:rPr>
                <w:rFonts w:eastAsia="Times New Roman"/>
                <w:color w:val="000000"/>
                <w:szCs w:val="18"/>
              </w:rPr>
              <w:t xml:space="preserve"> rights</w:t>
            </w:r>
            <w:r w:rsidR="00147CDD" w:rsidRPr="00E3756C">
              <w:rPr>
                <w:rFonts w:eastAsia="Times New Roman"/>
                <w:color w:val="000000"/>
                <w:szCs w:val="18"/>
              </w:rPr>
              <w:t>.</w:t>
            </w:r>
          </w:p>
        </w:tc>
        <w:tc>
          <w:tcPr>
            <w:tcW w:w="2694" w:type="dxa"/>
          </w:tcPr>
          <w:p w14:paraId="4754674C" w14:textId="77777777" w:rsidR="008E4F54" w:rsidRPr="00E3756C" w:rsidRDefault="008E4F54" w:rsidP="00C92DEB">
            <w:pPr>
              <w:pStyle w:val="TableText"/>
              <w:rPr>
                <w:rFonts w:cs="Arial"/>
                <w:szCs w:val="18"/>
              </w:rPr>
            </w:pPr>
            <w:r w:rsidRPr="00E3756C">
              <w:rPr>
                <w:rFonts w:cs="Arial"/>
                <w:szCs w:val="18"/>
              </w:rPr>
              <w:t>Limited access or damage to facilities</w:t>
            </w:r>
            <w:r w:rsidR="00147CDD" w:rsidRPr="00E3756C">
              <w:rPr>
                <w:rFonts w:cs="Arial"/>
                <w:szCs w:val="18"/>
              </w:rPr>
              <w:t>,</w:t>
            </w:r>
            <w:r w:rsidRPr="00E3756C">
              <w:rPr>
                <w:rFonts w:cs="Arial"/>
                <w:szCs w:val="18"/>
              </w:rPr>
              <w:t xml:space="preserve"> which has major</w:t>
            </w:r>
            <w:r w:rsidR="00147CDD" w:rsidRPr="00E3756C">
              <w:rPr>
                <w:rFonts w:cs="Arial"/>
                <w:szCs w:val="18"/>
              </w:rPr>
              <w:t xml:space="preserve"> </w:t>
            </w:r>
            <w:r w:rsidRPr="00E3756C">
              <w:rPr>
                <w:rFonts w:cs="Arial"/>
                <w:szCs w:val="18"/>
              </w:rPr>
              <w:t>impacts on service delivery at all levels of government.</w:t>
            </w:r>
            <w:r w:rsidR="00484C8A" w:rsidRPr="00E3756C">
              <w:rPr>
                <w:rFonts w:cs="Arial"/>
                <w:szCs w:val="18"/>
              </w:rPr>
              <w:t xml:space="preserve"> </w:t>
            </w:r>
            <w:r w:rsidRPr="00E3756C">
              <w:rPr>
                <w:rFonts w:cs="Arial"/>
                <w:szCs w:val="18"/>
              </w:rPr>
              <w:t xml:space="preserve">Significant disruption to the functioning of </w:t>
            </w:r>
            <w:r w:rsidR="00147CDD" w:rsidRPr="00E3756C">
              <w:rPr>
                <w:rFonts w:cs="Arial"/>
                <w:szCs w:val="18"/>
              </w:rPr>
              <w:t>g</w:t>
            </w:r>
            <w:r w:rsidRPr="00E3756C">
              <w:rPr>
                <w:rFonts w:cs="Arial"/>
                <w:szCs w:val="18"/>
              </w:rPr>
              <w:t>overnment at the national level.</w:t>
            </w:r>
          </w:p>
          <w:p w14:paraId="0C0BA95A" w14:textId="77777777" w:rsidR="008E4F54" w:rsidRPr="00E3756C" w:rsidRDefault="008E4F54" w:rsidP="00C92DEB">
            <w:pPr>
              <w:pStyle w:val="TableText"/>
              <w:rPr>
                <w:rFonts w:cs="Arial"/>
                <w:szCs w:val="18"/>
              </w:rPr>
            </w:pPr>
            <w:r w:rsidRPr="00E3756C">
              <w:rPr>
                <w:rFonts w:cs="Arial"/>
                <w:szCs w:val="18"/>
              </w:rPr>
              <w:t>Significant impacts on perceived reputation that will result in permanent or near permanent damage</w:t>
            </w:r>
            <w:r w:rsidR="00147CDD" w:rsidRPr="00E3756C">
              <w:rPr>
                <w:rFonts w:cs="Arial"/>
                <w:szCs w:val="18"/>
              </w:rPr>
              <w:t>.</w:t>
            </w:r>
          </w:p>
          <w:p w14:paraId="366C93E6" w14:textId="77777777" w:rsidR="008E4F54" w:rsidRPr="00E3756C" w:rsidRDefault="00147CDD" w:rsidP="00C92DEB">
            <w:pPr>
              <w:pStyle w:val="TableText"/>
              <w:rPr>
                <w:rFonts w:cs="Arial"/>
                <w:szCs w:val="18"/>
              </w:rPr>
            </w:pPr>
            <w:r w:rsidRPr="00E3756C">
              <w:rPr>
                <w:rFonts w:eastAsia="Times New Roman"/>
                <w:color w:val="000000"/>
                <w:szCs w:val="18"/>
              </w:rPr>
              <w:t>Te Tiriti o Waitangi</w:t>
            </w:r>
            <w:r w:rsidR="008E4F54" w:rsidRPr="00E3756C">
              <w:rPr>
                <w:rFonts w:eastAsia="Times New Roman"/>
                <w:color w:val="000000"/>
                <w:szCs w:val="18"/>
              </w:rPr>
              <w:t xml:space="preserve"> rights are lost.</w:t>
            </w:r>
          </w:p>
        </w:tc>
      </w:tr>
    </w:tbl>
    <w:p w14:paraId="105E2048" w14:textId="77777777" w:rsidR="008E4F54" w:rsidRPr="00E3756C" w:rsidRDefault="008E4F54" w:rsidP="008B3024">
      <w:pPr>
        <w:pStyle w:val="BodyText"/>
        <w:spacing w:before="0" w:after="0"/>
      </w:pPr>
    </w:p>
    <w:p w14:paraId="06093204" w14:textId="77777777" w:rsidR="008E4F54" w:rsidRPr="00E3756C" w:rsidRDefault="008E4F54" w:rsidP="00EE5CF1">
      <w:pPr>
        <w:pStyle w:val="BodyText"/>
        <w:spacing w:before="0" w:after="0"/>
        <w:sectPr w:rsidR="008E4F54" w:rsidRPr="00E3756C" w:rsidSect="008E4F54">
          <w:footerReference w:type="default" r:id="rId46"/>
          <w:pgSz w:w="16840" w:h="11907" w:orient="landscape" w:code="9"/>
          <w:pgMar w:top="1418" w:right="1134" w:bottom="1418" w:left="1134" w:header="567" w:footer="567" w:gutter="567"/>
          <w:cols w:space="720"/>
          <w:docGrid w:linePitch="299"/>
        </w:sectPr>
      </w:pPr>
    </w:p>
    <w:p w14:paraId="29D07E59" w14:textId="77777777" w:rsidR="006A0DA7" w:rsidRPr="00E3756C" w:rsidRDefault="006A0DA7" w:rsidP="006A0DA7">
      <w:pPr>
        <w:pStyle w:val="Heading1"/>
      </w:pPr>
      <w:bookmarkStart w:id="215" w:name="_Toc13570401"/>
      <w:bookmarkStart w:id="216" w:name="_Toc14361565"/>
      <w:bookmarkStart w:id="217" w:name="_Toc15409177"/>
      <w:r w:rsidRPr="00E3756C">
        <w:lastRenderedPageBreak/>
        <w:t>Chapter C3: Rationale for selecting projections and aligning projections to</w:t>
      </w:r>
      <w:r w:rsidR="00196CAF" w:rsidRPr="00E3756C">
        <w:t> </w:t>
      </w:r>
      <w:r w:rsidRPr="00E3756C">
        <w:t>timeframes</w:t>
      </w:r>
      <w:bookmarkEnd w:id="215"/>
      <w:bookmarkEnd w:id="216"/>
      <w:bookmarkEnd w:id="217"/>
    </w:p>
    <w:p w14:paraId="3E8BED54" w14:textId="77777777" w:rsidR="006A0DA7" w:rsidRPr="00E3756C" w:rsidRDefault="006A0DA7" w:rsidP="006A0DA7">
      <w:pPr>
        <w:pStyle w:val="BodyText"/>
      </w:pPr>
      <w:r w:rsidRPr="00E3756C">
        <w:t>The rationale for recommending the two climate-change projections (RCP4.5 and RCP8.5) is as follows (adapted from M</w:t>
      </w:r>
      <w:r w:rsidR="00AA27C2" w:rsidRPr="00E3756C">
        <w:t xml:space="preserve">inistry </w:t>
      </w:r>
      <w:r w:rsidRPr="00E3756C">
        <w:t>f</w:t>
      </w:r>
      <w:r w:rsidR="00AA27C2" w:rsidRPr="00E3756C">
        <w:t xml:space="preserve">or the </w:t>
      </w:r>
      <w:r w:rsidRPr="00E3756C">
        <w:t>E</w:t>
      </w:r>
      <w:r w:rsidR="00AA27C2" w:rsidRPr="00E3756C">
        <w:t>nvironment</w:t>
      </w:r>
      <w:r w:rsidRPr="00E3756C">
        <w:t>, 2017)</w:t>
      </w:r>
      <w:r w:rsidR="005467A2" w:rsidRPr="00E3756C">
        <w:t>.</w:t>
      </w:r>
    </w:p>
    <w:p w14:paraId="191C96EB" w14:textId="4D3F2826" w:rsidR="006A0DA7" w:rsidRPr="00E3756C" w:rsidRDefault="006A0DA7" w:rsidP="006A0DA7">
      <w:pPr>
        <w:pStyle w:val="Bullet"/>
        <w:rPr>
          <w:color w:val="000000"/>
        </w:rPr>
      </w:pPr>
      <w:r w:rsidRPr="00E3756C">
        <w:t xml:space="preserve">Because of the uncertainty about future changes in climate, it is necessary to examine a range of climate projections that reflect future states. Using </w:t>
      </w:r>
      <w:r w:rsidR="006534BE">
        <w:t>more than one scenario</w:t>
      </w:r>
      <w:r w:rsidRPr="00E3756C">
        <w:t xml:space="preserve">, rather than a single </w:t>
      </w:r>
      <w:r w:rsidR="005467A2" w:rsidRPr="00E3756C">
        <w:t>‘</w:t>
      </w:r>
      <w:r w:rsidRPr="00E3756C">
        <w:t>best</w:t>
      </w:r>
      <w:r w:rsidR="005467A2" w:rsidRPr="00E3756C">
        <w:t xml:space="preserve">’ </w:t>
      </w:r>
      <w:r w:rsidRPr="00E3756C">
        <w:t xml:space="preserve">or </w:t>
      </w:r>
      <w:r w:rsidR="005467A2" w:rsidRPr="00E3756C">
        <w:t>‘</w:t>
      </w:r>
      <w:r w:rsidRPr="00E3756C">
        <w:t>worst</w:t>
      </w:r>
      <w:r w:rsidR="005467A2" w:rsidRPr="00E3756C">
        <w:t>’</w:t>
      </w:r>
      <w:r w:rsidRPr="00E3756C">
        <w:t xml:space="preserve"> estimate, also avoids estimates of risks being invalidated as new information or projections become</w:t>
      </w:r>
      <w:r w:rsidR="003204B5">
        <w:t>s</w:t>
      </w:r>
      <w:r w:rsidRPr="00E3756C">
        <w:t xml:space="preserve"> available.</w:t>
      </w:r>
    </w:p>
    <w:p w14:paraId="78D68252" w14:textId="77777777" w:rsidR="006A0DA7" w:rsidRPr="00E3756C" w:rsidRDefault="006A0DA7" w:rsidP="006A0DA7">
      <w:pPr>
        <w:pStyle w:val="Bullet"/>
        <w:rPr>
          <w:color w:val="000000"/>
        </w:rPr>
      </w:pPr>
      <w:r w:rsidRPr="00E3756C">
        <w:t>A range of projections enables the rate of increase in risk to be explored for different sectors and themes</w:t>
      </w:r>
      <w:r w:rsidR="002B4C9A" w:rsidRPr="00E3756C">
        <w:t>,</w:t>
      </w:r>
      <w:r w:rsidRPr="00E3756C">
        <w:t xml:space="preserve"> to better determine the emergence of thresholds for critical impacts in a changing risk environment</w:t>
      </w:r>
      <w:r w:rsidR="002B4C9A" w:rsidRPr="00E3756C">
        <w:t>,</w:t>
      </w:r>
      <w:r w:rsidRPr="00E3756C">
        <w:t xml:space="preserve"> and to examine non-linear responses.</w:t>
      </w:r>
    </w:p>
    <w:p w14:paraId="58527288" w14:textId="77777777" w:rsidR="006A0DA7" w:rsidRPr="00E3756C" w:rsidRDefault="006A0DA7" w:rsidP="006A0DA7">
      <w:pPr>
        <w:pStyle w:val="Bullet"/>
        <w:rPr>
          <w:color w:val="000000"/>
        </w:rPr>
      </w:pPr>
      <w:r w:rsidRPr="00E3756C">
        <w:t>Projections selected for the NCCRA adopt the internationally</w:t>
      </w:r>
      <w:r w:rsidR="002B4C9A" w:rsidRPr="00E3756C">
        <w:t xml:space="preserve"> </w:t>
      </w:r>
      <w:r w:rsidRPr="00E3756C">
        <w:t xml:space="preserve">accepted </w:t>
      </w:r>
      <w:r w:rsidR="002B4C9A" w:rsidRPr="00E3756C">
        <w:t>r</w:t>
      </w:r>
      <w:r w:rsidRPr="00E3756C">
        <w:t xml:space="preserve">epresentative </w:t>
      </w:r>
      <w:r w:rsidR="002B4C9A" w:rsidRPr="00E3756C">
        <w:t>c</w:t>
      </w:r>
      <w:r w:rsidRPr="00E3756C">
        <w:t xml:space="preserve">oncentration </w:t>
      </w:r>
      <w:r w:rsidR="002B4C9A" w:rsidRPr="00E3756C">
        <w:t>p</w:t>
      </w:r>
      <w:r w:rsidRPr="00E3756C">
        <w:t xml:space="preserve">athways (RCPs) used by </w:t>
      </w:r>
      <w:r w:rsidR="002B4C9A" w:rsidRPr="00E3756C">
        <w:t xml:space="preserve">the </w:t>
      </w:r>
      <w:r w:rsidRPr="00E3756C">
        <w:t xml:space="preserve">IPCC in </w:t>
      </w:r>
      <w:r w:rsidR="002B4C9A" w:rsidRPr="00E3756C">
        <w:t xml:space="preserve">its </w:t>
      </w:r>
      <w:r w:rsidRPr="00E3756C">
        <w:t>global assessment reports.</w:t>
      </w:r>
    </w:p>
    <w:p w14:paraId="6E00B73A" w14:textId="77777777" w:rsidR="006A0DA7" w:rsidRPr="00E3756C" w:rsidRDefault="006A0DA7" w:rsidP="006A0DA7">
      <w:pPr>
        <w:pStyle w:val="Bullet"/>
        <w:rPr>
          <w:color w:val="000000"/>
        </w:rPr>
      </w:pPr>
      <w:r w:rsidRPr="00E3756C">
        <w:t xml:space="preserve">Although it is desirable to use a wide range of scenarios, especially for detailed risk assessments </w:t>
      </w:r>
      <w:r w:rsidR="002B4C9A" w:rsidRPr="00E3756C">
        <w:t xml:space="preserve">at </w:t>
      </w:r>
      <w:r w:rsidRPr="00E3756C">
        <w:t xml:space="preserve">the local and regional level to inform adaptation pathways, </w:t>
      </w:r>
      <w:r w:rsidR="002B4C9A" w:rsidRPr="00E3756C">
        <w:t xml:space="preserve">in </w:t>
      </w:r>
      <w:r w:rsidRPr="00E3756C">
        <w:t>practic</w:t>
      </w:r>
      <w:r w:rsidR="002B4C9A" w:rsidRPr="00E3756C">
        <w:t>e,</w:t>
      </w:r>
      <w:r w:rsidR="00484C8A" w:rsidRPr="00E3756C">
        <w:t xml:space="preserve"> </w:t>
      </w:r>
      <w:r w:rsidRPr="00E3756C">
        <w:t>two projections should be manageable for the detailed risk assessment and one projection (RCP8.5) for the risk screening.</w:t>
      </w:r>
      <w:r w:rsidR="00484C8A" w:rsidRPr="00E3756C">
        <w:t xml:space="preserve"> </w:t>
      </w:r>
    </w:p>
    <w:p w14:paraId="2C821486" w14:textId="40E2EEF8" w:rsidR="006A0DA7" w:rsidRPr="00E3756C" w:rsidRDefault="006A0DA7" w:rsidP="00AA27C2">
      <w:pPr>
        <w:pStyle w:val="Bullet"/>
        <w:rPr>
          <w:color w:val="000000"/>
        </w:rPr>
      </w:pPr>
      <w:r w:rsidRPr="00E3756C">
        <w:t>Given the deep uncertainty around ongoing sea-level rise (eg</w:t>
      </w:r>
      <w:r w:rsidR="006A29B6" w:rsidRPr="00E3756C">
        <w:t>,</w:t>
      </w:r>
      <w:r w:rsidRPr="00E3756C">
        <w:t xml:space="preserve"> polar ice sheet tipping points) and the relative maturity of recent coastal risk assessments</w:t>
      </w:r>
      <w:r w:rsidR="006A29B6" w:rsidRPr="00E3756C">
        <w:t>,</w:t>
      </w:r>
      <w:r w:rsidRPr="00E3756C">
        <w:t xml:space="preserve"> a higher scenario could also be considered for the assessment of coastal climate-related hazards in Stage 2</w:t>
      </w:r>
      <w:r w:rsidR="003204B5">
        <w:t xml:space="preserve"> </w:t>
      </w:r>
      <w:r w:rsidR="003204B5" w:rsidRPr="00E3756C">
        <w:t>where information and data are available</w:t>
      </w:r>
      <w:r w:rsidR="003204B5">
        <w:t xml:space="preserve">. This higher scenario could use </w:t>
      </w:r>
      <w:r w:rsidRPr="00E3756C">
        <w:t xml:space="preserve"> the upper H</w:t>
      </w:r>
      <w:r w:rsidRPr="00E3756C">
        <w:rPr>
          <w:vertAlign w:val="superscript"/>
        </w:rPr>
        <w:t>+</w:t>
      </w:r>
      <w:r w:rsidRPr="00E3756C">
        <w:t xml:space="preserve"> sea-level rise scenario from the </w:t>
      </w:r>
      <w:r w:rsidR="00AA27C2" w:rsidRPr="00E3756C">
        <w:t>Coastal Hazards and Climate Change Guidance</w:t>
      </w:r>
      <w:r w:rsidRPr="00E3756C">
        <w:t xml:space="preserve"> (M</w:t>
      </w:r>
      <w:r w:rsidR="00AA27C2" w:rsidRPr="00E3756C">
        <w:t xml:space="preserve">inistry </w:t>
      </w:r>
      <w:r w:rsidRPr="00E3756C">
        <w:t>f</w:t>
      </w:r>
      <w:r w:rsidR="00AA27C2" w:rsidRPr="00E3756C">
        <w:t xml:space="preserve">or the </w:t>
      </w:r>
      <w:r w:rsidRPr="00E3756C">
        <w:t>E</w:t>
      </w:r>
      <w:r w:rsidR="00AA27C2" w:rsidRPr="00E3756C">
        <w:t>nvironment</w:t>
      </w:r>
      <w:r w:rsidRPr="00E3756C">
        <w:t xml:space="preserve">, 2017). This may highlight future risks for long-lived assets or infrastructure and new coastal developments. </w:t>
      </w:r>
    </w:p>
    <w:p w14:paraId="155A1440" w14:textId="77777777" w:rsidR="006A0DA7" w:rsidRPr="00E3756C" w:rsidRDefault="00AA27C2" w:rsidP="006A0DA7">
      <w:pPr>
        <w:pStyle w:val="BodyText"/>
      </w:pPr>
      <w:r w:rsidRPr="00E3756C">
        <w:t>At p</w:t>
      </w:r>
      <w:r w:rsidR="006A0DA7" w:rsidRPr="00E3756C">
        <w:t>resent</w:t>
      </w:r>
      <w:r w:rsidRPr="00E3756C">
        <w:t>,</w:t>
      </w:r>
      <w:r w:rsidR="006A0DA7" w:rsidRPr="00E3756C">
        <w:t xml:space="preserve"> detailed projections are mostly available until 2100</w:t>
      </w:r>
      <w:r w:rsidR="00CE4719" w:rsidRPr="00E3756C">
        <w:t xml:space="preserve"> only</w:t>
      </w:r>
      <w:r w:rsidR="006A0DA7" w:rsidRPr="00E3756C">
        <w:t xml:space="preserve"> (eg</w:t>
      </w:r>
      <w:r w:rsidRPr="00E3756C">
        <w:t>,</w:t>
      </w:r>
      <w:r w:rsidR="006A0DA7" w:rsidRPr="00E3756C">
        <w:t xml:space="preserve"> IPCC </w:t>
      </w:r>
      <w:r w:rsidRPr="00E3756C">
        <w:t xml:space="preserve">Fifth </w:t>
      </w:r>
      <w:r w:rsidR="006A0DA7" w:rsidRPr="00E3756C">
        <w:t>Assessment</w:t>
      </w:r>
      <w:r w:rsidR="004148C7" w:rsidRPr="00E3756C">
        <w:t> </w:t>
      </w:r>
      <w:r w:rsidR="006A0DA7" w:rsidRPr="00E3756C">
        <w:t>Reports</w:t>
      </w:r>
      <w:r w:rsidR="00F20B77" w:rsidRPr="00E3756C">
        <w:t xml:space="preserve"> (IPCC 2013; 2014b)</w:t>
      </w:r>
      <w:r w:rsidR="006A0DA7" w:rsidRPr="00E3756C">
        <w:t xml:space="preserve"> and M</w:t>
      </w:r>
      <w:r w:rsidRPr="00E3756C">
        <w:t xml:space="preserve">inistry for the </w:t>
      </w:r>
      <w:r w:rsidR="006A0DA7" w:rsidRPr="00E3756C">
        <w:t>E</w:t>
      </w:r>
      <w:r w:rsidRPr="00E3756C">
        <w:t>nvironment</w:t>
      </w:r>
      <w:r w:rsidR="006A0DA7" w:rsidRPr="00E3756C">
        <w:t xml:space="preserve"> (2018) projections)</w:t>
      </w:r>
      <w:r w:rsidR="00F20B77" w:rsidRPr="00E3756C">
        <w:t>. However,</w:t>
      </w:r>
      <w:r w:rsidR="006A0DA7" w:rsidRPr="00E3756C">
        <w:rPr>
          <w:color w:val="4472C4"/>
        </w:rPr>
        <w:t xml:space="preserve"> </w:t>
      </w:r>
      <w:r w:rsidR="006A0DA7" w:rsidRPr="00E3756C">
        <w:t>a longer view is necessary</w:t>
      </w:r>
      <w:r w:rsidR="00F20B77" w:rsidRPr="00E3756C">
        <w:t>,</w:t>
      </w:r>
      <w:r w:rsidR="006A0DA7" w:rsidRPr="00E3756C">
        <w:t xml:space="preserve"> given we are close to 2020. Until detailed projections are extended, initial risk assessments should apply</w:t>
      </w:r>
      <w:r w:rsidR="004148C7" w:rsidRPr="00E3756C">
        <w:t> </w:t>
      </w:r>
      <w:r w:rsidR="006A0DA7" w:rsidRPr="00E3756C">
        <w:t>extrapolation of projections based on the rate of change later this century for RCP4.5 and RCP8.5.</w:t>
      </w:r>
      <w:r w:rsidR="00484C8A" w:rsidRPr="00E3756C">
        <w:t xml:space="preserve"> </w:t>
      </w:r>
    </w:p>
    <w:p w14:paraId="3BC79E3D" w14:textId="6FB0BC86" w:rsidR="006A0DA7" w:rsidRPr="00E3756C" w:rsidRDefault="006A0DA7" w:rsidP="006A0DA7">
      <w:pPr>
        <w:pStyle w:val="BodyText"/>
      </w:pPr>
      <w:r w:rsidRPr="00E3756C">
        <w:rPr>
          <w:color w:val="000000"/>
        </w:rPr>
        <w:t xml:space="preserve">Projections for sea-level rise are already available out to 2150 for Aotearoa New Zealand in </w:t>
      </w:r>
      <w:r w:rsidR="00443B93" w:rsidRPr="00E3756C">
        <w:t>the Coastal Hazards and Climate Change Guidance</w:t>
      </w:r>
      <w:r w:rsidRPr="00E3756C">
        <w:rPr>
          <w:color w:val="000000"/>
        </w:rPr>
        <w:t xml:space="preserve"> (</w:t>
      </w:r>
      <w:r w:rsidR="00443B93" w:rsidRPr="00E3756C">
        <w:rPr>
          <w:color w:val="000000"/>
        </w:rPr>
        <w:t xml:space="preserve">Ministry for the Environment, </w:t>
      </w:r>
      <w:r w:rsidRPr="00E3756C">
        <w:rPr>
          <w:color w:val="000000"/>
        </w:rPr>
        <w:t>2017). For coastal areas of known ongoing subsidence (eg</w:t>
      </w:r>
      <w:r w:rsidR="00443B93" w:rsidRPr="00E3756C">
        <w:rPr>
          <w:color w:val="000000"/>
        </w:rPr>
        <w:t>,</w:t>
      </w:r>
      <w:r w:rsidRPr="00E3756C">
        <w:rPr>
          <w:color w:val="000000"/>
        </w:rPr>
        <w:t xml:space="preserve"> lower North Island, urban deltas, Hauraki Plains),</w:t>
      </w:r>
      <w:r w:rsidR="003204B5">
        <w:rPr>
          <w:color w:val="000000"/>
        </w:rPr>
        <w:t xml:space="preserve"> it is also recommended to add</w:t>
      </w:r>
      <w:r w:rsidRPr="00E3756C">
        <w:rPr>
          <w:color w:val="000000"/>
        </w:rPr>
        <w:t xml:space="preserve"> an appropriate average trend for vertical land movement to determine the relative sea-level rise for each sub-national zone. Land movement rates</w:t>
      </w:r>
      <w:r w:rsidR="00484C8A" w:rsidRPr="00E3756C">
        <w:rPr>
          <w:color w:val="000000"/>
        </w:rPr>
        <w:t xml:space="preserve"> </w:t>
      </w:r>
      <w:r w:rsidRPr="00E3756C">
        <w:rPr>
          <w:color w:val="000000"/>
        </w:rPr>
        <w:t xml:space="preserve">can be sourced from </w:t>
      </w:r>
      <w:r w:rsidR="00443B93" w:rsidRPr="00E3756C">
        <w:t>the Coastal Hazards and Climate Change Guidance</w:t>
      </w:r>
      <w:r w:rsidRPr="00E3756C">
        <w:rPr>
          <w:color w:val="000000"/>
        </w:rPr>
        <w:t xml:space="preserve"> (</w:t>
      </w:r>
      <w:r w:rsidR="00443B93" w:rsidRPr="00E3756C">
        <w:rPr>
          <w:color w:val="000000"/>
        </w:rPr>
        <w:t xml:space="preserve">Ministry for the Environment, </w:t>
      </w:r>
      <w:r w:rsidRPr="00E3756C">
        <w:rPr>
          <w:color w:val="000000"/>
        </w:rPr>
        <w:t>2017)</w:t>
      </w:r>
      <w:r w:rsidR="00443B93" w:rsidRPr="00E3756C">
        <w:rPr>
          <w:color w:val="000000"/>
        </w:rPr>
        <w:t>,</w:t>
      </w:r>
      <w:r w:rsidRPr="00E3756C">
        <w:rPr>
          <w:color w:val="000000"/>
        </w:rPr>
        <w:t xml:space="preserve"> or use updated trends currently being analysed in the NZSeaRise research programme (Richard Levy, Victoria University of Wellington and GNS Science, </w:t>
      </w:r>
      <w:r w:rsidRPr="00844941">
        <w:rPr>
          <w:color w:val="000000"/>
        </w:rPr>
        <w:t>pers comm</w:t>
      </w:r>
      <w:r w:rsidRPr="00E3756C">
        <w:rPr>
          <w:color w:val="000000"/>
        </w:rPr>
        <w:t>).</w:t>
      </w:r>
      <w:r w:rsidR="00484C8A" w:rsidRPr="00E3756C">
        <w:rPr>
          <w:color w:val="000000"/>
        </w:rPr>
        <w:t xml:space="preserve"> </w:t>
      </w:r>
    </w:p>
    <w:p w14:paraId="740E4C78" w14:textId="77777777" w:rsidR="00D100CE" w:rsidRPr="00E3756C" w:rsidRDefault="00D100CE">
      <w:pPr>
        <w:spacing w:before="0" w:after="200" w:line="276" w:lineRule="auto"/>
        <w:jc w:val="left"/>
      </w:pPr>
      <w:r w:rsidRPr="00E3756C">
        <w:br w:type="page"/>
      </w:r>
    </w:p>
    <w:p w14:paraId="63988E47" w14:textId="77777777" w:rsidR="00D100CE" w:rsidRPr="00E3756C" w:rsidRDefault="00D100CE" w:rsidP="00D100CE">
      <w:pPr>
        <w:pStyle w:val="Heading1"/>
      </w:pPr>
      <w:bookmarkStart w:id="218" w:name="_Chapter_C4:_Information"/>
      <w:bookmarkStart w:id="219" w:name="_Toc15409178"/>
      <w:bookmarkStart w:id="220" w:name="_Toc13570402"/>
      <w:bookmarkStart w:id="221" w:name="_Toc14361566"/>
      <w:bookmarkEnd w:id="218"/>
      <w:r w:rsidRPr="00E3756C">
        <w:lastRenderedPageBreak/>
        <w:t>Chapter C4: Information sources for climate change variables and impacts</w:t>
      </w:r>
      <w:bookmarkEnd w:id="219"/>
      <w:r w:rsidRPr="00E3756C">
        <w:t xml:space="preserve"> </w:t>
      </w:r>
      <w:bookmarkEnd w:id="220"/>
      <w:bookmarkEnd w:id="221"/>
    </w:p>
    <w:p w14:paraId="6E972F34" w14:textId="04243355" w:rsidR="00D100CE" w:rsidRPr="00E3756C" w:rsidRDefault="00D100CE" w:rsidP="003204B5">
      <w:pPr>
        <w:pStyle w:val="BodyText"/>
      </w:pPr>
      <w:r w:rsidRPr="00E3756C">
        <w:t xml:space="preserve">Realistically, the first NCCRA can only assess </w:t>
      </w:r>
      <w:r w:rsidRPr="00844941">
        <w:rPr>
          <w:b/>
        </w:rPr>
        <w:t>existing and available</w:t>
      </w:r>
      <w:r w:rsidRPr="00E3756C">
        <w:t xml:space="preserve"> data and knowledge on climate</w:t>
      </w:r>
      <w:r w:rsidR="003204B5">
        <w:t xml:space="preserve"> </w:t>
      </w:r>
      <w:r w:rsidRPr="00E3756C">
        <w:t>change impacts</w:t>
      </w:r>
      <w:r w:rsidR="008C514D" w:rsidRPr="00E3756C">
        <w:t>.</w:t>
      </w:r>
      <w:r w:rsidRPr="00E3756C">
        <w:t xml:space="preserve"> </w:t>
      </w:r>
      <w:r w:rsidR="008C514D" w:rsidRPr="00E3756C">
        <w:t xml:space="preserve">It </w:t>
      </w:r>
      <w:r w:rsidRPr="00E3756C">
        <w:t>will</w:t>
      </w:r>
      <w:r w:rsidR="008C514D" w:rsidRPr="00E3756C">
        <w:t>,</w:t>
      </w:r>
      <w:r w:rsidRPr="00E3756C">
        <w:t xml:space="preserve"> in many cases</w:t>
      </w:r>
      <w:r w:rsidR="008C514D" w:rsidRPr="00E3756C">
        <w:t>,</w:t>
      </w:r>
      <w:r w:rsidRPr="00E3756C">
        <w:t xml:space="preserve"> comprise mostly qualitative information o</w:t>
      </w:r>
      <w:r w:rsidR="008C514D" w:rsidRPr="00E3756C">
        <w:t>n</w:t>
      </w:r>
      <w:r w:rsidRPr="00E3756C">
        <w:t xml:space="preserve"> the</w:t>
      </w:r>
      <w:r w:rsidR="006C66A9">
        <w:t> </w:t>
      </w:r>
      <w:r w:rsidRPr="00E3756C">
        <w:t>components of risk (hazard, exposure and vulnerability). It is also recognised</w:t>
      </w:r>
      <w:r w:rsidR="008C514D" w:rsidRPr="00E3756C">
        <w:t xml:space="preserve"> that,</w:t>
      </w:r>
      <w:r w:rsidRPr="00E3756C">
        <w:t xml:space="preserve"> in developing the framework</w:t>
      </w:r>
      <w:r w:rsidR="008C514D" w:rsidRPr="00E3756C">
        <w:t>,</w:t>
      </w:r>
      <w:r w:rsidRPr="00E3756C">
        <w:t xml:space="preserve"> the level of information </w:t>
      </w:r>
      <w:r w:rsidR="003204B5">
        <w:t>about</w:t>
      </w:r>
      <w:r w:rsidR="003204B5" w:rsidRPr="00E3756C">
        <w:t xml:space="preserve"> </w:t>
      </w:r>
      <w:r w:rsidRPr="00E3756C">
        <w:t xml:space="preserve">climate-related hazards will vary considerably across the value domains and sectors and is especially pertinent for cross-cutting or cascading impacts. </w:t>
      </w:r>
      <w:r w:rsidR="003204B5">
        <w:t>Therefore, i</w:t>
      </w:r>
      <w:r w:rsidRPr="00E3756C">
        <w:t>t is important</w:t>
      </w:r>
      <w:r w:rsidR="003204B5">
        <w:t xml:space="preserve"> </w:t>
      </w:r>
      <w:r w:rsidRPr="00E3756C">
        <w:t xml:space="preserve">to develop processes </w:t>
      </w:r>
      <w:r w:rsidR="003204B5">
        <w:t xml:space="preserve">where possible </w:t>
      </w:r>
      <w:r w:rsidRPr="00E3756C">
        <w:t>that synthesis</w:t>
      </w:r>
      <w:r w:rsidR="008C514D" w:rsidRPr="00E3756C">
        <w:t>e</w:t>
      </w:r>
      <w:r w:rsidRPr="00E3756C">
        <w:t xml:space="preserve"> quantitative hazard or exposure information and data</w:t>
      </w:r>
      <w:r w:rsidR="003204B5">
        <w:t xml:space="preserve">. This will ensure </w:t>
      </w:r>
      <w:r w:rsidRPr="00E3756C">
        <w:t xml:space="preserve">sufficient flexibility to handle both types of information (qualitative and quantitative) in a consistent manner. Use of mixed methods also deals more widely with uncertainty in future climate change by exploring possible impacts and implications through elicitation for </w:t>
      </w:r>
      <w:r w:rsidR="005B1091" w:rsidRPr="00E3756C">
        <w:t>various</w:t>
      </w:r>
      <w:r w:rsidRPr="00E3756C">
        <w:t xml:space="preserve"> future narratives (projections and social</w:t>
      </w:r>
      <w:r w:rsidR="005B1091" w:rsidRPr="00E3756C">
        <w:t>–</w:t>
      </w:r>
      <w:r w:rsidRPr="00E3756C">
        <w:t xml:space="preserve">economic scenarios). </w:t>
      </w:r>
    </w:p>
    <w:p w14:paraId="38FACFEF" w14:textId="77777777" w:rsidR="00D100CE" w:rsidRPr="00E3756C" w:rsidRDefault="005B1091" w:rsidP="00D100CE">
      <w:pPr>
        <w:pStyle w:val="BodyText"/>
      </w:pPr>
      <w:r w:rsidRPr="00E3756C">
        <w:t>At present, s</w:t>
      </w:r>
      <w:r w:rsidR="00D100CE" w:rsidRPr="00E3756C">
        <w:t xml:space="preserve">ome of the information on hazards may not be specifically tied to the RCP projections. </w:t>
      </w:r>
      <w:r w:rsidRPr="00E3756C">
        <w:t>G</w:t>
      </w:r>
      <w:r w:rsidR="00D100CE" w:rsidRPr="00E3756C">
        <w:t xml:space="preserve">eneral guidance is given in </w:t>
      </w:r>
      <w:hyperlink w:anchor="_B1.4__Guidance" w:history="1">
        <w:r w:rsidRPr="00E3756C">
          <w:rPr>
            <w:rStyle w:val="Hyperlink"/>
          </w:rPr>
          <w:t>s</w:t>
        </w:r>
        <w:r w:rsidR="00D100CE" w:rsidRPr="00E3756C">
          <w:rPr>
            <w:rStyle w:val="Hyperlink"/>
          </w:rPr>
          <w:t>ection B1.4</w:t>
        </w:r>
      </w:hyperlink>
      <w:r w:rsidR="00D100CE" w:rsidRPr="00E3756C">
        <w:t xml:space="preserve"> on how to align existing information</w:t>
      </w:r>
      <w:r w:rsidRPr="00E3756C">
        <w:t>,</w:t>
      </w:r>
      <w:r w:rsidR="00D100CE" w:rsidRPr="00E3756C">
        <w:t xml:space="preserve"> or</w:t>
      </w:r>
      <w:r w:rsidR="006E5C59">
        <w:t> </w:t>
      </w:r>
      <w:r w:rsidR="00D100CE" w:rsidRPr="00E3756C">
        <w:t>findings from engagement processes and risk workshops, which is not specifically</w:t>
      </w:r>
      <w:r w:rsidRPr="00E3756C">
        <w:t xml:space="preserve"> tied</w:t>
      </w:r>
      <w:r w:rsidR="00D100CE" w:rsidRPr="00E3756C">
        <w:t xml:space="preserve"> to relevant RCP projections, with the two projections (RCP4.5 and RCP8.5) recommended for the</w:t>
      </w:r>
      <w:r w:rsidR="006E5C59">
        <w:t> </w:t>
      </w:r>
      <w:r w:rsidR="00D100CE" w:rsidRPr="00E3756C">
        <w:t xml:space="preserve">framework. </w:t>
      </w:r>
    </w:p>
    <w:p w14:paraId="0907C8FD" w14:textId="708D43CA" w:rsidR="00D100CE" w:rsidRPr="00E3756C" w:rsidRDefault="00A36E37" w:rsidP="00D100CE">
      <w:pPr>
        <w:pStyle w:val="BodyText"/>
        <w:rPr>
          <w:highlight w:val="yellow"/>
        </w:rPr>
      </w:pPr>
      <w:r w:rsidRPr="00E3756C">
        <w:t>P</w:t>
      </w:r>
      <w:r w:rsidR="00D100CE" w:rsidRPr="00E3756C">
        <w:t xml:space="preserve">otential hazards </w:t>
      </w:r>
      <w:r w:rsidRPr="00E3756C">
        <w:t xml:space="preserve">exist </w:t>
      </w:r>
      <w:r w:rsidR="00D100CE" w:rsidRPr="00E3756C">
        <w:t>where the effect of climate change is not clearly prescribed, largely unknown or not available from New Zealand climate projections</w:t>
      </w:r>
      <w:r w:rsidRPr="00E3756C">
        <w:t>, for example,</w:t>
      </w:r>
      <w:r w:rsidR="00D100CE" w:rsidRPr="00E3756C">
        <w:t xml:space="preserve"> ocean nutrient</w:t>
      </w:r>
      <w:r w:rsidR="00611A18" w:rsidRPr="00E3756C">
        <w:noBreakHyphen/>
      </w:r>
      <w:r w:rsidR="00D100CE" w:rsidRPr="00E3756C">
        <w:t xml:space="preserve">cycle </w:t>
      </w:r>
      <w:r w:rsidRPr="00E3756C">
        <w:t>and</w:t>
      </w:r>
      <w:r w:rsidR="00D100CE" w:rsidRPr="00E3756C">
        <w:t xml:space="preserve"> air quality changes. In these situations, action</w:t>
      </w:r>
      <w:r w:rsidRPr="00E3756C">
        <w:t>,</w:t>
      </w:r>
      <w:r w:rsidR="00D100CE" w:rsidRPr="00E3756C">
        <w:t xml:space="preserve"> such as a research gap or assigning a watching brief (</w:t>
      </w:r>
      <w:hyperlink w:anchor="_Chapter_B4:_Assessment" w:history="1">
        <w:r w:rsidRPr="00E3756C">
          <w:rPr>
            <w:rStyle w:val="Hyperlink"/>
          </w:rPr>
          <w:t>c</w:t>
        </w:r>
        <w:r w:rsidR="00D100CE" w:rsidRPr="00E3756C">
          <w:rPr>
            <w:rStyle w:val="Hyperlink"/>
          </w:rPr>
          <w:t>hapter B4</w:t>
        </w:r>
      </w:hyperlink>
      <w:r w:rsidR="00D100CE" w:rsidRPr="00E3756C">
        <w:t>)</w:t>
      </w:r>
      <w:r w:rsidRPr="00E3756C">
        <w:t>,</w:t>
      </w:r>
      <w:r w:rsidR="00D100CE" w:rsidRPr="00E3756C">
        <w:t xml:space="preserve"> can be determined if stakeholders in a value domain or sector recogni</w:t>
      </w:r>
      <w:r w:rsidR="00611A18" w:rsidRPr="00E3756C">
        <w:t>s</w:t>
      </w:r>
      <w:r w:rsidR="00D100CE" w:rsidRPr="00E3756C">
        <w:t>e potential adverse vulnerabilities</w:t>
      </w:r>
      <w:r w:rsidR="00611A18" w:rsidRPr="00E3756C">
        <w:t>, for example,</w:t>
      </w:r>
      <w:r w:rsidR="00D100CE" w:rsidRPr="00E3756C">
        <w:t xml:space="preserve"> an activity or </w:t>
      </w:r>
      <w:r w:rsidR="000A17DE">
        <w:t>wellbeing</w:t>
      </w:r>
      <w:r w:rsidR="00D100CE" w:rsidRPr="00E3756C">
        <w:t xml:space="preserve"> that is sensitive to the specific hazard (or climate variable).</w:t>
      </w:r>
    </w:p>
    <w:p w14:paraId="0AB63821" w14:textId="7BD1E824" w:rsidR="00D100CE" w:rsidRPr="00E3756C" w:rsidRDefault="00D100CE" w:rsidP="00D100CE">
      <w:pPr>
        <w:pStyle w:val="BodyText"/>
      </w:pPr>
      <w:r w:rsidRPr="00E3756C">
        <w:t xml:space="preserve">The assessor will </w:t>
      </w:r>
      <w:r w:rsidR="003204B5">
        <w:t>need</w:t>
      </w:r>
      <w:r w:rsidRPr="00E3756C">
        <w:t xml:space="preserve"> to assemble relevant information and datasets that are currently</w:t>
      </w:r>
      <w:r w:rsidR="006E5C59">
        <w:t> </w:t>
      </w:r>
      <w:r w:rsidRPr="00E3756C">
        <w:t>available or accessible (rather than develop new information or model simulations). Information and observations can be broadly accessed from the types o</w:t>
      </w:r>
      <w:r w:rsidR="00611A18" w:rsidRPr="00E3756C">
        <w:t>f</w:t>
      </w:r>
      <w:r w:rsidRPr="00E3756C">
        <w:t xml:space="preserve"> sources</w:t>
      </w:r>
      <w:r w:rsidR="00281CCA" w:rsidRPr="00E3756C">
        <w:t xml:space="preserve"> discussed below. This</w:t>
      </w:r>
      <w:r w:rsidRPr="00E3756C">
        <w:t xml:space="preserve"> ensure</w:t>
      </w:r>
      <w:r w:rsidR="00281CCA" w:rsidRPr="00E3756C">
        <w:t>s</w:t>
      </w:r>
      <w:r w:rsidRPr="00E3756C">
        <w:t xml:space="preserve"> wide</w:t>
      </w:r>
      <w:r w:rsidR="00281CCA" w:rsidRPr="00E3756C">
        <w:t>r</w:t>
      </w:r>
      <w:r w:rsidRPr="00E3756C">
        <w:t xml:space="preserve"> coverage of potential impacts on Aotearoa</w:t>
      </w:r>
      <w:r w:rsidR="00611A18" w:rsidRPr="00E3756C">
        <w:t xml:space="preserve"> </w:t>
      </w:r>
      <w:r w:rsidRPr="00E3756C">
        <w:t>N</w:t>
      </w:r>
      <w:r w:rsidR="00611A18" w:rsidRPr="00E3756C">
        <w:t xml:space="preserve">ew </w:t>
      </w:r>
      <w:r w:rsidRPr="00E3756C">
        <w:t>Z</w:t>
      </w:r>
      <w:r w:rsidR="00611A18" w:rsidRPr="00E3756C">
        <w:t>ealand</w:t>
      </w:r>
      <w:r w:rsidRPr="00E3756C">
        <w:t xml:space="preserve"> than</w:t>
      </w:r>
      <w:r w:rsidR="00281CCA" w:rsidRPr="00E3756C">
        <w:t xml:space="preserve"> what</w:t>
      </w:r>
      <w:r w:rsidR="00B50E4C">
        <w:t> </w:t>
      </w:r>
      <w:r w:rsidRPr="00E3756C">
        <w:t>may necessarily be used in rigorous scientific assessments</w:t>
      </w:r>
      <w:r w:rsidR="00281CCA" w:rsidRPr="00E3756C">
        <w:t>,</w:t>
      </w:r>
      <w:r w:rsidRPr="00E3756C">
        <w:t xml:space="preserve"> such as IPCC </w:t>
      </w:r>
      <w:r w:rsidR="00281CCA" w:rsidRPr="00E3756C">
        <w:t>a</w:t>
      </w:r>
      <w:r w:rsidRPr="00E3756C">
        <w:t xml:space="preserve">ssessment </w:t>
      </w:r>
      <w:r w:rsidR="00281CCA" w:rsidRPr="00E3756C">
        <w:t>r</w:t>
      </w:r>
      <w:r w:rsidRPr="00E3756C">
        <w:t>eports, provided they are credible or reputable sources (and cited in all cases</w:t>
      </w:r>
      <w:r w:rsidR="00281CCA" w:rsidRPr="00E3756C">
        <w:t>,</w:t>
      </w:r>
      <w:r w:rsidRPr="00E3756C">
        <w:t xml:space="preserve"> for transparency and legitimacy).</w:t>
      </w:r>
    </w:p>
    <w:p w14:paraId="0B93EF88" w14:textId="77777777" w:rsidR="00D100CE" w:rsidRPr="00E3756C" w:rsidRDefault="00D100CE" w:rsidP="00D100CE">
      <w:pPr>
        <w:pStyle w:val="Heading2"/>
      </w:pPr>
      <w:bookmarkStart w:id="222" w:name="_Toc13570403"/>
      <w:bookmarkStart w:id="223" w:name="_Toc14361567"/>
      <w:bookmarkStart w:id="224" w:name="_Toc15409179"/>
      <w:r w:rsidRPr="00E3756C">
        <w:t xml:space="preserve">C4.1 </w:t>
      </w:r>
      <w:r w:rsidR="003D3667" w:rsidRPr="00E3756C">
        <w:tab/>
      </w:r>
      <w:r w:rsidRPr="00E3756C">
        <w:t>Sources and databases</w:t>
      </w:r>
      <w:bookmarkEnd w:id="222"/>
      <w:bookmarkEnd w:id="223"/>
      <w:bookmarkEnd w:id="224"/>
    </w:p>
    <w:p w14:paraId="4558E7F5" w14:textId="77777777" w:rsidR="00D100CE" w:rsidRPr="00E3756C" w:rsidRDefault="00D100CE" w:rsidP="00D100CE">
      <w:pPr>
        <w:pStyle w:val="BodyText"/>
      </w:pPr>
      <w:r w:rsidRPr="00E3756C">
        <w:t>Potential sources of information and datasets (not exhaustive):</w:t>
      </w:r>
    </w:p>
    <w:p w14:paraId="7EC77AA4" w14:textId="77777777" w:rsidR="00D100CE" w:rsidRPr="00E3756C" w:rsidRDefault="00281CCA" w:rsidP="00D100CE">
      <w:pPr>
        <w:pStyle w:val="Bullet"/>
      </w:pPr>
      <w:r w:rsidRPr="00E3756C">
        <w:t>p</w:t>
      </w:r>
      <w:r w:rsidR="00D100CE" w:rsidRPr="00E3756C">
        <w:t xml:space="preserve">ublished </w:t>
      </w:r>
      <w:r w:rsidRPr="00E3756C">
        <w:t xml:space="preserve">and </w:t>
      </w:r>
      <w:r w:rsidR="00D100CE" w:rsidRPr="00E3756C">
        <w:t>reviewed reports</w:t>
      </w:r>
      <w:r w:rsidRPr="00E3756C">
        <w:t>,</w:t>
      </w:r>
      <w:r w:rsidR="00D100CE" w:rsidRPr="00E3756C">
        <w:t xml:space="preserve"> such as local and central government, C</w:t>
      </w:r>
      <w:r w:rsidRPr="00E3756C">
        <w:t>rown research institutes</w:t>
      </w:r>
      <w:r w:rsidR="00D100CE" w:rsidRPr="00E3756C">
        <w:t>, sector groups, universities, National Science Challenges (eg</w:t>
      </w:r>
      <w:r w:rsidRPr="00E3756C">
        <w:t>,</w:t>
      </w:r>
      <w:r w:rsidR="00D100CE" w:rsidRPr="00E3756C">
        <w:t xml:space="preserve"> Deep South, Sustainable Seas, Our Land </w:t>
      </w:r>
      <w:r w:rsidR="00C35510" w:rsidRPr="00E3756C">
        <w:t>and</w:t>
      </w:r>
      <w:r w:rsidR="00D100CE" w:rsidRPr="00E3756C">
        <w:t xml:space="preserve"> Water), international (eg</w:t>
      </w:r>
      <w:r w:rsidR="00C35510" w:rsidRPr="00E3756C">
        <w:t>,</w:t>
      </w:r>
      <w:r w:rsidR="00D100CE" w:rsidRPr="00E3756C">
        <w:t xml:space="preserve"> O</w:t>
      </w:r>
      <w:r w:rsidR="00C35510" w:rsidRPr="00E3756C">
        <w:t xml:space="preserve">rganisation for </w:t>
      </w:r>
      <w:r w:rsidR="00D100CE" w:rsidRPr="00E3756C">
        <w:t>E</w:t>
      </w:r>
      <w:r w:rsidR="00C35510" w:rsidRPr="00E3756C">
        <w:t xml:space="preserve">conomic </w:t>
      </w:r>
      <w:r w:rsidR="00D100CE" w:rsidRPr="00E3756C">
        <w:t>C</w:t>
      </w:r>
      <w:r w:rsidR="00C35510" w:rsidRPr="00E3756C">
        <w:t>o</w:t>
      </w:r>
      <w:r w:rsidR="00C35510" w:rsidRPr="00E3756C">
        <w:noBreakHyphen/>
        <w:t xml:space="preserve">operation and </w:t>
      </w:r>
      <w:r w:rsidR="00D100CE" w:rsidRPr="00E3756C">
        <w:t>D</w:t>
      </w:r>
      <w:r w:rsidR="00C35510" w:rsidRPr="00E3756C">
        <w:t>evelopment</w:t>
      </w:r>
      <w:r w:rsidR="00D100CE" w:rsidRPr="00E3756C">
        <w:t>)</w:t>
      </w:r>
    </w:p>
    <w:p w14:paraId="45B8E136" w14:textId="77777777" w:rsidR="00D100CE" w:rsidRPr="00E3756C" w:rsidRDefault="00D100CE" w:rsidP="00D100CE">
      <w:pPr>
        <w:pStyle w:val="Bullet"/>
      </w:pPr>
      <w:r w:rsidRPr="00E3756C">
        <w:t>M</w:t>
      </w:r>
      <w:r w:rsidR="00C35510" w:rsidRPr="00E3756C">
        <w:t xml:space="preserve">inistry for the </w:t>
      </w:r>
      <w:r w:rsidRPr="00E3756C">
        <w:t>E</w:t>
      </w:r>
      <w:r w:rsidR="00C35510" w:rsidRPr="00E3756C">
        <w:t>nvironment</w:t>
      </w:r>
      <w:r w:rsidRPr="00E3756C">
        <w:t xml:space="preserve"> Climate Projections (2018) developed by NIWA:</w:t>
      </w:r>
      <w:r w:rsidR="00484C8A" w:rsidRPr="00E3756C">
        <w:t xml:space="preserve"> </w:t>
      </w:r>
      <w:hyperlink r:id="rId47">
        <w:r w:rsidRPr="00E3756C">
          <w:rPr>
            <w:rStyle w:val="Hyperlink"/>
          </w:rPr>
          <w:t>www.mfe.govt.nz/publications/climate-change/climate-change-projections-new-zealand</w:t>
        </w:r>
      </w:hyperlink>
      <w:r w:rsidRPr="00E3756C">
        <w:t xml:space="preserve"> </w:t>
      </w:r>
    </w:p>
    <w:p w14:paraId="60A4A35D" w14:textId="77777777" w:rsidR="00D100CE" w:rsidRPr="00E3756C" w:rsidRDefault="00D100CE" w:rsidP="00C35510">
      <w:pPr>
        <w:pStyle w:val="Bullet"/>
      </w:pPr>
      <w:r w:rsidRPr="00E3756C">
        <w:lastRenderedPageBreak/>
        <w:t>M</w:t>
      </w:r>
      <w:r w:rsidR="00C35510" w:rsidRPr="00E3756C">
        <w:t xml:space="preserve">inistry </w:t>
      </w:r>
      <w:r w:rsidRPr="00E3756C">
        <w:t>f</w:t>
      </w:r>
      <w:r w:rsidR="00C35510" w:rsidRPr="00E3756C">
        <w:t xml:space="preserve">or the </w:t>
      </w:r>
      <w:r w:rsidRPr="00E3756C">
        <w:t>E</w:t>
      </w:r>
      <w:r w:rsidR="00C35510" w:rsidRPr="00E3756C">
        <w:t>nvironment Guidance for Local Government on Preparing for Climate Change (no date)</w:t>
      </w:r>
      <w:r w:rsidRPr="00E3756C">
        <w:t xml:space="preserve">: </w:t>
      </w:r>
      <w:hyperlink r:id="rId48">
        <w:r w:rsidRPr="00E3756C">
          <w:rPr>
            <w:rStyle w:val="Hyperlink"/>
          </w:rPr>
          <w:t>www.mfe.govt.nz/climate-change/climate-change-guidance/guidance-local-government-preparing-climate-change</w:t>
        </w:r>
      </w:hyperlink>
      <w:r w:rsidRPr="00E3756C">
        <w:rPr>
          <w:rStyle w:val="Hyperlink"/>
        </w:rPr>
        <w:t xml:space="preserve"> </w:t>
      </w:r>
    </w:p>
    <w:p w14:paraId="271C2351" w14:textId="77777777" w:rsidR="00D100CE" w:rsidRPr="00E3756C" w:rsidRDefault="00795C3B" w:rsidP="00D100CE">
      <w:pPr>
        <w:pStyle w:val="Bullet"/>
      </w:pPr>
      <w:r w:rsidRPr="00E3756C">
        <w:t>c</w:t>
      </w:r>
      <w:r w:rsidR="00D100CE" w:rsidRPr="00E3756C">
        <w:t>limate</w:t>
      </w:r>
      <w:r w:rsidR="00C35510" w:rsidRPr="00E3756C">
        <w:t xml:space="preserve"> </w:t>
      </w:r>
      <w:r w:rsidR="00D100CE" w:rsidRPr="00E3756C">
        <w:t>change impacts or design tools</w:t>
      </w:r>
      <w:r w:rsidR="00C35510" w:rsidRPr="00E3756C">
        <w:t>, for example,</w:t>
      </w:r>
      <w:r w:rsidR="00D100CE" w:rsidRPr="00E3756C">
        <w:t xml:space="preserve"> High Intensity Rainfall Design System (HIRDS v</w:t>
      </w:r>
      <w:r w:rsidRPr="00E3756C">
        <w:t xml:space="preserve">ersion </w:t>
      </w:r>
      <w:r w:rsidR="00D100CE" w:rsidRPr="00E3756C">
        <w:t xml:space="preserve">3): </w:t>
      </w:r>
      <w:hyperlink r:id="rId49">
        <w:r w:rsidR="00D100CE" w:rsidRPr="00E3756C">
          <w:rPr>
            <w:rStyle w:val="Hyperlink"/>
          </w:rPr>
          <w:t>https://hirds.niwa.co.nz/</w:t>
        </w:r>
      </w:hyperlink>
      <w:r w:rsidR="00D100CE" w:rsidRPr="00E3756C">
        <w:t xml:space="preserve"> </w:t>
      </w:r>
      <w:r w:rsidRPr="00E3756C">
        <w:t xml:space="preserve">as </w:t>
      </w:r>
      <w:r w:rsidR="00D100CE" w:rsidRPr="00E3756C">
        <w:t>summarised by</w:t>
      </w:r>
      <w:r w:rsidR="00484C8A" w:rsidRPr="00E3756C">
        <w:t xml:space="preserve"> </w:t>
      </w:r>
      <w:r w:rsidR="00D100CE" w:rsidRPr="00E3756C">
        <w:t>M</w:t>
      </w:r>
      <w:r w:rsidRPr="00E3756C">
        <w:t xml:space="preserve">inistry for the </w:t>
      </w:r>
      <w:r w:rsidR="00D100CE" w:rsidRPr="00E3756C">
        <w:t>E</w:t>
      </w:r>
      <w:r w:rsidRPr="00E3756C">
        <w:t>nvironment</w:t>
      </w:r>
      <w:r w:rsidR="00D100CE" w:rsidRPr="00E3756C">
        <w:t xml:space="preserve"> (2018) </w:t>
      </w:r>
    </w:p>
    <w:p w14:paraId="7D83AFEA" w14:textId="77777777" w:rsidR="00D100CE" w:rsidRPr="00E3756C" w:rsidRDefault="00D100CE" w:rsidP="00D100CE">
      <w:pPr>
        <w:pStyle w:val="Bullet"/>
      </w:pPr>
      <w:r w:rsidRPr="00E3756C">
        <w:t>Urban Impacts Toolbox</w:t>
      </w:r>
      <w:r w:rsidR="00795C3B" w:rsidRPr="00E3756C">
        <w:t>:</w:t>
      </w:r>
      <w:r w:rsidRPr="00E3756C">
        <w:t xml:space="preserve"> </w:t>
      </w:r>
      <w:hyperlink r:id="rId50">
        <w:r w:rsidRPr="00E3756C">
          <w:rPr>
            <w:rStyle w:val="Hyperlink"/>
          </w:rPr>
          <w:t>www.niwa.co.nz/climate/urban-impacts-toolbox</w:t>
        </w:r>
      </w:hyperlink>
      <w:r w:rsidRPr="00E3756C">
        <w:t xml:space="preserve"> </w:t>
      </w:r>
    </w:p>
    <w:p w14:paraId="4000ADE0" w14:textId="77777777" w:rsidR="00D100CE" w:rsidRPr="00E3756C" w:rsidRDefault="00D100CE" w:rsidP="00D100CE">
      <w:pPr>
        <w:pStyle w:val="Bullet"/>
      </w:pPr>
      <w:r w:rsidRPr="00E3756C">
        <w:t xml:space="preserve">Climate Change Impacts and Implications reports: </w:t>
      </w:r>
      <w:hyperlink r:id="rId51">
        <w:r w:rsidRPr="00E3756C">
          <w:rPr>
            <w:rStyle w:val="Hyperlink"/>
          </w:rPr>
          <w:t>https://ccii.org.nz/</w:t>
        </w:r>
      </w:hyperlink>
      <w:r w:rsidR="00484C8A" w:rsidRPr="00E3756C">
        <w:t xml:space="preserve"> </w:t>
      </w:r>
    </w:p>
    <w:p w14:paraId="751B4C9A" w14:textId="77777777" w:rsidR="00D100CE" w:rsidRPr="00E3756C" w:rsidRDefault="00582300" w:rsidP="00D100CE">
      <w:pPr>
        <w:pStyle w:val="Bullet"/>
      </w:pPr>
      <w:r w:rsidRPr="00E3756C">
        <w:t>D</w:t>
      </w:r>
      <w:r w:rsidR="00D100CE" w:rsidRPr="00E3756C">
        <w:t>roughts and extreme winds under climate change (NIWA report for M</w:t>
      </w:r>
      <w:r w:rsidR="008274C5" w:rsidRPr="00E3756C">
        <w:t xml:space="preserve">inistry for </w:t>
      </w:r>
      <w:r w:rsidR="00D100CE" w:rsidRPr="00E3756C">
        <w:t>P</w:t>
      </w:r>
      <w:r w:rsidR="008274C5" w:rsidRPr="00E3756C">
        <w:t xml:space="preserve">rimary </w:t>
      </w:r>
      <w:r w:rsidR="00D100CE" w:rsidRPr="00E3756C">
        <w:t>I</w:t>
      </w:r>
      <w:r w:rsidR="008274C5" w:rsidRPr="00E3756C">
        <w:t>ndustries</w:t>
      </w:r>
      <w:r w:rsidR="00D100CE" w:rsidRPr="00E3756C">
        <w:t xml:space="preserve">): </w:t>
      </w:r>
      <w:hyperlink r:id="rId52">
        <w:r w:rsidR="00D100CE" w:rsidRPr="00E3756C">
          <w:rPr>
            <w:rStyle w:val="Hyperlink"/>
          </w:rPr>
          <w:t>www.niwa.co.nz/climate/research-projects/risk-of-drought-and-extreme-winds-under-climate-change</w:t>
        </w:r>
      </w:hyperlink>
    </w:p>
    <w:p w14:paraId="3356B52B" w14:textId="77777777" w:rsidR="00D100CE" w:rsidRPr="00E3756C" w:rsidRDefault="00294721" w:rsidP="00D100CE">
      <w:pPr>
        <w:pStyle w:val="Bullet"/>
      </w:pPr>
      <w:r w:rsidRPr="00E3756C">
        <w:t xml:space="preserve">Ministry for the Environment </w:t>
      </w:r>
      <w:r w:rsidR="00D100CE" w:rsidRPr="00E3756C">
        <w:t xml:space="preserve">State of </w:t>
      </w:r>
      <w:r w:rsidR="007222FD" w:rsidRPr="00E3756C">
        <w:t xml:space="preserve">the </w:t>
      </w:r>
      <w:r w:rsidR="00D100CE" w:rsidRPr="00E3756C">
        <w:t>Environment assessment reports and Stat</w:t>
      </w:r>
      <w:r w:rsidR="006502BF" w:rsidRPr="00E3756C">
        <w:t>istic</w:t>
      </w:r>
      <w:r w:rsidR="00D100CE" w:rsidRPr="00E3756C">
        <w:t>s</w:t>
      </w:r>
      <w:r w:rsidR="007222FD" w:rsidRPr="00E3756C">
        <w:t xml:space="preserve"> </w:t>
      </w:r>
      <w:r w:rsidR="00D100CE" w:rsidRPr="00E3756C">
        <w:t>N</w:t>
      </w:r>
      <w:r w:rsidR="006502BF" w:rsidRPr="00E3756C">
        <w:t xml:space="preserve">ew </w:t>
      </w:r>
      <w:r w:rsidR="00D100CE" w:rsidRPr="00E3756C">
        <w:t>Z</w:t>
      </w:r>
      <w:r w:rsidR="006502BF" w:rsidRPr="00E3756C">
        <w:t>ealand</w:t>
      </w:r>
      <w:r w:rsidR="007222FD" w:rsidRPr="00E3756C">
        <w:t xml:space="preserve"> and </w:t>
      </w:r>
      <w:r w:rsidR="00D100CE" w:rsidRPr="00E3756C">
        <w:t>M</w:t>
      </w:r>
      <w:r w:rsidR="007222FD" w:rsidRPr="00E3756C">
        <w:t xml:space="preserve">inistry </w:t>
      </w:r>
      <w:r w:rsidR="00D100CE" w:rsidRPr="00E3756C">
        <w:t>f</w:t>
      </w:r>
      <w:r w:rsidR="007222FD" w:rsidRPr="00E3756C">
        <w:t xml:space="preserve">or the </w:t>
      </w:r>
      <w:r w:rsidR="00D100CE" w:rsidRPr="00E3756C">
        <w:t>E</w:t>
      </w:r>
      <w:r w:rsidR="007222FD" w:rsidRPr="00E3756C">
        <w:t>nvironment</w:t>
      </w:r>
      <w:r w:rsidR="00D100CE" w:rsidRPr="00E3756C">
        <w:t xml:space="preserve"> reported environment domain statistics</w:t>
      </w:r>
      <w:r w:rsidR="007222FD" w:rsidRPr="00E3756C">
        <w:t>,</w:t>
      </w:r>
      <w:r w:rsidR="00D100CE" w:rsidRPr="00E3756C">
        <w:rPr>
          <w:vertAlign w:val="superscript"/>
        </w:rPr>
        <w:footnoteReference w:id="8"/>
      </w:r>
      <w:r w:rsidR="00D100CE" w:rsidRPr="00E3756C">
        <w:t xml:space="preserve"> </w:t>
      </w:r>
      <w:r w:rsidR="007222FD" w:rsidRPr="00E3756C">
        <w:t>for example,</w:t>
      </w:r>
      <w:r w:rsidR="00D100CE" w:rsidRPr="00E3756C">
        <w:t xml:space="preserve"> waves, coastal sea</w:t>
      </w:r>
      <w:r w:rsidR="007222FD" w:rsidRPr="00E3756C">
        <w:noBreakHyphen/>
      </w:r>
      <w:r w:rsidR="00D100CE" w:rsidRPr="00E3756C">
        <w:t>level rise, mean temperature trend</w:t>
      </w:r>
    </w:p>
    <w:p w14:paraId="20710AF7" w14:textId="77777777" w:rsidR="00D100CE" w:rsidRPr="00E3756C" w:rsidRDefault="00294721" w:rsidP="00D100CE">
      <w:pPr>
        <w:pStyle w:val="Bullet"/>
      </w:pPr>
      <w:r w:rsidRPr="00E3756C">
        <w:t>i</w:t>
      </w:r>
      <w:r w:rsidR="00D100CE" w:rsidRPr="00E3756C">
        <w:t>nformation provided by lifeline utilities and local councils under the reporting power of the Zero Carbon Bill</w:t>
      </w:r>
    </w:p>
    <w:p w14:paraId="2BBE5F21" w14:textId="77777777" w:rsidR="00D100CE" w:rsidRPr="00E3756C" w:rsidRDefault="00D100CE" w:rsidP="00D100CE">
      <w:pPr>
        <w:pStyle w:val="Bullet"/>
      </w:pPr>
      <w:r w:rsidRPr="00E3756C">
        <w:t>Census (2013, 2018) for population data</w:t>
      </w:r>
    </w:p>
    <w:p w14:paraId="41542DB6" w14:textId="77777777" w:rsidR="00D100CE" w:rsidRPr="00E3756C" w:rsidRDefault="00755150" w:rsidP="00D100CE">
      <w:pPr>
        <w:pStyle w:val="Bullet"/>
      </w:pPr>
      <w:r w:rsidRPr="00E3756C">
        <w:t>p</w:t>
      </w:r>
      <w:r w:rsidR="00D100CE" w:rsidRPr="00E3756C">
        <w:t>ublished journal papers focused on the New Zealand climate (but some international papers may be relevant or scalable)</w:t>
      </w:r>
    </w:p>
    <w:p w14:paraId="556A65D9" w14:textId="77777777" w:rsidR="00D100CE" w:rsidRPr="00E3756C" w:rsidRDefault="00D100CE" w:rsidP="00D100CE">
      <w:pPr>
        <w:pStyle w:val="Bullet"/>
      </w:pPr>
      <w:r w:rsidRPr="00E3756C">
        <w:t xml:space="preserve">IPCC special reports and assessments. The Australasian chapter of IPCC Working Group II assessment reports have specific climate information relevant to </w:t>
      </w:r>
      <w:r w:rsidR="00755150" w:rsidRPr="00E3756C">
        <w:t>New Zealand (IPCC, 2014b)</w:t>
      </w:r>
      <w:r w:rsidRPr="00E3756C">
        <w:t>:</w:t>
      </w:r>
      <w:r w:rsidR="00484C8A" w:rsidRPr="00E3756C">
        <w:t xml:space="preserve"> </w:t>
      </w:r>
      <w:hyperlink r:id="rId53">
        <w:r w:rsidRPr="00E3756C">
          <w:rPr>
            <w:rStyle w:val="Hyperlink"/>
          </w:rPr>
          <w:t>www.ipcc.ch/report/ar5/wg2/</w:t>
        </w:r>
      </w:hyperlink>
      <w:r w:rsidRPr="00E3756C">
        <w:t xml:space="preserve"> </w:t>
      </w:r>
    </w:p>
    <w:p w14:paraId="6DD221A7" w14:textId="77777777" w:rsidR="00D100CE" w:rsidRPr="00E3756C" w:rsidRDefault="00755150" w:rsidP="00D100CE">
      <w:pPr>
        <w:pStyle w:val="Bullet"/>
      </w:pPr>
      <w:r w:rsidRPr="00E3756C">
        <w:t>s</w:t>
      </w:r>
      <w:r w:rsidR="00D100CE" w:rsidRPr="00E3756C">
        <w:t>tructured elicitation processes</w:t>
      </w:r>
      <w:r w:rsidRPr="00E3756C">
        <w:t>,</w:t>
      </w:r>
      <w:r w:rsidR="00D100CE" w:rsidRPr="00E3756C">
        <w:t xml:space="preserve"> such as risk workshops (to be defined in the engagement plan for the risk assessment stages),</w:t>
      </w:r>
      <w:r w:rsidRPr="00E3756C">
        <w:rPr>
          <w:vertAlign w:val="superscript"/>
        </w:rPr>
        <w:footnoteReference w:id="9"/>
      </w:r>
      <w:r w:rsidR="00D100CE" w:rsidRPr="00E3756C">
        <w:t xml:space="preserve"> led by experts (researchers, Māori experts and practitioners) engaging with sector adaptation leaders, iwi</w:t>
      </w:r>
      <w:r w:rsidR="00F5095C" w:rsidRPr="00E3756C">
        <w:t xml:space="preserve"> and </w:t>
      </w:r>
      <w:r w:rsidR="00D100CE" w:rsidRPr="00E3756C">
        <w:t>hapū organisation representatives and key stakeholders</w:t>
      </w:r>
    </w:p>
    <w:p w14:paraId="3161EC1F" w14:textId="77777777" w:rsidR="00D100CE" w:rsidRPr="00E3756C" w:rsidRDefault="00F5095C" w:rsidP="00D100CE">
      <w:pPr>
        <w:pStyle w:val="Bullet"/>
      </w:pPr>
      <w:r w:rsidRPr="00E3756C">
        <w:t>e</w:t>
      </w:r>
      <w:r w:rsidR="00D100CE" w:rsidRPr="00E3756C">
        <w:t>ngaging with Māori advisory groups (national, pan-regional, iwi</w:t>
      </w:r>
      <w:r w:rsidRPr="00E3756C">
        <w:t xml:space="preserve"> and </w:t>
      </w:r>
      <w:r w:rsidR="00D100CE" w:rsidRPr="00E3756C">
        <w:t xml:space="preserve">hapū) </w:t>
      </w:r>
    </w:p>
    <w:p w14:paraId="14AC1CD5" w14:textId="77777777" w:rsidR="00D100CE" w:rsidRPr="00E3756C" w:rsidRDefault="00F5095C" w:rsidP="00D100CE">
      <w:pPr>
        <w:pStyle w:val="Bullet"/>
      </w:pPr>
      <w:r w:rsidRPr="00E3756C">
        <w:t>i</w:t>
      </w:r>
      <w:r w:rsidR="00D100CE" w:rsidRPr="00E3756C">
        <w:t>wi</w:t>
      </w:r>
      <w:r w:rsidRPr="00E3756C">
        <w:t xml:space="preserve"> and </w:t>
      </w:r>
      <w:r w:rsidR="00D100CE" w:rsidRPr="00E3756C">
        <w:t xml:space="preserve">hapū </w:t>
      </w:r>
      <w:r w:rsidRPr="00E3756C">
        <w:t>e</w:t>
      </w:r>
      <w:r w:rsidR="00D100CE" w:rsidRPr="00E3756C">
        <w:t xml:space="preserve">nvironmental </w:t>
      </w:r>
      <w:r w:rsidRPr="00E3756C">
        <w:t>m</w:t>
      </w:r>
      <w:r w:rsidR="00D100CE" w:rsidRPr="00E3756C">
        <w:t xml:space="preserve">anagement </w:t>
      </w:r>
      <w:r w:rsidRPr="00E3756C">
        <w:t>p</w:t>
      </w:r>
      <w:r w:rsidR="00D100CE" w:rsidRPr="00E3756C">
        <w:t>lans</w:t>
      </w:r>
    </w:p>
    <w:p w14:paraId="29DADA5E" w14:textId="77777777" w:rsidR="00D100CE" w:rsidRPr="00E3756C" w:rsidRDefault="00F5095C" w:rsidP="00D100CE">
      <w:pPr>
        <w:pStyle w:val="Bullet"/>
      </w:pPr>
      <w:r w:rsidRPr="00E3756C">
        <w:t>i</w:t>
      </w:r>
      <w:r w:rsidR="00D100CE" w:rsidRPr="00E3756C">
        <w:t>wi</w:t>
      </w:r>
      <w:r w:rsidRPr="00E3756C">
        <w:t xml:space="preserve"> and </w:t>
      </w:r>
      <w:r w:rsidR="00D100CE" w:rsidRPr="00E3756C">
        <w:t>hapū climate change plans</w:t>
      </w:r>
      <w:r w:rsidRPr="00E3756C">
        <w:t xml:space="preserve"> and </w:t>
      </w:r>
      <w:r w:rsidR="00D100CE" w:rsidRPr="00E3756C">
        <w:t>strategies</w:t>
      </w:r>
      <w:r w:rsidRPr="00E3756C">
        <w:t>.</w:t>
      </w:r>
    </w:p>
    <w:p w14:paraId="4BF80A76" w14:textId="77777777" w:rsidR="00D100CE" w:rsidRPr="00E3756C" w:rsidRDefault="00D100CE" w:rsidP="00D100CE">
      <w:pPr>
        <w:pStyle w:val="BodyText"/>
      </w:pPr>
      <w:r w:rsidRPr="00E3756C">
        <w:t xml:space="preserve">Different levels of information gathering on hazards and opportunities can </w:t>
      </w:r>
      <w:r w:rsidR="00F5095C" w:rsidRPr="00E3756C">
        <w:t xml:space="preserve">also </w:t>
      </w:r>
      <w:r w:rsidRPr="00E3756C">
        <w:t xml:space="preserve">be </w:t>
      </w:r>
      <w:r w:rsidR="00F5095C" w:rsidRPr="00E3756C">
        <w:t>used</w:t>
      </w:r>
      <w:r w:rsidRPr="00E3756C">
        <w:t xml:space="preserve">. </w:t>
      </w:r>
    </w:p>
    <w:p w14:paraId="05B62132" w14:textId="77777777" w:rsidR="00D100CE" w:rsidRPr="00E3756C" w:rsidRDefault="00D100CE" w:rsidP="00D401A3">
      <w:pPr>
        <w:pStyle w:val="Bullet"/>
      </w:pPr>
      <w:r w:rsidRPr="00E3756C">
        <w:t>Engag</w:t>
      </w:r>
      <w:r w:rsidR="00F5095C" w:rsidRPr="00E3756C">
        <w:t>e</w:t>
      </w:r>
      <w:r w:rsidRPr="00E3756C">
        <w:t xml:space="preserve"> with relevant research institutions to source data and information on climate</w:t>
      </w:r>
      <w:r w:rsidR="00F5095C" w:rsidRPr="00E3756C">
        <w:t xml:space="preserve"> </w:t>
      </w:r>
      <w:r w:rsidRPr="00E3756C">
        <w:t>change hazards for RCP4.5 and RCP8.5 projections at the recommended timeframes</w:t>
      </w:r>
      <w:r w:rsidR="00F5095C" w:rsidRPr="00E3756C">
        <w:t>,</w:t>
      </w:r>
      <w:r w:rsidR="00484C8A" w:rsidRPr="00E3756C">
        <w:t xml:space="preserve"> </w:t>
      </w:r>
      <w:r w:rsidRPr="00E3756C">
        <w:t xml:space="preserve">if not available in </w:t>
      </w:r>
      <w:r w:rsidR="00D401A3" w:rsidRPr="00E3756C">
        <w:t xml:space="preserve">the Climate Change Projections for New Zealand </w:t>
      </w:r>
      <w:r w:rsidRPr="00E3756C">
        <w:t>(</w:t>
      </w:r>
      <w:r w:rsidR="00D401A3" w:rsidRPr="00E3756C">
        <w:t xml:space="preserve">Ministry for the Environment, </w:t>
      </w:r>
      <w:r w:rsidRPr="00E3756C">
        <w:t>2018) – usually derived from climate</w:t>
      </w:r>
      <w:r w:rsidR="00D401A3" w:rsidRPr="00E3756C">
        <w:t>–</w:t>
      </w:r>
      <w:r w:rsidRPr="00E3756C">
        <w:t>ocean models.</w:t>
      </w:r>
    </w:p>
    <w:p w14:paraId="372423DA" w14:textId="5D39B499" w:rsidR="00D100CE" w:rsidRPr="00E3756C" w:rsidRDefault="00D100CE" w:rsidP="00D100CE">
      <w:pPr>
        <w:pStyle w:val="Bullet"/>
      </w:pPr>
      <w:r w:rsidRPr="00E3756C">
        <w:t>For present-day</w:t>
      </w:r>
      <w:r w:rsidR="003204B5">
        <w:t>,</w:t>
      </w:r>
      <w:r w:rsidRPr="00E3756C">
        <w:t xml:space="preserve"> climate-related impacts – engag</w:t>
      </w:r>
      <w:r w:rsidR="00D401A3" w:rsidRPr="00E3756C">
        <w:t>e</w:t>
      </w:r>
      <w:r w:rsidRPr="00E3756C">
        <w:t xml:space="preserve"> with regional, unitary and district councils through Local Government N</w:t>
      </w:r>
      <w:r w:rsidR="00D401A3" w:rsidRPr="00E3756C">
        <w:t xml:space="preserve">ew </w:t>
      </w:r>
      <w:r w:rsidRPr="00E3756C">
        <w:t>Z</w:t>
      </w:r>
      <w:r w:rsidR="00D401A3" w:rsidRPr="00E3756C">
        <w:t>ealand</w:t>
      </w:r>
      <w:r w:rsidRPr="00E3756C">
        <w:t>, central government (eg</w:t>
      </w:r>
      <w:r w:rsidR="00D401A3" w:rsidRPr="00E3756C">
        <w:t>,</w:t>
      </w:r>
      <w:r w:rsidRPr="00E3756C">
        <w:t xml:space="preserve"> M</w:t>
      </w:r>
      <w:r w:rsidR="00D401A3" w:rsidRPr="00E3756C">
        <w:t xml:space="preserve">inistry of </w:t>
      </w:r>
      <w:r w:rsidRPr="00E3756C">
        <w:t>C</w:t>
      </w:r>
      <w:r w:rsidR="00D401A3" w:rsidRPr="00E3756C">
        <w:t xml:space="preserve">ivil </w:t>
      </w:r>
      <w:r w:rsidRPr="00E3756C">
        <w:t>D</w:t>
      </w:r>
      <w:r w:rsidR="00D401A3" w:rsidRPr="00E3756C">
        <w:t xml:space="preserve">efence and </w:t>
      </w:r>
      <w:r w:rsidRPr="00E3756C">
        <w:t>E</w:t>
      </w:r>
      <w:r w:rsidR="00D401A3" w:rsidRPr="00E3756C">
        <w:t xml:space="preserve">mergency </w:t>
      </w:r>
      <w:r w:rsidRPr="00E3756C">
        <w:t>M</w:t>
      </w:r>
      <w:r w:rsidR="00D401A3" w:rsidRPr="00E3756C">
        <w:t>anagement</w:t>
      </w:r>
      <w:r w:rsidRPr="00E3756C">
        <w:t>) and the Insurance Council of N</w:t>
      </w:r>
      <w:r w:rsidR="00D401A3" w:rsidRPr="00E3756C">
        <w:t xml:space="preserve">ew </w:t>
      </w:r>
      <w:r w:rsidRPr="00E3756C">
        <w:t>Z</w:t>
      </w:r>
      <w:r w:rsidR="00D401A3" w:rsidRPr="00E3756C">
        <w:t>ealand</w:t>
      </w:r>
      <w:r w:rsidRPr="00E3756C">
        <w:t xml:space="preserve">. Also </w:t>
      </w:r>
      <w:r w:rsidRPr="00E3756C">
        <w:lastRenderedPageBreak/>
        <w:t>consult the report for Treasury on the attribution of climate change to recent rainfall and drought events</w:t>
      </w:r>
      <w:r w:rsidR="00EB6F83" w:rsidRPr="00E3756C">
        <w:t xml:space="preserve"> (Frame et al, 2018b)</w:t>
      </w:r>
      <w:r w:rsidRPr="00E3756C">
        <w:t>.</w:t>
      </w:r>
    </w:p>
    <w:p w14:paraId="00802DE1" w14:textId="77777777" w:rsidR="00D100CE" w:rsidRPr="00E3756C" w:rsidRDefault="00D100CE" w:rsidP="00D100CE">
      <w:pPr>
        <w:pStyle w:val="Bullet"/>
      </w:pPr>
      <w:r w:rsidRPr="00E3756C">
        <w:t>Literature reviews focused on present and future impacts for New Zealand – engag</w:t>
      </w:r>
      <w:r w:rsidR="00EB6F83" w:rsidRPr="00E3756C">
        <w:t>e</w:t>
      </w:r>
      <w:r w:rsidRPr="00E3756C">
        <w:t xml:space="preserve"> first with researchers who often have undertaken these reviews and sometimes published them</w:t>
      </w:r>
      <w:r w:rsidR="00EB6F83" w:rsidRPr="00E3756C">
        <w:t>, for example,</w:t>
      </w:r>
      <w:r w:rsidRPr="00E3756C">
        <w:t xml:space="preserve"> Rouse et al</w:t>
      </w:r>
      <w:r w:rsidR="00EB6F83" w:rsidRPr="00E3756C">
        <w:t xml:space="preserve"> </w:t>
      </w:r>
      <w:r w:rsidRPr="00E3756C">
        <w:t>(2017) for coastal adaptation.</w:t>
      </w:r>
      <w:r w:rsidR="00484C8A" w:rsidRPr="00E3756C">
        <w:t xml:space="preserve"> </w:t>
      </w:r>
    </w:p>
    <w:p w14:paraId="506CAF62" w14:textId="77777777" w:rsidR="00D100CE" w:rsidRPr="00E3756C" w:rsidRDefault="00D100CE" w:rsidP="00D100CE">
      <w:pPr>
        <w:pStyle w:val="Bullet"/>
      </w:pPr>
      <w:r w:rsidRPr="00E3756C">
        <w:t>Structured elicitation processes with multiple parties and disciplines relevant for the value domain or sector</w:t>
      </w:r>
      <w:r w:rsidR="00EB6F83" w:rsidRPr="00E3756C">
        <w:t>,</w:t>
      </w:r>
      <w:r w:rsidRPr="00E3756C">
        <w:t xml:space="preserve"> particularly for those hazards where definitive quantitative projections are not available.</w:t>
      </w:r>
    </w:p>
    <w:p w14:paraId="7491279A" w14:textId="77777777" w:rsidR="00D100CE" w:rsidRPr="00E3756C" w:rsidRDefault="00D100CE" w:rsidP="00C4794B">
      <w:pPr>
        <w:pStyle w:val="BodyText"/>
      </w:pPr>
      <w:r w:rsidRPr="00E3756C">
        <w:t xml:space="preserve">Attention </w:t>
      </w:r>
      <w:r w:rsidR="00EB6F83" w:rsidRPr="00E3756C">
        <w:t>should</w:t>
      </w:r>
      <w:r w:rsidRPr="00E3756C">
        <w:t xml:space="preserve"> be given to ensuring that</w:t>
      </w:r>
      <w:r w:rsidR="00EB6F83" w:rsidRPr="00E3756C">
        <w:t>,</w:t>
      </w:r>
      <w:r w:rsidRPr="00E3756C">
        <w:t xml:space="preserve"> as new information sources are identified</w:t>
      </w:r>
      <w:r w:rsidR="00EB6F83" w:rsidRPr="00E3756C">
        <w:t>,</w:t>
      </w:r>
      <w:r w:rsidRPr="00E3756C">
        <w:t xml:space="preserve"> the ‘non-exhaustive list’ </w:t>
      </w:r>
      <w:r w:rsidR="00EB6F83" w:rsidRPr="00E3756C">
        <w:t xml:space="preserve">above </w:t>
      </w:r>
      <w:r w:rsidRPr="00E3756C">
        <w:t>is updated.</w:t>
      </w:r>
    </w:p>
    <w:p w14:paraId="7FA944EA" w14:textId="77777777" w:rsidR="00D100CE" w:rsidRPr="00E3756C" w:rsidRDefault="00D100CE" w:rsidP="00C4794B">
      <w:pPr>
        <w:pStyle w:val="Heading2"/>
      </w:pPr>
      <w:bookmarkStart w:id="225" w:name="_C4.2__Climate-change"/>
      <w:bookmarkStart w:id="226" w:name="_Toc15409180"/>
      <w:bookmarkStart w:id="227" w:name="_Toc13570404"/>
      <w:bookmarkStart w:id="228" w:name="_Toc14361568"/>
      <w:bookmarkEnd w:id="225"/>
      <w:r w:rsidRPr="00E3756C">
        <w:t xml:space="preserve">C4.2 </w:t>
      </w:r>
      <w:r w:rsidR="003D3667" w:rsidRPr="00E3756C">
        <w:tab/>
      </w:r>
      <w:r w:rsidRPr="00E3756C">
        <w:t>Climate</w:t>
      </w:r>
      <w:r w:rsidR="00EB6F83" w:rsidRPr="00E3756C">
        <w:t xml:space="preserve"> </w:t>
      </w:r>
      <w:r w:rsidRPr="00E3756C">
        <w:t>change variables contributing to hazards</w:t>
      </w:r>
      <w:bookmarkEnd w:id="226"/>
      <w:r w:rsidRPr="00E3756C">
        <w:t xml:space="preserve"> </w:t>
      </w:r>
      <w:bookmarkEnd w:id="227"/>
      <w:bookmarkEnd w:id="228"/>
    </w:p>
    <w:p w14:paraId="1BC5BC85" w14:textId="77777777" w:rsidR="00D100CE" w:rsidRPr="00E3756C" w:rsidRDefault="00D100CE" w:rsidP="00C4794B">
      <w:pPr>
        <w:pStyle w:val="BodyText"/>
      </w:pPr>
      <w:r w:rsidRPr="00E3756C">
        <w:t xml:space="preserve">A </w:t>
      </w:r>
      <w:r w:rsidR="00EB6F83" w:rsidRPr="00E3756C">
        <w:t>‘</w:t>
      </w:r>
      <w:r w:rsidRPr="00E3756C">
        <w:t>long</w:t>
      </w:r>
      <w:r w:rsidR="00EB6F83" w:rsidRPr="00E3756C">
        <w:t xml:space="preserve"> </w:t>
      </w:r>
      <w:r w:rsidRPr="00E3756C">
        <w:t>list</w:t>
      </w:r>
      <w:r w:rsidR="00EB6F83" w:rsidRPr="00E3756C">
        <w:t>’</w:t>
      </w:r>
      <w:r w:rsidRPr="00E3756C">
        <w:t xml:space="preserve"> of climate-related variables used </w:t>
      </w:r>
      <w:r w:rsidR="006D459D" w:rsidRPr="00E3756C">
        <w:t>for</w:t>
      </w:r>
      <w:r w:rsidRPr="00E3756C">
        <w:t xml:space="preserve"> a suggested suite of climate-related hazards and evolving stressors is shown in </w:t>
      </w:r>
      <w:r w:rsidR="006D459D" w:rsidRPr="00E3756C">
        <w:t>t</w:t>
      </w:r>
      <w:r w:rsidRPr="00E3756C">
        <w:t>able C4-1</w:t>
      </w:r>
      <w:r w:rsidR="006D459D" w:rsidRPr="00E3756C">
        <w:t>,</w:t>
      </w:r>
      <w:r w:rsidRPr="00E3756C">
        <w:t xml:space="preserve"> if amendments or additions </w:t>
      </w:r>
      <w:r w:rsidR="006D459D" w:rsidRPr="00E3756C">
        <w:t xml:space="preserve">are necessary </w:t>
      </w:r>
      <w:r w:rsidRPr="00E3756C">
        <w:t xml:space="preserve">to the hazards in </w:t>
      </w:r>
      <w:hyperlink w:anchor="tableB12" w:history="1">
        <w:r w:rsidR="006D459D" w:rsidRPr="00E3756C">
          <w:rPr>
            <w:rStyle w:val="Hyperlink"/>
          </w:rPr>
          <w:t>t</w:t>
        </w:r>
        <w:r w:rsidRPr="00E3756C">
          <w:rPr>
            <w:rStyle w:val="Hyperlink"/>
          </w:rPr>
          <w:t>able B1-2</w:t>
        </w:r>
      </w:hyperlink>
      <w:r w:rsidRPr="00E3756C">
        <w:t>.</w:t>
      </w:r>
    </w:p>
    <w:p w14:paraId="0BDE095F" w14:textId="77777777" w:rsidR="008E4F54" w:rsidRPr="00E3756C" w:rsidRDefault="00D100CE" w:rsidP="006D459D">
      <w:pPr>
        <w:pStyle w:val="Tableheading"/>
      </w:pPr>
      <w:bookmarkStart w:id="229" w:name="tableC41"/>
      <w:bookmarkStart w:id="230" w:name="_Toc16586507"/>
      <w:r w:rsidRPr="00E3756C">
        <w:t>Table C4-1</w:t>
      </w:r>
      <w:bookmarkEnd w:id="229"/>
      <w:r w:rsidRPr="00E3756C">
        <w:t xml:space="preserve">: </w:t>
      </w:r>
      <w:r w:rsidR="00C4794B" w:rsidRPr="00E3756C">
        <w:tab/>
      </w:r>
      <w:r w:rsidRPr="00E3756C">
        <w:t xml:space="preserve">Categories of climate change and associated effects (climate variables) considered in formulating hazards arising from climate change in </w:t>
      </w:r>
      <w:r w:rsidR="006D459D" w:rsidRPr="00E3756C">
        <w:t>t</w:t>
      </w:r>
      <w:r w:rsidRPr="00E3756C">
        <w:t>able B1-2</w:t>
      </w:r>
      <w:bookmarkEnd w:id="230"/>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600" w:firstRow="0" w:lastRow="0" w:firstColumn="0" w:lastColumn="0" w:noHBand="1" w:noVBand="1"/>
      </w:tblPr>
      <w:tblGrid>
        <w:gridCol w:w="2895"/>
        <w:gridCol w:w="5610"/>
      </w:tblGrid>
      <w:tr w:rsidR="00287A84" w:rsidRPr="00E3756C" w14:paraId="334DC32F" w14:textId="77777777" w:rsidTr="00B50E4C">
        <w:trPr>
          <w:tblHeader/>
        </w:trPr>
        <w:tc>
          <w:tcPr>
            <w:tcW w:w="3069" w:type="dxa"/>
            <w:shd w:val="clear" w:color="auto" w:fill="1C556C" w:themeFill="accent1"/>
            <w:tcMar>
              <w:top w:w="0" w:type="dxa"/>
              <w:left w:w="100" w:type="dxa"/>
              <w:bottom w:w="0" w:type="dxa"/>
              <w:right w:w="100" w:type="dxa"/>
            </w:tcMar>
          </w:tcPr>
          <w:p w14:paraId="601A26D3" w14:textId="77777777" w:rsidR="00287A84" w:rsidRPr="00E3756C" w:rsidRDefault="00287A84" w:rsidP="00287A84">
            <w:pPr>
              <w:pStyle w:val="TableTextbold"/>
              <w:rPr>
                <w:color w:val="FFFFFF" w:themeColor="background1"/>
              </w:rPr>
            </w:pPr>
            <w:r w:rsidRPr="00E3756C">
              <w:rPr>
                <w:color w:val="FFFFFF" w:themeColor="background1"/>
              </w:rPr>
              <w:t>Categories of climate change</w:t>
            </w:r>
          </w:p>
        </w:tc>
        <w:tc>
          <w:tcPr>
            <w:tcW w:w="5960" w:type="dxa"/>
            <w:shd w:val="clear" w:color="auto" w:fill="1C556C" w:themeFill="accent1"/>
            <w:tcMar>
              <w:top w:w="0" w:type="dxa"/>
              <w:left w:w="100" w:type="dxa"/>
              <w:bottom w:w="0" w:type="dxa"/>
              <w:right w:w="100" w:type="dxa"/>
            </w:tcMar>
          </w:tcPr>
          <w:p w14:paraId="66505806" w14:textId="77777777" w:rsidR="00287A84" w:rsidRPr="00E3756C" w:rsidRDefault="00287A84" w:rsidP="00287A84">
            <w:pPr>
              <w:pStyle w:val="TableTextbold"/>
              <w:rPr>
                <w:color w:val="FFFFFF" w:themeColor="background1"/>
              </w:rPr>
            </w:pPr>
            <w:r w:rsidRPr="00E3756C">
              <w:rPr>
                <w:color w:val="FFFFFF" w:themeColor="background1"/>
              </w:rPr>
              <w:t>Climate change variables (effects)</w:t>
            </w:r>
          </w:p>
        </w:tc>
      </w:tr>
      <w:tr w:rsidR="00287A84" w:rsidRPr="00E3756C" w14:paraId="5AA3F235" w14:textId="77777777" w:rsidTr="00B50E4C">
        <w:trPr>
          <w:trHeight w:val="2400"/>
        </w:trPr>
        <w:tc>
          <w:tcPr>
            <w:tcW w:w="3069" w:type="dxa"/>
            <w:tcMar>
              <w:top w:w="0" w:type="dxa"/>
              <w:left w:w="100" w:type="dxa"/>
              <w:bottom w:w="0" w:type="dxa"/>
              <w:right w:w="100" w:type="dxa"/>
            </w:tcMar>
          </w:tcPr>
          <w:p w14:paraId="4945B638" w14:textId="77777777" w:rsidR="00287A84" w:rsidRPr="00E3756C" w:rsidRDefault="00287A84" w:rsidP="00D74041">
            <w:pPr>
              <w:pStyle w:val="TableTextbold"/>
            </w:pPr>
            <w:r w:rsidRPr="00E3756C">
              <w:t xml:space="preserve">Rising temperatures </w:t>
            </w:r>
          </w:p>
        </w:tc>
        <w:tc>
          <w:tcPr>
            <w:tcW w:w="5960" w:type="dxa"/>
            <w:tcMar>
              <w:top w:w="0" w:type="dxa"/>
              <w:left w:w="100" w:type="dxa"/>
              <w:bottom w:w="0" w:type="dxa"/>
              <w:right w:w="100" w:type="dxa"/>
            </w:tcMar>
          </w:tcPr>
          <w:p w14:paraId="126C5B83" w14:textId="77777777" w:rsidR="00287A84" w:rsidRPr="00E3756C" w:rsidRDefault="00287A84" w:rsidP="00287A84">
            <w:pPr>
              <w:pStyle w:val="TableBullet"/>
              <w:spacing w:before="60"/>
            </w:pPr>
            <w:r w:rsidRPr="00E3756C">
              <w:t xml:space="preserve">Higher day </w:t>
            </w:r>
            <w:r w:rsidR="0063070F" w:rsidRPr="00E3756C">
              <w:t>and</w:t>
            </w:r>
            <w:r w:rsidRPr="00E3756C">
              <w:t xml:space="preserve"> night temperatures</w:t>
            </w:r>
          </w:p>
          <w:p w14:paraId="61FF69E9" w14:textId="77777777" w:rsidR="00287A84" w:rsidRPr="00E3756C" w:rsidRDefault="00287A84" w:rsidP="00287A84">
            <w:pPr>
              <w:pStyle w:val="TableBullet"/>
            </w:pPr>
            <w:r w:rsidRPr="00E3756C">
              <w:t xml:space="preserve">More heatwaves </w:t>
            </w:r>
            <w:r w:rsidR="0063070F" w:rsidRPr="00E3756C">
              <w:t>and</w:t>
            </w:r>
            <w:r w:rsidRPr="00E3756C">
              <w:t xml:space="preserve"> warm spells</w:t>
            </w:r>
          </w:p>
          <w:p w14:paraId="1E8EE7C3" w14:textId="77777777" w:rsidR="00287A84" w:rsidRPr="00E3756C" w:rsidRDefault="00287A84" w:rsidP="00287A84">
            <w:pPr>
              <w:pStyle w:val="TableBullet"/>
            </w:pPr>
            <w:r w:rsidRPr="00E3756C">
              <w:t>Fewer frosts or cold days</w:t>
            </w:r>
          </w:p>
          <w:p w14:paraId="6B5DEEB1" w14:textId="77777777" w:rsidR="00287A84" w:rsidRPr="00E3756C" w:rsidRDefault="00287A84" w:rsidP="00287A84">
            <w:pPr>
              <w:pStyle w:val="TableBullet"/>
            </w:pPr>
            <w:r w:rsidRPr="00E3756C">
              <w:t>Changes in seasonality</w:t>
            </w:r>
          </w:p>
          <w:p w14:paraId="0D9AE7C0" w14:textId="77777777" w:rsidR="00287A84" w:rsidRPr="00E3756C" w:rsidRDefault="00287A84" w:rsidP="00287A84">
            <w:pPr>
              <w:pStyle w:val="TableBullet"/>
            </w:pPr>
            <w:r w:rsidRPr="00E3756C">
              <w:t>Interannual variability (eg</w:t>
            </w:r>
            <w:r w:rsidR="0063070F" w:rsidRPr="00E3756C">
              <w:t>,</w:t>
            </w:r>
            <w:r w:rsidRPr="00E3756C">
              <w:t xml:space="preserve"> ENSO)</w:t>
            </w:r>
          </w:p>
          <w:p w14:paraId="0AB97683" w14:textId="6AE4DAC3" w:rsidR="00287A84" w:rsidRPr="00E3756C" w:rsidRDefault="000A17DE" w:rsidP="00287A84">
            <w:pPr>
              <w:pStyle w:val="TableBullet"/>
              <w:rPr>
                <w:color w:val="222A35"/>
              </w:rPr>
            </w:pPr>
            <w:r>
              <w:rPr>
                <w:color w:val="222A35"/>
              </w:rPr>
              <w:t>Freshwater</w:t>
            </w:r>
            <w:r w:rsidR="00287A84" w:rsidRPr="00E3756C">
              <w:rPr>
                <w:color w:val="222A35"/>
              </w:rPr>
              <w:t xml:space="preserve"> </w:t>
            </w:r>
            <w:r w:rsidR="0063070F" w:rsidRPr="00E3756C">
              <w:rPr>
                <w:color w:val="222A35"/>
              </w:rPr>
              <w:t>and</w:t>
            </w:r>
            <w:r w:rsidR="00287A84" w:rsidRPr="00E3756C">
              <w:rPr>
                <w:color w:val="222A35"/>
              </w:rPr>
              <w:t xml:space="preserve"> estuaries: higher mean temperatures</w:t>
            </w:r>
          </w:p>
          <w:p w14:paraId="08043731" w14:textId="77777777" w:rsidR="00287A84" w:rsidRPr="00E3756C" w:rsidRDefault="00287A84" w:rsidP="00287A84">
            <w:pPr>
              <w:pStyle w:val="TableBullet"/>
              <w:rPr>
                <w:color w:val="222A35"/>
              </w:rPr>
            </w:pPr>
            <w:r w:rsidRPr="00E3756C">
              <w:rPr>
                <w:color w:val="222A35"/>
              </w:rPr>
              <w:t>Marine</w:t>
            </w:r>
            <w:r w:rsidR="0063070F" w:rsidRPr="00E3756C">
              <w:rPr>
                <w:color w:val="222A35"/>
              </w:rPr>
              <w:t xml:space="preserve"> and </w:t>
            </w:r>
            <w:r w:rsidRPr="00E3756C">
              <w:rPr>
                <w:color w:val="222A35"/>
              </w:rPr>
              <w:t>coastal waters: higher mean temperatures</w:t>
            </w:r>
          </w:p>
          <w:p w14:paraId="24C5FDBD" w14:textId="77777777" w:rsidR="00287A84" w:rsidRPr="00E3756C" w:rsidRDefault="00287A84" w:rsidP="0063070F">
            <w:pPr>
              <w:pStyle w:val="TableBullet"/>
              <w:rPr>
                <w:color w:val="222A35"/>
              </w:rPr>
            </w:pPr>
            <w:r w:rsidRPr="00E3756C">
              <w:rPr>
                <w:color w:val="222A35"/>
              </w:rPr>
              <w:t>Marine</w:t>
            </w:r>
            <w:r w:rsidR="0063070F" w:rsidRPr="00E3756C">
              <w:rPr>
                <w:color w:val="222A35"/>
              </w:rPr>
              <w:t xml:space="preserve"> and </w:t>
            </w:r>
            <w:r w:rsidRPr="00E3756C">
              <w:rPr>
                <w:color w:val="222A35"/>
              </w:rPr>
              <w:t>coastal waters: heatwaves</w:t>
            </w:r>
            <w:r w:rsidR="00484C8A" w:rsidRPr="00E3756C">
              <w:t xml:space="preserve"> </w:t>
            </w:r>
          </w:p>
        </w:tc>
      </w:tr>
      <w:tr w:rsidR="00287A84" w:rsidRPr="00E3756C" w14:paraId="6EDFDA71" w14:textId="77777777" w:rsidTr="00B50E4C">
        <w:tc>
          <w:tcPr>
            <w:tcW w:w="3069" w:type="dxa"/>
            <w:tcMar>
              <w:top w:w="0" w:type="dxa"/>
              <w:left w:w="100" w:type="dxa"/>
              <w:bottom w:w="0" w:type="dxa"/>
              <w:right w:w="100" w:type="dxa"/>
            </w:tcMar>
          </w:tcPr>
          <w:p w14:paraId="5E8FBE15" w14:textId="77777777" w:rsidR="00287A84" w:rsidRPr="00E3756C" w:rsidRDefault="00287A84" w:rsidP="00853367">
            <w:pPr>
              <w:pStyle w:val="TableTextbold"/>
            </w:pPr>
            <w:r w:rsidRPr="00E3756C">
              <w:t>Rainfall and hail</w:t>
            </w:r>
          </w:p>
        </w:tc>
        <w:tc>
          <w:tcPr>
            <w:tcW w:w="5960" w:type="dxa"/>
            <w:tcMar>
              <w:top w:w="0" w:type="dxa"/>
              <w:left w:w="100" w:type="dxa"/>
              <w:bottom w:w="0" w:type="dxa"/>
              <w:right w:w="100" w:type="dxa"/>
            </w:tcMar>
          </w:tcPr>
          <w:p w14:paraId="4B7C1BDF" w14:textId="77777777" w:rsidR="00287A84" w:rsidRPr="00E3756C" w:rsidRDefault="00287A84" w:rsidP="00853367">
            <w:pPr>
              <w:pStyle w:val="TableBullet"/>
              <w:spacing w:before="60"/>
            </w:pPr>
            <w:r w:rsidRPr="00E3756C">
              <w:t>Higher or lower mean annual rainfall in sub-national climate zones</w:t>
            </w:r>
          </w:p>
          <w:p w14:paraId="73461798" w14:textId="77777777" w:rsidR="00287A84" w:rsidRPr="00E3756C" w:rsidRDefault="00287A84" w:rsidP="00853367">
            <w:pPr>
              <w:pStyle w:val="TableBullet"/>
            </w:pPr>
            <w:r w:rsidRPr="00E3756C">
              <w:t>Changes in rainfall seasonality</w:t>
            </w:r>
          </w:p>
          <w:p w14:paraId="63041D66" w14:textId="77777777" w:rsidR="00287A84" w:rsidRPr="00E3756C" w:rsidRDefault="00287A84" w:rsidP="00853367">
            <w:pPr>
              <w:pStyle w:val="TableBullet"/>
            </w:pPr>
            <w:r w:rsidRPr="00E3756C">
              <w:t>Interannual variability (eg</w:t>
            </w:r>
            <w:r w:rsidR="0063070F" w:rsidRPr="00E3756C">
              <w:t>,</w:t>
            </w:r>
            <w:r w:rsidRPr="00E3756C">
              <w:t xml:space="preserve"> ENSO)</w:t>
            </w:r>
          </w:p>
          <w:p w14:paraId="2FE8C393" w14:textId="77777777" w:rsidR="00287A84" w:rsidRPr="00E3756C" w:rsidRDefault="00287A84" w:rsidP="00853367">
            <w:pPr>
              <w:pStyle w:val="TableBullet"/>
            </w:pPr>
            <w:r w:rsidRPr="00E3756C">
              <w:t xml:space="preserve">Changes in extreme rainfall: </w:t>
            </w:r>
            <w:r w:rsidR="0063070F" w:rsidRPr="00E3756C">
              <w:t>h</w:t>
            </w:r>
            <w:r w:rsidRPr="00E3756C">
              <w:t xml:space="preserve">igh intensity </w:t>
            </w:r>
            <w:r w:rsidR="0063070F" w:rsidRPr="00E3756C">
              <w:t>and</w:t>
            </w:r>
            <w:r w:rsidRPr="00E3756C">
              <w:t xml:space="preserve"> persistence</w:t>
            </w:r>
          </w:p>
          <w:p w14:paraId="0FA39900" w14:textId="77777777" w:rsidR="00287A84" w:rsidRPr="00E3756C" w:rsidRDefault="00287A84" w:rsidP="00853367">
            <w:pPr>
              <w:pStyle w:val="TableBullet"/>
            </w:pPr>
            <w:r w:rsidRPr="00E3756C">
              <w:t xml:space="preserve">Floods (fluvial </w:t>
            </w:r>
            <w:r w:rsidR="0063070F" w:rsidRPr="00E3756C">
              <w:t>and</w:t>
            </w:r>
            <w:r w:rsidRPr="00E3756C">
              <w:t xml:space="preserve"> pluvial)</w:t>
            </w:r>
          </w:p>
          <w:p w14:paraId="12314A21" w14:textId="77777777" w:rsidR="00287A84" w:rsidRPr="00E3756C" w:rsidRDefault="00287A84" w:rsidP="00853367">
            <w:pPr>
              <w:pStyle w:val="TableBullet"/>
            </w:pPr>
            <w:r w:rsidRPr="00E3756C">
              <w:t>Increase in hail severity or frequency</w:t>
            </w:r>
          </w:p>
          <w:p w14:paraId="07F57F27" w14:textId="77777777" w:rsidR="00287A84" w:rsidRPr="00E3756C" w:rsidRDefault="00287A84" w:rsidP="00853367">
            <w:pPr>
              <w:pStyle w:val="TableBullet"/>
            </w:pPr>
            <w:r w:rsidRPr="00E3756C">
              <w:t>Rain-induced landslides</w:t>
            </w:r>
          </w:p>
          <w:p w14:paraId="701BA041" w14:textId="77777777" w:rsidR="00287A84" w:rsidRPr="00E3756C" w:rsidRDefault="00287A84" w:rsidP="003F2743">
            <w:pPr>
              <w:pStyle w:val="TableBullet"/>
            </w:pPr>
            <w:r w:rsidRPr="00E3756C">
              <w:t>Changes in sedimentation from catchment runoff</w:t>
            </w:r>
            <w:r w:rsidR="00484C8A" w:rsidRPr="00E3756C">
              <w:t xml:space="preserve"> </w:t>
            </w:r>
          </w:p>
        </w:tc>
      </w:tr>
      <w:tr w:rsidR="00287A84" w:rsidRPr="00E3756C" w14:paraId="418651F7" w14:textId="77777777" w:rsidTr="00B50E4C">
        <w:tc>
          <w:tcPr>
            <w:tcW w:w="3069" w:type="dxa"/>
            <w:tcMar>
              <w:top w:w="0" w:type="dxa"/>
              <w:left w:w="100" w:type="dxa"/>
              <w:bottom w:w="0" w:type="dxa"/>
              <w:right w:w="100" w:type="dxa"/>
            </w:tcMar>
          </w:tcPr>
          <w:p w14:paraId="1CCC1292" w14:textId="77777777" w:rsidR="00287A84" w:rsidRPr="00E3756C" w:rsidRDefault="00287A84" w:rsidP="00853367">
            <w:pPr>
              <w:pStyle w:val="TableTextbold"/>
            </w:pPr>
            <w:r w:rsidRPr="00E3756C">
              <w:t>Dryness and drought</w:t>
            </w:r>
          </w:p>
        </w:tc>
        <w:tc>
          <w:tcPr>
            <w:tcW w:w="5960" w:type="dxa"/>
            <w:tcMar>
              <w:top w:w="0" w:type="dxa"/>
              <w:left w:w="100" w:type="dxa"/>
              <w:bottom w:w="0" w:type="dxa"/>
              <w:right w:w="100" w:type="dxa"/>
            </w:tcMar>
          </w:tcPr>
          <w:p w14:paraId="5BF125B5" w14:textId="77777777" w:rsidR="00287A84" w:rsidRPr="00E3756C" w:rsidRDefault="00287A84" w:rsidP="00C104EB">
            <w:pPr>
              <w:pStyle w:val="TableBullet"/>
              <w:spacing w:before="60"/>
            </w:pPr>
            <w:r w:rsidRPr="00E3756C">
              <w:t>Increase in dry spells</w:t>
            </w:r>
          </w:p>
          <w:p w14:paraId="4D407336" w14:textId="77777777" w:rsidR="00287A84" w:rsidRPr="00E3756C" w:rsidRDefault="00287A84" w:rsidP="00853367">
            <w:pPr>
              <w:pStyle w:val="TableBullet"/>
            </w:pPr>
            <w:r w:rsidRPr="00E3756C">
              <w:t xml:space="preserve">Higher drought frequency </w:t>
            </w:r>
            <w:r w:rsidR="001B6D3D" w:rsidRPr="00E3756C">
              <w:t>and</w:t>
            </w:r>
            <w:r w:rsidRPr="00E3756C">
              <w:t xml:space="preserve"> persistence</w:t>
            </w:r>
          </w:p>
          <w:p w14:paraId="3C90AC05" w14:textId="77777777" w:rsidR="00287A84" w:rsidRPr="00E3756C" w:rsidRDefault="00287A84" w:rsidP="00853367">
            <w:pPr>
              <w:pStyle w:val="TableBullet"/>
            </w:pPr>
            <w:r w:rsidRPr="00E3756C">
              <w:t>Fire weather (harsher, prolonged season)</w:t>
            </w:r>
          </w:p>
          <w:p w14:paraId="152407A6" w14:textId="77777777" w:rsidR="00287A84" w:rsidRPr="00E3756C" w:rsidRDefault="00287A84" w:rsidP="00853367">
            <w:pPr>
              <w:pStyle w:val="TableBullet"/>
            </w:pPr>
            <w:r w:rsidRPr="00E3756C">
              <w:t>Changes in seasonality</w:t>
            </w:r>
          </w:p>
          <w:p w14:paraId="224617E4" w14:textId="77777777" w:rsidR="00287A84" w:rsidRPr="00E3756C" w:rsidRDefault="00287A84" w:rsidP="00853367">
            <w:pPr>
              <w:pStyle w:val="TableBullet"/>
            </w:pPr>
            <w:r w:rsidRPr="00E3756C">
              <w:t>Interannual variability (eg</w:t>
            </w:r>
            <w:r w:rsidR="001B6D3D" w:rsidRPr="00E3756C">
              <w:t>,</w:t>
            </w:r>
            <w:r w:rsidRPr="00E3756C">
              <w:t xml:space="preserve"> ENSO)</w:t>
            </w:r>
          </w:p>
          <w:p w14:paraId="760F3C39" w14:textId="77777777" w:rsidR="00287A84" w:rsidRPr="00E3756C" w:rsidRDefault="00287A84" w:rsidP="001B6D3D">
            <w:pPr>
              <w:pStyle w:val="TableBullet"/>
            </w:pPr>
            <w:r w:rsidRPr="00E3756C">
              <w:t xml:space="preserve">Low river flows </w:t>
            </w:r>
            <w:r w:rsidR="001B6D3D" w:rsidRPr="00E3756C">
              <w:t>and</w:t>
            </w:r>
            <w:r w:rsidRPr="00E3756C">
              <w:t xml:space="preserve"> lake levels</w:t>
            </w:r>
          </w:p>
        </w:tc>
      </w:tr>
      <w:tr w:rsidR="00287A84" w:rsidRPr="00E3756C" w14:paraId="749A4A98" w14:textId="77777777" w:rsidTr="00B50E4C">
        <w:tc>
          <w:tcPr>
            <w:tcW w:w="3069" w:type="dxa"/>
            <w:tcMar>
              <w:top w:w="0" w:type="dxa"/>
              <w:left w:w="100" w:type="dxa"/>
              <w:bottom w:w="0" w:type="dxa"/>
              <w:right w:w="100" w:type="dxa"/>
            </w:tcMar>
          </w:tcPr>
          <w:p w14:paraId="590342ED" w14:textId="77777777" w:rsidR="00287A84" w:rsidRPr="00E3756C" w:rsidRDefault="00287A84" w:rsidP="00853367">
            <w:pPr>
              <w:pStyle w:val="TableTextbold"/>
            </w:pPr>
            <w:r w:rsidRPr="00E3756C">
              <w:t>Storminess and wind</w:t>
            </w:r>
          </w:p>
        </w:tc>
        <w:tc>
          <w:tcPr>
            <w:tcW w:w="5960" w:type="dxa"/>
            <w:tcMar>
              <w:top w:w="0" w:type="dxa"/>
              <w:left w:w="100" w:type="dxa"/>
              <w:bottom w:w="0" w:type="dxa"/>
              <w:right w:w="100" w:type="dxa"/>
            </w:tcMar>
          </w:tcPr>
          <w:p w14:paraId="6D2B61E6" w14:textId="77777777" w:rsidR="00287A84" w:rsidRPr="00E3756C" w:rsidRDefault="00287A84" w:rsidP="00C104EB">
            <w:pPr>
              <w:pStyle w:val="TableBullet"/>
              <w:spacing w:before="60"/>
            </w:pPr>
            <w:r w:rsidRPr="00E3756C">
              <w:t>Changes in mean wind speed</w:t>
            </w:r>
            <w:r w:rsidR="001B6D3D" w:rsidRPr="00E3756C">
              <w:t xml:space="preserve"> and </w:t>
            </w:r>
            <w:r w:rsidRPr="00E3756C">
              <w:t>direction</w:t>
            </w:r>
          </w:p>
          <w:p w14:paraId="3457B2A9" w14:textId="77777777" w:rsidR="00287A84" w:rsidRPr="00E3756C" w:rsidRDefault="00287A84" w:rsidP="00853367">
            <w:pPr>
              <w:pStyle w:val="TableBullet"/>
            </w:pPr>
            <w:r w:rsidRPr="00E3756C">
              <w:t>Changes in wind seasonality</w:t>
            </w:r>
          </w:p>
          <w:p w14:paraId="236DCBD9" w14:textId="77777777" w:rsidR="00287A84" w:rsidRPr="00E3756C" w:rsidRDefault="00287A84" w:rsidP="00853367">
            <w:pPr>
              <w:pStyle w:val="TableBullet"/>
            </w:pPr>
            <w:r w:rsidRPr="00E3756C">
              <w:t>Interannual variability (eg</w:t>
            </w:r>
            <w:r w:rsidR="001B6D3D" w:rsidRPr="00E3756C">
              <w:t>,</w:t>
            </w:r>
            <w:r w:rsidRPr="00E3756C">
              <w:t xml:space="preserve"> ENSO)</w:t>
            </w:r>
          </w:p>
          <w:p w14:paraId="4631FE20" w14:textId="77777777" w:rsidR="00287A84" w:rsidRPr="00E3756C" w:rsidRDefault="00287A84" w:rsidP="00853367">
            <w:pPr>
              <w:pStyle w:val="TableBullet"/>
            </w:pPr>
            <w:r w:rsidRPr="00E3756C">
              <w:t>Changes in extreme wind speed</w:t>
            </w:r>
          </w:p>
          <w:p w14:paraId="06EEF79B" w14:textId="77777777" w:rsidR="00287A84" w:rsidRPr="00E3756C" w:rsidRDefault="00287A84" w:rsidP="00853367">
            <w:pPr>
              <w:pStyle w:val="TableBullet"/>
            </w:pPr>
            <w:r w:rsidRPr="00E3756C">
              <w:lastRenderedPageBreak/>
              <w:t>Increase in convective weather events (tornadoes, lightning)</w:t>
            </w:r>
          </w:p>
          <w:p w14:paraId="189DB0F4" w14:textId="77777777" w:rsidR="00287A84" w:rsidRPr="00E3756C" w:rsidRDefault="00287A84" w:rsidP="001B6D3D">
            <w:pPr>
              <w:pStyle w:val="TableBullet"/>
            </w:pPr>
            <w:r w:rsidRPr="00E3756C">
              <w:t>Increase in storminess (frequency, intensity) including</w:t>
            </w:r>
            <w:r w:rsidR="001B6D3D" w:rsidRPr="00E3756C">
              <w:t xml:space="preserve"> tropical cyclones</w:t>
            </w:r>
          </w:p>
        </w:tc>
      </w:tr>
      <w:tr w:rsidR="00287A84" w:rsidRPr="00E3756C" w14:paraId="7AF03007" w14:textId="77777777" w:rsidTr="00B50E4C">
        <w:tc>
          <w:tcPr>
            <w:tcW w:w="3069" w:type="dxa"/>
            <w:tcMar>
              <w:top w:w="0" w:type="dxa"/>
              <w:left w:w="100" w:type="dxa"/>
              <w:bottom w:w="0" w:type="dxa"/>
              <w:right w:w="100" w:type="dxa"/>
            </w:tcMar>
          </w:tcPr>
          <w:p w14:paraId="5E2C8DC5" w14:textId="77777777" w:rsidR="00287A84" w:rsidRPr="00E3756C" w:rsidRDefault="00287A84" w:rsidP="00853367">
            <w:pPr>
              <w:pStyle w:val="TableTextbold"/>
            </w:pPr>
            <w:r w:rsidRPr="00E3756C">
              <w:lastRenderedPageBreak/>
              <w:t>Snow and ice</w:t>
            </w:r>
          </w:p>
        </w:tc>
        <w:tc>
          <w:tcPr>
            <w:tcW w:w="5960" w:type="dxa"/>
            <w:tcMar>
              <w:top w:w="0" w:type="dxa"/>
              <w:left w:w="100" w:type="dxa"/>
              <w:bottom w:w="0" w:type="dxa"/>
              <w:right w:w="100" w:type="dxa"/>
            </w:tcMar>
          </w:tcPr>
          <w:p w14:paraId="6E47B5C6" w14:textId="77777777" w:rsidR="00287A84" w:rsidRPr="00E3756C" w:rsidRDefault="00287A84" w:rsidP="00C104EB">
            <w:pPr>
              <w:pStyle w:val="TableBullet"/>
              <w:spacing w:before="60"/>
            </w:pPr>
            <w:r w:rsidRPr="00E3756C">
              <w:t>Receding snowline</w:t>
            </w:r>
          </w:p>
          <w:p w14:paraId="50156CC2" w14:textId="77777777" w:rsidR="00287A84" w:rsidRPr="00E3756C" w:rsidRDefault="00287A84" w:rsidP="00853367">
            <w:pPr>
              <w:pStyle w:val="TableBullet"/>
            </w:pPr>
            <w:r w:rsidRPr="00E3756C">
              <w:t>Reduced snow and glacier cover</w:t>
            </w:r>
          </w:p>
          <w:p w14:paraId="60FA23D1" w14:textId="77777777" w:rsidR="00287A84" w:rsidRPr="00E3756C" w:rsidRDefault="00287A84" w:rsidP="00853367">
            <w:pPr>
              <w:pStyle w:val="TableBullet"/>
            </w:pPr>
            <w:r w:rsidRPr="00E3756C">
              <w:t>Earlier snow melt</w:t>
            </w:r>
          </w:p>
          <w:p w14:paraId="773D04DB" w14:textId="77777777" w:rsidR="00287A84" w:rsidRPr="00E3756C" w:rsidRDefault="00287A84" w:rsidP="00853367">
            <w:pPr>
              <w:pStyle w:val="TableBullet"/>
            </w:pPr>
            <w:r w:rsidRPr="00E3756C">
              <w:t>Increase in avalanches</w:t>
            </w:r>
          </w:p>
        </w:tc>
      </w:tr>
      <w:tr w:rsidR="00287A84" w:rsidRPr="00E3756C" w14:paraId="2786CA0F" w14:textId="77777777" w:rsidTr="00B50E4C">
        <w:tc>
          <w:tcPr>
            <w:tcW w:w="3069" w:type="dxa"/>
            <w:tcMar>
              <w:top w:w="0" w:type="dxa"/>
              <w:left w:w="100" w:type="dxa"/>
              <w:bottom w:w="0" w:type="dxa"/>
              <w:right w:w="100" w:type="dxa"/>
            </w:tcMar>
          </w:tcPr>
          <w:p w14:paraId="6B6F8117" w14:textId="77777777" w:rsidR="00287A84" w:rsidRPr="00E3756C" w:rsidRDefault="00287A84" w:rsidP="00AB1F8B">
            <w:pPr>
              <w:pStyle w:val="TableTextbold"/>
            </w:pPr>
            <w:r w:rsidRPr="00E3756C">
              <w:t xml:space="preserve">Coastal change: sea-level rise, waves, ocean circulation and </w:t>
            </w:r>
            <w:r w:rsidR="00AB1F8B" w:rsidRPr="00E3756C">
              <w:t xml:space="preserve">carbon dioxide </w:t>
            </w:r>
            <w:r w:rsidRPr="00E3756C">
              <w:t>uptake</w:t>
            </w:r>
          </w:p>
        </w:tc>
        <w:tc>
          <w:tcPr>
            <w:tcW w:w="5960" w:type="dxa"/>
            <w:tcMar>
              <w:top w:w="0" w:type="dxa"/>
              <w:left w:w="100" w:type="dxa"/>
              <w:bottom w:w="0" w:type="dxa"/>
              <w:right w:w="100" w:type="dxa"/>
            </w:tcMar>
          </w:tcPr>
          <w:p w14:paraId="2FB835A2" w14:textId="77777777" w:rsidR="00287A84" w:rsidRPr="00E3756C" w:rsidRDefault="00287A84" w:rsidP="00C104EB">
            <w:pPr>
              <w:pStyle w:val="TableBullet"/>
              <w:spacing w:before="60"/>
            </w:pPr>
            <w:r w:rsidRPr="00E3756C">
              <w:t>Relative sea-level rise (incl</w:t>
            </w:r>
            <w:r w:rsidR="001B6D3D" w:rsidRPr="00E3756C">
              <w:t>uding</w:t>
            </w:r>
            <w:r w:rsidRPr="00E3756C">
              <w:t xml:space="preserve"> land movement)</w:t>
            </w:r>
          </w:p>
          <w:p w14:paraId="48EE5F71" w14:textId="77777777" w:rsidR="00287A84" w:rsidRPr="00E3756C" w:rsidRDefault="00287A84" w:rsidP="00853367">
            <w:pPr>
              <w:pStyle w:val="TableBullet"/>
            </w:pPr>
            <w:r w:rsidRPr="00E3756C">
              <w:t>Change in tidal range or increased water depth</w:t>
            </w:r>
          </w:p>
          <w:p w14:paraId="7BD058D9" w14:textId="77777777" w:rsidR="00287A84" w:rsidRPr="00E3756C" w:rsidRDefault="00287A84" w:rsidP="00853367">
            <w:pPr>
              <w:pStyle w:val="TableBullet"/>
            </w:pPr>
            <w:r w:rsidRPr="00E3756C">
              <w:t>Permanent increase in spring high-tide inundation</w:t>
            </w:r>
          </w:p>
          <w:p w14:paraId="02ED8521" w14:textId="77777777" w:rsidR="00287A84" w:rsidRPr="00E3756C" w:rsidRDefault="00287A84" w:rsidP="00853367">
            <w:pPr>
              <w:pStyle w:val="TableBullet"/>
            </w:pPr>
            <w:r w:rsidRPr="00E3756C">
              <w:t>Permanent and episodic saline intrusion</w:t>
            </w:r>
          </w:p>
          <w:p w14:paraId="6D19060C" w14:textId="77777777" w:rsidR="00287A84" w:rsidRPr="00E3756C" w:rsidRDefault="00287A84" w:rsidP="00853367">
            <w:pPr>
              <w:pStyle w:val="TableBullet"/>
            </w:pPr>
            <w:r w:rsidRPr="00E3756C">
              <w:t>Rising groundwater from sea-level rise</w:t>
            </w:r>
          </w:p>
          <w:p w14:paraId="7409EA01" w14:textId="77777777" w:rsidR="00287A84" w:rsidRPr="00E3756C" w:rsidRDefault="00287A84" w:rsidP="00853367">
            <w:pPr>
              <w:pStyle w:val="TableBullet"/>
            </w:pPr>
            <w:r w:rsidRPr="00E3756C">
              <w:t>Changes in waves</w:t>
            </w:r>
            <w:r w:rsidR="00AB1F8B" w:rsidRPr="00E3756C">
              <w:t xml:space="preserve"> and </w:t>
            </w:r>
            <w:r w:rsidRPr="00E3756C">
              <w:t>swell</w:t>
            </w:r>
          </w:p>
          <w:p w14:paraId="3B630BA5" w14:textId="77777777" w:rsidR="00287A84" w:rsidRPr="00E3756C" w:rsidRDefault="00287A84" w:rsidP="00853367">
            <w:pPr>
              <w:pStyle w:val="TableBullet"/>
            </w:pPr>
            <w:r w:rsidRPr="00E3756C">
              <w:t>More frequent coastal flooding (storm-tide, waves)</w:t>
            </w:r>
          </w:p>
          <w:p w14:paraId="61C28657" w14:textId="77777777" w:rsidR="00287A84" w:rsidRPr="00E3756C" w:rsidRDefault="00287A84" w:rsidP="00853367">
            <w:pPr>
              <w:pStyle w:val="TableBullet"/>
            </w:pPr>
            <w:r w:rsidRPr="00E3756C">
              <w:t>Coastal and cliff erosion</w:t>
            </w:r>
          </w:p>
          <w:p w14:paraId="7EA8A9CB" w14:textId="77777777" w:rsidR="00287A84" w:rsidRPr="00E3756C" w:rsidRDefault="00287A84" w:rsidP="00853367">
            <w:pPr>
              <w:pStyle w:val="TableBullet"/>
            </w:pPr>
            <w:r w:rsidRPr="00E3756C">
              <w:t>Changes in sedimentation (estuaries</w:t>
            </w:r>
            <w:r w:rsidR="00AB1F8B" w:rsidRPr="00E3756C">
              <w:t xml:space="preserve"> and </w:t>
            </w:r>
            <w:r w:rsidRPr="00E3756C">
              <w:t>harbour</w:t>
            </w:r>
            <w:r w:rsidR="00AB1F8B" w:rsidRPr="00E3756C">
              <w:t>s</w:t>
            </w:r>
            <w:r w:rsidRPr="00E3756C">
              <w:t>)</w:t>
            </w:r>
          </w:p>
        </w:tc>
      </w:tr>
      <w:tr w:rsidR="00287A84" w:rsidRPr="00E3756C" w14:paraId="0D3579BB" w14:textId="77777777" w:rsidTr="00B50E4C">
        <w:tc>
          <w:tcPr>
            <w:tcW w:w="3069" w:type="dxa"/>
            <w:tcMar>
              <w:top w:w="0" w:type="dxa"/>
              <w:left w:w="100" w:type="dxa"/>
              <w:bottom w:w="0" w:type="dxa"/>
              <w:right w:w="100" w:type="dxa"/>
            </w:tcMar>
          </w:tcPr>
          <w:p w14:paraId="790257EB" w14:textId="77777777" w:rsidR="00287A84" w:rsidRPr="00E3756C" w:rsidRDefault="00287A84" w:rsidP="00697C47">
            <w:pPr>
              <w:pStyle w:val="TableTextbold"/>
            </w:pPr>
            <w:r w:rsidRPr="00E3756C">
              <w:t>Ocean changes</w:t>
            </w:r>
          </w:p>
        </w:tc>
        <w:tc>
          <w:tcPr>
            <w:tcW w:w="5960" w:type="dxa"/>
            <w:tcMar>
              <w:top w:w="0" w:type="dxa"/>
              <w:left w:w="100" w:type="dxa"/>
              <w:bottom w:w="0" w:type="dxa"/>
              <w:right w:w="100" w:type="dxa"/>
            </w:tcMar>
          </w:tcPr>
          <w:p w14:paraId="69F3D498" w14:textId="77777777" w:rsidR="00287A84" w:rsidRPr="00E3756C" w:rsidRDefault="00287A84" w:rsidP="00C104EB">
            <w:pPr>
              <w:pStyle w:val="TableBullet"/>
              <w:spacing w:before="60"/>
            </w:pPr>
            <w:r w:rsidRPr="00E3756C">
              <w:t xml:space="preserve">Changes in ocean nutrient cycling – upwelling </w:t>
            </w:r>
            <w:r w:rsidR="00AB1F8B" w:rsidRPr="00E3756C">
              <w:t>and</w:t>
            </w:r>
            <w:r w:rsidRPr="00E3756C">
              <w:t xml:space="preserve"> carbon</w:t>
            </w:r>
          </w:p>
          <w:p w14:paraId="4A2FBFBB" w14:textId="77777777" w:rsidR="00287A84" w:rsidRPr="00E3756C" w:rsidRDefault="00287A84" w:rsidP="00853367">
            <w:pPr>
              <w:pStyle w:val="TableBullet"/>
            </w:pPr>
            <w:r w:rsidRPr="00E3756C">
              <w:t>Ocean acidification (pH decreasing)</w:t>
            </w:r>
          </w:p>
          <w:p w14:paraId="24DB5415" w14:textId="77777777" w:rsidR="00287A84" w:rsidRPr="00E3756C" w:rsidRDefault="00287A84" w:rsidP="003F2743">
            <w:pPr>
              <w:pStyle w:val="TableBullet"/>
            </w:pPr>
            <w:r w:rsidRPr="00E3756C">
              <w:t>Ocean circulation changes</w:t>
            </w:r>
          </w:p>
        </w:tc>
      </w:tr>
      <w:tr w:rsidR="00287A84" w:rsidRPr="00E3756C" w14:paraId="5DACCAE2" w14:textId="77777777" w:rsidTr="00B50E4C">
        <w:tc>
          <w:tcPr>
            <w:tcW w:w="3069" w:type="dxa"/>
            <w:tcMar>
              <w:top w:w="0" w:type="dxa"/>
              <w:left w:w="100" w:type="dxa"/>
              <w:bottom w:w="0" w:type="dxa"/>
              <w:right w:w="100" w:type="dxa"/>
            </w:tcMar>
          </w:tcPr>
          <w:p w14:paraId="578BB514" w14:textId="77777777" w:rsidR="00287A84" w:rsidRPr="00E3756C" w:rsidRDefault="00287A84" w:rsidP="00853367">
            <w:pPr>
              <w:pStyle w:val="TableTextbold"/>
            </w:pPr>
            <w:r w:rsidRPr="00E3756C">
              <w:t>Others</w:t>
            </w:r>
          </w:p>
        </w:tc>
        <w:tc>
          <w:tcPr>
            <w:tcW w:w="5960" w:type="dxa"/>
            <w:tcMar>
              <w:top w:w="0" w:type="dxa"/>
              <w:left w:w="100" w:type="dxa"/>
              <w:bottom w:w="0" w:type="dxa"/>
              <w:right w:w="100" w:type="dxa"/>
            </w:tcMar>
          </w:tcPr>
          <w:p w14:paraId="25AE984F" w14:textId="77777777" w:rsidR="00287A84" w:rsidRPr="00E3756C" w:rsidRDefault="00287A84" w:rsidP="00C104EB">
            <w:pPr>
              <w:pStyle w:val="TableBullet"/>
              <w:spacing w:before="60"/>
            </w:pPr>
            <w:r w:rsidRPr="00E3756C">
              <w:t>Air quality changes</w:t>
            </w:r>
          </w:p>
          <w:p w14:paraId="3615D296" w14:textId="77777777" w:rsidR="00287A84" w:rsidRPr="00E3756C" w:rsidRDefault="00AB1F8B" w:rsidP="00853367">
            <w:pPr>
              <w:pStyle w:val="TableBullet"/>
            </w:pPr>
            <w:r w:rsidRPr="00E3756C">
              <w:t xml:space="preserve">Carbon dioxide </w:t>
            </w:r>
            <w:r w:rsidR="00287A84" w:rsidRPr="00E3756C">
              <w:t>increase (plants) – but consider other countering effects</w:t>
            </w:r>
          </w:p>
          <w:p w14:paraId="7E3C8DB2" w14:textId="77777777" w:rsidR="00287A84" w:rsidRPr="00E3756C" w:rsidRDefault="00287A84" w:rsidP="00853367">
            <w:pPr>
              <w:pStyle w:val="TableBullet"/>
            </w:pPr>
            <w:r w:rsidRPr="00E3756C">
              <w:t>Humidity changes from changes in cloudiness</w:t>
            </w:r>
          </w:p>
          <w:p w14:paraId="7414D142" w14:textId="77777777" w:rsidR="00287A84" w:rsidRPr="00E3756C" w:rsidRDefault="00287A84" w:rsidP="00AB1F8B">
            <w:pPr>
              <w:pStyle w:val="TableBullet"/>
            </w:pPr>
            <w:r w:rsidRPr="00E3756C">
              <w:t>International climate-related influences</w:t>
            </w:r>
            <w:r w:rsidR="00AB1F8B" w:rsidRPr="00E3756C">
              <w:t>,</w:t>
            </w:r>
            <w:r w:rsidRPr="00E3756C">
              <w:t xml:space="preserve"> eg</w:t>
            </w:r>
            <w:r w:rsidR="00AB1F8B" w:rsidRPr="00E3756C">
              <w:t>,</w:t>
            </w:r>
            <w:r w:rsidRPr="00E3756C">
              <w:t xml:space="preserve"> immigration, markets</w:t>
            </w:r>
          </w:p>
        </w:tc>
      </w:tr>
    </w:tbl>
    <w:p w14:paraId="48F02E52" w14:textId="22F4F189" w:rsidR="009B356F" w:rsidRPr="00E3756C" w:rsidRDefault="006D459D" w:rsidP="006D459D">
      <w:pPr>
        <w:pStyle w:val="Note"/>
        <w:spacing w:before="240"/>
      </w:pPr>
      <w:r w:rsidRPr="00E3756C">
        <w:t xml:space="preserve">Note: This list should be checked </w:t>
      </w:r>
      <w:r w:rsidR="00AB1F8B" w:rsidRPr="00E3756C">
        <w:t xml:space="preserve">for </w:t>
      </w:r>
      <w:r w:rsidRPr="00E3756C">
        <w:t xml:space="preserve">any other aspects to consider </w:t>
      </w:r>
      <w:r w:rsidR="00AB1F8B" w:rsidRPr="00E3756C">
        <w:t>when</w:t>
      </w:r>
      <w:r w:rsidRPr="00E3756C">
        <w:t xml:space="preserve"> determining the hazards in </w:t>
      </w:r>
      <w:r w:rsidR="00AB1F8B" w:rsidRPr="00E3756C">
        <w:t>c</w:t>
      </w:r>
      <w:r w:rsidRPr="00E3756C">
        <w:t>hapter</w:t>
      </w:r>
      <w:r w:rsidR="00AB1F8B" w:rsidRPr="00E3756C">
        <w:t> </w:t>
      </w:r>
      <w:r w:rsidRPr="00E3756C">
        <w:t>B1. ENSO</w:t>
      </w:r>
      <w:r w:rsidR="00AB1F8B" w:rsidRPr="00E3756C">
        <w:t xml:space="preserve"> </w:t>
      </w:r>
      <w:r w:rsidRPr="00E3756C">
        <w:t>= 2</w:t>
      </w:r>
      <w:r w:rsidR="00AB1F8B" w:rsidRPr="00E3756C">
        <w:t>–</w:t>
      </w:r>
      <w:r w:rsidRPr="00E3756C">
        <w:t xml:space="preserve">4 year El Niño–Southern Oscillation, </w:t>
      </w:r>
      <w:r w:rsidR="00AB1F8B" w:rsidRPr="00E3756C">
        <w:t>but could include the longer 20–</w:t>
      </w:r>
      <w:r w:rsidRPr="00E3756C">
        <w:t>30 year Interdecadal Pacific Oscillation</w:t>
      </w:r>
      <w:r w:rsidR="00AB1F8B" w:rsidRPr="00E3756C">
        <w:t>.</w:t>
      </w:r>
      <w:r w:rsidR="000E2143" w:rsidRPr="00E3756C">
        <w:t xml:space="preserve"> </w:t>
      </w:r>
    </w:p>
    <w:p w14:paraId="412DE10C" w14:textId="77777777" w:rsidR="009B356F" w:rsidRPr="00E3756C" w:rsidRDefault="009B356F">
      <w:pPr>
        <w:spacing w:before="0" w:after="200" w:line="276" w:lineRule="auto"/>
        <w:jc w:val="left"/>
      </w:pPr>
      <w:r w:rsidRPr="00E3756C">
        <w:br w:type="page"/>
      </w:r>
    </w:p>
    <w:p w14:paraId="181F5A5C" w14:textId="77777777" w:rsidR="009B356F" w:rsidRPr="00E3756C" w:rsidRDefault="009B356F" w:rsidP="009B356F">
      <w:pPr>
        <w:pStyle w:val="Heading1"/>
      </w:pPr>
      <w:bookmarkStart w:id="231" w:name="_Chapter_C5:_Using"/>
      <w:bookmarkStart w:id="232" w:name="_Toc13570405"/>
      <w:bookmarkStart w:id="233" w:name="_Toc14361569"/>
      <w:bookmarkStart w:id="234" w:name="_Toc15409181"/>
      <w:bookmarkEnd w:id="231"/>
      <w:r w:rsidRPr="00E3756C">
        <w:lastRenderedPageBreak/>
        <w:t>Chapter C5: Using the framework at different scales</w:t>
      </w:r>
      <w:bookmarkEnd w:id="232"/>
      <w:bookmarkEnd w:id="233"/>
      <w:bookmarkEnd w:id="234"/>
    </w:p>
    <w:p w14:paraId="05DA3C77" w14:textId="77777777" w:rsidR="009B356F" w:rsidRPr="00E3756C" w:rsidRDefault="009B356F" w:rsidP="009B356F">
      <w:pPr>
        <w:pStyle w:val="BodyText"/>
      </w:pPr>
      <w:r w:rsidRPr="00E3756C">
        <w:rPr>
          <w:rFonts w:eastAsia="Roboto"/>
          <w:highlight w:val="white"/>
        </w:rPr>
        <w:t>The risk assessment methodology described in the framework is flexible to support regional and local or sectoral risk assessment.</w:t>
      </w:r>
      <w:r w:rsidRPr="00E3756C">
        <w:t xml:space="preserve"> Assessments undertaken at different scales would involve different information requirements, as outlined in </w:t>
      </w:r>
      <w:r w:rsidR="00043BA5" w:rsidRPr="00E3756C">
        <w:t>t</w:t>
      </w:r>
      <w:r w:rsidRPr="00E3756C">
        <w:t xml:space="preserve">able C5-1. </w:t>
      </w:r>
    </w:p>
    <w:p w14:paraId="204E47D2" w14:textId="77777777" w:rsidR="009B356F" w:rsidRPr="00E3756C" w:rsidRDefault="009B356F" w:rsidP="00043BA5">
      <w:pPr>
        <w:pStyle w:val="Tableheading"/>
      </w:pPr>
      <w:bookmarkStart w:id="235" w:name="_Toc16586508"/>
      <w:r w:rsidRPr="00E3756C">
        <w:t>Table C5-1</w:t>
      </w:r>
      <w:r w:rsidR="00043BA5" w:rsidRPr="00E3756C">
        <w:t>:</w:t>
      </w:r>
      <w:r w:rsidRPr="00E3756C">
        <w:t xml:space="preserve"> </w:t>
      </w:r>
      <w:r w:rsidRPr="00E3756C">
        <w:tab/>
        <w:t xml:space="preserve">Levels of climate change risk assessment </w:t>
      </w:r>
      <w:r w:rsidR="00043BA5" w:rsidRPr="00E3756C">
        <w:t xml:space="preserve">showing the </w:t>
      </w:r>
      <w:r w:rsidRPr="00E3756C">
        <w:t xml:space="preserve">information </w:t>
      </w:r>
      <w:r w:rsidR="00043BA5" w:rsidRPr="00E3756C">
        <w:t xml:space="preserve">needed </w:t>
      </w:r>
      <w:r w:rsidRPr="00E3756C">
        <w:t>at different scales</w:t>
      </w:r>
      <w:r w:rsidR="00043BA5" w:rsidRPr="00E3756C">
        <w:t>,</w:t>
      </w:r>
      <w:r w:rsidRPr="00E3756C">
        <w:t xml:space="preserve"> from national to district and local assessments</w:t>
      </w:r>
      <w:bookmarkEnd w:id="235"/>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00" w:firstRow="0" w:lastRow="0" w:firstColumn="0" w:lastColumn="0" w:noHBand="0" w:noVBand="1"/>
      </w:tblPr>
      <w:tblGrid>
        <w:gridCol w:w="2006"/>
        <w:gridCol w:w="3523"/>
        <w:gridCol w:w="2976"/>
      </w:tblGrid>
      <w:tr w:rsidR="009B356F" w:rsidRPr="00E3756C" w14:paraId="796E75DE" w14:textId="77777777" w:rsidTr="00B50E4C">
        <w:trPr>
          <w:tblHeader/>
        </w:trPr>
        <w:tc>
          <w:tcPr>
            <w:tcW w:w="2006" w:type="dxa"/>
            <w:shd w:val="clear" w:color="auto" w:fill="1C556C"/>
          </w:tcPr>
          <w:p w14:paraId="76260BAB" w14:textId="77777777" w:rsidR="009B356F" w:rsidRPr="00E3756C" w:rsidRDefault="009B356F" w:rsidP="009B356F">
            <w:pPr>
              <w:pStyle w:val="TableTextbold"/>
              <w:rPr>
                <w:color w:val="FFFFFF" w:themeColor="background1"/>
              </w:rPr>
            </w:pPr>
            <w:r w:rsidRPr="00E3756C">
              <w:rPr>
                <w:color w:val="FFFFFF" w:themeColor="background1"/>
              </w:rPr>
              <w:t>Three scales of climate change risk assessment</w:t>
            </w:r>
          </w:p>
        </w:tc>
        <w:tc>
          <w:tcPr>
            <w:tcW w:w="3523" w:type="dxa"/>
            <w:shd w:val="clear" w:color="auto" w:fill="1C556C"/>
            <w:vAlign w:val="bottom"/>
          </w:tcPr>
          <w:p w14:paraId="2C9A8ACB" w14:textId="77777777" w:rsidR="009B356F" w:rsidRPr="00E3756C" w:rsidRDefault="009B356F" w:rsidP="009B356F">
            <w:pPr>
              <w:pStyle w:val="TableTextbold"/>
              <w:rPr>
                <w:color w:val="FFFFFF" w:themeColor="background1"/>
              </w:rPr>
            </w:pPr>
            <w:r w:rsidRPr="00E3756C">
              <w:rPr>
                <w:color w:val="FFFFFF" w:themeColor="background1"/>
              </w:rPr>
              <w:t>Attributes</w:t>
            </w:r>
          </w:p>
        </w:tc>
        <w:tc>
          <w:tcPr>
            <w:tcW w:w="2976" w:type="dxa"/>
            <w:shd w:val="clear" w:color="auto" w:fill="1C556C"/>
            <w:vAlign w:val="bottom"/>
          </w:tcPr>
          <w:p w14:paraId="3FCB6856" w14:textId="77777777" w:rsidR="009B356F" w:rsidRPr="00E3756C" w:rsidRDefault="009B356F" w:rsidP="009B356F">
            <w:pPr>
              <w:pStyle w:val="TableTextbold"/>
              <w:rPr>
                <w:color w:val="FFFFFF" w:themeColor="background1"/>
              </w:rPr>
            </w:pPr>
            <w:r w:rsidRPr="00E3756C">
              <w:rPr>
                <w:color w:val="FFFFFF" w:themeColor="background1"/>
              </w:rPr>
              <w:t>Links with</w:t>
            </w:r>
          </w:p>
        </w:tc>
      </w:tr>
      <w:tr w:rsidR="009B356F" w:rsidRPr="00E3756C" w14:paraId="739A881B" w14:textId="77777777" w:rsidTr="00B50E4C">
        <w:tc>
          <w:tcPr>
            <w:tcW w:w="2006" w:type="dxa"/>
            <w:shd w:val="clear" w:color="auto" w:fill="FFFFFF" w:themeFill="background1"/>
          </w:tcPr>
          <w:p w14:paraId="1DACC28E" w14:textId="29E2DF2D" w:rsidR="009B356F" w:rsidRPr="00E3756C" w:rsidRDefault="009B356F" w:rsidP="00977C56">
            <w:pPr>
              <w:pStyle w:val="TableTextbold"/>
              <w:rPr>
                <w:rFonts w:ascii="Times New Roman" w:eastAsia="Times New Roman" w:hAnsi="Times New Roman" w:cs="Times New Roman"/>
              </w:rPr>
            </w:pPr>
            <w:r w:rsidRPr="00E3756C">
              <w:t>National</w:t>
            </w:r>
            <w:r w:rsidR="007F7ABF">
              <w:t xml:space="preserve"> </w:t>
            </w:r>
            <w:r w:rsidRPr="00E3756C">
              <w:t>and sub-</w:t>
            </w:r>
            <w:r w:rsidR="00627EE4">
              <w:t>national-scale</w:t>
            </w:r>
            <w:r w:rsidRPr="00E3756C">
              <w:t xml:space="preserve"> climate change risk assessment</w:t>
            </w:r>
          </w:p>
        </w:tc>
        <w:tc>
          <w:tcPr>
            <w:tcW w:w="3523" w:type="dxa"/>
            <w:shd w:val="clear" w:color="auto" w:fill="FFFFFF" w:themeFill="background1"/>
          </w:tcPr>
          <w:p w14:paraId="07B093A3" w14:textId="7F9882FB" w:rsidR="009B356F" w:rsidRPr="00E3756C" w:rsidRDefault="009B356F" w:rsidP="00496BD4">
            <w:pPr>
              <w:pStyle w:val="TableText"/>
            </w:pPr>
            <w:r w:rsidRPr="00E3756C">
              <w:t xml:space="preserve">Informs government agencies, </w:t>
            </w:r>
            <w:r w:rsidR="005C7BBB">
              <w:t>m</w:t>
            </w:r>
            <w:r w:rsidRPr="00E3756C">
              <w:t>inisters, sector groups</w:t>
            </w:r>
            <w:r w:rsidR="00A54623" w:rsidRPr="00E3756C">
              <w:t>,</w:t>
            </w:r>
            <w:r w:rsidRPr="00E3756C">
              <w:t xml:space="preserve"> </w:t>
            </w:r>
            <w:r w:rsidR="00043BA5" w:rsidRPr="00E3756C">
              <w:t>p</w:t>
            </w:r>
            <w:r w:rsidRPr="00E3756C">
              <w:t>an-Māori</w:t>
            </w:r>
            <w:r w:rsidR="00A54623" w:rsidRPr="00E3756C">
              <w:t>,</w:t>
            </w:r>
            <w:r w:rsidRPr="00E3756C">
              <w:t xml:space="preserve"> iwi</w:t>
            </w:r>
            <w:r w:rsidR="00A54623" w:rsidRPr="00E3756C">
              <w:t xml:space="preserve"> and </w:t>
            </w:r>
            <w:r w:rsidRPr="00E3756C">
              <w:t>hapū organisations by providing a systematic examination of the additional risks from climate change on New Zealand</w:t>
            </w:r>
          </w:p>
        </w:tc>
        <w:tc>
          <w:tcPr>
            <w:tcW w:w="2976" w:type="dxa"/>
            <w:shd w:val="clear" w:color="auto" w:fill="FFFFFF" w:themeFill="background1"/>
            <w:vAlign w:val="center"/>
          </w:tcPr>
          <w:p w14:paraId="1C1C83B9" w14:textId="77777777" w:rsidR="009B356F" w:rsidRPr="00E3756C" w:rsidRDefault="009B356F" w:rsidP="00F46C76">
            <w:pPr>
              <w:pStyle w:val="TableBullet"/>
              <w:spacing w:before="60"/>
            </w:pPr>
            <w:r w:rsidRPr="00E3756C">
              <w:t>National Adaptation Plan</w:t>
            </w:r>
          </w:p>
          <w:p w14:paraId="0CF609D5" w14:textId="77777777" w:rsidR="009B356F" w:rsidRPr="00E3756C" w:rsidRDefault="009B356F" w:rsidP="009B356F">
            <w:pPr>
              <w:pStyle w:val="TableBullet"/>
            </w:pPr>
            <w:r w:rsidRPr="00E3756C">
              <w:t>Living Standards Framework</w:t>
            </w:r>
          </w:p>
          <w:p w14:paraId="55E3D7A4" w14:textId="77777777" w:rsidR="009B356F" w:rsidRPr="00E3756C" w:rsidRDefault="009B356F" w:rsidP="009B356F">
            <w:pPr>
              <w:pStyle w:val="TableBullet"/>
            </w:pPr>
            <w:r w:rsidRPr="00E3756C">
              <w:t>National Disaster Resilience Strategy</w:t>
            </w:r>
          </w:p>
          <w:p w14:paraId="20D48F50" w14:textId="77777777" w:rsidR="009B356F" w:rsidRPr="00E3756C" w:rsidRDefault="009B356F" w:rsidP="009B356F">
            <w:pPr>
              <w:pStyle w:val="TableBullet"/>
            </w:pPr>
            <w:r w:rsidRPr="00E3756C">
              <w:t xml:space="preserve">National </w:t>
            </w:r>
            <w:r w:rsidR="00A54623" w:rsidRPr="00E3756C">
              <w:t>p</w:t>
            </w:r>
            <w:r w:rsidRPr="00E3756C">
              <w:t xml:space="preserve">olicy </w:t>
            </w:r>
            <w:r w:rsidR="00A54623" w:rsidRPr="00E3756C">
              <w:t>s</w:t>
            </w:r>
            <w:r w:rsidRPr="00E3756C">
              <w:t>tatements</w:t>
            </w:r>
          </w:p>
          <w:p w14:paraId="158AB6A6" w14:textId="77777777" w:rsidR="009B356F" w:rsidRPr="00E3756C" w:rsidRDefault="009B356F" w:rsidP="009B356F">
            <w:pPr>
              <w:pStyle w:val="TableBullet"/>
            </w:pPr>
            <w:r w:rsidRPr="00E3756C">
              <w:t>MBIE research strategies</w:t>
            </w:r>
          </w:p>
          <w:p w14:paraId="058DB5D5" w14:textId="77777777" w:rsidR="009B356F" w:rsidRPr="00E3756C" w:rsidRDefault="009B356F" w:rsidP="009B356F">
            <w:pPr>
              <w:pStyle w:val="TableBullet"/>
            </w:pPr>
            <w:r w:rsidRPr="00E3756C">
              <w:t>Sector national plans</w:t>
            </w:r>
          </w:p>
          <w:p w14:paraId="28855059" w14:textId="77777777" w:rsidR="009B356F" w:rsidRPr="00E3756C" w:rsidRDefault="009B356F" w:rsidP="009B356F">
            <w:pPr>
              <w:pStyle w:val="TableBullet"/>
            </w:pPr>
            <w:r w:rsidRPr="00E3756C">
              <w:t>Conservation management plans</w:t>
            </w:r>
          </w:p>
          <w:p w14:paraId="1D682101" w14:textId="77777777" w:rsidR="009B356F" w:rsidRPr="00E3756C" w:rsidRDefault="009B356F" w:rsidP="009B356F">
            <w:pPr>
              <w:pStyle w:val="TableBullet"/>
            </w:pPr>
            <w:r w:rsidRPr="00E3756C">
              <w:t>National infrastructure plans</w:t>
            </w:r>
          </w:p>
          <w:p w14:paraId="3EC6DF75" w14:textId="77777777" w:rsidR="009B356F" w:rsidRPr="00E3756C" w:rsidRDefault="009B356F" w:rsidP="009B356F">
            <w:pPr>
              <w:pStyle w:val="TableBullet"/>
            </w:pPr>
            <w:r w:rsidRPr="00E3756C">
              <w:t xml:space="preserve">National </w:t>
            </w:r>
            <w:r w:rsidR="00A54623" w:rsidRPr="00E3756C">
              <w:t>s</w:t>
            </w:r>
            <w:r w:rsidRPr="00E3756C">
              <w:t>ecurity risk management</w:t>
            </w:r>
          </w:p>
          <w:p w14:paraId="6E7758E7" w14:textId="77777777" w:rsidR="009B356F" w:rsidRPr="00E3756C" w:rsidRDefault="009B356F" w:rsidP="009B356F">
            <w:pPr>
              <w:pStyle w:val="TableBullet"/>
            </w:pPr>
            <w:r w:rsidRPr="00E3756C">
              <w:t>Pan-Māori strategies</w:t>
            </w:r>
          </w:p>
        </w:tc>
      </w:tr>
      <w:tr w:rsidR="009B356F" w:rsidRPr="00E3756C" w14:paraId="06186EE6" w14:textId="77777777" w:rsidTr="00B50E4C">
        <w:tc>
          <w:tcPr>
            <w:tcW w:w="2006" w:type="dxa"/>
            <w:shd w:val="clear" w:color="auto" w:fill="FFFFFF" w:themeFill="background1"/>
          </w:tcPr>
          <w:p w14:paraId="0A646D1F" w14:textId="77777777" w:rsidR="009B356F" w:rsidRPr="00E3756C" w:rsidRDefault="009B356F" w:rsidP="00496BD4">
            <w:pPr>
              <w:pStyle w:val="TableText"/>
            </w:pPr>
          </w:p>
        </w:tc>
        <w:tc>
          <w:tcPr>
            <w:tcW w:w="3523" w:type="dxa"/>
            <w:shd w:val="clear" w:color="auto" w:fill="FFFFFF" w:themeFill="background1"/>
          </w:tcPr>
          <w:p w14:paraId="49BAF4BC" w14:textId="77777777" w:rsidR="009B356F" w:rsidRPr="00E3756C" w:rsidRDefault="009B356F" w:rsidP="00496BD4">
            <w:pPr>
              <w:pStyle w:val="TableText"/>
            </w:pPr>
            <w:r w:rsidRPr="00E3756C">
              <w:t>Uses N</w:t>
            </w:r>
            <w:r w:rsidR="00A54623" w:rsidRPr="00E3756C">
              <w:t xml:space="preserve">ew </w:t>
            </w:r>
            <w:r w:rsidRPr="00E3756C">
              <w:t>Z</w:t>
            </w:r>
            <w:r w:rsidR="00A54623" w:rsidRPr="00E3756C">
              <w:t>ealand</w:t>
            </w:r>
            <w:r w:rsidRPr="00E3756C">
              <w:t>-wide climate projections and exposure mapping</w:t>
            </w:r>
            <w:r w:rsidR="00A54623" w:rsidRPr="00E3756C">
              <w:t>,</w:t>
            </w:r>
            <w:r w:rsidRPr="00E3756C">
              <w:t xml:space="preserve"> and assesses risks to domains </w:t>
            </w:r>
            <w:r w:rsidR="00A54623" w:rsidRPr="00E3756C">
              <w:t>and</w:t>
            </w:r>
            <w:r w:rsidRPr="00E3756C">
              <w:t xml:space="preserve"> sectors </w:t>
            </w:r>
          </w:p>
        </w:tc>
        <w:tc>
          <w:tcPr>
            <w:tcW w:w="2976" w:type="dxa"/>
            <w:shd w:val="clear" w:color="auto" w:fill="FFFFFF" w:themeFill="background1"/>
            <w:vAlign w:val="center"/>
          </w:tcPr>
          <w:p w14:paraId="244BAC29" w14:textId="77777777" w:rsidR="009B356F" w:rsidRPr="00E3756C" w:rsidRDefault="009B356F" w:rsidP="00496BD4">
            <w:pPr>
              <w:pStyle w:val="TableText"/>
            </w:pPr>
          </w:p>
        </w:tc>
      </w:tr>
      <w:tr w:rsidR="009B356F" w:rsidRPr="00E3756C" w14:paraId="31F019C1" w14:textId="77777777" w:rsidTr="00B50E4C">
        <w:tc>
          <w:tcPr>
            <w:tcW w:w="2006" w:type="dxa"/>
            <w:shd w:val="clear" w:color="auto" w:fill="FFFFFF" w:themeFill="background1"/>
          </w:tcPr>
          <w:p w14:paraId="72632466" w14:textId="77777777" w:rsidR="009B356F" w:rsidRPr="00E3756C" w:rsidRDefault="009B356F" w:rsidP="00496BD4">
            <w:pPr>
              <w:pStyle w:val="TableText"/>
            </w:pPr>
          </w:p>
        </w:tc>
        <w:tc>
          <w:tcPr>
            <w:tcW w:w="3523" w:type="dxa"/>
            <w:shd w:val="clear" w:color="auto" w:fill="FFFFFF" w:themeFill="background1"/>
          </w:tcPr>
          <w:p w14:paraId="60785BC2" w14:textId="77777777" w:rsidR="009B356F" w:rsidRPr="00E3756C" w:rsidRDefault="009B356F" w:rsidP="00496BD4">
            <w:pPr>
              <w:pStyle w:val="TableText"/>
            </w:pPr>
            <w:r w:rsidRPr="00E3756C">
              <w:t xml:space="preserve">Aggregation of risks up to a national or sub-national level </w:t>
            </w:r>
          </w:p>
        </w:tc>
        <w:tc>
          <w:tcPr>
            <w:tcW w:w="2976" w:type="dxa"/>
            <w:shd w:val="clear" w:color="auto" w:fill="FFFFFF" w:themeFill="background1"/>
            <w:vAlign w:val="center"/>
          </w:tcPr>
          <w:p w14:paraId="04650150" w14:textId="77777777" w:rsidR="009B356F" w:rsidRPr="00E3756C" w:rsidRDefault="009B356F" w:rsidP="00496BD4">
            <w:pPr>
              <w:pStyle w:val="TableText"/>
            </w:pPr>
          </w:p>
        </w:tc>
      </w:tr>
      <w:tr w:rsidR="009B356F" w:rsidRPr="00E3756C" w14:paraId="196B0383" w14:textId="77777777" w:rsidTr="00B50E4C">
        <w:tc>
          <w:tcPr>
            <w:tcW w:w="2006" w:type="dxa"/>
            <w:shd w:val="clear" w:color="auto" w:fill="FFFFFF" w:themeFill="background1"/>
          </w:tcPr>
          <w:p w14:paraId="6318C3B9" w14:textId="77777777" w:rsidR="009B356F" w:rsidRPr="00E3756C" w:rsidRDefault="009B356F" w:rsidP="00496BD4">
            <w:pPr>
              <w:pStyle w:val="TableText"/>
            </w:pPr>
          </w:p>
        </w:tc>
        <w:tc>
          <w:tcPr>
            <w:tcW w:w="3523" w:type="dxa"/>
            <w:shd w:val="clear" w:color="auto" w:fill="FFFFFF" w:themeFill="background1"/>
          </w:tcPr>
          <w:p w14:paraId="48197C67" w14:textId="77777777" w:rsidR="009B356F" w:rsidRPr="00E3756C" w:rsidRDefault="009B356F" w:rsidP="00496BD4">
            <w:pPr>
              <w:pStyle w:val="TableText"/>
            </w:pPr>
            <w:r w:rsidRPr="00E3756C">
              <w:rPr>
                <w:b/>
              </w:rPr>
              <w:t>Detail:</w:t>
            </w:r>
            <w:r w:rsidR="00484C8A" w:rsidRPr="00E3756C">
              <w:t xml:space="preserve"> </w:t>
            </w:r>
            <w:r w:rsidRPr="00E3756C">
              <w:t>focus on highest national-level risks (short and long</w:t>
            </w:r>
            <w:r w:rsidR="00A54623" w:rsidRPr="00E3756C">
              <w:t xml:space="preserve"> </w:t>
            </w:r>
            <w:r w:rsidRPr="00E3756C">
              <w:t xml:space="preserve">term) to inform the National Adaptation Plan (mandatory under proposed Zero </w:t>
            </w:r>
            <w:r w:rsidR="0021137B" w:rsidRPr="00E3756C">
              <w:t xml:space="preserve">Carbon </w:t>
            </w:r>
            <w:r w:rsidRPr="00E3756C">
              <w:t>Bill)</w:t>
            </w:r>
          </w:p>
        </w:tc>
        <w:tc>
          <w:tcPr>
            <w:tcW w:w="2976" w:type="dxa"/>
            <w:shd w:val="clear" w:color="auto" w:fill="FFFFFF" w:themeFill="background1"/>
            <w:vAlign w:val="center"/>
          </w:tcPr>
          <w:p w14:paraId="14C66059" w14:textId="77777777" w:rsidR="009B356F" w:rsidRPr="00E3756C" w:rsidRDefault="009B356F" w:rsidP="00496BD4">
            <w:pPr>
              <w:pStyle w:val="TableText"/>
            </w:pPr>
          </w:p>
        </w:tc>
      </w:tr>
      <w:tr w:rsidR="009B356F" w:rsidRPr="00E3756C" w14:paraId="1235AF01" w14:textId="77777777" w:rsidTr="00B50E4C">
        <w:tc>
          <w:tcPr>
            <w:tcW w:w="2006" w:type="dxa"/>
            <w:shd w:val="clear" w:color="auto" w:fill="FFFFFF" w:themeFill="background1"/>
          </w:tcPr>
          <w:p w14:paraId="39726F83" w14:textId="77777777" w:rsidR="009B356F" w:rsidRPr="00E3756C" w:rsidRDefault="009B356F" w:rsidP="00EB60F8">
            <w:pPr>
              <w:pStyle w:val="TableTextbold"/>
              <w:rPr>
                <w:rFonts w:ascii="Times New Roman" w:eastAsia="Times New Roman" w:hAnsi="Times New Roman" w:cs="Times New Roman"/>
              </w:rPr>
            </w:pPr>
            <w:r w:rsidRPr="00E3756C">
              <w:t>Regional and catchment scale climate change risk assessment</w:t>
            </w:r>
          </w:p>
        </w:tc>
        <w:tc>
          <w:tcPr>
            <w:tcW w:w="3523" w:type="dxa"/>
            <w:shd w:val="clear" w:color="auto" w:fill="FFFFFF" w:themeFill="background1"/>
          </w:tcPr>
          <w:p w14:paraId="762CD3E5" w14:textId="77777777" w:rsidR="009B356F" w:rsidRPr="00E3756C" w:rsidRDefault="009B356F" w:rsidP="00496BD4">
            <w:pPr>
              <w:pStyle w:val="TableText"/>
            </w:pPr>
            <w:r w:rsidRPr="00E3756C">
              <w:t>Informs regional and unitary councils, infrastructure and natural resource managers, district health officials, iwi</w:t>
            </w:r>
            <w:r w:rsidR="0021137B" w:rsidRPr="00E3756C">
              <w:t xml:space="preserve">, </w:t>
            </w:r>
            <w:r w:rsidRPr="00E3756C">
              <w:t>hapū and other stakeholders by providing a systematic examination of the additional risks of climate change on a region</w:t>
            </w:r>
          </w:p>
        </w:tc>
        <w:tc>
          <w:tcPr>
            <w:tcW w:w="2976" w:type="dxa"/>
            <w:shd w:val="clear" w:color="auto" w:fill="FFFFFF" w:themeFill="background1"/>
            <w:vAlign w:val="center"/>
          </w:tcPr>
          <w:p w14:paraId="30C9FA31" w14:textId="77777777" w:rsidR="009B356F" w:rsidRPr="00E3756C" w:rsidRDefault="009B356F" w:rsidP="00F46C76">
            <w:pPr>
              <w:pStyle w:val="TableBullet"/>
              <w:spacing w:before="60"/>
            </w:pPr>
            <w:r w:rsidRPr="00E3756C">
              <w:t>Long term plan (regional)</w:t>
            </w:r>
            <w:r w:rsidR="00F46C76" w:rsidRPr="00E3756C">
              <w:t xml:space="preserve"> </w:t>
            </w:r>
            <w:r w:rsidRPr="00E3756C">
              <w:t>–</w:t>
            </w:r>
            <w:r w:rsidR="00F46C76" w:rsidRPr="00E3756C">
              <w:t xml:space="preserve"> </w:t>
            </w:r>
            <w:r w:rsidRPr="00E3756C">
              <w:t>10</w:t>
            </w:r>
            <w:r w:rsidR="00F46C76" w:rsidRPr="00E3756C">
              <w:t> </w:t>
            </w:r>
            <w:r w:rsidRPr="00E3756C">
              <w:t>y</w:t>
            </w:r>
            <w:r w:rsidR="00F46C76" w:rsidRPr="00E3756C">
              <w:t>ea</w:t>
            </w:r>
            <w:r w:rsidRPr="00E3756C">
              <w:t>r</w:t>
            </w:r>
          </w:p>
          <w:p w14:paraId="4F900955" w14:textId="77777777" w:rsidR="009B356F" w:rsidRPr="00E3756C" w:rsidRDefault="009B356F" w:rsidP="009B356F">
            <w:pPr>
              <w:pStyle w:val="TableBullet"/>
            </w:pPr>
            <w:r w:rsidRPr="00E3756C">
              <w:t>Infrastructure strategy (regional)</w:t>
            </w:r>
            <w:r w:rsidR="00F46C76" w:rsidRPr="00E3756C">
              <w:t xml:space="preserve"> </w:t>
            </w:r>
            <w:r w:rsidRPr="00E3756C">
              <w:t>–</w:t>
            </w:r>
            <w:r w:rsidR="00F46C76" w:rsidRPr="00E3756C">
              <w:t xml:space="preserve"> </w:t>
            </w:r>
            <w:r w:rsidRPr="00E3756C">
              <w:t>30</w:t>
            </w:r>
            <w:r w:rsidR="00F46C76" w:rsidRPr="00E3756C">
              <w:t> </w:t>
            </w:r>
            <w:r w:rsidRPr="00E3756C">
              <w:t>y</w:t>
            </w:r>
            <w:r w:rsidR="00F46C76" w:rsidRPr="00E3756C">
              <w:t>ea</w:t>
            </w:r>
            <w:r w:rsidRPr="00E3756C">
              <w:t>r</w:t>
            </w:r>
          </w:p>
          <w:p w14:paraId="63C2F26B" w14:textId="77777777" w:rsidR="009B356F" w:rsidRPr="00E3756C" w:rsidRDefault="009B356F" w:rsidP="009B356F">
            <w:pPr>
              <w:pStyle w:val="TableBullet"/>
            </w:pPr>
            <w:r w:rsidRPr="00E3756C">
              <w:t>Regional plans (incl</w:t>
            </w:r>
            <w:r w:rsidR="00F46C76" w:rsidRPr="00E3756C">
              <w:t>uding</w:t>
            </w:r>
            <w:r w:rsidRPr="00E3756C">
              <w:t xml:space="preserve"> </w:t>
            </w:r>
            <w:r w:rsidR="00F46C76" w:rsidRPr="00E3756C">
              <w:t>c</w:t>
            </w:r>
            <w:r w:rsidRPr="00E3756C">
              <w:t>oastal)</w:t>
            </w:r>
          </w:p>
          <w:p w14:paraId="48DAEC54" w14:textId="77777777" w:rsidR="009B356F" w:rsidRPr="00E3756C" w:rsidRDefault="009B356F" w:rsidP="009B356F">
            <w:pPr>
              <w:pStyle w:val="TableBullet"/>
            </w:pPr>
            <w:r w:rsidRPr="00E3756C">
              <w:t>Regional policy statements</w:t>
            </w:r>
          </w:p>
          <w:p w14:paraId="11A93D37" w14:textId="77777777" w:rsidR="009B356F" w:rsidRPr="00E3756C" w:rsidRDefault="009B356F" w:rsidP="009B356F">
            <w:pPr>
              <w:pStyle w:val="TableBullet"/>
            </w:pPr>
            <w:r w:rsidRPr="00E3756C">
              <w:t xml:space="preserve">CDEM </w:t>
            </w:r>
            <w:r w:rsidR="00F46C76" w:rsidRPr="00E3756C">
              <w:t>g</w:t>
            </w:r>
            <w:r w:rsidRPr="00E3756C">
              <w:t xml:space="preserve">roup plans; </w:t>
            </w:r>
            <w:r w:rsidR="00F46C76" w:rsidRPr="00E3756C">
              <w:t>l</w:t>
            </w:r>
            <w:r w:rsidRPr="00E3756C">
              <w:t>ifelines</w:t>
            </w:r>
          </w:p>
          <w:p w14:paraId="249E33A2" w14:textId="77777777" w:rsidR="009B356F" w:rsidRPr="00E3756C" w:rsidRDefault="009B356F" w:rsidP="009B356F">
            <w:pPr>
              <w:pStyle w:val="TableBullet"/>
            </w:pPr>
            <w:r w:rsidRPr="00E3756C">
              <w:t>Iwi</w:t>
            </w:r>
            <w:r w:rsidR="00F46C76" w:rsidRPr="00E3756C">
              <w:t xml:space="preserve"> and </w:t>
            </w:r>
            <w:r w:rsidRPr="00E3756C">
              <w:t>hapū management plans</w:t>
            </w:r>
          </w:p>
          <w:p w14:paraId="642FA0B8" w14:textId="77777777" w:rsidR="009B356F" w:rsidRPr="00E3756C" w:rsidRDefault="009B356F" w:rsidP="009B356F">
            <w:pPr>
              <w:pStyle w:val="TableBullet"/>
            </w:pPr>
            <w:r w:rsidRPr="00E3756C">
              <w:t>Growth and development strategies</w:t>
            </w:r>
          </w:p>
        </w:tc>
      </w:tr>
      <w:tr w:rsidR="009B356F" w:rsidRPr="00E3756C" w14:paraId="3AC7E192" w14:textId="77777777" w:rsidTr="00B50E4C">
        <w:tc>
          <w:tcPr>
            <w:tcW w:w="2006" w:type="dxa"/>
            <w:shd w:val="clear" w:color="auto" w:fill="FFFFFF" w:themeFill="background1"/>
          </w:tcPr>
          <w:p w14:paraId="30876C04" w14:textId="77777777" w:rsidR="009B356F" w:rsidRPr="00E3756C" w:rsidRDefault="009B356F" w:rsidP="00496BD4">
            <w:pPr>
              <w:pStyle w:val="TableText"/>
            </w:pPr>
          </w:p>
        </w:tc>
        <w:tc>
          <w:tcPr>
            <w:tcW w:w="3523" w:type="dxa"/>
            <w:shd w:val="clear" w:color="auto" w:fill="FFFFFF" w:themeFill="background1"/>
          </w:tcPr>
          <w:p w14:paraId="5647A733" w14:textId="77777777" w:rsidR="009B356F" w:rsidRPr="00E3756C" w:rsidRDefault="009B356F" w:rsidP="00496BD4">
            <w:pPr>
              <w:pStyle w:val="TableText"/>
            </w:pPr>
            <w:r w:rsidRPr="00E3756C">
              <w:t>Uses downscaled climate projections, regional hazard</w:t>
            </w:r>
            <w:r w:rsidR="00F46C76" w:rsidRPr="00E3756C">
              <w:t xml:space="preserve"> and </w:t>
            </w:r>
            <w:r w:rsidRPr="00E3756C">
              <w:t>exposure modelling</w:t>
            </w:r>
            <w:r w:rsidR="00F46C76" w:rsidRPr="00E3756C">
              <w:t>,</w:t>
            </w:r>
            <w:r w:rsidRPr="00E3756C">
              <w:t xml:space="preserve"> and vulnerability analysis to assess risks to regional domains or sectors and catchments</w:t>
            </w:r>
          </w:p>
        </w:tc>
        <w:tc>
          <w:tcPr>
            <w:tcW w:w="2976" w:type="dxa"/>
            <w:shd w:val="clear" w:color="auto" w:fill="FFFFFF" w:themeFill="background1"/>
            <w:vAlign w:val="center"/>
          </w:tcPr>
          <w:p w14:paraId="15E62FE3" w14:textId="77777777" w:rsidR="009B356F" w:rsidRPr="00E3756C" w:rsidRDefault="009B356F" w:rsidP="00496BD4">
            <w:pPr>
              <w:pStyle w:val="TableText"/>
            </w:pPr>
          </w:p>
        </w:tc>
      </w:tr>
      <w:tr w:rsidR="009B356F" w:rsidRPr="00E3756C" w14:paraId="407605E4" w14:textId="77777777" w:rsidTr="00B50E4C">
        <w:tc>
          <w:tcPr>
            <w:tcW w:w="2006" w:type="dxa"/>
            <w:shd w:val="clear" w:color="auto" w:fill="FFFFFF" w:themeFill="background1"/>
          </w:tcPr>
          <w:p w14:paraId="21256A2B" w14:textId="77777777" w:rsidR="009B356F" w:rsidRPr="00E3756C" w:rsidRDefault="009B356F" w:rsidP="00496BD4">
            <w:pPr>
              <w:pStyle w:val="TableText"/>
              <w:keepNext/>
            </w:pPr>
          </w:p>
        </w:tc>
        <w:tc>
          <w:tcPr>
            <w:tcW w:w="3523" w:type="dxa"/>
            <w:shd w:val="clear" w:color="auto" w:fill="FFFFFF" w:themeFill="background1"/>
          </w:tcPr>
          <w:p w14:paraId="3366BC14" w14:textId="77777777" w:rsidR="009B356F" w:rsidRPr="00E3756C" w:rsidRDefault="009B356F" w:rsidP="00F46C76">
            <w:pPr>
              <w:pStyle w:val="TableText"/>
            </w:pPr>
            <w:r w:rsidRPr="00E3756C">
              <w:t>Regional-level view, aggregation of risks up to a regional level and disaggregate down from the national scale</w:t>
            </w:r>
          </w:p>
        </w:tc>
        <w:tc>
          <w:tcPr>
            <w:tcW w:w="2976" w:type="dxa"/>
            <w:shd w:val="clear" w:color="auto" w:fill="FFFFFF" w:themeFill="background1"/>
            <w:vAlign w:val="center"/>
          </w:tcPr>
          <w:p w14:paraId="074A178C" w14:textId="77777777" w:rsidR="009B356F" w:rsidRPr="00E3756C" w:rsidRDefault="009B356F" w:rsidP="00496BD4">
            <w:pPr>
              <w:pStyle w:val="TableText"/>
            </w:pPr>
          </w:p>
        </w:tc>
      </w:tr>
      <w:tr w:rsidR="009B356F" w:rsidRPr="00E3756C" w14:paraId="734CD515" w14:textId="77777777" w:rsidTr="00B50E4C">
        <w:tc>
          <w:tcPr>
            <w:tcW w:w="2006" w:type="dxa"/>
            <w:shd w:val="clear" w:color="auto" w:fill="FFFFFF" w:themeFill="background1"/>
          </w:tcPr>
          <w:p w14:paraId="0ACCBFDE" w14:textId="77777777" w:rsidR="009B356F" w:rsidRPr="00E3756C" w:rsidRDefault="009B356F" w:rsidP="00496BD4">
            <w:pPr>
              <w:pStyle w:val="TableText"/>
            </w:pPr>
          </w:p>
        </w:tc>
        <w:tc>
          <w:tcPr>
            <w:tcW w:w="3523" w:type="dxa"/>
            <w:shd w:val="clear" w:color="auto" w:fill="FFFFFF" w:themeFill="background1"/>
          </w:tcPr>
          <w:p w14:paraId="6BE9586D" w14:textId="77777777" w:rsidR="009B356F" w:rsidRPr="00E3756C" w:rsidRDefault="009B356F" w:rsidP="00496BD4">
            <w:pPr>
              <w:pStyle w:val="TableText"/>
            </w:pPr>
            <w:r w:rsidRPr="00E3756C">
              <w:rPr>
                <w:b/>
              </w:rPr>
              <w:t>Detail:</w:t>
            </w:r>
            <w:r w:rsidR="00484C8A" w:rsidRPr="00E3756C">
              <w:t xml:space="preserve"> </w:t>
            </w:r>
            <w:r w:rsidRPr="00E3756C">
              <w:t>focus on regional risks to inform region-wide plans, catchment management and climate</w:t>
            </w:r>
            <w:r w:rsidR="00F46C76" w:rsidRPr="00E3756C">
              <w:t xml:space="preserve"> </w:t>
            </w:r>
            <w:r w:rsidRPr="00E3756C">
              <w:t>change strategies</w:t>
            </w:r>
          </w:p>
        </w:tc>
        <w:tc>
          <w:tcPr>
            <w:tcW w:w="2976" w:type="dxa"/>
            <w:shd w:val="clear" w:color="auto" w:fill="FFFFFF" w:themeFill="background1"/>
            <w:vAlign w:val="center"/>
          </w:tcPr>
          <w:p w14:paraId="71F230F3" w14:textId="77777777" w:rsidR="009B356F" w:rsidRPr="00E3756C" w:rsidRDefault="009B356F" w:rsidP="00496BD4">
            <w:pPr>
              <w:pStyle w:val="TableText"/>
            </w:pPr>
          </w:p>
        </w:tc>
      </w:tr>
      <w:tr w:rsidR="009B356F" w:rsidRPr="00E3756C" w14:paraId="4A2C37B5" w14:textId="77777777" w:rsidTr="00B50E4C">
        <w:tc>
          <w:tcPr>
            <w:tcW w:w="2006" w:type="dxa"/>
            <w:shd w:val="clear" w:color="auto" w:fill="FFFFFF" w:themeFill="background1"/>
          </w:tcPr>
          <w:p w14:paraId="65977BBD" w14:textId="77777777" w:rsidR="009B356F" w:rsidRPr="00E3756C" w:rsidRDefault="009B356F" w:rsidP="00977C56">
            <w:pPr>
              <w:pStyle w:val="TableTextbold"/>
              <w:rPr>
                <w:rFonts w:ascii="Times New Roman" w:eastAsia="Times New Roman" w:hAnsi="Times New Roman" w:cs="Times New Roman"/>
              </w:rPr>
            </w:pPr>
            <w:r w:rsidRPr="00E3756C">
              <w:t>District and city scale climate change risk assessment</w:t>
            </w:r>
          </w:p>
        </w:tc>
        <w:tc>
          <w:tcPr>
            <w:tcW w:w="3523" w:type="dxa"/>
            <w:shd w:val="clear" w:color="auto" w:fill="FFFFFF" w:themeFill="background1"/>
          </w:tcPr>
          <w:p w14:paraId="7F72FE43" w14:textId="77777777" w:rsidR="009B356F" w:rsidRPr="00E3756C" w:rsidRDefault="009B356F" w:rsidP="00CC6A9D">
            <w:pPr>
              <w:pStyle w:val="TableText"/>
            </w:pPr>
            <w:r w:rsidRPr="00E3756C">
              <w:t>Informs district and city councils, infrastructure and natural resource managers, public health officials, iwi</w:t>
            </w:r>
            <w:r w:rsidR="00CC6A9D" w:rsidRPr="00E3756C">
              <w:t xml:space="preserve">, </w:t>
            </w:r>
            <w:r w:rsidRPr="00E3756C">
              <w:t>hapū</w:t>
            </w:r>
            <w:r w:rsidR="00CC6A9D" w:rsidRPr="00E3756C">
              <w:t xml:space="preserve">, </w:t>
            </w:r>
            <w:r w:rsidRPr="00E3756C">
              <w:t>whānau and other stakeholders by providing a systematic examination of the additional risks of climate change on districts</w:t>
            </w:r>
            <w:r w:rsidR="00CC6A9D" w:rsidRPr="00E3756C">
              <w:t xml:space="preserve"> and </w:t>
            </w:r>
            <w:r w:rsidRPr="00E3756C">
              <w:t>cities and local communities</w:t>
            </w:r>
            <w:r w:rsidR="00CC6A9D" w:rsidRPr="00E3756C">
              <w:t xml:space="preserve"> and </w:t>
            </w:r>
            <w:r w:rsidRPr="00E3756C">
              <w:t>marae</w:t>
            </w:r>
          </w:p>
        </w:tc>
        <w:tc>
          <w:tcPr>
            <w:tcW w:w="2976" w:type="dxa"/>
            <w:shd w:val="clear" w:color="auto" w:fill="FFFFFF" w:themeFill="background1"/>
            <w:vAlign w:val="center"/>
          </w:tcPr>
          <w:p w14:paraId="79915329" w14:textId="77777777" w:rsidR="009B356F" w:rsidRPr="00E3756C" w:rsidRDefault="009B356F" w:rsidP="00F46C76">
            <w:pPr>
              <w:pStyle w:val="TableBullet"/>
              <w:spacing w:before="60"/>
            </w:pPr>
            <w:r w:rsidRPr="00E3756C">
              <w:t xml:space="preserve">District </w:t>
            </w:r>
            <w:r w:rsidR="00CC6A9D" w:rsidRPr="00E3756C">
              <w:t>p</w:t>
            </w:r>
            <w:r w:rsidRPr="00E3756C">
              <w:t>lans</w:t>
            </w:r>
          </w:p>
          <w:p w14:paraId="573051CA" w14:textId="77777777" w:rsidR="009B356F" w:rsidRPr="00E3756C" w:rsidRDefault="009B356F" w:rsidP="009B356F">
            <w:pPr>
              <w:pStyle w:val="TableBullet"/>
            </w:pPr>
            <w:r w:rsidRPr="00E3756C">
              <w:t>Long</w:t>
            </w:r>
            <w:r w:rsidR="00CC6A9D" w:rsidRPr="00E3756C">
              <w:t>-</w:t>
            </w:r>
            <w:r w:rsidRPr="00E3756C">
              <w:t>term plan (district)</w:t>
            </w:r>
            <w:r w:rsidR="00CC6A9D" w:rsidRPr="00E3756C">
              <w:t xml:space="preserve"> </w:t>
            </w:r>
            <w:r w:rsidR="000B136A">
              <w:br/>
            </w:r>
            <w:r w:rsidRPr="00E3756C">
              <w:t>–</w:t>
            </w:r>
            <w:r w:rsidR="00CC6A9D" w:rsidRPr="00E3756C">
              <w:t xml:space="preserve"> </w:t>
            </w:r>
            <w:r w:rsidRPr="00E3756C">
              <w:t>10</w:t>
            </w:r>
            <w:r w:rsidR="00CC6A9D" w:rsidRPr="00E3756C">
              <w:t> </w:t>
            </w:r>
            <w:r w:rsidRPr="00E3756C">
              <w:t>y</w:t>
            </w:r>
            <w:r w:rsidR="00CC6A9D" w:rsidRPr="00E3756C">
              <w:t>ea</w:t>
            </w:r>
            <w:r w:rsidRPr="00E3756C">
              <w:t>r</w:t>
            </w:r>
          </w:p>
          <w:p w14:paraId="73BEA2FF" w14:textId="77777777" w:rsidR="009B356F" w:rsidRPr="00E3756C" w:rsidRDefault="009B356F" w:rsidP="009B356F">
            <w:pPr>
              <w:pStyle w:val="TableBullet"/>
            </w:pPr>
            <w:r w:rsidRPr="00E3756C">
              <w:t>Infrastructure strategy (district)</w:t>
            </w:r>
            <w:r w:rsidR="00CC6A9D" w:rsidRPr="00E3756C">
              <w:t xml:space="preserve"> </w:t>
            </w:r>
            <w:r w:rsidR="000B136A">
              <w:br/>
            </w:r>
            <w:r w:rsidRPr="00E3756C">
              <w:t>–30</w:t>
            </w:r>
            <w:r w:rsidR="00CC6A9D" w:rsidRPr="00E3756C">
              <w:t> </w:t>
            </w:r>
            <w:r w:rsidRPr="00E3756C">
              <w:t>y</w:t>
            </w:r>
            <w:r w:rsidR="00CC6A9D" w:rsidRPr="00E3756C">
              <w:t>ea</w:t>
            </w:r>
            <w:r w:rsidRPr="00E3756C">
              <w:t>r</w:t>
            </w:r>
          </w:p>
          <w:p w14:paraId="73801110" w14:textId="77777777" w:rsidR="009B356F" w:rsidRPr="00E3756C" w:rsidRDefault="009B356F" w:rsidP="009B356F">
            <w:pPr>
              <w:pStyle w:val="TableBullet"/>
            </w:pPr>
            <w:r w:rsidRPr="00E3756C">
              <w:t>Iwi</w:t>
            </w:r>
            <w:r w:rsidR="00CC6A9D" w:rsidRPr="00E3756C">
              <w:t xml:space="preserve"> and </w:t>
            </w:r>
            <w:r w:rsidRPr="00E3756C">
              <w:t>hapū management plans</w:t>
            </w:r>
          </w:p>
          <w:p w14:paraId="131B798B" w14:textId="77777777" w:rsidR="009B356F" w:rsidRPr="00E3756C" w:rsidRDefault="009B356F" w:rsidP="009B356F">
            <w:pPr>
              <w:pStyle w:val="TableBullet"/>
            </w:pPr>
            <w:r w:rsidRPr="00E3756C">
              <w:t>Iwi</w:t>
            </w:r>
            <w:r w:rsidR="00CC6A9D" w:rsidRPr="00E3756C">
              <w:t xml:space="preserve"> and </w:t>
            </w:r>
            <w:r w:rsidRPr="00E3756C">
              <w:t>hapū climate change strategies</w:t>
            </w:r>
          </w:p>
          <w:p w14:paraId="20127E2C" w14:textId="77777777" w:rsidR="009B356F" w:rsidRPr="00E3756C" w:rsidRDefault="009B356F" w:rsidP="009B356F">
            <w:pPr>
              <w:pStyle w:val="TableBullet"/>
            </w:pPr>
            <w:r w:rsidRPr="00E3756C">
              <w:t xml:space="preserve">Housing (Building Act </w:t>
            </w:r>
            <w:r w:rsidR="00A6382B" w:rsidRPr="00E3756C">
              <w:t xml:space="preserve">2004 </w:t>
            </w:r>
            <w:r w:rsidRPr="00E3756C">
              <w:t>and S</w:t>
            </w:r>
            <w:r w:rsidR="00A6382B" w:rsidRPr="00E3756C">
              <w:t xml:space="preserve">pecial </w:t>
            </w:r>
            <w:r w:rsidRPr="00E3756C">
              <w:t>H</w:t>
            </w:r>
            <w:r w:rsidR="00A6382B" w:rsidRPr="00E3756C">
              <w:t xml:space="preserve">ousing </w:t>
            </w:r>
            <w:r w:rsidRPr="00E3756C">
              <w:t>A</w:t>
            </w:r>
            <w:r w:rsidR="00A6382B" w:rsidRPr="00E3756C">
              <w:t>rea</w:t>
            </w:r>
            <w:r w:rsidRPr="00E3756C">
              <w:t>s)</w:t>
            </w:r>
          </w:p>
          <w:p w14:paraId="007F2C10" w14:textId="77777777" w:rsidR="009B356F" w:rsidRPr="00E3756C" w:rsidRDefault="009B356F" w:rsidP="009B356F">
            <w:pPr>
              <w:pStyle w:val="TableBullet"/>
            </w:pPr>
            <w:r w:rsidRPr="00E3756C">
              <w:t>Spatial</w:t>
            </w:r>
            <w:r w:rsidR="00A6382B" w:rsidRPr="00E3756C">
              <w:t xml:space="preserve"> and </w:t>
            </w:r>
            <w:r w:rsidRPr="00E3756C">
              <w:t>structure planning</w:t>
            </w:r>
          </w:p>
          <w:p w14:paraId="29CA1FA1" w14:textId="77777777" w:rsidR="009B356F" w:rsidRPr="00E3756C" w:rsidRDefault="009B356F" w:rsidP="009B356F">
            <w:pPr>
              <w:pStyle w:val="TableBullet"/>
            </w:pPr>
            <w:r w:rsidRPr="00E3756C">
              <w:t>Growth and development strategies</w:t>
            </w:r>
          </w:p>
        </w:tc>
      </w:tr>
      <w:tr w:rsidR="009B356F" w:rsidRPr="00E3756C" w14:paraId="2FE55FAC" w14:textId="77777777" w:rsidTr="00B50E4C">
        <w:tc>
          <w:tcPr>
            <w:tcW w:w="2006" w:type="dxa"/>
            <w:shd w:val="clear" w:color="auto" w:fill="FFFFFF" w:themeFill="background1"/>
          </w:tcPr>
          <w:p w14:paraId="1D620664" w14:textId="77777777" w:rsidR="009B356F" w:rsidRPr="00E3756C" w:rsidRDefault="009B356F" w:rsidP="00496BD4">
            <w:pPr>
              <w:pStyle w:val="TableText"/>
            </w:pPr>
          </w:p>
        </w:tc>
        <w:tc>
          <w:tcPr>
            <w:tcW w:w="3523" w:type="dxa"/>
            <w:shd w:val="clear" w:color="auto" w:fill="FFFFFF" w:themeFill="background1"/>
          </w:tcPr>
          <w:p w14:paraId="549BEE36" w14:textId="77777777" w:rsidR="009B356F" w:rsidRPr="00E3756C" w:rsidRDefault="009B356F" w:rsidP="00496BD4">
            <w:pPr>
              <w:pStyle w:val="TableText"/>
            </w:pPr>
            <w:r w:rsidRPr="00E3756C">
              <w:t>Uses downscaled climate projections, district and city hazard</w:t>
            </w:r>
            <w:r w:rsidR="00A6382B" w:rsidRPr="00E3756C">
              <w:t xml:space="preserve"> and </w:t>
            </w:r>
            <w:r w:rsidRPr="00E3756C">
              <w:t>exposure modelling</w:t>
            </w:r>
            <w:r w:rsidR="00A6382B" w:rsidRPr="00E3756C">
              <w:t>,</w:t>
            </w:r>
            <w:r w:rsidRPr="00E3756C">
              <w:t xml:space="preserve"> and suburb or town vulnerability analysis to assess risks </w:t>
            </w:r>
          </w:p>
        </w:tc>
        <w:tc>
          <w:tcPr>
            <w:tcW w:w="2976" w:type="dxa"/>
            <w:shd w:val="clear" w:color="auto" w:fill="FFFFFF" w:themeFill="background1"/>
            <w:vAlign w:val="center"/>
          </w:tcPr>
          <w:p w14:paraId="7D0E7D2F" w14:textId="77777777" w:rsidR="009B356F" w:rsidRPr="00E3756C" w:rsidRDefault="009B356F" w:rsidP="00496BD4">
            <w:pPr>
              <w:pStyle w:val="TableText"/>
            </w:pPr>
          </w:p>
        </w:tc>
      </w:tr>
      <w:tr w:rsidR="009B356F" w:rsidRPr="00E3756C" w14:paraId="42097330" w14:textId="77777777" w:rsidTr="00B50E4C">
        <w:tc>
          <w:tcPr>
            <w:tcW w:w="2006" w:type="dxa"/>
            <w:shd w:val="clear" w:color="auto" w:fill="FFFFFF" w:themeFill="background1"/>
          </w:tcPr>
          <w:p w14:paraId="0D941D08" w14:textId="77777777" w:rsidR="009B356F" w:rsidRPr="00E3756C" w:rsidRDefault="009B356F" w:rsidP="00496BD4">
            <w:pPr>
              <w:pStyle w:val="TableText"/>
            </w:pPr>
          </w:p>
        </w:tc>
        <w:tc>
          <w:tcPr>
            <w:tcW w:w="3523" w:type="dxa"/>
            <w:shd w:val="clear" w:color="auto" w:fill="FFFFFF" w:themeFill="background1"/>
          </w:tcPr>
          <w:p w14:paraId="062A83B1" w14:textId="18E5DBE2" w:rsidR="009B356F" w:rsidRPr="00E3756C" w:rsidRDefault="009B356F" w:rsidP="00A6382B">
            <w:pPr>
              <w:pStyle w:val="TableText"/>
            </w:pPr>
            <w:r w:rsidRPr="00E3756C">
              <w:t>District and local community view, risks resolved at a district</w:t>
            </w:r>
            <w:r w:rsidR="00A6382B" w:rsidRPr="00E3756C">
              <w:t xml:space="preserve"> and </w:t>
            </w:r>
            <w:r w:rsidRPr="00E3756C">
              <w:t>local level eg</w:t>
            </w:r>
            <w:r w:rsidR="00A6382B" w:rsidRPr="00E3756C">
              <w:t>,</w:t>
            </w:r>
            <w:r w:rsidRPr="00E3756C">
              <w:t xml:space="preserve"> to communities, district plans, structure plans and services</w:t>
            </w:r>
          </w:p>
        </w:tc>
        <w:tc>
          <w:tcPr>
            <w:tcW w:w="2976" w:type="dxa"/>
            <w:shd w:val="clear" w:color="auto" w:fill="FFFFFF" w:themeFill="background1"/>
            <w:vAlign w:val="center"/>
          </w:tcPr>
          <w:p w14:paraId="280AD13A" w14:textId="77777777" w:rsidR="009B356F" w:rsidRPr="00E3756C" w:rsidRDefault="009B356F" w:rsidP="00496BD4">
            <w:pPr>
              <w:pStyle w:val="TableText"/>
            </w:pPr>
          </w:p>
        </w:tc>
      </w:tr>
      <w:tr w:rsidR="009B356F" w:rsidRPr="00E3756C" w14:paraId="015EB26B" w14:textId="77777777" w:rsidTr="00B50E4C">
        <w:tc>
          <w:tcPr>
            <w:tcW w:w="2006" w:type="dxa"/>
            <w:shd w:val="clear" w:color="auto" w:fill="FFFFFF" w:themeFill="background1"/>
          </w:tcPr>
          <w:p w14:paraId="7F94DF76" w14:textId="77777777" w:rsidR="009B356F" w:rsidRPr="00E3756C" w:rsidRDefault="009B356F" w:rsidP="00496BD4">
            <w:pPr>
              <w:pStyle w:val="TableText"/>
            </w:pPr>
          </w:p>
        </w:tc>
        <w:tc>
          <w:tcPr>
            <w:tcW w:w="3523" w:type="dxa"/>
            <w:shd w:val="clear" w:color="auto" w:fill="FFFFFF" w:themeFill="background1"/>
          </w:tcPr>
          <w:p w14:paraId="0D4DA8B5" w14:textId="77777777" w:rsidR="009B356F" w:rsidRPr="00E3756C" w:rsidRDefault="009B356F" w:rsidP="00A6382B">
            <w:pPr>
              <w:pStyle w:val="TableText"/>
            </w:pPr>
            <w:r w:rsidRPr="00B7422A">
              <w:rPr>
                <w:b/>
              </w:rPr>
              <w:t>Detail</w:t>
            </w:r>
            <w:r w:rsidRPr="00E3756C">
              <w:t>:</w:t>
            </w:r>
            <w:r w:rsidR="00484C8A" w:rsidRPr="00E3756C">
              <w:t xml:space="preserve"> </w:t>
            </w:r>
            <w:r w:rsidRPr="00E3756C">
              <w:t>focus on local or city-wide risks to inform adaptation plans for communities</w:t>
            </w:r>
            <w:r w:rsidR="00A6382B" w:rsidRPr="00E3756C">
              <w:t xml:space="preserve"> and </w:t>
            </w:r>
            <w:r w:rsidRPr="00E3756C">
              <w:t>assets and district</w:t>
            </w:r>
            <w:r w:rsidR="00A6382B" w:rsidRPr="00E3756C">
              <w:t xml:space="preserve"> and </w:t>
            </w:r>
            <w:r w:rsidRPr="00E3756C">
              <w:t>city climate</w:t>
            </w:r>
            <w:r w:rsidR="00A6382B" w:rsidRPr="00E3756C">
              <w:t xml:space="preserve"> </w:t>
            </w:r>
            <w:r w:rsidRPr="00E3756C">
              <w:t>change strategies</w:t>
            </w:r>
          </w:p>
        </w:tc>
        <w:tc>
          <w:tcPr>
            <w:tcW w:w="2976" w:type="dxa"/>
            <w:shd w:val="clear" w:color="auto" w:fill="FFFFFF" w:themeFill="background1"/>
            <w:vAlign w:val="center"/>
          </w:tcPr>
          <w:p w14:paraId="774DDE86" w14:textId="77777777" w:rsidR="009B356F" w:rsidRPr="00E3756C" w:rsidRDefault="009B356F" w:rsidP="00496BD4">
            <w:pPr>
              <w:pStyle w:val="TableText"/>
            </w:pPr>
          </w:p>
        </w:tc>
      </w:tr>
    </w:tbl>
    <w:p w14:paraId="28EF708A" w14:textId="77777777" w:rsidR="00043BA5" w:rsidRPr="00E3756C" w:rsidRDefault="00043BA5" w:rsidP="00043BA5">
      <w:pPr>
        <w:pStyle w:val="Note"/>
        <w:spacing w:before="240"/>
      </w:pPr>
      <w:r w:rsidRPr="00E3756C">
        <w:t>Note: CDEM = Civil Defence Emergency Management; MBIE = Ministry for Busi</w:t>
      </w:r>
      <w:r w:rsidR="00A6382B" w:rsidRPr="00E3756C">
        <w:t>ness, Innovation and Employment</w:t>
      </w:r>
      <w:r w:rsidRPr="00E3756C">
        <w:t>.</w:t>
      </w:r>
    </w:p>
    <w:p w14:paraId="04BD246C" w14:textId="62CDDC10" w:rsidR="009B356F" w:rsidRPr="00E3756C" w:rsidRDefault="009B356F" w:rsidP="009B356F">
      <w:pPr>
        <w:pStyle w:val="BodyText"/>
        <w:spacing w:before="240"/>
      </w:pPr>
      <w:r w:rsidRPr="00E3756C">
        <w:t xml:space="preserve">Local governments are at the front line in dealing with </w:t>
      </w:r>
      <w:r w:rsidR="005C7BBB">
        <w:t xml:space="preserve">the </w:t>
      </w:r>
      <w:r w:rsidRPr="00E3756C">
        <w:t>impacts of climate change</w:t>
      </w:r>
      <w:r w:rsidR="00A6382B" w:rsidRPr="00E3756C">
        <w:t>.</w:t>
      </w:r>
      <w:r w:rsidRPr="00E3756C">
        <w:t xml:space="preserve"> </w:t>
      </w:r>
      <w:r w:rsidR="00A6382B" w:rsidRPr="00E3756C">
        <w:t xml:space="preserve">They </w:t>
      </w:r>
      <w:r w:rsidRPr="00E3756C">
        <w:t>have a role in ensuring that regional</w:t>
      </w:r>
      <w:r w:rsidR="00A6382B" w:rsidRPr="00E3756C">
        <w:t xml:space="preserve"> and </w:t>
      </w:r>
      <w:r w:rsidRPr="00E3756C">
        <w:t>local circumstances are adequately considered in the overall adaptation response.</w:t>
      </w:r>
    </w:p>
    <w:p w14:paraId="672AEA62" w14:textId="77777777" w:rsidR="009B356F" w:rsidRPr="00E3756C" w:rsidRDefault="009B356F" w:rsidP="009B356F">
      <w:pPr>
        <w:pStyle w:val="BodyText"/>
      </w:pPr>
      <w:r w:rsidRPr="00E3756C">
        <w:t>They need to:</w:t>
      </w:r>
    </w:p>
    <w:p w14:paraId="746E9B0F" w14:textId="2A6204A0" w:rsidR="009B356F" w:rsidRPr="00E3756C" w:rsidRDefault="00A6382B" w:rsidP="009B356F">
      <w:pPr>
        <w:pStyle w:val="Bullet"/>
      </w:pPr>
      <w:r w:rsidRPr="00E3756C">
        <w:t>m</w:t>
      </w:r>
      <w:r w:rsidR="009B356F" w:rsidRPr="00E3756C">
        <w:t xml:space="preserve">anage risks </w:t>
      </w:r>
      <w:r w:rsidRPr="00E3756C">
        <w:t>to</w:t>
      </w:r>
      <w:r w:rsidR="005C7BBB">
        <w:t>,</w:t>
      </w:r>
      <w:r w:rsidRPr="00E3756C">
        <w:t xml:space="preserve"> </w:t>
      </w:r>
      <w:r w:rsidR="009B356F" w:rsidRPr="00E3756C">
        <w:t xml:space="preserve">and impacts </w:t>
      </w:r>
      <w:r w:rsidRPr="00E3756C">
        <w:t xml:space="preserve">on </w:t>
      </w:r>
      <w:r w:rsidR="009B356F" w:rsidRPr="00E3756C">
        <w:t>public assets owned and managed by local government and local government</w:t>
      </w:r>
      <w:r w:rsidRPr="00E3756C">
        <w:t>-</w:t>
      </w:r>
      <w:r w:rsidR="009B356F" w:rsidRPr="00E3756C">
        <w:t>owned entities</w:t>
      </w:r>
    </w:p>
    <w:p w14:paraId="523F94B8" w14:textId="25A3FF35" w:rsidR="009B356F" w:rsidRPr="00E3756C" w:rsidRDefault="00A6382B" w:rsidP="009B356F">
      <w:pPr>
        <w:pStyle w:val="Bullet"/>
      </w:pPr>
      <w:r w:rsidRPr="00E3756C">
        <w:t>m</w:t>
      </w:r>
      <w:r w:rsidR="009B356F" w:rsidRPr="00E3756C">
        <w:t xml:space="preserve">anage risks </w:t>
      </w:r>
      <w:r w:rsidRPr="00E3756C">
        <w:t>to</w:t>
      </w:r>
      <w:r w:rsidR="005C7BBB">
        <w:t>,</w:t>
      </w:r>
      <w:r w:rsidRPr="00E3756C">
        <w:t xml:space="preserve"> </w:t>
      </w:r>
      <w:r w:rsidR="009B356F" w:rsidRPr="00E3756C">
        <w:t xml:space="preserve">and impacts </w:t>
      </w:r>
      <w:r w:rsidRPr="00E3756C">
        <w:t>on</w:t>
      </w:r>
      <w:r w:rsidR="009B356F" w:rsidRPr="00E3756C">
        <w:t xml:space="preserve"> local government service delivery</w:t>
      </w:r>
    </w:p>
    <w:p w14:paraId="6C3943DD" w14:textId="77777777" w:rsidR="009B356F" w:rsidRPr="00E3756C" w:rsidRDefault="00A6382B" w:rsidP="009B356F">
      <w:pPr>
        <w:pStyle w:val="Bullet"/>
      </w:pPr>
      <w:r w:rsidRPr="00E3756C">
        <w:t>e</w:t>
      </w:r>
      <w:r w:rsidR="009B356F" w:rsidRPr="00E3756C">
        <w:t>nsure local planning and development regulations are consistent with central government adaptation approaches</w:t>
      </w:r>
    </w:p>
    <w:p w14:paraId="6BED5A23" w14:textId="77777777" w:rsidR="009B356F" w:rsidRPr="00E3756C" w:rsidRDefault="00616B1F" w:rsidP="009B356F">
      <w:pPr>
        <w:pStyle w:val="Bullet"/>
      </w:pPr>
      <w:r w:rsidRPr="00E3756C">
        <w:t>f</w:t>
      </w:r>
      <w:r w:rsidR="009B356F" w:rsidRPr="00E3756C">
        <w:t>acilitate building resilience and adaptive capacity in the local community (eg</w:t>
      </w:r>
      <w:r w:rsidRPr="00E3756C">
        <w:t>,</w:t>
      </w:r>
      <w:r w:rsidR="009B356F" w:rsidRPr="00E3756C">
        <w:t xml:space="preserve"> providing information about relevant climate change risks) </w:t>
      </w:r>
    </w:p>
    <w:p w14:paraId="0BA7DD70" w14:textId="77777777" w:rsidR="009B356F" w:rsidRPr="00E3756C" w:rsidRDefault="00616B1F" w:rsidP="009B356F">
      <w:pPr>
        <w:pStyle w:val="Bullet"/>
      </w:pPr>
      <w:r w:rsidRPr="00E3756C">
        <w:t>i</w:t>
      </w:r>
      <w:r w:rsidR="009B356F" w:rsidRPr="00E3756C">
        <w:t xml:space="preserve">nvolve local communities directly in efforts to facilitate effective change. </w:t>
      </w:r>
    </w:p>
    <w:p w14:paraId="41E6DABE" w14:textId="77777777" w:rsidR="009B356F" w:rsidRPr="00E3756C" w:rsidRDefault="009B356F" w:rsidP="009B356F">
      <w:pPr>
        <w:pStyle w:val="BodyText"/>
      </w:pPr>
      <w:r w:rsidRPr="00E3756C">
        <w:lastRenderedPageBreak/>
        <w:t xml:space="preserve">How will this framework </w:t>
      </w:r>
      <w:r w:rsidR="00616B1F" w:rsidRPr="00E3756C">
        <w:t xml:space="preserve">help </w:t>
      </w:r>
      <w:r w:rsidRPr="00E3756C">
        <w:t>risk management in local government or other agencies? Can iwi</w:t>
      </w:r>
      <w:r w:rsidR="00616B1F" w:rsidRPr="00E3756C">
        <w:t xml:space="preserve"> and </w:t>
      </w:r>
      <w:r w:rsidRPr="00E3756C">
        <w:t>hapū use the framework for place-based risk assessment?</w:t>
      </w:r>
    </w:p>
    <w:p w14:paraId="506288AF" w14:textId="77777777" w:rsidR="009B356F" w:rsidRPr="00E3756C" w:rsidRDefault="009B356F" w:rsidP="009B356F">
      <w:pPr>
        <w:pStyle w:val="Bullet"/>
      </w:pPr>
      <w:r w:rsidRPr="00E3756C">
        <w:t>They can carry out a risk assessment using this framework, but apply local ‘elements’ to</w:t>
      </w:r>
      <w:r w:rsidR="00772D36" w:rsidRPr="00E3756C">
        <w:t> </w:t>
      </w:r>
      <w:r w:rsidRPr="00E3756C">
        <w:t xml:space="preserve">the value domains in </w:t>
      </w:r>
      <w:r w:rsidR="00616B1F" w:rsidRPr="00E3756C">
        <w:t>c</w:t>
      </w:r>
      <w:r w:rsidRPr="00E3756C">
        <w:t>hapter A3, to inform decisions on sectors to assess at Stage</w:t>
      </w:r>
      <w:r w:rsidR="00772D36" w:rsidRPr="00E3756C">
        <w:t> </w:t>
      </w:r>
      <w:r w:rsidRPr="00E3756C">
        <w:t xml:space="preserve">1. </w:t>
      </w:r>
    </w:p>
    <w:p w14:paraId="6F227D5C" w14:textId="6480C5DD" w:rsidR="009B356F" w:rsidRPr="00E3756C" w:rsidRDefault="009B356F" w:rsidP="009B356F">
      <w:pPr>
        <w:pStyle w:val="Bullet"/>
      </w:pPr>
      <w:r w:rsidRPr="00E3756C">
        <w:t>It is anticipated all the steps mapped out in this framework can be followed at the local government</w:t>
      </w:r>
      <w:r w:rsidR="00616B1F" w:rsidRPr="00E3756C">
        <w:t>,</w:t>
      </w:r>
      <w:r w:rsidRPr="00E3756C">
        <w:t xml:space="preserve"> iwi</w:t>
      </w:r>
      <w:r w:rsidR="00616B1F" w:rsidRPr="00E3756C">
        <w:t xml:space="preserve"> and </w:t>
      </w:r>
      <w:r w:rsidRPr="00E3756C">
        <w:t>hapū levels. The content and considerations will be more localised</w:t>
      </w:r>
      <w:r w:rsidR="00616B1F" w:rsidRPr="00E3756C">
        <w:t>,</w:t>
      </w:r>
      <w:r w:rsidRPr="00E3756C">
        <w:t xml:space="preserve"> and it is likely greater quantitative detail will be available. As at the national level, lack of quantitative detail should not delay undertaking a localised risk assessment and </w:t>
      </w:r>
      <w:r w:rsidR="005C7BBB">
        <w:t xml:space="preserve">developing </w:t>
      </w:r>
      <w:r w:rsidRPr="00E3756C">
        <w:t>an adaptation plan.</w:t>
      </w:r>
    </w:p>
    <w:p w14:paraId="19301FD2" w14:textId="77777777" w:rsidR="009B356F" w:rsidRPr="00E3756C" w:rsidRDefault="00616B1F" w:rsidP="009B356F">
      <w:pPr>
        <w:pStyle w:val="Bullet"/>
      </w:pPr>
      <w:r w:rsidRPr="00E3756C">
        <w:t>A</w:t>
      </w:r>
      <w:r w:rsidR="009B356F" w:rsidRPr="00E3756C">
        <w:t>t the national level</w:t>
      </w:r>
      <w:r w:rsidRPr="00E3756C">
        <w:t>,</w:t>
      </w:r>
      <w:r w:rsidR="009B356F" w:rsidRPr="00E3756C">
        <w:t xml:space="preserve"> the direction of risk assessment, of necessity, needs to be targeted</w:t>
      </w:r>
      <w:r w:rsidR="007C779C" w:rsidRPr="00E3756C">
        <w:t xml:space="preserve"> more</w:t>
      </w:r>
      <w:r w:rsidR="009B356F" w:rsidRPr="00E3756C">
        <w:t xml:space="preserve"> at policy and fiscal settings</w:t>
      </w:r>
      <w:r w:rsidR="007C779C" w:rsidRPr="00E3756C">
        <w:t>.</w:t>
      </w:r>
      <w:r w:rsidR="009B356F" w:rsidRPr="00E3756C">
        <w:t xml:space="preserve"> </w:t>
      </w:r>
      <w:r w:rsidR="007C779C" w:rsidRPr="00E3756C">
        <w:t>A</w:t>
      </w:r>
      <w:r w:rsidR="009B356F" w:rsidRPr="00E3756C">
        <w:t>t the localised level</w:t>
      </w:r>
      <w:r w:rsidR="007C779C" w:rsidRPr="00E3756C">
        <w:t>,</w:t>
      </w:r>
      <w:r w:rsidR="009B356F" w:rsidRPr="00E3756C">
        <w:t xml:space="preserve"> the risk assessment can be targeted towards </w:t>
      </w:r>
      <w:r w:rsidR="007C779C" w:rsidRPr="00E3756C">
        <w:t xml:space="preserve">more </w:t>
      </w:r>
      <w:r w:rsidR="009B356F" w:rsidRPr="00E3756C">
        <w:t>specific localised actions.</w:t>
      </w:r>
    </w:p>
    <w:p w14:paraId="66417641" w14:textId="77777777" w:rsidR="009B356F" w:rsidRPr="00E3756C" w:rsidRDefault="009B356F" w:rsidP="009B356F">
      <w:pPr>
        <w:pStyle w:val="Bullet"/>
      </w:pPr>
      <w:r w:rsidRPr="00E3756C">
        <w:t>As expressed in the framework</w:t>
      </w:r>
      <w:r w:rsidR="007C779C" w:rsidRPr="00E3756C">
        <w:t>,</w:t>
      </w:r>
      <w:r w:rsidRPr="00E3756C">
        <w:t xml:space="preserve"> the process of expert elicitation and engagement are important components in undertaking a risk assessment.</w:t>
      </w:r>
    </w:p>
    <w:p w14:paraId="786299F0" w14:textId="77777777" w:rsidR="009B356F" w:rsidRPr="00E3756C" w:rsidRDefault="009B356F" w:rsidP="009B356F">
      <w:pPr>
        <w:pStyle w:val="Bullet"/>
      </w:pPr>
      <w:r w:rsidRPr="00E3756C">
        <w:t xml:space="preserve">It is anticipated that risk assessments at the local level will contribute to national level risk assessment and vice versa, </w:t>
      </w:r>
      <w:r w:rsidR="007C779C" w:rsidRPr="00E3756C">
        <w:t xml:space="preserve">so </w:t>
      </w:r>
      <w:r w:rsidRPr="00E3756C">
        <w:t>that</w:t>
      </w:r>
      <w:r w:rsidR="007C779C" w:rsidRPr="00E3756C">
        <w:t>,</w:t>
      </w:r>
      <w:r w:rsidRPr="00E3756C">
        <w:t xml:space="preserve"> over time</w:t>
      </w:r>
      <w:r w:rsidR="007C779C" w:rsidRPr="00E3756C">
        <w:t>,</w:t>
      </w:r>
      <w:r w:rsidRPr="00E3756C">
        <w:t xml:space="preserve"> the iterations will present substantial benefits to all. </w:t>
      </w:r>
      <w:r w:rsidR="007C779C" w:rsidRPr="00E3756C">
        <w:t>W</w:t>
      </w:r>
      <w:r w:rsidRPr="00E3756C">
        <w:t>here cross-cutting risks are involved</w:t>
      </w:r>
      <w:r w:rsidR="007C779C" w:rsidRPr="00E3756C">
        <w:t>,</w:t>
      </w:r>
      <w:r w:rsidRPr="00E3756C">
        <w:t xml:space="preserve"> learnings at the local level are expected to </w:t>
      </w:r>
      <w:r w:rsidR="001B16A0" w:rsidRPr="00E3756C">
        <w:t>prov</w:t>
      </w:r>
      <w:r w:rsidR="001B16A0">
        <w:t>ide</w:t>
      </w:r>
      <w:r w:rsidR="001B16A0" w:rsidRPr="00E3756C">
        <w:t xml:space="preserve"> </w:t>
      </w:r>
      <w:r w:rsidRPr="00E3756C">
        <w:t xml:space="preserve">valuable </w:t>
      </w:r>
      <w:r w:rsidR="007C779C" w:rsidRPr="00E3756C">
        <w:t xml:space="preserve">information </w:t>
      </w:r>
      <w:r w:rsidRPr="00E3756C">
        <w:t>at the national level.</w:t>
      </w:r>
    </w:p>
    <w:p w14:paraId="79B895D4" w14:textId="77777777" w:rsidR="009B356F" w:rsidRPr="00E3756C" w:rsidRDefault="009B356F" w:rsidP="009B356F">
      <w:pPr>
        <w:pStyle w:val="BodyText"/>
      </w:pPr>
      <w:r w:rsidRPr="00E3756C">
        <w:t>Local risk assessments should consider:</w:t>
      </w:r>
    </w:p>
    <w:p w14:paraId="3958D9C8" w14:textId="77777777" w:rsidR="009B356F" w:rsidRPr="00E3756C" w:rsidRDefault="009B356F" w:rsidP="009B356F">
      <w:pPr>
        <w:pStyle w:val="Bullet"/>
      </w:pPr>
      <w:r w:rsidRPr="00E3756C">
        <w:t>priority geographical areas (eg</w:t>
      </w:r>
      <w:r w:rsidR="007C779C" w:rsidRPr="00E3756C">
        <w:t>,</w:t>
      </w:r>
      <w:r w:rsidRPr="00E3756C">
        <w:t xml:space="preserve"> coastal regions, areas of social deprivation)</w:t>
      </w:r>
    </w:p>
    <w:p w14:paraId="20A79990" w14:textId="77777777" w:rsidR="009B356F" w:rsidRPr="00E3756C" w:rsidRDefault="009B356F" w:rsidP="009B356F">
      <w:pPr>
        <w:pStyle w:val="Bullet"/>
      </w:pPr>
      <w:r w:rsidRPr="00E3756C">
        <w:t>priority sectors or departments</w:t>
      </w:r>
    </w:p>
    <w:p w14:paraId="58BADCDD" w14:textId="77777777" w:rsidR="009B356F" w:rsidRPr="00E3756C" w:rsidRDefault="009B356F" w:rsidP="009B356F">
      <w:pPr>
        <w:pStyle w:val="Bullet"/>
      </w:pPr>
      <w:r w:rsidRPr="00E3756C">
        <w:t>the data currently available.</w:t>
      </w:r>
    </w:p>
    <w:p w14:paraId="13B7E2EE" w14:textId="77777777" w:rsidR="00A85950" w:rsidRPr="00E3756C" w:rsidRDefault="00A85950">
      <w:pPr>
        <w:spacing w:before="0" w:after="200" w:line="276" w:lineRule="auto"/>
        <w:jc w:val="left"/>
      </w:pPr>
      <w:r w:rsidRPr="00E3756C">
        <w:br w:type="page"/>
      </w:r>
    </w:p>
    <w:p w14:paraId="1089735F" w14:textId="77777777" w:rsidR="00A85950" w:rsidRPr="00E3756C" w:rsidRDefault="00A85950" w:rsidP="00A9569A">
      <w:pPr>
        <w:pStyle w:val="Heading1"/>
        <w:spacing w:after="240"/>
      </w:pPr>
      <w:bookmarkStart w:id="236" w:name="_Toc14361570"/>
      <w:bookmarkStart w:id="237" w:name="_Toc15409182"/>
      <w:r w:rsidRPr="00E3756C">
        <w:lastRenderedPageBreak/>
        <w:t>Glossary and abbreviations</w:t>
      </w:r>
      <w:bookmarkEnd w:id="236"/>
      <w:bookmarkEnd w:id="237"/>
    </w:p>
    <w:p w14:paraId="041BABC1" w14:textId="77777777" w:rsidR="00B67DD6" w:rsidRPr="00E3756C" w:rsidRDefault="00B67DD6" w:rsidP="00B67DD6">
      <w:pPr>
        <w:pStyle w:val="Heading3"/>
        <w:spacing w:after="240"/>
      </w:pPr>
      <w:bookmarkStart w:id="238" w:name="_Toc13570407"/>
      <w:bookmarkStart w:id="239" w:name="_Toc14361571"/>
      <w:r w:rsidRPr="00E3756C">
        <w:t>Glossary</w:t>
      </w:r>
      <w:bookmarkEnd w:id="238"/>
      <w:bookmarkEnd w:id="239"/>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00" w:firstRow="0" w:lastRow="0" w:firstColumn="0" w:lastColumn="0" w:noHBand="0" w:noVBand="1"/>
      </w:tblPr>
      <w:tblGrid>
        <w:gridCol w:w="2293"/>
        <w:gridCol w:w="6212"/>
      </w:tblGrid>
      <w:tr w:rsidR="00A9569A" w:rsidRPr="00484213" w14:paraId="517D7820" w14:textId="77777777" w:rsidTr="00323492">
        <w:trPr>
          <w:tblHeader/>
        </w:trPr>
        <w:tc>
          <w:tcPr>
            <w:tcW w:w="2293" w:type="dxa"/>
            <w:tcBorders>
              <w:bottom w:val="nil"/>
            </w:tcBorders>
            <w:shd w:val="clear" w:color="auto" w:fill="1C556C" w:themeFill="accent1"/>
          </w:tcPr>
          <w:p w14:paraId="3498ACFB" w14:textId="77777777" w:rsidR="00A9569A" w:rsidRPr="00484213" w:rsidRDefault="00A9569A" w:rsidP="00A9569A">
            <w:pPr>
              <w:pStyle w:val="Glossary"/>
              <w:rPr>
                <w:b/>
                <w:color w:val="FFFFFF" w:themeColor="background1"/>
              </w:rPr>
            </w:pPr>
            <w:bookmarkStart w:id="240" w:name="_Toc13570408"/>
            <w:bookmarkStart w:id="241" w:name="_Toc14361572"/>
            <w:bookmarkEnd w:id="240"/>
            <w:bookmarkEnd w:id="241"/>
            <w:r w:rsidRPr="00484213">
              <w:rPr>
                <w:b/>
                <w:color w:val="FFFFFF" w:themeColor="background1"/>
              </w:rPr>
              <w:t>Term</w:t>
            </w:r>
          </w:p>
        </w:tc>
        <w:tc>
          <w:tcPr>
            <w:tcW w:w="6212" w:type="dxa"/>
            <w:tcBorders>
              <w:bottom w:val="nil"/>
            </w:tcBorders>
            <w:shd w:val="clear" w:color="auto" w:fill="1C556C" w:themeFill="accent1"/>
          </w:tcPr>
          <w:p w14:paraId="6030F6EB" w14:textId="77777777" w:rsidR="00A9569A" w:rsidRPr="00484213" w:rsidRDefault="00A9569A" w:rsidP="00A9569A">
            <w:pPr>
              <w:pStyle w:val="Glossary"/>
              <w:rPr>
                <w:b/>
                <w:color w:val="FFFFFF" w:themeColor="background1"/>
              </w:rPr>
            </w:pPr>
            <w:r w:rsidRPr="00484213">
              <w:rPr>
                <w:b/>
                <w:color w:val="FFFFFF" w:themeColor="background1"/>
              </w:rPr>
              <w:t>Definition</w:t>
            </w:r>
          </w:p>
        </w:tc>
      </w:tr>
      <w:tr w:rsidR="00A9569A" w:rsidRPr="00484213" w14:paraId="63D558AF" w14:textId="77777777" w:rsidTr="00323492">
        <w:tc>
          <w:tcPr>
            <w:tcW w:w="2293" w:type="dxa"/>
            <w:tcBorders>
              <w:top w:val="nil"/>
            </w:tcBorders>
          </w:tcPr>
          <w:p w14:paraId="55764CE6" w14:textId="77777777" w:rsidR="00A9569A" w:rsidRPr="00484213" w:rsidRDefault="00A9569A" w:rsidP="00A9569A">
            <w:pPr>
              <w:rPr>
                <w:rFonts w:cs="Calibri"/>
                <w:b/>
                <w:sz w:val="20"/>
                <w:szCs w:val="20"/>
              </w:rPr>
            </w:pPr>
            <w:r w:rsidRPr="00484213">
              <w:rPr>
                <w:rFonts w:cs="Calibri"/>
                <w:b/>
                <w:sz w:val="20"/>
                <w:szCs w:val="20"/>
              </w:rPr>
              <w:t>Adaptation</w:t>
            </w:r>
          </w:p>
        </w:tc>
        <w:tc>
          <w:tcPr>
            <w:tcW w:w="6212" w:type="dxa"/>
            <w:tcBorders>
              <w:top w:val="nil"/>
            </w:tcBorders>
          </w:tcPr>
          <w:p w14:paraId="3670F543" w14:textId="77777777" w:rsidR="00A9569A" w:rsidRPr="00484213" w:rsidRDefault="00A9569A" w:rsidP="00A9569A">
            <w:pPr>
              <w:pStyle w:val="Glossary"/>
            </w:pPr>
            <w:r w:rsidRPr="00484213">
              <w:t>A response strategy to anticipate and cope with impacts that cannot be (or are not) avoided under different scenarios of climate change (IPCC, 2014b).</w:t>
            </w:r>
          </w:p>
          <w:p w14:paraId="267DDFC9" w14:textId="77777777" w:rsidR="00A9569A" w:rsidRPr="00484213" w:rsidRDefault="00A9569A" w:rsidP="00A9569A">
            <w:pPr>
              <w:pStyle w:val="Glossary"/>
            </w:pPr>
            <w:r w:rsidRPr="00484213">
              <w:t>The process of adjustment to actual or expected climate change and its effects. In human systems, adaptation seeks to moderate or avoid harm or exploit beneficial opportunities. In some natural systems, human intervention may facilitate adjustment to expected climate change and its effects (IPCC, 2014b).</w:t>
            </w:r>
          </w:p>
          <w:p w14:paraId="45FEF0B2" w14:textId="77777777" w:rsidR="00A9569A" w:rsidRPr="00484213" w:rsidRDefault="00A9569A" w:rsidP="00A9569A">
            <w:pPr>
              <w:pStyle w:val="Glossary"/>
            </w:pPr>
            <w:r w:rsidRPr="00484213">
              <w:t>Adaptation can be categorised as either:</w:t>
            </w:r>
          </w:p>
          <w:p w14:paraId="6064ABDD" w14:textId="77777777" w:rsidR="00A9569A" w:rsidRPr="00484213" w:rsidRDefault="00A9569A" w:rsidP="00013957">
            <w:pPr>
              <w:pStyle w:val="Bullet"/>
              <w:spacing w:after="60" w:line="240" w:lineRule="atLeast"/>
              <w:rPr>
                <w:sz w:val="20"/>
              </w:rPr>
            </w:pPr>
            <w:r w:rsidRPr="00484213">
              <w:rPr>
                <w:sz w:val="20"/>
              </w:rPr>
              <w:t>incremental – actions where the central aim is to maintain the essence and integrity of a system or process at a given scale</w:t>
            </w:r>
          </w:p>
          <w:p w14:paraId="112216E7" w14:textId="3B33956A" w:rsidR="00A9569A" w:rsidRPr="00484213" w:rsidRDefault="00A9569A" w:rsidP="00013957">
            <w:pPr>
              <w:pStyle w:val="Bullet"/>
              <w:spacing w:after="60" w:line="240" w:lineRule="atLeast"/>
            </w:pPr>
            <w:r w:rsidRPr="00484213">
              <w:rPr>
                <w:sz w:val="20"/>
              </w:rPr>
              <w:t>transformational – actions that change the fundamental attributes of a system in response to climate and its effects.</w:t>
            </w:r>
          </w:p>
        </w:tc>
      </w:tr>
      <w:tr w:rsidR="00A9569A" w:rsidRPr="00484213" w14:paraId="349489B8" w14:textId="77777777" w:rsidTr="00323492">
        <w:tc>
          <w:tcPr>
            <w:tcW w:w="2293" w:type="dxa"/>
          </w:tcPr>
          <w:p w14:paraId="0AB81755" w14:textId="77777777" w:rsidR="00A9569A" w:rsidRPr="00484213" w:rsidRDefault="00A9569A" w:rsidP="00A9569A">
            <w:pPr>
              <w:pStyle w:val="Glossary"/>
              <w:rPr>
                <w:b/>
              </w:rPr>
            </w:pPr>
            <w:r w:rsidRPr="00484213">
              <w:rPr>
                <w:b/>
              </w:rPr>
              <w:t>Adaptation threshold</w:t>
            </w:r>
          </w:p>
        </w:tc>
        <w:tc>
          <w:tcPr>
            <w:tcW w:w="6212" w:type="dxa"/>
          </w:tcPr>
          <w:p w14:paraId="5363BE9E" w14:textId="77777777" w:rsidR="00A9569A" w:rsidRPr="00484213" w:rsidRDefault="00A9569A" w:rsidP="00A9569A">
            <w:pPr>
              <w:pStyle w:val="Glossary"/>
            </w:pPr>
            <w:r w:rsidRPr="00484213">
              <w:t>Conditions, threshold, performance or level of service that is reached when agreed objectives (eg, health and safety, economic or environmental sustainability) would no longer be met, and an alternative adaptation pathway needs to be proactively implemented before the threshold is reached. Note: sometimes ‘tipping point’ is used, especially for environments, but this term is usually restricted to changes that are irreversible or unrecoverable.</w:t>
            </w:r>
          </w:p>
        </w:tc>
      </w:tr>
      <w:tr w:rsidR="00A9569A" w:rsidRPr="00484213" w14:paraId="15AFEC44" w14:textId="77777777" w:rsidTr="00323492">
        <w:tc>
          <w:tcPr>
            <w:tcW w:w="2293" w:type="dxa"/>
          </w:tcPr>
          <w:p w14:paraId="417414E9" w14:textId="77777777" w:rsidR="00A9569A" w:rsidRPr="00484213" w:rsidRDefault="00A9569A" w:rsidP="00A9569A">
            <w:pPr>
              <w:pStyle w:val="Glossary"/>
              <w:rPr>
                <w:b/>
              </w:rPr>
            </w:pPr>
            <w:r w:rsidRPr="00484213">
              <w:rPr>
                <w:b/>
              </w:rPr>
              <w:t>Adaptive capacity</w:t>
            </w:r>
          </w:p>
        </w:tc>
        <w:tc>
          <w:tcPr>
            <w:tcW w:w="6212" w:type="dxa"/>
          </w:tcPr>
          <w:p w14:paraId="1D5309E9" w14:textId="77777777" w:rsidR="00A9569A" w:rsidRPr="00484213" w:rsidRDefault="00A9569A" w:rsidP="00A9569A">
            <w:pPr>
              <w:pStyle w:val="Glossary"/>
            </w:pPr>
            <w:r w:rsidRPr="00484213">
              <w:t>The resources available for adaptation to climate change and variability or other related stresses, as well as the ability of a system to use these resources effectively in the pursuit of adaptation (Brooks and Adger, 2005). It is somewhat different from ‘adaptiveness’, which is an inherent ability to absorb and cope with change (sometimes called ‘autonomous adaptation’). Whereas ‘adaptation capacity’ focuses more on the barriers and enablers (including resources) for being able to implement adaptation. Communities, hapū and iwi can exhibit adaptiveness but may be limited by adaptive capacity due to the inequities already present in Aotearoa New Zealand relating to accessing resources. This could significantly hinder such communities, hapū and iwi groups in achieving better adaptation outcomes for their communities.</w:t>
            </w:r>
          </w:p>
        </w:tc>
      </w:tr>
      <w:tr w:rsidR="00A9569A" w:rsidRPr="00484213" w14:paraId="1D54D707" w14:textId="77777777" w:rsidTr="00323492">
        <w:tc>
          <w:tcPr>
            <w:tcW w:w="2293" w:type="dxa"/>
          </w:tcPr>
          <w:p w14:paraId="19079E29" w14:textId="77777777" w:rsidR="00A9569A" w:rsidRPr="00484213" w:rsidRDefault="00A9569A" w:rsidP="00A9569A">
            <w:pPr>
              <w:keepNext/>
              <w:spacing w:before="60"/>
              <w:rPr>
                <w:rFonts w:cs="Calibri"/>
                <w:b/>
                <w:sz w:val="20"/>
                <w:szCs w:val="20"/>
              </w:rPr>
            </w:pPr>
            <w:r w:rsidRPr="00484213">
              <w:rPr>
                <w:rFonts w:cs="Calibri"/>
                <w:b/>
                <w:sz w:val="20"/>
                <w:szCs w:val="20"/>
              </w:rPr>
              <w:t>Assets</w:t>
            </w:r>
          </w:p>
        </w:tc>
        <w:tc>
          <w:tcPr>
            <w:tcW w:w="6212" w:type="dxa"/>
          </w:tcPr>
          <w:p w14:paraId="544B39E0" w14:textId="77777777" w:rsidR="00A9569A" w:rsidRPr="00484213" w:rsidRDefault="00A9569A" w:rsidP="00A9569A">
            <w:pPr>
              <w:pStyle w:val="Glossary"/>
            </w:pPr>
            <w:r w:rsidRPr="00484213">
              <w:t xml:space="preserve">‘Things of value’ that may be exposed or vulnerable to a hazard or risk. </w:t>
            </w:r>
          </w:p>
          <w:p w14:paraId="64F81BF1" w14:textId="77777777" w:rsidR="00A9569A" w:rsidRPr="00484213" w:rsidRDefault="00A9569A" w:rsidP="00A9569A">
            <w:pPr>
              <w:pStyle w:val="Glossary"/>
              <w:rPr>
                <w:color w:val="1C556C"/>
              </w:rPr>
            </w:pPr>
            <w:r w:rsidRPr="00484213">
              <w:t xml:space="preserve">Physical, environmental, cultural, financial or economic element that has tangible, intrinsic or spiritual value (see </w:t>
            </w:r>
            <w:r w:rsidRPr="00484213">
              <w:rPr>
                <w:b/>
              </w:rPr>
              <w:t>Taonga</w:t>
            </w:r>
            <w:r w:rsidRPr="00484213">
              <w:t>).</w:t>
            </w:r>
          </w:p>
        </w:tc>
      </w:tr>
      <w:tr w:rsidR="00A9569A" w:rsidRPr="00484213" w14:paraId="346CC892" w14:textId="77777777" w:rsidTr="00323492">
        <w:tc>
          <w:tcPr>
            <w:tcW w:w="2293" w:type="dxa"/>
          </w:tcPr>
          <w:p w14:paraId="5AC9DF4A" w14:textId="77777777" w:rsidR="00A9569A" w:rsidRPr="00484213" w:rsidRDefault="00A9569A" w:rsidP="00A9569A">
            <w:pPr>
              <w:pStyle w:val="Glossary"/>
              <w:rPr>
                <w:b/>
              </w:rPr>
            </w:pPr>
            <w:r w:rsidRPr="00484213">
              <w:rPr>
                <w:b/>
              </w:rPr>
              <w:t>Climate change</w:t>
            </w:r>
          </w:p>
        </w:tc>
        <w:tc>
          <w:tcPr>
            <w:tcW w:w="6212" w:type="dxa"/>
          </w:tcPr>
          <w:p w14:paraId="0D87F91F" w14:textId="77777777" w:rsidR="00A9569A" w:rsidRPr="00484213" w:rsidRDefault="00A9569A" w:rsidP="00A9569A">
            <w:pPr>
              <w:pStyle w:val="Glossary"/>
            </w:pPr>
            <w:r w:rsidRPr="00484213">
              <w:t xml:space="preserve">Climate change refers to a change in the state of the climate that can be identified (eg, by using statistical tests) by changes or trends in the mean and/or the variability of its properties, and that persists for an extended period, typically decades to centuries. Climate change includes natural internal climate processes or external climate forcings, such as variations </w:t>
            </w:r>
            <w:r w:rsidRPr="00484213">
              <w:lastRenderedPageBreak/>
              <w:t>in solar cycles, volcanic eruptions and persistent anthropogenic changes in the composition of the atmosphere or changes in land use (adapted from IPCC, 2013, annex III).</w:t>
            </w:r>
          </w:p>
        </w:tc>
      </w:tr>
      <w:tr w:rsidR="00A9569A" w:rsidRPr="00484213" w14:paraId="683E4A4C" w14:textId="77777777" w:rsidTr="00323492">
        <w:tc>
          <w:tcPr>
            <w:tcW w:w="2293" w:type="dxa"/>
          </w:tcPr>
          <w:p w14:paraId="4C574641" w14:textId="77777777" w:rsidR="00A9569A" w:rsidRPr="00484213" w:rsidRDefault="00A9569A" w:rsidP="00A9569A">
            <w:pPr>
              <w:pStyle w:val="Glossary"/>
              <w:rPr>
                <w:b/>
              </w:rPr>
            </w:pPr>
            <w:r w:rsidRPr="00484213">
              <w:rPr>
                <w:b/>
              </w:rPr>
              <w:lastRenderedPageBreak/>
              <w:t>Climate projection</w:t>
            </w:r>
          </w:p>
        </w:tc>
        <w:tc>
          <w:tcPr>
            <w:tcW w:w="6212" w:type="dxa"/>
          </w:tcPr>
          <w:p w14:paraId="4B2F14D0" w14:textId="44F7CD16" w:rsidR="00A9569A" w:rsidRPr="00484213" w:rsidRDefault="00A9569A" w:rsidP="00A9569A">
            <w:pPr>
              <w:pStyle w:val="Glossary"/>
            </w:pPr>
            <w:r w:rsidRPr="00484213">
              <w:t>A climate projection is the simulated response of the climate system to a scenario of future emission or concentration of greenhouse gases and aerosols, generally derived using climate models. Climate projections are distinguished from climate predictions by their dependence on the emission–concentration–radiative–forcing scenario used, which is in turn based on narrative with assumptions, for example, future socio-economic, technological developments or land</w:t>
            </w:r>
            <w:r w:rsidR="005C7BBB">
              <w:t>-</w:t>
            </w:r>
            <w:r w:rsidRPr="00484213">
              <w:t xml:space="preserve">use change that may or may not be realised (adapted from IPCC, 2013, </w:t>
            </w:r>
            <w:r w:rsidRPr="00484213">
              <w:rPr>
                <w:color w:val="000000" w:themeColor="text1"/>
              </w:rPr>
              <w:t xml:space="preserve">annex III). </w:t>
            </w:r>
          </w:p>
        </w:tc>
      </w:tr>
      <w:tr w:rsidR="00A9569A" w:rsidRPr="00484213" w14:paraId="0435E50D" w14:textId="77777777" w:rsidTr="00323492">
        <w:tc>
          <w:tcPr>
            <w:tcW w:w="2293" w:type="dxa"/>
          </w:tcPr>
          <w:p w14:paraId="38B5448A" w14:textId="77777777" w:rsidR="00A9569A" w:rsidRPr="00484213" w:rsidRDefault="00A9569A" w:rsidP="00A9569A">
            <w:pPr>
              <w:pStyle w:val="Glossary"/>
              <w:rPr>
                <w:b/>
              </w:rPr>
            </w:pPr>
            <w:r w:rsidRPr="00484213">
              <w:rPr>
                <w:b/>
              </w:rPr>
              <w:t>Community</w:t>
            </w:r>
          </w:p>
        </w:tc>
        <w:tc>
          <w:tcPr>
            <w:tcW w:w="6212" w:type="dxa"/>
          </w:tcPr>
          <w:p w14:paraId="1D13306F" w14:textId="77777777" w:rsidR="00A9569A" w:rsidRPr="00484213" w:rsidRDefault="00A9569A" w:rsidP="00A9569A">
            <w:pPr>
              <w:pStyle w:val="Glossary"/>
            </w:pPr>
            <w:r w:rsidRPr="00484213">
              <w:t>A community may be a geographical location (community of place), a community of similar interest (community of practice) or a community of affiliation or identity (such as industry).</w:t>
            </w:r>
          </w:p>
        </w:tc>
      </w:tr>
      <w:tr w:rsidR="00A9569A" w:rsidRPr="00484213" w14:paraId="7107E528" w14:textId="77777777" w:rsidTr="00323492">
        <w:tc>
          <w:tcPr>
            <w:tcW w:w="2293" w:type="dxa"/>
          </w:tcPr>
          <w:p w14:paraId="22A0C538" w14:textId="77777777" w:rsidR="00A9569A" w:rsidRPr="00484213" w:rsidRDefault="00A9569A" w:rsidP="00A9569A">
            <w:pPr>
              <w:pStyle w:val="Glossary"/>
              <w:rPr>
                <w:b/>
                <w:color w:val="000000"/>
              </w:rPr>
            </w:pPr>
            <w:r w:rsidRPr="00484213">
              <w:rPr>
                <w:b/>
              </w:rPr>
              <w:t>Compound hazards and stressors</w:t>
            </w:r>
          </w:p>
        </w:tc>
        <w:tc>
          <w:tcPr>
            <w:tcW w:w="6212" w:type="dxa"/>
          </w:tcPr>
          <w:p w14:paraId="0CBAB03E" w14:textId="77777777" w:rsidR="00A9569A" w:rsidRPr="00484213" w:rsidRDefault="00A9569A" w:rsidP="00A9569A">
            <w:pPr>
              <w:pStyle w:val="Glossary"/>
            </w:pPr>
            <w:r w:rsidRPr="00484213">
              <w:t xml:space="preserve">Combined occurrences of multiple hazards and stressors (ie, cumulative hazards) that will become more significant in the future as adaptation thresholds are reached, for example, for a low-lying coastal area, a persistent wet season (high groundwater, reduced field capacity) is followed by a coastal storm </w:t>
            </w:r>
            <w:r>
              <w:t>amplified by</w:t>
            </w:r>
            <w:r w:rsidRPr="00484213">
              <w:t xml:space="preserve"> sea-level rise coincident with intense rainfall, leading to compound flooding impacts. </w:t>
            </w:r>
          </w:p>
        </w:tc>
      </w:tr>
      <w:tr w:rsidR="00A9569A" w:rsidRPr="00484213" w14:paraId="6217E9AC" w14:textId="77777777" w:rsidTr="00323492">
        <w:tc>
          <w:tcPr>
            <w:tcW w:w="2293" w:type="dxa"/>
          </w:tcPr>
          <w:p w14:paraId="56EF16EE" w14:textId="77777777" w:rsidR="00A9569A" w:rsidRPr="00484213" w:rsidRDefault="00A9569A" w:rsidP="00A9569A">
            <w:pPr>
              <w:pStyle w:val="Glossary"/>
              <w:rPr>
                <w:b/>
              </w:rPr>
            </w:pPr>
            <w:r w:rsidRPr="00484213">
              <w:rPr>
                <w:b/>
              </w:rPr>
              <w:t>Confidence</w:t>
            </w:r>
          </w:p>
        </w:tc>
        <w:tc>
          <w:tcPr>
            <w:tcW w:w="6212" w:type="dxa"/>
          </w:tcPr>
          <w:p w14:paraId="2D4F9BC7" w14:textId="77777777" w:rsidR="00A9569A" w:rsidRPr="00484213" w:rsidRDefault="00A9569A" w:rsidP="00A9569A">
            <w:pPr>
              <w:pStyle w:val="Glossary"/>
            </w:pPr>
            <w:r w:rsidRPr="00484213">
              <w:t>A qualitative measure of the validity of a finding, based on the type, amount, quality and consistency of evidence (eg, data, mechanistic understanding, theory, models, expert judgement) and the degree of</w:t>
            </w:r>
            <w:r>
              <w:t> </w:t>
            </w:r>
            <w:r w:rsidRPr="00484213">
              <w:t>agreement.</w:t>
            </w:r>
          </w:p>
        </w:tc>
      </w:tr>
      <w:tr w:rsidR="00A9569A" w:rsidRPr="00484213" w14:paraId="1168B406" w14:textId="77777777" w:rsidTr="00323492">
        <w:tc>
          <w:tcPr>
            <w:tcW w:w="2293" w:type="dxa"/>
          </w:tcPr>
          <w:p w14:paraId="4A6C5728" w14:textId="77777777" w:rsidR="00A9569A" w:rsidRPr="00484213" w:rsidRDefault="00A9569A" w:rsidP="00A9569A">
            <w:pPr>
              <w:pStyle w:val="Glossary"/>
              <w:rPr>
                <w:b/>
              </w:rPr>
            </w:pPr>
            <w:r w:rsidRPr="00484213">
              <w:rPr>
                <w:b/>
              </w:rPr>
              <w:t>Consequence</w:t>
            </w:r>
          </w:p>
        </w:tc>
        <w:tc>
          <w:tcPr>
            <w:tcW w:w="6212" w:type="dxa"/>
          </w:tcPr>
          <w:p w14:paraId="3958740C" w14:textId="77777777" w:rsidR="00A9569A" w:rsidRPr="00484213" w:rsidRDefault="00A9569A" w:rsidP="00A9569A">
            <w:pPr>
              <w:pStyle w:val="Glossary"/>
            </w:pPr>
            <w:r w:rsidRPr="00484213">
              <w:t>The outcome of an event that may result from a hazard. It can be expressed quantitatively (eg, units of damage or loss, disruption period, monetary value of impacts or environmental effect), semi-quantitatively by category (eg, high, medium, low level of impact) or qualitatively (a description of the impacts). It is also defined as the outcome of an event affecting objectives (ISO/IEC 27000:2014 (ISO, 2014) and AS/ISO 31000:2009 (Standards</w:t>
            </w:r>
            <w:r w:rsidRPr="00484213">
              <w:rPr>
                <w:rFonts w:cs="Calibri"/>
              </w:rPr>
              <w:t xml:space="preserve"> New Zealand/Standards Australia,</w:t>
            </w:r>
            <w:r w:rsidRPr="00484213">
              <w:rPr>
                <w:rFonts w:cs="Calibri"/>
                <w:i/>
                <w:iCs/>
              </w:rPr>
              <w:t xml:space="preserve"> </w:t>
            </w:r>
            <w:r w:rsidRPr="00484213">
              <w:rPr>
                <w:rFonts w:cs="Calibri"/>
              </w:rPr>
              <w:t>2009</w:t>
            </w:r>
            <w:r w:rsidRPr="00484213">
              <w:t>).</w:t>
            </w:r>
          </w:p>
        </w:tc>
      </w:tr>
      <w:tr w:rsidR="00A9569A" w:rsidRPr="00484213" w14:paraId="46FD4AA7" w14:textId="77777777" w:rsidTr="00323492">
        <w:tc>
          <w:tcPr>
            <w:tcW w:w="2293" w:type="dxa"/>
          </w:tcPr>
          <w:p w14:paraId="78CEFE7A" w14:textId="77777777" w:rsidR="00A9569A" w:rsidRPr="00484213" w:rsidRDefault="00A9569A" w:rsidP="00A9569A">
            <w:pPr>
              <w:pStyle w:val="Glossary"/>
              <w:rPr>
                <w:b/>
              </w:rPr>
            </w:pPr>
            <w:r w:rsidRPr="00484213">
              <w:rPr>
                <w:b/>
              </w:rPr>
              <w:t>Coping capacity</w:t>
            </w:r>
          </w:p>
        </w:tc>
        <w:tc>
          <w:tcPr>
            <w:tcW w:w="6212" w:type="dxa"/>
          </w:tcPr>
          <w:p w14:paraId="38058648" w14:textId="77777777" w:rsidR="00A9569A" w:rsidRPr="00484213" w:rsidRDefault="00A9569A" w:rsidP="00A9569A">
            <w:pPr>
              <w:pStyle w:val="Glossary"/>
            </w:pPr>
            <w:r w:rsidRPr="00484213">
              <w:t>The ability of people, institutions, organisations and systems, using available skills, values, beliefs, resources and opportunities, to address, manage and overcome adverse conditions, risk or disasters in the short to medium term. The capacity to cope requires continuing awareness, resources and good management, both in normal times and during disasters or adverse conditions. Coping capacities contribute to the reduction of disaster risks (Secretary-General United Nations, 2016).</w:t>
            </w:r>
          </w:p>
        </w:tc>
      </w:tr>
      <w:tr w:rsidR="00A9569A" w:rsidRPr="00484213" w14:paraId="672559C8" w14:textId="77777777" w:rsidTr="00323492">
        <w:tc>
          <w:tcPr>
            <w:tcW w:w="2293" w:type="dxa"/>
          </w:tcPr>
          <w:p w14:paraId="7E25C1FB" w14:textId="77777777" w:rsidR="00A9569A" w:rsidRPr="00484213" w:rsidRDefault="00A9569A" w:rsidP="00A9569A">
            <w:pPr>
              <w:pStyle w:val="Glossary"/>
              <w:rPr>
                <w:b/>
              </w:rPr>
            </w:pPr>
            <w:r w:rsidRPr="00484213">
              <w:rPr>
                <w:b/>
              </w:rPr>
              <w:t>Driver</w:t>
            </w:r>
          </w:p>
        </w:tc>
        <w:tc>
          <w:tcPr>
            <w:tcW w:w="6212" w:type="dxa"/>
          </w:tcPr>
          <w:p w14:paraId="098FA7CF" w14:textId="63934A7A" w:rsidR="00A9569A" w:rsidRPr="00484213" w:rsidRDefault="00A9569A" w:rsidP="005C7BBB">
            <w:pPr>
              <w:pStyle w:val="Glossary"/>
            </w:pPr>
            <w:r w:rsidRPr="00484213">
              <w:t xml:space="preserve">An aspect that changes a given system. Drivers can be short term, but they are mainly long term in their effects. Changes in both the climate system and socio-economic processes, including adaptation and mitigation, are drivers of hazards, exposure and vulnerability. </w:t>
            </w:r>
            <w:r w:rsidR="005C7BBB">
              <w:t>Thus d</w:t>
            </w:r>
            <w:r w:rsidRPr="00484213">
              <w:t>rivers can</w:t>
            </w:r>
            <w:r w:rsidR="005C7BBB">
              <w:t xml:space="preserve"> </w:t>
            </w:r>
            <w:r w:rsidRPr="00484213">
              <w:t>be climatic or non-climatic.</w:t>
            </w:r>
          </w:p>
        </w:tc>
      </w:tr>
      <w:tr w:rsidR="00A9569A" w:rsidRPr="00484213" w14:paraId="2004FB37" w14:textId="77777777" w:rsidTr="00323492">
        <w:tc>
          <w:tcPr>
            <w:tcW w:w="2293" w:type="dxa"/>
          </w:tcPr>
          <w:p w14:paraId="1EF24698" w14:textId="77777777" w:rsidR="00A9569A" w:rsidRPr="00484213" w:rsidRDefault="00A9569A" w:rsidP="00A9569A">
            <w:pPr>
              <w:pStyle w:val="Glossary"/>
              <w:rPr>
                <w:b/>
              </w:rPr>
            </w:pPr>
            <w:r w:rsidRPr="00484213">
              <w:rPr>
                <w:b/>
              </w:rPr>
              <w:t>Emissions</w:t>
            </w:r>
          </w:p>
        </w:tc>
        <w:tc>
          <w:tcPr>
            <w:tcW w:w="6212" w:type="dxa"/>
          </w:tcPr>
          <w:p w14:paraId="4F8AEF23" w14:textId="77777777" w:rsidR="00A9569A" w:rsidRPr="00484213" w:rsidRDefault="00A9569A" w:rsidP="00A9569A">
            <w:pPr>
              <w:pStyle w:val="Glossary"/>
            </w:pPr>
            <w:r w:rsidRPr="00484213">
              <w:t>The production and discharge of substances that are potentially radiatively active (ie, absorb and emit radiant energy) in the atmosphere (eg, greenhouse gases, aerosols).</w:t>
            </w:r>
          </w:p>
        </w:tc>
      </w:tr>
      <w:tr w:rsidR="00A9569A" w:rsidRPr="00484213" w14:paraId="3134537D" w14:textId="77777777" w:rsidTr="00323492">
        <w:tc>
          <w:tcPr>
            <w:tcW w:w="2293" w:type="dxa"/>
          </w:tcPr>
          <w:p w14:paraId="7A263D3A" w14:textId="77777777" w:rsidR="00A9569A" w:rsidRPr="00484213" w:rsidRDefault="00A9569A" w:rsidP="00A9569A">
            <w:pPr>
              <w:pStyle w:val="Glossary"/>
              <w:rPr>
                <w:b/>
              </w:rPr>
            </w:pPr>
            <w:r w:rsidRPr="00484213">
              <w:rPr>
                <w:b/>
              </w:rPr>
              <w:lastRenderedPageBreak/>
              <w:t xml:space="preserve">Exposure </w:t>
            </w:r>
          </w:p>
        </w:tc>
        <w:tc>
          <w:tcPr>
            <w:tcW w:w="6212" w:type="dxa"/>
          </w:tcPr>
          <w:p w14:paraId="2807C884" w14:textId="77777777" w:rsidR="00A9569A" w:rsidRPr="00484213" w:rsidRDefault="00A9569A" w:rsidP="00A9569A">
            <w:pPr>
              <w:pStyle w:val="Glossary"/>
            </w:pPr>
            <w:r w:rsidRPr="00484213">
              <w:t>The presence of people, livelihoods, species or ecosystems, environmental functions, services, resources and</w:t>
            </w:r>
            <w:r>
              <w:t xml:space="preserve"> </w:t>
            </w:r>
            <w:r w:rsidRPr="00484213">
              <w:t>infrastructure, or economic, social or cultural assets in places and settings that could be adversely affected by natural hazards and climate change.</w:t>
            </w:r>
          </w:p>
          <w:p w14:paraId="4DA43FE7" w14:textId="77777777" w:rsidR="00A9569A" w:rsidRPr="00484213" w:rsidRDefault="00A9569A" w:rsidP="00A9569A">
            <w:pPr>
              <w:pStyle w:val="Glossary"/>
            </w:pPr>
            <w:r w:rsidRPr="00484213">
              <w:t>The number, density or value of people, property, services or other things we value (taonga) that are present within an area subject to one or more hazards (ie, within a hazard zone), and that may experience potential loss or harm.</w:t>
            </w:r>
          </w:p>
        </w:tc>
      </w:tr>
      <w:tr w:rsidR="00A9569A" w:rsidRPr="00484213" w14:paraId="59162DB8" w14:textId="77777777" w:rsidTr="00323492">
        <w:tc>
          <w:tcPr>
            <w:tcW w:w="2293" w:type="dxa"/>
          </w:tcPr>
          <w:p w14:paraId="3F73C2B2" w14:textId="77777777" w:rsidR="00A9569A" w:rsidRPr="00484213" w:rsidRDefault="00A9569A" w:rsidP="00A9569A">
            <w:pPr>
              <w:pStyle w:val="Glossary"/>
              <w:rPr>
                <w:b/>
              </w:rPr>
            </w:pPr>
            <w:r w:rsidRPr="00484213">
              <w:rPr>
                <w:b/>
              </w:rPr>
              <w:t>Frequency</w:t>
            </w:r>
          </w:p>
        </w:tc>
        <w:tc>
          <w:tcPr>
            <w:tcW w:w="6212" w:type="dxa"/>
          </w:tcPr>
          <w:p w14:paraId="5700E9CC" w14:textId="77777777" w:rsidR="00A9569A" w:rsidRPr="00484213" w:rsidRDefault="00A9569A" w:rsidP="00A9569A">
            <w:pPr>
              <w:pStyle w:val="Glossary"/>
            </w:pPr>
            <w:r w:rsidRPr="00484213">
              <w:t>The number or rate of occurrences of hazards, usually over a particular period.</w:t>
            </w:r>
          </w:p>
        </w:tc>
      </w:tr>
      <w:tr w:rsidR="00A9569A" w:rsidRPr="00484213" w14:paraId="0D4CF7C8" w14:textId="77777777" w:rsidTr="00323492">
        <w:tc>
          <w:tcPr>
            <w:tcW w:w="2293" w:type="dxa"/>
          </w:tcPr>
          <w:p w14:paraId="42E4DA4A" w14:textId="77777777" w:rsidR="00A9569A" w:rsidRPr="00484213" w:rsidRDefault="00A9569A" w:rsidP="00A9569A">
            <w:pPr>
              <w:pStyle w:val="Glossary"/>
              <w:rPr>
                <w:b/>
              </w:rPr>
            </w:pPr>
            <w:r w:rsidRPr="00484213">
              <w:rPr>
                <w:b/>
              </w:rPr>
              <w:t xml:space="preserve">Hazard </w:t>
            </w:r>
          </w:p>
        </w:tc>
        <w:tc>
          <w:tcPr>
            <w:tcW w:w="6212" w:type="dxa"/>
          </w:tcPr>
          <w:p w14:paraId="609718AE" w14:textId="77777777" w:rsidR="00A9569A" w:rsidRPr="00484213" w:rsidRDefault="00A9569A" w:rsidP="00A9569A">
            <w:pPr>
              <w:pStyle w:val="Glossary"/>
            </w:pPr>
            <w:r w:rsidRPr="00484213">
              <w:t xml:space="preserve">The potential occurrence of a natural </w:t>
            </w:r>
            <w:r w:rsidRPr="00102E6F">
              <w:rPr>
                <w:b/>
              </w:rPr>
              <w:t>or</w:t>
            </w:r>
            <w:r w:rsidRPr="00484213">
              <w:t xml:space="preserve"> human-induced physical event, trend </w:t>
            </w:r>
            <w:r w:rsidRPr="00102E6F">
              <w:rPr>
                <w:b/>
              </w:rPr>
              <w:t>or</w:t>
            </w:r>
            <w:r w:rsidRPr="00484213">
              <w:t xml:space="preserve"> physical impact that may cause loss of life, injury or other health impacts, as well as damage and loss to property, infrastructure, livelihoods, service provision, and environmental resources. The term hazard usually refers to climate-related physical events or trends or their physical impacts (IPCC, 2014b).</w:t>
            </w:r>
          </w:p>
          <w:p w14:paraId="1F9AB636" w14:textId="249D1A57" w:rsidR="00A9569A" w:rsidRPr="00484213" w:rsidRDefault="00A9569A" w:rsidP="00A9569A">
            <w:pPr>
              <w:pStyle w:val="Glossary"/>
            </w:pPr>
            <w:r w:rsidRPr="00484213">
              <w:t>An adverse event (hours to months) influenced or exacerbated by climate change and that may be a combination of more than one climate</w:t>
            </w:r>
            <w:r w:rsidR="005C7BBB">
              <w:t xml:space="preserve"> </w:t>
            </w:r>
            <w:r w:rsidRPr="00484213">
              <w:t>change factor.</w:t>
            </w:r>
          </w:p>
        </w:tc>
      </w:tr>
      <w:tr w:rsidR="00A9569A" w:rsidRPr="00484213" w14:paraId="700C279D" w14:textId="77777777" w:rsidTr="00323492">
        <w:tc>
          <w:tcPr>
            <w:tcW w:w="2293" w:type="dxa"/>
          </w:tcPr>
          <w:p w14:paraId="5CCA760B" w14:textId="77777777" w:rsidR="00A9569A" w:rsidRPr="00484213" w:rsidRDefault="00A9569A" w:rsidP="00A9569A">
            <w:pPr>
              <w:pStyle w:val="Glossary"/>
              <w:rPr>
                <w:b/>
              </w:rPr>
            </w:pPr>
            <w:r w:rsidRPr="00484213">
              <w:rPr>
                <w:b/>
              </w:rPr>
              <w:t>Impact</w:t>
            </w:r>
          </w:p>
        </w:tc>
        <w:tc>
          <w:tcPr>
            <w:tcW w:w="6212" w:type="dxa"/>
          </w:tcPr>
          <w:p w14:paraId="5E1F5B49" w14:textId="77777777" w:rsidR="00A9569A" w:rsidRPr="00484213" w:rsidRDefault="00A9569A" w:rsidP="00A9569A">
            <w:pPr>
              <w:pStyle w:val="Glossary"/>
            </w:pPr>
            <w:r w:rsidRPr="00484213">
              <w:t xml:space="preserve">An effect on natural and/or human systems. The term impact is used mainly to refer to the effects on natural and human systems of extreme weather and events and of climate change. Impacts generally refer to effects on lives, livelihoods, health, ecosystems, economies, societies, cultures, services and infrastructure due to the interaction of climate changes or hazardous climate events occurring within a specific timeframe and the vulnerability of an exposed society or system. </w:t>
            </w:r>
          </w:p>
          <w:p w14:paraId="73FDF0CF" w14:textId="77777777" w:rsidR="00A9569A" w:rsidRPr="00484213" w:rsidRDefault="00A9569A" w:rsidP="00A9569A">
            <w:pPr>
              <w:pStyle w:val="Glossary"/>
            </w:pPr>
            <w:r w:rsidRPr="00484213">
              <w:t xml:space="preserve">Note: impacts are also referred to as consequences and outcomes. </w:t>
            </w:r>
          </w:p>
        </w:tc>
      </w:tr>
      <w:tr w:rsidR="00A9569A" w:rsidRPr="00484213" w14:paraId="77776310" w14:textId="77777777" w:rsidTr="00323492">
        <w:tc>
          <w:tcPr>
            <w:tcW w:w="2293" w:type="dxa"/>
          </w:tcPr>
          <w:p w14:paraId="1D5899F7" w14:textId="77777777" w:rsidR="00A9569A" w:rsidRPr="00484213" w:rsidRDefault="00A9569A" w:rsidP="00A9569A">
            <w:pPr>
              <w:pStyle w:val="Glossary"/>
              <w:rPr>
                <w:b/>
              </w:rPr>
            </w:pPr>
            <w:r w:rsidRPr="00484213">
              <w:rPr>
                <w:b/>
              </w:rPr>
              <w:t>Intergovernmental Panel on Climate Change (IPCC)</w:t>
            </w:r>
          </w:p>
        </w:tc>
        <w:tc>
          <w:tcPr>
            <w:tcW w:w="6212" w:type="dxa"/>
          </w:tcPr>
          <w:p w14:paraId="6B1749CE" w14:textId="77777777" w:rsidR="00A9569A" w:rsidRPr="00484213" w:rsidRDefault="00A9569A" w:rsidP="00A9569A">
            <w:pPr>
              <w:pStyle w:val="Glossary"/>
            </w:pPr>
            <w:r w:rsidRPr="00484213">
              <w:t>This is a scientific and intergovernmental body under the auspices of the United Nations.</w:t>
            </w:r>
          </w:p>
        </w:tc>
      </w:tr>
      <w:tr w:rsidR="00A9569A" w:rsidRPr="00484213" w14:paraId="0F97A0D1" w14:textId="77777777" w:rsidTr="00323492">
        <w:tc>
          <w:tcPr>
            <w:tcW w:w="2293" w:type="dxa"/>
          </w:tcPr>
          <w:p w14:paraId="3A204723" w14:textId="77777777" w:rsidR="00A9569A" w:rsidRPr="00484213" w:rsidRDefault="00A9569A" w:rsidP="00A9569A">
            <w:pPr>
              <w:pStyle w:val="Glossary"/>
              <w:rPr>
                <w:b/>
              </w:rPr>
            </w:pPr>
            <w:r w:rsidRPr="00484213">
              <w:rPr>
                <w:b/>
              </w:rPr>
              <w:t>Heatwaves</w:t>
            </w:r>
          </w:p>
        </w:tc>
        <w:tc>
          <w:tcPr>
            <w:tcW w:w="6212" w:type="dxa"/>
          </w:tcPr>
          <w:p w14:paraId="0355D9F8" w14:textId="77777777" w:rsidR="00A9569A" w:rsidRPr="00484213" w:rsidRDefault="00A9569A" w:rsidP="00A9569A">
            <w:pPr>
              <w:pStyle w:val="Glossary"/>
            </w:pPr>
            <w:r w:rsidRPr="00484213">
              <w:t>For Aotearoa New Zealand, heatwaves are currently</w:t>
            </w:r>
            <w:r>
              <w:t xml:space="preserve"> </w:t>
            </w:r>
            <w:r w:rsidRPr="00484213">
              <w:t>defined as how many consecutive days the</w:t>
            </w:r>
            <w:r>
              <w:t xml:space="preserve"> </w:t>
            </w:r>
            <w:r w:rsidRPr="00484213">
              <w:t xml:space="preserve">air temperature is more than 25 degrees Celsius. </w:t>
            </w:r>
          </w:p>
        </w:tc>
      </w:tr>
      <w:tr w:rsidR="00A9569A" w:rsidRPr="00484213" w14:paraId="0C5E7372" w14:textId="77777777" w:rsidTr="00323492">
        <w:tc>
          <w:tcPr>
            <w:tcW w:w="2293" w:type="dxa"/>
          </w:tcPr>
          <w:p w14:paraId="47011B5C" w14:textId="77777777" w:rsidR="00A9569A" w:rsidRPr="00484213" w:rsidRDefault="00A9569A" w:rsidP="00A9569A">
            <w:pPr>
              <w:pStyle w:val="Glossary"/>
              <w:rPr>
                <w:rFonts w:cs="Calibri"/>
                <w:b/>
                <w:color w:val="000000"/>
                <w:szCs w:val="20"/>
              </w:rPr>
            </w:pPr>
            <w:r w:rsidRPr="00484213">
              <w:rPr>
                <w:b/>
              </w:rPr>
              <w:t xml:space="preserve">Kaitiaki </w:t>
            </w:r>
          </w:p>
        </w:tc>
        <w:tc>
          <w:tcPr>
            <w:tcW w:w="6212" w:type="dxa"/>
          </w:tcPr>
          <w:p w14:paraId="1083836C" w14:textId="77777777" w:rsidR="00A9569A" w:rsidRPr="00C53933" w:rsidRDefault="00A9569A" w:rsidP="00013957">
            <w:pPr>
              <w:pStyle w:val="CommentText"/>
              <w:spacing w:before="60" w:after="60"/>
              <w:rPr>
                <w:rFonts w:asciiTheme="minorHAnsi" w:hAnsiTheme="minorHAnsi"/>
              </w:rPr>
            </w:pPr>
            <w:r w:rsidRPr="00C53933">
              <w:rPr>
                <w:rFonts w:asciiTheme="minorHAnsi" w:hAnsiTheme="minorHAnsi"/>
              </w:rPr>
              <w:t>Guardian, steward, custodian, trustee.</w:t>
            </w:r>
          </w:p>
          <w:p w14:paraId="20558866" w14:textId="77777777" w:rsidR="00A9569A" w:rsidRPr="00484213" w:rsidRDefault="00A9569A" w:rsidP="00013957">
            <w:pPr>
              <w:pStyle w:val="Glossary"/>
            </w:pPr>
            <w:r w:rsidRPr="00C53933">
              <w:rPr>
                <w:rFonts w:asciiTheme="minorHAnsi" w:eastAsia="Times New Roman" w:hAnsiTheme="minorHAnsi" w:cs="Arial"/>
                <w:color w:val="222222"/>
                <w:szCs w:val="20"/>
                <w:shd w:val="clear" w:color="auto" w:fill="FFFFFF"/>
                <w:lang w:eastAsia="en-US"/>
              </w:rPr>
              <w:t>T</w:t>
            </w:r>
            <w:r w:rsidRPr="002520CA">
              <w:rPr>
                <w:rFonts w:asciiTheme="minorHAnsi" w:eastAsia="Times New Roman" w:hAnsiTheme="minorHAnsi" w:cs="Arial"/>
                <w:color w:val="222222"/>
                <w:szCs w:val="20"/>
                <w:shd w:val="clear" w:color="auto" w:fill="FFFFFF"/>
                <w:lang w:eastAsia="en-US"/>
              </w:rPr>
              <w:t>he process and practices of protecting and looking after the environment are referred to as kaitiakitanga</w:t>
            </w:r>
          </w:p>
        </w:tc>
      </w:tr>
      <w:tr w:rsidR="00A9569A" w:rsidRPr="00484213" w14:paraId="6FDE8428" w14:textId="77777777" w:rsidTr="00323492">
        <w:tc>
          <w:tcPr>
            <w:tcW w:w="2293" w:type="dxa"/>
          </w:tcPr>
          <w:p w14:paraId="1E7F8D58" w14:textId="77777777" w:rsidR="00A9569A" w:rsidRPr="00484213" w:rsidRDefault="00A9569A" w:rsidP="00A9569A">
            <w:pPr>
              <w:pStyle w:val="Glossary"/>
              <w:rPr>
                <w:b/>
              </w:rPr>
            </w:pPr>
            <w:r w:rsidRPr="00484213">
              <w:rPr>
                <w:b/>
              </w:rPr>
              <w:t>Kaupapa Māori</w:t>
            </w:r>
          </w:p>
        </w:tc>
        <w:tc>
          <w:tcPr>
            <w:tcW w:w="6212" w:type="dxa"/>
          </w:tcPr>
          <w:p w14:paraId="1E5E33E6" w14:textId="77777777" w:rsidR="00A9569A" w:rsidRPr="00484213" w:rsidRDefault="00A9569A" w:rsidP="00A9569A">
            <w:pPr>
              <w:pStyle w:val="Glossary"/>
            </w:pPr>
            <w:r w:rsidRPr="00484213">
              <w:t>This concept has many definitions and is used in various contexts. To ensure that nothing is left out, we offer those broader definitions here:</w:t>
            </w:r>
          </w:p>
          <w:p w14:paraId="1EF9CA9C" w14:textId="77777777" w:rsidR="00A9569A" w:rsidRPr="00484213" w:rsidRDefault="00A9569A" w:rsidP="00013957">
            <w:pPr>
              <w:pStyle w:val="Bullet"/>
              <w:spacing w:after="60" w:line="260" w:lineRule="atLeast"/>
              <w:rPr>
                <w:color w:val="000000"/>
                <w:sz w:val="20"/>
              </w:rPr>
            </w:pPr>
            <w:r w:rsidRPr="00484213">
              <w:rPr>
                <w:sz w:val="20"/>
              </w:rPr>
              <w:t>Māori approach, Māori topic, Māori customary practice, Māori institution, Māori agenda, Māori principles, Māori ideology – a philosophical doctrine, incorporating the knowledge, skills, attitudes and values of Māori society.</w:t>
            </w:r>
          </w:p>
        </w:tc>
      </w:tr>
      <w:tr w:rsidR="00A9569A" w:rsidRPr="00484213" w14:paraId="63E6B021" w14:textId="77777777" w:rsidTr="00323492">
        <w:tc>
          <w:tcPr>
            <w:tcW w:w="2293" w:type="dxa"/>
          </w:tcPr>
          <w:p w14:paraId="4680E94B" w14:textId="77777777" w:rsidR="00A9569A" w:rsidRPr="00484213" w:rsidRDefault="00A9569A" w:rsidP="00A9569A">
            <w:pPr>
              <w:pStyle w:val="Glossary"/>
              <w:rPr>
                <w:b/>
              </w:rPr>
            </w:pPr>
            <w:r w:rsidRPr="00484213">
              <w:rPr>
                <w:b/>
              </w:rPr>
              <w:t>Māori values and principles</w:t>
            </w:r>
          </w:p>
        </w:tc>
        <w:tc>
          <w:tcPr>
            <w:tcW w:w="6212" w:type="dxa"/>
          </w:tcPr>
          <w:p w14:paraId="5A82B856" w14:textId="77777777" w:rsidR="00A9569A" w:rsidRPr="00484213" w:rsidRDefault="00A9569A" w:rsidP="00323492">
            <w:pPr>
              <w:pStyle w:val="Glossary"/>
            </w:pPr>
            <w:r w:rsidRPr="00484213">
              <w:t>Māori values are derived from the traditional belief system based on a Te</w:t>
            </w:r>
            <w:r w:rsidR="00323492">
              <w:t> </w:t>
            </w:r>
            <w:r w:rsidRPr="00484213">
              <w:t xml:space="preserve">Ao Māori worldview. Values can be defined as instruments through </w:t>
            </w:r>
            <w:r w:rsidRPr="00484213">
              <w:lastRenderedPageBreak/>
              <w:t>which Māori make sense of, experience and interpret their environment. They form the basis for Māori ethics and principles.</w:t>
            </w:r>
          </w:p>
        </w:tc>
      </w:tr>
      <w:tr w:rsidR="00A9569A" w:rsidRPr="00484213" w14:paraId="7112A635" w14:textId="77777777" w:rsidTr="00323492">
        <w:tc>
          <w:tcPr>
            <w:tcW w:w="2293" w:type="dxa"/>
          </w:tcPr>
          <w:p w14:paraId="23FFC99E" w14:textId="77777777" w:rsidR="00A9569A" w:rsidRPr="00484213" w:rsidRDefault="00A9569A" w:rsidP="00A9569A">
            <w:pPr>
              <w:pStyle w:val="Glossary"/>
              <w:rPr>
                <w:b/>
              </w:rPr>
            </w:pPr>
            <w:r w:rsidRPr="00484213">
              <w:rPr>
                <w:b/>
              </w:rPr>
              <w:lastRenderedPageBreak/>
              <w:t>Mātauranga Māori</w:t>
            </w:r>
          </w:p>
        </w:tc>
        <w:tc>
          <w:tcPr>
            <w:tcW w:w="6212" w:type="dxa"/>
          </w:tcPr>
          <w:p w14:paraId="26E66DE5" w14:textId="77777777" w:rsidR="00A9569A" w:rsidRPr="00484213" w:rsidRDefault="00A9569A" w:rsidP="00A9569A">
            <w:pPr>
              <w:pStyle w:val="Glossary"/>
            </w:pPr>
            <w:r w:rsidRPr="00484213">
              <w:t>Mātauranga Māori or Māori knowledge systems are context specific to indigenous Māori people, and the term has its origins in Aotearoa New Zealand. The term has many definitions that cover belief systems, epistemologies, values and knowledge both in a traditional and contemporary sense. Mātauranga Māori can be defined as the knowledge, comprehension or understanding of everything visible and invisible existing in the universe.</w:t>
            </w:r>
          </w:p>
        </w:tc>
      </w:tr>
      <w:tr w:rsidR="00A9569A" w:rsidRPr="00484213" w14:paraId="06A49F22" w14:textId="77777777" w:rsidTr="00323492">
        <w:tc>
          <w:tcPr>
            <w:tcW w:w="2293" w:type="dxa"/>
          </w:tcPr>
          <w:p w14:paraId="737F2C0C" w14:textId="77777777" w:rsidR="00A9569A" w:rsidRPr="00484213" w:rsidRDefault="00A9569A" w:rsidP="00A9569A">
            <w:pPr>
              <w:pStyle w:val="Glossary"/>
              <w:rPr>
                <w:b/>
              </w:rPr>
            </w:pPr>
            <w:r w:rsidRPr="00484213">
              <w:rPr>
                <w:b/>
              </w:rPr>
              <w:t>Mitigation</w:t>
            </w:r>
          </w:p>
        </w:tc>
        <w:tc>
          <w:tcPr>
            <w:tcW w:w="6212" w:type="dxa"/>
          </w:tcPr>
          <w:p w14:paraId="70C9BEAB" w14:textId="77777777" w:rsidR="00A9569A" w:rsidRPr="00484213" w:rsidRDefault="00A9569A" w:rsidP="00A9569A">
            <w:pPr>
              <w:pStyle w:val="Glossary"/>
            </w:pPr>
            <w:r w:rsidRPr="00484213">
              <w:t>Human intervention to reduce the sources or enhance the sinks of greenhouse gases (IPCC, 2014</w:t>
            </w:r>
            <w:r>
              <w:t>a</w:t>
            </w:r>
            <w:r w:rsidRPr="00484213">
              <w:t xml:space="preserve">, annex II). </w:t>
            </w:r>
          </w:p>
        </w:tc>
      </w:tr>
      <w:tr w:rsidR="00A9569A" w:rsidRPr="00484213" w14:paraId="4566A9CC" w14:textId="77777777" w:rsidTr="00323492">
        <w:tc>
          <w:tcPr>
            <w:tcW w:w="2293" w:type="dxa"/>
          </w:tcPr>
          <w:p w14:paraId="74799C50" w14:textId="77777777" w:rsidR="00A9569A" w:rsidRPr="00484213" w:rsidRDefault="00A9569A" w:rsidP="00A9569A">
            <w:pPr>
              <w:pStyle w:val="Glossary"/>
              <w:rPr>
                <w:b/>
              </w:rPr>
            </w:pPr>
            <w:r w:rsidRPr="00484213">
              <w:rPr>
                <w:b/>
              </w:rPr>
              <w:t xml:space="preserve">Ōhanga </w:t>
            </w:r>
          </w:p>
        </w:tc>
        <w:tc>
          <w:tcPr>
            <w:tcW w:w="6212" w:type="dxa"/>
          </w:tcPr>
          <w:p w14:paraId="786E9568" w14:textId="77777777" w:rsidR="00A9569A" w:rsidRPr="00484213" w:rsidRDefault="00A9569A" w:rsidP="00A9569A">
            <w:pPr>
              <w:pStyle w:val="Glossary"/>
            </w:pPr>
            <w:r>
              <w:t>Prosperity, economy</w:t>
            </w:r>
          </w:p>
        </w:tc>
      </w:tr>
      <w:tr w:rsidR="00A9569A" w:rsidRPr="00484213" w14:paraId="3BA6F4BA" w14:textId="77777777" w:rsidTr="00323492">
        <w:tc>
          <w:tcPr>
            <w:tcW w:w="2293" w:type="dxa"/>
          </w:tcPr>
          <w:p w14:paraId="0E8CCA0F" w14:textId="77777777" w:rsidR="00A9569A" w:rsidRPr="00484213" w:rsidRDefault="00A9569A" w:rsidP="00A9569A">
            <w:pPr>
              <w:pStyle w:val="Glossary"/>
              <w:rPr>
                <w:b/>
              </w:rPr>
            </w:pPr>
            <w:r w:rsidRPr="00484213">
              <w:rPr>
                <w:b/>
              </w:rPr>
              <w:t>Representative Concentration Pathway (RCP)</w:t>
            </w:r>
          </w:p>
        </w:tc>
        <w:tc>
          <w:tcPr>
            <w:tcW w:w="6212" w:type="dxa"/>
          </w:tcPr>
          <w:p w14:paraId="4A3057D9" w14:textId="77777777" w:rsidR="00A9569A" w:rsidRPr="00484213" w:rsidRDefault="00A9569A" w:rsidP="00A9569A">
            <w:pPr>
              <w:pStyle w:val="Glossary"/>
            </w:pPr>
            <w:r w:rsidRPr="00484213">
              <w:t xml:space="preserve">A suite of representative future scenarios of additional radiative heat forcing at the Earth’s surface by 2100 (in Watts per square metre), which is the net change in the balance between incoming solar radiation and outgoing energy radiated back up in the atmosphere. Each RCP can be expressed as a greenhouse gas concentration (not emissions) trajectory adopted by the IPCC for its Fifth Assessment Report (AR5) in 2014 (IPCC, 2014b). See also appendix C.2 in </w:t>
            </w:r>
            <w:r w:rsidRPr="00484213">
              <w:rPr>
                <w:rFonts w:cs="Calibri"/>
                <w:i/>
                <w:iCs/>
              </w:rPr>
              <w:t>Coastal Hazards and Climate Change: Guidance for Local Government</w:t>
            </w:r>
            <w:r w:rsidRPr="00484213">
              <w:t xml:space="preserve"> (Ministry for the Environment, 2017).</w:t>
            </w:r>
          </w:p>
        </w:tc>
      </w:tr>
      <w:tr w:rsidR="00A9569A" w:rsidRPr="00484213" w14:paraId="7295CE93" w14:textId="77777777" w:rsidTr="00323492">
        <w:tc>
          <w:tcPr>
            <w:tcW w:w="2293" w:type="dxa"/>
          </w:tcPr>
          <w:p w14:paraId="0F0755B2" w14:textId="77777777" w:rsidR="00A9569A" w:rsidRPr="00484213" w:rsidRDefault="00A9569A" w:rsidP="00A9569A">
            <w:pPr>
              <w:pStyle w:val="Glossary"/>
              <w:rPr>
                <w:b/>
              </w:rPr>
            </w:pPr>
            <w:r w:rsidRPr="00484213">
              <w:rPr>
                <w:b/>
              </w:rPr>
              <w:t>Residual risk</w:t>
            </w:r>
          </w:p>
        </w:tc>
        <w:tc>
          <w:tcPr>
            <w:tcW w:w="6212" w:type="dxa"/>
          </w:tcPr>
          <w:p w14:paraId="276F4424" w14:textId="77777777" w:rsidR="00A9569A" w:rsidRPr="00484213" w:rsidRDefault="00A9569A" w:rsidP="00A9569A">
            <w:pPr>
              <w:pStyle w:val="Glossary"/>
            </w:pPr>
            <w:r w:rsidRPr="00484213">
              <w:t>The risk that remains (and may continue to rise) in unmanaged form, after risk management measures and adaptation policies have been implemented to adapt to climate change and more frequent hazards, and for which emergency response and additional adaptive capacities must be maintained or limits to adaptation addressed. Policy interventions and adaptation plans will need to reconcile changing residual risks with changing (evolving) societal perceptions of tolerable risk. (Adapted from SFDRR, 2015 and Adger et al, 2018</w:t>
            </w:r>
            <w:r w:rsidR="00323492">
              <w:t>.)</w:t>
            </w:r>
          </w:p>
        </w:tc>
      </w:tr>
      <w:tr w:rsidR="00A9569A" w:rsidRPr="00484213" w14:paraId="35027FCB" w14:textId="77777777" w:rsidTr="00323492">
        <w:tc>
          <w:tcPr>
            <w:tcW w:w="2293" w:type="dxa"/>
          </w:tcPr>
          <w:p w14:paraId="7822D1C3" w14:textId="77777777" w:rsidR="00A9569A" w:rsidRPr="00484213" w:rsidRDefault="00A9569A" w:rsidP="00A9569A">
            <w:pPr>
              <w:pStyle w:val="Glossary"/>
              <w:rPr>
                <w:b/>
              </w:rPr>
            </w:pPr>
            <w:r w:rsidRPr="00484213">
              <w:rPr>
                <w:b/>
              </w:rPr>
              <w:t>Resilience</w:t>
            </w:r>
          </w:p>
        </w:tc>
        <w:tc>
          <w:tcPr>
            <w:tcW w:w="6212" w:type="dxa"/>
          </w:tcPr>
          <w:p w14:paraId="6AD6297D" w14:textId="77777777" w:rsidR="00A9569A" w:rsidRPr="00484213" w:rsidRDefault="00A9569A" w:rsidP="00A9569A">
            <w:pPr>
              <w:pStyle w:val="Glossary"/>
            </w:pPr>
            <w:r w:rsidRPr="00484213">
              <w:t>The capacity of social, economic and environmental systems to cope with a hazardous event, trend or disturbance by responding or reorganising in ways that maintain their essential function, identity and structure, while also maintaining the capacity for adaptation, learning and transformation (IPCC, 2014a).</w:t>
            </w:r>
          </w:p>
        </w:tc>
      </w:tr>
      <w:tr w:rsidR="00A9569A" w:rsidRPr="00484213" w14:paraId="0E1E50DA" w14:textId="77777777" w:rsidTr="00323492">
        <w:tc>
          <w:tcPr>
            <w:tcW w:w="2293" w:type="dxa"/>
          </w:tcPr>
          <w:p w14:paraId="3BED716D" w14:textId="77777777" w:rsidR="00A9569A" w:rsidRPr="00484213" w:rsidRDefault="00A9569A" w:rsidP="00A9569A">
            <w:pPr>
              <w:pStyle w:val="Glossary"/>
              <w:rPr>
                <w:b/>
              </w:rPr>
            </w:pPr>
            <w:r w:rsidRPr="00484213">
              <w:rPr>
                <w:b/>
              </w:rPr>
              <w:t>Risk</w:t>
            </w:r>
          </w:p>
        </w:tc>
        <w:tc>
          <w:tcPr>
            <w:tcW w:w="6212" w:type="dxa"/>
          </w:tcPr>
          <w:p w14:paraId="1F2544E8" w14:textId="77777777" w:rsidR="00A9569A" w:rsidRPr="00484213" w:rsidRDefault="00A9569A" w:rsidP="00A9569A">
            <w:pPr>
              <w:pStyle w:val="Glossary"/>
            </w:pPr>
            <w:r w:rsidRPr="00484213">
              <w:t xml:space="preserve">The potential for consequences where something of value is at stake and the outcome is uncertain, recognising the diversity of values. Risk is often represented as probability of occurrence of hazardous events or trends multiplied by the impacts if these events or trends occur. </w:t>
            </w:r>
          </w:p>
          <w:p w14:paraId="73D137BE" w14:textId="77777777" w:rsidR="00A9569A" w:rsidRPr="00484213" w:rsidRDefault="00A9569A" w:rsidP="00A9569A">
            <w:pPr>
              <w:pStyle w:val="Glossary"/>
            </w:pPr>
            <w:r w:rsidRPr="00484213">
              <w:t>Risk results from the interaction of vulnerability, exposure and hazard. To</w:t>
            </w:r>
            <w:r>
              <w:t> </w:t>
            </w:r>
            <w:r w:rsidRPr="00484213">
              <w:t>address the evolving impacts of climate change, risk is better defined as</w:t>
            </w:r>
            <w:r>
              <w:t> </w:t>
            </w:r>
            <w:r w:rsidRPr="00484213">
              <w:t>the interplay between hazards, exposure and vulnerability (IPCC, 2014</w:t>
            </w:r>
            <w:r>
              <w:t>a</w:t>
            </w:r>
            <w:r w:rsidRPr="00484213">
              <w:t>,</w:t>
            </w:r>
            <w:r>
              <w:t> </w:t>
            </w:r>
            <w:r w:rsidRPr="00484213">
              <w:t>WGII).</w:t>
            </w:r>
          </w:p>
          <w:p w14:paraId="3C546E75" w14:textId="77777777" w:rsidR="00A9569A" w:rsidRPr="00484213" w:rsidRDefault="00A9569A" w:rsidP="00A9569A">
            <w:pPr>
              <w:pStyle w:val="Glossary"/>
              <w:rPr>
                <w:color w:val="000000"/>
              </w:rPr>
            </w:pPr>
            <w:r w:rsidRPr="00484213">
              <w:t>Climate change creates cascading risks in physical systems, ecosystems, economy and society, often inter-related and creating the circumstances in some situations for irreversible and undesirable exceedance of acceptable thresholds at multiple scales (Adger et al, 2018).</w:t>
            </w:r>
          </w:p>
        </w:tc>
      </w:tr>
      <w:tr w:rsidR="00A9569A" w:rsidRPr="00484213" w14:paraId="7882610A" w14:textId="77777777" w:rsidTr="00323492">
        <w:tc>
          <w:tcPr>
            <w:tcW w:w="2293" w:type="dxa"/>
          </w:tcPr>
          <w:p w14:paraId="3C108693" w14:textId="77777777" w:rsidR="00A9569A" w:rsidRPr="00484213" w:rsidRDefault="00A9569A" w:rsidP="00A9569A">
            <w:pPr>
              <w:pStyle w:val="Glossary"/>
              <w:rPr>
                <w:b/>
              </w:rPr>
            </w:pPr>
            <w:r w:rsidRPr="00484213">
              <w:rPr>
                <w:b/>
              </w:rPr>
              <w:lastRenderedPageBreak/>
              <w:t>Risk assessment</w:t>
            </w:r>
          </w:p>
        </w:tc>
        <w:tc>
          <w:tcPr>
            <w:tcW w:w="6212" w:type="dxa"/>
          </w:tcPr>
          <w:p w14:paraId="610784E6" w14:textId="77777777" w:rsidR="00A9569A" w:rsidRPr="00484213" w:rsidRDefault="00A9569A" w:rsidP="00A9569A">
            <w:pPr>
              <w:pStyle w:val="Glossary"/>
            </w:pPr>
            <w:r w:rsidRPr="00484213">
              <w:t>The overall qualitative and/or quantitative process of risk identification, risk analysis and risk evaluation, with multiple entry points for communication and engagement and monitoring and reviews (AS/NZS ISO 31000:2009: Risk Management</w:t>
            </w:r>
            <w:r w:rsidRPr="00484213">
              <w:rPr>
                <w:rFonts w:cs="Calibri"/>
                <w:iCs/>
              </w:rPr>
              <w:t xml:space="preserve"> (Standards </w:t>
            </w:r>
            <w:r w:rsidRPr="00484213">
              <w:rPr>
                <w:rFonts w:cs="Calibri"/>
              </w:rPr>
              <w:t>New Zealand/Standards Australia,</w:t>
            </w:r>
            <w:r w:rsidRPr="00484213">
              <w:rPr>
                <w:rFonts w:cs="Calibri"/>
                <w:i/>
                <w:iCs/>
              </w:rPr>
              <w:t xml:space="preserve"> </w:t>
            </w:r>
            <w:r w:rsidRPr="00484213">
              <w:rPr>
                <w:rFonts w:cs="Calibri"/>
              </w:rPr>
              <w:t>2009</w:t>
            </w:r>
            <w:r w:rsidRPr="00484213">
              <w:t>).</w:t>
            </w:r>
          </w:p>
        </w:tc>
      </w:tr>
      <w:tr w:rsidR="00A9569A" w:rsidRPr="00484213" w14:paraId="2630F944" w14:textId="77777777" w:rsidTr="00323492">
        <w:tc>
          <w:tcPr>
            <w:tcW w:w="2293" w:type="dxa"/>
          </w:tcPr>
          <w:p w14:paraId="3CD1B5A4" w14:textId="77777777" w:rsidR="00A9569A" w:rsidRPr="00484213" w:rsidRDefault="00A9569A" w:rsidP="00A9569A">
            <w:pPr>
              <w:pStyle w:val="Glossary"/>
              <w:rPr>
                <w:b/>
              </w:rPr>
            </w:pPr>
            <w:r w:rsidRPr="00484213">
              <w:rPr>
                <w:b/>
              </w:rPr>
              <w:t>Stressor (climate)</w:t>
            </w:r>
          </w:p>
        </w:tc>
        <w:tc>
          <w:tcPr>
            <w:tcW w:w="6212" w:type="dxa"/>
          </w:tcPr>
          <w:p w14:paraId="54323BE7" w14:textId="77777777" w:rsidR="00A9569A" w:rsidRPr="00484213" w:rsidRDefault="00A9569A" w:rsidP="00A9569A">
            <w:pPr>
              <w:pStyle w:val="Glossary"/>
            </w:pPr>
            <w:r w:rsidRPr="00484213">
              <w:t xml:space="preserve">Persistent climatic occurrence (eg, change in pattern of seasonal rainfall) or rate of change or trend in climate variables, such as the mean, extremes or range (eg, ongoing rise in mean ocean temperature or acidification), which occurs over time (eg, years, decades, centuries), with important effects on the system exposed, increasing vulnerability to climate change. </w:t>
            </w:r>
          </w:p>
        </w:tc>
      </w:tr>
      <w:tr w:rsidR="00A9569A" w:rsidRPr="00484213" w14:paraId="41F0AF79" w14:textId="77777777" w:rsidTr="00323492">
        <w:tc>
          <w:tcPr>
            <w:tcW w:w="2293" w:type="dxa"/>
          </w:tcPr>
          <w:p w14:paraId="3FD77235" w14:textId="77777777" w:rsidR="00A9569A" w:rsidRPr="00484213" w:rsidRDefault="00A9569A" w:rsidP="00A9569A">
            <w:pPr>
              <w:pStyle w:val="Glossary"/>
              <w:rPr>
                <w:b/>
              </w:rPr>
            </w:pPr>
            <w:r w:rsidRPr="00484213">
              <w:rPr>
                <w:b/>
              </w:rPr>
              <w:t>System</w:t>
            </w:r>
          </w:p>
        </w:tc>
        <w:tc>
          <w:tcPr>
            <w:tcW w:w="6212" w:type="dxa"/>
          </w:tcPr>
          <w:p w14:paraId="47452030" w14:textId="77777777" w:rsidR="00A9569A" w:rsidRPr="00484213" w:rsidRDefault="00A9569A" w:rsidP="00A9569A">
            <w:pPr>
              <w:pStyle w:val="Glossary"/>
            </w:pPr>
            <w:r w:rsidRPr="00484213">
              <w:t>A set of things working together as parts of an interconnected network and/or a complex whole.</w:t>
            </w:r>
          </w:p>
        </w:tc>
      </w:tr>
      <w:tr w:rsidR="00A9569A" w:rsidRPr="00484213" w14:paraId="3394E36A" w14:textId="77777777" w:rsidTr="00323492">
        <w:tc>
          <w:tcPr>
            <w:tcW w:w="2293" w:type="dxa"/>
          </w:tcPr>
          <w:p w14:paraId="49888D39" w14:textId="77777777" w:rsidR="00A9569A" w:rsidRPr="00484213" w:rsidRDefault="00A9569A" w:rsidP="00A9569A">
            <w:pPr>
              <w:pStyle w:val="Glossary"/>
              <w:rPr>
                <w:b/>
              </w:rPr>
            </w:pPr>
            <w:r w:rsidRPr="00484213">
              <w:rPr>
                <w:b/>
              </w:rPr>
              <w:t xml:space="preserve">Taonga Māori </w:t>
            </w:r>
          </w:p>
        </w:tc>
        <w:tc>
          <w:tcPr>
            <w:tcW w:w="6212" w:type="dxa"/>
          </w:tcPr>
          <w:p w14:paraId="169E9C80" w14:textId="77777777" w:rsidR="00A9569A" w:rsidRPr="00484213" w:rsidRDefault="00A9569A" w:rsidP="00A9569A">
            <w:pPr>
              <w:pStyle w:val="Glossary"/>
            </w:pPr>
            <w:r w:rsidRPr="00484213">
              <w:t>An intangible or tangible object that is highly prized or treasured in Māori culture.</w:t>
            </w:r>
          </w:p>
          <w:p w14:paraId="5DE69757" w14:textId="77777777" w:rsidR="00A9569A" w:rsidRPr="00484213" w:rsidRDefault="00A9569A" w:rsidP="00A9569A">
            <w:pPr>
              <w:pStyle w:val="Glossary"/>
            </w:pPr>
            <w:r w:rsidRPr="00484213">
              <w:t xml:space="preserve">Taonga Māori could be viewed in the following way: </w:t>
            </w:r>
          </w:p>
          <w:p w14:paraId="7248D153" w14:textId="77777777" w:rsidR="00A9569A" w:rsidRPr="0031306C" w:rsidRDefault="00A9569A" w:rsidP="00A9569A">
            <w:pPr>
              <w:pStyle w:val="Bullet"/>
              <w:spacing w:line="240" w:lineRule="atLeast"/>
              <w:rPr>
                <w:sz w:val="20"/>
              </w:rPr>
            </w:pPr>
            <w:r w:rsidRPr="0031306C">
              <w:rPr>
                <w:b/>
                <w:sz w:val="20"/>
              </w:rPr>
              <w:t>natural</w:t>
            </w:r>
            <w:r w:rsidRPr="0031306C">
              <w:rPr>
                <w:sz w:val="20"/>
              </w:rPr>
              <w:t xml:space="preserve"> (te taiao – the natural environment including whenua/land, ngahere/forests, awa/rivers, maunga/mountains and moana/ocean)</w:t>
            </w:r>
          </w:p>
          <w:p w14:paraId="6E934C7E" w14:textId="77777777" w:rsidR="00A9569A" w:rsidRPr="0031306C" w:rsidRDefault="00A9569A" w:rsidP="00A9569A">
            <w:pPr>
              <w:pStyle w:val="Bullet"/>
              <w:spacing w:line="240" w:lineRule="atLeast"/>
              <w:rPr>
                <w:sz w:val="20"/>
              </w:rPr>
            </w:pPr>
            <w:r w:rsidRPr="0031306C">
              <w:rPr>
                <w:b/>
                <w:sz w:val="20"/>
              </w:rPr>
              <w:t>human</w:t>
            </w:r>
            <w:r w:rsidRPr="0031306C">
              <w:rPr>
                <w:sz w:val="20"/>
              </w:rPr>
              <w:t xml:space="preserve"> (whānau/families, hapū/sub-tribes, iwi/tribes), spiritual (mauri/the intrinsic life force within living entities)</w:t>
            </w:r>
          </w:p>
          <w:p w14:paraId="23EA7AFB" w14:textId="77777777" w:rsidR="00A9569A" w:rsidRPr="0031306C" w:rsidRDefault="00A9569A" w:rsidP="00A9569A">
            <w:pPr>
              <w:pStyle w:val="Bullet"/>
              <w:spacing w:line="240" w:lineRule="atLeast"/>
              <w:rPr>
                <w:sz w:val="20"/>
              </w:rPr>
            </w:pPr>
            <w:r w:rsidRPr="0031306C">
              <w:rPr>
                <w:b/>
                <w:sz w:val="20"/>
              </w:rPr>
              <w:t>social</w:t>
            </w:r>
            <w:r w:rsidRPr="0031306C">
              <w:rPr>
                <w:sz w:val="20"/>
              </w:rPr>
              <w:t xml:space="preserve"> (Mātauranga Māori/Māori knowledge, intergenerational transfer of knowledge)</w:t>
            </w:r>
          </w:p>
          <w:p w14:paraId="757CB6BD" w14:textId="77777777" w:rsidR="00A9569A" w:rsidRPr="0031306C" w:rsidRDefault="00A9569A" w:rsidP="00A9569A">
            <w:pPr>
              <w:pStyle w:val="Bullet"/>
              <w:spacing w:line="240" w:lineRule="atLeast"/>
              <w:rPr>
                <w:sz w:val="20"/>
              </w:rPr>
            </w:pPr>
            <w:r w:rsidRPr="0031306C">
              <w:rPr>
                <w:b/>
                <w:sz w:val="20"/>
              </w:rPr>
              <w:t>financial</w:t>
            </w:r>
            <w:r w:rsidRPr="0031306C">
              <w:rPr>
                <w:sz w:val="20"/>
              </w:rPr>
              <w:t xml:space="preserve"> (financial value of assets including land holdings)</w:t>
            </w:r>
          </w:p>
          <w:p w14:paraId="4C7B5C68" w14:textId="77777777" w:rsidR="00A9569A" w:rsidRPr="00484213" w:rsidRDefault="00A9569A" w:rsidP="00A9569A">
            <w:pPr>
              <w:pStyle w:val="Bullet"/>
              <w:spacing w:line="240" w:lineRule="atLeast"/>
            </w:pPr>
            <w:r w:rsidRPr="0031306C">
              <w:rPr>
                <w:b/>
                <w:sz w:val="20"/>
              </w:rPr>
              <w:t>material capital</w:t>
            </w:r>
            <w:r w:rsidRPr="0031306C">
              <w:rPr>
                <w:sz w:val="20"/>
              </w:rPr>
              <w:t xml:space="preserve"> (buildings including marae, commercial investments and private homes). </w:t>
            </w:r>
          </w:p>
        </w:tc>
      </w:tr>
      <w:tr w:rsidR="00A9569A" w:rsidRPr="00484213" w14:paraId="72B752DE" w14:textId="77777777" w:rsidTr="00323492">
        <w:tc>
          <w:tcPr>
            <w:tcW w:w="2293" w:type="dxa"/>
          </w:tcPr>
          <w:p w14:paraId="71E526FB" w14:textId="77777777" w:rsidR="00A9569A" w:rsidRPr="00484213" w:rsidRDefault="00A9569A" w:rsidP="00A9569A">
            <w:pPr>
              <w:pStyle w:val="Glossary"/>
              <w:rPr>
                <w:b/>
              </w:rPr>
            </w:pPr>
            <w:r w:rsidRPr="00484213">
              <w:rPr>
                <w:b/>
              </w:rPr>
              <w:t>Te Ao Maori</w:t>
            </w:r>
          </w:p>
        </w:tc>
        <w:tc>
          <w:tcPr>
            <w:tcW w:w="6212" w:type="dxa"/>
          </w:tcPr>
          <w:p w14:paraId="7F156457" w14:textId="77777777" w:rsidR="00A9569A" w:rsidRPr="00484213" w:rsidRDefault="00A9569A" w:rsidP="00A9569A">
            <w:pPr>
              <w:pStyle w:val="Glossary"/>
            </w:pPr>
            <w:r>
              <w:t>The Māori world</w:t>
            </w:r>
          </w:p>
        </w:tc>
      </w:tr>
      <w:tr w:rsidR="00A9569A" w:rsidRPr="00484213" w14:paraId="676C54E0" w14:textId="77777777" w:rsidTr="00323492">
        <w:tc>
          <w:tcPr>
            <w:tcW w:w="2293" w:type="dxa"/>
          </w:tcPr>
          <w:p w14:paraId="7DF2F2D3" w14:textId="77777777" w:rsidR="00A9569A" w:rsidRPr="00484213" w:rsidRDefault="00A9569A" w:rsidP="00A9569A">
            <w:pPr>
              <w:pStyle w:val="Glossary"/>
              <w:rPr>
                <w:rFonts w:cs="Calibri"/>
                <w:b/>
                <w:szCs w:val="20"/>
              </w:rPr>
            </w:pPr>
            <w:r w:rsidRPr="00484213">
              <w:rPr>
                <w:b/>
              </w:rPr>
              <w:t>Tino rangatiratanga</w:t>
            </w:r>
          </w:p>
        </w:tc>
        <w:tc>
          <w:tcPr>
            <w:tcW w:w="6212" w:type="dxa"/>
          </w:tcPr>
          <w:p w14:paraId="6C5A834F" w14:textId="77777777" w:rsidR="00A9569A" w:rsidRPr="00484213" w:rsidRDefault="00A9569A" w:rsidP="00A9569A">
            <w:pPr>
              <w:pStyle w:val="Glossary"/>
            </w:pPr>
            <w:r>
              <w:t>Sovereignty, self-determination, autonomy</w:t>
            </w:r>
          </w:p>
        </w:tc>
      </w:tr>
      <w:tr w:rsidR="00A9569A" w:rsidRPr="00484213" w14:paraId="1B429F48" w14:textId="77777777" w:rsidTr="00323492">
        <w:tc>
          <w:tcPr>
            <w:tcW w:w="2293" w:type="dxa"/>
          </w:tcPr>
          <w:p w14:paraId="4200F3DC" w14:textId="77777777" w:rsidR="00A9569A" w:rsidRPr="00484213" w:rsidRDefault="00A9569A" w:rsidP="00A9569A">
            <w:pPr>
              <w:pStyle w:val="Glossary"/>
              <w:rPr>
                <w:b/>
              </w:rPr>
            </w:pPr>
            <w:r w:rsidRPr="00484213">
              <w:rPr>
                <w:b/>
              </w:rPr>
              <w:t>Uncertainty</w:t>
            </w:r>
          </w:p>
        </w:tc>
        <w:tc>
          <w:tcPr>
            <w:tcW w:w="6212" w:type="dxa"/>
          </w:tcPr>
          <w:p w14:paraId="39981AA3" w14:textId="77777777" w:rsidR="00A9569A" w:rsidRPr="00484213" w:rsidRDefault="00A9569A" w:rsidP="00A9569A">
            <w:pPr>
              <w:pStyle w:val="Glossary"/>
            </w:pPr>
            <w:r w:rsidRPr="00484213">
              <w:t>A state of incomplete knowledge that can result from a lack of information or disagreement about what is known or even knowable. It may have many types of sources, from imprecision in the data to ambiguously defined concepts or terminology, or uncertain projections of human behaviour.</w:t>
            </w:r>
          </w:p>
        </w:tc>
      </w:tr>
      <w:tr w:rsidR="00A9569A" w:rsidRPr="00484213" w14:paraId="4AE09E31" w14:textId="77777777" w:rsidTr="00323492">
        <w:tc>
          <w:tcPr>
            <w:tcW w:w="2293" w:type="dxa"/>
          </w:tcPr>
          <w:p w14:paraId="65E54C3E" w14:textId="77777777" w:rsidR="00A9569A" w:rsidRPr="00484213" w:rsidRDefault="00A9569A" w:rsidP="00A9569A">
            <w:pPr>
              <w:pStyle w:val="Glossary"/>
              <w:rPr>
                <w:b/>
              </w:rPr>
            </w:pPr>
            <w:r w:rsidRPr="00484213">
              <w:rPr>
                <w:b/>
              </w:rPr>
              <w:t>Vulnerability</w:t>
            </w:r>
          </w:p>
        </w:tc>
        <w:tc>
          <w:tcPr>
            <w:tcW w:w="6212" w:type="dxa"/>
          </w:tcPr>
          <w:p w14:paraId="28AAE47B" w14:textId="77777777" w:rsidR="00A9569A" w:rsidRPr="00484213" w:rsidRDefault="00A9569A" w:rsidP="00A9569A">
            <w:pPr>
              <w:pStyle w:val="Glossary"/>
            </w:pPr>
            <w:r w:rsidRPr="00484213">
              <w:t>The predisposition to be adversely affected. Vulnerability encompasses a variety of concepts and elements, including sensitivity or susceptibility to harm or damage, and lack of capacity to cope and adapt (adaptive capacity) (IPCC, 2014</w:t>
            </w:r>
            <w:r>
              <w:t>a</w:t>
            </w:r>
            <w:r w:rsidRPr="00484213">
              <w:t>).</w:t>
            </w:r>
          </w:p>
          <w:p w14:paraId="3F0C031F" w14:textId="77777777" w:rsidR="00A9569A" w:rsidRPr="00484213" w:rsidRDefault="00A9569A" w:rsidP="00A9569A">
            <w:pPr>
              <w:pStyle w:val="Glossary"/>
            </w:pPr>
            <w:r w:rsidRPr="00484213">
              <w:t xml:space="preserve">Assessing vulnerability is broader than conventional risk assessments by including indirect and intangible consequences on the four </w:t>
            </w:r>
            <w:r w:rsidRPr="00942468">
              <w:t>capitals from the Living Standards Framework</w:t>
            </w:r>
            <w:r>
              <w:t xml:space="preserve"> </w:t>
            </w:r>
            <w:r w:rsidRPr="00484213">
              <w:t>and considering adaptiveness and adaptive capacity (eg, communities, whānau, hapū and iwi may be resourceful and adaptive but may lack the resources, insurance access and mandate or capacity to adapt).</w:t>
            </w:r>
          </w:p>
        </w:tc>
      </w:tr>
    </w:tbl>
    <w:p w14:paraId="2621A727" w14:textId="77777777" w:rsidR="00B67DD6" w:rsidRPr="00E3756C" w:rsidRDefault="00B67DD6" w:rsidP="00013957">
      <w:pPr>
        <w:pStyle w:val="BodyText"/>
        <w:spacing w:before="0" w:after="0"/>
      </w:pPr>
    </w:p>
    <w:p w14:paraId="7416457A" w14:textId="77777777" w:rsidR="00B67DD6" w:rsidRPr="00E3756C" w:rsidRDefault="00B67DD6" w:rsidP="00013957">
      <w:pPr>
        <w:spacing w:before="0" w:after="0" w:line="276" w:lineRule="auto"/>
        <w:jc w:val="left"/>
      </w:pPr>
      <w:r w:rsidRPr="00E3756C">
        <w:br w:type="page"/>
      </w:r>
    </w:p>
    <w:p w14:paraId="15745002" w14:textId="77777777" w:rsidR="00B67DD6" w:rsidRPr="00E3756C" w:rsidRDefault="00B67DD6" w:rsidP="00B67DD6">
      <w:pPr>
        <w:pStyle w:val="Heading3"/>
      </w:pPr>
      <w:r w:rsidRPr="00E3756C">
        <w:lastRenderedPageBreak/>
        <w:t>Abbreviations</w:t>
      </w:r>
    </w:p>
    <w:p w14:paraId="2A2E2BC7" w14:textId="77777777" w:rsidR="00B67DD6" w:rsidRPr="00E3756C" w:rsidRDefault="00B67DD6" w:rsidP="00B67DD6"/>
    <w:tbl>
      <w:tblPr>
        <w:tblW w:w="886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600" w:firstRow="0" w:lastRow="0" w:firstColumn="0" w:lastColumn="0" w:noHBand="1" w:noVBand="1"/>
      </w:tblPr>
      <w:tblGrid>
        <w:gridCol w:w="1455"/>
        <w:gridCol w:w="7410"/>
      </w:tblGrid>
      <w:tr w:rsidR="00B67DD6" w:rsidRPr="00E3756C" w14:paraId="2E4B773C" w14:textId="77777777" w:rsidTr="00B67DD6">
        <w:tc>
          <w:tcPr>
            <w:tcW w:w="1455" w:type="dxa"/>
            <w:shd w:val="clear" w:color="auto" w:fill="FFFFFF" w:themeFill="background1"/>
            <w:tcMar>
              <w:top w:w="0" w:type="dxa"/>
              <w:left w:w="100" w:type="dxa"/>
              <w:bottom w:w="0" w:type="dxa"/>
              <w:right w:w="100" w:type="dxa"/>
            </w:tcMar>
          </w:tcPr>
          <w:p w14:paraId="48523CF8" w14:textId="77777777" w:rsidR="00B67DD6" w:rsidRPr="00E3756C" w:rsidRDefault="00B67DD6" w:rsidP="00B67DD6">
            <w:pPr>
              <w:pStyle w:val="BodyText"/>
              <w:spacing w:before="80" w:after="80"/>
            </w:pPr>
            <w:r w:rsidRPr="00E3756C">
              <w:t>BRANZ</w:t>
            </w:r>
          </w:p>
        </w:tc>
        <w:tc>
          <w:tcPr>
            <w:tcW w:w="7410" w:type="dxa"/>
            <w:tcMar>
              <w:top w:w="0" w:type="dxa"/>
              <w:left w:w="100" w:type="dxa"/>
              <w:bottom w:w="0" w:type="dxa"/>
              <w:right w:w="100" w:type="dxa"/>
            </w:tcMar>
          </w:tcPr>
          <w:p w14:paraId="15F9E178" w14:textId="77777777" w:rsidR="00B67DD6" w:rsidRPr="00E3756C" w:rsidRDefault="00B67DD6" w:rsidP="00B67DD6">
            <w:pPr>
              <w:pStyle w:val="BodyText"/>
              <w:spacing w:before="80" w:after="80"/>
            </w:pPr>
            <w:r w:rsidRPr="00E3756C">
              <w:t>Building Research Association New Zealand</w:t>
            </w:r>
          </w:p>
        </w:tc>
      </w:tr>
      <w:tr w:rsidR="00B67DD6" w:rsidRPr="00E3756C" w14:paraId="0055162B" w14:textId="77777777" w:rsidTr="00B67DD6">
        <w:tc>
          <w:tcPr>
            <w:tcW w:w="1455" w:type="dxa"/>
            <w:shd w:val="clear" w:color="auto" w:fill="FFFFFF" w:themeFill="background1"/>
            <w:tcMar>
              <w:top w:w="0" w:type="dxa"/>
              <w:left w:w="100" w:type="dxa"/>
              <w:bottom w:w="0" w:type="dxa"/>
              <w:right w:w="100" w:type="dxa"/>
            </w:tcMar>
          </w:tcPr>
          <w:p w14:paraId="202A0CF2" w14:textId="77777777" w:rsidR="00B67DD6" w:rsidRPr="00E3756C" w:rsidRDefault="00B67DD6" w:rsidP="00B67DD6">
            <w:pPr>
              <w:pStyle w:val="BodyText"/>
              <w:spacing w:before="80" w:after="80"/>
            </w:pPr>
            <w:r w:rsidRPr="00E3756C">
              <w:t>CAA</w:t>
            </w:r>
          </w:p>
        </w:tc>
        <w:tc>
          <w:tcPr>
            <w:tcW w:w="7410" w:type="dxa"/>
            <w:tcMar>
              <w:top w:w="0" w:type="dxa"/>
              <w:left w:w="100" w:type="dxa"/>
              <w:bottom w:w="0" w:type="dxa"/>
              <w:right w:w="100" w:type="dxa"/>
            </w:tcMar>
          </w:tcPr>
          <w:p w14:paraId="083F52B8" w14:textId="77777777" w:rsidR="00B67DD6" w:rsidRPr="00E3756C" w:rsidRDefault="00B67DD6" w:rsidP="00B67DD6">
            <w:pPr>
              <w:pStyle w:val="BodyText"/>
              <w:spacing w:before="80" w:after="80"/>
            </w:pPr>
            <w:r w:rsidRPr="00E3756C">
              <w:t>Civil Aviation Authority</w:t>
            </w:r>
          </w:p>
        </w:tc>
      </w:tr>
      <w:tr w:rsidR="00B67DD6" w:rsidRPr="00E3756C" w14:paraId="196D1B68" w14:textId="77777777" w:rsidTr="00B67DD6">
        <w:tc>
          <w:tcPr>
            <w:tcW w:w="1455" w:type="dxa"/>
            <w:shd w:val="clear" w:color="auto" w:fill="FFFFFF" w:themeFill="background1"/>
            <w:tcMar>
              <w:top w:w="0" w:type="dxa"/>
              <w:left w:w="100" w:type="dxa"/>
              <w:bottom w:w="0" w:type="dxa"/>
              <w:right w:w="100" w:type="dxa"/>
            </w:tcMar>
          </w:tcPr>
          <w:p w14:paraId="5B40215F" w14:textId="77777777" w:rsidR="00B67DD6" w:rsidRPr="00E3756C" w:rsidRDefault="00B67DD6" w:rsidP="00B67DD6">
            <w:pPr>
              <w:pStyle w:val="BodyText"/>
              <w:spacing w:before="80" w:after="80"/>
              <w:rPr>
                <w:highlight w:val="yellow"/>
              </w:rPr>
            </w:pPr>
            <w:r w:rsidRPr="00E3756C">
              <w:t>CCATWG</w:t>
            </w:r>
          </w:p>
        </w:tc>
        <w:tc>
          <w:tcPr>
            <w:tcW w:w="7410" w:type="dxa"/>
            <w:tcMar>
              <w:top w:w="0" w:type="dxa"/>
              <w:left w:w="100" w:type="dxa"/>
              <w:bottom w:w="0" w:type="dxa"/>
              <w:right w:w="100" w:type="dxa"/>
            </w:tcMar>
          </w:tcPr>
          <w:p w14:paraId="464D2ABB" w14:textId="77777777" w:rsidR="00B67DD6" w:rsidRPr="00E3756C" w:rsidRDefault="00B67DD6" w:rsidP="00B67DD6">
            <w:pPr>
              <w:pStyle w:val="BodyText"/>
              <w:spacing w:before="80" w:after="80"/>
              <w:rPr>
                <w:highlight w:val="yellow"/>
              </w:rPr>
            </w:pPr>
            <w:r w:rsidRPr="00E3756C">
              <w:t>Climate</w:t>
            </w:r>
            <w:r w:rsidRPr="00E3756C">
              <w:rPr>
                <w:rStyle w:val="FootnoteTextChar"/>
              </w:rPr>
              <w:t xml:space="preserve"> </w:t>
            </w:r>
            <w:r w:rsidRPr="00E3756C">
              <w:t>Change Adaptation Technical Working Group</w:t>
            </w:r>
          </w:p>
        </w:tc>
      </w:tr>
      <w:tr w:rsidR="00B67DD6" w:rsidRPr="00E3756C" w14:paraId="1D8CF33C" w14:textId="77777777" w:rsidTr="00B67DD6">
        <w:tc>
          <w:tcPr>
            <w:tcW w:w="1455" w:type="dxa"/>
            <w:shd w:val="clear" w:color="auto" w:fill="FFFFFF" w:themeFill="background1"/>
            <w:tcMar>
              <w:top w:w="0" w:type="dxa"/>
              <w:left w:w="100" w:type="dxa"/>
              <w:bottom w:w="0" w:type="dxa"/>
              <w:right w:w="100" w:type="dxa"/>
            </w:tcMar>
          </w:tcPr>
          <w:p w14:paraId="09C12599" w14:textId="77777777" w:rsidR="00B67DD6" w:rsidRPr="00E3756C" w:rsidRDefault="00B67DD6" w:rsidP="00B67DD6">
            <w:pPr>
              <w:pStyle w:val="BodyText"/>
              <w:spacing w:before="80" w:after="80"/>
            </w:pPr>
            <w:r w:rsidRPr="00E3756C">
              <w:t>CLUES</w:t>
            </w:r>
          </w:p>
        </w:tc>
        <w:tc>
          <w:tcPr>
            <w:tcW w:w="7410" w:type="dxa"/>
            <w:tcMar>
              <w:top w:w="0" w:type="dxa"/>
              <w:left w:w="100" w:type="dxa"/>
              <w:bottom w:w="0" w:type="dxa"/>
              <w:right w:w="100" w:type="dxa"/>
            </w:tcMar>
          </w:tcPr>
          <w:p w14:paraId="51CC16A1" w14:textId="77777777" w:rsidR="00B67DD6" w:rsidRPr="00E3756C" w:rsidRDefault="00B67DD6" w:rsidP="00B67DD6">
            <w:pPr>
              <w:pStyle w:val="BodyText"/>
              <w:spacing w:before="80" w:after="80"/>
            </w:pPr>
            <w:r w:rsidRPr="00E3756C">
              <w:t>Catchment Land Use for Environmental Sustainability model</w:t>
            </w:r>
          </w:p>
        </w:tc>
      </w:tr>
      <w:tr w:rsidR="00B67DD6" w:rsidRPr="00E3756C" w14:paraId="48E66774" w14:textId="77777777" w:rsidTr="00B67DD6">
        <w:tc>
          <w:tcPr>
            <w:tcW w:w="1455" w:type="dxa"/>
            <w:shd w:val="clear" w:color="auto" w:fill="FFFFFF" w:themeFill="background1"/>
            <w:tcMar>
              <w:top w:w="0" w:type="dxa"/>
              <w:left w:w="100" w:type="dxa"/>
              <w:bottom w:w="0" w:type="dxa"/>
              <w:right w:w="100" w:type="dxa"/>
            </w:tcMar>
          </w:tcPr>
          <w:p w14:paraId="435C08FB" w14:textId="77777777" w:rsidR="00B67DD6" w:rsidRPr="00E3756C" w:rsidRDefault="00B67DD6" w:rsidP="00B67DD6">
            <w:pPr>
              <w:pStyle w:val="BodyText"/>
              <w:spacing w:before="80" w:after="80"/>
            </w:pPr>
            <w:r w:rsidRPr="00E3756C">
              <w:t>CO</w:t>
            </w:r>
            <w:r w:rsidRPr="00E3756C">
              <w:rPr>
                <w:vertAlign w:val="subscript"/>
              </w:rPr>
              <w:t>2</w:t>
            </w:r>
          </w:p>
        </w:tc>
        <w:tc>
          <w:tcPr>
            <w:tcW w:w="7410" w:type="dxa"/>
            <w:tcMar>
              <w:top w:w="0" w:type="dxa"/>
              <w:left w:w="100" w:type="dxa"/>
              <w:bottom w:w="0" w:type="dxa"/>
              <w:right w:w="100" w:type="dxa"/>
            </w:tcMar>
          </w:tcPr>
          <w:p w14:paraId="3CD16A43" w14:textId="77777777" w:rsidR="00B67DD6" w:rsidRPr="00E3756C" w:rsidRDefault="00B67DD6" w:rsidP="00B67DD6">
            <w:pPr>
              <w:pStyle w:val="BodyText"/>
              <w:spacing w:before="80" w:after="80"/>
            </w:pPr>
            <w:r w:rsidRPr="00E3756C">
              <w:t>Carbon dioxide</w:t>
            </w:r>
          </w:p>
        </w:tc>
      </w:tr>
      <w:tr w:rsidR="00B67DD6" w:rsidRPr="00E3756C" w14:paraId="5A7C7DF2" w14:textId="77777777" w:rsidTr="00B67DD6">
        <w:tc>
          <w:tcPr>
            <w:tcW w:w="1455" w:type="dxa"/>
            <w:shd w:val="clear" w:color="auto" w:fill="FFFFFF" w:themeFill="background1"/>
            <w:tcMar>
              <w:top w:w="0" w:type="dxa"/>
              <w:left w:w="100" w:type="dxa"/>
              <w:bottom w:w="0" w:type="dxa"/>
              <w:right w:w="100" w:type="dxa"/>
            </w:tcMar>
          </w:tcPr>
          <w:p w14:paraId="4A1BA22F" w14:textId="77777777" w:rsidR="00B67DD6" w:rsidRPr="00E3756C" w:rsidRDefault="00B67DD6" w:rsidP="00B67DD6">
            <w:pPr>
              <w:pStyle w:val="BodyText"/>
              <w:spacing w:before="80" w:after="80"/>
            </w:pPr>
            <w:r w:rsidRPr="00E3756C">
              <w:t>DHB</w:t>
            </w:r>
          </w:p>
        </w:tc>
        <w:tc>
          <w:tcPr>
            <w:tcW w:w="7410" w:type="dxa"/>
            <w:tcMar>
              <w:top w:w="0" w:type="dxa"/>
              <w:left w:w="100" w:type="dxa"/>
              <w:bottom w:w="0" w:type="dxa"/>
              <w:right w:w="100" w:type="dxa"/>
            </w:tcMar>
          </w:tcPr>
          <w:p w14:paraId="2129C522" w14:textId="77777777" w:rsidR="00B67DD6" w:rsidRPr="00E3756C" w:rsidRDefault="00B67DD6" w:rsidP="00B67DD6">
            <w:pPr>
              <w:pStyle w:val="BodyText"/>
              <w:spacing w:before="80" w:after="80"/>
            </w:pPr>
            <w:r w:rsidRPr="00E3756C">
              <w:t>District health board</w:t>
            </w:r>
          </w:p>
        </w:tc>
      </w:tr>
      <w:tr w:rsidR="00B67DD6" w:rsidRPr="00E3756C" w14:paraId="679F2570" w14:textId="77777777" w:rsidTr="00B67DD6">
        <w:tc>
          <w:tcPr>
            <w:tcW w:w="1455" w:type="dxa"/>
            <w:shd w:val="clear" w:color="auto" w:fill="FFFFFF" w:themeFill="background1"/>
            <w:tcMar>
              <w:top w:w="0" w:type="dxa"/>
              <w:left w:w="100" w:type="dxa"/>
              <w:bottom w:w="0" w:type="dxa"/>
              <w:right w:w="100" w:type="dxa"/>
            </w:tcMar>
          </w:tcPr>
          <w:p w14:paraId="74F88986" w14:textId="77777777" w:rsidR="00B67DD6" w:rsidRPr="00E3756C" w:rsidRDefault="00B67DD6" w:rsidP="00B67DD6">
            <w:pPr>
              <w:pStyle w:val="BodyText"/>
              <w:spacing w:before="80" w:after="80"/>
            </w:pPr>
            <w:r w:rsidRPr="00E3756C">
              <w:t>DOC</w:t>
            </w:r>
          </w:p>
        </w:tc>
        <w:tc>
          <w:tcPr>
            <w:tcW w:w="7410" w:type="dxa"/>
            <w:tcMar>
              <w:top w:w="0" w:type="dxa"/>
              <w:left w:w="100" w:type="dxa"/>
              <w:bottom w:w="0" w:type="dxa"/>
              <w:right w:w="100" w:type="dxa"/>
            </w:tcMar>
          </w:tcPr>
          <w:p w14:paraId="7DC0C6FF" w14:textId="77777777" w:rsidR="00B67DD6" w:rsidRPr="00E3756C" w:rsidRDefault="00B67DD6" w:rsidP="00B67DD6">
            <w:pPr>
              <w:pStyle w:val="BodyText"/>
              <w:spacing w:before="80" w:after="80"/>
            </w:pPr>
            <w:r w:rsidRPr="00E3756C">
              <w:t>Department of Conservation</w:t>
            </w:r>
          </w:p>
        </w:tc>
      </w:tr>
      <w:tr w:rsidR="00B67DD6" w:rsidRPr="00E3756C" w14:paraId="2AEED750" w14:textId="77777777" w:rsidTr="00B67DD6">
        <w:tc>
          <w:tcPr>
            <w:tcW w:w="1455" w:type="dxa"/>
            <w:shd w:val="clear" w:color="auto" w:fill="FFFFFF" w:themeFill="background1"/>
            <w:tcMar>
              <w:top w:w="0" w:type="dxa"/>
              <w:left w:w="100" w:type="dxa"/>
              <w:bottom w:w="0" w:type="dxa"/>
              <w:right w:w="100" w:type="dxa"/>
            </w:tcMar>
          </w:tcPr>
          <w:p w14:paraId="5F6C1CD1" w14:textId="77777777" w:rsidR="00B67DD6" w:rsidRPr="00E3756C" w:rsidRDefault="00B67DD6" w:rsidP="00B67DD6">
            <w:pPr>
              <w:pStyle w:val="BodyText"/>
              <w:spacing w:before="80" w:after="80"/>
            </w:pPr>
            <w:r w:rsidRPr="00E3756C">
              <w:t>DIA</w:t>
            </w:r>
          </w:p>
        </w:tc>
        <w:tc>
          <w:tcPr>
            <w:tcW w:w="7410" w:type="dxa"/>
            <w:tcMar>
              <w:top w:w="0" w:type="dxa"/>
              <w:left w:w="100" w:type="dxa"/>
              <w:bottom w:w="0" w:type="dxa"/>
              <w:right w:w="100" w:type="dxa"/>
            </w:tcMar>
          </w:tcPr>
          <w:p w14:paraId="519A63AD" w14:textId="77777777" w:rsidR="00B67DD6" w:rsidRPr="00E3756C" w:rsidRDefault="00B67DD6" w:rsidP="00B67DD6">
            <w:pPr>
              <w:pStyle w:val="BodyText"/>
              <w:spacing w:before="80" w:after="80"/>
            </w:pPr>
            <w:r w:rsidRPr="00E3756C">
              <w:t>Department of Internal Affairs</w:t>
            </w:r>
          </w:p>
        </w:tc>
      </w:tr>
      <w:tr w:rsidR="00B67DD6" w:rsidRPr="00E3756C" w14:paraId="310B9563" w14:textId="77777777" w:rsidTr="00B67DD6">
        <w:tc>
          <w:tcPr>
            <w:tcW w:w="1455" w:type="dxa"/>
            <w:shd w:val="clear" w:color="auto" w:fill="FFFFFF" w:themeFill="background1"/>
            <w:tcMar>
              <w:top w:w="0" w:type="dxa"/>
              <w:left w:w="100" w:type="dxa"/>
              <w:bottom w:w="0" w:type="dxa"/>
              <w:right w:w="100" w:type="dxa"/>
            </w:tcMar>
          </w:tcPr>
          <w:p w14:paraId="27C6EE62" w14:textId="77777777" w:rsidR="00B67DD6" w:rsidRPr="00E3756C" w:rsidRDefault="00B67DD6" w:rsidP="00B67DD6">
            <w:pPr>
              <w:pStyle w:val="BodyText"/>
              <w:spacing w:before="80" w:after="80"/>
            </w:pPr>
            <w:r w:rsidRPr="00E3756C">
              <w:t>DPMC</w:t>
            </w:r>
          </w:p>
        </w:tc>
        <w:tc>
          <w:tcPr>
            <w:tcW w:w="7410" w:type="dxa"/>
            <w:tcMar>
              <w:top w:w="0" w:type="dxa"/>
              <w:left w:w="100" w:type="dxa"/>
              <w:bottom w:w="0" w:type="dxa"/>
              <w:right w:w="100" w:type="dxa"/>
            </w:tcMar>
          </w:tcPr>
          <w:p w14:paraId="15B3E2AC" w14:textId="77777777" w:rsidR="00B67DD6" w:rsidRPr="00E3756C" w:rsidRDefault="00B67DD6" w:rsidP="00B67DD6">
            <w:pPr>
              <w:pStyle w:val="BodyText"/>
              <w:spacing w:before="80" w:after="80"/>
            </w:pPr>
            <w:r w:rsidRPr="00E3756C">
              <w:t>Department of the Prime Minister and Cabinet</w:t>
            </w:r>
          </w:p>
        </w:tc>
      </w:tr>
      <w:tr w:rsidR="00B67DD6" w:rsidRPr="00E3756C" w14:paraId="116B4343" w14:textId="77777777" w:rsidTr="00B67DD6">
        <w:tc>
          <w:tcPr>
            <w:tcW w:w="1455" w:type="dxa"/>
            <w:shd w:val="clear" w:color="auto" w:fill="FFFFFF" w:themeFill="background1"/>
            <w:tcMar>
              <w:top w:w="0" w:type="dxa"/>
              <w:left w:w="100" w:type="dxa"/>
              <w:bottom w:w="0" w:type="dxa"/>
              <w:right w:w="100" w:type="dxa"/>
            </w:tcMar>
          </w:tcPr>
          <w:p w14:paraId="246EB395" w14:textId="77777777" w:rsidR="00B67DD6" w:rsidRPr="00E3756C" w:rsidRDefault="00B67DD6" w:rsidP="00B67DD6">
            <w:pPr>
              <w:pStyle w:val="BodyText"/>
              <w:spacing w:before="80" w:after="80"/>
            </w:pPr>
            <w:r w:rsidRPr="00E3756C">
              <w:t>EECA</w:t>
            </w:r>
          </w:p>
        </w:tc>
        <w:tc>
          <w:tcPr>
            <w:tcW w:w="7410" w:type="dxa"/>
            <w:tcMar>
              <w:top w:w="0" w:type="dxa"/>
              <w:left w:w="100" w:type="dxa"/>
              <w:bottom w:w="0" w:type="dxa"/>
              <w:right w:w="100" w:type="dxa"/>
            </w:tcMar>
          </w:tcPr>
          <w:p w14:paraId="45EC32F2" w14:textId="77777777" w:rsidR="00B67DD6" w:rsidRPr="00E3756C" w:rsidRDefault="00B67DD6" w:rsidP="00B67DD6">
            <w:pPr>
              <w:pStyle w:val="BodyText"/>
              <w:spacing w:before="80" w:after="80"/>
            </w:pPr>
            <w:r w:rsidRPr="00E3756C">
              <w:t>Energy Efficiency and Conservation Authority</w:t>
            </w:r>
          </w:p>
        </w:tc>
      </w:tr>
      <w:tr w:rsidR="00B67DD6" w:rsidRPr="00E3756C" w14:paraId="67849E34" w14:textId="77777777" w:rsidTr="00B67DD6">
        <w:tc>
          <w:tcPr>
            <w:tcW w:w="1455" w:type="dxa"/>
            <w:shd w:val="clear" w:color="auto" w:fill="FFFFFF" w:themeFill="background1"/>
            <w:tcMar>
              <w:top w:w="0" w:type="dxa"/>
              <w:left w:w="100" w:type="dxa"/>
              <w:bottom w:w="0" w:type="dxa"/>
              <w:right w:w="100" w:type="dxa"/>
            </w:tcMar>
          </w:tcPr>
          <w:p w14:paraId="5B00108B" w14:textId="77777777" w:rsidR="00B67DD6" w:rsidRPr="00E3756C" w:rsidRDefault="00B67DD6" w:rsidP="00B67DD6">
            <w:pPr>
              <w:pStyle w:val="BodyText"/>
              <w:spacing w:before="80" w:after="80"/>
            </w:pPr>
            <w:r w:rsidRPr="00E3756C">
              <w:t>ENSO</w:t>
            </w:r>
          </w:p>
        </w:tc>
        <w:tc>
          <w:tcPr>
            <w:tcW w:w="7410" w:type="dxa"/>
            <w:tcMar>
              <w:top w:w="0" w:type="dxa"/>
              <w:left w:w="100" w:type="dxa"/>
              <w:bottom w:w="0" w:type="dxa"/>
              <w:right w:w="100" w:type="dxa"/>
            </w:tcMar>
          </w:tcPr>
          <w:p w14:paraId="2C878EF9" w14:textId="77777777" w:rsidR="00B67DD6" w:rsidRPr="00E3756C" w:rsidRDefault="00B67DD6" w:rsidP="00B67DD6">
            <w:pPr>
              <w:pStyle w:val="BodyText"/>
              <w:spacing w:before="80" w:after="80"/>
            </w:pPr>
            <w:r w:rsidRPr="00E3756C">
              <w:t>El Niño–Southern Oscillation</w:t>
            </w:r>
          </w:p>
        </w:tc>
      </w:tr>
      <w:tr w:rsidR="00B67DD6" w:rsidRPr="00E3756C" w14:paraId="4401D0D3" w14:textId="77777777" w:rsidTr="00B67DD6">
        <w:tc>
          <w:tcPr>
            <w:tcW w:w="1455" w:type="dxa"/>
            <w:shd w:val="clear" w:color="auto" w:fill="FFFFFF" w:themeFill="background1"/>
            <w:tcMar>
              <w:top w:w="0" w:type="dxa"/>
              <w:left w:w="100" w:type="dxa"/>
              <w:bottom w:w="0" w:type="dxa"/>
              <w:right w:w="100" w:type="dxa"/>
            </w:tcMar>
          </w:tcPr>
          <w:p w14:paraId="65B6101F" w14:textId="77777777" w:rsidR="00B67DD6" w:rsidRPr="00E3756C" w:rsidRDefault="00B67DD6" w:rsidP="00B67DD6">
            <w:pPr>
              <w:pStyle w:val="BodyText"/>
              <w:spacing w:before="80" w:after="80"/>
            </w:pPr>
            <w:r w:rsidRPr="00E3756C">
              <w:t>EPA</w:t>
            </w:r>
          </w:p>
        </w:tc>
        <w:tc>
          <w:tcPr>
            <w:tcW w:w="7410" w:type="dxa"/>
            <w:tcMar>
              <w:top w:w="0" w:type="dxa"/>
              <w:left w:w="100" w:type="dxa"/>
              <w:bottom w:w="0" w:type="dxa"/>
              <w:right w:w="100" w:type="dxa"/>
            </w:tcMar>
          </w:tcPr>
          <w:p w14:paraId="1495704C" w14:textId="77777777" w:rsidR="00B67DD6" w:rsidRPr="00E3756C" w:rsidRDefault="00B67DD6" w:rsidP="00B67DD6">
            <w:pPr>
              <w:pStyle w:val="BodyText"/>
              <w:spacing w:before="80" w:after="80"/>
            </w:pPr>
            <w:r w:rsidRPr="00E3756C">
              <w:t>Environmental Protection Authority</w:t>
            </w:r>
          </w:p>
        </w:tc>
      </w:tr>
      <w:tr w:rsidR="00B67DD6" w:rsidRPr="00E3756C" w14:paraId="59A20963" w14:textId="77777777" w:rsidTr="00B67DD6">
        <w:tc>
          <w:tcPr>
            <w:tcW w:w="1455" w:type="dxa"/>
            <w:shd w:val="clear" w:color="auto" w:fill="FFFFFF" w:themeFill="background1"/>
            <w:tcMar>
              <w:top w:w="0" w:type="dxa"/>
              <w:left w:w="100" w:type="dxa"/>
              <w:bottom w:w="0" w:type="dxa"/>
              <w:right w:w="100" w:type="dxa"/>
            </w:tcMar>
          </w:tcPr>
          <w:p w14:paraId="14B517DB" w14:textId="77777777" w:rsidR="00B67DD6" w:rsidRPr="00E3756C" w:rsidRDefault="00B67DD6" w:rsidP="00B67DD6">
            <w:pPr>
              <w:pStyle w:val="BodyText"/>
              <w:spacing w:before="80" w:after="80"/>
            </w:pPr>
            <w:r w:rsidRPr="00E3756C">
              <w:t>FOMA</w:t>
            </w:r>
          </w:p>
        </w:tc>
        <w:tc>
          <w:tcPr>
            <w:tcW w:w="7410" w:type="dxa"/>
            <w:tcMar>
              <w:top w:w="0" w:type="dxa"/>
              <w:left w:w="100" w:type="dxa"/>
              <w:bottom w:w="0" w:type="dxa"/>
              <w:right w:w="100" w:type="dxa"/>
            </w:tcMar>
          </w:tcPr>
          <w:p w14:paraId="0260E0F0" w14:textId="77777777" w:rsidR="00B67DD6" w:rsidRPr="00E3756C" w:rsidRDefault="00B67DD6" w:rsidP="00B67DD6">
            <w:pPr>
              <w:pStyle w:val="BodyText"/>
              <w:spacing w:before="80" w:after="80"/>
            </w:pPr>
            <w:r w:rsidRPr="00E3756C">
              <w:t>Federation of Māori Authorities</w:t>
            </w:r>
          </w:p>
        </w:tc>
      </w:tr>
      <w:tr w:rsidR="00B67DD6" w:rsidRPr="00E3756C" w14:paraId="3C2B65C5" w14:textId="77777777" w:rsidTr="00B67DD6">
        <w:tc>
          <w:tcPr>
            <w:tcW w:w="1455" w:type="dxa"/>
            <w:shd w:val="clear" w:color="auto" w:fill="FFFFFF" w:themeFill="background1"/>
            <w:tcMar>
              <w:top w:w="0" w:type="dxa"/>
              <w:left w:w="100" w:type="dxa"/>
              <w:bottom w:w="0" w:type="dxa"/>
              <w:right w:w="100" w:type="dxa"/>
            </w:tcMar>
          </w:tcPr>
          <w:p w14:paraId="384F0FA2" w14:textId="77777777" w:rsidR="00B67DD6" w:rsidRPr="00E3756C" w:rsidRDefault="00B67DD6" w:rsidP="00B67DD6">
            <w:pPr>
              <w:pStyle w:val="BodyText"/>
              <w:spacing w:before="80" w:after="80"/>
            </w:pPr>
            <w:r w:rsidRPr="00E3756C">
              <w:t>GCP</w:t>
            </w:r>
          </w:p>
        </w:tc>
        <w:tc>
          <w:tcPr>
            <w:tcW w:w="7410" w:type="dxa"/>
            <w:tcMar>
              <w:top w:w="0" w:type="dxa"/>
              <w:left w:w="100" w:type="dxa"/>
              <w:bottom w:w="0" w:type="dxa"/>
              <w:right w:w="100" w:type="dxa"/>
            </w:tcMar>
          </w:tcPr>
          <w:p w14:paraId="4C177D36" w14:textId="77777777" w:rsidR="00B67DD6" w:rsidRPr="00E3756C" w:rsidRDefault="00B67DD6" w:rsidP="00B67DD6">
            <w:pPr>
              <w:pStyle w:val="BodyText"/>
              <w:spacing w:before="80" w:after="80"/>
            </w:pPr>
            <w:r w:rsidRPr="00E3756C">
              <w:t>Global Carbon Project</w:t>
            </w:r>
          </w:p>
        </w:tc>
      </w:tr>
      <w:tr w:rsidR="00B67DD6" w:rsidRPr="00E3756C" w14:paraId="5E23B680" w14:textId="77777777" w:rsidTr="00B67DD6">
        <w:tc>
          <w:tcPr>
            <w:tcW w:w="1455" w:type="dxa"/>
            <w:shd w:val="clear" w:color="auto" w:fill="FFFFFF" w:themeFill="background1"/>
            <w:tcMar>
              <w:top w:w="0" w:type="dxa"/>
              <w:left w:w="100" w:type="dxa"/>
              <w:bottom w:w="0" w:type="dxa"/>
              <w:right w:w="100" w:type="dxa"/>
            </w:tcMar>
          </w:tcPr>
          <w:p w14:paraId="67EC18A5" w14:textId="77777777" w:rsidR="00B67DD6" w:rsidRPr="00E3756C" w:rsidRDefault="00B67DD6" w:rsidP="00B67DD6">
            <w:pPr>
              <w:pStyle w:val="BodyText"/>
              <w:spacing w:before="80" w:after="80"/>
            </w:pPr>
            <w:r w:rsidRPr="00E3756C">
              <w:t>GIC</w:t>
            </w:r>
          </w:p>
        </w:tc>
        <w:tc>
          <w:tcPr>
            <w:tcW w:w="7410" w:type="dxa"/>
            <w:tcMar>
              <w:top w:w="0" w:type="dxa"/>
              <w:left w:w="100" w:type="dxa"/>
              <w:bottom w:w="0" w:type="dxa"/>
              <w:right w:w="100" w:type="dxa"/>
            </w:tcMar>
          </w:tcPr>
          <w:p w14:paraId="677A693A" w14:textId="77777777" w:rsidR="00B67DD6" w:rsidRPr="00E3756C" w:rsidRDefault="00B67DD6" w:rsidP="00B67DD6">
            <w:pPr>
              <w:pStyle w:val="BodyText"/>
              <w:spacing w:before="80" w:after="80"/>
            </w:pPr>
            <w:r w:rsidRPr="00E3756C">
              <w:t>Gas Industry Company</w:t>
            </w:r>
          </w:p>
        </w:tc>
      </w:tr>
      <w:tr w:rsidR="00B67DD6" w:rsidRPr="00E3756C" w14:paraId="199444FF" w14:textId="77777777" w:rsidTr="00B67DD6">
        <w:tc>
          <w:tcPr>
            <w:tcW w:w="1455" w:type="dxa"/>
            <w:shd w:val="clear" w:color="auto" w:fill="FFFFFF" w:themeFill="background1"/>
            <w:tcMar>
              <w:top w:w="0" w:type="dxa"/>
              <w:left w:w="100" w:type="dxa"/>
              <w:bottom w:w="0" w:type="dxa"/>
              <w:right w:w="100" w:type="dxa"/>
            </w:tcMar>
          </w:tcPr>
          <w:p w14:paraId="1B1D43F0" w14:textId="77777777" w:rsidR="00B67DD6" w:rsidRPr="00E3756C" w:rsidRDefault="00B67DD6" w:rsidP="00B67DD6">
            <w:pPr>
              <w:pStyle w:val="BodyText"/>
              <w:spacing w:before="80" w:after="80"/>
            </w:pPr>
            <w:r w:rsidRPr="00E3756C">
              <w:t>Gt</w:t>
            </w:r>
          </w:p>
        </w:tc>
        <w:tc>
          <w:tcPr>
            <w:tcW w:w="7410" w:type="dxa"/>
            <w:tcMar>
              <w:top w:w="0" w:type="dxa"/>
              <w:left w:w="100" w:type="dxa"/>
              <w:bottom w:w="0" w:type="dxa"/>
              <w:right w:w="100" w:type="dxa"/>
            </w:tcMar>
          </w:tcPr>
          <w:p w14:paraId="4CC41631" w14:textId="77777777" w:rsidR="00B67DD6" w:rsidRPr="00E3756C" w:rsidRDefault="00B67DD6" w:rsidP="00B67DD6">
            <w:pPr>
              <w:pStyle w:val="BodyText"/>
              <w:spacing w:before="80" w:after="80"/>
            </w:pPr>
            <w:r w:rsidRPr="00E3756C">
              <w:t>Gigatonne</w:t>
            </w:r>
          </w:p>
        </w:tc>
      </w:tr>
      <w:tr w:rsidR="00B67DD6" w:rsidRPr="00E3756C" w14:paraId="3B6B9398" w14:textId="77777777" w:rsidTr="00B67DD6">
        <w:tc>
          <w:tcPr>
            <w:tcW w:w="1455" w:type="dxa"/>
            <w:shd w:val="clear" w:color="auto" w:fill="FFFFFF" w:themeFill="background1"/>
            <w:tcMar>
              <w:top w:w="0" w:type="dxa"/>
              <w:left w:w="100" w:type="dxa"/>
              <w:bottom w:w="0" w:type="dxa"/>
              <w:right w:w="100" w:type="dxa"/>
            </w:tcMar>
          </w:tcPr>
          <w:p w14:paraId="6827B364" w14:textId="77777777" w:rsidR="00B67DD6" w:rsidRPr="00E3756C" w:rsidRDefault="00B67DD6" w:rsidP="00B67DD6">
            <w:pPr>
              <w:pStyle w:val="BodyText"/>
              <w:spacing w:before="80" w:after="80"/>
            </w:pPr>
            <w:r w:rsidRPr="00E3756C">
              <w:t>HIRDS</w:t>
            </w:r>
          </w:p>
        </w:tc>
        <w:tc>
          <w:tcPr>
            <w:tcW w:w="7410" w:type="dxa"/>
            <w:tcMar>
              <w:top w:w="0" w:type="dxa"/>
              <w:left w:w="100" w:type="dxa"/>
              <w:bottom w:w="0" w:type="dxa"/>
              <w:right w:w="100" w:type="dxa"/>
            </w:tcMar>
          </w:tcPr>
          <w:p w14:paraId="5619EB7A" w14:textId="77777777" w:rsidR="00B67DD6" w:rsidRPr="00E3756C" w:rsidRDefault="00B67DD6" w:rsidP="00B67DD6">
            <w:pPr>
              <w:pStyle w:val="BodyText"/>
              <w:spacing w:before="80" w:after="80"/>
            </w:pPr>
            <w:r w:rsidRPr="00E3756C">
              <w:t>High Intensity Rainfall Design System</w:t>
            </w:r>
          </w:p>
        </w:tc>
      </w:tr>
      <w:tr w:rsidR="00B67DD6" w:rsidRPr="00E3756C" w14:paraId="084EDB49" w14:textId="77777777" w:rsidTr="00B67DD6">
        <w:tc>
          <w:tcPr>
            <w:tcW w:w="1455" w:type="dxa"/>
            <w:shd w:val="clear" w:color="auto" w:fill="FFFFFF" w:themeFill="background1"/>
            <w:tcMar>
              <w:top w:w="0" w:type="dxa"/>
              <w:left w:w="100" w:type="dxa"/>
              <w:bottom w:w="0" w:type="dxa"/>
              <w:right w:w="100" w:type="dxa"/>
            </w:tcMar>
          </w:tcPr>
          <w:p w14:paraId="2909F3C1" w14:textId="77777777" w:rsidR="00B67DD6" w:rsidRPr="00E3756C" w:rsidRDefault="00B67DD6" w:rsidP="00B67DD6">
            <w:pPr>
              <w:pStyle w:val="BodyText"/>
              <w:spacing w:before="80" w:after="80"/>
              <w:rPr>
                <w:highlight w:val="yellow"/>
              </w:rPr>
            </w:pPr>
            <w:r w:rsidRPr="00E3756C">
              <w:t>IAP2</w:t>
            </w:r>
          </w:p>
        </w:tc>
        <w:tc>
          <w:tcPr>
            <w:tcW w:w="7410" w:type="dxa"/>
            <w:tcMar>
              <w:top w:w="0" w:type="dxa"/>
              <w:left w:w="100" w:type="dxa"/>
              <w:bottom w:w="0" w:type="dxa"/>
              <w:right w:w="100" w:type="dxa"/>
            </w:tcMar>
          </w:tcPr>
          <w:p w14:paraId="7DD8FC2A" w14:textId="77777777" w:rsidR="00B67DD6" w:rsidRPr="00E3756C" w:rsidRDefault="00B67DD6" w:rsidP="00B67DD6">
            <w:pPr>
              <w:pStyle w:val="BodyText"/>
              <w:spacing w:before="80" w:after="80"/>
              <w:rPr>
                <w:highlight w:val="yellow"/>
              </w:rPr>
            </w:pPr>
            <w:r w:rsidRPr="00E3756C">
              <w:t>International Association of Public Participation</w:t>
            </w:r>
          </w:p>
        </w:tc>
      </w:tr>
      <w:tr w:rsidR="00B67DD6" w:rsidRPr="00E3756C" w14:paraId="3B0E6F07" w14:textId="77777777" w:rsidTr="00B67DD6">
        <w:tc>
          <w:tcPr>
            <w:tcW w:w="1455" w:type="dxa"/>
            <w:shd w:val="clear" w:color="auto" w:fill="FFFFFF" w:themeFill="background1"/>
            <w:tcMar>
              <w:top w:w="0" w:type="dxa"/>
              <w:left w:w="100" w:type="dxa"/>
              <w:bottom w:w="0" w:type="dxa"/>
              <w:right w:w="100" w:type="dxa"/>
            </w:tcMar>
          </w:tcPr>
          <w:p w14:paraId="543F3518" w14:textId="77777777" w:rsidR="00B67DD6" w:rsidRPr="00E3756C" w:rsidRDefault="00B67DD6" w:rsidP="00B67DD6">
            <w:pPr>
              <w:pStyle w:val="BodyText"/>
              <w:spacing w:before="80" w:after="80"/>
            </w:pPr>
            <w:r w:rsidRPr="00E3756C">
              <w:t>IASA</w:t>
            </w:r>
          </w:p>
        </w:tc>
        <w:tc>
          <w:tcPr>
            <w:tcW w:w="7410" w:type="dxa"/>
            <w:tcMar>
              <w:top w:w="0" w:type="dxa"/>
              <w:left w:w="100" w:type="dxa"/>
              <w:bottom w:w="0" w:type="dxa"/>
              <w:right w:w="100" w:type="dxa"/>
            </w:tcMar>
          </w:tcPr>
          <w:p w14:paraId="17E4AEB1" w14:textId="77777777" w:rsidR="00B67DD6" w:rsidRPr="00E3756C" w:rsidRDefault="00086660" w:rsidP="00B67DD6">
            <w:pPr>
              <w:pStyle w:val="BodyText"/>
              <w:spacing w:before="80" w:after="80"/>
            </w:pPr>
            <w:r w:rsidRPr="00E3756C">
              <w:t>International Institute for Applied Systems Analysis</w:t>
            </w:r>
          </w:p>
        </w:tc>
      </w:tr>
      <w:tr w:rsidR="00B67DD6" w:rsidRPr="00E3756C" w14:paraId="18D2C076" w14:textId="77777777" w:rsidTr="00B67DD6">
        <w:tc>
          <w:tcPr>
            <w:tcW w:w="1455" w:type="dxa"/>
            <w:shd w:val="clear" w:color="auto" w:fill="FFFFFF" w:themeFill="background1"/>
            <w:tcMar>
              <w:top w:w="0" w:type="dxa"/>
              <w:left w:w="100" w:type="dxa"/>
              <w:bottom w:w="0" w:type="dxa"/>
              <w:right w:w="100" w:type="dxa"/>
            </w:tcMar>
          </w:tcPr>
          <w:p w14:paraId="33C63842" w14:textId="77777777" w:rsidR="00B67DD6" w:rsidRPr="00E3756C" w:rsidRDefault="00B67DD6" w:rsidP="00B67DD6">
            <w:pPr>
              <w:pStyle w:val="BodyText"/>
              <w:spacing w:before="80" w:after="80"/>
            </w:pPr>
            <w:r w:rsidRPr="00E3756C">
              <w:t>IPCC</w:t>
            </w:r>
          </w:p>
        </w:tc>
        <w:tc>
          <w:tcPr>
            <w:tcW w:w="7410" w:type="dxa"/>
            <w:tcMar>
              <w:top w:w="0" w:type="dxa"/>
              <w:left w:w="100" w:type="dxa"/>
              <w:bottom w:w="0" w:type="dxa"/>
              <w:right w:w="100" w:type="dxa"/>
            </w:tcMar>
          </w:tcPr>
          <w:p w14:paraId="56691836" w14:textId="77777777" w:rsidR="00B67DD6" w:rsidRPr="00E3756C" w:rsidRDefault="00B67DD6" w:rsidP="00B67DD6">
            <w:pPr>
              <w:pStyle w:val="BodyText"/>
              <w:spacing w:before="80" w:after="80"/>
            </w:pPr>
            <w:r w:rsidRPr="00E3756C">
              <w:rPr>
                <w:rFonts w:cs="Calibri"/>
                <w:szCs w:val="20"/>
              </w:rPr>
              <w:t>Intergovernmental Panel on Climate Change</w:t>
            </w:r>
          </w:p>
        </w:tc>
      </w:tr>
      <w:tr w:rsidR="00B67DD6" w:rsidRPr="00E3756C" w14:paraId="02A12123" w14:textId="77777777" w:rsidTr="00B67DD6">
        <w:tc>
          <w:tcPr>
            <w:tcW w:w="1455" w:type="dxa"/>
            <w:shd w:val="clear" w:color="auto" w:fill="FFFFFF" w:themeFill="background1"/>
            <w:tcMar>
              <w:top w:w="0" w:type="dxa"/>
              <w:left w:w="100" w:type="dxa"/>
              <w:bottom w:w="0" w:type="dxa"/>
              <w:right w:w="100" w:type="dxa"/>
            </w:tcMar>
          </w:tcPr>
          <w:p w14:paraId="682E3778" w14:textId="77777777" w:rsidR="00B67DD6" w:rsidRPr="00E3756C" w:rsidRDefault="00B67DD6" w:rsidP="00B67DD6">
            <w:pPr>
              <w:pStyle w:val="BodyText"/>
              <w:spacing w:before="80" w:after="80"/>
              <w:rPr>
                <w:highlight w:val="yellow"/>
              </w:rPr>
            </w:pPr>
            <w:r w:rsidRPr="00E3756C">
              <w:t>LGNZ</w:t>
            </w:r>
          </w:p>
        </w:tc>
        <w:tc>
          <w:tcPr>
            <w:tcW w:w="7410" w:type="dxa"/>
            <w:tcMar>
              <w:top w:w="0" w:type="dxa"/>
              <w:left w:w="100" w:type="dxa"/>
              <w:bottom w:w="0" w:type="dxa"/>
              <w:right w:w="100" w:type="dxa"/>
            </w:tcMar>
          </w:tcPr>
          <w:p w14:paraId="5012F72C" w14:textId="77777777" w:rsidR="00B67DD6" w:rsidRPr="00E3756C" w:rsidRDefault="00B67DD6" w:rsidP="00B67DD6">
            <w:pPr>
              <w:pStyle w:val="BodyText"/>
              <w:spacing w:before="80" w:after="80"/>
              <w:rPr>
                <w:highlight w:val="yellow"/>
              </w:rPr>
            </w:pPr>
            <w:r w:rsidRPr="00E3756C">
              <w:t>Local Government New Zealand</w:t>
            </w:r>
          </w:p>
        </w:tc>
      </w:tr>
      <w:tr w:rsidR="00B67DD6" w:rsidRPr="00E3756C" w14:paraId="21C02B18" w14:textId="77777777" w:rsidTr="00B67DD6">
        <w:tc>
          <w:tcPr>
            <w:tcW w:w="1455" w:type="dxa"/>
            <w:shd w:val="clear" w:color="auto" w:fill="FFFFFF" w:themeFill="background1"/>
            <w:tcMar>
              <w:top w:w="0" w:type="dxa"/>
              <w:left w:w="100" w:type="dxa"/>
              <w:bottom w:w="0" w:type="dxa"/>
              <w:right w:w="100" w:type="dxa"/>
            </w:tcMar>
          </w:tcPr>
          <w:p w14:paraId="7A81007F" w14:textId="77777777" w:rsidR="00B67DD6" w:rsidRPr="00E3756C" w:rsidRDefault="00B67DD6" w:rsidP="00B67DD6">
            <w:pPr>
              <w:pStyle w:val="BodyText"/>
              <w:spacing w:before="80" w:after="80"/>
            </w:pPr>
            <w:r w:rsidRPr="00E3756C">
              <w:t>LiDAR</w:t>
            </w:r>
          </w:p>
        </w:tc>
        <w:tc>
          <w:tcPr>
            <w:tcW w:w="7410" w:type="dxa"/>
            <w:tcMar>
              <w:top w:w="0" w:type="dxa"/>
              <w:left w:w="100" w:type="dxa"/>
              <w:bottom w:w="0" w:type="dxa"/>
              <w:right w:w="100" w:type="dxa"/>
            </w:tcMar>
          </w:tcPr>
          <w:p w14:paraId="41FCFE9A" w14:textId="77777777" w:rsidR="00B67DD6" w:rsidRPr="00E3756C" w:rsidRDefault="00B67DD6" w:rsidP="00B67DD6">
            <w:pPr>
              <w:pStyle w:val="BodyText"/>
              <w:spacing w:before="80" w:after="80"/>
            </w:pPr>
            <w:r w:rsidRPr="00E3756C">
              <w:t>Light Detection and Ranging</w:t>
            </w:r>
          </w:p>
        </w:tc>
      </w:tr>
      <w:tr w:rsidR="00B67DD6" w:rsidRPr="00E3756C" w14:paraId="4379EF01" w14:textId="77777777" w:rsidTr="00B67DD6">
        <w:tc>
          <w:tcPr>
            <w:tcW w:w="1455" w:type="dxa"/>
            <w:shd w:val="clear" w:color="auto" w:fill="FFFFFF" w:themeFill="background1"/>
            <w:tcMar>
              <w:top w:w="0" w:type="dxa"/>
              <w:left w:w="100" w:type="dxa"/>
              <w:bottom w:w="0" w:type="dxa"/>
              <w:right w:w="100" w:type="dxa"/>
            </w:tcMar>
          </w:tcPr>
          <w:p w14:paraId="644206B1" w14:textId="77777777" w:rsidR="00B67DD6" w:rsidRPr="00E3756C" w:rsidRDefault="00B67DD6" w:rsidP="00B67DD6">
            <w:pPr>
              <w:pStyle w:val="BodyText"/>
              <w:spacing w:before="80" w:after="80"/>
            </w:pPr>
            <w:r w:rsidRPr="00E3756C">
              <w:t>LINZ</w:t>
            </w:r>
          </w:p>
        </w:tc>
        <w:tc>
          <w:tcPr>
            <w:tcW w:w="7410" w:type="dxa"/>
            <w:tcMar>
              <w:top w:w="0" w:type="dxa"/>
              <w:left w:w="100" w:type="dxa"/>
              <w:bottom w:w="0" w:type="dxa"/>
              <w:right w:w="100" w:type="dxa"/>
            </w:tcMar>
          </w:tcPr>
          <w:p w14:paraId="54079F5F" w14:textId="77777777" w:rsidR="00B67DD6" w:rsidRPr="00E3756C" w:rsidRDefault="00B67DD6" w:rsidP="00B67DD6">
            <w:pPr>
              <w:pStyle w:val="BodyText"/>
              <w:spacing w:before="80" w:after="80"/>
            </w:pPr>
            <w:r w:rsidRPr="00E3756C">
              <w:t>Land Information New Zealand</w:t>
            </w:r>
          </w:p>
        </w:tc>
      </w:tr>
      <w:tr w:rsidR="00B67DD6" w:rsidRPr="00E3756C" w14:paraId="6FB154F4" w14:textId="77777777" w:rsidTr="00B67DD6">
        <w:tc>
          <w:tcPr>
            <w:tcW w:w="1455" w:type="dxa"/>
            <w:shd w:val="clear" w:color="auto" w:fill="FFFFFF" w:themeFill="background1"/>
            <w:tcMar>
              <w:top w:w="0" w:type="dxa"/>
              <w:left w:w="100" w:type="dxa"/>
              <w:bottom w:w="0" w:type="dxa"/>
              <w:right w:w="100" w:type="dxa"/>
            </w:tcMar>
          </w:tcPr>
          <w:p w14:paraId="37D2DDFE" w14:textId="77777777" w:rsidR="00B67DD6" w:rsidRPr="00E3756C" w:rsidRDefault="00B67DD6" w:rsidP="00B67DD6">
            <w:pPr>
              <w:pStyle w:val="BodyText"/>
              <w:spacing w:before="80" w:after="80"/>
            </w:pPr>
            <w:r w:rsidRPr="00E3756C">
              <w:t>LSF</w:t>
            </w:r>
          </w:p>
        </w:tc>
        <w:tc>
          <w:tcPr>
            <w:tcW w:w="7410" w:type="dxa"/>
            <w:tcMar>
              <w:top w:w="0" w:type="dxa"/>
              <w:left w:w="100" w:type="dxa"/>
              <w:bottom w:w="0" w:type="dxa"/>
              <w:right w:w="100" w:type="dxa"/>
            </w:tcMar>
          </w:tcPr>
          <w:p w14:paraId="2F9B30F1" w14:textId="77777777" w:rsidR="00B67DD6" w:rsidRPr="00E3756C" w:rsidRDefault="00B67DD6" w:rsidP="00B67DD6">
            <w:pPr>
              <w:pStyle w:val="BodyText"/>
              <w:spacing w:before="80" w:after="80"/>
            </w:pPr>
            <w:r w:rsidRPr="00E3756C">
              <w:t>Living Standards Framework</w:t>
            </w:r>
          </w:p>
        </w:tc>
      </w:tr>
      <w:tr w:rsidR="00B67DD6" w:rsidRPr="00E3756C" w14:paraId="59814EAC" w14:textId="77777777" w:rsidTr="00B67DD6">
        <w:tc>
          <w:tcPr>
            <w:tcW w:w="1455" w:type="dxa"/>
            <w:shd w:val="clear" w:color="auto" w:fill="FFFFFF" w:themeFill="background1"/>
            <w:tcMar>
              <w:top w:w="0" w:type="dxa"/>
              <w:left w:w="100" w:type="dxa"/>
              <w:bottom w:w="0" w:type="dxa"/>
              <w:right w:w="100" w:type="dxa"/>
            </w:tcMar>
          </w:tcPr>
          <w:p w14:paraId="011518D1" w14:textId="77777777" w:rsidR="00B67DD6" w:rsidRPr="00E3756C" w:rsidRDefault="00B67DD6" w:rsidP="00B67DD6">
            <w:pPr>
              <w:pStyle w:val="BodyText"/>
              <w:spacing w:before="80" w:after="80"/>
            </w:pPr>
            <w:r w:rsidRPr="00E3756C">
              <w:t>MBIE</w:t>
            </w:r>
          </w:p>
        </w:tc>
        <w:tc>
          <w:tcPr>
            <w:tcW w:w="7410" w:type="dxa"/>
            <w:tcMar>
              <w:top w:w="0" w:type="dxa"/>
              <w:left w:w="100" w:type="dxa"/>
              <w:bottom w:w="0" w:type="dxa"/>
              <w:right w:w="100" w:type="dxa"/>
            </w:tcMar>
          </w:tcPr>
          <w:p w14:paraId="2165CD4A" w14:textId="77777777" w:rsidR="00B67DD6" w:rsidRPr="00E3756C" w:rsidRDefault="00B67DD6" w:rsidP="00B67DD6">
            <w:pPr>
              <w:pStyle w:val="BodyText"/>
              <w:spacing w:before="80" w:after="80"/>
            </w:pPr>
            <w:r w:rsidRPr="00E3756C">
              <w:t>Ministry of Business, Innovation and Employment</w:t>
            </w:r>
          </w:p>
        </w:tc>
      </w:tr>
      <w:tr w:rsidR="00B67DD6" w:rsidRPr="00E3756C" w14:paraId="7864A92A" w14:textId="77777777" w:rsidTr="00B67DD6">
        <w:tc>
          <w:tcPr>
            <w:tcW w:w="1455" w:type="dxa"/>
            <w:shd w:val="clear" w:color="auto" w:fill="FFFFFF" w:themeFill="background1"/>
            <w:tcMar>
              <w:top w:w="0" w:type="dxa"/>
              <w:left w:w="100" w:type="dxa"/>
              <w:bottom w:w="0" w:type="dxa"/>
              <w:right w:w="100" w:type="dxa"/>
            </w:tcMar>
          </w:tcPr>
          <w:p w14:paraId="50B40A11" w14:textId="77777777" w:rsidR="00B67DD6" w:rsidRPr="00E3756C" w:rsidRDefault="00B67DD6" w:rsidP="00B67DD6">
            <w:pPr>
              <w:pStyle w:val="BodyText"/>
              <w:spacing w:before="80" w:after="80"/>
            </w:pPr>
            <w:r w:rsidRPr="00E3756C">
              <w:t>MCDEM</w:t>
            </w:r>
          </w:p>
        </w:tc>
        <w:tc>
          <w:tcPr>
            <w:tcW w:w="7410" w:type="dxa"/>
            <w:tcMar>
              <w:top w:w="0" w:type="dxa"/>
              <w:left w:w="100" w:type="dxa"/>
              <w:bottom w:w="0" w:type="dxa"/>
              <w:right w:w="100" w:type="dxa"/>
            </w:tcMar>
          </w:tcPr>
          <w:p w14:paraId="25F30DC9" w14:textId="77777777" w:rsidR="00B67DD6" w:rsidRPr="00E3756C" w:rsidRDefault="00B67DD6" w:rsidP="00B67DD6">
            <w:pPr>
              <w:pStyle w:val="BodyText"/>
              <w:spacing w:before="80" w:after="80"/>
            </w:pPr>
            <w:r w:rsidRPr="00E3756C">
              <w:t>Ministry of Civil Defence and Emergency Management</w:t>
            </w:r>
          </w:p>
        </w:tc>
      </w:tr>
      <w:tr w:rsidR="00B67DD6" w:rsidRPr="00E3756C" w14:paraId="44DDFD1E" w14:textId="77777777" w:rsidTr="00B67DD6">
        <w:tc>
          <w:tcPr>
            <w:tcW w:w="1455" w:type="dxa"/>
            <w:shd w:val="clear" w:color="auto" w:fill="FFFFFF" w:themeFill="background1"/>
            <w:tcMar>
              <w:top w:w="0" w:type="dxa"/>
              <w:left w:w="100" w:type="dxa"/>
              <w:bottom w:w="0" w:type="dxa"/>
              <w:right w:w="100" w:type="dxa"/>
            </w:tcMar>
          </w:tcPr>
          <w:p w14:paraId="48BAA598" w14:textId="77777777" w:rsidR="00B67DD6" w:rsidRPr="00E3756C" w:rsidRDefault="00B67DD6" w:rsidP="00B67DD6">
            <w:pPr>
              <w:pStyle w:val="BodyText"/>
              <w:spacing w:before="80" w:after="80"/>
            </w:pPr>
            <w:r w:rsidRPr="00E3756C">
              <w:t>MCH</w:t>
            </w:r>
          </w:p>
        </w:tc>
        <w:tc>
          <w:tcPr>
            <w:tcW w:w="7410" w:type="dxa"/>
            <w:tcMar>
              <w:top w:w="0" w:type="dxa"/>
              <w:left w:w="100" w:type="dxa"/>
              <w:bottom w:w="0" w:type="dxa"/>
              <w:right w:w="100" w:type="dxa"/>
            </w:tcMar>
          </w:tcPr>
          <w:p w14:paraId="3B6FA371" w14:textId="77777777" w:rsidR="00B67DD6" w:rsidRPr="00E3756C" w:rsidRDefault="00B67DD6" w:rsidP="00B67DD6">
            <w:pPr>
              <w:pStyle w:val="BodyText"/>
              <w:spacing w:before="80" w:after="80"/>
            </w:pPr>
            <w:r w:rsidRPr="00E3756C">
              <w:t>Ministry for Culture and Heritage</w:t>
            </w:r>
          </w:p>
        </w:tc>
      </w:tr>
      <w:tr w:rsidR="00B67DD6" w:rsidRPr="00E3756C" w14:paraId="3D51C38D" w14:textId="77777777" w:rsidTr="00B67DD6">
        <w:tc>
          <w:tcPr>
            <w:tcW w:w="1455" w:type="dxa"/>
            <w:shd w:val="clear" w:color="auto" w:fill="FFFFFF" w:themeFill="background1"/>
            <w:tcMar>
              <w:top w:w="0" w:type="dxa"/>
              <w:left w:w="100" w:type="dxa"/>
              <w:bottom w:w="0" w:type="dxa"/>
              <w:right w:w="100" w:type="dxa"/>
            </w:tcMar>
          </w:tcPr>
          <w:p w14:paraId="1344444A" w14:textId="77777777" w:rsidR="00B67DD6" w:rsidRPr="00E3756C" w:rsidRDefault="00B67DD6" w:rsidP="00B67DD6">
            <w:pPr>
              <w:pStyle w:val="BodyText"/>
              <w:spacing w:before="80" w:after="80"/>
            </w:pPr>
            <w:r w:rsidRPr="00E3756C">
              <w:t>MFAT</w:t>
            </w:r>
          </w:p>
        </w:tc>
        <w:tc>
          <w:tcPr>
            <w:tcW w:w="7410" w:type="dxa"/>
            <w:tcMar>
              <w:top w:w="0" w:type="dxa"/>
              <w:left w:w="100" w:type="dxa"/>
              <w:bottom w:w="0" w:type="dxa"/>
              <w:right w:w="100" w:type="dxa"/>
            </w:tcMar>
          </w:tcPr>
          <w:p w14:paraId="3CFC7CEF" w14:textId="77777777" w:rsidR="00B67DD6" w:rsidRPr="00E3756C" w:rsidRDefault="00B67DD6" w:rsidP="00B67DD6">
            <w:pPr>
              <w:pStyle w:val="BodyText"/>
              <w:spacing w:before="80" w:after="80"/>
            </w:pPr>
            <w:r w:rsidRPr="00E3756C">
              <w:t>Ministry of Foreign Affairs and Trade</w:t>
            </w:r>
          </w:p>
        </w:tc>
      </w:tr>
      <w:tr w:rsidR="00B67DD6" w:rsidRPr="00E3756C" w14:paraId="1CDE7FCC" w14:textId="77777777" w:rsidTr="00B67DD6">
        <w:tc>
          <w:tcPr>
            <w:tcW w:w="1455" w:type="dxa"/>
            <w:shd w:val="clear" w:color="auto" w:fill="FFFFFF" w:themeFill="background1"/>
            <w:tcMar>
              <w:top w:w="0" w:type="dxa"/>
              <w:left w:w="100" w:type="dxa"/>
              <w:bottom w:w="0" w:type="dxa"/>
              <w:right w:w="100" w:type="dxa"/>
            </w:tcMar>
          </w:tcPr>
          <w:p w14:paraId="04C7D331" w14:textId="77777777" w:rsidR="00B67DD6" w:rsidRPr="00E3756C" w:rsidRDefault="00B67DD6" w:rsidP="00B67DD6">
            <w:pPr>
              <w:pStyle w:val="BodyText"/>
              <w:spacing w:before="80" w:after="80"/>
            </w:pPr>
            <w:r w:rsidRPr="00E3756C">
              <w:t>MfE</w:t>
            </w:r>
          </w:p>
        </w:tc>
        <w:tc>
          <w:tcPr>
            <w:tcW w:w="7410" w:type="dxa"/>
            <w:tcMar>
              <w:top w:w="0" w:type="dxa"/>
              <w:left w:w="100" w:type="dxa"/>
              <w:bottom w:w="0" w:type="dxa"/>
              <w:right w:w="100" w:type="dxa"/>
            </w:tcMar>
          </w:tcPr>
          <w:p w14:paraId="00FD9F8C" w14:textId="77777777" w:rsidR="00B67DD6" w:rsidRPr="00E3756C" w:rsidRDefault="00B67DD6" w:rsidP="00B67DD6">
            <w:pPr>
              <w:pStyle w:val="BodyText"/>
              <w:spacing w:before="80" w:after="80"/>
            </w:pPr>
            <w:r w:rsidRPr="00E3756C">
              <w:t>Ministry for the Environment</w:t>
            </w:r>
          </w:p>
        </w:tc>
      </w:tr>
      <w:tr w:rsidR="00B67DD6" w:rsidRPr="00E3756C" w14:paraId="1F345591" w14:textId="77777777" w:rsidTr="00B67DD6">
        <w:tc>
          <w:tcPr>
            <w:tcW w:w="1455" w:type="dxa"/>
            <w:shd w:val="clear" w:color="auto" w:fill="FFFFFF" w:themeFill="background1"/>
            <w:tcMar>
              <w:top w:w="0" w:type="dxa"/>
              <w:left w:w="100" w:type="dxa"/>
              <w:bottom w:w="0" w:type="dxa"/>
              <w:right w:w="100" w:type="dxa"/>
            </w:tcMar>
          </w:tcPr>
          <w:p w14:paraId="1ED988F5" w14:textId="77777777" w:rsidR="00B67DD6" w:rsidRPr="00E3756C" w:rsidRDefault="00B67DD6" w:rsidP="00B67DD6">
            <w:pPr>
              <w:pStyle w:val="BodyText"/>
              <w:spacing w:before="80" w:after="80"/>
            </w:pPr>
            <w:r w:rsidRPr="00E3756C">
              <w:t>MHUD</w:t>
            </w:r>
          </w:p>
        </w:tc>
        <w:tc>
          <w:tcPr>
            <w:tcW w:w="7410" w:type="dxa"/>
            <w:tcMar>
              <w:top w:w="0" w:type="dxa"/>
              <w:left w:w="100" w:type="dxa"/>
              <w:bottom w:w="0" w:type="dxa"/>
              <w:right w:w="100" w:type="dxa"/>
            </w:tcMar>
          </w:tcPr>
          <w:p w14:paraId="1A67E7CD" w14:textId="77777777" w:rsidR="00B67DD6" w:rsidRPr="00E3756C" w:rsidRDefault="00B67DD6" w:rsidP="00B67DD6">
            <w:pPr>
              <w:pStyle w:val="BodyText"/>
              <w:spacing w:before="80" w:after="80"/>
            </w:pPr>
            <w:r w:rsidRPr="00E3756C">
              <w:t>Ministry of Housing and Urban Development</w:t>
            </w:r>
          </w:p>
        </w:tc>
      </w:tr>
      <w:tr w:rsidR="00B67DD6" w:rsidRPr="00E3756C" w14:paraId="6765FAA1" w14:textId="77777777" w:rsidTr="00B67DD6">
        <w:tc>
          <w:tcPr>
            <w:tcW w:w="1455" w:type="dxa"/>
            <w:shd w:val="clear" w:color="auto" w:fill="FFFFFF" w:themeFill="background1"/>
            <w:tcMar>
              <w:top w:w="0" w:type="dxa"/>
              <w:left w:w="100" w:type="dxa"/>
              <w:bottom w:w="0" w:type="dxa"/>
              <w:right w:w="100" w:type="dxa"/>
            </w:tcMar>
          </w:tcPr>
          <w:p w14:paraId="35C34C58" w14:textId="77777777" w:rsidR="00B67DD6" w:rsidRPr="00E3756C" w:rsidRDefault="00B67DD6" w:rsidP="00B67DD6">
            <w:pPr>
              <w:pStyle w:val="BodyText"/>
              <w:spacing w:before="80" w:after="80"/>
            </w:pPr>
            <w:r w:rsidRPr="00E3756C">
              <w:t>MOD</w:t>
            </w:r>
          </w:p>
        </w:tc>
        <w:tc>
          <w:tcPr>
            <w:tcW w:w="7410" w:type="dxa"/>
            <w:tcMar>
              <w:top w:w="0" w:type="dxa"/>
              <w:left w:w="100" w:type="dxa"/>
              <w:bottom w:w="0" w:type="dxa"/>
              <w:right w:w="100" w:type="dxa"/>
            </w:tcMar>
          </w:tcPr>
          <w:p w14:paraId="205491B1" w14:textId="77777777" w:rsidR="00B67DD6" w:rsidRPr="00E3756C" w:rsidRDefault="00B67DD6" w:rsidP="00B67DD6">
            <w:pPr>
              <w:pStyle w:val="BodyText"/>
              <w:spacing w:before="80" w:after="80"/>
            </w:pPr>
            <w:r w:rsidRPr="00E3756C">
              <w:t>Ministry of Defence</w:t>
            </w:r>
          </w:p>
        </w:tc>
      </w:tr>
      <w:tr w:rsidR="00B67DD6" w:rsidRPr="00E3756C" w14:paraId="6B7A3B38" w14:textId="77777777" w:rsidTr="00B67DD6">
        <w:tc>
          <w:tcPr>
            <w:tcW w:w="1455" w:type="dxa"/>
            <w:shd w:val="clear" w:color="auto" w:fill="FFFFFF" w:themeFill="background1"/>
            <w:tcMar>
              <w:top w:w="0" w:type="dxa"/>
              <w:left w:w="100" w:type="dxa"/>
              <w:bottom w:w="0" w:type="dxa"/>
              <w:right w:w="100" w:type="dxa"/>
            </w:tcMar>
          </w:tcPr>
          <w:p w14:paraId="4E4CEFB1" w14:textId="77777777" w:rsidR="00B67DD6" w:rsidRPr="00E3756C" w:rsidRDefault="00B67DD6" w:rsidP="00B67DD6">
            <w:pPr>
              <w:pStyle w:val="BodyText"/>
              <w:spacing w:before="80" w:after="80"/>
            </w:pPr>
            <w:r w:rsidRPr="00E3756C">
              <w:t>MOE</w:t>
            </w:r>
          </w:p>
        </w:tc>
        <w:tc>
          <w:tcPr>
            <w:tcW w:w="7410" w:type="dxa"/>
            <w:tcMar>
              <w:top w:w="0" w:type="dxa"/>
              <w:left w:w="100" w:type="dxa"/>
              <w:bottom w:w="0" w:type="dxa"/>
              <w:right w:w="100" w:type="dxa"/>
            </w:tcMar>
          </w:tcPr>
          <w:p w14:paraId="78944724" w14:textId="77777777" w:rsidR="00B67DD6" w:rsidRPr="00E3756C" w:rsidRDefault="00B67DD6" w:rsidP="00B67DD6">
            <w:pPr>
              <w:pStyle w:val="BodyText"/>
              <w:spacing w:before="80" w:after="80"/>
            </w:pPr>
            <w:r w:rsidRPr="00E3756C">
              <w:t>Ministry of Education</w:t>
            </w:r>
          </w:p>
        </w:tc>
      </w:tr>
      <w:tr w:rsidR="00B67DD6" w:rsidRPr="00E3756C" w14:paraId="606F745F" w14:textId="77777777" w:rsidTr="00B67DD6">
        <w:tc>
          <w:tcPr>
            <w:tcW w:w="1455" w:type="dxa"/>
            <w:shd w:val="clear" w:color="auto" w:fill="FFFFFF" w:themeFill="background1"/>
            <w:tcMar>
              <w:top w:w="0" w:type="dxa"/>
              <w:left w:w="100" w:type="dxa"/>
              <w:bottom w:w="0" w:type="dxa"/>
              <w:right w:w="100" w:type="dxa"/>
            </w:tcMar>
          </w:tcPr>
          <w:p w14:paraId="4B3EB905" w14:textId="77777777" w:rsidR="00B67DD6" w:rsidRPr="00E3756C" w:rsidRDefault="00B67DD6" w:rsidP="00B67DD6">
            <w:pPr>
              <w:pStyle w:val="BodyText"/>
              <w:spacing w:before="80" w:after="80"/>
            </w:pPr>
            <w:r w:rsidRPr="00E3756C">
              <w:t>MOH</w:t>
            </w:r>
          </w:p>
        </w:tc>
        <w:tc>
          <w:tcPr>
            <w:tcW w:w="7410" w:type="dxa"/>
            <w:tcMar>
              <w:top w:w="0" w:type="dxa"/>
              <w:left w:w="100" w:type="dxa"/>
              <w:bottom w:w="0" w:type="dxa"/>
              <w:right w:w="100" w:type="dxa"/>
            </w:tcMar>
          </w:tcPr>
          <w:p w14:paraId="404CE163" w14:textId="77777777" w:rsidR="00B67DD6" w:rsidRPr="00E3756C" w:rsidRDefault="00B67DD6" w:rsidP="00B67DD6">
            <w:pPr>
              <w:pStyle w:val="BodyText"/>
              <w:spacing w:before="80" w:after="80"/>
            </w:pPr>
            <w:r w:rsidRPr="00E3756C">
              <w:t>Ministry of Health</w:t>
            </w:r>
          </w:p>
        </w:tc>
      </w:tr>
      <w:tr w:rsidR="00B67DD6" w:rsidRPr="00E3756C" w14:paraId="6840F01A" w14:textId="77777777" w:rsidTr="00B67DD6">
        <w:tc>
          <w:tcPr>
            <w:tcW w:w="1455" w:type="dxa"/>
            <w:shd w:val="clear" w:color="auto" w:fill="FFFFFF" w:themeFill="background1"/>
            <w:tcMar>
              <w:top w:w="0" w:type="dxa"/>
              <w:left w:w="100" w:type="dxa"/>
              <w:bottom w:w="0" w:type="dxa"/>
              <w:right w:w="100" w:type="dxa"/>
            </w:tcMar>
          </w:tcPr>
          <w:p w14:paraId="2ED03F72" w14:textId="77777777" w:rsidR="00B67DD6" w:rsidRPr="00E3756C" w:rsidRDefault="00B67DD6" w:rsidP="00B67DD6">
            <w:pPr>
              <w:pStyle w:val="BodyText"/>
              <w:spacing w:before="80" w:after="80"/>
            </w:pPr>
            <w:r w:rsidRPr="00E3756C">
              <w:t>MOJ</w:t>
            </w:r>
          </w:p>
        </w:tc>
        <w:tc>
          <w:tcPr>
            <w:tcW w:w="7410" w:type="dxa"/>
            <w:tcMar>
              <w:top w:w="0" w:type="dxa"/>
              <w:left w:w="100" w:type="dxa"/>
              <w:bottom w:w="0" w:type="dxa"/>
              <w:right w:w="100" w:type="dxa"/>
            </w:tcMar>
          </w:tcPr>
          <w:p w14:paraId="061ED794" w14:textId="77777777" w:rsidR="00B67DD6" w:rsidRPr="00E3756C" w:rsidRDefault="00B67DD6" w:rsidP="00B67DD6">
            <w:pPr>
              <w:pStyle w:val="BodyText"/>
              <w:spacing w:before="80" w:after="80"/>
            </w:pPr>
            <w:r w:rsidRPr="00E3756C">
              <w:t>Ministry of Justice</w:t>
            </w:r>
          </w:p>
        </w:tc>
      </w:tr>
      <w:tr w:rsidR="00B67DD6" w:rsidRPr="00E3756C" w14:paraId="5D51D7F6" w14:textId="77777777" w:rsidTr="00B67DD6">
        <w:tc>
          <w:tcPr>
            <w:tcW w:w="1455" w:type="dxa"/>
            <w:shd w:val="clear" w:color="auto" w:fill="FFFFFF" w:themeFill="background1"/>
            <w:tcMar>
              <w:top w:w="0" w:type="dxa"/>
              <w:left w:w="100" w:type="dxa"/>
              <w:bottom w:w="0" w:type="dxa"/>
              <w:right w:w="100" w:type="dxa"/>
            </w:tcMar>
          </w:tcPr>
          <w:p w14:paraId="1E47FD26" w14:textId="77777777" w:rsidR="00B67DD6" w:rsidRPr="00E3756C" w:rsidRDefault="00B67DD6" w:rsidP="00B67DD6">
            <w:pPr>
              <w:pStyle w:val="BodyText"/>
              <w:spacing w:before="80" w:after="80"/>
            </w:pPr>
            <w:r w:rsidRPr="00E3756C">
              <w:t>MOT</w:t>
            </w:r>
          </w:p>
        </w:tc>
        <w:tc>
          <w:tcPr>
            <w:tcW w:w="7410" w:type="dxa"/>
            <w:tcMar>
              <w:top w:w="0" w:type="dxa"/>
              <w:left w:w="100" w:type="dxa"/>
              <w:bottom w:w="0" w:type="dxa"/>
              <w:right w:w="100" w:type="dxa"/>
            </w:tcMar>
          </w:tcPr>
          <w:p w14:paraId="4AC75D44" w14:textId="77777777" w:rsidR="00B67DD6" w:rsidRPr="00E3756C" w:rsidRDefault="00B67DD6" w:rsidP="00B67DD6">
            <w:pPr>
              <w:pStyle w:val="BodyText"/>
              <w:spacing w:before="80" w:after="80"/>
            </w:pPr>
            <w:r w:rsidRPr="00E3756C">
              <w:t>Ministry of Transport</w:t>
            </w:r>
          </w:p>
        </w:tc>
      </w:tr>
      <w:tr w:rsidR="00B67DD6" w:rsidRPr="00E3756C" w14:paraId="38327147" w14:textId="77777777" w:rsidTr="00B67DD6">
        <w:tc>
          <w:tcPr>
            <w:tcW w:w="1455" w:type="dxa"/>
            <w:shd w:val="clear" w:color="auto" w:fill="FFFFFF" w:themeFill="background1"/>
            <w:tcMar>
              <w:top w:w="0" w:type="dxa"/>
              <w:left w:w="100" w:type="dxa"/>
              <w:bottom w:w="0" w:type="dxa"/>
              <w:right w:w="100" w:type="dxa"/>
            </w:tcMar>
          </w:tcPr>
          <w:p w14:paraId="27D6E58A" w14:textId="77777777" w:rsidR="00B67DD6" w:rsidRPr="00E3756C" w:rsidRDefault="00B67DD6" w:rsidP="00B67DD6">
            <w:pPr>
              <w:pStyle w:val="BodyText"/>
              <w:spacing w:before="80" w:after="80"/>
            </w:pPr>
            <w:r w:rsidRPr="00E3756C">
              <w:t>MPI</w:t>
            </w:r>
          </w:p>
        </w:tc>
        <w:tc>
          <w:tcPr>
            <w:tcW w:w="7410" w:type="dxa"/>
            <w:tcMar>
              <w:top w:w="0" w:type="dxa"/>
              <w:left w:w="100" w:type="dxa"/>
              <w:bottom w:w="0" w:type="dxa"/>
              <w:right w:w="100" w:type="dxa"/>
            </w:tcMar>
          </w:tcPr>
          <w:p w14:paraId="7A30AB8E" w14:textId="77777777" w:rsidR="00B67DD6" w:rsidRPr="00E3756C" w:rsidRDefault="00B67DD6" w:rsidP="00B67DD6">
            <w:pPr>
              <w:pStyle w:val="BodyText"/>
              <w:spacing w:before="80" w:after="80"/>
            </w:pPr>
            <w:r w:rsidRPr="00E3756C">
              <w:t>Ministry for Primary Industries</w:t>
            </w:r>
          </w:p>
        </w:tc>
      </w:tr>
      <w:tr w:rsidR="00B67DD6" w:rsidRPr="00E3756C" w14:paraId="3BF753D4" w14:textId="77777777" w:rsidTr="00B67DD6">
        <w:tc>
          <w:tcPr>
            <w:tcW w:w="1455" w:type="dxa"/>
            <w:shd w:val="clear" w:color="auto" w:fill="FFFFFF" w:themeFill="background1"/>
            <w:tcMar>
              <w:top w:w="0" w:type="dxa"/>
              <w:left w:w="100" w:type="dxa"/>
              <w:bottom w:w="0" w:type="dxa"/>
              <w:right w:w="100" w:type="dxa"/>
            </w:tcMar>
          </w:tcPr>
          <w:p w14:paraId="02309307" w14:textId="77777777" w:rsidR="00B67DD6" w:rsidRPr="00E3756C" w:rsidRDefault="00B67DD6" w:rsidP="00B67DD6">
            <w:pPr>
              <w:pStyle w:val="BodyText"/>
              <w:spacing w:before="80" w:after="80"/>
            </w:pPr>
            <w:r w:rsidRPr="00E3756C">
              <w:t>MPP</w:t>
            </w:r>
          </w:p>
        </w:tc>
        <w:tc>
          <w:tcPr>
            <w:tcW w:w="7410" w:type="dxa"/>
            <w:tcMar>
              <w:top w:w="0" w:type="dxa"/>
              <w:left w:w="100" w:type="dxa"/>
              <w:bottom w:w="0" w:type="dxa"/>
              <w:right w:w="100" w:type="dxa"/>
            </w:tcMar>
          </w:tcPr>
          <w:p w14:paraId="1C852C0B" w14:textId="77777777" w:rsidR="00B67DD6" w:rsidRPr="00E3756C" w:rsidRDefault="00B67DD6" w:rsidP="00B67DD6">
            <w:pPr>
              <w:pStyle w:val="BodyText"/>
              <w:spacing w:before="80" w:after="80"/>
            </w:pPr>
            <w:r w:rsidRPr="00E3756C">
              <w:t>Ministry for Pacific Peoples</w:t>
            </w:r>
          </w:p>
        </w:tc>
      </w:tr>
      <w:tr w:rsidR="00B67DD6" w:rsidRPr="00E3756C" w14:paraId="516586EF" w14:textId="77777777" w:rsidTr="00B67DD6">
        <w:tc>
          <w:tcPr>
            <w:tcW w:w="1455" w:type="dxa"/>
            <w:shd w:val="clear" w:color="auto" w:fill="FFFFFF" w:themeFill="background1"/>
            <w:tcMar>
              <w:top w:w="0" w:type="dxa"/>
              <w:left w:w="100" w:type="dxa"/>
              <w:bottom w:w="0" w:type="dxa"/>
              <w:right w:w="100" w:type="dxa"/>
            </w:tcMar>
          </w:tcPr>
          <w:p w14:paraId="1A57AE7B" w14:textId="77777777" w:rsidR="00B67DD6" w:rsidRPr="00E3756C" w:rsidRDefault="00B67DD6" w:rsidP="00B67DD6">
            <w:pPr>
              <w:pStyle w:val="BodyText"/>
              <w:spacing w:before="80" w:after="80"/>
              <w:rPr>
                <w:highlight w:val="yellow"/>
              </w:rPr>
            </w:pPr>
            <w:r w:rsidRPr="00E3756C">
              <w:t>MSD</w:t>
            </w:r>
          </w:p>
        </w:tc>
        <w:tc>
          <w:tcPr>
            <w:tcW w:w="7410" w:type="dxa"/>
            <w:tcMar>
              <w:top w:w="0" w:type="dxa"/>
              <w:left w:w="100" w:type="dxa"/>
              <w:bottom w:w="0" w:type="dxa"/>
              <w:right w:w="100" w:type="dxa"/>
            </w:tcMar>
          </w:tcPr>
          <w:p w14:paraId="30CD5C95" w14:textId="77777777" w:rsidR="00B67DD6" w:rsidRPr="00E3756C" w:rsidRDefault="00B67DD6" w:rsidP="00B67DD6">
            <w:pPr>
              <w:pStyle w:val="BodyText"/>
              <w:spacing w:before="80" w:after="80"/>
              <w:rPr>
                <w:highlight w:val="yellow"/>
              </w:rPr>
            </w:pPr>
            <w:r w:rsidRPr="00E3756C">
              <w:t>Ministry of Social Development</w:t>
            </w:r>
          </w:p>
        </w:tc>
      </w:tr>
      <w:tr w:rsidR="00B67DD6" w:rsidRPr="00E3756C" w14:paraId="0F2369F2" w14:textId="77777777" w:rsidTr="00B67DD6">
        <w:tc>
          <w:tcPr>
            <w:tcW w:w="1455" w:type="dxa"/>
            <w:shd w:val="clear" w:color="auto" w:fill="FFFFFF" w:themeFill="background1"/>
            <w:tcMar>
              <w:top w:w="0" w:type="dxa"/>
              <w:left w:w="100" w:type="dxa"/>
              <w:bottom w:w="0" w:type="dxa"/>
              <w:right w:w="100" w:type="dxa"/>
            </w:tcMar>
          </w:tcPr>
          <w:p w14:paraId="3EF6719D" w14:textId="77777777" w:rsidR="00B67DD6" w:rsidRPr="00E3756C" w:rsidRDefault="00B67DD6" w:rsidP="00B67DD6">
            <w:pPr>
              <w:pStyle w:val="BodyText"/>
              <w:spacing w:before="80" w:after="80"/>
            </w:pPr>
            <w:r w:rsidRPr="00E3756C">
              <w:t>NCCRA</w:t>
            </w:r>
          </w:p>
        </w:tc>
        <w:tc>
          <w:tcPr>
            <w:tcW w:w="7410" w:type="dxa"/>
            <w:tcMar>
              <w:top w:w="0" w:type="dxa"/>
              <w:left w:w="100" w:type="dxa"/>
              <w:bottom w:w="0" w:type="dxa"/>
              <w:right w:w="100" w:type="dxa"/>
            </w:tcMar>
          </w:tcPr>
          <w:p w14:paraId="0F71785E" w14:textId="77777777" w:rsidR="00B67DD6" w:rsidRPr="00E3756C" w:rsidRDefault="00B67DD6" w:rsidP="00B67DD6">
            <w:pPr>
              <w:pStyle w:val="BodyText"/>
              <w:spacing w:before="80" w:after="80"/>
            </w:pPr>
            <w:r w:rsidRPr="00E3756C">
              <w:t>National Climate Change Risk Assessment</w:t>
            </w:r>
          </w:p>
        </w:tc>
      </w:tr>
      <w:tr w:rsidR="00B67DD6" w:rsidRPr="00E3756C" w14:paraId="2B19EA3C" w14:textId="77777777" w:rsidTr="00B67DD6">
        <w:tc>
          <w:tcPr>
            <w:tcW w:w="1455" w:type="dxa"/>
            <w:shd w:val="clear" w:color="auto" w:fill="FFFFFF" w:themeFill="background1"/>
            <w:tcMar>
              <w:top w:w="0" w:type="dxa"/>
              <w:left w:w="100" w:type="dxa"/>
              <w:bottom w:w="0" w:type="dxa"/>
              <w:right w:w="100" w:type="dxa"/>
            </w:tcMar>
          </w:tcPr>
          <w:p w14:paraId="5CA41A71" w14:textId="77777777" w:rsidR="00B67DD6" w:rsidRPr="00E3756C" w:rsidRDefault="00B67DD6" w:rsidP="00B67DD6">
            <w:pPr>
              <w:pStyle w:val="BodyText"/>
              <w:spacing w:before="80" w:after="80"/>
            </w:pPr>
            <w:r w:rsidRPr="00E3756C">
              <w:t>NDRS</w:t>
            </w:r>
          </w:p>
        </w:tc>
        <w:tc>
          <w:tcPr>
            <w:tcW w:w="7410" w:type="dxa"/>
            <w:tcMar>
              <w:top w:w="0" w:type="dxa"/>
              <w:left w:w="100" w:type="dxa"/>
              <w:bottom w:w="0" w:type="dxa"/>
              <w:right w:w="100" w:type="dxa"/>
            </w:tcMar>
          </w:tcPr>
          <w:p w14:paraId="1E973D5D" w14:textId="77777777" w:rsidR="00B67DD6" w:rsidRPr="00E3756C" w:rsidRDefault="00B67DD6" w:rsidP="00B67DD6">
            <w:pPr>
              <w:pStyle w:val="BodyText"/>
              <w:spacing w:before="80" w:after="80"/>
            </w:pPr>
            <w:r w:rsidRPr="00E3756C">
              <w:t>National Disaster Resilience Strategy</w:t>
            </w:r>
          </w:p>
        </w:tc>
      </w:tr>
      <w:tr w:rsidR="00B67DD6" w:rsidRPr="00E3756C" w14:paraId="7BB8E203" w14:textId="77777777" w:rsidTr="00B67DD6">
        <w:tc>
          <w:tcPr>
            <w:tcW w:w="1455" w:type="dxa"/>
            <w:shd w:val="clear" w:color="auto" w:fill="FFFFFF" w:themeFill="background1"/>
            <w:tcMar>
              <w:top w:w="0" w:type="dxa"/>
              <w:left w:w="100" w:type="dxa"/>
              <w:bottom w:w="0" w:type="dxa"/>
              <w:right w:w="100" w:type="dxa"/>
            </w:tcMar>
          </w:tcPr>
          <w:p w14:paraId="1C3BC449" w14:textId="77777777" w:rsidR="00B67DD6" w:rsidRPr="00E3756C" w:rsidRDefault="00B67DD6" w:rsidP="00B67DD6">
            <w:pPr>
              <w:pStyle w:val="BodyText"/>
              <w:spacing w:before="80" w:after="80"/>
            </w:pPr>
            <w:r w:rsidRPr="00E3756C">
              <w:t>NIWA</w:t>
            </w:r>
          </w:p>
        </w:tc>
        <w:tc>
          <w:tcPr>
            <w:tcW w:w="7410" w:type="dxa"/>
            <w:tcMar>
              <w:top w:w="0" w:type="dxa"/>
              <w:left w:w="100" w:type="dxa"/>
              <w:bottom w:w="0" w:type="dxa"/>
              <w:right w:w="100" w:type="dxa"/>
            </w:tcMar>
          </w:tcPr>
          <w:p w14:paraId="3BE5D8BF" w14:textId="77777777" w:rsidR="00B67DD6" w:rsidRPr="00E3756C" w:rsidRDefault="00B67DD6" w:rsidP="00B67DD6">
            <w:pPr>
              <w:pStyle w:val="BodyText"/>
              <w:spacing w:before="80" w:after="80"/>
            </w:pPr>
            <w:r w:rsidRPr="00E3756C">
              <w:t>National Institute of Water and Atmospheric Research</w:t>
            </w:r>
          </w:p>
        </w:tc>
      </w:tr>
      <w:tr w:rsidR="00B67DD6" w:rsidRPr="00E3756C" w14:paraId="2A8C8885" w14:textId="77777777" w:rsidTr="00B67DD6">
        <w:tc>
          <w:tcPr>
            <w:tcW w:w="1455" w:type="dxa"/>
            <w:shd w:val="clear" w:color="auto" w:fill="FFFFFF" w:themeFill="background1"/>
            <w:tcMar>
              <w:top w:w="0" w:type="dxa"/>
              <w:left w:w="100" w:type="dxa"/>
              <w:bottom w:w="0" w:type="dxa"/>
              <w:right w:w="100" w:type="dxa"/>
            </w:tcMar>
          </w:tcPr>
          <w:p w14:paraId="7EC389FE" w14:textId="77777777" w:rsidR="00B67DD6" w:rsidRPr="00E3756C" w:rsidRDefault="00B67DD6" w:rsidP="00B67DD6">
            <w:pPr>
              <w:pStyle w:val="BodyText"/>
              <w:spacing w:before="80" w:after="80"/>
            </w:pPr>
            <w:r w:rsidRPr="00E3756C">
              <w:t>NSS</w:t>
            </w:r>
          </w:p>
        </w:tc>
        <w:tc>
          <w:tcPr>
            <w:tcW w:w="7410" w:type="dxa"/>
            <w:tcMar>
              <w:top w:w="0" w:type="dxa"/>
              <w:left w:w="100" w:type="dxa"/>
              <w:bottom w:w="0" w:type="dxa"/>
              <w:right w:w="100" w:type="dxa"/>
            </w:tcMar>
          </w:tcPr>
          <w:p w14:paraId="2E91CDAF" w14:textId="77777777" w:rsidR="00B67DD6" w:rsidRPr="00E3756C" w:rsidRDefault="00B67DD6" w:rsidP="00B67DD6">
            <w:pPr>
              <w:pStyle w:val="BodyText"/>
              <w:spacing w:before="80" w:after="80"/>
            </w:pPr>
            <w:r w:rsidRPr="00E3756C">
              <w:t>New Southern Sky</w:t>
            </w:r>
          </w:p>
        </w:tc>
      </w:tr>
      <w:tr w:rsidR="00B67DD6" w:rsidRPr="00E3756C" w14:paraId="007C7F35" w14:textId="77777777" w:rsidTr="00B67DD6">
        <w:tc>
          <w:tcPr>
            <w:tcW w:w="1455" w:type="dxa"/>
            <w:shd w:val="clear" w:color="auto" w:fill="FFFFFF" w:themeFill="background1"/>
            <w:tcMar>
              <w:top w:w="0" w:type="dxa"/>
              <w:left w:w="100" w:type="dxa"/>
              <w:bottom w:w="0" w:type="dxa"/>
              <w:right w:w="100" w:type="dxa"/>
            </w:tcMar>
          </w:tcPr>
          <w:p w14:paraId="6C5E16E7" w14:textId="77777777" w:rsidR="00B67DD6" w:rsidRPr="00E3756C" w:rsidRDefault="00B67DD6" w:rsidP="00B67DD6">
            <w:pPr>
              <w:pStyle w:val="BodyText"/>
              <w:spacing w:before="80" w:after="80"/>
            </w:pPr>
            <w:r w:rsidRPr="00E3756C">
              <w:t>NZDF</w:t>
            </w:r>
          </w:p>
        </w:tc>
        <w:tc>
          <w:tcPr>
            <w:tcW w:w="7410" w:type="dxa"/>
            <w:tcMar>
              <w:top w:w="0" w:type="dxa"/>
              <w:left w:w="100" w:type="dxa"/>
              <w:bottom w:w="0" w:type="dxa"/>
              <w:right w:w="100" w:type="dxa"/>
            </w:tcMar>
          </w:tcPr>
          <w:p w14:paraId="70A18BC9" w14:textId="77777777" w:rsidR="00B67DD6" w:rsidRPr="00E3756C" w:rsidRDefault="00B67DD6" w:rsidP="00B67DD6">
            <w:pPr>
              <w:pStyle w:val="BodyText"/>
              <w:spacing w:before="80" w:after="80"/>
            </w:pPr>
            <w:r w:rsidRPr="00E3756C">
              <w:t>New Zealand Defence Force</w:t>
            </w:r>
          </w:p>
        </w:tc>
      </w:tr>
      <w:tr w:rsidR="00B67DD6" w:rsidRPr="00E3756C" w14:paraId="62109C1F" w14:textId="77777777" w:rsidTr="00B67DD6">
        <w:tc>
          <w:tcPr>
            <w:tcW w:w="1455" w:type="dxa"/>
            <w:shd w:val="clear" w:color="auto" w:fill="FFFFFF" w:themeFill="background1"/>
            <w:tcMar>
              <w:top w:w="0" w:type="dxa"/>
              <w:left w:w="100" w:type="dxa"/>
              <w:bottom w:w="0" w:type="dxa"/>
              <w:right w:w="100" w:type="dxa"/>
            </w:tcMar>
          </w:tcPr>
          <w:p w14:paraId="4328B7FF" w14:textId="77777777" w:rsidR="00B67DD6" w:rsidRPr="00E3756C" w:rsidRDefault="00B67DD6" w:rsidP="00B67DD6">
            <w:pPr>
              <w:pStyle w:val="BodyText"/>
              <w:spacing w:before="80" w:after="80"/>
            </w:pPr>
            <w:r w:rsidRPr="00E3756C">
              <w:t>PCE</w:t>
            </w:r>
          </w:p>
        </w:tc>
        <w:tc>
          <w:tcPr>
            <w:tcW w:w="7410" w:type="dxa"/>
            <w:tcMar>
              <w:top w:w="0" w:type="dxa"/>
              <w:left w:w="100" w:type="dxa"/>
              <w:bottom w:w="0" w:type="dxa"/>
              <w:right w:w="100" w:type="dxa"/>
            </w:tcMar>
          </w:tcPr>
          <w:p w14:paraId="0C277DC5" w14:textId="77777777" w:rsidR="00B67DD6" w:rsidRPr="00E3756C" w:rsidRDefault="00B67DD6" w:rsidP="00B67DD6">
            <w:pPr>
              <w:pStyle w:val="BodyText"/>
              <w:spacing w:before="80" w:after="80"/>
            </w:pPr>
            <w:r w:rsidRPr="00E3756C">
              <w:t>Parliamentary Commissioner for the Environment</w:t>
            </w:r>
          </w:p>
        </w:tc>
      </w:tr>
      <w:tr w:rsidR="00B67DD6" w:rsidRPr="00E3756C" w14:paraId="4D9D3DCC" w14:textId="77777777" w:rsidTr="00B67DD6">
        <w:tc>
          <w:tcPr>
            <w:tcW w:w="1455" w:type="dxa"/>
            <w:shd w:val="clear" w:color="auto" w:fill="FFFFFF" w:themeFill="background1"/>
            <w:tcMar>
              <w:top w:w="0" w:type="dxa"/>
              <w:left w:w="100" w:type="dxa"/>
              <w:bottom w:w="0" w:type="dxa"/>
              <w:right w:w="100" w:type="dxa"/>
            </w:tcMar>
          </w:tcPr>
          <w:p w14:paraId="32423BE3" w14:textId="77777777" w:rsidR="00B67DD6" w:rsidRPr="00E3756C" w:rsidRDefault="00B67DD6" w:rsidP="00B67DD6">
            <w:pPr>
              <w:pStyle w:val="BodyText"/>
              <w:spacing w:before="80" w:after="80"/>
            </w:pPr>
            <w:r w:rsidRPr="00E3756C">
              <w:t>PHO</w:t>
            </w:r>
          </w:p>
        </w:tc>
        <w:tc>
          <w:tcPr>
            <w:tcW w:w="7410" w:type="dxa"/>
            <w:tcMar>
              <w:top w:w="0" w:type="dxa"/>
              <w:left w:w="100" w:type="dxa"/>
              <w:bottom w:w="0" w:type="dxa"/>
              <w:right w:w="100" w:type="dxa"/>
            </w:tcMar>
          </w:tcPr>
          <w:p w14:paraId="32003926" w14:textId="77777777" w:rsidR="00B67DD6" w:rsidRPr="00E3756C" w:rsidRDefault="00B67DD6" w:rsidP="00B67DD6">
            <w:pPr>
              <w:pStyle w:val="BodyText"/>
              <w:spacing w:before="80" w:after="80"/>
            </w:pPr>
            <w:r w:rsidRPr="00E3756C">
              <w:t>Primary health organisation</w:t>
            </w:r>
          </w:p>
        </w:tc>
      </w:tr>
      <w:tr w:rsidR="00B67DD6" w:rsidRPr="00E3756C" w14:paraId="3B6B7F1E" w14:textId="77777777" w:rsidTr="00B67DD6">
        <w:tc>
          <w:tcPr>
            <w:tcW w:w="1455" w:type="dxa"/>
            <w:shd w:val="clear" w:color="auto" w:fill="FFFFFF" w:themeFill="background1"/>
            <w:tcMar>
              <w:top w:w="0" w:type="dxa"/>
              <w:left w:w="100" w:type="dxa"/>
              <w:bottom w:w="0" w:type="dxa"/>
              <w:right w:w="100" w:type="dxa"/>
            </w:tcMar>
          </w:tcPr>
          <w:p w14:paraId="24589088" w14:textId="77777777" w:rsidR="00B67DD6" w:rsidRPr="00E3756C" w:rsidRDefault="00B67DD6" w:rsidP="00B67DD6">
            <w:pPr>
              <w:pStyle w:val="BodyText"/>
              <w:spacing w:before="80" w:after="80"/>
            </w:pPr>
            <w:r w:rsidRPr="00E3756C">
              <w:t>RCPs</w:t>
            </w:r>
          </w:p>
        </w:tc>
        <w:tc>
          <w:tcPr>
            <w:tcW w:w="7410" w:type="dxa"/>
            <w:tcMar>
              <w:top w:w="0" w:type="dxa"/>
              <w:left w:w="100" w:type="dxa"/>
              <w:bottom w:w="0" w:type="dxa"/>
              <w:right w:w="100" w:type="dxa"/>
            </w:tcMar>
          </w:tcPr>
          <w:p w14:paraId="74AD6794" w14:textId="77777777" w:rsidR="00B67DD6" w:rsidRPr="00E3756C" w:rsidRDefault="00B67DD6" w:rsidP="00B67DD6">
            <w:pPr>
              <w:pStyle w:val="BodyText"/>
              <w:spacing w:before="80" w:after="80"/>
            </w:pPr>
            <w:r w:rsidRPr="00E3756C">
              <w:t>Representative concentration pathways</w:t>
            </w:r>
          </w:p>
        </w:tc>
      </w:tr>
      <w:tr w:rsidR="00B67DD6" w:rsidRPr="00E3756C" w14:paraId="2DE5B646" w14:textId="77777777" w:rsidTr="00B67DD6">
        <w:tc>
          <w:tcPr>
            <w:tcW w:w="1455" w:type="dxa"/>
            <w:shd w:val="clear" w:color="auto" w:fill="FFFFFF" w:themeFill="background1"/>
            <w:tcMar>
              <w:top w:w="0" w:type="dxa"/>
              <w:left w:w="100" w:type="dxa"/>
              <w:bottom w:w="0" w:type="dxa"/>
              <w:right w:w="100" w:type="dxa"/>
            </w:tcMar>
          </w:tcPr>
          <w:p w14:paraId="25F88089" w14:textId="77777777" w:rsidR="00B67DD6" w:rsidRPr="00E3756C" w:rsidRDefault="00B67DD6" w:rsidP="00B67DD6">
            <w:pPr>
              <w:pStyle w:val="BodyText"/>
              <w:spacing w:before="80" w:after="80"/>
            </w:pPr>
            <w:r w:rsidRPr="00E3756C">
              <w:t>SHA</w:t>
            </w:r>
          </w:p>
        </w:tc>
        <w:tc>
          <w:tcPr>
            <w:tcW w:w="7410" w:type="dxa"/>
            <w:tcMar>
              <w:top w:w="0" w:type="dxa"/>
              <w:left w:w="100" w:type="dxa"/>
              <w:bottom w:w="0" w:type="dxa"/>
              <w:right w:w="100" w:type="dxa"/>
            </w:tcMar>
          </w:tcPr>
          <w:p w14:paraId="4967CB0E" w14:textId="77777777" w:rsidR="00B67DD6" w:rsidRPr="00E3756C" w:rsidRDefault="00B67DD6" w:rsidP="00B67DD6">
            <w:pPr>
              <w:pStyle w:val="BodyText"/>
              <w:spacing w:before="80" w:after="80"/>
            </w:pPr>
            <w:r w:rsidRPr="00E3756C">
              <w:t>Special Housing Area</w:t>
            </w:r>
          </w:p>
        </w:tc>
      </w:tr>
      <w:tr w:rsidR="00B67DD6" w:rsidRPr="00E3756C" w14:paraId="304C08FE" w14:textId="77777777" w:rsidTr="00B67DD6">
        <w:tc>
          <w:tcPr>
            <w:tcW w:w="1455" w:type="dxa"/>
            <w:shd w:val="clear" w:color="auto" w:fill="FFFFFF" w:themeFill="background1"/>
            <w:tcMar>
              <w:top w:w="0" w:type="dxa"/>
              <w:left w:w="100" w:type="dxa"/>
              <w:bottom w:w="0" w:type="dxa"/>
              <w:right w:w="100" w:type="dxa"/>
            </w:tcMar>
          </w:tcPr>
          <w:p w14:paraId="608E5B44" w14:textId="77777777" w:rsidR="00B67DD6" w:rsidRPr="00E3756C" w:rsidRDefault="00B67DD6" w:rsidP="00B67DD6">
            <w:pPr>
              <w:pStyle w:val="BodyText"/>
              <w:spacing w:before="80" w:after="80"/>
            </w:pPr>
            <w:r w:rsidRPr="00E3756C">
              <w:t>SOLGM</w:t>
            </w:r>
          </w:p>
        </w:tc>
        <w:tc>
          <w:tcPr>
            <w:tcW w:w="7410" w:type="dxa"/>
            <w:tcMar>
              <w:top w:w="0" w:type="dxa"/>
              <w:left w:w="100" w:type="dxa"/>
              <w:bottom w:w="0" w:type="dxa"/>
              <w:right w:w="100" w:type="dxa"/>
            </w:tcMar>
          </w:tcPr>
          <w:p w14:paraId="5050369D" w14:textId="77777777" w:rsidR="00B67DD6" w:rsidRPr="00E3756C" w:rsidRDefault="00B67DD6" w:rsidP="00B67DD6">
            <w:pPr>
              <w:pStyle w:val="BodyText"/>
              <w:spacing w:before="80" w:after="80"/>
              <w:rPr>
                <w:highlight w:val="yellow"/>
              </w:rPr>
            </w:pPr>
            <w:r w:rsidRPr="00E3756C">
              <w:t>Society of Local Government Managers</w:t>
            </w:r>
          </w:p>
        </w:tc>
      </w:tr>
      <w:tr w:rsidR="00B67DD6" w:rsidRPr="00E3756C" w14:paraId="76A68158" w14:textId="77777777" w:rsidTr="00B67DD6">
        <w:tc>
          <w:tcPr>
            <w:tcW w:w="1455" w:type="dxa"/>
            <w:shd w:val="clear" w:color="auto" w:fill="FFFFFF" w:themeFill="background1"/>
            <w:tcMar>
              <w:top w:w="0" w:type="dxa"/>
              <w:left w:w="100" w:type="dxa"/>
              <w:bottom w:w="0" w:type="dxa"/>
              <w:right w:w="100" w:type="dxa"/>
            </w:tcMar>
          </w:tcPr>
          <w:p w14:paraId="7001B796" w14:textId="77777777" w:rsidR="00B67DD6" w:rsidRPr="00E3756C" w:rsidRDefault="00B67DD6" w:rsidP="00B67DD6">
            <w:pPr>
              <w:pStyle w:val="BodyText"/>
              <w:spacing w:before="80" w:after="80"/>
            </w:pPr>
            <w:r w:rsidRPr="00E3756C">
              <w:t>SRES</w:t>
            </w:r>
          </w:p>
        </w:tc>
        <w:tc>
          <w:tcPr>
            <w:tcW w:w="7410" w:type="dxa"/>
            <w:tcMar>
              <w:top w:w="0" w:type="dxa"/>
              <w:left w:w="100" w:type="dxa"/>
              <w:bottom w:w="0" w:type="dxa"/>
              <w:right w:w="100" w:type="dxa"/>
            </w:tcMar>
          </w:tcPr>
          <w:p w14:paraId="0CECE1FE" w14:textId="77777777" w:rsidR="00B67DD6" w:rsidRPr="00E3756C" w:rsidRDefault="00B67DD6" w:rsidP="00B67DD6">
            <w:pPr>
              <w:pStyle w:val="BodyText"/>
              <w:spacing w:before="80" w:after="80"/>
            </w:pPr>
            <w:r w:rsidRPr="00E3756C">
              <w:t>Special Report on Emission Scenarios</w:t>
            </w:r>
          </w:p>
        </w:tc>
      </w:tr>
      <w:tr w:rsidR="00B67DD6" w:rsidRPr="00E3756C" w14:paraId="74AC00C9" w14:textId="77777777" w:rsidTr="00B67DD6">
        <w:tc>
          <w:tcPr>
            <w:tcW w:w="1455" w:type="dxa"/>
            <w:shd w:val="clear" w:color="auto" w:fill="FFFFFF" w:themeFill="background1"/>
            <w:tcMar>
              <w:top w:w="0" w:type="dxa"/>
              <w:left w:w="100" w:type="dxa"/>
              <w:bottom w:w="0" w:type="dxa"/>
              <w:right w:w="100" w:type="dxa"/>
            </w:tcMar>
          </w:tcPr>
          <w:p w14:paraId="6CBD1663" w14:textId="77777777" w:rsidR="00B67DD6" w:rsidRPr="00E3756C" w:rsidRDefault="00B67DD6" w:rsidP="00B67DD6">
            <w:pPr>
              <w:pStyle w:val="BodyText"/>
              <w:spacing w:before="80" w:after="80"/>
            </w:pPr>
            <w:r w:rsidRPr="00E3756C">
              <w:t>SSP</w:t>
            </w:r>
          </w:p>
        </w:tc>
        <w:tc>
          <w:tcPr>
            <w:tcW w:w="7410" w:type="dxa"/>
            <w:tcMar>
              <w:top w:w="0" w:type="dxa"/>
              <w:left w:w="100" w:type="dxa"/>
              <w:bottom w:w="0" w:type="dxa"/>
              <w:right w:w="100" w:type="dxa"/>
            </w:tcMar>
          </w:tcPr>
          <w:p w14:paraId="2D10B2E7" w14:textId="77777777" w:rsidR="00B67DD6" w:rsidRPr="00E3756C" w:rsidRDefault="00086660" w:rsidP="00B67DD6">
            <w:pPr>
              <w:pStyle w:val="BodyText"/>
              <w:spacing w:before="80" w:after="80"/>
            </w:pPr>
            <w:r w:rsidRPr="00E3756C">
              <w:t>Shared socio-economic pathways</w:t>
            </w:r>
          </w:p>
        </w:tc>
      </w:tr>
      <w:tr w:rsidR="00B67DD6" w:rsidRPr="00E3756C" w14:paraId="57AB5AEA" w14:textId="77777777" w:rsidTr="00B67DD6">
        <w:tc>
          <w:tcPr>
            <w:tcW w:w="1455" w:type="dxa"/>
            <w:shd w:val="clear" w:color="auto" w:fill="FFFFFF" w:themeFill="background1"/>
            <w:tcMar>
              <w:top w:w="0" w:type="dxa"/>
              <w:left w:w="100" w:type="dxa"/>
              <w:bottom w:w="0" w:type="dxa"/>
              <w:right w:w="100" w:type="dxa"/>
            </w:tcMar>
          </w:tcPr>
          <w:p w14:paraId="05A71A0E" w14:textId="77777777" w:rsidR="00B67DD6" w:rsidRPr="00E3756C" w:rsidRDefault="00B67DD6" w:rsidP="00B67DD6">
            <w:pPr>
              <w:pStyle w:val="BodyText"/>
              <w:spacing w:before="80" w:after="80"/>
            </w:pPr>
            <w:r w:rsidRPr="00E3756C">
              <w:t>TEC</w:t>
            </w:r>
          </w:p>
        </w:tc>
        <w:tc>
          <w:tcPr>
            <w:tcW w:w="7410" w:type="dxa"/>
            <w:tcMar>
              <w:top w:w="0" w:type="dxa"/>
              <w:left w:w="100" w:type="dxa"/>
              <w:bottom w:w="0" w:type="dxa"/>
              <w:right w:w="100" w:type="dxa"/>
            </w:tcMar>
          </w:tcPr>
          <w:p w14:paraId="769F4873" w14:textId="77777777" w:rsidR="00B67DD6" w:rsidRPr="00E3756C" w:rsidRDefault="00B67DD6" w:rsidP="00B67DD6">
            <w:pPr>
              <w:pStyle w:val="BodyText"/>
              <w:spacing w:before="80" w:after="80"/>
            </w:pPr>
            <w:r w:rsidRPr="00E3756C">
              <w:t>Tertiary Education Commission</w:t>
            </w:r>
          </w:p>
        </w:tc>
      </w:tr>
      <w:tr w:rsidR="00B67DD6" w:rsidRPr="00E3756C" w14:paraId="6BFE32BF" w14:textId="77777777" w:rsidTr="00B67DD6">
        <w:tc>
          <w:tcPr>
            <w:tcW w:w="1455" w:type="dxa"/>
            <w:shd w:val="clear" w:color="auto" w:fill="FFFFFF" w:themeFill="background1"/>
            <w:tcMar>
              <w:top w:w="0" w:type="dxa"/>
              <w:left w:w="100" w:type="dxa"/>
              <w:bottom w:w="0" w:type="dxa"/>
              <w:right w:w="100" w:type="dxa"/>
            </w:tcMar>
          </w:tcPr>
          <w:p w14:paraId="63CB95A7" w14:textId="77777777" w:rsidR="00B67DD6" w:rsidRPr="00E3756C" w:rsidRDefault="00B67DD6" w:rsidP="00B67DD6">
            <w:pPr>
              <w:pStyle w:val="BodyText"/>
              <w:spacing w:before="80" w:after="80"/>
            </w:pPr>
            <w:r w:rsidRPr="00E3756C">
              <w:t>TPK</w:t>
            </w:r>
          </w:p>
        </w:tc>
        <w:tc>
          <w:tcPr>
            <w:tcW w:w="7410" w:type="dxa"/>
            <w:tcMar>
              <w:top w:w="0" w:type="dxa"/>
              <w:left w:w="100" w:type="dxa"/>
              <w:bottom w:w="0" w:type="dxa"/>
              <w:right w:w="100" w:type="dxa"/>
            </w:tcMar>
          </w:tcPr>
          <w:p w14:paraId="14390EEC" w14:textId="77777777" w:rsidR="00B67DD6" w:rsidRPr="00E3756C" w:rsidRDefault="00B67DD6" w:rsidP="00B67DD6">
            <w:pPr>
              <w:pStyle w:val="BodyText"/>
              <w:spacing w:before="80" w:after="80"/>
            </w:pPr>
            <w:r w:rsidRPr="00E3756C">
              <w:t>Te Puni Kōkiri</w:t>
            </w:r>
          </w:p>
        </w:tc>
      </w:tr>
      <w:tr w:rsidR="00B67DD6" w:rsidRPr="00E3756C" w14:paraId="56306EE1" w14:textId="77777777" w:rsidTr="00B67DD6">
        <w:tc>
          <w:tcPr>
            <w:tcW w:w="1455" w:type="dxa"/>
            <w:shd w:val="clear" w:color="auto" w:fill="FFFFFF" w:themeFill="background1"/>
            <w:tcMar>
              <w:top w:w="0" w:type="dxa"/>
              <w:left w:w="100" w:type="dxa"/>
              <w:bottom w:w="0" w:type="dxa"/>
              <w:right w:w="100" w:type="dxa"/>
            </w:tcMar>
          </w:tcPr>
          <w:p w14:paraId="11EDC060" w14:textId="77777777" w:rsidR="00B67DD6" w:rsidRPr="00E3756C" w:rsidRDefault="00B67DD6" w:rsidP="00B67DD6">
            <w:pPr>
              <w:pStyle w:val="BodyText"/>
              <w:spacing w:before="80" w:after="80"/>
            </w:pPr>
            <w:r w:rsidRPr="00E3756C">
              <w:t>W/m</w:t>
            </w:r>
            <w:r w:rsidRPr="00E3756C">
              <w:rPr>
                <w:vertAlign w:val="superscript"/>
              </w:rPr>
              <w:t>2</w:t>
            </w:r>
          </w:p>
        </w:tc>
        <w:tc>
          <w:tcPr>
            <w:tcW w:w="7410" w:type="dxa"/>
            <w:tcMar>
              <w:top w:w="0" w:type="dxa"/>
              <w:left w:w="100" w:type="dxa"/>
              <w:bottom w:w="0" w:type="dxa"/>
              <w:right w:w="100" w:type="dxa"/>
            </w:tcMar>
          </w:tcPr>
          <w:p w14:paraId="68F9E76F" w14:textId="77777777" w:rsidR="00B67DD6" w:rsidRPr="00E3756C" w:rsidRDefault="00B67DD6" w:rsidP="00B67DD6">
            <w:pPr>
              <w:pStyle w:val="BodyText"/>
              <w:spacing w:before="80" w:after="80"/>
            </w:pPr>
            <w:r w:rsidRPr="00E3756C">
              <w:t>Watts per square metre</w:t>
            </w:r>
          </w:p>
        </w:tc>
      </w:tr>
    </w:tbl>
    <w:p w14:paraId="1B1A9A9D" w14:textId="77777777" w:rsidR="00B67DD6" w:rsidRPr="00E3756C" w:rsidRDefault="00B67DD6" w:rsidP="00B67DD6">
      <w:pPr>
        <w:pStyle w:val="BodyText"/>
      </w:pPr>
      <w:bookmarkStart w:id="242" w:name="_heading=h.1rvwp1q" w:colFirst="0" w:colLast="0"/>
      <w:bookmarkEnd w:id="242"/>
    </w:p>
    <w:p w14:paraId="66AA2996" w14:textId="77777777" w:rsidR="00F653D3" w:rsidRPr="00E3756C" w:rsidRDefault="00F653D3">
      <w:pPr>
        <w:spacing w:before="0" w:after="200" w:line="276" w:lineRule="auto"/>
        <w:jc w:val="left"/>
      </w:pPr>
      <w:r w:rsidRPr="00E3756C">
        <w:br w:type="page"/>
      </w:r>
    </w:p>
    <w:p w14:paraId="290A544F" w14:textId="77777777" w:rsidR="00B67DD6" w:rsidRPr="00E3756C" w:rsidRDefault="00F653D3" w:rsidP="00F653D3">
      <w:pPr>
        <w:pStyle w:val="Heading1"/>
      </w:pPr>
      <w:bookmarkStart w:id="243" w:name="_Toc15409183"/>
      <w:r w:rsidRPr="00E3756C">
        <w:lastRenderedPageBreak/>
        <w:t>References</w:t>
      </w:r>
      <w:bookmarkEnd w:id="243"/>
    </w:p>
    <w:p w14:paraId="0C5114FF" w14:textId="77777777" w:rsidR="00F653D3" w:rsidRPr="00E3756C" w:rsidRDefault="009D55F9" w:rsidP="00E62113">
      <w:pPr>
        <w:pStyle w:val="References"/>
      </w:pPr>
      <w:r w:rsidRPr="009D55F9">
        <w:t>Adger WN, Brown I, Surminski S</w:t>
      </w:r>
      <w:r w:rsidR="00A04AD7">
        <w:t>.</w:t>
      </w:r>
      <w:r w:rsidRPr="009D55F9">
        <w:t xml:space="preserve"> 2018. Advances in risk assessment for climate change adaptation policy. </w:t>
      </w:r>
      <w:r w:rsidRPr="000462CF">
        <w:rPr>
          <w:i/>
        </w:rPr>
        <w:t>Philos</w:t>
      </w:r>
      <w:r w:rsidR="00765FDE" w:rsidRPr="000462CF">
        <w:rPr>
          <w:i/>
        </w:rPr>
        <w:t>ophical</w:t>
      </w:r>
      <w:r w:rsidRPr="000462CF">
        <w:rPr>
          <w:i/>
        </w:rPr>
        <w:t xml:space="preserve"> Trans</w:t>
      </w:r>
      <w:r w:rsidR="00765FDE" w:rsidRPr="000462CF">
        <w:rPr>
          <w:i/>
        </w:rPr>
        <w:t>actions</w:t>
      </w:r>
      <w:r w:rsidRPr="000462CF">
        <w:rPr>
          <w:i/>
        </w:rPr>
        <w:t xml:space="preserve"> </w:t>
      </w:r>
      <w:r w:rsidR="00765FDE" w:rsidRPr="000462CF">
        <w:rPr>
          <w:i/>
        </w:rPr>
        <w:t xml:space="preserve">of the Royal Society </w:t>
      </w:r>
      <w:r w:rsidRPr="000462CF">
        <w:rPr>
          <w:i/>
        </w:rPr>
        <w:t>A</w:t>
      </w:r>
      <w:r w:rsidR="00765FDE" w:rsidRPr="000462CF">
        <w:rPr>
          <w:i/>
        </w:rPr>
        <w:t>:</w:t>
      </w:r>
      <w:r w:rsidRPr="000462CF">
        <w:rPr>
          <w:i/>
        </w:rPr>
        <w:t xml:space="preserve"> Math</w:t>
      </w:r>
      <w:r w:rsidR="00765FDE" w:rsidRPr="000462CF">
        <w:rPr>
          <w:i/>
        </w:rPr>
        <w:t>ematical,</w:t>
      </w:r>
      <w:r w:rsidRPr="000462CF">
        <w:rPr>
          <w:i/>
        </w:rPr>
        <w:t xml:space="preserve"> Phys</w:t>
      </w:r>
      <w:r w:rsidR="00765FDE" w:rsidRPr="000462CF">
        <w:rPr>
          <w:i/>
        </w:rPr>
        <w:t>ical and</w:t>
      </w:r>
      <w:r w:rsidRPr="000462CF">
        <w:rPr>
          <w:i/>
        </w:rPr>
        <w:t xml:space="preserve"> Eng</w:t>
      </w:r>
      <w:r w:rsidR="00765FDE" w:rsidRPr="000462CF">
        <w:rPr>
          <w:i/>
        </w:rPr>
        <w:t>ineering</w:t>
      </w:r>
      <w:r w:rsidRPr="000462CF">
        <w:rPr>
          <w:i/>
        </w:rPr>
        <w:t xml:space="preserve"> Sci</w:t>
      </w:r>
      <w:r w:rsidR="00765FDE" w:rsidRPr="000462CF">
        <w:rPr>
          <w:i/>
        </w:rPr>
        <w:t>ence</w:t>
      </w:r>
      <w:r w:rsidR="00AD198A">
        <w:rPr>
          <w:i/>
        </w:rPr>
        <w:t>s</w:t>
      </w:r>
      <w:r w:rsidRPr="009D55F9">
        <w:t xml:space="preserve"> 376(2121).</w:t>
      </w:r>
      <w:r w:rsidR="00AD198A" w:rsidRPr="00AD198A">
        <w:t xml:space="preserve"> </w:t>
      </w:r>
      <w:hyperlink r:id="rId54" w:history="1">
        <w:r w:rsidR="00AD198A" w:rsidRPr="00AD198A">
          <w:rPr>
            <w:rStyle w:val="Hyperlink"/>
          </w:rPr>
          <w:t>https://doi.org/10.1098/rsta.2018.0106</w:t>
        </w:r>
      </w:hyperlink>
    </w:p>
    <w:p w14:paraId="1D9F3A41" w14:textId="77777777" w:rsidR="00E600CB" w:rsidRPr="00E600CB" w:rsidRDefault="00E600CB" w:rsidP="00E600CB">
      <w:pPr>
        <w:pStyle w:val="Reference"/>
      </w:pPr>
      <w:r w:rsidRPr="001A51FC">
        <w:t xml:space="preserve">Barlow C, Wineti E. 1991. </w:t>
      </w:r>
      <w:r w:rsidRPr="001A51FC">
        <w:rPr>
          <w:i/>
          <w:iCs/>
        </w:rPr>
        <w:t>Tikanga Whakaaro: Key Concepts in Māori Culture.</w:t>
      </w:r>
      <w:r w:rsidRPr="001A51FC">
        <w:t xml:space="preserve"> Oxford University Press.</w:t>
      </w:r>
    </w:p>
    <w:p w14:paraId="008A8B43" w14:textId="77777777" w:rsidR="00F653D3" w:rsidRPr="00E3756C" w:rsidRDefault="00F653D3" w:rsidP="00E600CB">
      <w:pPr>
        <w:pStyle w:val="Reference"/>
      </w:pPr>
      <w:r w:rsidRPr="00E3756C">
        <w:t xml:space="preserve">Bell RG, Paulik R, Wadhwa S. 2016. Coastal hazard and climate-change risk exposure in New Zealand: Comparing regions and urban areas. In: </w:t>
      </w:r>
      <w:r w:rsidRPr="00E3756C">
        <w:rPr>
          <w:i/>
          <w:iCs/>
        </w:rPr>
        <w:t xml:space="preserve">Proceedings of International Federation of Surveyors (FIG) Working Week 2016, </w:t>
      </w:r>
      <w:r w:rsidRPr="00E3756C">
        <w:t xml:space="preserve">Recovery from Disaster, Christchurch, New Zealand, 2–6 May. Retrieved from </w:t>
      </w:r>
      <w:hyperlink r:id="rId55" w:history="1">
        <w:r w:rsidRPr="00E3756C">
          <w:rPr>
            <w:rStyle w:val="Hyperlink"/>
            <w:rFonts w:cs="Calibri"/>
          </w:rPr>
          <w:t>www.fig.net/resources/proceedings/fig_proceedings/fig2016/papers/ts02i/TS02I_bell_paulik_et_al_8102.pdf</w:t>
        </w:r>
      </w:hyperlink>
      <w:r w:rsidRPr="00E3756C">
        <w:t xml:space="preserve"> (19 July 2019).</w:t>
      </w:r>
    </w:p>
    <w:p w14:paraId="5E0D2CEE" w14:textId="77777777" w:rsidR="00F653D3" w:rsidRPr="00E3756C" w:rsidRDefault="00F653D3" w:rsidP="00E600CB">
      <w:pPr>
        <w:pStyle w:val="Reference"/>
      </w:pPr>
      <w:r w:rsidRPr="00E3756C">
        <w:t xml:space="preserve">Bell RG. 2018a. </w:t>
      </w:r>
      <w:r w:rsidRPr="00E3756C">
        <w:rPr>
          <w:i/>
          <w:iCs/>
        </w:rPr>
        <w:t>Impacts of Severe-Weather: Chasing Resilience for NZ</w:t>
      </w:r>
      <w:r w:rsidRPr="00E3756C">
        <w:t>.</w:t>
      </w:r>
      <w:hyperlink r:id="rId56">
        <w:r w:rsidRPr="00E3756C">
          <w:t xml:space="preserve"> </w:t>
        </w:r>
      </w:hyperlink>
      <w:r w:rsidRPr="00E3756C">
        <w:t xml:space="preserve">Presentation on behalf of NIWA’s Climate, Atmosphere and Hazards Centre. Retrieved from </w:t>
      </w:r>
      <w:hyperlink r:id="rId57" w:history="1">
        <w:r w:rsidRPr="00E3756C">
          <w:rPr>
            <w:rStyle w:val="Hyperlink"/>
            <w:rFonts w:cs="Calibri"/>
          </w:rPr>
          <w:t>www.parliament.nz/en/pb/sc/submissions-and-advice/document/52SCED_EVI_77773_1767/niwa-supp-1</w:t>
        </w:r>
      </w:hyperlink>
      <w:r w:rsidRPr="00E3756C">
        <w:t xml:space="preserve"> (19 July 2019).</w:t>
      </w:r>
    </w:p>
    <w:p w14:paraId="3A818B04" w14:textId="77777777" w:rsidR="00F653D3" w:rsidRPr="00E3756C" w:rsidRDefault="00F653D3" w:rsidP="00E600CB">
      <w:pPr>
        <w:pStyle w:val="Reference"/>
      </w:pPr>
      <w:r w:rsidRPr="00E3756C">
        <w:t>Bell RG. 2018b. Impacts of Severe Weather: Chasing Resilience for NZ – Submission to the Economic Development, Science and Innovation Select Committee, Parliament.</w:t>
      </w:r>
      <w:hyperlink r:id="rId58">
        <w:r w:rsidRPr="00E3756C">
          <w:t xml:space="preserve"> </w:t>
        </w:r>
      </w:hyperlink>
      <w:r w:rsidRPr="00E3756C">
        <w:t xml:space="preserve">Hamilton: NIWA. Retrieved from </w:t>
      </w:r>
      <w:hyperlink r:id="rId59" w:history="1">
        <w:r w:rsidRPr="00E3756C">
          <w:rPr>
            <w:rStyle w:val="Hyperlink"/>
            <w:rFonts w:cs="Calibri"/>
          </w:rPr>
          <w:t>www.parliament.nz/en/pb/sc/submissions-and-advice/document/52SCED_EVI_77773_1765/niwa</w:t>
        </w:r>
      </w:hyperlink>
      <w:r w:rsidRPr="00E3756C">
        <w:t xml:space="preserve"> (19</w:t>
      </w:r>
      <w:r w:rsidR="00B87FBD" w:rsidRPr="00E3756C">
        <w:t> </w:t>
      </w:r>
      <w:r w:rsidRPr="00E3756C">
        <w:t>July 2019).</w:t>
      </w:r>
    </w:p>
    <w:p w14:paraId="16BEF49E" w14:textId="77777777" w:rsidR="00F653D3" w:rsidRPr="00E3756C" w:rsidRDefault="00F653D3" w:rsidP="00E600CB">
      <w:pPr>
        <w:pStyle w:val="Reference"/>
      </w:pPr>
      <w:r w:rsidRPr="00E3756C">
        <w:t xml:space="preserve">Bell RG, Bell R, Wadwha, S. 2015. </w:t>
      </w:r>
      <w:r w:rsidRPr="00E3756C">
        <w:rPr>
          <w:i/>
          <w:iCs/>
        </w:rPr>
        <w:t>National and Regional Risk Exposure in Low-Lying Coastal Areas: Areal Extent, Population, Buildings and Infrastructure.</w:t>
      </w:r>
      <w:r w:rsidRPr="00E3756C">
        <w:t xml:space="preserve"> Prepared for the Parliamentary Commissioner for the Environment by the National Institute of Water </w:t>
      </w:r>
      <w:r w:rsidR="005D342F" w:rsidRPr="00E3756C">
        <w:t>and</w:t>
      </w:r>
      <w:r w:rsidRPr="00E3756C">
        <w:t xml:space="preserve"> Atmospheric Research Ltd. Retrieved from </w:t>
      </w:r>
      <w:hyperlink r:id="rId60" w:history="1">
        <w:r w:rsidR="005D342F" w:rsidRPr="00E3756C">
          <w:rPr>
            <w:rStyle w:val="Hyperlink"/>
            <w:rFonts w:cs="Calibri"/>
          </w:rPr>
          <w:t>www.pce.parliament.nz/media/1384/national-and-regional-risk-exposure-in-low-lying-coastal-areas-niwa-2015.pdf</w:t>
        </w:r>
      </w:hyperlink>
      <w:r w:rsidRPr="00E3756C">
        <w:t xml:space="preserve"> (19 July 2019).</w:t>
      </w:r>
    </w:p>
    <w:p w14:paraId="36BB14E9" w14:textId="3A084449" w:rsidR="00F653D3" w:rsidRDefault="00F653D3" w:rsidP="00E600CB">
      <w:pPr>
        <w:pStyle w:val="Reference"/>
      </w:pPr>
      <w:r w:rsidRPr="00E3756C">
        <w:t>Brooks N, Adger WN. 2005. Assessing and enhancing adaptive capacity. In: I Burton, B Lim (eds) Adaptation Policy Frameworks for Climate Change: Developing Strategies, Policies and Measures, United Nations Development Programme. Cambridge: Cambridge University Press.</w:t>
      </w:r>
    </w:p>
    <w:p w14:paraId="421DFB5F" w14:textId="77777777" w:rsidR="00E600CB" w:rsidRPr="00E3756C" w:rsidRDefault="00E600CB" w:rsidP="00E600CB">
      <w:pPr>
        <w:pStyle w:val="Reference"/>
        <w:rPr>
          <w:rFonts w:cs="Calibri"/>
        </w:rPr>
      </w:pPr>
      <w:r w:rsidRPr="001A51FC">
        <w:t>Buck P</w:t>
      </w:r>
      <w:r w:rsidR="007E100A">
        <w:t>H</w:t>
      </w:r>
      <w:r w:rsidRPr="001A51FC">
        <w:t xml:space="preserve">. 1950. </w:t>
      </w:r>
      <w:r w:rsidR="007E100A">
        <w:rPr>
          <w:i/>
        </w:rPr>
        <w:t>The C</w:t>
      </w:r>
      <w:r w:rsidRPr="00E600CB">
        <w:rPr>
          <w:i/>
        </w:rPr>
        <w:t>oming of the Māori</w:t>
      </w:r>
      <w:r w:rsidRPr="001A51FC">
        <w:t>. Wellington: Māori Purposes Fund Board</w:t>
      </w:r>
      <w:r>
        <w:t>.</w:t>
      </w:r>
    </w:p>
    <w:p w14:paraId="1341455B" w14:textId="6A3085B3" w:rsidR="00F653D3" w:rsidRPr="00E3756C" w:rsidRDefault="00F653D3" w:rsidP="00E600CB">
      <w:pPr>
        <w:pStyle w:val="Reference"/>
      </w:pPr>
      <w:r w:rsidRPr="00E3756C">
        <w:t>Cinner JE, Adger WN, Allison EH, Barnes ML, Brown K, Cohen PJ, Gelcich S</w:t>
      </w:r>
      <w:hyperlink r:id="rId61" w:history="1">
        <w:r w:rsidRPr="00E3756C">
          <w:t>, Hicks CC</w:t>
        </w:r>
      </w:hyperlink>
      <w:r w:rsidRPr="00E3756C">
        <w:t xml:space="preserve">, Hughes TP, Lau J, Marshall NA, Morrison TH. 2018. Building adaptive capacity to climate change in tropical coastal communities. </w:t>
      </w:r>
      <w:r w:rsidRPr="00E3756C">
        <w:rPr>
          <w:i/>
          <w:iCs/>
        </w:rPr>
        <w:t>Nature Climate Change</w:t>
      </w:r>
      <w:r w:rsidRPr="00E3756C">
        <w:t xml:space="preserve"> 8(2): 117–123. </w:t>
      </w:r>
    </w:p>
    <w:p w14:paraId="4A0E5F5E" w14:textId="77777777" w:rsidR="00F653D3" w:rsidRPr="00E3756C" w:rsidRDefault="00F653D3" w:rsidP="00E600CB">
      <w:pPr>
        <w:pStyle w:val="Reference"/>
      </w:pPr>
      <w:r w:rsidRPr="00E3756C">
        <w:t xml:space="preserve">Climate Change Adaptation Technical Working Group. 2017. </w:t>
      </w:r>
      <w:r w:rsidRPr="00E3756C">
        <w:rPr>
          <w:i/>
          <w:iCs/>
        </w:rPr>
        <w:t>Adapting to Climate Change in New Zealand: Stocktake Report from the Climate Change Adaptation Technical Working Group.</w:t>
      </w:r>
      <w:r w:rsidRPr="00E3756C">
        <w:t xml:space="preserve"> Wellington: Climate Change Adaptation Technical Working Group. Retrieved from </w:t>
      </w:r>
      <w:hyperlink r:id="rId62">
        <w:r w:rsidR="00E47696" w:rsidRPr="00E3756C">
          <w:rPr>
            <w:rStyle w:val="Hyperlink"/>
          </w:rPr>
          <w:t>www.mfe.govt.nz/sites/default/files/media/Climate%20Change/adapting-to-climate-change-stocktake-tag-report.pdf</w:t>
        </w:r>
      </w:hyperlink>
      <w:r w:rsidRPr="00E3756C">
        <w:t xml:space="preserve"> (19 July 2019).</w:t>
      </w:r>
    </w:p>
    <w:p w14:paraId="246D728A" w14:textId="77777777" w:rsidR="00F653D3" w:rsidRPr="00E3756C" w:rsidRDefault="00F653D3" w:rsidP="00E600CB">
      <w:pPr>
        <w:pStyle w:val="Reference"/>
      </w:pPr>
      <w:r w:rsidRPr="00E3756C">
        <w:t xml:space="preserve">CoastAdapt. 2016. </w:t>
      </w:r>
      <w:r w:rsidRPr="00E3756C">
        <w:rPr>
          <w:i/>
          <w:iCs/>
        </w:rPr>
        <w:t>Guidance on Undertaking a First-Pass Risk Screening.</w:t>
      </w:r>
      <w:r w:rsidRPr="00E3756C">
        <w:t xml:space="preserve"> Gold Coast: National Climate Change Adaptation Research Facility. Retrieved from </w:t>
      </w:r>
      <w:hyperlink r:id="rId63" w:tooltip="https://coastadapt.com.au/sites/default/files/factsheets/T3M4_1_1st_pass_risk_assessment_0.pdf" w:history="1">
        <w:r w:rsidRPr="00E3756C">
          <w:rPr>
            <w:rStyle w:val="Hyperlink"/>
          </w:rPr>
          <w:t>https://coastadapt.com.au/sites/default/files/factsheets/T3M4_1_1st_pass_risk_assessment_0.pdf</w:t>
        </w:r>
      </w:hyperlink>
      <w:r w:rsidRPr="00E3756C">
        <w:t xml:space="preserve"> (19</w:t>
      </w:r>
      <w:r w:rsidR="005D342F" w:rsidRPr="00E3756C">
        <w:t> </w:t>
      </w:r>
      <w:r w:rsidRPr="00E3756C">
        <w:t xml:space="preserve">July 2019). </w:t>
      </w:r>
    </w:p>
    <w:p w14:paraId="15CFE65C" w14:textId="77777777" w:rsidR="00F653D3" w:rsidRPr="00E3756C" w:rsidRDefault="00F653D3" w:rsidP="00E600CB">
      <w:pPr>
        <w:pStyle w:val="Reference"/>
      </w:pPr>
      <w:r w:rsidRPr="00E3756C">
        <w:t xml:space="preserve">Committee on Climate Change. 2017. </w:t>
      </w:r>
      <w:r w:rsidRPr="00E3756C">
        <w:rPr>
          <w:i/>
          <w:iCs/>
        </w:rPr>
        <w:t>UK Climate Change Risk Assessment 2017: Synthesis Report: Priorities for the Next Five Years.</w:t>
      </w:r>
      <w:r w:rsidRPr="00E3756C">
        <w:t xml:space="preserve"> London: Committee on Climate Change. Retrieved from </w:t>
      </w:r>
      <w:hyperlink r:id="rId64" w:history="1">
        <w:r w:rsidRPr="00E3756C">
          <w:rPr>
            <w:rStyle w:val="Hyperlink"/>
            <w:rFonts w:cs="Calibri"/>
          </w:rPr>
          <w:t>www.theccc.org.uk/wp-content/uploads/2016/07/UK-CCRA-2017-Synthesis-Report-Committee-on-Climate-Change.pdf</w:t>
        </w:r>
      </w:hyperlink>
      <w:r w:rsidRPr="00E3756C">
        <w:t xml:space="preserve"> (19 July 2019).</w:t>
      </w:r>
    </w:p>
    <w:p w14:paraId="63C5232C" w14:textId="77777777" w:rsidR="00F653D3" w:rsidRPr="00E3756C" w:rsidRDefault="00F653D3" w:rsidP="00E600CB">
      <w:pPr>
        <w:pStyle w:val="Reference"/>
        <w:rPr>
          <w:rFonts w:cs="Calibri"/>
          <w:highlight w:val="yellow"/>
        </w:rPr>
      </w:pPr>
      <w:r w:rsidRPr="00E3756C">
        <w:t xml:space="preserve">Department of Conservation. 2010. </w:t>
      </w:r>
      <w:r w:rsidRPr="00E3756C">
        <w:rPr>
          <w:i/>
        </w:rPr>
        <w:t>New Zealand Coastal Policy Statement 2010</w:t>
      </w:r>
      <w:r w:rsidRPr="00E3756C">
        <w:t>. Wellington, Department of Conservation.</w:t>
      </w:r>
    </w:p>
    <w:p w14:paraId="1CE34154" w14:textId="6286146B" w:rsidR="00F653D3" w:rsidRPr="00E3756C" w:rsidRDefault="00F653D3" w:rsidP="005D342F">
      <w:pPr>
        <w:pStyle w:val="References"/>
      </w:pPr>
      <w:r w:rsidRPr="00E3756C">
        <w:t xml:space="preserve">Dymond J, Basher l. 2019. SedNetNZ: A new model to predict land management effects on erosion and sediment yield. </w:t>
      </w:r>
      <w:hyperlink r:id="rId65" w:history="1">
        <w:r w:rsidRPr="00E3756C">
          <w:rPr>
            <w:i/>
            <w:iCs/>
          </w:rPr>
          <w:t>Soil Horizons Newsletter</w:t>
        </w:r>
      </w:hyperlink>
      <w:r w:rsidRPr="00E3756C">
        <w:t xml:space="preserve"> 21(September). Retrieved from </w:t>
      </w:r>
      <w:hyperlink r:id="rId66" w:history="1">
        <w:r w:rsidRPr="00E3756C">
          <w:rPr>
            <w:rStyle w:val="Hyperlink"/>
          </w:rPr>
          <w:t>www.landcareresearch.co.nz/publications/newsletters/soil/issue-21/sednetnz</w:t>
        </w:r>
        <w:r w:rsidRPr="00E3756C">
          <w:t xml:space="preserve"> </w:t>
        </w:r>
      </w:hyperlink>
      <w:r w:rsidRPr="00E3756C">
        <w:t>(19 July 2019).</w:t>
      </w:r>
    </w:p>
    <w:p w14:paraId="554DEE09" w14:textId="77777777" w:rsidR="00F653D3" w:rsidRPr="00E3756C" w:rsidRDefault="00F653D3" w:rsidP="00E600CB">
      <w:pPr>
        <w:pStyle w:val="Reference"/>
      </w:pPr>
      <w:r w:rsidRPr="00E3756C">
        <w:lastRenderedPageBreak/>
        <w:t xml:space="preserve">Environmental Protection Authority. No date. </w:t>
      </w:r>
      <w:r w:rsidRPr="00E3756C">
        <w:rPr>
          <w:i/>
          <w:iCs/>
        </w:rPr>
        <w:t>He Whetū Mārama.</w:t>
      </w:r>
      <w:r w:rsidRPr="00E3756C">
        <w:t xml:space="preserve"> Poster</w:t>
      </w:r>
      <w:r w:rsidRPr="00E3756C">
        <w:rPr>
          <w:i/>
          <w:iCs/>
        </w:rPr>
        <w:t>.</w:t>
      </w:r>
      <w:r w:rsidRPr="00E3756C">
        <w:t xml:space="preserve"> Wellington: Environmental Protection Authority. Retrieved from </w:t>
      </w:r>
      <w:hyperlink r:id="rId67" w:history="1">
        <w:r w:rsidR="005D342F" w:rsidRPr="00E3756C">
          <w:rPr>
            <w:rStyle w:val="Hyperlink"/>
            <w:rFonts w:cs="Calibri"/>
          </w:rPr>
          <w:t>www.epa.govt.nz/assets/Uploads/Documents/Te-Hautu/EPA-He-Whetu-Marama-English-poster.pdf</w:t>
        </w:r>
      </w:hyperlink>
      <w:r w:rsidRPr="00E3756C">
        <w:t xml:space="preserve"> (19 July 2019).</w:t>
      </w:r>
    </w:p>
    <w:p w14:paraId="29B1A3CA" w14:textId="4CCA3865" w:rsidR="00F653D3" w:rsidRPr="00E3756C" w:rsidRDefault="00F653D3" w:rsidP="00E600CB">
      <w:pPr>
        <w:pStyle w:val="Reference"/>
      </w:pPr>
      <w:r w:rsidRPr="00E3756C">
        <w:t>Frame B, Lawrence J, Ausseil A-G, Reisinger A, Daigneault A. 2018a. Adapting global shared socio</w:t>
      </w:r>
      <w:r w:rsidR="005D342F" w:rsidRPr="00E3756C">
        <w:noBreakHyphen/>
      </w:r>
      <w:r w:rsidRPr="00E3756C">
        <w:t xml:space="preserve">economic pathways for national and local scenarios. </w:t>
      </w:r>
      <w:r w:rsidRPr="00E3756C">
        <w:rPr>
          <w:i/>
          <w:iCs/>
        </w:rPr>
        <w:t>Climate Risk Management</w:t>
      </w:r>
      <w:r w:rsidRPr="00E3756C">
        <w:t xml:space="preserve"> 21: 39–51.</w:t>
      </w:r>
    </w:p>
    <w:p w14:paraId="1EE55207" w14:textId="77777777" w:rsidR="00F653D3" w:rsidRPr="00E3756C" w:rsidRDefault="00F653D3" w:rsidP="00E600CB">
      <w:pPr>
        <w:pStyle w:val="Reference"/>
      </w:pPr>
      <w:r w:rsidRPr="00E3756C">
        <w:t xml:space="preserve">Frame D, Rosier S, Carey-Smith T, Harrington L, Dean S, Noy I. 2018b. </w:t>
      </w:r>
      <w:r w:rsidRPr="00E3756C">
        <w:rPr>
          <w:i/>
          <w:iCs/>
        </w:rPr>
        <w:t>Estimating Financial Costs of Climate Change in New Zealand: An Estimate of Climate Change-Related Weather Event Costs.</w:t>
      </w:r>
      <w:r w:rsidRPr="00E3756C">
        <w:t xml:space="preserve"> Wellington: The Treasury / Te Tai Ōhanga. Retrieved from </w:t>
      </w:r>
      <w:hyperlink r:id="rId68" w:history="1">
        <w:r w:rsidRPr="00E3756C">
          <w:rPr>
            <w:rStyle w:val="Hyperlink"/>
            <w:rFonts w:cs="Calibri"/>
          </w:rPr>
          <w:t>https://treasury.govt.nz/publications/commissioned-report/estimating-financial-costs-climate-change-nz</w:t>
        </w:r>
      </w:hyperlink>
      <w:r w:rsidRPr="00E3756C">
        <w:t xml:space="preserve"> (19 July 2019).</w:t>
      </w:r>
    </w:p>
    <w:p w14:paraId="5E88A19F" w14:textId="77777777" w:rsidR="00F653D3" w:rsidRPr="00E3756C" w:rsidRDefault="00F653D3" w:rsidP="00E600CB">
      <w:pPr>
        <w:pStyle w:val="Reference"/>
      </w:pPr>
      <w:r w:rsidRPr="00E3756C">
        <w:t xml:space="preserve">Gardner J, Dowd A-M, Mason C, Ashworth P. 2009. </w:t>
      </w:r>
      <w:r w:rsidRPr="00E3756C">
        <w:rPr>
          <w:i/>
          <w:iCs/>
        </w:rPr>
        <w:t>A Framework for Stakeholder Engagement on Climate Adaptation</w:t>
      </w:r>
      <w:r w:rsidRPr="00E3756C">
        <w:t>. Climate Adaptation Flagship working paper no 3. Canberra: CSIRO (Commonwealth Scientific and Industrial Research Organisation</w:t>
      </w:r>
      <w:r w:rsidRPr="00E3756C">
        <w:rPr>
          <w:color w:val="222222"/>
          <w:shd w:val="clear" w:color="auto" w:fill="FFFFFF"/>
        </w:rPr>
        <w:t>).</w:t>
      </w:r>
      <w:r w:rsidRPr="00E3756C">
        <w:t xml:space="preserve"> Retrieved from </w:t>
      </w:r>
      <w:hyperlink r:id="rId69" w:history="1">
        <w:r w:rsidRPr="00E3756C">
          <w:rPr>
            <w:rStyle w:val="Hyperlink"/>
            <w:rFonts w:cs="Calibri"/>
          </w:rPr>
          <w:t>www.csiro.au/resources/CAF-working-papers.html</w:t>
        </w:r>
      </w:hyperlink>
      <w:r w:rsidRPr="00E3756C">
        <w:t xml:space="preserve"> (19 July 2019).</w:t>
      </w:r>
    </w:p>
    <w:p w14:paraId="3AAD2AC0" w14:textId="77777777" w:rsidR="00F653D3" w:rsidRPr="00E3756C" w:rsidRDefault="00F653D3" w:rsidP="00E600CB">
      <w:pPr>
        <w:pStyle w:val="Reference"/>
      </w:pPr>
      <w:r w:rsidRPr="00E3756C">
        <w:t xml:space="preserve">Harmsworth GR, Awatere S, Procter J. 2014. Meeting water quality and quantity standards to sustain cultural values. In: </w:t>
      </w:r>
      <w:r w:rsidRPr="00E3756C">
        <w:rPr>
          <w:i/>
          <w:iCs/>
        </w:rPr>
        <w:t>21st Century Watershed Technology Conference and Workshop Improving Water Quality and the Environment Conference Proceedings</w:t>
      </w:r>
      <w:r w:rsidRPr="00E3756C">
        <w:t>, 3–6 November 2014, American Society of Agricultural and Biological Engineers, University of Waikato. 10.13140/2.1.3507.8086.</w:t>
      </w:r>
    </w:p>
    <w:p w14:paraId="204DE75C" w14:textId="77777777" w:rsidR="00F653D3" w:rsidRPr="00E3756C" w:rsidRDefault="00F653D3" w:rsidP="00E600CB">
      <w:pPr>
        <w:pStyle w:val="Reference"/>
      </w:pPr>
      <w:r w:rsidRPr="00E3756C">
        <w:t>IPCC</w:t>
      </w:r>
      <w:r w:rsidR="00B45A8B" w:rsidRPr="00E3756C">
        <w:t>.</w:t>
      </w:r>
      <w:r w:rsidRPr="00E3756C">
        <w:t xml:space="preserve"> 2001. Climate Change 2001: The Scientific Basis. Contribution of Working Group I to the Third Assessment Report of the Intergovernmental Panel on Climate Change. </w:t>
      </w:r>
      <w:r w:rsidR="00B80F93" w:rsidRPr="00E3756C">
        <w:t xml:space="preserve">Houghton JT, Ding Y, Griggs DJ, Noguer M, van der Linden PJ, Dai X, Maskell K, Johnson CA (eds). </w:t>
      </w:r>
      <w:r w:rsidRPr="00E3756C">
        <w:t xml:space="preserve">Cambridge, UK: Cambridge University Press. Retrieved from </w:t>
      </w:r>
      <w:hyperlink r:id="rId70" w:history="1">
        <w:r w:rsidRPr="00E3756C">
          <w:rPr>
            <w:rStyle w:val="Hyperlink"/>
            <w:rFonts w:cs="Calibri"/>
          </w:rPr>
          <w:t>www.ipcc.ch/report/ar3/wg1/</w:t>
        </w:r>
      </w:hyperlink>
      <w:r w:rsidRPr="00E3756C">
        <w:t xml:space="preserve"> (19 July 2019).</w:t>
      </w:r>
    </w:p>
    <w:p w14:paraId="67B18591" w14:textId="77777777" w:rsidR="00F653D3" w:rsidRPr="00E3756C" w:rsidRDefault="00F653D3" w:rsidP="00E600CB">
      <w:pPr>
        <w:pStyle w:val="Reference"/>
      </w:pPr>
      <w:r w:rsidRPr="00E3756C">
        <w:t>IPCC. 2012</w:t>
      </w:r>
      <w:r w:rsidR="00B45A8B" w:rsidRPr="00E3756C">
        <w:t>.</w:t>
      </w:r>
      <w:r w:rsidRPr="00E3756C">
        <w:t xml:space="preserve"> Glossary of terms. In</w:t>
      </w:r>
      <w:r w:rsidR="00B87FBD" w:rsidRPr="00E3756C">
        <w:t xml:space="preserve"> </w:t>
      </w:r>
      <w:r w:rsidRPr="00E3756C">
        <w:t>Managing the Risks of Extreme Events and Disasters to Advance Climate Change Adaptation: A Special Report of Working Groups I and II of the Intergovernmental Panel on Climate Change (IPCC).</w:t>
      </w:r>
      <w:r w:rsidR="00B87FBD" w:rsidRPr="00E3756C">
        <w:t xml:space="preserve"> CB Field, V Barros, TF Stocker, D Qin, DJ Dokken, KL Ebi, MD Mastrandrea, KJ Mach, G-K Plattner, SK Allen, M Tignor and PM Midgley (eds). </w:t>
      </w:r>
      <w:r w:rsidRPr="00E3756C">
        <w:t>Cambridge, UK, and New York, NY, USA: Cambridge University Press. pp 555–564.</w:t>
      </w:r>
    </w:p>
    <w:p w14:paraId="205E0104" w14:textId="77777777" w:rsidR="00F653D3" w:rsidRPr="00E3756C" w:rsidRDefault="00F653D3" w:rsidP="00E600CB">
      <w:pPr>
        <w:pStyle w:val="Reference"/>
      </w:pPr>
      <w:r w:rsidRPr="00E3756C">
        <w:t>IPCC</w:t>
      </w:r>
      <w:r w:rsidR="00B45A8B" w:rsidRPr="00E3756C">
        <w:t>.</w:t>
      </w:r>
      <w:r w:rsidRPr="00E3756C">
        <w:t xml:space="preserve"> 2013. Climate Change 2013: The Physical Science Basis. Contribution of Working Group I to the Fifth Assessment Report of the Intergovernmental Panel on Climate Change. </w:t>
      </w:r>
      <w:r w:rsidR="00B80F93" w:rsidRPr="00E3756C">
        <w:t xml:space="preserve">Stocker TF, Qin D, Plattner G-K, Tignor M, Allen SK, Boschung J, Nauels A, Xia Y, Bex V, Midgley PM (eds). </w:t>
      </w:r>
      <w:r w:rsidRPr="00E3756C">
        <w:t xml:space="preserve">Cambridge, UK: Cambridge University Press. Retrieved from </w:t>
      </w:r>
      <w:hyperlink r:id="rId71" w:history="1">
        <w:r w:rsidRPr="00E3756C">
          <w:rPr>
            <w:rStyle w:val="Hyperlink"/>
            <w:rFonts w:cs="Calibri"/>
          </w:rPr>
          <w:t>www.ipcc.ch/report/ar5/wg1/</w:t>
        </w:r>
      </w:hyperlink>
      <w:r w:rsidRPr="00E3756C">
        <w:t xml:space="preserve"> (19 July 2019).</w:t>
      </w:r>
    </w:p>
    <w:p w14:paraId="5159BB29" w14:textId="77777777" w:rsidR="00F653D3" w:rsidRPr="00E3756C" w:rsidRDefault="00F653D3" w:rsidP="00E600CB">
      <w:pPr>
        <w:pStyle w:val="Reference"/>
      </w:pPr>
      <w:r w:rsidRPr="00E3756C">
        <w:t>IPCC</w:t>
      </w:r>
      <w:r w:rsidR="00B45A8B" w:rsidRPr="00E3756C">
        <w:t>.</w:t>
      </w:r>
      <w:r w:rsidRPr="00E3756C">
        <w:t xml:space="preserve"> 2014a. Climate Change 2014: Synthesis Report. Contribution of Working Groups I, II and III to the Fifth Assessment Report of the Intergovernmental Panel on Climate Change. </w:t>
      </w:r>
      <w:r w:rsidR="00B80F93" w:rsidRPr="00E3756C">
        <w:t xml:space="preserve">Pachauri RK, Meyer LA (eds). </w:t>
      </w:r>
      <w:r w:rsidRPr="00E3756C">
        <w:t>Geneva: Intergovernmental Panel on Climate Change.</w:t>
      </w:r>
    </w:p>
    <w:p w14:paraId="7A6E0362" w14:textId="77D4EDF7" w:rsidR="00F653D3" w:rsidRPr="00E3756C" w:rsidRDefault="00F653D3" w:rsidP="00E600CB">
      <w:pPr>
        <w:pStyle w:val="Reference"/>
      </w:pPr>
      <w:r w:rsidRPr="00E3756C">
        <w:t>IPCC</w:t>
      </w:r>
      <w:r w:rsidR="00B45A8B" w:rsidRPr="00E3756C">
        <w:t>.</w:t>
      </w:r>
      <w:r w:rsidRPr="00E3756C">
        <w:t xml:space="preserve"> Oppenheimer M, Campos M, Warren R, Birkmann J, </w:t>
      </w:r>
      <w:r w:rsidR="002457AA" w:rsidRPr="00E3756C">
        <w:t>Luber G, O’Neill B, Takahashi K</w:t>
      </w:r>
      <w:r w:rsidRPr="00E3756C">
        <w:t>. 2014b. Emergent risks and key vulnerabilities. In</w:t>
      </w:r>
      <w:r w:rsidR="00B80F93" w:rsidRPr="00E3756C">
        <w:t xml:space="preserve"> </w:t>
      </w:r>
      <w:r w:rsidRPr="00E3756C">
        <w:rPr>
          <w:i/>
          <w:iCs/>
        </w:rPr>
        <w:t>Climate Change 2014: Impacts, Adaptation, and Vulnerability. Part A: Global and Sectoral Aspects. Contribution of Working Group II to the Fifth Assessment Report of the Intergovernmental Panel on Climate Change.</w:t>
      </w:r>
      <w:r w:rsidRPr="00E3756C">
        <w:t xml:space="preserve"> </w:t>
      </w:r>
      <w:r w:rsidR="00B80F93" w:rsidRPr="00E3756C">
        <w:t>CB Field, VR Barros, DJ Dokken, KJ Mach, MD Mastrandrea, TE Bilir, M Chatterjee, KL Ebi, YO Estrada, RC Genova, B Girma, ES Kissel, AN Levy, S</w:t>
      </w:r>
      <w:r w:rsidR="000462CF">
        <w:t> </w:t>
      </w:r>
      <w:r w:rsidR="00B80F93" w:rsidRPr="00E3756C">
        <w:t xml:space="preserve">MacCracken, PR Mastrandrea, LL White (eds). </w:t>
      </w:r>
      <w:r w:rsidRPr="00E3756C">
        <w:t xml:space="preserve">Cambridge, UK: Cambridge University Press. Chapter 19, pp 1039–1099. Retrieved from </w:t>
      </w:r>
      <w:hyperlink r:id="rId72" w:history="1">
        <w:r w:rsidRPr="00E3756C">
          <w:rPr>
            <w:rStyle w:val="Hyperlink"/>
            <w:rFonts w:cs="Calibri"/>
          </w:rPr>
          <w:t>www.ipcc.ch/report/ar5/wg2/</w:t>
        </w:r>
      </w:hyperlink>
      <w:r w:rsidRPr="00E3756C">
        <w:t xml:space="preserve"> (19</w:t>
      </w:r>
      <w:r w:rsidR="003E5647" w:rsidRPr="00E3756C">
        <w:t> </w:t>
      </w:r>
      <w:r w:rsidRPr="00E3756C">
        <w:t>July 2019).</w:t>
      </w:r>
    </w:p>
    <w:p w14:paraId="6984D197" w14:textId="77777777" w:rsidR="00F653D3" w:rsidRPr="00E3756C" w:rsidRDefault="00F653D3" w:rsidP="00E600CB">
      <w:pPr>
        <w:pStyle w:val="Reference"/>
      </w:pPr>
      <w:r w:rsidRPr="00E3756C">
        <w:t>ISO. 2014. ISO/IEC 27000:2014: Information Technology – Security Techniques – Information Security Management Systems – Overview and Vocabulary. Geneva: International Organization for Standardisation.</w:t>
      </w:r>
    </w:p>
    <w:p w14:paraId="27698BF6" w14:textId="77777777" w:rsidR="00F653D3" w:rsidRPr="00E3756C" w:rsidRDefault="00F653D3" w:rsidP="00E600CB">
      <w:pPr>
        <w:pStyle w:val="Reference"/>
      </w:pPr>
      <w:r w:rsidRPr="00E3756C">
        <w:t xml:space="preserve">Kidson JW, Renwick JA. 2002. Patterns of convection in the tropical Pacific and their influence on New Zealand weather. </w:t>
      </w:r>
      <w:r w:rsidRPr="00E3756C">
        <w:rPr>
          <w:i/>
          <w:iCs/>
        </w:rPr>
        <w:t>International Journal of Climatology</w:t>
      </w:r>
      <w:r w:rsidRPr="00E3756C">
        <w:t xml:space="preserve"> 22: 151–174.</w:t>
      </w:r>
    </w:p>
    <w:p w14:paraId="172B2ABF" w14:textId="77777777" w:rsidR="00F653D3" w:rsidRPr="00E3756C" w:rsidRDefault="00F653D3" w:rsidP="00E600CB">
      <w:pPr>
        <w:pStyle w:val="Reference"/>
      </w:pPr>
      <w:r w:rsidRPr="00E3756C">
        <w:t xml:space="preserve">Kilvington M, Saunders WSA. 2015. </w:t>
      </w:r>
      <w:r w:rsidRPr="00E3756C">
        <w:rPr>
          <w:i/>
          <w:iCs/>
        </w:rPr>
        <w:t>“I can live with this”. The Bay of Plenty Regional Council Public Engagement on Acceptable Risk.</w:t>
      </w:r>
      <w:r w:rsidRPr="00E3756C">
        <w:t xml:space="preserve"> GNS Science Miscellaneous Series 86. Wellington: GNS Science.</w:t>
      </w:r>
    </w:p>
    <w:p w14:paraId="6E1394B6" w14:textId="77777777" w:rsidR="00F653D3" w:rsidRPr="00E3756C" w:rsidRDefault="00F653D3" w:rsidP="00E600CB">
      <w:pPr>
        <w:pStyle w:val="Reference"/>
        <w:rPr>
          <w:rFonts w:cs="Calibri"/>
        </w:rPr>
      </w:pPr>
      <w:r w:rsidRPr="00E3756C">
        <w:rPr>
          <w:rFonts w:cs="Calibri"/>
        </w:rPr>
        <w:t xml:space="preserve">Land Information New Zealand. 2019. </w:t>
      </w:r>
      <w:r w:rsidRPr="00E3756C">
        <w:rPr>
          <w:rFonts w:cs="Calibri"/>
          <w:i/>
          <w:iCs/>
        </w:rPr>
        <w:t xml:space="preserve">LINZ Data Service: NZ Building Outlines. </w:t>
      </w:r>
      <w:r w:rsidRPr="00E3756C">
        <w:rPr>
          <w:rFonts w:cs="Calibri"/>
        </w:rPr>
        <w:t xml:space="preserve">Retrieved from </w:t>
      </w:r>
      <w:hyperlink r:id="rId73">
        <w:r w:rsidRPr="00E3756C">
          <w:rPr>
            <w:rStyle w:val="Hyperlink"/>
          </w:rPr>
          <w:t>https://data.linz.govt.nz/layer/101290-nz-building-outlines/</w:t>
        </w:r>
      </w:hyperlink>
      <w:r w:rsidRPr="00E3756C">
        <w:rPr>
          <w:rFonts w:cs="Calibri"/>
        </w:rPr>
        <w:t xml:space="preserve"> (19 July 2019).</w:t>
      </w:r>
    </w:p>
    <w:p w14:paraId="003CF438" w14:textId="77777777" w:rsidR="00F653D3" w:rsidRPr="00E3756C" w:rsidRDefault="00F653D3" w:rsidP="00E600CB">
      <w:pPr>
        <w:pStyle w:val="Reference"/>
      </w:pPr>
      <w:r w:rsidRPr="00E3756C">
        <w:lastRenderedPageBreak/>
        <w:t xml:space="preserve">LGNZ. 2019. </w:t>
      </w:r>
      <w:r w:rsidRPr="00E3756C">
        <w:rPr>
          <w:i/>
          <w:iCs/>
        </w:rPr>
        <w:t>Vulnerable: The Quantum of Local Government Infrastructure Exposed to Sea Level Rise.</w:t>
      </w:r>
      <w:r w:rsidRPr="00E3756C">
        <w:t xml:space="preserve"> Wellington: LGNZ. Retrieved from </w:t>
      </w:r>
      <w:hyperlink r:id="rId74" w:history="1">
        <w:r w:rsidRPr="00E3756C">
          <w:rPr>
            <w:rStyle w:val="Hyperlink"/>
            <w:rFonts w:cs="Calibri"/>
          </w:rPr>
          <w:t>www.lgnz.co.nz/our-work/publications/vulnerable-the-quantum-of-local-government-infrastructure-exposed-to-sea-level-rise</w:t>
        </w:r>
      </w:hyperlink>
      <w:r w:rsidRPr="00E3756C">
        <w:t xml:space="preserve"> (19 July 2019). </w:t>
      </w:r>
    </w:p>
    <w:p w14:paraId="3D71C39D" w14:textId="77777777" w:rsidR="00F653D3" w:rsidRDefault="00F653D3" w:rsidP="00E600CB">
      <w:pPr>
        <w:pStyle w:val="Reference"/>
        <w:rPr>
          <w:rFonts w:cs="Calibri"/>
        </w:rPr>
      </w:pPr>
      <w:r w:rsidRPr="00E3756C">
        <w:rPr>
          <w:rFonts w:cs="Calibri"/>
        </w:rPr>
        <w:t xml:space="preserve">LRIS Portal. 2019. </w:t>
      </w:r>
      <w:r w:rsidRPr="00E3756C">
        <w:rPr>
          <w:rFonts w:cs="Calibri"/>
          <w:i/>
          <w:iCs/>
        </w:rPr>
        <w:t>LCDB v4.1: Land Cover Database, version 4.1, Mainland New Zealand.</w:t>
      </w:r>
      <w:r w:rsidRPr="00E3756C">
        <w:rPr>
          <w:rFonts w:cs="Calibri"/>
        </w:rPr>
        <w:t xml:space="preserve"> Retrieved from </w:t>
      </w:r>
      <w:hyperlink r:id="rId75">
        <w:r w:rsidRPr="00E3756C">
          <w:rPr>
            <w:rStyle w:val="Hyperlink"/>
          </w:rPr>
          <w:t>https://lris.scinfo.org.nz/layer/48423-lcdb-v41-land-cover-database-version-41-mainland-new-zealand/</w:t>
        </w:r>
      </w:hyperlink>
      <w:r w:rsidRPr="00E3756C">
        <w:rPr>
          <w:rFonts w:cs="Calibri"/>
        </w:rPr>
        <w:t xml:space="preserve"> (23 June 2019).</w:t>
      </w:r>
    </w:p>
    <w:p w14:paraId="506A2B83" w14:textId="77777777" w:rsidR="007E100A" w:rsidRPr="00E3756C" w:rsidRDefault="007E100A" w:rsidP="007E100A">
      <w:pPr>
        <w:pStyle w:val="Reference"/>
      </w:pPr>
      <w:r w:rsidRPr="00732E2D">
        <w:t xml:space="preserve">Mead HM. 2016. </w:t>
      </w:r>
      <w:r w:rsidRPr="00732E2D">
        <w:rPr>
          <w:i/>
          <w:iCs/>
        </w:rPr>
        <w:t>Tikanga Māori: Living by Māori Values.</w:t>
      </w:r>
      <w:r w:rsidRPr="00732E2D">
        <w:t xml:space="preserve"> Revised edition. Wellington: Huia Publishers.</w:t>
      </w:r>
    </w:p>
    <w:p w14:paraId="141421C6" w14:textId="77777777" w:rsidR="00F653D3" w:rsidRPr="00E3756C" w:rsidRDefault="00F653D3" w:rsidP="00E600CB">
      <w:pPr>
        <w:pStyle w:val="Reference"/>
        <w:rPr>
          <w:rFonts w:cs="Calibri"/>
          <w:highlight w:val="yellow"/>
        </w:rPr>
      </w:pPr>
      <w:r w:rsidRPr="00E3756C">
        <w:rPr>
          <w:rFonts w:cs="Calibri"/>
        </w:rPr>
        <w:t xml:space="preserve">Ministry for Primary Industries. 2019. </w:t>
      </w:r>
      <w:r w:rsidRPr="00E3756C">
        <w:rPr>
          <w:rFonts w:cs="Calibri"/>
          <w:i/>
          <w:iCs/>
        </w:rPr>
        <w:t xml:space="preserve">Sustainable Land Management </w:t>
      </w:r>
      <w:r w:rsidR="00A02458" w:rsidRPr="00E3756C">
        <w:rPr>
          <w:rFonts w:cs="Calibri"/>
          <w:i/>
          <w:iCs/>
        </w:rPr>
        <w:t>and</w:t>
      </w:r>
      <w:r w:rsidRPr="00E3756C">
        <w:rPr>
          <w:rFonts w:cs="Calibri"/>
          <w:i/>
          <w:iCs/>
        </w:rPr>
        <w:t xml:space="preserve"> Climate Change Research Programme</w:t>
      </w:r>
      <w:r w:rsidRPr="00E3756C">
        <w:rPr>
          <w:rFonts w:cs="Calibri"/>
          <w:iCs/>
        </w:rPr>
        <w:t xml:space="preserve">. </w:t>
      </w:r>
      <w:r w:rsidR="003522B0" w:rsidRPr="00E3756C">
        <w:rPr>
          <w:rFonts w:cs="Calibri"/>
        </w:rPr>
        <w:t xml:space="preserve">Retrieved from </w:t>
      </w:r>
      <w:hyperlink r:id="rId76">
        <w:r w:rsidRPr="00E3756C">
          <w:rPr>
            <w:rStyle w:val="Hyperlink"/>
          </w:rPr>
          <w:t>www.mpi.govt.nz/funding-and-programmes/farming/sustainable-land-management-and-climate-change-research-programme/</w:t>
        </w:r>
      </w:hyperlink>
      <w:r w:rsidRPr="00E3756C">
        <w:rPr>
          <w:rFonts w:cs="Calibri"/>
        </w:rPr>
        <w:t xml:space="preserve"> </w:t>
      </w:r>
      <w:r w:rsidR="003522B0" w:rsidRPr="00E3756C">
        <w:rPr>
          <w:rFonts w:cs="Calibri"/>
        </w:rPr>
        <w:t>(19 July 2019).</w:t>
      </w:r>
    </w:p>
    <w:p w14:paraId="636072F5" w14:textId="77777777" w:rsidR="00F653D3" w:rsidRPr="00E3756C" w:rsidRDefault="00F653D3" w:rsidP="00E600CB">
      <w:pPr>
        <w:pStyle w:val="Reference"/>
      </w:pPr>
      <w:r w:rsidRPr="00E3756C">
        <w:t>Ministry for the Environment. 2018. Climate Change Projections for New Zealand: Atmospheric Projections Based on Simulations Undertaken for the IPCC 5th Assessment. 2nd edition. Wellington: Ministry for the Environment. Retrieved from</w:t>
      </w:r>
      <w:hyperlink r:id="rId77" w:history="1">
        <w:r w:rsidRPr="00E3756C">
          <w:rPr>
            <w:rStyle w:val="Hyperlink"/>
            <w:rFonts w:cs="Calibri"/>
          </w:rPr>
          <w:t xml:space="preserve"> </w:t>
        </w:r>
      </w:hyperlink>
      <w:hyperlink r:id="rId78" w:history="1">
        <w:r w:rsidRPr="00E3756C">
          <w:rPr>
            <w:rStyle w:val="Hyperlink"/>
            <w:rFonts w:cs="Calibri"/>
          </w:rPr>
          <w:t>www.mfe.govt.nz/sites/default/files/media/Climate%20Change/Climate-change-projections-2nd-edition-final.pdf</w:t>
        </w:r>
      </w:hyperlink>
      <w:r w:rsidRPr="00E3756C">
        <w:t xml:space="preserve"> (19 July 2019).</w:t>
      </w:r>
    </w:p>
    <w:p w14:paraId="06270C88" w14:textId="77777777" w:rsidR="00A02458" w:rsidRPr="00E3756C" w:rsidRDefault="00A02458" w:rsidP="00E600CB">
      <w:pPr>
        <w:pStyle w:val="Reference"/>
      </w:pPr>
      <w:r w:rsidRPr="00E3756C">
        <w:t xml:space="preserve">Ministry for the Environment. 2017. </w:t>
      </w:r>
      <w:r w:rsidRPr="00E3756C">
        <w:rPr>
          <w:i/>
          <w:iCs/>
        </w:rPr>
        <w:t>Coastal Hazards and Climate Change: Guidance for Local Government.</w:t>
      </w:r>
      <w:r w:rsidRPr="00E3756C">
        <w:t xml:space="preserve"> Wellington: Ministry for the Environment. Retrieved from </w:t>
      </w:r>
      <w:hyperlink r:id="rId79" w:history="1">
        <w:r w:rsidRPr="00E3756C">
          <w:rPr>
            <w:rStyle w:val="Hyperlink"/>
            <w:rFonts w:cs="Calibri"/>
          </w:rPr>
          <w:t>www.mfe.govt.nz/publications/climate-change/coastal-hazards-and-climate-change-guidance-local-government</w:t>
        </w:r>
      </w:hyperlink>
      <w:r w:rsidRPr="00E3756C">
        <w:t xml:space="preserve"> (19 July 2019).</w:t>
      </w:r>
    </w:p>
    <w:p w14:paraId="2318639F" w14:textId="77777777" w:rsidR="00F653D3" w:rsidRPr="00E3756C" w:rsidRDefault="00F653D3" w:rsidP="00E600CB">
      <w:pPr>
        <w:pStyle w:val="Reference"/>
        <w:rPr>
          <w:rFonts w:cs="Calibri"/>
        </w:rPr>
      </w:pPr>
      <w:r w:rsidRPr="00E3756C">
        <w:rPr>
          <w:rFonts w:cs="Calibri"/>
        </w:rPr>
        <w:t xml:space="preserve">Ministry for the Environment. No date. </w:t>
      </w:r>
      <w:r w:rsidRPr="00E3756C">
        <w:rPr>
          <w:rFonts w:cs="Calibri"/>
          <w:i/>
          <w:iCs/>
        </w:rPr>
        <w:t>Guidance for Local Government on Preparing for Climate Change.</w:t>
      </w:r>
      <w:r w:rsidRPr="00E3756C">
        <w:rPr>
          <w:rFonts w:cs="Calibri"/>
        </w:rPr>
        <w:t xml:space="preserve"> </w:t>
      </w:r>
      <w:r w:rsidR="003E5647" w:rsidRPr="00E3756C">
        <w:rPr>
          <w:rFonts w:cs="Calibri"/>
        </w:rPr>
        <w:t xml:space="preserve">Retrieved from </w:t>
      </w:r>
      <w:hyperlink r:id="rId80">
        <w:r w:rsidRPr="00E3756C">
          <w:rPr>
            <w:rStyle w:val="Hyperlink"/>
          </w:rPr>
          <w:t>www.mfe.govt.nz/climate-change/climate-change-guidance/guidance-local-government-preparing-climate-change</w:t>
        </w:r>
      </w:hyperlink>
      <w:r w:rsidRPr="00E3756C">
        <w:rPr>
          <w:rFonts w:cs="Calibri"/>
        </w:rPr>
        <w:t xml:space="preserve"> </w:t>
      </w:r>
      <w:r w:rsidR="003E5647" w:rsidRPr="00E3756C">
        <w:rPr>
          <w:rFonts w:cs="Calibri"/>
        </w:rPr>
        <w:t>(19 July 2019).</w:t>
      </w:r>
    </w:p>
    <w:p w14:paraId="79B296A9" w14:textId="77777777" w:rsidR="00F653D3" w:rsidRPr="00E3756C" w:rsidRDefault="00F653D3" w:rsidP="00E600CB">
      <w:pPr>
        <w:pStyle w:val="Reference"/>
      </w:pPr>
      <w:r w:rsidRPr="00E3756C">
        <w:t xml:space="preserve">Ministry for the Environment, Statistics New Zealand. No date. </w:t>
      </w:r>
      <w:r w:rsidR="003522B0" w:rsidRPr="00E3756C">
        <w:rPr>
          <w:i/>
        </w:rPr>
        <w:t>New Zealand’s Environmental Reporting Series</w:t>
      </w:r>
      <w:r w:rsidR="003522B0" w:rsidRPr="00E3756C">
        <w:t xml:space="preserve"> </w:t>
      </w:r>
      <w:r w:rsidRPr="00E3756C">
        <w:rPr>
          <w:i/>
          <w:iCs/>
        </w:rPr>
        <w:t>Environmental Indicators: Marine.</w:t>
      </w:r>
      <w:r w:rsidRPr="00E3756C">
        <w:t xml:space="preserve"> </w:t>
      </w:r>
      <w:r w:rsidR="003522B0" w:rsidRPr="00E3756C">
        <w:t>Retrieved from</w:t>
      </w:r>
      <w:r w:rsidRPr="00E3756C">
        <w:t xml:space="preserve"> </w:t>
      </w:r>
      <w:hyperlink r:id="rId81" w:history="1">
        <w:r w:rsidRPr="00E3756C">
          <w:rPr>
            <w:rStyle w:val="Hyperlink"/>
            <w:rFonts w:cs="Calibri"/>
          </w:rPr>
          <w:t>http://archive.stats.govt.nz/browse_for_stats/environment/environmental-reporting-series/environmental-indicators/Home/Marine.aspx</w:t>
        </w:r>
      </w:hyperlink>
      <w:r w:rsidRPr="00E3756C">
        <w:t xml:space="preserve"> (19 July 2019). </w:t>
      </w:r>
    </w:p>
    <w:p w14:paraId="534AD1AC" w14:textId="77777777" w:rsidR="003522B0" w:rsidRPr="00E3756C" w:rsidRDefault="003522B0" w:rsidP="00E600CB">
      <w:pPr>
        <w:pStyle w:val="Reference"/>
      </w:pPr>
      <w:r w:rsidRPr="00E3756C">
        <w:t xml:space="preserve">Ministry of Civil Defence and Emergency Management. 2019. </w:t>
      </w:r>
      <w:r w:rsidRPr="00E3756C">
        <w:rPr>
          <w:i/>
          <w:iCs/>
        </w:rPr>
        <w:t>National Disaster Resilience Strategy: Rautaki ā-Motu Manawaroa Aituā.</w:t>
      </w:r>
      <w:r w:rsidRPr="00E3756C">
        <w:t xml:space="preserve"> Wellington: Ministry of Civil Defence and Emergency Management. Retrieved from </w:t>
      </w:r>
      <w:hyperlink r:id="rId82" w:history="1">
        <w:r w:rsidRPr="00E3756C">
          <w:rPr>
            <w:rStyle w:val="Hyperlink"/>
            <w:rFonts w:cs="Calibri"/>
          </w:rPr>
          <w:t>www.civildefence.govt.nz/assets/Uploads/publications/National-Disaster-Resilience-Strategy/National-Disaster-Resilience-Strategy-10-April-2019.pdf</w:t>
        </w:r>
      </w:hyperlink>
      <w:r w:rsidRPr="00E3756C">
        <w:t xml:space="preserve"> (19</w:t>
      </w:r>
      <w:r w:rsidR="003E5647" w:rsidRPr="00E3756C">
        <w:t> </w:t>
      </w:r>
      <w:r w:rsidRPr="00E3756C">
        <w:t>July</w:t>
      </w:r>
      <w:r w:rsidR="003E5647" w:rsidRPr="00E3756C">
        <w:t> </w:t>
      </w:r>
      <w:r w:rsidRPr="00E3756C">
        <w:t>2019).</w:t>
      </w:r>
    </w:p>
    <w:p w14:paraId="785A8C1F" w14:textId="77777777" w:rsidR="00F653D3" w:rsidRPr="00E3756C" w:rsidRDefault="00F653D3" w:rsidP="00E600CB">
      <w:pPr>
        <w:pStyle w:val="Reference"/>
        <w:rPr>
          <w:rFonts w:cs="Calibri"/>
          <w:highlight w:val="yellow"/>
        </w:rPr>
      </w:pPr>
      <w:r w:rsidRPr="00E3756C">
        <w:t xml:space="preserve">New Zealand Government. 2019. </w:t>
      </w:r>
      <w:r w:rsidRPr="00E3756C">
        <w:rPr>
          <w:i/>
        </w:rPr>
        <w:t>Climate Change Response (Zero Carbon) Amendment Bill</w:t>
      </w:r>
      <w:r w:rsidR="00A02458" w:rsidRPr="00E3756C">
        <w:t xml:space="preserve"> </w:t>
      </w:r>
      <w:r w:rsidRPr="00E3756C">
        <w:t xml:space="preserve">136-1. </w:t>
      </w:r>
      <w:r w:rsidR="003E5647" w:rsidRPr="00E3756C">
        <w:rPr>
          <w:rFonts w:cs="Calibri"/>
        </w:rPr>
        <w:t xml:space="preserve">Retrieved from </w:t>
      </w:r>
      <w:hyperlink r:id="rId83" w:history="1">
        <w:r w:rsidRPr="00E3756C">
          <w:rPr>
            <w:rStyle w:val="Hyperlink"/>
          </w:rPr>
          <w:t>www.legislation.govt.nz/bill/government/2019/0136/latest/d6806171e2.html?search=sw_096be8ed81873608_adaptation_25_se&amp;p=1&amp;sr=0</w:t>
        </w:r>
      </w:hyperlink>
      <w:sdt>
        <w:sdtPr>
          <w:rPr>
            <w:rStyle w:val="Hyperlink"/>
          </w:rPr>
          <w:tag w:val="goog_rdk_1786"/>
          <w:id w:val="489764967"/>
        </w:sdtPr>
        <w:sdtEndPr>
          <w:rPr>
            <w:rStyle w:val="Hyperlink"/>
          </w:rPr>
        </w:sdtEndPr>
        <w:sdtContent/>
      </w:sdt>
      <w:r w:rsidR="00A02458" w:rsidRPr="00E3756C">
        <w:rPr>
          <w:rStyle w:val="Hyperlink"/>
        </w:rPr>
        <w:t xml:space="preserve"> </w:t>
      </w:r>
      <w:r w:rsidR="003E5647" w:rsidRPr="00E3756C">
        <w:rPr>
          <w:rFonts w:cs="Calibri"/>
        </w:rPr>
        <w:t>(19 July 2019).</w:t>
      </w:r>
    </w:p>
    <w:p w14:paraId="44BE7CE5" w14:textId="77777777" w:rsidR="006C3B61" w:rsidRPr="00E3756C" w:rsidRDefault="006C3B61" w:rsidP="00E600CB">
      <w:pPr>
        <w:pStyle w:val="Reference"/>
      </w:pPr>
      <w:r w:rsidRPr="00E3756C">
        <w:t xml:space="preserve">NIWA. 2019a. </w:t>
      </w:r>
      <w:r w:rsidRPr="00E3756C">
        <w:rPr>
          <w:i/>
          <w:iCs/>
        </w:rPr>
        <w:t>CLUES: Catchment Land Use for Environmental Sustainability Model.</w:t>
      </w:r>
      <w:r w:rsidRPr="00E3756C">
        <w:t xml:space="preserve"> </w:t>
      </w:r>
      <w:r w:rsidRPr="00E3756C">
        <w:rPr>
          <w:rFonts w:eastAsia="Times New Roman"/>
        </w:rPr>
        <w:t>Retrieved from</w:t>
      </w:r>
      <w:r w:rsidRPr="00E3756C">
        <w:t xml:space="preserve"> </w:t>
      </w:r>
      <w:hyperlink r:id="rId84" w:history="1">
        <w:r w:rsidRPr="00E3756C">
          <w:rPr>
            <w:rStyle w:val="Hyperlink"/>
            <w:rFonts w:cs="Calibri"/>
          </w:rPr>
          <w:t xml:space="preserve">www.niwa.co.nz/freshwater-and-estuaries/our-services/catchment-modelling/clues-catchment-land-use-for-environmental-sustainability-model </w:t>
        </w:r>
      </w:hyperlink>
      <w:r w:rsidRPr="00E3756C">
        <w:t>(19 July 2019).</w:t>
      </w:r>
    </w:p>
    <w:p w14:paraId="5ACA2BF1" w14:textId="77777777" w:rsidR="00F653D3" w:rsidRPr="00E3756C" w:rsidRDefault="006C3B61" w:rsidP="00E600CB">
      <w:pPr>
        <w:pStyle w:val="Reference"/>
        <w:rPr>
          <w:rFonts w:cs="Calibri"/>
        </w:rPr>
      </w:pPr>
      <w:r w:rsidRPr="00E3756C">
        <w:rPr>
          <w:rFonts w:cs="Calibri"/>
        </w:rPr>
        <w:t>NIWA. 2019b</w:t>
      </w:r>
      <w:r w:rsidR="00F653D3" w:rsidRPr="00E3756C">
        <w:rPr>
          <w:rFonts w:cs="Calibri"/>
        </w:rPr>
        <w:t xml:space="preserve">. </w:t>
      </w:r>
      <w:r w:rsidR="00F653D3" w:rsidRPr="00E3756C">
        <w:rPr>
          <w:rFonts w:eastAsia="Times New Roman" w:cs="Calibri"/>
          <w:i/>
          <w:iCs/>
        </w:rPr>
        <w:t>Seasonal Climate Outlook June–August 2019</w:t>
      </w:r>
      <w:r w:rsidR="00F653D3" w:rsidRPr="00E3756C">
        <w:rPr>
          <w:rFonts w:eastAsia="Times New Roman" w:cs="Calibri"/>
        </w:rPr>
        <w:t xml:space="preserve">. Retrieved from </w:t>
      </w:r>
      <w:hyperlink r:id="rId85">
        <w:r w:rsidR="00F653D3" w:rsidRPr="00E3756C">
          <w:rPr>
            <w:rStyle w:val="Hyperlink"/>
          </w:rPr>
          <w:t>www.niwa.co.nz/climate/seasonal-climate-outlook/seasonal-climate-outlook-june-august-2019</w:t>
        </w:r>
      </w:hyperlink>
      <w:r w:rsidR="00F653D3" w:rsidRPr="00E3756C">
        <w:rPr>
          <w:rFonts w:cs="Calibri"/>
        </w:rPr>
        <w:t xml:space="preserve"> (19</w:t>
      </w:r>
      <w:r w:rsidR="003E5647" w:rsidRPr="00E3756C">
        <w:rPr>
          <w:rFonts w:cs="Calibri"/>
        </w:rPr>
        <w:t> </w:t>
      </w:r>
      <w:r w:rsidR="00F653D3" w:rsidRPr="00E3756C">
        <w:rPr>
          <w:rFonts w:cs="Calibri"/>
        </w:rPr>
        <w:t>July</w:t>
      </w:r>
      <w:r w:rsidR="00823AA2">
        <w:rPr>
          <w:rFonts w:cs="Calibri"/>
        </w:rPr>
        <w:t> </w:t>
      </w:r>
      <w:r w:rsidR="00F653D3" w:rsidRPr="00E3756C">
        <w:rPr>
          <w:rFonts w:cs="Calibri"/>
        </w:rPr>
        <w:t>2019).</w:t>
      </w:r>
    </w:p>
    <w:p w14:paraId="190492B9" w14:textId="77777777" w:rsidR="000C7B6F" w:rsidRDefault="009D55F9" w:rsidP="00E600CB">
      <w:pPr>
        <w:pStyle w:val="Reference"/>
        <w:rPr>
          <w:rStyle w:val="Hyperlink"/>
          <w:color w:val="auto"/>
        </w:rPr>
      </w:pPr>
      <w:r w:rsidRPr="00A61608">
        <w:t>NIWA</w:t>
      </w:r>
      <w:r>
        <w:t>.</w:t>
      </w:r>
      <w:r w:rsidRPr="00A61608">
        <w:t xml:space="preserve"> </w:t>
      </w:r>
      <w:r>
        <w:t xml:space="preserve">2016. </w:t>
      </w:r>
      <w:r w:rsidRPr="00A61608">
        <w:rPr>
          <w:i/>
          <w:iCs/>
        </w:rPr>
        <w:t>Risk of</w:t>
      </w:r>
      <w:r>
        <w:t xml:space="preserve"> </w:t>
      </w:r>
      <w:r w:rsidRPr="00A61608">
        <w:rPr>
          <w:i/>
          <w:iCs/>
        </w:rPr>
        <w:t>Droughts and Extreme Winds under Climate Change</w:t>
      </w:r>
      <w:r>
        <w:t>. Retrieved from</w:t>
      </w:r>
      <w:r w:rsidRPr="00A61608">
        <w:t xml:space="preserve"> </w:t>
      </w:r>
      <w:hyperlink r:id="rId86" w:history="1">
        <w:r w:rsidRPr="00A61608">
          <w:rPr>
            <w:rStyle w:val="Hyperlink"/>
          </w:rPr>
          <w:t>www.niwa.co.nz/climate/research-projects/risk-of-drought-and-extreme-winds-under-climate-change</w:t>
        </w:r>
      </w:hyperlink>
      <w:r w:rsidRPr="00582300">
        <w:rPr>
          <w:rStyle w:val="Hyperlink"/>
          <w:color w:val="auto"/>
        </w:rPr>
        <w:t xml:space="preserve"> (30 July 2019)</w:t>
      </w:r>
      <w:r>
        <w:rPr>
          <w:rStyle w:val="Hyperlink"/>
          <w:color w:val="auto"/>
        </w:rPr>
        <w:t>.</w:t>
      </w:r>
    </w:p>
    <w:p w14:paraId="5F7D7256" w14:textId="77777777" w:rsidR="00F653D3" w:rsidRPr="00E3756C" w:rsidRDefault="00F653D3" w:rsidP="00E600CB">
      <w:pPr>
        <w:pStyle w:val="Reference"/>
      </w:pPr>
      <w:r w:rsidRPr="00E3756C">
        <w:t xml:space="preserve">O’Connell E, Greenaway T, Moeke T, McKeeking S. 2018. He Ara Waiora: A Pathway Towards Wellbeing – Exploring Te Ao Māori Perspectives on the Living Standards Framework for the Tax Working Group. New Zealand Treasury Discussion Paper 18/11. Wellington: Treasury. Retrieved from </w:t>
      </w:r>
      <w:hyperlink r:id="rId87">
        <w:r w:rsidRPr="00E3756C">
          <w:rPr>
            <w:rStyle w:val="Hyperlink"/>
          </w:rPr>
          <w:t>https://treasury.govt.nz/sites/default/files/2018-09/dp18-11.pdf</w:t>
        </w:r>
      </w:hyperlink>
      <w:r w:rsidRPr="00E3756C">
        <w:t xml:space="preserve"> (19 July 2019).</w:t>
      </w:r>
    </w:p>
    <w:p w14:paraId="6A9830BF" w14:textId="77777777" w:rsidR="00F653D3" w:rsidRPr="00E3756C" w:rsidRDefault="00F653D3" w:rsidP="00E600CB">
      <w:pPr>
        <w:pStyle w:val="Reference"/>
      </w:pPr>
      <w:r w:rsidRPr="00E3756C">
        <w:lastRenderedPageBreak/>
        <w:t xml:space="preserve">Office for Māori Crown Relations / Te Arawhti. 2018. </w:t>
      </w:r>
      <w:r w:rsidRPr="00E3756C">
        <w:rPr>
          <w:i/>
          <w:iCs/>
        </w:rPr>
        <w:t>Guidelines for Engagement with Māori.</w:t>
      </w:r>
      <w:r w:rsidRPr="00E3756C">
        <w:t xml:space="preserve"> Wellington: Office for Māori Crown Relations / Te Arawhti. Retrieved from </w:t>
      </w:r>
      <w:hyperlink r:id="rId88" w:history="1">
        <w:r w:rsidRPr="00E3756C">
          <w:rPr>
            <w:rStyle w:val="Hyperlink"/>
            <w:rFonts w:cs="Calibri"/>
          </w:rPr>
          <w:t>https://tearawhiti.govt.nz/assets/Maori-Crown-Relations-Roopu/6b46d994f8/Engagement-Guidelines-1-Oct-18.pdf</w:t>
        </w:r>
      </w:hyperlink>
      <w:r w:rsidRPr="00E3756C">
        <w:t xml:space="preserve"> (19 July 2019).</w:t>
      </w:r>
    </w:p>
    <w:p w14:paraId="6B92F19E" w14:textId="77777777" w:rsidR="00F653D3" w:rsidRPr="00E3756C" w:rsidRDefault="00F653D3" w:rsidP="00E600CB">
      <w:pPr>
        <w:pStyle w:val="Reference"/>
      </w:pPr>
      <w:r w:rsidRPr="00E3756C">
        <w:t xml:space="preserve">Parliamentary Commissioner for the Environment. 2015. </w:t>
      </w:r>
      <w:r w:rsidRPr="00E3756C">
        <w:rPr>
          <w:i/>
          <w:iCs/>
        </w:rPr>
        <w:t>Preparing New Zealand for Rising Seas: Certainty and Uncertainty.</w:t>
      </w:r>
      <w:r w:rsidRPr="00E3756C">
        <w:t xml:space="preserve"> Wellington: Parliamentary Commissioner for the Environment. Retrieved from </w:t>
      </w:r>
      <w:hyperlink r:id="rId89" w:history="1">
        <w:r w:rsidRPr="00E3756C">
          <w:rPr>
            <w:rStyle w:val="Hyperlink"/>
            <w:rFonts w:cs="Calibri"/>
          </w:rPr>
          <w:t>www.pce.parliament.nz/publications/preparing-new-zealand-for-rising-seas-certainty-and-uncertainty</w:t>
        </w:r>
      </w:hyperlink>
      <w:r w:rsidRPr="00E3756C">
        <w:t xml:space="preserve"> (19 July 2019).</w:t>
      </w:r>
    </w:p>
    <w:p w14:paraId="7F4C1941" w14:textId="77777777" w:rsidR="00F653D3" w:rsidRPr="00E3756C" w:rsidRDefault="00F653D3" w:rsidP="00E600CB">
      <w:pPr>
        <w:pStyle w:val="Reference"/>
      </w:pPr>
      <w:r w:rsidRPr="00E3756C">
        <w:t xml:space="preserve">Paulik R, Stephens SA, Wadhwa S, Bell RG, Popovich B, Robinson B. 2019. </w:t>
      </w:r>
      <w:r w:rsidRPr="00E3756C">
        <w:rPr>
          <w:i/>
          <w:iCs/>
        </w:rPr>
        <w:t xml:space="preserve">Coastal Flooding Exposure under Future Sea-Level Rise for New Zealand. </w:t>
      </w:r>
      <w:r w:rsidRPr="00E3756C">
        <w:t xml:space="preserve">NIWA Client Report 2019119WN prepared for the Deep South Science Challenge. </w:t>
      </w:r>
    </w:p>
    <w:p w14:paraId="2571D152" w14:textId="77777777" w:rsidR="00F653D3" w:rsidRPr="00E3756C" w:rsidRDefault="00F653D3" w:rsidP="00E600CB">
      <w:pPr>
        <w:pStyle w:val="Reference"/>
      </w:pPr>
      <w:r w:rsidRPr="00E3756C">
        <w:t>Reisinger, A, Kitching RL, Chiew F, Hughes L, Newton PCD, Schuster SS, Tait A, Whe</w:t>
      </w:r>
      <w:r w:rsidR="0021562E" w:rsidRPr="00E3756C">
        <w:t xml:space="preserve">tton P. 2014. Australasia. In: </w:t>
      </w:r>
      <w:r w:rsidRPr="00E3756C">
        <w:t xml:space="preserve">Climate Change 2014: Impacts, Adaptation, and Vulnerability. Part B: Regional Aspects. Contribution of Working Group II to the Fifth Assessment Report of the Intergovernmental Panel on Climate Change. </w:t>
      </w:r>
      <w:r w:rsidR="0021562E" w:rsidRPr="00E3756C">
        <w:t xml:space="preserve">VR Barros, CB Field, DJ Dokken, MD Mastrandrea, KJ Mach, TE Bilir, M Chatterjee, KL Ebi, YO Estrada, RC Genova, B Girma, ES Kissel, AN Levy, S MacCracken, PR Mastrandrea, LL White (eds). </w:t>
      </w:r>
      <w:r w:rsidRPr="00E3756C">
        <w:t xml:space="preserve">Chapter 25, pp 1371–1438. Cambridge, UK: Cambridge University Press. Retrieved from </w:t>
      </w:r>
      <w:hyperlink r:id="rId90" w:history="1">
        <w:r w:rsidRPr="00E3756C">
          <w:rPr>
            <w:rStyle w:val="Hyperlink"/>
            <w:rFonts w:cs="Calibri"/>
          </w:rPr>
          <w:t>www.ipcc.ch/site/assets/uploads/2018/02/WGIIAR5-Chap25_FINAL.pdf</w:t>
        </w:r>
      </w:hyperlink>
      <w:r w:rsidRPr="00E3756C">
        <w:t xml:space="preserve"> (19 July 2019).</w:t>
      </w:r>
    </w:p>
    <w:p w14:paraId="1A77F043" w14:textId="77777777" w:rsidR="00F653D3" w:rsidRPr="00E3756C" w:rsidRDefault="00F653D3" w:rsidP="00E600CB">
      <w:pPr>
        <w:pStyle w:val="Reference"/>
      </w:pPr>
      <w:r w:rsidRPr="00E3756C">
        <w:t xml:space="preserve">Roberts L, Brower A, Kerr G, Lambert S, McWilliam W, Moore K, Quinn J, Simmons D, Thrush S, Townsend M, Blaschke P, Costanza R, Cullen R, Hughey K, Wratten S. 2015. </w:t>
      </w:r>
      <w:r w:rsidRPr="00E3756C">
        <w:rPr>
          <w:i/>
          <w:iCs/>
        </w:rPr>
        <w:t>The Nature of Wellbeing: How Nature’s Ecosystem Services Contribute to the Wellbeing of New Zealand and New Zealanders.</w:t>
      </w:r>
      <w:r w:rsidRPr="00E3756C">
        <w:t xml:space="preserve"> Wellington: Department of Conservation. Retrieved from </w:t>
      </w:r>
      <w:hyperlink r:id="rId91" w:history="1">
        <w:r w:rsidRPr="00E3756C">
          <w:rPr>
            <w:rStyle w:val="Hyperlink"/>
            <w:rFonts w:cs="Calibri"/>
          </w:rPr>
          <w:t xml:space="preserve">www.doc.govt.nz/Documents/science-and-technical/sap258entire.pdf </w:t>
        </w:r>
      </w:hyperlink>
      <w:r w:rsidR="0021562E" w:rsidRPr="00E3756C">
        <w:t xml:space="preserve">(19 </w:t>
      </w:r>
      <w:r w:rsidRPr="00E3756C">
        <w:t>July 2019).</w:t>
      </w:r>
    </w:p>
    <w:p w14:paraId="0648FA08" w14:textId="77777777" w:rsidR="00F653D3" w:rsidRPr="00E3756C" w:rsidRDefault="00F653D3" w:rsidP="00E600CB">
      <w:pPr>
        <w:pStyle w:val="Reference"/>
      </w:pPr>
      <w:r w:rsidRPr="00E3756C">
        <w:t xml:space="preserve">Rouse HLB, Lundquist C, Blackett P, Hicks MD, King D-N. 2017. Coastal adaptation to climate change in Aotearoa–New Zealand. Review article. </w:t>
      </w:r>
      <w:r w:rsidRPr="00E3756C">
        <w:rPr>
          <w:i/>
          <w:iCs/>
        </w:rPr>
        <w:t>New Zealand Journal of Marine &amp; Freshwater Research</w:t>
      </w:r>
      <w:r w:rsidRPr="00E3756C">
        <w:t xml:space="preserve"> 51(2): 183–222.</w:t>
      </w:r>
    </w:p>
    <w:p w14:paraId="38ACC785" w14:textId="77777777" w:rsidR="00F653D3" w:rsidRPr="00E3756C" w:rsidRDefault="00F653D3" w:rsidP="00E600CB">
      <w:pPr>
        <w:pStyle w:val="Reference"/>
      </w:pPr>
      <w:r w:rsidRPr="00E3756C">
        <w:t xml:space="preserve">Salinger MJ, Fitzharris BB, Chinn T. 2019. Atmospheric circulation and ice volume changes for the small and medium glaciers of NZ’s Southern Alps mountain range 1977–2018. </w:t>
      </w:r>
      <w:r w:rsidRPr="00E3756C">
        <w:rPr>
          <w:i/>
          <w:iCs/>
        </w:rPr>
        <w:t>International Journal of Climatology</w:t>
      </w:r>
      <w:r w:rsidRPr="00E3756C">
        <w:t xml:space="preserve">. 10.1002/joc.6072. </w:t>
      </w:r>
    </w:p>
    <w:p w14:paraId="576EFF26" w14:textId="77777777" w:rsidR="00F653D3" w:rsidRPr="00E3756C" w:rsidRDefault="00F653D3" w:rsidP="00E600CB">
      <w:pPr>
        <w:pStyle w:val="Reference"/>
      </w:pPr>
      <w:r w:rsidRPr="00E3756C">
        <w:t xml:space="preserve">Secretary-General United Nations. 2016. Report of the Open-Ended Intergovernmental Expert Working Group on Indicators and Terminology Relating to Disaster Risk Reduction. Seventy-first session, agenda item 19(c), 1 December. Retrieved from </w:t>
      </w:r>
      <w:hyperlink r:id="rId92" w:history="1">
        <w:r w:rsidR="00F90528" w:rsidRPr="00E3756C">
          <w:rPr>
            <w:rStyle w:val="Hyperlink"/>
            <w:rFonts w:cs="Calibri"/>
          </w:rPr>
          <w:t>www.unisdr.org/we/inform/publications/51748</w:t>
        </w:r>
      </w:hyperlink>
      <w:r w:rsidRPr="00E3756C">
        <w:t xml:space="preserve"> </w:t>
      </w:r>
      <w:r w:rsidR="00F90528" w:rsidRPr="00E3756C">
        <w:t xml:space="preserve">(19 </w:t>
      </w:r>
      <w:r w:rsidRPr="00E3756C">
        <w:t>July 2019).</w:t>
      </w:r>
    </w:p>
    <w:p w14:paraId="583F39BB" w14:textId="77777777" w:rsidR="009D55F9" w:rsidRDefault="009D55F9" w:rsidP="00364EAC">
      <w:pPr>
        <w:pStyle w:val="Reference"/>
        <w:rPr>
          <w:rFonts w:eastAsiaTheme="minorHAnsi"/>
        </w:rPr>
      </w:pPr>
      <w:r>
        <w:t xml:space="preserve">SFDRR. 2015. </w:t>
      </w:r>
      <w:r w:rsidRPr="00364EAC">
        <w:rPr>
          <w:i/>
        </w:rPr>
        <w:t>Sendai Framework for Disaster Risk Red</w:t>
      </w:r>
      <w:r w:rsidR="00364EAC">
        <w:rPr>
          <w:i/>
        </w:rPr>
        <w:t>uction 2015–</w:t>
      </w:r>
      <w:r w:rsidRPr="00364EAC">
        <w:rPr>
          <w:i/>
        </w:rPr>
        <w:t>2030</w:t>
      </w:r>
      <w:r>
        <w:t>. UN</w:t>
      </w:r>
      <w:r w:rsidR="00364EAC">
        <w:t xml:space="preserve"> Office for </w:t>
      </w:r>
      <w:r>
        <w:t>D</w:t>
      </w:r>
      <w:r w:rsidR="00364EAC">
        <w:t xml:space="preserve">isaster </w:t>
      </w:r>
      <w:r>
        <w:t>R</w:t>
      </w:r>
      <w:r w:rsidR="00364EAC">
        <w:t xml:space="preserve">isk </w:t>
      </w:r>
      <w:r>
        <w:t>R</w:t>
      </w:r>
      <w:r w:rsidR="00364EAC">
        <w:t>eduction</w:t>
      </w:r>
      <w:r>
        <w:t xml:space="preserve">. Retrieved from </w:t>
      </w:r>
      <w:hyperlink r:id="rId93" w:history="1">
        <w:r>
          <w:rPr>
            <w:rStyle w:val="Hyperlink"/>
          </w:rPr>
          <w:t>www.unisdr.org/we/inform/publications/43291</w:t>
        </w:r>
      </w:hyperlink>
      <w:r w:rsidR="00364EAC">
        <w:t xml:space="preserve"> (8 August 2019).</w:t>
      </w:r>
    </w:p>
    <w:p w14:paraId="0C96AE7A" w14:textId="77777777" w:rsidR="00F653D3" w:rsidRPr="00E3756C" w:rsidRDefault="00F653D3" w:rsidP="00E600CB">
      <w:pPr>
        <w:pStyle w:val="Reference"/>
      </w:pPr>
      <w:r w:rsidRPr="00E3756C">
        <w:t xml:space="preserve">Standards Australia/Standards New Zealand. 2010. </w:t>
      </w:r>
      <w:r w:rsidRPr="00E3756C">
        <w:rPr>
          <w:i/>
          <w:iCs/>
        </w:rPr>
        <w:t>HB327:2010: Communicating and Consulting about Risk.</w:t>
      </w:r>
      <w:r w:rsidRPr="00E3756C">
        <w:t xml:space="preserve"> Sydney: Standards Australia. </w:t>
      </w:r>
    </w:p>
    <w:p w14:paraId="0BB0353F" w14:textId="77777777" w:rsidR="00F653D3" w:rsidRPr="00E3756C" w:rsidRDefault="00F653D3" w:rsidP="00E600CB">
      <w:pPr>
        <w:pStyle w:val="Reference"/>
      </w:pPr>
      <w:r w:rsidRPr="00E3756C">
        <w:t>Standards New Zealand, Standards Australia.</w:t>
      </w:r>
      <w:r w:rsidRPr="00E3756C">
        <w:rPr>
          <w:i/>
          <w:iCs/>
        </w:rPr>
        <w:t xml:space="preserve"> </w:t>
      </w:r>
      <w:r w:rsidRPr="00E3756C">
        <w:t xml:space="preserve">2009. </w:t>
      </w:r>
      <w:r w:rsidRPr="00E3756C">
        <w:rPr>
          <w:i/>
          <w:iCs/>
        </w:rPr>
        <w:t>AS/NZS ISO 31000:2009: Risk Management – Principles and guidelines</w:t>
      </w:r>
      <w:r w:rsidRPr="00E3756C">
        <w:t>. Sydney and Wellington: Standards Australia and Standards New Zealand.</w:t>
      </w:r>
    </w:p>
    <w:p w14:paraId="01F76AD6" w14:textId="77777777" w:rsidR="00F653D3" w:rsidRPr="00E3756C" w:rsidRDefault="00F653D3" w:rsidP="00E600CB">
      <w:pPr>
        <w:pStyle w:val="Reference"/>
      </w:pPr>
      <w:r w:rsidRPr="00E3756C">
        <w:t xml:space="preserve">Tait A. 2019. </w:t>
      </w:r>
      <w:r w:rsidRPr="00E3756C">
        <w:rPr>
          <w:i/>
          <w:iCs/>
        </w:rPr>
        <w:t>Risk-Exposure Assessment of Department of Conservation (DOC) Coastal Locations to Flooding from the Sea.</w:t>
      </w:r>
      <w:r w:rsidRPr="00E3756C">
        <w:t xml:space="preserve"> Science for Conservation report 332. Wellington: Department of Conservation. Retrieved from </w:t>
      </w:r>
      <w:hyperlink r:id="rId94" w:history="1">
        <w:r w:rsidRPr="00E3756C">
          <w:rPr>
            <w:rStyle w:val="Hyperlink"/>
            <w:rFonts w:cs="Calibri"/>
          </w:rPr>
          <w:t>www.doc.govt.nz/globalassets/documents/science-and-technical/sfc332entire.pdf</w:t>
        </w:r>
      </w:hyperlink>
      <w:r w:rsidRPr="00E3756C">
        <w:t xml:space="preserve"> (19</w:t>
      </w:r>
      <w:r w:rsidR="00B87FBD" w:rsidRPr="00E3756C">
        <w:t> </w:t>
      </w:r>
      <w:r w:rsidRPr="00E3756C">
        <w:t>July 2019).</w:t>
      </w:r>
    </w:p>
    <w:p w14:paraId="0BCA4905" w14:textId="77777777" w:rsidR="00F653D3" w:rsidRPr="00E3756C" w:rsidRDefault="00F653D3" w:rsidP="00E600CB">
      <w:pPr>
        <w:pStyle w:val="Reference"/>
      </w:pPr>
      <w:r w:rsidRPr="00E3756C">
        <w:t>Tait A, Rutledge DT, Frame B, Frame D, Lawrence J, McBride G, Overton J, Reisinger A. 2016. Climate Changes, Impacts and Implications for New Zealand to 2100: Synthesis Report – Overall CCII Project.</w:t>
      </w:r>
      <w:hyperlink r:id="rId95">
        <w:r w:rsidRPr="00E3756C">
          <w:t xml:space="preserve"> </w:t>
        </w:r>
      </w:hyperlink>
      <w:r w:rsidRPr="00E3756C">
        <w:t xml:space="preserve">MBIE contract C01X1225. Retrieved from </w:t>
      </w:r>
      <w:hyperlink r:id="rId96" w:history="1">
        <w:r w:rsidRPr="00E3756C">
          <w:rPr>
            <w:rStyle w:val="Hyperlink"/>
            <w:rFonts w:cs="Calibri"/>
          </w:rPr>
          <w:t>https://ccii.org.nz/app/uploads/2017/07/Overall-CCII-Project-synthesis-report1.pdf</w:t>
        </w:r>
      </w:hyperlink>
      <w:r w:rsidRPr="00E3756C">
        <w:t xml:space="preserve"> </w:t>
      </w:r>
      <w:r w:rsidR="00B87FBD" w:rsidRPr="00E3756C">
        <w:t xml:space="preserve">(19 </w:t>
      </w:r>
      <w:r w:rsidRPr="00E3756C">
        <w:t>July 2019).</w:t>
      </w:r>
    </w:p>
    <w:p w14:paraId="6A5FFDE9" w14:textId="77777777" w:rsidR="00F653D3" w:rsidRPr="00E3756C" w:rsidRDefault="00F653D3" w:rsidP="00E600CB">
      <w:pPr>
        <w:pStyle w:val="Reference"/>
        <w:rPr>
          <w:rFonts w:cs="Calibri"/>
        </w:rPr>
      </w:pPr>
      <w:r w:rsidRPr="00E3756C">
        <w:rPr>
          <w:rFonts w:cs="Calibri"/>
        </w:rPr>
        <w:t xml:space="preserve">The Treasury. 2015. </w:t>
      </w:r>
      <w:r w:rsidRPr="00E3756C">
        <w:rPr>
          <w:rFonts w:cs="Calibri"/>
          <w:i/>
          <w:iCs/>
        </w:rPr>
        <w:t>The Thirty Year New Zealand Infrastructure Plan 2015.</w:t>
      </w:r>
      <w:r w:rsidRPr="00E3756C">
        <w:rPr>
          <w:rFonts w:cs="Calibri"/>
        </w:rPr>
        <w:t xml:space="preserve"> Wellington: The Treasury. </w:t>
      </w:r>
      <w:hyperlink r:id="rId97" w:history="1">
        <w:r w:rsidRPr="00E3756C">
          <w:rPr>
            <w:rStyle w:val="Hyperlink"/>
          </w:rPr>
          <w:t>https://treasury.govt.nz/sites/default/files/2018-03/nip-aug15.pdf</w:t>
        </w:r>
      </w:hyperlink>
      <w:r w:rsidRPr="00E3756C">
        <w:rPr>
          <w:rFonts w:cs="Calibri"/>
        </w:rPr>
        <w:t xml:space="preserve"> (19 July 2019).</w:t>
      </w:r>
    </w:p>
    <w:p w14:paraId="7F9CD435" w14:textId="77777777" w:rsidR="00F653D3" w:rsidRPr="00E3756C" w:rsidRDefault="00F653D3" w:rsidP="00E600CB">
      <w:pPr>
        <w:pStyle w:val="Reference"/>
      </w:pPr>
      <w:r w:rsidRPr="00E3756C">
        <w:lastRenderedPageBreak/>
        <w:t xml:space="preserve">The Treasury. 2018. </w:t>
      </w:r>
      <w:r w:rsidRPr="00E3756C">
        <w:rPr>
          <w:i/>
          <w:iCs/>
        </w:rPr>
        <w:t>Our</w:t>
      </w:r>
      <w:r w:rsidRPr="00E3756C">
        <w:t xml:space="preserve"> </w:t>
      </w:r>
      <w:r w:rsidRPr="00E3756C">
        <w:rPr>
          <w:i/>
          <w:iCs/>
        </w:rPr>
        <w:t>Living Standards Framework.</w:t>
      </w:r>
      <w:r w:rsidRPr="00E3756C">
        <w:t xml:space="preserve"> Retrieved from </w:t>
      </w:r>
      <w:hyperlink r:id="rId98" w:history="1">
        <w:r w:rsidRPr="00E3756C">
          <w:rPr>
            <w:rStyle w:val="Hyperlink"/>
            <w:rFonts w:cs="Calibri"/>
          </w:rPr>
          <w:t>https://treasury.govt.nz/information-and-services/nz-economy/living-standards/our-living-standards-framework</w:t>
        </w:r>
      </w:hyperlink>
      <w:r w:rsidRPr="00E3756C">
        <w:t xml:space="preserve"> (19 July 2019). </w:t>
      </w:r>
    </w:p>
    <w:p w14:paraId="3E8600D9" w14:textId="77777777" w:rsidR="00F653D3" w:rsidRPr="00E3756C" w:rsidRDefault="00F653D3" w:rsidP="00E600CB">
      <w:pPr>
        <w:pStyle w:val="Reference"/>
      </w:pPr>
      <w:r w:rsidRPr="00E3756C">
        <w:t xml:space="preserve">UNFCCC. 2015. </w:t>
      </w:r>
      <w:r w:rsidRPr="00E3756C">
        <w:rPr>
          <w:i/>
          <w:iCs/>
        </w:rPr>
        <w:t>Adoption of the Paris Agreement.</w:t>
      </w:r>
      <w:r w:rsidR="00B87FBD" w:rsidRPr="00E3756C">
        <w:rPr>
          <w:i/>
          <w:iCs/>
        </w:rPr>
        <w:t xml:space="preserve"> </w:t>
      </w:r>
      <w:r w:rsidRPr="00E3756C">
        <w:rPr>
          <w:i/>
          <w:iCs/>
        </w:rPr>
        <w:t xml:space="preserve">COP21. </w:t>
      </w:r>
      <w:r w:rsidRPr="00E3756C">
        <w:t xml:space="preserve">Paris: United Nations Framework Convention on Climate Change. Retrieved from </w:t>
      </w:r>
      <w:hyperlink r:id="rId99" w:history="1">
        <w:r w:rsidRPr="00E3756C">
          <w:rPr>
            <w:rStyle w:val="Hyperlink"/>
            <w:rFonts w:cs="Calibri"/>
          </w:rPr>
          <w:t>https://unfccc.int/resource/docs/2015/cop21/eng/l09r01.pdf</w:t>
        </w:r>
      </w:hyperlink>
      <w:r w:rsidRPr="00E3756C">
        <w:t xml:space="preserve"> </w:t>
      </w:r>
      <w:r w:rsidR="00E62113" w:rsidRPr="00E3756C">
        <w:t>(19</w:t>
      </w:r>
      <w:r w:rsidR="00B87FBD" w:rsidRPr="00E3756C">
        <w:t> </w:t>
      </w:r>
      <w:r w:rsidRPr="00E3756C">
        <w:t>July 2019).</w:t>
      </w:r>
    </w:p>
    <w:p w14:paraId="35DB4798" w14:textId="77777777" w:rsidR="00F653D3" w:rsidRPr="00E3756C" w:rsidRDefault="00F653D3" w:rsidP="00E62113">
      <w:pPr>
        <w:pStyle w:val="References"/>
      </w:pPr>
      <w:r w:rsidRPr="00E3756C">
        <w:t xml:space="preserve">Waikato Regional Council. 2017. </w:t>
      </w:r>
      <w:r w:rsidRPr="00E3756C">
        <w:rPr>
          <w:i/>
        </w:rPr>
        <w:t>Māori Engagement Framework He Ritenga Mahitahi: A Guidance for Waikato Regional Council Staff</w:t>
      </w:r>
      <w:r w:rsidRPr="00E3756C">
        <w:t>. Hamilton: Waikato Regional Council.</w:t>
      </w:r>
    </w:p>
    <w:p w14:paraId="385665FD" w14:textId="77777777" w:rsidR="00F653D3" w:rsidRPr="00E3756C" w:rsidRDefault="00F653D3" w:rsidP="00E62113">
      <w:pPr>
        <w:pStyle w:val="References"/>
      </w:pPr>
      <w:r w:rsidRPr="00E3756C">
        <w:t>Warren R, Wilby R, Brown K, Watkiss P, Betts R, Murphy J, Lowe J. 20</w:t>
      </w:r>
      <w:r w:rsidR="00E62113" w:rsidRPr="00E3756C">
        <w:t>1</w:t>
      </w:r>
      <w:r w:rsidRPr="00E3756C">
        <w:t xml:space="preserve">8. Advancing national climate change risk assessment to deliver national adaptation plans. </w:t>
      </w:r>
      <w:r w:rsidRPr="00E3756C">
        <w:rPr>
          <w:i/>
          <w:iCs/>
        </w:rPr>
        <w:t>Philosophical Transactions of Royal Society A: Mathematical, Physical and Engineering Sciences</w:t>
      </w:r>
      <w:r w:rsidRPr="00E3756C">
        <w:t xml:space="preserve"> 376(2121). </w:t>
      </w:r>
      <w:hyperlink r:id="rId100" w:history="1">
        <w:r w:rsidRPr="00E3756C">
          <w:rPr>
            <w:rStyle w:val="Hyperlink"/>
          </w:rPr>
          <w:t>http://doi.org/10.1098/rsta.2017.0295</w:t>
        </w:r>
      </w:hyperlink>
      <w:r w:rsidR="00E62113" w:rsidRPr="00E3756C">
        <w:rPr>
          <w:rStyle w:val="Hyperlink"/>
        </w:rPr>
        <w:t>.</w:t>
      </w:r>
    </w:p>
    <w:p w14:paraId="65937798" w14:textId="77777777" w:rsidR="00B67DD6" w:rsidRPr="00E3756C" w:rsidRDefault="00B67DD6" w:rsidP="00B67DD6">
      <w:pPr>
        <w:pStyle w:val="BodyText"/>
      </w:pPr>
    </w:p>
    <w:sectPr w:rsidR="00B67DD6" w:rsidRPr="00E3756C" w:rsidSect="00475D30">
      <w:footerReference w:type="even" r:id="rId101"/>
      <w:footerReference w:type="default" r:id="rId102"/>
      <w:pgSz w:w="11907" w:h="16840" w:code="9"/>
      <w:pgMar w:top="1134" w:right="1418" w:bottom="1134" w:left="1418" w:header="567" w:footer="567" w:gutter="567"/>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CA154E" w16cid:durableId="20F2EEA9"/>
  <w16cid:commentId w16cid:paraId="0DA01201" w16cid:durableId="20F2EEAA"/>
  <w16cid:commentId w16cid:paraId="50DF5A79" w16cid:durableId="20F2EEAB"/>
  <w16cid:commentId w16cid:paraId="239EB0F2" w16cid:durableId="20F2EEAC"/>
  <w16cid:commentId w16cid:paraId="44952AB7" w16cid:durableId="20F2EFCA"/>
  <w16cid:commentId w16cid:paraId="2C5E815F" w16cid:durableId="20F2EEAD"/>
  <w16cid:commentId w16cid:paraId="7AF3683B" w16cid:durableId="20F2EEAE"/>
  <w16cid:commentId w16cid:paraId="1AA81BDA" w16cid:durableId="20F2EEAF"/>
  <w16cid:commentId w16cid:paraId="3E412ECC" w16cid:durableId="20F2EEB0"/>
  <w16cid:commentId w16cid:paraId="65AD0F37" w16cid:durableId="20F2EEB1"/>
  <w16cid:commentId w16cid:paraId="3B2D9948" w16cid:durableId="20F2EEB2"/>
  <w16cid:commentId w16cid:paraId="230C5315" w16cid:durableId="20F2EEB3"/>
  <w16cid:commentId w16cid:paraId="7A1ECD18" w16cid:durableId="20F2EEB4"/>
  <w16cid:commentId w16cid:paraId="0AAF1D3D" w16cid:durableId="20F2EEB5"/>
  <w16cid:commentId w16cid:paraId="75AD17C1" w16cid:durableId="20F2EEB6"/>
  <w16cid:commentId w16cid:paraId="0C754D3D" w16cid:durableId="20F2EEB7"/>
  <w16cid:commentId w16cid:paraId="60D9C885" w16cid:durableId="20F2F1E7"/>
  <w16cid:commentId w16cid:paraId="0B20E445" w16cid:durableId="20F2EEB8"/>
  <w16cid:commentId w16cid:paraId="3481B34A" w16cid:durableId="20F2EEB9"/>
  <w16cid:commentId w16cid:paraId="17CE475A" w16cid:durableId="20F2EEBA"/>
  <w16cid:commentId w16cid:paraId="70CED043" w16cid:durableId="20F2EEBB"/>
  <w16cid:commentId w16cid:paraId="7EB3F40C" w16cid:durableId="20F2F4E1"/>
  <w16cid:commentId w16cid:paraId="59FCB793" w16cid:durableId="20F2EEBC"/>
  <w16cid:commentId w16cid:paraId="4F1B74AB" w16cid:durableId="20F2EEBD"/>
  <w16cid:commentId w16cid:paraId="6B579E08" w16cid:durableId="20F2EEBE"/>
  <w16cid:commentId w16cid:paraId="70486F56" w16cid:durableId="20F2EEBF"/>
  <w16cid:commentId w16cid:paraId="1168A5A9" w16cid:durableId="20F2EEC0"/>
  <w16cid:commentId w16cid:paraId="296C2063" w16cid:durableId="20F2EEC1"/>
  <w16cid:commentId w16cid:paraId="5F289845" w16cid:durableId="20F2F7E0"/>
  <w16cid:commentId w16cid:paraId="0ECACCCD" w16cid:durableId="20F2EEC2"/>
  <w16cid:commentId w16cid:paraId="44693672" w16cid:durableId="20F310DD"/>
  <w16cid:commentId w16cid:paraId="53D5E36E" w16cid:durableId="20F2EEC3"/>
  <w16cid:commentId w16cid:paraId="59D12971" w16cid:durableId="20F2EEC4"/>
  <w16cid:commentId w16cid:paraId="79BD67F9" w16cid:durableId="20F2EEC5"/>
  <w16cid:commentId w16cid:paraId="43381E17" w16cid:durableId="20F2EEC6"/>
  <w16cid:commentId w16cid:paraId="5FFAC12C" w16cid:durableId="20F2EEC7"/>
  <w16cid:commentId w16cid:paraId="3CAD53CF" w16cid:durableId="20F3140E"/>
  <w16cid:commentId w16cid:paraId="13A0D5BD" w16cid:durableId="20F2EEC8"/>
  <w16cid:commentId w16cid:paraId="7575DE9F" w16cid:durableId="20F2EEC9"/>
  <w16cid:commentId w16cid:paraId="0FE01411" w16cid:durableId="20F2EECA"/>
  <w16cid:commentId w16cid:paraId="3C7BE066" w16cid:durableId="20F3149F"/>
  <w16cid:commentId w16cid:paraId="2F304B74" w16cid:durableId="20F2EECB"/>
  <w16cid:commentId w16cid:paraId="52CEE550" w16cid:durableId="20F316D0"/>
  <w16cid:commentId w16cid:paraId="4B609581" w16cid:durableId="20F2EECC"/>
  <w16cid:commentId w16cid:paraId="0BC1AF3B" w16cid:durableId="20F31723"/>
  <w16cid:commentId w16cid:paraId="0C9BF9C9" w16cid:durableId="20F2EECD"/>
  <w16cid:commentId w16cid:paraId="67531DC6" w16cid:durableId="20F3184C"/>
  <w16cid:commentId w16cid:paraId="56673DC5" w16cid:durableId="20F3180B"/>
  <w16cid:commentId w16cid:paraId="33644012" w16cid:durableId="20F2EECE"/>
  <w16cid:commentId w16cid:paraId="11AE2AD1" w16cid:durableId="20F2EECF"/>
  <w16cid:commentId w16cid:paraId="137089C0" w16cid:durableId="20F2EED0"/>
  <w16cid:commentId w16cid:paraId="27E8466F" w16cid:durableId="20F318EF"/>
  <w16cid:commentId w16cid:paraId="0DCD46F2" w16cid:durableId="20F2EED1"/>
  <w16cid:commentId w16cid:paraId="742B8507" w16cid:durableId="20F2EED2"/>
  <w16cid:commentId w16cid:paraId="2E67FBFD" w16cid:durableId="20F31A6B"/>
  <w16cid:commentId w16cid:paraId="733E58A9" w16cid:durableId="20F2EED3"/>
  <w16cid:commentId w16cid:paraId="7FF16968" w16cid:durableId="20F31AD0"/>
  <w16cid:commentId w16cid:paraId="10711846" w16cid:durableId="20F2EED4"/>
  <w16cid:commentId w16cid:paraId="34527197" w16cid:durableId="20F2EED5"/>
  <w16cid:commentId w16cid:paraId="634D6960" w16cid:durableId="20F2EED6"/>
  <w16cid:commentId w16cid:paraId="6ED0B558" w16cid:durableId="20F31B6B"/>
  <w16cid:commentId w16cid:paraId="7276629A" w16cid:durableId="20F2EED7"/>
  <w16cid:commentId w16cid:paraId="403E0F71" w16cid:durableId="20F31C46"/>
  <w16cid:commentId w16cid:paraId="25441A53" w16cid:durableId="20F2EED8"/>
  <w16cid:commentId w16cid:paraId="74064DF0" w16cid:durableId="20F2EED9"/>
  <w16cid:commentId w16cid:paraId="0DE5D8DB" w16cid:durableId="20F31C8D"/>
  <w16cid:commentId w16cid:paraId="4AB23E9C" w16cid:durableId="20F2EEDA"/>
  <w16cid:commentId w16cid:paraId="1FA23934" w16cid:durableId="20F31D08"/>
  <w16cid:commentId w16cid:paraId="4BF2416F" w16cid:durableId="20F31FD3"/>
  <w16cid:commentId w16cid:paraId="6ED04770" w16cid:durableId="20F2EEDB"/>
  <w16cid:commentId w16cid:paraId="4F906E4F" w16cid:durableId="20F31FED"/>
  <w16cid:commentId w16cid:paraId="4E813FB9" w16cid:durableId="20F2EEDC"/>
  <w16cid:commentId w16cid:paraId="712850AD" w16cid:durableId="20F2EEDD"/>
  <w16cid:commentId w16cid:paraId="69881F22" w16cid:durableId="20F2EEDE"/>
  <w16cid:commentId w16cid:paraId="41208625" w16cid:durableId="20F320EE"/>
  <w16cid:commentId w16cid:paraId="703CF652" w16cid:durableId="20F2EEDF"/>
  <w16cid:commentId w16cid:paraId="5E493805" w16cid:durableId="20F32174"/>
  <w16cid:commentId w16cid:paraId="24719199" w16cid:durableId="20F2EEE0"/>
  <w16cid:commentId w16cid:paraId="3610614A" w16cid:durableId="20F32221"/>
  <w16cid:commentId w16cid:paraId="24C4F46A" w16cid:durableId="20F2EEE1"/>
  <w16cid:commentId w16cid:paraId="413B7B4F" w16cid:durableId="20F2EEE2"/>
  <w16cid:commentId w16cid:paraId="648EF4EE" w16cid:durableId="20F2EEE3"/>
  <w16cid:commentId w16cid:paraId="6CB92542" w16cid:durableId="20F323CB"/>
  <w16cid:commentId w16cid:paraId="56D73A18" w16cid:durableId="20F2EEE4"/>
  <w16cid:commentId w16cid:paraId="31C6EBF7" w16cid:durableId="20F32453"/>
  <w16cid:commentId w16cid:paraId="3A25C744" w16cid:durableId="20F2EEE5"/>
  <w16cid:commentId w16cid:paraId="4EFD885D" w16cid:durableId="20F32487"/>
  <w16cid:commentId w16cid:paraId="6D48D49E" w16cid:durableId="20F2EEE6"/>
  <w16cid:commentId w16cid:paraId="0E62B7EF" w16cid:durableId="20F2EEE7"/>
  <w16cid:commentId w16cid:paraId="5E3B1482" w16cid:durableId="20F2EEE8"/>
  <w16cid:commentId w16cid:paraId="629E3CB1" w16cid:durableId="20F2EEE9"/>
  <w16cid:commentId w16cid:paraId="4668D45E" w16cid:durableId="20F3254F"/>
  <w16cid:commentId w16cid:paraId="2D978291" w16cid:durableId="20F2EEEA"/>
  <w16cid:commentId w16cid:paraId="1C609CD8" w16cid:durableId="20F2EEEB"/>
  <w16cid:commentId w16cid:paraId="133191AC" w16cid:durableId="20F2EEEC"/>
  <w16cid:commentId w16cid:paraId="39A2FA2C" w16cid:durableId="20F2EEED"/>
  <w16cid:commentId w16cid:paraId="65618232" w16cid:durableId="20F325C8"/>
  <w16cid:commentId w16cid:paraId="016E2E65" w16cid:durableId="20F2EEEE"/>
  <w16cid:commentId w16cid:paraId="13081184" w16cid:durableId="20F2EEEF"/>
  <w16cid:commentId w16cid:paraId="254E0E9B" w16cid:durableId="20F2EEF0"/>
  <w16cid:commentId w16cid:paraId="0D7B8E51" w16cid:durableId="20F325F8"/>
  <w16cid:commentId w16cid:paraId="3EB96B63" w16cid:durableId="20F2EEF1"/>
  <w16cid:commentId w16cid:paraId="533A5A23" w16cid:durableId="20F2EEF2"/>
  <w16cid:commentId w16cid:paraId="5EE7D16F" w16cid:durableId="20F2EEF3"/>
  <w16cid:commentId w16cid:paraId="62D0BA05" w16cid:durableId="20F2EEF4"/>
  <w16cid:commentId w16cid:paraId="5CAFD0A3" w16cid:durableId="20F42515"/>
  <w16cid:commentId w16cid:paraId="64FCAA41" w16cid:durableId="20F2EEF5"/>
  <w16cid:commentId w16cid:paraId="607E9E2B" w16cid:durableId="20F3277C"/>
  <w16cid:commentId w16cid:paraId="6617EA47" w16cid:durableId="20F2EEF6"/>
  <w16cid:commentId w16cid:paraId="029B3D71" w16cid:durableId="20F2EEF7"/>
  <w16cid:commentId w16cid:paraId="209C1B20" w16cid:durableId="20F32961"/>
  <w16cid:commentId w16cid:paraId="41CFDE8B" w16cid:durableId="20F2EEF8"/>
  <w16cid:commentId w16cid:paraId="2C62E7FC" w16cid:durableId="20F2EEF9"/>
  <w16cid:commentId w16cid:paraId="46903BC3" w16cid:durableId="20F2EEFA"/>
  <w16cid:commentId w16cid:paraId="7A655D38" w16cid:durableId="20F329F4"/>
  <w16cid:commentId w16cid:paraId="706D2053" w16cid:durableId="20F2EEFB"/>
  <w16cid:commentId w16cid:paraId="2D2B596F" w16cid:durableId="20F2EEFC"/>
  <w16cid:commentId w16cid:paraId="57E45B13" w16cid:durableId="20F2EEFD"/>
  <w16cid:commentId w16cid:paraId="28D7E7D8" w16cid:durableId="20F32A57"/>
  <w16cid:commentId w16cid:paraId="2F45B228" w16cid:durableId="20F2EEFE"/>
  <w16cid:commentId w16cid:paraId="71900F74" w16cid:durableId="20F2EEFF"/>
  <w16cid:commentId w16cid:paraId="7FE74916" w16cid:durableId="20F32AC4"/>
  <w16cid:commentId w16cid:paraId="46083B45" w16cid:durableId="20F2EF00"/>
  <w16cid:commentId w16cid:paraId="00745E5A" w16cid:durableId="20F2EF01"/>
  <w16cid:commentId w16cid:paraId="05117F42" w16cid:durableId="20F2EF03"/>
  <w16cid:commentId w16cid:paraId="0A6EA49E" w16cid:durableId="20F32DC6"/>
  <w16cid:commentId w16cid:paraId="231B6ED7" w16cid:durableId="20F2EF04"/>
  <w16cid:commentId w16cid:paraId="49F2C945" w16cid:durableId="20F2EF05"/>
  <w16cid:commentId w16cid:paraId="0D38532B" w16cid:durableId="20F2EF06"/>
  <w16cid:commentId w16cid:paraId="5C1E9773" w16cid:durableId="20F2EF07"/>
  <w16cid:commentId w16cid:paraId="022E2E2A" w16cid:durableId="20F32EEE"/>
  <w16cid:commentId w16cid:paraId="3956D3E7" w16cid:durableId="20F2EF08"/>
  <w16cid:commentId w16cid:paraId="0BC5E4D8" w16cid:durableId="20F426BE"/>
  <w16cid:commentId w16cid:paraId="38772E71" w16cid:durableId="20F2EF09"/>
  <w16cid:commentId w16cid:paraId="2983CDB8" w16cid:durableId="20F420B9"/>
  <w16cid:commentId w16cid:paraId="5C0724E8" w16cid:durableId="20F2EF0A"/>
  <w16cid:commentId w16cid:paraId="796CC6E2" w16cid:durableId="20F2EF0B"/>
  <w16cid:commentId w16cid:paraId="4FA4E418" w16cid:durableId="20F4278D"/>
  <w16cid:commentId w16cid:paraId="19238F63" w16cid:durableId="20F2EF0C"/>
  <w16cid:commentId w16cid:paraId="78A6E26C" w16cid:durableId="20F427AA"/>
  <w16cid:commentId w16cid:paraId="194B2189" w16cid:durableId="20F2EF0D"/>
  <w16cid:commentId w16cid:paraId="78FB64D2" w16cid:durableId="20F2EF0E"/>
  <w16cid:commentId w16cid:paraId="0F64813D" w16cid:durableId="20F2EF0F"/>
  <w16cid:commentId w16cid:paraId="7B98C964" w16cid:durableId="20F42844"/>
  <w16cid:commentId w16cid:paraId="2A0CA02A" w16cid:durableId="20F2EF10"/>
  <w16cid:commentId w16cid:paraId="1E916E40" w16cid:durableId="20F2EF11"/>
  <w16cid:commentId w16cid:paraId="4EBF673D" w16cid:durableId="20F2EF12"/>
  <w16cid:commentId w16cid:paraId="1D5D7946" w16cid:durableId="20F2EF13"/>
  <w16cid:commentId w16cid:paraId="2B78884F" w16cid:durableId="20F2EF14"/>
  <w16cid:commentId w16cid:paraId="6E2DE6A5" w16cid:durableId="20F420A0"/>
  <w16cid:commentId w16cid:paraId="72DF11D0" w16cid:durableId="20F2EF15"/>
  <w16cid:commentId w16cid:paraId="0AE8AA47" w16cid:durableId="20F456F7"/>
  <w16cid:commentId w16cid:paraId="4A2AFF59" w16cid:durableId="20F2EF16"/>
  <w16cid:commentId w16cid:paraId="2B2EA848" w16cid:durableId="20F2EF18"/>
  <w16cid:commentId w16cid:paraId="70F7FF28" w16cid:durableId="20F45A62"/>
  <w16cid:commentId w16cid:paraId="02D50676" w16cid:durableId="20F2EF19"/>
  <w16cid:commentId w16cid:paraId="205888A6" w16cid:durableId="20F45A7D"/>
  <w16cid:commentId w16cid:paraId="4697270B" w16cid:durableId="20F2EF1A"/>
  <w16cid:commentId w16cid:paraId="7E7E5D92" w16cid:durableId="20F45DAE"/>
  <w16cid:commentId w16cid:paraId="5D3C62B1" w16cid:durableId="20F2EF1B"/>
  <w16cid:commentId w16cid:paraId="31A25F20" w16cid:durableId="20F2EF1C"/>
  <w16cid:commentId w16cid:paraId="100968F4" w16cid:durableId="20F2EF1D"/>
  <w16cid:commentId w16cid:paraId="1E781DB8" w16cid:durableId="20F46070"/>
  <w16cid:commentId w16cid:paraId="3959BB41" w16cid:durableId="20F2EF1E"/>
  <w16cid:commentId w16cid:paraId="52EF270F" w16cid:durableId="20F2EF1F"/>
  <w16cid:commentId w16cid:paraId="64E79435" w16cid:durableId="20F2EF20"/>
  <w16cid:commentId w16cid:paraId="79D0E1E1" w16cid:durableId="20F2EF21"/>
  <w16cid:commentId w16cid:paraId="2A92E5A5" w16cid:durableId="20F4678D"/>
  <w16cid:commentId w16cid:paraId="0D93D3F3" w16cid:durableId="20F2EF22"/>
  <w16cid:commentId w16cid:paraId="7FD428FC" w16cid:durableId="20F2EF23"/>
  <w16cid:commentId w16cid:paraId="3ED1170D" w16cid:durableId="20F2EF24"/>
  <w16cid:commentId w16cid:paraId="325C4F1C" w16cid:durableId="20F2EF25"/>
  <w16cid:commentId w16cid:paraId="6ABD9816" w16cid:durableId="20F2EF26"/>
  <w16cid:commentId w16cid:paraId="1EFA40B3" w16cid:durableId="20F2EF27"/>
  <w16cid:commentId w16cid:paraId="247E070D" w16cid:durableId="20F2EF28"/>
  <w16cid:commentId w16cid:paraId="42741AB4" w16cid:durableId="20F2EF29"/>
  <w16cid:commentId w16cid:paraId="7089A3B7" w16cid:durableId="20F2EF2A"/>
  <w16cid:commentId w16cid:paraId="71FCEE45" w16cid:durableId="20F2EF2D"/>
  <w16cid:commentId w16cid:paraId="1ACA47B4" w16cid:durableId="20F2EF2E"/>
  <w16cid:commentId w16cid:paraId="508CC64F" w16cid:durableId="20F2EF2F"/>
  <w16cid:commentId w16cid:paraId="1D8551CF" w16cid:durableId="20F2EF30"/>
  <w16cid:commentId w16cid:paraId="6A209E1C" w16cid:durableId="20F2EF31"/>
  <w16cid:commentId w16cid:paraId="2B6E1ECA" w16cid:durableId="20F46CE1"/>
  <w16cid:commentId w16cid:paraId="734E5123" w16cid:durableId="20F2EF32"/>
  <w16cid:commentId w16cid:paraId="4E53C626" w16cid:durableId="20F46D0F"/>
  <w16cid:commentId w16cid:paraId="5CE26D99" w16cid:durableId="20F2EF33"/>
  <w16cid:commentId w16cid:paraId="1D3AF8D2" w16cid:durableId="20F46D3E"/>
  <w16cid:commentId w16cid:paraId="4FA86AFF" w16cid:durableId="20F2EF34"/>
  <w16cid:commentId w16cid:paraId="1DB5C6F6" w16cid:durableId="20F2EF35"/>
  <w16cid:commentId w16cid:paraId="7FF5DDB0" w16cid:durableId="20F2EF36"/>
  <w16cid:commentId w16cid:paraId="2A5A4463" w16cid:durableId="20F2EF37"/>
  <w16cid:commentId w16cid:paraId="1BBE2F3D" w16cid:durableId="20F2EF38"/>
  <w16cid:commentId w16cid:paraId="5C0D86FC" w16cid:durableId="20F2EF39"/>
  <w16cid:commentId w16cid:paraId="163D42C6" w16cid:durableId="20F2EF3A"/>
  <w16cid:commentId w16cid:paraId="4D7879D8" w16cid:durableId="20F2EF3B"/>
  <w16cid:commentId w16cid:paraId="09071FD2" w16cid:durableId="20F2EF3C"/>
  <w16cid:commentId w16cid:paraId="29654E25" w16cid:durableId="20F2EF3D"/>
  <w16cid:commentId w16cid:paraId="7E362B05" w16cid:durableId="20F2EF3E"/>
  <w16cid:commentId w16cid:paraId="0C38C433" w16cid:durableId="20F46DAA"/>
  <w16cid:commentId w16cid:paraId="12D98BA0" w16cid:durableId="20F2EF3F"/>
  <w16cid:commentId w16cid:paraId="19FE033A" w16cid:durableId="20F2EF40"/>
  <w16cid:commentId w16cid:paraId="2BFF092B" w16cid:durableId="20F46DCA"/>
  <w16cid:commentId w16cid:paraId="4CE1A820" w16cid:durableId="20F2EF41"/>
  <w16cid:commentId w16cid:paraId="4C967F4A" w16cid:durableId="20F46DF3"/>
  <w16cid:commentId w16cid:paraId="5F1961EA" w16cid:durableId="20F2EF42"/>
  <w16cid:commentId w16cid:paraId="6BCE3DF3" w16cid:durableId="20F2EF43"/>
  <w16cid:commentId w16cid:paraId="622B7B5A" w16cid:durableId="20F2EF44"/>
  <w16cid:commentId w16cid:paraId="39281113" w16cid:durableId="20F2EF45"/>
  <w16cid:commentId w16cid:paraId="5123D686" w16cid:durableId="20F2EF46"/>
  <w16cid:commentId w16cid:paraId="40DBEECD" w16cid:durableId="20F2EF47"/>
  <w16cid:commentId w16cid:paraId="50651473" w16cid:durableId="20F2EF48"/>
  <w16cid:commentId w16cid:paraId="50CE61C8" w16cid:durableId="20F2EF49"/>
  <w16cid:commentId w16cid:paraId="188A25FA" w16cid:durableId="20F2EF4A"/>
  <w16cid:commentId w16cid:paraId="06DFA604" w16cid:durableId="20F2EF4B"/>
  <w16cid:commentId w16cid:paraId="4CF091CA" w16cid:durableId="20F2EF4C"/>
  <w16cid:commentId w16cid:paraId="4415BDE9" w16cid:durableId="20F2EF4D"/>
  <w16cid:commentId w16cid:paraId="11237115" w16cid:durableId="20F2EF4E"/>
  <w16cid:commentId w16cid:paraId="17B5F984" w16cid:durableId="20F2EF4F"/>
  <w16cid:commentId w16cid:paraId="3B31E9FC" w16cid:durableId="20F2EF50"/>
  <w16cid:commentId w16cid:paraId="04EA48C2" w16cid:durableId="20F2EF51"/>
  <w16cid:commentId w16cid:paraId="2AF5F6A5" w16cid:durableId="20F2EF52"/>
  <w16cid:commentId w16cid:paraId="3903EC50" w16cid:durableId="20F2EF53"/>
  <w16cid:commentId w16cid:paraId="6DB6660A" w16cid:durableId="20F2EF54"/>
  <w16cid:commentId w16cid:paraId="668D80C4" w16cid:durableId="20F2EF55"/>
  <w16cid:commentId w16cid:paraId="2F496AE6" w16cid:durableId="20F2EF56"/>
  <w16cid:commentId w16cid:paraId="401A7477" w16cid:durableId="20F2EF57"/>
  <w16cid:commentId w16cid:paraId="51F2DBAF" w16cid:durableId="20F2EF58"/>
  <w16cid:commentId w16cid:paraId="5160216F" w16cid:durableId="20F2EF59"/>
  <w16cid:commentId w16cid:paraId="52A881D6" w16cid:durableId="20F2EF5A"/>
  <w16cid:commentId w16cid:paraId="4972AA02" w16cid:durableId="20F2EF5B"/>
  <w16cid:commentId w16cid:paraId="1FDE9C3D" w16cid:durableId="20F2EF5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011BB" w14:textId="77777777" w:rsidR="00144B88" w:rsidRDefault="00144B88" w:rsidP="0080531E">
      <w:pPr>
        <w:spacing w:before="0" w:after="0" w:line="240" w:lineRule="auto"/>
      </w:pPr>
      <w:r>
        <w:separator/>
      </w:r>
    </w:p>
    <w:p w14:paraId="7D850C78" w14:textId="77777777" w:rsidR="00144B88" w:rsidRDefault="00144B88"/>
  </w:endnote>
  <w:endnote w:type="continuationSeparator" w:id="0">
    <w:p w14:paraId="4A5A1AEC" w14:textId="77777777" w:rsidR="00144B88" w:rsidRDefault="00144B88" w:rsidP="0080531E">
      <w:pPr>
        <w:spacing w:before="0" w:after="0" w:line="240" w:lineRule="auto"/>
      </w:pPr>
      <w:r>
        <w:continuationSeparator/>
      </w:r>
    </w:p>
    <w:p w14:paraId="7DC7AA78" w14:textId="77777777" w:rsidR="00144B88" w:rsidRDefault="00144B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9B0CB" w14:textId="4EEEEAA3" w:rsidR="00144B88" w:rsidRDefault="00144B88" w:rsidP="00734B9A">
    <w:pPr>
      <w:spacing w:before="0" w:after="0" w:line="240" w:lineRule="auto"/>
      <w:ind w:left="-57"/>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9444" w14:textId="4D44B8BB" w:rsidR="00144B88" w:rsidRDefault="00144B88" w:rsidP="00CD25E1">
    <w:pPr>
      <w:pStyle w:val="Footerodd"/>
    </w:pPr>
    <w:r>
      <w:tab/>
    </w:r>
    <w:r w:rsidRPr="00FC1EC0">
      <w:t>Arotakenga Huringa Āhuarangi</w:t>
    </w:r>
    <w:r>
      <w:t>:</w:t>
    </w:r>
    <w:r w:rsidRPr="0092798F">
      <w:t xml:space="preserve"> </w:t>
    </w:r>
    <w:r>
      <w:t>A Framework for the National Cli</w:t>
    </w:r>
    <w:r w:rsidRPr="009263EB">
      <w:t>mate Change Risk Assessment</w:t>
    </w:r>
    <w:r>
      <w:t xml:space="preserve"> for Aotearoa New Zealand</w:t>
    </w:r>
    <w:r>
      <w:tab/>
    </w:r>
    <w:r>
      <w:fldChar w:fldCharType="begin"/>
    </w:r>
    <w:r>
      <w:instrText xml:space="preserve"> PAGE   \* MERGEFORMAT </w:instrText>
    </w:r>
    <w:r>
      <w:fldChar w:fldCharType="separate"/>
    </w:r>
    <w:r w:rsidR="00053883">
      <w:rPr>
        <w:noProof/>
      </w:rPr>
      <w:t>107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805BA" w14:textId="77777777" w:rsidR="00144B88" w:rsidRDefault="00144B88"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27DED" w14:textId="77777777" w:rsidR="00144B88" w:rsidRDefault="00144B8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BD2F" w14:textId="65D3FCD8" w:rsidR="00144B88" w:rsidRDefault="00144B88" w:rsidP="00CD25E1">
    <w:pPr>
      <w:pStyle w:val="Footereven"/>
    </w:pPr>
    <w:r w:rsidRPr="004F458A">
      <w:rPr>
        <w:b/>
      </w:rPr>
      <w:fldChar w:fldCharType="begin"/>
    </w:r>
    <w:r w:rsidRPr="004F458A">
      <w:instrText xml:space="preserve"> PAGE </w:instrText>
    </w:r>
    <w:r w:rsidRPr="004F458A">
      <w:rPr>
        <w:b/>
      </w:rPr>
      <w:fldChar w:fldCharType="separate"/>
    </w:r>
    <w:r w:rsidR="00053883">
      <w:rPr>
        <w:noProof/>
      </w:rPr>
      <w:t>60</w:t>
    </w:r>
    <w:r w:rsidRPr="004F458A">
      <w:rPr>
        <w:b/>
      </w:rPr>
      <w:fldChar w:fldCharType="end"/>
    </w:r>
    <w:r>
      <w:tab/>
    </w:r>
    <w:r w:rsidRPr="00FC1EC0">
      <w:t>Arotakenga Huringa Āhuarangi</w:t>
    </w:r>
    <w:r>
      <w:t>:</w:t>
    </w:r>
    <w:r w:rsidRPr="00E750BB">
      <w:t xml:space="preserve"> </w:t>
    </w:r>
    <w:r>
      <w:t>A Framework for the National Cli</w:t>
    </w:r>
    <w:r w:rsidRPr="009263EB">
      <w:t>mate Change Risk Assessment</w:t>
    </w:r>
    <w:r>
      <w:t xml:space="preserve"> for Aotearoa New Zealand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958B8" w14:textId="4306A9B7" w:rsidR="00144B88" w:rsidRPr="000E5918" w:rsidRDefault="00144B88" w:rsidP="000E5918">
    <w:pPr>
      <w:pStyle w:val="Footer"/>
      <w:jc w:val="left"/>
      <w:rPr>
        <w:sz w:val="16"/>
        <w:szCs w:val="16"/>
      </w:rPr>
    </w:pPr>
    <w:r w:rsidRPr="000E5918">
      <w:rPr>
        <w:sz w:val="16"/>
        <w:szCs w:val="16"/>
      </w:rPr>
      <w:t>Arotakenga Huringa Āhuarangi: A Framework for the National Climate Change Risk Assessment for Aotearoa New Zealand</w:t>
    </w:r>
    <w:r>
      <w:rPr>
        <w:sz w:val="16"/>
        <w:szCs w:val="16"/>
      </w:rPr>
      <w:tab/>
    </w:r>
    <w:r>
      <w:rPr>
        <w:sz w:val="16"/>
        <w:szCs w:val="16"/>
      </w:rPr>
      <w:tab/>
    </w:r>
    <w:r w:rsidRPr="000E5918">
      <w:rPr>
        <w:sz w:val="16"/>
        <w:szCs w:val="16"/>
      </w:rPr>
      <w:t xml:space="preserve"> </w:t>
    </w:r>
    <w:sdt>
      <w:sdtPr>
        <w:rPr>
          <w:sz w:val="16"/>
          <w:szCs w:val="16"/>
        </w:rPr>
        <w:id w:val="-2139954417"/>
        <w:docPartObj>
          <w:docPartGallery w:val="Page Numbers (Bottom of Page)"/>
          <w:docPartUnique/>
        </w:docPartObj>
      </w:sdtPr>
      <w:sdtEndPr>
        <w:rPr>
          <w:noProof/>
        </w:rPr>
      </w:sdtEndPr>
      <w:sdtContent>
        <w:r w:rsidRPr="000E5918">
          <w:rPr>
            <w:sz w:val="16"/>
            <w:szCs w:val="16"/>
          </w:rPr>
          <w:fldChar w:fldCharType="begin"/>
        </w:r>
        <w:r w:rsidRPr="000E5918">
          <w:rPr>
            <w:sz w:val="16"/>
            <w:szCs w:val="16"/>
          </w:rPr>
          <w:instrText xml:space="preserve"> PAGE   \* MERGEFORMAT </w:instrText>
        </w:r>
        <w:r w:rsidRPr="000E5918">
          <w:rPr>
            <w:sz w:val="16"/>
            <w:szCs w:val="16"/>
          </w:rPr>
          <w:fldChar w:fldCharType="separate"/>
        </w:r>
        <w:r w:rsidR="00053883">
          <w:rPr>
            <w:noProof/>
            <w:sz w:val="16"/>
            <w:szCs w:val="16"/>
          </w:rPr>
          <w:t>59</w:t>
        </w:r>
        <w:r w:rsidRPr="000E5918">
          <w:rPr>
            <w:noProof/>
            <w:sz w:val="16"/>
            <w:szCs w:val="16"/>
          </w:rPr>
          <w:fldChar w:fldCharType="end"/>
        </w:r>
      </w:sdtContent>
    </w:sdt>
  </w:p>
  <w:p w14:paraId="5CED7F35" w14:textId="77777777" w:rsidR="00144B88" w:rsidRDefault="00144B8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964846303"/>
      <w:docPartObj>
        <w:docPartGallery w:val="Page Numbers (Bottom of Page)"/>
        <w:docPartUnique/>
      </w:docPartObj>
    </w:sdtPr>
    <w:sdtEndPr>
      <w:rPr>
        <w:noProof/>
      </w:rPr>
    </w:sdtEndPr>
    <w:sdtContent>
      <w:p w14:paraId="16801A72" w14:textId="39E03DFB" w:rsidR="00144B88" w:rsidRPr="00EA4BE5" w:rsidRDefault="00144B88" w:rsidP="00EA4BE5">
        <w:pPr>
          <w:pStyle w:val="Footer"/>
          <w:tabs>
            <w:tab w:val="clear" w:pos="8306"/>
            <w:tab w:val="right" w:pos="14317"/>
          </w:tabs>
          <w:jc w:val="left"/>
          <w:rPr>
            <w:sz w:val="16"/>
            <w:szCs w:val="16"/>
          </w:rPr>
        </w:pPr>
        <w:r w:rsidRPr="00EA4BE5">
          <w:rPr>
            <w:sz w:val="16"/>
            <w:szCs w:val="16"/>
          </w:rPr>
          <w:t>Arotakenga Huringa Āhuarangi: A Framework for the National Climate Change Risk Assessment for Aotearoa New Zealand</w:t>
        </w:r>
        <w:r>
          <w:rPr>
            <w:sz w:val="16"/>
            <w:szCs w:val="16"/>
          </w:rPr>
          <w:tab/>
        </w:r>
        <w:r w:rsidRPr="00EA4BE5">
          <w:rPr>
            <w:sz w:val="16"/>
            <w:szCs w:val="16"/>
          </w:rPr>
          <w:t xml:space="preserve"> </w:t>
        </w:r>
        <w:r w:rsidRPr="00EA4BE5">
          <w:rPr>
            <w:sz w:val="16"/>
            <w:szCs w:val="16"/>
          </w:rPr>
          <w:fldChar w:fldCharType="begin"/>
        </w:r>
        <w:r w:rsidRPr="00EA4BE5">
          <w:rPr>
            <w:sz w:val="16"/>
            <w:szCs w:val="16"/>
          </w:rPr>
          <w:instrText xml:space="preserve"> PAGE   \* MERGEFORMAT </w:instrText>
        </w:r>
        <w:r w:rsidRPr="00EA4BE5">
          <w:rPr>
            <w:sz w:val="16"/>
            <w:szCs w:val="16"/>
          </w:rPr>
          <w:fldChar w:fldCharType="separate"/>
        </w:r>
        <w:r w:rsidR="00053883">
          <w:rPr>
            <w:noProof/>
            <w:sz w:val="16"/>
            <w:szCs w:val="16"/>
          </w:rPr>
          <w:t>79</w:t>
        </w:r>
        <w:r w:rsidRPr="00EA4BE5">
          <w:rPr>
            <w:noProof/>
            <w:sz w:val="16"/>
            <w:szCs w:val="16"/>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6033968"/>
      <w:docPartObj>
        <w:docPartGallery w:val="Page Numbers (Bottom of Page)"/>
        <w:docPartUnique/>
      </w:docPartObj>
    </w:sdtPr>
    <w:sdtEndPr>
      <w:rPr>
        <w:noProof/>
      </w:rPr>
    </w:sdtEndPr>
    <w:sdtContent>
      <w:p w14:paraId="04BC0B66" w14:textId="19F187E8" w:rsidR="00144B88" w:rsidRPr="00EA4BE5" w:rsidRDefault="00144B88" w:rsidP="00EA4BE5">
        <w:pPr>
          <w:pStyle w:val="Footer"/>
          <w:tabs>
            <w:tab w:val="clear" w:pos="8306"/>
            <w:tab w:val="right" w:pos="14317"/>
          </w:tabs>
          <w:jc w:val="left"/>
          <w:rPr>
            <w:sz w:val="16"/>
            <w:szCs w:val="16"/>
          </w:rPr>
        </w:pPr>
        <w:r w:rsidRPr="00EA4BE5">
          <w:rPr>
            <w:sz w:val="16"/>
            <w:szCs w:val="16"/>
          </w:rPr>
          <w:t>Arotakenga Huringa Āhuarangi: A Framework for the National Climate Change Risk Assessment for Aotearoa New Zealand</w:t>
        </w:r>
        <w:r>
          <w:rPr>
            <w:sz w:val="16"/>
            <w:szCs w:val="16"/>
          </w:rPr>
          <w:tab/>
        </w:r>
        <w:r w:rsidRPr="00EA4BE5">
          <w:rPr>
            <w:sz w:val="16"/>
            <w:szCs w:val="16"/>
          </w:rPr>
          <w:t xml:space="preserve"> </w:t>
        </w:r>
        <w:r w:rsidRPr="00EA4BE5">
          <w:rPr>
            <w:sz w:val="16"/>
            <w:szCs w:val="16"/>
          </w:rPr>
          <w:fldChar w:fldCharType="begin"/>
        </w:r>
        <w:r w:rsidRPr="00EA4BE5">
          <w:rPr>
            <w:sz w:val="16"/>
            <w:szCs w:val="16"/>
          </w:rPr>
          <w:instrText xml:space="preserve"> PAGE   \* MERGEFORMAT </w:instrText>
        </w:r>
        <w:r w:rsidRPr="00EA4BE5">
          <w:rPr>
            <w:sz w:val="16"/>
            <w:szCs w:val="16"/>
          </w:rPr>
          <w:fldChar w:fldCharType="separate"/>
        </w:r>
        <w:r w:rsidR="00053883">
          <w:rPr>
            <w:noProof/>
            <w:sz w:val="16"/>
            <w:szCs w:val="16"/>
          </w:rPr>
          <w:t>85</w:t>
        </w:r>
        <w:r w:rsidRPr="00EA4BE5">
          <w:rPr>
            <w:noProof/>
            <w:sz w:val="16"/>
            <w:szCs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306EB" w14:textId="79BF04AE" w:rsidR="00144B88" w:rsidRDefault="00144B88" w:rsidP="00BE6059">
    <w:pPr>
      <w:pStyle w:val="Footerodd"/>
      <w:tabs>
        <w:tab w:val="clear" w:pos="7938"/>
        <w:tab w:val="clear" w:pos="8505"/>
        <w:tab w:val="right" w:pos="13892"/>
        <w:tab w:val="right" w:pos="14572"/>
      </w:tabs>
    </w:pPr>
    <w:r>
      <w:tab/>
    </w:r>
    <w:r w:rsidRPr="00FC1EC0">
      <w:t>Arotakenga Huringa Āhuarangi</w:t>
    </w:r>
    <w:r>
      <w:t>: A Framework for the National Cli</w:t>
    </w:r>
    <w:r w:rsidRPr="009263EB">
      <w:t>mate Change Risk Assessment</w:t>
    </w:r>
    <w:r>
      <w:t xml:space="preserve"> for Aotearoa New Zealand</w:t>
    </w:r>
    <w:r>
      <w:tab/>
    </w:r>
    <w:r>
      <w:fldChar w:fldCharType="begin"/>
    </w:r>
    <w:r>
      <w:instrText xml:space="preserve"> PAGE   \* MERGEFORMAT </w:instrText>
    </w:r>
    <w:r>
      <w:fldChar w:fldCharType="separate"/>
    </w:r>
    <w:r w:rsidR="00053883">
      <w:rPr>
        <w:noProof/>
      </w:rPr>
      <w:t>93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2FD6" w14:textId="1104B47F" w:rsidR="00144B88" w:rsidRDefault="00144B88" w:rsidP="00CD25E1">
    <w:pPr>
      <w:pStyle w:val="Footereven"/>
    </w:pPr>
    <w:r w:rsidRPr="004F458A">
      <w:rPr>
        <w:b/>
      </w:rPr>
      <w:fldChar w:fldCharType="begin"/>
    </w:r>
    <w:r w:rsidRPr="004F458A">
      <w:instrText xml:space="preserve"> PAGE </w:instrText>
    </w:r>
    <w:r w:rsidRPr="004F458A">
      <w:rPr>
        <w:b/>
      </w:rPr>
      <w:fldChar w:fldCharType="separate"/>
    </w:r>
    <w:r w:rsidR="00053883">
      <w:rPr>
        <w:noProof/>
      </w:rPr>
      <w:t>106</w:t>
    </w:r>
    <w:r w:rsidRPr="004F458A">
      <w:rPr>
        <w:b/>
      </w:rPr>
      <w:fldChar w:fldCharType="end"/>
    </w:r>
    <w:r>
      <w:tab/>
    </w:r>
    <w:r w:rsidRPr="00FC1EC0">
      <w:t>Arotakenga Huringa Āhuarangi</w:t>
    </w:r>
    <w:r>
      <w:t>:</w:t>
    </w:r>
    <w:r w:rsidRPr="0092798F">
      <w:t xml:space="preserve"> </w:t>
    </w:r>
    <w:r>
      <w:t>A Framework for the National Cli</w:t>
    </w:r>
    <w:r w:rsidRPr="009263EB">
      <w:t>mate Change Risk Assessment</w:t>
    </w:r>
    <w:r>
      <w:t xml:space="preserve"> for Aotearoa New Zealand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8C86C" w14:textId="77777777" w:rsidR="00144B88" w:rsidRDefault="00144B88" w:rsidP="00CB5C5F">
      <w:pPr>
        <w:spacing w:before="0" w:after="80" w:line="240" w:lineRule="auto"/>
      </w:pPr>
      <w:r>
        <w:separator/>
      </w:r>
    </w:p>
  </w:footnote>
  <w:footnote w:type="continuationSeparator" w:id="0">
    <w:p w14:paraId="4E1F5F26" w14:textId="77777777" w:rsidR="00144B88" w:rsidRDefault="00144B88" w:rsidP="0080531E">
      <w:pPr>
        <w:spacing w:before="0" w:after="0" w:line="240" w:lineRule="auto"/>
      </w:pPr>
      <w:r>
        <w:continuationSeparator/>
      </w:r>
    </w:p>
    <w:p w14:paraId="24922041" w14:textId="77777777" w:rsidR="00144B88" w:rsidRDefault="00144B88"/>
  </w:footnote>
  <w:footnote w:id="1">
    <w:p w14:paraId="73FCE553" w14:textId="77777777" w:rsidR="00144B88" w:rsidRDefault="00144B88" w:rsidP="00BA5355">
      <w:pPr>
        <w:pStyle w:val="FootnoteText"/>
      </w:pPr>
      <w:r>
        <w:rPr>
          <w:rStyle w:val="FootnoteReference"/>
        </w:rPr>
        <w:footnoteRef/>
      </w:r>
      <w:r>
        <w:t xml:space="preserve"> </w:t>
      </w:r>
      <w:r>
        <w:tab/>
      </w:r>
      <w:r>
        <w:rPr>
          <w:sz w:val="18"/>
          <w:szCs w:val="18"/>
        </w:rPr>
        <w:t>Section 5ZV: Minister may request certain organisations to provide information on climate change adaptation.</w:t>
      </w:r>
    </w:p>
  </w:footnote>
  <w:footnote w:id="2">
    <w:p w14:paraId="47F6942B" w14:textId="77777777" w:rsidR="00144B88" w:rsidRDefault="00144B88" w:rsidP="00BA5355">
      <w:pPr>
        <w:pStyle w:val="FootnoteText"/>
        <w:rPr>
          <w:sz w:val="18"/>
          <w:szCs w:val="18"/>
        </w:rPr>
      </w:pPr>
      <w:r w:rsidRPr="007D297B">
        <w:rPr>
          <w:sz w:val="22"/>
          <w:vertAlign w:val="superscript"/>
        </w:rPr>
        <w:footnoteRef/>
      </w:r>
      <w:r w:rsidRPr="00E52BAC">
        <w:rPr>
          <w:vertAlign w:val="superscript"/>
        </w:rPr>
        <w:t xml:space="preserve"> </w:t>
      </w:r>
      <w:r>
        <w:tab/>
        <w:t>Ecosystem services are the processes by which people obtain benefits from ecosystems, such as clean air, fresh water and the pollination of crops. These benefits are commonly classified as being one of four types: provisioning (eg, food, fibre, water, fuel, genetic resources); regulating (eg, air quality, climate, water flow, pollination, erosion control, pest and disease control); cultural (eg, spiritual, aesthetic, recreational, educational); or supporting (eg, photosynthesis, soil formation, nutrient cycling) (</w:t>
      </w:r>
      <w:r w:rsidRPr="008563DF">
        <w:t>Roberts et</w:t>
      </w:r>
      <w:r>
        <w:t> </w:t>
      </w:r>
      <w:r w:rsidRPr="008563DF">
        <w:t>al</w:t>
      </w:r>
      <w:r>
        <w:t>,</w:t>
      </w:r>
      <w:r w:rsidRPr="008563DF">
        <w:t xml:space="preserve"> 2015).</w:t>
      </w:r>
      <w:r>
        <w:rPr>
          <w:sz w:val="18"/>
          <w:szCs w:val="18"/>
        </w:rPr>
        <w:t xml:space="preserve"> </w:t>
      </w:r>
    </w:p>
  </w:footnote>
  <w:footnote w:id="3">
    <w:p w14:paraId="5292DA80" w14:textId="26C3FA82" w:rsidR="00144B88" w:rsidRPr="00746E9D" w:rsidRDefault="00144B88" w:rsidP="0093314D">
      <w:pPr>
        <w:ind w:left="284" w:hanging="284"/>
        <w:jc w:val="left"/>
        <w:rPr>
          <w:rStyle w:val="Hyperlink"/>
          <w:color w:val="1155CC"/>
          <w:sz w:val="18"/>
          <w:szCs w:val="18"/>
        </w:rPr>
      </w:pPr>
      <w:r>
        <w:rPr>
          <w:rStyle w:val="FootnoteReference"/>
        </w:rPr>
        <w:footnoteRef/>
      </w:r>
      <w:r>
        <w:t xml:space="preserve"> </w:t>
      </w:r>
      <w:r>
        <w:rPr>
          <w:color w:val="32809C"/>
          <w:sz w:val="18"/>
          <w:szCs w:val="18"/>
        </w:rPr>
        <w:tab/>
      </w:r>
      <w:r w:rsidRPr="0093314D">
        <w:rPr>
          <w:sz w:val="18"/>
          <w:szCs w:val="18"/>
        </w:rPr>
        <w:t xml:space="preserve">Environmental Protection Authority. </w:t>
      </w:r>
      <w:r>
        <w:rPr>
          <w:i/>
          <w:iCs/>
          <w:sz w:val="18"/>
          <w:szCs w:val="18"/>
        </w:rPr>
        <w:t>He Whetū M</w:t>
      </w:r>
      <w:r>
        <w:rPr>
          <w:rFonts w:cs="Calibri"/>
          <w:i/>
          <w:iCs/>
          <w:sz w:val="18"/>
          <w:szCs w:val="18"/>
        </w:rPr>
        <w:t>ā</w:t>
      </w:r>
      <w:r>
        <w:rPr>
          <w:i/>
          <w:iCs/>
          <w:sz w:val="18"/>
          <w:szCs w:val="18"/>
        </w:rPr>
        <w:t xml:space="preserve">rama  </w:t>
      </w:r>
      <w:hyperlink r:id="rId1" w:history="1">
        <w:r w:rsidRPr="006079F6">
          <w:rPr>
            <w:rStyle w:val="Hyperlink"/>
            <w:color w:val="1155CC"/>
            <w:sz w:val="18"/>
            <w:szCs w:val="18"/>
          </w:rPr>
          <w:t>https://www.epa.govt.nz/assets/Uploads/Documents/Te-Hautu/EPA-He-Whetu-Marama-English-poster.pdf</w:t>
        </w:r>
      </w:hyperlink>
    </w:p>
    <w:p w14:paraId="1CC0C5C0" w14:textId="022FD601" w:rsidR="00144B88" w:rsidRDefault="00144B88">
      <w:pPr>
        <w:pStyle w:val="FootnoteText"/>
      </w:pPr>
    </w:p>
  </w:footnote>
  <w:footnote w:id="4">
    <w:p w14:paraId="599F0891" w14:textId="77777777" w:rsidR="00144B88" w:rsidRPr="00144B88" w:rsidRDefault="00144B88" w:rsidP="00901EAE">
      <w:pPr>
        <w:pStyle w:val="FootnoteText"/>
        <w:rPr>
          <w:szCs w:val="19"/>
        </w:rPr>
      </w:pPr>
      <w:r w:rsidRPr="00901EAE">
        <w:rPr>
          <w:sz w:val="22"/>
          <w:vertAlign w:val="superscript"/>
        </w:rPr>
        <w:footnoteRef/>
      </w:r>
      <w:r>
        <w:rPr>
          <w:sz w:val="20"/>
          <w:szCs w:val="20"/>
        </w:rPr>
        <w:t xml:space="preserve"> </w:t>
      </w:r>
      <w:r>
        <w:rPr>
          <w:sz w:val="20"/>
          <w:szCs w:val="20"/>
        </w:rPr>
        <w:tab/>
      </w:r>
      <w:r w:rsidRPr="00627EE4">
        <w:rPr>
          <w:szCs w:val="19"/>
        </w:rPr>
        <w:t xml:space="preserve">Note: a useful starting reference on the attribution of the influence of climate change on recent flood and rainfall events and droughts over the past decade can be found in Frame et al (2018b). </w:t>
      </w:r>
      <w:r w:rsidRPr="00144B88">
        <w:rPr>
          <w:szCs w:val="19"/>
        </w:rPr>
        <w:t>Another helpful reference on changes in severe weather is Bell (2018a, 2018b).</w:t>
      </w:r>
    </w:p>
  </w:footnote>
  <w:footnote w:id="5">
    <w:p w14:paraId="45187F70" w14:textId="77777777" w:rsidR="00144B88" w:rsidRDefault="00144B88">
      <w:pPr>
        <w:pStyle w:val="FootnoteText"/>
      </w:pPr>
      <w:r>
        <w:rPr>
          <w:rStyle w:val="FootnoteReference"/>
        </w:rPr>
        <w:footnoteRef/>
      </w:r>
      <w:r>
        <w:t xml:space="preserve"> </w:t>
      </w:r>
      <w:r>
        <w:tab/>
      </w:r>
      <w:r w:rsidRPr="00E56869">
        <w:rPr>
          <w:highlight w:val="white"/>
        </w:rPr>
        <w:t>LRIS Portal (2019) LCDB v</w:t>
      </w:r>
      <w:r>
        <w:rPr>
          <w:highlight w:val="white"/>
        </w:rPr>
        <w:t xml:space="preserve"> 4.1</w:t>
      </w:r>
      <w:r w:rsidRPr="00E56869">
        <w:rPr>
          <w:highlight w:val="white"/>
        </w:rPr>
        <w:t xml:space="preserve"> Land Cover Database version 4.1, Mainland New Zealand,</w:t>
      </w:r>
      <w:r>
        <w:rPr>
          <w:highlight w:val="white"/>
        </w:rPr>
        <w:t xml:space="preserve"> </w:t>
      </w:r>
      <w:hyperlink r:id="rId2">
        <w:r w:rsidRPr="00E56869">
          <w:rPr>
            <w:rStyle w:val="Hyperlink"/>
            <w:highlight w:val="white"/>
          </w:rPr>
          <w:t>https://lris.scinfo.org.nz/layer/48423-lcdb-v41-land-cover-database-version-41-mainland-new-zealand/</w:t>
        </w:r>
      </w:hyperlink>
      <w:r w:rsidRPr="003D4FDF">
        <w:t>;</w:t>
      </w:r>
      <w:r>
        <w:t xml:space="preserve"> </w:t>
      </w:r>
      <w:r>
        <w:rPr>
          <w:sz w:val="18"/>
          <w:szCs w:val="18"/>
        </w:rPr>
        <w:t xml:space="preserve">Statistics New Zealand </w:t>
      </w:r>
      <w:r w:rsidRPr="00E56869">
        <w:rPr>
          <w:sz w:val="18"/>
          <w:szCs w:val="18"/>
        </w:rPr>
        <w:t>2018 Census</w:t>
      </w:r>
      <w:r>
        <w:rPr>
          <w:sz w:val="18"/>
          <w:szCs w:val="18"/>
        </w:rPr>
        <w:t xml:space="preserve"> </w:t>
      </w:r>
      <w:hyperlink r:id="rId3">
        <w:r w:rsidRPr="00E56869">
          <w:rPr>
            <w:rStyle w:val="Hyperlink"/>
            <w:highlight w:val="white"/>
          </w:rPr>
          <w:t>www.stats.govt.nz/2018-census/</w:t>
        </w:r>
      </w:hyperlink>
      <w:r>
        <w:t xml:space="preserve">; </w:t>
      </w:r>
      <w:r w:rsidRPr="00E56869">
        <w:rPr>
          <w:highlight w:val="white"/>
        </w:rPr>
        <w:t>NZ Building Outlines</w:t>
      </w:r>
      <w:r>
        <w:rPr>
          <w:color w:val="3C4043"/>
          <w:sz w:val="18"/>
          <w:szCs w:val="18"/>
          <w:highlight w:val="white"/>
          <w:u w:val="single"/>
        </w:rPr>
        <w:t xml:space="preserve"> </w:t>
      </w:r>
      <w:hyperlink r:id="rId4">
        <w:r w:rsidRPr="00E56869">
          <w:rPr>
            <w:rStyle w:val="Hyperlink"/>
            <w:highlight w:val="white"/>
          </w:rPr>
          <w:t>https://data.linz.govt.nz/layer/101290-nz-building-outlines/</w:t>
        </w:r>
      </w:hyperlink>
      <w:r w:rsidRPr="003D4FDF">
        <w:rPr>
          <w:highlight w:val="white"/>
        </w:rPr>
        <w:t>;</w:t>
      </w:r>
      <w:r>
        <w:rPr>
          <w:highlight w:val="white"/>
        </w:rPr>
        <w:t xml:space="preserve"> </w:t>
      </w:r>
      <w:r w:rsidRPr="003D4FDF">
        <w:t xml:space="preserve">RiskScape: </w:t>
      </w:r>
      <w:r w:rsidRPr="00E56869">
        <w:rPr>
          <w:rStyle w:val="Hyperlink"/>
        </w:rPr>
        <w:t>https://riskscape.org.nz/</w:t>
      </w:r>
      <w:r w:rsidRPr="00E56869">
        <w:t>.</w:t>
      </w:r>
    </w:p>
  </w:footnote>
  <w:footnote w:id="6">
    <w:p w14:paraId="57DDC095" w14:textId="77777777" w:rsidR="00144B88" w:rsidRDefault="00144B88" w:rsidP="00D92FC1">
      <w:pPr>
        <w:pStyle w:val="FootnoteText"/>
        <w:rPr>
          <w:rFonts w:eastAsia="Arial"/>
          <w:sz w:val="20"/>
          <w:szCs w:val="20"/>
        </w:rPr>
      </w:pPr>
      <w:r w:rsidRPr="00D92FC1">
        <w:rPr>
          <w:sz w:val="22"/>
          <w:vertAlign w:val="superscript"/>
        </w:rPr>
        <w:footnoteRef/>
      </w:r>
      <w:r w:rsidRPr="00D92FC1">
        <w:t xml:space="preserve"> </w:t>
      </w:r>
      <w:r w:rsidRPr="00D92FC1">
        <w:tab/>
        <w:t>A c</w:t>
      </w:r>
      <w:r>
        <w:rPr>
          <w:rFonts w:eastAsia="Arial"/>
        </w:rPr>
        <w:t xml:space="preserve">urrent research topic in the Resilience to Nature’s Challenges and Deep South Science Challenges (see </w:t>
      </w:r>
      <w:hyperlink r:id="rId5" w:history="1">
        <w:r w:rsidRPr="00F61D5B">
          <w:rPr>
            <w:rStyle w:val="Hyperlink"/>
            <w:rFonts w:eastAsia="Arial"/>
          </w:rPr>
          <w:t>https://resiliencechallenge.nz</w:t>
        </w:r>
      </w:hyperlink>
      <w:r>
        <w:rPr>
          <w:rFonts w:eastAsia="Arial"/>
        </w:rPr>
        <w:t xml:space="preserve"> and </w:t>
      </w:r>
      <w:hyperlink r:id="rId6" w:history="1">
        <w:r w:rsidRPr="00B850A2">
          <w:rPr>
            <w:rStyle w:val="Hyperlink"/>
            <w:rFonts w:eastAsia="Arial"/>
          </w:rPr>
          <w:t>www.deepsouthchallenge.co.nz</w:t>
        </w:r>
      </w:hyperlink>
      <w:r>
        <w:rPr>
          <w:rFonts w:eastAsia="Arial"/>
        </w:rPr>
        <w:t>, for further information).</w:t>
      </w:r>
    </w:p>
  </w:footnote>
  <w:footnote w:id="7">
    <w:p w14:paraId="7131E63F" w14:textId="77777777" w:rsidR="00144B88" w:rsidRDefault="00144B88" w:rsidP="007337AE">
      <w:pPr>
        <w:pStyle w:val="FootnoteText"/>
        <w:spacing w:after="0"/>
      </w:pPr>
      <w:r w:rsidRPr="00131A86">
        <w:rPr>
          <w:sz w:val="22"/>
          <w:vertAlign w:val="superscript"/>
        </w:rPr>
        <w:footnoteRef/>
      </w:r>
      <w:r>
        <w:t xml:space="preserve"> </w:t>
      </w:r>
      <w:r>
        <w:tab/>
        <w:t>International Association of Public Participation (IAP2) for good practice engagement guidance and templates:</w:t>
      </w:r>
      <w:r>
        <w:rPr>
          <w:rStyle w:val="Hyperlink"/>
        </w:rPr>
        <w:t xml:space="preserve"> </w:t>
      </w:r>
      <w:hyperlink r:id="rId7">
        <w:r w:rsidRPr="00131A86">
          <w:rPr>
            <w:rStyle w:val="Hyperlink"/>
          </w:rPr>
          <w:t>www.iap2.org</w:t>
        </w:r>
      </w:hyperlink>
      <w:r>
        <w:t>.</w:t>
      </w:r>
    </w:p>
  </w:footnote>
  <w:footnote w:id="8">
    <w:p w14:paraId="225B0217" w14:textId="77777777" w:rsidR="00144B88" w:rsidRDefault="00144B88" w:rsidP="00D100CE">
      <w:pPr>
        <w:pStyle w:val="FootnoteText"/>
      </w:pPr>
      <w:r w:rsidRPr="00C4794B">
        <w:rPr>
          <w:sz w:val="22"/>
          <w:vertAlign w:val="superscript"/>
        </w:rPr>
        <w:footnoteRef/>
      </w:r>
      <w:r>
        <w:rPr>
          <w:rFonts w:ascii="Arial" w:eastAsia="Arial" w:hAnsi="Arial" w:cs="Arial"/>
          <w:sz w:val="20"/>
          <w:szCs w:val="20"/>
        </w:rPr>
        <w:t xml:space="preserve"> </w:t>
      </w:r>
      <w:r>
        <w:rPr>
          <w:rFonts w:ascii="Arial" w:eastAsia="Arial" w:hAnsi="Arial" w:cs="Arial"/>
          <w:sz w:val="20"/>
          <w:szCs w:val="20"/>
        </w:rPr>
        <w:tab/>
      </w:r>
      <w:r>
        <w:t>For the marine domain see</w:t>
      </w:r>
      <w:r w:rsidRPr="003522B0">
        <w:t xml:space="preserve"> </w:t>
      </w:r>
      <w:r>
        <w:t xml:space="preserve">New Zealand’s Environmental Reporting Series </w:t>
      </w:r>
      <w:r w:rsidRPr="003522B0">
        <w:t>Environmental Indicators: Marine</w:t>
      </w:r>
      <w:r>
        <w:t xml:space="preserve">: </w:t>
      </w:r>
      <w:hyperlink r:id="rId8">
        <w:r w:rsidRPr="00C4794B">
          <w:rPr>
            <w:rStyle w:val="Hyperlink"/>
          </w:rPr>
          <w:t>http://archive.stats.govt.nz/browse_for_stats/environment/environmental-reporting-series/environmental-indicators/Home/Marine.aspx</w:t>
        </w:r>
      </w:hyperlink>
      <w:r>
        <w:t xml:space="preserve"> (other domains are also accessible from this URL).</w:t>
      </w:r>
    </w:p>
  </w:footnote>
  <w:footnote w:id="9">
    <w:p w14:paraId="186BE1EF" w14:textId="77777777" w:rsidR="00144B88" w:rsidRDefault="00144B88" w:rsidP="00755150">
      <w:pPr>
        <w:pStyle w:val="FootnoteText"/>
      </w:pPr>
      <w:r w:rsidRPr="00C4794B">
        <w:rPr>
          <w:sz w:val="22"/>
          <w:vertAlign w:val="superscript"/>
        </w:rPr>
        <w:footnoteRef/>
      </w:r>
      <w:r>
        <w:t xml:space="preserve"> </w:t>
      </w:r>
      <w:r>
        <w:tab/>
        <w:t>For example, facilitated risk workshops at the inception of major infrastructure projects are often convened with multiple parties and disciplines to co-produce a risk assessment and rank the critical risks to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42F22" w14:textId="00301053" w:rsidR="00144B88" w:rsidRPr="00DE7BF8" w:rsidRDefault="00144B88"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00865" w14:textId="77777777" w:rsidR="00144B88" w:rsidRDefault="00144B88"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5FAAA" w14:textId="77777777" w:rsidR="00144B88" w:rsidRDefault="00144B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906"/>
    <w:multiLevelType w:val="multilevel"/>
    <w:tmpl w:val="7AD83DEE"/>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7BA0E9F"/>
    <w:multiLevelType w:val="multilevel"/>
    <w:tmpl w:val="412A6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1364F80"/>
    <w:multiLevelType w:val="multilevel"/>
    <w:tmpl w:val="554A7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0D0C3C"/>
    <w:multiLevelType w:val="multilevel"/>
    <w:tmpl w:val="F5A2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68CCE2B2"/>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 w15:restartNumberingAfterBreak="0">
    <w:nsid w:val="35F66525"/>
    <w:multiLevelType w:val="multilevel"/>
    <w:tmpl w:val="3200A3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8E855A6"/>
    <w:multiLevelType w:val="multilevel"/>
    <w:tmpl w:val="29449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FF67A6C"/>
    <w:multiLevelType w:val="multilevel"/>
    <w:tmpl w:val="A20E9D6A"/>
    <w:lvl w:ilvl="0">
      <w:start w:val="1"/>
      <w:numFmt w:val="decimal"/>
      <w:lvlText w:val="%1."/>
      <w:lvlJc w:val="left"/>
      <w:pPr>
        <w:ind w:left="397" w:hanging="397"/>
      </w:pPr>
      <w:rPr>
        <w:rFonts w:ascii="Calibri" w:hAnsi="Calibri" w:cs="Arial" w:hint="default"/>
        <w:b w:val="0"/>
        <w:i w:val="0"/>
        <w:sz w:val="22"/>
        <w:szCs w:val="22"/>
      </w:rPr>
    </w:lvl>
    <w:lvl w:ilvl="1">
      <w:start w:val="1"/>
      <w:numFmt w:val="lowerRoman"/>
      <w:lvlText w:val="%2."/>
      <w:lvlJc w:val="righ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411D399E"/>
    <w:multiLevelType w:val="hybridMultilevel"/>
    <w:tmpl w:val="D2C6A64E"/>
    <w:lvl w:ilvl="0" w:tplc="82EE7446">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03482C28">
      <w:numFmt w:val="bullet"/>
      <w:lvlText w:val="•"/>
      <w:lvlJc w:val="left"/>
      <w:pPr>
        <w:ind w:left="2160" w:hanging="720"/>
      </w:pPr>
      <w:rPr>
        <w:rFonts w:ascii="Calibri" w:eastAsiaTheme="minorHAnsi" w:hAnsi="Calibri" w:cs="Calibri"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B15110"/>
    <w:multiLevelType w:val="hybridMultilevel"/>
    <w:tmpl w:val="90EE7D7E"/>
    <w:lvl w:ilvl="0" w:tplc="BEDEFAE6">
      <w:start w:val="1"/>
      <w:numFmt w:val="bullet"/>
      <w:lvlText w:val=""/>
      <w:lvlJc w:val="left"/>
      <w:pPr>
        <w:tabs>
          <w:tab w:val="num" w:pos="567"/>
        </w:tabs>
        <w:ind w:left="567" w:hanging="567"/>
      </w:pPr>
      <w:rPr>
        <w:rFonts w:ascii="Symbol" w:hAnsi="Symbol" w:hint="default"/>
        <w:sz w:val="20"/>
        <w:szCs w:val="20"/>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C0519A9"/>
    <w:multiLevelType w:val="multilevel"/>
    <w:tmpl w:val="20782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3" w15:restartNumberingAfterBreak="0">
    <w:nsid w:val="58032857"/>
    <w:multiLevelType w:val="multilevel"/>
    <w:tmpl w:val="8E060F58"/>
    <w:lvl w:ilvl="0">
      <w:start w:val="1"/>
      <w:numFmt w:val="bullet"/>
      <w:lvlText w:val="•"/>
      <w:lvlJc w:val="left"/>
      <w:pPr>
        <w:ind w:left="644" w:hanging="359"/>
      </w:pPr>
      <w:rPr>
        <w:rFonts w:ascii="Arial" w:eastAsia="Arial" w:hAnsi="Arial" w:cs="Arial"/>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4" w15:restartNumberingAfterBreak="0">
    <w:nsid w:val="5C0329F0"/>
    <w:multiLevelType w:val="multilevel"/>
    <w:tmpl w:val="146CC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D36AEC"/>
    <w:multiLevelType w:val="multilevel"/>
    <w:tmpl w:val="3B6AC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8" w15:restartNumberingAfterBreak="0">
    <w:nsid w:val="70F64F4F"/>
    <w:multiLevelType w:val="multilevel"/>
    <w:tmpl w:val="B1301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368220A"/>
    <w:multiLevelType w:val="multilevel"/>
    <w:tmpl w:val="096E1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2"/>
  </w:num>
  <w:num w:numId="3">
    <w:abstractNumId w:val="17"/>
  </w:num>
  <w:num w:numId="4">
    <w:abstractNumId w:val="10"/>
  </w:num>
  <w:num w:numId="5">
    <w:abstractNumId w:val="5"/>
  </w:num>
  <w:num w:numId="6">
    <w:abstractNumId w:val="20"/>
  </w:num>
  <w:num w:numId="7">
    <w:abstractNumId w:val="18"/>
  </w:num>
  <w:num w:numId="8">
    <w:abstractNumId w:val="3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6"/>
  </w:num>
  <w:num w:numId="12">
    <w:abstractNumId w:val="3"/>
  </w:num>
  <w:num w:numId="13">
    <w:abstractNumId w:val="8"/>
  </w:num>
  <w:num w:numId="14">
    <w:abstractNumId w:val="14"/>
  </w:num>
  <w:num w:numId="15">
    <w:abstractNumId w:val="4"/>
  </w:num>
  <w:num w:numId="16">
    <w:abstractNumId w:val="2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2"/>
  </w:num>
  <w:num w:numId="24">
    <w:abstractNumId w:val="13"/>
  </w:num>
  <w:num w:numId="25">
    <w:abstractNumId w:val="1"/>
  </w:num>
  <w:num w:numId="26">
    <w:abstractNumId w:val="7"/>
  </w:num>
  <w:num w:numId="27">
    <w:abstractNumId w:val="21"/>
  </w:num>
  <w:num w:numId="28">
    <w:abstractNumId w:val="24"/>
  </w:num>
  <w:num w:numId="29">
    <w:abstractNumId w:val="6"/>
  </w:num>
  <w:num w:numId="30">
    <w:abstractNumId w:val="25"/>
  </w:num>
  <w:num w:numId="31">
    <w:abstractNumId w:val="29"/>
  </w:num>
  <w:num w:numId="32">
    <w:abstractNumId w:val="0"/>
  </w:num>
  <w:num w:numId="33">
    <w:abstractNumId w:val="23"/>
  </w:num>
  <w:num w:numId="34">
    <w:abstractNumId w:val="16"/>
  </w:num>
  <w:num w:numId="35">
    <w:abstractNumId w:val="19"/>
  </w:num>
  <w:num w:numId="36">
    <w:abstractNumId w:val="2"/>
  </w:num>
  <w:num w:numId="37">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397"/>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2B"/>
    <w:rsid w:val="00000792"/>
    <w:rsid w:val="00000F04"/>
    <w:rsid w:val="000017EE"/>
    <w:rsid w:val="0000205E"/>
    <w:rsid w:val="0000291E"/>
    <w:rsid w:val="00003706"/>
    <w:rsid w:val="00003C4F"/>
    <w:rsid w:val="000041A2"/>
    <w:rsid w:val="00004E0A"/>
    <w:rsid w:val="00004FD3"/>
    <w:rsid w:val="00006DF5"/>
    <w:rsid w:val="00006F95"/>
    <w:rsid w:val="00007023"/>
    <w:rsid w:val="0000709F"/>
    <w:rsid w:val="000071D6"/>
    <w:rsid w:val="00007F2D"/>
    <w:rsid w:val="00007FAC"/>
    <w:rsid w:val="0001028A"/>
    <w:rsid w:val="00010A9C"/>
    <w:rsid w:val="00010ABA"/>
    <w:rsid w:val="00010E15"/>
    <w:rsid w:val="00010F57"/>
    <w:rsid w:val="0001100C"/>
    <w:rsid w:val="00011188"/>
    <w:rsid w:val="000124AB"/>
    <w:rsid w:val="000124EE"/>
    <w:rsid w:val="00012555"/>
    <w:rsid w:val="00012C6C"/>
    <w:rsid w:val="00013957"/>
    <w:rsid w:val="00013E36"/>
    <w:rsid w:val="00014236"/>
    <w:rsid w:val="000148F6"/>
    <w:rsid w:val="00015217"/>
    <w:rsid w:val="000159D2"/>
    <w:rsid w:val="00015BAB"/>
    <w:rsid w:val="00016264"/>
    <w:rsid w:val="00016993"/>
    <w:rsid w:val="00016CAB"/>
    <w:rsid w:val="00016E5B"/>
    <w:rsid w:val="000172C1"/>
    <w:rsid w:val="0001749B"/>
    <w:rsid w:val="00017D75"/>
    <w:rsid w:val="00017FE5"/>
    <w:rsid w:val="000204E8"/>
    <w:rsid w:val="00021910"/>
    <w:rsid w:val="00021D81"/>
    <w:rsid w:val="0002237B"/>
    <w:rsid w:val="00022986"/>
    <w:rsid w:val="00022E8D"/>
    <w:rsid w:val="0002301F"/>
    <w:rsid w:val="0002348A"/>
    <w:rsid w:val="00024708"/>
    <w:rsid w:val="00024EE7"/>
    <w:rsid w:val="00025F96"/>
    <w:rsid w:val="00025FAB"/>
    <w:rsid w:val="00026E89"/>
    <w:rsid w:val="000275A3"/>
    <w:rsid w:val="00027B49"/>
    <w:rsid w:val="00030558"/>
    <w:rsid w:val="00030699"/>
    <w:rsid w:val="00030725"/>
    <w:rsid w:val="00030DB8"/>
    <w:rsid w:val="00031A83"/>
    <w:rsid w:val="0003213A"/>
    <w:rsid w:val="00032A0B"/>
    <w:rsid w:val="00032A81"/>
    <w:rsid w:val="000340D8"/>
    <w:rsid w:val="0003427D"/>
    <w:rsid w:val="00034DBC"/>
    <w:rsid w:val="00034DFA"/>
    <w:rsid w:val="000357ED"/>
    <w:rsid w:val="00035E15"/>
    <w:rsid w:val="0003640E"/>
    <w:rsid w:val="00036413"/>
    <w:rsid w:val="0003688A"/>
    <w:rsid w:val="000368FC"/>
    <w:rsid w:val="00036DA3"/>
    <w:rsid w:val="00036E84"/>
    <w:rsid w:val="00036FC7"/>
    <w:rsid w:val="00037179"/>
    <w:rsid w:val="000379BF"/>
    <w:rsid w:val="00037BEC"/>
    <w:rsid w:val="00037CC3"/>
    <w:rsid w:val="00037CE7"/>
    <w:rsid w:val="000400D9"/>
    <w:rsid w:val="0004035C"/>
    <w:rsid w:val="00040860"/>
    <w:rsid w:val="00040CED"/>
    <w:rsid w:val="00040EA1"/>
    <w:rsid w:val="00041223"/>
    <w:rsid w:val="0004205F"/>
    <w:rsid w:val="000423C6"/>
    <w:rsid w:val="00042EDB"/>
    <w:rsid w:val="00043BA5"/>
    <w:rsid w:val="00044893"/>
    <w:rsid w:val="00044A50"/>
    <w:rsid w:val="00044C65"/>
    <w:rsid w:val="000458C7"/>
    <w:rsid w:val="00045991"/>
    <w:rsid w:val="00045E5C"/>
    <w:rsid w:val="00046288"/>
    <w:rsid w:val="000462CF"/>
    <w:rsid w:val="00047941"/>
    <w:rsid w:val="00050894"/>
    <w:rsid w:val="00050A22"/>
    <w:rsid w:val="00050E27"/>
    <w:rsid w:val="0005144F"/>
    <w:rsid w:val="00051AF1"/>
    <w:rsid w:val="00051D42"/>
    <w:rsid w:val="000527E5"/>
    <w:rsid w:val="00053883"/>
    <w:rsid w:val="000538A1"/>
    <w:rsid w:val="00054D18"/>
    <w:rsid w:val="00055375"/>
    <w:rsid w:val="00056319"/>
    <w:rsid w:val="000564E7"/>
    <w:rsid w:val="00056770"/>
    <w:rsid w:val="00057386"/>
    <w:rsid w:val="00057EEF"/>
    <w:rsid w:val="00060468"/>
    <w:rsid w:val="00060A8A"/>
    <w:rsid w:val="0006181A"/>
    <w:rsid w:val="000619CB"/>
    <w:rsid w:val="00061EC5"/>
    <w:rsid w:val="00062387"/>
    <w:rsid w:val="00063E6B"/>
    <w:rsid w:val="000640F0"/>
    <w:rsid w:val="0006434D"/>
    <w:rsid w:val="000643A1"/>
    <w:rsid w:val="00064679"/>
    <w:rsid w:val="00064A13"/>
    <w:rsid w:val="00064AF4"/>
    <w:rsid w:val="00064DB1"/>
    <w:rsid w:val="00065BA3"/>
    <w:rsid w:val="00065D3B"/>
    <w:rsid w:val="000667E9"/>
    <w:rsid w:val="00066CB0"/>
    <w:rsid w:val="00066D6B"/>
    <w:rsid w:val="00067128"/>
    <w:rsid w:val="000675CD"/>
    <w:rsid w:val="00067872"/>
    <w:rsid w:val="000678AC"/>
    <w:rsid w:val="000703B2"/>
    <w:rsid w:val="00070FBF"/>
    <w:rsid w:val="000711EE"/>
    <w:rsid w:val="0007180E"/>
    <w:rsid w:val="00071AE4"/>
    <w:rsid w:val="00071C47"/>
    <w:rsid w:val="00071CB5"/>
    <w:rsid w:val="00071CCB"/>
    <w:rsid w:val="00071D03"/>
    <w:rsid w:val="0007232B"/>
    <w:rsid w:val="000735A2"/>
    <w:rsid w:val="00074D96"/>
    <w:rsid w:val="0007517E"/>
    <w:rsid w:val="00075FE1"/>
    <w:rsid w:val="00076667"/>
    <w:rsid w:val="00077473"/>
    <w:rsid w:val="00077481"/>
    <w:rsid w:val="000776F9"/>
    <w:rsid w:val="00077A51"/>
    <w:rsid w:val="00077EE0"/>
    <w:rsid w:val="000802F9"/>
    <w:rsid w:val="0008145A"/>
    <w:rsid w:val="0008162D"/>
    <w:rsid w:val="00081BF4"/>
    <w:rsid w:val="0008237B"/>
    <w:rsid w:val="0008311C"/>
    <w:rsid w:val="000831C8"/>
    <w:rsid w:val="00083455"/>
    <w:rsid w:val="00083ED4"/>
    <w:rsid w:val="00083F5E"/>
    <w:rsid w:val="000846BD"/>
    <w:rsid w:val="00084FDB"/>
    <w:rsid w:val="0008505C"/>
    <w:rsid w:val="00085840"/>
    <w:rsid w:val="00085C46"/>
    <w:rsid w:val="000861C0"/>
    <w:rsid w:val="00086660"/>
    <w:rsid w:val="0008686A"/>
    <w:rsid w:val="00086E0A"/>
    <w:rsid w:val="00087175"/>
    <w:rsid w:val="00087D35"/>
    <w:rsid w:val="00091272"/>
    <w:rsid w:val="00091796"/>
    <w:rsid w:val="00091BA2"/>
    <w:rsid w:val="00091CB0"/>
    <w:rsid w:val="00092924"/>
    <w:rsid w:val="00093989"/>
    <w:rsid w:val="00094344"/>
    <w:rsid w:val="000944EC"/>
    <w:rsid w:val="000953C6"/>
    <w:rsid w:val="000953F4"/>
    <w:rsid w:val="0009590C"/>
    <w:rsid w:val="000959E7"/>
    <w:rsid w:val="00095A01"/>
    <w:rsid w:val="00095E7D"/>
    <w:rsid w:val="00095EBC"/>
    <w:rsid w:val="000964DE"/>
    <w:rsid w:val="000972AB"/>
    <w:rsid w:val="00097B40"/>
    <w:rsid w:val="00097D0E"/>
    <w:rsid w:val="000A0CBA"/>
    <w:rsid w:val="000A16C5"/>
    <w:rsid w:val="000A17DE"/>
    <w:rsid w:val="000A17EA"/>
    <w:rsid w:val="000A1C7A"/>
    <w:rsid w:val="000A2345"/>
    <w:rsid w:val="000A2394"/>
    <w:rsid w:val="000A3050"/>
    <w:rsid w:val="000A31C1"/>
    <w:rsid w:val="000A32C5"/>
    <w:rsid w:val="000A32F2"/>
    <w:rsid w:val="000A3411"/>
    <w:rsid w:val="000A34CA"/>
    <w:rsid w:val="000A3541"/>
    <w:rsid w:val="000A4069"/>
    <w:rsid w:val="000A426F"/>
    <w:rsid w:val="000A4397"/>
    <w:rsid w:val="000A4559"/>
    <w:rsid w:val="000A45FD"/>
    <w:rsid w:val="000A477B"/>
    <w:rsid w:val="000A558D"/>
    <w:rsid w:val="000A5611"/>
    <w:rsid w:val="000A563C"/>
    <w:rsid w:val="000A59C5"/>
    <w:rsid w:val="000A5DEA"/>
    <w:rsid w:val="000A5EBD"/>
    <w:rsid w:val="000A6524"/>
    <w:rsid w:val="000A6D37"/>
    <w:rsid w:val="000A7234"/>
    <w:rsid w:val="000A7658"/>
    <w:rsid w:val="000A7F0F"/>
    <w:rsid w:val="000A7F4C"/>
    <w:rsid w:val="000B02BC"/>
    <w:rsid w:val="000B0498"/>
    <w:rsid w:val="000B0F36"/>
    <w:rsid w:val="000B136A"/>
    <w:rsid w:val="000B1942"/>
    <w:rsid w:val="000B1BED"/>
    <w:rsid w:val="000B2240"/>
    <w:rsid w:val="000B2477"/>
    <w:rsid w:val="000B2600"/>
    <w:rsid w:val="000B36F9"/>
    <w:rsid w:val="000B4074"/>
    <w:rsid w:val="000B4732"/>
    <w:rsid w:val="000B4BCD"/>
    <w:rsid w:val="000B4BD4"/>
    <w:rsid w:val="000B535C"/>
    <w:rsid w:val="000B630C"/>
    <w:rsid w:val="000B66DC"/>
    <w:rsid w:val="000B6D1F"/>
    <w:rsid w:val="000B752F"/>
    <w:rsid w:val="000C062F"/>
    <w:rsid w:val="000C0836"/>
    <w:rsid w:val="000C12AA"/>
    <w:rsid w:val="000C17E7"/>
    <w:rsid w:val="000C2EF8"/>
    <w:rsid w:val="000C3270"/>
    <w:rsid w:val="000C569D"/>
    <w:rsid w:val="000C577E"/>
    <w:rsid w:val="000C7B6F"/>
    <w:rsid w:val="000D04BA"/>
    <w:rsid w:val="000D0B6E"/>
    <w:rsid w:val="000D0D65"/>
    <w:rsid w:val="000D12E0"/>
    <w:rsid w:val="000D181C"/>
    <w:rsid w:val="000D1944"/>
    <w:rsid w:val="000D1DD9"/>
    <w:rsid w:val="000D2172"/>
    <w:rsid w:val="000D293C"/>
    <w:rsid w:val="000D2BC1"/>
    <w:rsid w:val="000D337B"/>
    <w:rsid w:val="000D385A"/>
    <w:rsid w:val="000D38C2"/>
    <w:rsid w:val="000D3CA7"/>
    <w:rsid w:val="000D4177"/>
    <w:rsid w:val="000D4E8C"/>
    <w:rsid w:val="000D5B16"/>
    <w:rsid w:val="000D5D61"/>
    <w:rsid w:val="000D5FD6"/>
    <w:rsid w:val="000D6201"/>
    <w:rsid w:val="000D6488"/>
    <w:rsid w:val="000D6AFF"/>
    <w:rsid w:val="000D6D73"/>
    <w:rsid w:val="000D7088"/>
    <w:rsid w:val="000D7333"/>
    <w:rsid w:val="000D770B"/>
    <w:rsid w:val="000D788E"/>
    <w:rsid w:val="000E07D0"/>
    <w:rsid w:val="000E12B0"/>
    <w:rsid w:val="000E1BC8"/>
    <w:rsid w:val="000E1D32"/>
    <w:rsid w:val="000E1F63"/>
    <w:rsid w:val="000E2143"/>
    <w:rsid w:val="000E26D8"/>
    <w:rsid w:val="000E2B94"/>
    <w:rsid w:val="000E3156"/>
    <w:rsid w:val="000E35B6"/>
    <w:rsid w:val="000E3BB8"/>
    <w:rsid w:val="000E3D9B"/>
    <w:rsid w:val="000E3DFD"/>
    <w:rsid w:val="000E4261"/>
    <w:rsid w:val="000E4697"/>
    <w:rsid w:val="000E48A8"/>
    <w:rsid w:val="000E4D09"/>
    <w:rsid w:val="000E58C5"/>
    <w:rsid w:val="000E5918"/>
    <w:rsid w:val="000E5C46"/>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2862"/>
    <w:rsid w:val="000F348D"/>
    <w:rsid w:val="000F369A"/>
    <w:rsid w:val="000F4463"/>
    <w:rsid w:val="000F5285"/>
    <w:rsid w:val="000F52E0"/>
    <w:rsid w:val="000F53A9"/>
    <w:rsid w:val="000F62E5"/>
    <w:rsid w:val="000F6464"/>
    <w:rsid w:val="000F6628"/>
    <w:rsid w:val="000F67EF"/>
    <w:rsid w:val="000F68CD"/>
    <w:rsid w:val="000F6C25"/>
    <w:rsid w:val="000F7323"/>
    <w:rsid w:val="000F74A6"/>
    <w:rsid w:val="000F76EB"/>
    <w:rsid w:val="000F78AE"/>
    <w:rsid w:val="000F7E25"/>
    <w:rsid w:val="001007EE"/>
    <w:rsid w:val="00100F76"/>
    <w:rsid w:val="0010148E"/>
    <w:rsid w:val="0010253C"/>
    <w:rsid w:val="00102BD1"/>
    <w:rsid w:val="00102E62"/>
    <w:rsid w:val="0010486A"/>
    <w:rsid w:val="001053E7"/>
    <w:rsid w:val="0010561C"/>
    <w:rsid w:val="001056B1"/>
    <w:rsid w:val="00105C0F"/>
    <w:rsid w:val="00105E39"/>
    <w:rsid w:val="00106023"/>
    <w:rsid w:val="00106561"/>
    <w:rsid w:val="00106D63"/>
    <w:rsid w:val="001070B5"/>
    <w:rsid w:val="001075F3"/>
    <w:rsid w:val="00107A01"/>
    <w:rsid w:val="00107C23"/>
    <w:rsid w:val="00110307"/>
    <w:rsid w:val="00110C7F"/>
    <w:rsid w:val="00110EE2"/>
    <w:rsid w:val="00111189"/>
    <w:rsid w:val="00111A88"/>
    <w:rsid w:val="0011221A"/>
    <w:rsid w:val="00112409"/>
    <w:rsid w:val="00113283"/>
    <w:rsid w:val="001137AE"/>
    <w:rsid w:val="00113B20"/>
    <w:rsid w:val="0011479A"/>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8C4"/>
    <w:rsid w:val="00123C46"/>
    <w:rsid w:val="001240F8"/>
    <w:rsid w:val="0012470B"/>
    <w:rsid w:val="00124D15"/>
    <w:rsid w:val="00125C75"/>
    <w:rsid w:val="00125C7E"/>
    <w:rsid w:val="00127945"/>
    <w:rsid w:val="00127D94"/>
    <w:rsid w:val="00127E90"/>
    <w:rsid w:val="001302C1"/>
    <w:rsid w:val="001306D3"/>
    <w:rsid w:val="001310BF"/>
    <w:rsid w:val="00131A86"/>
    <w:rsid w:val="00133D66"/>
    <w:rsid w:val="00133D9F"/>
    <w:rsid w:val="00133E73"/>
    <w:rsid w:val="00133FDB"/>
    <w:rsid w:val="00134F4A"/>
    <w:rsid w:val="00135522"/>
    <w:rsid w:val="00135E4E"/>
    <w:rsid w:val="00136246"/>
    <w:rsid w:val="001364D4"/>
    <w:rsid w:val="001371C8"/>
    <w:rsid w:val="001372ED"/>
    <w:rsid w:val="00142502"/>
    <w:rsid w:val="001429CF"/>
    <w:rsid w:val="00142B50"/>
    <w:rsid w:val="001437BE"/>
    <w:rsid w:val="00143873"/>
    <w:rsid w:val="001439E9"/>
    <w:rsid w:val="00143C55"/>
    <w:rsid w:val="00144B88"/>
    <w:rsid w:val="00144C6F"/>
    <w:rsid w:val="00145089"/>
    <w:rsid w:val="001451E7"/>
    <w:rsid w:val="00145A31"/>
    <w:rsid w:val="001462E3"/>
    <w:rsid w:val="0014720C"/>
    <w:rsid w:val="001472C2"/>
    <w:rsid w:val="00147309"/>
    <w:rsid w:val="00147458"/>
    <w:rsid w:val="00147CDD"/>
    <w:rsid w:val="00147E21"/>
    <w:rsid w:val="00150BA8"/>
    <w:rsid w:val="00150D19"/>
    <w:rsid w:val="0015181B"/>
    <w:rsid w:val="00151A9F"/>
    <w:rsid w:val="00151C5F"/>
    <w:rsid w:val="00152485"/>
    <w:rsid w:val="00152B87"/>
    <w:rsid w:val="00152DDF"/>
    <w:rsid w:val="00153A96"/>
    <w:rsid w:val="00153D1C"/>
    <w:rsid w:val="001543E2"/>
    <w:rsid w:val="00155B43"/>
    <w:rsid w:val="001565A2"/>
    <w:rsid w:val="001567C3"/>
    <w:rsid w:val="00156A12"/>
    <w:rsid w:val="00157B3F"/>
    <w:rsid w:val="00157F8A"/>
    <w:rsid w:val="00160C3D"/>
    <w:rsid w:val="00161B24"/>
    <w:rsid w:val="00161C41"/>
    <w:rsid w:val="00161DD5"/>
    <w:rsid w:val="001620D7"/>
    <w:rsid w:val="001633A4"/>
    <w:rsid w:val="001634D6"/>
    <w:rsid w:val="00163C11"/>
    <w:rsid w:val="001648DD"/>
    <w:rsid w:val="00165705"/>
    <w:rsid w:val="00166389"/>
    <w:rsid w:val="00166ABA"/>
    <w:rsid w:val="00166D92"/>
    <w:rsid w:val="00166E03"/>
    <w:rsid w:val="00167E4C"/>
    <w:rsid w:val="0017026D"/>
    <w:rsid w:val="00171449"/>
    <w:rsid w:val="00171770"/>
    <w:rsid w:val="0017199C"/>
    <w:rsid w:val="00171C7E"/>
    <w:rsid w:val="00171EE9"/>
    <w:rsid w:val="00171F35"/>
    <w:rsid w:val="001723AD"/>
    <w:rsid w:val="00172552"/>
    <w:rsid w:val="001725B0"/>
    <w:rsid w:val="00172873"/>
    <w:rsid w:val="00172CF7"/>
    <w:rsid w:val="0017319E"/>
    <w:rsid w:val="00173732"/>
    <w:rsid w:val="00173A1F"/>
    <w:rsid w:val="00173BC3"/>
    <w:rsid w:val="00173E8A"/>
    <w:rsid w:val="00174128"/>
    <w:rsid w:val="00175998"/>
    <w:rsid w:val="00175C34"/>
    <w:rsid w:val="00175F9A"/>
    <w:rsid w:val="00176CE8"/>
    <w:rsid w:val="00176E98"/>
    <w:rsid w:val="00177996"/>
    <w:rsid w:val="00180554"/>
    <w:rsid w:val="00180A82"/>
    <w:rsid w:val="00180B3F"/>
    <w:rsid w:val="00180C83"/>
    <w:rsid w:val="00180CE5"/>
    <w:rsid w:val="0018175B"/>
    <w:rsid w:val="001820A3"/>
    <w:rsid w:val="001832F8"/>
    <w:rsid w:val="0018332A"/>
    <w:rsid w:val="00183D80"/>
    <w:rsid w:val="001842C8"/>
    <w:rsid w:val="001847A5"/>
    <w:rsid w:val="00185044"/>
    <w:rsid w:val="001850DB"/>
    <w:rsid w:val="0018599C"/>
    <w:rsid w:val="001869EE"/>
    <w:rsid w:val="00186D00"/>
    <w:rsid w:val="0018743A"/>
    <w:rsid w:val="00190A57"/>
    <w:rsid w:val="00190B3F"/>
    <w:rsid w:val="00190C7F"/>
    <w:rsid w:val="0019106A"/>
    <w:rsid w:val="0019122C"/>
    <w:rsid w:val="00191556"/>
    <w:rsid w:val="00191908"/>
    <w:rsid w:val="00192DF3"/>
    <w:rsid w:val="0019301F"/>
    <w:rsid w:val="00193286"/>
    <w:rsid w:val="001937B8"/>
    <w:rsid w:val="00194718"/>
    <w:rsid w:val="00194BB7"/>
    <w:rsid w:val="00194CC5"/>
    <w:rsid w:val="00194DB9"/>
    <w:rsid w:val="001951B2"/>
    <w:rsid w:val="0019565D"/>
    <w:rsid w:val="001960AD"/>
    <w:rsid w:val="00196CAF"/>
    <w:rsid w:val="00197564"/>
    <w:rsid w:val="00197EC2"/>
    <w:rsid w:val="00197ECE"/>
    <w:rsid w:val="001A0F39"/>
    <w:rsid w:val="001A1CED"/>
    <w:rsid w:val="001A23A0"/>
    <w:rsid w:val="001A2590"/>
    <w:rsid w:val="001A279B"/>
    <w:rsid w:val="001A2DC3"/>
    <w:rsid w:val="001A2E87"/>
    <w:rsid w:val="001A3869"/>
    <w:rsid w:val="001A38C2"/>
    <w:rsid w:val="001A3AA2"/>
    <w:rsid w:val="001A3C6C"/>
    <w:rsid w:val="001A3F09"/>
    <w:rsid w:val="001A65C8"/>
    <w:rsid w:val="001A6AFF"/>
    <w:rsid w:val="001A72F3"/>
    <w:rsid w:val="001A732E"/>
    <w:rsid w:val="001A7A50"/>
    <w:rsid w:val="001A7C11"/>
    <w:rsid w:val="001A7F30"/>
    <w:rsid w:val="001B06E2"/>
    <w:rsid w:val="001B103A"/>
    <w:rsid w:val="001B103D"/>
    <w:rsid w:val="001B1109"/>
    <w:rsid w:val="001B1513"/>
    <w:rsid w:val="001B16A0"/>
    <w:rsid w:val="001B1767"/>
    <w:rsid w:val="001B189C"/>
    <w:rsid w:val="001B1BD0"/>
    <w:rsid w:val="001B2453"/>
    <w:rsid w:val="001B2937"/>
    <w:rsid w:val="001B2A6C"/>
    <w:rsid w:val="001B2E62"/>
    <w:rsid w:val="001B3D48"/>
    <w:rsid w:val="001B45DD"/>
    <w:rsid w:val="001B5461"/>
    <w:rsid w:val="001B58C8"/>
    <w:rsid w:val="001B5A62"/>
    <w:rsid w:val="001B5AF9"/>
    <w:rsid w:val="001B6600"/>
    <w:rsid w:val="001B6B9B"/>
    <w:rsid w:val="001B6C27"/>
    <w:rsid w:val="001B6D3D"/>
    <w:rsid w:val="001B6EF0"/>
    <w:rsid w:val="001B7144"/>
    <w:rsid w:val="001B7AEC"/>
    <w:rsid w:val="001B7E91"/>
    <w:rsid w:val="001C147E"/>
    <w:rsid w:val="001C151B"/>
    <w:rsid w:val="001C1988"/>
    <w:rsid w:val="001C19E5"/>
    <w:rsid w:val="001C3800"/>
    <w:rsid w:val="001C3C7B"/>
    <w:rsid w:val="001C3EBE"/>
    <w:rsid w:val="001C3FE4"/>
    <w:rsid w:val="001C4302"/>
    <w:rsid w:val="001C4BFA"/>
    <w:rsid w:val="001C5089"/>
    <w:rsid w:val="001C5110"/>
    <w:rsid w:val="001C6122"/>
    <w:rsid w:val="001C6587"/>
    <w:rsid w:val="001C65F4"/>
    <w:rsid w:val="001C69BE"/>
    <w:rsid w:val="001C6A57"/>
    <w:rsid w:val="001C6DB5"/>
    <w:rsid w:val="001C6EEB"/>
    <w:rsid w:val="001C71AC"/>
    <w:rsid w:val="001C7316"/>
    <w:rsid w:val="001C7725"/>
    <w:rsid w:val="001C7E5C"/>
    <w:rsid w:val="001D00CC"/>
    <w:rsid w:val="001D0261"/>
    <w:rsid w:val="001D02AF"/>
    <w:rsid w:val="001D0494"/>
    <w:rsid w:val="001D04FE"/>
    <w:rsid w:val="001D07B7"/>
    <w:rsid w:val="001D1719"/>
    <w:rsid w:val="001D171B"/>
    <w:rsid w:val="001D1732"/>
    <w:rsid w:val="001D1E2E"/>
    <w:rsid w:val="001D2203"/>
    <w:rsid w:val="001D22A7"/>
    <w:rsid w:val="001D255C"/>
    <w:rsid w:val="001D27B9"/>
    <w:rsid w:val="001D2DEF"/>
    <w:rsid w:val="001D30BB"/>
    <w:rsid w:val="001D383E"/>
    <w:rsid w:val="001D3C07"/>
    <w:rsid w:val="001D488C"/>
    <w:rsid w:val="001D48A1"/>
    <w:rsid w:val="001D4A08"/>
    <w:rsid w:val="001D4A5F"/>
    <w:rsid w:val="001D4CDF"/>
    <w:rsid w:val="001D4F88"/>
    <w:rsid w:val="001D578D"/>
    <w:rsid w:val="001D5818"/>
    <w:rsid w:val="001D653A"/>
    <w:rsid w:val="001D7DEE"/>
    <w:rsid w:val="001E0125"/>
    <w:rsid w:val="001E02CB"/>
    <w:rsid w:val="001E14FD"/>
    <w:rsid w:val="001E180F"/>
    <w:rsid w:val="001E1C64"/>
    <w:rsid w:val="001E1CEC"/>
    <w:rsid w:val="001E2ECB"/>
    <w:rsid w:val="001E4B64"/>
    <w:rsid w:val="001E552A"/>
    <w:rsid w:val="001E57B9"/>
    <w:rsid w:val="001E5EC8"/>
    <w:rsid w:val="001E63E2"/>
    <w:rsid w:val="001E6E8D"/>
    <w:rsid w:val="001E6F79"/>
    <w:rsid w:val="001E7EE4"/>
    <w:rsid w:val="001E7F76"/>
    <w:rsid w:val="001F012E"/>
    <w:rsid w:val="001F0FAF"/>
    <w:rsid w:val="001F139F"/>
    <w:rsid w:val="001F1663"/>
    <w:rsid w:val="001F1E02"/>
    <w:rsid w:val="001F2805"/>
    <w:rsid w:val="001F2DA7"/>
    <w:rsid w:val="001F2E79"/>
    <w:rsid w:val="001F2F07"/>
    <w:rsid w:val="001F2F29"/>
    <w:rsid w:val="001F3123"/>
    <w:rsid w:val="001F376D"/>
    <w:rsid w:val="001F418C"/>
    <w:rsid w:val="001F4B2D"/>
    <w:rsid w:val="001F4F40"/>
    <w:rsid w:val="001F50E0"/>
    <w:rsid w:val="001F5942"/>
    <w:rsid w:val="001F594C"/>
    <w:rsid w:val="001F69FC"/>
    <w:rsid w:val="001F6D62"/>
    <w:rsid w:val="001F7675"/>
    <w:rsid w:val="001F76CA"/>
    <w:rsid w:val="00200F00"/>
    <w:rsid w:val="00200FAE"/>
    <w:rsid w:val="0020102D"/>
    <w:rsid w:val="002010E2"/>
    <w:rsid w:val="0020114C"/>
    <w:rsid w:val="00201B73"/>
    <w:rsid w:val="002021C9"/>
    <w:rsid w:val="00202517"/>
    <w:rsid w:val="00202ADB"/>
    <w:rsid w:val="00202BB7"/>
    <w:rsid w:val="00203FEC"/>
    <w:rsid w:val="0020435B"/>
    <w:rsid w:val="00204533"/>
    <w:rsid w:val="00204F2D"/>
    <w:rsid w:val="002054AD"/>
    <w:rsid w:val="00205566"/>
    <w:rsid w:val="00205691"/>
    <w:rsid w:val="002063AA"/>
    <w:rsid w:val="0020730F"/>
    <w:rsid w:val="00210549"/>
    <w:rsid w:val="0021069E"/>
    <w:rsid w:val="00210804"/>
    <w:rsid w:val="0021088F"/>
    <w:rsid w:val="002108C2"/>
    <w:rsid w:val="0021137B"/>
    <w:rsid w:val="002113FE"/>
    <w:rsid w:val="00211737"/>
    <w:rsid w:val="0021181B"/>
    <w:rsid w:val="0021230F"/>
    <w:rsid w:val="002125B0"/>
    <w:rsid w:val="00212A82"/>
    <w:rsid w:val="00214EA2"/>
    <w:rsid w:val="0021562E"/>
    <w:rsid w:val="00215DAF"/>
    <w:rsid w:val="00215FC9"/>
    <w:rsid w:val="002160FA"/>
    <w:rsid w:val="002166DD"/>
    <w:rsid w:val="002168A2"/>
    <w:rsid w:val="00217867"/>
    <w:rsid w:val="00217F68"/>
    <w:rsid w:val="002205E4"/>
    <w:rsid w:val="00220D67"/>
    <w:rsid w:val="002215F8"/>
    <w:rsid w:val="00221F80"/>
    <w:rsid w:val="0022273A"/>
    <w:rsid w:val="0022280F"/>
    <w:rsid w:val="00222A07"/>
    <w:rsid w:val="00222D28"/>
    <w:rsid w:val="002234B0"/>
    <w:rsid w:val="00223801"/>
    <w:rsid w:val="00223BFC"/>
    <w:rsid w:val="00223CF4"/>
    <w:rsid w:val="00224220"/>
    <w:rsid w:val="002242B7"/>
    <w:rsid w:val="00224398"/>
    <w:rsid w:val="00224A81"/>
    <w:rsid w:val="00224E91"/>
    <w:rsid w:val="00225B4C"/>
    <w:rsid w:val="00225E1E"/>
    <w:rsid w:val="00226129"/>
    <w:rsid w:val="0022614D"/>
    <w:rsid w:val="00226AA2"/>
    <w:rsid w:val="00227218"/>
    <w:rsid w:val="0022770A"/>
    <w:rsid w:val="00227BEE"/>
    <w:rsid w:val="00227FB4"/>
    <w:rsid w:val="0023057E"/>
    <w:rsid w:val="00231213"/>
    <w:rsid w:val="002312BC"/>
    <w:rsid w:val="00231E3B"/>
    <w:rsid w:val="002337E5"/>
    <w:rsid w:val="00233C06"/>
    <w:rsid w:val="00233F24"/>
    <w:rsid w:val="002344E1"/>
    <w:rsid w:val="00234BBB"/>
    <w:rsid w:val="002356F4"/>
    <w:rsid w:val="00235F02"/>
    <w:rsid w:val="00236D28"/>
    <w:rsid w:val="00237B2E"/>
    <w:rsid w:val="00237FE4"/>
    <w:rsid w:val="00240656"/>
    <w:rsid w:val="00241610"/>
    <w:rsid w:val="00241AED"/>
    <w:rsid w:val="00243182"/>
    <w:rsid w:val="00243928"/>
    <w:rsid w:val="00243946"/>
    <w:rsid w:val="00243BC5"/>
    <w:rsid w:val="00243C7D"/>
    <w:rsid w:val="00243CF8"/>
    <w:rsid w:val="00243E9A"/>
    <w:rsid w:val="00244371"/>
    <w:rsid w:val="00244AF8"/>
    <w:rsid w:val="00244BC5"/>
    <w:rsid w:val="00244E68"/>
    <w:rsid w:val="002456C5"/>
    <w:rsid w:val="002457AA"/>
    <w:rsid w:val="00245ABE"/>
    <w:rsid w:val="00245C0B"/>
    <w:rsid w:val="00246A95"/>
    <w:rsid w:val="00246EAE"/>
    <w:rsid w:val="00247116"/>
    <w:rsid w:val="002471E5"/>
    <w:rsid w:val="00247F4A"/>
    <w:rsid w:val="00250975"/>
    <w:rsid w:val="002517A8"/>
    <w:rsid w:val="00251CD2"/>
    <w:rsid w:val="00251EEE"/>
    <w:rsid w:val="0025309B"/>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072"/>
    <w:rsid w:val="002675B6"/>
    <w:rsid w:val="002679FC"/>
    <w:rsid w:val="00267A99"/>
    <w:rsid w:val="00270271"/>
    <w:rsid w:val="00272042"/>
    <w:rsid w:val="00272174"/>
    <w:rsid w:val="002721A6"/>
    <w:rsid w:val="002722E0"/>
    <w:rsid w:val="002730EC"/>
    <w:rsid w:val="00273100"/>
    <w:rsid w:val="002735CC"/>
    <w:rsid w:val="00274588"/>
    <w:rsid w:val="00274A67"/>
    <w:rsid w:val="00274AA2"/>
    <w:rsid w:val="002756EF"/>
    <w:rsid w:val="00275708"/>
    <w:rsid w:val="0027662C"/>
    <w:rsid w:val="002768CF"/>
    <w:rsid w:val="00276F82"/>
    <w:rsid w:val="002805DC"/>
    <w:rsid w:val="002805DF"/>
    <w:rsid w:val="0028092D"/>
    <w:rsid w:val="002815D9"/>
    <w:rsid w:val="002816A7"/>
    <w:rsid w:val="00281CCA"/>
    <w:rsid w:val="00282317"/>
    <w:rsid w:val="00282D25"/>
    <w:rsid w:val="00282DF9"/>
    <w:rsid w:val="002832AB"/>
    <w:rsid w:val="00283A44"/>
    <w:rsid w:val="00284835"/>
    <w:rsid w:val="0028529F"/>
    <w:rsid w:val="00285687"/>
    <w:rsid w:val="00287649"/>
    <w:rsid w:val="00287A84"/>
    <w:rsid w:val="00287DAB"/>
    <w:rsid w:val="00287FB6"/>
    <w:rsid w:val="0029006C"/>
    <w:rsid w:val="002900C5"/>
    <w:rsid w:val="002901E0"/>
    <w:rsid w:val="0029075B"/>
    <w:rsid w:val="00290BB1"/>
    <w:rsid w:val="00291770"/>
    <w:rsid w:val="00291BC1"/>
    <w:rsid w:val="0029229E"/>
    <w:rsid w:val="0029244F"/>
    <w:rsid w:val="00292D24"/>
    <w:rsid w:val="002933CA"/>
    <w:rsid w:val="002933F6"/>
    <w:rsid w:val="00293A8F"/>
    <w:rsid w:val="0029455B"/>
    <w:rsid w:val="00294721"/>
    <w:rsid w:val="00294EEE"/>
    <w:rsid w:val="00295155"/>
    <w:rsid w:val="002951D8"/>
    <w:rsid w:val="002958D0"/>
    <w:rsid w:val="002959CF"/>
    <w:rsid w:val="00295AA0"/>
    <w:rsid w:val="00295D51"/>
    <w:rsid w:val="00296203"/>
    <w:rsid w:val="00296428"/>
    <w:rsid w:val="0029643D"/>
    <w:rsid w:val="0029706A"/>
    <w:rsid w:val="002972EE"/>
    <w:rsid w:val="00297767"/>
    <w:rsid w:val="00297948"/>
    <w:rsid w:val="00297F01"/>
    <w:rsid w:val="00297FB6"/>
    <w:rsid w:val="002A052D"/>
    <w:rsid w:val="002A0789"/>
    <w:rsid w:val="002A0DF8"/>
    <w:rsid w:val="002A1928"/>
    <w:rsid w:val="002A1F1F"/>
    <w:rsid w:val="002A21B5"/>
    <w:rsid w:val="002A25F6"/>
    <w:rsid w:val="002A2631"/>
    <w:rsid w:val="002A2A0C"/>
    <w:rsid w:val="002A2BB6"/>
    <w:rsid w:val="002A30E0"/>
    <w:rsid w:val="002A310C"/>
    <w:rsid w:val="002A33F8"/>
    <w:rsid w:val="002A3521"/>
    <w:rsid w:val="002A35C5"/>
    <w:rsid w:val="002A3628"/>
    <w:rsid w:val="002A37E1"/>
    <w:rsid w:val="002A3B61"/>
    <w:rsid w:val="002A402A"/>
    <w:rsid w:val="002A45AA"/>
    <w:rsid w:val="002A4B0B"/>
    <w:rsid w:val="002A4B6F"/>
    <w:rsid w:val="002A4FFF"/>
    <w:rsid w:val="002A533C"/>
    <w:rsid w:val="002A5586"/>
    <w:rsid w:val="002A56E1"/>
    <w:rsid w:val="002A59BD"/>
    <w:rsid w:val="002A5C11"/>
    <w:rsid w:val="002A60A1"/>
    <w:rsid w:val="002A63CF"/>
    <w:rsid w:val="002A75CA"/>
    <w:rsid w:val="002A7889"/>
    <w:rsid w:val="002A799A"/>
    <w:rsid w:val="002B097D"/>
    <w:rsid w:val="002B11B2"/>
    <w:rsid w:val="002B141C"/>
    <w:rsid w:val="002B18F7"/>
    <w:rsid w:val="002B2E58"/>
    <w:rsid w:val="002B3ED7"/>
    <w:rsid w:val="002B4778"/>
    <w:rsid w:val="002B4C9A"/>
    <w:rsid w:val="002B5E3B"/>
    <w:rsid w:val="002B75B2"/>
    <w:rsid w:val="002B79B7"/>
    <w:rsid w:val="002B7CAB"/>
    <w:rsid w:val="002C0C99"/>
    <w:rsid w:val="002C141D"/>
    <w:rsid w:val="002C19C0"/>
    <w:rsid w:val="002C1B07"/>
    <w:rsid w:val="002C20DA"/>
    <w:rsid w:val="002C2485"/>
    <w:rsid w:val="002C25E0"/>
    <w:rsid w:val="002C2A2D"/>
    <w:rsid w:val="002C36C0"/>
    <w:rsid w:val="002C3928"/>
    <w:rsid w:val="002C3B33"/>
    <w:rsid w:val="002C435E"/>
    <w:rsid w:val="002C43BB"/>
    <w:rsid w:val="002C44AB"/>
    <w:rsid w:val="002C56C1"/>
    <w:rsid w:val="002C5E39"/>
    <w:rsid w:val="002C5FA2"/>
    <w:rsid w:val="002C7A02"/>
    <w:rsid w:val="002C7BD4"/>
    <w:rsid w:val="002D0107"/>
    <w:rsid w:val="002D062E"/>
    <w:rsid w:val="002D0D43"/>
    <w:rsid w:val="002D0E5B"/>
    <w:rsid w:val="002D15C2"/>
    <w:rsid w:val="002D182A"/>
    <w:rsid w:val="002D2B10"/>
    <w:rsid w:val="002D386A"/>
    <w:rsid w:val="002D4100"/>
    <w:rsid w:val="002D477F"/>
    <w:rsid w:val="002D4F48"/>
    <w:rsid w:val="002D519B"/>
    <w:rsid w:val="002D621E"/>
    <w:rsid w:val="002D66DA"/>
    <w:rsid w:val="002D7027"/>
    <w:rsid w:val="002D70DC"/>
    <w:rsid w:val="002D7142"/>
    <w:rsid w:val="002D7305"/>
    <w:rsid w:val="002D7528"/>
    <w:rsid w:val="002D758B"/>
    <w:rsid w:val="002D79BC"/>
    <w:rsid w:val="002D7E58"/>
    <w:rsid w:val="002E0960"/>
    <w:rsid w:val="002E0D31"/>
    <w:rsid w:val="002E0EFA"/>
    <w:rsid w:val="002E1073"/>
    <w:rsid w:val="002E12EC"/>
    <w:rsid w:val="002E146D"/>
    <w:rsid w:val="002E1807"/>
    <w:rsid w:val="002E1B04"/>
    <w:rsid w:val="002E272B"/>
    <w:rsid w:val="002E29F8"/>
    <w:rsid w:val="002E2BDF"/>
    <w:rsid w:val="002E2C52"/>
    <w:rsid w:val="002E342B"/>
    <w:rsid w:val="002E3B81"/>
    <w:rsid w:val="002E3CD8"/>
    <w:rsid w:val="002E3D08"/>
    <w:rsid w:val="002E3E1D"/>
    <w:rsid w:val="002E3EEA"/>
    <w:rsid w:val="002E4782"/>
    <w:rsid w:val="002E4D08"/>
    <w:rsid w:val="002E4DA5"/>
    <w:rsid w:val="002E52B8"/>
    <w:rsid w:val="002E57DD"/>
    <w:rsid w:val="002E5DBF"/>
    <w:rsid w:val="002E5E01"/>
    <w:rsid w:val="002E60F5"/>
    <w:rsid w:val="002E6536"/>
    <w:rsid w:val="002E69F5"/>
    <w:rsid w:val="002E6CAA"/>
    <w:rsid w:val="002E6DD6"/>
    <w:rsid w:val="002E73EC"/>
    <w:rsid w:val="002F023D"/>
    <w:rsid w:val="002F1019"/>
    <w:rsid w:val="002F10EC"/>
    <w:rsid w:val="002F1136"/>
    <w:rsid w:val="002F1231"/>
    <w:rsid w:val="002F1521"/>
    <w:rsid w:val="002F15EE"/>
    <w:rsid w:val="002F24C8"/>
    <w:rsid w:val="002F3055"/>
    <w:rsid w:val="002F3632"/>
    <w:rsid w:val="002F39FA"/>
    <w:rsid w:val="002F3AFB"/>
    <w:rsid w:val="002F3C41"/>
    <w:rsid w:val="002F4187"/>
    <w:rsid w:val="002F4B4F"/>
    <w:rsid w:val="002F4C8E"/>
    <w:rsid w:val="002F5076"/>
    <w:rsid w:val="002F5567"/>
    <w:rsid w:val="002F5839"/>
    <w:rsid w:val="002F64D9"/>
    <w:rsid w:val="002F651D"/>
    <w:rsid w:val="002F6648"/>
    <w:rsid w:val="002F6E44"/>
    <w:rsid w:val="002F74FD"/>
    <w:rsid w:val="002F7569"/>
    <w:rsid w:val="002F787B"/>
    <w:rsid w:val="002F7974"/>
    <w:rsid w:val="002F7D01"/>
    <w:rsid w:val="0030005C"/>
    <w:rsid w:val="00300369"/>
    <w:rsid w:val="00301702"/>
    <w:rsid w:val="00301D0A"/>
    <w:rsid w:val="003027B8"/>
    <w:rsid w:val="0030293F"/>
    <w:rsid w:val="00302947"/>
    <w:rsid w:val="0030296C"/>
    <w:rsid w:val="00302C50"/>
    <w:rsid w:val="003031C2"/>
    <w:rsid w:val="00303861"/>
    <w:rsid w:val="00303B74"/>
    <w:rsid w:val="003045E0"/>
    <w:rsid w:val="00304D62"/>
    <w:rsid w:val="00304FFF"/>
    <w:rsid w:val="003054C6"/>
    <w:rsid w:val="00305557"/>
    <w:rsid w:val="0030561F"/>
    <w:rsid w:val="00305CA3"/>
    <w:rsid w:val="0030698F"/>
    <w:rsid w:val="00306E5C"/>
    <w:rsid w:val="00307BD0"/>
    <w:rsid w:val="00307C19"/>
    <w:rsid w:val="00310732"/>
    <w:rsid w:val="00310BC9"/>
    <w:rsid w:val="00311762"/>
    <w:rsid w:val="00311E98"/>
    <w:rsid w:val="00312215"/>
    <w:rsid w:val="0031249C"/>
    <w:rsid w:val="003125C3"/>
    <w:rsid w:val="00312896"/>
    <w:rsid w:val="00312C28"/>
    <w:rsid w:val="00313EAC"/>
    <w:rsid w:val="00313ED7"/>
    <w:rsid w:val="003142F4"/>
    <w:rsid w:val="0031454E"/>
    <w:rsid w:val="003157A7"/>
    <w:rsid w:val="0031611F"/>
    <w:rsid w:val="00317278"/>
    <w:rsid w:val="0031779B"/>
    <w:rsid w:val="00317A33"/>
    <w:rsid w:val="00320339"/>
    <w:rsid w:val="003204B5"/>
    <w:rsid w:val="00320D7F"/>
    <w:rsid w:val="00321214"/>
    <w:rsid w:val="003213D5"/>
    <w:rsid w:val="00323492"/>
    <w:rsid w:val="00323737"/>
    <w:rsid w:val="00323AD6"/>
    <w:rsid w:val="00323F27"/>
    <w:rsid w:val="003242EF"/>
    <w:rsid w:val="00325339"/>
    <w:rsid w:val="00325510"/>
    <w:rsid w:val="003255AA"/>
    <w:rsid w:val="003274F1"/>
    <w:rsid w:val="003314B6"/>
    <w:rsid w:val="00331A20"/>
    <w:rsid w:val="00331E65"/>
    <w:rsid w:val="00333107"/>
    <w:rsid w:val="0033343B"/>
    <w:rsid w:val="0033393C"/>
    <w:rsid w:val="00333BFC"/>
    <w:rsid w:val="003343E8"/>
    <w:rsid w:val="003357EE"/>
    <w:rsid w:val="003362E0"/>
    <w:rsid w:val="00336735"/>
    <w:rsid w:val="00337368"/>
    <w:rsid w:val="00337B4D"/>
    <w:rsid w:val="00337D06"/>
    <w:rsid w:val="003407A9"/>
    <w:rsid w:val="00340BA3"/>
    <w:rsid w:val="00340BAF"/>
    <w:rsid w:val="00340C2B"/>
    <w:rsid w:val="00340F9A"/>
    <w:rsid w:val="00341018"/>
    <w:rsid w:val="003420D9"/>
    <w:rsid w:val="003423E0"/>
    <w:rsid w:val="00342401"/>
    <w:rsid w:val="0034248B"/>
    <w:rsid w:val="0034301A"/>
    <w:rsid w:val="003436CD"/>
    <w:rsid w:val="00343D76"/>
    <w:rsid w:val="00344814"/>
    <w:rsid w:val="00344DFD"/>
    <w:rsid w:val="003451D3"/>
    <w:rsid w:val="00346631"/>
    <w:rsid w:val="00346823"/>
    <w:rsid w:val="00346AAD"/>
    <w:rsid w:val="00346D96"/>
    <w:rsid w:val="0034736A"/>
    <w:rsid w:val="0034747C"/>
    <w:rsid w:val="00347B6C"/>
    <w:rsid w:val="003509C4"/>
    <w:rsid w:val="00350B00"/>
    <w:rsid w:val="0035151C"/>
    <w:rsid w:val="00352254"/>
    <w:rsid w:val="003522A3"/>
    <w:rsid w:val="003522B0"/>
    <w:rsid w:val="00352C6D"/>
    <w:rsid w:val="00353929"/>
    <w:rsid w:val="00353F9E"/>
    <w:rsid w:val="003540D1"/>
    <w:rsid w:val="003545BF"/>
    <w:rsid w:val="003552F4"/>
    <w:rsid w:val="00355648"/>
    <w:rsid w:val="0035586A"/>
    <w:rsid w:val="0035611A"/>
    <w:rsid w:val="00356C3D"/>
    <w:rsid w:val="0035746D"/>
    <w:rsid w:val="00360B75"/>
    <w:rsid w:val="0036151C"/>
    <w:rsid w:val="00361A9B"/>
    <w:rsid w:val="00362B6A"/>
    <w:rsid w:val="00362CCF"/>
    <w:rsid w:val="00362E4B"/>
    <w:rsid w:val="003631DB"/>
    <w:rsid w:val="00364524"/>
    <w:rsid w:val="00364EAC"/>
    <w:rsid w:val="0036506D"/>
    <w:rsid w:val="0036513A"/>
    <w:rsid w:val="00365237"/>
    <w:rsid w:val="0036559C"/>
    <w:rsid w:val="00365602"/>
    <w:rsid w:val="0036587E"/>
    <w:rsid w:val="003660CD"/>
    <w:rsid w:val="00366B08"/>
    <w:rsid w:val="00367496"/>
    <w:rsid w:val="003678BE"/>
    <w:rsid w:val="00367DD3"/>
    <w:rsid w:val="003700F8"/>
    <w:rsid w:val="00370949"/>
    <w:rsid w:val="0037243B"/>
    <w:rsid w:val="0037251C"/>
    <w:rsid w:val="0037272C"/>
    <w:rsid w:val="00372B9A"/>
    <w:rsid w:val="00372FD8"/>
    <w:rsid w:val="003731BF"/>
    <w:rsid w:val="003735CF"/>
    <w:rsid w:val="00374D5D"/>
    <w:rsid w:val="00375287"/>
    <w:rsid w:val="00375483"/>
    <w:rsid w:val="003756D0"/>
    <w:rsid w:val="00375791"/>
    <w:rsid w:val="00375826"/>
    <w:rsid w:val="00375994"/>
    <w:rsid w:val="00375C59"/>
    <w:rsid w:val="00375E05"/>
    <w:rsid w:val="00376BB7"/>
    <w:rsid w:val="00376D13"/>
    <w:rsid w:val="00376EEE"/>
    <w:rsid w:val="00377BA1"/>
    <w:rsid w:val="00377FF0"/>
    <w:rsid w:val="00380616"/>
    <w:rsid w:val="00381022"/>
    <w:rsid w:val="003814B8"/>
    <w:rsid w:val="00382427"/>
    <w:rsid w:val="00382909"/>
    <w:rsid w:val="00382C3A"/>
    <w:rsid w:val="00382EE1"/>
    <w:rsid w:val="00384258"/>
    <w:rsid w:val="00385131"/>
    <w:rsid w:val="00385DEF"/>
    <w:rsid w:val="0038620B"/>
    <w:rsid w:val="003873EE"/>
    <w:rsid w:val="00387647"/>
    <w:rsid w:val="0038791A"/>
    <w:rsid w:val="00390056"/>
    <w:rsid w:val="0039055C"/>
    <w:rsid w:val="00390718"/>
    <w:rsid w:val="00390767"/>
    <w:rsid w:val="00390883"/>
    <w:rsid w:val="00390E4F"/>
    <w:rsid w:val="00391470"/>
    <w:rsid w:val="0039184E"/>
    <w:rsid w:val="003920C4"/>
    <w:rsid w:val="00392184"/>
    <w:rsid w:val="0039227A"/>
    <w:rsid w:val="00392652"/>
    <w:rsid w:val="00392B41"/>
    <w:rsid w:val="00392D11"/>
    <w:rsid w:val="0039456F"/>
    <w:rsid w:val="003945C8"/>
    <w:rsid w:val="0039480D"/>
    <w:rsid w:val="0039489A"/>
    <w:rsid w:val="00395420"/>
    <w:rsid w:val="00395446"/>
    <w:rsid w:val="00396725"/>
    <w:rsid w:val="003970C1"/>
    <w:rsid w:val="00397A28"/>
    <w:rsid w:val="00397E94"/>
    <w:rsid w:val="00397F05"/>
    <w:rsid w:val="003A0442"/>
    <w:rsid w:val="003A0899"/>
    <w:rsid w:val="003A1512"/>
    <w:rsid w:val="003A1EB7"/>
    <w:rsid w:val="003A23F3"/>
    <w:rsid w:val="003A2D82"/>
    <w:rsid w:val="003A312C"/>
    <w:rsid w:val="003A337C"/>
    <w:rsid w:val="003A3533"/>
    <w:rsid w:val="003A36DA"/>
    <w:rsid w:val="003A38F1"/>
    <w:rsid w:val="003A3AD3"/>
    <w:rsid w:val="003A3B08"/>
    <w:rsid w:val="003A3D1B"/>
    <w:rsid w:val="003A3F39"/>
    <w:rsid w:val="003A4296"/>
    <w:rsid w:val="003A4549"/>
    <w:rsid w:val="003A49B3"/>
    <w:rsid w:val="003A55B4"/>
    <w:rsid w:val="003A5A46"/>
    <w:rsid w:val="003A60AC"/>
    <w:rsid w:val="003A61B6"/>
    <w:rsid w:val="003A623F"/>
    <w:rsid w:val="003A71AD"/>
    <w:rsid w:val="003A7D1D"/>
    <w:rsid w:val="003B0C12"/>
    <w:rsid w:val="003B1688"/>
    <w:rsid w:val="003B177A"/>
    <w:rsid w:val="003B1FA4"/>
    <w:rsid w:val="003B1FE6"/>
    <w:rsid w:val="003B3106"/>
    <w:rsid w:val="003B3974"/>
    <w:rsid w:val="003B39E0"/>
    <w:rsid w:val="003B3DAB"/>
    <w:rsid w:val="003B404D"/>
    <w:rsid w:val="003B4B34"/>
    <w:rsid w:val="003B4CDA"/>
    <w:rsid w:val="003B4F2D"/>
    <w:rsid w:val="003B5BD9"/>
    <w:rsid w:val="003B64A3"/>
    <w:rsid w:val="003B65DD"/>
    <w:rsid w:val="003B6DB8"/>
    <w:rsid w:val="003B72B9"/>
    <w:rsid w:val="003C0887"/>
    <w:rsid w:val="003C08AF"/>
    <w:rsid w:val="003C1DCF"/>
    <w:rsid w:val="003C2EDD"/>
    <w:rsid w:val="003C3220"/>
    <w:rsid w:val="003C3A47"/>
    <w:rsid w:val="003C3A79"/>
    <w:rsid w:val="003C48F2"/>
    <w:rsid w:val="003C5177"/>
    <w:rsid w:val="003C52B0"/>
    <w:rsid w:val="003C5911"/>
    <w:rsid w:val="003C5CDB"/>
    <w:rsid w:val="003C5FB2"/>
    <w:rsid w:val="003C6465"/>
    <w:rsid w:val="003C65E4"/>
    <w:rsid w:val="003C7712"/>
    <w:rsid w:val="003C7862"/>
    <w:rsid w:val="003C7ECD"/>
    <w:rsid w:val="003D007D"/>
    <w:rsid w:val="003D01A1"/>
    <w:rsid w:val="003D04D6"/>
    <w:rsid w:val="003D04F6"/>
    <w:rsid w:val="003D0995"/>
    <w:rsid w:val="003D18CC"/>
    <w:rsid w:val="003D2281"/>
    <w:rsid w:val="003D3583"/>
    <w:rsid w:val="003D3667"/>
    <w:rsid w:val="003D391E"/>
    <w:rsid w:val="003D39D4"/>
    <w:rsid w:val="003D39DA"/>
    <w:rsid w:val="003D3B6F"/>
    <w:rsid w:val="003D40E8"/>
    <w:rsid w:val="003D455E"/>
    <w:rsid w:val="003D509A"/>
    <w:rsid w:val="003D5785"/>
    <w:rsid w:val="003D5A2D"/>
    <w:rsid w:val="003D5A9D"/>
    <w:rsid w:val="003D62C0"/>
    <w:rsid w:val="003D63D7"/>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207"/>
    <w:rsid w:val="003E4E74"/>
    <w:rsid w:val="003E514E"/>
    <w:rsid w:val="003E5647"/>
    <w:rsid w:val="003E5F7D"/>
    <w:rsid w:val="003E5FD6"/>
    <w:rsid w:val="003E6520"/>
    <w:rsid w:val="003E67E7"/>
    <w:rsid w:val="003E6B3C"/>
    <w:rsid w:val="003E6B95"/>
    <w:rsid w:val="003E70FF"/>
    <w:rsid w:val="003E7F1B"/>
    <w:rsid w:val="003F0B41"/>
    <w:rsid w:val="003F1E39"/>
    <w:rsid w:val="003F229D"/>
    <w:rsid w:val="003F25F0"/>
    <w:rsid w:val="003F2743"/>
    <w:rsid w:val="003F27E3"/>
    <w:rsid w:val="003F2D5B"/>
    <w:rsid w:val="003F565A"/>
    <w:rsid w:val="003F5AD2"/>
    <w:rsid w:val="003F5CA4"/>
    <w:rsid w:val="003F6158"/>
    <w:rsid w:val="003F6D50"/>
    <w:rsid w:val="003F7006"/>
    <w:rsid w:val="003F7507"/>
    <w:rsid w:val="003F7C72"/>
    <w:rsid w:val="003F7D10"/>
    <w:rsid w:val="00401000"/>
    <w:rsid w:val="004016C6"/>
    <w:rsid w:val="0040179A"/>
    <w:rsid w:val="00401856"/>
    <w:rsid w:val="004028A2"/>
    <w:rsid w:val="00402FEB"/>
    <w:rsid w:val="00403344"/>
    <w:rsid w:val="00403470"/>
    <w:rsid w:val="00403C82"/>
    <w:rsid w:val="00404C44"/>
    <w:rsid w:val="00404EE8"/>
    <w:rsid w:val="0040510D"/>
    <w:rsid w:val="0040512D"/>
    <w:rsid w:val="0040602F"/>
    <w:rsid w:val="004060FA"/>
    <w:rsid w:val="00406AFB"/>
    <w:rsid w:val="00406B29"/>
    <w:rsid w:val="00407086"/>
    <w:rsid w:val="00407382"/>
    <w:rsid w:val="00407572"/>
    <w:rsid w:val="0040791B"/>
    <w:rsid w:val="00411958"/>
    <w:rsid w:val="00411B2A"/>
    <w:rsid w:val="00412973"/>
    <w:rsid w:val="00412D42"/>
    <w:rsid w:val="00412DA4"/>
    <w:rsid w:val="00412EB6"/>
    <w:rsid w:val="0041351F"/>
    <w:rsid w:val="004137C8"/>
    <w:rsid w:val="00413BF9"/>
    <w:rsid w:val="00413C25"/>
    <w:rsid w:val="0041411A"/>
    <w:rsid w:val="004148C7"/>
    <w:rsid w:val="00415531"/>
    <w:rsid w:val="00416330"/>
    <w:rsid w:val="00417513"/>
    <w:rsid w:val="004176C7"/>
    <w:rsid w:val="00417877"/>
    <w:rsid w:val="00417D9F"/>
    <w:rsid w:val="00420229"/>
    <w:rsid w:val="004203A3"/>
    <w:rsid w:val="00420DBA"/>
    <w:rsid w:val="00421311"/>
    <w:rsid w:val="0042260F"/>
    <w:rsid w:val="00422E13"/>
    <w:rsid w:val="0042347C"/>
    <w:rsid w:val="0042350F"/>
    <w:rsid w:val="00423599"/>
    <w:rsid w:val="0042384C"/>
    <w:rsid w:val="00423893"/>
    <w:rsid w:val="00423BC9"/>
    <w:rsid w:val="0042494E"/>
    <w:rsid w:val="00425201"/>
    <w:rsid w:val="004255B4"/>
    <w:rsid w:val="00426766"/>
    <w:rsid w:val="004267D0"/>
    <w:rsid w:val="004279CA"/>
    <w:rsid w:val="00427A82"/>
    <w:rsid w:val="00427EA2"/>
    <w:rsid w:val="00430115"/>
    <w:rsid w:val="00430A4B"/>
    <w:rsid w:val="00431B1A"/>
    <w:rsid w:val="00431C46"/>
    <w:rsid w:val="00431D8D"/>
    <w:rsid w:val="004327E6"/>
    <w:rsid w:val="004329DC"/>
    <w:rsid w:val="00432AC6"/>
    <w:rsid w:val="00433F54"/>
    <w:rsid w:val="00434C5E"/>
    <w:rsid w:val="00435765"/>
    <w:rsid w:val="00435B1D"/>
    <w:rsid w:val="004360B6"/>
    <w:rsid w:val="004362E5"/>
    <w:rsid w:val="00436356"/>
    <w:rsid w:val="004371E7"/>
    <w:rsid w:val="00440722"/>
    <w:rsid w:val="004414FF"/>
    <w:rsid w:val="004425D9"/>
    <w:rsid w:val="00443244"/>
    <w:rsid w:val="00443B93"/>
    <w:rsid w:val="00444139"/>
    <w:rsid w:val="00444AF6"/>
    <w:rsid w:val="0044507E"/>
    <w:rsid w:val="0044519D"/>
    <w:rsid w:val="00445544"/>
    <w:rsid w:val="00445C0B"/>
    <w:rsid w:val="00445DE1"/>
    <w:rsid w:val="00446195"/>
    <w:rsid w:val="00447CD0"/>
    <w:rsid w:val="00447FC2"/>
    <w:rsid w:val="004502F4"/>
    <w:rsid w:val="004504C0"/>
    <w:rsid w:val="004506F4"/>
    <w:rsid w:val="004509D1"/>
    <w:rsid w:val="00450A42"/>
    <w:rsid w:val="004513A5"/>
    <w:rsid w:val="00451D50"/>
    <w:rsid w:val="00452EC4"/>
    <w:rsid w:val="00453340"/>
    <w:rsid w:val="00453775"/>
    <w:rsid w:val="00453890"/>
    <w:rsid w:val="00454380"/>
    <w:rsid w:val="0045470C"/>
    <w:rsid w:val="00455044"/>
    <w:rsid w:val="004552C8"/>
    <w:rsid w:val="0045536C"/>
    <w:rsid w:val="00455A07"/>
    <w:rsid w:val="00455AEB"/>
    <w:rsid w:val="0045603C"/>
    <w:rsid w:val="00456053"/>
    <w:rsid w:val="00456068"/>
    <w:rsid w:val="00456896"/>
    <w:rsid w:val="00456ADA"/>
    <w:rsid w:val="00456B0D"/>
    <w:rsid w:val="00456B92"/>
    <w:rsid w:val="00457685"/>
    <w:rsid w:val="0045770D"/>
    <w:rsid w:val="0045790F"/>
    <w:rsid w:val="00457D63"/>
    <w:rsid w:val="00457E21"/>
    <w:rsid w:val="0046007E"/>
    <w:rsid w:val="0046024B"/>
    <w:rsid w:val="00460BEC"/>
    <w:rsid w:val="00460E36"/>
    <w:rsid w:val="00460FB1"/>
    <w:rsid w:val="00461089"/>
    <w:rsid w:val="00461155"/>
    <w:rsid w:val="004611DA"/>
    <w:rsid w:val="0046218C"/>
    <w:rsid w:val="004623D4"/>
    <w:rsid w:val="00463944"/>
    <w:rsid w:val="0046512A"/>
    <w:rsid w:val="00465234"/>
    <w:rsid w:val="00465B24"/>
    <w:rsid w:val="00466858"/>
    <w:rsid w:val="00466D0F"/>
    <w:rsid w:val="00467544"/>
    <w:rsid w:val="004676BA"/>
    <w:rsid w:val="0046784C"/>
    <w:rsid w:val="00467ECB"/>
    <w:rsid w:val="00470832"/>
    <w:rsid w:val="00470CE4"/>
    <w:rsid w:val="004710C3"/>
    <w:rsid w:val="00471459"/>
    <w:rsid w:val="00472274"/>
    <w:rsid w:val="004722D4"/>
    <w:rsid w:val="00472D9C"/>
    <w:rsid w:val="00473232"/>
    <w:rsid w:val="00473B60"/>
    <w:rsid w:val="00473B64"/>
    <w:rsid w:val="00475267"/>
    <w:rsid w:val="00475AFF"/>
    <w:rsid w:val="00475D30"/>
    <w:rsid w:val="004765F4"/>
    <w:rsid w:val="00476B4D"/>
    <w:rsid w:val="00476C1C"/>
    <w:rsid w:val="00476CBC"/>
    <w:rsid w:val="00476E6C"/>
    <w:rsid w:val="00477282"/>
    <w:rsid w:val="00477947"/>
    <w:rsid w:val="00480FA1"/>
    <w:rsid w:val="00481FD7"/>
    <w:rsid w:val="00482DE5"/>
    <w:rsid w:val="00483266"/>
    <w:rsid w:val="00483394"/>
    <w:rsid w:val="0048352E"/>
    <w:rsid w:val="004836A9"/>
    <w:rsid w:val="00483B23"/>
    <w:rsid w:val="004840D7"/>
    <w:rsid w:val="004846F4"/>
    <w:rsid w:val="00484C8A"/>
    <w:rsid w:val="00485C26"/>
    <w:rsid w:val="00485EC0"/>
    <w:rsid w:val="004875E1"/>
    <w:rsid w:val="00487B37"/>
    <w:rsid w:val="00490462"/>
    <w:rsid w:val="00490636"/>
    <w:rsid w:val="00490FF0"/>
    <w:rsid w:val="00491010"/>
    <w:rsid w:val="004910FE"/>
    <w:rsid w:val="00491198"/>
    <w:rsid w:val="004917E0"/>
    <w:rsid w:val="004918A8"/>
    <w:rsid w:val="00491ACF"/>
    <w:rsid w:val="00491BF6"/>
    <w:rsid w:val="00491FED"/>
    <w:rsid w:val="00492C13"/>
    <w:rsid w:val="00492F82"/>
    <w:rsid w:val="004943C2"/>
    <w:rsid w:val="00494918"/>
    <w:rsid w:val="00494C65"/>
    <w:rsid w:val="00494F0C"/>
    <w:rsid w:val="00495557"/>
    <w:rsid w:val="0049618D"/>
    <w:rsid w:val="004965EF"/>
    <w:rsid w:val="00496BD4"/>
    <w:rsid w:val="0049719D"/>
    <w:rsid w:val="00497FCD"/>
    <w:rsid w:val="004A0D1E"/>
    <w:rsid w:val="004A0E66"/>
    <w:rsid w:val="004A0EEC"/>
    <w:rsid w:val="004A130F"/>
    <w:rsid w:val="004A17EF"/>
    <w:rsid w:val="004A1A92"/>
    <w:rsid w:val="004A1AC6"/>
    <w:rsid w:val="004A1BDA"/>
    <w:rsid w:val="004A22DA"/>
    <w:rsid w:val="004A252B"/>
    <w:rsid w:val="004A25AA"/>
    <w:rsid w:val="004A2700"/>
    <w:rsid w:val="004A36C8"/>
    <w:rsid w:val="004A3721"/>
    <w:rsid w:val="004A3742"/>
    <w:rsid w:val="004A37B8"/>
    <w:rsid w:val="004A3ED3"/>
    <w:rsid w:val="004A47BC"/>
    <w:rsid w:val="004A4971"/>
    <w:rsid w:val="004A4AC6"/>
    <w:rsid w:val="004A7352"/>
    <w:rsid w:val="004B0F86"/>
    <w:rsid w:val="004B1199"/>
    <w:rsid w:val="004B16C4"/>
    <w:rsid w:val="004B1867"/>
    <w:rsid w:val="004B24A2"/>
    <w:rsid w:val="004B2A64"/>
    <w:rsid w:val="004B3234"/>
    <w:rsid w:val="004B3EC9"/>
    <w:rsid w:val="004B41DA"/>
    <w:rsid w:val="004B470D"/>
    <w:rsid w:val="004B4764"/>
    <w:rsid w:val="004B4846"/>
    <w:rsid w:val="004B5394"/>
    <w:rsid w:val="004B5BDD"/>
    <w:rsid w:val="004B63AA"/>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829"/>
    <w:rsid w:val="004C49E3"/>
    <w:rsid w:val="004C4E8A"/>
    <w:rsid w:val="004C514A"/>
    <w:rsid w:val="004C648C"/>
    <w:rsid w:val="004C6572"/>
    <w:rsid w:val="004C6D4F"/>
    <w:rsid w:val="004C6E0B"/>
    <w:rsid w:val="004C7541"/>
    <w:rsid w:val="004D0203"/>
    <w:rsid w:val="004D0959"/>
    <w:rsid w:val="004D17F4"/>
    <w:rsid w:val="004D1E71"/>
    <w:rsid w:val="004D23E7"/>
    <w:rsid w:val="004D2CDF"/>
    <w:rsid w:val="004D33CE"/>
    <w:rsid w:val="004D4AAE"/>
    <w:rsid w:val="004D528A"/>
    <w:rsid w:val="004D62A8"/>
    <w:rsid w:val="004D6CB4"/>
    <w:rsid w:val="004D7C86"/>
    <w:rsid w:val="004E00BD"/>
    <w:rsid w:val="004E0197"/>
    <w:rsid w:val="004E0A9F"/>
    <w:rsid w:val="004E1122"/>
    <w:rsid w:val="004E1409"/>
    <w:rsid w:val="004E1A87"/>
    <w:rsid w:val="004E1BB0"/>
    <w:rsid w:val="004E27B9"/>
    <w:rsid w:val="004E2A6B"/>
    <w:rsid w:val="004E3030"/>
    <w:rsid w:val="004E3311"/>
    <w:rsid w:val="004E38EC"/>
    <w:rsid w:val="004E38FB"/>
    <w:rsid w:val="004E3933"/>
    <w:rsid w:val="004E3EE2"/>
    <w:rsid w:val="004E4344"/>
    <w:rsid w:val="004E4549"/>
    <w:rsid w:val="004E4C83"/>
    <w:rsid w:val="004E4D53"/>
    <w:rsid w:val="004E4D84"/>
    <w:rsid w:val="004E4EBC"/>
    <w:rsid w:val="004E5104"/>
    <w:rsid w:val="004E5B06"/>
    <w:rsid w:val="004E5FA8"/>
    <w:rsid w:val="004E684C"/>
    <w:rsid w:val="004E6FF1"/>
    <w:rsid w:val="004E76DB"/>
    <w:rsid w:val="004F1F90"/>
    <w:rsid w:val="004F2401"/>
    <w:rsid w:val="004F28D1"/>
    <w:rsid w:val="004F2A44"/>
    <w:rsid w:val="004F2DAD"/>
    <w:rsid w:val="004F34F7"/>
    <w:rsid w:val="004F3B57"/>
    <w:rsid w:val="004F4857"/>
    <w:rsid w:val="004F55D6"/>
    <w:rsid w:val="004F565A"/>
    <w:rsid w:val="004F571B"/>
    <w:rsid w:val="004F64EB"/>
    <w:rsid w:val="004F7702"/>
    <w:rsid w:val="004F7A74"/>
    <w:rsid w:val="00500250"/>
    <w:rsid w:val="00500264"/>
    <w:rsid w:val="00500824"/>
    <w:rsid w:val="00500DAB"/>
    <w:rsid w:val="00501144"/>
    <w:rsid w:val="005013EF"/>
    <w:rsid w:val="005019E0"/>
    <w:rsid w:val="0050211F"/>
    <w:rsid w:val="005022E7"/>
    <w:rsid w:val="00502A93"/>
    <w:rsid w:val="00504A27"/>
    <w:rsid w:val="00506083"/>
    <w:rsid w:val="005066C0"/>
    <w:rsid w:val="005068D6"/>
    <w:rsid w:val="00506B86"/>
    <w:rsid w:val="00506EEC"/>
    <w:rsid w:val="00506FD4"/>
    <w:rsid w:val="005107AC"/>
    <w:rsid w:val="005107FF"/>
    <w:rsid w:val="00510CBC"/>
    <w:rsid w:val="0051102D"/>
    <w:rsid w:val="00511089"/>
    <w:rsid w:val="005112A5"/>
    <w:rsid w:val="00511F48"/>
    <w:rsid w:val="00512448"/>
    <w:rsid w:val="0051253A"/>
    <w:rsid w:val="0051266C"/>
    <w:rsid w:val="00513B72"/>
    <w:rsid w:val="00515277"/>
    <w:rsid w:val="005158C2"/>
    <w:rsid w:val="00515D26"/>
    <w:rsid w:val="005169DE"/>
    <w:rsid w:val="0051754D"/>
    <w:rsid w:val="0051785D"/>
    <w:rsid w:val="00517913"/>
    <w:rsid w:val="0052005F"/>
    <w:rsid w:val="005200E8"/>
    <w:rsid w:val="00520200"/>
    <w:rsid w:val="00520E2D"/>
    <w:rsid w:val="00520F04"/>
    <w:rsid w:val="005212B7"/>
    <w:rsid w:val="00521717"/>
    <w:rsid w:val="005224B2"/>
    <w:rsid w:val="00523B23"/>
    <w:rsid w:val="00523DFA"/>
    <w:rsid w:val="005254BC"/>
    <w:rsid w:val="005256FC"/>
    <w:rsid w:val="00526C27"/>
    <w:rsid w:val="00526DFF"/>
    <w:rsid w:val="00527473"/>
    <w:rsid w:val="00527EF9"/>
    <w:rsid w:val="005305FF"/>
    <w:rsid w:val="005309DB"/>
    <w:rsid w:val="00530C9B"/>
    <w:rsid w:val="005310D9"/>
    <w:rsid w:val="00532334"/>
    <w:rsid w:val="005324AF"/>
    <w:rsid w:val="00532E80"/>
    <w:rsid w:val="0053402C"/>
    <w:rsid w:val="00534090"/>
    <w:rsid w:val="00534ABA"/>
    <w:rsid w:val="00534D5A"/>
    <w:rsid w:val="00535FFF"/>
    <w:rsid w:val="0053616F"/>
    <w:rsid w:val="005368AD"/>
    <w:rsid w:val="005370BC"/>
    <w:rsid w:val="005372CC"/>
    <w:rsid w:val="00537609"/>
    <w:rsid w:val="00537B35"/>
    <w:rsid w:val="00537DE7"/>
    <w:rsid w:val="00537EC4"/>
    <w:rsid w:val="00537FE4"/>
    <w:rsid w:val="0054027D"/>
    <w:rsid w:val="00541222"/>
    <w:rsid w:val="00541A8D"/>
    <w:rsid w:val="00542694"/>
    <w:rsid w:val="00544DA0"/>
    <w:rsid w:val="005454BD"/>
    <w:rsid w:val="005457E4"/>
    <w:rsid w:val="005467A2"/>
    <w:rsid w:val="00546C49"/>
    <w:rsid w:val="00546EC3"/>
    <w:rsid w:val="0055010B"/>
    <w:rsid w:val="005504AB"/>
    <w:rsid w:val="00550D59"/>
    <w:rsid w:val="0055110D"/>
    <w:rsid w:val="00551F81"/>
    <w:rsid w:val="0055210F"/>
    <w:rsid w:val="005526EF"/>
    <w:rsid w:val="00552CD7"/>
    <w:rsid w:val="005533BE"/>
    <w:rsid w:val="00554B30"/>
    <w:rsid w:val="00554FFB"/>
    <w:rsid w:val="00555290"/>
    <w:rsid w:val="005555DD"/>
    <w:rsid w:val="00555B24"/>
    <w:rsid w:val="005568DE"/>
    <w:rsid w:val="00557938"/>
    <w:rsid w:val="00557C50"/>
    <w:rsid w:val="0056033F"/>
    <w:rsid w:val="00560383"/>
    <w:rsid w:val="005606B6"/>
    <w:rsid w:val="005608D6"/>
    <w:rsid w:val="00560F19"/>
    <w:rsid w:val="00561138"/>
    <w:rsid w:val="00561491"/>
    <w:rsid w:val="00561852"/>
    <w:rsid w:val="00561E6B"/>
    <w:rsid w:val="005621D2"/>
    <w:rsid w:val="005621E0"/>
    <w:rsid w:val="00562D90"/>
    <w:rsid w:val="00563042"/>
    <w:rsid w:val="00563461"/>
    <w:rsid w:val="00563A23"/>
    <w:rsid w:val="00563A5A"/>
    <w:rsid w:val="00563C61"/>
    <w:rsid w:val="00563ECB"/>
    <w:rsid w:val="00563F47"/>
    <w:rsid w:val="005640BB"/>
    <w:rsid w:val="00564C23"/>
    <w:rsid w:val="00565406"/>
    <w:rsid w:val="00565570"/>
    <w:rsid w:val="005657DD"/>
    <w:rsid w:val="005658C6"/>
    <w:rsid w:val="00565B29"/>
    <w:rsid w:val="005664CC"/>
    <w:rsid w:val="0056664B"/>
    <w:rsid w:val="005670F8"/>
    <w:rsid w:val="0056722B"/>
    <w:rsid w:val="00567588"/>
    <w:rsid w:val="00567992"/>
    <w:rsid w:val="00567C3C"/>
    <w:rsid w:val="005702F8"/>
    <w:rsid w:val="00570470"/>
    <w:rsid w:val="00571231"/>
    <w:rsid w:val="00571767"/>
    <w:rsid w:val="00571E44"/>
    <w:rsid w:val="00572017"/>
    <w:rsid w:val="005733C9"/>
    <w:rsid w:val="00573473"/>
    <w:rsid w:val="00573E61"/>
    <w:rsid w:val="0057411B"/>
    <w:rsid w:val="00574181"/>
    <w:rsid w:val="00574525"/>
    <w:rsid w:val="00574778"/>
    <w:rsid w:val="0057498F"/>
    <w:rsid w:val="00574DE9"/>
    <w:rsid w:val="00575897"/>
    <w:rsid w:val="00575DF4"/>
    <w:rsid w:val="005767F7"/>
    <w:rsid w:val="0057765D"/>
    <w:rsid w:val="005777FC"/>
    <w:rsid w:val="005808EB"/>
    <w:rsid w:val="00580D37"/>
    <w:rsid w:val="00581FA0"/>
    <w:rsid w:val="00582300"/>
    <w:rsid w:val="00582B90"/>
    <w:rsid w:val="005831A7"/>
    <w:rsid w:val="00583321"/>
    <w:rsid w:val="0058341E"/>
    <w:rsid w:val="005842C3"/>
    <w:rsid w:val="00584F3A"/>
    <w:rsid w:val="005853AB"/>
    <w:rsid w:val="00585748"/>
    <w:rsid w:val="005859C5"/>
    <w:rsid w:val="00585C79"/>
    <w:rsid w:val="00586144"/>
    <w:rsid w:val="00586635"/>
    <w:rsid w:val="00587785"/>
    <w:rsid w:val="0058788D"/>
    <w:rsid w:val="00587E29"/>
    <w:rsid w:val="00587FE6"/>
    <w:rsid w:val="00591698"/>
    <w:rsid w:val="00591FA1"/>
    <w:rsid w:val="00593B87"/>
    <w:rsid w:val="00593C1C"/>
    <w:rsid w:val="00593E94"/>
    <w:rsid w:val="00594143"/>
    <w:rsid w:val="005942C6"/>
    <w:rsid w:val="00594543"/>
    <w:rsid w:val="00594612"/>
    <w:rsid w:val="00595062"/>
    <w:rsid w:val="00595873"/>
    <w:rsid w:val="00595CDD"/>
    <w:rsid w:val="005964BB"/>
    <w:rsid w:val="005967FC"/>
    <w:rsid w:val="005969DE"/>
    <w:rsid w:val="00596A70"/>
    <w:rsid w:val="00596BD3"/>
    <w:rsid w:val="00596BE7"/>
    <w:rsid w:val="00596C3E"/>
    <w:rsid w:val="00597140"/>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138"/>
    <w:rsid w:val="005A5721"/>
    <w:rsid w:val="005A574D"/>
    <w:rsid w:val="005A5B5C"/>
    <w:rsid w:val="005A5CB8"/>
    <w:rsid w:val="005A6E93"/>
    <w:rsid w:val="005A707A"/>
    <w:rsid w:val="005A7340"/>
    <w:rsid w:val="005A749E"/>
    <w:rsid w:val="005A7D7B"/>
    <w:rsid w:val="005A7F93"/>
    <w:rsid w:val="005B0048"/>
    <w:rsid w:val="005B07EA"/>
    <w:rsid w:val="005B0A0B"/>
    <w:rsid w:val="005B0B20"/>
    <w:rsid w:val="005B0BD6"/>
    <w:rsid w:val="005B0EFB"/>
    <w:rsid w:val="005B1060"/>
    <w:rsid w:val="005B1091"/>
    <w:rsid w:val="005B1127"/>
    <w:rsid w:val="005B12B9"/>
    <w:rsid w:val="005B131F"/>
    <w:rsid w:val="005B17C1"/>
    <w:rsid w:val="005B3737"/>
    <w:rsid w:val="005B3A42"/>
    <w:rsid w:val="005B49FE"/>
    <w:rsid w:val="005B5D40"/>
    <w:rsid w:val="005B5EFC"/>
    <w:rsid w:val="005B6412"/>
    <w:rsid w:val="005B6698"/>
    <w:rsid w:val="005B6830"/>
    <w:rsid w:val="005B68A7"/>
    <w:rsid w:val="005B6AC3"/>
    <w:rsid w:val="005C055E"/>
    <w:rsid w:val="005C0599"/>
    <w:rsid w:val="005C0FA1"/>
    <w:rsid w:val="005C1615"/>
    <w:rsid w:val="005C1C86"/>
    <w:rsid w:val="005C1D98"/>
    <w:rsid w:val="005C1DA5"/>
    <w:rsid w:val="005C2559"/>
    <w:rsid w:val="005C2873"/>
    <w:rsid w:val="005C2B99"/>
    <w:rsid w:val="005C34FC"/>
    <w:rsid w:val="005C3B5C"/>
    <w:rsid w:val="005C3C7F"/>
    <w:rsid w:val="005C5143"/>
    <w:rsid w:val="005C53A1"/>
    <w:rsid w:val="005C5639"/>
    <w:rsid w:val="005C5742"/>
    <w:rsid w:val="005C6FAB"/>
    <w:rsid w:val="005C760E"/>
    <w:rsid w:val="005C7BBB"/>
    <w:rsid w:val="005C7E9E"/>
    <w:rsid w:val="005D18C9"/>
    <w:rsid w:val="005D1A26"/>
    <w:rsid w:val="005D1B72"/>
    <w:rsid w:val="005D2471"/>
    <w:rsid w:val="005D25A3"/>
    <w:rsid w:val="005D2779"/>
    <w:rsid w:val="005D2981"/>
    <w:rsid w:val="005D2EE8"/>
    <w:rsid w:val="005D3242"/>
    <w:rsid w:val="005D342F"/>
    <w:rsid w:val="005D4660"/>
    <w:rsid w:val="005D4995"/>
    <w:rsid w:val="005D610C"/>
    <w:rsid w:val="005D7137"/>
    <w:rsid w:val="005D74E7"/>
    <w:rsid w:val="005D7F7B"/>
    <w:rsid w:val="005E0E80"/>
    <w:rsid w:val="005E22E9"/>
    <w:rsid w:val="005E2C44"/>
    <w:rsid w:val="005E3BCD"/>
    <w:rsid w:val="005E4409"/>
    <w:rsid w:val="005E4A87"/>
    <w:rsid w:val="005E4DA5"/>
    <w:rsid w:val="005E503E"/>
    <w:rsid w:val="005E59C7"/>
    <w:rsid w:val="005E5D0A"/>
    <w:rsid w:val="005E5E7B"/>
    <w:rsid w:val="005E6095"/>
    <w:rsid w:val="005E6A3F"/>
    <w:rsid w:val="005E6DB8"/>
    <w:rsid w:val="005E7228"/>
    <w:rsid w:val="005E7284"/>
    <w:rsid w:val="005E7677"/>
    <w:rsid w:val="005E7BAC"/>
    <w:rsid w:val="005F0E5C"/>
    <w:rsid w:val="005F134E"/>
    <w:rsid w:val="005F1365"/>
    <w:rsid w:val="005F2C1F"/>
    <w:rsid w:val="005F2E44"/>
    <w:rsid w:val="005F3690"/>
    <w:rsid w:val="005F3986"/>
    <w:rsid w:val="005F3D83"/>
    <w:rsid w:val="005F4C57"/>
    <w:rsid w:val="005F500D"/>
    <w:rsid w:val="005F6774"/>
    <w:rsid w:val="005F6892"/>
    <w:rsid w:val="005F7536"/>
    <w:rsid w:val="005F774D"/>
    <w:rsid w:val="005F79AA"/>
    <w:rsid w:val="0060044B"/>
    <w:rsid w:val="006013D7"/>
    <w:rsid w:val="006014DB"/>
    <w:rsid w:val="00601587"/>
    <w:rsid w:val="0060192E"/>
    <w:rsid w:val="00602079"/>
    <w:rsid w:val="006022F3"/>
    <w:rsid w:val="00602579"/>
    <w:rsid w:val="00602BA4"/>
    <w:rsid w:val="00602DA2"/>
    <w:rsid w:val="00602FF4"/>
    <w:rsid w:val="00603228"/>
    <w:rsid w:val="00604A2C"/>
    <w:rsid w:val="00604ACD"/>
    <w:rsid w:val="00604C15"/>
    <w:rsid w:val="00604DC2"/>
    <w:rsid w:val="00604DE2"/>
    <w:rsid w:val="006060C4"/>
    <w:rsid w:val="00606677"/>
    <w:rsid w:val="00607B28"/>
    <w:rsid w:val="00607C35"/>
    <w:rsid w:val="00610C25"/>
    <w:rsid w:val="00610D2E"/>
    <w:rsid w:val="00611777"/>
    <w:rsid w:val="0061189C"/>
    <w:rsid w:val="0061189F"/>
    <w:rsid w:val="00611A18"/>
    <w:rsid w:val="0061219B"/>
    <w:rsid w:val="00612D05"/>
    <w:rsid w:val="00613FB6"/>
    <w:rsid w:val="006140C6"/>
    <w:rsid w:val="00614134"/>
    <w:rsid w:val="00614241"/>
    <w:rsid w:val="0061428D"/>
    <w:rsid w:val="00614B12"/>
    <w:rsid w:val="00614B85"/>
    <w:rsid w:val="00615411"/>
    <w:rsid w:val="0061597B"/>
    <w:rsid w:val="0061599E"/>
    <w:rsid w:val="00615AC7"/>
    <w:rsid w:val="006162E6"/>
    <w:rsid w:val="00616B1F"/>
    <w:rsid w:val="006170D6"/>
    <w:rsid w:val="006171A5"/>
    <w:rsid w:val="00620309"/>
    <w:rsid w:val="006203A1"/>
    <w:rsid w:val="0062159D"/>
    <w:rsid w:val="00621680"/>
    <w:rsid w:val="00621EC5"/>
    <w:rsid w:val="006223E0"/>
    <w:rsid w:val="006224D0"/>
    <w:rsid w:val="00622BCE"/>
    <w:rsid w:val="00622E29"/>
    <w:rsid w:val="00623643"/>
    <w:rsid w:val="006238AA"/>
    <w:rsid w:val="00624018"/>
    <w:rsid w:val="006240C4"/>
    <w:rsid w:val="006241ED"/>
    <w:rsid w:val="00624C59"/>
    <w:rsid w:val="006250CC"/>
    <w:rsid w:val="00625304"/>
    <w:rsid w:val="0062581B"/>
    <w:rsid w:val="00625B40"/>
    <w:rsid w:val="00625DF5"/>
    <w:rsid w:val="006261F4"/>
    <w:rsid w:val="00627EE4"/>
    <w:rsid w:val="0063070F"/>
    <w:rsid w:val="00630984"/>
    <w:rsid w:val="00631578"/>
    <w:rsid w:val="0063164E"/>
    <w:rsid w:val="0063191D"/>
    <w:rsid w:val="00633488"/>
    <w:rsid w:val="00633581"/>
    <w:rsid w:val="006339AF"/>
    <w:rsid w:val="00633AA6"/>
    <w:rsid w:val="00633C47"/>
    <w:rsid w:val="0063483F"/>
    <w:rsid w:val="006348F7"/>
    <w:rsid w:val="0063512D"/>
    <w:rsid w:val="006358FB"/>
    <w:rsid w:val="00635A22"/>
    <w:rsid w:val="00635AE2"/>
    <w:rsid w:val="00635E1E"/>
    <w:rsid w:val="0063677C"/>
    <w:rsid w:val="00636972"/>
    <w:rsid w:val="00636A4B"/>
    <w:rsid w:val="00636B69"/>
    <w:rsid w:val="00636BC2"/>
    <w:rsid w:val="00636D52"/>
    <w:rsid w:val="006404D1"/>
    <w:rsid w:val="00640F43"/>
    <w:rsid w:val="006412CA"/>
    <w:rsid w:val="006420DA"/>
    <w:rsid w:val="00642568"/>
    <w:rsid w:val="00642A0A"/>
    <w:rsid w:val="00643AC1"/>
    <w:rsid w:val="00643B2E"/>
    <w:rsid w:val="00643D62"/>
    <w:rsid w:val="0064450B"/>
    <w:rsid w:val="006447BB"/>
    <w:rsid w:val="00644A5E"/>
    <w:rsid w:val="00644A6C"/>
    <w:rsid w:val="00644D69"/>
    <w:rsid w:val="006457A8"/>
    <w:rsid w:val="00645EA0"/>
    <w:rsid w:val="00645F76"/>
    <w:rsid w:val="00646EB0"/>
    <w:rsid w:val="0064714D"/>
    <w:rsid w:val="0064727D"/>
    <w:rsid w:val="00647B32"/>
    <w:rsid w:val="00647C27"/>
    <w:rsid w:val="006502BF"/>
    <w:rsid w:val="00650ECA"/>
    <w:rsid w:val="006519E6"/>
    <w:rsid w:val="00651CDE"/>
    <w:rsid w:val="00652326"/>
    <w:rsid w:val="00652907"/>
    <w:rsid w:val="00652E06"/>
    <w:rsid w:val="006534BE"/>
    <w:rsid w:val="00653FC4"/>
    <w:rsid w:val="00654521"/>
    <w:rsid w:val="00654F91"/>
    <w:rsid w:val="0065502F"/>
    <w:rsid w:val="00655361"/>
    <w:rsid w:val="00656253"/>
    <w:rsid w:val="00656799"/>
    <w:rsid w:val="00656B77"/>
    <w:rsid w:val="00656E72"/>
    <w:rsid w:val="006578A1"/>
    <w:rsid w:val="0066063C"/>
    <w:rsid w:val="00660B12"/>
    <w:rsid w:val="00660C63"/>
    <w:rsid w:val="00661162"/>
    <w:rsid w:val="0066137B"/>
    <w:rsid w:val="0066174E"/>
    <w:rsid w:val="00661BBB"/>
    <w:rsid w:val="00661E57"/>
    <w:rsid w:val="0066248A"/>
    <w:rsid w:val="006629E4"/>
    <w:rsid w:val="006636D8"/>
    <w:rsid w:val="00663783"/>
    <w:rsid w:val="00663E47"/>
    <w:rsid w:val="0066402A"/>
    <w:rsid w:val="006644A7"/>
    <w:rsid w:val="00664BDE"/>
    <w:rsid w:val="0066565B"/>
    <w:rsid w:val="00665B7A"/>
    <w:rsid w:val="00665C44"/>
    <w:rsid w:val="00666284"/>
    <w:rsid w:val="00666727"/>
    <w:rsid w:val="006667F3"/>
    <w:rsid w:val="00667AEA"/>
    <w:rsid w:val="006703EC"/>
    <w:rsid w:val="006704FA"/>
    <w:rsid w:val="00670687"/>
    <w:rsid w:val="00670755"/>
    <w:rsid w:val="00670DC5"/>
    <w:rsid w:val="006711E8"/>
    <w:rsid w:val="0067158F"/>
    <w:rsid w:val="00671652"/>
    <w:rsid w:val="00671FAA"/>
    <w:rsid w:val="00674F0D"/>
    <w:rsid w:val="00675DA5"/>
    <w:rsid w:val="00677BCC"/>
    <w:rsid w:val="00680232"/>
    <w:rsid w:val="00680482"/>
    <w:rsid w:val="006808DC"/>
    <w:rsid w:val="00680B3A"/>
    <w:rsid w:val="00681180"/>
    <w:rsid w:val="006816B6"/>
    <w:rsid w:val="006817AE"/>
    <w:rsid w:val="006820EB"/>
    <w:rsid w:val="00682128"/>
    <w:rsid w:val="0068220C"/>
    <w:rsid w:val="006828DB"/>
    <w:rsid w:val="00682AB1"/>
    <w:rsid w:val="00682E9F"/>
    <w:rsid w:val="00683022"/>
    <w:rsid w:val="00683252"/>
    <w:rsid w:val="0068343A"/>
    <w:rsid w:val="006834D4"/>
    <w:rsid w:val="0068413D"/>
    <w:rsid w:val="006844BA"/>
    <w:rsid w:val="006845A2"/>
    <w:rsid w:val="00684BF8"/>
    <w:rsid w:val="00684D9B"/>
    <w:rsid w:val="00685232"/>
    <w:rsid w:val="006858AA"/>
    <w:rsid w:val="00685BCF"/>
    <w:rsid w:val="006861DD"/>
    <w:rsid w:val="006871D0"/>
    <w:rsid w:val="0068751F"/>
    <w:rsid w:val="00687762"/>
    <w:rsid w:val="006900D1"/>
    <w:rsid w:val="00690297"/>
    <w:rsid w:val="0069115A"/>
    <w:rsid w:val="006912F1"/>
    <w:rsid w:val="00691387"/>
    <w:rsid w:val="00691C7D"/>
    <w:rsid w:val="006927F2"/>
    <w:rsid w:val="00692E63"/>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977AC"/>
    <w:rsid w:val="00697C47"/>
    <w:rsid w:val="006A08F2"/>
    <w:rsid w:val="006A0DA7"/>
    <w:rsid w:val="006A151A"/>
    <w:rsid w:val="006A1E62"/>
    <w:rsid w:val="006A29B6"/>
    <w:rsid w:val="006A2A12"/>
    <w:rsid w:val="006A2E9C"/>
    <w:rsid w:val="006A2F33"/>
    <w:rsid w:val="006A34D0"/>
    <w:rsid w:val="006A35E0"/>
    <w:rsid w:val="006A377F"/>
    <w:rsid w:val="006A384A"/>
    <w:rsid w:val="006A3875"/>
    <w:rsid w:val="006A3D40"/>
    <w:rsid w:val="006A3F8B"/>
    <w:rsid w:val="006A5062"/>
    <w:rsid w:val="006A5164"/>
    <w:rsid w:val="006A561D"/>
    <w:rsid w:val="006A5A0C"/>
    <w:rsid w:val="006A5BA0"/>
    <w:rsid w:val="006A5BB1"/>
    <w:rsid w:val="006A5F88"/>
    <w:rsid w:val="006A7D95"/>
    <w:rsid w:val="006B023C"/>
    <w:rsid w:val="006B08BF"/>
    <w:rsid w:val="006B120D"/>
    <w:rsid w:val="006B13C1"/>
    <w:rsid w:val="006B1DB8"/>
    <w:rsid w:val="006B20F7"/>
    <w:rsid w:val="006B2195"/>
    <w:rsid w:val="006B2CC7"/>
    <w:rsid w:val="006B3AF9"/>
    <w:rsid w:val="006B44C5"/>
    <w:rsid w:val="006B555F"/>
    <w:rsid w:val="006B582B"/>
    <w:rsid w:val="006B5C22"/>
    <w:rsid w:val="006B6242"/>
    <w:rsid w:val="006B6C7C"/>
    <w:rsid w:val="006B6EA4"/>
    <w:rsid w:val="006B77BB"/>
    <w:rsid w:val="006B7C4E"/>
    <w:rsid w:val="006B7F8F"/>
    <w:rsid w:val="006B7FC5"/>
    <w:rsid w:val="006C055E"/>
    <w:rsid w:val="006C0D13"/>
    <w:rsid w:val="006C187F"/>
    <w:rsid w:val="006C18FD"/>
    <w:rsid w:val="006C19BC"/>
    <w:rsid w:val="006C19D5"/>
    <w:rsid w:val="006C1B44"/>
    <w:rsid w:val="006C1F77"/>
    <w:rsid w:val="006C2211"/>
    <w:rsid w:val="006C3031"/>
    <w:rsid w:val="006C3607"/>
    <w:rsid w:val="006C3990"/>
    <w:rsid w:val="006C3B61"/>
    <w:rsid w:val="006C3ED2"/>
    <w:rsid w:val="006C4233"/>
    <w:rsid w:val="006C42E7"/>
    <w:rsid w:val="006C4422"/>
    <w:rsid w:val="006C5CCA"/>
    <w:rsid w:val="006C6199"/>
    <w:rsid w:val="006C625F"/>
    <w:rsid w:val="006C66A9"/>
    <w:rsid w:val="006C6E36"/>
    <w:rsid w:val="006C78A6"/>
    <w:rsid w:val="006C7AB4"/>
    <w:rsid w:val="006D006B"/>
    <w:rsid w:val="006D0F31"/>
    <w:rsid w:val="006D105C"/>
    <w:rsid w:val="006D30E7"/>
    <w:rsid w:val="006D341B"/>
    <w:rsid w:val="006D3820"/>
    <w:rsid w:val="006D450E"/>
    <w:rsid w:val="006D459D"/>
    <w:rsid w:val="006D48E7"/>
    <w:rsid w:val="006D4947"/>
    <w:rsid w:val="006D49CB"/>
    <w:rsid w:val="006D551C"/>
    <w:rsid w:val="006D5F16"/>
    <w:rsid w:val="006D63AD"/>
    <w:rsid w:val="006D6764"/>
    <w:rsid w:val="006D67D9"/>
    <w:rsid w:val="006D6B3C"/>
    <w:rsid w:val="006D6C93"/>
    <w:rsid w:val="006D7573"/>
    <w:rsid w:val="006D7651"/>
    <w:rsid w:val="006E0340"/>
    <w:rsid w:val="006E03BB"/>
    <w:rsid w:val="006E06F9"/>
    <w:rsid w:val="006E07A9"/>
    <w:rsid w:val="006E0D91"/>
    <w:rsid w:val="006E1706"/>
    <w:rsid w:val="006E23DE"/>
    <w:rsid w:val="006E34D9"/>
    <w:rsid w:val="006E3CB2"/>
    <w:rsid w:val="006E3DA8"/>
    <w:rsid w:val="006E5C59"/>
    <w:rsid w:val="006E5DAA"/>
    <w:rsid w:val="006E65F9"/>
    <w:rsid w:val="006E7006"/>
    <w:rsid w:val="006E70B2"/>
    <w:rsid w:val="006F00E7"/>
    <w:rsid w:val="006F08C8"/>
    <w:rsid w:val="006F0A4D"/>
    <w:rsid w:val="006F0F6E"/>
    <w:rsid w:val="006F1B22"/>
    <w:rsid w:val="006F1BA4"/>
    <w:rsid w:val="006F2259"/>
    <w:rsid w:val="006F23E1"/>
    <w:rsid w:val="006F24FB"/>
    <w:rsid w:val="006F2D48"/>
    <w:rsid w:val="006F2F8F"/>
    <w:rsid w:val="006F2FDA"/>
    <w:rsid w:val="006F2FE5"/>
    <w:rsid w:val="006F3460"/>
    <w:rsid w:val="006F34FE"/>
    <w:rsid w:val="006F3615"/>
    <w:rsid w:val="006F3E23"/>
    <w:rsid w:val="006F3FA3"/>
    <w:rsid w:val="006F48BA"/>
    <w:rsid w:val="006F4AF9"/>
    <w:rsid w:val="006F54EB"/>
    <w:rsid w:val="006F5CC1"/>
    <w:rsid w:val="006F6144"/>
    <w:rsid w:val="006F67A5"/>
    <w:rsid w:val="006F7552"/>
    <w:rsid w:val="006F762D"/>
    <w:rsid w:val="00700492"/>
    <w:rsid w:val="007004F6"/>
    <w:rsid w:val="007006BE"/>
    <w:rsid w:val="0070167E"/>
    <w:rsid w:val="00701E1B"/>
    <w:rsid w:val="00702ED0"/>
    <w:rsid w:val="00703C09"/>
    <w:rsid w:val="0070434A"/>
    <w:rsid w:val="007048C4"/>
    <w:rsid w:val="00704CC4"/>
    <w:rsid w:val="00705345"/>
    <w:rsid w:val="0070603C"/>
    <w:rsid w:val="007062AB"/>
    <w:rsid w:val="0070638D"/>
    <w:rsid w:val="00706DBF"/>
    <w:rsid w:val="00707A59"/>
    <w:rsid w:val="0071046B"/>
    <w:rsid w:val="00710A06"/>
    <w:rsid w:val="00710AC6"/>
    <w:rsid w:val="00710C1D"/>
    <w:rsid w:val="007110A3"/>
    <w:rsid w:val="00711108"/>
    <w:rsid w:val="00711213"/>
    <w:rsid w:val="007112A1"/>
    <w:rsid w:val="00711996"/>
    <w:rsid w:val="00711A0A"/>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685"/>
    <w:rsid w:val="00714B4D"/>
    <w:rsid w:val="00714B6E"/>
    <w:rsid w:val="00714C4A"/>
    <w:rsid w:val="0071512F"/>
    <w:rsid w:val="007169AC"/>
    <w:rsid w:val="007169DD"/>
    <w:rsid w:val="00717679"/>
    <w:rsid w:val="00717B67"/>
    <w:rsid w:val="007206A2"/>
    <w:rsid w:val="00720B38"/>
    <w:rsid w:val="00720CA7"/>
    <w:rsid w:val="0072147B"/>
    <w:rsid w:val="0072181E"/>
    <w:rsid w:val="00722267"/>
    <w:rsid w:val="007222FD"/>
    <w:rsid w:val="007225EA"/>
    <w:rsid w:val="0072285E"/>
    <w:rsid w:val="00722C62"/>
    <w:rsid w:val="0072321F"/>
    <w:rsid w:val="00723295"/>
    <w:rsid w:val="007238E2"/>
    <w:rsid w:val="00723930"/>
    <w:rsid w:val="007239B4"/>
    <w:rsid w:val="00723C4A"/>
    <w:rsid w:val="00723EF9"/>
    <w:rsid w:val="00724446"/>
    <w:rsid w:val="00724584"/>
    <w:rsid w:val="007249D0"/>
    <w:rsid w:val="00724AA1"/>
    <w:rsid w:val="00724D39"/>
    <w:rsid w:val="00724EC3"/>
    <w:rsid w:val="007259FC"/>
    <w:rsid w:val="00725A19"/>
    <w:rsid w:val="00726356"/>
    <w:rsid w:val="007268C7"/>
    <w:rsid w:val="00726AAB"/>
    <w:rsid w:val="00727077"/>
    <w:rsid w:val="00727E48"/>
    <w:rsid w:val="00730524"/>
    <w:rsid w:val="007305D2"/>
    <w:rsid w:val="00730EA6"/>
    <w:rsid w:val="00731C15"/>
    <w:rsid w:val="00731CBB"/>
    <w:rsid w:val="00732045"/>
    <w:rsid w:val="007322A0"/>
    <w:rsid w:val="00732C1A"/>
    <w:rsid w:val="007337AE"/>
    <w:rsid w:val="00733920"/>
    <w:rsid w:val="00733CDC"/>
    <w:rsid w:val="00734B9A"/>
    <w:rsid w:val="00734D85"/>
    <w:rsid w:val="0073508D"/>
    <w:rsid w:val="00735695"/>
    <w:rsid w:val="007360CB"/>
    <w:rsid w:val="0073647F"/>
    <w:rsid w:val="00737566"/>
    <w:rsid w:val="00740527"/>
    <w:rsid w:val="00741B10"/>
    <w:rsid w:val="00741BA2"/>
    <w:rsid w:val="00741CF4"/>
    <w:rsid w:val="00741DCC"/>
    <w:rsid w:val="00741DE2"/>
    <w:rsid w:val="007421A1"/>
    <w:rsid w:val="00742211"/>
    <w:rsid w:val="007427FE"/>
    <w:rsid w:val="00742C51"/>
    <w:rsid w:val="00743445"/>
    <w:rsid w:val="007445EE"/>
    <w:rsid w:val="0074552A"/>
    <w:rsid w:val="00745E01"/>
    <w:rsid w:val="0074666B"/>
    <w:rsid w:val="007468D6"/>
    <w:rsid w:val="00746BFF"/>
    <w:rsid w:val="00746E9D"/>
    <w:rsid w:val="007473E1"/>
    <w:rsid w:val="00747897"/>
    <w:rsid w:val="00747D41"/>
    <w:rsid w:val="00747E47"/>
    <w:rsid w:val="00750192"/>
    <w:rsid w:val="007504E1"/>
    <w:rsid w:val="00750544"/>
    <w:rsid w:val="00750804"/>
    <w:rsid w:val="007509AB"/>
    <w:rsid w:val="00751689"/>
    <w:rsid w:val="00751964"/>
    <w:rsid w:val="007524AA"/>
    <w:rsid w:val="00753744"/>
    <w:rsid w:val="00753939"/>
    <w:rsid w:val="00753A93"/>
    <w:rsid w:val="00753FFC"/>
    <w:rsid w:val="00754D3F"/>
    <w:rsid w:val="00755150"/>
    <w:rsid w:val="00755663"/>
    <w:rsid w:val="007559B0"/>
    <w:rsid w:val="00756386"/>
    <w:rsid w:val="00756603"/>
    <w:rsid w:val="007575C0"/>
    <w:rsid w:val="00757D2F"/>
    <w:rsid w:val="0076000E"/>
    <w:rsid w:val="00760C00"/>
    <w:rsid w:val="00760D0C"/>
    <w:rsid w:val="007610E9"/>
    <w:rsid w:val="00761218"/>
    <w:rsid w:val="00761728"/>
    <w:rsid w:val="007619FC"/>
    <w:rsid w:val="00761C6C"/>
    <w:rsid w:val="0076209C"/>
    <w:rsid w:val="00762B72"/>
    <w:rsid w:val="00763CCB"/>
    <w:rsid w:val="007642B4"/>
    <w:rsid w:val="00764C45"/>
    <w:rsid w:val="00765D95"/>
    <w:rsid w:val="00765FDE"/>
    <w:rsid w:val="00766277"/>
    <w:rsid w:val="0076656A"/>
    <w:rsid w:val="00766682"/>
    <w:rsid w:val="00766701"/>
    <w:rsid w:val="00766911"/>
    <w:rsid w:val="00767793"/>
    <w:rsid w:val="007679BB"/>
    <w:rsid w:val="007679D8"/>
    <w:rsid w:val="00770803"/>
    <w:rsid w:val="00771319"/>
    <w:rsid w:val="007713E8"/>
    <w:rsid w:val="00771794"/>
    <w:rsid w:val="00771CCF"/>
    <w:rsid w:val="00771F7D"/>
    <w:rsid w:val="00772C3E"/>
    <w:rsid w:val="00772D36"/>
    <w:rsid w:val="007736E8"/>
    <w:rsid w:val="00774955"/>
    <w:rsid w:val="00774ACE"/>
    <w:rsid w:val="00775823"/>
    <w:rsid w:val="00775F57"/>
    <w:rsid w:val="007764C9"/>
    <w:rsid w:val="00776584"/>
    <w:rsid w:val="0077662A"/>
    <w:rsid w:val="007769EF"/>
    <w:rsid w:val="00776D4F"/>
    <w:rsid w:val="00776DDC"/>
    <w:rsid w:val="007770F9"/>
    <w:rsid w:val="00777179"/>
    <w:rsid w:val="00777945"/>
    <w:rsid w:val="00777D40"/>
    <w:rsid w:val="00777E09"/>
    <w:rsid w:val="00780424"/>
    <w:rsid w:val="00780B8D"/>
    <w:rsid w:val="00780B8E"/>
    <w:rsid w:val="00781649"/>
    <w:rsid w:val="00781695"/>
    <w:rsid w:val="007823D6"/>
    <w:rsid w:val="0078254E"/>
    <w:rsid w:val="00782628"/>
    <w:rsid w:val="007826AB"/>
    <w:rsid w:val="007840E2"/>
    <w:rsid w:val="007841B3"/>
    <w:rsid w:val="0078569F"/>
    <w:rsid w:val="00785803"/>
    <w:rsid w:val="00785EB4"/>
    <w:rsid w:val="0078609A"/>
    <w:rsid w:val="00786F85"/>
    <w:rsid w:val="007870B9"/>
    <w:rsid w:val="0078731A"/>
    <w:rsid w:val="00787487"/>
    <w:rsid w:val="00787C9E"/>
    <w:rsid w:val="007906F1"/>
    <w:rsid w:val="00790AF1"/>
    <w:rsid w:val="00790EDA"/>
    <w:rsid w:val="00791349"/>
    <w:rsid w:val="00791D85"/>
    <w:rsid w:val="00791DAF"/>
    <w:rsid w:val="007924CA"/>
    <w:rsid w:val="007932C3"/>
    <w:rsid w:val="007948B2"/>
    <w:rsid w:val="00794CBF"/>
    <w:rsid w:val="00795365"/>
    <w:rsid w:val="0079567E"/>
    <w:rsid w:val="00795C3B"/>
    <w:rsid w:val="007961D5"/>
    <w:rsid w:val="007968BA"/>
    <w:rsid w:val="00796A6F"/>
    <w:rsid w:val="00796C5D"/>
    <w:rsid w:val="00796D6A"/>
    <w:rsid w:val="00797B06"/>
    <w:rsid w:val="00797B9C"/>
    <w:rsid w:val="007A0483"/>
    <w:rsid w:val="007A1065"/>
    <w:rsid w:val="007A121B"/>
    <w:rsid w:val="007A1D86"/>
    <w:rsid w:val="007A2A97"/>
    <w:rsid w:val="007A2CDC"/>
    <w:rsid w:val="007A339A"/>
    <w:rsid w:val="007A371B"/>
    <w:rsid w:val="007A3832"/>
    <w:rsid w:val="007A3A0F"/>
    <w:rsid w:val="007A3E60"/>
    <w:rsid w:val="007A407D"/>
    <w:rsid w:val="007A4510"/>
    <w:rsid w:val="007A464F"/>
    <w:rsid w:val="007A58FE"/>
    <w:rsid w:val="007A6196"/>
    <w:rsid w:val="007A63D5"/>
    <w:rsid w:val="007A689A"/>
    <w:rsid w:val="007A68EA"/>
    <w:rsid w:val="007A6B7D"/>
    <w:rsid w:val="007A7629"/>
    <w:rsid w:val="007A7A7A"/>
    <w:rsid w:val="007B002A"/>
    <w:rsid w:val="007B1027"/>
    <w:rsid w:val="007B11E7"/>
    <w:rsid w:val="007B1691"/>
    <w:rsid w:val="007B174F"/>
    <w:rsid w:val="007B1863"/>
    <w:rsid w:val="007B19EE"/>
    <w:rsid w:val="007B22E0"/>
    <w:rsid w:val="007B28CA"/>
    <w:rsid w:val="007B3579"/>
    <w:rsid w:val="007B358D"/>
    <w:rsid w:val="007B5136"/>
    <w:rsid w:val="007B5401"/>
    <w:rsid w:val="007B5FB4"/>
    <w:rsid w:val="007B6B2B"/>
    <w:rsid w:val="007B7211"/>
    <w:rsid w:val="007B7949"/>
    <w:rsid w:val="007B7D30"/>
    <w:rsid w:val="007C0FA9"/>
    <w:rsid w:val="007C1400"/>
    <w:rsid w:val="007C2413"/>
    <w:rsid w:val="007C25AE"/>
    <w:rsid w:val="007C3152"/>
    <w:rsid w:val="007C333B"/>
    <w:rsid w:val="007C3914"/>
    <w:rsid w:val="007C3CEA"/>
    <w:rsid w:val="007C3D92"/>
    <w:rsid w:val="007C3E98"/>
    <w:rsid w:val="007C52B3"/>
    <w:rsid w:val="007C5A8F"/>
    <w:rsid w:val="007C5B38"/>
    <w:rsid w:val="007C675C"/>
    <w:rsid w:val="007C76E8"/>
    <w:rsid w:val="007C779C"/>
    <w:rsid w:val="007D01E6"/>
    <w:rsid w:val="007D02C9"/>
    <w:rsid w:val="007D035E"/>
    <w:rsid w:val="007D0396"/>
    <w:rsid w:val="007D0644"/>
    <w:rsid w:val="007D1801"/>
    <w:rsid w:val="007D1FE0"/>
    <w:rsid w:val="007D20BB"/>
    <w:rsid w:val="007D261E"/>
    <w:rsid w:val="007D297B"/>
    <w:rsid w:val="007D2F61"/>
    <w:rsid w:val="007D3004"/>
    <w:rsid w:val="007D3948"/>
    <w:rsid w:val="007D3A6C"/>
    <w:rsid w:val="007D3D0E"/>
    <w:rsid w:val="007D3D33"/>
    <w:rsid w:val="007D40B4"/>
    <w:rsid w:val="007D41C2"/>
    <w:rsid w:val="007D4F02"/>
    <w:rsid w:val="007D674C"/>
    <w:rsid w:val="007D69F2"/>
    <w:rsid w:val="007D6B7B"/>
    <w:rsid w:val="007D6C6A"/>
    <w:rsid w:val="007D6CF1"/>
    <w:rsid w:val="007D7131"/>
    <w:rsid w:val="007D7BEC"/>
    <w:rsid w:val="007D7CE3"/>
    <w:rsid w:val="007E051A"/>
    <w:rsid w:val="007E0798"/>
    <w:rsid w:val="007E100A"/>
    <w:rsid w:val="007E1B72"/>
    <w:rsid w:val="007E3EE3"/>
    <w:rsid w:val="007E57DE"/>
    <w:rsid w:val="007E5902"/>
    <w:rsid w:val="007E602D"/>
    <w:rsid w:val="007E6719"/>
    <w:rsid w:val="007E68ED"/>
    <w:rsid w:val="007E69ED"/>
    <w:rsid w:val="007E7B2D"/>
    <w:rsid w:val="007F0186"/>
    <w:rsid w:val="007F0221"/>
    <w:rsid w:val="007F034B"/>
    <w:rsid w:val="007F07B9"/>
    <w:rsid w:val="007F0928"/>
    <w:rsid w:val="007F15CE"/>
    <w:rsid w:val="007F1DC4"/>
    <w:rsid w:val="007F1E88"/>
    <w:rsid w:val="007F25E9"/>
    <w:rsid w:val="007F2CD7"/>
    <w:rsid w:val="007F3568"/>
    <w:rsid w:val="007F422D"/>
    <w:rsid w:val="007F4DBA"/>
    <w:rsid w:val="007F519C"/>
    <w:rsid w:val="007F5318"/>
    <w:rsid w:val="007F534D"/>
    <w:rsid w:val="007F54A2"/>
    <w:rsid w:val="007F54FE"/>
    <w:rsid w:val="007F5535"/>
    <w:rsid w:val="007F5D32"/>
    <w:rsid w:val="007F5DB1"/>
    <w:rsid w:val="007F72DC"/>
    <w:rsid w:val="007F7659"/>
    <w:rsid w:val="007F795F"/>
    <w:rsid w:val="007F7ABF"/>
    <w:rsid w:val="0080069C"/>
    <w:rsid w:val="008006FD"/>
    <w:rsid w:val="0080148D"/>
    <w:rsid w:val="0080156B"/>
    <w:rsid w:val="00801A3A"/>
    <w:rsid w:val="00802FBA"/>
    <w:rsid w:val="008036CA"/>
    <w:rsid w:val="00804114"/>
    <w:rsid w:val="00804634"/>
    <w:rsid w:val="008047E8"/>
    <w:rsid w:val="00805026"/>
    <w:rsid w:val="0080531E"/>
    <w:rsid w:val="00805C3D"/>
    <w:rsid w:val="00806667"/>
    <w:rsid w:val="00806F1D"/>
    <w:rsid w:val="008077ED"/>
    <w:rsid w:val="00807B6F"/>
    <w:rsid w:val="00807E93"/>
    <w:rsid w:val="00810172"/>
    <w:rsid w:val="00810762"/>
    <w:rsid w:val="00810858"/>
    <w:rsid w:val="00810EFF"/>
    <w:rsid w:val="00811314"/>
    <w:rsid w:val="00811A39"/>
    <w:rsid w:val="0081223D"/>
    <w:rsid w:val="0081291B"/>
    <w:rsid w:val="00813622"/>
    <w:rsid w:val="00813DCF"/>
    <w:rsid w:val="00813FAB"/>
    <w:rsid w:val="00814157"/>
    <w:rsid w:val="0081498C"/>
    <w:rsid w:val="00814AE1"/>
    <w:rsid w:val="00815D31"/>
    <w:rsid w:val="0081601F"/>
    <w:rsid w:val="00816064"/>
    <w:rsid w:val="00816216"/>
    <w:rsid w:val="008174B2"/>
    <w:rsid w:val="00817CFF"/>
    <w:rsid w:val="0082000D"/>
    <w:rsid w:val="0082037E"/>
    <w:rsid w:val="00820C9C"/>
    <w:rsid w:val="00820F55"/>
    <w:rsid w:val="00821318"/>
    <w:rsid w:val="00821572"/>
    <w:rsid w:val="00822310"/>
    <w:rsid w:val="00822F13"/>
    <w:rsid w:val="00823794"/>
    <w:rsid w:val="008237F4"/>
    <w:rsid w:val="00823AA2"/>
    <w:rsid w:val="00823B51"/>
    <w:rsid w:val="00823F67"/>
    <w:rsid w:val="00824022"/>
    <w:rsid w:val="0082483A"/>
    <w:rsid w:val="00824A81"/>
    <w:rsid w:val="00824E77"/>
    <w:rsid w:val="008257B8"/>
    <w:rsid w:val="008260ED"/>
    <w:rsid w:val="0082699D"/>
    <w:rsid w:val="00826BEB"/>
    <w:rsid w:val="00826E6B"/>
    <w:rsid w:val="008274C5"/>
    <w:rsid w:val="008275D9"/>
    <w:rsid w:val="008275FD"/>
    <w:rsid w:val="00827BBB"/>
    <w:rsid w:val="00830BA1"/>
    <w:rsid w:val="00830EB2"/>
    <w:rsid w:val="00831652"/>
    <w:rsid w:val="0083202E"/>
    <w:rsid w:val="0083304F"/>
    <w:rsid w:val="008334C9"/>
    <w:rsid w:val="00834122"/>
    <w:rsid w:val="00834245"/>
    <w:rsid w:val="00834C03"/>
    <w:rsid w:val="008352C5"/>
    <w:rsid w:val="008358A6"/>
    <w:rsid w:val="008359FB"/>
    <w:rsid w:val="00835C2B"/>
    <w:rsid w:val="00835C56"/>
    <w:rsid w:val="008360FC"/>
    <w:rsid w:val="00836E81"/>
    <w:rsid w:val="00837705"/>
    <w:rsid w:val="008377C1"/>
    <w:rsid w:val="008379BB"/>
    <w:rsid w:val="00837C90"/>
    <w:rsid w:val="00837EB1"/>
    <w:rsid w:val="0084042B"/>
    <w:rsid w:val="008409BB"/>
    <w:rsid w:val="00840BCA"/>
    <w:rsid w:val="0084184A"/>
    <w:rsid w:val="008423F2"/>
    <w:rsid w:val="0084299B"/>
    <w:rsid w:val="00842A30"/>
    <w:rsid w:val="00842F71"/>
    <w:rsid w:val="00843179"/>
    <w:rsid w:val="0084386A"/>
    <w:rsid w:val="00843E0E"/>
    <w:rsid w:val="008442EA"/>
    <w:rsid w:val="00844589"/>
    <w:rsid w:val="00844794"/>
    <w:rsid w:val="008448C7"/>
    <w:rsid w:val="00844941"/>
    <w:rsid w:val="00844FE7"/>
    <w:rsid w:val="00845969"/>
    <w:rsid w:val="00845F37"/>
    <w:rsid w:val="00845FF5"/>
    <w:rsid w:val="00846001"/>
    <w:rsid w:val="0084615D"/>
    <w:rsid w:val="0084642A"/>
    <w:rsid w:val="008465C4"/>
    <w:rsid w:val="00846710"/>
    <w:rsid w:val="008467A7"/>
    <w:rsid w:val="008478ED"/>
    <w:rsid w:val="008511BC"/>
    <w:rsid w:val="00851557"/>
    <w:rsid w:val="00851728"/>
    <w:rsid w:val="00851ACE"/>
    <w:rsid w:val="00851DFF"/>
    <w:rsid w:val="008527A5"/>
    <w:rsid w:val="00853084"/>
    <w:rsid w:val="00853142"/>
    <w:rsid w:val="00853367"/>
    <w:rsid w:val="00853C9E"/>
    <w:rsid w:val="008540A6"/>
    <w:rsid w:val="00854420"/>
    <w:rsid w:val="00854481"/>
    <w:rsid w:val="008563DF"/>
    <w:rsid w:val="0085731A"/>
    <w:rsid w:val="00857591"/>
    <w:rsid w:val="00857E88"/>
    <w:rsid w:val="008612DB"/>
    <w:rsid w:val="00861B57"/>
    <w:rsid w:val="008621AB"/>
    <w:rsid w:val="00862AC4"/>
    <w:rsid w:val="008632AA"/>
    <w:rsid w:val="008633AC"/>
    <w:rsid w:val="008634E3"/>
    <w:rsid w:val="0086447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185D"/>
    <w:rsid w:val="00871ECE"/>
    <w:rsid w:val="0087281D"/>
    <w:rsid w:val="008732D8"/>
    <w:rsid w:val="00873377"/>
    <w:rsid w:val="00873577"/>
    <w:rsid w:val="00873CA8"/>
    <w:rsid w:val="0087409F"/>
    <w:rsid w:val="00874D58"/>
    <w:rsid w:val="008750D2"/>
    <w:rsid w:val="00875AB5"/>
    <w:rsid w:val="00875C91"/>
    <w:rsid w:val="00875E2B"/>
    <w:rsid w:val="00875F85"/>
    <w:rsid w:val="00876C6B"/>
    <w:rsid w:val="00876DC9"/>
    <w:rsid w:val="00877125"/>
    <w:rsid w:val="008777C2"/>
    <w:rsid w:val="00881511"/>
    <w:rsid w:val="00882448"/>
    <w:rsid w:val="00882F1D"/>
    <w:rsid w:val="00882F4E"/>
    <w:rsid w:val="00883A4D"/>
    <w:rsid w:val="00883B21"/>
    <w:rsid w:val="00883F8F"/>
    <w:rsid w:val="0088422F"/>
    <w:rsid w:val="00884235"/>
    <w:rsid w:val="0088524C"/>
    <w:rsid w:val="00885285"/>
    <w:rsid w:val="00885985"/>
    <w:rsid w:val="008859B1"/>
    <w:rsid w:val="00886699"/>
    <w:rsid w:val="0088709A"/>
    <w:rsid w:val="0088788F"/>
    <w:rsid w:val="00890BA8"/>
    <w:rsid w:val="0089199F"/>
    <w:rsid w:val="00891C32"/>
    <w:rsid w:val="00891D7F"/>
    <w:rsid w:val="00891E5E"/>
    <w:rsid w:val="00892265"/>
    <w:rsid w:val="0089233E"/>
    <w:rsid w:val="008925D2"/>
    <w:rsid w:val="008928F9"/>
    <w:rsid w:val="0089330E"/>
    <w:rsid w:val="00893A8E"/>
    <w:rsid w:val="00893E27"/>
    <w:rsid w:val="008945F7"/>
    <w:rsid w:val="0089463D"/>
    <w:rsid w:val="00894E53"/>
    <w:rsid w:val="0089554F"/>
    <w:rsid w:val="008955E6"/>
    <w:rsid w:val="00895B5F"/>
    <w:rsid w:val="0089637C"/>
    <w:rsid w:val="00896712"/>
    <w:rsid w:val="00896870"/>
    <w:rsid w:val="008969BD"/>
    <w:rsid w:val="0089719A"/>
    <w:rsid w:val="00897328"/>
    <w:rsid w:val="0089743C"/>
    <w:rsid w:val="008974D8"/>
    <w:rsid w:val="008A0DF2"/>
    <w:rsid w:val="008A13BD"/>
    <w:rsid w:val="008A1596"/>
    <w:rsid w:val="008A1A88"/>
    <w:rsid w:val="008A1EDF"/>
    <w:rsid w:val="008A2695"/>
    <w:rsid w:val="008A2DC9"/>
    <w:rsid w:val="008A2FF1"/>
    <w:rsid w:val="008A32D4"/>
    <w:rsid w:val="008A367F"/>
    <w:rsid w:val="008A37AF"/>
    <w:rsid w:val="008A3D62"/>
    <w:rsid w:val="008A448D"/>
    <w:rsid w:val="008A4A55"/>
    <w:rsid w:val="008A4F58"/>
    <w:rsid w:val="008A506F"/>
    <w:rsid w:val="008A528A"/>
    <w:rsid w:val="008A5298"/>
    <w:rsid w:val="008A5304"/>
    <w:rsid w:val="008A535A"/>
    <w:rsid w:val="008A6935"/>
    <w:rsid w:val="008A720F"/>
    <w:rsid w:val="008A7C72"/>
    <w:rsid w:val="008B004F"/>
    <w:rsid w:val="008B019D"/>
    <w:rsid w:val="008B04F2"/>
    <w:rsid w:val="008B0D0E"/>
    <w:rsid w:val="008B1205"/>
    <w:rsid w:val="008B12BB"/>
    <w:rsid w:val="008B1411"/>
    <w:rsid w:val="008B17A2"/>
    <w:rsid w:val="008B25F2"/>
    <w:rsid w:val="008B2643"/>
    <w:rsid w:val="008B2FAE"/>
    <w:rsid w:val="008B3024"/>
    <w:rsid w:val="008B3317"/>
    <w:rsid w:val="008B40D2"/>
    <w:rsid w:val="008B414B"/>
    <w:rsid w:val="008B429B"/>
    <w:rsid w:val="008B4C11"/>
    <w:rsid w:val="008B4E0E"/>
    <w:rsid w:val="008B4FB9"/>
    <w:rsid w:val="008B5715"/>
    <w:rsid w:val="008B5947"/>
    <w:rsid w:val="008B5A2D"/>
    <w:rsid w:val="008B5BC2"/>
    <w:rsid w:val="008B60BB"/>
    <w:rsid w:val="008B62C4"/>
    <w:rsid w:val="008B6732"/>
    <w:rsid w:val="008B68EC"/>
    <w:rsid w:val="008B711E"/>
    <w:rsid w:val="008C042F"/>
    <w:rsid w:val="008C057B"/>
    <w:rsid w:val="008C0CAC"/>
    <w:rsid w:val="008C13B4"/>
    <w:rsid w:val="008C1557"/>
    <w:rsid w:val="008C1B8C"/>
    <w:rsid w:val="008C2306"/>
    <w:rsid w:val="008C26D1"/>
    <w:rsid w:val="008C2B7F"/>
    <w:rsid w:val="008C2EB6"/>
    <w:rsid w:val="008C361F"/>
    <w:rsid w:val="008C36AC"/>
    <w:rsid w:val="008C4953"/>
    <w:rsid w:val="008C4E44"/>
    <w:rsid w:val="008C514D"/>
    <w:rsid w:val="008C6255"/>
    <w:rsid w:val="008C684B"/>
    <w:rsid w:val="008C6ABD"/>
    <w:rsid w:val="008C6F18"/>
    <w:rsid w:val="008C7685"/>
    <w:rsid w:val="008D007A"/>
    <w:rsid w:val="008D07DE"/>
    <w:rsid w:val="008D0831"/>
    <w:rsid w:val="008D0D1B"/>
    <w:rsid w:val="008D0E40"/>
    <w:rsid w:val="008D198C"/>
    <w:rsid w:val="008D1DD0"/>
    <w:rsid w:val="008D1E7F"/>
    <w:rsid w:val="008D2367"/>
    <w:rsid w:val="008D3839"/>
    <w:rsid w:val="008D3E82"/>
    <w:rsid w:val="008D427A"/>
    <w:rsid w:val="008D4DD5"/>
    <w:rsid w:val="008D4F40"/>
    <w:rsid w:val="008D5657"/>
    <w:rsid w:val="008D6752"/>
    <w:rsid w:val="008D69E7"/>
    <w:rsid w:val="008D6FC1"/>
    <w:rsid w:val="008E0140"/>
    <w:rsid w:val="008E0688"/>
    <w:rsid w:val="008E0BEF"/>
    <w:rsid w:val="008E1206"/>
    <w:rsid w:val="008E266D"/>
    <w:rsid w:val="008E2F0C"/>
    <w:rsid w:val="008E32C3"/>
    <w:rsid w:val="008E350E"/>
    <w:rsid w:val="008E3E23"/>
    <w:rsid w:val="008E4F54"/>
    <w:rsid w:val="008E547B"/>
    <w:rsid w:val="008E5DF8"/>
    <w:rsid w:val="008E60D1"/>
    <w:rsid w:val="008E6E5A"/>
    <w:rsid w:val="008E7597"/>
    <w:rsid w:val="008F0250"/>
    <w:rsid w:val="008F11AD"/>
    <w:rsid w:val="008F11F4"/>
    <w:rsid w:val="008F1656"/>
    <w:rsid w:val="008F1952"/>
    <w:rsid w:val="008F254D"/>
    <w:rsid w:val="008F26C8"/>
    <w:rsid w:val="008F310B"/>
    <w:rsid w:val="008F322B"/>
    <w:rsid w:val="008F34CB"/>
    <w:rsid w:val="008F3519"/>
    <w:rsid w:val="008F3AD3"/>
    <w:rsid w:val="008F3CA7"/>
    <w:rsid w:val="008F3DDA"/>
    <w:rsid w:val="008F443F"/>
    <w:rsid w:val="008F5DE5"/>
    <w:rsid w:val="008F5E42"/>
    <w:rsid w:val="008F63B1"/>
    <w:rsid w:val="008F67E9"/>
    <w:rsid w:val="008F6973"/>
    <w:rsid w:val="008F6E6A"/>
    <w:rsid w:val="008F7AA7"/>
    <w:rsid w:val="008F7DC3"/>
    <w:rsid w:val="00900947"/>
    <w:rsid w:val="00900DCA"/>
    <w:rsid w:val="00900EB8"/>
    <w:rsid w:val="00900FBA"/>
    <w:rsid w:val="00901EAE"/>
    <w:rsid w:val="00902050"/>
    <w:rsid w:val="00902E5B"/>
    <w:rsid w:val="00903FD9"/>
    <w:rsid w:val="009040B0"/>
    <w:rsid w:val="009044BE"/>
    <w:rsid w:val="00904CF5"/>
    <w:rsid w:val="00905259"/>
    <w:rsid w:val="0090556C"/>
    <w:rsid w:val="00905633"/>
    <w:rsid w:val="00905EAE"/>
    <w:rsid w:val="009060C4"/>
    <w:rsid w:val="00906C91"/>
    <w:rsid w:val="00906C95"/>
    <w:rsid w:val="00907656"/>
    <w:rsid w:val="00907E47"/>
    <w:rsid w:val="00907F38"/>
    <w:rsid w:val="009112DB"/>
    <w:rsid w:val="009115EF"/>
    <w:rsid w:val="009116DD"/>
    <w:rsid w:val="00912ACE"/>
    <w:rsid w:val="00912D1C"/>
    <w:rsid w:val="00913019"/>
    <w:rsid w:val="00913F1E"/>
    <w:rsid w:val="00913FB2"/>
    <w:rsid w:val="00914008"/>
    <w:rsid w:val="009140C4"/>
    <w:rsid w:val="009144A9"/>
    <w:rsid w:val="0091468B"/>
    <w:rsid w:val="0091526F"/>
    <w:rsid w:val="009153D2"/>
    <w:rsid w:val="00915482"/>
    <w:rsid w:val="00916286"/>
    <w:rsid w:val="00916595"/>
    <w:rsid w:val="00916C47"/>
    <w:rsid w:val="009171AD"/>
    <w:rsid w:val="00917569"/>
    <w:rsid w:val="00917DBD"/>
    <w:rsid w:val="00920174"/>
    <w:rsid w:val="009219D2"/>
    <w:rsid w:val="00921A4E"/>
    <w:rsid w:val="00921E37"/>
    <w:rsid w:val="00922511"/>
    <w:rsid w:val="00922F07"/>
    <w:rsid w:val="00923463"/>
    <w:rsid w:val="00924ECA"/>
    <w:rsid w:val="00925238"/>
    <w:rsid w:val="00925ACF"/>
    <w:rsid w:val="00925BD5"/>
    <w:rsid w:val="0092615D"/>
    <w:rsid w:val="009263EB"/>
    <w:rsid w:val="00926546"/>
    <w:rsid w:val="009265A1"/>
    <w:rsid w:val="00926D3B"/>
    <w:rsid w:val="00926D80"/>
    <w:rsid w:val="00927700"/>
    <w:rsid w:val="0092798F"/>
    <w:rsid w:val="00927CE4"/>
    <w:rsid w:val="00930345"/>
    <w:rsid w:val="0093036E"/>
    <w:rsid w:val="00931224"/>
    <w:rsid w:val="00932ADD"/>
    <w:rsid w:val="0093314D"/>
    <w:rsid w:val="009331EA"/>
    <w:rsid w:val="009333D3"/>
    <w:rsid w:val="009339B6"/>
    <w:rsid w:val="00933B4C"/>
    <w:rsid w:val="00933DC4"/>
    <w:rsid w:val="00933E64"/>
    <w:rsid w:val="0093431B"/>
    <w:rsid w:val="009346D6"/>
    <w:rsid w:val="00934743"/>
    <w:rsid w:val="0093487E"/>
    <w:rsid w:val="00934FFE"/>
    <w:rsid w:val="00935506"/>
    <w:rsid w:val="00936405"/>
    <w:rsid w:val="00936B64"/>
    <w:rsid w:val="009379C4"/>
    <w:rsid w:val="0094041A"/>
    <w:rsid w:val="00940A87"/>
    <w:rsid w:val="00940D32"/>
    <w:rsid w:val="0094101F"/>
    <w:rsid w:val="0094190D"/>
    <w:rsid w:val="00941E28"/>
    <w:rsid w:val="00942354"/>
    <w:rsid w:val="00942681"/>
    <w:rsid w:val="00942ECC"/>
    <w:rsid w:val="00943A7E"/>
    <w:rsid w:val="00943E42"/>
    <w:rsid w:val="00943E5D"/>
    <w:rsid w:val="00944728"/>
    <w:rsid w:val="009453E8"/>
    <w:rsid w:val="00945664"/>
    <w:rsid w:val="00945AD1"/>
    <w:rsid w:val="00946ECB"/>
    <w:rsid w:val="00947268"/>
    <w:rsid w:val="0094750E"/>
    <w:rsid w:val="00947B75"/>
    <w:rsid w:val="00947C94"/>
    <w:rsid w:val="009507C8"/>
    <w:rsid w:val="0095115E"/>
    <w:rsid w:val="0095118A"/>
    <w:rsid w:val="00952468"/>
    <w:rsid w:val="00952AC8"/>
    <w:rsid w:val="00953AA5"/>
    <w:rsid w:val="00953B90"/>
    <w:rsid w:val="00954734"/>
    <w:rsid w:val="00954767"/>
    <w:rsid w:val="0095487A"/>
    <w:rsid w:val="009548FB"/>
    <w:rsid w:val="00954CE8"/>
    <w:rsid w:val="00954FD1"/>
    <w:rsid w:val="0095538B"/>
    <w:rsid w:val="00955913"/>
    <w:rsid w:val="00957AF7"/>
    <w:rsid w:val="0096034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67166"/>
    <w:rsid w:val="0097007C"/>
    <w:rsid w:val="00970918"/>
    <w:rsid w:val="0097099E"/>
    <w:rsid w:val="00971761"/>
    <w:rsid w:val="0097203B"/>
    <w:rsid w:val="0097216F"/>
    <w:rsid w:val="00972922"/>
    <w:rsid w:val="00972C3B"/>
    <w:rsid w:val="00973010"/>
    <w:rsid w:val="00973057"/>
    <w:rsid w:val="00974D50"/>
    <w:rsid w:val="009751AF"/>
    <w:rsid w:val="00975287"/>
    <w:rsid w:val="00975326"/>
    <w:rsid w:val="009756BB"/>
    <w:rsid w:val="00975DEA"/>
    <w:rsid w:val="0097765D"/>
    <w:rsid w:val="00977C56"/>
    <w:rsid w:val="00977CDF"/>
    <w:rsid w:val="00977F01"/>
    <w:rsid w:val="009801A8"/>
    <w:rsid w:val="0098043F"/>
    <w:rsid w:val="00981038"/>
    <w:rsid w:val="0098106E"/>
    <w:rsid w:val="00981511"/>
    <w:rsid w:val="00981D1C"/>
    <w:rsid w:val="00981E1C"/>
    <w:rsid w:val="00981E7C"/>
    <w:rsid w:val="00982118"/>
    <w:rsid w:val="0098233D"/>
    <w:rsid w:val="00982C62"/>
    <w:rsid w:val="00982C91"/>
    <w:rsid w:val="00982F76"/>
    <w:rsid w:val="00982FA3"/>
    <w:rsid w:val="009840FD"/>
    <w:rsid w:val="00984271"/>
    <w:rsid w:val="00984701"/>
    <w:rsid w:val="00984847"/>
    <w:rsid w:val="00984BEC"/>
    <w:rsid w:val="00985EB8"/>
    <w:rsid w:val="00985FB3"/>
    <w:rsid w:val="00986566"/>
    <w:rsid w:val="00986CC1"/>
    <w:rsid w:val="00986F4E"/>
    <w:rsid w:val="00987191"/>
    <w:rsid w:val="00987A5A"/>
    <w:rsid w:val="00987CB4"/>
    <w:rsid w:val="00990377"/>
    <w:rsid w:val="0099097E"/>
    <w:rsid w:val="009921FC"/>
    <w:rsid w:val="0099272B"/>
    <w:rsid w:val="00992A0E"/>
    <w:rsid w:val="0099399E"/>
    <w:rsid w:val="0099413C"/>
    <w:rsid w:val="00994230"/>
    <w:rsid w:val="00994585"/>
    <w:rsid w:val="0099479E"/>
    <w:rsid w:val="009951D8"/>
    <w:rsid w:val="00995355"/>
    <w:rsid w:val="0099586F"/>
    <w:rsid w:val="00995E97"/>
    <w:rsid w:val="0099719E"/>
    <w:rsid w:val="009A0169"/>
    <w:rsid w:val="009A1B09"/>
    <w:rsid w:val="009A1B56"/>
    <w:rsid w:val="009A2137"/>
    <w:rsid w:val="009A279F"/>
    <w:rsid w:val="009A2A53"/>
    <w:rsid w:val="009A3C93"/>
    <w:rsid w:val="009A3FD0"/>
    <w:rsid w:val="009A4200"/>
    <w:rsid w:val="009A51C7"/>
    <w:rsid w:val="009A59EC"/>
    <w:rsid w:val="009A5C56"/>
    <w:rsid w:val="009A5CA8"/>
    <w:rsid w:val="009A6311"/>
    <w:rsid w:val="009A6C99"/>
    <w:rsid w:val="009A6ED0"/>
    <w:rsid w:val="009A706A"/>
    <w:rsid w:val="009A71AB"/>
    <w:rsid w:val="009A7745"/>
    <w:rsid w:val="009A7C3D"/>
    <w:rsid w:val="009B0156"/>
    <w:rsid w:val="009B0295"/>
    <w:rsid w:val="009B05BA"/>
    <w:rsid w:val="009B09B5"/>
    <w:rsid w:val="009B0A35"/>
    <w:rsid w:val="009B1B0E"/>
    <w:rsid w:val="009B2596"/>
    <w:rsid w:val="009B356F"/>
    <w:rsid w:val="009B3BCB"/>
    <w:rsid w:val="009B42B6"/>
    <w:rsid w:val="009B42CC"/>
    <w:rsid w:val="009B43D6"/>
    <w:rsid w:val="009B5081"/>
    <w:rsid w:val="009B6985"/>
    <w:rsid w:val="009B69B3"/>
    <w:rsid w:val="009B7011"/>
    <w:rsid w:val="009B71E4"/>
    <w:rsid w:val="009C04EE"/>
    <w:rsid w:val="009C0B77"/>
    <w:rsid w:val="009C0CD4"/>
    <w:rsid w:val="009C15E7"/>
    <w:rsid w:val="009C17C8"/>
    <w:rsid w:val="009C278F"/>
    <w:rsid w:val="009C2C3E"/>
    <w:rsid w:val="009C2CC2"/>
    <w:rsid w:val="009C33AA"/>
    <w:rsid w:val="009C385B"/>
    <w:rsid w:val="009C3E3C"/>
    <w:rsid w:val="009C4353"/>
    <w:rsid w:val="009C49C2"/>
    <w:rsid w:val="009C4E2D"/>
    <w:rsid w:val="009C62C0"/>
    <w:rsid w:val="009C6A88"/>
    <w:rsid w:val="009C765D"/>
    <w:rsid w:val="009C7ADA"/>
    <w:rsid w:val="009D000A"/>
    <w:rsid w:val="009D020A"/>
    <w:rsid w:val="009D139C"/>
    <w:rsid w:val="009D1A86"/>
    <w:rsid w:val="009D1E12"/>
    <w:rsid w:val="009D2DA9"/>
    <w:rsid w:val="009D2E93"/>
    <w:rsid w:val="009D2EA9"/>
    <w:rsid w:val="009D3038"/>
    <w:rsid w:val="009D3357"/>
    <w:rsid w:val="009D34C0"/>
    <w:rsid w:val="009D35FB"/>
    <w:rsid w:val="009D4BBE"/>
    <w:rsid w:val="009D4E16"/>
    <w:rsid w:val="009D55F9"/>
    <w:rsid w:val="009D5893"/>
    <w:rsid w:val="009D6620"/>
    <w:rsid w:val="009D6C54"/>
    <w:rsid w:val="009D72B0"/>
    <w:rsid w:val="009D77CE"/>
    <w:rsid w:val="009D7DE3"/>
    <w:rsid w:val="009E004A"/>
    <w:rsid w:val="009E066B"/>
    <w:rsid w:val="009E0F48"/>
    <w:rsid w:val="009E1515"/>
    <w:rsid w:val="009E181E"/>
    <w:rsid w:val="009E1CFF"/>
    <w:rsid w:val="009E1FEE"/>
    <w:rsid w:val="009E22A3"/>
    <w:rsid w:val="009E23EA"/>
    <w:rsid w:val="009E2D24"/>
    <w:rsid w:val="009E2EA0"/>
    <w:rsid w:val="009E305F"/>
    <w:rsid w:val="009E36FF"/>
    <w:rsid w:val="009E37D3"/>
    <w:rsid w:val="009E44A5"/>
    <w:rsid w:val="009E4706"/>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0A1"/>
    <w:rsid w:val="009F245B"/>
    <w:rsid w:val="009F25E6"/>
    <w:rsid w:val="009F2A79"/>
    <w:rsid w:val="009F2BE8"/>
    <w:rsid w:val="009F2F09"/>
    <w:rsid w:val="009F34D3"/>
    <w:rsid w:val="009F39A7"/>
    <w:rsid w:val="009F40B7"/>
    <w:rsid w:val="009F4188"/>
    <w:rsid w:val="009F4302"/>
    <w:rsid w:val="009F4393"/>
    <w:rsid w:val="009F4986"/>
    <w:rsid w:val="009F4BE9"/>
    <w:rsid w:val="009F4E52"/>
    <w:rsid w:val="009F5103"/>
    <w:rsid w:val="009F5E8B"/>
    <w:rsid w:val="009F62D3"/>
    <w:rsid w:val="009F6FBA"/>
    <w:rsid w:val="009F7410"/>
    <w:rsid w:val="00A00112"/>
    <w:rsid w:val="00A0058B"/>
    <w:rsid w:val="00A008B5"/>
    <w:rsid w:val="00A017B4"/>
    <w:rsid w:val="00A01C53"/>
    <w:rsid w:val="00A01D38"/>
    <w:rsid w:val="00A02414"/>
    <w:rsid w:val="00A02458"/>
    <w:rsid w:val="00A025B9"/>
    <w:rsid w:val="00A0327B"/>
    <w:rsid w:val="00A0355C"/>
    <w:rsid w:val="00A03A13"/>
    <w:rsid w:val="00A040CD"/>
    <w:rsid w:val="00A04429"/>
    <w:rsid w:val="00A04470"/>
    <w:rsid w:val="00A04AD7"/>
    <w:rsid w:val="00A05785"/>
    <w:rsid w:val="00A05E1E"/>
    <w:rsid w:val="00A06446"/>
    <w:rsid w:val="00A06697"/>
    <w:rsid w:val="00A06C40"/>
    <w:rsid w:val="00A07C33"/>
    <w:rsid w:val="00A07D6F"/>
    <w:rsid w:val="00A10586"/>
    <w:rsid w:val="00A10A48"/>
    <w:rsid w:val="00A110DA"/>
    <w:rsid w:val="00A1132B"/>
    <w:rsid w:val="00A11930"/>
    <w:rsid w:val="00A11B54"/>
    <w:rsid w:val="00A11CDC"/>
    <w:rsid w:val="00A1238C"/>
    <w:rsid w:val="00A1263D"/>
    <w:rsid w:val="00A12AF2"/>
    <w:rsid w:val="00A12D8A"/>
    <w:rsid w:val="00A12E6C"/>
    <w:rsid w:val="00A133F2"/>
    <w:rsid w:val="00A136D0"/>
    <w:rsid w:val="00A13D1A"/>
    <w:rsid w:val="00A14A4D"/>
    <w:rsid w:val="00A14C86"/>
    <w:rsid w:val="00A14DC2"/>
    <w:rsid w:val="00A14DD6"/>
    <w:rsid w:val="00A15D5E"/>
    <w:rsid w:val="00A15D72"/>
    <w:rsid w:val="00A161F8"/>
    <w:rsid w:val="00A169FA"/>
    <w:rsid w:val="00A1766A"/>
    <w:rsid w:val="00A200F4"/>
    <w:rsid w:val="00A206C9"/>
    <w:rsid w:val="00A20707"/>
    <w:rsid w:val="00A20C27"/>
    <w:rsid w:val="00A20E7D"/>
    <w:rsid w:val="00A216BC"/>
    <w:rsid w:val="00A21DD9"/>
    <w:rsid w:val="00A229D1"/>
    <w:rsid w:val="00A23931"/>
    <w:rsid w:val="00A23FD6"/>
    <w:rsid w:val="00A25317"/>
    <w:rsid w:val="00A25706"/>
    <w:rsid w:val="00A25D84"/>
    <w:rsid w:val="00A26029"/>
    <w:rsid w:val="00A262E4"/>
    <w:rsid w:val="00A268EA"/>
    <w:rsid w:val="00A31CE0"/>
    <w:rsid w:val="00A31FA9"/>
    <w:rsid w:val="00A32720"/>
    <w:rsid w:val="00A333BF"/>
    <w:rsid w:val="00A33825"/>
    <w:rsid w:val="00A3398F"/>
    <w:rsid w:val="00A33DCF"/>
    <w:rsid w:val="00A35583"/>
    <w:rsid w:val="00A363EF"/>
    <w:rsid w:val="00A369C1"/>
    <w:rsid w:val="00A36DFE"/>
    <w:rsid w:val="00A36E37"/>
    <w:rsid w:val="00A370FD"/>
    <w:rsid w:val="00A3798C"/>
    <w:rsid w:val="00A37DD9"/>
    <w:rsid w:val="00A40ED7"/>
    <w:rsid w:val="00A40F83"/>
    <w:rsid w:val="00A412BA"/>
    <w:rsid w:val="00A41416"/>
    <w:rsid w:val="00A417A3"/>
    <w:rsid w:val="00A41EBC"/>
    <w:rsid w:val="00A4200D"/>
    <w:rsid w:val="00A42208"/>
    <w:rsid w:val="00A42242"/>
    <w:rsid w:val="00A424BF"/>
    <w:rsid w:val="00A4258E"/>
    <w:rsid w:val="00A42A0C"/>
    <w:rsid w:val="00A432D1"/>
    <w:rsid w:val="00A43716"/>
    <w:rsid w:val="00A442C5"/>
    <w:rsid w:val="00A44712"/>
    <w:rsid w:val="00A44AF5"/>
    <w:rsid w:val="00A44B8B"/>
    <w:rsid w:val="00A45196"/>
    <w:rsid w:val="00A45EC4"/>
    <w:rsid w:val="00A47212"/>
    <w:rsid w:val="00A474EA"/>
    <w:rsid w:val="00A47FC1"/>
    <w:rsid w:val="00A501B2"/>
    <w:rsid w:val="00A5034A"/>
    <w:rsid w:val="00A507F3"/>
    <w:rsid w:val="00A50FFA"/>
    <w:rsid w:val="00A539D1"/>
    <w:rsid w:val="00A53D6F"/>
    <w:rsid w:val="00A544ED"/>
    <w:rsid w:val="00A54623"/>
    <w:rsid w:val="00A54DAE"/>
    <w:rsid w:val="00A557A4"/>
    <w:rsid w:val="00A56D3B"/>
    <w:rsid w:val="00A57450"/>
    <w:rsid w:val="00A57479"/>
    <w:rsid w:val="00A57C08"/>
    <w:rsid w:val="00A600D9"/>
    <w:rsid w:val="00A60390"/>
    <w:rsid w:val="00A604CD"/>
    <w:rsid w:val="00A621CD"/>
    <w:rsid w:val="00A637A0"/>
    <w:rsid w:val="00A6382B"/>
    <w:rsid w:val="00A63ECD"/>
    <w:rsid w:val="00A64093"/>
    <w:rsid w:val="00A640EB"/>
    <w:rsid w:val="00A640F8"/>
    <w:rsid w:val="00A64815"/>
    <w:rsid w:val="00A65043"/>
    <w:rsid w:val="00A652C7"/>
    <w:rsid w:val="00A66DF9"/>
    <w:rsid w:val="00A704E4"/>
    <w:rsid w:val="00A7136A"/>
    <w:rsid w:val="00A71C44"/>
    <w:rsid w:val="00A72296"/>
    <w:rsid w:val="00A7388E"/>
    <w:rsid w:val="00A73F73"/>
    <w:rsid w:val="00A74544"/>
    <w:rsid w:val="00A74548"/>
    <w:rsid w:val="00A74DF2"/>
    <w:rsid w:val="00A74E4D"/>
    <w:rsid w:val="00A7592E"/>
    <w:rsid w:val="00A76C1F"/>
    <w:rsid w:val="00A77878"/>
    <w:rsid w:val="00A77D2A"/>
    <w:rsid w:val="00A803FC"/>
    <w:rsid w:val="00A8071A"/>
    <w:rsid w:val="00A80A13"/>
    <w:rsid w:val="00A80DD9"/>
    <w:rsid w:val="00A80FCA"/>
    <w:rsid w:val="00A81CBC"/>
    <w:rsid w:val="00A82506"/>
    <w:rsid w:val="00A837CE"/>
    <w:rsid w:val="00A8383A"/>
    <w:rsid w:val="00A83DB5"/>
    <w:rsid w:val="00A83FBA"/>
    <w:rsid w:val="00A8427D"/>
    <w:rsid w:val="00A84636"/>
    <w:rsid w:val="00A84FE1"/>
    <w:rsid w:val="00A85080"/>
    <w:rsid w:val="00A8533E"/>
    <w:rsid w:val="00A85950"/>
    <w:rsid w:val="00A86406"/>
    <w:rsid w:val="00A86853"/>
    <w:rsid w:val="00A86B75"/>
    <w:rsid w:val="00A86E75"/>
    <w:rsid w:val="00A86F33"/>
    <w:rsid w:val="00A87C47"/>
    <w:rsid w:val="00A9065F"/>
    <w:rsid w:val="00A90B0E"/>
    <w:rsid w:val="00A91AA1"/>
    <w:rsid w:val="00A91C8C"/>
    <w:rsid w:val="00A91F0D"/>
    <w:rsid w:val="00A9235A"/>
    <w:rsid w:val="00A92B86"/>
    <w:rsid w:val="00A92FF7"/>
    <w:rsid w:val="00A93069"/>
    <w:rsid w:val="00A9468F"/>
    <w:rsid w:val="00A9498D"/>
    <w:rsid w:val="00A94AB1"/>
    <w:rsid w:val="00A95335"/>
    <w:rsid w:val="00A9566B"/>
    <w:rsid w:val="00A9569A"/>
    <w:rsid w:val="00A9583E"/>
    <w:rsid w:val="00A95B1F"/>
    <w:rsid w:val="00A9657F"/>
    <w:rsid w:val="00A9797D"/>
    <w:rsid w:val="00AA015F"/>
    <w:rsid w:val="00AA0A25"/>
    <w:rsid w:val="00AA0C3A"/>
    <w:rsid w:val="00AA0E30"/>
    <w:rsid w:val="00AA152A"/>
    <w:rsid w:val="00AA1723"/>
    <w:rsid w:val="00AA190D"/>
    <w:rsid w:val="00AA1CB6"/>
    <w:rsid w:val="00AA1FDD"/>
    <w:rsid w:val="00AA22C3"/>
    <w:rsid w:val="00AA230D"/>
    <w:rsid w:val="00AA27C2"/>
    <w:rsid w:val="00AA3C7D"/>
    <w:rsid w:val="00AA4176"/>
    <w:rsid w:val="00AA4941"/>
    <w:rsid w:val="00AA49E9"/>
    <w:rsid w:val="00AA4C3B"/>
    <w:rsid w:val="00AA505A"/>
    <w:rsid w:val="00AA5475"/>
    <w:rsid w:val="00AA5876"/>
    <w:rsid w:val="00AA6A8A"/>
    <w:rsid w:val="00AA6C0F"/>
    <w:rsid w:val="00AA6DD8"/>
    <w:rsid w:val="00AA6FA3"/>
    <w:rsid w:val="00AA70BB"/>
    <w:rsid w:val="00AA7186"/>
    <w:rsid w:val="00AA757C"/>
    <w:rsid w:val="00AA7F10"/>
    <w:rsid w:val="00AB0391"/>
    <w:rsid w:val="00AB1313"/>
    <w:rsid w:val="00AB1F8B"/>
    <w:rsid w:val="00AB2151"/>
    <w:rsid w:val="00AB2C59"/>
    <w:rsid w:val="00AB2C8A"/>
    <w:rsid w:val="00AB34D7"/>
    <w:rsid w:val="00AB42B6"/>
    <w:rsid w:val="00AB4329"/>
    <w:rsid w:val="00AB4D67"/>
    <w:rsid w:val="00AB545D"/>
    <w:rsid w:val="00AB54D7"/>
    <w:rsid w:val="00AB57D3"/>
    <w:rsid w:val="00AB5D1B"/>
    <w:rsid w:val="00AB6886"/>
    <w:rsid w:val="00AB6AE4"/>
    <w:rsid w:val="00AB6E00"/>
    <w:rsid w:val="00AB6F37"/>
    <w:rsid w:val="00AB769E"/>
    <w:rsid w:val="00AB7D55"/>
    <w:rsid w:val="00AC05AF"/>
    <w:rsid w:val="00AC0681"/>
    <w:rsid w:val="00AC154B"/>
    <w:rsid w:val="00AC1A28"/>
    <w:rsid w:val="00AC1B72"/>
    <w:rsid w:val="00AC1DF4"/>
    <w:rsid w:val="00AC1E48"/>
    <w:rsid w:val="00AC26FE"/>
    <w:rsid w:val="00AC350D"/>
    <w:rsid w:val="00AC3568"/>
    <w:rsid w:val="00AC3CF2"/>
    <w:rsid w:val="00AC47EC"/>
    <w:rsid w:val="00AC4E5D"/>
    <w:rsid w:val="00AC5564"/>
    <w:rsid w:val="00AC55DF"/>
    <w:rsid w:val="00AC5956"/>
    <w:rsid w:val="00AC6C53"/>
    <w:rsid w:val="00AC6E85"/>
    <w:rsid w:val="00AC7284"/>
    <w:rsid w:val="00AC77B5"/>
    <w:rsid w:val="00AC7CE6"/>
    <w:rsid w:val="00AD0828"/>
    <w:rsid w:val="00AD0B13"/>
    <w:rsid w:val="00AD0E69"/>
    <w:rsid w:val="00AD103D"/>
    <w:rsid w:val="00AD159C"/>
    <w:rsid w:val="00AD17FA"/>
    <w:rsid w:val="00AD198A"/>
    <w:rsid w:val="00AD19EC"/>
    <w:rsid w:val="00AD2717"/>
    <w:rsid w:val="00AD2C68"/>
    <w:rsid w:val="00AD3DC4"/>
    <w:rsid w:val="00AD4FF4"/>
    <w:rsid w:val="00AD531D"/>
    <w:rsid w:val="00AD600C"/>
    <w:rsid w:val="00AD63D6"/>
    <w:rsid w:val="00AD6CD5"/>
    <w:rsid w:val="00AD7142"/>
    <w:rsid w:val="00AD733B"/>
    <w:rsid w:val="00AD7CA7"/>
    <w:rsid w:val="00AE0040"/>
    <w:rsid w:val="00AE0A66"/>
    <w:rsid w:val="00AE184D"/>
    <w:rsid w:val="00AE1C03"/>
    <w:rsid w:val="00AE2019"/>
    <w:rsid w:val="00AE23E3"/>
    <w:rsid w:val="00AE2F65"/>
    <w:rsid w:val="00AE3064"/>
    <w:rsid w:val="00AE317E"/>
    <w:rsid w:val="00AE3339"/>
    <w:rsid w:val="00AE35A5"/>
    <w:rsid w:val="00AE4E2A"/>
    <w:rsid w:val="00AE5CD3"/>
    <w:rsid w:val="00AE5CF9"/>
    <w:rsid w:val="00AE5DB6"/>
    <w:rsid w:val="00AE6C3C"/>
    <w:rsid w:val="00AE702E"/>
    <w:rsid w:val="00AE73E0"/>
    <w:rsid w:val="00AF0077"/>
    <w:rsid w:val="00AF03C0"/>
    <w:rsid w:val="00AF042F"/>
    <w:rsid w:val="00AF1593"/>
    <w:rsid w:val="00AF166F"/>
    <w:rsid w:val="00AF1839"/>
    <w:rsid w:val="00AF1C03"/>
    <w:rsid w:val="00AF2837"/>
    <w:rsid w:val="00AF39AF"/>
    <w:rsid w:val="00AF3E3B"/>
    <w:rsid w:val="00AF3E5A"/>
    <w:rsid w:val="00AF46FE"/>
    <w:rsid w:val="00AF486F"/>
    <w:rsid w:val="00AF548B"/>
    <w:rsid w:val="00AF55E0"/>
    <w:rsid w:val="00AF5666"/>
    <w:rsid w:val="00AF5870"/>
    <w:rsid w:val="00AF5C36"/>
    <w:rsid w:val="00AF652F"/>
    <w:rsid w:val="00AF6619"/>
    <w:rsid w:val="00AF6CFD"/>
    <w:rsid w:val="00AF7DC1"/>
    <w:rsid w:val="00B000AE"/>
    <w:rsid w:val="00B0040B"/>
    <w:rsid w:val="00B00830"/>
    <w:rsid w:val="00B00AB5"/>
    <w:rsid w:val="00B00CC0"/>
    <w:rsid w:val="00B00F5C"/>
    <w:rsid w:val="00B01265"/>
    <w:rsid w:val="00B01467"/>
    <w:rsid w:val="00B019C1"/>
    <w:rsid w:val="00B0236E"/>
    <w:rsid w:val="00B02506"/>
    <w:rsid w:val="00B02ACE"/>
    <w:rsid w:val="00B03913"/>
    <w:rsid w:val="00B045B2"/>
    <w:rsid w:val="00B04CEA"/>
    <w:rsid w:val="00B050D1"/>
    <w:rsid w:val="00B05607"/>
    <w:rsid w:val="00B05A08"/>
    <w:rsid w:val="00B05F14"/>
    <w:rsid w:val="00B06737"/>
    <w:rsid w:val="00B0784C"/>
    <w:rsid w:val="00B0797D"/>
    <w:rsid w:val="00B07CE9"/>
    <w:rsid w:val="00B101D5"/>
    <w:rsid w:val="00B10633"/>
    <w:rsid w:val="00B10B08"/>
    <w:rsid w:val="00B10BD3"/>
    <w:rsid w:val="00B11A78"/>
    <w:rsid w:val="00B11CFB"/>
    <w:rsid w:val="00B11DFF"/>
    <w:rsid w:val="00B12111"/>
    <w:rsid w:val="00B12132"/>
    <w:rsid w:val="00B12DFB"/>
    <w:rsid w:val="00B13E18"/>
    <w:rsid w:val="00B14109"/>
    <w:rsid w:val="00B14410"/>
    <w:rsid w:val="00B14503"/>
    <w:rsid w:val="00B1486D"/>
    <w:rsid w:val="00B150D6"/>
    <w:rsid w:val="00B15373"/>
    <w:rsid w:val="00B15639"/>
    <w:rsid w:val="00B15D15"/>
    <w:rsid w:val="00B15E42"/>
    <w:rsid w:val="00B15EEE"/>
    <w:rsid w:val="00B16198"/>
    <w:rsid w:val="00B16A2C"/>
    <w:rsid w:val="00B16FB6"/>
    <w:rsid w:val="00B17022"/>
    <w:rsid w:val="00B21559"/>
    <w:rsid w:val="00B215A4"/>
    <w:rsid w:val="00B21736"/>
    <w:rsid w:val="00B218B1"/>
    <w:rsid w:val="00B21A33"/>
    <w:rsid w:val="00B224AA"/>
    <w:rsid w:val="00B22998"/>
    <w:rsid w:val="00B229FE"/>
    <w:rsid w:val="00B2302B"/>
    <w:rsid w:val="00B24363"/>
    <w:rsid w:val="00B2456E"/>
    <w:rsid w:val="00B24940"/>
    <w:rsid w:val="00B24979"/>
    <w:rsid w:val="00B250A5"/>
    <w:rsid w:val="00B25651"/>
    <w:rsid w:val="00B25845"/>
    <w:rsid w:val="00B2652F"/>
    <w:rsid w:val="00B26937"/>
    <w:rsid w:val="00B30243"/>
    <w:rsid w:val="00B30421"/>
    <w:rsid w:val="00B30DC8"/>
    <w:rsid w:val="00B315BB"/>
    <w:rsid w:val="00B31977"/>
    <w:rsid w:val="00B3235A"/>
    <w:rsid w:val="00B32F42"/>
    <w:rsid w:val="00B333FE"/>
    <w:rsid w:val="00B3382B"/>
    <w:rsid w:val="00B34692"/>
    <w:rsid w:val="00B35094"/>
    <w:rsid w:val="00B350F0"/>
    <w:rsid w:val="00B357AC"/>
    <w:rsid w:val="00B35946"/>
    <w:rsid w:val="00B35992"/>
    <w:rsid w:val="00B35E4B"/>
    <w:rsid w:val="00B35FCC"/>
    <w:rsid w:val="00B36518"/>
    <w:rsid w:val="00B378CC"/>
    <w:rsid w:val="00B404C6"/>
    <w:rsid w:val="00B40A5A"/>
    <w:rsid w:val="00B41615"/>
    <w:rsid w:val="00B41FD8"/>
    <w:rsid w:val="00B420DF"/>
    <w:rsid w:val="00B428E2"/>
    <w:rsid w:val="00B429DE"/>
    <w:rsid w:val="00B42A2C"/>
    <w:rsid w:val="00B42A5C"/>
    <w:rsid w:val="00B42A98"/>
    <w:rsid w:val="00B42C64"/>
    <w:rsid w:val="00B42F6F"/>
    <w:rsid w:val="00B43425"/>
    <w:rsid w:val="00B43E4F"/>
    <w:rsid w:val="00B448EF"/>
    <w:rsid w:val="00B45A8B"/>
    <w:rsid w:val="00B47493"/>
    <w:rsid w:val="00B474C8"/>
    <w:rsid w:val="00B474DF"/>
    <w:rsid w:val="00B47875"/>
    <w:rsid w:val="00B47915"/>
    <w:rsid w:val="00B47945"/>
    <w:rsid w:val="00B500AD"/>
    <w:rsid w:val="00B5041C"/>
    <w:rsid w:val="00B50E18"/>
    <w:rsid w:val="00B50E4C"/>
    <w:rsid w:val="00B51031"/>
    <w:rsid w:val="00B513A9"/>
    <w:rsid w:val="00B51568"/>
    <w:rsid w:val="00B51610"/>
    <w:rsid w:val="00B5167B"/>
    <w:rsid w:val="00B520E3"/>
    <w:rsid w:val="00B52336"/>
    <w:rsid w:val="00B5290F"/>
    <w:rsid w:val="00B5388C"/>
    <w:rsid w:val="00B54819"/>
    <w:rsid w:val="00B54CA2"/>
    <w:rsid w:val="00B555C9"/>
    <w:rsid w:val="00B55CED"/>
    <w:rsid w:val="00B55D57"/>
    <w:rsid w:val="00B55F80"/>
    <w:rsid w:val="00B56480"/>
    <w:rsid w:val="00B565D6"/>
    <w:rsid w:val="00B568FF"/>
    <w:rsid w:val="00B576A4"/>
    <w:rsid w:val="00B57998"/>
    <w:rsid w:val="00B57CD0"/>
    <w:rsid w:val="00B57DA9"/>
    <w:rsid w:val="00B57EC6"/>
    <w:rsid w:val="00B60177"/>
    <w:rsid w:val="00B60639"/>
    <w:rsid w:val="00B6069E"/>
    <w:rsid w:val="00B60A68"/>
    <w:rsid w:val="00B618AD"/>
    <w:rsid w:val="00B618EA"/>
    <w:rsid w:val="00B61CE3"/>
    <w:rsid w:val="00B6308E"/>
    <w:rsid w:val="00B63D58"/>
    <w:rsid w:val="00B645E1"/>
    <w:rsid w:val="00B64E8A"/>
    <w:rsid w:val="00B65588"/>
    <w:rsid w:val="00B65826"/>
    <w:rsid w:val="00B658D1"/>
    <w:rsid w:val="00B658E2"/>
    <w:rsid w:val="00B66064"/>
    <w:rsid w:val="00B66995"/>
    <w:rsid w:val="00B671A1"/>
    <w:rsid w:val="00B675A6"/>
    <w:rsid w:val="00B6794D"/>
    <w:rsid w:val="00B67B55"/>
    <w:rsid w:val="00B67C6C"/>
    <w:rsid w:val="00B67DD6"/>
    <w:rsid w:val="00B70C61"/>
    <w:rsid w:val="00B70E5A"/>
    <w:rsid w:val="00B72017"/>
    <w:rsid w:val="00B7220D"/>
    <w:rsid w:val="00B72ACD"/>
    <w:rsid w:val="00B72F9E"/>
    <w:rsid w:val="00B735E4"/>
    <w:rsid w:val="00B7422A"/>
    <w:rsid w:val="00B74638"/>
    <w:rsid w:val="00B749B6"/>
    <w:rsid w:val="00B7509A"/>
    <w:rsid w:val="00B7613E"/>
    <w:rsid w:val="00B766C1"/>
    <w:rsid w:val="00B76966"/>
    <w:rsid w:val="00B76B96"/>
    <w:rsid w:val="00B76BE8"/>
    <w:rsid w:val="00B76EFB"/>
    <w:rsid w:val="00B77129"/>
    <w:rsid w:val="00B7730A"/>
    <w:rsid w:val="00B77C37"/>
    <w:rsid w:val="00B807BF"/>
    <w:rsid w:val="00B809B1"/>
    <w:rsid w:val="00B80F93"/>
    <w:rsid w:val="00B81580"/>
    <w:rsid w:val="00B82368"/>
    <w:rsid w:val="00B82543"/>
    <w:rsid w:val="00B8275E"/>
    <w:rsid w:val="00B82998"/>
    <w:rsid w:val="00B834B0"/>
    <w:rsid w:val="00B837F6"/>
    <w:rsid w:val="00B837FB"/>
    <w:rsid w:val="00B83AA6"/>
    <w:rsid w:val="00B83DAE"/>
    <w:rsid w:val="00B84691"/>
    <w:rsid w:val="00B84FB4"/>
    <w:rsid w:val="00B850A2"/>
    <w:rsid w:val="00B86F1C"/>
    <w:rsid w:val="00B870EF"/>
    <w:rsid w:val="00B8756E"/>
    <w:rsid w:val="00B87DF9"/>
    <w:rsid w:val="00B87FBD"/>
    <w:rsid w:val="00B9073E"/>
    <w:rsid w:val="00B90B6F"/>
    <w:rsid w:val="00B91951"/>
    <w:rsid w:val="00B91A58"/>
    <w:rsid w:val="00B91EAD"/>
    <w:rsid w:val="00B920B9"/>
    <w:rsid w:val="00B930D2"/>
    <w:rsid w:val="00B9357B"/>
    <w:rsid w:val="00B937CD"/>
    <w:rsid w:val="00B938BC"/>
    <w:rsid w:val="00B9390C"/>
    <w:rsid w:val="00B93997"/>
    <w:rsid w:val="00B93C98"/>
    <w:rsid w:val="00B96067"/>
    <w:rsid w:val="00B97510"/>
    <w:rsid w:val="00B976BB"/>
    <w:rsid w:val="00B97D40"/>
    <w:rsid w:val="00BA01A7"/>
    <w:rsid w:val="00BA0224"/>
    <w:rsid w:val="00BA05C8"/>
    <w:rsid w:val="00BA09AA"/>
    <w:rsid w:val="00BA0AD5"/>
    <w:rsid w:val="00BA0CA0"/>
    <w:rsid w:val="00BA0E3C"/>
    <w:rsid w:val="00BA1AD6"/>
    <w:rsid w:val="00BA1F74"/>
    <w:rsid w:val="00BA1FE7"/>
    <w:rsid w:val="00BA2B1D"/>
    <w:rsid w:val="00BA3D14"/>
    <w:rsid w:val="00BA3F0D"/>
    <w:rsid w:val="00BA435A"/>
    <w:rsid w:val="00BA4A04"/>
    <w:rsid w:val="00BA5042"/>
    <w:rsid w:val="00BA5355"/>
    <w:rsid w:val="00BA54BA"/>
    <w:rsid w:val="00BA5603"/>
    <w:rsid w:val="00BA56D9"/>
    <w:rsid w:val="00BA6194"/>
    <w:rsid w:val="00BA7EEE"/>
    <w:rsid w:val="00BB00D1"/>
    <w:rsid w:val="00BB1A9D"/>
    <w:rsid w:val="00BB1F61"/>
    <w:rsid w:val="00BB2008"/>
    <w:rsid w:val="00BB29DF"/>
    <w:rsid w:val="00BB2CFC"/>
    <w:rsid w:val="00BB34DC"/>
    <w:rsid w:val="00BB35D0"/>
    <w:rsid w:val="00BB3AC4"/>
    <w:rsid w:val="00BB4999"/>
    <w:rsid w:val="00BB4BCD"/>
    <w:rsid w:val="00BB56C7"/>
    <w:rsid w:val="00BB5B62"/>
    <w:rsid w:val="00BB6502"/>
    <w:rsid w:val="00BB6BCD"/>
    <w:rsid w:val="00BB70F9"/>
    <w:rsid w:val="00BB7AEC"/>
    <w:rsid w:val="00BB7C9B"/>
    <w:rsid w:val="00BC1527"/>
    <w:rsid w:val="00BC161D"/>
    <w:rsid w:val="00BC2306"/>
    <w:rsid w:val="00BC2F31"/>
    <w:rsid w:val="00BC4036"/>
    <w:rsid w:val="00BC4D21"/>
    <w:rsid w:val="00BC4F0A"/>
    <w:rsid w:val="00BC509F"/>
    <w:rsid w:val="00BC51D2"/>
    <w:rsid w:val="00BC5449"/>
    <w:rsid w:val="00BC5ACA"/>
    <w:rsid w:val="00BC64BE"/>
    <w:rsid w:val="00BC7155"/>
    <w:rsid w:val="00BC7550"/>
    <w:rsid w:val="00BD0B72"/>
    <w:rsid w:val="00BD115A"/>
    <w:rsid w:val="00BD2668"/>
    <w:rsid w:val="00BD3924"/>
    <w:rsid w:val="00BD3B07"/>
    <w:rsid w:val="00BD450F"/>
    <w:rsid w:val="00BD4512"/>
    <w:rsid w:val="00BD4905"/>
    <w:rsid w:val="00BD52AA"/>
    <w:rsid w:val="00BD7326"/>
    <w:rsid w:val="00BD7681"/>
    <w:rsid w:val="00BD7BF1"/>
    <w:rsid w:val="00BD7DE5"/>
    <w:rsid w:val="00BE1061"/>
    <w:rsid w:val="00BE1321"/>
    <w:rsid w:val="00BE1350"/>
    <w:rsid w:val="00BE26C9"/>
    <w:rsid w:val="00BE2893"/>
    <w:rsid w:val="00BE2EB4"/>
    <w:rsid w:val="00BE2F5A"/>
    <w:rsid w:val="00BE37D3"/>
    <w:rsid w:val="00BE4465"/>
    <w:rsid w:val="00BE4C94"/>
    <w:rsid w:val="00BE5080"/>
    <w:rsid w:val="00BE522A"/>
    <w:rsid w:val="00BE57B5"/>
    <w:rsid w:val="00BE6059"/>
    <w:rsid w:val="00BE69E7"/>
    <w:rsid w:val="00BE755C"/>
    <w:rsid w:val="00BE7A7C"/>
    <w:rsid w:val="00BF0A44"/>
    <w:rsid w:val="00BF0CEC"/>
    <w:rsid w:val="00BF114A"/>
    <w:rsid w:val="00BF19EF"/>
    <w:rsid w:val="00BF1A44"/>
    <w:rsid w:val="00BF1EDF"/>
    <w:rsid w:val="00BF37FB"/>
    <w:rsid w:val="00BF4D27"/>
    <w:rsid w:val="00BF4D3D"/>
    <w:rsid w:val="00BF5B8C"/>
    <w:rsid w:val="00BF6464"/>
    <w:rsid w:val="00BF66B7"/>
    <w:rsid w:val="00BF6A68"/>
    <w:rsid w:val="00BF7152"/>
    <w:rsid w:val="00BF73F0"/>
    <w:rsid w:val="00BF73F1"/>
    <w:rsid w:val="00BF74C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744"/>
    <w:rsid w:val="00C04A7F"/>
    <w:rsid w:val="00C04E2B"/>
    <w:rsid w:val="00C051AA"/>
    <w:rsid w:val="00C060A0"/>
    <w:rsid w:val="00C06C20"/>
    <w:rsid w:val="00C07187"/>
    <w:rsid w:val="00C072FB"/>
    <w:rsid w:val="00C075C9"/>
    <w:rsid w:val="00C07FAD"/>
    <w:rsid w:val="00C104EB"/>
    <w:rsid w:val="00C106C4"/>
    <w:rsid w:val="00C111EA"/>
    <w:rsid w:val="00C119AD"/>
    <w:rsid w:val="00C1228D"/>
    <w:rsid w:val="00C13D8C"/>
    <w:rsid w:val="00C13FED"/>
    <w:rsid w:val="00C146DA"/>
    <w:rsid w:val="00C14E7D"/>
    <w:rsid w:val="00C15722"/>
    <w:rsid w:val="00C1625D"/>
    <w:rsid w:val="00C16897"/>
    <w:rsid w:val="00C171A1"/>
    <w:rsid w:val="00C17834"/>
    <w:rsid w:val="00C17BF8"/>
    <w:rsid w:val="00C200C9"/>
    <w:rsid w:val="00C21D8E"/>
    <w:rsid w:val="00C22140"/>
    <w:rsid w:val="00C22525"/>
    <w:rsid w:val="00C22B18"/>
    <w:rsid w:val="00C22F18"/>
    <w:rsid w:val="00C23DBB"/>
    <w:rsid w:val="00C23FE1"/>
    <w:rsid w:val="00C2410D"/>
    <w:rsid w:val="00C24BAF"/>
    <w:rsid w:val="00C256D0"/>
    <w:rsid w:val="00C25F8B"/>
    <w:rsid w:val="00C260A3"/>
    <w:rsid w:val="00C265C0"/>
    <w:rsid w:val="00C26B9E"/>
    <w:rsid w:val="00C272EF"/>
    <w:rsid w:val="00C2732B"/>
    <w:rsid w:val="00C2753F"/>
    <w:rsid w:val="00C27590"/>
    <w:rsid w:val="00C276A8"/>
    <w:rsid w:val="00C27975"/>
    <w:rsid w:val="00C300BC"/>
    <w:rsid w:val="00C318F7"/>
    <w:rsid w:val="00C319D2"/>
    <w:rsid w:val="00C31F85"/>
    <w:rsid w:val="00C32534"/>
    <w:rsid w:val="00C326EE"/>
    <w:rsid w:val="00C32951"/>
    <w:rsid w:val="00C32C02"/>
    <w:rsid w:val="00C32C67"/>
    <w:rsid w:val="00C33235"/>
    <w:rsid w:val="00C33677"/>
    <w:rsid w:val="00C34137"/>
    <w:rsid w:val="00C3476B"/>
    <w:rsid w:val="00C35240"/>
    <w:rsid w:val="00C35510"/>
    <w:rsid w:val="00C368B3"/>
    <w:rsid w:val="00C36F07"/>
    <w:rsid w:val="00C37214"/>
    <w:rsid w:val="00C372E8"/>
    <w:rsid w:val="00C409DC"/>
    <w:rsid w:val="00C40B1B"/>
    <w:rsid w:val="00C40D7A"/>
    <w:rsid w:val="00C40E88"/>
    <w:rsid w:val="00C416A3"/>
    <w:rsid w:val="00C41785"/>
    <w:rsid w:val="00C41FC1"/>
    <w:rsid w:val="00C42F26"/>
    <w:rsid w:val="00C434C2"/>
    <w:rsid w:val="00C43940"/>
    <w:rsid w:val="00C4396E"/>
    <w:rsid w:val="00C44342"/>
    <w:rsid w:val="00C44694"/>
    <w:rsid w:val="00C44702"/>
    <w:rsid w:val="00C44744"/>
    <w:rsid w:val="00C457C1"/>
    <w:rsid w:val="00C46625"/>
    <w:rsid w:val="00C46870"/>
    <w:rsid w:val="00C47545"/>
    <w:rsid w:val="00C47593"/>
    <w:rsid w:val="00C4794B"/>
    <w:rsid w:val="00C47DB6"/>
    <w:rsid w:val="00C47F4C"/>
    <w:rsid w:val="00C5044B"/>
    <w:rsid w:val="00C506BD"/>
    <w:rsid w:val="00C50E55"/>
    <w:rsid w:val="00C51426"/>
    <w:rsid w:val="00C51622"/>
    <w:rsid w:val="00C5180B"/>
    <w:rsid w:val="00C51FB3"/>
    <w:rsid w:val="00C5223C"/>
    <w:rsid w:val="00C52A35"/>
    <w:rsid w:val="00C53213"/>
    <w:rsid w:val="00C53917"/>
    <w:rsid w:val="00C53C3E"/>
    <w:rsid w:val="00C541DE"/>
    <w:rsid w:val="00C54C11"/>
    <w:rsid w:val="00C54C67"/>
    <w:rsid w:val="00C54E65"/>
    <w:rsid w:val="00C557ED"/>
    <w:rsid w:val="00C56324"/>
    <w:rsid w:val="00C5653B"/>
    <w:rsid w:val="00C565A3"/>
    <w:rsid w:val="00C577F7"/>
    <w:rsid w:val="00C60468"/>
    <w:rsid w:val="00C60667"/>
    <w:rsid w:val="00C61AB9"/>
    <w:rsid w:val="00C61F84"/>
    <w:rsid w:val="00C62CCF"/>
    <w:rsid w:val="00C62FF7"/>
    <w:rsid w:val="00C63135"/>
    <w:rsid w:val="00C637DC"/>
    <w:rsid w:val="00C63EE8"/>
    <w:rsid w:val="00C63FCA"/>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0FBC"/>
    <w:rsid w:val="00C8243F"/>
    <w:rsid w:val="00C8289B"/>
    <w:rsid w:val="00C82D54"/>
    <w:rsid w:val="00C82F3B"/>
    <w:rsid w:val="00C837C4"/>
    <w:rsid w:val="00C83829"/>
    <w:rsid w:val="00C83EDD"/>
    <w:rsid w:val="00C8470F"/>
    <w:rsid w:val="00C84BF1"/>
    <w:rsid w:val="00C84C29"/>
    <w:rsid w:val="00C84CA2"/>
    <w:rsid w:val="00C85A36"/>
    <w:rsid w:val="00C85CD1"/>
    <w:rsid w:val="00C85F44"/>
    <w:rsid w:val="00C86C56"/>
    <w:rsid w:val="00C8773E"/>
    <w:rsid w:val="00C90601"/>
    <w:rsid w:val="00C90D16"/>
    <w:rsid w:val="00C9116A"/>
    <w:rsid w:val="00C9265D"/>
    <w:rsid w:val="00C92824"/>
    <w:rsid w:val="00C92DEB"/>
    <w:rsid w:val="00C937BA"/>
    <w:rsid w:val="00C94541"/>
    <w:rsid w:val="00C949FC"/>
    <w:rsid w:val="00C94CFE"/>
    <w:rsid w:val="00C9520E"/>
    <w:rsid w:val="00C960CF"/>
    <w:rsid w:val="00C96672"/>
    <w:rsid w:val="00C96678"/>
    <w:rsid w:val="00C96772"/>
    <w:rsid w:val="00C96CFA"/>
    <w:rsid w:val="00C96E5A"/>
    <w:rsid w:val="00C96EB5"/>
    <w:rsid w:val="00C97261"/>
    <w:rsid w:val="00C97FE4"/>
    <w:rsid w:val="00CA0257"/>
    <w:rsid w:val="00CA0917"/>
    <w:rsid w:val="00CA102B"/>
    <w:rsid w:val="00CA283D"/>
    <w:rsid w:val="00CA29D1"/>
    <w:rsid w:val="00CA2DD6"/>
    <w:rsid w:val="00CA2EF0"/>
    <w:rsid w:val="00CA3247"/>
    <w:rsid w:val="00CA3752"/>
    <w:rsid w:val="00CA3999"/>
    <w:rsid w:val="00CA39C0"/>
    <w:rsid w:val="00CA5AD3"/>
    <w:rsid w:val="00CA5EDA"/>
    <w:rsid w:val="00CA62DD"/>
    <w:rsid w:val="00CA66C4"/>
    <w:rsid w:val="00CA69BA"/>
    <w:rsid w:val="00CA78FE"/>
    <w:rsid w:val="00CA7DE6"/>
    <w:rsid w:val="00CB0339"/>
    <w:rsid w:val="00CB110E"/>
    <w:rsid w:val="00CB11F8"/>
    <w:rsid w:val="00CB225B"/>
    <w:rsid w:val="00CB2A9E"/>
    <w:rsid w:val="00CB2EF5"/>
    <w:rsid w:val="00CB33E4"/>
    <w:rsid w:val="00CB4230"/>
    <w:rsid w:val="00CB431B"/>
    <w:rsid w:val="00CB4A77"/>
    <w:rsid w:val="00CB4EA5"/>
    <w:rsid w:val="00CB557F"/>
    <w:rsid w:val="00CB592B"/>
    <w:rsid w:val="00CB5C5F"/>
    <w:rsid w:val="00CB600E"/>
    <w:rsid w:val="00CB63EC"/>
    <w:rsid w:val="00CB65B8"/>
    <w:rsid w:val="00CB6CDF"/>
    <w:rsid w:val="00CB7264"/>
    <w:rsid w:val="00CB730F"/>
    <w:rsid w:val="00CB761C"/>
    <w:rsid w:val="00CB76B5"/>
    <w:rsid w:val="00CB7AD6"/>
    <w:rsid w:val="00CC0007"/>
    <w:rsid w:val="00CC0495"/>
    <w:rsid w:val="00CC110F"/>
    <w:rsid w:val="00CC11B8"/>
    <w:rsid w:val="00CC1748"/>
    <w:rsid w:val="00CC1AF9"/>
    <w:rsid w:val="00CC1D75"/>
    <w:rsid w:val="00CC20E0"/>
    <w:rsid w:val="00CC2677"/>
    <w:rsid w:val="00CC2818"/>
    <w:rsid w:val="00CC2C14"/>
    <w:rsid w:val="00CC2F7A"/>
    <w:rsid w:val="00CC3A70"/>
    <w:rsid w:val="00CC3DEE"/>
    <w:rsid w:val="00CC4033"/>
    <w:rsid w:val="00CC40B8"/>
    <w:rsid w:val="00CC4533"/>
    <w:rsid w:val="00CC4800"/>
    <w:rsid w:val="00CC52FB"/>
    <w:rsid w:val="00CC53CE"/>
    <w:rsid w:val="00CC5444"/>
    <w:rsid w:val="00CC5631"/>
    <w:rsid w:val="00CC62A6"/>
    <w:rsid w:val="00CC676C"/>
    <w:rsid w:val="00CC6A9D"/>
    <w:rsid w:val="00CC73ED"/>
    <w:rsid w:val="00CC7A11"/>
    <w:rsid w:val="00CD04A8"/>
    <w:rsid w:val="00CD051B"/>
    <w:rsid w:val="00CD1DB1"/>
    <w:rsid w:val="00CD22B5"/>
    <w:rsid w:val="00CD22F4"/>
    <w:rsid w:val="00CD25E1"/>
    <w:rsid w:val="00CD367C"/>
    <w:rsid w:val="00CD454A"/>
    <w:rsid w:val="00CD4F54"/>
    <w:rsid w:val="00CD4FFE"/>
    <w:rsid w:val="00CD57FA"/>
    <w:rsid w:val="00CD5A6E"/>
    <w:rsid w:val="00CD657B"/>
    <w:rsid w:val="00CD67F7"/>
    <w:rsid w:val="00CD711F"/>
    <w:rsid w:val="00CD74A7"/>
    <w:rsid w:val="00CD7704"/>
    <w:rsid w:val="00CD7822"/>
    <w:rsid w:val="00CD79B2"/>
    <w:rsid w:val="00CD7F9F"/>
    <w:rsid w:val="00CE06E8"/>
    <w:rsid w:val="00CE157C"/>
    <w:rsid w:val="00CE1AF6"/>
    <w:rsid w:val="00CE2298"/>
    <w:rsid w:val="00CE3064"/>
    <w:rsid w:val="00CE39E4"/>
    <w:rsid w:val="00CE4282"/>
    <w:rsid w:val="00CE4719"/>
    <w:rsid w:val="00CE54E1"/>
    <w:rsid w:val="00CE55B6"/>
    <w:rsid w:val="00CE5856"/>
    <w:rsid w:val="00CE5BDE"/>
    <w:rsid w:val="00CE67B1"/>
    <w:rsid w:val="00CE6A6D"/>
    <w:rsid w:val="00CE774C"/>
    <w:rsid w:val="00CF012E"/>
    <w:rsid w:val="00CF04D4"/>
    <w:rsid w:val="00CF0B4C"/>
    <w:rsid w:val="00CF0F28"/>
    <w:rsid w:val="00CF1680"/>
    <w:rsid w:val="00CF1BD7"/>
    <w:rsid w:val="00CF21A5"/>
    <w:rsid w:val="00CF2518"/>
    <w:rsid w:val="00CF2682"/>
    <w:rsid w:val="00CF2DDE"/>
    <w:rsid w:val="00CF2DFD"/>
    <w:rsid w:val="00CF344A"/>
    <w:rsid w:val="00CF39A0"/>
    <w:rsid w:val="00CF3D1C"/>
    <w:rsid w:val="00CF4713"/>
    <w:rsid w:val="00CF4B12"/>
    <w:rsid w:val="00CF58FE"/>
    <w:rsid w:val="00CF5EBE"/>
    <w:rsid w:val="00CF783B"/>
    <w:rsid w:val="00CF7D97"/>
    <w:rsid w:val="00CF7EEC"/>
    <w:rsid w:val="00D001C2"/>
    <w:rsid w:val="00D001CF"/>
    <w:rsid w:val="00D006F5"/>
    <w:rsid w:val="00D00779"/>
    <w:rsid w:val="00D009D8"/>
    <w:rsid w:val="00D00DD1"/>
    <w:rsid w:val="00D012DA"/>
    <w:rsid w:val="00D012E1"/>
    <w:rsid w:val="00D01318"/>
    <w:rsid w:val="00D01665"/>
    <w:rsid w:val="00D01D1E"/>
    <w:rsid w:val="00D02580"/>
    <w:rsid w:val="00D03BF7"/>
    <w:rsid w:val="00D03F1E"/>
    <w:rsid w:val="00D0428E"/>
    <w:rsid w:val="00D04426"/>
    <w:rsid w:val="00D0482F"/>
    <w:rsid w:val="00D04A33"/>
    <w:rsid w:val="00D05892"/>
    <w:rsid w:val="00D06364"/>
    <w:rsid w:val="00D06824"/>
    <w:rsid w:val="00D06A15"/>
    <w:rsid w:val="00D06C03"/>
    <w:rsid w:val="00D07454"/>
    <w:rsid w:val="00D100CE"/>
    <w:rsid w:val="00D1037A"/>
    <w:rsid w:val="00D10D09"/>
    <w:rsid w:val="00D1163E"/>
    <w:rsid w:val="00D12362"/>
    <w:rsid w:val="00D12A4F"/>
    <w:rsid w:val="00D12C62"/>
    <w:rsid w:val="00D14A72"/>
    <w:rsid w:val="00D14C15"/>
    <w:rsid w:val="00D15381"/>
    <w:rsid w:val="00D15CB3"/>
    <w:rsid w:val="00D15F51"/>
    <w:rsid w:val="00D16ED5"/>
    <w:rsid w:val="00D17452"/>
    <w:rsid w:val="00D17B59"/>
    <w:rsid w:val="00D17C5D"/>
    <w:rsid w:val="00D2002A"/>
    <w:rsid w:val="00D202B1"/>
    <w:rsid w:val="00D20662"/>
    <w:rsid w:val="00D20DF7"/>
    <w:rsid w:val="00D211DD"/>
    <w:rsid w:val="00D21291"/>
    <w:rsid w:val="00D21C8A"/>
    <w:rsid w:val="00D2289F"/>
    <w:rsid w:val="00D2297E"/>
    <w:rsid w:val="00D22DE5"/>
    <w:rsid w:val="00D233BD"/>
    <w:rsid w:val="00D233D7"/>
    <w:rsid w:val="00D237E4"/>
    <w:rsid w:val="00D23CBB"/>
    <w:rsid w:val="00D24797"/>
    <w:rsid w:val="00D253CC"/>
    <w:rsid w:val="00D25806"/>
    <w:rsid w:val="00D25E9D"/>
    <w:rsid w:val="00D25F1C"/>
    <w:rsid w:val="00D26424"/>
    <w:rsid w:val="00D2674A"/>
    <w:rsid w:val="00D26DE6"/>
    <w:rsid w:val="00D26EE7"/>
    <w:rsid w:val="00D30718"/>
    <w:rsid w:val="00D322FB"/>
    <w:rsid w:val="00D3237C"/>
    <w:rsid w:val="00D32475"/>
    <w:rsid w:val="00D32EF4"/>
    <w:rsid w:val="00D33307"/>
    <w:rsid w:val="00D33445"/>
    <w:rsid w:val="00D33F81"/>
    <w:rsid w:val="00D34850"/>
    <w:rsid w:val="00D34975"/>
    <w:rsid w:val="00D35060"/>
    <w:rsid w:val="00D35233"/>
    <w:rsid w:val="00D369D4"/>
    <w:rsid w:val="00D36AD7"/>
    <w:rsid w:val="00D36EBE"/>
    <w:rsid w:val="00D373E9"/>
    <w:rsid w:val="00D37C61"/>
    <w:rsid w:val="00D401A3"/>
    <w:rsid w:val="00D40272"/>
    <w:rsid w:val="00D403FF"/>
    <w:rsid w:val="00D404C4"/>
    <w:rsid w:val="00D40CE9"/>
    <w:rsid w:val="00D41E17"/>
    <w:rsid w:val="00D42115"/>
    <w:rsid w:val="00D42EFD"/>
    <w:rsid w:val="00D44358"/>
    <w:rsid w:val="00D443F6"/>
    <w:rsid w:val="00D457D1"/>
    <w:rsid w:val="00D45889"/>
    <w:rsid w:val="00D458AA"/>
    <w:rsid w:val="00D46338"/>
    <w:rsid w:val="00D46BA2"/>
    <w:rsid w:val="00D47234"/>
    <w:rsid w:val="00D47281"/>
    <w:rsid w:val="00D4738A"/>
    <w:rsid w:val="00D47581"/>
    <w:rsid w:val="00D47AA1"/>
    <w:rsid w:val="00D50005"/>
    <w:rsid w:val="00D50295"/>
    <w:rsid w:val="00D5069A"/>
    <w:rsid w:val="00D50C02"/>
    <w:rsid w:val="00D50E43"/>
    <w:rsid w:val="00D51469"/>
    <w:rsid w:val="00D516C9"/>
    <w:rsid w:val="00D51B29"/>
    <w:rsid w:val="00D52B45"/>
    <w:rsid w:val="00D530EB"/>
    <w:rsid w:val="00D53393"/>
    <w:rsid w:val="00D535B6"/>
    <w:rsid w:val="00D55235"/>
    <w:rsid w:val="00D55D78"/>
    <w:rsid w:val="00D561C5"/>
    <w:rsid w:val="00D572B2"/>
    <w:rsid w:val="00D57DD4"/>
    <w:rsid w:val="00D57F53"/>
    <w:rsid w:val="00D60CAB"/>
    <w:rsid w:val="00D610FD"/>
    <w:rsid w:val="00D612AF"/>
    <w:rsid w:val="00D619F3"/>
    <w:rsid w:val="00D62A1F"/>
    <w:rsid w:val="00D62A5B"/>
    <w:rsid w:val="00D62B43"/>
    <w:rsid w:val="00D62ECD"/>
    <w:rsid w:val="00D63748"/>
    <w:rsid w:val="00D639F0"/>
    <w:rsid w:val="00D63C1B"/>
    <w:rsid w:val="00D63D76"/>
    <w:rsid w:val="00D64BFF"/>
    <w:rsid w:val="00D64DE1"/>
    <w:rsid w:val="00D64E3F"/>
    <w:rsid w:val="00D653D0"/>
    <w:rsid w:val="00D6655D"/>
    <w:rsid w:val="00D6692A"/>
    <w:rsid w:val="00D66E55"/>
    <w:rsid w:val="00D674E9"/>
    <w:rsid w:val="00D675D9"/>
    <w:rsid w:val="00D6799A"/>
    <w:rsid w:val="00D7009C"/>
    <w:rsid w:val="00D704A2"/>
    <w:rsid w:val="00D70F17"/>
    <w:rsid w:val="00D712DA"/>
    <w:rsid w:val="00D719EF"/>
    <w:rsid w:val="00D71A94"/>
    <w:rsid w:val="00D72327"/>
    <w:rsid w:val="00D727E0"/>
    <w:rsid w:val="00D72B87"/>
    <w:rsid w:val="00D72C72"/>
    <w:rsid w:val="00D74041"/>
    <w:rsid w:val="00D74160"/>
    <w:rsid w:val="00D7555B"/>
    <w:rsid w:val="00D75D22"/>
    <w:rsid w:val="00D75DA5"/>
    <w:rsid w:val="00D76C58"/>
    <w:rsid w:val="00D76CF2"/>
    <w:rsid w:val="00D76E7C"/>
    <w:rsid w:val="00D77D4D"/>
    <w:rsid w:val="00D80B40"/>
    <w:rsid w:val="00D8155B"/>
    <w:rsid w:val="00D81E79"/>
    <w:rsid w:val="00D8235B"/>
    <w:rsid w:val="00D825A5"/>
    <w:rsid w:val="00D825B7"/>
    <w:rsid w:val="00D8290E"/>
    <w:rsid w:val="00D82AD1"/>
    <w:rsid w:val="00D82E6E"/>
    <w:rsid w:val="00D83040"/>
    <w:rsid w:val="00D8323B"/>
    <w:rsid w:val="00D83489"/>
    <w:rsid w:val="00D83D13"/>
    <w:rsid w:val="00D841AC"/>
    <w:rsid w:val="00D8420B"/>
    <w:rsid w:val="00D8589D"/>
    <w:rsid w:val="00D85A81"/>
    <w:rsid w:val="00D86466"/>
    <w:rsid w:val="00D870E8"/>
    <w:rsid w:val="00D87423"/>
    <w:rsid w:val="00D87452"/>
    <w:rsid w:val="00D87485"/>
    <w:rsid w:val="00D87AFE"/>
    <w:rsid w:val="00D907CB"/>
    <w:rsid w:val="00D90B70"/>
    <w:rsid w:val="00D91BF2"/>
    <w:rsid w:val="00D92FC1"/>
    <w:rsid w:val="00D93A6B"/>
    <w:rsid w:val="00D93C1C"/>
    <w:rsid w:val="00D94026"/>
    <w:rsid w:val="00D94120"/>
    <w:rsid w:val="00D94496"/>
    <w:rsid w:val="00D9472E"/>
    <w:rsid w:val="00D951DD"/>
    <w:rsid w:val="00D952ED"/>
    <w:rsid w:val="00D957FA"/>
    <w:rsid w:val="00D9664C"/>
    <w:rsid w:val="00D97404"/>
    <w:rsid w:val="00D975A3"/>
    <w:rsid w:val="00D979D0"/>
    <w:rsid w:val="00DA002F"/>
    <w:rsid w:val="00DA0292"/>
    <w:rsid w:val="00DA08CA"/>
    <w:rsid w:val="00DA0CE2"/>
    <w:rsid w:val="00DA0F37"/>
    <w:rsid w:val="00DA101A"/>
    <w:rsid w:val="00DA122C"/>
    <w:rsid w:val="00DA1DA0"/>
    <w:rsid w:val="00DA2FD5"/>
    <w:rsid w:val="00DA3223"/>
    <w:rsid w:val="00DA4369"/>
    <w:rsid w:val="00DA4838"/>
    <w:rsid w:val="00DA4989"/>
    <w:rsid w:val="00DA5721"/>
    <w:rsid w:val="00DA612A"/>
    <w:rsid w:val="00DA6173"/>
    <w:rsid w:val="00DA6F23"/>
    <w:rsid w:val="00DA7477"/>
    <w:rsid w:val="00DA7573"/>
    <w:rsid w:val="00DA7BD4"/>
    <w:rsid w:val="00DB0191"/>
    <w:rsid w:val="00DB0359"/>
    <w:rsid w:val="00DB0EF6"/>
    <w:rsid w:val="00DB0F8A"/>
    <w:rsid w:val="00DB26A8"/>
    <w:rsid w:val="00DB27CF"/>
    <w:rsid w:val="00DB28C9"/>
    <w:rsid w:val="00DB324C"/>
    <w:rsid w:val="00DB35F5"/>
    <w:rsid w:val="00DB3FD3"/>
    <w:rsid w:val="00DB461F"/>
    <w:rsid w:val="00DB5F2A"/>
    <w:rsid w:val="00DB64E3"/>
    <w:rsid w:val="00DB6F45"/>
    <w:rsid w:val="00DB72B7"/>
    <w:rsid w:val="00DB7546"/>
    <w:rsid w:val="00DC0624"/>
    <w:rsid w:val="00DC0FC3"/>
    <w:rsid w:val="00DC1A58"/>
    <w:rsid w:val="00DC1AC0"/>
    <w:rsid w:val="00DC1CDD"/>
    <w:rsid w:val="00DC1D8E"/>
    <w:rsid w:val="00DC1E54"/>
    <w:rsid w:val="00DC20C3"/>
    <w:rsid w:val="00DC227A"/>
    <w:rsid w:val="00DC2360"/>
    <w:rsid w:val="00DC26E4"/>
    <w:rsid w:val="00DC2B75"/>
    <w:rsid w:val="00DC2BAE"/>
    <w:rsid w:val="00DC2CEE"/>
    <w:rsid w:val="00DC3257"/>
    <w:rsid w:val="00DC3279"/>
    <w:rsid w:val="00DC34C1"/>
    <w:rsid w:val="00DC3BF1"/>
    <w:rsid w:val="00DC4D1D"/>
    <w:rsid w:val="00DC4D87"/>
    <w:rsid w:val="00DC54EB"/>
    <w:rsid w:val="00DC580A"/>
    <w:rsid w:val="00DC5B50"/>
    <w:rsid w:val="00DC66BC"/>
    <w:rsid w:val="00DC727F"/>
    <w:rsid w:val="00DC7468"/>
    <w:rsid w:val="00DC7E78"/>
    <w:rsid w:val="00DD0493"/>
    <w:rsid w:val="00DD0924"/>
    <w:rsid w:val="00DD0CBF"/>
    <w:rsid w:val="00DD1071"/>
    <w:rsid w:val="00DD12FD"/>
    <w:rsid w:val="00DD1576"/>
    <w:rsid w:val="00DD2893"/>
    <w:rsid w:val="00DD4717"/>
    <w:rsid w:val="00DD4913"/>
    <w:rsid w:val="00DD4F0C"/>
    <w:rsid w:val="00DD4F74"/>
    <w:rsid w:val="00DD531F"/>
    <w:rsid w:val="00DD556C"/>
    <w:rsid w:val="00DD5737"/>
    <w:rsid w:val="00DD5E3F"/>
    <w:rsid w:val="00DD5E81"/>
    <w:rsid w:val="00DD6C46"/>
    <w:rsid w:val="00DD6C7A"/>
    <w:rsid w:val="00DD6F44"/>
    <w:rsid w:val="00DD7CB4"/>
    <w:rsid w:val="00DD7CCA"/>
    <w:rsid w:val="00DE0BDE"/>
    <w:rsid w:val="00DE10CF"/>
    <w:rsid w:val="00DE1270"/>
    <w:rsid w:val="00DE18B5"/>
    <w:rsid w:val="00DE1E1E"/>
    <w:rsid w:val="00DE223E"/>
    <w:rsid w:val="00DE2731"/>
    <w:rsid w:val="00DE2D33"/>
    <w:rsid w:val="00DE34EB"/>
    <w:rsid w:val="00DE3592"/>
    <w:rsid w:val="00DE3E78"/>
    <w:rsid w:val="00DE41F8"/>
    <w:rsid w:val="00DE4B9D"/>
    <w:rsid w:val="00DE50EA"/>
    <w:rsid w:val="00DE545C"/>
    <w:rsid w:val="00DE5C9F"/>
    <w:rsid w:val="00DE6498"/>
    <w:rsid w:val="00DE734E"/>
    <w:rsid w:val="00DE7887"/>
    <w:rsid w:val="00DE7BF8"/>
    <w:rsid w:val="00DF044D"/>
    <w:rsid w:val="00DF0B33"/>
    <w:rsid w:val="00DF0DC3"/>
    <w:rsid w:val="00DF14F9"/>
    <w:rsid w:val="00DF1C2D"/>
    <w:rsid w:val="00DF1FAE"/>
    <w:rsid w:val="00DF2AD9"/>
    <w:rsid w:val="00DF4B5A"/>
    <w:rsid w:val="00DF54D0"/>
    <w:rsid w:val="00DF580C"/>
    <w:rsid w:val="00DF5C1A"/>
    <w:rsid w:val="00DF5EA1"/>
    <w:rsid w:val="00DF5F23"/>
    <w:rsid w:val="00DF6BCB"/>
    <w:rsid w:val="00DF6D45"/>
    <w:rsid w:val="00DF7042"/>
    <w:rsid w:val="00DF78FD"/>
    <w:rsid w:val="00DF7EFE"/>
    <w:rsid w:val="00E00E15"/>
    <w:rsid w:val="00E00F63"/>
    <w:rsid w:val="00E01210"/>
    <w:rsid w:val="00E01B52"/>
    <w:rsid w:val="00E01D50"/>
    <w:rsid w:val="00E02170"/>
    <w:rsid w:val="00E02664"/>
    <w:rsid w:val="00E02C4D"/>
    <w:rsid w:val="00E031A5"/>
    <w:rsid w:val="00E0341B"/>
    <w:rsid w:val="00E0348F"/>
    <w:rsid w:val="00E035A6"/>
    <w:rsid w:val="00E038F5"/>
    <w:rsid w:val="00E03B4A"/>
    <w:rsid w:val="00E03D67"/>
    <w:rsid w:val="00E04510"/>
    <w:rsid w:val="00E04784"/>
    <w:rsid w:val="00E0498A"/>
    <w:rsid w:val="00E04BA9"/>
    <w:rsid w:val="00E05569"/>
    <w:rsid w:val="00E05A6C"/>
    <w:rsid w:val="00E05F59"/>
    <w:rsid w:val="00E06094"/>
    <w:rsid w:val="00E0655D"/>
    <w:rsid w:val="00E076B2"/>
    <w:rsid w:val="00E1024A"/>
    <w:rsid w:val="00E10B17"/>
    <w:rsid w:val="00E10B67"/>
    <w:rsid w:val="00E10F12"/>
    <w:rsid w:val="00E12742"/>
    <w:rsid w:val="00E12AB9"/>
    <w:rsid w:val="00E12B67"/>
    <w:rsid w:val="00E141D3"/>
    <w:rsid w:val="00E14941"/>
    <w:rsid w:val="00E150EB"/>
    <w:rsid w:val="00E1526B"/>
    <w:rsid w:val="00E1534B"/>
    <w:rsid w:val="00E15408"/>
    <w:rsid w:val="00E15743"/>
    <w:rsid w:val="00E15C52"/>
    <w:rsid w:val="00E15EDA"/>
    <w:rsid w:val="00E15F0B"/>
    <w:rsid w:val="00E160E8"/>
    <w:rsid w:val="00E16199"/>
    <w:rsid w:val="00E16311"/>
    <w:rsid w:val="00E16D14"/>
    <w:rsid w:val="00E1702C"/>
    <w:rsid w:val="00E20CC5"/>
    <w:rsid w:val="00E21424"/>
    <w:rsid w:val="00E21ACA"/>
    <w:rsid w:val="00E22B80"/>
    <w:rsid w:val="00E22C0E"/>
    <w:rsid w:val="00E22CFF"/>
    <w:rsid w:val="00E231CD"/>
    <w:rsid w:val="00E231E1"/>
    <w:rsid w:val="00E23888"/>
    <w:rsid w:val="00E23B9C"/>
    <w:rsid w:val="00E23CE3"/>
    <w:rsid w:val="00E23CF7"/>
    <w:rsid w:val="00E23E76"/>
    <w:rsid w:val="00E240A3"/>
    <w:rsid w:val="00E249DB"/>
    <w:rsid w:val="00E253A3"/>
    <w:rsid w:val="00E25402"/>
    <w:rsid w:val="00E25426"/>
    <w:rsid w:val="00E259B0"/>
    <w:rsid w:val="00E25AF8"/>
    <w:rsid w:val="00E26AEC"/>
    <w:rsid w:val="00E27241"/>
    <w:rsid w:val="00E2757B"/>
    <w:rsid w:val="00E2792D"/>
    <w:rsid w:val="00E27EA2"/>
    <w:rsid w:val="00E30531"/>
    <w:rsid w:val="00E30828"/>
    <w:rsid w:val="00E30B37"/>
    <w:rsid w:val="00E3109C"/>
    <w:rsid w:val="00E31109"/>
    <w:rsid w:val="00E311D1"/>
    <w:rsid w:val="00E31C2D"/>
    <w:rsid w:val="00E3218B"/>
    <w:rsid w:val="00E32432"/>
    <w:rsid w:val="00E33B1E"/>
    <w:rsid w:val="00E34277"/>
    <w:rsid w:val="00E3621B"/>
    <w:rsid w:val="00E36F43"/>
    <w:rsid w:val="00E3756C"/>
    <w:rsid w:val="00E37DA1"/>
    <w:rsid w:val="00E37F0C"/>
    <w:rsid w:val="00E40ADF"/>
    <w:rsid w:val="00E418E3"/>
    <w:rsid w:val="00E423DE"/>
    <w:rsid w:val="00E42F07"/>
    <w:rsid w:val="00E4365A"/>
    <w:rsid w:val="00E4370F"/>
    <w:rsid w:val="00E4441D"/>
    <w:rsid w:val="00E452AA"/>
    <w:rsid w:val="00E453AB"/>
    <w:rsid w:val="00E462E6"/>
    <w:rsid w:val="00E463A0"/>
    <w:rsid w:val="00E46E5B"/>
    <w:rsid w:val="00E47696"/>
    <w:rsid w:val="00E47839"/>
    <w:rsid w:val="00E51CDE"/>
    <w:rsid w:val="00E5210B"/>
    <w:rsid w:val="00E52BAC"/>
    <w:rsid w:val="00E53188"/>
    <w:rsid w:val="00E53631"/>
    <w:rsid w:val="00E5388F"/>
    <w:rsid w:val="00E54239"/>
    <w:rsid w:val="00E54272"/>
    <w:rsid w:val="00E542BC"/>
    <w:rsid w:val="00E54521"/>
    <w:rsid w:val="00E54617"/>
    <w:rsid w:val="00E5484B"/>
    <w:rsid w:val="00E555B0"/>
    <w:rsid w:val="00E559D0"/>
    <w:rsid w:val="00E56023"/>
    <w:rsid w:val="00E56869"/>
    <w:rsid w:val="00E56D6E"/>
    <w:rsid w:val="00E56FEF"/>
    <w:rsid w:val="00E577F9"/>
    <w:rsid w:val="00E57FB5"/>
    <w:rsid w:val="00E600CB"/>
    <w:rsid w:val="00E60F14"/>
    <w:rsid w:val="00E61B23"/>
    <w:rsid w:val="00E62113"/>
    <w:rsid w:val="00E625BE"/>
    <w:rsid w:val="00E626C3"/>
    <w:rsid w:val="00E6284B"/>
    <w:rsid w:val="00E62D07"/>
    <w:rsid w:val="00E62DF6"/>
    <w:rsid w:val="00E63A22"/>
    <w:rsid w:val="00E63B8F"/>
    <w:rsid w:val="00E646B5"/>
    <w:rsid w:val="00E65427"/>
    <w:rsid w:val="00E6543F"/>
    <w:rsid w:val="00E656D0"/>
    <w:rsid w:val="00E661C0"/>
    <w:rsid w:val="00E663F5"/>
    <w:rsid w:val="00E66E97"/>
    <w:rsid w:val="00E67502"/>
    <w:rsid w:val="00E70BD6"/>
    <w:rsid w:val="00E71305"/>
    <w:rsid w:val="00E72383"/>
    <w:rsid w:val="00E724D2"/>
    <w:rsid w:val="00E72D9F"/>
    <w:rsid w:val="00E73C41"/>
    <w:rsid w:val="00E74933"/>
    <w:rsid w:val="00E74EDC"/>
    <w:rsid w:val="00E750BB"/>
    <w:rsid w:val="00E75440"/>
    <w:rsid w:val="00E754C5"/>
    <w:rsid w:val="00E75737"/>
    <w:rsid w:val="00E757FC"/>
    <w:rsid w:val="00E75875"/>
    <w:rsid w:val="00E75886"/>
    <w:rsid w:val="00E75B05"/>
    <w:rsid w:val="00E75D6E"/>
    <w:rsid w:val="00E76007"/>
    <w:rsid w:val="00E76181"/>
    <w:rsid w:val="00E770F2"/>
    <w:rsid w:val="00E77EAC"/>
    <w:rsid w:val="00E81069"/>
    <w:rsid w:val="00E8112D"/>
    <w:rsid w:val="00E817AD"/>
    <w:rsid w:val="00E817EF"/>
    <w:rsid w:val="00E8184F"/>
    <w:rsid w:val="00E81965"/>
    <w:rsid w:val="00E827EF"/>
    <w:rsid w:val="00E828D5"/>
    <w:rsid w:val="00E82C87"/>
    <w:rsid w:val="00E82D81"/>
    <w:rsid w:val="00E83259"/>
    <w:rsid w:val="00E839BE"/>
    <w:rsid w:val="00E83CAC"/>
    <w:rsid w:val="00E84C89"/>
    <w:rsid w:val="00E85E56"/>
    <w:rsid w:val="00E860DD"/>
    <w:rsid w:val="00E86BF3"/>
    <w:rsid w:val="00E8713D"/>
    <w:rsid w:val="00E87913"/>
    <w:rsid w:val="00E90329"/>
    <w:rsid w:val="00E910D5"/>
    <w:rsid w:val="00E922C4"/>
    <w:rsid w:val="00E92547"/>
    <w:rsid w:val="00E92EDD"/>
    <w:rsid w:val="00E943AE"/>
    <w:rsid w:val="00E947B0"/>
    <w:rsid w:val="00E95D82"/>
    <w:rsid w:val="00E95F21"/>
    <w:rsid w:val="00E96273"/>
    <w:rsid w:val="00E9671E"/>
    <w:rsid w:val="00E96E97"/>
    <w:rsid w:val="00E97D49"/>
    <w:rsid w:val="00E97DAC"/>
    <w:rsid w:val="00EA0168"/>
    <w:rsid w:val="00EA0251"/>
    <w:rsid w:val="00EA1065"/>
    <w:rsid w:val="00EA1434"/>
    <w:rsid w:val="00EA1438"/>
    <w:rsid w:val="00EA1DB0"/>
    <w:rsid w:val="00EA25CA"/>
    <w:rsid w:val="00EA3C3E"/>
    <w:rsid w:val="00EA41CA"/>
    <w:rsid w:val="00EA467B"/>
    <w:rsid w:val="00EA4694"/>
    <w:rsid w:val="00EA48D3"/>
    <w:rsid w:val="00EA4AB3"/>
    <w:rsid w:val="00EA4BE5"/>
    <w:rsid w:val="00EA4F50"/>
    <w:rsid w:val="00EA546B"/>
    <w:rsid w:val="00EA5560"/>
    <w:rsid w:val="00EA57C5"/>
    <w:rsid w:val="00EA5D7E"/>
    <w:rsid w:val="00EA5F31"/>
    <w:rsid w:val="00EA5F92"/>
    <w:rsid w:val="00EA64B4"/>
    <w:rsid w:val="00EA65F1"/>
    <w:rsid w:val="00EA6621"/>
    <w:rsid w:val="00EA6665"/>
    <w:rsid w:val="00EA6935"/>
    <w:rsid w:val="00EA6967"/>
    <w:rsid w:val="00EA6F44"/>
    <w:rsid w:val="00EA7613"/>
    <w:rsid w:val="00EA793B"/>
    <w:rsid w:val="00EA7A7E"/>
    <w:rsid w:val="00EB05DA"/>
    <w:rsid w:val="00EB12EE"/>
    <w:rsid w:val="00EB190F"/>
    <w:rsid w:val="00EB235B"/>
    <w:rsid w:val="00EB3149"/>
    <w:rsid w:val="00EB31A3"/>
    <w:rsid w:val="00EB325B"/>
    <w:rsid w:val="00EB3863"/>
    <w:rsid w:val="00EB3E22"/>
    <w:rsid w:val="00EB60F8"/>
    <w:rsid w:val="00EB693B"/>
    <w:rsid w:val="00EB6D6D"/>
    <w:rsid w:val="00EB6F83"/>
    <w:rsid w:val="00EB7BA9"/>
    <w:rsid w:val="00EB7D75"/>
    <w:rsid w:val="00EC0B20"/>
    <w:rsid w:val="00EC0EE7"/>
    <w:rsid w:val="00EC14BA"/>
    <w:rsid w:val="00EC1C3A"/>
    <w:rsid w:val="00EC1F51"/>
    <w:rsid w:val="00EC2178"/>
    <w:rsid w:val="00EC2B1D"/>
    <w:rsid w:val="00EC3FA1"/>
    <w:rsid w:val="00EC4233"/>
    <w:rsid w:val="00EC4544"/>
    <w:rsid w:val="00EC4722"/>
    <w:rsid w:val="00EC4A85"/>
    <w:rsid w:val="00EC57B2"/>
    <w:rsid w:val="00EC58F4"/>
    <w:rsid w:val="00EC650B"/>
    <w:rsid w:val="00EC7808"/>
    <w:rsid w:val="00EC7BFA"/>
    <w:rsid w:val="00EC7F24"/>
    <w:rsid w:val="00ED042E"/>
    <w:rsid w:val="00ED1295"/>
    <w:rsid w:val="00ED17EF"/>
    <w:rsid w:val="00ED2725"/>
    <w:rsid w:val="00ED34D1"/>
    <w:rsid w:val="00ED367F"/>
    <w:rsid w:val="00ED4206"/>
    <w:rsid w:val="00ED4407"/>
    <w:rsid w:val="00ED58A2"/>
    <w:rsid w:val="00ED58C3"/>
    <w:rsid w:val="00ED5C71"/>
    <w:rsid w:val="00ED5EEE"/>
    <w:rsid w:val="00ED667C"/>
    <w:rsid w:val="00ED73AF"/>
    <w:rsid w:val="00ED76B3"/>
    <w:rsid w:val="00ED7966"/>
    <w:rsid w:val="00EE01CC"/>
    <w:rsid w:val="00EE04EE"/>
    <w:rsid w:val="00EE1632"/>
    <w:rsid w:val="00EE1760"/>
    <w:rsid w:val="00EE287D"/>
    <w:rsid w:val="00EE2B8C"/>
    <w:rsid w:val="00EE3584"/>
    <w:rsid w:val="00EE3B32"/>
    <w:rsid w:val="00EE3CFF"/>
    <w:rsid w:val="00EE3F39"/>
    <w:rsid w:val="00EE414C"/>
    <w:rsid w:val="00EE44FE"/>
    <w:rsid w:val="00EE5406"/>
    <w:rsid w:val="00EE5CF1"/>
    <w:rsid w:val="00EE5EF8"/>
    <w:rsid w:val="00EE6964"/>
    <w:rsid w:val="00EE6A1D"/>
    <w:rsid w:val="00EE6D18"/>
    <w:rsid w:val="00EE7E7A"/>
    <w:rsid w:val="00EF0F43"/>
    <w:rsid w:val="00EF103C"/>
    <w:rsid w:val="00EF1230"/>
    <w:rsid w:val="00EF1F76"/>
    <w:rsid w:val="00EF223B"/>
    <w:rsid w:val="00EF29DE"/>
    <w:rsid w:val="00EF374E"/>
    <w:rsid w:val="00EF3978"/>
    <w:rsid w:val="00EF3AAC"/>
    <w:rsid w:val="00EF4D42"/>
    <w:rsid w:val="00EF4FD1"/>
    <w:rsid w:val="00EF5318"/>
    <w:rsid w:val="00EF6DD4"/>
    <w:rsid w:val="00EF708A"/>
    <w:rsid w:val="00EF72C3"/>
    <w:rsid w:val="00EF79CE"/>
    <w:rsid w:val="00F00152"/>
    <w:rsid w:val="00F002B7"/>
    <w:rsid w:val="00F00352"/>
    <w:rsid w:val="00F00B1B"/>
    <w:rsid w:val="00F00E37"/>
    <w:rsid w:val="00F010EE"/>
    <w:rsid w:val="00F01383"/>
    <w:rsid w:val="00F0167D"/>
    <w:rsid w:val="00F0177A"/>
    <w:rsid w:val="00F019D5"/>
    <w:rsid w:val="00F02500"/>
    <w:rsid w:val="00F032E2"/>
    <w:rsid w:val="00F037E3"/>
    <w:rsid w:val="00F03FF2"/>
    <w:rsid w:val="00F04C15"/>
    <w:rsid w:val="00F04F9E"/>
    <w:rsid w:val="00F05EA4"/>
    <w:rsid w:val="00F0657C"/>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246"/>
    <w:rsid w:val="00F14380"/>
    <w:rsid w:val="00F14419"/>
    <w:rsid w:val="00F1470E"/>
    <w:rsid w:val="00F147A5"/>
    <w:rsid w:val="00F14AA7"/>
    <w:rsid w:val="00F1547B"/>
    <w:rsid w:val="00F1572E"/>
    <w:rsid w:val="00F15884"/>
    <w:rsid w:val="00F15B8E"/>
    <w:rsid w:val="00F16665"/>
    <w:rsid w:val="00F16FB0"/>
    <w:rsid w:val="00F1733B"/>
    <w:rsid w:val="00F17474"/>
    <w:rsid w:val="00F201CC"/>
    <w:rsid w:val="00F20487"/>
    <w:rsid w:val="00F20B77"/>
    <w:rsid w:val="00F20F65"/>
    <w:rsid w:val="00F2106D"/>
    <w:rsid w:val="00F216E7"/>
    <w:rsid w:val="00F21B6E"/>
    <w:rsid w:val="00F22337"/>
    <w:rsid w:val="00F22C31"/>
    <w:rsid w:val="00F22D65"/>
    <w:rsid w:val="00F23175"/>
    <w:rsid w:val="00F23FB0"/>
    <w:rsid w:val="00F2480A"/>
    <w:rsid w:val="00F24891"/>
    <w:rsid w:val="00F24B9F"/>
    <w:rsid w:val="00F24CA6"/>
    <w:rsid w:val="00F256AE"/>
    <w:rsid w:val="00F25773"/>
    <w:rsid w:val="00F257FA"/>
    <w:rsid w:val="00F26004"/>
    <w:rsid w:val="00F26CD6"/>
    <w:rsid w:val="00F270E8"/>
    <w:rsid w:val="00F271ED"/>
    <w:rsid w:val="00F27EF5"/>
    <w:rsid w:val="00F27FDB"/>
    <w:rsid w:val="00F30251"/>
    <w:rsid w:val="00F305CC"/>
    <w:rsid w:val="00F3179A"/>
    <w:rsid w:val="00F31C29"/>
    <w:rsid w:val="00F31D54"/>
    <w:rsid w:val="00F31F97"/>
    <w:rsid w:val="00F32023"/>
    <w:rsid w:val="00F32357"/>
    <w:rsid w:val="00F32C70"/>
    <w:rsid w:val="00F345B2"/>
    <w:rsid w:val="00F34E02"/>
    <w:rsid w:val="00F3549E"/>
    <w:rsid w:val="00F3560B"/>
    <w:rsid w:val="00F365A7"/>
    <w:rsid w:val="00F3681C"/>
    <w:rsid w:val="00F3769D"/>
    <w:rsid w:val="00F404F4"/>
    <w:rsid w:val="00F4143E"/>
    <w:rsid w:val="00F41CC5"/>
    <w:rsid w:val="00F41D25"/>
    <w:rsid w:val="00F423C2"/>
    <w:rsid w:val="00F433F8"/>
    <w:rsid w:val="00F433FE"/>
    <w:rsid w:val="00F43627"/>
    <w:rsid w:val="00F43781"/>
    <w:rsid w:val="00F4463C"/>
    <w:rsid w:val="00F46547"/>
    <w:rsid w:val="00F46C76"/>
    <w:rsid w:val="00F46F75"/>
    <w:rsid w:val="00F473A5"/>
    <w:rsid w:val="00F473F3"/>
    <w:rsid w:val="00F474B8"/>
    <w:rsid w:val="00F478CA"/>
    <w:rsid w:val="00F47CE2"/>
    <w:rsid w:val="00F501F3"/>
    <w:rsid w:val="00F5095C"/>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578EB"/>
    <w:rsid w:val="00F57A9B"/>
    <w:rsid w:val="00F608AB"/>
    <w:rsid w:val="00F60BE7"/>
    <w:rsid w:val="00F6159C"/>
    <w:rsid w:val="00F61714"/>
    <w:rsid w:val="00F61D5B"/>
    <w:rsid w:val="00F6238F"/>
    <w:rsid w:val="00F62F80"/>
    <w:rsid w:val="00F63E59"/>
    <w:rsid w:val="00F64635"/>
    <w:rsid w:val="00F649F5"/>
    <w:rsid w:val="00F64BE0"/>
    <w:rsid w:val="00F653D3"/>
    <w:rsid w:val="00F65B68"/>
    <w:rsid w:val="00F67846"/>
    <w:rsid w:val="00F67B42"/>
    <w:rsid w:val="00F67E91"/>
    <w:rsid w:val="00F709BB"/>
    <w:rsid w:val="00F70B72"/>
    <w:rsid w:val="00F70CE3"/>
    <w:rsid w:val="00F70DEF"/>
    <w:rsid w:val="00F70EA3"/>
    <w:rsid w:val="00F71398"/>
    <w:rsid w:val="00F727A8"/>
    <w:rsid w:val="00F7294C"/>
    <w:rsid w:val="00F72C5F"/>
    <w:rsid w:val="00F73549"/>
    <w:rsid w:val="00F75782"/>
    <w:rsid w:val="00F75C37"/>
    <w:rsid w:val="00F801EA"/>
    <w:rsid w:val="00F80C1D"/>
    <w:rsid w:val="00F81130"/>
    <w:rsid w:val="00F818F7"/>
    <w:rsid w:val="00F81A86"/>
    <w:rsid w:val="00F81AA5"/>
    <w:rsid w:val="00F83091"/>
    <w:rsid w:val="00F8325D"/>
    <w:rsid w:val="00F832A9"/>
    <w:rsid w:val="00F832B0"/>
    <w:rsid w:val="00F83307"/>
    <w:rsid w:val="00F833A5"/>
    <w:rsid w:val="00F838E1"/>
    <w:rsid w:val="00F83EDB"/>
    <w:rsid w:val="00F844D3"/>
    <w:rsid w:val="00F84629"/>
    <w:rsid w:val="00F84812"/>
    <w:rsid w:val="00F84B71"/>
    <w:rsid w:val="00F84F0E"/>
    <w:rsid w:val="00F8519E"/>
    <w:rsid w:val="00F85D90"/>
    <w:rsid w:val="00F85FF5"/>
    <w:rsid w:val="00F86BB4"/>
    <w:rsid w:val="00F870F5"/>
    <w:rsid w:val="00F87FA8"/>
    <w:rsid w:val="00F902D2"/>
    <w:rsid w:val="00F90528"/>
    <w:rsid w:val="00F906B3"/>
    <w:rsid w:val="00F90B12"/>
    <w:rsid w:val="00F90CBD"/>
    <w:rsid w:val="00F9109E"/>
    <w:rsid w:val="00F9177E"/>
    <w:rsid w:val="00F91E4F"/>
    <w:rsid w:val="00F91FDF"/>
    <w:rsid w:val="00F920A7"/>
    <w:rsid w:val="00F924C5"/>
    <w:rsid w:val="00F92AA1"/>
    <w:rsid w:val="00F92FDC"/>
    <w:rsid w:val="00F931D2"/>
    <w:rsid w:val="00F93431"/>
    <w:rsid w:val="00F93A4A"/>
    <w:rsid w:val="00F93D27"/>
    <w:rsid w:val="00F947CE"/>
    <w:rsid w:val="00F955C5"/>
    <w:rsid w:val="00F95DD6"/>
    <w:rsid w:val="00F96045"/>
    <w:rsid w:val="00F96370"/>
    <w:rsid w:val="00F966FF"/>
    <w:rsid w:val="00F97940"/>
    <w:rsid w:val="00F97BA3"/>
    <w:rsid w:val="00F97EA2"/>
    <w:rsid w:val="00F97F0D"/>
    <w:rsid w:val="00FA02B4"/>
    <w:rsid w:val="00FA043B"/>
    <w:rsid w:val="00FA0B0A"/>
    <w:rsid w:val="00FA121C"/>
    <w:rsid w:val="00FA1407"/>
    <w:rsid w:val="00FA1A68"/>
    <w:rsid w:val="00FA1B1A"/>
    <w:rsid w:val="00FA1D5B"/>
    <w:rsid w:val="00FA2747"/>
    <w:rsid w:val="00FA2A33"/>
    <w:rsid w:val="00FA2C8F"/>
    <w:rsid w:val="00FA2CF7"/>
    <w:rsid w:val="00FA3410"/>
    <w:rsid w:val="00FA360B"/>
    <w:rsid w:val="00FA3860"/>
    <w:rsid w:val="00FA3A50"/>
    <w:rsid w:val="00FA40EE"/>
    <w:rsid w:val="00FA4103"/>
    <w:rsid w:val="00FA4763"/>
    <w:rsid w:val="00FA4830"/>
    <w:rsid w:val="00FA4C41"/>
    <w:rsid w:val="00FA5032"/>
    <w:rsid w:val="00FA6375"/>
    <w:rsid w:val="00FA6980"/>
    <w:rsid w:val="00FA69BB"/>
    <w:rsid w:val="00FA6CDF"/>
    <w:rsid w:val="00FA7BB5"/>
    <w:rsid w:val="00FA7C85"/>
    <w:rsid w:val="00FB12D8"/>
    <w:rsid w:val="00FB13A8"/>
    <w:rsid w:val="00FB176A"/>
    <w:rsid w:val="00FB1A4D"/>
    <w:rsid w:val="00FB1CDC"/>
    <w:rsid w:val="00FB238A"/>
    <w:rsid w:val="00FB2446"/>
    <w:rsid w:val="00FB25B5"/>
    <w:rsid w:val="00FB2C81"/>
    <w:rsid w:val="00FB3BC4"/>
    <w:rsid w:val="00FB3E17"/>
    <w:rsid w:val="00FB3F9C"/>
    <w:rsid w:val="00FB3FDE"/>
    <w:rsid w:val="00FB4676"/>
    <w:rsid w:val="00FB5552"/>
    <w:rsid w:val="00FB5789"/>
    <w:rsid w:val="00FB5F3A"/>
    <w:rsid w:val="00FB6335"/>
    <w:rsid w:val="00FB6995"/>
    <w:rsid w:val="00FB6AA9"/>
    <w:rsid w:val="00FB6AD4"/>
    <w:rsid w:val="00FB7E53"/>
    <w:rsid w:val="00FB7F22"/>
    <w:rsid w:val="00FC00F3"/>
    <w:rsid w:val="00FC0695"/>
    <w:rsid w:val="00FC0A33"/>
    <w:rsid w:val="00FC0E2D"/>
    <w:rsid w:val="00FC1416"/>
    <w:rsid w:val="00FC14B2"/>
    <w:rsid w:val="00FC1823"/>
    <w:rsid w:val="00FC1EC0"/>
    <w:rsid w:val="00FC2198"/>
    <w:rsid w:val="00FC239B"/>
    <w:rsid w:val="00FC26A4"/>
    <w:rsid w:val="00FC27C9"/>
    <w:rsid w:val="00FC2C93"/>
    <w:rsid w:val="00FC325A"/>
    <w:rsid w:val="00FC33ED"/>
    <w:rsid w:val="00FC3E5D"/>
    <w:rsid w:val="00FC43AD"/>
    <w:rsid w:val="00FC5876"/>
    <w:rsid w:val="00FC62F5"/>
    <w:rsid w:val="00FC731E"/>
    <w:rsid w:val="00FD035A"/>
    <w:rsid w:val="00FD19F1"/>
    <w:rsid w:val="00FD1A7E"/>
    <w:rsid w:val="00FD2CC3"/>
    <w:rsid w:val="00FD2EB8"/>
    <w:rsid w:val="00FD31BF"/>
    <w:rsid w:val="00FD3CC7"/>
    <w:rsid w:val="00FD4148"/>
    <w:rsid w:val="00FD442A"/>
    <w:rsid w:val="00FD4D5B"/>
    <w:rsid w:val="00FD51E1"/>
    <w:rsid w:val="00FD524F"/>
    <w:rsid w:val="00FD5C2F"/>
    <w:rsid w:val="00FD6453"/>
    <w:rsid w:val="00FD67FD"/>
    <w:rsid w:val="00FD7CB2"/>
    <w:rsid w:val="00FD7D46"/>
    <w:rsid w:val="00FD7D8B"/>
    <w:rsid w:val="00FE0AF2"/>
    <w:rsid w:val="00FE1224"/>
    <w:rsid w:val="00FE17FD"/>
    <w:rsid w:val="00FE1C47"/>
    <w:rsid w:val="00FE22DD"/>
    <w:rsid w:val="00FE29A6"/>
    <w:rsid w:val="00FE2CFB"/>
    <w:rsid w:val="00FE3E97"/>
    <w:rsid w:val="00FE42AE"/>
    <w:rsid w:val="00FE4A60"/>
    <w:rsid w:val="00FE54E0"/>
    <w:rsid w:val="00FE55F0"/>
    <w:rsid w:val="00FE6331"/>
    <w:rsid w:val="00FE685B"/>
    <w:rsid w:val="00FE6C12"/>
    <w:rsid w:val="00FE7894"/>
    <w:rsid w:val="00FE7FA9"/>
    <w:rsid w:val="00FF01FA"/>
    <w:rsid w:val="00FF0C65"/>
    <w:rsid w:val="00FF12E8"/>
    <w:rsid w:val="00FF1AEB"/>
    <w:rsid w:val="00FF1FDD"/>
    <w:rsid w:val="00FF21B5"/>
    <w:rsid w:val="00FF21C3"/>
    <w:rsid w:val="00FF21DE"/>
    <w:rsid w:val="00FF2A11"/>
    <w:rsid w:val="00FF2AA0"/>
    <w:rsid w:val="00FF3F6C"/>
    <w:rsid w:val="00FF4603"/>
    <w:rsid w:val="00FF4B07"/>
    <w:rsid w:val="00FF4BFC"/>
    <w:rsid w:val="00FF4C11"/>
    <w:rsid w:val="00FF5084"/>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45C2A7"/>
  <w15:docId w15:val="{78E62428-EBB1-45D5-93D9-5B5BDDE54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iPriority="0"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1450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5E7677"/>
    <w:pPr>
      <w:keepNext/>
      <w:tabs>
        <w:tab w:val="left" w:pos="851"/>
      </w:tabs>
      <w:spacing w:before="360" w:after="0" w:line="240" w:lineRule="auto"/>
      <w:ind w:left="851" w:hanging="851"/>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FB13A8"/>
    <w:pPr>
      <w:spacing w:before="280"/>
      <w:outlineLvl w:val="3"/>
    </w:pPr>
    <w:rPr>
      <w:color w:val="0F7B7D"/>
      <w:sz w:val="24"/>
    </w:rPr>
  </w:style>
  <w:style w:type="paragraph" w:styleId="Heading5">
    <w:name w:val="heading 5"/>
    <w:basedOn w:val="Normal"/>
    <w:next w:val="BodyText"/>
    <w:link w:val="Heading5Char"/>
    <w:qFormat/>
    <w:rsid w:val="00977C56"/>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5E7677"/>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FB13A8"/>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977C56"/>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3756D0"/>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660B12"/>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1B45DD"/>
    <w:pPr>
      <w:spacing w:before="0"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E04BA9"/>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E04BA9"/>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727E48"/>
    <w:pPr>
      <w:tabs>
        <w:tab w:val="right" w:pos="8505"/>
      </w:tabs>
      <w:spacing w:before="24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0F68CD"/>
    <w:pPr>
      <w:tabs>
        <w:tab w:val="left" w:pos="2835"/>
      </w:tabs>
      <w:spacing w:before="60" w:after="60"/>
      <w:jc w:val="left"/>
    </w:pPr>
    <w:rPr>
      <w:sz w:val="20"/>
    </w:r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3756D0"/>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paragraph" w:styleId="CommentText">
    <w:name w:val="annotation text"/>
    <w:basedOn w:val="Normal"/>
    <w:link w:val="CommentTextChar"/>
    <w:uiPriority w:val="99"/>
    <w:unhideWhenUsed/>
    <w:rsid w:val="00AA4176"/>
    <w:pPr>
      <w:spacing w:before="0" w:after="160" w:line="240" w:lineRule="auto"/>
    </w:pPr>
    <w:rPr>
      <w:rFonts w:eastAsia="Calibri" w:cs="Calibri"/>
      <w:sz w:val="20"/>
      <w:szCs w:val="20"/>
    </w:rPr>
  </w:style>
  <w:style w:type="character" w:customStyle="1" w:styleId="CommentTextChar">
    <w:name w:val="Comment Text Char"/>
    <w:basedOn w:val="DefaultParagraphFont"/>
    <w:link w:val="CommentText"/>
    <w:uiPriority w:val="99"/>
    <w:rsid w:val="00AA4176"/>
    <w:rPr>
      <w:rFonts w:ascii="Calibri" w:eastAsia="Calibri" w:hAnsi="Calibri" w:cs="Calibri"/>
      <w:sz w:val="20"/>
      <w:szCs w:val="20"/>
      <w:lang w:eastAsia="en-NZ"/>
    </w:rPr>
  </w:style>
  <w:style w:type="character" w:customStyle="1" w:styleId="Human">
    <w:name w:val="Human"/>
    <w:basedOn w:val="DefaultParagraphFont"/>
    <w:uiPriority w:val="1"/>
    <w:semiHidden/>
    <w:qFormat/>
    <w:rsid w:val="00124D15"/>
    <w:rPr>
      <w:b/>
      <w:color w:val="FFFFFF" w:themeColor="background1"/>
      <w:shd w:val="clear" w:color="auto" w:fill="1C556C" w:themeFill="accent1"/>
    </w:rPr>
  </w:style>
  <w:style w:type="character" w:customStyle="1" w:styleId="Social">
    <w:name w:val="Social"/>
    <w:basedOn w:val="DefaultParagraphFont"/>
    <w:uiPriority w:val="1"/>
    <w:semiHidden/>
    <w:qFormat/>
    <w:rsid w:val="00124D15"/>
    <w:rPr>
      <w:b/>
      <w:color w:val="FFFFFF" w:themeColor="background1"/>
      <w:shd w:val="clear" w:color="auto" w:fill="DA5A28"/>
    </w:rPr>
  </w:style>
  <w:style w:type="character" w:customStyle="1" w:styleId="Culture">
    <w:name w:val="Culture"/>
    <w:basedOn w:val="DefaultParagraphFont"/>
    <w:uiPriority w:val="1"/>
    <w:semiHidden/>
    <w:qFormat/>
    <w:rsid w:val="00AF5C36"/>
    <w:rPr>
      <w:b/>
      <w:color w:val="FFFFFF" w:themeColor="background1"/>
      <w:bdr w:val="none" w:sz="0" w:space="0" w:color="auto"/>
      <w:shd w:val="clear" w:color="auto" w:fill="1C556C" w:themeFill="accent1"/>
    </w:rPr>
  </w:style>
  <w:style w:type="character" w:customStyle="1" w:styleId="Natural">
    <w:name w:val="Natural"/>
    <w:basedOn w:val="DefaultParagraphFont"/>
    <w:uiPriority w:val="1"/>
    <w:semiHidden/>
    <w:qFormat/>
    <w:rsid w:val="00733920"/>
    <w:rPr>
      <w:rFonts w:ascii="Calibri" w:hAnsi="Calibri"/>
      <w:b/>
      <w:color w:val="FFFFFF" w:themeColor="background1"/>
      <w:sz w:val="18"/>
      <w:bdr w:val="none" w:sz="0" w:space="0" w:color="auto"/>
      <w:shd w:val="clear" w:color="auto" w:fill="2C9986" w:themeFill="accent4"/>
    </w:rPr>
  </w:style>
  <w:style w:type="character" w:customStyle="1" w:styleId="Economic">
    <w:name w:val="Economic"/>
    <w:basedOn w:val="DefaultParagraphFont"/>
    <w:uiPriority w:val="1"/>
    <w:semiHidden/>
    <w:qFormat/>
    <w:rsid w:val="00733920"/>
    <w:rPr>
      <w:b/>
      <w:color w:val="FFFFFF" w:themeColor="background1"/>
      <w:bdr w:val="none" w:sz="0" w:space="0" w:color="auto"/>
      <w:shd w:val="clear" w:color="auto" w:fill="6FC7B7" w:themeFill="accent5"/>
    </w:rPr>
  </w:style>
  <w:style w:type="character" w:customStyle="1" w:styleId="Built">
    <w:name w:val="Built"/>
    <w:basedOn w:val="DefaultParagraphFont"/>
    <w:uiPriority w:val="1"/>
    <w:semiHidden/>
    <w:qFormat/>
    <w:rsid w:val="00733920"/>
    <w:rPr>
      <w:b/>
      <w:color w:val="FFFFFF" w:themeColor="background1"/>
      <w:bdr w:val="none" w:sz="0" w:space="0" w:color="auto"/>
      <w:shd w:val="clear" w:color="auto" w:fill="0F7B7D" w:themeFill="accent2"/>
    </w:rPr>
  </w:style>
  <w:style w:type="paragraph" w:styleId="ListParagraph">
    <w:name w:val="List Paragraph"/>
    <w:basedOn w:val="Normal"/>
    <w:link w:val="ListParagraphChar"/>
    <w:uiPriority w:val="34"/>
    <w:qFormat/>
    <w:rsid w:val="00FB13A8"/>
    <w:pPr>
      <w:spacing w:before="0" w:after="160" w:line="276" w:lineRule="auto"/>
      <w:ind w:left="720"/>
      <w:contextualSpacing/>
      <w:jc w:val="left"/>
    </w:pPr>
    <w:rPr>
      <w:rFonts w:asciiTheme="minorHAnsi" w:eastAsia="Calibri" w:hAnsiTheme="minorHAnsi" w:cs="Times New Roman"/>
      <w:lang w:eastAsia="en-US"/>
    </w:rPr>
  </w:style>
  <w:style w:type="character" w:customStyle="1" w:styleId="ListParagraphChar">
    <w:name w:val="List Paragraph Char"/>
    <w:link w:val="ListParagraph"/>
    <w:uiPriority w:val="34"/>
    <w:locked/>
    <w:rsid w:val="00FB13A8"/>
    <w:rPr>
      <w:rFonts w:eastAsia="Calibri" w:cs="Times New Roman"/>
    </w:rPr>
  </w:style>
  <w:style w:type="paragraph" w:customStyle="1" w:styleId="Parttitle">
    <w:name w:val="Part title"/>
    <w:basedOn w:val="Heading1"/>
    <w:next w:val="BodyText"/>
    <w:qFormat/>
    <w:rsid w:val="00840BCA"/>
    <w:rPr>
      <w:sz w:val="64"/>
    </w:rPr>
  </w:style>
  <w:style w:type="character" w:styleId="FootnoteReference">
    <w:name w:val="footnote reference"/>
    <w:aliases w:val="ftref,(NECG) Footnote Reference,Ref,de nota al pie,Footnote,16 Point,Superscript 6 Point,fr,footnote,Footnote Ref in FtNote,SUPERS,Footnote Reference Number,Fußnotenzeichen DISS,脚注引用,footnote ref,FnR-ANZDEC,½Å¡Á¢ÒýÓÃ"/>
    <w:basedOn w:val="DefaultParagraphFont"/>
    <w:link w:val="footnotenumberChar"/>
    <w:uiPriority w:val="99"/>
    <w:unhideWhenUsed/>
    <w:rsid w:val="00B01265"/>
    <w:rPr>
      <w:vertAlign w:val="superscript"/>
    </w:rPr>
  </w:style>
  <w:style w:type="paragraph" w:styleId="Bibliography">
    <w:name w:val="Bibliography"/>
    <w:basedOn w:val="Normal"/>
    <w:next w:val="Normal"/>
    <w:uiPriority w:val="37"/>
    <w:semiHidden/>
    <w:unhideWhenUsed/>
    <w:rsid w:val="007222FD"/>
  </w:style>
  <w:style w:type="paragraph" w:customStyle="1" w:styleId="Reference">
    <w:name w:val="Reference"/>
    <w:basedOn w:val="References"/>
    <w:link w:val="ReferenceChar"/>
    <w:qFormat/>
    <w:rsid w:val="00E600CB"/>
  </w:style>
  <w:style w:type="character" w:customStyle="1" w:styleId="ReferenceChar">
    <w:name w:val="Reference Char"/>
    <w:basedOn w:val="FootnoteTextChar"/>
    <w:link w:val="Reference"/>
    <w:rsid w:val="00E600CB"/>
    <w:rPr>
      <w:rFonts w:ascii="Calibri" w:eastAsiaTheme="minorEastAsia" w:hAnsi="Calibri"/>
      <w:sz w:val="20"/>
      <w:lang w:eastAsia="en-NZ"/>
    </w:rPr>
  </w:style>
  <w:style w:type="paragraph" w:customStyle="1" w:styleId="EndNoteBibliography">
    <w:name w:val="EndNote Bibliography"/>
    <w:basedOn w:val="Normal"/>
    <w:link w:val="EndNoteBibliographyChar"/>
    <w:rsid w:val="00A9569A"/>
    <w:pPr>
      <w:spacing w:before="0" w:after="160" w:line="240" w:lineRule="auto"/>
    </w:pPr>
    <w:rPr>
      <w:rFonts w:eastAsiaTheme="minorHAnsi" w:cs="Calibri"/>
      <w:sz w:val="20"/>
    </w:rPr>
  </w:style>
  <w:style w:type="character" w:customStyle="1" w:styleId="EndNoteBibliographyChar">
    <w:name w:val="EndNote Bibliography Char"/>
    <w:basedOn w:val="DefaultParagraphFont"/>
    <w:link w:val="EndNoteBibliography"/>
    <w:rsid w:val="00A9569A"/>
    <w:rPr>
      <w:rFonts w:ascii="Calibri" w:hAnsi="Calibri" w:cs="Calibri"/>
      <w:sz w:val="20"/>
      <w:lang w:eastAsia="en-NZ"/>
    </w:rPr>
  </w:style>
  <w:style w:type="paragraph" w:customStyle="1" w:styleId="footnotenumberChar">
    <w:name w:val="footnote number Char"/>
    <w:aliases w:val="BVI fnr Car Car,BVI fnr Car,BVI fnr Car Car Car Car Char Char,BVI fnr Car Car Car Car Char Char Char Char Char,BVI fnr Car Car Car Car Char,de nota al pi,BVI fnr"/>
    <w:basedOn w:val="Normal"/>
    <w:link w:val="FootnoteReference"/>
    <w:uiPriority w:val="99"/>
    <w:rsid w:val="00CA5EDA"/>
    <w:pPr>
      <w:spacing w:before="0" w:after="160" w:line="240" w:lineRule="exact"/>
      <w:jc w:val="left"/>
    </w:pPr>
    <w:rPr>
      <w:rFonts w:asciiTheme="minorHAnsi" w:eastAsiaTheme="minorHAnsi" w:hAnsiTheme="minorHAnsi"/>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8668">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13074029">
      <w:bodyDiv w:val="1"/>
      <w:marLeft w:val="0"/>
      <w:marRight w:val="0"/>
      <w:marTop w:val="0"/>
      <w:marBottom w:val="0"/>
      <w:divBdr>
        <w:top w:val="none" w:sz="0" w:space="0" w:color="auto"/>
        <w:left w:val="none" w:sz="0" w:space="0" w:color="auto"/>
        <w:bottom w:val="none" w:sz="0" w:space="0" w:color="auto"/>
        <w:right w:val="none" w:sz="0" w:space="0" w:color="auto"/>
      </w:divBdr>
    </w:div>
    <w:div w:id="198904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hyperlink" Target="https://royalsociety.org.nz/assets/Uploads/Code-Overview-A3-web.pdf" TargetMode="External"/><Relationship Id="rId42" Type="http://schemas.openxmlformats.org/officeDocument/2006/relationships/image" Target="media/image24.JPG"/><Relationship Id="rId47" Type="http://schemas.openxmlformats.org/officeDocument/2006/relationships/hyperlink" Target="http://www.mfe.govt.nz/publications/climate-change/climate-change-projections-new-zealand" TargetMode="External"/><Relationship Id="rId63" Type="http://schemas.openxmlformats.org/officeDocument/2006/relationships/hyperlink" Target="https://coastadapt.com.au/sites/default/files/factsheets/T3M4_1_1st_pass_risk_assessment_0.pdf" TargetMode="External"/><Relationship Id="rId68" Type="http://schemas.openxmlformats.org/officeDocument/2006/relationships/hyperlink" Target="https://treasury.govt.nz/publications/commissioned-report/estimating-financial-costs-climate-change-nz" TargetMode="External"/><Relationship Id="rId84" Type="http://schemas.openxmlformats.org/officeDocument/2006/relationships/hyperlink" Target="https://www.niwa.co.nz/freshwater-and-estuaries/our-services/catchment-modelling/clues-catchment-land-use-for-environmental-sustainability-model%20" TargetMode="External"/><Relationship Id="rId89" Type="http://schemas.openxmlformats.org/officeDocument/2006/relationships/hyperlink" Target="https://www.pce.parliament.nz/publications/preparing-new-zealand-for-rising-seas-certainty-and-uncertainty" TargetMode="External"/><Relationship Id="rId7" Type="http://schemas.openxmlformats.org/officeDocument/2006/relationships/endnotes" Target="endnotes.xml"/><Relationship Id="rId71" Type="http://schemas.openxmlformats.org/officeDocument/2006/relationships/hyperlink" Target="https://www.ipcc.ch/report/ar5/wg1/" TargetMode="External"/><Relationship Id="rId92" Type="http://schemas.openxmlformats.org/officeDocument/2006/relationships/hyperlink" Target="https://www.unisdr.org/we/inform/publications/51748%20"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G"/><Relationship Id="rId107" Type="http://schemas.microsoft.com/office/2016/09/relationships/commentsIds" Target="commentsIds.xml"/><Relationship Id="rId11" Type="http://schemas.openxmlformats.org/officeDocument/2006/relationships/hyperlink" Target="http://www.mfe.govt.nz"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6.emf"/><Relationship Id="rId53" Type="http://schemas.openxmlformats.org/officeDocument/2006/relationships/hyperlink" Target="https://www.ipcc.ch/report/ar5/wg2/" TargetMode="External"/><Relationship Id="rId58" Type="http://schemas.openxmlformats.org/officeDocument/2006/relationships/hyperlink" Target="https://www.parliament.nz/en/pb/sc/submissions-and-advice/document/52SCED_EVI_77773_1765/niwa" TargetMode="External"/><Relationship Id="rId66" Type="http://schemas.openxmlformats.org/officeDocument/2006/relationships/hyperlink" Target="https://www.landcareresearch.co.nz/publications/newsletters/soil/issue-21/sednetnz%20" TargetMode="External"/><Relationship Id="rId74" Type="http://schemas.openxmlformats.org/officeDocument/2006/relationships/hyperlink" Target="https://www.lgnz.co.nz/our-work/publications/vulnerable-the-quantum-of-local-government-infrastructure-exposed-to-sea-level-rise" TargetMode="External"/><Relationship Id="rId79" Type="http://schemas.openxmlformats.org/officeDocument/2006/relationships/hyperlink" Target="https://www.mfe.govt.nz/publications/climate-change/coastal-hazards-and-climate-change-guidance-local-government" TargetMode="External"/><Relationship Id="rId87" Type="http://schemas.openxmlformats.org/officeDocument/2006/relationships/hyperlink" Target="https://treasury.govt.nz/sites/default/files/2018-09/dp18-11.pdf" TargetMode="External"/><Relationship Id="rId102"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yperlink" Target="http://www.research.lancs.ac.uk/portal/en/people/christina-hicks(5d46ed7b-c420-47fd-a8ae-e76e3c334811).html" TargetMode="External"/><Relationship Id="rId82" Type="http://schemas.openxmlformats.org/officeDocument/2006/relationships/hyperlink" Target="http://www.civildefence.govt.nz/assets/Uploads/publications/National-Disaster-Resilience-Strategy/National-Disaster-Resilience-Strategy-10-April-2019.pdf" TargetMode="External"/><Relationship Id="rId90" Type="http://schemas.openxmlformats.org/officeDocument/2006/relationships/hyperlink" Target="https://www.ipcc.ch/site/assets/uploads/2018/02/WGIIAR5-Chap25_FINAL.pdf" TargetMode="External"/><Relationship Id="rId95" Type="http://schemas.openxmlformats.org/officeDocument/2006/relationships/hyperlink" Target="https://ccii.org.nz/app/uploads/2017/07/Overall-CCII-Project-synthesis-report1.pdf" TargetMode="Externa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footer" Target="footer4.xml"/><Relationship Id="rId43" Type="http://schemas.openxmlformats.org/officeDocument/2006/relationships/image" Target="media/image25.emf"/><Relationship Id="rId48" Type="http://schemas.openxmlformats.org/officeDocument/2006/relationships/hyperlink" Target="http://www.mfe.govt.nz/climate-change/climate-change-guidance/guidance-local-government-preparing-climate-change" TargetMode="External"/><Relationship Id="rId56" Type="http://schemas.openxmlformats.org/officeDocument/2006/relationships/hyperlink" Target="https://www.parliament.nz/en/pb/sc/submissions-and-advice/document/52SCED_EVI_77773_1765/niwa" TargetMode="External"/><Relationship Id="rId64" Type="http://schemas.openxmlformats.org/officeDocument/2006/relationships/hyperlink" Target="https://www.theccc.org.uk/wp-content/uploads/2016/07/UK-CCRA-2017-Synthesis-Report-Committee-on-Climate-Change.pdf" TargetMode="External"/><Relationship Id="rId69" Type="http://schemas.openxmlformats.org/officeDocument/2006/relationships/hyperlink" Target="http://www.csiro.au/resources/CAF-working-papers.html" TargetMode="External"/><Relationship Id="rId77" Type="http://schemas.openxmlformats.org/officeDocument/2006/relationships/hyperlink" Target="file:///C:\Users\jenny_000\Documents\Work\Environment%20-%20Ministry%20for\FORMATTING\NCCRA%20Framework\" TargetMode="External"/><Relationship Id="rId100" Type="http://schemas.openxmlformats.org/officeDocument/2006/relationships/hyperlink" Target="https://doi.org/10.1098/rsta.2017.0295" TargetMode="External"/><Relationship Id="rId8" Type="http://schemas.openxmlformats.org/officeDocument/2006/relationships/image" Target="media/image1.jpeg"/><Relationship Id="rId51" Type="http://schemas.openxmlformats.org/officeDocument/2006/relationships/hyperlink" Target="https://ccii.org.nz/" TargetMode="External"/><Relationship Id="rId72" Type="http://schemas.openxmlformats.org/officeDocument/2006/relationships/hyperlink" Target="https://www.ipcc.ch/report/ar5/wg2/" TargetMode="External"/><Relationship Id="rId80" Type="http://schemas.openxmlformats.org/officeDocument/2006/relationships/hyperlink" Target="http://www.mfe.govt.nz/climate-change/climate-change-guidance/guidance-local-government-preparing-climate-change" TargetMode="External"/><Relationship Id="rId85" Type="http://schemas.openxmlformats.org/officeDocument/2006/relationships/hyperlink" Target="https://www.niwa.co.nz/climate/seasonal-climate-outlook/seasonal-climate-outlook-june-august-2019" TargetMode="External"/><Relationship Id="rId93" Type="http://schemas.openxmlformats.org/officeDocument/2006/relationships/hyperlink" Target="https://www.unisdr.org/we/inform/publications/43291" TargetMode="External"/><Relationship Id="rId98" Type="http://schemas.openxmlformats.org/officeDocument/2006/relationships/hyperlink" Target="https://treasury.govt.nz/information-and-services/nz-economy/living-standards/our-living-standards-framewor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1.emf"/><Relationship Id="rId46" Type="http://schemas.openxmlformats.org/officeDocument/2006/relationships/footer" Target="footer8.xml"/><Relationship Id="rId59" Type="http://schemas.openxmlformats.org/officeDocument/2006/relationships/hyperlink" Target="https://www.parliament.nz/en/pb/sc/submissions-and-advice/document/52SCED_EVI_77773_1765/niwa" TargetMode="External"/><Relationship Id="rId67" Type="http://schemas.openxmlformats.org/officeDocument/2006/relationships/hyperlink" Target="https://www.epa.govt.nz/assets/Uploads/Documents/Te-Hautu/EPA-He-Whetu-Marama-English-poster.pdf" TargetMode="External"/><Relationship Id="rId103"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3.JPG"/><Relationship Id="rId54" Type="http://schemas.openxmlformats.org/officeDocument/2006/relationships/hyperlink" Target="https://doi.org/10.1098/rsta.2018.0106" TargetMode="External"/><Relationship Id="rId62" Type="http://schemas.openxmlformats.org/officeDocument/2006/relationships/hyperlink" Target="https://www.mfe.govt.nz/sites/default/files/media/Climate%20Change/adapting-to-climate-change-stocktake-tag-report.pdf" TargetMode="External"/><Relationship Id="rId70" Type="http://schemas.openxmlformats.org/officeDocument/2006/relationships/hyperlink" Target="https://www.ipcc.ch/report/ar3/wg1/" TargetMode="External"/><Relationship Id="rId75" Type="http://schemas.openxmlformats.org/officeDocument/2006/relationships/hyperlink" Target="https://lris.scinfo.org.nz/layer/48423-lcdb-v41-land-cover-database-version-41-mainland-new-zealand/" TargetMode="External"/><Relationship Id="rId83" Type="http://schemas.openxmlformats.org/officeDocument/2006/relationships/hyperlink" Target="http://www.legislation.govt.nz/bill/government/2019/0136/latest/d6806171e2.html?search=sw_096be8ed81873608_adaptation_25_se&amp;p=1&amp;sr=0" TargetMode="External"/><Relationship Id="rId88" Type="http://schemas.openxmlformats.org/officeDocument/2006/relationships/hyperlink" Target="https://tearawhiti.govt.nz/assets/Maori-Crown-Relations-Roopu/6b46d994f8/Engagement-Guidelines-1-Oct-18.pdf" TargetMode="External"/><Relationship Id="rId91" Type="http://schemas.openxmlformats.org/officeDocument/2006/relationships/hyperlink" Target="https://www.doc.govt.nz/Documents/science-and-technical/sap258entire.pdf%20(19" TargetMode="External"/><Relationship Id="rId96" Type="http://schemas.openxmlformats.org/officeDocument/2006/relationships/hyperlink" Target="https://ccii.org.nz/app/uploads/2017/07/Overall-CCII-Project-synthesis-report1.pdf%20(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JPG"/><Relationship Id="rId36" Type="http://schemas.openxmlformats.org/officeDocument/2006/relationships/footer" Target="footer5.xml"/><Relationship Id="rId49" Type="http://schemas.openxmlformats.org/officeDocument/2006/relationships/hyperlink" Target="https://hirds.niwa.co.nz/" TargetMode="External"/><Relationship Id="rId57" Type="http://schemas.openxmlformats.org/officeDocument/2006/relationships/hyperlink" Target="https://www.parliament.nz/en/pb/sc/submissions-and-advice/document/52SCED_EVI_77773_1767/niwa-supp-1" TargetMode="External"/><Relationship Id="rId10"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footer" Target="footer7.xml"/><Relationship Id="rId52" Type="http://schemas.openxmlformats.org/officeDocument/2006/relationships/hyperlink" Target="https://www.niwa.co.nz/climate/research-projects/risk-of-drought-and-extreme-winds-under-climate-change" TargetMode="External"/><Relationship Id="rId60" Type="http://schemas.openxmlformats.org/officeDocument/2006/relationships/hyperlink" Target="https://www.pce.parliament.nz/media/1384/national-and-regional-risk-exposure-in-low-lying-coastal-areas-niwa-2015.pdf" TargetMode="External"/><Relationship Id="rId65" Type="http://schemas.openxmlformats.org/officeDocument/2006/relationships/hyperlink" Target="https://www.landcareresearch.co.nz/publications/newsletters/soil" TargetMode="External"/><Relationship Id="rId73" Type="http://schemas.openxmlformats.org/officeDocument/2006/relationships/hyperlink" Target="https://data.linz.govt.nz/layer/101290-nz-building-outlines/" TargetMode="External"/><Relationship Id="rId78" Type="http://schemas.openxmlformats.org/officeDocument/2006/relationships/hyperlink" Target="https://www.mfe.govt.nz/sites/default/files/media/Climate%20Change/Climate-change-projections-2nd-edition-final.pdf" TargetMode="External"/><Relationship Id="rId81" Type="http://schemas.openxmlformats.org/officeDocument/2006/relationships/hyperlink" Target="http://archive.stats.govt.nz/browse_for_stats/environment/environmental-reporting-series/environmental-indicators/Home/Marine.aspx" TargetMode="External"/><Relationship Id="rId86" Type="http://schemas.openxmlformats.org/officeDocument/2006/relationships/hyperlink" Target="https://www.niwa.co.nz/climate/research-projects/risk-of-drought-and-extreme-winds-under-climate-change" TargetMode="External"/><Relationship Id="rId94" Type="http://schemas.openxmlformats.org/officeDocument/2006/relationships/hyperlink" Target="https://www.doc.govt.nz/globalassets/documents/science-and-technical/sfc332entire.pdf" TargetMode="External"/><Relationship Id="rId99" Type="http://schemas.openxmlformats.org/officeDocument/2006/relationships/hyperlink" Target="https://unfccc.int/resource/docs/2015/cop21/eng/l09r01.pdf%20(19" TargetMode="External"/><Relationship Id="rId10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footer" Target="footer6.xml"/><Relationship Id="rId34" Type="http://schemas.openxmlformats.org/officeDocument/2006/relationships/image" Target="media/image19.png"/><Relationship Id="rId50" Type="http://schemas.openxmlformats.org/officeDocument/2006/relationships/hyperlink" Target="https://www.niwa.co.nz/climate/urban-impacts-toolbox)" TargetMode="External"/><Relationship Id="rId55" Type="http://schemas.openxmlformats.org/officeDocument/2006/relationships/hyperlink" Target="http://www.fig.net/resources/proceedings/fig_proceedings/fig2016/papers/ts02i/TS02I_bell_paulik_et_al_8102.pdf" TargetMode="External"/><Relationship Id="rId76" Type="http://schemas.openxmlformats.org/officeDocument/2006/relationships/hyperlink" Target="https://www.mpi.govt.nz/funding-and-programmes/farming/sustainable-land-management-and-climate-change-research-programme/" TargetMode="External"/><Relationship Id="rId97" Type="http://schemas.openxmlformats.org/officeDocument/2006/relationships/hyperlink" Target="https://treasury.govt.nz/sites/default/files/2018-03/nip-aug15.pdf"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rchive.stats.govt.nz/browse_for_stats/environment/environmental-reporting-series/environmental-indicators/Home/Marine.aspx" TargetMode="External"/><Relationship Id="rId3" Type="http://schemas.openxmlformats.org/officeDocument/2006/relationships/hyperlink" Target="https://www.stats.govt.nz/2018-census/" TargetMode="External"/><Relationship Id="rId7" Type="http://schemas.openxmlformats.org/officeDocument/2006/relationships/hyperlink" Target="http://www.iap2.org/" TargetMode="External"/><Relationship Id="rId2" Type="http://schemas.openxmlformats.org/officeDocument/2006/relationships/hyperlink" Target="https://lris.scinfo.org.nz/layer/48423-lcdb-v41-land-cover-database-version-41-mainland-new-zealand/" TargetMode="External"/><Relationship Id="rId1" Type="http://schemas.openxmlformats.org/officeDocument/2006/relationships/hyperlink" Target="https://www.epa.govt.nz/assets/Uploads/Documents/Te-Hautu/EPA-He-Whetu-Marama-English-poster.pdf" TargetMode="External"/><Relationship Id="rId6" Type="http://schemas.openxmlformats.org/officeDocument/2006/relationships/hyperlink" Target="https://www.deepsouthchallenge.co.nz/" TargetMode="External"/><Relationship Id="rId5" Type="http://schemas.openxmlformats.org/officeDocument/2006/relationships/hyperlink" Target="https://resiliencechallenge.nz/" TargetMode="External"/><Relationship Id="rId4" Type="http://schemas.openxmlformats.org/officeDocument/2006/relationships/hyperlink" Target="https://data.linz.govt.nz/layer/101290-nz-building-outli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7C46A-E8EA-4B7F-B4C4-A9FA079F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230</TotalTime>
  <Pages>113</Pages>
  <Words>38535</Words>
  <Characters>219656</Characters>
  <Application>Microsoft Office Word</Application>
  <DocSecurity>0</DocSecurity>
  <Lines>1830</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Dee Warring</cp:lastModifiedBy>
  <cp:revision>16</cp:revision>
  <cp:lastPrinted>2019-08-23T02:06:00Z</cp:lastPrinted>
  <dcterms:created xsi:type="dcterms:W3CDTF">2019-09-09T04:03:00Z</dcterms:created>
  <dcterms:modified xsi:type="dcterms:W3CDTF">2019-09-18T04:51:00Z</dcterms:modified>
</cp:coreProperties>
</file>