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714CD" w14:textId="64E18A5D" w:rsidR="0080531E" w:rsidRPr="005D6D89" w:rsidRDefault="00C02334" w:rsidP="0003640E">
      <w:pPr>
        <w:pStyle w:val="BodyText"/>
      </w:pPr>
      <w:r>
        <w:rPr>
          <w:noProof/>
        </w:rPr>
        <w:drawing>
          <wp:anchor distT="0" distB="0" distL="114300" distR="114300" simplePos="0" relativeHeight="251667456" behindDoc="0" locked="0" layoutInCell="1" allowOverlap="1" wp14:anchorId="24F01DC8" wp14:editId="147C5146">
            <wp:simplePos x="0" y="0"/>
            <wp:positionH relativeFrom="margin">
              <wp:posOffset>-890905</wp:posOffset>
            </wp:positionH>
            <wp:positionV relativeFrom="margin">
              <wp:posOffset>-711200</wp:posOffset>
            </wp:positionV>
            <wp:extent cx="7534275" cy="1065466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E_NCCRA Cover_Main report.png"/>
                    <pic:cNvPicPr/>
                  </pic:nvPicPr>
                  <pic:blipFill>
                    <a:blip r:embed="rId8">
                      <a:extLst>
                        <a:ext uri="{28A0092B-C50C-407E-A947-70E740481C1C}">
                          <a14:useLocalDpi xmlns:a14="http://schemas.microsoft.com/office/drawing/2010/main" val="0"/>
                        </a:ext>
                      </a:extLst>
                    </a:blip>
                    <a:stretch>
                      <a:fillRect/>
                    </a:stretch>
                  </pic:blipFill>
                  <pic:spPr>
                    <a:xfrm>
                      <a:off x="0" y="0"/>
                      <a:ext cx="7534275" cy="10654665"/>
                    </a:xfrm>
                    <a:prstGeom prst="rect">
                      <a:avLst/>
                    </a:prstGeom>
                  </pic:spPr>
                </pic:pic>
              </a:graphicData>
            </a:graphic>
            <wp14:sizeRelH relativeFrom="margin">
              <wp14:pctWidth>0</wp14:pctWidth>
            </wp14:sizeRelH>
            <wp14:sizeRelV relativeFrom="margin">
              <wp14:pctHeight>0</wp14:pctHeight>
            </wp14:sizeRelV>
          </wp:anchor>
        </w:drawing>
      </w:r>
    </w:p>
    <w:p w14:paraId="4F85D004" w14:textId="77777777" w:rsidR="0003640E" w:rsidRPr="005D6D89" w:rsidRDefault="0003640E" w:rsidP="0003640E">
      <w:pPr>
        <w:pStyle w:val="BodyText"/>
      </w:pPr>
    </w:p>
    <w:p w14:paraId="5B8A1799" w14:textId="77777777" w:rsidR="00A03FCC" w:rsidRPr="005D6D89" w:rsidRDefault="00A03FCC" w:rsidP="00A03FCC">
      <w:pPr>
        <w:pStyle w:val="Imprint"/>
      </w:pPr>
      <w:r w:rsidRPr="005D6D89">
        <w:t xml:space="preserve">This document may be cited </w:t>
      </w:r>
      <w:proofErr w:type="gramStart"/>
      <w:r w:rsidRPr="005D6D89">
        <w:t>as:</w:t>
      </w:r>
      <w:proofErr w:type="gramEnd"/>
      <w:r w:rsidRPr="005D6D89">
        <w:t xml:space="preserve"> Ministry for the Environment. 2020. </w:t>
      </w:r>
      <w:r w:rsidRPr="005D6D89">
        <w:rPr>
          <w:i/>
          <w:iCs/>
        </w:rPr>
        <w:t xml:space="preserve">National Climate Change Risk Assessment for Aotearoa New Zealand: </w:t>
      </w:r>
      <w:r w:rsidR="00602BFB">
        <w:rPr>
          <w:i/>
          <w:iCs/>
        </w:rPr>
        <w:t xml:space="preserve">Main report – </w:t>
      </w:r>
      <w:r w:rsidRPr="005D6D89">
        <w:rPr>
          <w:i/>
          <w:iCs/>
        </w:rPr>
        <w:t xml:space="preserve">Arotakenga Tūraru mō </w:t>
      </w:r>
      <w:proofErr w:type="gramStart"/>
      <w:r w:rsidRPr="005D6D89">
        <w:rPr>
          <w:i/>
          <w:iCs/>
        </w:rPr>
        <w:t>te</w:t>
      </w:r>
      <w:proofErr w:type="gramEnd"/>
      <w:r w:rsidRPr="005D6D89">
        <w:rPr>
          <w:i/>
          <w:iCs/>
        </w:rPr>
        <w:t xml:space="preserve"> Huringa Āhuarangi o Āotearoa</w:t>
      </w:r>
      <w:r w:rsidR="00602BFB">
        <w:t>:</w:t>
      </w:r>
      <w:r w:rsidRPr="005D6D89">
        <w:t xml:space="preserve"> </w:t>
      </w:r>
      <w:r w:rsidR="00602BFB" w:rsidRPr="00602BFB">
        <w:rPr>
          <w:i/>
        </w:rPr>
        <w:t>P</w:t>
      </w:r>
      <w:r w:rsidR="00602BFB" w:rsidRPr="00602BFB">
        <w:rPr>
          <w:rFonts w:cs="Calibri"/>
          <w:i/>
        </w:rPr>
        <w:t>ū</w:t>
      </w:r>
      <w:r w:rsidR="00602BFB" w:rsidRPr="00602BFB">
        <w:rPr>
          <w:i/>
        </w:rPr>
        <w:t>rongo whakat</w:t>
      </w:r>
      <w:r w:rsidR="00602BFB" w:rsidRPr="00602BFB">
        <w:rPr>
          <w:rFonts w:cs="Calibri"/>
          <w:i/>
        </w:rPr>
        <w:t>ō</w:t>
      </w:r>
      <w:r w:rsidR="00602BFB" w:rsidRPr="00602BFB">
        <w:rPr>
          <w:i/>
        </w:rPr>
        <w:t>p</w:t>
      </w:r>
      <w:r w:rsidR="00602BFB" w:rsidRPr="00602BFB">
        <w:rPr>
          <w:rFonts w:cs="Calibri"/>
          <w:i/>
        </w:rPr>
        <w:t>ū</w:t>
      </w:r>
      <w:r w:rsidR="00602BFB">
        <w:t xml:space="preserve">. </w:t>
      </w:r>
      <w:r w:rsidRPr="005D6D89">
        <w:t>Wellington: Ministry for the Environment.</w:t>
      </w:r>
    </w:p>
    <w:p w14:paraId="5BB822DF" w14:textId="77777777" w:rsidR="00A03FCC" w:rsidRDefault="00A03FCC" w:rsidP="00775F57">
      <w:pPr>
        <w:pStyle w:val="Imprint"/>
        <w:spacing w:before="0" w:after="0"/>
        <w:rPr>
          <w:b/>
        </w:rPr>
      </w:pPr>
    </w:p>
    <w:p w14:paraId="421E9A21" w14:textId="77777777" w:rsidR="00452EC4" w:rsidRPr="005D6D89" w:rsidRDefault="00452EC4" w:rsidP="00775F57">
      <w:pPr>
        <w:pStyle w:val="Imprint"/>
        <w:spacing w:before="0" w:after="0"/>
        <w:rPr>
          <w:b/>
        </w:rPr>
      </w:pPr>
      <w:r w:rsidRPr="005D6D89">
        <w:rPr>
          <w:b/>
        </w:rPr>
        <w:t>Disclaimer</w:t>
      </w:r>
    </w:p>
    <w:p w14:paraId="2B0BCB04" w14:textId="77777777" w:rsidR="00B252CB" w:rsidRPr="00B252CB" w:rsidRDefault="00B252CB" w:rsidP="00A03FCC">
      <w:pPr>
        <w:pStyle w:val="BodyText"/>
        <w:spacing w:after="0"/>
      </w:pPr>
      <w:r w:rsidRPr="00B252CB">
        <w:t>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w:t>
      </w:r>
      <w:r w:rsidR="00A03FCC">
        <w:t>,</w:t>
      </w:r>
      <w:r w:rsidRPr="00B252CB">
        <w:t xml:space="preserve"> </w:t>
      </w:r>
      <w:proofErr w:type="gramStart"/>
      <w:r w:rsidRPr="00B252CB">
        <w:t>as a result</w:t>
      </w:r>
      <w:proofErr w:type="gramEnd"/>
      <w:r w:rsidRPr="00B252CB">
        <w:t xml:space="preserve"> of information obtained from this publication. </w:t>
      </w:r>
      <w:proofErr w:type="gramStart"/>
      <w:r w:rsidRPr="00B252CB">
        <w:t>The Ministry for the Environment does not accept any responsibility or liability whether in contract, tort, equity or otherwise</w:t>
      </w:r>
      <w:r>
        <w:t>,</w:t>
      </w:r>
      <w:r w:rsidRPr="00B252CB">
        <w:t xml:space="preserv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roofErr w:type="gramEnd"/>
    </w:p>
    <w:p w14:paraId="7E7828EC" w14:textId="77777777" w:rsidR="00A03FCC" w:rsidRDefault="00A03FCC" w:rsidP="00775F57">
      <w:pPr>
        <w:pStyle w:val="Imprint"/>
        <w:spacing w:after="0"/>
        <w:rPr>
          <w:b/>
        </w:rPr>
      </w:pPr>
    </w:p>
    <w:p w14:paraId="62C6E915" w14:textId="77777777" w:rsidR="00452EC4" w:rsidRPr="005D6D89" w:rsidRDefault="00452EC4" w:rsidP="00775F57">
      <w:pPr>
        <w:pStyle w:val="Imprint"/>
        <w:spacing w:after="0"/>
        <w:rPr>
          <w:b/>
        </w:rPr>
      </w:pPr>
      <w:r w:rsidRPr="005D6D89">
        <w:rPr>
          <w:b/>
        </w:rPr>
        <w:t>Acknowledgements</w:t>
      </w:r>
    </w:p>
    <w:p w14:paraId="03E8B482" w14:textId="77777777" w:rsidR="00452EC4" w:rsidRPr="005D6D89" w:rsidRDefault="004112F5" w:rsidP="00452EC4">
      <w:pPr>
        <w:pStyle w:val="Imprint"/>
      </w:pPr>
      <w:r w:rsidRPr="005D6D89">
        <w:t>Prepared for the Ministry for the Environment by a consortium led by AECOM, including Tonkin + Taylor Ltd, NIWA and Latitude and a number of independent contractors.</w:t>
      </w:r>
    </w:p>
    <w:p w14:paraId="11618598" w14:textId="77777777" w:rsidR="0080531E" w:rsidRPr="005D6D89" w:rsidRDefault="0080531E" w:rsidP="0080531E">
      <w:pPr>
        <w:pStyle w:val="Imprint"/>
      </w:pPr>
    </w:p>
    <w:p w14:paraId="654ECBB1" w14:textId="77777777" w:rsidR="0080531E" w:rsidRPr="005D6D89" w:rsidRDefault="0080531E" w:rsidP="0080531E">
      <w:pPr>
        <w:pStyle w:val="Imprint"/>
      </w:pPr>
    </w:p>
    <w:p w14:paraId="1AE93D57" w14:textId="7961A9FB" w:rsidR="0080531E" w:rsidRPr="005D6D89" w:rsidRDefault="0080531E" w:rsidP="0080531E">
      <w:pPr>
        <w:pStyle w:val="Imprint"/>
      </w:pPr>
      <w:r w:rsidRPr="005D6D89">
        <w:t xml:space="preserve">Published in </w:t>
      </w:r>
      <w:r w:rsidR="00ED3B29">
        <w:t>August</w:t>
      </w:r>
      <w:r w:rsidR="00ED3B29" w:rsidRPr="005D6D89">
        <w:t xml:space="preserve"> </w:t>
      </w:r>
      <w:r w:rsidR="009247AA" w:rsidRPr="005D6D89">
        <w:t>2020</w:t>
      </w:r>
      <w:r w:rsidRPr="005D6D89">
        <w:t xml:space="preserve"> by the</w:t>
      </w:r>
      <w:r w:rsidRPr="005D6D89">
        <w:br/>
        <w:t xml:space="preserve">Ministry for the Environment </w:t>
      </w:r>
      <w:r w:rsidRPr="005D6D89">
        <w:br/>
        <w:t>Manatū Mō Te Taiao</w:t>
      </w:r>
      <w:r w:rsidRPr="005D6D89">
        <w:br/>
        <w:t>PO Box 10362, Wellington 6143, New Zealand</w:t>
      </w:r>
    </w:p>
    <w:p w14:paraId="00E2E5A3" w14:textId="77777777" w:rsidR="0080531E" w:rsidRPr="005D6D89" w:rsidRDefault="0080531E" w:rsidP="0080531E">
      <w:pPr>
        <w:pStyle w:val="Imprint"/>
        <w:tabs>
          <w:tab w:val="left" w:pos="720"/>
        </w:tabs>
        <w:ind w:left="720" w:hanging="720"/>
      </w:pPr>
      <w:r w:rsidRPr="005D6D89">
        <w:t xml:space="preserve">ISBN: </w:t>
      </w:r>
      <w:r w:rsidRPr="005D6D89">
        <w:tab/>
      </w:r>
      <w:r w:rsidR="006417A8">
        <w:t>978-1-98-857993-1</w:t>
      </w:r>
      <w:r w:rsidRPr="005D6D89">
        <w:t xml:space="preserve"> (</w:t>
      </w:r>
      <w:r w:rsidR="00775F57" w:rsidRPr="005D6D89">
        <w:t>online</w:t>
      </w:r>
      <w:r w:rsidRPr="005D6D89">
        <w:t>)</w:t>
      </w:r>
    </w:p>
    <w:p w14:paraId="1B904614" w14:textId="77777777" w:rsidR="0080531E" w:rsidRPr="005D6D89" w:rsidRDefault="0080531E" w:rsidP="0080531E">
      <w:pPr>
        <w:pStyle w:val="Imprint"/>
        <w:ind w:left="720" w:hanging="720"/>
      </w:pPr>
      <w:r w:rsidRPr="005D6D89">
        <w:t xml:space="preserve">Publication number: </w:t>
      </w:r>
      <w:r w:rsidRPr="006417A8">
        <w:t xml:space="preserve">ME </w:t>
      </w:r>
      <w:r w:rsidR="006417A8">
        <w:t>1506</w:t>
      </w:r>
    </w:p>
    <w:p w14:paraId="08DD3906" w14:textId="77777777" w:rsidR="0080531E" w:rsidRPr="005D6D89" w:rsidRDefault="0080531E" w:rsidP="00593E94">
      <w:pPr>
        <w:pStyle w:val="Imprint"/>
        <w:spacing w:after="80"/>
      </w:pPr>
      <w:r w:rsidRPr="005D6D89">
        <w:t xml:space="preserve">© Crown copyright New Zealand </w:t>
      </w:r>
      <w:r w:rsidR="009247AA" w:rsidRPr="005D6D89">
        <w:t>2020</w:t>
      </w:r>
    </w:p>
    <w:p w14:paraId="29E14C4C" w14:textId="77777777" w:rsidR="00C04705" w:rsidRPr="005D6D89" w:rsidRDefault="0080531E" w:rsidP="00593E94">
      <w:pPr>
        <w:pStyle w:val="Imprint"/>
        <w:spacing w:before="240" w:after="0"/>
        <w:rPr>
          <w:rStyle w:val="Hyperlink"/>
          <w:color w:val="auto"/>
        </w:rPr>
      </w:pPr>
      <w:r w:rsidRPr="005D6D89">
        <w:t>This document is available on the Ministry for</w:t>
      </w:r>
      <w:r w:rsidR="004C4E8A" w:rsidRPr="005D6D89">
        <w:t xml:space="preserve"> the Environment </w:t>
      </w:r>
      <w:r w:rsidR="00CB557F" w:rsidRPr="005D6D89">
        <w:t>website</w:t>
      </w:r>
      <w:r w:rsidRPr="005D6D89">
        <w:t xml:space="preserve">: </w:t>
      </w:r>
      <w:hyperlink r:id="rId9" w:history="1">
        <w:r w:rsidRPr="005D6D89">
          <w:rPr>
            <w:rStyle w:val="Hyperlink"/>
          </w:rPr>
          <w:t>www.mfe.govt.nz</w:t>
        </w:r>
      </w:hyperlink>
      <w:r w:rsidR="00B51610" w:rsidRPr="005D6D89">
        <w:rPr>
          <w:rStyle w:val="Hyperlink"/>
          <w:color w:val="auto"/>
        </w:rPr>
        <w:t>.</w:t>
      </w:r>
    </w:p>
    <w:p w14:paraId="4338C8C7" w14:textId="77777777" w:rsidR="00A84FE1" w:rsidRPr="005D6D89" w:rsidRDefault="00A84FE1" w:rsidP="00A84FE1">
      <w:pPr>
        <w:pStyle w:val="Imprint"/>
        <w:spacing w:before="240" w:after="0"/>
      </w:pPr>
      <w:r w:rsidRPr="005D6D89">
        <w:rPr>
          <w:noProof/>
        </w:rPr>
        <w:drawing>
          <wp:inline distT="0" distB="0" distL="0" distR="0" wp14:anchorId="45EF0A5A" wp14:editId="7E6CF862">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747B4F39" w14:textId="77777777" w:rsidR="0080531E" w:rsidRPr="005D6D89" w:rsidRDefault="0080531E" w:rsidP="00A84FE1">
      <w:pPr>
        <w:sectPr w:rsidR="0080531E" w:rsidRPr="005D6D89" w:rsidSect="00C02334">
          <w:headerReference w:type="even" r:id="rId11"/>
          <w:headerReference w:type="default" r:id="rId12"/>
          <w:footerReference w:type="even" r:id="rId13"/>
          <w:footerReference w:type="default" r:id="rId14"/>
          <w:headerReference w:type="first" r:id="rId15"/>
          <w:footerReference w:type="first" r:id="rId16"/>
          <w:pgSz w:w="11907" w:h="16840" w:code="9"/>
          <w:pgMar w:top="1134" w:right="1418" w:bottom="1134" w:left="1418" w:header="567" w:footer="567" w:gutter="0"/>
          <w:cols w:space="720"/>
        </w:sectPr>
      </w:pPr>
    </w:p>
    <w:p w14:paraId="399B2675" w14:textId="77777777" w:rsidR="00CE6C1D" w:rsidRPr="005D6D89" w:rsidRDefault="00CE6C1D" w:rsidP="00CE6C1D">
      <w:pPr>
        <w:pStyle w:val="Heading1"/>
      </w:pPr>
      <w:bookmarkStart w:id="0" w:name="_Toc43064120"/>
      <w:r w:rsidRPr="005D6D89">
        <w:lastRenderedPageBreak/>
        <w:t>Karakia</w:t>
      </w:r>
      <w:bookmarkEnd w:id="0"/>
    </w:p>
    <w:p w14:paraId="101F2DF3" w14:textId="77777777" w:rsidR="00CE6C1D" w:rsidRPr="005D6D89" w:rsidRDefault="00CE6C1D" w:rsidP="00027F9F">
      <w:pPr>
        <w:pStyle w:val="BodyText"/>
        <w:spacing w:after="0"/>
      </w:pPr>
      <w:r w:rsidRPr="005D6D89">
        <w:t xml:space="preserve">Whakataka </w:t>
      </w:r>
      <w:proofErr w:type="gramStart"/>
      <w:r w:rsidRPr="005D6D89">
        <w:t>te</w:t>
      </w:r>
      <w:proofErr w:type="gramEnd"/>
      <w:r w:rsidRPr="005D6D89">
        <w:t xml:space="preserve"> hau ki te uru,</w:t>
      </w:r>
    </w:p>
    <w:p w14:paraId="173275C8" w14:textId="77777777" w:rsidR="00CE6C1D" w:rsidRPr="005D6D89" w:rsidRDefault="00CE6C1D" w:rsidP="00027F9F">
      <w:pPr>
        <w:pStyle w:val="BodyText"/>
        <w:spacing w:after="0"/>
      </w:pPr>
      <w:r w:rsidRPr="005D6D89">
        <w:t xml:space="preserve">Whakataka </w:t>
      </w:r>
      <w:proofErr w:type="gramStart"/>
      <w:r w:rsidRPr="005D6D89">
        <w:t>te</w:t>
      </w:r>
      <w:proofErr w:type="gramEnd"/>
      <w:r w:rsidRPr="005D6D89">
        <w:t xml:space="preserve"> hau ki te tonga.</w:t>
      </w:r>
    </w:p>
    <w:p w14:paraId="05DD3D78" w14:textId="77777777" w:rsidR="00CE6C1D" w:rsidRPr="005D6D89" w:rsidRDefault="00CE6C1D" w:rsidP="00027F9F">
      <w:pPr>
        <w:pStyle w:val="BodyText"/>
        <w:spacing w:after="0"/>
      </w:pPr>
      <w:r w:rsidRPr="005D6D89">
        <w:t>Kia mākinakina ki uta,</w:t>
      </w:r>
    </w:p>
    <w:p w14:paraId="138BE6D5" w14:textId="77777777" w:rsidR="00CE6C1D" w:rsidRPr="005D6D89" w:rsidRDefault="00CE6C1D" w:rsidP="00027F9F">
      <w:pPr>
        <w:pStyle w:val="BodyText"/>
        <w:spacing w:after="0"/>
      </w:pPr>
      <w:r w:rsidRPr="005D6D89">
        <w:t xml:space="preserve">Kia mātaratara ki </w:t>
      </w:r>
      <w:proofErr w:type="gramStart"/>
      <w:r w:rsidRPr="005D6D89">
        <w:t>tai</w:t>
      </w:r>
      <w:proofErr w:type="gramEnd"/>
      <w:r w:rsidRPr="005D6D89">
        <w:t>.</w:t>
      </w:r>
    </w:p>
    <w:p w14:paraId="792342BB" w14:textId="77777777" w:rsidR="00CE6C1D" w:rsidRPr="005D6D89" w:rsidRDefault="00CE6C1D" w:rsidP="00027F9F">
      <w:pPr>
        <w:pStyle w:val="BodyText"/>
        <w:spacing w:after="0"/>
      </w:pPr>
      <w:r w:rsidRPr="005D6D89">
        <w:t xml:space="preserve">E hī ake ana </w:t>
      </w:r>
      <w:proofErr w:type="gramStart"/>
      <w:r w:rsidRPr="005D6D89">
        <w:t>te</w:t>
      </w:r>
      <w:proofErr w:type="gramEnd"/>
      <w:r w:rsidRPr="005D6D89">
        <w:t xml:space="preserve"> atākura he tio,</w:t>
      </w:r>
    </w:p>
    <w:p w14:paraId="58C3F977" w14:textId="77777777" w:rsidR="00CE6C1D" w:rsidRPr="005D6D89" w:rsidRDefault="00CE6C1D" w:rsidP="00027F9F">
      <w:pPr>
        <w:pStyle w:val="BodyText"/>
        <w:spacing w:after="0"/>
      </w:pPr>
      <w:proofErr w:type="gramStart"/>
      <w:r w:rsidRPr="005D6D89">
        <w:t>he</w:t>
      </w:r>
      <w:proofErr w:type="gramEnd"/>
      <w:r w:rsidRPr="005D6D89">
        <w:t xml:space="preserve"> huka, he hauhunga.</w:t>
      </w:r>
    </w:p>
    <w:p w14:paraId="71463C0B" w14:textId="77777777" w:rsidR="00CE6C1D" w:rsidRPr="005D6D89" w:rsidRDefault="00CE6C1D" w:rsidP="00027F9F">
      <w:pPr>
        <w:pStyle w:val="BodyText"/>
        <w:spacing w:after="240"/>
      </w:pPr>
      <w:r w:rsidRPr="005D6D89">
        <w:t>Haumi e! Hui e! Tāiki e!</w:t>
      </w:r>
    </w:p>
    <w:p w14:paraId="2E7A6ED4" w14:textId="77777777" w:rsidR="00CE6C1D" w:rsidRPr="005D6D89" w:rsidRDefault="00CE6C1D" w:rsidP="00027F9F">
      <w:pPr>
        <w:pStyle w:val="BodyText"/>
        <w:spacing w:after="0"/>
      </w:pPr>
      <w:r w:rsidRPr="005D6D89">
        <w:t>Get ready for the westerly</w:t>
      </w:r>
    </w:p>
    <w:p w14:paraId="29FA862C" w14:textId="77777777" w:rsidR="00CE6C1D" w:rsidRPr="005D6D89" w:rsidRDefault="00CE6C1D" w:rsidP="00027F9F">
      <w:pPr>
        <w:pStyle w:val="BodyText"/>
        <w:spacing w:after="0"/>
      </w:pPr>
      <w:proofErr w:type="gramStart"/>
      <w:r w:rsidRPr="005D6D89">
        <w:t>and</w:t>
      </w:r>
      <w:proofErr w:type="gramEnd"/>
      <w:r w:rsidRPr="005D6D89">
        <w:t xml:space="preserve"> be prepared for the southerly.</w:t>
      </w:r>
    </w:p>
    <w:p w14:paraId="0AFA0095" w14:textId="77777777" w:rsidR="00CE6C1D" w:rsidRPr="005D6D89" w:rsidRDefault="00CE6C1D" w:rsidP="00027F9F">
      <w:pPr>
        <w:pStyle w:val="BodyText"/>
        <w:spacing w:after="0"/>
      </w:pPr>
      <w:r w:rsidRPr="005D6D89">
        <w:t>It will be icy cold inland,</w:t>
      </w:r>
    </w:p>
    <w:p w14:paraId="33F50941" w14:textId="77777777" w:rsidR="00CE6C1D" w:rsidRPr="005D6D89" w:rsidRDefault="00CE6C1D" w:rsidP="00027F9F">
      <w:pPr>
        <w:pStyle w:val="BodyText"/>
        <w:spacing w:after="0"/>
      </w:pPr>
      <w:proofErr w:type="gramStart"/>
      <w:r w:rsidRPr="005D6D89">
        <w:t>and</w:t>
      </w:r>
      <w:proofErr w:type="gramEnd"/>
      <w:r w:rsidRPr="005D6D89">
        <w:t xml:space="preserve"> icy cold on the shore.</w:t>
      </w:r>
    </w:p>
    <w:p w14:paraId="5A70D422" w14:textId="77777777" w:rsidR="00CE6C1D" w:rsidRPr="005D6D89" w:rsidRDefault="00CE6C1D" w:rsidP="00027F9F">
      <w:pPr>
        <w:pStyle w:val="BodyText"/>
        <w:spacing w:after="0"/>
      </w:pPr>
      <w:r w:rsidRPr="005D6D89">
        <w:t xml:space="preserve">May the dawn rise red-tipped on </w:t>
      </w:r>
      <w:proofErr w:type="gramStart"/>
      <w:r w:rsidRPr="005D6D89">
        <w:t>ice,</w:t>
      </w:r>
      <w:proofErr w:type="gramEnd"/>
    </w:p>
    <w:p w14:paraId="35870E2B" w14:textId="77777777" w:rsidR="00CE6C1D" w:rsidRPr="005D6D89" w:rsidRDefault="00CE6C1D" w:rsidP="00027F9F">
      <w:pPr>
        <w:pStyle w:val="BodyText"/>
        <w:spacing w:after="0"/>
      </w:pPr>
      <w:proofErr w:type="gramStart"/>
      <w:r w:rsidRPr="005D6D89">
        <w:t>on</w:t>
      </w:r>
      <w:proofErr w:type="gramEnd"/>
      <w:r w:rsidRPr="005D6D89">
        <w:t xml:space="preserve"> snow, on frost.</w:t>
      </w:r>
    </w:p>
    <w:p w14:paraId="19375E17" w14:textId="77777777" w:rsidR="00CE6C1D" w:rsidRPr="005D6D89" w:rsidRDefault="00CE6C1D" w:rsidP="00CE6C1D">
      <w:pPr>
        <w:pStyle w:val="BodyText"/>
      </w:pPr>
      <w:r w:rsidRPr="005D6D89">
        <w:t>Join! Gather! Intertwine!</w:t>
      </w:r>
    </w:p>
    <w:p w14:paraId="7C21635B" w14:textId="77777777" w:rsidR="00CE6C1D" w:rsidRPr="005D6D89" w:rsidRDefault="00CE6C1D" w:rsidP="00CE6C1D">
      <w:pPr>
        <w:pStyle w:val="BodyText"/>
      </w:pPr>
    </w:p>
    <w:p w14:paraId="27ED9372" w14:textId="77777777" w:rsidR="00CE6C1D" w:rsidRPr="005D6D89" w:rsidRDefault="00CE6C1D" w:rsidP="00CE6C1D">
      <w:pPr>
        <w:pStyle w:val="BodyText"/>
      </w:pPr>
      <w:r w:rsidRPr="005D6D89">
        <w:t xml:space="preserve">This karakia (prayer) speaks to the great natural </w:t>
      </w:r>
      <w:r w:rsidR="00A03FCC" w:rsidRPr="005D6D89">
        <w:t>forces, which</w:t>
      </w:r>
      <w:r w:rsidRPr="005D6D89">
        <w:t xml:space="preserve"> bind us together. It portrays a Māori worldview to help frame our thinking, and our approach to huringa āhuarangi (climate change) in Aotearoa New Zealand. It speaks to the winds from the west (hau ki </w:t>
      </w:r>
      <w:proofErr w:type="gramStart"/>
      <w:r w:rsidRPr="005D6D89">
        <w:t>te</w:t>
      </w:r>
      <w:proofErr w:type="gramEnd"/>
      <w:r w:rsidRPr="005D6D89">
        <w:t xml:space="preserve"> uru) and from the south (hau ki te tonga). It acknowledges the growing challenges before us and the preparation needed to respond to them. It expresses the strengthening of our resilience and acknowledges that with unity we can overcome challenges and respond to ongoing changes in our environment. </w:t>
      </w:r>
    </w:p>
    <w:p w14:paraId="603E39C7" w14:textId="77777777" w:rsidR="00CE6C1D" w:rsidRPr="005D6D89" w:rsidRDefault="00CE6C1D" w:rsidP="00CE6C1D">
      <w:pPr>
        <w:pStyle w:val="BodyText"/>
      </w:pPr>
      <w:r w:rsidRPr="005D6D89">
        <w:t xml:space="preserve">In the context of </w:t>
      </w:r>
      <w:proofErr w:type="gramStart"/>
      <w:r w:rsidRPr="005D6D89">
        <w:t>te</w:t>
      </w:r>
      <w:proofErr w:type="gramEnd"/>
      <w:r w:rsidRPr="005D6D89">
        <w:t xml:space="preserve"> huringa āhuarangi, this narrative emphasises our ties to and reliance on the natural world, and the connection of each generation to those before and after. This includes the connectedness of ecosystems and </w:t>
      </w:r>
      <w:proofErr w:type="gramStart"/>
      <w:r w:rsidRPr="005D6D89">
        <w:t>society,</w:t>
      </w:r>
      <w:proofErr w:type="gramEnd"/>
      <w:r w:rsidRPr="005D6D89">
        <w:t xml:space="preserve"> and of actions and consequences across domains.</w:t>
      </w:r>
    </w:p>
    <w:p w14:paraId="4E3B7E6E" w14:textId="77777777" w:rsidR="00CE6C1D" w:rsidRPr="005D6D89" w:rsidRDefault="00CE6C1D" w:rsidP="00CE6C1D">
      <w:pPr>
        <w:pStyle w:val="BodyText"/>
      </w:pPr>
    </w:p>
    <w:p w14:paraId="5B6E1475" w14:textId="77777777" w:rsidR="00CE6C1D" w:rsidRPr="005D6D89" w:rsidRDefault="00CE6C1D" w:rsidP="00CE6C1D">
      <w:pPr>
        <w:pStyle w:val="BodyText"/>
        <w:sectPr w:rsidR="00CE6C1D" w:rsidRPr="005D6D89" w:rsidSect="00C02334">
          <w:footerReference w:type="even" r:id="rId17"/>
          <w:footerReference w:type="default" r:id="rId18"/>
          <w:pgSz w:w="11907" w:h="16840" w:code="9"/>
          <w:pgMar w:top="1134" w:right="1701" w:bottom="1134" w:left="1701" w:header="567" w:footer="567" w:gutter="0"/>
          <w:cols w:space="720"/>
          <w:docGrid w:linePitch="299"/>
        </w:sectPr>
      </w:pPr>
    </w:p>
    <w:p w14:paraId="2913A5D2" w14:textId="77777777" w:rsidR="0080531E" w:rsidRPr="005D6D89" w:rsidRDefault="0080531E" w:rsidP="008B68EC">
      <w:pPr>
        <w:pStyle w:val="Heading"/>
      </w:pPr>
      <w:r w:rsidRPr="005D6D89">
        <w:t>Contents</w:t>
      </w:r>
    </w:p>
    <w:p w14:paraId="71CD308B" w14:textId="033BC018" w:rsidR="00BE564B" w:rsidRPr="005D6D89" w:rsidRDefault="00775F57">
      <w:pPr>
        <w:pStyle w:val="TOC1"/>
        <w:rPr>
          <w:rFonts w:asciiTheme="minorHAnsi" w:hAnsiTheme="minorHAnsi"/>
          <w:noProof/>
        </w:rPr>
      </w:pPr>
      <w:r w:rsidRPr="005D6D89">
        <w:rPr>
          <w:color w:val="0092CF"/>
        </w:rPr>
        <w:fldChar w:fldCharType="begin"/>
      </w:r>
      <w:r w:rsidRPr="005D6D89">
        <w:rPr>
          <w:color w:val="0092CF"/>
        </w:rPr>
        <w:instrText xml:space="preserve"> TOC \h \z \t "Heading 1,1,Heading 2,2" </w:instrText>
      </w:r>
      <w:r w:rsidRPr="005D6D89">
        <w:rPr>
          <w:color w:val="0092CF"/>
        </w:rPr>
        <w:fldChar w:fldCharType="separate"/>
      </w:r>
      <w:hyperlink w:anchor="_Toc43064120" w:history="1">
        <w:r w:rsidR="00BE564B" w:rsidRPr="005D6D89">
          <w:rPr>
            <w:rStyle w:val="Hyperlink"/>
            <w:noProof/>
          </w:rPr>
          <w:t>Karakia</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_Toc43064120 \h </w:instrText>
        </w:r>
        <w:r w:rsidR="00BE564B" w:rsidRPr="005D6D89">
          <w:rPr>
            <w:noProof/>
            <w:webHidden/>
          </w:rPr>
        </w:r>
        <w:r w:rsidR="00BE564B" w:rsidRPr="005D6D89">
          <w:rPr>
            <w:noProof/>
            <w:webHidden/>
          </w:rPr>
          <w:fldChar w:fldCharType="separate"/>
        </w:r>
        <w:r w:rsidR="00696B5A">
          <w:rPr>
            <w:noProof/>
            <w:webHidden/>
          </w:rPr>
          <w:t>3</w:t>
        </w:r>
        <w:r w:rsidR="00BE564B" w:rsidRPr="005D6D89">
          <w:rPr>
            <w:noProof/>
            <w:webHidden/>
          </w:rPr>
          <w:fldChar w:fldCharType="end"/>
        </w:r>
      </w:hyperlink>
    </w:p>
    <w:p w14:paraId="67CC3ABB" w14:textId="442C478E" w:rsidR="00BE564B" w:rsidRPr="005D6D89" w:rsidRDefault="00B45FF6">
      <w:pPr>
        <w:pStyle w:val="TOC1"/>
        <w:rPr>
          <w:rFonts w:asciiTheme="minorHAnsi" w:hAnsiTheme="minorHAnsi"/>
          <w:noProof/>
        </w:rPr>
      </w:pPr>
      <w:hyperlink w:anchor="_Toc43064121" w:history="1">
        <w:r w:rsidR="00BE564B" w:rsidRPr="005D6D89">
          <w:rPr>
            <w:rStyle w:val="Hyperlink"/>
            <w:noProof/>
          </w:rPr>
          <w:t>Key messages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_Toc43064121 \h </w:instrText>
        </w:r>
        <w:r w:rsidR="00BE564B" w:rsidRPr="005D6D89">
          <w:rPr>
            <w:noProof/>
            <w:webHidden/>
          </w:rPr>
        </w:r>
        <w:r w:rsidR="00BE564B" w:rsidRPr="005D6D89">
          <w:rPr>
            <w:noProof/>
            <w:webHidden/>
          </w:rPr>
          <w:fldChar w:fldCharType="separate"/>
        </w:r>
        <w:r w:rsidR="00696B5A">
          <w:rPr>
            <w:noProof/>
            <w:webHidden/>
          </w:rPr>
          <w:t>7</w:t>
        </w:r>
        <w:r w:rsidR="00BE564B" w:rsidRPr="005D6D89">
          <w:rPr>
            <w:noProof/>
            <w:webHidden/>
          </w:rPr>
          <w:fldChar w:fldCharType="end"/>
        </w:r>
      </w:hyperlink>
    </w:p>
    <w:p w14:paraId="20F60A0D" w14:textId="29FB05D3" w:rsidR="00BE564B" w:rsidRPr="005D6D89" w:rsidRDefault="00B45FF6">
      <w:pPr>
        <w:pStyle w:val="TOC1"/>
        <w:rPr>
          <w:rFonts w:asciiTheme="minorHAnsi" w:hAnsiTheme="minorHAnsi"/>
          <w:noProof/>
        </w:rPr>
      </w:pPr>
      <w:hyperlink w:anchor="_Toc43064122" w:history="1">
        <w:r w:rsidR="00BE564B" w:rsidRPr="005D6D89">
          <w:rPr>
            <w:rStyle w:val="Hyperlink"/>
            <w:noProof/>
          </w:rPr>
          <w:t>1</w:t>
        </w:r>
        <w:r w:rsidR="00BE564B" w:rsidRPr="005D6D89">
          <w:rPr>
            <w:rFonts w:asciiTheme="minorHAnsi" w:hAnsiTheme="minorHAnsi"/>
            <w:noProof/>
          </w:rPr>
          <w:tab/>
        </w:r>
        <w:r w:rsidR="00BE564B" w:rsidRPr="005D6D89">
          <w:rPr>
            <w:rStyle w:val="Hyperlink"/>
            <w:noProof/>
          </w:rPr>
          <w:t>Introduction</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_Toc43064122 \h </w:instrText>
        </w:r>
        <w:r w:rsidR="00BE564B" w:rsidRPr="005D6D89">
          <w:rPr>
            <w:noProof/>
            <w:webHidden/>
          </w:rPr>
        </w:r>
        <w:r w:rsidR="00BE564B" w:rsidRPr="005D6D89">
          <w:rPr>
            <w:noProof/>
            <w:webHidden/>
          </w:rPr>
          <w:fldChar w:fldCharType="separate"/>
        </w:r>
        <w:r w:rsidR="00696B5A">
          <w:rPr>
            <w:noProof/>
            <w:webHidden/>
          </w:rPr>
          <w:t>17</w:t>
        </w:r>
        <w:r w:rsidR="00BE564B" w:rsidRPr="005D6D89">
          <w:rPr>
            <w:noProof/>
            <w:webHidden/>
          </w:rPr>
          <w:fldChar w:fldCharType="end"/>
        </w:r>
      </w:hyperlink>
    </w:p>
    <w:p w14:paraId="19EC60B4" w14:textId="5661410F" w:rsidR="00BE564B" w:rsidRPr="005D6D89" w:rsidRDefault="00B45FF6">
      <w:pPr>
        <w:pStyle w:val="TOC2"/>
        <w:tabs>
          <w:tab w:val="left" w:pos="1134"/>
        </w:tabs>
        <w:rPr>
          <w:rFonts w:asciiTheme="minorHAnsi" w:hAnsiTheme="minorHAnsi"/>
          <w:noProof/>
        </w:rPr>
      </w:pPr>
      <w:hyperlink w:anchor="_Toc43064123" w:history="1">
        <w:r w:rsidR="00BE564B" w:rsidRPr="005D6D89">
          <w:rPr>
            <w:rStyle w:val="Hyperlink"/>
            <w:noProof/>
          </w:rPr>
          <w:t>1.1</w:t>
        </w:r>
        <w:r w:rsidR="00BE564B" w:rsidRPr="005D6D89">
          <w:rPr>
            <w:rFonts w:asciiTheme="minorHAnsi" w:hAnsiTheme="minorHAnsi"/>
            <w:noProof/>
          </w:rPr>
          <w:tab/>
        </w:r>
        <w:r w:rsidR="00BE564B" w:rsidRPr="005D6D89">
          <w:rPr>
            <w:rStyle w:val="Hyperlink"/>
            <w:noProof/>
          </w:rPr>
          <w:t>Context and audience</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_Toc43064123 \h </w:instrText>
        </w:r>
        <w:r w:rsidR="00BE564B" w:rsidRPr="005D6D89">
          <w:rPr>
            <w:noProof/>
            <w:webHidden/>
          </w:rPr>
        </w:r>
        <w:r w:rsidR="00BE564B" w:rsidRPr="005D6D89">
          <w:rPr>
            <w:noProof/>
            <w:webHidden/>
          </w:rPr>
          <w:fldChar w:fldCharType="separate"/>
        </w:r>
        <w:r w:rsidR="00696B5A">
          <w:rPr>
            <w:noProof/>
            <w:webHidden/>
          </w:rPr>
          <w:t>17</w:t>
        </w:r>
        <w:r w:rsidR="00BE564B" w:rsidRPr="005D6D89">
          <w:rPr>
            <w:noProof/>
            <w:webHidden/>
          </w:rPr>
          <w:fldChar w:fldCharType="end"/>
        </w:r>
      </w:hyperlink>
    </w:p>
    <w:p w14:paraId="1C4693EA" w14:textId="4A646D41" w:rsidR="00BE564B" w:rsidRPr="005D6D89" w:rsidRDefault="00B45FF6">
      <w:pPr>
        <w:pStyle w:val="TOC2"/>
        <w:tabs>
          <w:tab w:val="left" w:pos="1134"/>
        </w:tabs>
        <w:rPr>
          <w:rFonts w:asciiTheme="minorHAnsi" w:hAnsiTheme="minorHAnsi"/>
          <w:noProof/>
        </w:rPr>
      </w:pPr>
      <w:hyperlink w:anchor="_Toc43064124" w:history="1">
        <w:r w:rsidR="00BE564B" w:rsidRPr="005D6D89">
          <w:rPr>
            <w:rStyle w:val="Hyperlink"/>
            <w:noProof/>
          </w:rPr>
          <w:t>1.2</w:t>
        </w:r>
        <w:r w:rsidR="00BE564B" w:rsidRPr="005D6D89">
          <w:rPr>
            <w:rFonts w:asciiTheme="minorHAnsi" w:hAnsiTheme="minorHAnsi"/>
            <w:noProof/>
          </w:rPr>
          <w:tab/>
        </w:r>
        <w:r w:rsidR="00BE564B" w:rsidRPr="005D6D89">
          <w:rPr>
            <w:rStyle w:val="Hyperlink"/>
            <w:noProof/>
          </w:rPr>
          <w:t>Objectives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_Toc43064124 \h </w:instrText>
        </w:r>
        <w:r w:rsidR="00BE564B" w:rsidRPr="005D6D89">
          <w:rPr>
            <w:noProof/>
            <w:webHidden/>
          </w:rPr>
        </w:r>
        <w:r w:rsidR="00BE564B" w:rsidRPr="005D6D89">
          <w:rPr>
            <w:noProof/>
            <w:webHidden/>
          </w:rPr>
          <w:fldChar w:fldCharType="separate"/>
        </w:r>
        <w:r w:rsidR="00696B5A">
          <w:rPr>
            <w:noProof/>
            <w:webHidden/>
          </w:rPr>
          <w:t>17</w:t>
        </w:r>
        <w:r w:rsidR="00BE564B" w:rsidRPr="005D6D89">
          <w:rPr>
            <w:noProof/>
            <w:webHidden/>
          </w:rPr>
          <w:fldChar w:fldCharType="end"/>
        </w:r>
      </w:hyperlink>
    </w:p>
    <w:p w14:paraId="5AA5262A" w14:textId="1EF77E4F" w:rsidR="00BE564B" w:rsidRPr="005D6D89" w:rsidRDefault="00B45FF6">
      <w:pPr>
        <w:pStyle w:val="TOC2"/>
        <w:tabs>
          <w:tab w:val="left" w:pos="1134"/>
        </w:tabs>
        <w:rPr>
          <w:rFonts w:asciiTheme="minorHAnsi" w:hAnsiTheme="minorHAnsi"/>
          <w:noProof/>
        </w:rPr>
      </w:pPr>
      <w:hyperlink w:anchor="_Toc43064125" w:history="1">
        <w:r w:rsidR="00BE564B" w:rsidRPr="005D6D89">
          <w:rPr>
            <w:rStyle w:val="Hyperlink"/>
            <w:noProof/>
          </w:rPr>
          <w:t>1.3</w:t>
        </w:r>
        <w:r w:rsidR="00BE564B" w:rsidRPr="005D6D89">
          <w:rPr>
            <w:rFonts w:asciiTheme="minorHAnsi" w:hAnsiTheme="minorHAnsi"/>
            <w:noProof/>
          </w:rPr>
          <w:tab/>
        </w:r>
        <w:r w:rsidR="00BE564B" w:rsidRPr="005D6D89">
          <w:rPr>
            <w:rStyle w:val="Hyperlink"/>
            <w:noProof/>
          </w:rPr>
          <w:t>Structure</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_Toc43064125 \h </w:instrText>
        </w:r>
        <w:r w:rsidR="00BE564B" w:rsidRPr="005D6D89">
          <w:rPr>
            <w:noProof/>
            <w:webHidden/>
          </w:rPr>
        </w:r>
        <w:r w:rsidR="00BE564B" w:rsidRPr="005D6D89">
          <w:rPr>
            <w:noProof/>
            <w:webHidden/>
          </w:rPr>
          <w:fldChar w:fldCharType="separate"/>
        </w:r>
        <w:r w:rsidR="00696B5A">
          <w:rPr>
            <w:noProof/>
            <w:webHidden/>
          </w:rPr>
          <w:t>18</w:t>
        </w:r>
        <w:r w:rsidR="00BE564B" w:rsidRPr="005D6D89">
          <w:rPr>
            <w:noProof/>
            <w:webHidden/>
          </w:rPr>
          <w:fldChar w:fldCharType="end"/>
        </w:r>
      </w:hyperlink>
    </w:p>
    <w:p w14:paraId="0CB5EEE8" w14:textId="759277F7" w:rsidR="00BE564B" w:rsidRPr="005D6D89" w:rsidRDefault="00B45FF6">
      <w:pPr>
        <w:pStyle w:val="TOC2"/>
        <w:tabs>
          <w:tab w:val="left" w:pos="1134"/>
        </w:tabs>
        <w:rPr>
          <w:rFonts w:asciiTheme="minorHAnsi" w:hAnsiTheme="minorHAnsi"/>
          <w:noProof/>
        </w:rPr>
      </w:pPr>
      <w:hyperlink w:anchor="_Toc43064126" w:history="1">
        <w:r w:rsidR="00BE564B" w:rsidRPr="005D6D89">
          <w:rPr>
            <w:rStyle w:val="Hyperlink"/>
            <w:noProof/>
          </w:rPr>
          <w:t>1.4</w:t>
        </w:r>
        <w:r w:rsidR="00BE564B" w:rsidRPr="005D6D89">
          <w:rPr>
            <w:rFonts w:asciiTheme="minorHAnsi" w:hAnsiTheme="minorHAnsi"/>
            <w:noProof/>
          </w:rPr>
          <w:tab/>
        </w:r>
        <w:r w:rsidR="00BE564B" w:rsidRPr="005D6D89">
          <w:rPr>
            <w:rStyle w:val="Hyperlink"/>
            <w:noProof/>
          </w:rPr>
          <w:t>Purpose</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_Toc43064126 \h </w:instrText>
        </w:r>
        <w:r w:rsidR="00BE564B" w:rsidRPr="005D6D89">
          <w:rPr>
            <w:noProof/>
            <w:webHidden/>
          </w:rPr>
        </w:r>
        <w:r w:rsidR="00BE564B" w:rsidRPr="005D6D89">
          <w:rPr>
            <w:noProof/>
            <w:webHidden/>
          </w:rPr>
          <w:fldChar w:fldCharType="separate"/>
        </w:r>
        <w:r w:rsidR="00696B5A">
          <w:rPr>
            <w:noProof/>
            <w:webHidden/>
          </w:rPr>
          <w:t>18</w:t>
        </w:r>
        <w:r w:rsidR="00BE564B" w:rsidRPr="005D6D89">
          <w:rPr>
            <w:noProof/>
            <w:webHidden/>
          </w:rPr>
          <w:fldChar w:fldCharType="end"/>
        </w:r>
      </w:hyperlink>
    </w:p>
    <w:p w14:paraId="3A9ADEFF" w14:textId="5C1DAE39" w:rsidR="00BE564B" w:rsidRPr="005D6D89" w:rsidRDefault="00B45FF6">
      <w:pPr>
        <w:pStyle w:val="TOC1"/>
        <w:rPr>
          <w:rFonts w:asciiTheme="minorHAnsi" w:hAnsiTheme="minorHAnsi"/>
          <w:noProof/>
        </w:rPr>
      </w:pPr>
      <w:hyperlink w:anchor="_Toc43064127" w:history="1">
        <w:r w:rsidR="00BE564B" w:rsidRPr="005D6D89">
          <w:rPr>
            <w:rStyle w:val="Hyperlink"/>
            <w:noProof/>
          </w:rPr>
          <w:t>2</w:t>
        </w:r>
        <w:r w:rsidR="00BE564B" w:rsidRPr="005D6D89">
          <w:rPr>
            <w:rFonts w:asciiTheme="minorHAnsi" w:hAnsiTheme="minorHAnsi"/>
            <w:noProof/>
          </w:rPr>
          <w:tab/>
        </w:r>
        <w:r w:rsidR="00BE564B" w:rsidRPr="005D6D89">
          <w:rPr>
            <w:rStyle w:val="Hyperlink"/>
            <w:noProof/>
          </w:rPr>
          <w:t>Summary of approach</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_Toc43064127 \h </w:instrText>
        </w:r>
        <w:r w:rsidR="00BE564B" w:rsidRPr="005D6D89">
          <w:rPr>
            <w:noProof/>
            <w:webHidden/>
          </w:rPr>
        </w:r>
        <w:r w:rsidR="00BE564B" w:rsidRPr="005D6D89">
          <w:rPr>
            <w:noProof/>
            <w:webHidden/>
          </w:rPr>
          <w:fldChar w:fldCharType="separate"/>
        </w:r>
        <w:r w:rsidR="00696B5A">
          <w:rPr>
            <w:noProof/>
            <w:webHidden/>
          </w:rPr>
          <w:t>20</w:t>
        </w:r>
        <w:r w:rsidR="00BE564B" w:rsidRPr="005D6D89">
          <w:rPr>
            <w:noProof/>
            <w:webHidden/>
          </w:rPr>
          <w:fldChar w:fldCharType="end"/>
        </w:r>
      </w:hyperlink>
    </w:p>
    <w:p w14:paraId="6269B6A0" w14:textId="13AE0B45" w:rsidR="00BE564B" w:rsidRPr="005D6D89" w:rsidRDefault="00B45FF6">
      <w:pPr>
        <w:pStyle w:val="TOC2"/>
        <w:tabs>
          <w:tab w:val="left" w:pos="1134"/>
        </w:tabs>
        <w:rPr>
          <w:rFonts w:asciiTheme="minorHAnsi" w:hAnsiTheme="minorHAnsi"/>
          <w:noProof/>
        </w:rPr>
      </w:pPr>
      <w:hyperlink w:anchor="_Toc43064128" w:history="1">
        <w:r w:rsidR="00BE564B" w:rsidRPr="005D6D89">
          <w:rPr>
            <w:rStyle w:val="Hyperlink"/>
            <w:noProof/>
          </w:rPr>
          <w:t>2.1</w:t>
        </w:r>
        <w:r w:rsidR="00BE564B" w:rsidRPr="005D6D89">
          <w:rPr>
            <w:rFonts w:asciiTheme="minorHAnsi" w:hAnsiTheme="minorHAnsi"/>
            <w:noProof/>
          </w:rPr>
          <w:tab/>
        </w:r>
        <w:r w:rsidR="00BE564B" w:rsidRPr="005D6D89">
          <w:rPr>
            <w:rStyle w:val="Hyperlink"/>
            <w:noProof/>
          </w:rPr>
          <w:t>Assessment and engagement method</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_Toc43064128 \h </w:instrText>
        </w:r>
        <w:r w:rsidR="00BE564B" w:rsidRPr="005D6D89">
          <w:rPr>
            <w:noProof/>
            <w:webHidden/>
          </w:rPr>
        </w:r>
        <w:r w:rsidR="00BE564B" w:rsidRPr="005D6D89">
          <w:rPr>
            <w:noProof/>
            <w:webHidden/>
          </w:rPr>
          <w:fldChar w:fldCharType="separate"/>
        </w:r>
        <w:r w:rsidR="00696B5A">
          <w:rPr>
            <w:noProof/>
            <w:webHidden/>
          </w:rPr>
          <w:t>20</w:t>
        </w:r>
        <w:r w:rsidR="00BE564B" w:rsidRPr="005D6D89">
          <w:rPr>
            <w:noProof/>
            <w:webHidden/>
          </w:rPr>
          <w:fldChar w:fldCharType="end"/>
        </w:r>
      </w:hyperlink>
    </w:p>
    <w:p w14:paraId="0C8FF7BD" w14:textId="0106814F" w:rsidR="00BE564B" w:rsidRPr="005D6D89" w:rsidRDefault="00B45FF6">
      <w:pPr>
        <w:pStyle w:val="TOC2"/>
        <w:tabs>
          <w:tab w:val="left" w:pos="1134"/>
        </w:tabs>
        <w:rPr>
          <w:rFonts w:asciiTheme="minorHAnsi" w:hAnsiTheme="minorHAnsi"/>
          <w:noProof/>
        </w:rPr>
      </w:pPr>
      <w:hyperlink w:anchor="_Toc43064129" w:history="1">
        <w:r w:rsidR="00BE564B" w:rsidRPr="005D6D89">
          <w:rPr>
            <w:rStyle w:val="Hyperlink"/>
            <w:noProof/>
          </w:rPr>
          <w:t>2.2</w:t>
        </w:r>
        <w:r w:rsidR="00BE564B" w:rsidRPr="005D6D89">
          <w:rPr>
            <w:rFonts w:asciiTheme="minorHAnsi" w:hAnsiTheme="minorHAnsi"/>
            <w:noProof/>
          </w:rPr>
          <w:tab/>
        </w:r>
        <w:r w:rsidR="00BE564B" w:rsidRPr="005D6D89">
          <w:rPr>
            <w:rStyle w:val="Hyperlink"/>
            <w:noProof/>
          </w:rPr>
          <w:t>Limitations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_Toc43064129 \h </w:instrText>
        </w:r>
        <w:r w:rsidR="00BE564B" w:rsidRPr="005D6D89">
          <w:rPr>
            <w:noProof/>
            <w:webHidden/>
          </w:rPr>
        </w:r>
        <w:r w:rsidR="00BE564B" w:rsidRPr="005D6D89">
          <w:rPr>
            <w:noProof/>
            <w:webHidden/>
          </w:rPr>
          <w:fldChar w:fldCharType="separate"/>
        </w:r>
        <w:r w:rsidR="00696B5A">
          <w:rPr>
            <w:noProof/>
            <w:webHidden/>
          </w:rPr>
          <w:t>27</w:t>
        </w:r>
        <w:r w:rsidR="00BE564B" w:rsidRPr="005D6D89">
          <w:rPr>
            <w:noProof/>
            <w:webHidden/>
          </w:rPr>
          <w:fldChar w:fldCharType="end"/>
        </w:r>
      </w:hyperlink>
    </w:p>
    <w:p w14:paraId="0A1FB873" w14:textId="54E3B32E" w:rsidR="00BE564B" w:rsidRPr="005D6D89" w:rsidRDefault="00B45FF6">
      <w:pPr>
        <w:pStyle w:val="TOC2"/>
        <w:tabs>
          <w:tab w:val="left" w:pos="1134"/>
        </w:tabs>
        <w:rPr>
          <w:rFonts w:asciiTheme="minorHAnsi" w:hAnsiTheme="minorHAnsi"/>
          <w:noProof/>
        </w:rPr>
      </w:pPr>
      <w:hyperlink w:anchor="_Toc43064130" w:history="1">
        <w:r w:rsidR="00BE564B" w:rsidRPr="005D6D89">
          <w:rPr>
            <w:rStyle w:val="Hyperlink"/>
            <w:noProof/>
          </w:rPr>
          <w:t>2.3</w:t>
        </w:r>
        <w:r w:rsidR="00BE564B" w:rsidRPr="005D6D89">
          <w:rPr>
            <w:rFonts w:asciiTheme="minorHAnsi" w:hAnsiTheme="minorHAnsi"/>
            <w:noProof/>
          </w:rPr>
          <w:tab/>
        </w:r>
        <w:r w:rsidR="00BE564B" w:rsidRPr="005D6D89">
          <w:rPr>
            <w:rStyle w:val="Hyperlink"/>
            <w:noProof/>
          </w:rPr>
          <w:t>Overview of value domains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_Toc43064130 \h </w:instrText>
        </w:r>
        <w:r w:rsidR="00BE564B" w:rsidRPr="005D6D89">
          <w:rPr>
            <w:noProof/>
            <w:webHidden/>
          </w:rPr>
        </w:r>
        <w:r w:rsidR="00BE564B" w:rsidRPr="005D6D89">
          <w:rPr>
            <w:noProof/>
            <w:webHidden/>
          </w:rPr>
          <w:fldChar w:fldCharType="separate"/>
        </w:r>
        <w:r w:rsidR="00696B5A">
          <w:rPr>
            <w:noProof/>
            <w:webHidden/>
          </w:rPr>
          <w:t>28</w:t>
        </w:r>
        <w:r w:rsidR="00BE564B" w:rsidRPr="005D6D89">
          <w:rPr>
            <w:noProof/>
            <w:webHidden/>
          </w:rPr>
          <w:fldChar w:fldCharType="end"/>
        </w:r>
      </w:hyperlink>
    </w:p>
    <w:p w14:paraId="7DF3BC63" w14:textId="669A6924" w:rsidR="00BE564B" w:rsidRPr="005D6D89" w:rsidRDefault="00B45FF6">
      <w:pPr>
        <w:pStyle w:val="TOC1"/>
        <w:rPr>
          <w:rFonts w:asciiTheme="minorHAnsi" w:hAnsiTheme="minorHAnsi"/>
          <w:noProof/>
        </w:rPr>
      </w:pPr>
      <w:hyperlink w:anchor="_Toc43064131" w:history="1">
        <w:r w:rsidR="00BE564B" w:rsidRPr="005D6D89">
          <w:rPr>
            <w:rStyle w:val="Hyperlink"/>
            <w:noProof/>
          </w:rPr>
          <w:t>3</w:t>
        </w:r>
        <w:r w:rsidR="00BE564B" w:rsidRPr="005D6D89">
          <w:rPr>
            <w:rFonts w:asciiTheme="minorHAnsi" w:hAnsiTheme="minorHAnsi"/>
            <w:noProof/>
          </w:rPr>
          <w:tab/>
        </w:r>
        <w:r w:rsidR="00BE564B" w:rsidRPr="005D6D89">
          <w:rPr>
            <w:rStyle w:val="Hyperlink"/>
            <w:noProof/>
          </w:rPr>
          <w:t>Te Ao Māori and climate change risk</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_Toc43064131 \h </w:instrText>
        </w:r>
        <w:r w:rsidR="00BE564B" w:rsidRPr="005D6D89">
          <w:rPr>
            <w:noProof/>
            <w:webHidden/>
          </w:rPr>
        </w:r>
        <w:r w:rsidR="00BE564B" w:rsidRPr="005D6D89">
          <w:rPr>
            <w:noProof/>
            <w:webHidden/>
          </w:rPr>
          <w:fldChar w:fldCharType="separate"/>
        </w:r>
        <w:r w:rsidR="00696B5A">
          <w:rPr>
            <w:noProof/>
            <w:webHidden/>
          </w:rPr>
          <w:t>31</w:t>
        </w:r>
        <w:r w:rsidR="00BE564B" w:rsidRPr="005D6D89">
          <w:rPr>
            <w:noProof/>
            <w:webHidden/>
          </w:rPr>
          <w:fldChar w:fldCharType="end"/>
        </w:r>
      </w:hyperlink>
    </w:p>
    <w:p w14:paraId="0A8F0D0A" w14:textId="2BAE702B" w:rsidR="00BE564B" w:rsidRPr="005D6D89" w:rsidRDefault="00B45FF6">
      <w:pPr>
        <w:pStyle w:val="TOC2"/>
        <w:tabs>
          <w:tab w:val="left" w:pos="1134"/>
        </w:tabs>
        <w:rPr>
          <w:rFonts w:asciiTheme="minorHAnsi" w:hAnsiTheme="minorHAnsi"/>
          <w:noProof/>
        </w:rPr>
      </w:pPr>
      <w:hyperlink w:anchor="_Toc43064132" w:history="1">
        <w:r w:rsidR="00BE564B" w:rsidRPr="005D6D89">
          <w:rPr>
            <w:rStyle w:val="Hyperlink"/>
            <w:noProof/>
          </w:rPr>
          <w:t>3.1</w:t>
        </w:r>
        <w:r w:rsidR="00BE564B" w:rsidRPr="005D6D89">
          <w:rPr>
            <w:rFonts w:asciiTheme="minorHAnsi" w:hAnsiTheme="minorHAnsi"/>
            <w:noProof/>
          </w:rPr>
          <w:tab/>
        </w:r>
        <w:r w:rsidR="00BE564B" w:rsidRPr="005D6D89">
          <w:rPr>
            <w:rStyle w:val="Hyperlink"/>
            <w:noProof/>
          </w:rPr>
          <w:t>Bringing Māori perspectives to the NCCRA</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_Toc43064132 \h </w:instrText>
        </w:r>
        <w:r w:rsidR="00BE564B" w:rsidRPr="005D6D89">
          <w:rPr>
            <w:noProof/>
            <w:webHidden/>
          </w:rPr>
        </w:r>
        <w:r w:rsidR="00BE564B" w:rsidRPr="005D6D89">
          <w:rPr>
            <w:noProof/>
            <w:webHidden/>
          </w:rPr>
          <w:fldChar w:fldCharType="separate"/>
        </w:r>
        <w:r w:rsidR="00696B5A">
          <w:rPr>
            <w:noProof/>
            <w:webHidden/>
          </w:rPr>
          <w:t>33</w:t>
        </w:r>
        <w:r w:rsidR="00BE564B" w:rsidRPr="005D6D89">
          <w:rPr>
            <w:noProof/>
            <w:webHidden/>
          </w:rPr>
          <w:fldChar w:fldCharType="end"/>
        </w:r>
      </w:hyperlink>
    </w:p>
    <w:p w14:paraId="2CF401D7" w14:textId="682B914A" w:rsidR="00BE564B" w:rsidRPr="005D6D89" w:rsidRDefault="00B45FF6">
      <w:pPr>
        <w:pStyle w:val="TOC1"/>
        <w:rPr>
          <w:rFonts w:asciiTheme="minorHAnsi" w:hAnsiTheme="minorHAnsi"/>
          <w:noProof/>
        </w:rPr>
      </w:pPr>
      <w:hyperlink w:anchor="_Toc43064133" w:history="1">
        <w:r w:rsidR="00BE564B" w:rsidRPr="005D6D89">
          <w:rPr>
            <w:rStyle w:val="Hyperlink"/>
            <w:noProof/>
          </w:rPr>
          <w:t>4</w:t>
        </w:r>
        <w:r w:rsidR="00BE564B" w:rsidRPr="005D6D89">
          <w:rPr>
            <w:rFonts w:asciiTheme="minorHAnsi" w:hAnsiTheme="minorHAnsi"/>
            <w:noProof/>
          </w:rPr>
          <w:tab/>
        </w:r>
        <w:r w:rsidR="00BE564B" w:rsidRPr="005D6D89">
          <w:rPr>
            <w:rStyle w:val="Hyperlink"/>
            <w:noProof/>
          </w:rPr>
          <w:t>Climate change in New Zealand</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_Toc43064133 \h </w:instrText>
        </w:r>
        <w:r w:rsidR="00BE564B" w:rsidRPr="005D6D89">
          <w:rPr>
            <w:noProof/>
            <w:webHidden/>
          </w:rPr>
        </w:r>
        <w:r w:rsidR="00BE564B" w:rsidRPr="005D6D89">
          <w:rPr>
            <w:noProof/>
            <w:webHidden/>
          </w:rPr>
          <w:fldChar w:fldCharType="separate"/>
        </w:r>
        <w:r w:rsidR="00696B5A">
          <w:rPr>
            <w:noProof/>
            <w:webHidden/>
          </w:rPr>
          <w:t>35</w:t>
        </w:r>
        <w:r w:rsidR="00BE564B" w:rsidRPr="005D6D89">
          <w:rPr>
            <w:noProof/>
            <w:webHidden/>
          </w:rPr>
          <w:fldChar w:fldCharType="end"/>
        </w:r>
      </w:hyperlink>
    </w:p>
    <w:p w14:paraId="27F75A57" w14:textId="081FB6E5" w:rsidR="00BE564B" w:rsidRPr="005D6D89" w:rsidRDefault="00B45FF6">
      <w:pPr>
        <w:pStyle w:val="TOC2"/>
        <w:tabs>
          <w:tab w:val="left" w:pos="1134"/>
        </w:tabs>
        <w:rPr>
          <w:rFonts w:asciiTheme="minorHAnsi" w:hAnsiTheme="minorHAnsi"/>
          <w:noProof/>
        </w:rPr>
      </w:pPr>
      <w:hyperlink w:anchor="_Toc43064134" w:history="1">
        <w:r w:rsidR="00BE564B" w:rsidRPr="005D6D89">
          <w:rPr>
            <w:rStyle w:val="Hyperlink"/>
            <w:noProof/>
          </w:rPr>
          <w:t>4.1</w:t>
        </w:r>
        <w:r w:rsidR="00BE564B" w:rsidRPr="005D6D89">
          <w:rPr>
            <w:rFonts w:asciiTheme="minorHAnsi" w:hAnsiTheme="minorHAnsi"/>
            <w:noProof/>
          </w:rPr>
          <w:tab/>
        </w:r>
        <w:r w:rsidR="00BE564B" w:rsidRPr="005D6D89">
          <w:rPr>
            <w:rStyle w:val="Hyperlink"/>
            <w:noProof/>
          </w:rPr>
          <w:t>New Zealand is already experiencing the impacts from a changing climate</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_Toc43064134 \h </w:instrText>
        </w:r>
        <w:r w:rsidR="00BE564B" w:rsidRPr="005D6D89">
          <w:rPr>
            <w:noProof/>
            <w:webHidden/>
          </w:rPr>
        </w:r>
        <w:r w:rsidR="00BE564B" w:rsidRPr="005D6D89">
          <w:rPr>
            <w:noProof/>
            <w:webHidden/>
          </w:rPr>
          <w:fldChar w:fldCharType="separate"/>
        </w:r>
        <w:r w:rsidR="00696B5A">
          <w:rPr>
            <w:noProof/>
            <w:webHidden/>
          </w:rPr>
          <w:t>35</w:t>
        </w:r>
        <w:r w:rsidR="00BE564B" w:rsidRPr="005D6D89">
          <w:rPr>
            <w:noProof/>
            <w:webHidden/>
          </w:rPr>
          <w:fldChar w:fldCharType="end"/>
        </w:r>
      </w:hyperlink>
    </w:p>
    <w:p w14:paraId="57518F26" w14:textId="7E8C48D4" w:rsidR="00BE564B" w:rsidRPr="005D6D89" w:rsidRDefault="00B45FF6">
      <w:pPr>
        <w:pStyle w:val="TOC2"/>
        <w:tabs>
          <w:tab w:val="left" w:pos="1134"/>
        </w:tabs>
        <w:rPr>
          <w:rFonts w:asciiTheme="minorHAnsi" w:hAnsiTheme="minorHAnsi"/>
          <w:noProof/>
        </w:rPr>
      </w:pPr>
      <w:hyperlink w:anchor="_Toc43064135" w:history="1">
        <w:r w:rsidR="00BE564B" w:rsidRPr="005D6D89">
          <w:rPr>
            <w:rStyle w:val="Hyperlink"/>
            <w:noProof/>
          </w:rPr>
          <w:t>4.2</w:t>
        </w:r>
        <w:r w:rsidR="00BE564B" w:rsidRPr="005D6D89">
          <w:rPr>
            <w:rFonts w:asciiTheme="minorHAnsi" w:hAnsiTheme="minorHAnsi"/>
            <w:noProof/>
          </w:rPr>
          <w:tab/>
        </w:r>
        <w:r w:rsidR="00BE564B" w:rsidRPr="005D6D89">
          <w:rPr>
            <w:rStyle w:val="Hyperlink"/>
            <w:noProof/>
          </w:rPr>
          <w:t>Overview of climate change projections and impacts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_Toc43064135 \h </w:instrText>
        </w:r>
        <w:r w:rsidR="00BE564B" w:rsidRPr="005D6D89">
          <w:rPr>
            <w:noProof/>
            <w:webHidden/>
          </w:rPr>
        </w:r>
        <w:r w:rsidR="00BE564B" w:rsidRPr="005D6D89">
          <w:rPr>
            <w:noProof/>
            <w:webHidden/>
          </w:rPr>
          <w:fldChar w:fldCharType="separate"/>
        </w:r>
        <w:r w:rsidR="00696B5A">
          <w:rPr>
            <w:noProof/>
            <w:webHidden/>
          </w:rPr>
          <w:t>35</w:t>
        </w:r>
        <w:r w:rsidR="00BE564B" w:rsidRPr="005D6D89">
          <w:rPr>
            <w:noProof/>
            <w:webHidden/>
          </w:rPr>
          <w:fldChar w:fldCharType="end"/>
        </w:r>
      </w:hyperlink>
    </w:p>
    <w:p w14:paraId="6EED92F2" w14:textId="6737D02E" w:rsidR="00BE564B" w:rsidRPr="005D6D89" w:rsidRDefault="00B45FF6">
      <w:pPr>
        <w:pStyle w:val="TOC1"/>
        <w:rPr>
          <w:rFonts w:asciiTheme="minorHAnsi" w:hAnsiTheme="minorHAnsi"/>
          <w:noProof/>
        </w:rPr>
      </w:pPr>
      <w:hyperlink w:anchor="_Toc43064136" w:history="1">
        <w:r w:rsidR="00BE564B" w:rsidRPr="005D6D89">
          <w:rPr>
            <w:rStyle w:val="Hyperlink"/>
            <w:noProof/>
          </w:rPr>
          <w:t>5</w:t>
        </w:r>
        <w:r w:rsidR="00BE564B" w:rsidRPr="005D6D89">
          <w:rPr>
            <w:rFonts w:asciiTheme="minorHAnsi" w:hAnsiTheme="minorHAnsi"/>
            <w:noProof/>
          </w:rPr>
          <w:tab/>
        </w:r>
        <w:r w:rsidR="00BE564B" w:rsidRPr="005D6D89">
          <w:rPr>
            <w:rStyle w:val="Hyperlink"/>
            <w:noProof/>
          </w:rPr>
          <w:t>Climate change risks and opportunities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_Toc43064136 \h </w:instrText>
        </w:r>
        <w:r w:rsidR="00BE564B" w:rsidRPr="005D6D89">
          <w:rPr>
            <w:noProof/>
            <w:webHidden/>
          </w:rPr>
        </w:r>
        <w:r w:rsidR="00BE564B" w:rsidRPr="005D6D89">
          <w:rPr>
            <w:noProof/>
            <w:webHidden/>
          </w:rPr>
          <w:fldChar w:fldCharType="separate"/>
        </w:r>
        <w:r w:rsidR="00696B5A">
          <w:rPr>
            <w:noProof/>
            <w:webHidden/>
          </w:rPr>
          <w:t>40</w:t>
        </w:r>
        <w:r w:rsidR="00BE564B" w:rsidRPr="005D6D89">
          <w:rPr>
            <w:noProof/>
            <w:webHidden/>
          </w:rPr>
          <w:fldChar w:fldCharType="end"/>
        </w:r>
      </w:hyperlink>
    </w:p>
    <w:p w14:paraId="2B2B4E91" w14:textId="651F31E8" w:rsidR="00BE564B" w:rsidRPr="005D6D89" w:rsidRDefault="00B45FF6">
      <w:pPr>
        <w:pStyle w:val="TOC2"/>
        <w:tabs>
          <w:tab w:val="left" w:pos="1134"/>
        </w:tabs>
        <w:rPr>
          <w:rFonts w:asciiTheme="minorHAnsi" w:hAnsiTheme="minorHAnsi"/>
          <w:noProof/>
        </w:rPr>
      </w:pPr>
      <w:hyperlink w:anchor="_Toc43064137" w:history="1">
        <w:r w:rsidR="00BE564B" w:rsidRPr="005D6D89">
          <w:rPr>
            <w:rStyle w:val="Hyperlink"/>
            <w:noProof/>
          </w:rPr>
          <w:t>5.1</w:t>
        </w:r>
        <w:r w:rsidR="00BE564B" w:rsidRPr="005D6D89">
          <w:rPr>
            <w:rFonts w:asciiTheme="minorHAnsi" w:hAnsiTheme="minorHAnsi"/>
            <w:noProof/>
          </w:rPr>
          <w:tab/>
        </w:r>
        <w:r w:rsidR="00BE564B" w:rsidRPr="005D6D89">
          <w:rPr>
            <w:rStyle w:val="Hyperlink"/>
            <w:noProof/>
          </w:rPr>
          <w:t>Risks by urgency</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_Toc43064137 \h </w:instrText>
        </w:r>
        <w:r w:rsidR="00BE564B" w:rsidRPr="005D6D89">
          <w:rPr>
            <w:noProof/>
            <w:webHidden/>
          </w:rPr>
        </w:r>
        <w:r w:rsidR="00BE564B" w:rsidRPr="005D6D89">
          <w:rPr>
            <w:noProof/>
            <w:webHidden/>
          </w:rPr>
          <w:fldChar w:fldCharType="separate"/>
        </w:r>
        <w:r w:rsidR="00696B5A">
          <w:rPr>
            <w:noProof/>
            <w:webHidden/>
          </w:rPr>
          <w:t>40</w:t>
        </w:r>
        <w:r w:rsidR="00BE564B" w:rsidRPr="005D6D89">
          <w:rPr>
            <w:noProof/>
            <w:webHidden/>
          </w:rPr>
          <w:fldChar w:fldCharType="end"/>
        </w:r>
      </w:hyperlink>
    </w:p>
    <w:p w14:paraId="3771E5DF" w14:textId="717572CF" w:rsidR="00BE564B" w:rsidRPr="005D6D89" w:rsidRDefault="00B45FF6">
      <w:pPr>
        <w:pStyle w:val="TOC2"/>
        <w:tabs>
          <w:tab w:val="left" w:pos="1134"/>
        </w:tabs>
        <w:rPr>
          <w:rFonts w:asciiTheme="minorHAnsi" w:hAnsiTheme="minorHAnsi"/>
          <w:noProof/>
        </w:rPr>
      </w:pPr>
      <w:hyperlink w:anchor="_Toc43064138" w:history="1">
        <w:r w:rsidR="00BE564B" w:rsidRPr="005D6D89">
          <w:rPr>
            <w:rStyle w:val="Hyperlink"/>
            <w:noProof/>
          </w:rPr>
          <w:t>5.2</w:t>
        </w:r>
        <w:r w:rsidR="00BE564B" w:rsidRPr="005D6D89">
          <w:rPr>
            <w:rFonts w:asciiTheme="minorHAnsi" w:hAnsiTheme="minorHAnsi"/>
            <w:noProof/>
          </w:rPr>
          <w:tab/>
        </w:r>
        <w:r w:rsidR="00BE564B" w:rsidRPr="005D6D89">
          <w:rPr>
            <w:rStyle w:val="Hyperlink"/>
            <w:noProof/>
          </w:rPr>
          <w:t>Significant risks by value domain</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_Toc43064138 \h </w:instrText>
        </w:r>
        <w:r w:rsidR="00BE564B" w:rsidRPr="005D6D89">
          <w:rPr>
            <w:noProof/>
            <w:webHidden/>
          </w:rPr>
        </w:r>
        <w:r w:rsidR="00BE564B" w:rsidRPr="005D6D89">
          <w:rPr>
            <w:noProof/>
            <w:webHidden/>
          </w:rPr>
          <w:fldChar w:fldCharType="separate"/>
        </w:r>
        <w:r w:rsidR="00696B5A">
          <w:rPr>
            <w:noProof/>
            <w:webHidden/>
          </w:rPr>
          <w:t>43</w:t>
        </w:r>
        <w:r w:rsidR="00BE564B" w:rsidRPr="005D6D89">
          <w:rPr>
            <w:noProof/>
            <w:webHidden/>
          </w:rPr>
          <w:fldChar w:fldCharType="end"/>
        </w:r>
      </w:hyperlink>
    </w:p>
    <w:p w14:paraId="278C63A5" w14:textId="54521FD6" w:rsidR="00BE564B" w:rsidRPr="005D6D89" w:rsidRDefault="00B45FF6">
      <w:pPr>
        <w:pStyle w:val="TOC2"/>
        <w:tabs>
          <w:tab w:val="left" w:pos="1134"/>
        </w:tabs>
        <w:rPr>
          <w:rFonts w:asciiTheme="minorHAnsi" w:hAnsiTheme="minorHAnsi"/>
          <w:noProof/>
        </w:rPr>
      </w:pPr>
      <w:hyperlink w:anchor="_Toc43064139" w:history="1">
        <w:r w:rsidR="00BE564B" w:rsidRPr="005D6D89">
          <w:rPr>
            <w:rStyle w:val="Hyperlink"/>
            <w:noProof/>
          </w:rPr>
          <w:t>5.3</w:t>
        </w:r>
        <w:r w:rsidR="00BE564B" w:rsidRPr="005D6D89">
          <w:rPr>
            <w:rFonts w:asciiTheme="minorHAnsi" w:hAnsiTheme="minorHAnsi"/>
            <w:noProof/>
          </w:rPr>
          <w:tab/>
        </w:r>
        <w:r w:rsidR="00BE564B" w:rsidRPr="005D6D89">
          <w:rPr>
            <w:rStyle w:val="Hyperlink"/>
            <w:noProof/>
          </w:rPr>
          <w:t>Natural environment domain | Rohe taiao</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_Toc43064139 \h </w:instrText>
        </w:r>
        <w:r w:rsidR="00BE564B" w:rsidRPr="005D6D89">
          <w:rPr>
            <w:noProof/>
            <w:webHidden/>
          </w:rPr>
        </w:r>
        <w:r w:rsidR="00BE564B" w:rsidRPr="005D6D89">
          <w:rPr>
            <w:noProof/>
            <w:webHidden/>
          </w:rPr>
          <w:fldChar w:fldCharType="separate"/>
        </w:r>
        <w:r w:rsidR="00696B5A">
          <w:rPr>
            <w:noProof/>
            <w:webHidden/>
          </w:rPr>
          <w:t>48</w:t>
        </w:r>
        <w:r w:rsidR="00BE564B" w:rsidRPr="005D6D89">
          <w:rPr>
            <w:noProof/>
            <w:webHidden/>
          </w:rPr>
          <w:fldChar w:fldCharType="end"/>
        </w:r>
      </w:hyperlink>
    </w:p>
    <w:p w14:paraId="4FD77D4B" w14:textId="4C2B6DA5" w:rsidR="00BE564B" w:rsidRPr="005D6D89" w:rsidRDefault="00B45FF6">
      <w:pPr>
        <w:pStyle w:val="TOC2"/>
        <w:tabs>
          <w:tab w:val="left" w:pos="1134"/>
        </w:tabs>
        <w:rPr>
          <w:rFonts w:asciiTheme="minorHAnsi" w:hAnsiTheme="minorHAnsi"/>
          <w:noProof/>
        </w:rPr>
      </w:pPr>
      <w:hyperlink w:anchor="_Toc43064140" w:history="1">
        <w:r w:rsidR="00BE564B" w:rsidRPr="005D6D89">
          <w:rPr>
            <w:rStyle w:val="Hyperlink"/>
            <w:noProof/>
          </w:rPr>
          <w:t>5.4</w:t>
        </w:r>
        <w:r w:rsidR="00BE564B" w:rsidRPr="005D6D89">
          <w:rPr>
            <w:rFonts w:asciiTheme="minorHAnsi" w:hAnsiTheme="minorHAnsi"/>
            <w:noProof/>
          </w:rPr>
          <w:tab/>
        </w:r>
        <w:r w:rsidR="00BE564B" w:rsidRPr="005D6D89">
          <w:rPr>
            <w:rStyle w:val="Hyperlink"/>
            <w:noProof/>
          </w:rPr>
          <w:t xml:space="preserve">Human domain | Rohe tangata </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_Toc43064140 \h </w:instrText>
        </w:r>
        <w:r w:rsidR="00BE564B" w:rsidRPr="005D6D89">
          <w:rPr>
            <w:noProof/>
            <w:webHidden/>
          </w:rPr>
        </w:r>
        <w:r w:rsidR="00BE564B" w:rsidRPr="005D6D89">
          <w:rPr>
            <w:noProof/>
            <w:webHidden/>
          </w:rPr>
          <w:fldChar w:fldCharType="separate"/>
        </w:r>
        <w:r w:rsidR="00696B5A">
          <w:rPr>
            <w:noProof/>
            <w:webHidden/>
          </w:rPr>
          <w:t>60</w:t>
        </w:r>
        <w:r w:rsidR="00BE564B" w:rsidRPr="005D6D89">
          <w:rPr>
            <w:noProof/>
            <w:webHidden/>
          </w:rPr>
          <w:fldChar w:fldCharType="end"/>
        </w:r>
      </w:hyperlink>
    </w:p>
    <w:p w14:paraId="18EE839C" w14:textId="31CBC0C6" w:rsidR="00BE564B" w:rsidRPr="005D6D89" w:rsidRDefault="00B45FF6">
      <w:pPr>
        <w:pStyle w:val="TOC2"/>
        <w:tabs>
          <w:tab w:val="left" w:pos="1134"/>
        </w:tabs>
        <w:rPr>
          <w:rFonts w:asciiTheme="minorHAnsi" w:hAnsiTheme="minorHAnsi"/>
          <w:noProof/>
        </w:rPr>
      </w:pPr>
      <w:hyperlink w:anchor="_Toc43064141" w:history="1">
        <w:r w:rsidR="00BE564B" w:rsidRPr="005D6D89">
          <w:rPr>
            <w:rStyle w:val="Hyperlink"/>
            <w:noProof/>
          </w:rPr>
          <w:t>5.5</w:t>
        </w:r>
        <w:r w:rsidR="00BE564B" w:rsidRPr="005D6D89">
          <w:rPr>
            <w:rFonts w:asciiTheme="minorHAnsi" w:hAnsiTheme="minorHAnsi"/>
            <w:noProof/>
          </w:rPr>
          <w:tab/>
        </w:r>
        <w:r w:rsidR="00BE564B" w:rsidRPr="005D6D89">
          <w:rPr>
            <w:rStyle w:val="Hyperlink"/>
            <w:noProof/>
          </w:rPr>
          <w:t>Economy domain | Rohe ōhanga</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_Toc43064141 \h </w:instrText>
        </w:r>
        <w:r w:rsidR="00BE564B" w:rsidRPr="005D6D89">
          <w:rPr>
            <w:noProof/>
            <w:webHidden/>
          </w:rPr>
        </w:r>
        <w:r w:rsidR="00BE564B" w:rsidRPr="005D6D89">
          <w:rPr>
            <w:noProof/>
            <w:webHidden/>
          </w:rPr>
          <w:fldChar w:fldCharType="separate"/>
        </w:r>
        <w:r w:rsidR="00696B5A">
          <w:rPr>
            <w:noProof/>
            <w:webHidden/>
          </w:rPr>
          <w:t>68</w:t>
        </w:r>
        <w:r w:rsidR="00BE564B" w:rsidRPr="005D6D89">
          <w:rPr>
            <w:noProof/>
            <w:webHidden/>
          </w:rPr>
          <w:fldChar w:fldCharType="end"/>
        </w:r>
      </w:hyperlink>
    </w:p>
    <w:p w14:paraId="113BB797" w14:textId="295206F1" w:rsidR="00BE564B" w:rsidRPr="005D6D89" w:rsidRDefault="00B45FF6">
      <w:pPr>
        <w:pStyle w:val="TOC2"/>
        <w:tabs>
          <w:tab w:val="left" w:pos="1134"/>
        </w:tabs>
        <w:rPr>
          <w:rFonts w:asciiTheme="minorHAnsi" w:hAnsiTheme="minorHAnsi"/>
          <w:noProof/>
        </w:rPr>
      </w:pPr>
      <w:hyperlink w:anchor="_Toc43064142" w:history="1">
        <w:r w:rsidR="00BE564B" w:rsidRPr="005D6D89">
          <w:rPr>
            <w:rStyle w:val="Hyperlink"/>
            <w:noProof/>
          </w:rPr>
          <w:t>5.6</w:t>
        </w:r>
        <w:r w:rsidR="00BE564B" w:rsidRPr="005D6D89">
          <w:rPr>
            <w:rFonts w:asciiTheme="minorHAnsi" w:hAnsiTheme="minorHAnsi"/>
            <w:noProof/>
          </w:rPr>
          <w:tab/>
        </w:r>
        <w:r w:rsidR="00BE564B" w:rsidRPr="005D6D89">
          <w:rPr>
            <w:rStyle w:val="Hyperlink"/>
            <w:noProof/>
          </w:rPr>
          <w:t>Built environment | Rohe tūranga tangata</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_Toc43064142 \h </w:instrText>
        </w:r>
        <w:r w:rsidR="00BE564B" w:rsidRPr="005D6D89">
          <w:rPr>
            <w:noProof/>
            <w:webHidden/>
          </w:rPr>
        </w:r>
        <w:r w:rsidR="00BE564B" w:rsidRPr="005D6D89">
          <w:rPr>
            <w:noProof/>
            <w:webHidden/>
          </w:rPr>
          <w:fldChar w:fldCharType="separate"/>
        </w:r>
        <w:r w:rsidR="00696B5A">
          <w:rPr>
            <w:noProof/>
            <w:webHidden/>
          </w:rPr>
          <w:t>78</w:t>
        </w:r>
        <w:r w:rsidR="00BE564B" w:rsidRPr="005D6D89">
          <w:rPr>
            <w:noProof/>
            <w:webHidden/>
          </w:rPr>
          <w:fldChar w:fldCharType="end"/>
        </w:r>
      </w:hyperlink>
    </w:p>
    <w:p w14:paraId="3AFECD02" w14:textId="64EB653B" w:rsidR="00BE564B" w:rsidRPr="005D6D89" w:rsidRDefault="00B45FF6">
      <w:pPr>
        <w:pStyle w:val="TOC2"/>
        <w:tabs>
          <w:tab w:val="left" w:pos="1134"/>
        </w:tabs>
        <w:rPr>
          <w:rFonts w:asciiTheme="minorHAnsi" w:hAnsiTheme="minorHAnsi"/>
          <w:noProof/>
        </w:rPr>
      </w:pPr>
      <w:hyperlink w:anchor="_Toc43064143" w:history="1">
        <w:r w:rsidR="00BE564B" w:rsidRPr="005D6D89">
          <w:rPr>
            <w:rStyle w:val="Hyperlink"/>
            <w:noProof/>
          </w:rPr>
          <w:t>5.7</w:t>
        </w:r>
        <w:r w:rsidR="00BE564B" w:rsidRPr="005D6D89">
          <w:rPr>
            <w:rFonts w:asciiTheme="minorHAnsi" w:hAnsiTheme="minorHAnsi"/>
            <w:noProof/>
          </w:rPr>
          <w:tab/>
        </w:r>
        <w:r w:rsidR="00BE564B" w:rsidRPr="005D6D89">
          <w:rPr>
            <w:rStyle w:val="Hyperlink"/>
            <w:noProof/>
          </w:rPr>
          <w:t>Governance domain | Rohe kāwanatanga</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_Toc43064143 \h </w:instrText>
        </w:r>
        <w:r w:rsidR="00BE564B" w:rsidRPr="005D6D89">
          <w:rPr>
            <w:noProof/>
            <w:webHidden/>
          </w:rPr>
        </w:r>
        <w:r w:rsidR="00BE564B" w:rsidRPr="005D6D89">
          <w:rPr>
            <w:noProof/>
            <w:webHidden/>
          </w:rPr>
          <w:fldChar w:fldCharType="separate"/>
        </w:r>
        <w:r w:rsidR="00696B5A">
          <w:rPr>
            <w:noProof/>
            <w:webHidden/>
          </w:rPr>
          <w:t>90</w:t>
        </w:r>
        <w:r w:rsidR="00BE564B" w:rsidRPr="005D6D89">
          <w:rPr>
            <w:noProof/>
            <w:webHidden/>
          </w:rPr>
          <w:fldChar w:fldCharType="end"/>
        </w:r>
      </w:hyperlink>
    </w:p>
    <w:p w14:paraId="5C0BA58F" w14:textId="53797B16" w:rsidR="00BE564B" w:rsidRPr="005D6D89" w:rsidRDefault="00B45FF6">
      <w:pPr>
        <w:pStyle w:val="TOC2"/>
        <w:tabs>
          <w:tab w:val="left" w:pos="1134"/>
        </w:tabs>
        <w:rPr>
          <w:rFonts w:asciiTheme="minorHAnsi" w:hAnsiTheme="minorHAnsi"/>
          <w:noProof/>
        </w:rPr>
      </w:pPr>
      <w:hyperlink w:anchor="_Toc43064144" w:history="1">
        <w:r w:rsidR="00BE564B" w:rsidRPr="005D6D89">
          <w:rPr>
            <w:rStyle w:val="Hyperlink"/>
            <w:noProof/>
          </w:rPr>
          <w:t>5.8</w:t>
        </w:r>
        <w:r w:rsidR="00BE564B" w:rsidRPr="005D6D89">
          <w:rPr>
            <w:rFonts w:asciiTheme="minorHAnsi" w:hAnsiTheme="minorHAnsi"/>
            <w:noProof/>
          </w:rPr>
          <w:tab/>
        </w:r>
        <w:r w:rsidR="00BE564B" w:rsidRPr="005D6D89">
          <w:rPr>
            <w:rStyle w:val="Hyperlink"/>
            <w:noProof/>
          </w:rPr>
          <w:t>Opportunities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_Toc43064144 \h </w:instrText>
        </w:r>
        <w:r w:rsidR="00BE564B" w:rsidRPr="005D6D89">
          <w:rPr>
            <w:noProof/>
            <w:webHidden/>
          </w:rPr>
        </w:r>
        <w:r w:rsidR="00BE564B" w:rsidRPr="005D6D89">
          <w:rPr>
            <w:noProof/>
            <w:webHidden/>
          </w:rPr>
          <w:fldChar w:fldCharType="separate"/>
        </w:r>
        <w:r w:rsidR="00696B5A">
          <w:rPr>
            <w:noProof/>
            <w:webHidden/>
          </w:rPr>
          <w:t>98</w:t>
        </w:r>
        <w:r w:rsidR="00BE564B" w:rsidRPr="005D6D89">
          <w:rPr>
            <w:noProof/>
            <w:webHidden/>
          </w:rPr>
          <w:fldChar w:fldCharType="end"/>
        </w:r>
      </w:hyperlink>
    </w:p>
    <w:p w14:paraId="45DB4500" w14:textId="58364066" w:rsidR="00BE564B" w:rsidRPr="005D6D89" w:rsidRDefault="00B45FF6">
      <w:pPr>
        <w:pStyle w:val="TOC1"/>
        <w:rPr>
          <w:rFonts w:asciiTheme="minorHAnsi" w:hAnsiTheme="minorHAnsi"/>
          <w:noProof/>
        </w:rPr>
      </w:pPr>
      <w:hyperlink w:anchor="_Toc43064145" w:history="1">
        <w:r w:rsidR="00BE564B" w:rsidRPr="005D6D89">
          <w:rPr>
            <w:rStyle w:val="Hyperlink"/>
            <w:noProof/>
          </w:rPr>
          <w:t>6</w:t>
        </w:r>
        <w:r w:rsidR="00BE564B" w:rsidRPr="005D6D89">
          <w:rPr>
            <w:rFonts w:asciiTheme="minorHAnsi" w:hAnsiTheme="minorHAnsi"/>
            <w:noProof/>
          </w:rPr>
          <w:tab/>
        </w:r>
        <w:r w:rsidR="00BE564B" w:rsidRPr="005D6D89">
          <w:rPr>
            <w:rStyle w:val="Hyperlink"/>
            <w:noProof/>
          </w:rPr>
          <w:t>Case studies: cascading impacts and socio-economic projections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_Toc43064145 \h </w:instrText>
        </w:r>
        <w:r w:rsidR="00BE564B" w:rsidRPr="005D6D89">
          <w:rPr>
            <w:noProof/>
            <w:webHidden/>
          </w:rPr>
        </w:r>
        <w:r w:rsidR="00BE564B" w:rsidRPr="005D6D89">
          <w:rPr>
            <w:noProof/>
            <w:webHidden/>
          </w:rPr>
          <w:fldChar w:fldCharType="separate"/>
        </w:r>
        <w:r w:rsidR="00696B5A">
          <w:rPr>
            <w:noProof/>
            <w:webHidden/>
          </w:rPr>
          <w:t>102</w:t>
        </w:r>
        <w:r w:rsidR="00BE564B" w:rsidRPr="005D6D89">
          <w:rPr>
            <w:noProof/>
            <w:webHidden/>
          </w:rPr>
          <w:fldChar w:fldCharType="end"/>
        </w:r>
      </w:hyperlink>
    </w:p>
    <w:p w14:paraId="07F2F9FA" w14:textId="21D4C27B" w:rsidR="00BE564B" w:rsidRPr="005D6D89" w:rsidRDefault="00B45FF6">
      <w:pPr>
        <w:pStyle w:val="TOC1"/>
        <w:rPr>
          <w:rFonts w:asciiTheme="minorHAnsi" w:hAnsiTheme="minorHAnsi"/>
          <w:noProof/>
        </w:rPr>
      </w:pPr>
      <w:hyperlink w:anchor="_Toc43064146" w:history="1">
        <w:r w:rsidR="00BE564B" w:rsidRPr="005D6D89">
          <w:rPr>
            <w:rStyle w:val="Hyperlink"/>
            <w:noProof/>
          </w:rPr>
          <w:t>7</w:t>
        </w:r>
        <w:r w:rsidR="00BE564B" w:rsidRPr="005D6D89">
          <w:rPr>
            <w:rFonts w:asciiTheme="minorHAnsi" w:hAnsiTheme="minorHAnsi"/>
            <w:noProof/>
          </w:rPr>
          <w:tab/>
        </w:r>
        <w:r w:rsidR="00BE564B" w:rsidRPr="005D6D89">
          <w:rPr>
            <w:rStyle w:val="Hyperlink"/>
            <w:noProof/>
          </w:rPr>
          <w:t>Uncertainty and gaps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_Toc43064146 \h </w:instrText>
        </w:r>
        <w:r w:rsidR="00BE564B" w:rsidRPr="005D6D89">
          <w:rPr>
            <w:noProof/>
            <w:webHidden/>
          </w:rPr>
        </w:r>
        <w:r w:rsidR="00BE564B" w:rsidRPr="005D6D89">
          <w:rPr>
            <w:noProof/>
            <w:webHidden/>
          </w:rPr>
          <w:fldChar w:fldCharType="separate"/>
        </w:r>
        <w:r w:rsidR="00696B5A">
          <w:rPr>
            <w:noProof/>
            <w:webHidden/>
          </w:rPr>
          <w:t>106</w:t>
        </w:r>
        <w:r w:rsidR="00BE564B" w:rsidRPr="005D6D89">
          <w:rPr>
            <w:noProof/>
            <w:webHidden/>
          </w:rPr>
          <w:fldChar w:fldCharType="end"/>
        </w:r>
      </w:hyperlink>
    </w:p>
    <w:p w14:paraId="0F6CB1A8" w14:textId="3D810327" w:rsidR="00BE564B" w:rsidRPr="005D6D89" w:rsidRDefault="00B45FF6">
      <w:pPr>
        <w:pStyle w:val="TOC2"/>
        <w:tabs>
          <w:tab w:val="left" w:pos="1134"/>
        </w:tabs>
        <w:rPr>
          <w:rFonts w:asciiTheme="minorHAnsi" w:hAnsiTheme="minorHAnsi"/>
          <w:noProof/>
        </w:rPr>
      </w:pPr>
      <w:hyperlink w:anchor="_Toc43064147" w:history="1">
        <w:r w:rsidR="00BE564B" w:rsidRPr="005D6D89">
          <w:rPr>
            <w:rStyle w:val="Hyperlink"/>
            <w:noProof/>
          </w:rPr>
          <w:t>7.1</w:t>
        </w:r>
        <w:r w:rsidR="00BE564B" w:rsidRPr="005D6D89">
          <w:rPr>
            <w:rFonts w:asciiTheme="minorHAnsi" w:hAnsiTheme="minorHAnsi"/>
            <w:noProof/>
          </w:rPr>
          <w:tab/>
        </w:r>
        <w:r w:rsidR="00BE564B" w:rsidRPr="005D6D89">
          <w:rPr>
            <w:rStyle w:val="Hyperlink"/>
            <w:noProof/>
          </w:rPr>
          <w:t>Risk and uncertainty</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_Toc43064147 \h </w:instrText>
        </w:r>
        <w:r w:rsidR="00BE564B" w:rsidRPr="005D6D89">
          <w:rPr>
            <w:noProof/>
            <w:webHidden/>
          </w:rPr>
        </w:r>
        <w:r w:rsidR="00BE564B" w:rsidRPr="005D6D89">
          <w:rPr>
            <w:noProof/>
            <w:webHidden/>
          </w:rPr>
          <w:fldChar w:fldCharType="separate"/>
        </w:r>
        <w:r w:rsidR="00696B5A">
          <w:rPr>
            <w:noProof/>
            <w:webHidden/>
          </w:rPr>
          <w:t>106</w:t>
        </w:r>
        <w:r w:rsidR="00BE564B" w:rsidRPr="005D6D89">
          <w:rPr>
            <w:noProof/>
            <w:webHidden/>
          </w:rPr>
          <w:fldChar w:fldCharType="end"/>
        </w:r>
      </w:hyperlink>
    </w:p>
    <w:p w14:paraId="57E83898" w14:textId="4C97FEA3" w:rsidR="00BE564B" w:rsidRPr="005D6D89" w:rsidRDefault="00B45FF6">
      <w:pPr>
        <w:pStyle w:val="TOC2"/>
        <w:tabs>
          <w:tab w:val="left" w:pos="1134"/>
        </w:tabs>
        <w:rPr>
          <w:rFonts w:asciiTheme="minorHAnsi" w:hAnsiTheme="minorHAnsi"/>
          <w:noProof/>
        </w:rPr>
      </w:pPr>
      <w:hyperlink w:anchor="_Toc43064148" w:history="1">
        <w:r w:rsidR="00BE564B" w:rsidRPr="005D6D89">
          <w:rPr>
            <w:rStyle w:val="Hyperlink"/>
            <w:noProof/>
          </w:rPr>
          <w:t>7.2</w:t>
        </w:r>
        <w:r w:rsidR="00BE564B" w:rsidRPr="005D6D89">
          <w:rPr>
            <w:rFonts w:asciiTheme="minorHAnsi" w:hAnsiTheme="minorHAnsi"/>
            <w:noProof/>
          </w:rPr>
          <w:tab/>
        </w:r>
        <w:r w:rsidR="00BE564B" w:rsidRPr="005D6D89">
          <w:rPr>
            <w:rStyle w:val="Hyperlink"/>
            <w:noProof/>
          </w:rPr>
          <w:t>Gaps in knowledge</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_Toc43064148 \h </w:instrText>
        </w:r>
        <w:r w:rsidR="00BE564B" w:rsidRPr="005D6D89">
          <w:rPr>
            <w:noProof/>
            <w:webHidden/>
          </w:rPr>
        </w:r>
        <w:r w:rsidR="00BE564B" w:rsidRPr="005D6D89">
          <w:rPr>
            <w:noProof/>
            <w:webHidden/>
          </w:rPr>
          <w:fldChar w:fldCharType="separate"/>
        </w:r>
        <w:r w:rsidR="00696B5A">
          <w:rPr>
            <w:noProof/>
            <w:webHidden/>
          </w:rPr>
          <w:t>106</w:t>
        </w:r>
        <w:r w:rsidR="00BE564B" w:rsidRPr="005D6D89">
          <w:rPr>
            <w:noProof/>
            <w:webHidden/>
          </w:rPr>
          <w:fldChar w:fldCharType="end"/>
        </w:r>
      </w:hyperlink>
    </w:p>
    <w:p w14:paraId="02D012C3" w14:textId="1DC4E1A8" w:rsidR="00BE564B" w:rsidRPr="005D6D89" w:rsidRDefault="00B45FF6">
      <w:pPr>
        <w:pStyle w:val="TOC1"/>
        <w:rPr>
          <w:rFonts w:asciiTheme="minorHAnsi" w:hAnsiTheme="minorHAnsi"/>
          <w:noProof/>
        </w:rPr>
      </w:pPr>
      <w:hyperlink w:anchor="_Toc43064149" w:history="1">
        <w:r w:rsidR="00BE564B" w:rsidRPr="005D6D89">
          <w:rPr>
            <w:rStyle w:val="Hyperlink"/>
            <w:noProof/>
          </w:rPr>
          <w:t>8</w:t>
        </w:r>
        <w:r w:rsidR="00BE564B" w:rsidRPr="005D6D89">
          <w:rPr>
            <w:rFonts w:asciiTheme="minorHAnsi" w:hAnsiTheme="minorHAnsi"/>
            <w:noProof/>
          </w:rPr>
          <w:tab/>
        </w:r>
        <w:r w:rsidR="00BE564B" w:rsidRPr="005D6D89">
          <w:rPr>
            <w:rStyle w:val="Hyperlink"/>
            <w:noProof/>
          </w:rPr>
          <w:t>Next steps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_Toc43064149 \h </w:instrText>
        </w:r>
        <w:r w:rsidR="00BE564B" w:rsidRPr="005D6D89">
          <w:rPr>
            <w:noProof/>
            <w:webHidden/>
          </w:rPr>
        </w:r>
        <w:r w:rsidR="00BE564B" w:rsidRPr="005D6D89">
          <w:rPr>
            <w:noProof/>
            <w:webHidden/>
          </w:rPr>
          <w:fldChar w:fldCharType="separate"/>
        </w:r>
        <w:r w:rsidR="00696B5A">
          <w:rPr>
            <w:noProof/>
            <w:webHidden/>
          </w:rPr>
          <w:t>110</w:t>
        </w:r>
        <w:r w:rsidR="00BE564B" w:rsidRPr="005D6D89">
          <w:rPr>
            <w:noProof/>
            <w:webHidden/>
          </w:rPr>
          <w:fldChar w:fldCharType="end"/>
        </w:r>
      </w:hyperlink>
    </w:p>
    <w:p w14:paraId="036C79C4" w14:textId="054786D2" w:rsidR="00BE564B" w:rsidRPr="005D6D89" w:rsidRDefault="00B45FF6">
      <w:pPr>
        <w:pStyle w:val="TOC1"/>
        <w:rPr>
          <w:rFonts w:asciiTheme="minorHAnsi" w:hAnsiTheme="minorHAnsi"/>
          <w:noProof/>
        </w:rPr>
      </w:pPr>
      <w:hyperlink w:anchor="_Toc43064150" w:history="1">
        <w:r w:rsidR="00BE564B" w:rsidRPr="005D6D89">
          <w:rPr>
            <w:rStyle w:val="Hyperlink"/>
            <w:noProof/>
          </w:rPr>
          <w:t>References</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_Toc43064150 \h </w:instrText>
        </w:r>
        <w:r w:rsidR="00BE564B" w:rsidRPr="005D6D89">
          <w:rPr>
            <w:noProof/>
            <w:webHidden/>
          </w:rPr>
        </w:r>
        <w:r w:rsidR="00BE564B" w:rsidRPr="005D6D89">
          <w:rPr>
            <w:noProof/>
            <w:webHidden/>
          </w:rPr>
          <w:fldChar w:fldCharType="separate"/>
        </w:r>
        <w:r w:rsidR="00696B5A">
          <w:rPr>
            <w:noProof/>
            <w:webHidden/>
          </w:rPr>
          <w:t>111</w:t>
        </w:r>
        <w:r w:rsidR="00BE564B" w:rsidRPr="005D6D89">
          <w:rPr>
            <w:noProof/>
            <w:webHidden/>
          </w:rPr>
          <w:fldChar w:fldCharType="end"/>
        </w:r>
      </w:hyperlink>
    </w:p>
    <w:p w14:paraId="73880D26" w14:textId="5FBB6F02" w:rsidR="00BE564B" w:rsidRPr="005D6D89" w:rsidRDefault="00B45FF6" w:rsidP="00BC40CF">
      <w:pPr>
        <w:pStyle w:val="TOC1"/>
        <w:rPr>
          <w:rFonts w:asciiTheme="minorHAnsi" w:hAnsiTheme="minorHAnsi"/>
          <w:noProof/>
        </w:rPr>
      </w:pPr>
      <w:hyperlink w:anchor="_Toc43064151" w:history="1">
        <w:r w:rsidR="00BE564B" w:rsidRPr="005D6D89">
          <w:rPr>
            <w:rStyle w:val="Hyperlink"/>
            <w:noProof/>
          </w:rPr>
          <w:t>Appendix A: Glossary</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_Toc43064151 \h </w:instrText>
        </w:r>
        <w:r w:rsidR="00BE564B" w:rsidRPr="005D6D89">
          <w:rPr>
            <w:noProof/>
            <w:webHidden/>
          </w:rPr>
        </w:r>
        <w:r w:rsidR="00BE564B" w:rsidRPr="005D6D89">
          <w:rPr>
            <w:noProof/>
            <w:webHidden/>
          </w:rPr>
          <w:fldChar w:fldCharType="separate"/>
        </w:r>
        <w:r w:rsidR="00696B5A">
          <w:rPr>
            <w:noProof/>
            <w:webHidden/>
          </w:rPr>
          <w:t>126</w:t>
        </w:r>
        <w:r w:rsidR="00BE564B" w:rsidRPr="005D6D89">
          <w:rPr>
            <w:noProof/>
            <w:webHidden/>
          </w:rPr>
          <w:fldChar w:fldCharType="end"/>
        </w:r>
      </w:hyperlink>
    </w:p>
    <w:p w14:paraId="456D5D70" w14:textId="5F70E9D0" w:rsidR="00BC40CF" w:rsidRDefault="00B45FF6" w:rsidP="00BC40CF">
      <w:pPr>
        <w:pStyle w:val="BodyText"/>
        <w:tabs>
          <w:tab w:val="right" w:pos="8505"/>
        </w:tabs>
        <w:rPr>
          <w:color w:val="0092CF"/>
        </w:rPr>
      </w:pPr>
      <w:hyperlink w:anchor="_Toc43064152" w:history="1">
        <w:r w:rsidR="00BE564B" w:rsidRPr="005D6D89">
          <w:rPr>
            <w:rStyle w:val="Hyperlink"/>
            <w:noProof/>
          </w:rPr>
          <w:t>Appendix B: Te reo glossary</w:t>
        </w:r>
        <w:r w:rsidR="00BE564B" w:rsidRPr="005D6D89">
          <w:rPr>
            <w:noProof/>
            <w:webHidden/>
          </w:rPr>
          <w:tab/>
        </w:r>
        <w:r w:rsidR="00BE564B" w:rsidRPr="005D6D89">
          <w:rPr>
            <w:noProof/>
            <w:webHidden/>
          </w:rPr>
          <w:fldChar w:fldCharType="begin"/>
        </w:r>
        <w:r w:rsidR="00BE564B" w:rsidRPr="005D6D89">
          <w:rPr>
            <w:noProof/>
            <w:webHidden/>
          </w:rPr>
          <w:instrText xml:space="preserve"> PAGEREF _Toc43064152 \h </w:instrText>
        </w:r>
        <w:r w:rsidR="00BE564B" w:rsidRPr="005D6D89">
          <w:rPr>
            <w:noProof/>
            <w:webHidden/>
          </w:rPr>
        </w:r>
        <w:r w:rsidR="00BE564B" w:rsidRPr="005D6D89">
          <w:rPr>
            <w:noProof/>
            <w:webHidden/>
          </w:rPr>
          <w:fldChar w:fldCharType="separate"/>
        </w:r>
        <w:r w:rsidR="00696B5A">
          <w:rPr>
            <w:noProof/>
            <w:webHidden/>
          </w:rPr>
          <w:t>132</w:t>
        </w:r>
        <w:r w:rsidR="00BE564B" w:rsidRPr="005D6D89">
          <w:rPr>
            <w:noProof/>
            <w:webHidden/>
          </w:rPr>
          <w:fldChar w:fldCharType="end"/>
        </w:r>
      </w:hyperlink>
      <w:r w:rsidR="00775F57" w:rsidRPr="005D6D89">
        <w:rPr>
          <w:color w:val="0092CF"/>
        </w:rPr>
        <w:fldChar w:fldCharType="end"/>
      </w:r>
    </w:p>
    <w:p w14:paraId="0FA658F3" w14:textId="77777777" w:rsidR="00BC40CF" w:rsidRDefault="00BC40CF" w:rsidP="00B677BA">
      <w:pPr>
        <w:pStyle w:val="Heading"/>
      </w:pPr>
    </w:p>
    <w:p w14:paraId="7BAF0BC9" w14:textId="77777777" w:rsidR="00B677BA" w:rsidRPr="005D6D89" w:rsidRDefault="00B677BA" w:rsidP="00B677BA">
      <w:pPr>
        <w:pStyle w:val="Heading"/>
      </w:pPr>
      <w:r>
        <w:t>Tables</w:t>
      </w:r>
    </w:p>
    <w:p w14:paraId="05640FFD" w14:textId="4A114697" w:rsidR="00F5363B" w:rsidRDefault="004943C2">
      <w:pPr>
        <w:pStyle w:val="TableofFigures"/>
        <w:tabs>
          <w:tab w:val="right" w:pos="8495"/>
        </w:tabs>
        <w:rPr>
          <w:rFonts w:asciiTheme="minorHAnsi" w:hAnsiTheme="minorHAnsi"/>
          <w:noProof/>
        </w:rPr>
      </w:pPr>
      <w:r w:rsidRPr="005D6D89">
        <w:fldChar w:fldCharType="begin"/>
      </w:r>
      <w:r w:rsidRPr="005D6D89">
        <w:instrText xml:space="preserve"> TOC \h \z \t "Table heading" \c </w:instrText>
      </w:r>
      <w:r w:rsidRPr="005D6D89">
        <w:fldChar w:fldCharType="separate"/>
      </w:r>
      <w:hyperlink w:anchor="_Toc43312795" w:history="1">
        <w:r w:rsidR="00F5363B" w:rsidRPr="0043397C">
          <w:rPr>
            <w:rStyle w:val="Hyperlink"/>
            <w:noProof/>
          </w:rPr>
          <w:t xml:space="preserve">Table 1: </w:t>
        </w:r>
        <w:r w:rsidR="00F5363B">
          <w:rPr>
            <w:rFonts w:asciiTheme="minorHAnsi" w:hAnsiTheme="minorHAnsi"/>
            <w:noProof/>
          </w:rPr>
          <w:tab/>
        </w:r>
        <w:r w:rsidR="00F5363B" w:rsidRPr="0043397C">
          <w:rPr>
            <w:rStyle w:val="Hyperlink"/>
            <w:noProof/>
          </w:rPr>
          <w:t>New Zealand’s 10 most significant climate change risks, based on urgency</w:t>
        </w:r>
        <w:r w:rsidR="00F5363B">
          <w:rPr>
            <w:noProof/>
            <w:webHidden/>
          </w:rPr>
          <w:tab/>
        </w:r>
        <w:r w:rsidR="00F5363B">
          <w:rPr>
            <w:noProof/>
            <w:webHidden/>
          </w:rPr>
          <w:fldChar w:fldCharType="begin"/>
        </w:r>
        <w:r w:rsidR="00F5363B">
          <w:rPr>
            <w:noProof/>
            <w:webHidden/>
          </w:rPr>
          <w:instrText xml:space="preserve"> PAGEREF _Toc43312795 \h </w:instrText>
        </w:r>
        <w:r w:rsidR="00F5363B">
          <w:rPr>
            <w:noProof/>
            <w:webHidden/>
          </w:rPr>
        </w:r>
        <w:r w:rsidR="00F5363B">
          <w:rPr>
            <w:noProof/>
            <w:webHidden/>
          </w:rPr>
          <w:fldChar w:fldCharType="separate"/>
        </w:r>
        <w:r w:rsidR="00696B5A">
          <w:rPr>
            <w:noProof/>
            <w:webHidden/>
          </w:rPr>
          <w:t>9</w:t>
        </w:r>
        <w:r w:rsidR="00F5363B">
          <w:rPr>
            <w:noProof/>
            <w:webHidden/>
          </w:rPr>
          <w:fldChar w:fldCharType="end"/>
        </w:r>
      </w:hyperlink>
    </w:p>
    <w:p w14:paraId="6AC61B06" w14:textId="39587079" w:rsidR="00F5363B" w:rsidRDefault="00B45FF6">
      <w:pPr>
        <w:pStyle w:val="TableofFigures"/>
        <w:tabs>
          <w:tab w:val="right" w:pos="8495"/>
        </w:tabs>
        <w:rPr>
          <w:rFonts w:asciiTheme="minorHAnsi" w:hAnsiTheme="minorHAnsi"/>
          <w:noProof/>
        </w:rPr>
      </w:pPr>
      <w:hyperlink w:anchor="_Toc43312796" w:history="1">
        <w:r w:rsidR="00F5363B" w:rsidRPr="0043397C">
          <w:rPr>
            <w:rStyle w:val="Hyperlink"/>
            <w:noProof/>
          </w:rPr>
          <w:t>Table 2:</w:t>
        </w:r>
        <w:r w:rsidR="00F5363B">
          <w:rPr>
            <w:rFonts w:asciiTheme="minorHAnsi" w:hAnsiTheme="minorHAnsi"/>
            <w:noProof/>
          </w:rPr>
          <w:tab/>
        </w:r>
        <w:r w:rsidR="00F5363B" w:rsidRPr="0043397C">
          <w:rPr>
            <w:rStyle w:val="Hyperlink"/>
            <w:noProof/>
          </w:rPr>
          <w:t>Overview of NCCRA reports</w:t>
        </w:r>
        <w:r w:rsidR="00F5363B">
          <w:rPr>
            <w:noProof/>
            <w:webHidden/>
          </w:rPr>
          <w:tab/>
        </w:r>
        <w:r w:rsidR="00F5363B">
          <w:rPr>
            <w:noProof/>
            <w:webHidden/>
          </w:rPr>
          <w:fldChar w:fldCharType="begin"/>
        </w:r>
        <w:r w:rsidR="00F5363B">
          <w:rPr>
            <w:noProof/>
            <w:webHidden/>
          </w:rPr>
          <w:instrText xml:space="preserve"> PAGEREF _Toc43312796 \h </w:instrText>
        </w:r>
        <w:r w:rsidR="00F5363B">
          <w:rPr>
            <w:noProof/>
            <w:webHidden/>
          </w:rPr>
        </w:r>
        <w:r w:rsidR="00F5363B">
          <w:rPr>
            <w:noProof/>
            <w:webHidden/>
          </w:rPr>
          <w:fldChar w:fldCharType="separate"/>
        </w:r>
        <w:r w:rsidR="00696B5A">
          <w:rPr>
            <w:noProof/>
            <w:webHidden/>
          </w:rPr>
          <w:t>18</w:t>
        </w:r>
        <w:r w:rsidR="00F5363B">
          <w:rPr>
            <w:noProof/>
            <w:webHidden/>
          </w:rPr>
          <w:fldChar w:fldCharType="end"/>
        </w:r>
      </w:hyperlink>
    </w:p>
    <w:p w14:paraId="4D07A546" w14:textId="50E79437" w:rsidR="00F5363B" w:rsidRDefault="00B45FF6">
      <w:pPr>
        <w:pStyle w:val="TableofFigures"/>
        <w:tabs>
          <w:tab w:val="right" w:pos="8495"/>
        </w:tabs>
        <w:rPr>
          <w:rFonts w:asciiTheme="minorHAnsi" w:hAnsiTheme="minorHAnsi"/>
          <w:noProof/>
        </w:rPr>
      </w:pPr>
      <w:hyperlink w:anchor="_Toc43312797" w:history="1">
        <w:r w:rsidR="00F5363B" w:rsidRPr="0043397C">
          <w:rPr>
            <w:rStyle w:val="Hyperlink"/>
            <w:noProof/>
          </w:rPr>
          <w:t>Table 3:</w:t>
        </w:r>
        <w:r w:rsidR="00F5363B">
          <w:rPr>
            <w:rFonts w:asciiTheme="minorHAnsi" w:hAnsiTheme="minorHAnsi"/>
            <w:noProof/>
          </w:rPr>
          <w:tab/>
        </w:r>
        <w:r w:rsidR="00F5363B" w:rsidRPr="0043397C">
          <w:rPr>
            <w:rStyle w:val="Hyperlink"/>
            <w:noProof/>
          </w:rPr>
          <w:t>Main report by section</w:t>
        </w:r>
        <w:r w:rsidR="00F5363B">
          <w:rPr>
            <w:noProof/>
            <w:webHidden/>
          </w:rPr>
          <w:tab/>
        </w:r>
        <w:r w:rsidR="00F5363B">
          <w:rPr>
            <w:noProof/>
            <w:webHidden/>
          </w:rPr>
          <w:fldChar w:fldCharType="begin"/>
        </w:r>
        <w:r w:rsidR="00F5363B">
          <w:rPr>
            <w:noProof/>
            <w:webHidden/>
          </w:rPr>
          <w:instrText xml:space="preserve"> PAGEREF _Toc43312797 \h </w:instrText>
        </w:r>
        <w:r w:rsidR="00F5363B">
          <w:rPr>
            <w:noProof/>
            <w:webHidden/>
          </w:rPr>
        </w:r>
        <w:r w:rsidR="00F5363B">
          <w:rPr>
            <w:noProof/>
            <w:webHidden/>
          </w:rPr>
          <w:fldChar w:fldCharType="separate"/>
        </w:r>
        <w:r w:rsidR="00696B5A">
          <w:rPr>
            <w:noProof/>
            <w:webHidden/>
          </w:rPr>
          <w:t>18</w:t>
        </w:r>
        <w:r w:rsidR="00F5363B">
          <w:rPr>
            <w:noProof/>
            <w:webHidden/>
          </w:rPr>
          <w:fldChar w:fldCharType="end"/>
        </w:r>
      </w:hyperlink>
    </w:p>
    <w:p w14:paraId="395C3E14" w14:textId="02198292" w:rsidR="00F5363B" w:rsidRDefault="00B45FF6">
      <w:pPr>
        <w:pStyle w:val="TableofFigures"/>
        <w:tabs>
          <w:tab w:val="right" w:pos="8495"/>
        </w:tabs>
        <w:rPr>
          <w:rFonts w:asciiTheme="minorHAnsi" w:hAnsiTheme="minorHAnsi"/>
          <w:noProof/>
        </w:rPr>
      </w:pPr>
      <w:hyperlink w:anchor="_Toc43312798" w:history="1">
        <w:r w:rsidR="00F5363B" w:rsidRPr="0043397C">
          <w:rPr>
            <w:rStyle w:val="Hyperlink"/>
            <w:noProof/>
          </w:rPr>
          <w:t>Table 4:</w:t>
        </w:r>
        <w:r w:rsidR="00F5363B">
          <w:rPr>
            <w:rFonts w:asciiTheme="minorHAnsi" w:hAnsiTheme="minorHAnsi"/>
            <w:noProof/>
          </w:rPr>
          <w:tab/>
        </w:r>
        <w:r w:rsidR="00F5363B" w:rsidRPr="0043397C">
          <w:rPr>
            <w:rStyle w:val="Hyperlink"/>
            <w:noProof/>
          </w:rPr>
          <w:t>Three stages of the NCCRA</w:t>
        </w:r>
        <w:r w:rsidR="00F5363B">
          <w:rPr>
            <w:noProof/>
            <w:webHidden/>
          </w:rPr>
          <w:tab/>
        </w:r>
        <w:r w:rsidR="00F5363B">
          <w:rPr>
            <w:noProof/>
            <w:webHidden/>
          </w:rPr>
          <w:fldChar w:fldCharType="begin"/>
        </w:r>
        <w:r w:rsidR="00F5363B">
          <w:rPr>
            <w:noProof/>
            <w:webHidden/>
          </w:rPr>
          <w:instrText xml:space="preserve"> PAGEREF _Toc43312798 \h </w:instrText>
        </w:r>
        <w:r w:rsidR="00F5363B">
          <w:rPr>
            <w:noProof/>
            <w:webHidden/>
          </w:rPr>
        </w:r>
        <w:r w:rsidR="00F5363B">
          <w:rPr>
            <w:noProof/>
            <w:webHidden/>
          </w:rPr>
          <w:fldChar w:fldCharType="separate"/>
        </w:r>
        <w:r w:rsidR="00696B5A">
          <w:rPr>
            <w:noProof/>
            <w:webHidden/>
          </w:rPr>
          <w:t>20</w:t>
        </w:r>
        <w:r w:rsidR="00F5363B">
          <w:rPr>
            <w:noProof/>
            <w:webHidden/>
          </w:rPr>
          <w:fldChar w:fldCharType="end"/>
        </w:r>
      </w:hyperlink>
    </w:p>
    <w:p w14:paraId="22C66254" w14:textId="461CF56B" w:rsidR="00F5363B" w:rsidRDefault="00B45FF6">
      <w:pPr>
        <w:pStyle w:val="TableofFigures"/>
        <w:tabs>
          <w:tab w:val="right" w:pos="8495"/>
        </w:tabs>
        <w:rPr>
          <w:rFonts w:asciiTheme="minorHAnsi" w:hAnsiTheme="minorHAnsi"/>
          <w:noProof/>
        </w:rPr>
      </w:pPr>
      <w:hyperlink w:anchor="_Toc43312799" w:history="1">
        <w:r w:rsidR="00F5363B" w:rsidRPr="0043397C">
          <w:rPr>
            <w:rStyle w:val="Hyperlink"/>
            <w:noProof/>
          </w:rPr>
          <w:t>Table 5:</w:t>
        </w:r>
        <w:r w:rsidR="00F5363B">
          <w:rPr>
            <w:rFonts w:asciiTheme="minorHAnsi" w:hAnsiTheme="minorHAnsi"/>
            <w:noProof/>
          </w:rPr>
          <w:tab/>
        </w:r>
        <w:r w:rsidR="00F5363B" w:rsidRPr="0043397C">
          <w:rPr>
            <w:rStyle w:val="Hyperlink"/>
            <w:noProof/>
          </w:rPr>
          <w:t>NCCRA framework: key parameters</w:t>
        </w:r>
        <w:r w:rsidR="00F5363B">
          <w:rPr>
            <w:noProof/>
            <w:webHidden/>
          </w:rPr>
          <w:tab/>
        </w:r>
        <w:r w:rsidR="00F5363B">
          <w:rPr>
            <w:noProof/>
            <w:webHidden/>
          </w:rPr>
          <w:fldChar w:fldCharType="begin"/>
        </w:r>
        <w:r w:rsidR="00F5363B">
          <w:rPr>
            <w:noProof/>
            <w:webHidden/>
          </w:rPr>
          <w:instrText xml:space="preserve"> PAGEREF _Toc43312799 \h </w:instrText>
        </w:r>
        <w:r w:rsidR="00F5363B">
          <w:rPr>
            <w:noProof/>
            <w:webHidden/>
          </w:rPr>
        </w:r>
        <w:r w:rsidR="00F5363B">
          <w:rPr>
            <w:noProof/>
            <w:webHidden/>
          </w:rPr>
          <w:fldChar w:fldCharType="separate"/>
        </w:r>
        <w:r w:rsidR="00696B5A">
          <w:rPr>
            <w:noProof/>
            <w:webHidden/>
          </w:rPr>
          <w:t>22</w:t>
        </w:r>
        <w:r w:rsidR="00F5363B">
          <w:rPr>
            <w:noProof/>
            <w:webHidden/>
          </w:rPr>
          <w:fldChar w:fldCharType="end"/>
        </w:r>
      </w:hyperlink>
    </w:p>
    <w:p w14:paraId="2FB6FAEC" w14:textId="4B16B27C" w:rsidR="00F5363B" w:rsidRDefault="00B45FF6">
      <w:pPr>
        <w:pStyle w:val="TableofFigures"/>
        <w:tabs>
          <w:tab w:val="right" w:pos="8495"/>
        </w:tabs>
        <w:rPr>
          <w:rFonts w:asciiTheme="minorHAnsi" w:hAnsiTheme="minorHAnsi"/>
          <w:noProof/>
        </w:rPr>
      </w:pPr>
      <w:hyperlink w:anchor="_Toc43312800" w:history="1">
        <w:r w:rsidR="00F5363B" w:rsidRPr="0043397C">
          <w:rPr>
            <w:rStyle w:val="Hyperlink"/>
            <w:noProof/>
          </w:rPr>
          <w:t>Table 6:</w:t>
        </w:r>
        <w:r w:rsidR="00F5363B">
          <w:rPr>
            <w:rFonts w:asciiTheme="minorHAnsi" w:hAnsiTheme="minorHAnsi"/>
            <w:noProof/>
          </w:rPr>
          <w:tab/>
        </w:r>
        <w:r w:rsidR="00F5363B" w:rsidRPr="0043397C">
          <w:rPr>
            <w:rStyle w:val="Hyperlink"/>
            <w:noProof/>
          </w:rPr>
          <w:t>Description of value domains</w:t>
        </w:r>
        <w:r w:rsidR="00F5363B">
          <w:rPr>
            <w:noProof/>
            <w:webHidden/>
          </w:rPr>
          <w:tab/>
        </w:r>
        <w:r w:rsidR="00F5363B">
          <w:rPr>
            <w:noProof/>
            <w:webHidden/>
          </w:rPr>
          <w:fldChar w:fldCharType="begin"/>
        </w:r>
        <w:r w:rsidR="00F5363B">
          <w:rPr>
            <w:noProof/>
            <w:webHidden/>
          </w:rPr>
          <w:instrText xml:space="preserve"> PAGEREF _Toc43312800 \h </w:instrText>
        </w:r>
        <w:r w:rsidR="00F5363B">
          <w:rPr>
            <w:noProof/>
            <w:webHidden/>
          </w:rPr>
        </w:r>
        <w:r w:rsidR="00F5363B">
          <w:rPr>
            <w:noProof/>
            <w:webHidden/>
          </w:rPr>
          <w:fldChar w:fldCharType="separate"/>
        </w:r>
        <w:r w:rsidR="00696B5A">
          <w:rPr>
            <w:noProof/>
            <w:webHidden/>
          </w:rPr>
          <w:t>29</w:t>
        </w:r>
        <w:r w:rsidR="00F5363B">
          <w:rPr>
            <w:noProof/>
            <w:webHidden/>
          </w:rPr>
          <w:fldChar w:fldCharType="end"/>
        </w:r>
      </w:hyperlink>
    </w:p>
    <w:p w14:paraId="19C4F160" w14:textId="41BF7F8B" w:rsidR="00F5363B" w:rsidRDefault="00B45FF6">
      <w:pPr>
        <w:pStyle w:val="TableofFigures"/>
        <w:tabs>
          <w:tab w:val="right" w:pos="8495"/>
        </w:tabs>
        <w:rPr>
          <w:rFonts w:asciiTheme="minorHAnsi" w:hAnsiTheme="minorHAnsi"/>
          <w:noProof/>
        </w:rPr>
      </w:pPr>
      <w:hyperlink w:anchor="_Toc43312801" w:history="1">
        <w:r w:rsidR="00F5363B" w:rsidRPr="0043397C">
          <w:rPr>
            <w:rStyle w:val="Hyperlink"/>
            <w:noProof/>
          </w:rPr>
          <w:t>Table 7:</w:t>
        </w:r>
        <w:r w:rsidR="00F5363B">
          <w:rPr>
            <w:rFonts w:asciiTheme="minorHAnsi" w:hAnsiTheme="minorHAnsi"/>
            <w:noProof/>
          </w:rPr>
          <w:tab/>
        </w:r>
        <w:r w:rsidR="00F5363B" w:rsidRPr="0043397C">
          <w:rPr>
            <w:rStyle w:val="Hyperlink"/>
            <w:noProof/>
          </w:rPr>
          <w:t>Elements at risk in each value domain</w:t>
        </w:r>
        <w:r w:rsidR="00F5363B">
          <w:rPr>
            <w:noProof/>
            <w:webHidden/>
          </w:rPr>
          <w:tab/>
        </w:r>
        <w:r w:rsidR="00F5363B">
          <w:rPr>
            <w:noProof/>
            <w:webHidden/>
          </w:rPr>
          <w:fldChar w:fldCharType="begin"/>
        </w:r>
        <w:r w:rsidR="00F5363B">
          <w:rPr>
            <w:noProof/>
            <w:webHidden/>
          </w:rPr>
          <w:instrText xml:space="preserve"> PAGEREF _Toc43312801 \h </w:instrText>
        </w:r>
        <w:r w:rsidR="00F5363B">
          <w:rPr>
            <w:noProof/>
            <w:webHidden/>
          </w:rPr>
        </w:r>
        <w:r w:rsidR="00F5363B">
          <w:rPr>
            <w:noProof/>
            <w:webHidden/>
          </w:rPr>
          <w:fldChar w:fldCharType="separate"/>
        </w:r>
        <w:r w:rsidR="00696B5A">
          <w:rPr>
            <w:noProof/>
            <w:webHidden/>
          </w:rPr>
          <w:t>29</w:t>
        </w:r>
        <w:r w:rsidR="00F5363B">
          <w:rPr>
            <w:noProof/>
            <w:webHidden/>
          </w:rPr>
          <w:fldChar w:fldCharType="end"/>
        </w:r>
      </w:hyperlink>
    </w:p>
    <w:p w14:paraId="336CA7D9" w14:textId="47FD618B" w:rsidR="00F5363B" w:rsidRDefault="00B45FF6">
      <w:pPr>
        <w:pStyle w:val="TableofFigures"/>
        <w:tabs>
          <w:tab w:val="right" w:pos="8495"/>
        </w:tabs>
        <w:rPr>
          <w:rFonts w:asciiTheme="minorHAnsi" w:hAnsiTheme="minorHAnsi"/>
          <w:noProof/>
        </w:rPr>
      </w:pPr>
      <w:hyperlink w:anchor="_Toc43312802" w:history="1">
        <w:r w:rsidR="00F5363B" w:rsidRPr="0043397C">
          <w:rPr>
            <w:rStyle w:val="Hyperlink"/>
            <w:noProof/>
          </w:rPr>
          <w:t>Table 8:</w:t>
        </w:r>
        <w:r w:rsidR="00F5363B">
          <w:rPr>
            <w:rFonts w:asciiTheme="minorHAnsi" w:hAnsiTheme="minorHAnsi"/>
            <w:noProof/>
          </w:rPr>
          <w:tab/>
        </w:r>
        <w:r w:rsidR="00F5363B" w:rsidRPr="0043397C">
          <w:rPr>
            <w:rStyle w:val="Hyperlink"/>
            <w:noProof/>
          </w:rPr>
          <w:t>Climate change projections for New Zealand (Ministry for the Environment, 2018)</w:t>
        </w:r>
        <w:r w:rsidR="00F5363B">
          <w:rPr>
            <w:noProof/>
            <w:webHidden/>
          </w:rPr>
          <w:tab/>
        </w:r>
        <w:r w:rsidR="00F5363B">
          <w:rPr>
            <w:noProof/>
            <w:webHidden/>
          </w:rPr>
          <w:fldChar w:fldCharType="begin"/>
        </w:r>
        <w:r w:rsidR="00F5363B">
          <w:rPr>
            <w:noProof/>
            <w:webHidden/>
          </w:rPr>
          <w:instrText xml:space="preserve"> PAGEREF _Toc43312802 \h </w:instrText>
        </w:r>
        <w:r w:rsidR="00F5363B">
          <w:rPr>
            <w:noProof/>
            <w:webHidden/>
          </w:rPr>
        </w:r>
        <w:r w:rsidR="00F5363B">
          <w:rPr>
            <w:noProof/>
            <w:webHidden/>
          </w:rPr>
          <w:fldChar w:fldCharType="separate"/>
        </w:r>
        <w:r w:rsidR="00696B5A">
          <w:rPr>
            <w:noProof/>
            <w:webHidden/>
          </w:rPr>
          <w:t>37</w:t>
        </w:r>
        <w:r w:rsidR="00F5363B">
          <w:rPr>
            <w:noProof/>
            <w:webHidden/>
          </w:rPr>
          <w:fldChar w:fldCharType="end"/>
        </w:r>
      </w:hyperlink>
    </w:p>
    <w:p w14:paraId="6A6FFD9B" w14:textId="0BD4CF0F" w:rsidR="00F5363B" w:rsidRDefault="00B45FF6">
      <w:pPr>
        <w:pStyle w:val="TableofFigures"/>
        <w:tabs>
          <w:tab w:val="right" w:pos="8495"/>
        </w:tabs>
        <w:rPr>
          <w:rFonts w:asciiTheme="minorHAnsi" w:hAnsiTheme="minorHAnsi"/>
          <w:noProof/>
        </w:rPr>
      </w:pPr>
      <w:hyperlink w:anchor="_Toc43312803" w:history="1">
        <w:r w:rsidR="00F5363B" w:rsidRPr="0043397C">
          <w:rPr>
            <w:rStyle w:val="Hyperlink"/>
            <w:noProof/>
          </w:rPr>
          <w:t>Table 9:</w:t>
        </w:r>
        <w:r w:rsidR="00F5363B">
          <w:rPr>
            <w:rFonts w:asciiTheme="minorHAnsi" w:hAnsiTheme="minorHAnsi"/>
            <w:noProof/>
          </w:rPr>
          <w:tab/>
        </w:r>
        <w:r w:rsidR="00F5363B" w:rsidRPr="0043397C">
          <w:rPr>
            <w:rStyle w:val="Hyperlink"/>
            <w:noProof/>
          </w:rPr>
          <w:t>RCP scenarios: Projected mean sea-level rise (metres above 1986–2005 baseline) for the wider New Zealand region (Ministry for the Environment, 2017b)</w:t>
        </w:r>
        <w:r w:rsidR="00F5363B">
          <w:rPr>
            <w:noProof/>
            <w:webHidden/>
          </w:rPr>
          <w:tab/>
        </w:r>
        <w:r w:rsidR="00F5363B">
          <w:rPr>
            <w:noProof/>
            <w:webHidden/>
          </w:rPr>
          <w:fldChar w:fldCharType="begin"/>
        </w:r>
        <w:r w:rsidR="00F5363B">
          <w:rPr>
            <w:noProof/>
            <w:webHidden/>
          </w:rPr>
          <w:instrText xml:space="preserve"> PAGEREF _Toc43312803 \h </w:instrText>
        </w:r>
        <w:r w:rsidR="00F5363B">
          <w:rPr>
            <w:noProof/>
            <w:webHidden/>
          </w:rPr>
        </w:r>
        <w:r w:rsidR="00F5363B">
          <w:rPr>
            <w:noProof/>
            <w:webHidden/>
          </w:rPr>
          <w:fldChar w:fldCharType="separate"/>
        </w:r>
        <w:r w:rsidR="00696B5A">
          <w:rPr>
            <w:noProof/>
            <w:webHidden/>
          </w:rPr>
          <w:t>39</w:t>
        </w:r>
        <w:r w:rsidR="00F5363B">
          <w:rPr>
            <w:noProof/>
            <w:webHidden/>
          </w:rPr>
          <w:fldChar w:fldCharType="end"/>
        </w:r>
      </w:hyperlink>
    </w:p>
    <w:p w14:paraId="656111FA" w14:textId="2D058E3D" w:rsidR="00F5363B" w:rsidRDefault="00B45FF6">
      <w:pPr>
        <w:pStyle w:val="TableofFigures"/>
        <w:tabs>
          <w:tab w:val="right" w:pos="8495"/>
        </w:tabs>
        <w:rPr>
          <w:rFonts w:asciiTheme="minorHAnsi" w:hAnsiTheme="minorHAnsi"/>
          <w:noProof/>
        </w:rPr>
      </w:pPr>
      <w:hyperlink w:anchor="_Toc43312804" w:history="1">
        <w:r w:rsidR="00F5363B" w:rsidRPr="0043397C">
          <w:rPr>
            <w:rStyle w:val="Hyperlink"/>
            <w:noProof/>
          </w:rPr>
          <w:t>Table 10:</w:t>
        </w:r>
        <w:r w:rsidR="00F5363B">
          <w:rPr>
            <w:rFonts w:asciiTheme="minorHAnsi" w:hAnsiTheme="minorHAnsi"/>
            <w:noProof/>
          </w:rPr>
          <w:tab/>
        </w:r>
        <w:r w:rsidR="00F5363B" w:rsidRPr="0043397C">
          <w:rPr>
            <w:rStyle w:val="Hyperlink"/>
            <w:noProof/>
          </w:rPr>
          <w:t>Most significant risks in each domain based on urgency ratings</w:t>
        </w:r>
        <w:r w:rsidR="00F5363B">
          <w:rPr>
            <w:noProof/>
            <w:webHidden/>
          </w:rPr>
          <w:tab/>
        </w:r>
        <w:r w:rsidR="00F5363B">
          <w:rPr>
            <w:noProof/>
            <w:webHidden/>
          </w:rPr>
          <w:fldChar w:fldCharType="begin"/>
        </w:r>
        <w:r w:rsidR="00F5363B">
          <w:rPr>
            <w:noProof/>
            <w:webHidden/>
          </w:rPr>
          <w:instrText xml:space="preserve"> PAGEREF _Toc43312804 \h </w:instrText>
        </w:r>
        <w:r w:rsidR="00F5363B">
          <w:rPr>
            <w:noProof/>
            <w:webHidden/>
          </w:rPr>
        </w:r>
        <w:r w:rsidR="00F5363B">
          <w:rPr>
            <w:noProof/>
            <w:webHidden/>
          </w:rPr>
          <w:fldChar w:fldCharType="separate"/>
        </w:r>
        <w:r w:rsidR="00696B5A">
          <w:rPr>
            <w:noProof/>
            <w:webHidden/>
          </w:rPr>
          <w:t>43</w:t>
        </w:r>
        <w:r w:rsidR="00F5363B">
          <w:rPr>
            <w:noProof/>
            <w:webHidden/>
          </w:rPr>
          <w:fldChar w:fldCharType="end"/>
        </w:r>
      </w:hyperlink>
    </w:p>
    <w:p w14:paraId="57FB8886" w14:textId="484C8548" w:rsidR="00F5363B" w:rsidRDefault="00B45FF6">
      <w:pPr>
        <w:pStyle w:val="TableofFigures"/>
        <w:tabs>
          <w:tab w:val="right" w:pos="8495"/>
        </w:tabs>
        <w:rPr>
          <w:rFonts w:asciiTheme="minorHAnsi" w:hAnsiTheme="minorHAnsi"/>
          <w:noProof/>
        </w:rPr>
      </w:pPr>
      <w:hyperlink w:anchor="_Toc43312805" w:history="1">
        <w:r w:rsidR="00F5363B" w:rsidRPr="0043397C">
          <w:rPr>
            <w:rStyle w:val="Hyperlink"/>
            <w:noProof/>
          </w:rPr>
          <w:t>Table 11:</w:t>
        </w:r>
        <w:r w:rsidR="00F5363B">
          <w:rPr>
            <w:rFonts w:asciiTheme="minorHAnsi" w:hAnsiTheme="minorHAnsi"/>
            <w:noProof/>
          </w:rPr>
          <w:tab/>
        </w:r>
        <w:r w:rsidR="00F5363B" w:rsidRPr="0043397C">
          <w:rPr>
            <w:rStyle w:val="Hyperlink"/>
            <w:noProof/>
          </w:rPr>
          <w:t>Most significant risks and other priority risks in each domain based on urgency ratings</w:t>
        </w:r>
        <w:r w:rsidR="00F5363B">
          <w:rPr>
            <w:noProof/>
            <w:webHidden/>
          </w:rPr>
          <w:tab/>
        </w:r>
        <w:r w:rsidR="00F5363B">
          <w:rPr>
            <w:noProof/>
            <w:webHidden/>
          </w:rPr>
          <w:fldChar w:fldCharType="begin"/>
        </w:r>
        <w:r w:rsidR="00F5363B">
          <w:rPr>
            <w:noProof/>
            <w:webHidden/>
          </w:rPr>
          <w:instrText xml:space="preserve"> PAGEREF _Toc43312805 \h </w:instrText>
        </w:r>
        <w:r w:rsidR="00F5363B">
          <w:rPr>
            <w:noProof/>
            <w:webHidden/>
          </w:rPr>
        </w:r>
        <w:r w:rsidR="00F5363B">
          <w:rPr>
            <w:noProof/>
            <w:webHidden/>
          </w:rPr>
          <w:fldChar w:fldCharType="separate"/>
        </w:r>
        <w:r w:rsidR="00696B5A">
          <w:rPr>
            <w:noProof/>
            <w:webHidden/>
          </w:rPr>
          <w:t>45</w:t>
        </w:r>
        <w:r w:rsidR="00F5363B">
          <w:rPr>
            <w:noProof/>
            <w:webHidden/>
          </w:rPr>
          <w:fldChar w:fldCharType="end"/>
        </w:r>
      </w:hyperlink>
    </w:p>
    <w:p w14:paraId="67B15B50" w14:textId="203A7688" w:rsidR="00F5363B" w:rsidRDefault="00B45FF6">
      <w:pPr>
        <w:pStyle w:val="TableofFigures"/>
        <w:tabs>
          <w:tab w:val="right" w:pos="8495"/>
        </w:tabs>
        <w:rPr>
          <w:rFonts w:asciiTheme="minorHAnsi" w:hAnsiTheme="minorHAnsi"/>
          <w:noProof/>
        </w:rPr>
      </w:pPr>
      <w:hyperlink w:anchor="_Toc43312806" w:history="1">
        <w:r w:rsidR="00F5363B" w:rsidRPr="0043397C">
          <w:rPr>
            <w:rStyle w:val="Hyperlink"/>
            <w:noProof/>
          </w:rPr>
          <w:t>Table 12:</w:t>
        </w:r>
        <w:r w:rsidR="00F5363B">
          <w:rPr>
            <w:rFonts w:asciiTheme="minorHAnsi" w:hAnsiTheme="minorHAnsi"/>
            <w:noProof/>
          </w:rPr>
          <w:tab/>
        </w:r>
        <w:r w:rsidR="00F5363B" w:rsidRPr="0043397C">
          <w:rPr>
            <w:rStyle w:val="Hyperlink"/>
            <w:noProof/>
          </w:rPr>
          <w:t>Natural environment domain</w:t>
        </w:r>
        <w:r w:rsidR="00F5363B">
          <w:rPr>
            <w:noProof/>
            <w:webHidden/>
          </w:rPr>
          <w:tab/>
        </w:r>
        <w:r w:rsidR="00F5363B">
          <w:rPr>
            <w:noProof/>
            <w:webHidden/>
          </w:rPr>
          <w:fldChar w:fldCharType="begin"/>
        </w:r>
        <w:r w:rsidR="00F5363B">
          <w:rPr>
            <w:noProof/>
            <w:webHidden/>
          </w:rPr>
          <w:instrText xml:space="preserve"> PAGEREF _Toc43312806 \h </w:instrText>
        </w:r>
        <w:r w:rsidR="00F5363B">
          <w:rPr>
            <w:noProof/>
            <w:webHidden/>
          </w:rPr>
        </w:r>
        <w:r w:rsidR="00F5363B">
          <w:rPr>
            <w:noProof/>
            <w:webHidden/>
          </w:rPr>
          <w:fldChar w:fldCharType="separate"/>
        </w:r>
        <w:r w:rsidR="00696B5A">
          <w:rPr>
            <w:noProof/>
            <w:webHidden/>
          </w:rPr>
          <w:t>48</w:t>
        </w:r>
        <w:r w:rsidR="00F5363B">
          <w:rPr>
            <w:noProof/>
            <w:webHidden/>
          </w:rPr>
          <w:fldChar w:fldCharType="end"/>
        </w:r>
      </w:hyperlink>
    </w:p>
    <w:p w14:paraId="1A08F5B7" w14:textId="5957DB5E" w:rsidR="00F5363B" w:rsidRDefault="00B45FF6">
      <w:pPr>
        <w:pStyle w:val="TableofFigures"/>
        <w:tabs>
          <w:tab w:val="right" w:pos="8495"/>
        </w:tabs>
        <w:rPr>
          <w:rFonts w:asciiTheme="minorHAnsi" w:hAnsiTheme="minorHAnsi"/>
          <w:noProof/>
        </w:rPr>
      </w:pPr>
      <w:hyperlink w:anchor="_Toc43312807" w:history="1">
        <w:r w:rsidR="00F5363B" w:rsidRPr="0043397C">
          <w:rPr>
            <w:rStyle w:val="Hyperlink"/>
            <w:noProof/>
          </w:rPr>
          <w:t>Table 13:</w:t>
        </w:r>
        <w:r w:rsidR="00F5363B">
          <w:rPr>
            <w:rFonts w:asciiTheme="minorHAnsi" w:hAnsiTheme="minorHAnsi"/>
            <w:noProof/>
          </w:rPr>
          <w:tab/>
        </w:r>
        <w:r w:rsidR="00F5363B" w:rsidRPr="0043397C">
          <w:rPr>
            <w:rStyle w:val="Hyperlink"/>
            <w:noProof/>
          </w:rPr>
          <w:t>N1 Risks to coastal ecosystems: Urgency profile</w:t>
        </w:r>
        <w:r w:rsidR="00F5363B">
          <w:rPr>
            <w:noProof/>
            <w:webHidden/>
          </w:rPr>
          <w:tab/>
        </w:r>
        <w:r w:rsidR="00F5363B">
          <w:rPr>
            <w:noProof/>
            <w:webHidden/>
          </w:rPr>
          <w:fldChar w:fldCharType="begin"/>
        </w:r>
        <w:r w:rsidR="00F5363B">
          <w:rPr>
            <w:noProof/>
            <w:webHidden/>
          </w:rPr>
          <w:instrText xml:space="preserve"> PAGEREF _Toc43312807 \h </w:instrText>
        </w:r>
        <w:r w:rsidR="00F5363B">
          <w:rPr>
            <w:noProof/>
            <w:webHidden/>
          </w:rPr>
        </w:r>
        <w:r w:rsidR="00F5363B">
          <w:rPr>
            <w:noProof/>
            <w:webHidden/>
          </w:rPr>
          <w:fldChar w:fldCharType="separate"/>
        </w:r>
        <w:r w:rsidR="00696B5A">
          <w:rPr>
            <w:noProof/>
            <w:webHidden/>
          </w:rPr>
          <w:t>51</w:t>
        </w:r>
        <w:r w:rsidR="00F5363B">
          <w:rPr>
            <w:noProof/>
            <w:webHidden/>
          </w:rPr>
          <w:fldChar w:fldCharType="end"/>
        </w:r>
      </w:hyperlink>
    </w:p>
    <w:p w14:paraId="64C7254D" w14:textId="17A992A3" w:rsidR="00F5363B" w:rsidRDefault="00B45FF6">
      <w:pPr>
        <w:pStyle w:val="TableofFigures"/>
        <w:tabs>
          <w:tab w:val="right" w:pos="8495"/>
        </w:tabs>
        <w:rPr>
          <w:rFonts w:asciiTheme="minorHAnsi" w:hAnsiTheme="minorHAnsi"/>
          <w:noProof/>
        </w:rPr>
      </w:pPr>
      <w:hyperlink w:anchor="_Toc43312808" w:history="1">
        <w:r w:rsidR="00F5363B" w:rsidRPr="0043397C">
          <w:rPr>
            <w:rStyle w:val="Hyperlink"/>
            <w:noProof/>
            <w:lang w:eastAsia="en-AU"/>
          </w:rPr>
          <w:t xml:space="preserve">Table 14: </w:t>
        </w:r>
        <w:r w:rsidR="00F5363B">
          <w:rPr>
            <w:rFonts w:asciiTheme="minorHAnsi" w:hAnsiTheme="minorHAnsi"/>
            <w:noProof/>
          </w:rPr>
          <w:tab/>
        </w:r>
        <w:r w:rsidR="00F5363B" w:rsidRPr="0043397C">
          <w:rPr>
            <w:rStyle w:val="Hyperlink"/>
            <w:noProof/>
            <w:lang w:eastAsia="en-AU"/>
          </w:rPr>
          <w:t>N2 Risks to indigenous ecosystems and species: urgency profile</w:t>
        </w:r>
        <w:r w:rsidR="00F5363B">
          <w:rPr>
            <w:noProof/>
            <w:webHidden/>
          </w:rPr>
          <w:tab/>
        </w:r>
        <w:r w:rsidR="00F5363B">
          <w:rPr>
            <w:noProof/>
            <w:webHidden/>
          </w:rPr>
          <w:fldChar w:fldCharType="begin"/>
        </w:r>
        <w:r w:rsidR="00F5363B">
          <w:rPr>
            <w:noProof/>
            <w:webHidden/>
          </w:rPr>
          <w:instrText xml:space="preserve"> PAGEREF _Toc43312808 \h </w:instrText>
        </w:r>
        <w:r w:rsidR="00F5363B">
          <w:rPr>
            <w:noProof/>
            <w:webHidden/>
          </w:rPr>
        </w:r>
        <w:r w:rsidR="00F5363B">
          <w:rPr>
            <w:noProof/>
            <w:webHidden/>
          </w:rPr>
          <w:fldChar w:fldCharType="separate"/>
        </w:r>
        <w:r w:rsidR="00696B5A">
          <w:rPr>
            <w:noProof/>
            <w:webHidden/>
          </w:rPr>
          <w:t>55</w:t>
        </w:r>
        <w:r w:rsidR="00F5363B">
          <w:rPr>
            <w:noProof/>
            <w:webHidden/>
          </w:rPr>
          <w:fldChar w:fldCharType="end"/>
        </w:r>
      </w:hyperlink>
    </w:p>
    <w:p w14:paraId="46EEE12D" w14:textId="65BF8258" w:rsidR="00F5363B" w:rsidRDefault="00B45FF6">
      <w:pPr>
        <w:pStyle w:val="TableofFigures"/>
        <w:tabs>
          <w:tab w:val="right" w:pos="8495"/>
        </w:tabs>
        <w:rPr>
          <w:rFonts w:asciiTheme="minorHAnsi" w:hAnsiTheme="minorHAnsi"/>
          <w:noProof/>
        </w:rPr>
      </w:pPr>
      <w:hyperlink w:anchor="_Toc43312809" w:history="1">
        <w:r w:rsidR="00F5363B" w:rsidRPr="0043397C">
          <w:rPr>
            <w:rStyle w:val="Hyperlink"/>
            <w:noProof/>
          </w:rPr>
          <w:t xml:space="preserve">Table 15: </w:t>
        </w:r>
        <w:r w:rsidR="00F5363B">
          <w:rPr>
            <w:rFonts w:asciiTheme="minorHAnsi" w:hAnsiTheme="minorHAnsi"/>
            <w:noProof/>
          </w:rPr>
          <w:tab/>
        </w:r>
        <w:r w:rsidR="00F5363B" w:rsidRPr="0043397C">
          <w:rPr>
            <w:rStyle w:val="Hyperlink"/>
            <w:noProof/>
          </w:rPr>
          <w:t>Human domain</w:t>
        </w:r>
        <w:r w:rsidR="00F5363B">
          <w:rPr>
            <w:noProof/>
            <w:webHidden/>
          </w:rPr>
          <w:tab/>
        </w:r>
        <w:r w:rsidR="00F5363B">
          <w:rPr>
            <w:noProof/>
            <w:webHidden/>
          </w:rPr>
          <w:fldChar w:fldCharType="begin"/>
        </w:r>
        <w:r w:rsidR="00F5363B">
          <w:rPr>
            <w:noProof/>
            <w:webHidden/>
          </w:rPr>
          <w:instrText xml:space="preserve"> PAGEREF _Toc43312809 \h </w:instrText>
        </w:r>
        <w:r w:rsidR="00F5363B">
          <w:rPr>
            <w:noProof/>
            <w:webHidden/>
          </w:rPr>
        </w:r>
        <w:r w:rsidR="00F5363B">
          <w:rPr>
            <w:noProof/>
            <w:webHidden/>
          </w:rPr>
          <w:fldChar w:fldCharType="separate"/>
        </w:r>
        <w:r w:rsidR="00696B5A">
          <w:rPr>
            <w:noProof/>
            <w:webHidden/>
          </w:rPr>
          <w:t>60</w:t>
        </w:r>
        <w:r w:rsidR="00F5363B">
          <w:rPr>
            <w:noProof/>
            <w:webHidden/>
          </w:rPr>
          <w:fldChar w:fldCharType="end"/>
        </w:r>
      </w:hyperlink>
    </w:p>
    <w:p w14:paraId="55414BE5" w14:textId="4F7219F0" w:rsidR="00F5363B" w:rsidRDefault="00B45FF6">
      <w:pPr>
        <w:pStyle w:val="TableofFigures"/>
        <w:tabs>
          <w:tab w:val="right" w:pos="8495"/>
        </w:tabs>
        <w:rPr>
          <w:rFonts w:asciiTheme="minorHAnsi" w:hAnsiTheme="minorHAnsi"/>
          <w:noProof/>
        </w:rPr>
      </w:pPr>
      <w:hyperlink w:anchor="_Toc43312810" w:history="1">
        <w:r w:rsidR="00F5363B" w:rsidRPr="0043397C">
          <w:rPr>
            <w:rStyle w:val="Hyperlink"/>
            <w:noProof/>
          </w:rPr>
          <w:t>Table 16:</w:t>
        </w:r>
        <w:r w:rsidR="00F5363B">
          <w:rPr>
            <w:rFonts w:asciiTheme="minorHAnsi" w:hAnsiTheme="minorHAnsi"/>
            <w:noProof/>
          </w:rPr>
          <w:tab/>
        </w:r>
        <w:r w:rsidR="00F5363B" w:rsidRPr="0043397C">
          <w:rPr>
            <w:rStyle w:val="Hyperlink"/>
            <w:noProof/>
          </w:rPr>
          <w:t>H1 Risks to social cohesion and community wellbeing: Urgency profile</w:t>
        </w:r>
        <w:r w:rsidR="00F5363B">
          <w:rPr>
            <w:noProof/>
            <w:webHidden/>
          </w:rPr>
          <w:tab/>
        </w:r>
        <w:r w:rsidR="00F5363B">
          <w:rPr>
            <w:noProof/>
            <w:webHidden/>
          </w:rPr>
          <w:fldChar w:fldCharType="begin"/>
        </w:r>
        <w:r w:rsidR="00F5363B">
          <w:rPr>
            <w:noProof/>
            <w:webHidden/>
          </w:rPr>
          <w:instrText xml:space="preserve"> PAGEREF _Toc43312810 \h </w:instrText>
        </w:r>
        <w:r w:rsidR="00F5363B">
          <w:rPr>
            <w:noProof/>
            <w:webHidden/>
          </w:rPr>
        </w:r>
        <w:r w:rsidR="00F5363B">
          <w:rPr>
            <w:noProof/>
            <w:webHidden/>
          </w:rPr>
          <w:fldChar w:fldCharType="separate"/>
        </w:r>
        <w:r w:rsidR="00696B5A">
          <w:rPr>
            <w:noProof/>
            <w:webHidden/>
          </w:rPr>
          <w:t>63</w:t>
        </w:r>
        <w:r w:rsidR="00F5363B">
          <w:rPr>
            <w:noProof/>
            <w:webHidden/>
          </w:rPr>
          <w:fldChar w:fldCharType="end"/>
        </w:r>
      </w:hyperlink>
    </w:p>
    <w:p w14:paraId="45097425" w14:textId="1AAE8C6A" w:rsidR="00F5363B" w:rsidRDefault="00B45FF6">
      <w:pPr>
        <w:pStyle w:val="TableofFigures"/>
        <w:tabs>
          <w:tab w:val="right" w:pos="8495"/>
        </w:tabs>
        <w:rPr>
          <w:rFonts w:asciiTheme="minorHAnsi" w:hAnsiTheme="minorHAnsi"/>
          <w:noProof/>
        </w:rPr>
      </w:pPr>
      <w:hyperlink w:anchor="_Toc43312811" w:history="1">
        <w:r w:rsidR="00F5363B" w:rsidRPr="0043397C">
          <w:rPr>
            <w:rStyle w:val="Hyperlink"/>
            <w:noProof/>
          </w:rPr>
          <w:t>Table 17:</w:t>
        </w:r>
        <w:r w:rsidR="00F5363B">
          <w:rPr>
            <w:rFonts w:asciiTheme="minorHAnsi" w:hAnsiTheme="minorHAnsi"/>
            <w:noProof/>
          </w:rPr>
          <w:tab/>
        </w:r>
        <w:r w:rsidR="00F5363B" w:rsidRPr="0043397C">
          <w:rPr>
            <w:rStyle w:val="Hyperlink"/>
            <w:noProof/>
          </w:rPr>
          <w:t>H2 Risks of exacerbating existing inequities: Urgency profile</w:t>
        </w:r>
        <w:r w:rsidR="00F5363B">
          <w:rPr>
            <w:noProof/>
            <w:webHidden/>
          </w:rPr>
          <w:tab/>
        </w:r>
        <w:r w:rsidR="00F5363B">
          <w:rPr>
            <w:noProof/>
            <w:webHidden/>
          </w:rPr>
          <w:fldChar w:fldCharType="begin"/>
        </w:r>
        <w:r w:rsidR="00F5363B">
          <w:rPr>
            <w:noProof/>
            <w:webHidden/>
          </w:rPr>
          <w:instrText xml:space="preserve"> PAGEREF _Toc43312811 \h </w:instrText>
        </w:r>
        <w:r w:rsidR="00F5363B">
          <w:rPr>
            <w:noProof/>
            <w:webHidden/>
          </w:rPr>
        </w:r>
        <w:r w:rsidR="00F5363B">
          <w:rPr>
            <w:noProof/>
            <w:webHidden/>
          </w:rPr>
          <w:fldChar w:fldCharType="separate"/>
        </w:r>
        <w:r w:rsidR="00696B5A">
          <w:rPr>
            <w:noProof/>
            <w:webHidden/>
          </w:rPr>
          <w:t>66</w:t>
        </w:r>
        <w:r w:rsidR="00F5363B">
          <w:rPr>
            <w:noProof/>
            <w:webHidden/>
          </w:rPr>
          <w:fldChar w:fldCharType="end"/>
        </w:r>
      </w:hyperlink>
    </w:p>
    <w:p w14:paraId="16B9951F" w14:textId="1FECA7F0" w:rsidR="00F5363B" w:rsidRDefault="00B45FF6">
      <w:pPr>
        <w:pStyle w:val="TableofFigures"/>
        <w:tabs>
          <w:tab w:val="right" w:pos="8495"/>
        </w:tabs>
        <w:rPr>
          <w:rFonts w:asciiTheme="minorHAnsi" w:hAnsiTheme="minorHAnsi"/>
          <w:noProof/>
        </w:rPr>
      </w:pPr>
      <w:hyperlink w:anchor="_Toc43312812" w:history="1">
        <w:r w:rsidR="00F5363B" w:rsidRPr="0043397C">
          <w:rPr>
            <w:rStyle w:val="Hyperlink"/>
            <w:noProof/>
          </w:rPr>
          <w:t>Tab</w:t>
        </w:r>
        <w:r w:rsidR="00BC3529">
          <w:rPr>
            <w:rStyle w:val="Hyperlink"/>
            <w:noProof/>
          </w:rPr>
          <w:t>l</w:t>
        </w:r>
        <w:r w:rsidR="00F5363B" w:rsidRPr="0043397C">
          <w:rPr>
            <w:rStyle w:val="Hyperlink"/>
            <w:noProof/>
          </w:rPr>
          <w:t>e 18:</w:t>
        </w:r>
        <w:r w:rsidR="00F5363B">
          <w:rPr>
            <w:rFonts w:asciiTheme="minorHAnsi" w:hAnsiTheme="minorHAnsi"/>
            <w:noProof/>
          </w:rPr>
          <w:tab/>
        </w:r>
        <w:r w:rsidR="00F5363B" w:rsidRPr="0043397C">
          <w:rPr>
            <w:rStyle w:val="Hyperlink"/>
            <w:noProof/>
          </w:rPr>
          <w:t>Economy domain</w:t>
        </w:r>
        <w:r w:rsidR="00F5363B">
          <w:rPr>
            <w:noProof/>
            <w:webHidden/>
          </w:rPr>
          <w:tab/>
        </w:r>
        <w:r w:rsidR="00F5363B">
          <w:rPr>
            <w:noProof/>
            <w:webHidden/>
          </w:rPr>
          <w:fldChar w:fldCharType="begin"/>
        </w:r>
        <w:r w:rsidR="00F5363B">
          <w:rPr>
            <w:noProof/>
            <w:webHidden/>
          </w:rPr>
          <w:instrText xml:space="preserve"> PAGEREF _Toc43312812 \h </w:instrText>
        </w:r>
        <w:r w:rsidR="00F5363B">
          <w:rPr>
            <w:noProof/>
            <w:webHidden/>
          </w:rPr>
        </w:r>
        <w:r w:rsidR="00F5363B">
          <w:rPr>
            <w:noProof/>
            <w:webHidden/>
          </w:rPr>
          <w:fldChar w:fldCharType="separate"/>
        </w:r>
        <w:r w:rsidR="00696B5A">
          <w:rPr>
            <w:noProof/>
            <w:webHidden/>
          </w:rPr>
          <w:t>68</w:t>
        </w:r>
        <w:r w:rsidR="00F5363B">
          <w:rPr>
            <w:noProof/>
            <w:webHidden/>
          </w:rPr>
          <w:fldChar w:fldCharType="end"/>
        </w:r>
      </w:hyperlink>
    </w:p>
    <w:p w14:paraId="689A8C64" w14:textId="6AB91722" w:rsidR="00F5363B" w:rsidRDefault="00B45FF6">
      <w:pPr>
        <w:pStyle w:val="TableofFigures"/>
        <w:tabs>
          <w:tab w:val="right" w:pos="8495"/>
        </w:tabs>
        <w:rPr>
          <w:rFonts w:asciiTheme="minorHAnsi" w:hAnsiTheme="minorHAnsi"/>
          <w:noProof/>
        </w:rPr>
      </w:pPr>
      <w:hyperlink w:anchor="_Toc43312813" w:history="1">
        <w:r w:rsidR="00F5363B" w:rsidRPr="0043397C">
          <w:rPr>
            <w:rStyle w:val="Hyperlink"/>
            <w:noProof/>
          </w:rPr>
          <w:t>Table 19:</w:t>
        </w:r>
        <w:r w:rsidR="00F5363B">
          <w:rPr>
            <w:rFonts w:asciiTheme="minorHAnsi" w:hAnsiTheme="minorHAnsi"/>
            <w:noProof/>
          </w:rPr>
          <w:tab/>
        </w:r>
        <w:r w:rsidR="00F5363B" w:rsidRPr="0043397C">
          <w:rPr>
            <w:rStyle w:val="Hyperlink"/>
            <w:noProof/>
          </w:rPr>
          <w:t>E1 Public sector fiscal risks : Urgency profile</w:t>
        </w:r>
        <w:r w:rsidR="00F5363B">
          <w:rPr>
            <w:noProof/>
            <w:webHidden/>
          </w:rPr>
          <w:tab/>
        </w:r>
        <w:r w:rsidR="00F5363B">
          <w:rPr>
            <w:noProof/>
            <w:webHidden/>
          </w:rPr>
          <w:fldChar w:fldCharType="begin"/>
        </w:r>
        <w:r w:rsidR="00F5363B">
          <w:rPr>
            <w:noProof/>
            <w:webHidden/>
          </w:rPr>
          <w:instrText xml:space="preserve"> PAGEREF _Toc43312813 \h </w:instrText>
        </w:r>
        <w:r w:rsidR="00F5363B">
          <w:rPr>
            <w:noProof/>
            <w:webHidden/>
          </w:rPr>
        </w:r>
        <w:r w:rsidR="00F5363B">
          <w:rPr>
            <w:noProof/>
            <w:webHidden/>
          </w:rPr>
          <w:fldChar w:fldCharType="separate"/>
        </w:r>
        <w:r w:rsidR="00696B5A">
          <w:rPr>
            <w:noProof/>
            <w:webHidden/>
          </w:rPr>
          <w:t>71</w:t>
        </w:r>
        <w:r w:rsidR="00F5363B">
          <w:rPr>
            <w:noProof/>
            <w:webHidden/>
          </w:rPr>
          <w:fldChar w:fldCharType="end"/>
        </w:r>
      </w:hyperlink>
    </w:p>
    <w:p w14:paraId="0C08D922" w14:textId="5D051539" w:rsidR="00F5363B" w:rsidRDefault="00B45FF6">
      <w:pPr>
        <w:pStyle w:val="TableofFigures"/>
        <w:tabs>
          <w:tab w:val="right" w:pos="8495"/>
        </w:tabs>
        <w:rPr>
          <w:rFonts w:asciiTheme="minorHAnsi" w:hAnsiTheme="minorHAnsi"/>
          <w:noProof/>
        </w:rPr>
      </w:pPr>
      <w:hyperlink w:anchor="_Toc43312814" w:history="1">
        <w:r w:rsidR="00F5363B" w:rsidRPr="0043397C">
          <w:rPr>
            <w:rStyle w:val="Hyperlink"/>
            <w:noProof/>
          </w:rPr>
          <w:t>Table 20:</w:t>
        </w:r>
        <w:r w:rsidR="00F5363B">
          <w:rPr>
            <w:rFonts w:asciiTheme="minorHAnsi" w:hAnsiTheme="minorHAnsi"/>
            <w:noProof/>
          </w:rPr>
          <w:tab/>
        </w:r>
        <w:r w:rsidR="00F5363B" w:rsidRPr="0043397C">
          <w:rPr>
            <w:rStyle w:val="Hyperlink"/>
            <w:noProof/>
          </w:rPr>
          <w:t>E2 Risks to the financial system from instability : Urgency profile</w:t>
        </w:r>
        <w:r w:rsidR="00F5363B">
          <w:rPr>
            <w:noProof/>
            <w:webHidden/>
          </w:rPr>
          <w:tab/>
        </w:r>
        <w:r w:rsidR="00F5363B">
          <w:rPr>
            <w:noProof/>
            <w:webHidden/>
          </w:rPr>
          <w:fldChar w:fldCharType="begin"/>
        </w:r>
        <w:r w:rsidR="00F5363B">
          <w:rPr>
            <w:noProof/>
            <w:webHidden/>
          </w:rPr>
          <w:instrText xml:space="preserve"> PAGEREF _Toc43312814 \h </w:instrText>
        </w:r>
        <w:r w:rsidR="00F5363B">
          <w:rPr>
            <w:noProof/>
            <w:webHidden/>
          </w:rPr>
        </w:r>
        <w:r w:rsidR="00F5363B">
          <w:rPr>
            <w:noProof/>
            <w:webHidden/>
          </w:rPr>
          <w:fldChar w:fldCharType="separate"/>
        </w:r>
        <w:r w:rsidR="00696B5A">
          <w:rPr>
            <w:noProof/>
            <w:webHidden/>
          </w:rPr>
          <w:t>76</w:t>
        </w:r>
        <w:r w:rsidR="00F5363B">
          <w:rPr>
            <w:noProof/>
            <w:webHidden/>
          </w:rPr>
          <w:fldChar w:fldCharType="end"/>
        </w:r>
      </w:hyperlink>
    </w:p>
    <w:p w14:paraId="4A7EAA0B" w14:textId="68A1C60E" w:rsidR="00F5363B" w:rsidRDefault="00B45FF6">
      <w:pPr>
        <w:pStyle w:val="TableofFigures"/>
        <w:tabs>
          <w:tab w:val="right" w:pos="8495"/>
        </w:tabs>
        <w:rPr>
          <w:rFonts w:asciiTheme="minorHAnsi" w:hAnsiTheme="minorHAnsi"/>
          <w:noProof/>
        </w:rPr>
      </w:pPr>
      <w:hyperlink w:anchor="_Toc43312815" w:history="1">
        <w:r w:rsidR="00F5363B" w:rsidRPr="0043397C">
          <w:rPr>
            <w:rStyle w:val="Hyperlink"/>
            <w:noProof/>
          </w:rPr>
          <w:t>Table 21:</w:t>
        </w:r>
        <w:r w:rsidR="00F5363B">
          <w:rPr>
            <w:rFonts w:asciiTheme="minorHAnsi" w:hAnsiTheme="minorHAnsi"/>
            <w:noProof/>
          </w:rPr>
          <w:tab/>
        </w:r>
        <w:r w:rsidR="00F5363B" w:rsidRPr="0043397C">
          <w:rPr>
            <w:rStyle w:val="Hyperlink"/>
            <w:noProof/>
          </w:rPr>
          <w:t>Built environment</w:t>
        </w:r>
        <w:r w:rsidR="00F5363B">
          <w:rPr>
            <w:noProof/>
            <w:webHidden/>
          </w:rPr>
          <w:tab/>
        </w:r>
        <w:r w:rsidR="00F5363B">
          <w:rPr>
            <w:noProof/>
            <w:webHidden/>
          </w:rPr>
          <w:fldChar w:fldCharType="begin"/>
        </w:r>
        <w:r w:rsidR="00F5363B">
          <w:rPr>
            <w:noProof/>
            <w:webHidden/>
          </w:rPr>
          <w:instrText xml:space="preserve"> PAGEREF _Toc43312815 \h </w:instrText>
        </w:r>
        <w:r w:rsidR="00F5363B">
          <w:rPr>
            <w:noProof/>
            <w:webHidden/>
          </w:rPr>
        </w:r>
        <w:r w:rsidR="00F5363B">
          <w:rPr>
            <w:noProof/>
            <w:webHidden/>
          </w:rPr>
          <w:fldChar w:fldCharType="separate"/>
        </w:r>
        <w:r w:rsidR="00696B5A">
          <w:rPr>
            <w:noProof/>
            <w:webHidden/>
          </w:rPr>
          <w:t>78</w:t>
        </w:r>
        <w:r w:rsidR="00F5363B">
          <w:rPr>
            <w:noProof/>
            <w:webHidden/>
          </w:rPr>
          <w:fldChar w:fldCharType="end"/>
        </w:r>
      </w:hyperlink>
    </w:p>
    <w:p w14:paraId="784E46C7" w14:textId="155EFE2B" w:rsidR="00F5363B" w:rsidRDefault="00B45FF6">
      <w:pPr>
        <w:pStyle w:val="TableofFigures"/>
        <w:tabs>
          <w:tab w:val="right" w:pos="8495"/>
        </w:tabs>
        <w:rPr>
          <w:rFonts w:asciiTheme="minorHAnsi" w:hAnsiTheme="minorHAnsi"/>
          <w:noProof/>
        </w:rPr>
      </w:pPr>
      <w:hyperlink w:anchor="_Toc43312816" w:history="1">
        <w:r w:rsidR="00F5363B" w:rsidRPr="0043397C">
          <w:rPr>
            <w:rStyle w:val="Hyperlink"/>
            <w:noProof/>
          </w:rPr>
          <w:t>Table 22:</w:t>
        </w:r>
        <w:r w:rsidR="00F5363B">
          <w:rPr>
            <w:rFonts w:asciiTheme="minorHAnsi" w:hAnsiTheme="minorHAnsi"/>
            <w:noProof/>
          </w:rPr>
          <w:tab/>
        </w:r>
        <w:r w:rsidR="00F5363B" w:rsidRPr="0043397C">
          <w:rPr>
            <w:rStyle w:val="Hyperlink"/>
            <w:noProof/>
          </w:rPr>
          <w:t>B1 Risk to potable water supplies: Urgency profile</w:t>
        </w:r>
        <w:r w:rsidR="00F5363B">
          <w:rPr>
            <w:noProof/>
            <w:webHidden/>
          </w:rPr>
          <w:tab/>
        </w:r>
        <w:r w:rsidR="00F5363B">
          <w:rPr>
            <w:noProof/>
            <w:webHidden/>
          </w:rPr>
          <w:fldChar w:fldCharType="begin"/>
        </w:r>
        <w:r w:rsidR="00F5363B">
          <w:rPr>
            <w:noProof/>
            <w:webHidden/>
          </w:rPr>
          <w:instrText xml:space="preserve"> PAGEREF _Toc43312816 \h </w:instrText>
        </w:r>
        <w:r w:rsidR="00F5363B">
          <w:rPr>
            <w:noProof/>
            <w:webHidden/>
          </w:rPr>
        </w:r>
        <w:r w:rsidR="00F5363B">
          <w:rPr>
            <w:noProof/>
            <w:webHidden/>
          </w:rPr>
          <w:fldChar w:fldCharType="separate"/>
        </w:r>
        <w:r w:rsidR="00696B5A">
          <w:rPr>
            <w:noProof/>
            <w:webHidden/>
          </w:rPr>
          <w:t>82</w:t>
        </w:r>
        <w:r w:rsidR="00F5363B">
          <w:rPr>
            <w:noProof/>
            <w:webHidden/>
          </w:rPr>
          <w:fldChar w:fldCharType="end"/>
        </w:r>
      </w:hyperlink>
    </w:p>
    <w:p w14:paraId="6DFE37E0" w14:textId="42355E69" w:rsidR="00F5363B" w:rsidRDefault="00B45FF6">
      <w:pPr>
        <w:pStyle w:val="TableofFigures"/>
        <w:tabs>
          <w:tab w:val="right" w:pos="8495"/>
        </w:tabs>
        <w:rPr>
          <w:rFonts w:asciiTheme="minorHAnsi" w:hAnsiTheme="minorHAnsi"/>
          <w:noProof/>
        </w:rPr>
      </w:pPr>
      <w:hyperlink w:anchor="_Toc43312817" w:history="1">
        <w:r w:rsidR="00F5363B" w:rsidRPr="0043397C">
          <w:rPr>
            <w:rStyle w:val="Hyperlink"/>
            <w:noProof/>
          </w:rPr>
          <w:t>Table 23:</w:t>
        </w:r>
        <w:r w:rsidR="00F5363B">
          <w:rPr>
            <w:rFonts w:asciiTheme="minorHAnsi" w:hAnsiTheme="minorHAnsi"/>
            <w:noProof/>
          </w:rPr>
          <w:tab/>
        </w:r>
        <w:r w:rsidR="00F5363B" w:rsidRPr="0043397C">
          <w:rPr>
            <w:rStyle w:val="Hyperlink"/>
            <w:noProof/>
          </w:rPr>
          <w:t>B2 Risks to buildings due to extreme weather events: Urgency profile</w:t>
        </w:r>
        <w:r w:rsidR="00F5363B">
          <w:rPr>
            <w:noProof/>
            <w:webHidden/>
          </w:rPr>
          <w:tab/>
        </w:r>
        <w:r w:rsidR="00F5363B">
          <w:rPr>
            <w:noProof/>
            <w:webHidden/>
          </w:rPr>
          <w:fldChar w:fldCharType="begin"/>
        </w:r>
        <w:r w:rsidR="00F5363B">
          <w:rPr>
            <w:noProof/>
            <w:webHidden/>
          </w:rPr>
          <w:instrText xml:space="preserve"> PAGEREF _Toc43312817 \h </w:instrText>
        </w:r>
        <w:r w:rsidR="00F5363B">
          <w:rPr>
            <w:noProof/>
            <w:webHidden/>
          </w:rPr>
        </w:r>
        <w:r w:rsidR="00F5363B">
          <w:rPr>
            <w:noProof/>
            <w:webHidden/>
          </w:rPr>
          <w:fldChar w:fldCharType="separate"/>
        </w:r>
        <w:r w:rsidR="00696B5A">
          <w:rPr>
            <w:noProof/>
            <w:webHidden/>
          </w:rPr>
          <w:t>87</w:t>
        </w:r>
        <w:r w:rsidR="00F5363B">
          <w:rPr>
            <w:noProof/>
            <w:webHidden/>
          </w:rPr>
          <w:fldChar w:fldCharType="end"/>
        </w:r>
      </w:hyperlink>
    </w:p>
    <w:p w14:paraId="4CB288AE" w14:textId="2E6FD11A" w:rsidR="00F5363B" w:rsidRDefault="00B45FF6">
      <w:pPr>
        <w:pStyle w:val="TableofFigures"/>
        <w:tabs>
          <w:tab w:val="right" w:pos="8495"/>
        </w:tabs>
        <w:rPr>
          <w:rFonts w:asciiTheme="minorHAnsi" w:hAnsiTheme="minorHAnsi"/>
          <w:noProof/>
        </w:rPr>
      </w:pPr>
      <w:hyperlink w:anchor="_Toc43312818" w:history="1">
        <w:r w:rsidR="00F5363B" w:rsidRPr="0043397C">
          <w:rPr>
            <w:rStyle w:val="Hyperlink"/>
            <w:noProof/>
          </w:rPr>
          <w:t>Table 24:</w:t>
        </w:r>
        <w:r w:rsidR="00F5363B">
          <w:rPr>
            <w:rFonts w:asciiTheme="minorHAnsi" w:hAnsiTheme="minorHAnsi"/>
            <w:noProof/>
          </w:rPr>
          <w:tab/>
        </w:r>
        <w:r w:rsidR="00F5363B" w:rsidRPr="0043397C">
          <w:rPr>
            <w:rStyle w:val="Hyperlink"/>
            <w:noProof/>
          </w:rPr>
          <w:t>Governance domain</w:t>
        </w:r>
        <w:r w:rsidR="00F5363B">
          <w:rPr>
            <w:noProof/>
            <w:webHidden/>
          </w:rPr>
          <w:tab/>
        </w:r>
        <w:r w:rsidR="00F5363B">
          <w:rPr>
            <w:noProof/>
            <w:webHidden/>
          </w:rPr>
          <w:fldChar w:fldCharType="begin"/>
        </w:r>
        <w:r w:rsidR="00F5363B">
          <w:rPr>
            <w:noProof/>
            <w:webHidden/>
          </w:rPr>
          <w:instrText xml:space="preserve"> PAGEREF _Toc43312818 \h </w:instrText>
        </w:r>
        <w:r w:rsidR="00F5363B">
          <w:rPr>
            <w:noProof/>
            <w:webHidden/>
          </w:rPr>
        </w:r>
        <w:r w:rsidR="00F5363B">
          <w:rPr>
            <w:noProof/>
            <w:webHidden/>
          </w:rPr>
          <w:fldChar w:fldCharType="separate"/>
        </w:r>
        <w:r w:rsidR="00696B5A">
          <w:rPr>
            <w:noProof/>
            <w:webHidden/>
          </w:rPr>
          <w:t>90</w:t>
        </w:r>
        <w:r w:rsidR="00F5363B">
          <w:rPr>
            <w:noProof/>
            <w:webHidden/>
          </w:rPr>
          <w:fldChar w:fldCharType="end"/>
        </w:r>
      </w:hyperlink>
    </w:p>
    <w:p w14:paraId="7832623C" w14:textId="168626F0" w:rsidR="00F5363B" w:rsidRDefault="00B45FF6">
      <w:pPr>
        <w:pStyle w:val="TableofFigures"/>
        <w:tabs>
          <w:tab w:val="right" w:pos="8495"/>
        </w:tabs>
        <w:rPr>
          <w:rFonts w:asciiTheme="minorHAnsi" w:hAnsiTheme="minorHAnsi"/>
          <w:noProof/>
        </w:rPr>
      </w:pPr>
      <w:hyperlink w:anchor="_Toc43312819" w:history="1">
        <w:r w:rsidR="00F5363B" w:rsidRPr="0043397C">
          <w:rPr>
            <w:rStyle w:val="Hyperlink"/>
            <w:noProof/>
          </w:rPr>
          <w:t>Table 25:</w:t>
        </w:r>
        <w:r w:rsidR="00F5363B">
          <w:rPr>
            <w:rFonts w:asciiTheme="minorHAnsi" w:hAnsiTheme="minorHAnsi"/>
            <w:noProof/>
          </w:rPr>
          <w:tab/>
        </w:r>
        <w:r w:rsidR="00F5363B" w:rsidRPr="0043397C">
          <w:rPr>
            <w:rStyle w:val="Hyperlink"/>
            <w:noProof/>
          </w:rPr>
          <w:t>G1 Risk of maladaptation across all domains: Urgency profile</w:t>
        </w:r>
        <w:r w:rsidR="00F5363B">
          <w:rPr>
            <w:noProof/>
            <w:webHidden/>
          </w:rPr>
          <w:tab/>
        </w:r>
        <w:r w:rsidR="00F5363B">
          <w:rPr>
            <w:noProof/>
            <w:webHidden/>
          </w:rPr>
          <w:fldChar w:fldCharType="begin"/>
        </w:r>
        <w:r w:rsidR="00F5363B">
          <w:rPr>
            <w:noProof/>
            <w:webHidden/>
          </w:rPr>
          <w:instrText xml:space="preserve"> PAGEREF _Toc43312819 \h </w:instrText>
        </w:r>
        <w:r w:rsidR="00F5363B">
          <w:rPr>
            <w:noProof/>
            <w:webHidden/>
          </w:rPr>
        </w:r>
        <w:r w:rsidR="00F5363B">
          <w:rPr>
            <w:noProof/>
            <w:webHidden/>
          </w:rPr>
          <w:fldChar w:fldCharType="separate"/>
        </w:r>
        <w:r w:rsidR="00696B5A">
          <w:rPr>
            <w:noProof/>
            <w:webHidden/>
          </w:rPr>
          <w:t>93</w:t>
        </w:r>
        <w:r w:rsidR="00F5363B">
          <w:rPr>
            <w:noProof/>
            <w:webHidden/>
          </w:rPr>
          <w:fldChar w:fldCharType="end"/>
        </w:r>
      </w:hyperlink>
    </w:p>
    <w:p w14:paraId="3FEF8EA2" w14:textId="032A6E10" w:rsidR="00F5363B" w:rsidRDefault="00B45FF6">
      <w:pPr>
        <w:pStyle w:val="TableofFigures"/>
        <w:tabs>
          <w:tab w:val="right" w:pos="8495"/>
        </w:tabs>
        <w:rPr>
          <w:rFonts w:asciiTheme="minorHAnsi" w:hAnsiTheme="minorHAnsi"/>
          <w:noProof/>
        </w:rPr>
      </w:pPr>
      <w:hyperlink w:anchor="_Toc43312820" w:history="1">
        <w:r w:rsidR="00F5363B" w:rsidRPr="0043397C">
          <w:rPr>
            <w:rStyle w:val="Hyperlink"/>
            <w:noProof/>
          </w:rPr>
          <w:t>Table 26:</w:t>
        </w:r>
        <w:r w:rsidR="00F5363B">
          <w:rPr>
            <w:rFonts w:asciiTheme="minorHAnsi" w:hAnsiTheme="minorHAnsi"/>
            <w:noProof/>
          </w:rPr>
          <w:tab/>
        </w:r>
        <w:r w:rsidR="00F5363B" w:rsidRPr="0043397C">
          <w:rPr>
            <w:rStyle w:val="Hyperlink"/>
            <w:noProof/>
          </w:rPr>
          <w:t>G2 Risk that climate change impacts across all domains will be exacerbated: Urgency profile</w:t>
        </w:r>
        <w:r w:rsidR="00F5363B">
          <w:rPr>
            <w:noProof/>
            <w:webHidden/>
          </w:rPr>
          <w:tab/>
        </w:r>
        <w:r w:rsidR="00F5363B">
          <w:rPr>
            <w:noProof/>
            <w:webHidden/>
          </w:rPr>
          <w:fldChar w:fldCharType="begin"/>
        </w:r>
        <w:r w:rsidR="00F5363B">
          <w:rPr>
            <w:noProof/>
            <w:webHidden/>
          </w:rPr>
          <w:instrText xml:space="preserve"> PAGEREF _Toc43312820 \h </w:instrText>
        </w:r>
        <w:r w:rsidR="00F5363B">
          <w:rPr>
            <w:noProof/>
            <w:webHidden/>
          </w:rPr>
        </w:r>
        <w:r w:rsidR="00F5363B">
          <w:rPr>
            <w:noProof/>
            <w:webHidden/>
          </w:rPr>
          <w:fldChar w:fldCharType="separate"/>
        </w:r>
        <w:r w:rsidR="00696B5A">
          <w:rPr>
            <w:noProof/>
            <w:webHidden/>
          </w:rPr>
          <w:t>96</w:t>
        </w:r>
        <w:r w:rsidR="00F5363B">
          <w:rPr>
            <w:noProof/>
            <w:webHidden/>
          </w:rPr>
          <w:fldChar w:fldCharType="end"/>
        </w:r>
      </w:hyperlink>
    </w:p>
    <w:p w14:paraId="643FB9FC" w14:textId="03C98A74" w:rsidR="00F5363B" w:rsidRDefault="00B45FF6">
      <w:pPr>
        <w:pStyle w:val="TableofFigures"/>
        <w:tabs>
          <w:tab w:val="right" w:pos="8495"/>
        </w:tabs>
        <w:rPr>
          <w:rFonts w:asciiTheme="minorHAnsi" w:hAnsiTheme="minorHAnsi"/>
          <w:noProof/>
        </w:rPr>
      </w:pPr>
      <w:hyperlink w:anchor="_Toc43312821" w:history="1">
        <w:r w:rsidR="00F5363B" w:rsidRPr="0043397C">
          <w:rPr>
            <w:rStyle w:val="Hyperlink"/>
            <w:noProof/>
          </w:rPr>
          <w:t>Table 27:</w:t>
        </w:r>
        <w:r w:rsidR="00F5363B">
          <w:rPr>
            <w:rFonts w:asciiTheme="minorHAnsi" w:hAnsiTheme="minorHAnsi"/>
            <w:noProof/>
          </w:rPr>
          <w:tab/>
        </w:r>
        <w:r w:rsidR="00F5363B" w:rsidRPr="0043397C">
          <w:rPr>
            <w:rStyle w:val="Hyperlink"/>
            <w:noProof/>
          </w:rPr>
          <w:t>EO1: Opportunity urgency profile</w:t>
        </w:r>
        <w:r w:rsidR="00F5363B">
          <w:rPr>
            <w:noProof/>
            <w:webHidden/>
          </w:rPr>
          <w:tab/>
        </w:r>
        <w:r w:rsidR="00F5363B">
          <w:rPr>
            <w:noProof/>
            <w:webHidden/>
          </w:rPr>
          <w:fldChar w:fldCharType="begin"/>
        </w:r>
        <w:r w:rsidR="00F5363B">
          <w:rPr>
            <w:noProof/>
            <w:webHidden/>
          </w:rPr>
          <w:instrText xml:space="preserve"> PAGEREF _Toc43312821 \h </w:instrText>
        </w:r>
        <w:r w:rsidR="00F5363B">
          <w:rPr>
            <w:noProof/>
            <w:webHidden/>
          </w:rPr>
        </w:r>
        <w:r w:rsidR="00F5363B">
          <w:rPr>
            <w:noProof/>
            <w:webHidden/>
          </w:rPr>
          <w:fldChar w:fldCharType="separate"/>
        </w:r>
        <w:r w:rsidR="00696B5A">
          <w:rPr>
            <w:noProof/>
            <w:webHidden/>
          </w:rPr>
          <w:t>99</w:t>
        </w:r>
        <w:r w:rsidR="00F5363B">
          <w:rPr>
            <w:noProof/>
            <w:webHidden/>
          </w:rPr>
          <w:fldChar w:fldCharType="end"/>
        </w:r>
      </w:hyperlink>
    </w:p>
    <w:p w14:paraId="7BCEF047" w14:textId="6D660576" w:rsidR="00F5363B" w:rsidRDefault="00B45FF6">
      <w:pPr>
        <w:pStyle w:val="TableofFigures"/>
        <w:tabs>
          <w:tab w:val="right" w:pos="8495"/>
        </w:tabs>
        <w:rPr>
          <w:rFonts w:asciiTheme="minorHAnsi" w:hAnsiTheme="minorHAnsi"/>
          <w:noProof/>
        </w:rPr>
      </w:pPr>
      <w:hyperlink w:anchor="_Toc43312822" w:history="1">
        <w:r w:rsidR="00F5363B" w:rsidRPr="0043397C">
          <w:rPr>
            <w:rStyle w:val="Hyperlink"/>
            <w:noProof/>
          </w:rPr>
          <w:t>Table 28:</w:t>
        </w:r>
        <w:r w:rsidR="00F5363B">
          <w:rPr>
            <w:rFonts w:asciiTheme="minorHAnsi" w:hAnsiTheme="minorHAnsi"/>
            <w:noProof/>
          </w:rPr>
          <w:tab/>
        </w:r>
        <w:r w:rsidR="00F5363B" w:rsidRPr="0043397C">
          <w:rPr>
            <w:rStyle w:val="Hyperlink"/>
            <w:noProof/>
          </w:rPr>
          <w:t>EO2: Opportunity urgency profile</w:t>
        </w:r>
        <w:r w:rsidR="00F5363B">
          <w:rPr>
            <w:noProof/>
            <w:webHidden/>
          </w:rPr>
          <w:tab/>
        </w:r>
        <w:r w:rsidR="00F5363B">
          <w:rPr>
            <w:noProof/>
            <w:webHidden/>
          </w:rPr>
          <w:fldChar w:fldCharType="begin"/>
        </w:r>
        <w:r w:rsidR="00F5363B">
          <w:rPr>
            <w:noProof/>
            <w:webHidden/>
          </w:rPr>
          <w:instrText xml:space="preserve"> PAGEREF _Toc43312822 \h </w:instrText>
        </w:r>
        <w:r w:rsidR="00F5363B">
          <w:rPr>
            <w:noProof/>
            <w:webHidden/>
          </w:rPr>
        </w:r>
        <w:r w:rsidR="00F5363B">
          <w:rPr>
            <w:noProof/>
            <w:webHidden/>
          </w:rPr>
          <w:fldChar w:fldCharType="separate"/>
        </w:r>
        <w:r w:rsidR="00696B5A">
          <w:rPr>
            <w:noProof/>
            <w:webHidden/>
          </w:rPr>
          <w:t>100</w:t>
        </w:r>
        <w:r w:rsidR="00F5363B">
          <w:rPr>
            <w:noProof/>
            <w:webHidden/>
          </w:rPr>
          <w:fldChar w:fldCharType="end"/>
        </w:r>
      </w:hyperlink>
    </w:p>
    <w:p w14:paraId="4CE4DE09" w14:textId="6DD8056D" w:rsidR="00F5363B" w:rsidRDefault="00B45FF6">
      <w:pPr>
        <w:pStyle w:val="TableofFigures"/>
        <w:tabs>
          <w:tab w:val="right" w:pos="8495"/>
        </w:tabs>
        <w:rPr>
          <w:rFonts w:asciiTheme="minorHAnsi" w:hAnsiTheme="minorHAnsi"/>
          <w:noProof/>
        </w:rPr>
      </w:pPr>
      <w:hyperlink w:anchor="_Toc43312823" w:history="1">
        <w:r w:rsidR="00F5363B" w:rsidRPr="0043397C">
          <w:rPr>
            <w:rStyle w:val="Hyperlink"/>
            <w:noProof/>
          </w:rPr>
          <w:t>Table 29:</w:t>
        </w:r>
        <w:r w:rsidR="00F5363B">
          <w:rPr>
            <w:rFonts w:asciiTheme="minorHAnsi" w:hAnsiTheme="minorHAnsi"/>
            <w:noProof/>
          </w:rPr>
          <w:tab/>
        </w:r>
        <w:r w:rsidR="00F5363B" w:rsidRPr="0043397C">
          <w:rPr>
            <w:rStyle w:val="Hyperlink"/>
            <w:noProof/>
          </w:rPr>
          <w:t>HO1: Opportunity urgency profile</w:t>
        </w:r>
        <w:r w:rsidR="00F5363B">
          <w:rPr>
            <w:noProof/>
            <w:webHidden/>
          </w:rPr>
          <w:tab/>
        </w:r>
        <w:r w:rsidR="00F5363B">
          <w:rPr>
            <w:noProof/>
            <w:webHidden/>
          </w:rPr>
          <w:fldChar w:fldCharType="begin"/>
        </w:r>
        <w:r w:rsidR="00F5363B">
          <w:rPr>
            <w:noProof/>
            <w:webHidden/>
          </w:rPr>
          <w:instrText xml:space="preserve"> PAGEREF _Toc43312823 \h </w:instrText>
        </w:r>
        <w:r w:rsidR="00F5363B">
          <w:rPr>
            <w:noProof/>
            <w:webHidden/>
          </w:rPr>
        </w:r>
        <w:r w:rsidR="00F5363B">
          <w:rPr>
            <w:noProof/>
            <w:webHidden/>
          </w:rPr>
          <w:fldChar w:fldCharType="separate"/>
        </w:r>
        <w:r w:rsidR="00696B5A">
          <w:rPr>
            <w:noProof/>
            <w:webHidden/>
          </w:rPr>
          <w:t>100</w:t>
        </w:r>
        <w:r w:rsidR="00F5363B">
          <w:rPr>
            <w:noProof/>
            <w:webHidden/>
          </w:rPr>
          <w:fldChar w:fldCharType="end"/>
        </w:r>
      </w:hyperlink>
    </w:p>
    <w:p w14:paraId="0326DE0F" w14:textId="4DAFAC72" w:rsidR="00F5363B" w:rsidRDefault="00B45FF6">
      <w:pPr>
        <w:pStyle w:val="TableofFigures"/>
        <w:tabs>
          <w:tab w:val="right" w:pos="8495"/>
        </w:tabs>
        <w:rPr>
          <w:rFonts w:asciiTheme="minorHAnsi" w:hAnsiTheme="minorHAnsi"/>
          <w:noProof/>
        </w:rPr>
      </w:pPr>
      <w:hyperlink w:anchor="_Toc43312824" w:history="1">
        <w:r w:rsidR="00F5363B" w:rsidRPr="0043397C">
          <w:rPr>
            <w:rStyle w:val="Hyperlink"/>
            <w:noProof/>
          </w:rPr>
          <w:t>Table 30:</w:t>
        </w:r>
        <w:r w:rsidR="00F5363B">
          <w:rPr>
            <w:rFonts w:asciiTheme="minorHAnsi" w:hAnsiTheme="minorHAnsi"/>
            <w:noProof/>
          </w:rPr>
          <w:tab/>
        </w:r>
        <w:r w:rsidR="00F5363B" w:rsidRPr="0043397C">
          <w:rPr>
            <w:rStyle w:val="Hyperlink"/>
            <w:noProof/>
          </w:rPr>
          <w:t>BO1: Opportunity urgency profile</w:t>
        </w:r>
        <w:r w:rsidR="00F5363B">
          <w:rPr>
            <w:noProof/>
            <w:webHidden/>
          </w:rPr>
          <w:tab/>
        </w:r>
        <w:r w:rsidR="00F5363B">
          <w:rPr>
            <w:noProof/>
            <w:webHidden/>
          </w:rPr>
          <w:fldChar w:fldCharType="begin"/>
        </w:r>
        <w:r w:rsidR="00F5363B">
          <w:rPr>
            <w:noProof/>
            <w:webHidden/>
          </w:rPr>
          <w:instrText xml:space="preserve"> PAGEREF _Toc43312824 \h </w:instrText>
        </w:r>
        <w:r w:rsidR="00F5363B">
          <w:rPr>
            <w:noProof/>
            <w:webHidden/>
          </w:rPr>
        </w:r>
        <w:r w:rsidR="00F5363B">
          <w:rPr>
            <w:noProof/>
            <w:webHidden/>
          </w:rPr>
          <w:fldChar w:fldCharType="separate"/>
        </w:r>
        <w:r w:rsidR="00696B5A">
          <w:rPr>
            <w:noProof/>
            <w:webHidden/>
          </w:rPr>
          <w:t>101</w:t>
        </w:r>
        <w:r w:rsidR="00F5363B">
          <w:rPr>
            <w:noProof/>
            <w:webHidden/>
          </w:rPr>
          <w:fldChar w:fldCharType="end"/>
        </w:r>
      </w:hyperlink>
    </w:p>
    <w:p w14:paraId="05219050" w14:textId="77777777" w:rsidR="00532334" w:rsidRPr="005D6D89" w:rsidRDefault="004943C2" w:rsidP="00BC40CF">
      <w:pPr>
        <w:pStyle w:val="Heading"/>
        <w:spacing w:before="240" w:after="240"/>
      </w:pPr>
      <w:r w:rsidRPr="005D6D89">
        <w:fldChar w:fldCharType="end"/>
      </w:r>
      <w:r w:rsidR="00B51610" w:rsidRPr="005D6D89">
        <w:t>Figure</w:t>
      </w:r>
      <w:r w:rsidR="00532334" w:rsidRPr="005D6D89">
        <w:t>s</w:t>
      </w:r>
    </w:p>
    <w:p w14:paraId="73A9FCA4" w14:textId="165FCE35" w:rsidR="00B5380B" w:rsidRDefault="004943C2">
      <w:pPr>
        <w:pStyle w:val="TableofFigures"/>
        <w:tabs>
          <w:tab w:val="right" w:pos="8495"/>
        </w:tabs>
        <w:rPr>
          <w:rFonts w:asciiTheme="minorHAnsi" w:hAnsiTheme="minorHAnsi"/>
          <w:noProof/>
        </w:rPr>
      </w:pPr>
      <w:r w:rsidRPr="005D6D89">
        <w:fldChar w:fldCharType="begin"/>
      </w:r>
      <w:r w:rsidRPr="005D6D89">
        <w:instrText xml:space="preserve"> TOC \h \z \t "Figure heading" \c </w:instrText>
      </w:r>
      <w:r w:rsidRPr="005D6D89">
        <w:fldChar w:fldCharType="separate"/>
      </w:r>
      <w:hyperlink w:anchor="_Toc43312892" w:history="1">
        <w:r w:rsidR="00B5380B" w:rsidRPr="00FF5F48">
          <w:rPr>
            <w:rStyle w:val="Hyperlink"/>
            <w:noProof/>
          </w:rPr>
          <w:t xml:space="preserve">Figure 1: </w:t>
        </w:r>
        <w:r w:rsidR="00B5380B">
          <w:rPr>
            <w:rFonts w:asciiTheme="minorHAnsi" w:hAnsiTheme="minorHAnsi"/>
            <w:noProof/>
          </w:rPr>
          <w:tab/>
        </w:r>
        <w:r w:rsidR="00B5380B" w:rsidRPr="00FF5F48">
          <w:rPr>
            <w:rStyle w:val="Hyperlink"/>
            <w:noProof/>
          </w:rPr>
          <w:t xml:space="preserve">Relationship between the NCCRA framework, National Climate Change Risk Assessment, and </w:t>
        </w:r>
        <w:r w:rsidR="002B0472">
          <w:rPr>
            <w:rStyle w:val="Hyperlink"/>
            <w:noProof/>
          </w:rPr>
          <w:t>n</w:t>
        </w:r>
        <w:r w:rsidR="002B0472" w:rsidRPr="00FF5F48">
          <w:rPr>
            <w:rStyle w:val="Hyperlink"/>
            <w:noProof/>
          </w:rPr>
          <w:t xml:space="preserve">ational </w:t>
        </w:r>
        <w:r w:rsidR="002B0472">
          <w:rPr>
            <w:rStyle w:val="Hyperlink"/>
            <w:noProof/>
          </w:rPr>
          <w:t>a</w:t>
        </w:r>
        <w:r w:rsidR="002B0472" w:rsidRPr="00FF5F48">
          <w:rPr>
            <w:rStyle w:val="Hyperlink"/>
            <w:noProof/>
          </w:rPr>
          <w:t xml:space="preserve">daptation </w:t>
        </w:r>
        <w:r w:rsidR="002B0472">
          <w:rPr>
            <w:rStyle w:val="Hyperlink"/>
            <w:noProof/>
          </w:rPr>
          <w:t>p</w:t>
        </w:r>
        <w:r w:rsidR="002B0472" w:rsidRPr="00FF5F48">
          <w:rPr>
            <w:rStyle w:val="Hyperlink"/>
            <w:noProof/>
          </w:rPr>
          <w:t>lan</w:t>
        </w:r>
        <w:r w:rsidR="00B5380B">
          <w:rPr>
            <w:noProof/>
            <w:webHidden/>
          </w:rPr>
          <w:tab/>
        </w:r>
        <w:r w:rsidR="00B5380B">
          <w:rPr>
            <w:noProof/>
            <w:webHidden/>
          </w:rPr>
          <w:fldChar w:fldCharType="begin"/>
        </w:r>
        <w:r w:rsidR="00B5380B">
          <w:rPr>
            <w:noProof/>
            <w:webHidden/>
          </w:rPr>
          <w:instrText xml:space="preserve"> PAGEREF _Toc43312892 \h </w:instrText>
        </w:r>
        <w:r w:rsidR="00B5380B">
          <w:rPr>
            <w:noProof/>
            <w:webHidden/>
          </w:rPr>
        </w:r>
        <w:r w:rsidR="00B5380B">
          <w:rPr>
            <w:noProof/>
            <w:webHidden/>
          </w:rPr>
          <w:fldChar w:fldCharType="separate"/>
        </w:r>
        <w:r w:rsidR="00696B5A">
          <w:rPr>
            <w:noProof/>
            <w:webHidden/>
          </w:rPr>
          <w:t>7</w:t>
        </w:r>
        <w:r w:rsidR="00B5380B">
          <w:rPr>
            <w:noProof/>
            <w:webHidden/>
          </w:rPr>
          <w:fldChar w:fldCharType="end"/>
        </w:r>
      </w:hyperlink>
    </w:p>
    <w:p w14:paraId="5B4E1D86" w14:textId="4233A4FC" w:rsidR="00B5380B" w:rsidRDefault="00B45FF6">
      <w:pPr>
        <w:pStyle w:val="TableofFigures"/>
        <w:tabs>
          <w:tab w:val="right" w:pos="8495"/>
        </w:tabs>
        <w:rPr>
          <w:rFonts w:asciiTheme="minorHAnsi" w:hAnsiTheme="minorHAnsi"/>
          <w:noProof/>
        </w:rPr>
      </w:pPr>
      <w:hyperlink w:anchor="_Toc43312893" w:history="1">
        <w:r w:rsidR="00B5380B" w:rsidRPr="00FF5F48">
          <w:rPr>
            <w:rStyle w:val="Hyperlink"/>
            <w:noProof/>
          </w:rPr>
          <w:t>Figure 2:</w:t>
        </w:r>
        <w:r w:rsidR="00B5380B">
          <w:rPr>
            <w:rFonts w:asciiTheme="minorHAnsi" w:hAnsiTheme="minorHAnsi"/>
            <w:noProof/>
          </w:rPr>
          <w:tab/>
        </w:r>
        <w:r w:rsidR="00B5380B" w:rsidRPr="00FF5F48">
          <w:rPr>
            <w:rStyle w:val="Hyperlink"/>
            <w:noProof/>
          </w:rPr>
          <w:t>NCCRA process</w:t>
        </w:r>
        <w:r w:rsidR="00B5380B">
          <w:rPr>
            <w:noProof/>
            <w:webHidden/>
          </w:rPr>
          <w:tab/>
        </w:r>
        <w:r w:rsidR="00B5380B">
          <w:rPr>
            <w:noProof/>
            <w:webHidden/>
          </w:rPr>
          <w:fldChar w:fldCharType="begin"/>
        </w:r>
        <w:r w:rsidR="00B5380B">
          <w:rPr>
            <w:noProof/>
            <w:webHidden/>
          </w:rPr>
          <w:instrText xml:space="preserve"> PAGEREF _Toc43312893 \h </w:instrText>
        </w:r>
        <w:r w:rsidR="00B5380B">
          <w:rPr>
            <w:noProof/>
            <w:webHidden/>
          </w:rPr>
        </w:r>
        <w:r w:rsidR="00B5380B">
          <w:rPr>
            <w:noProof/>
            <w:webHidden/>
          </w:rPr>
          <w:fldChar w:fldCharType="separate"/>
        </w:r>
        <w:r w:rsidR="00696B5A">
          <w:rPr>
            <w:noProof/>
            <w:webHidden/>
          </w:rPr>
          <w:t>21</w:t>
        </w:r>
        <w:r w:rsidR="00B5380B">
          <w:rPr>
            <w:noProof/>
            <w:webHidden/>
          </w:rPr>
          <w:fldChar w:fldCharType="end"/>
        </w:r>
      </w:hyperlink>
    </w:p>
    <w:p w14:paraId="5ECF7545" w14:textId="60E541D8" w:rsidR="00B5380B" w:rsidRDefault="00B45FF6">
      <w:pPr>
        <w:pStyle w:val="TableofFigures"/>
        <w:tabs>
          <w:tab w:val="right" w:pos="8495"/>
        </w:tabs>
        <w:rPr>
          <w:rFonts w:asciiTheme="minorHAnsi" w:hAnsiTheme="minorHAnsi"/>
          <w:noProof/>
        </w:rPr>
      </w:pPr>
      <w:hyperlink w:anchor="_Toc43312894" w:history="1">
        <w:r w:rsidR="00B5380B" w:rsidRPr="00FF5F48">
          <w:rPr>
            <w:rStyle w:val="Hyperlink"/>
            <w:noProof/>
          </w:rPr>
          <w:t>Figure 3:</w:t>
        </w:r>
        <w:r w:rsidR="00B5380B">
          <w:rPr>
            <w:rFonts w:asciiTheme="minorHAnsi" w:hAnsiTheme="minorHAnsi"/>
            <w:noProof/>
          </w:rPr>
          <w:tab/>
        </w:r>
        <w:r w:rsidR="00B5380B" w:rsidRPr="00FF5F48">
          <w:rPr>
            <w:rStyle w:val="Hyperlink"/>
            <w:noProof/>
          </w:rPr>
          <w:t>NCCRA urgency categories</w:t>
        </w:r>
        <w:r w:rsidR="00B5380B">
          <w:rPr>
            <w:noProof/>
            <w:webHidden/>
          </w:rPr>
          <w:tab/>
        </w:r>
        <w:r w:rsidR="00B5380B">
          <w:rPr>
            <w:noProof/>
            <w:webHidden/>
          </w:rPr>
          <w:fldChar w:fldCharType="begin"/>
        </w:r>
        <w:r w:rsidR="00B5380B">
          <w:rPr>
            <w:noProof/>
            <w:webHidden/>
          </w:rPr>
          <w:instrText xml:space="preserve"> PAGEREF _Toc43312894 \h </w:instrText>
        </w:r>
        <w:r w:rsidR="00B5380B">
          <w:rPr>
            <w:noProof/>
            <w:webHidden/>
          </w:rPr>
        </w:r>
        <w:r w:rsidR="00B5380B">
          <w:rPr>
            <w:noProof/>
            <w:webHidden/>
          </w:rPr>
          <w:fldChar w:fldCharType="separate"/>
        </w:r>
        <w:r w:rsidR="00696B5A">
          <w:rPr>
            <w:noProof/>
            <w:webHidden/>
          </w:rPr>
          <w:t>26</w:t>
        </w:r>
        <w:r w:rsidR="00B5380B">
          <w:rPr>
            <w:noProof/>
            <w:webHidden/>
          </w:rPr>
          <w:fldChar w:fldCharType="end"/>
        </w:r>
      </w:hyperlink>
    </w:p>
    <w:p w14:paraId="57D2BEDE" w14:textId="214EAA07" w:rsidR="00B5380B" w:rsidRDefault="00B45FF6">
      <w:pPr>
        <w:pStyle w:val="TableofFigures"/>
        <w:tabs>
          <w:tab w:val="right" w:pos="8495"/>
        </w:tabs>
        <w:rPr>
          <w:rFonts w:asciiTheme="minorHAnsi" w:hAnsiTheme="minorHAnsi"/>
          <w:noProof/>
        </w:rPr>
      </w:pPr>
      <w:hyperlink w:anchor="_Toc43312895" w:history="1">
        <w:r w:rsidR="00B5380B" w:rsidRPr="00FF5F48">
          <w:rPr>
            <w:rStyle w:val="Hyperlink"/>
            <w:noProof/>
          </w:rPr>
          <w:t>Figure 4:</w:t>
        </w:r>
        <w:r w:rsidR="00B5380B">
          <w:rPr>
            <w:rFonts w:asciiTheme="minorHAnsi" w:hAnsiTheme="minorHAnsi"/>
            <w:noProof/>
          </w:rPr>
          <w:tab/>
        </w:r>
        <w:r w:rsidR="00B5380B" w:rsidRPr="00FF5F48">
          <w:rPr>
            <w:rStyle w:val="Hyperlink"/>
            <w:noProof/>
          </w:rPr>
          <w:t>Treasury’s Living Standards Framework (LSF) for wellbeing and the He Ara Waiora framework (Ministry for the Environment, 2019)</w:t>
        </w:r>
        <w:r w:rsidR="00B5380B">
          <w:rPr>
            <w:noProof/>
            <w:webHidden/>
          </w:rPr>
          <w:tab/>
        </w:r>
        <w:r w:rsidR="00B5380B">
          <w:rPr>
            <w:noProof/>
            <w:webHidden/>
          </w:rPr>
          <w:fldChar w:fldCharType="begin"/>
        </w:r>
        <w:r w:rsidR="00B5380B">
          <w:rPr>
            <w:noProof/>
            <w:webHidden/>
          </w:rPr>
          <w:instrText xml:space="preserve"> PAGEREF _Toc43312895 \h </w:instrText>
        </w:r>
        <w:r w:rsidR="00B5380B">
          <w:rPr>
            <w:noProof/>
            <w:webHidden/>
          </w:rPr>
        </w:r>
        <w:r w:rsidR="00B5380B">
          <w:rPr>
            <w:noProof/>
            <w:webHidden/>
          </w:rPr>
          <w:fldChar w:fldCharType="separate"/>
        </w:r>
        <w:r w:rsidR="00696B5A">
          <w:rPr>
            <w:noProof/>
            <w:webHidden/>
          </w:rPr>
          <w:t>31</w:t>
        </w:r>
        <w:r w:rsidR="00B5380B">
          <w:rPr>
            <w:noProof/>
            <w:webHidden/>
          </w:rPr>
          <w:fldChar w:fldCharType="end"/>
        </w:r>
      </w:hyperlink>
    </w:p>
    <w:p w14:paraId="4AF12C94" w14:textId="53AA8A64" w:rsidR="00B5380B" w:rsidRDefault="00B45FF6">
      <w:pPr>
        <w:pStyle w:val="TableofFigures"/>
        <w:tabs>
          <w:tab w:val="right" w:pos="8495"/>
        </w:tabs>
        <w:rPr>
          <w:rFonts w:asciiTheme="minorHAnsi" w:hAnsiTheme="minorHAnsi"/>
          <w:noProof/>
        </w:rPr>
      </w:pPr>
      <w:hyperlink w:anchor="_Toc43312896" w:history="1">
        <w:r w:rsidR="00B5380B" w:rsidRPr="00FF5F48">
          <w:rPr>
            <w:rStyle w:val="Hyperlink"/>
            <w:noProof/>
          </w:rPr>
          <w:t>Figure 5:</w:t>
        </w:r>
        <w:r w:rsidR="00B5380B">
          <w:rPr>
            <w:rFonts w:asciiTheme="minorHAnsi" w:hAnsiTheme="minorHAnsi"/>
            <w:noProof/>
          </w:rPr>
          <w:tab/>
        </w:r>
        <w:r w:rsidR="00B5380B" w:rsidRPr="00FF5F48">
          <w:rPr>
            <w:rStyle w:val="Hyperlink"/>
            <w:noProof/>
          </w:rPr>
          <w:t>Global average surface temperature change from 2006 to 2100 as determined by multi-model simulations relative to 1986–2005</w:t>
        </w:r>
        <w:r w:rsidR="00B5380B">
          <w:rPr>
            <w:noProof/>
            <w:webHidden/>
          </w:rPr>
          <w:tab/>
        </w:r>
        <w:r w:rsidR="00B5380B">
          <w:rPr>
            <w:noProof/>
            <w:webHidden/>
          </w:rPr>
          <w:fldChar w:fldCharType="begin"/>
        </w:r>
        <w:r w:rsidR="00B5380B">
          <w:rPr>
            <w:noProof/>
            <w:webHidden/>
          </w:rPr>
          <w:instrText xml:space="preserve"> PAGEREF _Toc43312896 \h </w:instrText>
        </w:r>
        <w:r w:rsidR="00B5380B">
          <w:rPr>
            <w:noProof/>
            <w:webHidden/>
          </w:rPr>
        </w:r>
        <w:r w:rsidR="00B5380B">
          <w:rPr>
            <w:noProof/>
            <w:webHidden/>
          </w:rPr>
          <w:fldChar w:fldCharType="separate"/>
        </w:r>
        <w:r w:rsidR="00696B5A">
          <w:rPr>
            <w:noProof/>
            <w:webHidden/>
          </w:rPr>
          <w:t>36</w:t>
        </w:r>
        <w:r w:rsidR="00B5380B">
          <w:rPr>
            <w:noProof/>
            <w:webHidden/>
          </w:rPr>
          <w:fldChar w:fldCharType="end"/>
        </w:r>
      </w:hyperlink>
    </w:p>
    <w:p w14:paraId="2148131E" w14:textId="0DE4C17E" w:rsidR="00B5380B" w:rsidRDefault="00B45FF6">
      <w:pPr>
        <w:pStyle w:val="TableofFigures"/>
        <w:tabs>
          <w:tab w:val="right" w:pos="8495"/>
        </w:tabs>
        <w:rPr>
          <w:rFonts w:asciiTheme="minorHAnsi" w:hAnsiTheme="minorHAnsi"/>
          <w:noProof/>
        </w:rPr>
      </w:pPr>
      <w:hyperlink w:anchor="_Toc43312897" w:history="1">
        <w:r w:rsidR="00B5380B" w:rsidRPr="00FF5F48">
          <w:rPr>
            <w:rStyle w:val="Hyperlink"/>
            <w:noProof/>
          </w:rPr>
          <w:t>Figure 6:</w:t>
        </w:r>
        <w:r w:rsidR="00B5380B">
          <w:rPr>
            <w:rFonts w:asciiTheme="minorHAnsi" w:hAnsiTheme="minorHAnsi"/>
            <w:noProof/>
          </w:rPr>
          <w:tab/>
        </w:r>
        <w:r w:rsidR="00B5380B" w:rsidRPr="00FF5F48">
          <w:rPr>
            <w:rStyle w:val="Hyperlink"/>
            <w:noProof/>
          </w:rPr>
          <w:t>Projected global sea-level rise until 2300</w:t>
        </w:r>
        <w:r w:rsidR="00B5380B">
          <w:rPr>
            <w:noProof/>
            <w:webHidden/>
          </w:rPr>
          <w:tab/>
        </w:r>
        <w:r w:rsidR="00B5380B">
          <w:rPr>
            <w:noProof/>
            <w:webHidden/>
          </w:rPr>
          <w:fldChar w:fldCharType="begin"/>
        </w:r>
        <w:r w:rsidR="00B5380B">
          <w:rPr>
            <w:noProof/>
            <w:webHidden/>
          </w:rPr>
          <w:instrText xml:space="preserve"> PAGEREF _Toc43312897 \h </w:instrText>
        </w:r>
        <w:r w:rsidR="00B5380B">
          <w:rPr>
            <w:noProof/>
            <w:webHidden/>
          </w:rPr>
        </w:r>
        <w:r w:rsidR="00B5380B">
          <w:rPr>
            <w:noProof/>
            <w:webHidden/>
          </w:rPr>
          <w:fldChar w:fldCharType="separate"/>
        </w:r>
        <w:r w:rsidR="00696B5A">
          <w:rPr>
            <w:noProof/>
            <w:webHidden/>
          </w:rPr>
          <w:t>37</w:t>
        </w:r>
        <w:r w:rsidR="00B5380B">
          <w:rPr>
            <w:noProof/>
            <w:webHidden/>
          </w:rPr>
          <w:fldChar w:fldCharType="end"/>
        </w:r>
      </w:hyperlink>
    </w:p>
    <w:p w14:paraId="65122835" w14:textId="76DB1F4E" w:rsidR="00B5380B" w:rsidRDefault="00B45FF6">
      <w:pPr>
        <w:pStyle w:val="TableofFigures"/>
        <w:tabs>
          <w:tab w:val="right" w:pos="8495"/>
        </w:tabs>
        <w:rPr>
          <w:rFonts w:asciiTheme="minorHAnsi" w:hAnsiTheme="minorHAnsi"/>
          <w:noProof/>
        </w:rPr>
      </w:pPr>
      <w:hyperlink w:anchor="_Toc43312898" w:history="1">
        <w:r w:rsidR="00B5380B" w:rsidRPr="00FF5F48">
          <w:rPr>
            <w:rStyle w:val="Hyperlink"/>
            <w:noProof/>
          </w:rPr>
          <w:t>Figure 7:</w:t>
        </w:r>
        <w:r w:rsidR="00B5380B">
          <w:rPr>
            <w:rFonts w:asciiTheme="minorHAnsi" w:hAnsiTheme="minorHAnsi"/>
            <w:noProof/>
          </w:rPr>
          <w:tab/>
        </w:r>
        <w:r w:rsidR="00B5380B" w:rsidRPr="00FF5F48">
          <w:rPr>
            <w:rStyle w:val="Hyperlink"/>
            <w:noProof/>
          </w:rPr>
          <w:t>NCCRA risks arranged by the ‘more action needed’ category</w:t>
        </w:r>
        <w:r w:rsidR="00B5380B">
          <w:rPr>
            <w:noProof/>
            <w:webHidden/>
          </w:rPr>
          <w:tab/>
        </w:r>
        <w:r w:rsidR="00B5380B">
          <w:rPr>
            <w:noProof/>
            <w:webHidden/>
          </w:rPr>
          <w:fldChar w:fldCharType="begin"/>
        </w:r>
        <w:r w:rsidR="00B5380B">
          <w:rPr>
            <w:noProof/>
            <w:webHidden/>
          </w:rPr>
          <w:instrText xml:space="preserve"> PAGEREF _Toc43312898 \h </w:instrText>
        </w:r>
        <w:r w:rsidR="00B5380B">
          <w:rPr>
            <w:noProof/>
            <w:webHidden/>
          </w:rPr>
        </w:r>
        <w:r w:rsidR="00B5380B">
          <w:rPr>
            <w:noProof/>
            <w:webHidden/>
          </w:rPr>
          <w:fldChar w:fldCharType="separate"/>
        </w:r>
        <w:r w:rsidR="00696B5A">
          <w:rPr>
            <w:noProof/>
            <w:webHidden/>
          </w:rPr>
          <w:t>41</w:t>
        </w:r>
        <w:r w:rsidR="00B5380B">
          <w:rPr>
            <w:noProof/>
            <w:webHidden/>
          </w:rPr>
          <w:fldChar w:fldCharType="end"/>
        </w:r>
      </w:hyperlink>
    </w:p>
    <w:p w14:paraId="049D6FF2" w14:textId="261BE7E7" w:rsidR="00B5380B" w:rsidRDefault="00B45FF6">
      <w:pPr>
        <w:pStyle w:val="TableofFigures"/>
        <w:tabs>
          <w:tab w:val="right" w:pos="8495"/>
        </w:tabs>
        <w:rPr>
          <w:rFonts w:asciiTheme="minorHAnsi" w:hAnsiTheme="minorHAnsi"/>
          <w:noProof/>
        </w:rPr>
      </w:pPr>
      <w:hyperlink w:anchor="_Toc43312899" w:history="1">
        <w:r w:rsidR="00B5380B" w:rsidRPr="00FF5F48">
          <w:rPr>
            <w:rStyle w:val="Hyperlink"/>
            <w:noProof/>
          </w:rPr>
          <w:t>Figure 8:</w:t>
        </w:r>
        <w:r w:rsidR="00B5380B">
          <w:rPr>
            <w:rFonts w:asciiTheme="minorHAnsi" w:hAnsiTheme="minorHAnsi"/>
            <w:noProof/>
          </w:rPr>
          <w:tab/>
        </w:r>
        <w:r w:rsidR="00B5380B" w:rsidRPr="00FF5F48">
          <w:rPr>
            <w:rStyle w:val="Hyperlink"/>
            <w:noProof/>
          </w:rPr>
          <w:t>NCCRA risks arranged by the ‘research priority’ category</w:t>
        </w:r>
        <w:r w:rsidR="00B5380B">
          <w:rPr>
            <w:noProof/>
            <w:webHidden/>
          </w:rPr>
          <w:tab/>
        </w:r>
        <w:r w:rsidR="00B5380B">
          <w:rPr>
            <w:noProof/>
            <w:webHidden/>
          </w:rPr>
          <w:fldChar w:fldCharType="begin"/>
        </w:r>
        <w:r w:rsidR="00B5380B">
          <w:rPr>
            <w:noProof/>
            <w:webHidden/>
          </w:rPr>
          <w:instrText xml:space="preserve"> PAGEREF _Toc43312899 \h </w:instrText>
        </w:r>
        <w:r w:rsidR="00B5380B">
          <w:rPr>
            <w:noProof/>
            <w:webHidden/>
          </w:rPr>
        </w:r>
        <w:r w:rsidR="00B5380B">
          <w:rPr>
            <w:noProof/>
            <w:webHidden/>
          </w:rPr>
          <w:fldChar w:fldCharType="separate"/>
        </w:r>
        <w:r w:rsidR="00696B5A">
          <w:rPr>
            <w:noProof/>
            <w:webHidden/>
          </w:rPr>
          <w:t>42</w:t>
        </w:r>
        <w:r w:rsidR="00B5380B">
          <w:rPr>
            <w:noProof/>
            <w:webHidden/>
          </w:rPr>
          <w:fldChar w:fldCharType="end"/>
        </w:r>
      </w:hyperlink>
    </w:p>
    <w:p w14:paraId="26DC3F9A" w14:textId="2499ED37" w:rsidR="00B5380B" w:rsidRDefault="00B45FF6">
      <w:pPr>
        <w:pStyle w:val="TableofFigures"/>
        <w:tabs>
          <w:tab w:val="right" w:pos="8495"/>
        </w:tabs>
        <w:rPr>
          <w:rFonts w:asciiTheme="minorHAnsi" w:hAnsiTheme="minorHAnsi"/>
          <w:noProof/>
        </w:rPr>
      </w:pPr>
      <w:hyperlink w:anchor="_Toc43312900" w:history="1">
        <w:r w:rsidR="00B5380B" w:rsidRPr="00FF5F48">
          <w:rPr>
            <w:rStyle w:val="Hyperlink"/>
            <w:noProof/>
          </w:rPr>
          <w:t>Figure 9:</w:t>
        </w:r>
        <w:r w:rsidR="00B5380B">
          <w:rPr>
            <w:rFonts w:asciiTheme="minorHAnsi" w:hAnsiTheme="minorHAnsi"/>
            <w:noProof/>
          </w:rPr>
          <w:tab/>
        </w:r>
        <w:r w:rsidR="00B5380B" w:rsidRPr="00FF5F48">
          <w:rPr>
            <w:rStyle w:val="Hyperlink"/>
            <w:noProof/>
          </w:rPr>
          <w:t>A transmission map from a climate hazard to financial sector losses and the macroeconomy (Batten, Sowerbutts, and Tanaka, 2016)</w:t>
        </w:r>
        <w:r w:rsidR="00B5380B">
          <w:rPr>
            <w:noProof/>
            <w:webHidden/>
          </w:rPr>
          <w:tab/>
        </w:r>
        <w:r w:rsidR="00B5380B">
          <w:rPr>
            <w:noProof/>
            <w:webHidden/>
          </w:rPr>
          <w:fldChar w:fldCharType="begin"/>
        </w:r>
        <w:r w:rsidR="00B5380B">
          <w:rPr>
            <w:noProof/>
            <w:webHidden/>
          </w:rPr>
          <w:instrText xml:space="preserve"> PAGEREF _Toc43312900 \h </w:instrText>
        </w:r>
        <w:r w:rsidR="00B5380B">
          <w:rPr>
            <w:noProof/>
            <w:webHidden/>
          </w:rPr>
        </w:r>
        <w:r w:rsidR="00B5380B">
          <w:rPr>
            <w:noProof/>
            <w:webHidden/>
          </w:rPr>
          <w:fldChar w:fldCharType="separate"/>
        </w:r>
        <w:r w:rsidR="00696B5A">
          <w:rPr>
            <w:noProof/>
            <w:webHidden/>
          </w:rPr>
          <w:t>75</w:t>
        </w:r>
        <w:r w:rsidR="00B5380B">
          <w:rPr>
            <w:noProof/>
            <w:webHidden/>
          </w:rPr>
          <w:fldChar w:fldCharType="end"/>
        </w:r>
      </w:hyperlink>
    </w:p>
    <w:p w14:paraId="6A80C29F" w14:textId="715232D9" w:rsidR="00B5380B" w:rsidRDefault="00B45FF6">
      <w:pPr>
        <w:pStyle w:val="TableofFigures"/>
        <w:tabs>
          <w:tab w:val="right" w:pos="8495"/>
        </w:tabs>
        <w:rPr>
          <w:rStyle w:val="Hyperlink"/>
          <w:noProof/>
        </w:rPr>
      </w:pPr>
      <w:hyperlink w:anchor="_Toc43312901" w:history="1">
        <w:r w:rsidR="00B5380B" w:rsidRPr="00FF5F48">
          <w:rPr>
            <w:rStyle w:val="Hyperlink"/>
            <w:noProof/>
          </w:rPr>
          <w:t>Figure 10:</w:t>
        </w:r>
        <w:r w:rsidR="00B5380B">
          <w:rPr>
            <w:rFonts w:asciiTheme="minorHAnsi" w:hAnsiTheme="minorHAnsi"/>
            <w:noProof/>
          </w:rPr>
          <w:tab/>
        </w:r>
        <w:r w:rsidR="00B5380B" w:rsidRPr="00FF5F48">
          <w:rPr>
            <w:rStyle w:val="Hyperlink"/>
            <w:noProof/>
          </w:rPr>
          <w:t>Cascading systems loop – Risks to wastewater and stormwater systems (rainfall only) (Risk B4)</w:t>
        </w:r>
        <w:r w:rsidR="00B5380B">
          <w:rPr>
            <w:noProof/>
            <w:webHidden/>
          </w:rPr>
          <w:tab/>
        </w:r>
        <w:r w:rsidR="00B5380B">
          <w:rPr>
            <w:noProof/>
            <w:webHidden/>
          </w:rPr>
          <w:fldChar w:fldCharType="begin"/>
        </w:r>
        <w:r w:rsidR="00B5380B">
          <w:rPr>
            <w:noProof/>
            <w:webHidden/>
          </w:rPr>
          <w:instrText xml:space="preserve"> PAGEREF _Toc43312901 \h </w:instrText>
        </w:r>
        <w:r w:rsidR="00B5380B">
          <w:rPr>
            <w:noProof/>
            <w:webHidden/>
          </w:rPr>
        </w:r>
        <w:r w:rsidR="00B5380B">
          <w:rPr>
            <w:noProof/>
            <w:webHidden/>
          </w:rPr>
          <w:fldChar w:fldCharType="separate"/>
        </w:r>
        <w:r w:rsidR="00696B5A">
          <w:rPr>
            <w:noProof/>
            <w:webHidden/>
          </w:rPr>
          <w:t>103</w:t>
        </w:r>
        <w:r w:rsidR="00B5380B">
          <w:rPr>
            <w:noProof/>
            <w:webHidden/>
          </w:rPr>
          <w:fldChar w:fldCharType="end"/>
        </w:r>
      </w:hyperlink>
    </w:p>
    <w:p w14:paraId="68B73922" w14:textId="77777777" w:rsidR="00B5380B" w:rsidRDefault="00B5380B" w:rsidP="00B5380B">
      <w:pPr>
        <w:rPr>
          <w:noProof/>
        </w:rPr>
      </w:pPr>
    </w:p>
    <w:p w14:paraId="5817B25B" w14:textId="77777777" w:rsidR="00870559" w:rsidRPr="005D6D89" w:rsidRDefault="004943C2" w:rsidP="00870559">
      <w:pPr>
        <w:pStyle w:val="Heading"/>
      </w:pPr>
      <w:r w:rsidRPr="005D6D89">
        <w:fldChar w:fldCharType="end"/>
      </w:r>
      <w:r w:rsidR="00870559" w:rsidRPr="005D6D89">
        <w:t>Boxes</w:t>
      </w:r>
    </w:p>
    <w:p w14:paraId="20222135" w14:textId="5F1EEEB2" w:rsidR="00225DCE" w:rsidRDefault="00870559">
      <w:pPr>
        <w:pStyle w:val="TableofFigures"/>
        <w:tabs>
          <w:tab w:val="right" w:pos="8495"/>
        </w:tabs>
        <w:rPr>
          <w:rFonts w:asciiTheme="minorHAnsi" w:hAnsiTheme="minorHAnsi"/>
          <w:noProof/>
        </w:rPr>
      </w:pPr>
      <w:r w:rsidRPr="005D6D89">
        <w:fldChar w:fldCharType="begin"/>
      </w:r>
      <w:r w:rsidRPr="005D6D89">
        <w:instrText xml:space="preserve"> TOC \h \z \t "Box headings" \c </w:instrText>
      </w:r>
      <w:r w:rsidRPr="005D6D89">
        <w:fldChar w:fldCharType="separate"/>
      </w:r>
      <w:hyperlink w:anchor="_Toc43201224" w:history="1">
        <w:r w:rsidR="00225DCE" w:rsidRPr="00025DF9">
          <w:rPr>
            <w:rStyle w:val="Hyperlink"/>
            <w:noProof/>
          </w:rPr>
          <w:t xml:space="preserve">Box 1: </w:t>
        </w:r>
        <w:r w:rsidR="00225DCE">
          <w:rPr>
            <w:rFonts w:asciiTheme="minorHAnsi" w:hAnsiTheme="minorHAnsi"/>
            <w:noProof/>
          </w:rPr>
          <w:tab/>
        </w:r>
        <w:r w:rsidR="00637285">
          <w:rPr>
            <w:rStyle w:val="Hyperlink"/>
            <w:noProof/>
          </w:rPr>
          <w:t>Representative concentration p</w:t>
        </w:r>
        <w:r w:rsidR="00225DCE" w:rsidRPr="00025DF9">
          <w:rPr>
            <w:rStyle w:val="Hyperlink"/>
            <w:noProof/>
          </w:rPr>
          <w:t>athways</w:t>
        </w:r>
        <w:r w:rsidR="00225DCE">
          <w:rPr>
            <w:noProof/>
            <w:webHidden/>
          </w:rPr>
          <w:tab/>
        </w:r>
        <w:r w:rsidR="00225DCE">
          <w:rPr>
            <w:noProof/>
            <w:webHidden/>
          </w:rPr>
          <w:fldChar w:fldCharType="begin"/>
        </w:r>
        <w:r w:rsidR="00225DCE">
          <w:rPr>
            <w:noProof/>
            <w:webHidden/>
          </w:rPr>
          <w:instrText xml:space="preserve"> PAGEREF _Toc43201224 \h </w:instrText>
        </w:r>
        <w:r w:rsidR="00225DCE">
          <w:rPr>
            <w:noProof/>
            <w:webHidden/>
          </w:rPr>
        </w:r>
        <w:r w:rsidR="00225DCE">
          <w:rPr>
            <w:noProof/>
            <w:webHidden/>
          </w:rPr>
          <w:fldChar w:fldCharType="separate"/>
        </w:r>
        <w:r w:rsidR="00CD3208">
          <w:rPr>
            <w:noProof/>
            <w:webHidden/>
          </w:rPr>
          <w:t>23</w:t>
        </w:r>
        <w:r w:rsidR="00225DCE">
          <w:rPr>
            <w:noProof/>
            <w:webHidden/>
          </w:rPr>
          <w:fldChar w:fldCharType="end"/>
        </w:r>
      </w:hyperlink>
    </w:p>
    <w:p w14:paraId="5860A10E" w14:textId="6DB20EC8" w:rsidR="00225DCE" w:rsidRDefault="00B45FF6">
      <w:pPr>
        <w:pStyle w:val="TableofFigures"/>
        <w:tabs>
          <w:tab w:val="right" w:pos="8495"/>
        </w:tabs>
        <w:rPr>
          <w:rFonts w:asciiTheme="minorHAnsi" w:hAnsiTheme="minorHAnsi"/>
          <w:noProof/>
        </w:rPr>
      </w:pPr>
      <w:hyperlink w:anchor="_Toc43201225" w:history="1">
        <w:r w:rsidR="00225DCE" w:rsidRPr="00025DF9">
          <w:rPr>
            <w:rStyle w:val="Hyperlink"/>
            <w:noProof/>
          </w:rPr>
          <w:t xml:space="preserve">Box 2: </w:t>
        </w:r>
        <w:r w:rsidR="00225DCE">
          <w:rPr>
            <w:rFonts w:asciiTheme="minorHAnsi" w:hAnsiTheme="minorHAnsi"/>
            <w:noProof/>
          </w:rPr>
          <w:tab/>
        </w:r>
        <w:r w:rsidR="00225DCE" w:rsidRPr="00025DF9">
          <w:rPr>
            <w:rStyle w:val="Hyperlink"/>
            <w:noProof/>
          </w:rPr>
          <w:t>Abbreviation system for risks and opportunities</w:t>
        </w:r>
        <w:r w:rsidR="00225DCE">
          <w:rPr>
            <w:noProof/>
            <w:webHidden/>
          </w:rPr>
          <w:tab/>
        </w:r>
        <w:r w:rsidR="00225DCE">
          <w:rPr>
            <w:noProof/>
            <w:webHidden/>
          </w:rPr>
          <w:fldChar w:fldCharType="begin"/>
        </w:r>
        <w:r w:rsidR="00225DCE">
          <w:rPr>
            <w:noProof/>
            <w:webHidden/>
          </w:rPr>
          <w:instrText xml:space="preserve"> PAGEREF _Toc43201225 \h </w:instrText>
        </w:r>
        <w:r w:rsidR="00225DCE">
          <w:rPr>
            <w:noProof/>
            <w:webHidden/>
          </w:rPr>
        </w:r>
        <w:r w:rsidR="00225DCE">
          <w:rPr>
            <w:noProof/>
            <w:webHidden/>
          </w:rPr>
          <w:fldChar w:fldCharType="separate"/>
        </w:r>
        <w:r w:rsidR="00CD3208">
          <w:rPr>
            <w:noProof/>
            <w:webHidden/>
          </w:rPr>
          <w:t>25</w:t>
        </w:r>
        <w:r w:rsidR="00225DCE">
          <w:rPr>
            <w:noProof/>
            <w:webHidden/>
          </w:rPr>
          <w:fldChar w:fldCharType="end"/>
        </w:r>
      </w:hyperlink>
    </w:p>
    <w:p w14:paraId="0E0F75C6" w14:textId="61020826" w:rsidR="00225DCE" w:rsidRDefault="00B45FF6">
      <w:pPr>
        <w:pStyle w:val="TableofFigures"/>
        <w:tabs>
          <w:tab w:val="right" w:pos="8495"/>
        </w:tabs>
        <w:rPr>
          <w:rFonts w:asciiTheme="minorHAnsi" w:hAnsiTheme="minorHAnsi"/>
          <w:noProof/>
        </w:rPr>
      </w:pPr>
      <w:hyperlink w:anchor="_Toc43201226" w:history="1">
        <w:r w:rsidR="00225DCE" w:rsidRPr="00025DF9">
          <w:rPr>
            <w:rStyle w:val="Hyperlink"/>
            <w:noProof/>
          </w:rPr>
          <w:t>Box 3:</w:t>
        </w:r>
        <w:r w:rsidR="00225DCE">
          <w:rPr>
            <w:rFonts w:asciiTheme="minorHAnsi" w:hAnsiTheme="minorHAnsi"/>
            <w:noProof/>
          </w:rPr>
          <w:tab/>
        </w:r>
        <w:r w:rsidR="00225DCE" w:rsidRPr="00025DF9">
          <w:rPr>
            <w:rStyle w:val="Hyperlink"/>
            <w:noProof/>
          </w:rPr>
          <w:t>Climate change scenarios in the NCCRA</w:t>
        </w:r>
        <w:r w:rsidR="00225DCE">
          <w:rPr>
            <w:noProof/>
            <w:webHidden/>
          </w:rPr>
          <w:tab/>
        </w:r>
        <w:r w:rsidR="00225DCE">
          <w:rPr>
            <w:noProof/>
            <w:webHidden/>
          </w:rPr>
          <w:fldChar w:fldCharType="begin"/>
        </w:r>
        <w:r w:rsidR="00225DCE">
          <w:rPr>
            <w:noProof/>
            <w:webHidden/>
          </w:rPr>
          <w:instrText xml:space="preserve"> PAGEREF _Toc43201226 \h </w:instrText>
        </w:r>
        <w:r w:rsidR="00225DCE">
          <w:rPr>
            <w:noProof/>
            <w:webHidden/>
          </w:rPr>
        </w:r>
        <w:r w:rsidR="00225DCE">
          <w:rPr>
            <w:noProof/>
            <w:webHidden/>
          </w:rPr>
          <w:fldChar w:fldCharType="separate"/>
        </w:r>
        <w:r w:rsidR="00CD3208">
          <w:rPr>
            <w:noProof/>
            <w:webHidden/>
          </w:rPr>
          <w:t>36</w:t>
        </w:r>
        <w:r w:rsidR="00225DCE">
          <w:rPr>
            <w:noProof/>
            <w:webHidden/>
          </w:rPr>
          <w:fldChar w:fldCharType="end"/>
        </w:r>
      </w:hyperlink>
    </w:p>
    <w:p w14:paraId="0225DEB0" w14:textId="55EFDC7F" w:rsidR="00225DCE" w:rsidRDefault="00B45FF6">
      <w:pPr>
        <w:pStyle w:val="TableofFigures"/>
        <w:tabs>
          <w:tab w:val="right" w:pos="8495"/>
        </w:tabs>
        <w:rPr>
          <w:rFonts w:asciiTheme="minorHAnsi" w:hAnsiTheme="minorHAnsi"/>
          <w:noProof/>
        </w:rPr>
      </w:pPr>
      <w:hyperlink w:anchor="_Toc43201227" w:history="1">
        <w:r w:rsidR="00225DCE" w:rsidRPr="00025DF9">
          <w:rPr>
            <w:rStyle w:val="Hyperlink"/>
            <w:noProof/>
          </w:rPr>
          <w:t>Box 4:</w:t>
        </w:r>
        <w:r w:rsidR="00225DCE">
          <w:rPr>
            <w:rFonts w:asciiTheme="minorHAnsi" w:hAnsiTheme="minorHAnsi"/>
            <w:noProof/>
          </w:rPr>
          <w:tab/>
        </w:r>
        <w:r w:rsidR="00225DCE" w:rsidRPr="00025DF9">
          <w:rPr>
            <w:rStyle w:val="Hyperlink"/>
            <w:noProof/>
          </w:rPr>
          <w:t>Case study: Cascading impacts and interdependencies</w:t>
        </w:r>
        <w:r w:rsidR="00225DCE">
          <w:rPr>
            <w:noProof/>
            <w:webHidden/>
          </w:rPr>
          <w:tab/>
        </w:r>
        <w:r w:rsidR="00225DCE">
          <w:rPr>
            <w:noProof/>
            <w:webHidden/>
          </w:rPr>
          <w:fldChar w:fldCharType="begin"/>
        </w:r>
        <w:r w:rsidR="00225DCE">
          <w:rPr>
            <w:noProof/>
            <w:webHidden/>
          </w:rPr>
          <w:instrText xml:space="preserve"> PAGEREF _Toc43201227 \h </w:instrText>
        </w:r>
        <w:r w:rsidR="00225DCE">
          <w:rPr>
            <w:noProof/>
            <w:webHidden/>
          </w:rPr>
        </w:r>
        <w:r w:rsidR="00225DCE">
          <w:rPr>
            <w:noProof/>
            <w:webHidden/>
          </w:rPr>
          <w:fldChar w:fldCharType="separate"/>
        </w:r>
        <w:r w:rsidR="00CD3208">
          <w:rPr>
            <w:noProof/>
            <w:webHidden/>
          </w:rPr>
          <w:t>102</w:t>
        </w:r>
        <w:r w:rsidR="00225DCE">
          <w:rPr>
            <w:noProof/>
            <w:webHidden/>
          </w:rPr>
          <w:fldChar w:fldCharType="end"/>
        </w:r>
      </w:hyperlink>
    </w:p>
    <w:p w14:paraId="01DCAA6F" w14:textId="677BF87E" w:rsidR="00225DCE" w:rsidRDefault="00B45FF6">
      <w:pPr>
        <w:pStyle w:val="TableofFigures"/>
        <w:tabs>
          <w:tab w:val="right" w:pos="8495"/>
        </w:tabs>
        <w:rPr>
          <w:rFonts w:asciiTheme="minorHAnsi" w:hAnsiTheme="minorHAnsi"/>
          <w:noProof/>
        </w:rPr>
      </w:pPr>
      <w:hyperlink w:anchor="_Toc43201228" w:history="1">
        <w:r w:rsidR="00225DCE" w:rsidRPr="00025DF9">
          <w:rPr>
            <w:rStyle w:val="Hyperlink"/>
            <w:noProof/>
          </w:rPr>
          <w:t>Box 5:</w:t>
        </w:r>
        <w:r w:rsidR="00225DCE">
          <w:rPr>
            <w:rFonts w:asciiTheme="minorHAnsi" w:hAnsiTheme="minorHAnsi"/>
            <w:noProof/>
          </w:rPr>
          <w:tab/>
        </w:r>
        <w:r w:rsidR="00225DCE" w:rsidRPr="00025DF9">
          <w:rPr>
            <w:rStyle w:val="Hyperlink"/>
            <w:noProof/>
          </w:rPr>
          <w:t>Case study: Socio-economic trends and projections</w:t>
        </w:r>
        <w:r w:rsidR="00225DCE">
          <w:rPr>
            <w:noProof/>
            <w:webHidden/>
          </w:rPr>
          <w:tab/>
        </w:r>
        <w:r w:rsidR="00225DCE">
          <w:rPr>
            <w:noProof/>
            <w:webHidden/>
          </w:rPr>
          <w:fldChar w:fldCharType="begin"/>
        </w:r>
        <w:r w:rsidR="00225DCE">
          <w:rPr>
            <w:noProof/>
            <w:webHidden/>
          </w:rPr>
          <w:instrText xml:space="preserve"> PAGEREF _Toc43201228 \h </w:instrText>
        </w:r>
        <w:r w:rsidR="00225DCE">
          <w:rPr>
            <w:noProof/>
            <w:webHidden/>
          </w:rPr>
        </w:r>
        <w:r w:rsidR="00225DCE">
          <w:rPr>
            <w:noProof/>
            <w:webHidden/>
          </w:rPr>
          <w:fldChar w:fldCharType="separate"/>
        </w:r>
        <w:r w:rsidR="00CD3208">
          <w:rPr>
            <w:noProof/>
            <w:webHidden/>
          </w:rPr>
          <w:t>104</w:t>
        </w:r>
        <w:r w:rsidR="00225DCE">
          <w:rPr>
            <w:noProof/>
            <w:webHidden/>
          </w:rPr>
          <w:fldChar w:fldCharType="end"/>
        </w:r>
      </w:hyperlink>
    </w:p>
    <w:p w14:paraId="0983030D" w14:textId="77777777" w:rsidR="008A2FF1" w:rsidRPr="005D6D89" w:rsidRDefault="00870559" w:rsidP="00D51469">
      <w:pPr>
        <w:pStyle w:val="BodyText"/>
      </w:pPr>
      <w:r w:rsidRPr="005D6D89">
        <w:fldChar w:fldCharType="end"/>
      </w:r>
    </w:p>
    <w:p w14:paraId="0218BFF8" w14:textId="77777777" w:rsidR="00796A6F" w:rsidRPr="005D6D89" w:rsidRDefault="00796A6F" w:rsidP="00554B30">
      <w:bookmarkStart w:id="1" w:name="_Toc215561202"/>
      <w:r w:rsidRPr="005D6D89">
        <w:br w:type="page"/>
      </w:r>
    </w:p>
    <w:p w14:paraId="0A894C6E" w14:textId="77777777" w:rsidR="0080531E" w:rsidRPr="005D6D89" w:rsidRDefault="005F620F" w:rsidP="005F620F">
      <w:pPr>
        <w:pStyle w:val="Heading1"/>
        <w:rPr>
          <w:rStyle w:val="Heading1Char"/>
          <w:b/>
        </w:rPr>
      </w:pPr>
      <w:bookmarkStart w:id="2" w:name="_Toc43064121"/>
      <w:bookmarkStart w:id="3" w:name="_Toc345760336"/>
      <w:bookmarkEnd w:id="1"/>
      <w:r w:rsidRPr="005D6D89">
        <w:rPr>
          <w:rStyle w:val="Heading1Char"/>
          <w:b/>
        </w:rPr>
        <w:t>Key messages</w:t>
      </w:r>
      <w:bookmarkEnd w:id="2"/>
    </w:p>
    <w:p w14:paraId="5045D63F" w14:textId="77777777" w:rsidR="00F34DF5" w:rsidRPr="005D6D89" w:rsidRDefault="00F34DF5" w:rsidP="007B2F6B">
      <w:pPr>
        <w:pStyle w:val="BodyText"/>
      </w:pPr>
      <w:r w:rsidRPr="00E57BEE">
        <w:rPr>
          <w:b/>
          <w:bCs/>
          <w:color w:val="0F7B7D" w:themeColor="accent2"/>
        </w:rPr>
        <w:t>Our climate is changing.</w:t>
      </w:r>
      <w:r w:rsidRPr="005D6D89">
        <w:rPr>
          <w:color w:val="00B0F0"/>
        </w:rPr>
        <w:t xml:space="preserve"> </w:t>
      </w:r>
      <w:r w:rsidRPr="005D6D89">
        <w:t>It is unequivocal that human-induced</w:t>
      </w:r>
      <w:hyperlink w:anchor="greenhousegasemissions" w:history="1">
        <w:r w:rsidRPr="00173F8B">
          <w:rPr>
            <w:rStyle w:val="Hyperlink"/>
          </w:rPr>
          <w:t xml:space="preserve"> greenhouse gas emissions</w:t>
        </w:r>
      </w:hyperlink>
      <w:r w:rsidRPr="005D6D89">
        <w:rPr>
          <w:highlight w:val="yellow"/>
        </w:rPr>
        <w:t xml:space="preserve"> </w:t>
      </w:r>
      <w:r w:rsidRPr="005D6D89">
        <w:t>are</w:t>
      </w:r>
      <w:r w:rsidR="00381209">
        <w:t> </w:t>
      </w:r>
      <w:r w:rsidRPr="005D6D89">
        <w:t xml:space="preserve">warming the global climate system </w:t>
      </w:r>
      <w:r w:rsidRPr="005D6D89">
        <w:fldChar w:fldCharType="begin"/>
      </w:r>
      <w:r w:rsidRPr="005D6D89">
        <w:instrText xml:space="preserve"> ADDIN ZOTERO_ITEM CSL_CITATION {"citationID":"JpQrA1iI","properties":{"formattedCitation":"(IPCC,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Pr="005D6D89">
        <w:fldChar w:fldCharType="separate"/>
      </w:r>
      <w:r w:rsidRPr="005D6D89">
        <w:rPr>
          <w:rFonts w:cs="Arial"/>
        </w:rPr>
        <w:t>(IPCC, 2019)</w:t>
      </w:r>
      <w:r w:rsidRPr="005D6D89">
        <w:fldChar w:fldCharType="end"/>
      </w:r>
      <w:r w:rsidRPr="005D6D89">
        <w:t>. Climate change is already affecting New</w:t>
      </w:r>
      <w:r w:rsidR="00381209">
        <w:t> </w:t>
      </w:r>
      <w:r w:rsidRPr="005D6D89">
        <w:t>Zealand. Over the past century, temperatures have increased, glaciers have melted, and</w:t>
      </w:r>
      <w:r w:rsidR="002F6678">
        <w:t> </w:t>
      </w:r>
      <w:r w:rsidRPr="005D6D89">
        <w:t>sea levels have risen. Such changes will continue and their impacts increase. This will have</w:t>
      </w:r>
      <w:r w:rsidR="002F6678">
        <w:t> </w:t>
      </w:r>
      <w:r w:rsidRPr="005D6D89">
        <w:t>far</w:t>
      </w:r>
      <w:r w:rsidR="00381209">
        <w:noBreakHyphen/>
      </w:r>
      <w:r w:rsidRPr="005D6D89">
        <w:t xml:space="preserve">reaching consequences for people, the natural and built environment, the economy and governance. These </w:t>
      </w:r>
      <w:r w:rsidR="001200EA">
        <w:t>‘</w:t>
      </w:r>
      <w:r w:rsidRPr="005D6D89">
        <w:t>value domains</w:t>
      </w:r>
      <w:r w:rsidR="001200EA">
        <w:t>’</w:t>
      </w:r>
      <w:r w:rsidRPr="005D6D89">
        <w:t xml:space="preserve"> underpin our wellbeing and provide the structure for</w:t>
      </w:r>
      <w:r w:rsidR="002F6678">
        <w:t> </w:t>
      </w:r>
      <w:r w:rsidRPr="005D6D89">
        <w:t>this</w:t>
      </w:r>
      <w:r w:rsidR="00381209">
        <w:t> </w:t>
      </w:r>
      <w:r w:rsidRPr="005D6D89">
        <w:t xml:space="preserve">report. </w:t>
      </w:r>
    </w:p>
    <w:p w14:paraId="223915B3" w14:textId="77777777" w:rsidR="00F34DF5" w:rsidRPr="005D6D89" w:rsidRDefault="00F34DF5" w:rsidP="007B2F6B">
      <w:pPr>
        <w:pStyle w:val="BodyText"/>
      </w:pPr>
      <w:r w:rsidRPr="00E57BEE">
        <w:rPr>
          <w:b/>
          <w:bCs/>
          <w:color w:val="0F7B7D" w:themeColor="accent2"/>
        </w:rPr>
        <w:t>This report presents the findings of New Zealand</w:t>
      </w:r>
      <w:r w:rsidR="001200EA">
        <w:rPr>
          <w:b/>
          <w:bCs/>
          <w:color w:val="0F7B7D" w:themeColor="accent2"/>
        </w:rPr>
        <w:t>’</w:t>
      </w:r>
      <w:r w:rsidRPr="00E57BEE">
        <w:rPr>
          <w:b/>
          <w:bCs/>
          <w:color w:val="0F7B7D" w:themeColor="accent2"/>
        </w:rPr>
        <w:t>s first National Climate Change Risk Assessment (NCCRA).</w:t>
      </w:r>
      <w:r w:rsidR="00376C02" w:rsidRPr="00376C02">
        <w:t xml:space="preserve"> </w:t>
      </w:r>
      <w:r w:rsidRPr="005D6D89">
        <w:t xml:space="preserve">The NCCRA is a national overview of how New Zealand </w:t>
      </w:r>
      <w:proofErr w:type="gramStart"/>
      <w:r w:rsidRPr="005D6D89">
        <w:t>may be affected</w:t>
      </w:r>
      <w:proofErr w:type="gramEnd"/>
      <w:r w:rsidRPr="005D6D89">
        <w:t xml:space="preserve"> by climate change-related hazards, and identifies the most significant risks and opportunities. It also highlights gaps in the information and data needed to properly assess and manage the risks and opportunities. </w:t>
      </w:r>
    </w:p>
    <w:p w14:paraId="03023EE2" w14:textId="28E44477" w:rsidR="005F620F" w:rsidRPr="005D6D89" w:rsidRDefault="00F34DF5" w:rsidP="00F34DF5">
      <w:pPr>
        <w:pStyle w:val="BodyText"/>
      </w:pPr>
      <w:r w:rsidRPr="005D6D89">
        <w:t xml:space="preserve">The NCCRA was based on </w:t>
      </w:r>
      <w:bookmarkStart w:id="4" w:name="_Hlk40689227"/>
      <w:r w:rsidRPr="005D6D89">
        <w:rPr>
          <w:i/>
          <w:iCs/>
        </w:rPr>
        <w:t xml:space="preserve">Arotakenga Huringa Āhuarangi: A Framework for the National Climate Change Risk Assessment for Aotearoa New Zealand </w:t>
      </w:r>
      <w:bookmarkEnd w:id="4"/>
      <w:r w:rsidRPr="005D6D89">
        <w:t>(the NCCRA framework) and was</w:t>
      </w:r>
      <w:r w:rsidR="002F6678">
        <w:t> </w:t>
      </w:r>
      <w:r w:rsidRPr="005D6D89">
        <w:t xml:space="preserve">undertaken over nine months by a diverse, multi-disciplinary team of academics and consultants. It combines the outcomes from Māori/iwi and stakeholder engagement with scientific, technical and expert analysis. The findings </w:t>
      </w:r>
      <w:proofErr w:type="gramStart"/>
      <w:r w:rsidRPr="005D6D89">
        <w:t>will be used</w:t>
      </w:r>
      <w:proofErr w:type="gramEnd"/>
      <w:r w:rsidRPr="005D6D89">
        <w:t xml:space="preserve"> to develop a </w:t>
      </w:r>
      <w:r w:rsidR="002B0472">
        <w:t>n</w:t>
      </w:r>
      <w:r w:rsidR="002B0472" w:rsidRPr="005D6D89">
        <w:t xml:space="preserve">ational </w:t>
      </w:r>
      <w:r w:rsidR="002B0472">
        <w:t>a</w:t>
      </w:r>
      <w:r w:rsidR="002B0472" w:rsidRPr="005D6D89">
        <w:t xml:space="preserve">daptation </w:t>
      </w:r>
      <w:r w:rsidR="002B0472">
        <w:t>p</w:t>
      </w:r>
      <w:r w:rsidR="002B0472" w:rsidRPr="005D6D89">
        <w:t xml:space="preserve">lan </w:t>
      </w:r>
      <w:r w:rsidRPr="005D6D89">
        <w:t>(NAP) that will respond to the most significant risks, opportunities and knowledge gaps.</w:t>
      </w:r>
    </w:p>
    <w:p w14:paraId="08332930" w14:textId="48ADF5DD" w:rsidR="007B2F6B" w:rsidRPr="005D6D89" w:rsidRDefault="004F6E37" w:rsidP="00095C61">
      <w:pPr>
        <w:pStyle w:val="Figureheading"/>
      </w:pPr>
      <w:bookmarkStart w:id="5" w:name="_Toc43312892"/>
      <w:r w:rsidRPr="005D6D89">
        <w:t xml:space="preserve">Figure 1: </w:t>
      </w:r>
      <w:r w:rsidRPr="005D6D89">
        <w:tab/>
        <w:t>Relationship between the NCCRA framework, National Climate Change Risk Assessment,</w:t>
      </w:r>
      <w:r w:rsidR="002F6678">
        <w:t> </w:t>
      </w:r>
      <w:r w:rsidRPr="005D6D89">
        <w:t xml:space="preserve">and </w:t>
      </w:r>
      <w:r w:rsidR="002B0472">
        <w:t>n</w:t>
      </w:r>
      <w:r w:rsidRPr="005D6D89">
        <w:t xml:space="preserve">ational </w:t>
      </w:r>
      <w:r w:rsidR="002B0472">
        <w:t>a</w:t>
      </w:r>
      <w:r w:rsidRPr="005D6D89">
        <w:t xml:space="preserve">daptation </w:t>
      </w:r>
      <w:r w:rsidR="002B0472">
        <w:t>p</w:t>
      </w:r>
      <w:r w:rsidRPr="005D6D89">
        <w:t>lan</w:t>
      </w:r>
      <w:bookmarkEnd w:id="5"/>
    </w:p>
    <w:p w14:paraId="2DBFDC0D" w14:textId="77777777" w:rsidR="005C270F" w:rsidRDefault="005C270F" w:rsidP="005C270F">
      <w:pPr>
        <w:pStyle w:val="BodyText"/>
      </w:pPr>
      <w:r w:rsidRPr="005D6D89">
        <w:rPr>
          <w:noProof/>
        </w:rPr>
        <w:drawing>
          <wp:inline distT="0" distB="0" distL="0" distR="0" wp14:anchorId="3581B1B3" wp14:editId="586378D4">
            <wp:extent cx="5400000" cy="19548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1954800"/>
                    </a:xfrm>
                    <a:prstGeom prst="rect">
                      <a:avLst/>
                    </a:prstGeom>
                    <a:noFill/>
                    <a:ln w="3175">
                      <a:noFill/>
                    </a:ln>
                  </pic:spPr>
                </pic:pic>
              </a:graphicData>
            </a:graphic>
          </wp:inline>
        </w:drawing>
      </w:r>
    </w:p>
    <w:p w14:paraId="34699F61" w14:textId="77777777" w:rsidR="005B768F" w:rsidRPr="005D6D89" w:rsidRDefault="005B768F" w:rsidP="005B768F">
      <w:pPr>
        <w:pStyle w:val="BodyText"/>
      </w:pPr>
      <w:r w:rsidRPr="00E57BEE">
        <w:rPr>
          <w:b/>
          <w:bCs/>
          <w:color w:val="0F7B7D" w:themeColor="accent2"/>
        </w:rPr>
        <w:t>New Zealand is committed to adaptation as well as mitigation.</w:t>
      </w:r>
      <w:r w:rsidRPr="005D6D89">
        <w:t xml:space="preserve"> The Climate Change Response (Zero Carbon) Amendment Act 2019 (the Act) is a framework for New Zealand to develop and implement clear and stable climate polic</w:t>
      </w:r>
      <w:r w:rsidR="00637285">
        <w:t>i</w:t>
      </w:r>
      <w:r w:rsidRPr="005D6D89">
        <w:t xml:space="preserve">es </w:t>
      </w:r>
      <w:proofErr w:type="gramStart"/>
      <w:r w:rsidRPr="005D6D89">
        <w:t>to</w:t>
      </w:r>
      <w:proofErr w:type="gramEnd"/>
      <w:r w:rsidRPr="005D6D89">
        <w:t>:</w:t>
      </w:r>
    </w:p>
    <w:p w14:paraId="53140D76" w14:textId="77777777" w:rsidR="005B768F" w:rsidRPr="005D6D89" w:rsidRDefault="005B768F" w:rsidP="005B768F">
      <w:pPr>
        <w:pStyle w:val="Bullet"/>
      </w:pPr>
      <w:r w:rsidRPr="005D6D89">
        <w:t xml:space="preserve">reduce greenhouse gas emissions (ie, </w:t>
      </w:r>
      <w:r w:rsidR="001200EA">
        <w:t>‘</w:t>
      </w:r>
      <w:r w:rsidRPr="005D6D89">
        <w:t>mitigation</w:t>
      </w:r>
      <w:r w:rsidR="001200EA">
        <w:t>’</w:t>
      </w:r>
      <w:r w:rsidRPr="005D6D89">
        <w:t xml:space="preserve">) </w:t>
      </w:r>
    </w:p>
    <w:p w14:paraId="4355596C" w14:textId="77777777" w:rsidR="005B768F" w:rsidRPr="005D6D89" w:rsidRDefault="005B768F" w:rsidP="005B768F">
      <w:pPr>
        <w:pStyle w:val="Bullet"/>
      </w:pPr>
      <w:proofErr w:type="gramStart"/>
      <w:r w:rsidRPr="005D6D89">
        <w:t>respond</w:t>
      </w:r>
      <w:proofErr w:type="gramEnd"/>
      <w:r w:rsidRPr="005D6D89">
        <w:t xml:space="preserve"> to the changing climate (ie, </w:t>
      </w:r>
      <w:r w:rsidR="001200EA">
        <w:t>‘</w:t>
      </w:r>
      <w:r w:rsidRPr="005D6D89">
        <w:t>adaptation</w:t>
      </w:r>
      <w:r w:rsidR="001200EA">
        <w:t>’</w:t>
      </w:r>
      <w:r w:rsidRPr="005D6D89">
        <w:t xml:space="preserve">). </w:t>
      </w:r>
    </w:p>
    <w:p w14:paraId="3C545575" w14:textId="41DD6250" w:rsidR="005B768F" w:rsidRPr="005D6D89" w:rsidRDefault="005B768F" w:rsidP="00371946">
      <w:pPr>
        <w:pStyle w:val="BodyText"/>
      </w:pPr>
      <w:r w:rsidRPr="005D6D89">
        <w:t xml:space="preserve">The Act commits New Zealand to identify future risks and opportunities by producing an NCCRA every six years. In response to each NCCRA, the Minister for Climate Change must prepare </w:t>
      </w:r>
      <w:r w:rsidR="00637285">
        <w:t xml:space="preserve">a </w:t>
      </w:r>
      <w:r w:rsidR="002B0472">
        <w:t>national adaptation plan</w:t>
      </w:r>
      <w:r w:rsidRPr="005D6D89">
        <w:t xml:space="preserve">. </w:t>
      </w:r>
    </w:p>
    <w:p w14:paraId="0A5F3F73" w14:textId="77777777" w:rsidR="005B768F" w:rsidRPr="005D6D89" w:rsidRDefault="005B768F" w:rsidP="002222D6">
      <w:pPr>
        <w:pStyle w:val="BodyText"/>
        <w:spacing w:after="100"/>
        <w:rPr>
          <w:rStyle w:val="BodyTextChar"/>
        </w:rPr>
      </w:pPr>
      <w:r w:rsidRPr="00E57BEE">
        <w:rPr>
          <w:b/>
          <w:bCs/>
          <w:color w:val="0F7B7D" w:themeColor="accent2"/>
        </w:rPr>
        <w:t>New Zealand</w:t>
      </w:r>
      <w:r w:rsidR="001200EA">
        <w:rPr>
          <w:b/>
          <w:bCs/>
          <w:color w:val="0F7B7D" w:themeColor="accent2"/>
        </w:rPr>
        <w:t>’</w:t>
      </w:r>
      <w:r w:rsidRPr="00E57BEE">
        <w:rPr>
          <w:b/>
          <w:bCs/>
          <w:color w:val="0F7B7D" w:themeColor="accent2"/>
        </w:rPr>
        <w:t>s climate is warming, sea levels are rising, and extreme weather events are becoming more frequent and severe.</w:t>
      </w:r>
      <w:r w:rsidRPr="005D6D89">
        <w:t xml:space="preserve"> </w:t>
      </w:r>
      <w:r w:rsidRPr="005D6D89">
        <w:rPr>
          <w:rFonts w:cs="Arial"/>
          <w:color w:val="000000" w:themeColor="text1"/>
          <w:sz w:val="21"/>
          <w:szCs w:val="21"/>
          <w:shd w:val="clear" w:color="auto" w:fill="FFFFFF"/>
          <w:lang w:eastAsia="en-US"/>
        </w:rPr>
        <w:t>The National Institute of Water and Atmospheric Research</w:t>
      </w:r>
      <w:r w:rsidR="007B3FB7" w:rsidRPr="005D6D89">
        <w:rPr>
          <w:rFonts w:cs="Arial"/>
          <w:color w:val="000000" w:themeColor="text1"/>
          <w:sz w:val="21"/>
          <w:szCs w:val="21"/>
          <w:shd w:val="clear" w:color="auto" w:fill="FFFFFF"/>
          <w:lang w:eastAsia="en-US"/>
        </w:rPr>
        <w:t xml:space="preserve"> </w:t>
      </w:r>
      <w:r w:rsidRPr="005D6D89">
        <w:t xml:space="preserve">(NIWA) developed the climate change projections used for this risk assessment after the release of the </w:t>
      </w:r>
      <w:r w:rsidRPr="005D6D89">
        <w:rPr>
          <w:i/>
        </w:rPr>
        <w:t>IPCC Fifth Assessment Report</w:t>
      </w:r>
      <w:r w:rsidRPr="005D6D89">
        <w:t>. They include the following trends:</w:t>
      </w:r>
    </w:p>
    <w:p w14:paraId="0311DF5F" w14:textId="77777777" w:rsidR="005B768F" w:rsidRPr="005D6D89" w:rsidRDefault="005B768F" w:rsidP="002222D6">
      <w:pPr>
        <w:pStyle w:val="Bullet"/>
        <w:spacing w:after="100"/>
      </w:pPr>
      <w:r w:rsidRPr="005D6D89">
        <w:t>In the last 100 years</w:t>
      </w:r>
      <w:r w:rsidR="00637285">
        <w:t>,</w:t>
      </w:r>
      <w:r w:rsidRPr="005D6D89">
        <w:t xml:space="preserve"> our climate has warmed by 1</w:t>
      </w:r>
      <w:r w:rsidR="00137318" w:rsidRPr="005D6D89">
        <w:t>°</w:t>
      </w:r>
      <w:r w:rsidRPr="005D6D89">
        <w:t>C. If global emissions remain high, temperatures will increase by a further 1.0°C by 2040 and 3.0°C by 2090.</w:t>
      </w:r>
    </w:p>
    <w:p w14:paraId="5FB2E2A7" w14:textId="1F6CD40C" w:rsidR="005B768F" w:rsidRPr="005D6D89" w:rsidRDefault="005B768F" w:rsidP="002222D6">
      <w:pPr>
        <w:pStyle w:val="Bullet"/>
        <w:spacing w:after="100"/>
      </w:pPr>
      <w:r w:rsidRPr="005D6D89">
        <w:t>In the last 60 years, sea levels have risen by 2.44 mm per year. If global emissions remain high, sea levels will increase by a further 0.</w:t>
      </w:r>
      <w:r w:rsidR="00E771E8" w:rsidRPr="005D6D89">
        <w:t>2</w:t>
      </w:r>
      <w:r w:rsidR="00E771E8">
        <w:t>1</w:t>
      </w:r>
      <w:r w:rsidR="00E771E8" w:rsidRPr="005D6D89">
        <w:t xml:space="preserve"> </w:t>
      </w:r>
      <w:r w:rsidRPr="005D6D89">
        <w:t>m by 2040 and 0.</w:t>
      </w:r>
      <w:r w:rsidR="00E771E8">
        <w:t>67</w:t>
      </w:r>
      <w:r w:rsidR="00E771E8" w:rsidRPr="005D6D89">
        <w:t xml:space="preserve"> </w:t>
      </w:r>
      <w:r w:rsidRPr="005D6D89">
        <w:t xml:space="preserve">m by 2090. </w:t>
      </w:r>
    </w:p>
    <w:p w14:paraId="6CAE01C6" w14:textId="77777777" w:rsidR="005B768F" w:rsidRPr="005D6D89" w:rsidRDefault="005B768F" w:rsidP="002222D6">
      <w:pPr>
        <w:pStyle w:val="Bullet"/>
        <w:spacing w:after="100"/>
      </w:pPr>
      <w:r w:rsidRPr="005D6D89">
        <w:t xml:space="preserve">Extreme weather events such as storms, heatwaves and heavy rainfall are likely to be more frequent and intense. Large increases in extreme rainfall are expected everywhere in the country, particularly in Northland due to a projected increase in ex-tropical cyclones. </w:t>
      </w:r>
    </w:p>
    <w:p w14:paraId="6A87095B" w14:textId="77777777" w:rsidR="005B768F" w:rsidRPr="005D6D89" w:rsidRDefault="005B768F" w:rsidP="002222D6">
      <w:pPr>
        <w:pStyle w:val="Bullet"/>
        <w:spacing w:after="100"/>
      </w:pPr>
      <w:r w:rsidRPr="005D6D89">
        <w:t xml:space="preserve">The number of frost and snow days </w:t>
      </w:r>
      <w:proofErr w:type="gramStart"/>
      <w:r w:rsidRPr="005D6D89">
        <w:t>are projected</w:t>
      </w:r>
      <w:proofErr w:type="gramEnd"/>
      <w:r w:rsidRPr="005D6D89">
        <w:t xml:space="preserve"> to decrease, and dry days to increa</w:t>
      </w:r>
      <w:r w:rsidR="00637285">
        <w:t>se for much of the North Island</w:t>
      </w:r>
      <w:r w:rsidRPr="005D6D89">
        <w:t xml:space="preserve"> and for some parts of the South Island. </w:t>
      </w:r>
    </w:p>
    <w:p w14:paraId="597ECEC9" w14:textId="77777777" w:rsidR="005B768F" w:rsidRPr="005D6D89" w:rsidRDefault="005B768F" w:rsidP="002222D6">
      <w:pPr>
        <w:pStyle w:val="Bullet"/>
        <w:spacing w:after="100"/>
      </w:pPr>
      <w:r w:rsidRPr="005D6D89">
        <w:t xml:space="preserve">Drought </w:t>
      </w:r>
      <w:proofErr w:type="gramStart"/>
      <w:r w:rsidRPr="005D6D89">
        <w:t>is predicted</w:t>
      </w:r>
      <w:proofErr w:type="gramEnd"/>
      <w:r w:rsidRPr="005D6D89">
        <w:t xml:space="preserve"> to increase in frequency and severity, particularly along the eastern side of the Southern Alps. </w:t>
      </w:r>
    </w:p>
    <w:p w14:paraId="70CFCFFB" w14:textId="77777777" w:rsidR="005B768F" w:rsidRPr="005D6D89" w:rsidRDefault="005B768F" w:rsidP="002222D6">
      <w:pPr>
        <w:pStyle w:val="Bullet"/>
        <w:spacing w:after="100"/>
      </w:pPr>
      <w:r w:rsidRPr="005D6D89">
        <w:t xml:space="preserve">Increased </w:t>
      </w:r>
      <w:r w:rsidR="00A03FCC" w:rsidRPr="005D6D89">
        <w:t>northeasterly</w:t>
      </w:r>
      <w:r w:rsidRPr="005D6D89">
        <w:t xml:space="preserve"> airflows </w:t>
      </w:r>
      <w:proofErr w:type="gramStart"/>
      <w:r w:rsidRPr="005D6D89">
        <w:t>are projected</w:t>
      </w:r>
      <w:proofErr w:type="gramEnd"/>
      <w:r w:rsidRPr="005D6D89">
        <w:t xml:space="preserve"> in summer and stronger westerlies in winter, the latter particularly in the south of the South Island. </w:t>
      </w:r>
    </w:p>
    <w:p w14:paraId="6F6ABDA7" w14:textId="77777777" w:rsidR="005B768F" w:rsidRPr="005D6D89" w:rsidRDefault="005B768F" w:rsidP="002222D6">
      <w:pPr>
        <w:pStyle w:val="Bullet"/>
        <w:spacing w:after="100"/>
      </w:pPr>
      <w:r w:rsidRPr="005D6D89">
        <w:t xml:space="preserve">Wildfire risk </w:t>
      </w:r>
      <w:proofErr w:type="gramStart"/>
      <w:r w:rsidRPr="005D6D89">
        <w:t>is predicted</w:t>
      </w:r>
      <w:proofErr w:type="gramEnd"/>
      <w:r w:rsidRPr="005D6D89">
        <w:t xml:space="preserve"> to increase in many areas towards the end of the century, due to higher temperatures and wind speeds, and decreased rainfall and relative humidity. </w:t>
      </w:r>
    </w:p>
    <w:p w14:paraId="6CFA980A" w14:textId="77777777" w:rsidR="005B768F" w:rsidRPr="005D6D89" w:rsidRDefault="005B768F" w:rsidP="002222D6">
      <w:pPr>
        <w:pStyle w:val="BodyText"/>
        <w:spacing w:after="100"/>
      </w:pPr>
      <w:r w:rsidRPr="005D6D89">
        <w:t>Although there is inherent uncertainty associated with these projections, particularly towards the end of the century, they provide plausible futures resulting from climate change.</w:t>
      </w:r>
    </w:p>
    <w:p w14:paraId="64A7B8E2" w14:textId="74C78F40" w:rsidR="005B768F" w:rsidRPr="005D6D89" w:rsidRDefault="005B768F" w:rsidP="004B54CB">
      <w:pPr>
        <w:pStyle w:val="BodyText"/>
      </w:pPr>
      <w:r w:rsidRPr="00E57BEE">
        <w:rPr>
          <w:b/>
          <w:bCs/>
          <w:color w:val="0F7B7D" w:themeColor="accent2"/>
        </w:rPr>
        <w:t>The NCCRA identified 43 priority risks across five domains.</w:t>
      </w:r>
      <w:r w:rsidR="00027F9F" w:rsidRPr="005D6D89">
        <w:rPr>
          <w:color w:val="00B0F0"/>
        </w:rPr>
        <w:t xml:space="preserve"> </w:t>
      </w:r>
      <w:r w:rsidRPr="005D6D89">
        <w:t>The five value domains are</w:t>
      </w:r>
      <w:r w:rsidR="00637285">
        <w:t xml:space="preserve"> the</w:t>
      </w:r>
      <w:r w:rsidRPr="005D6D89">
        <w:t xml:space="preserve"> human domain, natural environment domain, economy domain, built environment domain and governance domain. Although this NCCRA identifies the 10 most significant risks, all </w:t>
      </w:r>
      <w:proofErr w:type="gramStart"/>
      <w:r w:rsidRPr="005D6D89">
        <w:t>43 priority</w:t>
      </w:r>
      <w:proofErr w:type="gramEnd"/>
      <w:r w:rsidRPr="005D6D89">
        <w:t xml:space="preserve"> risks require action. The report sets out the consequence and urgency ratings, and details research priorities, for all </w:t>
      </w:r>
      <w:proofErr w:type="gramStart"/>
      <w:r w:rsidRPr="005D6D89">
        <w:t>43 priority</w:t>
      </w:r>
      <w:proofErr w:type="gramEnd"/>
      <w:r w:rsidRPr="005D6D89">
        <w:t xml:space="preserve"> risks, so that the developers of the </w:t>
      </w:r>
      <w:r w:rsidR="002B0472">
        <w:t>n</w:t>
      </w:r>
      <w:r w:rsidR="00637285">
        <w:t xml:space="preserve">ational </w:t>
      </w:r>
      <w:r w:rsidR="002B0472">
        <w:t>a</w:t>
      </w:r>
      <w:r w:rsidR="00637285">
        <w:t xml:space="preserve">daptation </w:t>
      </w:r>
      <w:r w:rsidR="002B0472">
        <w:t>p</w:t>
      </w:r>
      <w:r w:rsidR="00637285">
        <w:t xml:space="preserve">lan </w:t>
      </w:r>
      <w:r w:rsidRPr="005D6D89">
        <w:t xml:space="preserve">can properly consider all priority risks. </w:t>
      </w:r>
    </w:p>
    <w:p w14:paraId="116C9CAE" w14:textId="77777777" w:rsidR="005B768F" w:rsidRPr="005D6D89" w:rsidRDefault="005B768F" w:rsidP="002F6678">
      <w:pPr>
        <w:pStyle w:val="Heading3"/>
        <w:spacing w:before="240"/>
      </w:pPr>
      <w:r w:rsidRPr="005D6D89">
        <w:t>Consequence ratings</w:t>
      </w:r>
    </w:p>
    <w:p w14:paraId="0EC38C3E" w14:textId="77777777" w:rsidR="005B768F" w:rsidRPr="005D6D89" w:rsidRDefault="005B768F" w:rsidP="002222D6">
      <w:pPr>
        <w:pStyle w:val="BodyText"/>
        <w:spacing w:before="100" w:after="100"/>
      </w:pPr>
      <w:r w:rsidRPr="005D6D89">
        <w:t xml:space="preserve">Priority risks have extreme or major </w:t>
      </w:r>
      <w:r w:rsidRPr="005D6D89">
        <w:rPr>
          <w:bCs/>
        </w:rPr>
        <w:t>consequence ratings</w:t>
      </w:r>
      <w:r w:rsidRPr="005D6D89">
        <w:t xml:space="preserve"> in at least one of three assessment timeframes (now, by 2050, by 2100). Consequence ratings reflect the degree to which the assets and values in each domain are exposed and vulnerable to climate hazards. The consequence ratings </w:t>
      </w:r>
      <w:proofErr w:type="gramStart"/>
      <w:r w:rsidRPr="005D6D89">
        <w:t>are:</w:t>
      </w:r>
      <w:proofErr w:type="gramEnd"/>
      <w:r w:rsidRPr="005D6D89">
        <w:t xml:space="preserve"> insignificant, minor, moderate, major, extreme. </w:t>
      </w:r>
    </w:p>
    <w:p w14:paraId="7EE7CF81" w14:textId="77777777" w:rsidR="005B768F" w:rsidRPr="005D6D89" w:rsidRDefault="005B768F" w:rsidP="002F6678">
      <w:pPr>
        <w:pStyle w:val="Heading3"/>
        <w:spacing w:before="240"/>
      </w:pPr>
      <w:r w:rsidRPr="005D6D89">
        <w:t>Urgency ratings</w:t>
      </w:r>
    </w:p>
    <w:p w14:paraId="1E1095C8" w14:textId="77777777" w:rsidR="005B768F" w:rsidRPr="005D6D89" w:rsidRDefault="005B768F" w:rsidP="002222D6">
      <w:pPr>
        <w:pStyle w:val="BodyText"/>
        <w:spacing w:before="100" w:after="100"/>
      </w:pPr>
      <w:r w:rsidRPr="005D6D89">
        <w:t xml:space="preserve">The NCCRA assessed the urgency of taking action to address each risk (the </w:t>
      </w:r>
      <w:r w:rsidR="001200EA">
        <w:t>‘</w:t>
      </w:r>
      <w:r w:rsidRPr="005D6D89">
        <w:t>adaptation urgency</w:t>
      </w:r>
      <w:r w:rsidR="001200EA">
        <w:t>’</w:t>
      </w:r>
      <w:r w:rsidRPr="005D6D89">
        <w:t xml:space="preserve">), to determine the degree to which further action is recommended in the next six years. The </w:t>
      </w:r>
      <w:r w:rsidRPr="005D6D89">
        <w:rPr>
          <w:bCs/>
        </w:rPr>
        <w:t>urgency ratings</w:t>
      </w:r>
      <w:r w:rsidRPr="005D6D89">
        <w:t xml:space="preserve"> in this NCCRA range from 44 to 94 and </w:t>
      </w:r>
      <w:proofErr w:type="gramStart"/>
      <w:r w:rsidRPr="005D6D89">
        <w:t>are based</w:t>
      </w:r>
      <w:proofErr w:type="gramEnd"/>
      <w:r w:rsidRPr="005D6D89">
        <w:t xml:space="preserve"> on a number of factors, particularly whether an adequate response is underway or planned.</w:t>
      </w:r>
    </w:p>
    <w:p w14:paraId="7D4ECE54" w14:textId="77777777" w:rsidR="00116547" w:rsidRPr="00E57BEE" w:rsidRDefault="00116547" w:rsidP="002222D6">
      <w:pPr>
        <w:pStyle w:val="BodyText"/>
        <w:keepNext/>
        <w:spacing w:after="0"/>
        <w:rPr>
          <w:b/>
          <w:bCs/>
          <w:color w:val="0F7B7D" w:themeColor="accent2"/>
        </w:rPr>
      </w:pPr>
      <w:r w:rsidRPr="00E57BEE">
        <w:rPr>
          <w:rStyle w:val="BodyTextChar"/>
          <w:b/>
          <w:bCs/>
          <w:color w:val="0F7B7D" w:themeColor="accent2"/>
        </w:rPr>
        <w:t>The NCCRA denotes the two risks from each domain with the highest adaptation urgency rating as being the most significant</w:t>
      </w:r>
      <w:r w:rsidRPr="00E57BEE">
        <w:rPr>
          <w:b/>
          <w:bCs/>
          <w:color w:val="0F7B7D" w:themeColor="accent2"/>
        </w:rPr>
        <w:t xml:space="preserve">. </w:t>
      </w:r>
    </w:p>
    <w:p w14:paraId="534E60F4" w14:textId="77777777" w:rsidR="00116547" w:rsidRPr="005D6D89" w:rsidRDefault="00116547" w:rsidP="002222D6">
      <w:pPr>
        <w:pStyle w:val="BodyText"/>
        <w:spacing w:before="100" w:after="100"/>
      </w:pPr>
      <w:r w:rsidRPr="005D6D89">
        <w:t xml:space="preserve">We took this approach, rather than elevating the 10 most urgent risks overall, because the domains are fundamentally different, so consequence and urgency ratings are not directly comparable between domains. </w:t>
      </w:r>
    </w:p>
    <w:p w14:paraId="00EA54F9" w14:textId="77777777" w:rsidR="00116547" w:rsidRPr="005D6D89" w:rsidRDefault="00116547" w:rsidP="00116547">
      <w:pPr>
        <w:pStyle w:val="BodyText"/>
      </w:pPr>
      <w:r w:rsidRPr="00E57BEE">
        <w:rPr>
          <w:b/>
          <w:bCs/>
          <w:color w:val="0F7B7D" w:themeColor="accent2"/>
        </w:rPr>
        <w:t>The NCCRA recognises all the priority risks below are important to Māori</w:t>
      </w:r>
      <w:r w:rsidRPr="005D6D89">
        <w:rPr>
          <w:b/>
        </w:rPr>
        <w:t xml:space="preserve"> </w:t>
      </w:r>
      <w:r w:rsidRPr="005D6D89">
        <w:t xml:space="preserve">and will disproportionately affect certain whānau, hapū and iwi, including Māori interests, values, practices and wellbeing. </w:t>
      </w:r>
      <w:hyperlink w:anchor="mataurangamaori" w:history="1">
        <w:r w:rsidRPr="002A7ECD">
          <w:rPr>
            <w:rStyle w:val="Hyperlink"/>
          </w:rPr>
          <w:t>Mātauranga Māori</w:t>
        </w:r>
      </w:hyperlink>
      <w:r w:rsidRPr="005D6D89">
        <w:t xml:space="preserve"> (</w:t>
      </w:r>
      <w:hyperlink w:anchor="mataurangamaori" w:history="1">
        <w:r w:rsidRPr="005F7B91">
          <w:rPr>
            <w:rStyle w:val="Hyperlink"/>
          </w:rPr>
          <w:t>Māori knowledge</w:t>
        </w:r>
      </w:hyperlink>
      <w:r w:rsidRPr="005F7B91">
        <w:t xml:space="preserve">) </w:t>
      </w:r>
      <w:r w:rsidRPr="005D6D89">
        <w:t xml:space="preserve">will be critical in developing a greater cultural understanding of these risks, and centring culture in future climate change planning, policy and adaptation. This NCCRA draws attention to specific risks that are highly relevant to Māori. However, all risks that </w:t>
      </w:r>
      <w:r w:rsidR="003F6BDE">
        <w:t>a</w:t>
      </w:r>
      <w:r w:rsidRPr="005D6D89">
        <w:t xml:space="preserve">ffect New Zealand are relevant to Māori as kaitiaki (custodians) of their ancestral and cultural landscapes. </w:t>
      </w:r>
    </w:p>
    <w:p w14:paraId="38CA9040" w14:textId="77777777" w:rsidR="004F6E37" w:rsidRPr="005D6D89" w:rsidRDefault="009D7A12" w:rsidP="00E32D45">
      <w:pPr>
        <w:pStyle w:val="Tableheading"/>
      </w:pPr>
      <w:bookmarkStart w:id="6" w:name="table1"/>
      <w:bookmarkStart w:id="7" w:name="_Toc43312795"/>
      <w:r w:rsidRPr="005D6D89">
        <w:t>Table 1</w:t>
      </w:r>
      <w:bookmarkEnd w:id="6"/>
      <w:r w:rsidRPr="005D6D89">
        <w:t xml:space="preserve">: </w:t>
      </w:r>
      <w:r w:rsidRPr="005D6D89">
        <w:tab/>
        <w:t>New Zealand</w:t>
      </w:r>
      <w:r w:rsidR="001200EA">
        <w:t>’</w:t>
      </w:r>
      <w:r w:rsidRPr="005D6D89">
        <w:t>s 10 most significant climate change risks, based on urgency</w:t>
      </w:r>
      <w:bookmarkEnd w:id="7"/>
    </w:p>
    <w:tbl>
      <w:tblPr>
        <w:tblStyle w:val="TableGrid"/>
        <w:tblW w:w="8505"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293"/>
        <w:gridCol w:w="4516"/>
        <w:gridCol w:w="1214"/>
        <w:gridCol w:w="1482"/>
      </w:tblGrid>
      <w:tr w:rsidR="004824A2" w:rsidRPr="005D6D89" w14:paraId="1F911D0D" w14:textId="77777777" w:rsidTr="00543AF8">
        <w:trPr>
          <w:cantSplit/>
          <w:tblHeader/>
        </w:trPr>
        <w:tc>
          <w:tcPr>
            <w:tcW w:w="1293" w:type="dxa"/>
            <w:vMerge w:val="restart"/>
            <w:shd w:val="clear" w:color="auto" w:fill="1C556C" w:themeFill="accent1"/>
            <w:vAlign w:val="bottom"/>
          </w:tcPr>
          <w:p w14:paraId="4E0CBF24" w14:textId="77777777" w:rsidR="002E7852" w:rsidRPr="005D6D89" w:rsidRDefault="002E7852" w:rsidP="00276DC1">
            <w:pPr>
              <w:pStyle w:val="TableTextBold0"/>
              <w:rPr>
                <w:color w:val="FFFFFF" w:themeColor="background1"/>
              </w:rPr>
            </w:pPr>
            <w:r w:rsidRPr="005D6D89">
              <w:rPr>
                <w:color w:val="FFFFFF" w:themeColor="background1"/>
              </w:rPr>
              <w:t>Domain</w:t>
            </w:r>
          </w:p>
        </w:tc>
        <w:tc>
          <w:tcPr>
            <w:tcW w:w="4519" w:type="dxa"/>
            <w:vMerge w:val="restart"/>
            <w:shd w:val="clear" w:color="auto" w:fill="1C556C" w:themeFill="accent1"/>
            <w:vAlign w:val="bottom"/>
          </w:tcPr>
          <w:p w14:paraId="5A0DAFDA" w14:textId="77777777" w:rsidR="002E7852" w:rsidRPr="005D6D89" w:rsidRDefault="002E7852" w:rsidP="00276DC1">
            <w:pPr>
              <w:pStyle w:val="TableTextBold0"/>
              <w:rPr>
                <w:color w:val="FFFFFF" w:themeColor="background1"/>
              </w:rPr>
            </w:pPr>
            <w:r w:rsidRPr="005D6D89">
              <w:rPr>
                <w:color w:val="FFFFFF" w:themeColor="background1"/>
              </w:rPr>
              <w:t xml:space="preserve">Risk </w:t>
            </w:r>
          </w:p>
        </w:tc>
        <w:tc>
          <w:tcPr>
            <w:tcW w:w="2693" w:type="dxa"/>
            <w:gridSpan w:val="2"/>
            <w:shd w:val="clear" w:color="auto" w:fill="1C556C" w:themeFill="accent1"/>
            <w:vAlign w:val="bottom"/>
          </w:tcPr>
          <w:p w14:paraId="5A202DFD" w14:textId="77777777" w:rsidR="002E7852" w:rsidRPr="005D6D89" w:rsidRDefault="002E7852" w:rsidP="00276DC1">
            <w:pPr>
              <w:pStyle w:val="TableTextBold0"/>
              <w:spacing w:after="0"/>
              <w:jc w:val="center"/>
              <w:rPr>
                <w:color w:val="FFFFFF" w:themeColor="background1"/>
              </w:rPr>
            </w:pPr>
            <w:r w:rsidRPr="005D6D89">
              <w:rPr>
                <w:color w:val="FFFFFF" w:themeColor="background1"/>
              </w:rPr>
              <w:t>Rating</w:t>
            </w:r>
          </w:p>
        </w:tc>
      </w:tr>
      <w:tr w:rsidR="00543AF8" w:rsidRPr="005D6D89" w14:paraId="13E99E62" w14:textId="77777777" w:rsidTr="00543AF8">
        <w:trPr>
          <w:cantSplit/>
          <w:tblHeader/>
        </w:trPr>
        <w:tc>
          <w:tcPr>
            <w:tcW w:w="1293" w:type="dxa"/>
            <w:vMerge/>
            <w:shd w:val="clear" w:color="auto" w:fill="1C556C" w:themeFill="accent1"/>
            <w:vAlign w:val="bottom"/>
          </w:tcPr>
          <w:p w14:paraId="1D1442E8" w14:textId="77777777" w:rsidR="002E7852" w:rsidRPr="005D6D89" w:rsidRDefault="002E7852" w:rsidP="002E7852">
            <w:pPr>
              <w:pStyle w:val="TableTextbold"/>
              <w:rPr>
                <w:color w:val="FFFFFF" w:themeColor="background1"/>
              </w:rPr>
            </w:pPr>
          </w:p>
        </w:tc>
        <w:tc>
          <w:tcPr>
            <w:tcW w:w="4519" w:type="dxa"/>
            <w:vMerge/>
            <w:shd w:val="clear" w:color="auto" w:fill="1C556C" w:themeFill="accent1"/>
            <w:vAlign w:val="bottom"/>
          </w:tcPr>
          <w:p w14:paraId="2D578730" w14:textId="77777777" w:rsidR="002E7852" w:rsidRPr="005D6D89" w:rsidRDefault="002E7852" w:rsidP="002E7852">
            <w:pPr>
              <w:pStyle w:val="TableTextbold"/>
              <w:rPr>
                <w:color w:val="FFFFFF" w:themeColor="background1"/>
              </w:rPr>
            </w:pPr>
          </w:p>
        </w:tc>
        <w:tc>
          <w:tcPr>
            <w:tcW w:w="1210" w:type="dxa"/>
            <w:shd w:val="clear" w:color="auto" w:fill="1C556C" w:themeFill="accent1"/>
            <w:vAlign w:val="bottom"/>
          </w:tcPr>
          <w:p w14:paraId="11EA0C2A" w14:textId="77777777" w:rsidR="002E7852" w:rsidRPr="005D6D89" w:rsidRDefault="002E7852" w:rsidP="004824A2">
            <w:pPr>
              <w:pStyle w:val="TableTextBold0"/>
              <w:jc w:val="center"/>
              <w:rPr>
                <w:color w:val="FFFFFF" w:themeColor="background1"/>
              </w:rPr>
            </w:pPr>
            <w:r w:rsidRPr="005D6D89">
              <w:rPr>
                <w:color w:val="FFFFFF" w:themeColor="background1"/>
              </w:rPr>
              <w:t>Consequence</w:t>
            </w:r>
          </w:p>
        </w:tc>
        <w:tc>
          <w:tcPr>
            <w:tcW w:w="1483" w:type="dxa"/>
            <w:shd w:val="clear" w:color="auto" w:fill="1C556C" w:themeFill="accent1"/>
            <w:vAlign w:val="bottom"/>
          </w:tcPr>
          <w:p w14:paraId="5AE164EC" w14:textId="77777777" w:rsidR="002E7852" w:rsidRPr="005D6D89" w:rsidRDefault="002E7852" w:rsidP="004824A2">
            <w:pPr>
              <w:pStyle w:val="TableTextBold0"/>
              <w:jc w:val="center"/>
              <w:rPr>
                <w:color w:val="FFFFFF" w:themeColor="background1"/>
              </w:rPr>
            </w:pPr>
            <w:r w:rsidRPr="005D6D89">
              <w:rPr>
                <w:color w:val="FFFFFF" w:themeColor="background1"/>
              </w:rPr>
              <w:t>Urgency (44–94)</w:t>
            </w:r>
          </w:p>
        </w:tc>
      </w:tr>
      <w:tr w:rsidR="002E7852" w:rsidRPr="005D6D89" w14:paraId="7C3FB99C" w14:textId="77777777" w:rsidTr="00543AF8">
        <w:trPr>
          <w:cantSplit/>
        </w:trPr>
        <w:tc>
          <w:tcPr>
            <w:tcW w:w="1293" w:type="dxa"/>
            <w:vMerge w:val="restart"/>
            <w:vAlign w:val="center"/>
          </w:tcPr>
          <w:p w14:paraId="046DD79E" w14:textId="77777777" w:rsidR="002E7852" w:rsidRPr="005D6D89" w:rsidRDefault="002E7852" w:rsidP="002E7852">
            <w:pPr>
              <w:pStyle w:val="TableText"/>
            </w:pPr>
            <w:r w:rsidRPr="005D6D89">
              <w:t>Natural environment</w:t>
            </w:r>
          </w:p>
        </w:tc>
        <w:tc>
          <w:tcPr>
            <w:tcW w:w="4519" w:type="dxa"/>
          </w:tcPr>
          <w:p w14:paraId="04F57CDA" w14:textId="77777777" w:rsidR="002E7852" w:rsidRPr="005D6D89" w:rsidRDefault="002E7852" w:rsidP="002E7852">
            <w:pPr>
              <w:pStyle w:val="TableText"/>
            </w:pPr>
            <w:r w:rsidRPr="005D6D89">
              <w:t>Risks to coastal ecosystems, including the intertidal zone, estuaries, dunes, coastal lakes and wetlands, due to ongoing sea-level rise and extreme weather events.</w:t>
            </w:r>
          </w:p>
        </w:tc>
        <w:tc>
          <w:tcPr>
            <w:tcW w:w="1210" w:type="dxa"/>
          </w:tcPr>
          <w:p w14:paraId="58C3705D" w14:textId="77777777" w:rsidR="002E7852" w:rsidRPr="005D6D89" w:rsidRDefault="002E7852" w:rsidP="00DF3A7B">
            <w:pPr>
              <w:pStyle w:val="TableText"/>
              <w:jc w:val="center"/>
            </w:pPr>
            <w:r w:rsidRPr="005D6D89">
              <w:t>Major</w:t>
            </w:r>
          </w:p>
        </w:tc>
        <w:tc>
          <w:tcPr>
            <w:tcW w:w="1483" w:type="dxa"/>
          </w:tcPr>
          <w:p w14:paraId="5CBA9053" w14:textId="77777777" w:rsidR="002E7852" w:rsidRPr="005D6D89" w:rsidRDefault="002E7852" w:rsidP="00DF3A7B">
            <w:pPr>
              <w:pStyle w:val="TableText"/>
              <w:jc w:val="center"/>
            </w:pPr>
            <w:r w:rsidRPr="005D6D89">
              <w:t>78</w:t>
            </w:r>
          </w:p>
        </w:tc>
      </w:tr>
      <w:tr w:rsidR="002E7852" w:rsidRPr="005D6D89" w14:paraId="1A90176A" w14:textId="77777777" w:rsidTr="00543AF8">
        <w:trPr>
          <w:cantSplit/>
        </w:trPr>
        <w:tc>
          <w:tcPr>
            <w:tcW w:w="1293" w:type="dxa"/>
            <w:vMerge/>
            <w:vAlign w:val="center"/>
          </w:tcPr>
          <w:p w14:paraId="33C0805F" w14:textId="77777777" w:rsidR="002E7852" w:rsidRPr="005D6D89" w:rsidRDefault="002E7852" w:rsidP="002E7852">
            <w:pPr>
              <w:pStyle w:val="TableText"/>
              <w:rPr>
                <w:rFonts w:asciiTheme="minorHAnsi" w:hAnsiTheme="minorHAnsi" w:cstheme="minorHAnsi"/>
                <w:szCs w:val="18"/>
              </w:rPr>
            </w:pPr>
          </w:p>
        </w:tc>
        <w:tc>
          <w:tcPr>
            <w:tcW w:w="4519" w:type="dxa"/>
          </w:tcPr>
          <w:p w14:paraId="7B098929" w14:textId="77777777" w:rsidR="002E7852" w:rsidRPr="005D6D89" w:rsidRDefault="002E7852" w:rsidP="002E7852">
            <w:pPr>
              <w:pStyle w:val="TableText"/>
            </w:pPr>
            <w:r w:rsidRPr="005D6D89">
              <w:t>Risks to indigenous ecosystems and species from the enhanced spread, survival and establishment of invasive species due to climate change.</w:t>
            </w:r>
          </w:p>
        </w:tc>
        <w:tc>
          <w:tcPr>
            <w:tcW w:w="1210" w:type="dxa"/>
          </w:tcPr>
          <w:p w14:paraId="37DFE321" w14:textId="77777777" w:rsidR="002E7852" w:rsidRPr="005D6D89" w:rsidRDefault="002E7852" w:rsidP="00DF3A7B">
            <w:pPr>
              <w:pStyle w:val="TableText"/>
              <w:jc w:val="center"/>
            </w:pPr>
            <w:r w:rsidRPr="005D6D89">
              <w:t>Major</w:t>
            </w:r>
          </w:p>
        </w:tc>
        <w:tc>
          <w:tcPr>
            <w:tcW w:w="1483" w:type="dxa"/>
          </w:tcPr>
          <w:p w14:paraId="23193EEF" w14:textId="77777777" w:rsidR="002E7852" w:rsidRPr="005D6D89" w:rsidRDefault="002E7852" w:rsidP="00DF3A7B">
            <w:pPr>
              <w:pStyle w:val="TableText"/>
              <w:jc w:val="center"/>
            </w:pPr>
            <w:r w:rsidRPr="005D6D89">
              <w:t>73</w:t>
            </w:r>
          </w:p>
        </w:tc>
      </w:tr>
      <w:tr w:rsidR="002E7852" w:rsidRPr="005D6D89" w14:paraId="4783C6EB" w14:textId="77777777" w:rsidTr="00543AF8">
        <w:trPr>
          <w:cantSplit/>
        </w:trPr>
        <w:tc>
          <w:tcPr>
            <w:tcW w:w="1293" w:type="dxa"/>
            <w:vMerge w:val="restart"/>
            <w:vAlign w:val="center"/>
          </w:tcPr>
          <w:p w14:paraId="24DF0704" w14:textId="77777777" w:rsidR="002E7852" w:rsidRPr="005D6D89" w:rsidRDefault="002E7852" w:rsidP="002E7852">
            <w:pPr>
              <w:pStyle w:val="TableText"/>
            </w:pPr>
            <w:r w:rsidRPr="005D6D89">
              <w:t>Human</w:t>
            </w:r>
          </w:p>
        </w:tc>
        <w:tc>
          <w:tcPr>
            <w:tcW w:w="4519" w:type="dxa"/>
          </w:tcPr>
          <w:p w14:paraId="1B1CDF33" w14:textId="77777777" w:rsidR="002E7852" w:rsidRPr="005D6D89" w:rsidRDefault="002E7852" w:rsidP="002E7852">
            <w:pPr>
              <w:pStyle w:val="TableText"/>
            </w:pPr>
            <w:r w:rsidRPr="005D6D89">
              <w:t>Risks to social cohesion and community wellbeing from displacement of individuals, families and communities due to climate change impacts.</w:t>
            </w:r>
          </w:p>
        </w:tc>
        <w:tc>
          <w:tcPr>
            <w:tcW w:w="1210" w:type="dxa"/>
          </w:tcPr>
          <w:p w14:paraId="3DAB6A97" w14:textId="77777777" w:rsidR="002E7852" w:rsidRPr="005D6D89" w:rsidRDefault="002E7852" w:rsidP="00DF3A7B">
            <w:pPr>
              <w:pStyle w:val="TableText"/>
              <w:jc w:val="center"/>
            </w:pPr>
            <w:r w:rsidRPr="005D6D89">
              <w:t>Extreme</w:t>
            </w:r>
          </w:p>
        </w:tc>
        <w:tc>
          <w:tcPr>
            <w:tcW w:w="1483" w:type="dxa"/>
          </w:tcPr>
          <w:p w14:paraId="7424EC22" w14:textId="77777777" w:rsidR="002E7852" w:rsidRPr="005D6D89" w:rsidRDefault="002E7852" w:rsidP="00DF3A7B">
            <w:pPr>
              <w:pStyle w:val="TableText"/>
              <w:jc w:val="center"/>
            </w:pPr>
            <w:r w:rsidRPr="005D6D89">
              <w:t>88</w:t>
            </w:r>
          </w:p>
        </w:tc>
      </w:tr>
      <w:tr w:rsidR="002E7852" w:rsidRPr="005D6D89" w14:paraId="76F14ADC" w14:textId="77777777" w:rsidTr="00543AF8">
        <w:trPr>
          <w:cantSplit/>
        </w:trPr>
        <w:tc>
          <w:tcPr>
            <w:tcW w:w="1293" w:type="dxa"/>
            <w:vMerge/>
            <w:vAlign w:val="center"/>
          </w:tcPr>
          <w:p w14:paraId="2572F4DF" w14:textId="77777777" w:rsidR="002E7852" w:rsidRPr="005D6D89" w:rsidRDefault="002E7852" w:rsidP="002E7852">
            <w:pPr>
              <w:pStyle w:val="TableText"/>
            </w:pPr>
          </w:p>
        </w:tc>
        <w:tc>
          <w:tcPr>
            <w:tcW w:w="4519" w:type="dxa"/>
          </w:tcPr>
          <w:p w14:paraId="4628DE23" w14:textId="77777777" w:rsidR="002E7852" w:rsidRPr="005D6D89" w:rsidRDefault="002E7852" w:rsidP="002E7852">
            <w:pPr>
              <w:pStyle w:val="TableText"/>
            </w:pPr>
            <w:r w:rsidRPr="005D6D89">
              <w:t>Risks of exacerbating existing inequities and creating new and additional inequities due to differential distribution of climate change impacts.</w:t>
            </w:r>
          </w:p>
        </w:tc>
        <w:tc>
          <w:tcPr>
            <w:tcW w:w="1210" w:type="dxa"/>
          </w:tcPr>
          <w:p w14:paraId="28DEB75D" w14:textId="77777777" w:rsidR="002E7852" w:rsidRPr="005D6D89" w:rsidRDefault="002E7852" w:rsidP="00DF3A7B">
            <w:pPr>
              <w:pStyle w:val="TableText"/>
              <w:jc w:val="center"/>
            </w:pPr>
            <w:r w:rsidRPr="005D6D89">
              <w:t>Extreme</w:t>
            </w:r>
          </w:p>
        </w:tc>
        <w:tc>
          <w:tcPr>
            <w:tcW w:w="1483" w:type="dxa"/>
          </w:tcPr>
          <w:p w14:paraId="032D2BAD" w14:textId="77777777" w:rsidR="002E7852" w:rsidRPr="005D6D89" w:rsidRDefault="002E7852" w:rsidP="00DF3A7B">
            <w:pPr>
              <w:pStyle w:val="TableText"/>
              <w:jc w:val="center"/>
            </w:pPr>
            <w:r w:rsidRPr="005D6D89">
              <w:t>85</w:t>
            </w:r>
          </w:p>
        </w:tc>
      </w:tr>
      <w:tr w:rsidR="002E7852" w:rsidRPr="005D6D89" w14:paraId="47F346E3" w14:textId="77777777" w:rsidTr="00543AF8">
        <w:trPr>
          <w:cantSplit/>
        </w:trPr>
        <w:tc>
          <w:tcPr>
            <w:tcW w:w="1293" w:type="dxa"/>
            <w:vMerge w:val="restart"/>
            <w:vAlign w:val="center"/>
          </w:tcPr>
          <w:p w14:paraId="21D1D0EA" w14:textId="77777777" w:rsidR="002E7852" w:rsidRPr="005D6D89" w:rsidRDefault="002E7852" w:rsidP="002E7852">
            <w:pPr>
              <w:pStyle w:val="TableText"/>
            </w:pPr>
            <w:r w:rsidRPr="005D6D89">
              <w:t>Economy</w:t>
            </w:r>
          </w:p>
        </w:tc>
        <w:tc>
          <w:tcPr>
            <w:tcW w:w="4519" w:type="dxa"/>
          </w:tcPr>
          <w:p w14:paraId="09485649" w14:textId="77777777" w:rsidR="002E7852" w:rsidRPr="005D6D89" w:rsidRDefault="002E7852" w:rsidP="002E7852">
            <w:pPr>
              <w:pStyle w:val="TableText"/>
            </w:pPr>
            <w:r w:rsidRPr="005D6D89">
              <w:t>Risks to governments from economic costs associated with lost productivity, disaster relief expenditure and unfunded contingent liabilities due to extreme events and ongoing, gradual changes.</w:t>
            </w:r>
          </w:p>
        </w:tc>
        <w:tc>
          <w:tcPr>
            <w:tcW w:w="1210" w:type="dxa"/>
          </w:tcPr>
          <w:p w14:paraId="3722E79E" w14:textId="77777777" w:rsidR="002E7852" w:rsidRPr="005D6D89" w:rsidRDefault="002E7852" w:rsidP="00DF3A7B">
            <w:pPr>
              <w:pStyle w:val="TableText"/>
              <w:jc w:val="center"/>
            </w:pPr>
            <w:r w:rsidRPr="005D6D89">
              <w:t>Extreme</w:t>
            </w:r>
          </w:p>
        </w:tc>
        <w:tc>
          <w:tcPr>
            <w:tcW w:w="1483" w:type="dxa"/>
          </w:tcPr>
          <w:p w14:paraId="511C5B9C" w14:textId="77777777" w:rsidR="002E7852" w:rsidRPr="005D6D89" w:rsidRDefault="002E7852" w:rsidP="00DF3A7B">
            <w:pPr>
              <w:pStyle w:val="TableText"/>
              <w:jc w:val="center"/>
            </w:pPr>
            <w:r w:rsidRPr="005D6D89">
              <w:t>90</w:t>
            </w:r>
          </w:p>
        </w:tc>
      </w:tr>
      <w:tr w:rsidR="002E7852" w:rsidRPr="005D6D89" w14:paraId="77A2118E" w14:textId="77777777" w:rsidTr="00543AF8">
        <w:trPr>
          <w:cantSplit/>
        </w:trPr>
        <w:tc>
          <w:tcPr>
            <w:tcW w:w="1293" w:type="dxa"/>
            <w:vMerge/>
            <w:vAlign w:val="center"/>
          </w:tcPr>
          <w:p w14:paraId="5AF35CC9" w14:textId="77777777" w:rsidR="002E7852" w:rsidRPr="005D6D89" w:rsidRDefault="002E7852" w:rsidP="002E7852">
            <w:pPr>
              <w:pStyle w:val="TableText"/>
            </w:pPr>
          </w:p>
        </w:tc>
        <w:tc>
          <w:tcPr>
            <w:tcW w:w="4519" w:type="dxa"/>
          </w:tcPr>
          <w:p w14:paraId="453B818E" w14:textId="77777777" w:rsidR="002E7852" w:rsidRPr="005D6D89" w:rsidRDefault="002E7852" w:rsidP="002E7852">
            <w:pPr>
              <w:pStyle w:val="TableText"/>
            </w:pPr>
            <w:r w:rsidRPr="005D6D89">
              <w:t>Risks to the financial system from instability due to extreme weather events and ongoing, gradual changes.</w:t>
            </w:r>
          </w:p>
        </w:tc>
        <w:tc>
          <w:tcPr>
            <w:tcW w:w="1210" w:type="dxa"/>
          </w:tcPr>
          <w:p w14:paraId="16E60C11" w14:textId="77777777" w:rsidR="002E7852" w:rsidRPr="005D6D89" w:rsidRDefault="002E7852" w:rsidP="00DF3A7B">
            <w:pPr>
              <w:pStyle w:val="TableText"/>
              <w:jc w:val="center"/>
            </w:pPr>
            <w:r w:rsidRPr="005D6D89">
              <w:t>Major</w:t>
            </w:r>
          </w:p>
        </w:tc>
        <w:tc>
          <w:tcPr>
            <w:tcW w:w="1483" w:type="dxa"/>
          </w:tcPr>
          <w:p w14:paraId="126995BC" w14:textId="77777777" w:rsidR="002E7852" w:rsidRPr="005D6D89" w:rsidRDefault="002E7852" w:rsidP="00DF3A7B">
            <w:pPr>
              <w:pStyle w:val="TableText"/>
              <w:jc w:val="center"/>
            </w:pPr>
            <w:r w:rsidRPr="005D6D89">
              <w:t>83</w:t>
            </w:r>
          </w:p>
        </w:tc>
      </w:tr>
      <w:tr w:rsidR="002E7852" w:rsidRPr="005D6D89" w14:paraId="438F3FC2" w14:textId="77777777" w:rsidTr="00543AF8">
        <w:trPr>
          <w:cantSplit/>
        </w:trPr>
        <w:tc>
          <w:tcPr>
            <w:tcW w:w="1293" w:type="dxa"/>
            <w:vMerge w:val="restart"/>
            <w:vAlign w:val="center"/>
          </w:tcPr>
          <w:p w14:paraId="1F8860A3" w14:textId="77777777" w:rsidR="002E7852" w:rsidRPr="005D6D89" w:rsidRDefault="002E7852" w:rsidP="002E7852">
            <w:pPr>
              <w:pStyle w:val="TableText"/>
            </w:pPr>
            <w:r w:rsidRPr="005D6D89">
              <w:t>Built environment</w:t>
            </w:r>
          </w:p>
        </w:tc>
        <w:tc>
          <w:tcPr>
            <w:tcW w:w="4519" w:type="dxa"/>
          </w:tcPr>
          <w:p w14:paraId="4DEFFDFE" w14:textId="77777777" w:rsidR="002E7852" w:rsidRPr="005D6D89" w:rsidRDefault="002E7852" w:rsidP="002E7852">
            <w:pPr>
              <w:pStyle w:val="TableText"/>
            </w:pPr>
            <w:r w:rsidRPr="005D6D89">
              <w:t>Risk to potable water supplies (availability and quality) due to changes in rainfall, temperature, drought, extreme weather events and ongoing sea-level rise.</w:t>
            </w:r>
          </w:p>
        </w:tc>
        <w:tc>
          <w:tcPr>
            <w:tcW w:w="1210" w:type="dxa"/>
          </w:tcPr>
          <w:p w14:paraId="0AEFDCA2" w14:textId="77777777" w:rsidR="002E7852" w:rsidRPr="005D6D89" w:rsidRDefault="002E7852" w:rsidP="00DF3A7B">
            <w:pPr>
              <w:pStyle w:val="TableText"/>
              <w:jc w:val="center"/>
            </w:pPr>
            <w:r w:rsidRPr="005D6D89">
              <w:t>Extreme</w:t>
            </w:r>
          </w:p>
        </w:tc>
        <w:tc>
          <w:tcPr>
            <w:tcW w:w="1483" w:type="dxa"/>
          </w:tcPr>
          <w:p w14:paraId="2EEFE0C9" w14:textId="77777777" w:rsidR="002E7852" w:rsidRPr="005D6D89" w:rsidRDefault="002E7852" w:rsidP="00DF3A7B">
            <w:pPr>
              <w:pStyle w:val="TableText"/>
              <w:jc w:val="center"/>
            </w:pPr>
            <w:r w:rsidRPr="005D6D89">
              <w:t>93</w:t>
            </w:r>
          </w:p>
        </w:tc>
      </w:tr>
      <w:tr w:rsidR="002E7852" w:rsidRPr="005D6D89" w14:paraId="320C1AE4" w14:textId="77777777" w:rsidTr="00543AF8">
        <w:trPr>
          <w:cantSplit/>
        </w:trPr>
        <w:tc>
          <w:tcPr>
            <w:tcW w:w="1293" w:type="dxa"/>
            <w:vMerge/>
            <w:vAlign w:val="center"/>
          </w:tcPr>
          <w:p w14:paraId="698DCCEA" w14:textId="77777777" w:rsidR="002E7852" w:rsidRPr="005D6D89" w:rsidRDefault="002E7852" w:rsidP="002E7852">
            <w:pPr>
              <w:pStyle w:val="TableText"/>
            </w:pPr>
          </w:p>
        </w:tc>
        <w:tc>
          <w:tcPr>
            <w:tcW w:w="4519" w:type="dxa"/>
          </w:tcPr>
          <w:p w14:paraId="7FFB2C3C" w14:textId="77777777" w:rsidR="002E7852" w:rsidRPr="005D6D89" w:rsidRDefault="002E7852" w:rsidP="002E7852">
            <w:pPr>
              <w:pStyle w:val="TableText"/>
            </w:pPr>
            <w:r w:rsidRPr="005D6D89">
              <w:t>Risks to buildings due to extreme weather events, drought, increased fire weather and ongoing sea-level rise.</w:t>
            </w:r>
          </w:p>
        </w:tc>
        <w:tc>
          <w:tcPr>
            <w:tcW w:w="1210" w:type="dxa"/>
          </w:tcPr>
          <w:p w14:paraId="61DCE3F8" w14:textId="77777777" w:rsidR="002E7852" w:rsidRPr="005D6D89" w:rsidRDefault="002E7852" w:rsidP="00DF3A7B">
            <w:pPr>
              <w:pStyle w:val="TableText"/>
              <w:jc w:val="center"/>
            </w:pPr>
            <w:r w:rsidRPr="005D6D89">
              <w:t>Extreme</w:t>
            </w:r>
          </w:p>
        </w:tc>
        <w:tc>
          <w:tcPr>
            <w:tcW w:w="1483" w:type="dxa"/>
          </w:tcPr>
          <w:p w14:paraId="722289C4" w14:textId="77777777" w:rsidR="002E7852" w:rsidRPr="005D6D89" w:rsidRDefault="002E7852" w:rsidP="00DF3A7B">
            <w:pPr>
              <w:pStyle w:val="TableText"/>
              <w:jc w:val="center"/>
            </w:pPr>
            <w:r w:rsidRPr="005D6D89">
              <w:t>90</w:t>
            </w:r>
          </w:p>
        </w:tc>
      </w:tr>
      <w:tr w:rsidR="002E7852" w:rsidRPr="005D6D89" w14:paraId="594AD82B" w14:textId="77777777" w:rsidTr="00543AF8">
        <w:trPr>
          <w:cantSplit/>
        </w:trPr>
        <w:tc>
          <w:tcPr>
            <w:tcW w:w="1293" w:type="dxa"/>
            <w:vMerge w:val="restart"/>
            <w:vAlign w:val="center"/>
          </w:tcPr>
          <w:p w14:paraId="15706BE1" w14:textId="77777777" w:rsidR="002E7852" w:rsidRPr="005D6D89" w:rsidRDefault="002E7852" w:rsidP="002E7852">
            <w:pPr>
              <w:pStyle w:val="TableText"/>
            </w:pPr>
            <w:r w:rsidRPr="005D6D89">
              <w:t>Governance</w:t>
            </w:r>
          </w:p>
        </w:tc>
        <w:tc>
          <w:tcPr>
            <w:tcW w:w="4519" w:type="dxa"/>
          </w:tcPr>
          <w:p w14:paraId="14E7626B" w14:textId="77777777" w:rsidR="002E7852" w:rsidRPr="005D6D89" w:rsidRDefault="002E7852" w:rsidP="002E7852">
            <w:pPr>
              <w:pStyle w:val="TableText"/>
            </w:pPr>
            <w:r w:rsidRPr="005D6D89">
              <w:t>Risk of maladaptation</w:t>
            </w:r>
            <w:r w:rsidRPr="005D789B">
              <w:rPr>
                <w:vertAlign w:val="superscript"/>
              </w:rPr>
              <w:t>1</w:t>
            </w:r>
            <w:r w:rsidRPr="005D6D89">
              <w:t xml:space="preserve"> across all domains due to practices, processes and tools that do not account for uncertainty and change over long timeframes.</w:t>
            </w:r>
          </w:p>
        </w:tc>
        <w:tc>
          <w:tcPr>
            <w:tcW w:w="1210" w:type="dxa"/>
          </w:tcPr>
          <w:p w14:paraId="0BB767E2" w14:textId="77777777" w:rsidR="002E7852" w:rsidRPr="005D6D89" w:rsidRDefault="002E7852" w:rsidP="00DF3A7B">
            <w:pPr>
              <w:pStyle w:val="TableText"/>
              <w:jc w:val="center"/>
            </w:pPr>
            <w:r w:rsidRPr="005D6D89">
              <w:t>Extreme</w:t>
            </w:r>
          </w:p>
        </w:tc>
        <w:tc>
          <w:tcPr>
            <w:tcW w:w="1483" w:type="dxa"/>
          </w:tcPr>
          <w:p w14:paraId="161907BF" w14:textId="77777777" w:rsidR="002E7852" w:rsidRPr="005D6D89" w:rsidRDefault="002E7852" w:rsidP="00DF3A7B">
            <w:pPr>
              <w:pStyle w:val="TableText"/>
              <w:jc w:val="center"/>
            </w:pPr>
            <w:r w:rsidRPr="005D6D89">
              <w:t>83</w:t>
            </w:r>
          </w:p>
        </w:tc>
      </w:tr>
      <w:tr w:rsidR="002E7852" w:rsidRPr="005D6D89" w14:paraId="6D73C9B6" w14:textId="77777777" w:rsidTr="00543AF8">
        <w:trPr>
          <w:cantSplit/>
        </w:trPr>
        <w:tc>
          <w:tcPr>
            <w:tcW w:w="1293" w:type="dxa"/>
            <w:vMerge/>
          </w:tcPr>
          <w:p w14:paraId="2753C2CA" w14:textId="77777777" w:rsidR="002E7852" w:rsidRPr="005D6D89" w:rsidRDefault="002E7852" w:rsidP="002E7852">
            <w:pPr>
              <w:pStyle w:val="TableText"/>
              <w:rPr>
                <w:rFonts w:asciiTheme="minorHAnsi" w:hAnsiTheme="minorHAnsi" w:cstheme="minorHAnsi"/>
                <w:szCs w:val="18"/>
              </w:rPr>
            </w:pPr>
          </w:p>
        </w:tc>
        <w:tc>
          <w:tcPr>
            <w:tcW w:w="4519" w:type="dxa"/>
          </w:tcPr>
          <w:p w14:paraId="536478B4" w14:textId="77777777" w:rsidR="002E7852" w:rsidRPr="005D6D89" w:rsidRDefault="002E7852" w:rsidP="0011097C">
            <w:pPr>
              <w:pStyle w:val="TableText"/>
            </w:pPr>
            <w:r w:rsidRPr="005D6D89">
              <w:t xml:space="preserve">Risk that climate change impacts across all domains </w:t>
            </w:r>
            <w:proofErr w:type="gramStart"/>
            <w:r w:rsidRPr="005D6D89">
              <w:t>will be</w:t>
            </w:r>
            <w:r w:rsidR="0011097C">
              <w:t xml:space="preserve"> </w:t>
            </w:r>
            <w:r w:rsidRPr="005D6D89">
              <w:t>exacerbated</w:t>
            </w:r>
            <w:proofErr w:type="gramEnd"/>
            <w:r w:rsidRPr="005D6D89">
              <w:t xml:space="preserve"> because current institutional arrangements are not fit for adaptation. Institutional arrangements include legislative and decision-making frameworks, coordination within and across levels of government, and funding mechanisms.</w:t>
            </w:r>
          </w:p>
        </w:tc>
        <w:tc>
          <w:tcPr>
            <w:tcW w:w="1210" w:type="dxa"/>
          </w:tcPr>
          <w:p w14:paraId="50776981" w14:textId="77777777" w:rsidR="002E7852" w:rsidRPr="005D6D89" w:rsidRDefault="002E7852" w:rsidP="00DF3A7B">
            <w:pPr>
              <w:pStyle w:val="TableText"/>
              <w:jc w:val="center"/>
            </w:pPr>
            <w:r w:rsidRPr="005D6D89">
              <w:t>Extreme</w:t>
            </w:r>
          </w:p>
        </w:tc>
        <w:tc>
          <w:tcPr>
            <w:tcW w:w="1483" w:type="dxa"/>
          </w:tcPr>
          <w:p w14:paraId="10176B15" w14:textId="77777777" w:rsidR="002E7852" w:rsidRPr="005D6D89" w:rsidRDefault="002E7852" w:rsidP="00DF3A7B">
            <w:pPr>
              <w:pStyle w:val="TableText"/>
              <w:jc w:val="center"/>
            </w:pPr>
            <w:r w:rsidRPr="005D6D89">
              <w:t>80</w:t>
            </w:r>
          </w:p>
        </w:tc>
      </w:tr>
    </w:tbl>
    <w:p w14:paraId="0E0E3718" w14:textId="77777777" w:rsidR="002E7852" w:rsidRPr="005D6D89" w:rsidRDefault="002E7852" w:rsidP="002E7852">
      <w:pPr>
        <w:pStyle w:val="Note"/>
      </w:pPr>
      <w:r w:rsidRPr="005D6D89">
        <w:rPr>
          <w:rStyle w:val="FootnoteReference"/>
        </w:rPr>
        <w:t>1</w:t>
      </w:r>
      <w:r w:rsidRPr="005D6D89">
        <w:t xml:space="preserve"> </w:t>
      </w:r>
      <w:r w:rsidRPr="005D6D89">
        <w:rPr>
          <w:i/>
          <w:iCs/>
        </w:rPr>
        <w:t>Maladaptation</w:t>
      </w:r>
      <w:r w:rsidRPr="005D6D89">
        <w:t xml:space="preserve"> refers to actions that may lead to increased risk of adverse climate-related outcomes, including via increased greenhouse gas emissions, increased vulnerability to climate change, or diminished welfare, now or in the future. Maladaptation is usually an unintended consequence (IPCC, 2018).</w:t>
      </w:r>
    </w:p>
    <w:p w14:paraId="52643D74" w14:textId="77777777" w:rsidR="002E7852" w:rsidRPr="005D6D89" w:rsidRDefault="002E7852" w:rsidP="002222D6">
      <w:pPr>
        <w:pStyle w:val="BodyText"/>
        <w:keepNext/>
      </w:pPr>
      <w:r w:rsidRPr="00E57BEE">
        <w:rPr>
          <w:b/>
          <w:bCs/>
          <w:color w:val="0F7B7D" w:themeColor="accent2"/>
        </w:rPr>
        <w:t>The NCCRA domains and risks are highly interconnected.</w:t>
      </w:r>
      <w:r w:rsidRPr="005D6D89">
        <w:t xml:space="preserve"> Although some interdependencies </w:t>
      </w:r>
      <w:proofErr w:type="gramStart"/>
      <w:r w:rsidRPr="005D6D89">
        <w:t>are explored</w:t>
      </w:r>
      <w:proofErr w:type="gramEnd"/>
      <w:r w:rsidRPr="005D6D89">
        <w:t xml:space="preserve">, the NCCRA framework did not provide a method for including them in this NCCRA, so they are not rigorously factored into the risk ratings. </w:t>
      </w:r>
    </w:p>
    <w:p w14:paraId="6A966BA5" w14:textId="77777777" w:rsidR="002E7852" w:rsidRPr="005D6D89" w:rsidRDefault="002E7852" w:rsidP="005E721D">
      <w:pPr>
        <w:pStyle w:val="BodyText"/>
      </w:pPr>
      <w:r w:rsidRPr="005D6D89">
        <w:t xml:space="preserve">To be effective, the adaptation actions that </w:t>
      </w:r>
      <w:proofErr w:type="gramStart"/>
      <w:r w:rsidRPr="005D6D89">
        <w:t>are developed</w:t>
      </w:r>
      <w:proofErr w:type="gramEnd"/>
      <w:r w:rsidRPr="005D6D89">
        <w:t xml:space="preserve"> in response to the priority risks will need to recognise these interconnections and be coordinated across risks. Māori consulted as part of this assessment emphasised that recognising interdependencies was fundamental to exploring climate risks from a Māori point of view. The NCCRA framework, particularly the concept of the domains, </w:t>
      </w:r>
      <w:proofErr w:type="gramStart"/>
      <w:r w:rsidRPr="005D6D89">
        <w:t>was considered</w:t>
      </w:r>
      <w:proofErr w:type="gramEnd"/>
      <w:r w:rsidRPr="005D6D89">
        <w:t xml:space="preserve"> incompatible with a Māori worldview. </w:t>
      </w:r>
      <w:r w:rsidR="00B61302">
        <w:t xml:space="preserve">There may be an opportunity to explore a </w:t>
      </w:r>
      <w:r w:rsidRPr="005D6D89">
        <w:t xml:space="preserve">Māori national risk assessment, which would include a methodology that emphasises interdependencies and </w:t>
      </w:r>
      <w:proofErr w:type="gramStart"/>
      <w:r w:rsidRPr="005D6D89">
        <w:t>could be underpinned</w:t>
      </w:r>
      <w:proofErr w:type="gramEnd"/>
      <w:r w:rsidRPr="005D6D89">
        <w:t xml:space="preserve"> by </w:t>
      </w:r>
      <w:hyperlink w:anchor="tikanga" w:history="1">
        <w:r w:rsidRPr="00FC3298">
          <w:rPr>
            <w:rStyle w:val="Hyperlink"/>
          </w:rPr>
          <w:t>tikanga</w:t>
        </w:r>
      </w:hyperlink>
      <w:r w:rsidRPr="00FC3298">
        <w:t xml:space="preserve"> Māori</w:t>
      </w:r>
      <w:r w:rsidRPr="005D6D89">
        <w:t>.</w:t>
      </w:r>
      <w:r w:rsidR="00027F9F" w:rsidRPr="005D6D89">
        <w:t xml:space="preserve"> </w:t>
      </w:r>
    </w:p>
    <w:p w14:paraId="27AC9759" w14:textId="77777777" w:rsidR="002E7852" w:rsidRPr="005D6D89" w:rsidRDefault="002E7852" w:rsidP="002E7852">
      <w:pPr>
        <w:pStyle w:val="BodyText"/>
      </w:pPr>
      <w:r w:rsidRPr="00E57BEE">
        <w:rPr>
          <w:b/>
          <w:bCs/>
          <w:color w:val="0F7B7D" w:themeColor="accent2"/>
        </w:rPr>
        <w:t>This NCCRA identified four opportunities resulting from climate change.</w:t>
      </w:r>
      <w:r w:rsidRPr="005D6D89">
        <w:rPr>
          <w:color w:val="00B0F0"/>
        </w:rPr>
        <w:t xml:space="preserve"> </w:t>
      </w:r>
      <w:r w:rsidRPr="005D6D89">
        <w:t xml:space="preserve">Very few opportunities </w:t>
      </w:r>
      <w:proofErr w:type="gramStart"/>
      <w:r w:rsidRPr="005D6D89">
        <w:t>were identified</w:t>
      </w:r>
      <w:proofErr w:type="gramEnd"/>
      <w:r w:rsidRPr="005D6D89">
        <w:t xml:space="preserve"> through literature review, expert elicitation or Māori/iwi and</w:t>
      </w:r>
      <w:r w:rsidR="007863F8">
        <w:t> </w:t>
      </w:r>
      <w:r w:rsidRPr="005D6D89">
        <w:t xml:space="preserve">stakeholder consultation. Some opportunities </w:t>
      </w:r>
      <w:proofErr w:type="gramStart"/>
      <w:r w:rsidRPr="005D6D89">
        <w:t>are not well understood</w:t>
      </w:r>
      <w:proofErr w:type="gramEnd"/>
      <w:r w:rsidRPr="005D6D89">
        <w:t xml:space="preserve"> and all require further research to ensure responses do not unintentionally worsen climate change impacts. The NCCRA identified opportunities </w:t>
      </w:r>
      <w:proofErr w:type="gramStart"/>
      <w:r w:rsidRPr="005D6D89">
        <w:t>for</w:t>
      </w:r>
      <w:proofErr w:type="gramEnd"/>
      <w:r w:rsidRPr="005D6D89">
        <w:t>:</w:t>
      </w:r>
    </w:p>
    <w:p w14:paraId="2336F538" w14:textId="77777777" w:rsidR="002E7852" w:rsidRPr="005D6D89" w:rsidRDefault="002E7852" w:rsidP="005E721D">
      <w:pPr>
        <w:pStyle w:val="Bullet"/>
      </w:pPr>
      <w:r w:rsidRPr="005D6D89">
        <w:t>higher productivity in some primary sectors due to warmer temperatures</w:t>
      </w:r>
    </w:p>
    <w:p w14:paraId="0E6A2E8D" w14:textId="77777777" w:rsidR="002E7852" w:rsidRPr="005D6D89" w:rsidRDefault="002E7852" w:rsidP="005E721D">
      <w:pPr>
        <w:pStyle w:val="Bullet"/>
      </w:pPr>
      <w:r w:rsidRPr="005D6D89">
        <w:t>businesses to provide adaptation-related goods and services</w:t>
      </w:r>
    </w:p>
    <w:p w14:paraId="1A889C76" w14:textId="77777777" w:rsidR="002E7852" w:rsidRPr="005D6D89" w:rsidRDefault="002E7852" w:rsidP="005E721D">
      <w:pPr>
        <w:pStyle w:val="Bullet"/>
      </w:pPr>
      <w:r w:rsidRPr="005D6D89">
        <w:t>lower cold weather-related mortality due to warmer temperatures</w:t>
      </w:r>
    </w:p>
    <w:p w14:paraId="05E7080E" w14:textId="77777777" w:rsidR="002E7852" w:rsidRPr="005D6D89" w:rsidRDefault="002E7852" w:rsidP="005E721D">
      <w:pPr>
        <w:pStyle w:val="Bullet"/>
      </w:pPr>
      <w:proofErr w:type="gramStart"/>
      <w:r w:rsidRPr="005D6D89">
        <w:t>lower</w:t>
      </w:r>
      <w:proofErr w:type="gramEnd"/>
      <w:r w:rsidRPr="005D6D89">
        <w:t xml:space="preserve"> winter heating demand due to warmer temperatures.</w:t>
      </w:r>
    </w:p>
    <w:p w14:paraId="0B2CA282" w14:textId="77777777" w:rsidR="002E7852" w:rsidRPr="005D6D89" w:rsidRDefault="002E7852" w:rsidP="002E7852">
      <w:pPr>
        <w:pStyle w:val="BodyText"/>
        <w:rPr>
          <w:rFonts w:asciiTheme="majorHAnsi" w:hAnsiTheme="majorHAnsi" w:cstheme="majorHAnsi"/>
          <w:lang w:eastAsia="en-AU"/>
        </w:rPr>
      </w:pPr>
      <w:r w:rsidRPr="00E57BEE">
        <w:rPr>
          <w:b/>
          <w:bCs/>
          <w:color w:val="0F7B7D" w:themeColor="accent2"/>
        </w:rPr>
        <w:t>There are significant gaps in the knowledge needed to manage climate change risks and opportunities.</w:t>
      </w:r>
      <w:r w:rsidRPr="005D6D89">
        <w:rPr>
          <w:color w:val="00B0F0"/>
        </w:rPr>
        <w:t xml:space="preserve"> </w:t>
      </w:r>
      <w:r w:rsidRPr="005D6D89">
        <w:t>These gaps reduce New Zealand</w:t>
      </w:r>
      <w:r w:rsidR="001200EA">
        <w:t>’</w:t>
      </w:r>
      <w:r w:rsidRPr="005D6D89">
        <w:t xml:space="preserve">s ability to assess and manage climate change and </w:t>
      </w:r>
      <w:proofErr w:type="gramStart"/>
      <w:r w:rsidRPr="005D6D89">
        <w:t>should be addressed</w:t>
      </w:r>
      <w:proofErr w:type="gramEnd"/>
      <w:r w:rsidRPr="005D6D89">
        <w:t xml:space="preserve"> to inform the </w:t>
      </w:r>
      <w:r w:rsidR="0011097C">
        <w:t xml:space="preserve">NAP </w:t>
      </w:r>
      <w:r w:rsidRPr="005D6D89">
        <w:t>and the next NCCRA. They include:</w:t>
      </w:r>
      <w:r w:rsidRPr="005D6D89">
        <w:rPr>
          <w:rFonts w:asciiTheme="majorHAnsi" w:hAnsiTheme="majorHAnsi" w:cstheme="majorHAnsi"/>
          <w:lang w:eastAsia="en-AU"/>
        </w:rPr>
        <w:t xml:space="preserve"> </w:t>
      </w:r>
    </w:p>
    <w:p w14:paraId="4A630927" w14:textId="77777777" w:rsidR="002E7852" w:rsidRPr="005D6D89" w:rsidRDefault="002E7852" w:rsidP="005E721D">
      <w:pPr>
        <w:pStyle w:val="Bullet"/>
      </w:pPr>
      <w:r w:rsidRPr="005D6D89">
        <w:t xml:space="preserve">a lack of coordinated and readily accessible biological inventories and data sets describing the distribution and status of ecosystems and species </w:t>
      </w:r>
    </w:p>
    <w:p w14:paraId="5462F249" w14:textId="77777777" w:rsidR="002E7852" w:rsidRPr="005D6D89" w:rsidRDefault="002E7852" w:rsidP="005E721D">
      <w:pPr>
        <w:pStyle w:val="Bullet"/>
      </w:pPr>
      <w:r w:rsidRPr="005D6D89">
        <w:t xml:space="preserve">the relationship between social vulnerabilities, cultural heritage and climate change, along with impacts on Māori social, cultural, spiritual and economic wellbeing </w:t>
      </w:r>
    </w:p>
    <w:p w14:paraId="72F5C18B" w14:textId="77777777" w:rsidR="002E7852" w:rsidRPr="005D6D89" w:rsidRDefault="002E7852" w:rsidP="005E721D">
      <w:pPr>
        <w:pStyle w:val="Bullet"/>
      </w:pPr>
      <w:r w:rsidRPr="005D6D89">
        <w:t xml:space="preserve">how climate change will affect the banking and insurance sectors, and the flow-on effects on the financial system </w:t>
      </w:r>
    </w:p>
    <w:p w14:paraId="590EE855" w14:textId="77777777" w:rsidR="002E7852" w:rsidRPr="005D6D89" w:rsidRDefault="002E7852" w:rsidP="005E721D">
      <w:pPr>
        <w:pStyle w:val="Bullet"/>
      </w:pPr>
      <w:r w:rsidRPr="005D6D89">
        <w:t>consistent hazard information for assessing the exposure of the built environment at a national scale</w:t>
      </w:r>
    </w:p>
    <w:p w14:paraId="2BF3E204" w14:textId="77777777" w:rsidR="002E7852" w:rsidRPr="005D6D89" w:rsidRDefault="002E7852" w:rsidP="005E721D">
      <w:pPr>
        <w:pStyle w:val="Bullet"/>
      </w:pPr>
      <w:r w:rsidRPr="005D6D89">
        <w:t xml:space="preserve">the interdependencies and shared risks between infrastructure sectors </w:t>
      </w:r>
    </w:p>
    <w:p w14:paraId="463284D3" w14:textId="77777777" w:rsidR="002E7852" w:rsidRPr="005D6D89" w:rsidRDefault="002E7852" w:rsidP="005E721D">
      <w:pPr>
        <w:pStyle w:val="Bullet"/>
      </w:pPr>
      <w:r w:rsidRPr="005D6D89">
        <w:t xml:space="preserve">a coordinated, comprehensive research platform to ensure research is available to inform effective adaptation </w:t>
      </w:r>
    </w:p>
    <w:p w14:paraId="1B1E7689" w14:textId="77777777" w:rsidR="002E7852" w:rsidRPr="005D6D89" w:rsidRDefault="002E7852" w:rsidP="005E721D">
      <w:pPr>
        <w:pStyle w:val="Bullet"/>
      </w:pPr>
      <w:r w:rsidRPr="005D6D89">
        <w:t xml:space="preserve">the current and future barriers to adaptation </w:t>
      </w:r>
    </w:p>
    <w:p w14:paraId="7AB61E1D" w14:textId="77777777" w:rsidR="002E7852" w:rsidRPr="005D6D89" w:rsidRDefault="00A03FCC" w:rsidP="005E721D">
      <w:pPr>
        <w:pStyle w:val="Bullet"/>
      </w:pPr>
      <w:proofErr w:type="gramStart"/>
      <w:r>
        <w:t>the</w:t>
      </w:r>
      <w:proofErr w:type="gramEnd"/>
      <w:r>
        <w:t xml:space="preserve"> full range of opportunities</w:t>
      </w:r>
      <w:r w:rsidR="002E7852" w:rsidRPr="005D6D89">
        <w:t xml:space="preserve"> and better understanding of those already identified.</w:t>
      </w:r>
    </w:p>
    <w:p w14:paraId="37AE2F27" w14:textId="77777777" w:rsidR="002E7852" w:rsidRPr="005D6D89" w:rsidRDefault="00B45FF6" w:rsidP="005E721D">
      <w:pPr>
        <w:pStyle w:val="BodyText"/>
      </w:pPr>
      <w:hyperlink w:anchor="mataurangamaori" w:history="1">
        <w:r w:rsidR="002E7852" w:rsidRPr="0080544C">
          <w:rPr>
            <w:rStyle w:val="Hyperlink"/>
          </w:rPr>
          <w:t>Mātauranga Māori</w:t>
        </w:r>
      </w:hyperlink>
      <w:r w:rsidR="002E7852" w:rsidRPr="0080544C">
        <w:t xml:space="preserve"> has an important role to play in climate risk assessments and adaptation planning.</w:t>
      </w:r>
      <w:r w:rsidR="002E7852" w:rsidRPr="0080544C">
        <w:rPr>
          <w:rFonts w:asciiTheme="majorHAnsi" w:hAnsiTheme="majorHAnsi" w:cstheme="majorHAnsi"/>
          <w:lang w:eastAsia="en-AU"/>
        </w:rPr>
        <w:t xml:space="preserve"> </w:t>
      </w:r>
      <w:r w:rsidR="002E7852" w:rsidRPr="0080544C">
        <w:t>Although this knowledge is available, more time and consultation are required to bring it into future NCCRAs. Due to these limitations, some iwi have noted their support for the</w:t>
      </w:r>
      <w:r w:rsidR="007B3FB7" w:rsidRPr="0080544C">
        <w:t> </w:t>
      </w:r>
      <w:r w:rsidR="002E7852" w:rsidRPr="0080544C">
        <w:t xml:space="preserve">development of a subsequent, parallel risk assessment for Māori, by Māori. They have indicated the methodology </w:t>
      </w:r>
      <w:proofErr w:type="gramStart"/>
      <w:r w:rsidR="002E7852" w:rsidRPr="0080544C">
        <w:t>would be underpinned</w:t>
      </w:r>
      <w:proofErr w:type="gramEnd"/>
      <w:r w:rsidR="002E7852" w:rsidRPr="0080544C">
        <w:t xml:space="preserve"> by </w:t>
      </w:r>
      <w:hyperlink w:anchor="kaupapa" w:history="1">
        <w:r w:rsidR="002E7852" w:rsidRPr="0080544C">
          <w:rPr>
            <w:rStyle w:val="Hyperlink"/>
          </w:rPr>
          <w:t>kaupapa</w:t>
        </w:r>
      </w:hyperlink>
      <w:r w:rsidR="002E7852" w:rsidRPr="0080544C">
        <w:t xml:space="preserve"> and </w:t>
      </w:r>
      <w:hyperlink w:anchor="tikanga" w:history="1">
        <w:r w:rsidR="002E7852" w:rsidRPr="0080544C">
          <w:rPr>
            <w:rStyle w:val="Hyperlink"/>
          </w:rPr>
          <w:t>tikanga</w:t>
        </w:r>
      </w:hyperlink>
      <w:r w:rsidR="002E7852" w:rsidRPr="0080544C">
        <w:t xml:space="preserve"> Māori, which</w:t>
      </w:r>
      <w:r w:rsidR="002E7852" w:rsidRPr="005D6D89">
        <w:t xml:space="preserve"> may influence the identification, assessment and prioritisation of climate risks.</w:t>
      </w:r>
    </w:p>
    <w:p w14:paraId="3053C54F" w14:textId="77777777" w:rsidR="002E7852" w:rsidRPr="005D6D89" w:rsidRDefault="002E7852" w:rsidP="005E721D">
      <w:pPr>
        <w:pStyle w:val="BodyText"/>
      </w:pPr>
      <w:r w:rsidRPr="00742B92">
        <w:rPr>
          <w:b/>
          <w:bCs/>
          <w:color w:val="0F7B7D"/>
        </w:rPr>
        <w:t>The NCCRA sought to bring in Māori perspectives by engaging on the risks and opportunities of climate change</w:t>
      </w:r>
      <w:r w:rsidRPr="001C0289">
        <w:rPr>
          <w:b/>
          <w:bCs/>
          <w:color w:val="0F7B7D" w:themeColor="accent2"/>
        </w:rPr>
        <w:t>.</w:t>
      </w:r>
      <w:r w:rsidRPr="005D6D89">
        <w:t xml:space="preserve"> Many Māori emphasised that while climate change represents a significant challenge for New Zealand, M</w:t>
      </w:r>
      <w:r w:rsidRPr="005D6D89">
        <w:rPr>
          <w:rFonts w:cs="Arial"/>
        </w:rPr>
        <w:t>ā</w:t>
      </w:r>
      <w:r w:rsidRPr="005D6D89">
        <w:t xml:space="preserve">ori have lived here for many generations and have survived and prospered by adapting to changes in the climate and the natural world. Many </w:t>
      </w:r>
      <w:r w:rsidRPr="0011097C">
        <w:t>iwi/hapū</w:t>
      </w:r>
      <w:r w:rsidRPr="005D6D89">
        <w:t xml:space="preserve"> are already developing their own climate change plans, which set out their values, issues and aspirations in response to climate change. </w:t>
      </w:r>
    </w:p>
    <w:p w14:paraId="18C52EE2" w14:textId="77777777" w:rsidR="002E7852" w:rsidRPr="005D6D89" w:rsidRDefault="002E7852" w:rsidP="005E721D">
      <w:pPr>
        <w:pStyle w:val="BodyText"/>
      </w:pPr>
      <w:r w:rsidRPr="005D6D89">
        <w:t>The NCCRA has factored in diverse Māori views and values in a number of ways, including:</w:t>
      </w:r>
    </w:p>
    <w:p w14:paraId="5FA45D01" w14:textId="77777777" w:rsidR="002E7852" w:rsidRPr="005D6D89" w:rsidRDefault="002E7852" w:rsidP="005E721D">
      <w:pPr>
        <w:pStyle w:val="Bullet"/>
      </w:pPr>
      <w:r w:rsidRPr="005D6D89">
        <w:t xml:space="preserve">a set of guiding principles to inform engagement and risk assessment </w:t>
      </w:r>
    </w:p>
    <w:p w14:paraId="3F90E573" w14:textId="77777777" w:rsidR="002E7852" w:rsidRPr="005D6D89" w:rsidRDefault="002E7852" w:rsidP="005E721D">
      <w:pPr>
        <w:pStyle w:val="Bullet"/>
      </w:pPr>
      <w:r w:rsidRPr="005D6D89">
        <w:t>recognising the connections and dependencies between domains</w:t>
      </w:r>
    </w:p>
    <w:p w14:paraId="34BF50CF" w14:textId="77777777" w:rsidR="00742B92" w:rsidRDefault="002E7852" w:rsidP="005E721D">
      <w:pPr>
        <w:pStyle w:val="Bullet"/>
      </w:pPr>
      <w:proofErr w:type="gramStart"/>
      <w:r w:rsidRPr="005D6D89">
        <w:t>acknowledging</w:t>
      </w:r>
      <w:proofErr w:type="gramEnd"/>
      <w:r w:rsidRPr="005D6D89">
        <w:t xml:space="preserve"> key Māori concepts that underpin each domain. </w:t>
      </w:r>
    </w:p>
    <w:p w14:paraId="2A8BDB7C" w14:textId="77777777" w:rsidR="00742B92" w:rsidRDefault="00742B92">
      <w:pPr>
        <w:spacing w:before="0" w:after="200" w:line="276" w:lineRule="auto"/>
        <w:jc w:val="left"/>
        <w:rPr>
          <w:rFonts w:eastAsia="Times New Roman" w:cs="Times New Roman"/>
          <w:szCs w:val="20"/>
        </w:rPr>
      </w:pPr>
      <w:r>
        <w:br w:type="page"/>
      </w:r>
    </w:p>
    <w:p w14:paraId="526FE60F" w14:textId="77777777" w:rsidR="00742B92" w:rsidRPr="0054535E" w:rsidRDefault="00742B92" w:rsidP="00742B92">
      <w:pPr>
        <w:pStyle w:val="Heading1"/>
        <w:rPr>
          <w:lang w:val="es-ES_tradnl"/>
        </w:rPr>
      </w:pPr>
      <w:bookmarkStart w:id="8" w:name="_Hlk40273143"/>
      <w:r w:rsidRPr="0054535E">
        <w:rPr>
          <w:lang w:val="es-ES_tradnl"/>
        </w:rPr>
        <w:t>Ngā kupu matua</w:t>
      </w:r>
    </w:p>
    <w:p w14:paraId="29D9A844" w14:textId="77777777" w:rsidR="00742B92" w:rsidRPr="00742B92" w:rsidRDefault="00742B92" w:rsidP="00742B92">
      <w:pPr>
        <w:pStyle w:val="BodyText"/>
      </w:pPr>
      <w:r w:rsidRPr="00742B92">
        <w:rPr>
          <w:b/>
          <w:color w:val="0F7B7D"/>
          <w:lang w:val="es-ES_tradnl"/>
        </w:rPr>
        <w:t>E huri ana tō tātou āhuarangi.</w:t>
      </w:r>
      <w:r w:rsidRPr="00395335">
        <w:rPr>
          <w:color w:val="00B0F0"/>
          <w:lang w:val="es-ES_tradnl"/>
        </w:rPr>
        <w:t xml:space="preserve"> </w:t>
      </w:r>
      <w:r w:rsidRPr="00742B92">
        <w:t xml:space="preserve">E mārama ana te kitea nā ngā tukunga haurehu kati mahana ā-tangata e mahana haere nei te pūnaha āhuarangi o te ao </w:t>
      </w:r>
      <w:r w:rsidRPr="00742B92">
        <w:fldChar w:fldCharType="begin"/>
      </w:r>
      <w:r w:rsidRPr="00742B92">
        <w:instrText xml:space="preserve"> ADDIN ZOTERO_ITEM CSL_CITATION {"citationID":"JpQrA1iI","properties":{"formattedCitation":"(IPCC,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Pr="00742B92">
        <w:fldChar w:fldCharType="separate"/>
      </w:r>
      <w:r w:rsidRPr="00742B92">
        <w:t>(IPCC, 2019)</w:t>
      </w:r>
      <w:r w:rsidRPr="00742B92">
        <w:fldChar w:fldCharType="end"/>
      </w:r>
      <w:r w:rsidRPr="00742B92">
        <w:t xml:space="preserve">. Kua pāngia kētia </w:t>
      </w:r>
      <w:proofErr w:type="gramStart"/>
      <w:r w:rsidRPr="00742B92">
        <w:t>a</w:t>
      </w:r>
      <w:proofErr w:type="gramEnd"/>
      <w:r w:rsidRPr="00742B92">
        <w:t xml:space="preserve"> Aotearoa e ngā huringa āhuarangi. I </w:t>
      </w:r>
      <w:proofErr w:type="gramStart"/>
      <w:r w:rsidRPr="00742B92">
        <w:t>te</w:t>
      </w:r>
      <w:proofErr w:type="gramEnd"/>
      <w:r w:rsidRPr="00742B92">
        <w:t xml:space="preserve"> rautau kua huri, kua piki ngā paemahana, kua rewa ngā awa kōpaka, kua pupuke hoki te pae moana. Ka puta tonu ēnei huringa, ā, ka nui ake ngā pānga. Ka whānui ngā hua i ēnei huringa ki </w:t>
      </w:r>
      <w:proofErr w:type="gramStart"/>
      <w:r w:rsidRPr="00742B92">
        <w:t>te</w:t>
      </w:r>
      <w:proofErr w:type="gramEnd"/>
      <w:r w:rsidRPr="00742B92">
        <w:t xml:space="preserve"> tangata, te taiao māori me te taiao kua hangaia, te ōhanga me ngā mana whakahaere. Ka noho ēnei 'takiwā uara' hei tūāpapa mō tō tātou oranga, ā, hei tūāpapa hoki mō tēnei pūrongo.</w:t>
      </w:r>
    </w:p>
    <w:p w14:paraId="1E18F1E0" w14:textId="77777777" w:rsidR="00742B92" w:rsidRPr="00742B92" w:rsidRDefault="00742B92" w:rsidP="00742B92">
      <w:pPr>
        <w:pStyle w:val="BodyText"/>
      </w:pPr>
      <w:r w:rsidRPr="00742B92">
        <w:rPr>
          <w:b/>
          <w:color w:val="0F7B7D"/>
          <w:lang w:val="es-ES_tradnl"/>
        </w:rPr>
        <w:t>Ko tā tēnei pūrongo, he whakatakoto i ngā kitenga a te Whakahaere Arotakenga Tūraru Huringa Āhuarangi ā-Motu tuatahi mō Aotearoa (NCCRA).</w:t>
      </w:r>
      <w:r w:rsidRPr="000867A0">
        <w:rPr>
          <w:color w:val="00B0F0"/>
          <w:lang w:val="es-ES_tradnl"/>
        </w:rPr>
        <w:t xml:space="preserve"> </w:t>
      </w:r>
      <w:r w:rsidRPr="00742B92">
        <w:t xml:space="preserve">He tirohanga whānui </w:t>
      </w:r>
      <w:proofErr w:type="gramStart"/>
      <w:r w:rsidRPr="00742B92">
        <w:t>te</w:t>
      </w:r>
      <w:proofErr w:type="gramEnd"/>
      <w:r w:rsidRPr="00742B92">
        <w:t xml:space="preserve"> NCCRA ki te āhua o te pānga o Aotearoa e ngā pūmate i ara ake i ngā huringa āhuarangi, ā, e tautuhia ana ngā tūraru me ngā kōwhiringa nunui. E tohua ana hoki ngā āputa i ngā pārongo me ngā raraunga e matea ana </w:t>
      </w:r>
      <w:proofErr w:type="gramStart"/>
      <w:r w:rsidRPr="00742B92">
        <w:t>kia</w:t>
      </w:r>
      <w:proofErr w:type="gramEnd"/>
      <w:r w:rsidRPr="00742B92">
        <w:t xml:space="preserve"> tika ai te arotake me te whakahaere i ngā tūraru me ngā kōwhiringa.</w:t>
      </w:r>
    </w:p>
    <w:p w14:paraId="3E03E88E" w14:textId="77777777" w:rsidR="00742B92" w:rsidRDefault="00742B92" w:rsidP="00742B92">
      <w:pPr>
        <w:pStyle w:val="BodyText"/>
      </w:pPr>
      <w:proofErr w:type="gramStart"/>
      <w:r w:rsidRPr="00742B92">
        <w:t>Ko</w:t>
      </w:r>
      <w:proofErr w:type="gramEnd"/>
      <w:r w:rsidRPr="00742B92">
        <w:t xml:space="preserve"> te Arotakenga Huringa Āhuarangi: Te Anga Mō Te Whakahaere Arotakenga Tūraru Huringa Āhuarangi ā-Motu mō Aotearoa (te anga o te NCCRA) te tūāpapa o te NCCRA, ā, i pau te iwa marama e mahia ana e tētahi rōpū kanorau, he rerekē nei ngā pūkenga, o ngā tāngata mātauranga me ngā mātanga. Kua huihuia mai ngā putanga i ahu mai i ngā iwi Māori me </w:t>
      </w:r>
      <w:proofErr w:type="gramStart"/>
      <w:r w:rsidRPr="00742B92">
        <w:t>te</w:t>
      </w:r>
      <w:proofErr w:type="gramEnd"/>
      <w:r w:rsidRPr="00742B92">
        <w:t xml:space="preserve"> torotoro a te hunga whai pānga ki ngā tātaritanga pūtaiao, hangarau, tohunga anō hoki. Ka whakamahia ngā kitenga hei whakawhanake i tētahi Mahere Urutaunga ā-Motu (NAP) hei urupare ki ngā tūraru, ngā kōwhiringa me ngā āputa mātauranga nunui.</w:t>
      </w:r>
    </w:p>
    <w:p w14:paraId="36FD62AF" w14:textId="77777777" w:rsidR="00812D16" w:rsidRPr="000867A0" w:rsidRDefault="00812D16" w:rsidP="00812D16">
      <w:pPr>
        <w:pStyle w:val="Tableheading"/>
      </w:pPr>
      <w:r w:rsidRPr="000867A0">
        <w:t xml:space="preserve">Āhua 1: </w:t>
      </w:r>
      <w:r>
        <w:tab/>
      </w:r>
      <w:r w:rsidRPr="000867A0">
        <w:t xml:space="preserve">Te hononga i waenga i </w:t>
      </w:r>
      <w:proofErr w:type="gramStart"/>
      <w:r w:rsidRPr="000867A0">
        <w:t>te</w:t>
      </w:r>
      <w:proofErr w:type="gramEnd"/>
      <w:r w:rsidRPr="000867A0">
        <w:t xml:space="preserve"> anga o NCCRA, te Whakahaere </w:t>
      </w:r>
      <w:r w:rsidRPr="000867A0">
        <w:rPr>
          <w:iCs/>
        </w:rPr>
        <w:t>Arotakenga Tūraru Huringa Āhuarangi ā-Motu</w:t>
      </w:r>
      <w:r w:rsidRPr="000867A0">
        <w:t>, me te Mahere Urutaunga ā-Motu.</w:t>
      </w:r>
    </w:p>
    <w:p w14:paraId="31BF97E9" w14:textId="77777777" w:rsidR="00742B92" w:rsidRPr="000867A0" w:rsidRDefault="00812D16" w:rsidP="00742B92">
      <w:pPr>
        <w:pStyle w:val="BodyText"/>
        <w:rPr>
          <w:lang w:val="es-ES_tradnl"/>
        </w:rPr>
      </w:pPr>
      <w:r>
        <w:rPr>
          <w:noProof/>
        </w:rPr>
        <w:drawing>
          <wp:inline distT="0" distB="0" distL="0" distR="0" wp14:anchorId="2ECB7DDF" wp14:editId="4FA8A6CF">
            <wp:extent cx="5400675" cy="205994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2.png"/>
                    <pic:cNvPicPr/>
                  </pic:nvPicPr>
                  <pic:blipFill>
                    <a:blip r:embed="rId20">
                      <a:extLst>
                        <a:ext uri="{28A0092B-C50C-407E-A947-70E740481C1C}">
                          <a14:useLocalDpi xmlns:a14="http://schemas.microsoft.com/office/drawing/2010/main" val="0"/>
                        </a:ext>
                      </a:extLst>
                    </a:blip>
                    <a:stretch>
                      <a:fillRect/>
                    </a:stretch>
                  </pic:blipFill>
                  <pic:spPr>
                    <a:xfrm>
                      <a:off x="0" y="0"/>
                      <a:ext cx="5400675" cy="2059940"/>
                    </a:xfrm>
                    <a:prstGeom prst="rect">
                      <a:avLst/>
                    </a:prstGeom>
                  </pic:spPr>
                </pic:pic>
              </a:graphicData>
            </a:graphic>
          </wp:inline>
        </w:drawing>
      </w:r>
    </w:p>
    <w:p w14:paraId="1E33924C" w14:textId="77777777" w:rsidR="00742B92" w:rsidRPr="00742B92" w:rsidRDefault="00742B92" w:rsidP="00742B92">
      <w:pPr>
        <w:jc w:val="left"/>
        <w:rPr>
          <w:rStyle w:val="BodyTextChar"/>
        </w:rPr>
      </w:pPr>
      <w:r w:rsidRPr="00742B92">
        <w:rPr>
          <w:rStyle w:val="BodyTextChar"/>
          <w:b/>
          <w:color w:val="0F7B7D"/>
        </w:rPr>
        <w:t xml:space="preserve">E ū ana a Aotearoa ki </w:t>
      </w:r>
      <w:proofErr w:type="gramStart"/>
      <w:r w:rsidRPr="00742B92">
        <w:rPr>
          <w:rStyle w:val="BodyTextChar"/>
          <w:b/>
          <w:color w:val="0F7B7D"/>
        </w:rPr>
        <w:t>te</w:t>
      </w:r>
      <w:proofErr w:type="gramEnd"/>
      <w:r w:rsidRPr="00742B92">
        <w:rPr>
          <w:rStyle w:val="BodyTextChar"/>
          <w:b/>
          <w:color w:val="0F7B7D"/>
        </w:rPr>
        <w:t xml:space="preserve"> urutau me te whakamauru.</w:t>
      </w:r>
      <w:r w:rsidRPr="00742B92">
        <w:rPr>
          <w:rStyle w:val="BodyTextChar"/>
          <w:color w:val="0F7B7D"/>
        </w:rPr>
        <w:t xml:space="preserve"> </w:t>
      </w:r>
      <w:proofErr w:type="gramStart"/>
      <w:r w:rsidRPr="00742B92">
        <w:rPr>
          <w:rStyle w:val="BodyTextChar"/>
        </w:rPr>
        <w:t>Ko</w:t>
      </w:r>
      <w:proofErr w:type="gramEnd"/>
      <w:r w:rsidRPr="00742B92">
        <w:rPr>
          <w:rStyle w:val="BodyTextChar"/>
        </w:rPr>
        <w:t xml:space="preserve"> te Pire (te Pire) Whakatikatika mō te Uruparenga Huringa Āhuarangi 2019 (Waro Kore) tētahi anga e whakawhanake ai, e whakatinana ai hoki a Aotearoa i ētahi kaupapa here āhuarangi e mārama ana, e pūmau ana hoki ki te:</w:t>
      </w:r>
    </w:p>
    <w:p w14:paraId="3B80407B" w14:textId="77777777" w:rsidR="00742B92" w:rsidRPr="00DD0A9F" w:rsidRDefault="00742B92" w:rsidP="00742B92">
      <w:pPr>
        <w:pStyle w:val="Bullet"/>
        <w:rPr>
          <w:lang w:val="es-ES_tradnl"/>
        </w:rPr>
      </w:pPr>
      <w:r w:rsidRPr="00DD0A9F">
        <w:rPr>
          <w:lang w:val="es-ES_tradnl"/>
        </w:rPr>
        <w:t xml:space="preserve">whakaiti i ngā tukunga haurehu kati mahana (arā te, ‘whakamaurutanga') </w:t>
      </w:r>
    </w:p>
    <w:p w14:paraId="4236847A" w14:textId="77777777" w:rsidR="00742B92" w:rsidRPr="00395335" w:rsidRDefault="00742B92" w:rsidP="00742B92">
      <w:pPr>
        <w:pStyle w:val="Bullet"/>
        <w:rPr>
          <w:lang w:val="es-ES_tradnl"/>
        </w:rPr>
      </w:pPr>
      <w:r>
        <w:rPr>
          <w:lang w:val="es-ES_tradnl"/>
        </w:rPr>
        <w:t>aro atu</w:t>
      </w:r>
      <w:r w:rsidRPr="00395335">
        <w:rPr>
          <w:lang w:val="es-ES_tradnl"/>
        </w:rPr>
        <w:t xml:space="preserve"> ki te āhuarangi e huri nei (</w:t>
      </w:r>
      <w:r>
        <w:rPr>
          <w:lang w:val="es-ES_tradnl"/>
        </w:rPr>
        <w:t>arā te</w:t>
      </w:r>
      <w:r w:rsidRPr="00395335">
        <w:rPr>
          <w:lang w:val="es-ES_tradnl"/>
        </w:rPr>
        <w:t>, ‘</w:t>
      </w:r>
      <w:r>
        <w:rPr>
          <w:lang w:val="es-ES_tradnl"/>
        </w:rPr>
        <w:t>urutaunga'</w:t>
      </w:r>
      <w:r w:rsidRPr="00395335">
        <w:rPr>
          <w:lang w:val="es-ES_tradnl"/>
        </w:rPr>
        <w:t xml:space="preserve">). </w:t>
      </w:r>
    </w:p>
    <w:p w14:paraId="40851556" w14:textId="77777777" w:rsidR="00742B92" w:rsidRPr="00A51C6A" w:rsidRDefault="00742B92" w:rsidP="00742B92">
      <w:pPr>
        <w:pStyle w:val="BodyText"/>
        <w:rPr>
          <w:lang w:val="es-ES_tradnl"/>
        </w:rPr>
      </w:pPr>
      <w:r w:rsidRPr="00A51C6A">
        <w:rPr>
          <w:lang w:val="es-ES_tradnl"/>
        </w:rPr>
        <w:t xml:space="preserve">Mā te Ture a Aotearoa e here ki te tautuhi i ngā tūraru me ngā </w:t>
      </w:r>
      <w:r>
        <w:rPr>
          <w:lang w:val="es-ES_tradnl"/>
        </w:rPr>
        <w:t>kōwhiringa</w:t>
      </w:r>
      <w:r w:rsidRPr="00A51C6A">
        <w:rPr>
          <w:lang w:val="es-ES_tradnl"/>
        </w:rPr>
        <w:t xml:space="preserve"> anamata mā te whakaputa i tētahi NCCRA i ia ono tau. Hei urupare ki ia NCCRA, me whakarite te Minita o </w:t>
      </w:r>
      <w:r>
        <w:rPr>
          <w:lang w:val="es-ES_tradnl"/>
        </w:rPr>
        <w:t>te Huringa Āhuarangi i tētahi NAP.</w:t>
      </w:r>
    </w:p>
    <w:p w14:paraId="4C9055FD" w14:textId="77777777" w:rsidR="00742B92" w:rsidRDefault="00742B92" w:rsidP="00742B92">
      <w:pPr>
        <w:pStyle w:val="BodyText"/>
      </w:pPr>
      <w:r w:rsidRPr="00742B92">
        <w:rPr>
          <w:b/>
          <w:color w:val="0F7B7D"/>
          <w:lang w:val="es-ES_tradnl"/>
        </w:rPr>
        <w:t>Kei te mahana haere te āhuarangi o Aotearoa, kei te pupuke haere te pae moana, ā, kei te auau haere, kei te pākaha haere hoki te putanga mai o ngā pāpono huarere taikaha.</w:t>
      </w:r>
      <w:r>
        <w:rPr>
          <w:lang w:val="es-ES_tradnl"/>
        </w:rPr>
        <w:t xml:space="preserve"> </w:t>
      </w:r>
      <w:r w:rsidRPr="00DD0A9F">
        <w:rPr>
          <w:color w:val="000000" w:themeColor="text1"/>
        </w:rPr>
        <w:t xml:space="preserve">I whakawhanake te </w:t>
      </w:r>
      <w:r w:rsidRPr="00DD0A9F">
        <w:rPr>
          <w:rFonts w:cs="Arial"/>
          <w:color w:val="000000" w:themeColor="text1"/>
          <w:sz w:val="21"/>
          <w:szCs w:val="21"/>
          <w:shd w:val="clear" w:color="auto" w:fill="FFFFFF"/>
          <w:lang w:val="en-US" w:eastAsia="en-US"/>
        </w:rPr>
        <w:t>National Institute of Water and Atmospheric Research</w:t>
      </w:r>
      <w:r w:rsidRPr="00DD0A9F">
        <w:rPr>
          <w:rFonts w:ascii="Times New Roman" w:hAnsi="Times New Roman"/>
          <w:color w:val="000000" w:themeColor="text1"/>
          <w:sz w:val="24"/>
          <w:szCs w:val="24"/>
          <w:lang w:val="en-US" w:eastAsia="en-US"/>
        </w:rPr>
        <w:t xml:space="preserve"> </w:t>
      </w:r>
      <w:r w:rsidRPr="00DD0A9F">
        <w:rPr>
          <w:color w:val="000000" w:themeColor="text1"/>
        </w:rPr>
        <w:t>(NIWA) i ngā matapae huringa āhuarangi i whakamahia i te arotake</w:t>
      </w:r>
      <w:r>
        <w:rPr>
          <w:color w:val="000000" w:themeColor="text1"/>
        </w:rPr>
        <w:t>nga</w:t>
      </w:r>
      <w:r w:rsidRPr="00DD0A9F">
        <w:rPr>
          <w:color w:val="000000" w:themeColor="text1"/>
        </w:rPr>
        <w:t xml:space="preserve"> tūraru i muri mai i te putanga o te Pūrongo Arotakenga Tuarima a </w:t>
      </w:r>
      <w:r w:rsidRPr="00DD0A9F">
        <w:rPr>
          <w:i/>
          <w:color w:val="000000" w:themeColor="text1"/>
        </w:rPr>
        <w:t>IPCC</w:t>
      </w:r>
      <w:r w:rsidRPr="00C03F38">
        <w:t>.</w:t>
      </w:r>
      <w:r>
        <w:t xml:space="preserve"> E whai wāhi atu ana ngā take e whai nei:</w:t>
      </w:r>
    </w:p>
    <w:p w14:paraId="583FAB44" w14:textId="77777777" w:rsidR="00742B92" w:rsidRPr="00706ECB" w:rsidRDefault="00742B92" w:rsidP="00742B92">
      <w:pPr>
        <w:spacing w:after="0" w:line="240" w:lineRule="auto"/>
        <w:rPr>
          <w:rFonts w:ascii="Times New Roman" w:hAnsi="Times New Roman"/>
          <w:color w:val="000000" w:themeColor="text1"/>
          <w:sz w:val="24"/>
          <w:szCs w:val="24"/>
          <w:lang w:val="en-US" w:eastAsia="en-US"/>
        </w:rPr>
      </w:pPr>
    </w:p>
    <w:p w14:paraId="1D9A402C" w14:textId="77777777" w:rsidR="00742B92" w:rsidRPr="00DD0A9F" w:rsidRDefault="00742B92" w:rsidP="00742B92">
      <w:pPr>
        <w:pStyle w:val="Bullet"/>
        <w:rPr>
          <w:lang w:val="es-ES_tradnl"/>
        </w:rPr>
      </w:pPr>
      <w:r w:rsidRPr="00DD0A9F">
        <w:rPr>
          <w:lang w:val="en-US"/>
        </w:rPr>
        <w:t xml:space="preserve">I ngā tau 100 kua huri kua 1ºC </w:t>
      </w:r>
      <w:proofErr w:type="gramStart"/>
      <w:r w:rsidRPr="00DD0A9F">
        <w:rPr>
          <w:lang w:val="en-US"/>
        </w:rPr>
        <w:t>te</w:t>
      </w:r>
      <w:proofErr w:type="gramEnd"/>
      <w:r w:rsidRPr="00DD0A9F">
        <w:rPr>
          <w:lang w:val="en-US"/>
        </w:rPr>
        <w:t xml:space="preserve"> mahanatanga ake o tō tātou āhuarangi. </w:t>
      </w:r>
      <w:r w:rsidRPr="00DD0A9F">
        <w:rPr>
          <w:lang w:val="es-ES_tradnl"/>
        </w:rPr>
        <w:t>Ki te kaha tonu ngā tukunga ā-ao, ka 1.0°C anō te pikinga o ngā paemahana hei te tau 2040, ā, ka 3.0°C te pikinga hei te tau 2090.</w:t>
      </w:r>
    </w:p>
    <w:p w14:paraId="419CA41D" w14:textId="515D6BE5" w:rsidR="00742B92" w:rsidRPr="00706ECB" w:rsidRDefault="00742B92" w:rsidP="00742B92">
      <w:pPr>
        <w:pStyle w:val="Bullet"/>
        <w:rPr>
          <w:lang w:val="es-ES_tradnl"/>
        </w:rPr>
      </w:pPr>
      <w:r w:rsidRPr="00706ECB">
        <w:rPr>
          <w:lang w:val="es-ES_tradnl"/>
        </w:rPr>
        <w:t xml:space="preserve">I ngā tau e 60 kua </w:t>
      </w:r>
      <w:r>
        <w:rPr>
          <w:lang w:val="es-ES_tradnl"/>
        </w:rPr>
        <w:t>huri</w:t>
      </w:r>
      <w:r w:rsidRPr="00706ECB">
        <w:rPr>
          <w:lang w:val="es-ES_tradnl"/>
        </w:rPr>
        <w:t xml:space="preserve">, kua </w:t>
      </w:r>
      <w:r>
        <w:rPr>
          <w:lang w:val="es-ES_tradnl"/>
        </w:rPr>
        <w:t xml:space="preserve">2.44 mm te </w:t>
      </w:r>
      <w:r w:rsidRPr="00706ECB">
        <w:rPr>
          <w:lang w:val="es-ES_tradnl"/>
        </w:rPr>
        <w:t>pupuke</w:t>
      </w:r>
      <w:r>
        <w:rPr>
          <w:lang w:val="es-ES_tradnl"/>
        </w:rPr>
        <w:t>tanga</w:t>
      </w:r>
      <w:r w:rsidRPr="00706ECB">
        <w:rPr>
          <w:lang w:val="es-ES_tradnl"/>
        </w:rPr>
        <w:t xml:space="preserve"> ake </w:t>
      </w:r>
      <w:r>
        <w:rPr>
          <w:lang w:val="es-ES_tradnl"/>
        </w:rPr>
        <w:t>o te pae</w:t>
      </w:r>
      <w:r w:rsidRPr="00706ECB">
        <w:rPr>
          <w:lang w:val="es-ES_tradnl"/>
        </w:rPr>
        <w:t xml:space="preserve"> moana </w:t>
      </w:r>
      <w:r>
        <w:rPr>
          <w:lang w:val="es-ES_tradnl"/>
        </w:rPr>
        <w:t>i ia tau. Ki te kaha tonu ngā tukunga ā-ao, ka 0.</w:t>
      </w:r>
      <w:r w:rsidR="00E771E8">
        <w:rPr>
          <w:lang w:val="es-ES_tradnl"/>
        </w:rPr>
        <w:t xml:space="preserve">21 </w:t>
      </w:r>
      <w:r>
        <w:rPr>
          <w:lang w:val="es-ES_tradnl"/>
        </w:rPr>
        <w:t>m te pupukenga ake o te pae moana hei te tau 2040, ā, ka 0.</w:t>
      </w:r>
      <w:r w:rsidR="00E771E8">
        <w:rPr>
          <w:lang w:val="es-ES_tradnl"/>
        </w:rPr>
        <w:t xml:space="preserve">67 </w:t>
      </w:r>
      <w:r>
        <w:rPr>
          <w:lang w:val="es-ES_tradnl"/>
        </w:rPr>
        <w:t>m hei te tau 2090.</w:t>
      </w:r>
    </w:p>
    <w:p w14:paraId="3150B4FE" w14:textId="77777777" w:rsidR="00742B92" w:rsidRPr="00D3541F" w:rsidRDefault="00742B92" w:rsidP="00742B92">
      <w:pPr>
        <w:pStyle w:val="Bullet"/>
        <w:rPr>
          <w:lang w:val="es-ES_tradnl"/>
        </w:rPr>
      </w:pPr>
      <w:r w:rsidRPr="00D3541F">
        <w:rPr>
          <w:lang w:val="es-ES_tradnl"/>
        </w:rPr>
        <w:t>Ka kaha ake, ka auau ake te puta</w:t>
      </w:r>
      <w:r>
        <w:rPr>
          <w:lang w:val="es-ES_tradnl"/>
        </w:rPr>
        <w:t>nga</w:t>
      </w:r>
      <w:r w:rsidRPr="00D3541F">
        <w:rPr>
          <w:lang w:val="es-ES_tradnl"/>
        </w:rPr>
        <w:t xml:space="preserve"> mai o ngā pāpono huarere </w:t>
      </w:r>
      <w:r>
        <w:rPr>
          <w:lang w:val="es-ES_tradnl"/>
        </w:rPr>
        <w:t>taikaha</w:t>
      </w:r>
      <w:r w:rsidRPr="00D3541F">
        <w:rPr>
          <w:lang w:val="es-ES_tradnl"/>
        </w:rPr>
        <w:t xml:space="preserve">, pēnei i ngā āwhā, ngā hīrangi me ngā ua makerewhatu. Ka kitea te pikinga nui o ngā ua </w:t>
      </w:r>
      <w:r>
        <w:rPr>
          <w:lang w:val="es-ES_tradnl"/>
        </w:rPr>
        <w:t>taikaha</w:t>
      </w:r>
      <w:r w:rsidRPr="00D3541F">
        <w:rPr>
          <w:lang w:val="es-ES_tradnl"/>
        </w:rPr>
        <w:t>, puta noa i te motu, ina koa i Te Tai Tokerau nā te pikinga</w:t>
      </w:r>
      <w:r>
        <w:rPr>
          <w:lang w:val="es-ES_tradnl"/>
        </w:rPr>
        <w:t>,</w:t>
      </w:r>
      <w:r w:rsidRPr="00D3541F">
        <w:rPr>
          <w:lang w:val="es-ES_tradnl"/>
        </w:rPr>
        <w:t xml:space="preserve"> </w:t>
      </w:r>
      <w:r>
        <w:rPr>
          <w:lang w:val="es-ES_tradnl"/>
        </w:rPr>
        <w:t xml:space="preserve">e matapaetia ana, </w:t>
      </w:r>
      <w:r w:rsidRPr="00D3541F">
        <w:rPr>
          <w:lang w:val="es-ES_tradnl"/>
        </w:rPr>
        <w:t>o ngā huripari</w:t>
      </w:r>
      <w:r>
        <w:rPr>
          <w:lang w:val="es-ES_tradnl"/>
        </w:rPr>
        <w:t xml:space="preserve"> nō</w:t>
      </w:r>
      <w:r w:rsidRPr="00D3541F">
        <w:rPr>
          <w:lang w:val="es-ES_tradnl"/>
        </w:rPr>
        <w:t xml:space="preserve"> ngā takiwā pārū.</w:t>
      </w:r>
    </w:p>
    <w:p w14:paraId="003C408E" w14:textId="77777777" w:rsidR="00742B92" w:rsidRPr="00D3541F" w:rsidRDefault="00742B92" w:rsidP="00742B92">
      <w:pPr>
        <w:pStyle w:val="Bullet"/>
        <w:rPr>
          <w:lang w:val="es-ES_tradnl"/>
        </w:rPr>
      </w:pPr>
      <w:r w:rsidRPr="00D3541F">
        <w:rPr>
          <w:lang w:val="es-ES_tradnl"/>
        </w:rPr>
        <w:t xml:space="preserve">E matapaetia ana ka heke te nui o ngā rā </w:t>
      </w:r>
      <w:r>
        <w:rPr>
          <w:lang w:val="es-ES_tradnl"/>
        </w:rPr>
        <w:t xml:space="preserve">e tau mai ai te hauhunga me te huka, ā, ka piki ngā rā maroke i te nuinga o Te Ika-a-Māui me ētahi wāhanga o Te Waipounamu. </w:t>
      </w:r>
    </w:p>
    <w:p w14:paraId="2285379E" w14:textId="77777777" w:rsidR="00742B92" w:rsidRPr="00D3541F" w:rsidRDefault="00742B92" w:rsidP="00742B92">
      <w:pPr>
        <w:pStyle w:val="Bullet"/>
        <w:rPr>
          <w:lang w:val="es-ES_tradnl"/>
        </w:rPr>
      </w:pPr>
      <w:r w:rsidRPr="00D3541F">
        <w:rPr>
          <w:lang w:val="es-ES_tradnl"/>
        </w:rPr>
        <w:t>E matapaetia ana ka piki</w:t>
      </w:r>
      <w:r>
        <w:rPr>
          <w:lang w:val="es-ES_tradnl"/>
        </w:rPr>
        <w:t xml:space="preserve"> te putanga mai me te kaha o ngā tauraki, ina koa i te taha rāwhiti o Te Tiritiri-o-te-moana.</w:t>
      </w:r>
    </w:p>
    <w:p w14:paraId="6BB36C6F" w14:textId="77777777" w:rsidR="00742B92" w:rsidRPr="00D3541F" w:rsidRDefault="00742B92" w:rsidP="00742B92">
      <w:pPr>
        <w:pStyle w:val="Bullet"/>
        <w:rPr>
          <w:lang w:val="es-ES_tradnl"/>
        </w:rPr>
      </w:pPr>
      <w:r w:rsidRPr="00D3541F">
        <w:rPr>
          <w:lang w:val="es-ES_tradnl"/>
        </w:rPr>
        <w:t xml:space="preserve">E matapaetia ana ka piki </w:t>
      </w:r>
      <w:r>
        <w:rPr>
          <w:lang w:val="es-ES_tradnl"/>
        </w:rPr>
        <w:t>te hau whakarua i te raumati, ā, ka piki te hau matatara i te hōtoke, ā, ka kaha tērā i te tonga o Te Waipounamu.</w:t>
      </w:r>
    </w:p>
    <w:p w14:paraId="5D53C3DA" w14:textId="77777777" w:rsidR="00742B92" w:rsidRPr="00D3541F" w:rsidRDefault="00742B92" w:rsidP="00742B92">
      <w:pPr>
        <w:pStyle w:val="Bullet"/>
        <w:rPr>
          <w:lang w:val="es-ES_tradnl"/>
        </w:rPr>
      </w:pPr>
      <w:r w:rsidRPr="00D3541F">
        <w:rPr>
          <w:lang w:val="es-ES_tradnl"/>
        </w:rPr>
        <w:t>E matapaetia ana ka piki te tūra</w:t>
      </w:r>
      <w:r>
        <w:rPr>
          <w:lang w:val="es-ES_tradnl"/>
        </w:rPr>
        <w:t>ru ki ngā ahi mura noa i ētahi takiwā e maha kia tae ki te pito o te rautau, nā te pikinga o ngā paemahana me te tere o te pupuhi o ngā hau, nā te iti haere hoki o te ua me te pikinga o te pārūrū.</w:t>
      </w:r>
    </w:p>
    <w:p w14:paraId="718D60D4" w14:textId="77777777" w:rsidR="00742B92" w:rsidRPr="00E007E4" w:rsidRDefault="00742B92" w:rsidP="00742B92">
      <w:pPr>
        <w:pStyle w:val="BodyText"/>
        <w:rPr>
          <w:lang w:val="es-ES_tradnl"/>
        </w:rPr>
      </w:pPr>
      <w:r w:rsidRPr="00E007E4">
        <w:rPr>
          <w:lang w:val="es-ES_tradnl"/>
        </w:rPr>
        <w:t>Ahakoa te pūmau o te ngākauru</w:t>
      </w:r>
      <w:r>
        <w:rPr>
          <w:lang w:val="es-ES_tradnl"/>
        </w:rPr>
        <w:t>a e pā ana ki ēnei matapae, ina koa ērā e pā ana ki te pito o te rautau, kua takoto mai he whakaahua o tētahi anamata e kaha ana te tūpono ka kitea nā te huringa āhuarangi.</w:t>
      </w:r>
    </w:p>
    <w:p w14:paraId="57C88EAA" w14:textId="77777777" w:rsidR="00742B92" w:rsidRPr="00742B92" w:rsidRDefault="00742B92" w:rsidP="00742B92">
      <w:pPr>
        <w:pStyle w:val="BodyText"/>
      </w:pPr>
      <w:r w:rsidRPr="00742B92">
        <w:rPr>
          <w:b/>
          <w:color w:val="0F7B7D"/>
          <w:lang w:val="mi-NZ"/>
        </w:rPr>
        <w:t>Kua tautuhi te NCCRA i ētahi tūraru e 43 i roto i ngā takiwā e rima.</w:t>
      </w:r>
      <w:r w:rsidRPr="00742B92">
        <w:t xml:space="preserve"> Ko ngā takiwā uara e rima, ko tangata, ko te taiao māori, ko te ōhanga, ko te taiao kua hangaia me ngā mana whakahaere. Ahakoa kua tautuh tēnei NCCRA i ngā tūraru nunui 10, me whakatau ngā ngā tūraru tōmua katoa e 43. Ka takoto i </w:t>
      </w:r>
      <w:proofErr w:type="gramStart"/>
      <w:r w:rsidRPr="00742B92">
        <w:t>te</w:t>
      </w:r>
      <w:proofErr w:type="gramEnd"/>
      <w:r w:rsidRPr="00742B92">
        <w:t xml:space="preserve"> pūrongo ngā whakatauranga hua, totoa hoki, ā, ka whakamāramahia hoki ngā take rangahau tōmua mō ngā tūraru tōmua e 43 kia tika ai te whakaaro o ngā kaiwhakawhanake i te NAP ki ngā tūraru tōmua katoa.</w:t>
      </w:r>
    </w:p>
    <w:p w14:paraId="4415EE18" w14:textId="77777777" w:rsidR="00742B92" w:rsidRPr="00DE6155" w:rsidRDefault="00742B92" w:rsidP="00742B92">
      <w:pPr>
        <w:pStyle w:val="Heading3"/>
        <w:rPr>
          <w:lang w:val="es-ES_tradnl"/>
        </w:rPr>
      </w:pPr>
      <w:r w:rsidRPr="00DE6155">
        <w:rPr>
          <w:lang w:val="es-ES_tradnl"/>
        </w:rPr>
        <w:t xml:space="preserve">Whakatauranga </w:t>
      </w:r>
      <w:r>
        <w:rPr>
          <w:lang w:val="es-ES_tradnl"/>
        </w:rPr>
        <w:t>hua</w:t>
      </w:r>
    </w:p>
    <w:p w14:paraId="185BDC7F" w14:textId="77777777" w:rsidR="00742B92" w:rsidRPr="00742B92" w:rsidRDefault="00742B92" w:rsidP="00742B92">
      <w:pPr>
        <w:pStyle w:val="BodyText"/>
      </w:pPr>
      <w:r w:rsidRPr="00742B92">
        <w:t xml:space="preserve">He taikaha, he nui rānei ngā whakataunga hua nō ngā tūraru tōmua i roto i tētahi, neke atu rānei, o ngā anga arotakenga e toru (ināianei, hei </w:t>
      </w:r>
      <w:proofErr w:type="gramStart"/>
      <w:r w:rsidRPr="00742B92">
        <w:t>te</w:t>
      </w:r>
      <w:proofErr w:type="gramEnd"/>
      <w:r w:rsidRPr="00742B92">
        <w:t xml:space="preserve"> 2050, hei te 2100). E whakaatu ana ngā whakataunga hua i </w:t>
      </w:r>
      <w:proofErr w:type="gramStart"/>
      <w:r w:rsidRPr="00742B92">
        <w:t>te</w:t>
      </w:r>
      <w:proofErr w:type="gramEnd"/>
      <w:r w:rsidRPr="00742B92">
        <w:t xml:space="preserve"> āhua o te nui o te noho puare, o te noho whakaraerae hoki o ngā rawa me ngā uara i ia takiwā ki ngā pūmate āhuarangi. </w:t>
      </w:r>
      <w:proofErr w:type="gramStart"/>
      <w:r w:rsidRPr="00742B92">
        <w:t>Ko</w:t>
      </w:r>
      <w:proofErr w:type="gramEnd"/>
      <w:r w:rsidRPr="00742B92">
        <w:t xml:space="preserve"> ngā whakatauranga tukunga iho, ko: te hauiti, te iti, te āhua nui, te nui, me te taikaha</w:t>
      </w:r>
    </w:p>
    <w:p w14:paraId="1726BC72" w14:textId="77777777" w:rsidR="00742B92" w:rsidRPr="007F559B" w:rsidRDefault="00742B92" w:rsidP="00742B92">
      <w:pPr>
        <w:pStyle w:val="Heading3"/>
      </w:pPr>
      <w:r>
        <w:t>Whakatauranga totoa</w:t>
      </w:r>
    </w:p>
    <w:p w14:paraId="44181FC1" w14:textId="77777777" w:rsidR="00742B92" w:rsidRPr="00742B92" w:rsidRDefault="00742B92" w:rsidP="00742B92">
      <w:pPr>
        <w:pStyle w:val="BodyText"/>
      </w:pPr>
      <w:r w:rsidRPr="00742B92">
        <w:t xml:space="preserve">I arotake te NCCRA i te totoa o te mahi ki te whakatau i ia tūraru (arā, te 'totoa ā-urutaunga'), kia mōhiotia ai te āhua o te nui o ngā mahi ka whai i tūtohungia ai mō ngā tau e ono kei te tū mai. Kei waenga i </w:t>
      </w:r>
      <w:proofErr w:type="gramStart"/>
      <w:r w:rsidRPr="00742B92">
        <w:t>te</w:t>
      </w:r>
      <w:proofErr w:type="gramEnd"/>
      <w:r w:rsidRPr="00742B92">
        <w:t xml:space="preserve"> 44 ki te 94 ngā whakatauranga totoa kei roto i tēnei NCCRA, ā, i puta ake hoki i ētahi take, ina koa mehemea rānei kua kōkiritia, kua maheretia kētia rānei tētahi urupare tika. </w:t>
      </w:r>
    </w:p>
    <w:p w14:paraId="6C870DBF" w14:textId="77777777" w:rsidR="00742B92" w:rsidRPr="006571B2" w:rsidRDefault="00742B92" w:rsidP="00742B92">
      <w:pPr>
        <w:pStyle w:val="BodyText"/>
      </w:pPr>
      <w:r w:rsidRPr="00742B92">
        <w:rPr>
          <w:b/>
          <w:color w:val="0F7B7D"/>
        </w:rPr>
        <w:t xml:space="preserve">Tohu ai </w:t>
      </w:r>
      <w:proofErr w:type="gramStart"/>
      <w:r w:rsidRPr="00742B92">
        <w:rPr>
          <w:b/>
          <w:color w:val="0F7B7D"/>
        </w:rPr>
        <w:t>te</w:t>
      </w:r>
      <w:proofErr w:type="gramEnd"/>
      <w:r w:rsidRPr="00742B92">
        <w:rPr>
          <w:b/>
          <w:color w:val="0F7B7D"/>
        </w:rPr>
        <w:t xml:space="preserve"> NCCRA i ngā tūraru e rua i ia takiwā, ā, ko te whakatauranga totoa ā-urutaunga teitei rawa te mea nunui rawa.</w:t>
      </w:r>
      <w:r>
        <w:rPr>
          <w:b/>
          <w:color w:val="0F7B7D"/>
        </w:rPr>
        <w:t xml:space="preserve"> </w:t>
      </w:r>
      <w:r>
        <w:t>Koinei te ara i whāia ai, tē whakatairanga kē ai i ngā tūraru tino totoa 10 katoa, nā te mea he rerekē ngā takiwā, nō reira kāore e ōrite ana ngā whakatauranga hua, totoa hoki i roto i ngā takiwā.</w:t>
      </w:r>
    </w:p>
    <w:p w14:paraId="1427420A" w14:textId="77777777" w:rsidR="00742B92" w:rsidRPr="00742B92" w:rsidRDefault="00742B92" w:rsidP="00742B92">
      <w:pPr>
        <w:jc w:val="left"/>
        <w:rPr>
          <w:rStyle w:val="BodyTextChar"/>
        </w:rPr>
      </w:pPr>
      <w:r w:rsidRPr="00742B92">
        <w:rPr>
          <w:rStyle w:val="BodyTextChar"/>
          <w:b/>
          <w:color w:val="0F7B7D"/>
        </w:rPr>
        <w:t>Whakaū ai te NCCRA e whai hiranga ana ki te Māori ngā tūraru tōmua katoa kei raro nei</w:t>
      </w:r>
      <w:r>
        <w:rPr>
          <w:bCs/>
        </w:rPr>
        <w:t xml:space="preserve">, </w:t>
      </w:r>
      <w:r w:rsidRPr="00742B92">
        <w:rPr>
          <w:rStyle w:val="BodyTextChar"/>
        </w:rPr>
        <w:t xml:space="preserve">ā, ka pāngia pāhikahikangia ētahi whānau, hapū, iwi anō hoki, tae atu ki ngā pānga Māori, ngā uara, ngā tikanga me te hauora. Ka tino whaitake te </w:t>
      </w:r>
      <w:hyperlink w:anchor="mataurangamaori" w:history="1">
        <w:r w:rsidRPr="00742B92">
          <w:rPr>
            <w:rStyle w:val="Hyperlink"/>
          </w:rPr>
          <w:t>mātauranga Māori</w:t>
        </w:r>
      </w:hyperlink>
      <w:r w:rsidRPr="00742B92">
        <w:rPr>
          <w:rStyle w:val="BodyTextChar"/>
        </w:rPr>
        <w:t xml:space="preserve"> ki te whakawhānui i te māramatanga ā-ahurea ki ēnei tūraru, me te whakanoho i te ahurea ki roto i ngā whakamahere huringa āhuarangi, ngā kaupapa here me ngā urutaunga o anamata. Miramirangia ai i tēnei NCCRA ngā tūraru whāiti e tino hāngai ana ki </w:t>
      </w:r>
      <w:proofErr w:type="gramStart"/>
      <w:r w:rsidRPr="00742B92">
        <w:rPr>
          <w:rStyle w:val="BodyTextChar"/>
        </w:rPr>
        <w:t>te</w:t>
      </w:r>
      <w:proofErr w:type="gramEnd"/>
      <w:r w:rsidRPr="00742B92">
        <w:rPr>
          <w:rStyle w:val="BodyTextChar"/>
        </w:rPr>
        <w:t xml:space="preserve"> Māori. Heoi anō, katoa ngā tūraru ka pā ki Aotearoa, ka hāngai ki </w:t>
      </w:r>
      <w:proofErr w:type="gramStart"/>
      <w:r w:rsidRPr="00742B92">
        <w:rPr>
          <w:rStyle w:val="BodyTextChar"/>
        </w:rPr>
        <w:t>te</w:t>
      </w:r>
      <w:proofErr w:type="gramEnd"/>
      <w:r w:rsidRPr="00742B92">
        <w:rPr>
          <w:rStyle w:val="BodyTextChar"/>
        </w:rPr>
        <w:t xml:space="preserve"> Māori hei kaitiaki i runga i ō rātou whenua tupuna, ahurea anō hoki.</w:t>
      </w:r>
    </w:p>
    <w:p w14:paraId="411D319B" w14:textId="77777777" w:rsidR="00742B92" w:rsidRPr="00462595" w:rsidRDefault="00742B92" w:rsidP="00742B92">
      <w:pPr>
        <w:pStyle w:val="Tableheading"/>
        <w:rPr>
          <w:lang w:val="es-ES_tradnl"/>
        </w:rPr>
      </w:pPr>
      <w:r w:rsidRPr="00462595">
        <w:rPr>
          <w:lang w:val="es-ES_tradnl"/>
        </w:rPr>
        <w:t>Tūtohi 1: Ngā tūraru huringa āhuarangi nunui rawa 10 o Aotearoa, e takoto nei i runga i te totoa.</w:t>
      </w:r>
    </w:p>
    <w:tbl>
      <w:tblPr>
        <w:tblStyle w:val="TableGrid"/>
        <w:tblW w:w="9209" w:type="dxa"/>
        <w:tblBorders>
          <w:top w:val="none" w:sz="0" w:space="0" w:color="auto"/>
          <w:left w:val="none" w:sz="0" w:space="0" w:color="auto"/>
          <w:bottom w:val="single" w:sz="4" w:space="0" w:color="1C556C"/>
          <w:right w:val="none" w:sz="0" w:space="0" w:color="auto"/>
          <w:insideH w:val="none" w:sz="0" w:space="0" w:color="auto"/>
          <w:insideV w:val="single" w:sz="4" w:space="0" w:color="1C556C"/>
        </w:tblBorders>
        <w:tblLook w:val="04A0" w:firstRow="1" w:lastRow="0" w:firstColumn="1" w:lastColumn="0" w:noHBand="0" w:noVBand="1"/>
      </w:tblPr>
      <w:tblGrid>
        <w:gridCol w:w="1316"/>
        <w:gridCol w:w="4765"/>
        <w:gridCol w:w="1528"/>
        <w:gridCol w:w="1600"/>
      </w:tblGrid>
      <w:tr w:rsidR="00812D16" w:rsidRPr="00C03F38" w14:paraId="657EE0B2" w14:textId="77777777" w:rsidTr="00812D16">
        <w:trPr>
          <w:cantSplit/>
          <w:tblHeader/>
        </w:trPr>
        <w:tc>
          <w:tcPr>
            <w:tcW w:w="1316" w:type="dxa"/>
            <w:vMerge w:val="restart"/>
            <w:shd w:val="clear" w:color="auto" w:fill="1C556C"/>
          </w:tcPr>
          <w:p w14:paraId="1804D516" w14:textId="77777777" w:rsidR="00742B92" w:rsidRPr="00742B92" w:rsidRDefault="00742B92" w:rsidP="00A03FCC">
            <w:pPr>
              <w:rPr>
                <w:b/>
                <w:bCs/>
                <w:color w:val="FFFFFF" w:themeColor="background1"/>
              </w:rPr>
            </w:pPr>
            <w:r w:rsidRPr="00742B92">
              <w:rPr>
                <w:b/>
                <w:bCs/>
                <w:color w:val="FFFFFF" w:themeColor="background1"/>
              </w:rPr>
              <w:t>Takiwā</w:t>
            </w:r>
          </w:p>
        </w:tc>
        <w:tc>
          <w:tcPr>
            <w:tcW w:w="4765" w:type="dxa"/>
            <w:vMerge w:val="restart"/>
            <w:shd w:val="clear" w:color="auto" w:fill="1C556C"/>
          </w:tcPr>
          <w:p w14:paraId="0C6F754D" w14:textId="77777777" w:rsidR="00742B92" w:rsidRPr="00742B92" w:rsidRDefault="00742B92" w:rsidP="00A03FCC">
            <w:pPr>
              <w:rPr>
                <w:b/>
                <w:bCs/>
                <w:color w:val="FFFFFF" w:themeColor="background1"/>
              </w:rPr>
            </w:pPr>
            <w:r w:rsidRPr="00742B92">
              <w:rPr>
                <w:b/>
                <w:bCs/>
                <w:color w:val="FFFFFF" w:themeColor="background1"/>
              </w:rPr>
              <w:t>Tūraru</w:t>
            </w:r>
          </w:p>
        </w:tc>
        <w:tc>
          <w:tcPr>
            <w:tcW w:w="3128" w:type="dxa"/>
            <w:gridSpan w:val="2"/>
            <w:shd w:val="clear" w:color="auto" w:fill="1C556C"/>
          </w:tcPr>
          <w:p w14:paraId="2AF3C951" w14:textId="77777777" w:rsidR="00742B92" w:rsidRPr="00742B92" w:rsidRDefault="00742B92" w:rsidP="00A03FCC">
            <w:pPr>
              <w:rPr>
                <w:b/>
                <w:bCs/>
                <w:color w:val="FFFFFF" w:themeColor="background1"/>
              </w:rPr>
            </w:pPr>
            <w:r w:rsidRPr="00742B92">
              <w:rPr>
                <w:b/>
                <w:bCs/>
                <w:color w:val="FFFFFF" w:themeColor="background1"/>
              </w:rPr>
              <w:t>Whakatauranga</w:t>
            </w:r>
          </w:p>
        </w:tc>
      </w:tr>
      <w:tr w:rsidR="00742B92" w:rsidRPr="00C03F38" w14:paraId="34DDE7E0" w14:textId="77777777" w:rsidTr="00812D16">
        <w:trPr>
          <w:cantSplit/>
          <w:tblHeader/>
        </w:trPr>
        <w:tc>
          <w:tcPr>
            <w:tcW w:w="1316" w:type="dxa"/>
            <w:vMerge/>
            <w:tcBorders>
              <w:bottom w:val="nil"/>
            </w:tcBorders>
          </w:tcPr>
          <w:p w14:paraId="4F7EF650" w14:textId="77777777" w:rsidR="00742B92" w:rsidRPr="00C03F38" w:rsidRDefault="00742B92" w:rsidP="00A03FCC">
            <w:pPr>
              <w:rPr>
                <w:bCs/>
                <w:color w:val="00B0F0"/>
              </w:rPr>
            </w:pPr>
          </w:p>
        </w:tc>
        <w:tc>
          <w:tcPr>
            <w:tcW w:w="4765" w:type="dxa"/>
            <w:vMerge/>
            <w:tcBorders>
              <w:bottom w:val="nil"/>
            </w:tcBorders>
          </w:tcPr>
          <w:p w14:paraId="54BC393F" w14:textId="77777777" w:rsidR="00742B92" w:rsidRPr="00C03F38" w:rsidRDefault="00742B92" w:rsidP="00A03FCC">
            <w:pPr>
              <w:rPr>
                <w:bCs/>
                <w:color w:val="00B0F0"/>
              </w:rPr>
            </w:pPr>
          </w:p>
        </w:tc>
        <w:tc>
          <w:tcPr>
            <w:tcW w:w="1528" w:type="dxa"/>
            <w:tcBorders>
              <w:bottom w:val="nil"/>
            </w:tcBorders>
            <w:shd w:val="clear" w:color="auto" w:fill="1C556C"/>
          </w:tcPr>
          <w:p w14:paraId="53ED0C17" w14:textId="77777777" w:rsidR="00742B92" w:rsidRPr="00742B92" w:rsidRDefault="00742B92" w:rsidP="00A03FCC">
            <w:pPr>
              <w:rPr>
                <w:b/>
                <w:bCs/>
                <w:color w:val="FFFFFF" w:themeColor="background1"/>
              </w:rPr>
            </w:pPr>
            <w:r w:rsidRPr="00742B92">
              <w:rPr>
                <w:b/>
                <w:bCs/>
                <w:color w:val="FFFFFF" w:themeColor="background1"/>
              </w:rPr>
              <w:t>Hua</w:t>
            </w:r>
          </w:p>
        </w:tc>
        <w:tc>
          <w:tcPr>
            <w:tcW w:w="1600" w:type="dxa"/>
            <w:tcBorders>
              <w:bottom w:val="nil"/>
            </w:tcBorders>
            <w:shd w:val="clear" w:color="auto" w:fill="1C556C"/>
          </w:tcPr>
          <w:p w14:paraId="47F59EE7" w14:textId="77777777" w:rsidR="00742B92" w:rsidRPr="00742B92" w:rsidRDefault="00742B92" w:rsidP="00A03FCC">
            <w:pPr>
              <w:rPr>
                <w:b/>
                <w:color w:val="FFFFFF" w:themeColor="background1"/>
                <w:sz w:val="18"/>
                <w:szCs w:val="18"/>
              </w:rPr>
            </w:pPr>
            <w:r w:rsidRPr="00742B92">
              <w:rPr>
                <w:b/>
                <w:color w:val="FFFFFF" w:themeColor="background1"/>
                <w:sz w:val="18"/>
                <w:szCs w:val="18"/>
              </w:rPr>
              <w:t>Totoa (44–94)</w:t>
            </w:r>
          </w:p>
        </w:tc>
      </w:tr>
      <w:tr w:rsidR="00742B92" w:rsidRPr="00C03F38" w14:paraId="676601F9" w14:textId="77777777" w:rsidTr="00812D16">
        <w:trPr>
          <w:cantSplit/>
        </w:trPr>
        <w:tc>
          <w:tcPr>
            <w:tcW w:w="1316" w:type="dxa"/>
            <w:vMerge w:val="restart"/>
            <w:tcBorders>
              <w:bottom w:val="single" w:sz="4" w:space="0" w:color="1C556C"/>
            </w:tcBorders>
            <w:vAlign w:val="center"/>
          </w:tcPr>
          <w:p w14:paraId="40153BB1" w14:textId="77777777" w:rsidR="00742B92" w:rsidRPr="00C03F38" w:rsidRDefault="00742B92" w:rsidP="00742B92">
            <w:pPr>
              <w:pStyle w:val="TableText"/>
            </w:pPr>
            <w:r>
              <w:t>Taiao māori</w:t>
            </w:r>
          </w:p>
        </w:tc>
        <w:tc>
          <w:tcPr>
            <w:tcW w:w="4765" w:type="dxa"/>
            <w:tcBorders>
              <w:bottom w:val="single" w:sz="4" w:space="0" w:color="1C556C"/>
            </w:tcBorders>
          </w:tcPr>
          <w:p w14:paraId="099FBB70" w14:textId="77777777" w:rsidR="00742B92" w:rsidRPr="00C03F38" w:rsidRDefault="00742B92" w:rsidP="00742B92">
            <w:pPr>
              <w:pStyle w:val="TableText"/>
            </w:pPr>
            <w:r>
              <w:t>Ngā tūraru ki ngā pūnaha hauropi tahatai, pēnei i te taihua, i ngā wahapū, i ngā tāhuahua, i ngā roto tahatai me ngā repo, nā te pupukenga tonutanga o ngā wai o te moana me ngā pāpono huarere taikaha.</w:t>
            </w:r>
          </w:p>
        </w:tc>
        <w:tc>
          <w:tcPr>
            <w:tcW w:w="1528" w:type="dxa"/>
            <w:tcBorders>
              <w:bottom w:val="single" w:sz="4" w:space="0" w:color="1C556C"/>
            </w:tcBorders>
          </w:tcPr>
          <w:p w14:paraId="4FE66BC3" w14:textId="77777777" w:rsidR="00742B92" w:rsidRPr="00C03F38" w:rsidRDefault="00742B92" w:rsidP="00742B92">
            <w:pPr>
              <w:pStyle w:val="TableText"/>
            </w:pPr>
            <w:r>
              <w:t>Nui</w:t>
            </w:r>
          </w:p>
        </w:tc>
        <w:tc>
          <w:tcPr>
            <w:tcW w:w="1600" w:type="dxa"/>
            <w:tcBorders>
              <w:bottom w:val="single" w:sz="4" w:space="0" w:color="1C556C"/>
            </w:tcBorders>
          </w:tcPr>
          <w:p w14:paraId="55C0FAE5" w14:textId="77777777" w:rsidR="00742B92" w:rsidRPr="00C03F38" w:rsidRDefault="00742B92" w:rsidP="00742B92">
            <w:pPr>
              <w:pStyle w:val="TableText"/>
            </w:pPr>
            <w:r>
              <w:t>78</w:t>
            </w:r>
          </w:p>
        </w:tc>
      </w:tr>
      <w:tr w:rsidR="00742B92" w:rsidRPr="00C03F38" w14:paraId="2A66553D" w14:textId="77777777" w:rsidTr="00812D16">
        <w:trPr>
          <w:cantSplit/>
        </w:trPr>
        <w:tc>
          <w:tcPr>
            <w:tcW w:w="1316" w:type="dxa"/>
            <w:vMerge/>
            <w:tcBorders>
              <w:top w:val="single" w:sz="4" w:space="0" w:color="1C556C"/>
              <w:bottom w:val="single" w:sz="4" w:space="0" w:color="1C556C"/>
            </w:tcBorders>
            <w:vAlign w:val="center"/>
          </w:tcPr>
          <w:p w14:paraId="4F66A50B" w14:textId="77777777" w:rsidR="00742B92" w:rsidRPr="00C03F38" w:rsidRDefault="00742B92" w:rsidP="00742B92">
            <w:pPr>
              <w:pStyle w:val="TableText"/>
            </w:pPr>
          </w:p>
        </w:tc>
        <w:tc>
          <w:tcPr>
            <w:tcW w:w="4765" w:type="dxa"/>
            <w:tcBorders>
              <w:top w:val="single" w:sz="4" w:space="0" w:color="1C556C"/>
              <w:bottom w:val="single" w:sz="4" w:space="0" w:color="1C556C"/>
            </w:tcBorders>
          </w:tcPr>
          <w:p w14:paraId="2FD66CF1" w14:textId="77777777" w:rsidR="00742B92" w:rsidRPr="00143183" w:rsidRDefault="00742B92" w:rsidP="00742B92">
            <w:pPr>
              <w:pStyle w:val="TableText"/>
              <w:rPr>
                <w:lang w:val="es-ES_tradnl"/>
              </w:rPr>
            </w:pPr>
            <w:r w:rsidRPr="00143183">
              <w:rPr>
                <w:lang w:val="es-ES_tradnl"/>
              </w:rPr>
              <w:t>Ngā tūraru ki ngā pūnaha hauropi me ngā momo taketake nā te pikinga o te hor</w:t>
            </w:r>
            <w:r>
              <w:rPr>
                <w:lang w:val="es-ES_tradnl"/>
              </w:rPr>
              <w:t>apa, o te ora me te whakanohonga o ngā momo urutomo nā te huringa āhuarangi.</w:t>
            </w:r>
          </w:p>
        </w:tc>
        <w:tc>
          <w:tcPr>
            <w:tcW w:w="1528" w:type="dxa"/>
            <w:tcBorders>
              <w:top w:val="single" w:sz="4" w:space="0" w:color="1C556C"/>
              <w:bottom w:val="single" w:sz="4" w:space="0" w:color="1C556C"/>
            </w:tcBorders>
          </w:tcPr>
          <w:p w14:paraId="501E1A23" w14:textId="77777777" w:rsidR="00742B92" w:rsidRPr="00C03F38" w:rsidRDefault="00742B92" w:rsidP="00742B92">
            <w:pPr>
              <w:pStyle w:val="TableText"/>
            </w:pPr>
            <w:r>
              <w:t>Nui</w:t>
            </w:r>
          </w:p>
        </w:tc>
        <w:tc>
          <w:tcPr>
            <w:tcW w:w="1600" w:type="dxa"/>
            <w:tcBorders>
              <w:top w:val="single" w:sz="4" w:space="0" w:color="1C556C"/>
              <w:bottom w:val="single" w:sz="4" w:space="0" w:color="1C556C"/>
            </w:tcBorders>
          </w:tcPr>
          <w:p w14:paraId="2DDDA096" w14:textId="77777777" w:rsidR="00742B92" w:rsidRPr="00C03F38" w:rsidRDefault="00742B92" w:rsidP="00742B92">
            <w:pPr>
              <w:pStyle w:val="TableText"/>
            </w:pPr>
            <w:r w:rsidRPr="00C03F38">
              <w:t>73</w:t>
            </w:r>
          </w:p>
        </w:tc>
      </w:tr>
      <w:tr w:rsidR="00742B92" w:rsidRPr="00C03F38" w14:paraId="24A67D65" w14:textId="77777777" w:rsidTr="00812D16">
        <w:trPr>
          <w:cantSplit/>
        </w:trPr>
        <w:tc>
          <w:tcPr>
            <w:tcW w:w="1316" w:type="dxa"/>
            <w:vMerge w:val="restart"/>
            <w:tcBorders>
              <w:top w:val="single" w:sz="4" w:space="0" w:color="1C556C"/>
              <w:bottom w:val="single" w:sz="4" w:space="0" w:color="1C556C"/>
            </w:tcBorders>
            <w:vAlign w:val="center"/>
          </w:tcPr>
          <w:p w14:paraId="32E0C839" w14:textId="77777777" w:rsidR="00742B92" w:rsidRPr="00C03F38" w:rsidRDefault="00742B92" w:rsidP="00742B92">
            <w:pPr>
              <w:pStyle w:val="TableText"/>
            </w:pPr>
            <w:r>
              <w:t>Tangata</w:t>
            </w:r>
          </w:p>
        </w:tc>
        <w:tc>
          <w:tcPr>
            <w:tcW w:w="4765" w:type="dxa"/>
            <w:tcBorders>
              <w:top w:val="single" w:sz="4" w:space="0" w:color="1C556C"/>
              <w:bottom w:val="single" w:sz="4" w:space="0" w:color="1C556C"/>
            </w:tcBorders>
          </w:tcPr>
          <w:p w14:paraId="746DFBFC" w14:textId="77777777" w:rsidR="00742B92" w:rsidRPr="00143183" w:rsidRDefault="00742B92" w:rsidP="00742B92">
            <w:pPr>
              <w:pStyle w:val="TableText"/>
            </w:pPr>
            <w:r w:rsidRPr="00143183">
              <w:t>Ngā tūraru ki te whakakotahitanga ā-pāpori me te hauora ā-hapori i te peinga o ētahi tāngata takitahi, o ngā whānau me ngā</w:t>
            </w:r>
            <w:r>
              <w:t xml:space="preserve"> hapori nā ngā pānga o te huringa āhuarangi.</w:t>
            </w:r>
          </w:p>
        </w:tc>
        <w:tc>
          <w:tcPr>
            <w:tcW w:w="1528" w:type="dxa"/>
            <w:tcBorders>
              <w:top w:val="single" w:sz="4" w:space="0" w:color="1C556C"/>
              <w:bottom w:val="single" w:sz="4" w:space="0" w:color="1C556C"/>
            </w:tcBorders>
          </w:tcPr>
          <w:p w14:paraId="3A68E51D" w14:textId="77777777" w:rsidR="00742B92" w:rsidRPr="00C03F38" w:rsidRDefault="00742B92" w:rsidP="00742B92">
            <w:pPr>
              <w:pStyle w:val="TableText"/>
            </w:pPr>
            <w:r>
              <w:t>Taikaha</w:t>
            </w:r>
          </w:p>
        </w:tc>
        <w:tc>
          <w:tcPr>
            <w:tcW w:w="1600" w:type="dxa"/>
            <w:tcBorders>
              <w:top w:val="single" w:sz="4" w:space="0" w:color="1C556C"/>
              <w:bottom w:val="single" w:sz="4" w:space="0" w:color="1C556C"/>
            </w:tcBorders>
          </w:tcPr>
          <w:p w14:paraId="652A5908" w14:textId="77777777" w:rsidR="00742B92" w:rsidRPr="00C03F38" w:rsidRDefault="00742B92" w:rsidP="00742B92">
            <w:pPr>
              <w:pStyle w:val="TableText"/>
            </w:pPr>
            <w:r w:rsidRPr="00C03F38">
              <w:t>88</w:t>
            </w:r>
          </w:p>
        </w:tc>
      </w:tr>
      <w:tr w:rsidR="00742B92" w:rsidRPr="00C03F38" w14:paraId="4565274E" w14:textId="77777777" w:rsidTr="00812D16">
        <w:trPr>
          <w:cantSplit/>
        </w:trPr>
        <w:tc>
          <w:tcPr>
            <w:tcW w:w="1316" w:type="dxa"/>
            <w:vMerge/>
            <w:tcBorders>
              <w:top w:val="single" w:sz="4" w:space="0" w:color="1C556C"/>
              <w:bottom w:val="single" w:sz="4" w:space="0" w:color="1C556C"/>
            </w:tcBorders>
            <w:vAlign w:val="center"/>
          </w:tcPr>
          <w:p w14:paraId="22255E57" w14:textId="77777777" w:rsidR="00742B92" w:rsidRPr="00C03F38" w:rsidRDefault="00742B92" w:rsidP="00742B92">
            <w:pPr>
              <w:pStyle w:val="TableText"/>
            </w:pPr>
          </w:p>
        </w:tc>
        <w:tc>
          <w:tcPr>
            <w:tcW w:w="4765" w:type="dxa"/>
            <w:tcBorders>
              <w:top w:val="single" w:sz="4" w:space="0" w:color="1C556C"/>
              <w:bottom w:val="single" w:sz="4" w:space="0" w:color="1C556C"/>
            </w:tcBorders>
          </w:tcPr>
          <w:p w14:paraId="0EA0F07F" w14:textId="77777777" w:rsidR="00742B92" w:rsidRPr="00C03F38" w:rsidRDefault="00742B92" w:rsidP="00742B92">
            <w:pPr>
              <w:pStyle w:val="TableText"/>
            </w:pPr>
            <w:r>
              <w:t>Ngā tūraru ki te whakanui ake i ngā tōkeke koretanga me te whakarite i ētahi tōkeke koretanga hou nā te rerekē o te tohanga o ngā pānga o te huringa āhuarangi.</w:t>
            </w:r>
          </w:p>
        </w:tc>
        <w:tc>
          <w:tcPr>
            <w:tcW w:w="1528" w:type="dxa"/>
            <w:tcBorders>
              <w:top w:val="single" w:sz="4" w:space="0" w:color="1C556C"/>
              <w:bottom w:val="single" w:sz="4" w:space="0" w:color="1C556C"/>
            </w:tcBorders>
          </w:tcPr>
          <w:p w14:paraId="4F36F727" w14:textId="77777777" w:rsidR="00742B92" w:rsidRPr="00C03F38" w:rsidRDefault="00742B92" w:rsidP="00742B92">
            <w:pPr>
              <w:pStyle w:val="TableText"/>
            </w:pPr>
            <w:r>
              <w:t>Taikaha</w:t>
            </w:r>
          </w:p>
        </w:tc>
        <w:tc>
          <w:tcPr>
            <w:tcW w:w="1600" w:type="dxa"/>
            <w:tcBorders>
              <w:top w:val="single" w:sz="4" w:space="0" w:color="1C556C"/>
              <w:bottom w:val="single" w:sz="4" w:space="0" w:color="1C556C"/>
            </w:tcBorders>
          </w:tcPr>
          <w:p w14:paraId="0AB463CB" w14:textId="77777777" w:rsidR="00742B92" w:rsidRPr="00C03F38" w:rsidRDefault="00742B92" w:rsidP="00742B92">
            <w:pPr>
              <w:pStyle w:val="TableText"/>
            </w:pPr>
            <w:r w:rsidRPr="00C03F38">
              <w:t>85</w:t>
            </w:r>
          </w:p>
        </w:tc>
      </w:tr>
      <w:tr w:rsidR="00742B92" w:rsidRPr="00C03F38" w14:paraId="6714FA71" w14:textId="77777777" w:rsidTr="00812D16">
        <w:trPr>
          <w:cantSplit/>
        </w:trPr>
        <w:tc>
          <w:tcPr>
            <w:tcW w:w="1316" w:type="dxa"/>
            <w:vMerge w:val="restart"/>
            <w:tcBorders>
              <w:top w:val="single" w:sz="4" w:space="0" w:color="1C556C"/>
              <w:bottom w:val="single" w:sz="4" w:space="0" w:color="1C556C"/>
            </w:tcBorders>
            <w:vAlign w:val="center"/>
          </w:tcPr>
          <w:p w14:paraId="54A1BCE4" w14:textId="77777777" w:rsidR="00742B92" w:rsidRPr="00C03F38" w:rsidRDefault="00742B92" w:rsidP="00742B92">
            <w:pPr>
              <w:pStyle w:val="TableText"/>
            </w:pPr>
            <w:r>
              <w:t>Ōhanga</w:t>
            </w:r>
          </w:p>
        </w:tc>
        <w:tc>
          <w:tcPr>
            <w:tcW w:w="4765" w:type="dxa"/>
            <w:tcBorders>
              <w:top w:val="single" w:sz="4" w:space="0" w:color="1C556C"/>
              <w:bottom w:val="single" w:sz="4" w:space="0" w:color="1C556C"/>
            </w:tcBorders>
          </w:tcPr>
          <w:p w14:paraId="5BD863B3" w14:textId="77777777" w:rsidR="00742B92" w:rsidRPr="00C03F38" w:rsidRDefault="00742B92" w:rsidP="00742B92">
            <w:pPr>
              <w:pStyle w:val="TableText"/>
            </w:pPr>
            <w:r>
              <w:t>Ngā tūraru ki ngā kāwanatanga i ngā utu ā-ōhanga e hono ana ki ngā whakaputanga i ngaro, ngā utu whakaora aituā me ngā taumahatanga kore tahua ka pā pea nā ngā pāpono taikaha me ngā huringa tonutanga.</w:t>
            </w:r>
          </w:p>
        </w:tc>
        <w:tc>
          <w:tcPr>
            <w:tcW w:w="1528" w:type="dxa"/>
            <w:tcBorders>
              <w:top w:val="single" w:sz="4" w:space="0" w:color="1C556C"/>
              <w:bottom w:val="single" w:sz="4" w:space="0" w:color="1C556C"/>
            </w:tcBorders>
          </w:tcPr>
          <w:p w14:paraId="1775A0F2" w14:textId="77777777" w:rsidR="00742B92" w:rsidRPr="00C03F38" w:rsidRDefault="00742B92" w:rsidP="00742B92">
            <w:pPr>
              <w:pStyle w:val="TableText"/>
            </w:pPr>
            <w:r>
              <w:t>Taikaha</w:t>
            </w:r>
          </w:p>
        </w:tc>
        <w:tc>
          <w:tcPr>
            <w:tcW w:w="1600" w:type="dxa"/>
            <w:tcBorders>
              <w:top w:val="single" w:sz="4" w:space="0" w:color="1C556C"/>
              <w:bottom w:val="single" w:sz="4" w:space="0" w:color="1C556C"/>
            </w:tcBorders>
          </w:tcPr>
          <w:p w14:paraId="16AC325E" w14:textId="77777777" w:rsidR="00742B92" w:rsidRPr="00C03F38" w:rsidRDefault="00742B92" w:rsidP="00742B92">
            <w:pPr>
              <w:pStyle w:val="TableText"/>
            </w:pPr>
            <w:r w:rsidRPr="00C03F38">
              <w:t>90</w:t>
            </w:r>
          </w:p>
        </w:tc>
      </w:tr>
      <w:tr w:rsidR="00742B92" w:rsidRPr="00C03F38" w14:paraId="21C4C89E" w14:textId="77777777" w:rsidTr="00812D16">
        <w:trPr>
          <w:cantSplit/>
        </w:trPr>
        <w:tc>
          <w:tcPr>
            <w:tcW w:w="1316" w:type="dxa"/>
            <w:vMerge/>
            <w:tcBorders>
              <w:top w:val="single" w:sz="4" w:space="0" w:color="1C556C"/>
              <w:bottom w:val="single" w:sz="4" w:space="0" w:color="1C556C"/>
            </w:tcBorders>
            <w:vAlign w:val="center"/>
          </w:tcPr>
          <w:p w14:paraId="2AD8A708" w14:textId="77777777" w:rsidR="00742B92" w:rsidRPr="00C03F38" w:rsidRDefault="00742B92" w:rsidP="00742B92">
            <w:pPr>
              <w:pStyle w:val="TableText"/>
            </w:pPr>
          </w:p>
        </w:tc>
        <w:tc>
          <w:tcPr>
            <w:tcW w:w="4765" w:type="dxa"/>
            <w:tcBorders>
              <w:top w:val="single" w:sz="4" w:space="0" w:color="1C556C"/>
              <w:bottom w:val="single" w:sz="4" w:space="0" w:color="1C556C"/>
            </w:tcBorders>
          </w:tcPr>
          <w:p w14:paraId="548C998C" w14:textId="77777777" w:rsidR="00742B92" w:rsidRPr="00143183" w:rsidRDefault="00742B92" w:rsidP="00742B92">
            <w:pPr>
              <w:pStyle w:val="TableText"/>
            </w:pPr>
            <w:r w:rsidRPr="00143183">
              <w:t>Ngā tūraru ki te pūnaha ahumoni i te pāhekeheke nā ngā pāpono huarere taikaha me ngā h</w:t>
            </w:r>
            <w:r>
              <w:t>uringa tonutanga.</w:t>
            </w:r>
          </w:p>
        </w:tc>
        <w:tc>
          <w:tcPr>
            <w:tcW w:w="1528" w:type="dxa"/>
            <w:tcBorders>
              <w:top w:val="single" w:sz="4" w:space="0" w:color="1C556C"/>
              <w:bottom w:val="single" w:sz="4" w:space="0" w:color="1C556C"/>
            </w:tcBorders>
          </w:tcPr>
          <w:p w14:paraId="30EB802E" w14:textId="77777777" w:rsidR="00742B92" w:rsidRPr="00C03F38" w:rsidRDefault="00742B92" w:rsidP="00742B92">
            <w:pPr>
              <w:pStyle w:val="TableText"/>
            </w:pPr>
            <w:r>
              <w:t>Nui</w:t>
            </w:r>
          </w:p>
        </w:tc>
        <w:tc>
          <w:tcPr>
            <w:tcW w:w="1600" w:type="dxa"/>
            <w:tcBorders>
              <w:top w:val="single" w:sz="4" w:space="0" w:color="1C556C"/>
              <w:bottom w:val="single" w:sz="4" w:space="0" w:color="1C556C"/>
            </w:tcBorders>
          </w:tcPr>
          <w:p w14:paraId="55A122E7" w14:textId="77777777" w:rsidR="00742B92" w:rsidRPr="00C03F38" w:rsidRDefault="00742B92" w:rsidP="00742B92">
            <w:pPr>
              <w:pStyle w:val="TableText"/>
            </w:pPr>
            <w:r w:rsidRPr="00C03F38">
              <w:t>83</w:t>
            </w:r>
          </w:p>
        </w:tc>
      </w:tr>
      <w:tr w:rsidR="00742B92" w:rsidRPr="00C03F38" w14:paraId="7DBCBB04" w14:textId="77777777" w:rsidTr="00812D16">
        <w:trPr>
          <w:cantSplit/>
        </w:trPr>
        <w:tc>
          <w:tcPr>
            <w:tcW w:w="1316" w:type="dxa"/>
            <w:vMerge w:val="restart"/>
            <w:tcBorders>
              <w:top w:val="single" w:sz="4" w:space="0" w:color="1C556C"/>
              <w:bottom w:val="single" w:sz="4" w:space="0" w:color="1C556C"/>
            </w:tcBorders>
            <w:vAlign w:val="center"/>
          </w:tcPr>
          <w:p w14:paraId="155120EE" w14:textId="77777777" w:rsidR="00742B92" w:rsidRPr="00C03F38" w:rsidRDefault="00742B92" w:rsidP="00742B92">
            <w:pPr>
              <w:pStyle w:val="TableText"/>
            </w:pPr>
            <w:r>
              <w:t>Taiao kua hangaia</w:t>
            </w:r>
          </w:p>
        </w:tc>
        <w:tc>
          <w:tcPr>
            <w:tcW w:w="4765" w:type="dxa"/>
            <w:tcBorders>
              <w:top w:val="single" w:sz="4" w:space="0" w:color="1C556C"/>
              <w:bottom w:val="single" w:sz="4" w:space="0" w:color="1C556C"/>
            </w:tcBorders>
          </w:tcPr>
          <w:p w14:paraId="64690188" w14:textId="77777777" w:rsidR="00742B92" w:rsidRPr="001E6D99" w:rsidRDefault="00742B92" w:rsidP="00742B92">
            <w:pPr>
              <w:pStyle w:val="TableText"/>
            </w:pPr>
            <w:r w:rsidRPr="001E6D99">
              <w:t xml:space="preserve">Ngā tūraru ki ngā whakaputunga wai inu (te wātea me te kounga o te wai) nā ngā huringa </w:t>
            </w:r>
            <w:r>
              <w:t>hekenga ua, paemahana, tauraki, pāpono huarere taikaha me te pikinga tonutanga o te pae o te moana.</w:t>
            </w:r>
          </w:p>
        </w:tc>
        <w:tc>
          <w:tcPr>
            <w:tcW w:w="1528" w:type="dxa"/>
            <w:tcBorders>
              <w:top w:val="single" w:sz="4" w:space="0" w:color="1C556C"/>
              <w:bottom w:val="single" w:sz="4" w:space="0" w:color="1C556C"/>
            </w:tcBorders>
          </w:tcPr>
          <w:p w14:paraId="2B6CABA7" w14:textId="77777777" w:rsidR="00742B92" w:rsidRPr="00C03F38" w:rsidRDefault="00742B92" w:rsidP="00742B92">
            <w:pPr>
              <w:pStyle w:val="TableText"/>
            </w:pPr>
            <w:r>
              <w:t>Taikaha</w:t>
            </w:r>
          </w:p>
        </w:tc>
        <w:tc>
          <w:tcPr>
            <w:tcW w:w="1600" w:type="dxa"/>
            <w:tcBorders>
              <w:top w:val="single" w:sz="4" w:space="0" w:color="1C556C"/>
              <w:bottom w:val="single" w:sz="4" w:space="0" w:color="1C556C"/>
            </w:tcBorders>
          </w:tcPr>
          <w:p w14:paraId="0301F911" w14:textId="77777777" w:rsidR="00742B92" w:rsidRPr="00C03F38" w:rsidRDefault="00742B92" w:rsidP="00742B92">
            <w:pPr>
              <w:pStyle w:val="TableText"/>
            </w:pPr>
            <w:r w:rsidRPr="00C03F38">
              <w:t>93</w:t>
            </w:r>
          </w:p>
        </w:tc>
      </w:tr>
      <w:tr w:rsidR="00742B92" w:rsidRPr="00C03F38" w14:paraId="08B43CE9" w14:textId="77777777" w:rsidTr="00812D16">
        <w:trPr>
          <w:cantSplit/>
        </w:trPr>
        <w:tc>
          <w:tcPr>
            <w:tcW w:w="1316" w:type="dxa"/>
            <w:vMerge/>
            <w:tcBorders>
              <w:top w:val="single" w:sz="4" w:space="0" w:color="1C556C"/>
              <w:bottom w:val="single" w:sz="4" w:space="0" w:color="1C556C"/>
            </w:tcBorders>
            <w:vAlign w:val="center"/>
          </w:tcPr>
          <w:p w14:paraId="4C5F9159" w14:textId="77777777" w:rsidR="00742B92" w:rsidRPr="00C03F38" w:rsidRDefault="00742B92" w:rsidP="00742B92">
            <w:pPr>
              <w:pStyle w:val="TableText"/>
            </w:pPr>
          </w:p>
        </w:tc>
        <w:tc>
          <w:tcPr>
            <w:tcW w:w="4765" w:type="dxa"/>
            <w:tcBorders>
              <w:top w:val="single" w:sz="4" w:space="0" w:color="1C556C"/>
              <w:bottom w:val="single" w:sz="4" w:space="0" w:color="1C556C"/>
            </w:tcBorders>
          </w:tcPr>
          <w:p w14:paraId="0957EEB5" w14:textId="77777777" w:rsidR="00742B92" w:rsidRPr="001E6D99" w:rsidRDefault="00742B92" w:rsidP="00742B92">
            <w:pPr>
              <w:pStyle w:val="TableText"/>
              <w:rPr>
                <w:lang w:val="es-ES_tradnl"/>
              </w:rPr>
            </w:pPr>
            <w:r w:rsidRPr="001E6D99">
              <w:rPr>
                <w:lang w:val="es-ES_tradnl"/>
              </w:rPr>
              <w:t xml:space="preserve">Ngā tūraru ki ngā whare nā ngā pāpono huarere taikaha, tauraki, te pikinga o ngā huarere e mura ai te ahi me te </w:t>
            </w:r>
            <w:r>
              <w:rPr>
                <w:lang w:val="es-ES_tradnl"/>
              </w:rPr>
              <w:t>pikinga tonutanga o te pae o te moana.</w:t>
            </w:r>
          </w:p>
        </w:tc>
        <w:tc>
          <w:tcPr>
            <w:tcW w:w="1528" w:type="dxa"/>
            <w:tcBorders>
              <w:top w:val="single" w:sz="4" w:space="0" w:color="1C556C"/>
              <w:bottom w:val="single" w:sz="4" w:space="0" w:color="1C556C"/>
            </w:tcBorders>
          </w:tcPr>
          <w:p w14:paraId="0D6D5466" w14:textId="77777777" w:rsidR="00742B92" w:rsidRPr="00C03F38" w:rsidRDefault="00742B92" w:rsidP="00742B92">
            <w:pPr>
              <w:pStyle w:val="TableText"/>
            </w:pPr>
            <w:r>
              <w:t>Taikaha</w:t>
            </w:r>
          </w:p>
        </w:tc>
        <w:tc>
          <w:tcPr>
            <w:tcW w:w="1600" w:type="dxa"/>
            <w:tcBorders>
              <w:top w:val="single" w:sz="4" w:space="0" w:color="1C556C"/>
              <w:bottom w:val="single" w:sz="4" w:space="0" w:color="1C556C"/>
            </w:tcBorders>
          </w:tcPr>
          <w:p w14:paraId="364B7AD6" w14:textId="77777777" w:rsidR="00742B92" w:rsidRPr="00C03F38" w:rsidRDefault="00742B92" w:rsidP="00742B92">
            <w:pPr>
              <w:pStyle w:val="TableText"/>
            </w:pPr>
            <w:r w:rsidRPr="00C03F38">
              <w:t>90</w:t>
            </w:r>
          </w:p>
        </w:tc>
      </w:tr>
      <w:tr w:rsidR="00742B92" w:rsidRPr="00C03F38" w14:paraId="6E2009EF" w14:textId="77777777" w:rsidTr="00812D16">
        <w:trPr>
          <w:cantSplit/>
        </w:trPr>
        <w:tc>
          <w:tcPr>
            <w:tcW w:w="1316" w:type="dxa"/>
            <w:vMerge w:val="restart"/>
            <w:tcBorders>
              <w:top w:val="single" w:sz="4" w:space="0" w:color="1C556C"/>
              <w:bottom w:val="single" w:sz="4" w:space="0" w:color="1C556C"/>
            </w:tcBorders>
            <w:vAlign w:val="center"/>
          </w:tcPr>
          <w:p w14:paraId="05916FF8" w14:textId="77777777" w:rsidR="00742B92" w:rsidRPr="00C03F38" w:rsidRDefault="00742B92" w:rsidP="00742B92">
            <w:pPr>
              <w:pStyle w:val="TableText"/>
            </w:pPr>
            <w:r>
              <w:t>Mana whakahaere</w:t>
            </w:r>
          </w:p>
        </w:tc>
        <w:tc>
          <w:tcPr>
            <w:tcW w:w="4765" w:type="dxa"/>
            <w:tcBorders>
              <w:top w:val="single" w:sz="4" w:space="0" w:color="1C556C"/>
              <w:bottom w:val="single" w:sz="4" w:space="0" w:color="1C556C"/>
            </w:tcBorders>
          </w:tcPr>
          <w:p w14:paraId="37812ED9" w14:textId="77777777" w:rsidR="00742B92" w:rsidRPr="001E6D99" w:rsidRDefault="00742B92" w:rsidP="00742B92">
            <w:pPr>
              <w:pStyle w:val="TableText"/>
            </w:pPr>
            <w:r w:rsidRPr="001E6D99">
              <w:t>Ngā tūraru ki te urutaunga</w:t>
            </w:r>
            <w:r>
              <w:t xml:space="preserve"> </w:t>
            </w:r>
            <w:r w:rsidRPr="001E6D99">
              <w:t>kore</w:t>
            </w:r>
            <w:r>
              <w:t>tanga</w:t>
            </w:r>
            <w:r w:rsidRPr="00AB5E98">
              <w:rPr>
                <w:vertAlign w:val="superscript"/>
              </w:rPr>
              <w:t>1</w:t>
            </w:r>
            <w:r w:rsidRPr="001E6D99">
              <w:t xml:space="preserve"> puta noa i ngā takiwā </w:t>
            </w:r>
            <w:r>
              <w:t>nā ngā tikanga, ngā tukanga me ngā taputapu kāore nei e whakaaro ana ki ngā ngākauruatanga me ngā huringa tauroa.</w:t>
            </w:r>
          </w:p>
        </w:tc>
        <w:tc>
          <w:tcPr>
            <w:tcW w:w="1528" w:type="dxa"/>
            <w:tcBorders>
              <w:top w:val="single" w:sz="4" w:space="0" w:color="1C556C"/>
              <w:bottom w:val="single" w:sz="4" w:space="0" w:color="1C556C"/>
            </w:tcBorders>
          </w:tcPr>
          <w:p w14:paraId="71EF05AF" w14:textId="77777777" w:rsidR="00742B92" w:rsidRPr="00C03F38" w:rsidRDefault="00742B92" w:rsidP="00742B92">
            <w:pPr>
              <w:pStyle w:val="TableText"/>
            </w:pPr>
            <w:r>
              <w:t>Taikaha</w:t>
            </w:r>
          </w:p>
        </w:tc>
        <w:tc>
          <w:tcPr>
            <w:tcW w:w="1600" w:type="dxa"/>
            <w:tcBorders>
              <w:top w:val="single" w:sz="4" w:space="0" w:color="1C556C"/>
              <w:bottom w:val="single" w:sz="4" w:space="0" w:color="1C556C"/>
            </w:tcBorders>
          </w:tcPr>
          <w:p w14:paraId="79B9F605" w14:textId="77777777" w:rsidR="00742B92" w:rsidRPr="00C03F38" w:rsidRDefault="00742B92" w:rsidP="00742B92">
            <w:pPr>
              <w:pStyle w:val="TableText"/>
            </w:pPr>
            <w:r w:rsidRPr="00C03F38">
              <w:t>83</w:t>
            </w:r>
          </w:p>
        </w:tc>
      </w:tr>
      <w:tr w:rsidR="00742B92" w:rsidRPr="00C03F38" w14:paraId="52688847" w14:textId="77777777" w:rsidTr="00812D16">
        <w:trPr>
          <w:cantSplit/>
        </w:trPr>
        <w:tc>
          <w:tcPr>
            <w:tcW w:w="1316" w:type="dxa"/>
            <w:vMerge/>
            <w:tcBorders>
              <w:top w:val="single" w:sz="4" w:space="0" w:color="1C556C"/>
              <w:bottom w:val="single" w:sz="4" w:space="0" w:color="1C556C"/>
            </w:tcBorders>
          </w:tcPr>
          <w:p w14:paraId="5E2A1A39" w14:textId="77777777" w:rsidR="00742B92" w:rsidRPr="00C03F38" w:rsidRDefault="00742B92" w:rsidP="00742B92">
            <w:pPr>
              <w:pStyle w:val="TableText"/>
            </w:pPr>
          </w:p>
        </w:tc>
        <w:tc>
          <w:tcPr>
            <w:tcW w:w="4765" w:type="dxa"/>
            <w:tcBorders>
              <w:top w:val="single" w:sz="4" w:space="0" w:color="1C556C"/>
              <w:bottom w:val="single" w:sz="4" w:space="0" w:color="1C556C"/>
            </w:tcBorders>
          </w:tcPr>
          <w:p w14:paraId="103CD50D" w14:textId="77777777" w:rsidR="00742B92" w:rsidRPr="00216157" w:rsidRDefault="00742B92" w:rsidP="00742B92">
            <w:pPr>
              <w:pStyle w:val="TableText"/>
            </w:pPr>
            <w:r w:rsidRPr="00216157">
              <w:t>Ngā tūraru ki te whakanuitanga o ngā pānga huringa āhuarangi</w:t>
            </w:r>
            <w:r>
              <w:t xml:space="preserve"> puta noa i ngā takiwā katoa nā te mea kāore e tika ana kia urutautia ngā whakaritenga whakahaere o nāianei. Ko ngā whakaritenga whakahaere ko ngā anga ā-ture, ā-whakatau hoki, ko ngā mahi ruruku i roto, puta noa hoki i ngā pae o te kāwanatanga, me ngā tikanga tahua tautoko.</w:t>
            </w:r>
          </w:p>
        </w:tc>
        <w:tc>
          <w:tcPr>
            <w:tcW w:w="1528" w:type="dxa"/>
            <w:tcBorders>
              <w:top w:val="single" w:sz="4" w:space="0" w:color="1C556C"/>
              <w:bottom w:val="single" w:sz="4" w:space="0" w:color="1C556C"/>
            </w:tcBorders>
          </w:tcPr>
          <w:p w14:paraId="08C60D1F" w14:textId="77777777" w:rsidR="00742B92" w:rsidRPr="00C03F38" w:rsidRDefault="00742B92" w:rsidP="00742B92">
            <w:pPr>
              <w:pStyle w:val="TableText"/>
            </w:pPr>
            <w:r>
              <w:t>Taikaha</w:t>
            </w:r>
          </w:p>
        </w:tc>
        <w:tc>
          <w:tcPr>
            <w:tcW w:w="1600" w:type="dxa"/>
            <w:tcBorders>
              <w:top w:val="single" w:sz="4" w:space="0" w:color="1C556C"/>
              <w:bottom w:val="single" w:sz="4" w:space="0" w:color="1C556C"/>
            </w:tcBorders>
          </w:tcPr>
          <w:p w14:paraId="30F216FC" w14:textId="77777777" w:rsidR="00742B92" w:rsidRPr="00C03F38" w:rsidRDefault="00742B92" w:rsidP="00742B92">
            <w:pPr>
              <w:pStyle w:val="TableText"/>
            </w:pPr>
            <w:r w:rsidRPr="00C03F38">
              <w:t>80</w:t>
            </w:r>
          </w:p>
        </w:tc>
      </w:tr>
    </w:tbl>
    <w:p w14:paraId="0F40F79E" w14:textId="77777777" w:rsidR="00742B92" w:rsidRDefault="00742B92" w:rsidP="00742B92">
      <w:pPr>
        <w:pStyle w:val="TableText"/>
      </w:pPr>
    </w:p>
    <w:p w14:paraId="4A682A7C" w14:textId="77777777" w:rsidR="00742B92" w:rsidRPr="004C53BE" w:rsidRDefault="00742B92" w:rsidP="00812D16">
      <w:pPr>
        <w:pStyle w:val="Note"/>
        <w:rPr>
          <w:lang w:val="es-ES_tradnl"/>
        </w:rPr>
      </w:pPr>
      <w:r>
        <w:rPr>
          <w:rStyle w:val="FootnoteReference"/>
        </w:rPr>
        <w:t>1</w:t>
      </w:r>
      <w:r>
        <w:t xml:space="preserve"> </w:t>
      </w:r>
      <w:r w:rsidRPr="004C53BE">
        <w:t xml:space="preserve">E hāngai ana te </w:t>
      </w:r>
      <w:r w:rsidRPr="004C53BE">
        <w:rPr>
          <w:i/>
        </w:rPr>
        <w:t>urutaunga koretanga</w:t>
      </w:r>
      <w:r w:rsidRPr="004C53BE">
        <w:t xml:space="preserve"> ki ngā mahi e kaha ake ai pea ngā tūraru ki ngā putanga </w:t>
      </w:r>
      <w:r>
        <w:t xml:space="preserve">kōaro e hāngai ana ki te āhuarangi, mā te pikinga o ngā tukunga haurehu kati mahana, te pikinga o te noho whakaraerae ki ngā huringa āhuarangi, ki te hekenga oranga rānei, ināianei, ā anamata rānei. </w:t>
      </w:r>
      <w:r w:rsidRPr="004C53BE">
        <w:rPr>
          <w:lang w:val="es-ES_tradnl"/>
        </w:rPr>
        <w:t>He tukunga iho pokerehū noa iho, i te nuinga o te wā, te urutau</w:t>
      </w:r>
      <w:r>
        <w:rPr>
          <w:lang w:val="es-ES_tradnl"/>
        </w:rPr>
        <w:t xml:space="preserve">nga koretanga </w:t>
      </w:r>
      <w:r w:rsidRPr="004C53BE">
        <w:rPr>
          <w:lang w:val="es-ES_tradnl"/>
        </w:rPr>
        <w:t>(IPCC, 2018).</w:t>
      </w:r>
    </w:p>
    <w:p w14:paraId="1932B8D5" w14:textId="77777777" w:rsidR="00742B92" w:rsidRPr="00812D16" w:rsidRDefault="00742B92" w:rsidP="00812D16">
      <w:pPr>
        <w:pStyle w:val="BodyText"/>
      </w:pPr>
      <w:r w:rsidRPr="00812D16">
        <w:rPr>
          <w:b/>
          <w:color w:val="0F7B7D"/>
        </w:rPr>
        <w:t xml:space="preserve">E kaha ana </w:t>
      </w:r>
      <w:proofErr w:type="gramStart"/>
      <w:r w:rsidRPr="00812D16">
        <w:rPr>
          <w:b/>
          <w:color w:val="0F7B7D"/>
        </w:rPr>
        <w:t>te</w:t>
      </w:r>
      <w:proofErr w:type="gramEnd"/>
      <w:r w:rsidRPr="00812D16">
        <w:rPr>
          <w:b/>
          <w:color w:val="0F7B7D"/>
        </w:rPr>
        <w:t xml:space="preserve"> hono i waenga i ngā wāhanga NCCRA.</w:t>
      </w:r>
      <w:r w:rsidRPr="00812D16">
        <w:t xml:space="preserve"> Ahakoa rā i tirohia ētahi taupuhipuhitanga, kāore e takoto i </w:t>
      </w:r>
      <w:proofErr w:type="gramStart"/>
      <w:r w:rsidRPr="00812D16">
        <w:t>te</w:t>
      </w:r>
      <w:proofErr w:type="gramEnd"/>
      <w:r w:rsidRPr="00812D16">
        <w:t xml:space="preserve"> anga o NCCRA tētahi tikanga e uru mai ai ērā ki tēnei NCCRA, nō reira kāore ērā e āta whakaurua ana ki ngā whakatauranga tūraru.</w:t>
      </w:r>
    </w:p>
    <w:p w14:paraId="49E9786E" w14:textId="77777777" w:rsidR="00124073" w:rsidRDefault="00742B92" w:rsidP="00812D16">
      <w:pPr>
        <w:pStyle w:val="BodyText"/>
      </w:pPr>
      <w:r w:rsidRPr="00812D16">
        <w:t xml:space="preserve">E whaimana ai, me whakaū ngā mahi urutau ka whakaritea hei urupare ki ngā tūraru tōmua i ēnei hononga, ā, me whakataurite i roto i ngā tūraru. I miramira ngā Māori i whai wāhi ki te kōrero tahi mō tēnei arotakenga he wāhanga nui te whakaū i ngā taupuhipuhitanga i te tūhuranga o ngā tūraru āhuarangi i tā te Māori titiro. I whakaarotia ake kāore </w:t>
      </w:r>
      <w:proofErr w:type="gramStart"/>
      <w:r w:rsidRPr="00812D16">
        <w:t>te</w:t>
      </w:r>
      <w:proofErr w:type="gramEnd"/>
      <w:r w:rsidRPr="00812D16">
        <w:t xml:space="preserve"> anga o NCCRA, ina koa te ariā ki ngā takiwā, i hāngai ki tā te Māori titiro ki te ao. </w:t>
      </w:r>
      <w:r w:rsidR="00124073" w:rsidRPr="00124073">
        <w:rPr>
          <w:color w:val="000000" w:themeColor="text1"/>
          <w:lang w:val="es-ES_tradnl"/>
        </w:rPr>
        <w:t>Ka puta pea te kōwhiringa ki te tūhura i tētahi arotakenga tūraru Māori ā-motu, ka whai wāhi atu ki tērā tētahi tikanga rangahau e miramira ana i ngā taupuhipuhitanga, ka noho hoki ko ngā tikanga Māori hei tūāpapa.</w:t>
      </w:r>
    </w:p>
    <w:p w14:paraId="1CBDDE84" w14:textId="77777777" w:rsidR="00742B92" w:rsidRPr="00812D16" w:rsidRDefault="00742B92" w:rsidP="00812D16">
      <w:pPr>
        <w:pStyle w:val="BodyText"/>
      </w:pPr>
      <w:r w:rsidRPr="00812D16">
        <w:rPr>
          <w:b/>
          <w:color w:val="0F7B7D"/>
        </w:rPr>
        <w:t xml:space="preserve">E whā ngā kōwhiringa i tautuhia ai e </w:t>
      </w:r>
      <w:proofErr w:type="gramStart"/>
      <w:r w:rsidRPr="00812D16">
        <w:rPr>
          <w:b/>
          <w:color w:val="0F7B7D"/>
        </w:rPr>
        <w:t>te</w:t>
      </w:r>
      <w:proofErr w:type="gramEnd"/>
      <w:r w:rsidRPr="00812D16">
        <w:rPr>
          <w:b/>
          <w:color w:val="0F7B7D"/>
        </w:rPr>
        <w:t xml:space="preserve"> NCCRA e puta mai ana i ngā huringa āhuarangi. </w:t>
      </w:r>
      <w:r w:rsidRPr="00812D16">
        <w:t xml:space="preserve">He iti noa iho ngā kōwhiringa i tautuhia ai mā roto mai i ngā arotakenga mātātuhi, i </w:t>
      </w:r>
      <w:proofErr w:type="gramStart"/>
      <w:r w:rsidRPr="00812D16">
        <w:t>te</w:t>
      </w:r>
      <w:proofErr w:type="gramEnd"/>
      <w:r w:rsidRPr="00812D16">
        <w:t xml:space="preserve"> kōrero ki ngā mātanga, i te kōrero tahi rānei ki ngā iwi Māori me te hunga whai pānga. Kāore i </w:t>
      </w:r>
      <w:proofErr w:type="gramStart"/>
      <w:r w:rsidRPr="00812D16">
        <w:t>te</w:t>
      </w:r>
      <w:proofErr w:type="gramEnd"/>
      <w:r w:rsidRPr="00812D16">
        <w:t xml:space="preserve"> tino mārama ētahi o ngā kōwhiringa, ā, me rangahau tonu te katoa kia kore ai ngā urupare e whakakino noa iho i ngā pānga huringa āhuarangi. I tautuhi </w:t>
      </w:r>
      <w:proofErr w:type="gramStart"/>
      <w:r w:rsidRPr="00812D16">
        <w:t>te</w:t>
      </w:r>
      <w:proofErr w:type="gramEnd"/>
      <w:r w:rsidRPr="00812D16">
        <w:t xml:space="preserve"> NCCRA i ngā kōwhiringa nei:</w:t>
      </w:r>
    </w:p>
    <w:p w14:paraId="3B0E3D87" w14:textId="77777777" w:rsidR="00742B92" w:rsidRPr="00121159" w:rsidRDefault="00742B92" w:rsidP="00812D16">
      <w:pPr>
        <w:pStyle w:val="Bullet"/>
        <w:rPr>
          <w:lang w:val="es-ES_tradnl"/>
        </w:rPr>
      </w:pPr>
      <w:r w:rsidRPr="00121159">
        <w:rPr>
          <w:lang w:val="es-ES_tradnl"/>
        </w:rPr>
        <w:t>ka nui ake te whakaputanga i ētahi rāngai matua nā ngā paemahana mahana ake</w:t>
      </w:r>
    </w:p>
    <w:p w14:paraId="2C5B3A23" w14:textId="77777777" w:rsidR="00742B92" w:rsidRPr="00C03F38" w:rsidRDefault="00742B92" w:rsidP="00812D16">
      <w:pPr>
        <w:pStyle w:val="Bullet"/>
      </w:pPr>
      <w:r>
        <w:t>ka whakarato ngā pakihi i ngā rawa me ngā whakaratonga urutaunga</w:t>
      </w:r>
    </w:p>
    <w:p w14:paraId="42D21F3D" w14:textId="77777777" w:rsidR="00742B92" w:rsidRPr="00121159" w:rsidRDefault="00742B92" w:rsidP="00812D16">
      <w:pPr>
        <w:pStyle w:val="Bullet"/>
        <w:rPr>
          <w:lang w:val="es-ES_tradnl"/>
        </w:rPr>
      </w:pPr>
      <w:r w:rsidRPr="00121159">
        <w:rPr>
          <w:lang w:val="es-ES_tradnl"/>
        </w:rPr>
        <w:t>ka heke te hunga ka mate i te makariri o te huarere nā ngā paemahana mahana ake</w:t>
      </w:r>
    </w:p>
    <w:p w14:paraId="12054ECA" w14:textId="77777777" w:rsidR="00742B92" w:rsidRPr="00121159" w:rsidRDefault="00742B92" w:rsidP="00812D16">
      <w:pPr>
        <w:pStyle w:val="Bullet"/>
        <w:rPr>
          <w:lang w:val="es-ES_tradnl"/>
        </w:rPr>
      </w:pPr>
      <w:r w:rsidRPr="00121159">
        <w:rPr>
          <w:lang w:val="es-ES_tradnl"/>
        </w:rPr>
        <w:t>ka iti ake te h</w:t>
      </w:r>
      <w:r>
        <w:rPr>
          <w:lang w:val="es-ES_tradnl"/>
        </w:rPr>
        <w:t xml:space="preserve">iahia ki te whakamahana i te hōtoke nā </w:t>
      </w:r>
      <w:r w:rsidRPr="00121159">
        <w:rPr>
          <w:lang w:val="es-ES_tradnl"/>
        </w:rPr>
        <w:t>ngā paemahana mahana ake</w:t>
      </w:r>
    </w:p>
    <w:p w14:paraId="70AC56E0" w14:textId="77777777" w:rsidR="00742B92" w:rsidRPr="00812D16" w:rsidRDefault="00742B92" w:rsidP="00812D16">
      <w:pPr>
        <w:pStyle w:val="BodyText"/>
      </w:pPr>
      <w:r w:rsidRPr="00812D16">
        <w:rPr>
          <w:b/>
          <w:color w:val="0F7B7D"/>
        </w:rPr>
        <w:t>Arā ētahi āputa nui kei roto i ngā mātauranga e matea ana hei whakahaere i ngā tūraru huringa āhuarangi me ngā kōwhiringa.</w:t>
      </w:r>
      <w:r w:rsidRPr="00812D16">
        <w:t xml:space="preserve"> E whakaheke ana ēnei āputa i te āheinga o Aotearoa ki te arotake me te whakahaere i te huringa āhuarangi, ā, me whakatau ēnei hei whakamōhio i te NAP me te NCCRA ka whai mai. Koinei ngā āputa:</w:t>
      </w:r>
    </w:p>
    <w:p w14:paraId="1E8DB1C2" w14:textId="77777777" w:rsidR="00742B92" w:rsidRPr="000A6583" w:rsidRDefault="00742B92" w:rsidP="00812D16">
      <w:pPr>
        <w:pStyle w:val="Bullet"/>
      </w:pPr>
      <w:r w:rsidRPr="000A6583">
        <w:t>he iti ngā rārangi koiora kua rurukutia, e wātea kau ana hoki me ngā huinga raraunga e whakamārama ana i te tohanga me te tū o ngā pūnaha hauropi me ngā momo</w:t>
      </w:r>
    </w:p>
    <w:p w14:paraId="3CE925FC" w14:textId="77777777" w:rsidR="00742B92" w:rsidRPr="000A6583" w:rsidRDefault="00742B92" w:rsidP="00812D16">
      <w:pPr>
        <w:pStyle w:val="Bullet"/>
        <w:rPr>
          <w:rFonts w:cs="Arial"/>
        </w:rPr>
      </w:pPr>
      <w:r>
        <w:rPr>
          <w:rFonts w:cs="Arial"/>
        </w:rPr>
        <w:t>te hononga i waenga i te noho whakaraerae ā-pāpori, ngā tuku ihotanga ā-ahurea me te huringa āhuarangi, tae atu ki ngā pānga ki te hauora Māori ā-pāpori, ā-ahurea, ā-wairua, ā-ōhanga hoki</w:t>
      </w:r>
    </w:p>
    <w:p w14:paraId="57630B76" w14:textId="77777777" w:rsidR="00742B92" w:rsidRPr="000A6583" w:rsidRDefault="00742B92" w:rsidP="00812D16">
      <w:pPr>
        <w:pStyle w:val="Bullet"/>
        <w:rPr>
          <w:rFonts w:cstheme="minorHAnsi"/>
          <w:color w:val="0A0A0A"/>
        </w:rPr>
      </w:pPr>
      <w:r w:rsidRPr="000A6583">
        <w:rPr>
          <w:rFonts w:cstheme="minorHAnsi"/>
          <w:color w:val="0A0A0A"/>
        </w:rPr>
        <w:t>ka pēhea te pānga o te huringa āhuarangi ki te rāngai pēke me te rāngai inihua, me ngā pānga ka whai mai ki te pūnaha ahumoni</w:t>
      </w:r>
    </w:p>
    <w:p w14:paraId="0DBBA2AF" w14:textId="77777777" w:rsidR="00742B92" w:rsidRPr="000A6583" w:rsidRDefault="00742B92" w:rsidP="00812D16">
      <w:pPr>
        <w:pStyle w:val="Bullet"/>
        <w:rPr>
          <w:lang w:val="es-ES_tradnl"/>
        </w:rPr>
      </w:pPr>
      <w:r w:rsidRPr="000A6583">
        <w:rPr>
          <w:lang w:val="es-ES_tradnl"/>
        </w:rPr>
        <w:t xml:space="preserve">ngā mōhiohio </w:t>
      </w:r>
      <w:r>
        <w:rPr>
          <w:lang w:val="es-ES_tradnl"/>
        </w:rPr>
        <w:t>pūmate</w:t>
      </w:r>
      <w:r w:rsidRPr="000A6583">
        <w:rPr>
          <w:lang w:val="es-ES_tradnl"/>
        </w:rPr>
        <w:t xml:space="preserve"> e rite tonu nei te puta mai </w:t>
      </w:r>
      <w:r>
        <w:rPr>
          <w:lang w:val="es-ES_tradnl"/>
        </w:rPr>
        <w:t>mō te arotake i te noho puare o te taiao kua hangaia i tētahi korahi ā-motu</w:t>
      </w:r>
    </w:p>
    <w:p w14:paraId="725CCDDE" w14:textId="77777777" w:rsidR="00742B92" w:rsidRPr="000A6583" w:rsidRDefault="00742B92" w:rsidP="00812D16">
      <w:pPr>
        <w:pStyle w:val="Bullet"/>
        <w:rPr>
          <w:lang w:val="es-ES_tradnl"/>
        </w:rPr>
      </w:pPr>
      <w:r w:rsidRPr="000A6583">
        <w:rPr>
          <w:lang w:val="es-ES_tradnl"/>
        </w:rPr>
        <w:t>ngā taupuhipuhitanga me ngā tūraru whānui i waenga i ngā rāngai hanganga</w:t>
      </w:r>
    </w:p>
    <w:p w14:paraId="6D52A3A0" w14:textId="77777777" w:rsidR="00742B92" w:rsidRPr="000A6583" w:rsidRDefault="00742B92" w:rsidP="00812D16">
      <w:pPr>
        <w:pStyle w:val="Bullet"/>
        <w:rPr>
          <w:lang w:val="es-ES_tradnl"/>
        </w:rPr>
      </w:pPr>
      <w:r w:rsidRPr="000A6583">
        <w:rPr>
          <w:lang w:val="es-ES_tradnl"/>
        </w:rPr>
        <w:t>tētahi pae rangahau whānui kua rurukutia kia wātea ai ngā rangahau hei ārahi i urutaunga kia tika ai</w:t>
      </w:r>
    </w:p>
    <w:p w14:paraId="165C1336" w14:textId="77777777" w:rsidR="00742B92" w:rsidRPr="000A6583" w:rsidRDefault="00742B92" w:rsidP="00812D16">
      <w:pPr>
        <w:pStyle w:val="Bullet"/>
        <w:rPr>
          <w:lang w:val="es-ES_tradnl"/>
        </w:rPr>
      </w:pPr>
      <w:r w:rsidRPr="000A6583">
        <w:rPr>
          <w:lang w:val="es-ES_tradnl"/>
        </w:rPr>
        <w:t>ngā taupā o nāianei, o anamata hoki ki te urutaunga</w:t>
      </w:r>
    </w:p>
    <w:p w14:paraId="6559A940" w14:textId="77777777" w:rsidR="00742B92" w:rsidRPr="000A6583" w:rsidRDefault="00742B92" w:rsidP="00812D16">
      <w:pPr>
        <w:pStyle w:val="Bullet"/>
        <w:rPr>
          <w:lang w:val="es-ES_tradnl"/>
        </w:rPr>
      </w:pPr>
      <w:r w:rsidRPr="000A6583">
        <w:rPr>
          <w:lang w:val="es-ES_tradnl"/>
        </w:rPr>
        <w:t>ngā kōwhiringa whānui katoa, ā, kia mārama pai hoki ki ērā kua tautuhia kētia.</w:t>
      </w:r>
    </w:p>
    <w:p w14:paraId="3BBEE3A7" w14:textId="77777777" w:rsidR="00742B92" w:rsidRPr="00BC51EA" w:rsidRDefault="00742B92" w:rsidP="00812D16">
      <w:pPr>
        <w:pStyle w:val="BodyText"/>
        <w:rPr>
          <w:lang w:val="es-ES_tradnl"/>
        </w:rPr>
      </w:pPr>
      <w:r w:rsidRPr="00B54113">
        <w:t xml:space="preserve">He mahi nui tā </w:t>
      </w:r>
      <w:proofErr w:type="gramStart"/>
      <w:r w:rsidRPr="00B54113">
        <w:t>te</w:t>
      </w:r>
      <w:proofErr w:type="gramEnd"/>
      <w:r w:rsidRPr="00B54113">
        <w:t xml:space="preserve"> </w:t>
      </w:r>
      <w:hyperlink w:anchor="mataurangamaori" w:history="1">
        <w:r w:rsidRPr="00812D16">
          <w:rPr>
            <w:rStyle w:val="Hyperlink"/>
          </w:rPr>
          <w:t>mātauranga Māori</w:t>
        </w:r>
      </w:hyperlink>
      <w:r w:rsidRPr="00B54113">
        <w:t xml:space="preserve"> i roto i ngā arota</w:t>
      </w:r>
      <w:r>
        <w:t xml:space="preserve">kenga tūraru āhuarangi me ngā whakamahere urutaunga. </w:t>
      </w:r>
      <w:r w:rsidRPr="00BC51EA">
        <w:rPr>
          <w:lang w:val="es-ES_tradnl"/>
        </w:rPr>
        <w:t xml:space="preserve">Ahakoa e wātea ana tēnei mātauranga, me nui ake te wā me </w:t>
      </w:r>
      <w:r>
        <w:rPr>
          <w:lang w:val="es-ES_tradnl"/>
        </w:rPr>
        <w:t>te</w:t>
      </w:r>
      <w:r w:rsidRPr="00BC51EA">
        <w:rPr>
          <w:lang w:val="es-ES_tradnl"/>
        </w:rPr>
        <w:t xml:space="preserve"> </w:t>
      </w:r>
      <w:r>
        <w:rPr>
          <w:lang w:val="es-ES_tradnl"/>
        </w:rPr>
        <w:t xml:space="preserve">kōrero tahi e kawea mai ai ki ngā NCCRA o anamata. </w:t>
      </w:r>
      <w:r w:rsidRPr="00BC51EA">
        <w:rPr>
          <w:lang w:val="es-ES_tradnl"/>
        </w:rPr>
        <w:t xml:space="preserve">Nā ēnei here i kī ai ētahi iwi ka tautoko rātou i te whanaketanga o tētahi </w:t>
      </w:r>
      <w:r>
        <w:rPr>
          <w:lang w:val="es-ES_tradnl"/>
        </w:rPr>
        <w:t xml:space="preserve">arotakenga tūraru ka whai mai, ka noho whakarara hoki mā te Māori, nā te Māori. Kua tohu mai rātou ko te tūāpapa o te tikanga rangahau ko te </w:t>
      </w:r>
      <w:hyperlink w:anchor="kaupapa" w:history="1">
        <w:r w:rsidRPr="00812D16">
          <w:rPr>
            <w:rStyle w:val="Hyperlink"/>
            <w:lang w:val="es-ES_tradnl"/>
          </w:rPr>
          <w:t>kaupapa</w:t>
        </w:r>
      </w:hyperlink>
      <w:r>
        <w:rPr>
          <w:lang w:val="es-ES_tradnl"/>
        </w:rPr>
        <w:t xml:space="preserve"> me ngā </w:t>
      </w:r>
      <w:hyperlink w:anchor="tikanga" w:history="1">
        <w:r w:rsidRPr="00812D16">
          <w:rPr>
            <w:rStyle w:val="Hyperlink"/>
            <w:lang w:val="es-ES_tradnl"/>
          </w:rPr>
          <w:t>tikanga Māori</w:t>
        </w:r>
      </w:hyperlink>
      <w:r>
        <w:rPr>
          <w:lang w:val="es-ES_tradnl"/>
        </w:rPr>
        <w:t>, ā, ka whakaweawe pea tērā i te tatuhinga, i te arotakena me te raupapatanga o ngā tūraru āhuarangi.</w:t>
      </w:r>
    </w:p>
    <w:p w14:paraId="25304A9F" w14:textId="77777777" w:rsidR="00742B92" w:rsidRPr="005C137E" w:rsidRDefault="00742B92" w:rsidP="00812D16">
      <w:pPr>
        <w:pStyle w:val="BodyText"/>
      </w:pPr>
      <w:r w:rsidRPr="00812D16">
        <w:rPr>
          <w:b/>
          <w:color w:val="0F7B7D"/>
          <w:lang w:val="es-ES_tradnl"/>
        </w:rPr>
        <w:t>I whai te NCCRA ki te mau mai i ā te Māori titiro mā te whiriwhiri i ngā tūraru me ngā kōwhiringa o te huringa āhuarangi.</w:t>
      </w:r>
      <w:r w:rsidRPr="00173311">
        <w:rPr>
          <w:color w:val="00B0F0"/>
          <w:lang w:val="es-ES_tradnl"/>
        </w:rPr>
        <w:t xml:space="preserve"> </w:t>
      </w:r>
      <w:r w:rsidRPr="005C137E">
        <w:t xml:space="preserve">He tokomaha ngā Māori i miramira i te take ahakoa e tohu ana te huringa āhuarangi i tētahi wero nunui mā Aotearoa, </w:t>
      </w:r>
      <w:r>
        <w:t>kua noho te Māori i konei i roto i ngā whakatupuranga maha, ā, kua ora, kua tupu mā te urutau ki ngā huringa ā-āhuarangi, ā-taiao anō hoki. He nui ngā</w:t>
      </w:r>
      <w:r w:rsidRPr="00173311">
        <w:rPr>
          <w:u w:val="single"/>
        </w:rPr>
        <w:t xml:space="preserve"> </w:t>
      </w:r>
      <w:r w:rsidRPr="00812D16">
        <w:t>iwi me ngā hapū</w:t>
      </w:r>
      <w:r>
        <w:t xml:space="preserve"> kua huri kē ki </w:t>
      </w:r>
      <w:proofErr w:type="gramStart"/>
      <w:r>
        <w:t>te</w:t>
      </w:r>
      <w:proofErr w:type="gramEnd"/>
      <w:r>
        <w:t xml:space="preserve"> whakawhanake i ā rātou ake mahere huringa āhuarangi, e takoto ana i ērā ō rātou uara, ā rātou take me ō rātou wawata hei urupare ki te huringa āhuarangi.</w:t>
      </w:r>
      <w:r w:rsidRPr="005C137E">
        <w:t xml:space="preserve"> </w:t>
      </w:r>
    </w:p>
    <w:p w14:paraId="48AB7E24" w14:textId="77777777" w:rsidR="00742B92" w:rsidRPr="005C137E" w:rsidRDefault="00742B92" w:rsidP="00812D16">
      <w:pPr>
        <w:pStyle w:val="BodyText"/>
      </w:pPr>
      <w:r w:rsidRPr="005C137E">
        <w:t xml:space="preserve">Arā ētahi tikanga i whakauru ai </w:t>
      </w:r>
      <w:proofErr w:type="gramStart"/>
      <w:r w:rsidRPr="005C137E">
        <w:t>te</w:t>
      </w:r>
      <w:proofErr w:type="gramEnd"/>
      <w:r w:rsidRPr="005C137E">
        <w:t xml:space="preserve"> NCCRA i ngā tirohanga rerekē me ngā uara rerekē o te Māori</w:t>
      </w:r>
      <w:r>
        <w:t>, pēnei i:</w:t>
      </w:r>
    </w:p>
    <w:p w14:paraId="761316BF" w14:textId="77777777" w:rsidR="00742B92" w:rsidRPr="00AC4EA1" w:rsidRDefault="00742B92" w:rsidP="00812D16">
      <w:pPr>
        <w:pStyle w:val="Bullet"/>
        <w:rPr>
          <w:lang w:val="es-ES_tradnl"/>
        </w:rPr>
      </w:pPr>
      <w:r w:rsidRPr="00AC4EA1">
        <w:rPr>
          <w:lang w:val="es-ES_tradnl"/>
        </w:rPr>
        <w:t>tētahi huinga mātāpono arataki hei ārahi i te torot</w:t>
      </w:r>
      <w:r>
        <w:rPr>
          <w:lang w:val="es-ES_tradnl"/>
        </w:rPr>
        <w:t>oro me te arotakenga tūraru</w:t>
      </w:r>
    </w:p>
    <w:p w14:paraId="555C9E43" w14:textId="77777777" w:rsidR="00742B92" w:rsidRPr="00C03F38" w:rsidRDefault="00742B92" w:rsidP="00812D16">
      <w:pPr>
        <w:pStyle w:val="Bullet"/>
      </w:pPr>
      <w:r>
        <w:t>te whakaū i ngā hononga me ngā whakawhirinakitanga i waenga i ngā takiwā</w:t>
      </w:r>
    </w:p>
    <w:p w14:paraId="5D305A5D" w14:textId="77777777" w:rsidR="00742B92" w:rsidRPr="00C03F38" w:rsidRDefault="00742B92" w:rsidP="00812D16">
      <w:pPr>
        <w:pStyle w:val="Bullet"/>
      </w:pPr>
      <w:proofErr w:type="gramStart"/>
      <w:r>
        <w:t>te</w:t>
      </w:r>
      <w:proofErr w:type="gramEnd"/>
      <w:r>
        <w:t xml:space="preserve"> whakamihi i ngā ariā Māori matua kei te tūāpapa o ia takiwā.</w:t>
      </w:r>
    </w:p>
    <w:bookmarkEnd w:id="8"/>
    <w:p w14:paraId="23077C73" w14:textId="77777777" w:rsidR="00742B92" w:rsidRDefault="00742B92" w:rsidP="00742B92"/>
    <w:p w14:paraId="713E195F" w14:textId="77777777" w:rsidR="002E7852" w:rsidRPr="005D6D89" w:rsidRDefault="002E7852" w:rsidP="00742B92">
      <w:pPr>
        <w:pStyle w:val="Bullet"/>
        <w:numPr>
          <w:ilvl w:val="0"/>
          <w:numId w:val="0"/>
        </w:numPr>
        <w:ind w:left="397" w:hanging="397"/>
      </w:pPr>
    </w:p>
    <w:p w14:paraId="76604A4B" w14:textId="77777777" w:rsidR="009D7A12" w:rsidRPr="005D6D89" w:rsidRDefault="009D7A12" w:rsidP="005E721D">
      <w:pPr>
        <w:pStyle w:val="BodyText"/>
      </w:pPr>
    </w:p>
    <w:p w14:paraId="670F17F4" w14:textId="77777777" w:rsidR="00EF2B46" w:rsidRPr="005D6D89" w:rsidRDefault="00EF2B46">
      <w:pPr>
        <w:spacing w:before="0" w:after="200" w:line="276" w:lineRule="auto"/>
        <w:jc w:val="left"/>
      </w:pPr>
      <w:r w:rsidRPr="005D6D89">
        <w:br w:type="page"/>
      </w:r>
    </w:p>
    <w:p w14:paraId="4916DD75" w14:textId="77777777" w:rsidR="00EF2B46" w:rsidRPr="005D6D89" w:rsidRDefault="00EF2B46" w:rsidP="00036EDB">
      <w:pPr>
        <w:pStyle w:val="Heading1"/>
        <w:numPr>
          <w:ilvl w:val="0"/>
          <w:numId w:val="17"/>
        </w:numPr>
      </w:pPr>
      <w:bookmarkStart w:id="9" w:name="_Toc37090476"/>
      <w:bookmarkStart w:id="10" w:name="_Toc37255742"/>
      <w:bookmarkStart w:id="11" w:name="_Toc37393643"/>
      <w:bookmarkStart w:id="12" w:name="_Toc40699324"/>
      <w:bookmarkStart w:id="13" w:name="_Toc43064122"/>
      <w:r w:rsidRPr="005D6D89">
        <w:t>Introduction</w:t>
      </w:r>
      <w:bookmarkEnd w:id="9"/>
      <w:bookmarkEnd w:id="10"/>
      <w:bookmarkEnd w:id="11"/>
      <w:bookmarkEnd w:id="12"/>
      <w:bookmarkEnd w:id="13"/>
    </w:p>
    <w:p w14:paraId="0D3AA7F9" w14:textId="77777777" w:rsidR="00EF2B46" w:rsidRPr="005D6D89" w:rsidRDefault="00EF2B46" w:rsidP="00036EDB">
      <w:pPr>
        <w:pStyle w:val="Heading2"/>
        <w:numPr>
          <w:ilvl w:val="0"/>
          <w:numId w:val="18"/>
        </w:numPr>
        <w:spacing w:before="240"/>
      </w:pPr>
      <w:bookmarkStart w:id="14" w:name="_Toc40699325"/>
      <w:bookmarkStart w:id="15" w:name="_Toc43064123"/>
      <w:bookmarkStart w:id="16" w:name="_Toc37090477"/>
      <w:bookmarkStart w:id="17" w:name="_Toc37255743"/>
      <w:bookmarkStart w:id="18" w:name="_Toc37393644"/>
      <w:r w:rsidRPr="005D6D89">
        <w:t>Context and audience</w:t>
      </w:r>
      <w:bookmarkEnd w:id="14"/>
      <w:bookmarkEnd w:id="15"/>
      <w:r w:rsidRPr="005D6D89">
        <w:t xml:space="preserve"> </w:t>
      </w:r>
      <w:bookmarkEnd w:id="16"/>
      <w:bookmarkEnd w:id="17"/>
      <w:bookmarkEnd w:id="18"/>
    </w:p>
    <w:p w14:paraId="1E4AC676" w14:textId="77777777" w:rsidR="00EF2B46" w:rsidRPr="005D6D89" w:rsidRDefault="00EF2B46" w:rsidP="00812D16">
      <w:pPr>
        <w:pStyle w:val="Heading3"/>
        <w:numPr>
          <w:ilvl w:val="0"/>
          <w:numId w:val="31"/>
        </w:numPr>
        <w:spacing w:before="240"/>
      </w:pPr>
      <w:bookmarkStart w:id="19" w:name="_Toc37090478"/>
      <w:bookmarkStart w:id="20" w:name="_Toc37255744"/>
      <w:bookmarkStart w:id="21" w:name="_Toc37393645"/>
      <w:r w:rsidRPr="005D6D89">
        <w:t>Context</w:t>
      </w:r>
    </w:p>
    <w:p w14:paraId="35AC6FE4" w14:textId="77777777" w:rsidR="00EF2B46" w:rsidRPr="005D6D89" w:rsidRDefault="00EF2B46" w:rsidP="00EF2B46">
      <w:pPr>
        <w:pStyle w:val="BodyText"/>
      </w:pPr>
      <w:r w:rsidRPr="005D6D89">
        <w:t xml:space="preserve">Climate change is already affecting New Zealand. Temperatures have increased, glaciers are melting and sea levels have risen over the past century. Such changes </w:t>
      </w:r>
      <w:proofErr w:type="gramStart"/>
      <w:r w:rsidRPr="005D6D89">
        <w:t>are expected</w:t>
      </w:r>
      <w:proofErr w:type="gramEnd"/>
      <w:r w:rsidRPr="005D6D89">
        <w:t xml:space="preserve"> to continue, with far-reaching consequences across all the </w:t>
      </w:r>
      <w:hyperlink w:anchor="valuedomain" w:history="1">
        <w:r w:rsidRPr="004F16AA">
          <w:rPr>
            <w:rStyle w:val="Hyperlink"/>
          </w:rPr>
          <w:t>value domains</w:t>
        </w:r>
      </w:hyperlink>
      <w:r w:rsidRPr="005D6D89">
        <w:t xml:space="preserve"> that underpin wellbeing in New Zealand </w:t>
      </w:r>
      <w:r w:rsidR="00BD1402" w:rsidRPr="005D6D89">
        <w:t>–</w:t>
      </w:r>
      <w:r w:rsidRPr="005D6D89">
        <w:t xml:space="preserve"> namely, the natural environment, human capital, the economy, the built environment and governance. </w:t>
      </w:r>
    </w:p>
    <w:p w14:paraId="334D3B32" w14:textId="77777777" w:rsidR="00EF2B46" w:rsidRPr="005D6D89" w:rsidRDefault="00EF2B46" w:rsidP="00BD1402">
      <w:pPr>
        <w:pStyle w:val="BodyText"/>
      </w:pPr>
      <w:r w:rsidRPr="005D6D89">
        <w:t>Significant work is underway to better understand and prepare for local, regional and national impacts of climate change. At the local and regional level</w:t>
      </w:r>
      <w:r w:rsidR="0011097C">
        <w:t>,</w:t>
      </w:r>
      <w:r w:rsidRPr="005D6D89">
        <w:t xml:space="preserve"> this includes risk assessments and adaptation plans by many public and private sector organisations. At a national level, the Ministry for the Environment has released updated climate projections and adaptation guidance. A range of organisations and projects </w:t>
      </w:r>
      <w:proofErr w:type="gramStart"/>
      <w:r w:rsidRPr="005D6D89">
        <w:t>are also focused</w:t>
      </w:r>
      <w:proofErr w:type="gramEnd"/>
      <w:r w:rsidRPr="005D6D89">
        <w:t xml:space="preserve"> on enabling New Zealanders to adapt, manage and thrive in a changing climate. </w:t>
      </w:r>
    </w:p>
    <w:p w14:paraId="34E4BDF0" w14:textId="77777777" w:rsidR="00EF2B46" w:rsidRPr="005D6D89" w:rsidRDefault="00EF2B46" w:rsidP="00BD1402">
      <w:pPr>
        <w:pStyle w:val="BodyText"/>
      </w:pPr>
      <w:r w:rsidRPr="005D6D89">
        <w:t xml:space="preserve">The Climate Change Response (Zero Carbon) Amendment Act 2019 (the Act) passed into legislation in November 2019. The Act forms the framework for New Zealand </w:t>
      </w:r>
      <w:proofErr w:type="gramStart"/>
      <w:r w:rsidRPr="005D6D89">
        <w:t>to</w:t>
      </w:r>
      <w:proofErr w:type="gramEnd"/>
      <w:r w:rsidRPr="005D6D89">
        <w:t>:</w:t>
      </w:r>
    </w:p>
    <w:p w14:paraId="465772AF" w14:textId="77777777" w:rsidR="00EF2B46" w:rsidRPr="005D6D89" w:rsidRDefault="00EF2B46" w:rsidP="00BD1402">
      <w:pPr>
        <w:pStyle w:val="Bullet"/>
      </w:pPr>
      <w:r w:rsidRPr="005D6D89">
        <w:t xml:space="preserve">develop and implement clear and stable policies to reduce GHG (greenhouse gas) emissions (ie, </w:t>
      </w:r>
      <w:r w:rsidR="001200EA">
        <w:t>‘</w:t>
      </w:r>
      <w:r w:rsidRPr="005D6D89">
        <w:t>mitigation</w:t>
      </w:r>
      <w:r w:rsidR="001200EA">
        <w:t>’</w:t>
      </w:r>
      <w:r w:rsidRPr="005D6D89">
        <w:t xml:space="preserve">) </w:t>
      </w:r>
    </w:p>
    <w:p w14:paraId="23D77CE4" w14:textId="77777777" w:rsidR="00EF2B46" w:rsidRPr="005D6D89" w:rsidRDefault="00EF2B46" w:rsidP="00BD1402">
      <w:pPr>
        <w:pStyle w:val="Bullet"/>
      </w:pPr>
      <w:proofErr w:type="gramStart"/>
      <w:r w:rsidRPr="005D6D89">
        <w:t>respond</w:t>
      </w:r>
      <w:proofErr w:type="gramEnd"/>
      <w:r w:rsidRPr="005D6D89">
        <w:t xml:space="preserve"> to the inevitable impacts of climate change (ie, </w:t>
      </w:r>
      <w:r w:rsidR="001200EA">
        <w:t>‘</w:t>
      </w:r>
      <w:r w:rsidRPr="005D6D89">
        <w:t>adaptation</w:t>
      </w:r>
      <w:r w:rsidR="001200EA">
        <w:t>’</w:t>
      </w:r>
      <w:r w:rsidRPr="005D6D89">
        <w:t xml:space="preserve">). </w:t>
      </w:r>
    </w:p>
    <w:p w14:paraId="1CDEFE16" w14:textId="7257CECE" w:rsidR="00EF2B46" w:rsidRPr="005D6D89" w:rsidRDefault="00EF2B46" w:rsidP="00BD1402">
      <w:pPr>
        <w:pStyle w:val="BodyText"/>
      </w:pPr>
      <w:r w:rsidRPr="005D6D89">
        <w:t xml:space="preserve">It requires the </w:t>
      </w:r>
      <w:r w:rsidRPr="0011097C">
        <w:t>Climate Change Commission</w:t>
      </w:r>
      <w:r w:rsidRPr="004F16AA">
        <w:t xml:space="preserve"> </w:t>
      </w:r>
      <w:r w:rsidRPr="005D6D89">
        <w:t xml:space="preserve">to prepare an NCCRA at least once every six years. In response to each assessment, the Minister for Climate Change must prepare a </w:t>
      </w:r>
      <w:r w:rsidR="002B0472">
        <w:t>n</w:t>
      </w:r>
      <w:r w:rsidR="002B0472" w:rsidRPr="005D6D89">
        <w:t xml:space="preserve">ational </w:t>
      </w:r>
      <w:r w:rsidR="002B0472">
        <w:t>a</w:t>
      </w:r>
      <w:r w:rsidR="002B0472" w:rsidRPr="005D6D89">
        <w:t xml:space="preserve">daptation </w:t>
      </w:r>
      <w:r w:rsidR="002B0472">
        <w:t>p</w:t>
      </w:r>
      <w:r w:rsidR="002B0472" w:rsidRPr="005D6D89">
        <w:t xml:space="preserve">lan </w:t>
      </w:r>
      <w:r w:rsidRPr="005D6D89">
        <w:t xml:space="preserve">(NAP). </w:t>
      </w:r>
    </w:p>
    <w:p w14:paraId="31C661DE" w14:textId="77777777" w:rsidR="00EF2B46" w:rsidRPr="005D6D89" w:rsidRDefault="00EF2B46" w:rsidP="00812D16">
      <w:pPr>
        <w:pStyle w:val="Heading3"/>
        <w:numPr>
          <w:ilvl w:val="0"/>
          <w:numId w:val="31"/>
        </w:numPr>
      </w:pPr>
      <w:r w:rsidRPr="005D6D89">
        <w:t>Audience</w:t>
      </w:r>
    </w:p>
    <w:p w14:paraId="22A54D41" w14:textId="77777777" w:rsidR="00EF2B46" w:rsidRPr="005D6D89" w:rsidRDefault="00EF2B46" w:rsidP="00EF2B46">
      <w:pPr>
        <w:pStyle w:val="BodyText"/>
      </w:pPr>
      <w:r w:rsidRPr="005D6D89">
        <w:t>The NCCRA will give decision-makers the best available evidence and assessment of risks and opportunities to plan their approach to address the impacts of climate change. The primary audience is central government. It will also be of interest to a broad range of stakeholders, whānau, iwi, hapū and communities.</w:t>
      </w:r>
    </w:p>
    <w:p w14:paraId="3A9174A8" w14:textId="77777777" w:rsidR="00EF2B46" w:rsidRPr="005D6D89" w:rsidRDefault="00EF2B46" w:rsidP="00036EDB">
      <w:pPr>
        <w:pStyle w:val="Heading2"/>
        <w:numPr>
          <w:ilvl w:val="0"/>
          <w:numId w:val="18"/>
        </w:numPr>
      </w:pPr>
      <w:bookmarkStart w:id="22" w:name="_Toc40699326"/>
      <w:bookmarkStart w:id="23" w:name="_Toc43064124"/>
      <w:r w:rsidRPr="005D6D89">
        <w:t>Objectives</w:t>
      </w:r>
      <w:bookmarkEnd w:id="22"/>
      <w:bookmarkEnd w:id="23"/>
      <w:r w:rsidRPr="005D6D89">
        <w:t xml:space="preserve"> </w:t>
      </w:r>
      <w:bookmarkEnd w:id="19"/>
      <w:bookmarkEnd w:id="20"/>
      <w:bookmarkEnd w:id="21"/>
    </w:p>
    <w:p w14:paraId="793513CA" w14:textId="77777777" w:rsidR="00EF2B46" w:rsidRPr="005D6D89" w:rsidRDefault="00EF2B46" w:rsidP="00EF2B46">
      <w:pPr>
        <w:pStyle w:val="BodyText"/>
      </w:pPr>
      <w:bookmarkStart w:id="24" w:name="_Toc37255745"/>
      <w:bookmarkStart w:id="25" w:name="_Toc37393646"/>
      <w:bookmarkStart w:id="26" w:name="_Toc37090479"/>
      <w:r w:rsidRPr="005D6D89">
        <w:t xml:space="preserve">The NCCRA has the following key objectives: </w:t>
      </w:r>
    </w:p>
    <w:p w14:paraId="04452685" w14:textId="77777777" w:rsidR="00EF2B46" w:rsidRPr="005D6D89" w:rsidRDefault="0011097C" w:rsidP="002825DC">
      <w:pPr>
        <w:pStyle w:val="Bullet"/>
      </w:pPr>
      <w:bookmarkStart w:id="27" w:name="_Hlk40429705"/>
      <w:r>
        <w:t>p</w:t>
      </w:r>
      <w:r w:rsidR="00EF2B46" w:rsidRPr="005D6D89">
        <w:t>rovide a national overview of how New Zealand may be affected by various hazards and threats that are caused, exacerbated or influenced by climate change, and the risks and opportunities this brings</w:t>
      </w:r>
      <w:bookmarkEnd w:id="27"/>
      <w:r w:rsidR="00EF2B46" w:rsidRPr="005D6D89">
        <w:t xml:space="preserve">, </w:t>
      </w:r>
      <w:r>
        <w:t>as well as any gaps in evidence</w:t>
      </w:r>
      <w:r w:rsidR="00EF2B46" w:rsidRPr="005D6D89">
        <w:t xml:space="preserve"> </w:t>
      </w:r>
    </w:p>
    <w:p w14:paraId="6BE372C9" w14:textId="77777777" w:rsidR="00EF2B46" w:rsidRPr="005D6D89" w:rsidRDefault="0011097C" w:rsidP="002825DC">
      <w:pPr>
        <w:pStyle w:val="Bullet"/>
      </w:pPr>
      <w:r>
        <w:t>s</w:t>
      </w:r>
      <w:r w:rsidR="00EF2B46" w:rsidRPr="005D6D89">
        <w:t>upport decision-makers to better understand the wide range of risks that New Zealand will face, and which</w:t>
      </w:r>
      <w:r>
        <w:t xml:space="preserve"> risks to address most urgently</w:t>
      </w:r>
    </w:p>
    <w:p w14:paraId="0FB78B40" w14:textId="77777777" w:rsidR="00EF2B46" w:rsidRPr="005D6D89" w:rsidRDefault="0011097C" w:rsidP="002825DC">
      <w:pPr>
        <w:pStyle w:val="Bullet"/>
      </w:pPr>
      <w:proofErr w:type="gramStart"/>
      <w:r>
        <w:t>p</w:t>
      </w:r>
      <w:r w:rsidR="00EF2B46" w:rsidRPr="005D6D89">
        <w:t>rovide</w:t>
      </w:r>
      <w:proofErr w:type="gramEnd"/>
      <w:r w:rsidR="00EF2B46" w:rsidRPr="005D6D89">
        <w:t xml:space="preserve"> the best available evidence, information and assessment of risks to inform</w:t>
      </w:r>
      <w:r w:rsidR="00754649" w:rsidRPr="005D6D89">
        <w:t> </w:t>
      </w:r>
      <w:r>
        <w:t>a</w:t>
      </w:r>
      <w:r w:rsidR="00EF2B46" w:rsidRPr="005D6D89">
        <w:t xml:space="preserve"> NAP</w:t>
      </w:r>
      <w:r w:rsidR="007473BA">
        <w:t xml:space="preserve"> directly</w:t>
      </w:r>
      <w:r w:rsidR="00EF2B46" w:rsidRPr="005D6D89">
        <w:t>.</w:t>
      </w:r>
    </w:p>
    <w:p w14:paraId="0F65BE0A" w14:textId="542F9D2F" w:rsidR="00EF2B46" w:rsidRPr="005D6D89" w:rsidRDefault="00EF2B46" w:rsidP="00812D16">
      <w:pPr>
        <w:pStyle w:val="Heading3"/>
        <w:numPr>
          <w:ilvl w:val="0"/>
          <w:numId w:val="31"/>
        </w:numPr>
      </w:pPr>
      <w:r w:rsidRPr="005D6D89">
        <w:t xml:space="preserve">National </w:t>
      </w:r>
      <w:r w:rsidR="002B0472">
        <w:t>a</w:t>
      </w:r>
      <w:r w:rsidR="002B0472" w:rsidRPr="005D6D89">
        <w:t xml:space="preserve">daptation </w:t>
      </w:r>
      <w:r w:rsidR="002B0472">
        <w:t>p</w:t>
      </w:r>
      <w:r w:rsidR="002B0472" w:rsidRPr="005D6D89">
        <w:t xml:space="preserve">lan </w:t>
      </w:r>
      <w:r w:rsidRPr="005D6D89">
        <w:t>(NAP)</w:t>
      </w:r>
    </w:p>
    <w:p w14:paraId="4D384A6B" w14:textId="77777777" w:rsidR="00EF2B46" w:rsidRPr="005D6D89" w:rsidRDefault="00EF2B46" w:rsidP="002825DC">
      <w:pPr>
        <w:pStyle w:val="BodyText"/>
      </w:pPr>
      <w:r w:rsidRPr="005D6D89">
        <w:t>The NAP will define both the Government</w:t>
      </w:r>
      <w:r w:rsidR="001200EA">
        <w:t>’</w:t>
      </w:r>
      <w:r w:rsidRPr="005D6D89">
        <w:t xml:space="preserve">s objectives for adapting to climate change and how the Government will meet those objectives. It will establish a planned approach to adaptation and put in place a forward-looking, holistic plan to respond to the priority risks, opportunities and gaps identified in the NCCRA. </w:t>
      </w:r>
    </w:p>
    <w:p w14:paraId="038BBAF9" w14:textId="77777777" w:rsidR="00EF2B46" w:rsidRPr="005D6D89" w:rsidRDefault="00EF2B46" w:rsidP="002825DC">
      <w:pPr>
        <w:pStyle w:val="BodyText"/>
      </w:pPr>
      <w:r w:rsidRPr="005D6D89">
        <w:t xml:space="preserve">The NCCRA focuses on potential shortfalls in adaptation to the priority risks and opportunities, which could benefit from further action in the NAP. It uses urgency ratings informed by the </w:t>
      </w:r>
      <w:r w:rsidRPr="005D6D89">
        <w:rPr>
          <w:i/>
        </w:rPr>
        <w:t>2017 UK Climate Change Risk Assessment</w:t>
      </w:r>
      <w:r w:rsidRPr="005D6D89">
        <w:t xml:space="preserve"> (Committee on Climate Change, 2017) to signal the need for adaptation decision-making. Urgency is defined as </w:t>
      </w:r>
      <w:r w:rsidR="001200EA">
        <w:t>‘</w:t>
      </w:r>
      <w:r w:rsidRPr="005D6D89">
        <w:t>a measure of the degree to which further action is needed in the next five years to reduce a risk or realise an opportunity from climate change</w:t>
      </w:r>
      <w:r w:rsidR="001200EA">
        <w:t>’</w:t>
      </w:r>
      <w:r w:rsidRPr="005D6D89">
        <w:t xml:space="preserve"> (Committee on Climate Change, 2017).</w:t>
      </w:r>
    </w:p>
    <w:p w14:paraId="22909C9A" w14:textId="77777777" w:rsidR="00EF2B46" w:rsidRPr="005D6D89" w:rsidRDefault="00EF2B46" w:rsidP="00036EDB">
      <w:pPr>
        <w:pStyle w:val="Heading2"/>
        <w:numPr>
          <w:ilvl w:val="0"/>
          <w:numId w:val="18"/>
        </w:numPr>
      </w:pPr>
      <w:bookmarkStart w:id="28" w:name="_Toc40699327"/>
      <w:bookmarkStart w:id="29" w:name="_Toc43064125"/>
      <w:bookmarkEnd w:id="24"/>
      <w:bookmarkEnd w:id="25"/>
      <w:bookmarkEnd w:id="26"/>
      <w:r w:rsidRPr="005D6D89">
        <w:t>Structure</w:t>
      </w:r>
      <w:bookmarkEnd w:id="28"/>
      <w:bookmarkEnd w:id="29"/>
    </w:p>
    <w:p w14:paraId="20D497FD" w14:textId="77777777" w:rsidR="00EF2B46" w:rsidRPr="005D6D89" w:rsidRDefault="00EF2B46" w:rsidP="00EF2B46">
      <w:pPr>
        <w:pStyle w:val="BodyText"/>
      </w:pPr>
      <w:r w:rsidRPr="005D6D89">
        <w:t>The outputs of the NCCRA are in three reports, outlined in</w:t>
      </w:r>
      <w:r w:rsidR="006608EB">
        <w:t xml:space="preserve"> table 2</w:t>
      </w:r>
      <w:r w:rsidRPr="005D6D89">
        <w:t xml:space="preserve">. </w:t>
      </w:r>
    </w:p>
    <w:p w14:paraId="16D788CC" w14:textId="77777777" w:rsidR="00EF2B46" w:rsidRPr="005D6D89" w:rsidRDefault="00EF1177" w:rsidP="00E32D45">
      <w:pPr>
        <w:pStyle w:val="Tableheading"/>
      </w:pPr>
      <w:bookmarkStart w:id="30" w:name="_Toc43312796"/>
      <w:r w:rsidRPr="005D6D89">
        <w:t xml:space="preserve">Table </w:t>
      </w:r>
      <w:r w:rsidR="00543147" w:rsidRPr="005D6D89">
        <w:t>2</w:t>
      </w:r>
      <w:r w:rsidRPr="005D6D89">
        <w:t>:</w:t>
      </w:r>
      <w:r w:rsidRPr="005D6D89">
        <w:tab/>
        <w:t>Overview of NCCRA reports</w:t>
      </w:r>
      <w:bookmarkEnd w:id="30"/>
    </w:p>
    <w:tbl>
      <w:tblPr>
        <w:tblW w:w="8505" w:type="dxa"/>
        <w:tblInd w:w="10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2126"/>
        <w:gridCol w:w="6379"/>
      </w:tblGrid>
      <w:tr w:rsidR="008B71DE" w:rsidRPr="005D6D89" w14:paraId="4E5189F0" w14:textId="77777777" w:rsidTr="003E7EED">
        <w:trPr>
          <w:tblHeader/>
        </w:trPr>
        <w:tc>
          <w:tcPr>
            <w:tcW w:w="1250" w:type="pct"/>
            <w:shd w:val="clear" w:color="auto" w:fill="1C556C" w:themeFill="accent1"/>
            <w:tcMar>
              <w:top w:w="0" w:type="dxa"/>
            </w:tcMar>
            <w:vAlign w:val="center"/>
          </w:tcPr>
          <w:p w14:paraId="65A7C350" w14:textId="77777777" w:rsidR="00CC5AF6" w:rsidRPr="005D6D89" w:rsidRDefault="00CC5AF6" w:rsidP="009003D2">
            <w:pPr>
              <w:pStyle w:val="TableTextBold0"/>
              <w:rPr>
                <w:color w:val="FFFFFF" w:themeColor="background1"/>
              </w:rPr>
            </w:pPr>
            <w:r w:rsidRPr="005D6D89">
              <w:rPr>
                <w:color w:val="FFFFFF" w:themeColor="background1"/>
              </w:rPr>
              <w:t xml:space="preserve">Report </w:t>
            </w:r>
          </w:p>
        </w:tc>
        <w:tc>
          <w:tcPr>
            <w:tcW w:w="3750" w:type="pct"/>
            <w:shd w:val="clear" w:color="auto" w:fill="1C556C" w:themeFill="accent1"/>
            <w:tcMar>
              <w:top w:w="0" w:type="dxa"/>
            </w:tcMar>
            <w:vAlign w:val="center"/>
          </w:tcPr>
          <w:p w14:paraId="6FFCBFA8" w14:textId="77777777" w:rsidR="00CC5AF6" w:rsidRPr="005D6D89" w:rsidRDefault="00CC5AF6" w:rsidP="009003D2">
            <w:pPr>
              <w:pStyle w:val="TableTextBold0"/>
              <w:rPr>
                <w:color w:val="FFFFFF" w:themeColor="background1"/>
              </w:rPr>
            </w:pPr>
            <w:r w:rsidRPr="005D6D89">
              <w:rPr>
                <w:color w:val="FFFFFF" w:themeColor="background1"/>
              </w:rPr>
              <w:t>Purpose</w:t>
            </w:r>
          </w:p>
        </w:tc>
      </w:tr>
      <w:tr w:rsidR="00CC5AF6" w:rsidRPr="005D6D89" w14:paraId="212405A2" w14:textId="77777777" w:rsidTr="001A5168">
        <w:tc>
          <w:tcPr>
            <w:tcW w:w="1250" w:type="pct"/>
            <w:shd w:val="clear" w:color="auto" w:fill="auto"/>
            <w:tcMar>
              <w:top w:w="0" w:type="dxa"/>
            </w:tcMar>
          </w:tcPr>
          <w:p w14:paraId="2925AA69" w14:textId="77777777" w:rsidR="00CC5AF6" w:rsidRPr="005D6D89" w:rsidRDefault="00CC5AF6" w:rsidP="008B71DE">
            <w:pPr>
              <w:pStyle w:val="TableText"/>
            </w:pPr>
            <w:r w:rsidRPr="005D6D89">
              <w:t xml:space="preserve">Main report (this report) </w:t>
            </w:r>
          </w:p>
        </w:tc>
        <w:tc>
          <w:tcPr>
            <w:tcW w:w="3750" w:type="pct"/>
            <w:shd w:val="clear" w:color="auto" w:fill="auto"/>
            <w:tcMar>
              <w:top w:w="0" w:type="dxa"/>
            </w:tcMar>
          </w:tcPr>
          <w:p w14:paraId="2507390A" w14:textId="77777777" w:rsidR="00CC5AF6" w:rsidRPr="005D6D89" w:rsidRDefault="00CC5AF6" w:rsidP="008B71DE">
            <w:pPr>
              <w:pStyle w:val="TableText"/>
            </w:pPr>
            <w:r w:rsidRPr="005D6D89">
              <w:t xml:space="preserve">An overview of the findings, with a focus on the 10 most significant risks. </w:t>
            </w:r>
          </w:p>
        </w:tc>
      </w:tr>
      <w:tr w:rsidR="00CC5AF6" w:rsidRPr="005D6D89" w14:paraId="3BBE141D" w14:textId="77777777" w:rsidTr="001A5168">
        <w:tc>
          <w:tcPr>
            <w:tcW w:w="1250" w:type="pct"/>
            <w:shd w:val="clear" w:color="auto" w:fill="auto"/>
            <w:tcMar>
              <w:top w:w="0" w:type="dxa"/>
            </w:tcMar>
          </w:tcPr>
          <w:p w14:paraId="7DF8D8E3" w14:textId="6EDD0151" w:rsidR="00CC5AF6" w:rsidRPr="005F460B" w:rsidRDefault="00B45FF6" w:rsidP="008B71DE">
            <w:pPr>
              <w:pStyle w:val="TableText"/>
            </w:pPr>
            <w:hyperlink r:id="rId21" w:history="1">
              <w:r w:rsidR="00CC5AF6" w:rsidRPr="005F460B">
                <w:rPr>
                  <w:rStyle w:val="Hyperlink"/>
                </w:rPr>
                <w:t>Technical report</w:t>
              </w:r>
            </w:hyperlink>
            <w:r w:rsidR="00CC5AF6" w:rsidRPr="005F460B">
              <w:rPr>
                <w:highlight w:val="yellow"/>
              </w:rPr>
              <w:t xml:space="preserve"> </w:t>
            </w:r>
          </w:p>
        </w:tc>
        <w:tc>
          <w:tcPr>
            <w:tcW w:w="3750" w:type="pct"/>
            <w:shd w:val="clear" w:color="auto" w:fill="auto"/>
            <w:tcMar>
              <w:top w:w="0" w:type="dxa"/>
            </w:tcMar>
          </w:tcPr>
          <w:p w14:paraId="4EA56FC7" w14:textId="77777777" w:rsidR="00CC5AF6" w:rsidRPr="005D6D89" w:rsidRDefault="00CC5AF6" w:rsidP="008B71DE">
            <w:pPr>
              <w:pStyle w:val="TableText"/>
            </w:pPr>
            <w:r w:rsidRPr="005D6D89">
              <w:t xml:space="preserve">Further detail on the risk assessment findings, including profiles of the risks, opportunities and gaps in each domain and descriptions of exposure, vulnerability, consequence, adaptation and strength of evidence. It provides the evidence base for the assessment findings and </w:t>
            </w:r>
            <w:proofErr w:type="gramStart"/>
            <w:r w:rsidRPr="005D6D89">
              <w:t>is intended</w:t>
            </w:r>
            <w:proofErr w:type="gramEnd"/>
            <w:r w:rsidRPr="005D6D89">
              <w:t xml:space="preserve"> as an ongoing resource for the NAP. It is a companion to the </w:t>
            </w:r>
            <w:r w:rsidRPr="005D6D89">
              <w:rPr>
                <w:iCs/>
              </w:rPr>
              <w:t>main report</w:t>
            </w:r>
            <w:r w:rsidRPr="005D6D89">
              <w:t>.</w:t>
            </w:r>
          </w:p>
        </w:tc>
      </w:tr>
      <w:tr w:rsidR="00CC5AF6" w:rsidRPr="005D6D89" w14:paraId="6CB38009" w14:textId="77777777" w:rsidTr="001A5168">
        <w:tc>
          <w:tcPr>
            <w:tcW w:w="1250" w:type="pct"/>
            <w:shd w:val="clear" w:color="auto" w:fill="auto"/>
            <w:tcMar>
              <w:top w:w="0" w:type="dxa"/>
            </w:tcMar>
          </w:tcPr>
          <w:p w14:paraId="061668D1" w14:textId="26F0B64A" w:rsidR="00CC5AF6" w:rsidRPr="005F460B" w:rsidRDefault="00B45FF6" w:rsidP="008B71DE">
            <w:pPr>
              <w:pStyle w:val="TableText"/>
            </w:pPr>
            <w:hyperlink r:id="rId22" w:history="1">
              <w:r w:rsidR="00CC5AF6" w:rsidRPr="005F460B">
                <w:rPr>
                  <w:rStyle w:val="Hyperlink"/>
                </w:rPr>
                <w:t>Method report</w:t>
              </w:r>
            </w:hyperlink>
            <w:r w:rsidR="00CC5AF6" w:rsidRPr="005F460B">
              <w:rPr>
                <w:highlight w:val="yellow"/>
              </w:rPr>
              <w:t xml:space="preserve"> </w:t>
            </w:r>
          </w:p>
        </w:tc>
        <w:tc>
          <w:tcPr>
            <w:tcW w:w="3750" w:type="pct"/>
            <w:shd w:val="clear" w:color="auto" w:fill="auto"/>
            <w:tcMar>
              <w:top w:w="0" w:type="dxa"/>
            </w:tcMar>
          </w:tcPr>
          <w:p w14:paraId="24BFC9F5" w14:textId="77777777" w:rsidR="00CC5AF6" w:rsidRPr="005D6D89" w:rsidRDefault="00CC5AF6" w:rsidP="008B71DE">
            <w:pPr>
              <w:pStyle w:val="TableText"/>
            </w:pPr>
            <w:r w:rsidRPr="005D6D89">
              <w:t>Details the approach to the risk assessment and engagement methodology, including the results of engagement. It supports national, local and regional risk assessments of organisations that wish to learn and draw from this methodology.</w:t>
            </w:r>
          </w:p>
        </w:tc>
      </w:tr>
    </w:tbl>
    <w:p w14:paraId="3D43D6C6" w14:textId="77777777" w:rsidR="00CC5AF6" w:rsidRPr="005D6D89" w:rsidRDefault="00CC5AF6" w:rsidP="00036EDB">
      <w:pPr>
        <w:pStyle w:val="Heading2"/>
        <w:numPr>
          <w:ilvl w:val="0"/>
          <w:numId w:val="18"/>
        </w:numPr>
        <w:spacing w:before="400"/>
      </w:pPr>
      <w:bookmarkStart w:id="31" w:name="_Toc40699328"/>
      <w:bookmarkStart w:id="32" w:name="_Toc37090480"/>
      <w:bookmarkStart w:id="33" w:name="_Toc37255746"/>
      <w:bookmarkStart w:id="34" w:name="_Toc37393647"/>
      <w:bookmarkStart w:id="35" w:name="_Toc43064126"/>
      <w:r w:rsidRPr="005D6D89">
        <w:t>Purpose</w:t>
      </w:r>
      <w:bookmarkEnd w:id="31"/>
      <w:bookmarkEnd w:id="32"/>
      <w:bookmarkEnd w:id="33"/>
      <w:bookmarkEnd w:id="34"/>
      <w:bookmarkEnd w:id="35"/>
    </w:p>
    <w:p w14:paraId="6E934D5B" w14:textId="77777777" w:rsidR="00CC5AF6" w:rsidRPr="005D6D89" w:rsidRDefault="00CC5AF6" w:rsidP="00CC5AF6">
      <w:pPr>
        <w:pStyle w:val="BodyText"/>
      </w:pPr>
      <w:r w:rsidRPr="005D6D89">
        <w:t xml:space="preserve">This report is an overview of the findings of the NCCRA, with a focus on the 10 most significant risks. Table </w:t>
      </w:r>
      <w:proofErr w:type="gramStart"/>
      <w:r w:rsidR="00543147" w:rsidRPr="005D6D89">
        <w:t>3</w:t>
      </w:r>
      <w:proofErr w:type="gramEnd"/>
      <w:r w:rsidRPr="005D6D89">
        <w:t xml:space="preserve"> sets out the sections of the report.</w:t>
      </w:r>
    </w:p>
    <w:p w14:paraId="240B9DB0" w14:textId="77777777" w:rsidR="00CC5AF6" w:rsidRPr="005D6D89" w:rsidRDefault="00CC5AF6" w:rsidP="00E32D45">
      <w:pPr>
        <w:pStyle w:val="Tableheading"/>
      </w:pPr>
      <w:bookmarkStart w:id="36" w:name="_Ref37148306"/>
      <w:bookmarkStart w:id="37" w:name="_Toc37072182"/>
      <w:bookmarkStart w:id="38" w:name="_Toc37240783"/>
      <w:bookmarkStart w:id="39" w:name="_Toc40699395"/>
      <w:bookmarkStart w:id="40" w:name="_Toc43312797"/>
      <w:r w:rsidRPr="005D6D89">
        <w:t xml:space="preserve">Table </w:t>
      </w:r>
      <w:bookmarkEnd w:id="36"/>
      <w:r w:rsidR="00543147" w:rsidRPr="005D6D89">
        <w:t>3</w:t>
      </w:r>
      <w:r w:rsidR="001046A0" w:rsidRPr="005D6D89">
        <w:t>:</w:t>
      </w:r>
      <w:r w:rsidRPr="005D6D89">
        <w:tab/>
        <w:t xml:space="preserve">Main report </w:t>
      </w:r>
      <w:bookmarkEnd w:id="37"/>
      <w:bookmarkEnd w:id="38"/>
      <w:bookmarkEnd w:id="39"/>
      <w:r w:rsidRPr="005D6D89">
        <w:t>by section</w:t>
      </w:r>
      <w:bookmarkEnd w:id="40"/>
    </w:p>
    <w:tbl>
      <w:tblPr>
        <w:tblW w:w="8505" w:type="dxa"/>
        <w:tblInd w:w="10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3402"/>
        <w:gridCol w:w="5103"/>
      </w:tblGrid>
      <w:tr w:rsidR="003E7EED" w:rsidRPr="005D6D89" w14:paraId="26EB68B2" w14:textId="77777777" w:rsidTr="00217A1D">
        <w:trPr>
          <w:tblHeader/>
        </w:trPr>
        <w:tc>
          <w:tcPr>
            <w:tcW w:w="2000" w:type="pct"/>
            <w:shd w:val="clear" w:color="auto" w:fill="1C556C" w:themeFill="accent1"/>
            <w:tcMar>
              <w:top w:w="0" w:type="dxa"/>
            </w:tcMar>
            <w:vAlign w:val="center"/>
          </w:tcPr>
          <w:p w14:paraId="6CAD25B4" w14:textId="77777777" w:rsidR="00CC5AF6" w:rsidRPr="005D6D89" w:rsidRDefault="00CC5AF6" w:rsidP="009003D2">
            <w:pPr>
              <w:pStyle w:val="TableTextBold0"/>
              <w:rPr>
                <w:color w:val="FFFFFF" w:themeColor="background1"/>
              </w:rPr>
            </w:pPr>
            <w:r w:rsidRPr="005D6D89">
              <w:rPr>
                <w:color w:val="FFFFFF" w:themeColor="background1"/>
              </w:rPr>
              <w:t xml:space="preserve">Section </w:t>
            </w:r>
          </w:p>
        </w:tc>
        <w:tc>
          <w:tcPr>
            <w:tcW w:w="3000" w:type="pct"/>
            <w:shd w:val="clear" w:color="auto" w:fill="1C556C" w:themeFill="accent1"/>
            <w:tcMar>
              <w:top w:w="0" w:type="dxa"/>
            </w:tcMar>
            <w:vAlign w:val="center"/>
          </w:tcPr>
          <w:p w14:paraId="498C5025" w14:textId="77777777" w:rsidR="00CC5AF6" w:rsidRPr="005D6D89" w:rsidRDefault="00CC5AF6" w:rsidP="009003D2">
            <w:pPr>
              <w:pStyle w:val="TableTextBold0"/>
              <w:rPr>
                <w:color w:val="FFFFFF" w:themeColor="background1"/>
              </w:rPr>
            </w:pPr>
            <w:r w:rsidRPr="005D6D89">
              <w:rPr>
                <w:color w:val="FFFFFF" w:themeColor="background1"/>
              </w:rPr>
              <w:t xml:space="preserve">Content </w:t>
            </w:r>
          </w:p>
        </w:tc>
      </w:tr>
      <w:tr w:rsidR="00CC5AF6" w:rsidRPr="005D6D89" w14:paraId="6CAA23F0" w14:textId="77777777" w:rsidTr="001A5168">
        <w:tc>
          <w:tcPr>
            <w:tcW w:w="2000" w:type="pct"/>
            <w:shd w:val="clear" w:color="auto" w:fill="auto"/>
            <w:tcMar>
              <w:top w:w="0" w:type="dxa"/>
            </w:tcMar>
          </w:tcPr>
          <w:p w14:paraId="301C328E" w14:textId="77777777" w:rsidR="00CC5AF6" w:rsidRPr="005D6D89" w:rsidRDefault="00583FDB" w:rsidP="00583FDB">
            <w:pPr>
              <w:pStyle w:val="TableText"/>
              <w:ind w:left="284" w:hanging="284"/>
            </w:pPr>
            <w:r w:rsidRPr="005D6D89">
              <w:t>1.</w:t>
            </w:r>
            <w:r w:rsidRPr="005D6D89">
              <w:tab/>
            </w:r>
            <w:r w:rsidR="00CC5AF6" w:rsidRPr="005D6D89">
              <w:t xml:space="preserve">Introduction </w:t>
            </w:r>
          </w:p>
        </w:tc>
        <w:tc>
          <w:tcPr>
            <w:tcW w:w="3000" w:type="pct"/>
            <w:shd w:val="clear" w:color="auto" w:fill="auto"/>
            <w:tcMar>
              <w:top w:w="0" w:type="dxa"/>
            </w:tcMar>
          </w:tcPr>
          <w:p w14:paraId="44CC4CC6" w14:textId="77777777" w:rsidR="00CC5AF6" w:rsidRPr="005D6D89" w:rsidRDefault="00CC5AF6" w:rsidP="00583FDB">
            <w:pPr>
              <w:pStyle w:val="TableBullet"/>
            </w:pPr>
            <w:r w:rsidRPr="005D6D89">
              <w:t xml:space="preserve">Overview of the context, objectives and structure of the NCCRA. </w:t>
            </w:r>
          </w:p>
        </w:tc>
      </w:tr>
      <w:tr w:rsidR="00CC5AF6" w:rsidRPr="005D6D89" w14:paraId="50E8C233" w14:textId="77777777" w:rsidTr="001A5168">
        <w:tc>
          <w:tcPr>
            <w:tcW w:w="2000" w:type="pct"/>
            <w:shd w:val="clear" w:color="auto" w:fill="auto"/>
            <w:tcMar>
              <w:top w:w="0" w:type="dxa"/>
            </w:tcMar>
          </w:tcPr>
          <w:p w14:paraId="5631B07D" w14:textId="77777777" w:rsidR="00CC5AF6" w:rsidRPr="005D6D89" w:rsidRDefault="00583FDB" w:rsidP="00583FDB">
            <w:pPr>
              <w:pStyle w:val="TableText"/>
              <w:ind w:left="284" w:hanging="284"/>
            </w:pPr>
            <w:r w:rsidRPr="005D6D89">
              <w:t>2.</w:t>
            </w:r>
            <w:r w:rsidRPr="005D6D89">
              <w:tab/>
            </w:r>
            <w:r w:rsidR="00CC5AF6" w:rsidRPr="005D6D89">
              <w:t>Summary of approach to the NCCRA</w:t>
            </w:r>
          </w:p>
        </w:tc>
        <w:tc>
          <w:tcPr>
            <w:tcW w:w="3000" w:type="pct"/>
            <w:shd w:val="clear" w:color="auto" w:fill="auto"/>
            <w:tcMar>
              <w:top w:w="0" w:type="dxa"/>
            </w:tcMar>
          </w:tcPr>
          <w:p w14:paraId="4B4C8074" w14:textId="3B20DB84" w:rsidR="00CC5AF6" w:rsidRPr="005D6D89" w:rsidRDefault="00CC5AF6" w:rsidP="005F460B">
            <w:pPr>
              <w:pStyle w:val="TableBullet"/>
            </w:pPr>
            <w:r w:rsidRPr="005D6D89">
              <w:t xml:space="preserve">Brief overview of the approach to the NCCRA. (The </w:t>
            </w:r>
            <w:hyperlink r:id="rId23" w:history="1">
              <w:r w:rsidRPr="005F460B">
                <w:rPr>
                  <w:rStyle w:val="Hyperlink"/>
                </w:rPr>
                <w:t>method</w:t>
              </w:r>
            </w:hyperlink>
            <w:r w:rsidR="005F460B">
              <w:t xml:space="preserve"> </w:t>
            </w:r>
            <w:hyperlink r:id="rId24" w:history="1">
              <w:r w:rsidR="005F460B" w:rsidRPr="005F460B">
                <w:rPr>
                  <w:rStyle w:val="Hyperlink"/>
                </w:rPr>
                <w:t>report</w:t>
              </w:r>
            </w:hyperlink>
            <w:r w:rsidR="005F460B" w:rsidRPr="005F460B">
              <w:t xml:space="preserve"> </w:t>
            </w:r>
            <w:r w:rsidRPr="005D6D89">
              <w:t>has further information.)</w:t>
            </w:r>
          </w:p>
        </w:tc>
      </w:tr>
      <w:tr w:rsidR="00CC5AF6" w:rsidRPr="005D6D89" w14:paraId="7CFD973D" w14:textId="77777777" w:rsidTr="001A5168">
        <w:tc>
          <w:tcPr>
            <w:tcW w:w="2000" w:type="pct"/>
            <w:shd w:val="clear" w:color="auto" w:fill="auto"/>
            <w:tcMar>
              <w:top w:w="0" w:type="dxa"/>
            </w:tcMar>
          </w:tcPr>
          <w:p w14:paraId="0C6EF320" w14:textId="77777777" w:rsidR="00CC5AF6" w:rsidRPr="005D6D89" w:rsidRDefault="00583FDB" w:rsidP="00583FDB">
            <w:pPr>
              <w:pStyle w:val="TableText"/>
              <w:ind w:left="284" w:hanging="284"/>
            </w:pPr>
            <w:r w:rsidRPr="005D6D89">
              <w:t>3.</w:t>
            </w:r>
            <w:r w:rsidRPr="005D6D89">
              <w:tab/>
            </w:r>
            <w:r w:rsidR="007473BA">
              <w:t>Te a</w:t>
            </w:r>
            <w:r w:rsidR="00CC5AF6" w:rsidRPr="005D6D89">
              <w:t>o Māori and climate change risk</w:t>
            </w:r>
          </w:p>
        </w:tc>
        <w:tc>
          <w:tcPr>
            <w:tcW w:w="3000" w:type="pct"/>
            <w:shd w:val="clear" w:color="auto" w:fill="auto"/>
            <w:tcMar>
              <w:top w:w="0" w:type="dxa"/>
            </w:tcMar>
          </w:tcPr>
          <w:p w14:paraId="1771C8E0" w14:textId="77777777" w:rsidR="00CC5AF6" w:rsidRPr="005D6D89" w:rsidRDefault="00CC5AF6" w:rsidP="00583FDB">
            <w:pPr>
              <w:pStyle w:val="TableBullet"/>
            </w:pPr>
            <w:r w:rsidRPr="005D6D89">
              <w:t>Portrays a Māori worldview and unique lens to help frame our thinking about</w:t>
            </w:r>
            <w:r w:rsidR="0011097C">
              <w:t>,</w:t>
            </w:r>
            <w:r w:rsidR="008D42F9" w:rsidRPr="005D6D89">
              <w:t> </w:t>
            </w:r>
            <w:r w:rsidRPr="005D6D89">
              <w:t>and approach to</w:t>
            </w:r>
            <w:r w:rsidR="0011097C">
              <w:t>,</w:t>
            </w:r>
            <w:r w:rsidRPr="005D6D89">
              <w:t xml:space="preserve"> </w:t>
            </w:r>
            <w:proofErr w:type="gramStart"/>
            <w:r w:rsidRPr="005D6D89">
              <w:t>te</w:t>
            </w:r>
            <w:proofErr w:type="gramEnd"/>
            <w:r w:rsidRPr="005D6D89">
              <w:t xml:space="preserve"> huringa āhuarangi (climate change) in Aotearoa New</w:t>
            </w:r>
            <w:r w:rsidR="008D42F9" w:rsidRPr="005D6D89">
              <w:t> </w:t>
            </w:r>
            <w:r w:rsidRPr="005D6D89">
              <w:t>Zealand.</w:t>
            </w:r>
          </w:p>
          <w:p w14:paraId="03340056" w14:textId="77777777" w:rsidR="00CC5AF6" w:rsidRPr="005D6D89" w:rsidRDefault="00CC5AF6" w:rsidP="00583FDB">
            <w:pPr>
              <w:pStyle w:val="TableBullet"/>
            </w:pPr>
            <w:r w:rsidRPr="005D6D89">
              <w:t>Identifies specific risks, opportunities and gaps detailed in the report that have particular relevance to Māori rights, values, practices and communities.</w:t>
            </w:r>
          </w:p>
        </w:tc>
      </w:tr>
      <w:tr w:rsidR="00CC5AF6" w:rsidRPr="005D6D89" w14:paraId="591196E9" w14:textId="77777777" w:rsidTr="001A5168">
        <w:tc>
          <w:tcPr>
            <w:tcW w:w="2000" w:type="pct"/>
            <w:shd w:val="clear" w:color="auto" w:fill="auto"/>
            <w:tcMar>
              <w:top w:w="0" w:type="dxa"/>
            </w:tcMar>
          </w:tcPr>
          <w:p w14:paraId="27A0019D" w14:textId="77777777" w:rsidR="00CC5AF6" w:rsidRPr="005D6D89" w:rsidRDefault="00583FDB" w:rsidP="003D27CE">
            <w:pPr>
              <w:pStyle w:val="TableText"/>
              <w:keepNext/>
              <w:ind w:left="284" w:hanging="284"/>
            </w:pPr>
            <w:r w:rsidRPr="005D6D89">
              <w:t>4.</w:t>
            </w:r>
            <w:r w:rsidRPr="005D6D89">
              <w:tab/>
            </w:r>
            <w:r w:rsidR="00CC5AF6" w:rsidRPr="005D6D89">
              <w:t xml:space="preserve">Climate change in New Zealand </w:t>
            </w:r>
          </w:p>
        </w:tc>
        <w:tc>
          <w:tcPr>
            <w:tcW w:w="3000" w:type="pct"/>
            <w:shd w:val="clear" w:color="auto" w:fill="auto"/>
            <w:tcMar>
              <w:top w:w="0" w:type="dxa"/>
            </w:tcMar>
          </w:tcPr>
          <w:p w14:paraId="406AB795" w14:textId="0840827C" w:rsidR="00CC5AF6" w:rsidRPr="005D6D89" w:rsidRDefault="00CC5AF6" w:rsidP="003D27CE">
            <w:pPr>
              <w:pStyle w:val="TableBullet"/>
              <w:keepNext/>
            </w:pPr>
            <w:r w:rsidRPr="005D6D89">
              <w:t xml:space="preserve">Overview of how climate change is affecting and will continue to affect New Zealand, and the hazards considered by the NCCRA. (The </w:t>
            </w:r>
            <w:hyperlink r:id="rId25" w:history="1">
              <w:r w:rsidR="00E546F8" w:rsidRPr="00E546F8">
                <w:rPr>
                  <w:rStyle w:val="Hyperlink"/>
                </w:rPr>
                <w:t>technical report</w:t>
              </w:r>
            </w:hyperlink>
            <w:r w:rsidRPr="005D6D89">
              <w:t xml:space="preserve"> has further information.) </w:t>
            </w:r>
          </w:p>
        </w:tc>
      </w:tr>
      <w:tr w:rsidR="00CC5AF6" w:rsidRPr="005D6D89" w14:paraId="1050493E" w14:textId="77777777" w:rsidTr="001A5168">
        <w:tc>
          <w:tcPr>
            <w:tcW w:w="2000" w:type="pct"/>
            <w:shd w:val="clear" w:color="auto" w:fill="auto"/>
            <w:tcMar>
              <w:top w:w="0" w:type="dxa"/>
            </w:tcMar>
          </w:tcPr>
          <w:p w14:paraId="12D742F0" w14:textId="77777777" w:rsidR="00CC5AF6" w:rsidRPr="005D6D89" w:rsidRDefault="00583FDB" w:rsidP="00583FDB">
            <w:pPr>
              <w:pStyle w:val="TableText"/>
              <w:ind w:left="284" w:hanging="284"/>
            </w:pPr>
            <w:r w:rsidRPr="005D6D89">
              <w:t>5.</w:t>
            </w:r>
            <w:r w:rsidRPr="005D6D89">
              <w:tab/>
            </w:r>
            <w:r w:rsidR="00CC5AF6" w:rsidRPr="005D6D89">
              <w:t xml:space="preserve">Climate change risks and opportunities </w:t>
            </w:r>
          </w:p>
        </w:tc>
        <w:tc>
          <w:tcPr>
            <w:tcW w:w="3000" w:type="pct"/>
            <w:shd w:val="clear" w:color="auto" w:fill="auto"/>
            <w:tcMar>
              <w:top w:w="0" w:type="dxa"/>
            </w:tcMar>
          </w:tcPr>
          <w:p w14:paraId="672F9FF1" w14:textId="77777777" w:rsidR="00CC5AF6" w:rsidRPr="005D6D89" w:rsidRDefault="00CC5AF6" w:rsidP="00583FDB">
            <w:pPr>
              <w:pStyle w:val="TableBullet"/>
            </w:pPr>
            <w:r w:rsidRPr="005D6D89">
              <w:t>Overview of climate change risks for New Zealand.</w:t>
            </w:r>
            <w:r w:rsidR="00027F9F" w:rsidRPr="005D6D89">
              <w:t xml:space="preserve"> </w:t>
            </w:r>
          </w:p>
          <w:p w14:paraId="2917C794" w14:textId="517E5F01" w:rsidR="00CC5AF6" w:rsidRPr="005D6D89" w:rsidRDefault="00CC5AF6" w:rsidP="00583FDB">
            <w:pPr>
              <w:pStyle w:val="TableBullet"/>
            </w:pPr>
            <w:r w:rsidRPr="005D6D89">
              <w:t xml:space="preserve">Describes the two most urgent risks from each domain, with overviews of other priority risks and opportunities. (The </w:t>
            </w:r>
            <w:hyperlink r:id="rId26" w:history="1">
              <w:r w:rsidR="00E546F8" w:rsidRPr="00E546F8">
                <w:rPr>
                  <w:rStyle w:val="Hyperlink"/>
                </w:rPr>
                <w:t>technical report</w:t>
              </w:r>
            </w:hyperlink>
            <w:r w:rsidRPr="005D6D89">
              <w:t xml:space="preserve"> has further information on all climate change risks, opportunities and gaps.) </w:t>
            </w:r>
          </w:p>
        </w:tc>
      </w:tr>
      <w:tr w:rsidR="00CC5AF6" w:rsidRPr="005D6D89" w14:paraId="1ACD9733" w14:textId="77777777" w:rsidTr="001A5168">
        <w:tc>
          <w:tcPr>
            <w:tcW w:w="2000" w:type="pct"/>
            <w:shd w:val="clear" w:color="auto" w:fill="auto"/>
            <w:tcMar>
              <w:top w:w="0" w:type="dxa"/>
            </w:tcMar>
          </w:tcPr>
          <w:p w14:paraId="73168625" w14:textId="77777777" w:rsidR="00CC5AF6" w:rsidRPr="005D6D89" w:rsidRDefault="00583FDB" w:rsidP="00583FDB">
            <w:pPr>
              <w:pStyle w:val="TableText"/>
              <w:ind w:left="284" w:hanging="284"/>
            </w:pPr>
            <w:r w:rsidRPr="005D6D89">
              <w:t>6.</w:t>
            </w:r>
            <w:r w:rsidRPr="005D6D89">
              <w:tab/>
            </w:r>
            <w:r w:rsidR="00CC5AF6" w:rsidRPr="005D6D89">
              <w:t>Cascading impacts and socio-economic factors</w:t>
            </w:r>
          </w:p>
        </w:tc>
        <w:tc>
          <w:tcPr>
            <w:tcW w:w="3000" w:type="pct"/>
            <w:shd w:val="clear" w:color="auto" w:fill="auto"/>
            <w:tcMar>
              <w:top w:w="0" w:type="dxa"/>
            </w:tcMar>
          </w:tcPr>
          <w:p w14:paraId="4225233E" w14:textId="77777777" w:rsidR="00CC5AF6" w:rsidRPr="005D6D89" w:rsidRDefault="00CC5AF6" w:rsidP="00583FDB">
            <w:pPr>
              <w:pStyle w:val="TableBullet"/>
            </w:pPr>
            <w:r w:rsidRPr="005D6D89">
              <w:t>Two case studies illustrating:</w:t>
            </w:r>
          </w:p>
          <w:p w14:paraId="25C5C749" w14:textId="77777777" w:rsidR="00CC5AF6" w:rsidRPr="005D6D89" w:rsidRDefault="00CC5AF6" w:rsidP="0011097C">
            <w:pPr>
              <w:pStyle w:val="TableBullet"/>
              <w:numPr>
                <w:ilvl w:val="1"/>
                <w:numId w:val="7"/>
              </w:numPr>
              <w:ind w:left="602" w:hanging="283"/>
            </w:pPr>
            <w:r w:rsidRPr="005D6D89">
              <w:t>the interactions between domains and risks</w:t>
            </w:r>
          </w:p>
          <w:p w14:paraId="2F7AF31E" w14:textId="77777777" w:rsidR="00CC5AF6" w:rsidRPr="005D6D89" w:rsidRDefault="00CC5AF6" w:rsidP="0011097C">
            <w:pPr>
              <w:pStyle w:val="TableBullet"/>
              <w:numPr>
                <w:ilvl w:val="1"/>
                <w:numId w:val="7"/>
              </w:numPr>
              <w:ind w:left="602" w:hanging="283"/>
            </w:pPr>
            <w:proofErr w:type="gramStart"/>
            <w:r w:rsidRPr="005D6D89">
              <w:t>how</w:t>
            </w:r>
            <w:proofErr w:type="gramEnd"/>
            <w:r w:rsidRPr="005D6D89">
              <w:t xml:space="preserve"> socio-economic trends will influence the nature and severity of risks in the future.</w:t>
            </w:r>
          </w:p>
        </w:tc>
      </w:tr>
      <w:tr w:rsidR="00CC5AF6" w:rsidRPr="005D6D89" w14:paraId="0DC84B2E" w14:textId="77777777" w:rsidTr="001A5168">
        <w:tc>
          <w:tcPr>
            <w:tcW w:w="2000" w:type="pct"/>
            <w:shd w:val="clear" w:color="auto" w:fill="auto"/>
            <w:tcMar>
              <w:top w:w="0" w:type="dxa"/>
            </w:tcMar>
          </w:tcPr>
          <w:p w14:paraId="5C2E3613" w14:textId="77777777" w:rsidR="00CC5AF6" w:rsidRPr="005D6D89" w:rsidRDefault="00583FDB" w:rsidP="00583FDB">
            <w:pPr>
              <w:pStyle w:val="TableText"/>
              <w:ind w:left="284" w:hanging="284"/>
            </w:pPr>
            <w:r w:rsidRPr="005D6D89">
              <w:t>7.</w:t>
            </w:r>
            <w:r w:rsidRPr="005D6D89">
              <w:tab/>
            </w:r>
            <w:r w:rsidR="00CC5AF6" w:rsidRPr="005D6D89">
              <w:t>Uncertainty and gaps</w:t>
            </w:r>
          </w:p>
        </w:tc>
        <w:tc>
          <w:tcPr>
            <w:tcW w:w="3000" w:type="pct"/>
            <w:shd w:val="clear" w:color="auto" w:fill="auto"/>
            <w:tcMar>
              <w:top w:w="0" w:type="dxa"/>
            </w:tcMar>
          </w:tcPr>
          <w:p w14:paraId="73DD59BB" w14:textId="77777777" w:rsidR="00CC5AF6" w:rsidRPr="005D6D89" w:rsidRDefault="00CC5AF6" w:rsidP="00583FDB">
            <w:pPr>
              <w:pStyle w:val="TableBullet"/>
            </w:pPr>
            <w:r w:rsidRPr="005D6D89">
              <w:t>Summarises priority information gaps identified through the risk assessment, and the inherent uncertainty underlying any risk assessment.</w:t>
            </w:r>
          </w:p>
        </w:tc>
      </w:tr>
      <w:tr w:rsidR="00CC5AF6" w:rsidRPr="005D6D89" w14:paraId="023173E1" w14:textId="77777777" w:rsidTr="001A5168">
        <w:tc>
          <w:tcPr>
            <w:tcW w:w="2000" w:type="pct"/>
            <w:shd w:val="clear" w:color="auto" w:fill="auto"/>
            <w:tcMar>
              <w:top w:w="0" w:type="dxa"/>
            </w:tcMar>
          </w:tcPr>
          <w:p w14:paraId="57F8DB15" w14:textId="77777777" w:rsidR="00CC5AF6" w:rsidRPr="005D6D89" w:rsidRDefault="00583FDB" w:rsidP="00583FDB">
            <w:pPr>
              <w:pStyle w:val="TableText"/>
              <w:ind w:left="284" w:hanging="284"/>
            </w:pPr>
            <w:r w:rsidRPr="005D6D89">
              <w:t>8.</w:t>
            </w:r>
            <w:r w:rsidRPr="005D6D89">
              <w:tab/>
            </w:r>
            <w:r w:rsidR="00CC5AF6" w:rsidRPr="005D6D89">
              <w:t xml:space="preserve">Next steps </w:t>
            </w:r>
          </w:p>
        </w:tc>
        <w:tc>
          <w:tcPr>
            <w:tcW w:w="3000" w:type="pct"/>
            <w:shd w:val="clear" w:color="auto" w:fill="auto"/>
            <w:tcMar>
              <w:top w:w="0" w:type="dxa"/>
            </w:tcMar>
          </w:tcPr>
          <w:p w14:paraId="00F99763" w14:textId="77777777" w:rsidR="00CC5AF6" w:rsidRPr="005D6D89" w:rsidRDefault="00CC5AF6" w:rsidP="00583FDB">
            <w:pPr>
              <w:pStyle w:val="TableBullet"/>
            </w:pPr>
            <w:r w:rsidRPr="005D6D89">
              <w:t xml:space="preserve">What happens after the completion of the </w:t>
            </w:r>
            <w:proofErr w:type="gramStart"/>
            <w:r w:rsidRPr="005D6D89">
              <w:t>NCCRA.</w:t>
            </w:r>
            <w:proofErr w:type="gramEnd"/>
            <w:r w:rsidR="00027F9F" w:rsidRPr="005D6D89">
              <w:t xml:space="preserve"> </w:t>
            </w:r>
          </w:p>
        </w:tc>
      </w:tr>
      <w:tr w:rsidR="00CC5AF6" w:rsidRPr="005D6D89" w14:paraId="35E128C3" w14:textId="77777777" w:rsidTr="001A5168">
        <w:tc>
          <w:tcPr>
            <w:tcW w:w="2000" w:type="pct"/>
            <w:shd w:val="clear" w:color="auto" w:fill="auto"/>
            <w:tcMar>
              <w:top w:w="0" w:type="dxa"/>
            </w:tcMar>
          </w:tcPr>
          <w:p w14:paraId="3E373A15" w14:textId="77777777" w:rsidR="00CC5AF6" w:rsidRPr="005D6D89" w:rsidRDefault="00583FDB" w:rsidP="00583FDB">
            <w:pPr>
              <w:pStyle w:val="TableText"/>
              <w:ind w:left="284" w:hanging="284"/>
            </w:pPr>
            <w:r w:rsidRPr="005D6D89">
              <w:t>9.</w:t>
            </w:r>
            <w:r w:rsidRPr="005D6D89">
              <w:tab/>
            </w:r>
            <w:r w:rsidR="00CC5AF6" w:rsidRPr="005D6D89">
              <w:t xml:space="preserve">References </w:t>
            </w:r>
          </w:p>
        </w:tc>
        <w:tc>
          <w:tcPr>
            <w:tcW w:w="3000" w:type="pct"/>
            <w:shd w:val="clear" w:color="auto" w:fill="auto"/>
            <w:tcMar>
              <w:top w:w="0" w:type="dxa"/>
            </w:tcMar>
          </w:tcPr>
          <w:p w14:paraId="67BC1792" w14:textId="77777777" w:rsidR="00CC5AF6" w:rsidRPr="005D6D89" w:rsidRDefault="00CC5AF6" w:rsidP="00583FDB">
            <w:pPr>
              <w:pStyle w:val="TableBullet"/>
            </w:pPr>
            <w:r w:rsidRPr="005D6D89">
              <w:t xml:space="preserve">Citations in this report. </w:t>
            </w:r>
          </w:p>
        </w:tc>
      </w:tr>
    </w:tbl>
    <w:p w14:paraId="19E589D3" w14:textId="77777777" w:rsidR="00CC5AF6" w:rsidRPr="005D6D89" w:rsidRDefault="00CC5AF6" w:rsidP="00CC5AF6">
      <w:pPr>
        <w:pStyle w:val="BodyText"/>
      </w:pPr>
    </w:p>
    <w:p w14:paraId="15E513FC" w14:textId="77777777" w:rsidR="00EB5719" w:rsidRPr="005D6D89" w:rsidRDefault="00EB5719">
      <w:pPr>
        <w:spacing w:before="0" w:after="200" w:line="276" w:lineRule="auto"/>
        <w:jc w:val="left"/>
      </w:pPr>
      <w:r w:rsidRPr="005D6D89">
        <w:br w:type="page"/>
      </w:r>
    </w:p>
    <w:p w14:paraId="103C6418" w14:textId="77777777" w:rsidR="00EB5719" w:rsidRPr="005D6D89" w:rsidRDefault="00EB5719" w:rsidP="00036EDB">
      <w:pPr>
        <w:pStyle w:val="Heading1"/>
        <w:numPr>
          <w:ilvl w:val="0"/>
          <w:numId w:val="17"/>
        </w:numPr>
      </w:pPr>
      <w:bookmarkStart w:id="41" w:name="_Toc40699329"/>
      <w:bookmarkStart w:id="42" w:name="_Toc43064127"/>
      <w:bookmarkStart w:id="43" w:name="_Toc37090481"/>
      <w:bookmarkStart w:id="44" w:name="_Toc37255747"/>
      <w:bookmarkStart w:id="45" w:name="_Toc37393648"/>
      <w:bookmarkStart w:id="46" w:name="_Ref37666312"/>
      <w:bookmarkStart w:id="47" w:name="_Ref40346490"/>
      <w:r w:rsidRPr="005D6D89">
        <w:t>Summary of approach</w:t>
      </w:r>
      <w:bookmarkEnd w:id="41"/>
      <w:bookmarkEnd w:id="42"/>
      <w:r w:rsidRPr="005D6D89">
        <w:t xml:space="preserve"> </w:t>
      </w:r>
      <w:bookmarkEnd w:id="43"/>
      <w:bookmarkEnd w:id="44"/>
      <w:bookmarkEnd w:id="45"/>
      <w:bookmarkEnd w:id="46"/>
      <w:bookmarkEnd w:id="47"/>
    </w:p>
    <w:p w14:paraId="77D8B360" w14:textId="77777777" w:rsidR="00EB5719" w:rsidRPr="005D6D89" w:rsidRDefault="00EB5719" w:rsidP="00036EDB">
      <w:pPr>
        <w:pStyle w:val="Heading2"/>
        <w:numPr>
          <w:ilvl w:val="0"/>
          <w:numId w:val="19"/>
        </w:numPr>
        <w:spacing w:before="240"/>
      </w:pPr>
      <w:bookmarkStart w:id="48" w:name="_Assessment_and_engagement"/>
      <w:bookmarkStart w:id="49" w:name="_Toc37090482"/>
      <w:bookmarkStart w:id="50" w:name="_Toc37255748"/>
      <w:bookmarkStart w:id="51" w:name="_Toc37393649"/>
      <w:bookmarkStart w:id="52" w:name="_Ref37667248"/>
      <w:bookmarkStart w:id="53" w:name="_Toc37784859"/>
      <w:bookmarkStart w:id="54" w:name="_Toc40699330"/>
      <w:bookmarkStart w:id="55" w:name="_Toc43064128"/>
      <w:bookmarkEnd w:id="48"/>
      <w:r w:rsidRPr="005D6D89">
        <w:t>Assessment and engagement method</w:t>
      </w:r>
      <w:bookmarkEnd w:id="49"/>
      <w:bookmarkEnd w:id="50"/>
      <w:bookmarkEnd w:id="51"/>
      <w:bookmarkEnd w:id="52"/>
      <w:bookmarkEnd w:id="53"/>
      <w:bookmarkEnd w:id="54"/>
      <w:bookmarkEnd w:id="55"/>
    </w:p>
    <w:p w14:paraId="4F664EBA" w14:textId="77777777" w:rsidR="00EB5719" w:rsidRPr="005D6D89" w:rsidRDefault="00EB5719" w:rsidP="00EB5719">
      <w:pPr>
        <w:pStyle w:val="BodyText"/>
      </w:pPr>
      <w:bookmarkStart w:id="56" w:name="_Ref37148605"/>
      <w:bookmarkStart w:id="57" w:name="_Toc37072183"/>
      <w:bookmarkStart w:id="58" w:name="_Toc37240784"/>
      <w:r w:rsidRPr="005D6D89">
        <w:t xml:space="preserve">This first NCCRA </w:t>
      </w:r>
      <w:proofErr w:type="gramStart"/>
      <w:r w:rsidRPr="005D6D89">
        <w:t>is based</w:t>
      </w:r>
      <w:proofErr w:type="gramEnd"/>
      <w:r w:rsidRPr="005D6D89">
        <w:t xml:space="preserve"> on </w:t>
      </w:r>
      <w:r w:rsidRPr="005D6D89">
        <w:rPr>
          <w:i/>
        </w:rPr>
        <w:t xml:space="preserve">Arotakenga Huringa Āhuarangi: A Framework for the National Climate Change Risk Assessment for Aotearoa New Zealand </w:t>
      </w:r>
      <w:r w:rsidRPr="005D6D89">
        <w:t xml:space="preserve">(the NCCRA framework). </w:t>
      </w:r>
      <w:proofErr w:type="gramStart"/>
      <w:r w:rsidRPr="005D6D89">
        <w:t>The framework was developed by an expert panel and sets out guidance on methods for the NCCRA</w:t>
      </w:r>
      <w:proofErr w:type="gramEnd"/>
      <w:r w:rsidRPr="005D6D89">
        <w:t>. The NCCRA combined Māori and stakeholder engagement with scientific, technical and expert information to inform the assessment.</w:t>
      </w:r>
      <w:r w:rsidR="00027F9F" w:rsidRPr="005D6D89">
        <w:t xml:space="preserve"> </w:t>
      </w:r>
    </w:p>
    <w:p w14:paraId="22E7224B" w14:textId="77777777" w:rsidR="00EB5719" w:rsidRPr="005D6D89" w:rsidRDefault="00EB5719" w:rsidP="005B0583">
      <w:pPr>
        <w:pStyle w:val="BodyText"/>
      </w:pPr>
      <w:r w:rsidRPr="005D6D89">
        <w:t xml:space="preserve">The NCCRA was undertaken over three stages by a diverse, multi-disciplinary team of academics and </w:t>
      </w:r>
      <w:proofErr w:type="gramStart"/>
      <w:r w:rsidRPr="005D6D89">
        <w:t>consultants,</w:t>
      </w:r>
      <w:proofErr w:type="gramEnd"/>
      <w:r w:rsidRPr="005D6D89">
        <w:t xml:space="preserve"> see </w:t>
      </w:r>
      <w:r w:rsidR="008E4A84">
        <w:t>t</w:t>
      </w:r>
      <w:r w:rsidR="006608EB">
        <w:t xml:space="preserve">able </w:t>
      </w:r>
      <w:r w:rsidR="008E4A84">
        <w:t>4</w:t>
      </w:r>
      <w:r w:rsidRPr="005D6D89">
        <w:t xml:space="preserve"> and </w:t>
      </w:r>
      <w:hyperlink w:anchor="figure2" w:history="1">
        <w:r w:rsidR="00594F0B" w:rsidRPr="00594F0B">
          <w:rPr>
            <w:rStyle w:val="Hyperlink"/>
          </w:rPr>
          <w:t>f</w:t>
        </w:r>
        <w:r w:rsidR="001F20AB" w:rsidRPr="00594F0B">
          <w:rPr>
            <w:rStyle w:val="Hyperlink"/>
          </w:rPr>
          <w:t xml:space="preserve">igure </w:t>
        </w:r>
        <w:r w:rsidR="00594F0B" w:rsidRPr="00594F0B">
          <w:rPr>
            <w:rStyle w:val="Hyperlink"/>
          </w:rPr>
          <w:t>2</w:t>
        </w:r>
      </w:hyperlink>
      <w:r w:rsidR="0011097C">
        <w:t>. Before S</w:t>
      </w:r>
      <w:r w:rsidRPr="005D6D89">
        <w:t xml:space="preserve">tage 1, a </w:t>
      </w:r>
      <w:r w:rsidR="001200EA">
        <w:t>‘</w:t>
      </w:r>
      <w:r w:rsidRPr="005D6D89">
        <w:t>context-setting</w:t>
      </w:r>
      <w:r w:rsidR="001200EA">
        <w:t>’</w:t>
      </w:r>
      <w:r w:rsidRPr="005D6D89">
        <w:t xml:space="preserve"> phase set the objectives, scope and method for the assessment. </w:t>
      </w:r>
    </w:p>
    <w:p w14:paraId="181B603B" w14:textId="77777777" w:rsidR="00EB5719" w:rsidRPr="005D6D89" w:rsidRDefault="00EB5719" w:rsidP="005B0583">
      <w:pPr>
        <w:pStyle w:val="BodyText"/>
      </w:pPr>
      <w:r w:rsidRPr="005D6D89">
        <w:t>The sections below summarise each stage, followed by an overview of the method and key</w:t>
      </w:r>
      <w:r w:rsidR="00847CCF" w:rsidRPr="005D6D89">
        <w:t> </w:t>
      </w:r>
      <w:r w:rsidRPr="005D6D89">
        <w:t xml:space="preserve">concepts. </w:t>
      </w:r>
    </w:p>
    <w:p w14:paraId="6D4767C3" w14:textId="3654651E" w:rsidR="00EB5719" w:rsidRPr="005D6D89" w:rsidRDefault="00EB5719" w:rsidP="00EB5719">
      <w:pPr>
        <w:pStyle w:val="BodyText"/>
      </w:pPr>
      <w:r w:rsidRPr="005D6D89">
        <w:t xml:space="preserve">Engagement informed all three stages of the process. The </w:t>
      </w:r>
      <w:hyperlink r:id="rId27" w:history="1">
        <w:r w:rsidRPr="005F460B">
          <w:rPr>
            <w:rStyle w:val="Hyperlink"/>
          </w:rPr>
          <w:t xml:space="preserve">method report </w:t>
        </w:r>
      </w:hyperlink>
      <w:r w:rsidRPr="005D6D89">
        <w:rPr>
          <w:iCs/>
        </w:rPr>
        <w:t>gives</w:t>
      </w:r>
      <w:r w:rsidRPr="005D6D89">
        <w:t xml:space="preserve"> more detail about the assessment and engagement method.</w:t>
      </w:r>
    </w:p>
    <w:p w14:paraId="676483BF" w14:textId="77777777" w:rsidR="00EF1177" w:rsidRPr="005D6D89" w:rsidRDefault="00EB5719" w:rsidP="00E32D45">
      <w:pPr>
        <w:pStyle w:val="Tableheading"/>
      </w:pPr>
      <w:bookmarkStart w:id="59" w:name="_Ref37428482"/>
      <w:bookmarkStart w:id="60" w:name="_Toc40699396"/>
      <w:bookmarkStart w:id="61" w:name="_Toc43312798"/>
      <w:r w:rsidRPr="005D6D89">
        <w:t xml:space="preserve">Table </w:t>
      </w:r>
      <w:bookmarkEnd w:id="56"/>
      <w:bookmarkEnd w:id="59"/>
      <w:r w:rsidR="00543147" w:rsidRPr="005D6D89">
        <w:t>4</w:t>
      </w:r>
      <w:r w:rsidR="005B0583" w:rsidRPr="005D6D89">
        <w:t>:</w:t>
      </w:r>
      <w:r w:rsidRPr="005D6D89">
        <w:tab/>
        <w:t>Three stages of the NCCRA</w:t>
      </w:r>
      <w:bookmarkEnd w:id="57"/>
      <w:bookmarkEnd w:id="58"/>
      <w:bookmarkEnd w:id="60"/>
      <w:bookmarkEnd w:id="61"/>
    </w:p>
    <w:tbl>
      <w:tblPr>
        <w:tblW w:w="8505" w:type="dxa"/>
        <w:tblInd w:w="10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1701"/>
        <w:gridCol w:w="3327"/>
        <w:gridCol w:w="3477"/>
      </w:tblGrid>
      <w:tr w:rsidR="00EA0EED" w:rsidRPr="005D6D89" w14:paraId="6D9410A4" w14:textId="77777777" w:rsidTr="00D119CC">
        <w:trPr>
          <w:trHeight w:val="340"/>
          <w:tblHeader/>
        </w:trPr>
        <w:tc>
          <w:tcPr>
            <w:tcW w:w="1000" w:type="pct"/>
            <w:shd w:val="clear" w:color="auto" w:fill="1C556C" w:themeFill="accent1"/>
            <w:tcMar>
              <w:top w:w="0" w:type="dxa"/>
            </w:tcMar>
            <w:vAlign w:val="center"/>
          </w:tcPr>
          <w:p w14:paraId="161F2369" w14:textId="77777777" w:rsidR="00D119CC" w:rsidRPr="005D6D89" w:rsidRDefault="00D119CC" w:rsidP="009003D2">
            <w:pPr>
              <w:pStyle w:val="TableTextBold0"/>
              <w:rPr>
                <w:color w:val="FFFFFF" w:themeColor="background1"/>
              </w:rPr>
            </w:pPr>
            <w:r w:rsidRPr="005D6D89">
              <w:rPr>
                <w:color w:val="FFFFFF" w:themeColor="background1"/>
              </w:rPr>
              <w:t>Stage</w:t>
            </w:r>
          </w:p>
        </w:tc>
        <w:tc>
          <w:tcPr>
            <w:tcW w:w="1956" w:type="pct"/>
            <w:shd w:val="clear" w:color="auto" w:fill="1C556C" w:themeFill="accent1"/>
            <w:tcMar>
              <w:top w:w="0" w:type="dxa"/>
            </w:tcMar>
            <w:vAlign w:val="center"/>
          </w:tcPr>
          <w:p w14:paraId="439E31A3" w14:textId="77777777" w:rsidR="00D119CC" w:rsidRPr="005D6D89" w:rsidRDefault="00D119CC" w:rsidP="009003D2">
            <w:pPr>
              <w:pStyle w:val="TableTextBold0"/>
              <w:rPr>
                <w:color w:val="FFFFFF" w:themeColor="background1"/>
              </w:rPr>
            </w:pPr>
            <w:r w:rsidRPr="005D6D89">
              <w:rPr>
                <w:color w:val="FFFFFF" w:themeColor="background1"/>
              </w:rPr>
              <w:t>Objectives</w:t>
            </w:r>
          </w:p>
        </w:tc>
        <w:tc>
          <w:tcPr>
            <w:tcW w:w="2044" w:type="pct"/>
            <w:shd w:val="clear" w:color="auto" w:fill="1C556C" w:themeFill="accent1"/>
            <w:tcMar>
              <w:top w:w="0" w:type="dxa"/>
            </w:tcMar>
            <w:vAlign w:val="center"/>
          </w:tcPr>
          <w:p w14:paraId="26E3006D" w14:textId="77777777" w:rsidR="00D119CC" w:rsidRPr="005D6D89" w:rsidRDefault="00D119CC" w:rsidP="009003D2">
            <w:pPr>
              <w:pStyle w:val="TableTextBold0"/>
              <w:rPr>
                <w:color w:val="FFFFFF" w:themeColor="background1"/>
              </w:rPr>
            </w:pPr>
            <w:r w:rsidRPr="005D6D89">
              <w:rPr>
                <w:color w:val="FFFFFF" w:themeColor="background1"/>
              </w:rPr>
              <w:t>Output</w:t>
            </w:r>
          </w:p>
        </w:tc>
      </w:tr>
      <w:tr w:rsidR="00D119CC" w:rsidRPr="005D6D89" w14:paraId="17A1055A" w14:textId="77777777" w:rsidTr="001A5168">
        <w:trPr>
          <w:trHeight w:val="283"/>
        </w:trPr>
        <w:tc>
          <w:tcPr>
            <w:tcW w:w="1000" w:type="pct"/>
            <w:shd w:val="clear" w:color="auto" w:fill="auto"/>
            <w:tcMar>
              <w:top w:w="0" w:type="dxa"/>
            </w:tcMar>
          </w:tcPr>
          <w:p w14:paraId="644F4283" w14:textId="77777777" w:rsidR="00D119CC" w:rsidRPr="005D6D89" w:rsidRDefault="00D119CC" w:rsidP="00EA0EED">
            <w:pPr>
              <w:pStyle w:val="TableText"/>
            </w:pPr>
            <w:r w:rsidRPr="005D6D89">
              <w:t xml:space="preserve">Stage 1: First-pass risk screen </w:t>
            </w:r>
          </w:p>
        </w:tc>
        <w:tc>
          <w:tcPr>
            <w:tcW w:w="1956" w:type="pct"/>
            <w:shd w:val="clear" w:color="auto" w:fill="auto"/>
            <w:tcMar>
              <w:top w:w="0" w:type="dxa"/>
            </w:tcMar>
          </w:tcPr>
          <w:p w14:paraId="4FB77AD3" w14:textId="77777777" w:rsidR="00D119CC" w:rsidRPr="005D6D89" w:rsidRDefault="00D119CC" w:rsidP="004824A2">
            <w:pPr>
              <w:pStyle w:val="TableText"/>
              <w:spacing w:after="0"/>
            </w:pPr>
            <w:r w:rsidRPr="005D6D89">
              <w:t xml:space="preserve">High-level consideration of climate change risks to New Zealand. </w:t>
            </w:r>
          </w:p>
          <w:p w14:paraId="4CEFC552" w14:textId="77777777" w:rsidR="00D119CC" w:rsidRPr="005D6D89" w:rsidRDefault="00D119CC" w:rsidP="00EA0EED">
            <w:pPr>
              <w:pStyle w:val="TableText"/>
            </w:pPr>
            <w:r w:rsidRPr="005D6D89">
              <w:t>Determine national risks to consider in Stage 2.</w:t>
            </w:r>
            <w:r w:rsidR="00027F9F" w:rsidRPr="005D6D89">
              <w:t xml:space="preserve"> </w:t>
            </w:r>
          </w:p>
        </w:tc>
        <w:tc>
          <w:tcPr>
            <w:tcW w:w="2044" w:type="pct"/>
            <w:shd w:val="clear" w:color="auto" w:fill="auto"/>
            <w:tcMar>
              <w:top w:w="0" w:type="dxa"/>
            </w:tcMar>
          </w:tcPr>
          <w:p w14:paraId="2571BE5F" w14:textId="77777777" w:rsidR="00D119CC" w:rsidRPr="005D6D89" w:rsidRDefault="00D119CC" w:rsidP="00EA0EED">
            <w:pPr>
              <w:pStyle w:val="TableText"/>
            </w:pPr>
            <w:r w:rsidRPr="005D6D89">
              <w:t>A set of priority national climate change risks (rated extreme and major in the Stage 1 risk screen) for detailed assessment in Stage 2. Documented in an interim report.</w:t>
            </w:r>
          </w:p>
        </w:tc>
      </w:tr>
      <w:tr w:rsidR="00D119CC" w:rsidRPr="005D6D89" w14:paraId="72A263F7" w14:textId="77777777" w:rsidTr="001A5168">
        <w:trPr>
          <w:trHeight w:val="283"/>
        </w:trPr>
        <w:tc>
          <w:tcPr>
            <w:tcW w:w="1000" w:type="pct"/>
            <w:shd w:val="clear" w:color="auto" w:fill="auto"/>
            <w:tcMar>
              <w:top w:w="0" w:type="dxa"/>
            </w:tcMar>
          </w:tcPr>
          <w:p w14:paraId="17570213" w14:textId="77777777" w:rsidR="00D119CC" w:rsidRPr="005D6D89" w:rsidRDefault="00D119CC" w:rsidP="00EA0EED">
            <w:pPr>
              <w:pStyle w:val="TableText"/>
            </w:pPr>
            <w:r w:rsidRPr="005D6D89">
              <w:t xml:space="preserve">Stage 2: Detailed risk assessment </w:t>
            </w:r>
          </w:p>
        </w:tc>
        <w:tc>
          <w:tcPr>
            <w:tcW w:w="1956" w:type="pct"/>
            <w:shd w:val="clear" w:color="auto" w:fill="auto"/>
            <w:tcMar>
              <w:top w:w="0" w:type="dxa"/>
            </w:tcMar>
          </w:tcPr>
          <w:p w14:paraId="7FF7451A" w14:textId="77777777" w:rsidR="00D119CC" w:rsidRPr="005D6D89" w:rsidRDefault="00D119CC" w:rsidP="00EA0EED">
            <w:pPr>
              <w:pStyle w:val="TableText"/>
            </w:pPr>
            <w:r w:rsidRPr="005D6D89">
              <w:t>Examine risks rated extreme and major. Prioritise risks to consider in an NAP.</w:t>
            </w:r>
          </w:p>
        </w:tc>
        <w:tc>
          <w:tcPr>
            <w:tcW w:w="2044" w:type="pct"/>
            <w:shd w:val="clear" w:color="auto" w:fill="auto"/>
            <w:tcMar>
              <w:top w:w="0" w:type="dxa"/>
            </w:tcMar>
          </w:tcPr>
          <w:p w14:paraId="4C22EB1C" w14:textId="77777777" w:rsidR="00D119CC" w:rsidRPr="005D6D89" w:rsidRDefault="00D119CC" w:rsidP="0011097C">
            <w:pPr>
              <w:pStyle w:val="TableText"/>
            </w:pPr>
            <w:r w:rsidRPr="005D6D89">
              <w:t xml:space="preserve">More detailed assessment of risks to inform the NAP. Identify the 10 most urgent risks, documented in this </w:t>
            </w:r>
            <w:r w:rsidR="0011097C">
              <w:t>main</w:t>
            </w:r>
            <w:r w:rsidRPr="005D6D89">
              <w:t xml:space="preserve"> report. </w:t>
            </w:r>
          </w:p>
        </w:tc>
      </w:tr>
      <w:tr w:rsidR="00D119CC" w:rsidRPr="005D6D89" w14:paraId="4ACCCC76" w14:textId="77777777" w:rsidTr="001A5168">
        <w:trPr>
          <w:trHeight w:val="1025"/>
        </w:trPr>
        <w:tc>
          <w:tcPr>
            <w:tcW w:w="1000" w:type="pct"/>
            <w:shd w:val="clear" w:color="auto" w:fill="auto"/>
            <w:tcMar>
              <w:top w:w="0" w:type="dxa"/>
            </w:tcMar>
          </w:tcPr>
          <w:p w14:paraId="5AE1EFEB" w14:textId="77777777" w:rsidR="00D119CC" w:rsidRPr="005D6D89" w:rsidRDefault="00D119CC" w:rsidP="00EA0EED">
            <w:pPr>
              <w:pStyle w:val="TableText"/>
            </w:pPr>
            <w:r w:rsidRPr="005D6D89">
              <w:t xml:space="preserve">Stage 3: Adaptation and decision urgency </w:t>
            </w:r>
          </w:p>
        </w:tc>
        <w:tc>
          <w:tcPr>
            <w:tcW w:w="1956" w:type="pct"/>
            <w:shd w:val="clear" w:color="auto" w:fill="auto"/>
            <w:tcMar>
              <w:top w:w="0" w:type="dxa"/>
            </w:tcMar>
          </w:tcPr>
          <w:p w14:paraId="28BDE782" w14:textId="77777777" w:rsidR="00D119CC" w:rsidRPr="005D6D89" w:rsidRDefault="00D119CC" w:rsidP="00EA0EED">
            <w:pPr>
              <w:pStyle w:val="TableText"/>
            </w:pPr>
            <w:r w:rsidRPr="005D6D89">
              <w:t>Assess current and planned adaptation to identify risks needing the most urgent action.</w:t>
            </w:r>
          </w:p>
        </w:tc>
        <w:tc>
          <w:tcPr>
            <w:tcW w:w="2044" w:type="pct"/>
            <w:shd w:val="clear" w:color="auto" w:fill="auto"/>
            <w:tcMar>
              <w:top w:w="0" w:type="dxa"/>
            </w:tcMar>
          </w:tcPr>
          <w:p w14:paraId="1867379A" w14:textId="77777777" w:rsidR="00D119CC" w:rsidRPr="005D6D89" w:rsidRDefault="00D119CC" w:rsidP="0011097C">
            <w:pPr>
              <w:pStyle w:val="TableText"/>
            </w:pPr>
            <w:r w:rsidRPr="005D6D89">
              <w:t xml:space="preserve">Contribute to prioritising the 10 most urgent risks to consider in the NAP. Documented in this </w:t>
            </w:r>
            <w:r w:rsidR="0011097C">
              <w:t>main</w:t>
            </w:r>
            <w:r w:rsidRPr="005D6D89">
              <w:t xml:space="preserve"> report. </w:t>
            </w:r>
          </w:p>
        </w:tc>
      </w:tr>
    </w:tbl>
    <w:p w14:paraId="2DCCA994" w14:textId="77777777" w:rsidR="00D119CC" w:rsidRPr="005D6D89" w:rsidRDefault="00D119CC" w:rsidP="00D119CC"/>
    <w:p w14:paraId="1F925D06" w14:textId="77777777" w:rsidR="00E40F24" w:rsidRPr="005D6D89" w:rsidRDefault="00E40F24" w:rsidP="00F13C55">
      <w:pPr>
        <w:sectPr w:rsidR="00E40F24" w:rsidRPr="005D6D89" w:rsidSect="00C02334">
          <w:pgSz w:w="11907" w:h="16840" w:code="9"/>
          <w:pgMar w:top="1134" w:right="1701" w:bottom="1134" w:left="1701" w:header="567" w:footer="567" w:gutter="0"/>
          <w:cols w:space="720"/>
          <w:docGrid w:linePitch="299"/>
        </w:sectPr>
      </w:pPr>
    </w:p>
    <w:p w14:paraId="4D0762E1" w14:textId="77777777" w:rsidR="00F13C55" w:rsidRPr="005D6D89" w:rsidRDefault="00705E3B" w:rsidP="00095C61">
      <w:pPr>
        <w:pStyle w:val="Figureheading"/>
        <w:rPr>
          <w:rStyle w:val="BodyTextChar"/>
        </w:rPr>
      </w:pPr>
      <w:bookmarkStart w:id="62" w:name="figure2"/>
      <w:bookmarkStart w:id="63" w:name="_Toc43312893"/>
      <w:r w:rsidRPr="005D6D89">
        <w:rPr>
          <w:rStyle w:val="BodyTextChar"/>
        </w:rPr>
        <w:t xml:space="preserve">Figure </w:t>
      </w:r>
      <w:r w:rsidR="00BE02B7" w:rsidRPr="005D6D89">
        <w:rPr>
          <w:rStyle w:val="BodyTextChar"/>
        </w:rPr>
        <w:t>2</w:t>
      </w:r>
      <w:bookmarkStart w:id="64" w:name="_Toc42783261"/>
      <w:bookmarkEnd w:id="62"/>
      <w:r w:rsidRPr="005D6D89">
        <w:rPr>
          <w:rStyle w:val="BodyTextChar"/>
        </w:rPr>
        <w:t>:</w:t>
      </w:r>
      <w:r w:rsidR="00B86206" w:rsidRPr="005D6D89">
        <w:rPr>
          <w:rStyle w:val="BodyTextChar"/>
        </w:rPr>
        <w:tab/>
        <w:t>NCCRA process</w:t>
      </w:r>
      <w:bookmarkEnd w:id="63"/>
      <w:bookmarkEnd w:id="64"/>
    </w:p>
    <w:p w14:paraId="2F693851" w14:textId="77777777" w:rsidR="0080544C" w:rsidRDefault="0080544C" w:rsidP="00B246A4">
      <w:pPr>
        <w:spacing w:before="0" w:after="0"/>
        <w:rPr>
          <w:noProof/>
        </w:rPr>
      </w:pPr>
    </w:p>
    <w:p w14:paraId="72A24873" w14:textId="77777777" w:rsidR="00B86206" w:rsidRPr="005D6D89" w:rsidRDefault="00E30BC0" w:rsidP="00B246A4">
      <w:pPr>
        <w:spacing w:before="0" w:after="0"/>
      </w:pPr>
      <w:r w:rsidRPr="005D6D89">
        <w:rPr>
          <w:noProof/>
        </w:rPr>
        <w:drawing>
          <wp:inline distT="0" distB="0" distL="0" distR="0" wp14:anchorId="14142207" wp14:editId="636A1D50">
            <wp:extent cx="11163935" cy="7762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_Final Report-corrected.jpg"/>
                    <pic:cNvPicPr/>
                  </pic:nvPicPr>
                  <pic:blipFill rotWithShape="1">
                    <a:blip r:embed="rId28" cstate="print">
                      <a:extLst>
                        <a:ext uri="{28A0092B-C50C-407E-A947-70E740481C1C}">
                          <a14:useLocalDpi xmlns:a14="http://schemas.microsoft.com/office/drawing/2010/main" val="0"/>
                        </a:ext>
                      </a:extLst>
                    </a:blip>
                    <a:srcRect l="2220" t="2400" r="1811" b="3219"/>
                    <a:stretch/>
                  </pic:blipFill>
                  <pic:spPr bwMode="auto">
                    <a:xfrm>
                      <a:off x="0" y="0"/>
                      <a:ext cx="11163935" cy="7762875"/>
                    </a:xfrm>
                    <a:prstGeom prst="rect">
                      <a:avLst/>
                    </a:prstGeom>
                    <a:ln>
                      <a:noFill/>
                    </a:ln>
                    <a:extLst>
                      <a:ext uri="{53640926-AAD7-44D8-BBD7-CCE9431645EC}">
                        <a14:shadowObscured xmlns:a14="http://schemas.microsoft.com/office/drawing/2010/main"/>
                      </a:ext>
                    </a:extLst>
                  </pic:spPr>
                </pic:pic>
              </a:graphicData>
            </a:graphic>
          </wp:inline>
        </w:drawing>
      </w:r>
    </w:p>
    <w:p w14:paraId="56C2597D" w14:textId="77777777" w:rsidR="00E40F24" w:rsidRPr="005D6D89" w:rsidRDefault="00E40F24" w:rsidP="00F13C55"/>
    <w:p w14:paraId="78EFF808" w14:textId="77777777" w:rsidR="00E40F24" w:rsidRPr="005D6D89" w:rsidRDefault="00E40F24" w:rsidP="0081219D">
      <w:pPr>
        <w:spacing w:before="0" w:after="0"/>
        <w:sectPr w:rsidR="00E40F24" w:rsidRPr="005D6D89" w:rsidSect="00C02334">
          <w:footerReference w:type="default" r:id="rId29"/>
          <w:pgSz w:w="23808" w:h="16840" w:orient="landscape" w:code="8"/>
          <w:pgMar w:top="1701" w:right="1134" w:bottom="1701" w:left="1134" w:header="567" w:footer="567" w:gutter="0"/>
          <w:cols w:space="720"/>
          <w:docGrid w:linePitch="299"/>
        </w:sectPr>
      </w:pPr>
    </w:p>
    <w:p w14:paraId="290B5321" w14:textId="77777777" w:rsidR="00A31F2D" w:rsidRPr="005D6D89" w:rsidRDefault="00A31F2D" w:rsidP="00036EDB">
      <w:pPr>
        <w:pStyle w:val="Heading3"/>
        <w:numPr>
          <w:ilvl w:val="0"/>
          <w:numId w:val="20"/>
        </w:numPr>
        <w:spacing w:before="0"/>
      </w:pPr>
      <w:bookmarkStart w:id="65" w:name="_The_NCCRA_framework"/>
      <w:bookmarkStart w:id="66" w:name="_Toc37090483"/>
      <w:bookmarkStart w:id="67" w:name="_Toc37255749"/>
      <w:bookmarkStart w:id="68" w:name="_Toc37393650"/>
      <w:bookmarkStart w:id="69" w:name="_Ref37666356"/>
      <w:bookmarkStart w:id="70" w:name="_Ref37666471"/>
      <w:bookmarkStart w:id="71" w:name="_Toc37784860"/>
      <w:bookmarkStart w:id="72" w:name="_Toc40699331"/>
      <w:bookmarkEnd w:id="65"/>
      <w:r w:rsidRPr="005D6D89">
        <w:t>The NCCRA framework</w:t>
      </w:r>
      <w:bookmarkEnd w:id="66"/>
      <w:bookmarkEnd w:id="67"/>
      <w:bookmarkEnd w:id="68"/>
      <w:bookmarkEnd w:id="69"/>
      <w:bookmarkEnd w:id="70"/>
      <w:bookmarkEnd w:id="71"/>
      <w:bookmarkEnd w:id="72"/>
    </w:p>
    <w:p w14:paraId="3280D528" w14:textId="77777777" w:rsidR="00A31F2D" w:rsidRPr="005D6D89" w:rsidRDefault="00A31F2D" w:rsidP="006215B8">
      <w:pPr>
        <w:pStyle w:val="BodyText"/>
      </w:pPr>
      <w:r w:rsidRPr="005D6D89">
        <w:t xml:space="preserve">The NCCRA framework formed the basis for the overall objectives, scope and method, including: </w:t>
      </w:r>
    </w:p>
    <w:p w14:paraId="137E33E7" w14:textId="77777777" w:rsidR="00A31F2D" w:rsidRPr="005D6D89" w:rsidRDefault="00A31F2D" w:rsidP="006215B8">
      <w:pPr>
        <w:pStyle w:val="Bullet"/>
      </w:pPr>
      <w:r w:rsidRPr="005D6D89">
        <w:t>engaging partners, stakeholders and communities</w:t>
      </w:r>
    </w:p>
    <w:p w14:paraId="6B99EC9F" w14:textId="77777777" w:rsidR="00A31F2D" w:rsidRPr="005D6D89" w:rsidRDefault="00A31F2D" w:rsidP="006215B8">
      <w:pPr>
        <w:pStyle w:val="Bullet"/>
      </w:pPr>
      <w:r w:rsidRPr="005D6D89">
        <w:t xml:space="preserve">assessing value domains </w:t>
      </w:r>
    </w:p>
    <w:p w14:paraId="0B178973" w14:textId="77777777" w:rsidR="00A31F2D" w:rsidRPr="005D6D89" w:rsidRDefault="00A31F2D" w:rsidP="006215B8">
      <w:pPr>
        <w:pStyle w:val="Bullet"/>
      </w:pPr>
      <w:r w:rsidRPr="005D6D89">
        <w:t>timeframes</w:t>
      </w:r>
    </w:p>
    <w:p w14:paraId="2100B3A8" w14:textId="77777777" w:rsidR="00A31F2D" w:rsidRPr="005D6D89" w:rsidRDefault="00A31F2D" w:rsidP="006215B8">
      <w:pPr>
        <w:pStyle w:val="Bullet"/>
      </w:pPr>
      <w:r w:rsidRPr="005D6D89">
        <w:t>climate projections</w:t>
      </w:r>
    </w:p>
    <w:p w14:paraId="32F8F452" w14:textId="77777777" w:rsidR="00A31F2D" w:rsidRPr="005D6D89" w:rsidRDefault="00A31F2D" w:rsidP="006215B8">
      <w:pPr>
        <w:pStyle w:val="Bullet"/>
      </w:pPr>
      <w:r w:rsidRPr="005D6D89">
        <w:t>scale</w:t>
      </w:r>
    </w:p>
    <w:p w14:paraId="13C1C1C9" w14:textId="77777777" w:rsidR="00A31F2D" w:rsidRPr="005D6D89" w:rsidRDefault="00A31F2D" w:rsidP="006215B8">
      <w:pPr>
        <w:pStyle w:val="Bullet"/>
      </w:pPr>
      <w:r w:rsidRPr="005D6D89">
        <w:t xml:space="preserve">climate change hazards </w:t>
      </w:r>
    </w:p>
    <w:p w14:paraId="0B340740" w14:textId="77777777" w:rsidR="00A31F2D" w:rsidRPr="005D6D89" w:rsidRDefault="00A31F2D" w:rsidP="006215B8">
      <w:pPr>
        <w:pStyle w:val="Bullet"/>
      </w:pPr>
      <w:r w:rsidRPr="005D6D89">
        <w:t xml:space="preserve">risk assessment criteria </w:t>
      </w:r>
    </w:p>
    <w:p w14:paraId="6606E3CF" w14:textId="77777777" w:rsidR="00A31F2D" w:rsidRPr="005D6D89" w:rsidRDefault="00A31F2D" w:rsidP="006215B8">
      <w:pPr>
        <w:pStyle w:val="Bullet"/>
      </w:pPr>
      <w:proofErr w:type="gramStart"/>
      <w:r w:rsidRPr="005D6D89">
        <w:t>guiding</w:t>
      </w:r>
      <w:proofErr w:type="gramEnd"/>
      <w:r w:rsidRPr="005D6D89">
        <w:t xml:space="preserve"> principles.</w:t>
      </w:r>
    </w:p>
    <w:p w14:paraId="315E79EE" w14:textId="4A5FCF3A" w:rsidR="00A31F2D" w:rsidRPr="005D6D89" w:rsidRDefault="00A31F2D" w:rsidP="006215B8">
      <w:pPr>
        <w:pStyle w:val="BodyText"/>
      </w:pPr>
      <w:bookmarkStart w:id="73" w:name="_Ref37317618"/>
      <w:bookmarkStart w:id="74" w:name="_Toc37072184"/>
      <w:bookmarkStart w:id="75" w:name="_Toc37240785"/>
      <w:r w:rsidRPr="005D6D89">
        <w:t xml:space="preserve">Table </w:t>
      </w:r>
      <w:proofErr w:type="gramStart"/>
      <w:r w:rsidR="00543147" w:rsidRPr="005D6D89">
        <w:t>5</w:t>
      </w:r>
      <w:proofErr w:type="gramEnd"/>
      <w:r w:rsidRPr="005D6D89">
        <w:t xml:space="preserve"> sets out these parameters. The NCCRA framework and the</w:t>
      </w:r>
      <w:hyperlink r:id="rId30" w:history="1">
        <w:r w:rsidRPr="005F460B">
          <w:rPr>
            <w:rStyle w:val="Hyperlink"/>
          </w:rPr>
          <w:t xml:space="preserve"> method report</w:t>
        </w:r>
      </w:hyperlink>
      <w:r w:rsidRPr="005D6D89">
        <w:t xml:space="preserve"> have further information</w:t>
      </w:r>
      <w:r w:rsidRPr="005D6D89">
        <w:rPr>
          <w:i/>
        </w:rPr>
        <w:t>.</w:t>
      </w:r>
    </w:p>
    <w:p w14:paraId="1078715C" w14:textId="77777777" w:rsidR="00A31F2D" w:rsidRPr="005D6D89" w:rsidRDefault="00A31F2D" w:rsidP="00E32D45">
      <w:pPr>
        <w:pStyle w:val="Tableheading"/>
      </w:pPr>
      <w:bookmarkStart w:id="76" w:name="_Ref37426936"/>
      <w:bookmarkStart w:id="77" w:name="_Toc40699397"/>
      <w:bookmarkStart w:id="78" w:name="_Toc43312799"/>
      <w:r w:rsidRPr="005D6D89">
        <w:t xml:space="preserve">Table </w:t>
      </w:r>
      <w:bookmarkEnd w:id="73"/>
      <w:bookmarkEnd w:id="76"/>
      <w:r w:rsidR="00543147" w:rsidRPr="005D6D89">
        <w:t>5</w:t>
      </w:r>
      <w:r w:rsidR="00AC5594" w:rsidRPr="005D6D89">
        <w:t>:</w:t>
      </w:r>
      <w:r w:rsidRPr="005D6D89">
        <w:tab/>
        <w:t>NCCRA framework</w:t>
      </w:r>
      <w:bookmarkEnd w:id="74"/>
      <w:bookmarkEnd w:id="75"/>
      <w:bookmarkEnd w:id="77"/>
      <w:r w:rsidRPr="005D6D89">
        <w:t>: key parameters</w:t>
      </w:r>
      <w:bookmarkEnd w:id="78"/>
    </w:p>
    <w:tbl>
      <w:tblPr>
        <w:tblW w:w="8505" w:type="dxa"/>
        <w:tblInd w:w="10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1842"/>
        <w:gridCol w:w="6663"/>
      </w:tblGrid>
      <w:tr w:rsidR="00251B33" w:rsidRPr="005D6D89" w14:paraId="00298CB1" w14:textId="77777777" w:rsidTr="00F068B4">
        <w:trPr>
          <w:tblHeader/>
        </w:trPr>
        <w:tc>
          <w:tcPr>
            <w:tcW w:w="1083" w:type="pct"/>
            <w:shd w:val="clear" w:color="auto" w:fill="1C556C" w:themeFill="accent1"/>
            <w:tcMar>
              <w:top w:w="0" w:type="dxa"/>
            </w:tcMar>
            <w:vAlign w:val="center"/>
          </w:tcPr>
          <w:p w14:paraId="77A19E5A" w14:textId="77777777" w:rsidR="00A31F2D" w:rsidRPr="005D6D89" w:rsidRDefault="00A31F2D" w:rsidP="009003D2">
            <w:pPr>
              <w:pStyle w:val="TableTextBold0"/>
              <w:rPr>
                <w:color w:val="FFFFFF" w:themeColor="background1"/>
              </w:rPr>
            </w:pPr>
            <w:r w:rsidRPr="005D6D89">
              <w:rPr>
                <w:color w:val="FFFFFF" w:themeColor="background1"/>
              </w:rPr>
              <w:t xml:space="preserve">Parameter </w:t>
            </w:r>
          </w:p>
        </w:tc>
        <w:tc>
          <w:tcPr>
            <w:tcW w:w="3917" w:type="pct"/>
            <w:shd w:val="clear" w:color="auto" w:fill="1C556C" w:themeFill="accent1"/>
            <w:tcMar>
              <w:top w:w="0" w:type="dxa"/>
            </w:tcMar>
            <w:vAlign w:val="center"/>
          </w:tcPr>
          <w:p w14:paraId="0E44CAED" w14:textId="77777777" w:rsidR="00A31F2D" w:rsidRPr="005D6D89" w:rsidRDefault="00A31F2D" w:rsidP="009003D2">
            <w:pPr>
              <w:pStyle w:val="TableTextBold0"/>
              <w:rPr>
                <w:color w:val="FFFFFF" w:themeColor="background1"/>
              </w:rPr>
            </w:pPr>
            <w:r w:rsidRPr="005D6D89">
              <w:rPr>
                <w:color w:val="FFFFFF" w:themeColor="background1"/>
              </w:rPr>
              <w:t>Description</w:t>
            </w:r>
          </w:p>
        </w:tc>
      </w:tr>
      <w:tr w:rsidR="00A31F2D" w:rsidRPr="005D6D89" w14:paraId="17DB3EFC" w14:textId="77777777" w:rsidTr="00F068B4">
        <w:tc>
          <w:tcPr>
            <w:tcW w:w="1083" w:type="pct"/>
            <w:shd w:val="clear" w:color="auto" w:fill="auto"/>
            <w:tcMar>
              <w:top w:w="0" w:type="dxa"/>
            </w:tcMar>
          </w:tcPr>
          <w:p w14:paraId="55070451" w14:textId="77777777" w:rsidR="00A31F2D" w:rsidRPr="005D6D89" w:rsidRDefault="00A31F2D" w:rsidP="00251B33">
            <w:pPr>
              <w:pStyle w:val="TableText"/>
            </w:pPr>
            <w:r w:rsidRPr="005D6D89">
              <w:t>Partners, stakeholders and communities</w:t>
            </w:r>
          </w:p>
        </w:tc>
        <w:tc>
          <w:tcPr>
            <w:tcW w:w="3917" w:type="pct"/>
            <w:shd w:val="clear" w:color="auto" w:fill="auto"/>
            <w:tcMar>
              <w:top w:w="0" w:type="dxa"/>
            </w:tcMar>
          </w:tcPr>
          <w:p w14:paraId="093D831A" w14:textId="2E96F265" w:rsidR="00A31F2D" w:rsidRPr="005D6D89" w:rsidRDefault="00A31F2D" w:rsidP="00C35255">
            <w:pPr>
              <w:pStyle w:val="TableText"/>
            </w:pPr>
            <w:r w:rsidRPr="005D6D89">
              <w:t xml:space="preserve">The NCCRA engaged a range of stakeholders and communities along with </w:t>
            </w:r>
            <w:r w:rsidRPr="005D6D89">
              <w:rPr>
                <w:rFonts w:cs="Arial"/>
              </w:rPr>
              <w:t>Māori</w:t>
            </w:r>
            <w:r w:rsidRPr="005D6D89">
              <w:t xml:space="preserve"> as Partners with the Crown, who provided input into every stage of the assessment. </w:t>
            </w:r>
            <w:r w:rsidRPr="005D6D89">
              <w:rPr>
                <w:rFonts w:asciiTheme="minorHAnsi" w:hAnsiTheme="minorHAnsi" w:cstheme="minorHAnsi"/>
              </w:rPr>
              <w:t xml:space="preserve">See </w:t>
            </w:r>
            <w:hyperlink w:anchor="_Te_Ao_Māori" w:history="1">
              <w:r w:rsidRPr="000A2C3F">
                <w:rPr>
                  <w:rStyle w:val="Hyperlink"/>
                  <w:rFonts w:asciiTheme="minorHAnsi" w:hAnsiTheme="minorHAnsi" w:cstheme="minorHAnsi"/>
                </w:rPr>
                <w:t>s</w:t>
              </w:r>
              <w:r w:rsidRPr="000A2C3F">
                <w:rPr>
                  <w:rStyle w:val="Hyperlink"/>
                </w:rPr>
                <w:t>ection 3</w:t>
              </w:r>
            </w:hyperlink>
            <w:r w:rsidRPr="005D6D89">
              <w:t xml:space="preserve"> and </w:t>
            </w:r>
            <w:hyperlink r:id="rId31" w:history="1">
              <w:r w:rsidRPr="005F460B">
                <w:rPr>
                  <w:rStyle w:val="Hyperlink"/>
                </w:rPr>
                <w:t>the method report</w:t>
              </w:r>
            </w:hyperlink>
            <w:r w:rsidRPr="005D6D89">
              <w:rPr>
                <w:i/>
              </w:rPr>
              <w:t xml:space="preserve"> </w:t>
            </w:r>
            <w:r w:rsidRPr="005D6D89">
              <w:t>for further detail.</w:t>
            </w:r>
          </w:p>
        </w:tc>
      </w:tr>
      <w:tr w:rsidR="00A31F2D" w:rsidRPr="005D6D89" w14:paraId="315483F7" w14:textId="77777777" w:rsidTr="00F068B4">
        <w:tc>
          <w:tcPr>
            <w:tcW w:w="1083" w:type="pct"/>
            <w:shd w:val="clear" w:color="auto" w:fill="auto"/>
            <w:tcMar>
              <w:top w:w="0" w:type="dxa"/>
            </w:tcMar>
          </w:tcPr>
          <w:p w14:paraId="510C0869" w14:textId="77777777" w:rsidR="00A31F2D" w:rsidRPr="005D6D89" w:rsidRDefault="00A31F2D" w:rsidP="00C35255">
            <w:pPr>
              <w:pStyle w:val="TableText"/>
            </w:pPr>
            <w:r w:rsidRPr="005D6D89">
              <w:t xml:space="preserve">Value domains </w:t>
            </w:r>
          </w:p>
        </w:tc>
        <w:tc>
          <w:tcPr>
            <w:tcW w:w="3917" w:type="pct"/>
            <w:shd w:val="clear" w:color="auto" w:fill="auto"/>
            <w:tcMar>
              <w:top w:w="0" w:type="dxa"/>
            </w:tcMar>
          </w:tcPr>
          <w:p w14:paraId="55AB8D31" w14:textId="77777777" w:rsidR="00A31F2D" w:rsidRPr="005D6D89" w:rsidRDefault="00A31F2D" w:rsidP="00251B33">
            <w:pPr>
              <w:pStyle w:val="TableText"/>
              <w:rPr>
                <w:lang w:eastAsia="en-AU"/>
              </w:rPr>
            </w:pPr>
            <w:r w:rsidRPr="005D6D89">
              <w:rPr>
                <w:lang w:eastAsia="en-AU"/>
              </w:rPr>
              <w:t xml:space="preserve">The NCCRA framework outlines five </w:t>
            </w:r>
            <w:r w:rsidR="001200EA">
              <w:rPr>
                <w:lang w:eastAsia="en-AU"/>
              </w:rPr>
              <w:t>‘</w:t>
            </w:r>
            <w:r w:rsidRPr="005D6D89">
              <w:rPr>
                <w:lang w:eastAsia="en-AU"/>
              </w:rPr>
              <w:t>value domains</w:t>
            </w:r>
            <w:r w:rsidR="001200EA">
              <w:rPr>
                <w:lang w:eastAsia="en-AU"/>
              </w:rPr>
              <w:t>’</w:t>
            </w:r>
            <w:r w:rsidRPr="005D6D89">
              <w:rPr>
                <w:lang w:eastAsia="en-AU"/>
              </w:rPr>
              <w:t xml:space="preserve"> for assessing risks and opportunities: natural environment, human, economy, built environment and governance. They represent </w:t>
            </w:r>
            <w:r w:rsidRPr="005D6D89">
              <w:t>groups</w:t>
            </w:r>
            <w:r w:rsidRPr="005D6D89">
              <w:rPr>
                <w:lang w:eastAsia="en-AU"/>
              </w:rPr>
              <w:t xml:space="preserve"> of values, assets and systems that may be at risk from climate-related hazards, or that could benefit. Each domain can be broken down into </w:t>
            </w:r>
            <w:r w:rsidR="001200EA">
              <w:rPr>
                <w:lang w:eastAsia="en-AU"/>
              </w:rPr>
              <w:t>‘</w:t>
            </w:r>
            <w:r w:rsidRPr="005D6D89">
              <w:rPr>
                <w:lang w:eastAsia="en-AU"/>
              </w:rPr>
              <w:t>elements at risk,</w:t>
            </w:r>
            <w:r w:rsidR="001200EA">
              <w:rPr>
                <w:lang w:eastAsia="en-AU"/>
              </w:rPr>
              <w:t>’</w:t>
            </w:r>
            <w:r w:rsidRPr="005D6D89">
              <w:rPr>
                <w:lang w:eastAsia="en-AU"/>
              </w:rPr>
              <w:t xml:space="preserve"> See </w:t>
            </w:r>
            <w:hyperlink w:anchor="_Value_domains" w:history="1">
              <w:r w:rsidRPr="000A2C3F">
                <w:rPr>
                  <w:rStyle w:val="Hyperlink"/>
                  <w:lang w:eastAsia="en-AU"/>
                </w:rPr>
                <w:t xml:space="preserve">section </w:t>
              </w:r>
              <w:r w:rsidR="000A2C3F" w:rsidRPr="000A2C3F">
                <w:rPr>
                  <w:rStyle w:val="Hyperlink"/>
                  <w:lang w:eastAsia="en-AU"/>
                </w:rPr>
                <w:t>2.3.1</w:t>
              </w:r>
            </w:hyperlink>
            <w:r w:rsidRPr="005D6D89">
              <w:rPr>
                <w:lang w:eastAsia="en-AU"/>
              </w:rPr>
              <w:t xml:space="preserve"> for further detail.</w:t>
            </w:r>
            <w:r w:rsidR="00027F9F" w:rsidRPr="005D6D89">
              <w:rPr>
                <w:lang w:eastAsia="en-AU"/>
              </w:rPr>
              <w:t xml:space="preserve"> </w:t>
            </w:r>
          </w:p>
        </w:tc>
      </w:tr>
      <w:tr w:rsidR="00A31F2D" w:rsidRPr="005D6D89" w14:paraId="30115557" w14:textId="77777777" w:rsidTr="00F068B4">
        <w:tc>
          <w:tcPr>
            <w:tcW w:w="1083" w:type="pct"/>
            <w:shd w:val="clear" w:color="auto" w:fill="auto"/>
            <w:tcMar>
              <w:top w:w="0" w:type="dxa"/>
            </w:tcMar>
          </w:tcPr>
          <w:p w14:paraId="12577B8A" w14:textId="77777777" w:rsidR="00A31F2D" w:rsidRPr="005D6D89" w:rsidRDefault="00A31F2D" w:rsidP="00C35255">
            <w:pPr>
              <w:pStyle w:val="TableText"/>
            </w:pPr>
            <w:r w:rsidRPr="005D6D89">
              <w:t xml:space="preserve">Timeframes for assessing risks </w:t>
            </w:r>
          </w:p>
        </w:tc>
        <w:tc>
          <w:tcPr>
            <w:tcW w:w="3917" w:type="pct"/>
            <w:shd w:val="clear" w:color="auto" w:fill="auto"/>
          </w:tcPr>
          <w:p w14:paraId="412B2AAF" w14:textId="77777777" w:rsidR="00A31F2D" w:rsidRPr="005D6D89" w:rsidRDefault="00A31F2D" w:rsidP="00251B33">
            <w:pPr>
              <w:pStyle w:val="TableText"/>
            </w:pPr>
            <w:r w:rsidRPr="005D6D89">
              <w:t>The NCCRA considers risks to New Zealand arising from climate change in the present day (risks already occurring, including those observed over the past 10 to 20 years), near term (projected to manifest around 2050) and long term (projected</w:t>
            </w:r>
            <w:r w:rsidR="005F23B9">
              <w:t xml:space="preserve"> to manifest around 2100). The S</w:t>
            </w:r>
            <w:r w:rsidRPr="005D6D89">
              <w:t>tage 2 assessment also considered risks to coastal hazards and sea-level rise, projected to manifest around 2150.</w:t>
            </w:r>
          </w:p>
        </w:tc>
      </w:tr>
      <w:tr w:rsidR="00A31F2D" w:rsidRPr="005D6D89" w14:paraId="2C506678" w14:textId="77777777" w:rsidTr="00F068B4">
        <w:tc>
          <w:tcPr>
            <w:tcW w:w="1083" w:type="pct"/>
            <w:shd w:val="clear" w:color="auto" w:fill="auto"/>
            <w:tcMar>
              <w:top w:w="0" w:type="dxa"/>
            </w:tcMar>
          </w:tcPr>
          <w:p w14:paraId="2403B550" w14:textId="77777777" w:rsidR="00A31F2D" w:rsidRPr="005D6D89" w:rsidRDefault="00A31F2D" w:rsidP="00C35255">
            <w:pPr>
              <w:pStyle w:val="TableText"/>
            </w:pPr>
            <w:r w:rsidRPr="005D6D89">
              <w:t>Climate change projections and RCPS</w:t>
            </w:r>
          </w:p>
        </w:tc>
        <w:tc>
          <w:tcPr>
            <w:tcW w:w="3917" w:type="pct"/>
            <w:shd w:val="clear" w:color="auto" w:fill="auto"/>
          </w:tcPr>
          <w:p w14:paraId="3D4F7536" w14:textId="77777777" w:rsidR="00A31F2D" w:rsidRPr="005D6D89" w:rsidRDefault="00A31F2D" w:rsidP="00251B33">
            <w:pPr>
              <w:pStyle w:val="TableText"/>
              <w:rPr>
                <w:lang w:eastAsia="en-AU"/>
              </w:rPr>
            </w:pPr>
            <w:r w:rsidRPr="005D6D89">
              <w:rPr>
                <w:lang w:eastAsia="en-AU"/>
              </w:rPr>
              <w:t xml:space="preserve">Risks and opportunities have been analysed for projections of climate change, reflecting different possible futures. The NCCRA </w:t>
            </w:r>
            <w:r w:rsidRPr="005D6D89">
              <w:t>considers</w:t>
            </w:r>
            <w:r w:rsidRPr="005D6D89">
              <w:rPr>
                <w:lang w:eastAsia="en-AU"/>
              </w:rPr>
              <w:t xml:space="preserve"> RCP8.5, a high-emissions pathway, and RPC4.5, a medium-low emissions pathway. See </w:t>
            </w:r>
            <w:hyperlink w:anchor="box1" w:history="1">
              <w:r w:rsidR="00034C37">
                <w:rPr>
                  <w:rStyle w:val="Hyperlink"/>
                  <w:lang w:eastAsia="en-AU"/>
                </w:rPr>
                <w:t>b</w:t>
              </w:r>
              <w:r w:rsidRPr="005D6D89">
                <w:rPr>
                  <w:rStyle w:val="Hyperlink"/>
                  <w:lang w:eastAsia="en-AU"/>
                </w:rPr>
                <w:t>ox 1</w:t>
              </w:r>
            </w:hyperlink>
            <w:r w:rsidRPr="005D6D89">
              <w:rPr>
                <w:lang w:eastAsia="en-AU"/>
              </w:rPr>
              <w:t xml:space="preserve"> below. </w:t>
            </w:r>
          </w:p>
        </w:tc>
      </w:tr>
      <w:tr w:rsidR="00A31F2D" w:rsidRPr="005D6D89" w14:paraId="4FE7BF71" w14:textId="77777777" w:rsidTr="00F068B4">
        <w:tc>
          <w:tcPr>
            <w:tcW w:w="1083" w:type="pct"/>
            <w:shd w:val="clear" w:color="auto" w:fill="auto"/>
            <w:tcMar>
              <w:top w:w="0" w:type="dxa"/>
            </w:tcMar>
          </w:tcPr>
          <w:p w14:paraId="2377D8DF" w14:textId="77777777" w:rsidR="00A31F2D" w:rsidRPr="005D6D89" w:rsidRDefault="00A31F2D" w:rsidP="00C35255">
            <w:pPr>
              <w:pStyle w:val="TableText"/>
            </w:pPr>
            <w:r w:rsidRPr="005D6D89">
              <w:t xml:space="preserve">Scale </w:t>
            </w:r>
          </w:p>
        </w:tc>
        <w:tc>
          <w:tcPr>
            <w:tcW w:w="3917" w:type="pct"/>
            <w:shd w:val="clear" w:color="auto" w:fill="auto"/>
          </w:tcPr>
          <w:p w14:paraId="47C79D3B" w14:textId="3A55F853" w:rsidR="00A31F2D" w:rsidRPr="005D6D89" w:rsidRDefault="00A31F2D" w:rsidP="0023652B">
            <w:pPr>
              <w:pStyle w:val="TableText"/>
              <w:rPr>
                <w:lang w:eastAsia="en-AU"/>
              </w:rPr>
            </w:pPr>
            <w:r w:rsidRPr="005D6D89">
              <w:rPr>
                <w:lang w:eastAsia="en-AU"/>
              </w:rPr>
              <w:t xml:space="preserve">The NCCRA is a national-scale assessment. The consultants considered variation in projections </w:t>
            </w:r>
            <w:r w:rsidRPr="005D6D89">
              <w:t>across</w:t>
            </w:r>
            <w:r w:rsidRPr="005D6D89">
              <w:rPr>
                <w:lang w:eastAsia="en-AU"/>
              </w:rPr>
              <w:t xml:space="preserve"> seven sub-national climate zones. See </w:t>
            </w:r>
            <w:hyperlink w:anchor="_National_assessment" w:history="1">
              <w:r w:rsidRPr="00E9049F">
                <w:rPr>
                  <w:rStyle w:val="Hyperlink"/>
                  <w:lang w:eastAsia="en-AU"/>
                </w:rPr>
                <w:t xml:space="preserve">section </w:t>
              </w:r>
              <w:r w:rsidR="00E9049F" w:rsidRPr="00E9049F">
                <w:rPr>
                  <w:rStyle w:val="Hyperlink"/>
                  <w:lang w:eastAsia="en-AU"/>
                </w:rPr>
                <w:t>2.2.3</w:t>
              </w:r>
            </w:hyperlink>
            <w:r w:rsidRPr="005D6D89">
              <w:rPr>
                <w:lang w:eastAsia="en-AU"/>
              </w:rPr>
              <w:t xml:space="preserve"> and </w:t>
            </w:r>
            <w:hyperlink r:id="rId32" w:history="1">
              <w:r w:rsidR="005F460B" w:rsidRPr="005F460B">
                <w:rPr>
                  <w:rStyle w:val="Hyperlink"/>
                </w:rPr>
                <w:t>the method report</w:t>
              </w:r>
            </w:hyperlink>
            <w:r w:rsidRPr="005D6D89">
              <w:rPr>
                <w:i/>
              </w:rPr>
              <w:t xml:space="preserve"> </w:t>
            </w:r>
            <w:r w:rsidRPr="005D6D89">
              <w:t>for further discussion.</w:t>
            </w:r>
          </w:p>
        </w:tc>
      </w:tr>
      <w:tr w:rsidR="00A31F2D" w:rsidRPr="005D6D89" w14:paraId="7BC2E3BC" w14:textId="77777777" w:rsidTr="00F068B4">
        <w:tc>
          <w:tcPr>
            <w:tcW w:w="1083" w:type="pct"/>
            <w:shd w:val="clear" w:color="auto" w:fill="auto"/>
            <w:tcMar>
              <w:top w:w="0" w:type="dxa"/>
            </w:tcMar>
          </w:tcPr>
          <w:p w14:paraId="08A8382F" w14:textId="77777777" w:rsidR="00A31F2D" w:rsidRPr="005D6D89" w:rsidRDefault="00A31F2D" w:rsidP="00C35255">
            <w:pPr>
              <w:pStyle w:val="TableText"/>
            </w:pPr>
            <w:r w:rsidRPr="005D6D89">
              <w:t xml:space="preserve">Climate change hazards </w:t>
            </w:r>
          </w:p>
        </w:tc>
        <w:tc>
          <w:tcPr>
            <w:tcW w:w="3917" w:type="pct"/>
            <w:shd w:val="clear" w:color="auto" w:fill="auto"/>
          </w:tcPr>
          <w:p w14:paraId="3880064B" w14:textId="77777777" w:rsidR="00A31F2D" w:rsidRPr="005D6D89" w:rsidRDefault="00A31F2D" w:rsidP="00C35255">
            <w:pPr>
              <w:pStyle w:val="TableText"/>
            </w:pPr>
            <w:r w:rsidRPr="005D6D89">
              <w:t xml:space="preserve">Hazards can be: </w:t>
            </w:r>
          </w:p>
          <w:p w14:paraId="227E2CF6" w14:textId="77777777" w:rsidR="00A31F2D" w:rsidRPr="005D6D89" w:rsidRDefault="00A31F2D" w:rsidP="00251B33">
            <w:pPr>
              <w:pStyle w:val="TableBullet"/>
            </w:pPr>
            <w:r w:rsidRPr="005D6D89">
              <w:t xml:space="preserve">a change in magnitude, persistence and frequency of natural hazard events, such as more intense short-duration rainfall, or </w:t>
            </w:r>
          </w:p>
          <w:p w14:paraId="5D8F984E" w14:textId="77777777" w:rsidR="00A31F2D" w:rsidRPr="005D6D89" w:rsidRDefault="00A31F2D" w:rsidP="00251B33">
            <w:pPr>
              <w:pStyle w:val="TableBullet"/>
            </w:pPr>
            <w:proofErr w:type="gramStart"/>
            <w:r w:rsidRPr="005D6D89">
              <w:t>a</w:t>
            </w:r>
            <w:proofErr w:type="gramEnd"/>
            <w:r w:rsidRPr="005D6D89">
              <w:t xml:space="preserve"> </w:t>
            </w:r>
            <w:r w:rsidR="001200EA">
              <w:t>‘</w:t>
            </w:r>
            <w:r w:rsidRPr="005D6D89">
              <w:t>stressor</w:t>
            </w:r>
            <w:r w:rsidR="001200EA">
              <w:t>’</w:t>
            </w:r>
            <w:r w:rsidRPr="005D6D89">
              <w:t xml:space="preserve"> or </w:t>
            </w:r>
            <w:r w:rsidR="001200EA">
              <w:t>‘</w:t>
            </w:r>
            <w:r w:rsidRPr="005D6D89">
              <w:t>trend</w:t>
            </w:r>
            <w:r w:rsidR="001200EA">
              <w:t>’</w:t>
            </w:r>
            <w:r w:rsidRPr="005D6D89">
              <w:t xml:space="preserve"> in climatic conditions. </w:t>
            </w:r>
          </w:p>
          <w:p w14:paraId="68D2D85A" w14:textId="77777777" w:rsidR="00A31F2D" w:rsidRPr="005D6D89" w:rsidRDefault="00A31F2D" w:rsidP="00C35255">
            <w:pPr>
              <w:pStyle w:val="TableText"/>
            </w:pPr>
            <w:r w:rsidRPr="005D6D89">
              <w:t>NIWA provided information on hazards and their direction of change over the NCCRA timeframe, based on regional projections.</w:t>
            </w:r>
          </w:p>
        </w:tc>
      </w:tr>
      <w:tr w:rsidR="00A31F2D" w:rsidRPr="005D6D89" w14:paraId="3B2F6ABC" w14:textId="77777777" w:rsidTr="00F068B4">
        <w:tc>
          <w:tcPr>
            <w:tcW w:w="1083" w:type="pct"/>
            <w:shd w:val="clear" w:color="auto" w:fill="auto"/>
            <w:tcMar>
              <w:top w:w="0" w:type="dxa"/>
            </w:tcMar>
          </w:tcPr>
          <w:p w14:paraId="7EA7AAD7" w14:textId="77777777" w:rsidR="00A31F2D" w:rsidRPr="005D6D89" w:rsidRDefault="00A31F2D" w:rsidP="00C35255">
            <w:pPr>
              <w:pStyle w:val="TableText"/>
            </w:pPr>
            <w:r w:rsidRPr="005D6D89">
              <w:t xml:space="preserve">Risk and assessment criteria </w:t>
            </w:r>
          </w:p>
        </w:tc>
        <w:tc>
          <w:tcPr>
            <w:tcW w:w="3917" w:type="pct"/>
            <w:shd w:val="clear" w:color="auto" w:fill="auto"/>
          </w:tcPr>
          <w:p w14:paraId="0151EA94" w14:textId="77777777" w:rsidR="006C0E4E" w:rsidRPr="005D6D89" w:rsidRDefault="00A31F2D" w:rsidP="00C35255">
            <w:pPr>
              <w:pStyle w:val="TableText"/>
            </w:pPr>
            <w:proofErr w:type="gramStart"/>
            <w:r w:rsidRPr="005D6D89">
              <w:t>Climate change risk assessment</w:t>
            </w:r>
            <w:proofErr w:type="gramEnd"/>
            <w:r w:rsidRPr="005D6D89">
              <w:t xml:space="preserve"> requires more emphasis on consequences than on likelihood. Risk </w:t>
            </w:r>
            <w:proofErr w:type="gramStart"/>
            <w:r w:rsidRPr="005D6D89">
              <w:t>is framed</w:t>
            </w:r>
            <w:proofErr w:type="gramEnd"/>
            <w:r w:rsidRPr="005D6D89">
              <w:t xml:space="preserve"> using the elements of hazard, exposure and vulnerability, with the overlap defining the risk. Risk is a function of climate hazards, the degree to which values </w:t>
            </w:r>
            <w:proofErr w:type="gramStart"/>
            <w:r w:rsidRPr="005D6D89">
              <w:t>are exposed</w:t>
            </w:r>
            <w:proofErr w:type="gramEnd"/>
            <w:r w:rsidRPr="005D6D89">
              <w:t xml:space="preserve"> to the hazard and their vulnerability to its effects (Ministry for the Environment, 2019). </w:t>
            </w:r>
          </w:p>
          <w:p w14:paraId="3EA0D59B" w14:textId="77777777" w:rsidR="00A31F2D" w:rsidRPr="005D6D89" w:rsidRDefault="00A31F2D" w:rsidP="00C35255">
            <w:pPr>
              <w:pStyle w:val="TableText"/>
            </w:pPr>
            <w:r w:rsidRPr="005D6D89">
              <w:t>Risks were rated using magnitude of consequence criteria developed for this assessment. Each risk</w:t>
            </w:r>
            <w:r w:rsidR="001200EA">
              <w:t>’</w:t>
            </w:r>
            <w:r w:rsidRPr="005D6D89">
              <w:t xml:space="preserve">s exposure and vulnerability (sensitivity and adaptive capacity) </w:t>
            </w:r>
            <w:proofErr w:type="gramStart"/>
            <w:r w:rsidRPr="005D6D89">
              <w:t>was also rated</w:t>
            </w:r>
            <w:proofErr w:type="gramEnd"/>
            <w:r w:rsidRPr="005D6D89">
              <w:t xml:space="preserve"> using criteria developed for this assessment. Finally, the assessment rates the risks for decision urgency to signal the need for adaptation action, using criteria developed for this assessment. </w:t>
            </w:r>
          </w:p>
        </w:tc>
      </w:tr>
      <w:tr w:rsidR="00A31F2D" w:rsidRPr="005D6D89" w14:paraId="0597F26F" w14:textId="77777777" w:rsidTr="00F068B4">
        <w:tc>
          <w:tcPr>
            <w:tcW w:w="1083" w:type="pct"/>
            <w:shd w:val="clear" w:color="auto" w:fill="auto"/>
            <w:tcMar>
              <w:top w:w="0" w:type="dxa"/>
            </w:tcMar>
          </w:tcPr>
          <w:p w14:paraId="251E81EB" w14:textId="77777777" w:rsidR="00A31F2D" w:rsidRPr="005D6D89" w:rsidRDefault="00A31F2D" w:rsidP="00C35255">
            <w:pPr>
              <w:pStyle w:val="TableText"/>
            </w:pPr>
            <w:r w:rsidRPr="005D6D89">
              <w:t xml:space="preserve">Urgency </w:t>
            </w:r>
          </w:p>
        </w:tc>
        <w:tc>
          <w:tcPr>
            <w:tcW w:w="3917" w:type="pct"/>
            <w:shd w:val="clear" w:color="auto" w:fill="auto"/>
          </w:tcPr>
          <w:p w14:paraId="1E6AE320" w14:textId="77777777" w:rsidR="00A31F2D" w:rsidRPr="005D6D89" w:rsidRDefault="00A31F2D" w:rsidP="00C35255">
            <w:pPr>
              <w:pStyle w:val="TableText"/>
            </w:pPr>
            <w:r w:rsidRPr="005D6D89">
              <w:t xml:space="preserve">The NCCRA uses the concept of adaptation decision urgency to summarise findings of the analysis and to inform the NAP. The NCCRA framework adopted the urgency categories from the </w:t>
            </w:r>
            <w:r w:rsidRPr="005D6D89">
              <w:rPr>
                <w:i/>
              </w:rPr>
              <w:t>2017 UK Climate Change Risk Assessment</w:t>
            </w:r>
            <w:r w:rsidRPr="005D6D89">
              <w:t xml:space="preserve"> (UK CCRA 2) (Committee on Climate Change, 2017). The UK criteria were adapted to the New Zealand context. </w:t>
            </w:r>
            <w:hyperlink w:anchor="_Stage_3:_Adaptation" w:history="1">
              <w:r w:rsidRPr="000A54BC">
                <w:rPr>
                  <w:rStyle w:val="Hyperlink"/>
                </w:rPr>
                <w:t xml:space="preserve">Section </w:t>
              </w:r>
              <w:r w:rsidR="00E9049F" w:rsidRPr="000A54BC">
                <w:rPr>
                  <w:rStyle w:val="Hyperlink"/>
                </w:rPr>
                <w:t>2.1.4</w:t>
              </w:r>
            </w:hyperlink>
            <w:r w:rsidRPr="005D6D89">
              <w:t xml:space="preserve"> has further information.</w:t>
            </w:r>
          </w:p>
        </w:tc>
      </w:tr>
    </w:tbl>
    <w:p w14:paraId="313C3B75" w14:textId="77777777" w:rsidR="00A31F2D" w:rsidRPr="005D6D89" w:rsidRDefault="00A31F2D" w:rsidP="005E6626">
      <w:pPr>
        <w:spacing w:before="0" w:after="0"/>
      </w:pPr>
    </w:p>
    <w:p w14:paraId="6EC1B4A5" w14:textId="77777777" w:rsidR="0079247F" w:rsidRPr="005D6D89" w:rsidRDefault="0079247F" w:rsidP="00E32D45">
      <w:pPr>
        <w:pStyle w:val="Boxheadings"/>
      </w:pPr>
      <w:bookmarkStart w:id="79" w:name="box1"/>
      <w:bookmarkStart w:id="80" w:name="_Toc43201224"/>
      <w:r w:rsidRPr="005D6D89">
        <w:t>Box 1</w:t>
      </w:r>
      <w:bookmarkEnd w:id="79"/>
      <w:r w:rsidR="005F23B9">
        <w:t xml:space="preserve">: </w:t>
      </w:r>
      <w:r w:rsidR="005F23B9">
        <w:tab/>
        <w:t>Representative concentration p</w:t>
      </w:r>
      <w:r w:rsidRPr="005D6D89">
        <w:t>athways</w:t>
      </w:r>
      <w:bookmarkEnd w:id="80"/>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814C7" w:rsidRPr="005D6D89" w14:paraId="10A59A83" w14:textId="77777777" w:rsidTr="00C35255">
        <w:tc>
          <w:tcPr>
            <w:tcW w:w="0" w:type="auto"/>
            <w:shd w:val="clear" w:color="auto" w:fill="D2DDE2"/>
          </w:tcPr>
          <w:p w14:paraId="183C002D" w14:textId="77777777" w:rsidR="00642362" w:rsidRPr="005D6D89" w:rsidRDefault="005F23B9" w:rsidP="0079247F">
            <w:pPr>
              <w:pStyle w:val="Blueboxheading"/>
              <w:spacing w:after="120"/>
            </w:pPr>
            <w:r>
              <w:t>Representative concentration p</w:t>
            </w:r>
            <w:r w:rsidR="00642362" w:rsidRPr="005D6D89">
              <w:t xml:space="preserve">athways (RCPs) </w:t>
            </w:r>
          </w:p>
          <w:p w14:paraId="50DF76EB" w14:textId="1501CA08" w:rsidR="00A2511A" w:rsidRPr="005D6D89" w:rsidRDefault="00A2511A" w:rsidP="00A2511A">
            <w:pPr>
              <w:pStyle w:val="Blue-boxbullet"/>
              <w:rPr>
                <w:lang w:eastAsia="en-AU"/>
              </w:rPr>
            </w:pPr>
            <w:r w:rsidRPr="005D6D89">
              <w:rPr>
                <w:lang w:eastAsia="en-AU"/>
              </w:rPr>
              <w:t xml:space="preserve">The </w:t>
            </w:r>
            <w:r w:rsidRPr="005D6D89">
              <w:rPr>
                <w:i/>
                <w:lang w:eastAsia="en-AU"/>
              </w:rPr>
              <w:t xml:space="preserve">Intergovernmental Panel on Climate Change (IPCC) Assessment Report </w:t>
            </w:r>
            <w:r w:rsidRPr="005D6D89">
              <w:rPr>
                <w:lang w:eastAsia="en-AU"/>
              </w:rPr>
              <w:t>5 (AR5) set out a range of emission trajectories over the next</w:t>
            </w:r>
            <w:r w:rsidR="005F23B9">
              <w:rPr>
                <w:lang w:eastAsia="en-AU"/>
              </w:rPr>
              <w:t xml:space="preserve"> century called </w:t>
            </w:r>
            <w:r w:rsidR="002B0472">
              <w:rPr>
                <w:lang w:eastAsia="en-AU"/>
              </w:rPr>
              <w:t xml:space="preserve">representative </w:t>
            </w:r>
            <w:r w:rsidR="005F23B9">
              <w:rPr>
                <w:lang w:eastAsia="en-AU"/>
              </w:rPr>
              <w:t>concentration p</w:t>
            </w:r>
            <w:r w:rsidRPr="005D6D89">
              <w:rPr>
                <w:lang w:eastAsia="en-AU"/>
              </w:rPr>
              <w:t xml:space="preserve">athways (RCPs). The NCCRA considers two RCPs. RCP8.5 </w:t>
            </w:r>
            <w:proofErr w:type="gramStart"/>
            <w:r w:rsidRPr="005D6D89">
              <w:rPr>
                <w:lang w:eastAsia="en-AU"/>
              </w:rPr>
              <w:t>was used</w:t>
            </w:r>
            <w:proofErr w:type="gramEnd"/>
            <w:r w:rsidRPr="005D6D89">
              <w:rPr>
                <w:lang w:eastAsia="en-AU"/>
              </w:rPr>
              <w:t xml:space="preserve"> to screen risks in Stage 1, while Stage 2 considered risks arising under both RCP8.5 and RCP4.5. The RCPs are outlined below: </w:t>
            </w:r>
          </w:p>
          <w:p w14:paraId="27E1F488" w14:textId="77777777" w:rsidR="00A2511A" w:rsidRPr="005D6D89" w:rsidRDefault="00A2511A" w:rsidP="00A2511A">
            <w:pPr>
              <w:pStyle w:val="Blue-boxbullet"/>
            </w:pPr>
            <w:r w:rsidRPr="005D6D89">
              <w:t>RCP8.5, a h</w:t>
            </w:r>
            <w:r w:rsidRPr="005D6D89">
              <w:rPr>
                <w:lang w:eastAsia="en-AU"/>
              </w:rPr>
              <w:t>igh concentration pathway characterised by increasing GHG emissions driven by a lack of policy changes to reduce emissions. This pathway represents increased use of land for agriculture, a heavy reliance on fossil fuel</w:t>
            </w:r>
            <w:r w:rsidR="005F23B9">
              <w:rPr>
                <w:lang w:eastAsia="en-AU"/>
              </w:rPr>
              <w:t>s and a high-</w:t>
            </w:r>
            <w:r w:rsidRPr="005D6D89">
              <w:rPr>
                <w:lang w:eastAsia="en-AU"/>
              </w:rPr>
              <w:t>energy intensity with a low rate of technology development (NIWA, 2019).</w:t>
            </w:r>
          </w:p>
          <w:p w14:paraId="226ED31C" w14:textId="77777777" w:rsidR="00D814C7" w:rsidRPr="005D6D89" w:rsidRDefault="00A2511A" w:rsidP="00A2511A">
            <w:pPr>
              <w:pStyle w:val="Blue-boxbullet"/>
              <w:spacing w:after="240"/>
            </w:pPr>
            <w:r w:rsidRPr="005D6D89">
              <w:t>RCP4.5, a moderate concentration pathway consistent with low levels of emissions achieved through ambitious emissions reduction strategies. This pathway represents implementation of stringent</w:t>
            </w:r>
            <w:r w:rsidR="005F23B9">
              <w:t xml:space="preserve"> climate policies, with a lower-</w:t>
            </w:r>
            <w:r w:rsidRPr="005D6D89">
              <w:t>energy intensity, strong reforestation and decreased land for agriculture due to improvements in crop yields and dietary changes (NIWA, 2019).</w:t>
            </w:r>
            <w:r w:rsidR="00027F9F" w:rsidRPr="005D6D89">
              <w:t xml:space="preserve"> </w:t>
            </w:r>
          </w:p>
        </w:tc>
      </w:tr>
    </w:tbl>
    <w:p w14:paraId="3C25560D" w14:textId="77777777" w:rsidR="000D01FD" w:rsidRPr="005D6D89" w:rsidRDefault="000D01FD" w:rsidP="00DB12C4">
      <w:pPr>
        <w:pStyle w:val="Heading4"/>
        <w:spacing w:before="400"/>
      </w:pPr>
      <w:bookmarkStart w:id="81" w:name="_Hlk37072996"/>
      <w:r w:rsidRPr="005D6D89">
        <w:t>Guiding principles – Ngā mātāpono</w:t>
      </w:r>
    </w:p>
    <w:p w14:paraId="7F630EFB" w14:textId="77777777" w:rsidR="000D01FD" w:rsidRPr="005D6D89" w:rsidRDefault="000D01FD" w:rsidP="000D01FD">
      <w:pPr>
        <w:pStyle w:val="BodyText"/>
      </w:pPr>
      <w:r w:rsidRPr="005D6D89">
        <w:t>The NCCRA framework provides a set of guiding principles, which have informed the risk assessment and engagement work. The mātāpono are based on the principles in the National</w:t>
      </w:r>
      <w:r w:rsidR="00DB12C4" w:rsidRPr="005D6D89">
        <w:t> </w:t>
      </w:r>
      <w:r w:rsidRPr="005D6D89">
        <w:t>Disaster Resilience Strategy (Ministry of Civil Defence and Emergency Management, 2019), with the addition of ōhanga (prosperity), from the Living Standards framework (The</w:t>
      </w:r>
      <w:r w:rsidR="0023203F" w:rsidRPr="005D6D89">
        <w:t> </w:t>
      </w:r>
      <w:r w:rsidRPr="005D6D89">
        <w:t xml:space="preserve">Treasury, 2018). </w:t>
      </w:r>
    </w:p>
    <w:p w14:paraId="1642A05B" w14:textId="77777777" w:rsidR="000D01FD" w:rsidRPr="005D6D89" w:rsidRDefault="000D01FD" w:rsidP="001B53D0">
      <w:pPr>
        <w:pStyle w:val="BodyText"/>
      </w:pPr>
      <w:r w:rsidRPr="005D6D89">
        <w:t xml:space="preserve">The mātāpono, which are additional to </w:t>
      </w:r>
      <w:r w:rsidRPr="005F23B9">
        <w:t>the principles of</w:t>
      </w:r>
      <w:r w:rsidRPr="005D6D89">
        <w:t xml:space="preserve"> </w:t>
      </w:r>
      <w:hyperlink w:anchor="Tetiritiowaitangi" w:history="1">
        <w:r w:rsidRPr="00A040B3">
          <w:rPr>
            <w:rStyle w:val="Hyperlink"/>
          </w:rPr>
          <w:t>Te Tiriti o Waitangi</w:t>
        </w:r>
      </w:hyperlink>
      <w:r w:rsidRPr="005D6D89">
        <w:t xml:space="preserve"> (partnership, protection, participation and potential), are:</w:t>
      </w:r>
    </w:p>
    <w:bookmarkEnd w:id="81"/>
    <w:p w14:paraId="150E8F90" w14:textId="77777777" w:rsidR="000D01FD" w:rsidRPr="005D6D89" w:rsidRDefault="000D01FD" w:rsidP="000D01FD">
      <w:pPr>
        <w:pStyle w:val="Bullet"/>
      </w:pPr>
      <w:r w:rsidRPr="005D6D89">
        <w:t>manaakitanga (care and reciprocity)</w:t>
      </w:r>
    </w:p>
    <w:p w14:paraId="6AA64C3F" w14:textId="77777777" w:rsidR="000D01FD" w:rsidRPr="005D6D89" w:rsidRDefault="000D01FD" w:rsidP="000D01FD">
      <w:pPr>
        <w:pStyle w:val="Bullet"/>
      </w:pPr>
      <w:r w:rsidRPr="005D6D89">
        <w:t>kaitiakitanga (intergenerational sustainability)</w:t>
      </w:r>
    </w:p>
    <w:p w14:paraId="08C7EAED" w14:textId="77777777" w:rsidR="000D01FD" w:rsidRPr="005D6D89" w:rsidRDefault="000D01FD" w:rsidP="000D01FD">
      <w:pPr>
        <w:pStyle w:val="Bullet"/>
      </w:pPr>
      <w:r w:rsidRPr="005D6D89">
        <w:t>whanaungatanga (connectedness and relationships)</w:t>
      </w:r>
    </w:p>
    <w:p w14:paraId="788C37FF" w14:textId="77777777" w:rsidR="000D01FD" w:rsidRPr="005D6D89" w:rsidRDefault="000D01FD" w:rsidP="000D01FD">
      <w:pPr>
        <w:pStyle w:val="Bullet"/>
      </w:pPr>
      <w:r w:rsidRPr="005D6D89">
        <w:rPr>
          <w:rFonts w:asciiTheme="minorHAnsi" w:hAnsiTheme="minorHAnsi" w:cstheme="minorHAnsi"/>
          <w:bCs/>
          <w:color w:val="222222"/>
          <w:spacing w:val="-15"/>
          <w:shd w:val="clear" w:color="auto" w:fill="FFFFFF"/>
        </w:rPr>
        <w:t>ō</w:t>
      </w:r>
      <w:r w:rsidRPr="005D6D89">
        <w:t>hanga (prosperity)</w:t>
      </w:r>
    </w:p>
    <w:p w14:paraId="364D30CA" w14:textId="77777777" w:rsidR="000D01FD" w:rsidRPr="005D6D89" w:rsidRDefault="000D01FD" w:rsidP="000D01FD">
      <w:pPr>
        <w:pStyle w:val="Bullet"/>
      </w:pPr>
      <w:r w:rsidRPr="005D6D89">
        <w:t>rangatiratanga (leadership and autonomy)</w:t>
      </w:r>
    </w:p>
    <w:p w14:paraId="4A5598AA" w14:textId="77777777" w:rsidR="000D01FD" w:rsidRPr="005D6D89" w:rsidRDefault="000D01FD" w:rsidP="000D01FD">
      <w:pPr>
        <w:pStyle w:val="Bullet"/>
      </w:pPr>
      <w:r w:rsidRPr="005D6D89">
        <w:t>kia mahi ngātahi (engagement and participation)</w:t>
      </w:r>
    </w:p>
    <w:p w14:paraId="50CE7F15" w14:textId="77777777" w:rsidR="000D01FD" w:rsidRPr="005D6D89" w:rsidRDefault="000D01FD" w:rsidP="000D01FD">
      <w:pPr>
        <w:pStyle w:val="Bullet"/>
      </w:pPr>
      <w:proofErr w:type="gramStart"/>
      <w:r w:rsidRPr="005D6D89">
        <w:t>kia</w:t>
      </w:r>
      <w:proofErr w:type="gramEnd"/>
      <w:r w:rsidRPr="005D6D89">
        <w:t xml:space="preserve"> āwhina (support).</w:t>
      </w:r>
    </w:p>
    <w:p w14:paraId="1CEE33DB" w14:textId="27DBC11C" w:rsidR="000D01FD" w:rsidRPr="005D6D89" w:rsidRDefault="000D01FD" w:rsidP="00B01FFB">
      <w:pPr>
        <w:pStyle w:val="BodyText"/>
      </w:pPr>
      <w:r w:rsidRPr="005D6D89">
        <w:t xml:space="preserve">The </w:t>
      </w:r>
      <w:hyperlink r:id="rId33" w:history="1">
        <w:r w:rsidR="005F460B" w:rsidRPr="005F460B">
          <w:rPr>
            <w:rStyle w:val="Hyperlink"/>
          </w:rPr>
          <w:t>method report</w:t>
        </w:r>
      </w:hyperlink>
      <w:r w:rsidR="005F460B">
        <w:t xml:space="preserve"> </w:t>
      </w:r>
      <w:r w:rsidRPr="005D6D89">
        <w:t>outlines how the mātāpono informed the NCCRA. In summary, climate change is an intergenerational issue for all communities in New Zealand (k</w:t>
      </w:r>
      <w:r w:rsidRPr="005D6D89">
        <w:rPr>
          <w:iCs/>
        </w:rPr>
        <w:t>aitiakitanga</w:t>
      </w:r>
      <w:r w:rsidRPr="005D6D89">
        <w:t xml:space="preserve"> and ōhanga). </w:t>
      </w:r>
      <w:r w:rsidR="005F23B9">
        <w:t>Strong leadership from the G</w:t>
      </w:r>
      <w:r w:rsidRPr="005D6D89">
        <w:t xml:space="preserve">overnment, its Māori partners, </w:t>
      </w:r>
      <w:r w:rsidR="005F23B9">
        <w:t xml:space="preserve">the </w:t>
      </w:r>
      <w:r w:rsidRPr="005D6D89">
        <w:t>private sector and</w:t>
      </w:r>
      <w:r w:rsidRPr="005D6D89">
        <w:rPr>
          <w:lang w:eastAsia="en-US"/>
        </w:rPr>
        <w:t xml:space="preserve"> communities </w:t>
      </w:r>
      <w:r w:rsidRPr="005D6D89">
        <w:t>will be critical in responding to the challenges and opportunities from climate change. The NCCRA aims to begin to identify key national-level risks and opportunities that will</w:t>
      </w:r>
      <w:r w:rsidR="00F068B4" w:rsidRPr="005D6D89">
        <w:t> </w:t>
      </w:r>
      <w:r w:rsidRPr="005D6D89">
        <w:t>manifest over the next 80 years, to support leadership and decision-making (r</w:t>
      </w:r>
      <w:r w:rsidRPr="005D6D89">
        <w:rPr>
          <w:iCs/>
        </w:rPr>
        <w:t>angatiratanga</w:t>
      </w:r>
      <w:r w:rsidRPr="005D6D89">
        <w:t xml:space="preserve">). The risk assessment method held the natural </w:t>
      </w:r>
      <w:r w:rsidR="000176AF" w:rsidRPr="005D6D89">
        <w:t xml:space="preserve">environment </w:t>
      </w:r>
      <w:r w:rsidRPr="005D6D89">
        <w:t>and human domains, rohe taiao and rohe tangata, as a central focus, along with a recognition of the interconnectedness of all the domains (</w:t>
      </w:r>
      <w:r w:rsidRPr="005D6D89">
        <w:rPr>
          <w:iCs/>
        </w:rPr>
        <w:t>manaakitanga</w:t>
      </w:r>
      <w:r w:rsidRPr="005D6D89">
        <w:t>).</w:t>
      </w:r>
    </w:p>
    <w:p w14:paraId="79480942" w14:textId="77777777" w:rsidR="000D01FD" w:rsidRPr="005D6D89" w:rsidRDefault="000D01FD" w:rsidP="00B01FFB">
      <w:pPr>
        <w:pStyle w:val="BodyText"/>
        <w:rPr>
          <w:lang w:eastAsia="en-US"/>
        </w:rPr>
      </w:pPr>
      <w:r w:rsidRPr="005D6D89">
        <w:t xml:space="preserve">The NCCRA approach was grounded in engagement across the five domains, and included national, regional and local agencies, as well as representatives of Māori groups and iwi </w:t>
      </w:r>
      <w:r w:rsidRPr="007473BA">
        <w:t>(</w:t>
      </w:r>
      <w:proofErr w:type="gramStart"/>
      <w:r w:rsidRPr="007473BA">
        <w:rPr>
          <w:iCs/>
        </w:rPr>
        <w:t>kia</w:t>
      </w:r>
      <w:proofErr w:type="gramEnd"/>
      <w:r w:rsidR="0096456C" w:rsidRPr="007473BA">
        <w:rPr>
          <w:iCs/>
        </w:rPr>
        <w:t> </w:t>
      </w:r>
      <w:r w:rsidRPr="007473BA">
        <w:rPr>
          <w:iCs/>
        </w:rPr>
        <w:t>mahi ngātahi</w:t>
      </w:r>
      <w:r w:rsidRPr="00A040B3">
        <w:t>).</w:t>
      </w:r>
      <w:r w:rsidRPr="005D6D89">
        <w:t xml:space="preserve"> </w:t>
      </w:r>
      <w:r w:rsidRPr="005D6D89">
        <w:rPr>
          <w:lang w:eastAsia="en-US"/>
        </w:rPr>
        <w:t xml:space="preserve">Participants </w:t>
      </w:r>
      <w:r w:rsidR="005F23B9">
        <w:rPr>
          <w:lang w:eastAsia="en-US"/>
        </w:rPr>
        <w:t>could</w:t>
      </w:r>
      <w:r w:rsidRPr="005D6D89">
        <w:rPr>
          <w:lang w:eastAsia="en-US"/>
        </w:rPr>
        <w:t xml:space="preserve"> contribute in a variety of ways, including workshops, </w:t>
      </w:r>
      <w:proofErr w:type="gramStart"/>
      <w:r w:rsidRPr="005D6D89">
        <w:rPr>
          <w:lang w:eastAsia="en-US"/>
        </w:rPr>
        <w:t>hu</w:t>
      </w:r>
      <w:r w:rsidRPr="005D6D89">
        <w:rPr>
          <w:u w:val="single"/>
          <w:lang w:eastAsia="en-US"/>
        </w:rPr>
        <w:t>i</w:t>
      </w:r>
      <w:proofErr w:type="gramEnd"/>
      <w:r w:rsidR="005F23B9">
        <w:rPr>
          <w:lang w:eastAsia="en-US"/>
        </w:rPr>
        <w:t>, online surveys, focus</w:t>
      </w:r>
      <w:r w:rsidRPr="005D6D89">
        <w:rPr>
          <w:lang w:eastAsia="en-US"/>
        </w:rPr>
        <w:t>ed individual meetings and phone calls (k</w:t>
      </w:r>
      <w:r w:rsidRPr="005D6D89">
        <w:rPr>
          <w:iCs/>
        </w:rPr>
        <w:t>ia āwhina</w:t>
      </w:r>
      <w:r w:rsidRPr="005D6D89">
        <w:t>)</w:t>
      </w:r>
      <w:r w:rsidRPr="005D6D89">
        <w:rPr>
          <w:lang w:eastAsia="en-US"/>
        </w:rPr>
        <w:t>. Over 400 individuals participated throughout the process. The approach emphasised the</w:t>
      </w:r>
      <w:r w:rsidR="0096456C" w:rsidRPr="005D6D89">
        <w:rPr>
          <w:lang w:eastAsia="en-US"/>
        </w:rPr>
        <w:t> </w:t>
      </w:r>
      <w:r w:rsidRPr="005D6D89">
        <w:rPr>
          <w:lang w:eastAsia="en-US"/>
        </w:rPr>
        <w:t xml:space="preserve">NCCRA was the </w:t>
      </w:r>
      <w:r w:rsidRPr="005D6D89">
        <w:t xml:space="preserve">beginning of a consultation that </w:t>
      </w:r>
      <w:r w:rsidR="005F23B9">
        <w:t>would</w:t>
      </w:r>
      <w:r w:rsidRPr="005D6D89">
        <w:t xml:space="preserve"> be carried forward into the NAP and</w:t>
      </w:r>
      <w:r w:rsidR="0096456C" w:rsidRPr="005D6D89">
        <w:t> </w:t>
      </w:r>
      <w:r w:rsidRPr="005D6D89">
        <w:t>future NCCRAs.</w:t>
      </w:r>
    </w:p>
    <w:p w14:paraId="5B982BBA" w14:textId="77777777" w:rsidR="000D01FD" w:rsidRPr="005D6D89" w:rsidRDefault="000D01FD" w:rsidP="00B01FFB">
      <w:pPr>
        <w:pStyle w:val="BodyText"/>
      </w:pPr>
      <w:r w:rsidRPr="005D6D89">
        <w:t>Under the guidance of the NCCRA</w:t>
      </w:r>
      <w:r w:rsidR="001200EA">
        <w:t>’</w:t>
      </w:r>
      <w:r w:rsidR="005F23B9">
        <w:t>s Kaumātua and Māori e</w:t>
      </w:r>
      <w:r w:rsidRPr="005D6D89">
        <w:t>ngagement</w:t>
      </w:r>
      <w:r w:rsidRPr="005D6D89">
        <w:rPr>
          <w:sz w:val="18"/>
          <w:szCs w:val="18"/>
          <w:lang w:eastAsia="en-US"/>
        </w:rPr>
        <w:t xml:space="preserve"> </w:t>
      </w:r>
      <w:r w:rsidR="005F23B9">
        <w:t>a</w:t>
      </w:r>
      <w:r w:rsidRPr="005D6D89">
        <w:t>dvisors, the project team focused the limited time and resources on engaging with Māori leaders directly involved in matters of climate change and decision-making (w</w:t>
      </w:r>
      <w:r w:rsidRPr="005D6D89">
        <w:rPr>
          <w:iCs/>
        </w:rPr>
        <w:t>hanaungatanga</w:t>
      </w:r>
      <w:r w:rsidRPr="005D6D89">
        <w:t xml:space="preserve">). The NCCRA </w:t>
      </w:r>
      <w:proofErr w:type="gramStart"/>
      <w:r w:rsidRPr="005D6D89">
        <w:t>has been informed</w:t>
      </w:r>
      <w:proofErr w:type="gramEnd"/>
      <w:r w:rsidRPr="005D6D89">
        <w:t xml:space="preserve"> by existing iwi/hapū climate change strategies and plans. Comprehensive consultation with these groups and consideration of how </w:t>
      </w:r>
      <w:hyperlink w:anchor="mataurangamaori" w:history="1">
        <w:r w:rsidRPr="00EC18B1">
          <w:rPr>
            <w:rStyle w:val="Hyperlink"/>
            <w:lang w:eastAsia="en-US"/>
          </w:rPr>
          <w:t>mātauranga Māori</w:t>
        </w:r>
      </w:hyperlink>
      <w:r w:rsidRPr="005D6D89" w:rsidDel="00E00D62">
        <w:rPr>
          <w:lang w:eastAsia="en-US"/>
        </w:rPr>
        <w:t xml:space="preserve"> </w:t>
      </w:r>
      <w:r w:rsidRPr="005D6D89">
        <w:rPr>
          <w:lang w:eastAsia="en-US"/>
        </w:rPr>
        <w:t>might inform future climate science and policy-making</w:t>
      </w:r>
      <w:r w:rsidRPr="005D6D89" w:rsidDel="00E00D62">
        <w:rPr>
          <w:lang w:eastAsia="en-US"/>
        </w:rPr>
        <w:t xml:space="preserve"> </w:t>
      </w:r>
      <w:r w:rsidRPr="005D6D89">
        <w:rPr>
          <w:lang w:eastAsia="en-US"/>
        </w:rPr>
        <w:t xml:space="preserve">has been limited. </w:t>
      </w:r>
      <w:hyperlink w:anchor="_Mātauranga_Māori-based_gaps" w:history="1">
        <w:r w:rsidRPr="00FE03FD">
          <w:rPr>
            <w:rStyle w:val="Hyperlink"/>
            <w:lang w:eastAsia="en-US"/>
          </w:rPr>
          <w:t>Section</w:t>
        </w:r>
        <w:r w:rsidR="00FE03FD" w:rsidRPr="00FE03FD">
          <w:rPr>
            <w:rStyle w:val="Hyperlink"/>
            <w:lang w:eastAsia="en-US"/>
          </w:rPr>
          <w:t xml:space="preserve"> 7.2.3</w:t>
        </w:r>
      </w:hyperlink>
      <w:r w:rsidR="00FE03FD">
        <w:rPr>
          <w:lang w:eastAsia="en-US"/>
        </w:rPr>
        <w:t xml:space="preserve"> d</w:t>
      </w:r>
      <w:r w:rsidRPr="005D6D89">
        <w:rPr>
          <w:lang w:eastAsia="en-US"/>
        </w:rPr>
        <w:t xml:space="preserve">iscusses this gap. </w:t>
      </w:r>
    </w:p>
    <w:p w14:paraId="77D2570F" w14:textId="77777777" w:rsidR="000D01FD" w:rsidRPr="005D6D89" w:rsidRDefault="000D01FD" w:rsidP="00036EDB">
      <w:pPr>
        <w:pStyle w:val="Heading3"/>
        <w:numPr>
          <w:ilvl w:val="0"/>
          <w:numId w:val="20"/>
        </w:numPr>
      </w:pPr>
      <w:bookmarkStart w:id="82" w:name="_Toc37090484"/>
      <w:bookmarkStart w:id="83" w:name="_Toc37255750"/>
      <w:bookmarkStart w:id="84" w:name="_Toc37393651"/>
      <w:bookmarkStart w:id="85" w:name="_Toc37784861"/>
      <w:bookmarkStart w:id="86" w:name="_Toc40699332"/>
      <w:r w:rsidRPr="005D6D89">
        <w:t>Stage 1: First-pass risk screen</w:t>
      </w:r>
      <w:bookmarkEnd w:id="82"/>
      <w:bookmarkEnd w:id="83"/>
      <w:bookmarkEnd w:id="84"/>
      <w:bookmarkEnd w:id="85"/>
      <w:bookmarkEnd w:id="86"/>
    </w:p>
    <w:p w14:paraId="5B62C825" w14:textId="77777777" w:rsidR="000D01FD" w:rsidRPr="005D6D89" w:rsidRDefault="000D01FD" w:rsidP="000D01FD">
      <w:pPr>
        <w:pStyle w:val="BodyText"/>
      </w:pPr>
      <w:bookmarkStart w:id="87" w:name="_Toc37090485"/>
      <w:bookmarkStart w:id="88" w:name="_Toc37255751"/>
      <w:bookmarkStart w:id="89" w:name="_Toc37393652"/>
      <w:r w:rsidRPr="005D6D89">
        <w:t>The purpose of the first pass risk screen was to:</w:t>
      </w:r>
    </w:p>
    <w:p w14:paraId="77A50A48" w14:textId="77777777" w:rsidR="000D01FD" w:rsidRPr="005D6D89" w:rsidRDefault="000D01FD" w:rsidP="000D01FD">
      <w:pPr>
        <w:pStyle w:val="Bullet"/>
      </w:pPr>
      <w:r w:rsidRPr="005D6D89">
        <w:t xml:space="preserve">examine potential risks and opportunities from the interaction between hazards, exposure and vulnerability across New Zealand </w:t>
      </w:r>
    </w:p>
    <w:p w14:paraId="11885A01" w14:textId="77777777" w:rsidR="000D01FD" w:rsidRPr="005D6D89" w:rsidRDefault="000D01FD" w:rsidP="000D01FD">
      <w:pPr>
        <w:pStyle w:val="Bullet"/>
      </w:pPr>
      <w:proofErr w:type="gramStart"/>
      <w:r w:rsidRPr="005D6D89">
        <w:t>prioritise</w:t>
      </w:r>
      <w:proofErr w:type="gramEnd"/>
      <w:r w:rsidRPr="005D6D89">
        <w:t xml:space="preserve"> risks and opportunities for further assessment.</w:t>
      </w:r>
    </w:p>
    <w:p w14:paraId="36F196EE" w14:textId="77777777" w:rsidR="000D01FD" w:rsidRPr="005D6D89" w:rsidRDefault="000D01FD" w:rsidP="000D01FD">
      <w:pPr>
        <w:pStyle w:val="BodyText"/>
      </w:pPr>
      <w:r w:rsidRPr="005D6D89">
        <w:t>The first pass screen considered:</w:t>
      </w:r>
    </w:p>
    <w:p w14:paraId="6D37F5A2" w14:textId="77777777" w:rsidR="000D01FD" w:rsidRPr="005D6D89" w:rsidRDefault="000D01FD" w:rsidP="000D01FD">
      <w:pPr>
        <w:pStyle w:val="Bullet"/>
      </w:pPr>
      <w:r w:rsidRPr="005D6D89">
        <w:t>how elements at risk across the five value domains were affected by hazards across New</w:t>
      </w:r>
      <w:r w:rsidR="007C1BEC" w:rsidRPr="005D6D89">
        <w:t> </w:t>
      </w:r>
      <w:r w:rsidRPr="005D6D89">
        <w:t xml:space="preserve">Zealand at a high level </w:t>
      </w:r>
    </w:p>
    <w:p w14:paraId="16D74B81" w14:textId="77777777" w:rsidR="000D01FD" w:rsidRPr="005D6D89" w:rsidRDefault="000D01FD" w:rsidP="000D01FD">
      <w:pPr>
        <w:pStyle w:val="Bullet"/>
      </w:pPr>
      <w:proofErr w:type="gramStart"/>
      <w:r w:rsidRPr="005D6D89">
        <w:t>the</w:t>
      </w:r>
      <w:proofErr w:type="gramEnd"/>
      <w:r w:rsidRPr="005D6D89">
        <w:t xml:space="preserve"> seven sub-national zones, territorial sea and exclusive economic zone (EEZ) in the present, near term and long term under </w:t>
      </w:r>
      <w:hyperlink w:anchor="box1" w:history="1">
        <w:r w:rsidRPr="005D6D89">
          <w:rPr>
            <w:rStyle w:val="Hyperlink"/>
          </w:rPr>
          <w:t>RCP8.5</w:t>
        </w:r>
      </w:hyperlink>
      <w:r w:rsidRPr="005D6D89">
        <w:t xml:space="preserve">. </w:t>
      </w:r>
    </w:p>
    <w:p w14:paraId="5C784CE2" w14:textId="77777777" w:rsidR="000D01FD" w:rsidRPr="005D6D89" w:rsidRDefault="000D01FD" w:rsidP="000D01FD">
      <w:pPr>
        <w:pStyle w:val="BodyText"/>
      </w:pPr>
      <w:r w:rsidRPr="005D6D89">
        <w:t xml:space="preserve">This </w:t>
      </w:r>
      <w:proofErr w:type="gramStart"/>
      <w:r w:rsidRPr="005D6D89">
        <w:t>was done</w:t>
      </w:r>
      <w:proofErr w:type="gramEnd"/>
      <w:r w:rsidRPr="005D6D89">
        <w:t xml:space="preserve"> through a literature review that generated initial risk and opportunity statements. The consultants then consolidated, analysed and evaluated (rated) these through a series of working meetings, and through the engagement detailed in </w:t>
      </w:r>
      <w:hyperlink w:anchor="_Engagement" w:history="1">
        <w:r w:rsidRPr="00FE03FD">
          <w:rPr>
            <w:rStyle w:val="Hyperlink"/>
          </w:rPr>
          <w:t xml:space="preserve">section </w:t>
        </w:r>
        <w:r w:rsidR="00FE03FD" w:rsidRPr="00FE03FD">
          <w:rPr>
            <w:rStyle w:val="Hyperlink"/>
          </w:rPr>
          <w:t>2.1.5</w:t>
        </w:r>
      </w:hyperlink>
      <w:r w:rsidRPr="005D6D89">
        <w:t xml:space="preserve">. </w:t>
      </w:r>
    </w:p>
    <w:p w14:paraId="0E2A5CB6" w14:textId="77777777" w:rsidR="000D01FD" w:rsidRPr="005D6D89" w:rsidRDefault="000D01FD" w:rsidP="000D01FD">
      <w:pPr>
        <w:pStyle w:val="BodyText"/>
      </w:pPr>
      <w:r w:rsidRPr="005D6D89">
        <w:t xml:space="preserve">Stage 1 resulted in a set of 48 priority risks and </w:t>
      </w:r>
      <w:proofErr w:type="gramStart"/>
      <w:r w:rsidRPr="005D6D89">
        <w:t>five</w:t>
      </w:r>
      <w:proofErr w:type="gramEnd"/>
      <w:r w:rsidRPr="005D6D89">
        <w:t xml:space="preserve"> opportunities. Priority risks were those rated either extreme or major in the first-pass screen. The consultants took these to Stage 2 and 3 for detailed assessment and consideration of adaptation urgency. </w:t>
      </w:r>
    </w:p>
    <w:p w14:paraId="0A336718" w14:textId="77777777" w:rsidR="000D01FD" w:rsidRPr="005D6D89" w:rsidRDefault="000D01FD" w:rsidP="00036EDB">
      <w:pPr>
        <w:pStyle w:val="Heading3"/>
        <w:numPr>
          <w:ilvl w:val="0"/>
          <w:numId w:val="20"/>
        </w:numPr>
        <w:tabs>
          <w:tab w:val="num" w:pos="992"/>
        </w:tabs>
      </w:pPr>
      <w:bookmarkStart w:id="90" w:name="_Toc37784862"/>
      <w:bookmarkStart w:id="91" w:name="_Toc40699333"/>
      <w:r w:rsidRPr="005D6D89">
        <w:t>Stage 2: Detailed risk assessment</w:t>
      </w:r>
      <w:bookmarkEnd w:id="87"/>
      <w:bookmarkEnd w:id="88"/>
      <w:bookmarkEnd w:id="89"/>
      <w:bookmarkEnd w:id="90"/>
      <w:bookmarkEnd w:id="91"/>
      <w:r w:rsidRPr="005D6D89">
        <w:t xml:space="preserve"> </w:t>
      </w:r>
    </w:p>
    <w:p w14:paraId="7106C74D" w14:textId="77777777" w:rsidR="000D01FD" w:rsidRPr="005D6D89" w:rsidRDefault="000D01FD" w:rsidP="00F068B4">
      <w:pPr>
        <w:pStyle w:val="BodyText"/>
        <w:keepLines/>
      </w:pPr>
      <w:r w:rsidRPr="005D6D89">
        <w:t>The detailed risk assessment examined the 48 risks rated extreme and major. Further investigation of vulnerability and exposure supported an understanding of the magnitude of consequence arising from these risks under both RCP4.5 and RCP8.5 (</w:t>
      </w:r>
      <w:hyperlink w:anchor="table9" w:history="1">
        <w:r w:rsidRPr="00DD5398">
          <w:rPr>
            <w:rStyle w:val="Hyperlink"/>
          </w:rPr>
          <w:t xml:space="preserve">table </w:t>
        </w:r>
        <w:r w:rsidR="00753426" w:rsidRPr="00DD5398">
          <w:rPr>
            <w:rStyle w:val="Hyperlink"/>
          </w:rPr>
          <w:t>9</w:t>
        </w:r>
      </w:hyperlink>
      <w:r w:rsidRPr="005D6D89">
        <w:t xml:space="preserve">) in the present term, near term and long term. </w:t>
      </w:r>
    </w:p>
    <w:p w14:paraId="2C18CF08" w14:textId="77777777" w:rsidR="000D01FD" w:rsidRPr="005D6D89" w:rsidRDefault="000D01FD" w:rsidP="007C1BEC">
      <w:pPr>
        <w:pStyle w:val="BodyText"/>
      </w:pPr>
      <w:r w:rsidRPr="005D6D89">
        <w:t xml:space="preserve">Further literature review brought better understanding of each risk. The consultants then consolidated, analysed and assessed (rated) the review findings through a series of working meetings of the project team and through the engagement detailed in </w:t>
      </w:r>
      <w:hyperlink w:anchor="_Engagement" w:history="1">
        <w:r w:rsidRPr="00DD0206">
          <w:rPr>
            <w:rStyle w:val="Hyperlink"/>
          </w:rPr>
          <w:t xml:space="preserve">section </w:t>
        </w:r>
        <w:r w:rsidR="00DD0206" w:rsidRPr="00DD0206">
          <w:rPr>
            <w:rStyle w:val="Hyperlink"/>
          </w:rPr>
          <w:t>2.1.5</w:t>
        </w:r>
      </w:hyperlink>
      <w:r w:rsidRPr="005D6D89">
        <w:t xml:space="preserve">. </w:t>
      </w:r>
    </w:p>
    <w:p w14:paraId="4ECB3BB3" w14:textId="77777777" w:rsidR="000D01FD" w:rsidRPr="005D6D89" w:rsidRDefault="000D01FD" w:rsidP="007C1BEC">
      <w:pPr>
        <w:pStyle w:val="BodyText"/>
      </w:pPr>
      <w:r w:rsidRPr="005D6D89">
        <w:t xml:space="preserve">Stage 2 refined the set of risks to 43 priority risks and </w:t>
      </w:r>
      <w:proofErr w:type="gramStart"/>
      <w:r w:rsidRPr="005D6D89">
        <w:t>four</w:t>
      </w:r>
      <w:proofErr w:type="gramEnd"/>
      <w:r w:rsidRPr="005D6D89">
        <w:t xml:space="preserve"> opportunities. The reduction in risks was in large part due to merging similar risks, after further analysis.</w:t>
      </w:r>
      <w:r w:rsidR="00027F9F" w:rsidRPr="005D6D89">
        <w:t xml:space="preserve"> </w:t>
      </w:r>
    </w:p>
    <w:p w14:paraId="65BE1B0A" w14:textId="77777777" w:rsidR="00E40F24" w:rsidRPr="005D6D89" w:rsidRDefault="000D01FD" w:rsidP="00E32D45">
      <w:pPr>
        <w:pStyle w:val="Boxheadings"/>
      </w:pPr>
      <w:bookmarkStart w:id="92" w:name="_Toc43201225"/>
      <w:r w:rsidRPr="005D6D89">
        <w:t xml:space="preserve">Box 2: </w:t>
      </w:r>
      <w:r w:rsidR="005E6626" w:rsidRPr="005D6D89">
        <w:tab/>
      </w:r>
      <w:r w:rsidRPr="005D6D89">
        <w:t>Abbreviation system for risks and opportunities</w:t>
      </w:r>
      <w:bookmarkEnd w:id="92"/>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E6626" w:rsidRPr="005D6D89" w14:paraId="5D54C96D" w14:textId="77777777" w:rsidTr="00C35255">
        <w:tc>
          <w:tcPr>
            <w:tcW w:w="0" w:type="auto"/>
            <w:shd w:val="clear" w:color="auto" w:fill="D2DDE2"/>
          </w:tcPr>
          <w:p w14:paraId="492046BE" w14:textId="77777777" w:rsidR="005E6626" w:rsidRPr="005D6D89" w:rsidRDefault="005E6626" w:rsidP="005E6626">
            <w:pPr>
              <w:pStyle w:val="Blueboxheading"/>
            </w:pPr>
            <w:r w:rsidRPr="005D6D89">
              <w:t>Risk and opportunity numbering</w:t>
            </w:r>
          </w:p>
          <w:p w14:paraId="7646C761" w14:textId="77777777" w:rsidR="005E6626" w:rsidRPr="005D6D89" w:rsidRDefault="005E6626" w:rsidP="005E6626">
            <w:pPr>
              <w:pStyle w:val="Blueboxtext"/>
            </w:pPr>
            <w:r w:rsidRPr="005D6D89">
              <w:t xml:space="preserve">Each risk and opportunity in this </w:t>
            </w:r>
            <w:r w:rsidR="0011097C">
              <w:t>main report</w:t>
            </w:r>
            <w:r w:rsidRPr="005D6D89">
              <w:t xml:space="preserve"> is numbered using a letter and number per the convention outlined below:</w:t>
            </w:r>
            <w:r w:rsidR="00027F9F" w:rsidRPr="005D6D89">
              <w:t xml:space="preserve"> </w:t>
            </w:r>
          </w:p>
          <w:p w14:paraId="145BC4B5" w14:textId="77777777" w:rsidR="005E6626" w:rsidRPr="005D6D89" w:rsidRDefault="005E6626" w:rsidP="005E6626">
            <w:pPr>
              <w:pStyle w:val="Blue-boxbullet"/>
            </w:pPr>
            <w:proofErr w:type="gramStart"/>
            <w:r w:rsidRPr="005D6D89">
              <w:t>letter</w:t>
            </w:r>
            <w:proofErr w:type="gramEnd"/>
            <w:r w:rsidRPr="005D6D89">
              <w:t xml:space="preserve"> denotes the relevant domain the risk applies to: natural environment domain (N), economy domain (E), built environment domain (B) and governance domain (G). For oppor</w:t>
            </w:r>
            <w:r w:rsidR="005F23B9">
              <w:t>tunities, the letter O is added</w:t>
            </w:r>
            <w:r w:rsidRPr="005D6D89">
              <w:t xml:space="preserve"> </w:t>
            </w:r>
          </w:p>
          <w:p w14:paraId="1F961FF5" w14:textId="77777777" w:rsidR="005E6626" w:rsidRPr="005D6D89" w:rsidRDefault="005E6626" w:rsidP="00AA6D51">
            <w:pPr>
              <w:pStyle w:val="Blue-boxbullet"/>
              <w:spacing w:after="240"/>
            </w:pPr>
            <w:proofErr w:type="gramStart"/>
            <w:r w:rsidRPr="005D6D89">
              <w:t>number</w:t>
            </w:r>
            <w:proofErr w:type="gramEnd"/>
            <w:r w:rsidRPr="005D6D89">
              <w:t>, in chronological order, according to the urgency within each domain, one being the most urgent.</w:t>
            </w:r>
          </w:p>
        </w:tc>
      </w:tr>
    </w:tbl>
    <w:p w14:paraId="18C0491F" w14:textId="77777777" w:rsidR="0011363F" w:rsidRPr="005D6D89" w:rsidRDefault="0011363F" w:rsidP="00036EDB">
      <w:pPr>
        <w:pStyle w:val="Heading3"/>
        <w:numPr>
          <w:ilvl w:val="0"/>
          <w:numId w:val="20"/>
        </w:numPr>
        <w:tabs>
          <w:tab w:val="num" w:pos="992"/>
        </w:tabs>
        <w:spacing w:before="400"/>
      </w:pPr>
      <w:bookmarkStart w:id="93" w:name="_Stage_3:_Adaptation"/>
      <w:bookmarkStart w:id="94" w:name="_Ref37665916"/>
      <w:bookmarkStart w:id="95" w:name="_Toc37784863"/>
      <w:bookmarkStart w:id="96" w:name="_Toc40699334"/>
      <w:bookmarkEnd w:id="93"/>
      <w:r w:rsidRPr="005D6D89">
        <w:t>Stage 3: Adaptation and decision urgency</w:t>
      </w:r>
      <w:bookmarkEnd w:id="94"/>
      <w:bookmarkEnd w:id="95"/>
      <w:bookmarkEnd w:id="96"/>
      <w:r w:rsidRPr="005D6D89">
        <w:t xml:space="preserve"> </w:t>
      </w:r>
    </w:p>
    <w:p w14:paraId="23C1DAAB" w14:textId="77777777" w:rsidR="0011363F" w:rsidRPr="005D6D89" w:rsidRDefault="0011363F" w:rsidP="00D304CD">
      <w:pPr>
        <w:pStyle w:val="BodyText"/>
      </w:pPr>
      <w:r w:rsidRPr="005D6D89">
        <w:t xml:space="preserve">Stage 3 assessed existing and planned adaptation and the extent to which priority risks are being addressed </w:t>
      </w:r>
      <w:proofErr w:type="gramStart"/>
      <w:r w:rsidRPr="005D6D89">
        <w:t>as a result</w:t>
      </w:r>
      <w:proofErr w:type="gramEnd"/>
      <w:r w:rsidRPr="005D6D89">
        <w:t xml:space="preserve"> of these actions at a high level. This assessment also considered: </w:t>
      </w:r>
    </w:p>
    <w:p w14:paraId="5EEE92A2" w14:textId="77777777" w:rsidR="0011363F" w:rsidRPr="005D6D89" w:rsidRDefault="0011363F" w:rsidP="00D304CD">
      <w:pPr>
        <w:pStyle w:val="Bullet"/>
      </w:pPr>
      <w:r w:rsidRPr="005D6D89">
        <w:t xml:space="preserve">where early action might be needed to avoid being locked in to a current pathway </w:t>
      </w:r>
    </w:p>
    <w:p w14:paraId="017C39C1" w14:textId="77777777" w:rsidR="0011363F" w:rsidRPr="005D6D89" w:rsidRDefault="0011363F" w:rsidP="00D304CD">
      <w:pPr>
        <w:pStyle w:val="Bullet"/>
      </w:pPr>
      <w:r w:rsidRPr="005D6D89">
        <w:t xml:space="preserve">actions that will require long lead times to be effective </w:t>
      </w:r>
    </w:p>
    <w:p w14:paraId="15C05FFB" w14:textId="77777777" w:rsidR="0011363F" w:rsidRPr="005D6D89" w:rsidRDefault="0011363F" w:rsidP="00D304CD">
      <w:pPr>
        <w:pStyle w:val="Bullet"/>
      </w:pPr>
      <w:proofErr w:type="gramStart"/>
      <w:r w:rsidRPr="005D6D89">
        <w:t>actions</w:t>
      </w:r>
      <w:proofErr w:type="gramEnd"/>
      <w:r w:rsidRPr="005D6D89">
        <w:t xml:space="preserve"> with long-term implications. </w:t>
      </w:r>
    </w:p>
    <w:p w14:paraId="102EE2E0" w14:textId="77777777" w:rsidR="0011363F" w:rsidRPr="005D6D89" w:rsidRDefault="0011363F" w:rsidP="00D304CD">
      <w:pPr>
        <w:pStyle w:val="BodyText"/>
      </w:pPr>
      <w:r w:rsidRPr="005D6D89">
        <w:t xml:space="preserve">Information about adaptation work either underway or planned </w:t>
      </w:r>
      <w:proofErr w:type="gramStart"/>
      <w:r w:rsidRPr="005D6D89">
        <w:t>was gathered</w:t>
      </w:r>
      <w:proofErr w:type="gramEnd"/>
      <w:r w:rsidRPr="005D6D89">
        <w:t xml:space="preserve"> through stakeholder consultation and a review of the </w:t>
      </w:r>
      <w:r w:rsidRPr="005D6D89">
        <w:rPr>
          <w:i/>
        </w:rPr>
        <w:t>Stocktake Report of Climate Adaptation in New</w:t>
      </w:r>
      <w:r w:rsidR="00D304CD" w:rsidRPr="005D6D89">
        <w:rPr>
          <w:i/>
        </w:rPr>
        <w:t> </w:t>
      </w:r>
      <w:r w:rsidRPr="005D6D89">
        <w:rPr>
          <w:i/>
        </w:rPr>
        <w:t xml:space="preserve">Zealand </w:t>
      </w:r>
      <w:r w:rsidRPr="005D6D89">
        <w:t>and its recommendations report</w:t>
      </w:r>
      <w:r w:rsidRPr="005D6D89">
        <w:rPr>
          <w:i/>
        </w:rPr>
        <w:t xml:space="preserve"> </w:t>
      </w:r>
      <w:r w:rsidRPr="005D6D89">
        <w:t>(Climate Change Adaptation Technical Working</w:t>
      </w:r>
      <w:r w:rsidR="00D304CD" w:rsidRPr="005D6D89">
        <w:t> </w:t>
      </w:r>
      <w:r w:rsidRPr="005D6D89">
        <w:t>Group, 2017</w:t>
      </w:r>
      <w:r w:rsidRPr="005D6D89">
        <w:rPr>
          <w:i/>
        </w:rPr>
        <w:t>)</w:t>
      </w:r>
      <w:r w:rsidRPr="005D6D89">
        <w:t xml:space="preserve">. </w:t>
      </w:r>
    </w:p>
    <w:p w14:paraId="71C25D50" w14:textId="77777777" w:rsidR="0011363F" w:rsidRPr="005D6D89" w:rsidRDefault="0011363F" w:rsidP="0011363F">
      <w:pPr>
        <w:pStyle w:val="BodyText"/>
      </w:pPr>
      <w:r w:rsidRPr="005D6D89">
        <w:t xml:space="preserve">Stage 3 generated adaptation and decision urgency ratings for each of the priority risks and opportunities. Urgency is defined as “a measure of the degree to which further action is needed in the next five years to reduce a risk or realise an opportunity from climate change” (Committee on Climate Change, 2019, p.5). The NCCRA framework adopted the urgency categories from the </w:t>
      </w:r>
      <w:r w:rsidRPr="005D6D89">
        <w:rPr>
          <w:i/>
        </w:rPr>
        <w:t>2017 UK Climate Change Risk Assessment</w:t>
      </w:r>
      <w:r w:rsidRPr="005D6D89">
        <w:t xml:space="preserve"> (Committee on Climate Change,</w:t>
      </w:r>
      <w:r w:rsidR="00D304CD" w:rsidRPr="005D6D89">
        <w:t> </w:t>
      </w:r>
      <w:r w:rsidRPr="005D6D89">
        <w:t>2017).</w:t>
      </w:r>
    </w:p>
    <w:bookmarkStart w:id="97" w:name="_Toc43312894"/>
    <w:bookmarkEnd w:id="3"/>
    <w:p w14:paraId="4882B585" w14:textId="77777777" w:rsidR="005E6626" w:rsidRPr="005D6D89" w:rsidRDefault="001A2FD8" w:rsidP="00095C61">
      <w:pPr>
        <w:pStyle w:val="Figureheading"/>
      </w:pPr>
      <w:r>
        <w:rPr>
          <w:noProof/>
        </w:rPr>
        <mc:AlternateContent>
          <mc:Choice Requires="wps">
            <w:drawing>
              <wp:anchor distT="0" distB="0" distL="114300" distR="114300" simplePos="0" relativeHeight="251665408" behindDoc="0" locked="0" layoutInCell="1" allowOverlap="1" wp14:anchorId="78F37DCB" wp14:editId="302DDEFD">
                <wp:simplePos x="0" y="0"/>
                <wp:positionH relativeFrom="column">
                  <wp:posOffset>4163695</wp:posOffset>
                </wp:positionH>
                <wp:positionV relativeFrom="paragraph">
                  <wp:posOffset>185420</wp:posOffset>
                </wp:positionV>
                <wp:extent cx="1378585" cy="277495"/>
                <wp:effectExtent l="0" t="1270" r="0" b="0"/>
                <wp:wrapNone/>
                <wp:docPr id="1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2774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053E7E" w14:textId="77777777" w:rsidR="005F460B" w:rsidRPr="003A1709" w:rsidRDefault="005F460B" w:rsidP="00E93293">
                            <w:pPr>
                              <w:pStyle w:val="TableText"/>
                              <w:rPr>
                                <w:b/>
                                <w:bCs/>
                              </w:rPr>
                            </w:pPr>
                            <w:r w:rsidRPr="006F20BC">
                              <w:rPr>
                                <w:b/>
                                <w:bCs/>
                                <w:sz w:val="16"/>
                                <w:szCs w:val="16"/>
                              </w:rPr>
                              <w:t>Application</w:t>
                            </w:r>
                            <w:r w:rsidRPr="003A1709">
                              <w:rPr>
                                <w:b/>
                                <w:bCs/>
                              </w:rPr>
                              <w:t xml:space="preserve"> in the NCCRA: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37DCB" id="_x0000_t202" coordsize="21600,21600" o:spt="202" path="m,l,21600r21600,l21600,xe">
                <v:stroke joinstyle="miter"/>
                <v:path gradientshapeok="t" o:connecttype="rect"/>
              </v:shapetype>
              <v:shape id="Text Box 203" o:spid="_x0000_s1026" type="#_x0000_t202" style="position:absolute;left:0;text-align:left;margin-left:327.85pt;margin-top:14.6pt;width:108.5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" fillcolor="white [3201]" stroked="f" strokeweight=".5pt">
                <v:textbox>
                  <w:txbxContent>
                    <w:p w14:paraId="2A053E7E" w14:textId="77777777" w:rsidR="005F460B" w:rsidRPr="003A1709" w:rsidRDefault="005F460B" w:rsidP="00E93293">
                      <w:pPr>
                        <w:pStyle w:val="TableText"/>
                        <w:rPr>
                          <w:b/>
                          <w:bCs/>
                        </w:rPr>
                      </w:pPr>
                      <w:r w:rsidRPr="006F20BC">
                        <w:rPr>
                          <w:b/>
                          <w:bCs/>
                          <w:sz w:val="16"/>
                          <w:szCs w:val="16"/>
                        </w:rPr>
                        <w:t>Application</w:t>
                      </w:r>
                      <w:r w:rsidRPr="003A1709">
                        <w:rPr>
                          <w:b/>
                          <w:bCs/>
                        </w:rPr>
                        <w:t xml:space="preserve"> in the NCCRA: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AD06EB1" wp14:editId="593373E3">
                <wp:simplePos x="0" y="0"/>
                <wp:positionH relativeFrom="column">
                  <wp:posOffset>550545</wp:posOffset>
                </wp:positionH>
                <wp:positionV relativeFrom="paragraph">
                  <wp:posOffset>272415</wp:posOffset>
                </wp:positionV>
                <wp:extent cx="3710940" cy="323850"/>
                <wp:effectExtent l="1905" t="2540" r="1905" b="0"/>
                <wp:wrapNone/>
                <wp:docPr id="1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3238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5C7530" w14:textId="77777777" w:rsidR="005F460B" w:rsidRPr="006F20BC" w:rsidRDefault="005F460B" w:rsidP="00E1285E">
                            <w:pPr>
                              <w:pStyle w:val="TableText"/>
                              <w:spacing w:before="0" w:after="0" w:line="240" w:lineRule="auto"/>
                              <w:jc w:val="center"/>
                              <w:rPr>
                                <w:b/>
                                <w:bCs/>
                                <w:sz w:val="16"/>
                                <w:szCs w:val="16"/>
                              </w:rPr>
                            </w:pPr>
                            <w:r w:rsidRPr="006F20BC">
                              <w:rPr>
                                <w:b/>
                                <w:bCs/>
                                <w:sz w:val="16"/>
                                <w:szCs w:val="16"/>
                              </w:rPr>
                              <w:t xml:space="preserve">Urgency Categories in the NCCRA Framework </w:t>
                            </w:r>
                            <w:r w:rsidRPr="006F20BC">
                              <w:rPr>
                                <w:b/>
                                <w:bCs/>
                                <w:sz w:val="16"/>
                                <w:szCs w:val="16"/>
                              </w:rPr>
                              <w:br/>
                              <w:t>(Committee on Climate Change, 2017):</w:t>
                            </w:r>
                          </w:p>
                          <w:p w14:paraId="5808A1B4" w14:textId="77777777" w:rsidR="005F460B" w:rsidRPr="00975FD1" w:rsidRDefault="005F460B" w:rsidP="005E1C97">
                            <w:pPr>
                              <w:jc w:val="center"/>
                              <w:rPr>
                                <w:sz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06EB1" id="Text Box 204" o:spid="_x0000_s1027" type="#_x0000_t202" style="position:absolute;left:0;text-align:left;margin-left:43.35pt;margin-top:21.45pt;width:292.2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" fillcolor="white [3201]" stroked="f" strokeweight=".5pt">
                <v:textbox inset=",0,,0">
                  <w:txbxContent>
                    <w:p w14:paraId="4A5C7530" w14:textId="77777777" w:rsidR="005F460B" w:rsidRPr="006F20BC" w:rsidRDefault="005F460B" w:rsidP="00E1285E">
                      <w:pPr>
                        <w:pStyle w:val="TableText"/>
                        <w:spacing w:before="0" w:after="0" w:line="240" w:lineRule="auto"/>
                        <w:jc w:val="center"/>
                        <w:rPr>
                          <w:b/>
                          <w:bCs/>
                          <w:sz w:val="16"/>
                          <w:szCs w:val="16"/>
                        </w:rPr>
                      </w:pPr>
                      <w:r w:rsidRPr="006F20BC">
                        <w:rPr>
                          <w:b/>
                          <w:bCs/>
                          <w:sz w:val="16"/>
                          <w:szCs w:val="16"/>
                        </w:rPr>
                        <w:t xml:space="preserve">Urgency Categories in the NCCRA Framework </w:t>
                      </w:r>
                      <w:r w:rsidRPr="006F20BC">
                        <w:rPr>
                          <w:b/>
                          <w:bCs/>
                          <w:sz w:val="16"/>
                          <w:szCs w:val="16"/>
                        </w:rPr>
                        <w:br/>
                        <w:t>(Committee on Climate Change, 2017):</w:t>
                      </w:r>
                    </w:p>
                    <w:p w14:paraId="5808A1B4" w14:textId="77777777" w:rsidR="005F460B" w:rsidRPr="00975FD1" w:rsidRDefault="005F460B" w:rsidP="005E1C97">
                      <w:pPr>
                        <w:jc w:val="center"/>
                        <w:rPr>
                          <w:sz w:val="18"/>
                        </w:rPr>
                      </w:pPr>
                    </w:p>
                  </w:txbxContent>
                </v:textbox>
              </v:shape>
            </w:pict>
          </mc:Fallback>
        </mc:AlternateContent>
      </w:r>
      <w:r w:rsidR="00226120" w:rsidRPr="005D6D89">
        <w:t xml:space="preserve">Figure </w:t>
      </w:r>
      <w:r w:rsidR="00BE02B7" w:rsidRPr="005D6D89">
        <w:t>3</w:t>
      </w:r>
      <w:r w:rsidR="00226120" w:rsidRPr="005D6D89">
        <w:t>:</w:t>
      </w:r>
      <w:r w:rsidR="00226120" w:rsidRPr="005D6D89">
        <w:tab/>
        <w:t>NC</w:t>
      </w:r>
      <w:r w:rsidR="009E1CDA" w:rsidRPr="005D6D89">
        <w:t>C</w:t>
      </w:r>
      <w:r w:rsidR="00226120" w:rsidRPr="005D6D89">
        <w:t>RA urgency categories</w:t>
      </w:r>
      <w:bookmarkEnd w:id="97"/>
    </w:p>
    <w:p w14:paraId="597A7D51" w14:textId="77777777" w:rsidR="00226120" w:rsidRPr="005D6D89" w:rsidRDefault="001A2FD8" w:rsidP="00AD76B5">
      <w:pPr>
        <w:pStyle w:val="BodyText"/>
        <w:ind w:left="-142"/>
      </w:pPr>
      <w:r>
        <w:rPr>
          <w:noProof/>
        </w:rPr>
        <mc:AlternateContent>
          <mc:Choice Requires="wps">
            <w:drawing>
              <wp:anchor distT="0" distB="0" distL="114300" distR="114300" simplePos="0" relativeHeight="251663360" behindDoc="0" locked="0" layoutInCell="1" allowOverlap="1" wp14:anchorId="25F1A169" wp14:editId="41C9F9BC">
                <wp:simplePos x="0" y="0"/>
                <wp:positionH relativeFrom="column">
                  <wp:posOffset>4310849</wp:posOffset>
                </wp:positionH>
                <wp:positionV relativeFrom="paragraph">
                  <wp:posOffset>224376</wp:posOffset>
                </wp:positionV>
                <wp:extent cx="1230630" cy="2679589"/>
                <wp:effectExtent l="0" t="0" r="7620" b="6985"/>
                <wp:wrapNone/>
                <wp:docPr id="1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67958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BE685B" w14:textId="77777777" w:rsidR="005F460B" w:rsidRPr="006F20BC" w:rsidRDefault="005F460B" w:rsidP="003E43F6">
                            <w:pPr>
                              <w:pStyle w:val="TableText"/>
                              <w:spacing w:before="0" w:line="240" w:lineRule="auto"/>
                              <w:rPr>
                                <w:sz w:val="15"/>
                                <w:szCs w:val="15"/>
                              </w:rPr>
                            </w:pPr>
                            <w:r w:rsidRPr="006F20BC">
                              <w:rPr>
                                <w:sz w:val="15"/>
                                <w:szCs w:val="15"/>
                              </w:rPr>
                              <w:t xml:space="preserve">Each risk </w:t>
                            </w:r>
                            <w:proofErr w:type="gramStart"/>
                            <w:r w:rsidRPr="006F20BC">
                              <w:rPr>
                                <w:sz w:val="15"/>
                                <w:szCs w:val="15"/>
                              </w:rPr>
                              <w:t>was given</w:t>
                            </w:r>
                            <w:proofErr w:type="gramEnd"/>
                            <w:r w:rsidRPr="006F20BC">
                              <w:rPr>
                                <w:sz w:val="15"/>
                                <w:szCs w:val="15"/>
                              </w:rPr>
                              <w:t xml:space="preserve"> a rating (out of 100) according to the level of need for each of these types of action (4 ratings in total).</w:t>
                            </w:r>
                          </w:p>
                          <w:p w14:paraId="5DB60AFA" w14:textId="77777777" w:rsidR="005F460B" w:rsidRPr="006F20BC" w:rsidRDefault="005F460B" w:rsidP="003E43F6">
                            <w:pPr>
                              <w:pStyle w:val="TableText"/>
                              <w:spacing w:line="240" w:lineRule="auto"/>
                              <w:rPr>
                                <w:sz w:val="15"/>
                                <w:szCs w:val="15"/>
                              </w:rPr>
                            </w:pPr>
                            <w:r w:rsidRPr="006F20BC">
                              <w:rPr>
                                <w:sz w:val="15"/>
                                <w:szCs w:val="15"/>
                              </w:rPr>
                              <w:t xml:space="preserve">The four ratings (which </w:t>
                            </w:r>
                            <w:proofErr w:type="gramStart"/>
                            <w:r w:rsidRPr="006F20BC">
                              <w:rPr>
                                <w:sz w:val="15"/>
                                <w:szCs w:val="15"/>
                              </w:rPr>
                              <w:t>were weighted</w:t>
                            </w:r>
                            <w:proofErr w:type="gramEnd"/>
                            <w:r w:rsidRPr="006F20BC">
                              <w:rPr>
                                <w:sz w:val="15"/>
                                <w:szCs w:val="15"/>
                              </w:rPr>
                              <w:t xml:space="preserve"> based on the level of urgency for that type of action) were combined to provide a total rating for action urgency. </w:t>
                            </w:r>
                          </w:p>
                          <w:p w14:paraId="2BD00133" w14:textId="77777777" w:rsidR="005F460B" w:rsidRPr="006F20BC" w:rsidRDefault="005F460B" w:rsidP="003E43F6">
                            <w:pPr>
                              <w:pStyle w:val="TableText"/>
                              <w:spacing w:line="240" w:lineRule="auto"/>
                              <w:rPr>
                                <w:sz w:val="15"/>
                                <w:szCs w:val="15"/>
                              </w:rPr>
                            </w:pPr>
                            <w:r w:rsidRPr="006F20BC">
                              <w:rPr>
                                <w:sz w:val="15"/>
                                <w:szCs w:val="15"/>
                              </w:rPr>
                              <w:t>The overall urgency ratings are useful for comparing relative action urgency between risks in each domain. They are less useful for comparing relative urgency between risks in different domains.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1A169" id="Text Box 205" o:spid="_x0000_s1028" type="#_x0000_t202" style="position:absolute;left:0;text-align:left;margin-left:339.45pt;margin-top:17.65pt;width:96.9pt;height:2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" fillcolor="white [3201]" stroked="f" strokeweight=".5pt">
                <v:textbox inset=",0,,0">
                  <w:txbxContent>
                    <w:p w14:paraId="02BE685B" w14:textId="77777777" w:rsidR="005F460B" w:rsidRPr="006F20BC" w:rsidRDefault="005F460B" w:rsidP="003E43F6">
                      <w:pPr>
                        <w:pStyle w:val="TableText"/>
                        <w:spacing w:before="0" w:line="240" w:lineRule="auto"/>
                        <w:rPr>
                          <w:sz w:val="15"/>
                          <w:szCs w:val="15"/>
                        </w:rPr>
                      </w:pPr>
                      <w:r w:rsidRPr="006F20BC">
                        <w:rPr>
                          <w:sz w:val="15"/>
                          <w:szCs w:val="15"/>
                        </w:rPr>
                        <w:t>Each risk was given a rating (out of 100) according to the level of need for each of these types of action (4 ratings in total).</w:t>
                      </w:r>
                    </w:p>
                    <w:p w14:paraId="5DB60AFA" w14:textId="77777777" w:rsidR="005F460B" w:rsidRPr="006F20BC" w:rsidRDefault="005F460B" w:rsidP="003E43F6">
                      <w:pPr>
                        <w:pStyle w:val="TableText"/>
                        <w:spacing w:line="240" w:lineRule="auto"/>
                        <w:rPr>
                          <w:sz w:val="15"/>
                          <w:szCs w:val="15"/>
                        </w:rPr>
                      </w:pPr>
                      <w:r w:rsidRPr="006F20BC">
                        <w:rPr>
                          <w:sz w:val="15"/>
                          <w:szCs w:val="15"/>
                        </w:rPr>
                        <w:t xml:space="preserve">The four ratings (which were weighted based on the level of urgency for that type of action) were combined to provide a total rating for action urgency. </w:t>
                      </w:r>
                    </w:p>
                    <w:p w14:paraId="2BD00133" w14:textId="77777777" w:rsidR="005F460B" w:rsidRPr="006F20BC" w:rsidRDefault="005F460B" w:rsidP="003E43F6">
                      <w:pPr>
                        <w:pStyle w:val="TableText"/>
                        <w:spacing w:line="240" w:lineRule="auto"/>
                        <w:rPr>
                          <w:sz w:val="15"/>
                          <w:szCs w:val="15"/>
                        </w:rPr>
                      </w:pPr>
                      <w:r w:rsidRPr="006F20BC">
                        <w:rPr>
                          <w:sz w:val="15"/>
                          <w:szCs w:val="15"/>
                        </w:rPr>
                        <w:t>The overall urgency ratings are useful for comparing relative action urgency between risks in each domain. They are less useful for comparing relative urgency between risks in different domains.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C7E6ACC" wp14:editId="18D41B95">
                <wp:simplePos x="0" y="0"/>
                <wp:positionH relativeFrom="column">
                  <wp:posOffset>3960495</wp:posOffset>
                </wp:positionH>
                <wp:positionV relativeFrom="paragraph">
                  <wp:posOffset>324485</wp:posOffset>
                </wp:positionV>
                <wp:extent cx="419100" cy="2338070"/>
                <wp:effectExtent l="11430" t="10160" r="17145" b="13970"/>
                <wp:wrapNone/>
                <wp:docPr id="6" name="Right Brac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338070"/>
                        </a:xfrm>
                        <a:prstGeom prst="rightBrace">
                          <a:avLst>
                            <a:gd name="adj1" fmla="val 8342"/>
                            <a:gd name="adj2" fmla="val 50000"/>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7D48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6" o:spid="_x0000_s1026" type="#_x0000_t88" style="position:absolute;margin-left:311.85pt;margin-top:25.55pt;width:33pt;height:18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" adj="323" strokecolor="black [3213]" strokeweight="1.5pt"/>
            </w:pict>
          </mc:Fallback>
        </mc:AlternateContent>
      </w:r>
      <w:r w:rsidR="00454DDD" w:rsidRPr="005D6D89">
        <w:rPr>
          <w:noProof/>
        </w:rPr>
        <w:drawing>
          <wp:inline distT="0" distB="0" distL="0" distR="0" wp14:anchorId="1C32E631" wp14:editId="67B5AF14">
            <wp:extent cx="4170890" cy="267392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lide5.JPG"/>
                    <pic:cNvPicPr/>
                  </pic:nvPicPr>
                  <pic:blipFill rotWithShape="1">
                    <a:blip r:embed="rId34">
                      <a:extLst>
                        <a:ext uri="{28A0092B-C50C-407E-A947-70E740481C1C}">
                          <a14:useLocalDpi xmlns:a14="http://schemas.microsoft.com/office/drawing/2010/main" val="0"/>
                        </a:ext>
                      </a:extLst>
                    </a:blip>
                    <a:srcRect l="7868" t="10590" r="5133" b="9320"/>
                    <a:stretch/>
                  </pic:blipFill>
                  <pic:spPr bwMode="auto">
                    <a:xfrm>
                      <a:off x="0" y="0"/>
                      <a:ext cx="4214754" cy="2702049"/>
                    </a:xfrm>
                    <a:prstGeom prst="rect">
                      <a:avLst/>
                    </a:prstGeom>
                    <a:ln>
                      <a:noFill/>
                    </a:ln>
                    <a:extLst>
                      <a:ext uri="{53640926-AAD7-44D8-BBD7-CCE9431645EC}">
                        <a14:shadowObscured xmlns:a14="http://schemas.microsoft.com/office/drawing/2010/main"/>
                      </a:ext>
                    </a:extLst>
                  </pic:spPr>
                </pic:pic>
              </a:graphicData>
            </a:graphic>
          </wp:inline>
        </w:drawing>
      </w:r>
    </w:p>
    <w:p w14:paraId="4B2669A3" w14:textId="77777777" w:rsidR="00D728D7" w:rsidRPr="005D6D89" w:rsidRDefault="00D728D7" w:rsidP="00D728D7">
      <w:pPr>
        <w:pStyle w:val="BodyText"/>
      </w:pPr>
      <w:bookmarkStart w:id="98" w:name="_Toc37090487"/>
      <w:bookmarkStart w:id="99" w:name="_Toc37255753"/>
      <w:bookmarkStart w:id="100" w:name="_Toc37393654"/>
      <w:bookmarkStart w:id="101" w:name="_Ref37492197"/>
      <w:bookmarkStart w:id="102" w:name="_Ref37665608"/>
      <w:bookmarkStart w:id="103" w:name="_Ref37666100"/>
      <w:r w:rsidRPr="005D6D89">
        <w:t xml:space="preserve">The categories </w:t>
      </w:r>
      <w:proofErr w:type="gramStart"/>
      <w:r w:rsidRPr="005D6D89">
        <w:t>were applied</w:t>
      </w:r>
      <w:proofErr w:type="gramEnd"/>
      <w:r w:rsidRPr="005D6D89">
        <w:t xml:space="preserve"> differently in the NCCRA than outlined in the NCCRA framework. The framework has mutually exclusive categories, which meant that each risk would have fallen into a single category – this is how urgency </w:t>
      </w:r>
      <w:proofErr w:type="gramStart"/>
      <w:r w:rsidRPr="005D6D89">
        <w:t>was defined</w:t>
      </w:r>
      <w:proofErr w:type="gramEnd"/>
      <w:r w:rsidRPr="005D6D89">
        <w:t xml:space="preserve"> in the UK assessment. This approach proved inappropriate for New Zealand. Given the breadth of each risk, and that New</w:t>
      </w:r>
      <w:r w:rsidR="0023203F" w:rsidRPr="005D6D89">
        <w:t> </w:t>
      </w:r>
      <w:r w:rsidRPr="005D6D89">
        <w:t xml:space="preserve">Zealand is still in the early stages of planning for climate change, a more nuanced application of the urgency categories </w:t>
      </w:r>
      <w:proofErr w:type="gramStart"/>
      <w:r w:rsidRPr="005D6D89">
        <w:t>was adopted</w:t>
      </w:r>
      <w:proofErr w:type="gramEnd"/>
      <w:r w:rsidRPr="005D6D89">
        <w:t xml:space="preserve">. Rather than each risk falling into only one urgency category, the NCCRA developed an </w:t>
      </w:r>
      <w:r w:rsidR="001200EA">
        <w:t>‘</w:t>
      </w:r>
      <w:r w:rsidRPr="005D6D89">
        <w:t>urgency profile</w:t>
      </w:r>
      <w:r w:rsidR="001200EA">
        <w:t>’</w:t>
      </w:r>
      <w:r w:rsidRPr="005D6D89">
        <w:t xml:space="preserve"> through expert elicitation with the domain leads for each risk. </w:t>
      </w:r>
    </w:p>
    <w:p w14:paraId="1BAF6A8F" w14:textId="77777777" w:rsidR="00D728D7" w:rsidRPr="005D6D89" w:rsidRDefault="00D728D7" w:rsidP="00D728D7">
      <w:pPr>
        <w:pStyle w:val="BodyText"/>
      </w:pPr>
      <w:r w:rsidRPr="005D6D89">
        <w:t xml:space="preserve">The profiles rate the applicability of each category to each risk, then use a weighted sum of these rates to assess the overall urgency. The more urgent categories were weighted higher than less urgent ones (the left-hand scale in figure </w:t>
      </w:r>
      <w:r w:rsidR="00DB64DA">
        <w:t>3</w:t>
      </w:r>
      <w:r w:rsidRPr="005D6D89">
        <w:t xml:space="preserve"> indicates the relative urgency). Each risk was given an overview of the types of actions required, using the urgency categories, and was then assigned an urgency rating to inform decision-making in each domain.</w:t>
      </w:r>
      <w:r w:rsidR="00027F9F" w:rsidRPr="005D6D89">
        <w:t xml:space="preserve"> </w:t>
      </w:r>
    </w:p>
    <w:p w14:paraId="3397A958" w14:textId="77777777" w:rsidR="00D728D7" w:rsidRPr="005D6D89" w:rsidRDefault="00D728D7" w:rsidP="00036EDB">
      <w:pPr>
        <w:pStyle w:val="Heading3"/>
        <w:numPr>
          <w:ilvl w:val="0"/>
          <w:numId w:val="20"/>
        </w:numPr>
        <w:tabs>
          <w:tab w:val="num" w:pos="992"/>
        </w:tabs>
      </w:pPr>
      <w:bookmarkStart w:id="104" w:name="_Engagement"/>
      <w:bookmarkStart w:id="105" w:name="_Toc37784864"/>
      <w:bookmarkStart w:id="106" w:name="_Ref40346166"/>
      <w:bookmarkStart w:id="107" w:name="_Ref40346184"/>
      <w:bookmarkStart w:id="108" w:name="_Toc40699335"/>
      <w:bookmarkEnd w:id="104"/>
      <w:r w:rsidRPr="005D6D89">
        <w:t>Engagement</w:t>
      </w:r>
      <w:bookmarkEnd w:id="98"/>
      <w:bookmarkEnd w:id="99"/>
      <w:bookmarkEnd w:id="100"/>
      <w:bookmarkEnd w:id="101"/>
      <w:bookmarkEnd w:id="102"/>
      <w:bookmarkEnd w:id="103"/>
      <w:bookmarkEnd w:id="105"/>
      <w:bookmarkEnd w:id="106"/>
      <w:bookmarkEnd w:id="107"/>
      <w:bookmarkEnd w:id="108"/>
      <w:r w:rsidRPr="005D6D89">
        <w:t xml:space="preserve"> </w:t>
      </w:r>
    </w:p>
    <w:p w14:paraId="5C48740D" w14:textId="77777777" w:rsidR="00D728D7" w:rsidRPr="005D6D89" w:rsidRDefault="00D728D7" w:rsidP="00D728D7">
      <w:pPr>
        <w:pStyle w:val="BodyText"/>
      </w:pPr>
      <w:r w:rsidRPr="005D6D89">
        <w:t>The NCCRA framework sets out guidance for engagement about the risk assessment, including specific considerations for engagement with M</w:t>
      </w:r>
      <w:r w:rsidRPr="005D6D89">
        <w:rPr>
          <w:rFonts w:cs="Arial"/>
        </w:rPr>
        <w:t>ā</w:t>
      </w:r>
      <w:r w:rsidRPr="005D6D89">
        <w:t>ori. It identifies agencies, partners and stakeholders associated with potential elements at risk. In accordance with the framework, the</w:t>
      </w:r>
      <w:r w:rsidR="00DD0206">
        <w:t> </w:t>
      </w:r>
      <w:r w:rsidRPr="005D6D89">
        <w:t xml:space="preserve">Engagement Plan </w:t>
      </w:r>
      <w:proofErr w:type="gramStart"/>
      <w:r w:rsidRPr="005D6D89">
        <w:t>was based</w:t>
      </w:r>
      <w:proofErr w:type="gramEnd"/>
      <w:r w:rsidRPr="005D6D89">
        <w:t xml:space="preserve"> on the principles set out by the International Association of Public Participation for good practice.</w:t>
      </w:r>
    </w:p>
    <w:p w14:paraId="629903D1" w14:textId="77777777" w:rsidR="00D728D7" w:rsidRPr="005D6D89" w:rsidRDefault="00D728D7" w:rsidP="00D728D7">
      <w:pPr>
        <w:pStyle w:val="BodyText"/>
      </w:pPr>
      <w:r w:rsidRPr="005D6D89">
        <w:t xml:space="preserve">This engagement aimed to support the development of the NCCRA by: </w:t>
      </w:r>
    </w:p>
    <w:p w14:paraId="233454C0" w14:textId="77777777" w:rsidR="00D728D7" w:rsidRPr="005D6D89" w:rsidRDefault="00D728D7" w:rsidP="00D728D7">
      <w:pPr>
        <w:pStyle w:val="Bullet"/>
      </w:pPr>
      <w:r w:rsidRPr="005D6D89">
        <w:rPr>
          <w:b/>
        </w:rPr>
        <w:t xml:space="preserve">Sharing information </w:t>
      </w:r>
      <w:r w:rsidRPr="005D6D89">
        <w:t xml:space="preserve">– building awareness of the project among partners and stakeholders so they can better understand the main report and the process to achieve it. </w:t>
      </w:r>
    </w:p>
    <w:p w14:paraId="29A40BD7" w14:textId="77777777" w:rsidR="00D728D7" w:rsidRPr="005D6D89" w:rsidRDefault="00D728D7" w:rsidP="00D728D7">
      <w:pPr>
        <w:pStyle w:val="Bullet"/>
      </w:pPr>
      <w:r w:rsidRPr="005D6D89">
        <w:rPr>
          <w:b/>
        </w:rPr>
        <w:t>Gathering information</w:t>
      </w:r>
      <w:r w:rsidRPr="005D6D89">
        <w:t xml:space="preserve"> – providing a strong, broad and representative evidence base to inform the risk assessment, including</w:t>
      </w:r>
      <w:r w:rsidRPr="005D6D89">
        <w:rPr>
          <w:b/>
        </w:rPr>
        <w:t xml:space="preserve"> </w:t>
      </w:r>
      <w:r w:rsidRPr="005D6D89">
        <w:t xml:space="preserve">critical and informed input into the risks, opportunities and adaptation information and gaps. </w:t>
      </w:r>
    </w:p>
    <w:p w14:paraId="1566F287" w14:textId="77777777" w:rsidR="00D728D7" w:rsidRPr="005D6D89" w:rsidRDefault="00D728D7" w:rsidP="00D728D7">
      <w:pPr>
        <w:pStyle w:val="Bullet"/>
      </w:pPr>
      <w:r w:rsidRPr="005D6D89">
        <w:rPr>
          <w:b/>
        </w:rPr>
        <w:t>Building positive long-term relationships</w:t>
      </w:r>
      <w:r w:rsidRPr="005D6D89">
        <w:t xml:space="preserve"> – forging mutually advantageous connections with and between key stakeholders, Māori/iwi and the Ministry to support Aotearoa</w:t>
      </w:r>
      <w:r w:rsidR="001200EA">
        <w:t>’</w:t>
      </w:r>
      <w:r w:rsidRPr="005D6D89">
        <w:t xml:space="preserve">s ongoing work to identify and respond to climate risk. </w:t>
      </w:r>
    </w:p>
    <w:p w14:paraId="2972DA18" w14:textId="77777777" w:rsidR="00D728D7" w:rsidRPr="005D6D89" w:rsidRDefault="00D728D7" w:rsidP="00D728D7">
      <w:pPr>
        <w:pStyle w:val="Bullet"/>
      </w:pPr>
      <w:r w:rsidRPr="005D6D89">
        <w:rPr>
          <w:b/>
        </w:rPr>
        <w:t>Laying the groundwork for ongoing engagement</w:t>
      </w:r>
      <w:r w:rsidRPr="005D6D89">
        <w:t xml:space="preserve"> – ensuring at the end of the process, there is a foundation for long-term ties with partners and stakeholders, to </w:t>
      </w:r>
      <w:proofErr w:type="gramStart"/>
      <w:r w:rsidRPr="005D6D89">
        <w:t>be</w:t>
      </w:r>
      <w:r w:rsidR="00DD0206">
        <w:t> </w:t>
      </w:r>
      <w:r w:rsidRPr="005D6D89">
        <w:t>led</w:t>
      </w:r>
      <w:proofErr w:type="gramEnd"/>
      <w:r w:rsidR="000C7366" w:rsidRPr="005D6D89">
        <w:t> </w:t>
      </w:r>
      <w:r w:rsidRPr="005D6D89">
        <w:t>by the Ministry for future adaptation work.</w:t>
      </w:r>
    </w:p>
    <w:p w14:paraId="36259546" w14:textId="77777777" w:rsidR="00D728D7" w:rsidRPr="005D6D89" w:rsidRDefault="00D728D7" w:rsidP="00551F83">
      <w:pPr>
        <w:pStyle w:val="Bullet"/>
      </w:pPr>
      <w:r w:rsidRPr="005D6D89">
        <w:rPr>
          <w:b/>
          <w:bCs/>
        </w:rPr>
        <w:t>Following a transparent and repeatable process</w:t>
      </w:r>
      <w:r w:rsidR="00110F01">
        <w:t xml:space="preserve"> – </w:t>
      </w:r>
      <w:r w:rsidRPr="005D6D89">
        <w:rPr>
          <w:bCs/>
        </w:rPr>
        <w:t xml:space="preserve">as a sound basis for the </w:t>
      </w:r>
      <w:r w:rsidRPr="00025D98">
        <w:rPr>
          <w:bCs/>
        </w:rPr>
        <w:t xml:space="preserve">NAP </w:t>
      </w:r>
      <w:r w:rsidRPr="005D6D89">
        <w:rPr>
          <w:bCs/>
        </w:rPr>
        <w:t>and future</w:t>
      </w:r>
      <w:r w:rsidR="00F068B4" w:rsidRPr="005D6D89">
        <w:rPr>
          <w:bCs/>
        </w:rPr>
        <w:t> </w:t>
      </w:r>
      <w:r w:rsidRPr="005D6D89">
        <w:rPr>
          <w:bCs/>
        </w:rPr>
        <w:t>NCCRAs</w:t>
      </w:r>
      <w:r w:rsidRPr="005D6D89">
        <w:t xml:space="preserve">. </w:t>
      </w:r>
    </w:p>
    <w:p w14:paraId="5ADC6E01" w14:textId="77777777" w:rsidR="00D728D7" w:rsidRPr="005D6D89" w:rsidRDefault="00D728D7" w:rsidP="00551F83">
      <w:pPr>
        <w:pStyle w:val="BodyText"/>
      </w:pPr>
      <w:r w:rsidRPr="005D6D89">
        <w:t>The aim was to identify as many potential risks throughout New Zealand as possible and to elicit responses from different regions and disciplines. Stages 2 and 3 were more targeted, focusing on partners and stakeholders with direct responsibility for managing the risks rated</w:t>
      </w:r>
      <w:r w:rsidR="00F621BB">
        <w:t> </w:t>
      </w:r>
      <w:r w:rsidRPr="005D6D89">
        <w:t>as</w:t>
      </w:r>
      <w:r w:rsidR="00F068B4" w:rsidRPr="005D6D89">
        <w:t> </w:t>
      </w:r>
      <w:r w:rsidRPr="005D6D89">
        <w:t>either major or extreme. In total, over 400 individual stakeholders from about 250</w:t>
      </w:r>
      <w:r w:rsidR="00F621BB">
        <w:t> </w:t>
      </w:r>
      <w:r w:rsidRPr="005D6D89">
        <w:t xml:space="preserve">organisations </w:t>
      </w:r>
      <w:proofErr w:type="gramStart"/>
      <w:r w:rsidRPr="005D6D89">
        <w:t>were consulted</w:t>
      </w:r>
      <w:proofErr w:type="gramEnd"/>
      <w:r w:rsidRPr="005D6D89">
        <w:t>.</w:t>
      </w:r>
      <w:r w:rsidR="00027F9F" w:rsidRPr="005D6D89">
        <w:t xml:space="preserve"> </w:t>
      </w:r>
    </w:p>
    <w:p w14:paraId="5574F274" w14:textId="77777777" w:rsidR="00D728D7" w:rsidRPr="005D6D89" w:rsidRDefault="00D728D7" w:rsidP="00551F83">
      <w:pPr>
        <w:pStyle w:val="BodyText"/>
      </w:pPr>
      <w:r w:rsidRPr="005D6D89">
        <w:t>Taking place between October 2019 and March 2020, activities included:</w:t>
      </w:r>
    </w:p>
    <w:p w14:paraId="02864108" w14:textId="77777777" w:rsidR="00D728D7" w:rsidRPr="005D6D89" w:rsidRDefault="00D728D7" w:rsidP="00551F83">
      <w:pPr>
        <w:pStyle w:val="Bullet"/>
      </w:pPr>
      <w:r w:rsidRPr="005D6D89">
        <w:t>a national multi-stakeholder workshop in November 2019</w:t>
      </w:r>
    </w:p>
    <w:p w14:paraId="7379912A" w14:textId="77777777" w:rsidR="00D728D7" w:rsidRPr="005D6D89" w:rsidRDefault="00D728D7" w:rsidP="00551F83">
      <w:pPr>
        <w:pStyle w:val="Bullet"/>
      </w:pPr>
      <w:r w:rsidRPr="005D6D89">
        <w:t>a hui in November 2019, with representatives of Māori organisations and iwi/hapū from across New Zealand</w:t>
      </w:r>
    </w:p>
    <w:p w14:paraId="19C3007C" w14:textId="77777777" w:rsidR="00D728D7" w:rsidRPr="005D6D89" w:rsidRDefault="00D728D7" w:rsidP="00551F83">
      <w:pPr>
        <w:pStyle w:val="Bullet"/>
      </w:pPr>
      <w:r w:rsidRPr="005D6D89">
        <w:t>five risk assessment workshops, each focusing on a different value domain</w:t>
      </w:r>
    </w:p>
    <w:p w14:paraId="68F641C7" w14:textId="77777777" w:rsidR="00D728D7" w:rsidRPr="005D6D89" w:rsidRDefault="00D728D7" w:rsidP="00551F83">
      <w:pPr>
        <w:pStyle w:val="Bullet"/>
      </w:pPr>
      <w:r w:rsidRPr="005D6D89">
        <w:t>local hui through invitation from Te Ātiawa, Te Arawa and Waikato-Tainui iwi</w:t>
      </w:r>
    </w:p>
    <w:p w14:paraId="4A4659FE" w14:textId="77777777" w:rsidR="00D728D7" w:rsidRPr="005D6D89" w:rsidRDefault="00D728D7" w:rsidP="00551F83">
      <w:pPr>
        <w:pStyle w:val="Bullet"/>
      </w:pPr>
      <w:r w:rsidRPr="005D6D89">
        <w:t>meetings, workshops and teleconferences with target partners and stakeholders, including local and central government</w:t>
      </w:r>
    </w:p>
    <w:p w14:paraId="07F731EE" w14:textId="77777777" w:rsidR="00D728D7" w:rsidRPr="005D6D89" w:rsidRDefault="00D728D7" w:rsidP="00551F83">
      <w:pPr>
        <w:pStyle w:val="Bullet"/>
      </w:pPr>
      <w:r w:rsidRPr="005D6D89">
        <w:t>two web-based surveys (in Stages 1 and 2)</w:t>
      </w:r>
    </w:p>
    <w:p w14:paraId="314323F8" w14:textId="77777777" w:rsidR="00D728D7" w:rsidRPr="005D6D89" w:rsidRDefault="00D728D7" w:rsidP="00551F83">
      <w:pPr>
        <w:pStyle w:val="Bullet"/>
      </w:pPr>
      <w:proofErr w:type="gramStart"/>
      <w:r w:rsidRPr="005D6D89">
        <w:t>supplementary</w:t>
      </w:r>
      <w:proofErr w:type="gramEnd"/>
      <w:r w:rsidRPr="005D6D89">
        <w:t xml:space="preserve"> engagement at conferences and other forums.</w:t>
      </w:r>
    </w:p>
    <w:p w14:paraId="77C7B6E2" w14:textId="77777777" w:rsidR="00D728D7" w:rsidRPr="005D6D89" w:rsidRDefault="00D728D7" w:rsidP="00551F83">
      <w:pPr>
        <w:pStyle w:val="BodyText"/>
      </w:pPr>
      <w:r w:rsidRPr="005D6D89">
        <w:t xml:space="preserve">The Ministry also held a series of regional </w:t>
      </w:r>
      <w:proofErr w:type="gramStart"/>
      <w:r w:rsidRPr="005D6D89">
        <w:t>hui</w:t>
      </w:r>
      <w:proofErr w:type="gramEnd"/>
      <w:r w:rsidRPr="005D6D89">
        <w:t xml:space="preserve"> in February 2020, which included discussion and feedback about the NCCRA. </w:t>
      </w:r>
    </w:p>
    <w:p w14:paraId="43BFFB7B" w14:textId="0AE4E8A5" w:rsidR="00D728D7" w:rsidRPr="005D6D89" w:rsidRDefault="00D728D7" w:rsidP="00551F83">
      <w:pPr>
        <w:pStyle w:val="BodyText"/>
      </w:pPr>
      <w:r w:rsidRPr="005D6D89">
        <w:t xml:space="preserve">The results are set out in the </w:t>
      </w:r>
      <w:hyperlink r:id="rId35" w:history="1">
        <w:r w:rsidR="005F460B" w:rsidRPr="005F460B">
          <w:rPr>
            <w:rStyle w:val="Hyperlink"/>
          </w:rPr>
          <w:t>method report</w:t>
        </w:r>
      </w:hyperlink>
      <w:r w:rsidRPr="005D6D89">
        <w:t xml:space="preserve">. </w:t>
      </w:r>
    </w:p>
    <w:p w14:paraId="371F6F6E" w14:textId="77777777" w:rsidR="00F97E2D" w:rsidRPr="005D6D89" w:rsidRDefault="00F97E2D" w:rsidP="00036EDB">
      <w:pPr>
        <w:pStyle w:val="Heading2"/>
        <w:numPr>
          <w:ilvl w:val="0"/>
          <w:numId w:val="19"/>
        </w:numPr>
      </w:pPr>
      <w:bookmarkStart w:id="109" w:name="_Toc37255754"/>
      <w:bookmarkStart w:id="110" w:name="_Toc37393655"/>
      <w:bookmarkStart w:id="111" w:name="_Toc37784865"/>
      <w:bookmarkStart w:id="112" w:name="_Toc40699336"/>
      <w:bookmarkStart w:id="113" w:name="_Toc43064129"/>
      <w:bookmarkStart w:id="114" w:name="_Toc37090488"/>
      <w:r w:rsidRPr="005D6D89">
        <w:t>Limitations</w:t>
      </w:r>
      <w:bookmarkEnd w:id="109"/>
      <w:bookmarkEnd w:id="110"/>
      <w:bookmarkEnd w:id="111"/>
      <w:bookmarkEnd w:id="112"/>
      <w:bookmarkEnd w:id="113"/>
    </w:p>
    <w:p w14:paraId="4C02AF51" w14:textId="77777777" w:rsidR="00F97E2D" w:rsidRPr="005D6D89" w:rsidRDefault="00F97E2D" w:rsidP="00812D16">
      <w:pPr>
        <w:pStyle w:val="Heading3"/>
        <w:numPr>
          <w:ilvl w:val="0"/>
          <w:numId w:val="27"/>
        </w:numPr>
        <w:spacing w:before="240"/>
      </w:pPr>
      <w:bookmarkStart w:id="115" w:name="_Toc37090489"/>
      <w:bookmarkStart w:id="116" w:name="_Toc37255755"/>
      <w:bookmarkStart w:id="117" w:name="_Toc37393656"/>
      <w:bookmarkStart w:id="118" w:name="_Toc37784866"/>
      <w:bookmarkStart w:id="119" w:name="_Toc40699337"/>
      <w:bookmarkEnd w:id="114"/>
      <w:r w:rsidRPr="005D6D89">
        <w:t>Socio-economic projections</w:t>
      </w:r>
      <w:bookmarkEnd w:id="115"/>
      <w:bookmarkEnd w:id="116"/>
      <w:bookmarkEnd w:id="117"/>
      <w:bookmarkEnd w:id="118"/>
      <w:bookmarkEnd w:id="119"/>
    </w:p>
    <w:p w14:paraId="1E0CA6E5" w14:textId="77777777" w:rsidR="00F97E2D" w:rsidRPr="005D6D89" w:rsidRDefault="00F97E2D" w:rsidP="00F97E2D">
      <w:pPr>
        <w:pStyle w:val="BodyText"/>
      </w:pPr>
      <w:r w:rsidRPr="005D6D89">
        <w:t xml:space="preserve">For this first assessment, the NCCRA framework excluded socio-economic projections, such as future changes in population, gross domestic product and other economic, land use or employment variables. </w:t>
      </w:r>
    </w:p>
    <w:p w14:paraId="666B6B51" w14:textId="77777777" w:rsidR="00F97E2D" w:rsidRPr="005D6D89" w:rsidRDefault="00F97E2D" w:rsidP="00F97E2D">
      <w:pPr>
        <w:pStyle w:val="BodyText"/>
      </w:pPr>
      <w:r w:rsidRPr="005D6D89">
        <w:t>Socio-economic changes will affect future vulnerability and exposure, and therefore the magnitude of consequence for some risks, particularly in the medium and long term. New</w:t>
      </w:r>
      <w:r w:rsidR="00E52382" w:rsidRPr="005D6D89">
        <w:t> </w:t>
      </w:r>
      <w:r w:rsidRPr="005D6D89">
        <w:t>Zealand</w:t>
      </w:r>
      <w:r w:rsidR="001200EA">
        <w:t>’</w:t>
      </w:r>
      <w:r w:rsidRPr="005D6D89">
        <w:t xml:space="preserve">s socio-economic fabric (population, technological change and economic growth) will be very different in 2050 and in 2100. For example, cultural diversity will continue to grow. </w:t>
      </w:r>
    </w:p>
    <w:p w14:paraId="4200F13F" w14:textId="77777777" w:rsidR="00F97E2D" w:rsidRPr="005D6D89" w:rsidRDefault="00F97E2D" w:rsidP="00F97E2D">
      <w:pPr>
        <w:pStyle w:val="BodyText"/>
      </w:pPr>
      <w:r w:rsidRPr="005D6D89">
        <w:t xml:space="preserve">This report explores these issues and areas of consideration for future NCCRAs at a high level through a case study in </w:t>
      </w:r>
      <w:hyperlink w:anchor="_Case_studies:_cascading" w:history="1">
        <w:r w:rsidRPr="00243162">
          <w:rPr>
            <w:rStyle w:val="Hyperlink"/>
          </w:rPr>
          <w:t xml:space="preserve">section </w:t>
        </w:r>
        <w:r w:rsidR="00243162" w:rsidRPr="00243162">
          <w:rPr>
            <w:rStyle w:val="Hyperlink"/>
          </w:rPr>
          <w:t>6</w:t>
        </w:r>
      </w:hyperlink>
      <w:r w:rsidRPr="005D6D89">
        <w:t xml:space="preserve">. </w:t>
      </w:r>
    </w:p>
    <w:p w14:paraId="3933CA2A" w14:textId="77777777" w:rsidR="00F97E2D" w:rsidRPr="005D6D89" w:rsidRDefault="00F97E2D" w:rsidP="00812D16">
      <w:pPr>
        <w:pStyle w:val="Heading3"/>
        <w:numPr>
          <w:ilvl w:val="0"/>
          <w:numId w:val="27"/>
        </w:numPr>
      </w:pPr>
      <w:bookmarkStart w:id="120" w:name="_Toc37090490"/>
      <w:bookmarkStart w:id="121" w:name="_Toc37255756"/>
      <w:bookmarkStart w:id="122" w:name="_Toc37393657"/>
      <w:bookmarkStart w:id="123" w:name="_Toc37784867"/>
      <w:bookmarkStart w:id="124" w:name="_Toc40699338"/>
      <w:r w:rsidRPr="005D6D89">
        <w:t>Transition risks</w:t>
      </w:r>
      <w:bookmarkEnd w:id="120"/>
      <w:bookmarkEnd w:id="121"/>
      <w:bookmarkEnd w:id="122"/>
      <w:bookmarkEnd w:id="123"/>
      <w:bookmarkEnd w:id="124"/>
    </w:p>
    <w:p w14:paraId="12DF83A7" w14:textId="77777777" w:rsidR="00F97E2D" w:rsidRPr="005D6D89" w:rsidRDefault="00F97E2D" w:rsidP="00E52382">
      <w:pPr>
        <w:pStyle w:val="BodyText"/>
        <w:keepLines/>
      </w:pPr>
      <w:r w:rsidRPr="005D6D89">
        <w:t>Risks may emerge from the transition to a lower-carbon global economy. This may entail extensive policy, legal, technology and market changes to address mitigation and adaptation. S</w:t>
      </w:r>
      <w:r w:rsidR="00110F01">
        <w:t>uch risks include</w:t>
      </w:r>
      <w:r w:rsidRPr="005D6D89">
        <w:t xml:space="preserve"> higher pricing of GHG emissions or costs of transitioning to lower emissions technology (Task Force on Climate-related Financial Disclosures (TCFD), 2017). Transition risks may combine with physical risks to affect different sectors. </w:t>
      </w:r>
    </w:p>
    <w:p w14:paraId="23CA61B4" w14:textId="77777777" w:rsidR="00F97E2D" w:rsidRPr="005D6D89" w:rsidRDefault="00F97E2D" w:rsidP="00F97E2D">
      <w:pPr>
        <w:pStyle w:val="BodyText"/>
      </w:pPr>
      <w:r w:rsidRPr="005D6D89">
        <w:t>The NCCRA framework excluded the consideration of transition risks from this first NCCRA. The</w:t>
      </w:r>
      <w:r w:rsidR="00B436F0" w:rsidRPr="005D6D89">
        <w:t> </w:t>
      </w:r>
      <w:r w:rsidRPr="005D6D89">
        <w:t>Government is currently addressing these risks through other regulatory mechanisms such</w:t>
      </w:r>
      <w:r w:rsidR="00B436F0" w:rsidRPr="005D6D89">
        <w:t> </w:t>
      </w:r>
      <w:r w:rsidRPr="005D6D89">
        <w:t xml:space="preserve">as the reporting requirements of the Climate Change Response (Zero Carbon) Amendment Act 2019. It is also proposing to require financial firms and listed companies to report on the impacts for their business and investments in a consistent way, in line with guidance from the TCFD. </w:t>
      </w:r>
    </w:p>
    <w:p w14:paraId="26130D89" w14:textId="77777777" w:rsidR="00F97E2D" w:rsidRPr="005D6D89" w:rsidRDefault="00F97E2D" w:rsidP="00812D16">
      <w:pPr>
        <w:pStyle w:val="Heading3"/>
        <w:numPr>
          <w:ilvl w:val="0"/>
          <w:numId w:val="27"/>
        </w:numPr>
      </w:pPr>
      <w:bookmarkStart w:id="125" w:name="_National_assessment"/>
      <w:bookmarkStart w:id="126" w:name="_Toc37090491"/>
      <w:bookmarkStart w:id="127" w:name="_Toc37255757"/>
      <w:bookmarkStart w:id="128" w:name="_Toc37393658"/>
      <w:bookmarkStart w:id="129" w:name="_Ref37665763"/>
      <w:bookmarkStart w:id="130" w:name="_Toc37784868"/>
      <w:bookmarkStart w:id="131" w:name="_Toc40699339"/>
      <w:bookmarkEnd w:id="125"/>
      <w:r w:rsidRPr="005D6D89">
        <w:t>National assessment</w:t>
      </w:r>
      <w:bookmarkEnd w:id="126"/>
      <w:bookmarkEnd w:id="127"/>
      <w:bookmarkEnd w:id="128"/>
      <w:bookmarkEnd w:id="129"/>
      <w:bookmarkEnd w:id="130"/>
      <w:bookmarkEnd w:id="131"/>
      <w:r w:rsidRPr="005D6D89">
        <w:t xml:space="preserve"> </w:t>
      </w:r>
    </w:p>
    <w:p w14:paraId="43FAFDC3" w14:textId="77777777" w:rsidR="00F97E2D" w:rsidRPr="005D6D89" w:rsidRDefault="00F97E2D" w:rsidP="00F97E2D">
      <w:pPr>
        <w:pStyle w:val="BodyText"/>
      </w:pPr>
      <w:bookmarkStart w:id="132" w:name="_Toc37090492"/>
      <w:bookmarkStart w:id="133" w:name="_Toc37255758"/>
      <w:bookmarkStart w:id="134" w:name="_Toc37393659"/>
      <w:r w:rsidRPr="005D6D89">
        <w:rPr>
          <w:lang w:eastAsia="en-AU"/>
        </w:rPr>
        <w:t xml:space="preserve">The NCCRA is a national-scale assessment designed to feed into the NAP </w:t>
      </w:r>
      <w:r w:rsidRPr="005D6D89">
        <w:t xml:space="preserve">through a systematic examination of climate risks and opportunities to New Zealand, and the urgency for addressing them. It considers climate impacts on different parts of the country, using seven sub-national zones and two zones for the marine environment (territorial sea and EEZ). </w:t>
      </w:r>
    </w:p>
    <w:p w14:paraId="0EE5F623" w14:textId="77777777" w:rsidR="00F97E2D" w:rsidRPr="005D6D89" w:rsidRDefault="00F97E2D" w:rsidP="00F97E2D">
      <w:pPr>
        <w:pStyle w:val="BodyText"/>
        <w:rPr>
          <w:lang w:eastAsia="en-AU"/>
        </w:rPr>
      </w:pPr>
      <w:r w:rsidRPr="005D6D89">
        <w:t>The consultants aggregate</w:t>
      </w:r>
      <w:r w:rsidRPr="005D6D89">
        <w:rPr>
          <w:lang w:eastAsia="en-AU"/>
        </w:rPr>
        <w:t>d the risks to the national scale, with a qualitative description provided where risks may be higher in one or two climate zones. The NCCRA methodology is adaptable to the regional, catchment, district and city scale as part of future assessments. The regional and district assessments would focus more on informing governance and planning by regional, district and city councils (Ministry for the Environment, 2019).</w:t>
      </w:r>
      <w:r w:rsidR="00027F9F" w:rsidRPr="005D6D89">
        <w:rPr>
          <w:lang w:eastAsia="en-AU"/>
        </w:rPr>
        <w:t xml:space="preserve"> </w:t>
      </w:r>
    </w:p>
    <w:p w14:paraId="27205D74" w14:textId="77777777" w:rsidR="00F97E2D" w:rsidRPr="005D6D89" w:rsidRDefault="00F97E2D" w:rsidP="00812D16">
      <w:pPr>
        <w:pStyle w:val="Heading3"/>
        <w:numPr>
          <w:ilvl w:val="0"/>
          <w:numId w:val="27"/>
        </w:numPr>
      </w:pPr>
      <w:bookmarkStart w:id="135" w:name="_Toc37784869"/>
      <w:bookmarkStart w:id="136" w:name="_Toc40699340"/>
      <w:r w:rsidRPr="005D6D89">
        <w:t>International and transboundary issues</w:t>
      </w:r>
      <w:bookmarkEnd w:id="132"/>
      <w:bookmarkEnd w:id="133"/>
      <w:bookmarkEnd w:id="134"/>
      <w:bookmarkEnd w:id="135"/>
      <w:bookmarkEnd w:id="136"/>
    </w:p>
    <w:p w14:paraId="1FAE0296" w14:textId="77777777" w:rsidR="00F97E2D" w:rsidRPr="005D6D89" w:rsidRDefault="00F97E2D" w:rsidP="007A7287">
      <w:pPr>
        <w:pStyle w:val="BodyText"/>
      </w:pPr>
      <w:r w:rsidRPr="005D6D89">
        <w:t>The NCCRA recognises climate change will affect people and economies around the world. This will have flow-on effects for New Zealand. The first NCCRA recognises international and transboundary issues, and discusses those relevant to specific risks. As many international impacts will be inextricably tied to socio-economic projections, future NCCRAs may explore these issues more broadly.</w:t>
      </w:r>
      <w:r w:rsidR="00027F9F" w:rsidRPr="005D6D89">
        <w:t xml:space="preserve"> </w:t>
      </w:r>
    </w:p>
    <w:p w14:paraId="71A5E6FE" w14:textId="77777777" w:rsidR="00F97E2D" w:rsidRPr="005D6D89" w:rsidRDefault="00F97E2D" w:rsidP="00036EDB">
      <w:pPr>
        <w:pStyle w:val="Heading2"/>
        <w:numPr>
          <w:ilvl w:val="0"/>
          <w:numId w:val="19"/>
        </w:numPr>
      </w:pPr>
      <w:bookmarkStart w:id="137" w:name="_Toc37090493"/>
      <w:bookmarkStart w:id="138" w:name="_Toc37255759"/>
      <w:bookmarkStart w:id="139" w:name="_Toc37393660"/>
      <w:bookmarkStart w:id="140" w:name="_Toc37784870"/>
      <w:bookmarkStart w:id="141" w:name="_Toc40699341"/>
      <w:bookmarkStart w:id="142" w:name="_Toc43064130"/>
      <w:r w:rsidRPr="005D6D89">
        <w:t>Overview of value domains</w:t>
      </w:r>
      <w:bookmarkEnd w:id="137"/>
      <w:bookmarkEnd w:id="138"/>
      <w:bookmarkEnd w:id="139"/>
      <w:bookmarkEnd w:id="140"/>
      <w:bookmarkEnd w:id="141"/>
      <w:bookmarkEnd w:id="142"/>
    </w:p>
    <w:p w14:paraId="049B8873" w14:textId="77777777" w:rsidR="00F97E2D" w:rsidRPr="005D6D89" w:rsidRDefault="00F97E2D" w:rsidP="00036EDB">
      <w:pPr>
        <w:pStyle w:val="Heading3"/>
        <w:numPr>
          <w:ilvl w:val="0"/>
          <w:numId w:val="21"/>
        </w:numPr>
        <w:spacing w:before="240"/>
      </w:pPr>
      <w:bookmarkStart w:id="143" w:name="_Value_domains"/>
      <w:bookmarkStart w:id="144" w:name="_Toc37090494"/>
      <w:bookmarkStart w:id="145" w:name="_Toc37255760"/>
      <w:bookmarkStart w:id="146" w:name="_Toc37393661"/>
      <w:bookmarkStart w:id="147" w:name="_Ref37665823"/>
      <w:bookmarkStart w:id="148" w:name="_Ref37666393"/>
      <w:bookmarkStart w:id="149" w:name="_Toc37784871"/>
      <w:bookmarkStart w:id="150" w:name="_Toc40699342"/>
      <w:bookmarkEnd w:id="143"/>
      <w:r w:rsidRPr="005D6D89">
        <w:t>Value domains</w:t>
      </w:r>
      <w:bookmarkEnd w:id="144"/>
      <w:bookmarkEnd w:id="145"/>
      <w:bookmarkEnd w:id="146"/>
      <w:bookmarkEnd w:id="147"/>
      <w:bookmarkEnd w:id="148"/>
      <w:bookmarkEnd w:id="149"/>
      <w:bookmarkEnd w:id="150"/>
      <w:r w:rsidRPr="005D6D89">
        <w:t xml:space="preserve"> </w:t>
      </w:r>
    </w:p>
    <w:p w14:paraId="5DCE6616" w14:textId="77777777" w:rsidR="00F97E2D" w:rsidRPr="005D6D89" w:rsidRDefault="00F97E2D" w:rsidP="00F97E2D">
      <w:pPr>
        <w:pStyle w:val="BodyText"/>
        <w:rPr>
          <w:lang w:eastAsia="en-AU"/>
        </w:rPr>
      </w:pPr>
      <w:r w:rsidRPr="005D6D89">
        <w:rPr>
          <w:lang w:eastAsia="en-AU"/>
        </w:rPr>
        <w:t xml:space="preserve">The NCCRA framework outlines five </w:t>
      </w:r>
      <w:r w:rsidR="001200EA">
        <w:rPr>
          <w:lang w:eastAsia="en-AU"/>
        </w:rPr>
        <w:t>‘</w:t>
      </w:r>
      <w:r w:rsidRPr="005D6D89">
        <w:t>value</w:t>
      </w:r>
      <w:r w:rsidRPr="005D6D89">
        <w:rPr>
          <w:lang w:eastAsia="en-AU"/>
        </w:rPr>
        <w:t xml:space="preserve"> domains</w:t>
      </w:r>
      <w:r w:rsidR="001200EA">
        <w:rPr>
          <w:lang w:eastAsia="en-AU"/>
        </w:rPr>
        <w:t>’</w:t>
      </w:r>
      <w:r w:rsidRPr="005D6D89">
        <w:rPr>
          <w:lang w:eastAsia="en-AU"/>
        </w:rPr>
        <w:t xml:space="preserve"> for assessing risks and opportunities (</w:t>
      </w:r>
      <w:hyperlink w:anchor="table6" w:history="1">
        <w:r w:rsidR="00ED06AC" w:rsidRPr="00ED06AC">
          <w:rPr>
            <w:rStyle w:val="Hyperlink"/>
            <w:lang w:eastAsia="en-AU"/>
          </w:rPr>
          <w:t>table 6</w:t>
        </w:r>
      </w:hyperlink>
      <w:r w:rsidRPr="005D6D89">
        <w:rPr>
          <w:lang w:eastAsia="en-AU"/>
        </w:rPr>
        <w:t xml:space="preserve">). The domains represent groups of values, assets and systems that </w:t>
      </w:r>
      <w:proofErr w:type="gramStart"/>
      <w:r w:rsidRPr="005D6D89">
        <w:rPr>
          <w:lang w:eastAsia="en-AU"/>
        </w:rPr>
        <w:t>could be either</w:t>
      </w:r>
      <w:proofErr w:type="gramEnd"/>
      <w:r w:rsidR="00C425CA" w:rsidRPr="005D6D89">
        <w:rPr>
          <w:lang w:eastAsia="en-AU"/>
        </w:rPr>
        <w:t> </w:t>
      </w:r>
      <w:r w:rsidRPr="005D6D89">
        <w:rPr>
          <w:lang w:eastAsia="en-AU"/>
        </w:rPr>
        <w:t>at</w:t>
      </w:r>
      <w:r w:rsidR="007A7287" w:rsidRPr="005D6D89">
        <w:rPr>
          <w:lang w:eastAsia="en-AU"/>
        </w:rPr>
        <w:t> </w:t>
      </w:r>
      <w:r w:rsidRPr="005D6D89">
        <w:rPr>
          <w:lang w:eastAsia="en-AU"/>
        </w:rPr>
        <w:t>risk from climate-related hazards or beneficially affected. They are a hybrid of the</w:t>
      </w:r>
      <w:r w:rsidR="00C425CA" w:rsidRPr="005D6D89">
        <w:rPr>
          <w:lang w:eastAsia="en-AU"/>
        </w:rPr>
        <w:t> </w:t>
      </w:r>
      <w:r w:rsidRPr="005D6D89">
        <w:rPr>
          <w:lang w:eastAsia="en-AU"/>
        </w:rPr>
        <w:t>New</w:t>
      </w:r>
      <w:r w:rsidR="00C425CA" w:rsidRPr="005D6D89">
        <w:rPr>
          <w:lang w:eastAsia="en-AU"/>
        </w:rPr>
        <w:t> </w:t>
      </w:r>
      <w:r w:rsidRPr="005D6D89">
        <w:rPr>
          <w:lang w:eastAsia="en-AU"/>
        </w:rPr>
        <w:t>Zealand Treasury</w:t>
      </w:r>
      <w:r w:rsidR="001200EA">
        <w:rPr>
          <w:lang w:eastAsia="en-AU"/>
        </w:rPr>
        <w:t>’</w:t>
      </w:r>
      <w:r w:rsidRPr="005D6D89">
        <w:rPr>
          <w:lang w:eastAsia="en-AU"/>
        </w:rPr>
        <w:t xml:space="preserve">s Living Standards Framework and those used in the </w:t>
      </w:r>
      <w:r w:rsidRPr="005D6D89">
        <w:rPr>
          <w:i/>
          <w:lang w:eastAsia="en-AU"/>
        </w:rPr>
        <w:t>National Disaster Resilience Strategy</w:t>
      </w:r>
      <w:r w:rsidRPr="005D6D89">
        <w:rPr>
          <w:lang w:eastAsia="en-AU"/>
        </w:rPr>
        <w:t xml:space="preserve"> </w:t>
      </w:r>
      <w:r w:rsidRPr="005D6D89">
        <w:t xml:space="preserve">(The Treasury, 2018; Ministry of Civil Defence and Emergency Management, 2019). </w:t>
      </w:r>
      <w:r w:rsidRPr="005D6D89">
        <w:rPr>
          <w:lang w:eastAsia="en-AU"/>
        </w:rPr>
        <w:t>The domains are interconnected, apply at individual, community and</w:t>
      </w:r>
      <w:r w:rsidR="007A7287" w:rsidRPr="005D6D89">
        <w:rPr>
          <w:lang w:eastAsia="en-AU"/>
        </w:rPr>
        <w:t> </w:t>
      </w:r>
      <w:r w:rsidRPr="005D6D89">
        <w:rPr>
          <w:lang w:eastAsia="en-AU"/>
        </w:rPr>
        <w:t>national levels, and include tangible and intangible values.</w:t>
      </w:r>
    </w:p>
    <w:p w14:paraId="522F50AE" w14:textId="77777777" w:rsidR="0021142D" w:rsidRPr="005D6D89" w:rsidRDefault="0021142D" w:rsidP="00E32D45">
      <w:pPr>
        <w:pStyle w:val="Tableheading"/>
        <w:rPr>
          <w:rFonts w:asciiTheme="majorHAnsi" w:hAnsiTheme="majorHAnsi" w:cstheme="majorHAnsi"/>
          <w:lang w:eastAsia="en-AU"/>
        </w:rPr>
      </w:pPr>
      <w:bookmarkStart w:id="151" w:name="table6"/>
      <w:bookmarkStart w:id="152" w:name="_Ref37666182"/>
      <w:bookmarkStart w:id="153" w:name="_Toc37072185"/>
      <w:bookmarkStart w:id="154" w:name="_Toc37240786"/>
      <w:bookmarkStart w:id="155" w:name="_Toc40699398"/>
      <w:bookmarkStart w:id="156" w:name="_Toc43312800"/>
      <w:bookmarkEnd w:id="151"/>
      <w:r w:rsidRPr="005D6D89">
        <w:t xml:space="preserve">Table </w:t>
      </w:r>
      <w:bookmarkEnd w:id="152"/>
      <w:r w:rsidR="00543147" w:rsidRPr="005D6D89">
        <w:t>6</w:t>
      </w:r>
      <w:r w:rsidRPr="005D6D89">
        <w:t>:</w:t>
      </w:r>
      <w:r w:rsidRPr="005D6D89">
        <w:tab/>
        <w:t>Description of value domains</w:t>
      </w:r>
      <w:bookmarkEnd w:id="153"/>
      <w:bookmarkEnd w:id="154"/>
      <w:bookmarkEnd w:id="155"/>
      <w:bookmarkEnd w:id="156"/>
      <w:r w:rsidRPr="005D6D89">
        <w:t xml:space="preserve"> </w:t>
      </w:r>
    </w:p>
    <w:tbl>
      <w:tblPr>
        <w:tblW w:w="8505" w:type="dxa"/>
        <w:tblInd w:w="10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1560"/>
        <w:gridCol w:w="6945"/>
      </w:tblGrid>
      <w:tr w:rsidR="0021142D" w:rsidRPr="005D6D89" w14:paraId="7BEB44F9" w14:textId="77777777" w:rsidTr="00FB70EF">
        <w:trPr>
          <w:trHeight w:val="340"/>
          <w:tblHeader/>
        </w:trPr>
        <w:tc>
          <w:tcPr>
            <w:tcW w:w="917" w:type="pct"/>
            <w:shd w:val="clear" w:color="auto" w:fill="1C556C" w:themeFill="accent1"/>
            <w:tcMar>
              <w:top w:w="0" w:type="dxa"/>
            </w:tcMar>
            <w:vAlign w:val="center"/>
          </w:tcPr>
          <w:p w14:paraId="7C36F242" w14:textId="77777777" w:rsidR="0021142D" w:rsidRPr="005D6D89" w:rsidRDefault="0021142D" w:rsidP="0021142D">
            <w:pPr>
              <w:pStyle w:val="TableTextBold0"/>
              <w:keepNext/>
              <w:rPr>
                <w:color w:val="FFFFFF" w:themeColor="background1"/>
              </w:rPr>
            </w:pPr>
            <w:r w:rsidRPr="005D6D89">
              <w:rPr>
                <w:color w:val="FFFFFF" w:themeColor="background1"/>
              </w:rPr>
              <w:t xml:space="preserve">Value domain </w:t>
            </w:r>
          </w:p>
        </w:tc>
        <w:tc>
          <w:tcPr>
            <w:tcW w:w="4083" w:type="pct"/>
            <w:shd w:val="clear" w:color="auto" w:fill="1C556C" w:themeFill="accent1"/>
            <w:tcMar>
              <w:top w:w="0" w:type="dxa"/>
            </w:tcMar>
            <w:vAlign w:val="center"/>
          </w:tcPr>
          <w:p w14:paraId="62F8C004" w14:textId="77777777" w:rsidR="0021142D" w:rsidRPr="005D6D89" w:rsidRDefault="0021142D" w:rsidP="0021142D">
            <w:pPr>
              <w:pStyle w:val="TableTextBold0"/>
              <w:keepNext/>
              <w:rPr>
                <w:color w:val="FFFFFF" w:themeColor="background1"/>
              </w:rPr>
            </w:pPr>
            <w:r w:rsidRPr="005D6D89">
              <w:rPr>
                <w:color w:val="FFFFFF" w:themeColor="background1"/>
              </w:rPr>
              <w:t xml:space="preserve">Description </w:t>
            </w:r>
          </w:p>
        </w:tc>
      </w:tr>
      <w:tr w:rsidR="0021142D" w:rsidRPr="005D6D89" w14:paraId="570883A8" w14:textId="77777777" w:rsidTr="00E96B28">
        <w:trPr>
          <w:trHeight w:val="283"/>
        </w:trPr>
        <w:tc>
          <w:tcPr>
            <w:tcW w:w="917" w:type="pct"/>
            <w:shd w:val="clear" w:color="auto" w:fill="auto"/>
            <w:tcMar>
              <w:top w:w="0" w:type="dxa"/>
            </w:tcMar>
          </w:tcPr>
          <w:p w14:paraId="0BC1F767" w14:textId="77777777" w:rsidR="0021142D" w:rsidRPr="005D6D89" w:rsidRDefault="0021142D" w:rsidP="0021142D">
            <w:pPr>
              <w:pStyle w:val="TableText"/>
              <w:rPr>
                <w:lang w:eastAsia="en-AU"/>
              </w:rPr>
            </w:pPr>
            <w:r w:rsidRPr="005D6D89">
              <w:rPr>
                <w:lang w:eastAsia="en-AU"/>
              </w:rPr>
              <w:t xml:space="preserve">Human </w:t>
            </w:r>
          </w:p>
        </w:tc>
        <w:tc>
          <w:tcPr>
            <w:tcW w:w="4083" w:type="pct"/>
            <w:shd w:val="clear" w:color="auto" w:fill="auto"/>
            <w:tcMar>
              <w:top w:w="0" w:type="dxa"/>
            </w:tcMar>
          </w:tcPr>
          <w:p w14:paraId="2B3CD01C" w14:textId="77777777" w:rsidR="0021142D" w:rsidRPr="005D6D89" w:rsidRDefault="0021142D" w:rsidP="0021142D">
            <w:pPr>
              <w:pStyle w:val="TableText"/>
              <w:rPr>
                <w:rFonts w:asciiTheme="minorHAnsi" w:hAnsiTheme="minorHAnsi" w:cstheme="minorHAnsi"/>
              </w:rPr>
            </w:pPr>
            <w:r w:rsidRPr="005D6D89">
              <w:rPr>
                <w:rFonts w:asciiTheme="minorHAnsi" w:hAnsiTheme="minorHAnsi" w:cstheme="minorHAnsi"/>
              </w:rPr>
              <w:t>People</w:t>
            </w:r>
            <w:r w:rsidR="001200EA">
              <w:rPr>
                <w:rFonts w:asciiTheme="minorHAnsi" w:hAnsiTheme="minorHAnsi" w:cstheme="minorHAnsi"/>
              </w:rPr>
              <w:t>’</w:t>
            </w:r>
            <w:r w:rsidRPr="005D6D89">
              <w:rPr>
                <w:rFonts w:asciiTheme="minorHAnsi" w:hAnsiTheme="minorHAnsi" w:cstheme="minorHAnsi"/>
              </w:rPr>
              <w:t>s skills, knowledge and physical and mental health (human); the norms, rules and</w:t>
            </w:r>
            <w:r w:rsidR="00CB6F24" w:rsidRPr="005D6D89">
              <w:rPr>
                <w:rFonts w:asciiTheme="minorHAnsi" w:hAnsiTheme="minorHAnsi" w:cstheme="minorHAnsi"/>
              </w:rPr>
              <w:t> </w:t>
            </w:r>
            <w:r w:rsidRPr="005D6D89">
              <w:rPr>
                <w:rFonts w:asciiTheme="minorHAnsi" w:hAnsiTheme="minorHAnsi" w:cstheme="minorHAnsi"/>
              </w:rPr>
              <w:t>institutions of society (social); and the knowledge, heritage, beliefs, arts, morals, laws</w:t>
            </w:r>
            <w:r w:rsidR="00CB6F24" w:rsidRPr="005D6D89">
              <w:rPr>
                <w:rFonts w:asciiTheme="minorHAnsi" w:hAnsiTheme="minorHAnsi" w:cstheme="minorHAnsi"/>
              </w:rPr>
              <w:t> </w:t>
            </w:r>
            <w:r w:rsidRPr="005D6D89">
              <w:rPr>
                <w:rFonts w:asciiTheme="minorHAnsi" w:hAnsiTheme="minorHAnsi" w:cstheme="minorHAnsi"/>
              </w:rPr>
              <w:t>and customs that infuse society, including culturally significant buildings and structures</w:t>
            </w:r>
            <w:r w:rsidR="00CB6F24" w:rsidRPr="005D6D89">
              <w:rPr>
                <w:rFonts w:asciiTheme="minorHAnsi" w:hAnsiTheme="minorHAnsi" w:cstheme="minorHAnsi"/>
              </w:rPr>
              <w:t> </w:t>
            </w:r>
            <w:r w:rsidRPr="005D6D89">
              <w:rPr>
                <w:rFonts w:asciiTheme="minorHAnsi" w:hAnsiTheme="minorHAnsi" w:cstheme="minorHAnsi"/>
              </w:rPr>
              <w:t>(cultural).</w:t>
            </w:r>
          </w:p>
        </w:tc>
      </w:tr>
      <w:tr w:rsidR="0021142D" w:rsidRPr="005D6D89" w14:paraId="4DD1CDC2" w14:textId="77777777" w:rsidTr="00E96B28">
        <w:trPr>
          <w:trHeight w:val="283"/>
        </w:trPr>
        <w:tc>
          <w:tcPr>
            <w:tcW w:w="917" w:type="pct"/>
            <w:shd w:val="clear" w:color="auto" w:fill="auto"/>
            <w:tcMar>
              <w:top w:w="0" w:type="dxa"/>
            </w:tcMar>
          </w:tcPr>
          <w:p w14:paraId="7CAFBACA" w14:textId="77777777" w:rsidR="0021142D" w:rsidRPr="005D6D89" w:rsidRDefault="0021142D" w:rsidP="0021142D">
            <w:pPr>
              <w:pStyle w:val="TableText"/>
              <w:rPr>
                <w:lang w:eastAsia="en-AU"/>
              </w:rPr>
            </w:pPr>
            <w:r w:rsidRPr="005D6D89">
              <w:rPr>
                <w:lang w:eastAsia="en-AU"/>
              </w:rPr>
              <w:t>Natural environment</w:t>
            </w:r>
          </w:p>
        </w:tc>
        <w:tc>
          <w:tcPr>
            <w:tcW w:w="4083" w:type="pct"/>
            <w:shd w:val="clear" w:color="auto" w:fill="auto"/>
            <w:tcMar>
              <w:top w:w="0" w:type="dxa"/>
            </w:tcMar>
          </w:tcPr>
          <w:p w14:paraId="7C9DD3C3" w14:textId="77777777" w:rsidR="0021142D" w:rsidRPr="005D6D89" w:rsidRDefault="0021142D" w:rsidP="0021142D">
            <w:pPr>
              <w:pStyle w:val="TableText"/>
              <w:rPr>
                <w:rFonts w:asciiTheme="minorHAnsi" w:hAnsiTheme="minorHAnsi" w:cstheme="minorHAnsi"/>
              </w:rPr>
            </w:pPr>
            <w:r w:rsidRPr="005D6D89">
              <w:rPr>
                <w:rFonts w:cs="Arial"/>
                <w:color w:val="000000"/>
                <w:szCs w:val="18"/>
              </w:rPr>
              <w:t xml:space="preserve">All aspects of the natural environment that support the full range of our </w:t>
            </w:r>
            <w:r w:rsidRPr="00110F01">
              <w:rPr>
                <w:rFonts w:cs="Arial"/>
                <w:szCs w:val="18"/>
              </w:rPr>
              <w:t>indigenous</w:t>
            </w:r>
            <w:r w:rsidRPr="005D6D89">
              <w:rPr>
                <w:rFonts w:cs="Arial"/>
                <w:color w:val="000000"/>
                <w:szCs w:val="18"/>
              </w:rPr>
              <w:t xml:space="preserve"> species,</w:t>
            </w:r>
            <w:r w:rsidR="00CB6F24" w:rsidRPr="005D6D89">
              <w:rPr>
                <w:rFonts w:cs="Arial"/>
                <w:color w:val="000000"/>
                <w:szCs w:val="18"/>
              </w:rPr>
              <w:t> </w:t>
            </w:r>
            <w:r w:rsidRPr="005D6D89">
              <w:rPr>
                <w:rFonts w:cs="Arial"/>
                <w:color w:val="000000"/>
                <w:szCs w:val="18"/>
              </w:rPr>
              <w:t>he kura taiao (living treasures), and the ecosystems in terrestrial, freshwater and</w:t>
            </w:r>
            <w:r w:rsidR="00CB6F24" w:rsidRPr="005D6D89">
              <w:rPr>
                <w:rFonts w:cs="Arial"/>
                <w:color w:val="000000"/>
                <w:szCs w:val="18"/>
              </w:rPr>
              <w:t> </w:t>
            </w:r>
            <w:r w:rsidRPr="005D6D89">
              <w:rPr>
                <w:rFonts w:cs="Arial"/>
                <w:color w:val="000000"/>
                <w:szCs w:val="18"/>
              </w:rPr>
              <w:t>marine environments.</w:t>
            </w:r>
          </w:p>
        </w:tc>
      </w:tr>
      <w:tr w:rsidR="0021142D" w:rsidRPr="005D6D89" w14:paraId="48EA2C3B" w14:textId="77777777" w:rsidTr="00E96B28">
        <w:trPr>
          <w:trHeight w:val="283"/>
        </w:trPr>
        <w:tc>
          <w:tcPr>
            <w:tcW w:w="917" w:type="pct"/>
            <w:shd w:val="clear" w:color="auto" w:fill="auto"/>
            <w:tcMar>
              <w:top w:w="0" w:type="dxa"/>
            </w:tcMar>
          </w:tcPr>
          <w:p w14:paraId="04CF774D" w14:textId="77777777" w:rsidR="0021142D" w:rsidRPr="005D6D89" w:rsidRDefault="0021142D" w:rsidP="0021142D">
            <w:pPr>
              <w:pStyle w:val="TableText"/>
              <w:rPr>
                <w:lang w:eastAsia="en-AU"/>
              </w:rPr>
            </w:pPr>
            <w:r w:rsidRPr="005D6D89">
              <w:rPr>
                <w:lang w:eastAsia="en-AU"/>
              </w:rPr>
              <w:t xml:space="preserve">Economy </w:t>
            </w:r>
          </w:p>
        </w:tc>
        <w:tc>
          <w:tcPr>
            <w:tcW w:w="4083" w:type="pct"/>
            <w:shd w:val="clear" w:color="auto" w:fill="auto"/>
            <w:tcMar>
              <w:top w:w="0" w:type="dxa"/>
            </w:tcMar>
          </w:tcPr>
          <w:p w14:paraId="26208710" w14:textId="77777777" w:rsidR="0021142D" w:rsidRPr="005D6D89" w:rsidRDefault="0021142D" w:rsidP="0021142D">
            <w:pPr>
              <w:pStyle w:val="TableText"/>
              <w:rPr>
                <w:rFonts w:cs="Arial"/>
                <w:color w:val="000000"/>
                <w:lang w:eastAsia="en-AU"/>
              </w:rPr>
            </w:pPr>
            <w:r w:rsidRPr="005D6D89">
              <w:rPr>
                <w:rFonts w:asciiTheme="minorHAnsi" w:hAnsiTheme="minorHAnsi" w:cstheme="minorHAnsi"/>
              </w:rPr>
              <w:t>The set and arrangement of inter-related production, distribution, trade and consumption that allocate scarce resources.</w:t>
            </w:r>
          </w:p>
        </w:tc>
      </w:tr>
      <w:tr w:rsidR="0021142D" w:rsidRPr="005D6D89" w14:paraId="6DB0F689" w14:textId="77777777" w:rsidTr="00E96B28">
        <w:trPr>
          <w:trHeight w:val="283"/>
        </w:trPr>
        <w:tc>
          <w:tcPr>
            <w:tcW w:w="917" w:type="pct"/>
            <w:shd w:val="clear" w:color="auto" w:fill="auto"/>
            <w:tcMar>
              <w:top w:w="0" w:type="dxa"/>
            </w:tcMar>
          </w:tcPr>
          <w:p w14:paraId="5AAFAED8" w14:textId="77777777" w:rsidR="0021142D" w:rsidRPr="005D6D89" w:rsidRDefault="0021142D" w:rsidP="0021142D">
            <w:pPr>
              <w:pStyle w:val="TableText"/>
              <w:rPr>
                <w:lang w:eastAsia="en-AU"/>
              </w:rPr>
            </w:pPr>
            <w:r w:rsidRPr="005D6D89">
              <w:rPr>
                <w:lang w:eastAsia="en-AU"/>
              </w:rPr>
              <w:t xml:space="preserve">Built environment </w:t>
            </w:r>
          </w:p>
        </w:tc>
        <w:tc>
          <w:tcPr>
            <w:tcW w:w="4083" w:type="pct"/>
            <w:shd w:val="clear" w:color="auto" w:fill="auto"/>
            <w:tcMar>
              <w:top w:w="0" w:type="dxa"/>
            </w:tcMar>
          </w:tcPr>
          <w:p w14:paraId="20D38563" w14:textId="77777777" w:rsidR="0021142D" w:rsidRPr="005D6D89" w:rsidRDefault="0021142D" w:rsidP="0021142D">
            <w:pPr>
              <w:pStyle w:val="TableText"/>
              <w:rPr>
                <w:rFonts w:asciiTheme="minorHAnsi" w:hAnsiTheme="minorHAnsi" w:cstheme="minorHAnsi"/>
              </w:rPr>
            </w:pPr>
            <w:r w:rsidRPr="005D6D89">
              <w:rPr>
                <w:rFonts w:asciiTheme="minorHAnsi" w:hAnsiTheme="minorHAnsi" w:cstheme="minorHAnsi"/>
              </w:rPr>
              <w:t>The set and configuration of physical infrastructure, transport and buildings.</w:t>
            </w:r>
          </w:p>
        </w:tc>
      </w:tr>
      <w:tr w:rsidR="0021142D" w:rsidRPr="005D6D89" w14:paraId="513923B7" w14:textId="77777777" w:rsidTr="00E96B28">
        <w:trPr>
          <w:trHeight w:val="283"/>
        </w:trPr>
        <w:tc>
          <w:tcPr>
            <w:tcW w:w="917" w:type="pct"/>
            <w:shd w:val="clear" w:color="auto" w:fill="auto"/>
            <w:tcMar>
              <w:top w:w="0" w:type="dxa"/>
            </w:tcMar>
          </w:tcPr>
          <w:p w14:paraId="38EEE23A" w14:textId="77777777" w:rsidR="0021142D" w:rsidRPr="005D6D89" w:rsidRDefault="0021142D" w:rsidP="0021142D">
            <w:pPr>
              <w:pStyle w:val="TableText"/>
              <w:rPr>
                <w:lang w:eastAsia="en-AU"/>
              </w:rPr>
            </w:pPr>
            <w:r w:rsidRPr="005D6D89">
              <w:rPr>
                <w:lang w:eastAsia="en-AU"/>
              </w:rPr>
              <w:t xml:space="preserve">Governance </w:t>
            </w:r>
          </w:p>
        </w:tc>
        <w:tc>
          <w:tcPr>
            <w:tcW w:w="4083" w:type="pct"/>
            <w:shd w:val="clear" w:color="auto" w:fill="auto"/>
            <w:tcMar>
              <w:top w:w="0" w:type="dxa"/>
            </w:tcMar>
          </w:tcPr>
          <w:p w14:paraId="3F6999AC" w14:textId="77777777" w:rsidR="0021142D" w:rsidRPr="005D6D89" w:rsidRDefault="0021142D" w:rsidP="0021142D">
            <w:pPr>
              <w:pStyle w:val="TableText"/>
              <w:rPr>
                <w:rFonts w:asciiTheme="minorHAnsi" w:hAnsiTheme="minorHAnsi" w:cstheme="minorHAnsi"/>
              </w:rPr>
            </w:pPr>
            <w:r w:rsidRPr="005D6D89">
              <w:rPr>
                <w:rFonts w:asciiTheme="minorHAnsi" w:hAnsiTheme="minorHAnsi" w:cstheme="minorHAnsi"/>
              </w:rPr>
              <w:t>The governing architecture and processes in and between governments, and economic and social institutions. Institutions hold the rules and norms that shape interactions and decision-making and the agents that act within their frameworks.</w:t>
            </w:r>
          </w:p>
        </w:tc>
      </w:tr>
    </w:tbl>
    <w:p w14:paraId="181C0138" w14:textId="77777777" w:rsidR="0021142D" w:rsidRPr="005D6D89" w:rsidRDefault="0021142D" w:rsidP="00FB70EF">
      <w:pPr>
        <w:pStyle w:val="BodyText"/>
        <w:spacing w:before="240"/>
        <w:rPr>
          <w:lang w:eastAsia="en-AU"/>
        </w:rPr>
      </w:pPr>
      <w:bookmarkStart w:id="157" w:name="_Ref37319697"/>
      <w:bookmarkStart w:id="158" w:name="_Toc37072186"/>
      <w:bookmarkStart w:id="159" w:name="_Toc37240787"/>
      <w:r w:rsidRPr="005D6D89">
        <w:rPr>
          <w:lang w:eastAsia="en-AU"/>
        </w:rPr>
        <w:t xml:space="preserve">Each value domain consists of a series of </w:t>
      </w:r>
      <w:r w:rsidR="001200EA">
        <w:rPr>
          <w:lang w:eastAsia="en-AU"/>
        </w:rPr>
        <w:t>‘</w:t>
      </w:r>
      <w:r w:rsidRPr="005D6D89">
        <w:rPr>
          <w:lang w:eastAsia="en-AU"/>
        </w:rPr>
        <w:t>elements at risk</w:t>
      </w:r>
      <w:r w:rsidR="001200EA">
        <w:rPr>
          <w:lang w:eastAsia="en-AU"/>
        </w:rPr>
        <w:t>’</w:t>
      </w:r>
      <w:r w:rsidRPr="005D6D89">
        <w:rPr>
          <w:lang w:eastAsia="en-AU"/>
        </w:rPr>
        <w:t xml:space="preserve">. These divide the domains into subcategories </w:t>
      </w:r>
      <w:r w:rsidR="00110F01">
        <w:rPr>
          <w:lang w:eastAsia="en-AU"/>
        </w:rPr>
        <w:t>that</w:t>
      </w:r>
      <w:r w:rsidRPr="005D6D89">
        <w:rPr>
          <w:lang w:eastAsia="en-AU"/>
        </w:rPr>
        <w:t xml:space="preserve"> </w:t>
      </w:r>
      <w:proofErr w:type="gramStart"/>
      <w:r w:rsidRPr="005D6D89">
        <w:rPr>
          <w:lang w:eastAsia="en-AU"/>
        </w:rPr>
        <w:t>can then be assessed</w:t>
      </w:r>
      <w:proofErr w:type="gramEnd"/>
      <w:r w:rsidRPr="005D6D89">
        <w:rPr>
          <w:lang w:eastAsia="en-AU"/>
        </w:rPr>
        <w:t xml:space="preserve"> by their exposure and vulnerability to climate hazards. Table </w:t>
      </w:r>
      <w:proofErr w:type="gramStart"/>
      <w:r w:rsidR="00543147" w:rsidRPr="005D6D89">
        <w:rPr>
          <w:lang w:eastAsia="en-AU"/>
        </w:rPr>
        <w:t>7</w:t>
      </w:r>
      <w:proofErr w:type="gramEnd"/>
      <w:r w:rsidRPr="005D6D89">
        <w:rPr>
          <w:lang w:eastAsia="en-AU"/>
        </w:rPr>
        <w:t xml:space="preserve"> sets out examples.</w:t>
      </w:r>
    </w:p>
    <w:p w14:paraId="05677DBD" w14:textId="77777777" w:rsidR="0021142D" w:rsidRPr="005D6D89" w:rsidRDefault="0021142D" w:rsidP="00E32D45">
      <w:pPr>
        <w:pStyle w:val="Tableheading"/>
      </w:pPr>
      <w:bookmarkStart w:id="160" w:name="_Ref37427169"/>
      <w:bookmarkStart w:id="161" w:name="_Toc40699399"/>
      <w:bookmarkStart w:id="162" w:name="_Toc43312801"/>
      <w:r w:rsidRPr="005D6D89">
        <w:t xml:space="preserve">Table </w:t>
      </w:r>
      <w:bookmarkEnd w:id="157"/>
      <w:bookmarkEnd w:id="160"/>
      <w:r w:rsidR="00543147" w:rsidRPr="005D6D89">
        <w:t>7</w:t>
      </w:r>
      <w:r w:rsidR="00FB70EF" w:rsidRPr="005D6D89">
        <w:t>:</w:t>
      </w:r>
      <w:r w:rsidRPr="005D6D89">
        <w:tab/>
        <w:t>Elements at risk in each value domain</w:t>
      </w:r>
      <w:bookmarkEnd w:id="158"/>
      <w:bookmarkEnd w:id="159"/>
      <w:bookmarkEnd w:id="161"/>
      <w:bookmarkEnd w:id="162"/>
    </w:p>
    <w:tbl>
      <w:tblPr>
        <w:tblW w:w="8505" w:type="dxa"/>
        <w:tblInd w:w="10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1560"/>
        <w:gridCol w:w="6945"/>
      </w:tblGrid>
      <w:tr w:rsidR="008F4BF0" w:rsidRPr="005D6D89" w14:paraId="6E05DBD4" w14:textId="77777777" w:rsidTr="008F4BF0">
        <w:trPr>
          <w:trHeight w:val="340"/>
          <w:tblHeader/>
        </w:trPr>
        <w:tc>
          <w:tcPr>
            <w:tcW w:w="917" w:type="pct"/>
            <w:shd w:val="clear" w:color="auto" w:fill="1C556C" w:themeFill="accent1"/>
            <w:tcMar>
              <w:top w:w="0" w:type="dxa"/>
            </w:tcMar>
            <w:vAlign w:val="center"/>
          </w:tcPr>
          <w:p w14:paraId="6E4F7E92" w14:textId="77777777" w:rsidR="0021142D" w:rsidRPr="005D6D89" w:rsidRDefault="0021142D" w:rsidP="008F4BF0">
            <w:pPr>
              <w:pStyle w:val="TableTextBold0"/>
              <w:rPr>
                <w:color w:val="FFFFFF" w:themeColor="background1"/>
              </w:rPr>
            </w:pPr>
            <w:r w:rsidRPr="005D6D89">
              <w:rPr>
                <w:color w:val="FFFFFF" w:themeColor="background1"/>
              </w:rPr>
              <w:t xml:space="preserve">Value domain </w:t>
            </w:r>
          </w:p>
        </w:tc>
        <w:tc>
          <w:tcPr>
            <w:tcW w:w="4083" w:type="pct"/>
            <w:shd w:val="clear" w:color="auto" w:fill="1C556C" w:themeFill="accent1"/>
            <w:tcMar>
              <w:top w:w="0" w:type="dxa"/>
            </w:tcMar>
            <w:vAlign w:val="center"/>
          </w:tcPr>
          <w:p w14:paraId="7AB788BE" w14:textId="77777777" w:rsidR="0021142D" w:rsidRPr="005D6D89" w:rsidRDefault="0021142D" w:rsidP="008F4BF0">
            <w:pPr>
              <w:pStyle w:val="TableTextBold0"/>
              <w:rPr>
                <w:color w:val="FFFFFF" w:themeColor="background1"/>
              </w:rPr>
            </w:pPr>
            <w:r w:rsidRPr="005D6D89">
              <w:rPr>
                <w:color w:val="FFFFFF" w:themeColor="background1"/>
              </w:rPr>
              <w:t xml:space="preserve">Elements at risk </w:t>
            </w:r>
          </w:p>
        </w:tc>
      </w:tr>
      <w:tr w:rsidR="0021142D" w:rsidRPr="005D6D89" w14:paraId="6FE0ACF8" w14:textId="77777777" w:rsidTr="00E96B28">
        <w:trPr>
          <w:trHeight w:val="283"/>
        </w:trPr>
        <w:tc>
          <w:tcPr>
            <w:tcW w:w="917" w:type="pct"/>
            <w:shd w:val="clear" w:color="auto" w:fill="auto"/>
            <w:tcMar>
              <w:top w:w="0" w:type="dxa"/>
            </w:tcMar>
          </w:tcPr>
          <w:p w14:paraId="71CF4920" w14:textId="77777777" w:rsidR="0021142D" w:rsidRPr="005D6D89" w:rsidRDefault="0021142D" w:rsidP="008F4BF0">
            <w:pPr>
              <w:pStyle w:val="TableText"/>
            </w:pPr>
            <w:r w:rsidRPr="005D6D89">
              <w:t xml:space="preserve">Human </w:t>
            </w:r>
          </w:p>
        </w:tc>
        <w:tc>
          <w:tcPr>
            <w:tcW w:w="4083" w:type="pct"/>
            <w:shd w:val="clear" w:color="auto" w:fill="auto"/>
            <w:tcMar>
              <w:top w:w="0" w:type="dxa"/>
            </w:tcMar>
          </w:tcPr>
          <w:p w14:paraId="38354D3B" w14:textId="77777777" w:rsidR="0021142D" w:rsidRPr="005D6D89" w:rsidRDefault="0021142D" w:rsidP="008F4BF0">
            <w:pPr>
              <w:pStyle w:val="TableText"/>
            </w:pPr>
            <w:r w:rsidRPr="005D6D89">
              <w:t xml:space="preserve">Community wellbeing, social cohesion and social welfare (urban, rural and coastal communities); health, education, sports, recreation, cultural heritage (archaeological sites, museums, arts, theatre), </w:t>
            </w:r>
            <w:hyperlink w:anchor="ahurea" w:history="1">
              <w:r w:rsidRPr="0027640F">
                <w:rPr>
                  <w:rStyle w:val="Hyperlink"/>
                </w:rPr>
                <w:t>ahurea</w:t>
              </w:r>
            </w:hyperlink>
            <w:r w:rsidRPr="0027640F">
              <w:t xml:space="preserve"> Māori</w:t>
            </w:r>
            <w:r w:rsidRPr="005D6D89">
              <w:t xml:space="preserve">, </w:t>
            </w:r>
            <w:hyperlink w:anchor="tikanga" w:history="1">
              <w:r w:rsidRPr="0027640F">
                <w:rPr>
                  <w:rStyle w:val="Hyperlink"/>
                </w:rPr>
                <w:t>tikanga</w:t>
              </w:r>
            </w:hyperlink>
            <w:r w:rsidRPr="0027640F">
              <w:t xml:space="preserve"> Māori</w:t>
            </w:r>
            <w:r w:rsidRPr="005D6D89">
              <w:t xml:space="preserve"> – Māori culture, values and principles, cultural </w:t>
            </w:r>
            <w:hyperlink w:anchor="taongamāori" w:history="1">
              <w:r w:rsidRPr="00855764">
                <w:rPr>
                  <w:rStyle w:val="Hyperlink"/>
                </w:rPr>
                <w:t>taonga</w:t>
              </w:r>
            </w:hyperlink>
            <w:r w:rsidRPr="00A94ED1">
              <w:t>.</w:t>
            </w:r>
          </w:p>
        </w:tc>
      </w:tr>
      <w:tr w:rsidR="0021142D" w:rsidRPr="005D6D89" w14:paraId="210A4603" w14:textId="77777777" w:rsidTr="00E96B28">
        <w:trPr>
          <w:trHeight w:val="283"/>
        </w:trPr>
        <w:tc>
          <w:tcPr>
            <w:tcW w:w="917" w:type="pct"/>
            <w:shd w:val="clear" w:color="auto" w:fill="auto"/>
            <w:tcMar>
              <w:top w:w="0" w:type="dxa"/>
            </w:tcMar>
          </w:tcPr>
          <w:p w14:paraId="19588C73" w14:textId="77777777" w:rsidR="0021142D" w:rsidRPr="005D6D89" w:rsidRDefault="0021142D" w:rsidP="008F4BF0">
            <w:pPr>
              <w:pStyle w:val="TableText"/>
            </w:pPr>
            <w:r w:rsidRPr="005D6D89">
              <w:t xml:space="preserve">Natural environment </w:t>
            </w:r>
          </w:p>
        </w:tc>
        <w:tc>
          <w:tcPr>
            <w:tcW w:w="4083" w:type="pct"/>
            <w:shd w:val="clear" w:color="auto" w:fill="auto"/>
            <w:tcMar>
              <w:top w:w="0" w:type="dxa"/>
            </w:tcMar>
          </w:tcPr>
          <w:p w14:paraId="7510D00C" w14:textId="77777777" w:rsidR="0021142D" w:rsidRPr="005D6D89" w:rsidRDefault="0021142D" w:rsidP="008F4BF0">
            <w:pPr>
              <w:pStyle w:val="TableText"/>
            </w:pPr>
            <w:r w:rsidRPr="005D6D89">
              <w:t>New Zealand</w:t>
            </w:r>
            <w:r w:rsidR="001200EA">
              <w:t>’</w:t>
            </w:r>
            <w:r w:rsidRPr="005D6D89">
              <w:t xml:space="preserve">s </w:t>
            </w:r>
            <w:r w:rsidRPr="00110F01">
              <w:t>indigenous</w:t>
            </w:r>
            <w:r w:rsidRPr="005D6D89">
              <w:t xml:space="preserve"> species, including he kura taiao – living treasures, terrestrial ecosystems, freshwater ecosystems, coastal, estuarine and marine ecosystems, biosecurity. </w:t>
            </w:r>
          </w:p>
        </w:tc>
      </w:tr>
      <w:tr w:rsidR="0021142D" w:rsidRPr="005D6D89" w14:paraId="1A34112A" w14:textId="77777777" w:rsidTr="00E96B28">
        <w:trPr>
          <w:trHeight w:val="283"/>
        </w:trPr>
        <w:tc>
          <w:tcPr>
            <w:tcW w:w="917" w:type="pct"/>
            <w:shd w:val="clear" w:color="auto" w:fill="auto"/>
            <w:tcMar>
              <w:top w:w="0" w:type="dxa"/>
            </w:tcMar>
          </w:tcPr>
          <w:p w14:paraId="222C9910" w14:textId="77777777" w:rsidR="0021142D" w:rsidRPr="005D6D89" w:rsidRDefault="0021142D" w:rsidP="008F4BF0">
            <w:pPr>
              <w:pStyle w:val="TableText"/>
            </w:pPr>
            <w:r w:rsidRPr="005D6D89">
              <w:t xml:space="preserve">Economy </w:t>
            </w:r>
          </w:p>
        </w:tc>
        <w:tc>
          <w:tcPr>
            <w:tcW w:w="4083" w:type="pct"/>
            <w:shd w:val="clear" w:color="auto" w:fill="auto"/>
            <w:tcMar>
              <w:top w:w="0" w:type="dxa"/>
            </w:tcMar>
          </w:tcPr>
          <w:p w14:paraId="23F8C897" w14:textId="77777777" w:rsidR="0021142D" w:rsidRPr="005D6D89" w:rsidRDefault="0021142D" w:rsidP="008F4BF0">
            <w:pPr>
              <w:pStyle w:val="TableText"/>
            </w:pPr>
            <w:r w:rsidRPr="005D6D89">
              <w:t>Primary industries (forestry, agriculture, horticulture, arable land, viticulture, fisheries, aquaculture, marine farming); land use, tourism, technology and business, whakatipu rawa</w:t>
            </w:r>
            <w:r w:rsidR="00855764">
              <w:t> </w:t>
            </w:r>
            <w:r w:rsidRPr="005D6D89">
              <w:t xml:space="preserve">– Māori enterprise, insurance and banking. </w:t>
            </w:r>
          </w:p>
        </w:tc>
      </w:tr>
      <w:tr w:rsidR="0021142D" w:rsidRPr="005D6D89" w14:paraId="0141A9A2" w14:textId="77777777" w:rsidTr="00E96B28">
        <w:trPr>
          <w:trHeight w:val="283"/>
        </w:trPr>
        <w:tc>
          <w:tcPr>
            <w:tcW w:w="917" w:type="pct"/>
            <w:shd w:val="clear" w:color="auto" w:fill="auto"/>
            <w:tcMar>
              <w:top w:w="0" w:type="dxa"/>
            </w:tcMar>
          </w:tcPr>
          <w:p w14:paraId="5A833699" w14:textId="77777777" w:rsidR="0021142D" w:rsidRPr="005D6D89" w:rsidRDefault="0021142D" w:rsidP="008F4BF0">
            <w:pPr>
              <w:pStyle w:val="TableText"/>
            </w:pPr>
            <w:r w:rsidRPr="005D6D89">
              <w:t>Built environment</w:t>
            </w:r>
          </w:p>
        </w:tc>
        <w:tc>
          <w:tcPr>
            <w:tcW w:w="4083" w:type="pct"/>
            <w:shd w:val="clear" w:color="auto" w:fill="auto"/>
            <w:tcMar>
              <w:top w:w="0" w:type="dxa"/>
            </w:tcMar>
          </w:tcPr>
          <w:p w14:paraId="76D26A37" w14:textId="77777777" w:rsidR="0021142D" w:rsidRPr="005D6D89" w:rsidRDefault="0021142D" w:rsidP="008F4BF0">
            <w:pPr>
              <w:pStyle w:val="TableText"/>
            </w:pPr>
            <w:r w:rsidRPr="005D6D89">
              <w:t xml:space="preserve">Built infrastructure across sectors including housing, public amenity, water, wastewater, stormwater, energy, transport, communications, waste and coastal defences. </w:t>
            </w:r>
          </w:p>
        </w:tc>
      </w:tr>
      <w:tr w:rsidR="0021142D" w:rsidRPr="005D6D89" w14:paraId="512A46BB" w14:textId="77777777" w:rsidTr="00E96B28">
        <w:trPr>
          <w:trHeight w:val="283"/>
        </w:trPr>
        <w:tc>
          <w:tcPr>
            <w:tcW w:w="917" w:type="pct"/>
            <w:shd w:val="clear" w:color="auto" w:fill="auto"/>
            <w:tcMar>
              <w:top w:w="0" w:type="dxa"/>
            </w:tcMar>
          </w:tcPr>
          <w:p w14:paraId="4F1563D3" w14:textId="77777777" w:rsidR="0021142D" w:rsidRPr="005D6D89" w:rsidRDefault="0021142D" w:rsidP="008F4BF0">
            <w:pPr>
              <w:pStyle w:val="TableText"/>
            </w:pPr>
            <w:r w:rsidRPr="005D6D89">
              <w:t xml:space="preserve">Governance </w:t>
            </w:r>
          </w:p>
        </w:tc>
        <w:tc>
          <w:tcPr>
            <w:tcW w:w="4083" w:type="pct"/>
            <w:shd w:val="clear" w:color="auto" w:fill="auto"/>
            <w:tcMar>
              <w:top w:w="0" w:type="dxa"/>
            </w:tcMar>
          </w:tcPr>
          <w:p w14:paraId="02A3636F" w14:textId="77777777" w:rsidR="0021142D" w:rsidRPr="005D6D89" w:rsidRDefault="0021142D" w:rsidP="008F4BF0">
            <w:pPr>
              <w:pStyle w:val="TableText"/>
            </w:pPr>
            <w:r w:rsidRPr="005D6D89">
              <w:t>Treaty partnerships, adaptive capacity, all governing and institutional systems, all population groups, including vulnerable groups.</w:t>
            </w:r>
          </w:p>
        </w:tc>
      </w:tr>
    </w:tbl>
    <w:p w14:paraId="5DE8509F" w14:textId="77777777" w:rsidR="001C5BAD" w:rsidRPr="005D6D89" w:rsidRDefault="001C5BAD" w:rsidP="00036EDB">
      <w:pPr>
        <w:pStyle w:val="Heading3"/>
        <w:numPr>
          <w:ilvl w:val="0"/>
          <w:numId w:val="21"/>
        </w:numPr>
        <w:spacing w:before="400"/>
      </w:pPr>
      <w:bookmarkStart w:id="163" w:name="_Interdependencies,_direct_indirect"/>
      <w:bookmarkStart w:id="164" w:name="_Ref37667433"/>
      <w:bookmarkStart w:id="165" w:name="_Ref37667804"/>
      <w:bookmarkStart w:id="166" w:name="_Toc37784872"/>
      <w:bookmarkStart w:id="167" w:name="_Toc40699343"/>
      <w:bookmarkStart w:id="168" w:name="_Toc37320690"/>
      <w:bookmarkStart w:id="169" w:name="_Hlk37258650"/>
      <w:bookmarkEnd w:id="163"/>
      <w:r w:rsidRPr="005D6D89">
        <w:t>Interdependencies, direct indirect and cascading impacts</w:t>
      </w:r>
      <w:bookmarkEnd w:id="164"/>
      <w:bookmarkEnd w:id="165"/>
      <w:bookmarkEnd w:id="166"/>
      <w:bookmarkEnd w:id="167"/>
      <w:r w:rsidRPr="005D6D89">
        <w:t xml:space="preserve"> </w:t>
      </w:r>
      <w:bookmarkEnd w:id="168"/>
    </w:p>
    <w:p w14:paraId="3469C8B1" w14:textId="77777777" w:rsidR="001C5BAD" w:rsidRPr="005D6D89" w:rsidRDefault="001C5BAD" w:rsidP="001C5BAD">
      <w:pPr>
        <w:pStyle w:val="BodyText"/>
      </w:pPr>
      <w:bookmarkStart w:id="170" w:name="_Hlk37258691"/>
      <w:bookmarkEnd w:id="169"/>
      <w:r w:rsidRPr="005D6D89">
        <w:t xml:space="preserve">The NCCRA provides a national overview of how New Zealand </w:t>
      </w:r>
      <w:proofErr w:type="gramStart"/>
      <w:r w:rsidRPr="005D6D89">
        <w:t>may be affected</w:t>
      </w:r>
      <w:proofErr w:type="gramEnd"/>
      <w:r w:rsidRPr="005D6D89">
        <w:t xml:space="preserve"> by various hazards and threats that are caused, exacerbated or influenced by climate change, and the resulting risks and opportunities. However, it does not consider cascading impacts, interdependencies and future socio-economic projections. </w:t>
      </w:r>
    </w:p>
    <w:p w14:paraId="5944FB7A" w14:textId="77777777" w:rsidR="001C5BAD" w:rsidRPr="005D6D89" w:rsidRDefault="001C5BAD" w:rsidP="001C5BAD">
      <w:pPr>
        <w:pStyle w:val="BodyText"/>
      </w:pPr>
      <w:r w:rsidRPr="005D6D89">
        <w:t>There has been little research on how the impacts of climate change cascade across human systems, and even less on how to consider such cascades when assessing</w:t>
      </w:r>
      <w:r w:rsidR="00027F9F" w:rsidRPr="005D6D89">
        <w:t xml:space="preserve"> </w:t>
      </w:r>
      <w:r w:rsidRPr="005D6D89">
        <w:t xml:space="preserve">climate change risk. More studies </w:t>
      </w:r>
      <w:proofErr w:type="gramStart"/>
      <w:r w:rsidRPr="005D6D89">
        <w:t>are needed</w:t>
      </w:r>
      <w:proofErr w:type="gramEnd"/>
      <w:r w:rsidRPr="005D6D89">
        <w:t xml:space="preserve">. </w:t>
      </w:r>
    </w:p>
    <w:p w14:paraId="4670549B" w14:textId="77777777" w:rsidR="001C5BAD" w:rsidRPr="005D6D89" w:rsidRDefault="001C5BAD" w:rsidP="001C5BAD">
      <w:pPr>
        <w:pStyle w:val="BodyText"/>
        <w:rPr>
          <w:lang w:eastAsia="en-AU"/>
        </w:rPr>
      </w:pPr>
      <w:r w:rsidRPr="005D6D89">
        <w:rPr>
          <w:lang w:eastAsia="en-AU"/>
        </w:rPr>
        <w:t xml:space="preserve">Still, it </w:t>
      </w:r>
      <w:proofErr w:type="gramStart"/>
      <w:r w:rsidRPr="005D6D89">
        <w:rPr>
          <w:lang w:eastAsia="en-AU"/>
        </w:rPr>
        <w:t>is recognised</w:t>
      </w:r>
      <w:proofErr w:type="gramEnd"/>
      <w:r w:rsidRPr="005D6D89">
        <w:rPr>
          <w:lang w:eastAsia="en-AU"/>
        </w:rPr>
        <w:t xml:space="preserve"> the domains and their elements at risk are highly interconnected and interdependent. The NCCRA therefore examined both direct and indirect risks. Most direct risks are in the natural, economy, human and built environment domains, where there is direct exposure to climate hazards. However, the economy, human and governance domains also include indirect risks because they rely on, or interact with, elements in other domains that </w:t>
      </w:r>
      <w:proofErr w:type="gramStart"/>
      <w:r w:rsidRPr="005D6D89">
        <w:rPr>
          <w:lang w:eastAsia="en-AU"/>
        </w:rPr>
        <w:t>are</w:t>
      </w:r>
      <w:r w:rsidR="00920D46" w:rsidRPr="005D6D89">
        <w:rPr>
          <w:lang w:eastAsia="en-AU"/>
        </w:rPr>
        <w:t> </w:t>
      </w:r>
      <w:r w:rsidRPr="005D6D89">
        <w:rPr>
          <w:lang w:eastAsia="en-AU"/>
        </w:rPr>
        <w:t>directly exposed</w:t>
      </w:r>
      <w:proofErr w:type="gramEnd"/>
      <w:r w:rsidRPr="005D6D89">
        <w:rPr>
          <w:lang w:eastAsia="en-AU"/>
        </w:rPr>
        <w:t xml:space="preserve"> to climate hazards. </w:t>
      </w:r>
    </w:p>
    <w:p w14:paraId="5E6A9D9E" w14:textId="77777777" w:rsidR="001C5BAD" w:rsidRPr="005D6D89" w:rsidRDefault="001C5BAD" w:rsidP="001C5BAD">
      <w:pPr>
        <w:pStyle w:val="BodyText"/>
      </w:pPr>
      <w:bookmarkStart w:id="171" w:name="_Hlk35516142"/>
      <w:r w:rsidRPr="005D6D89">
        <w:rPr>
          <w:lang w:eastAsia="en-AU"/>
        </w:rPr>
        <w:t xml:space="preserve">This assessment recognises the </w:t>
      </w:r>
      <w:r w:rsidRPr="005D6D89">
        <w:t>significance</w:t>
      </w:r>
      <w:r w:rsidRPr="005D6D89">
        <w:rPr>
          <w:lang w:eastAsia="en-AU"/>
        </w:rPr>
        <w:t xml:space="preserve"> of cascading impacts </w:t>
      </w:r>
      <w:bookmarkStart w:id="172" w:name="_Hlk34391402"/>
      <w:r w:rsidRPr="005D6D89">
        <w:t>by:</w:t>
      </w:r>
      <w:r w:rsidR="00027F9F" w:rsidRPr="005D6D89">
        <w:t xml:space="preserve"> </w:t>
      </w:r>
    </w:p>
    <w:bookmarkEnd w:id="170"/>
    <w:p w14:paraId="3B2D9209" w14:textId="77777777" w:rsidR="001C5BAD" w:rsidRPr="005D6D89" w:rsidRDefault="001C5BAD" w:rsidP="001C5BAD">
      <w:pPr>
        <w:pStyle w:val="Bullet"/>
      </w:pPr>
      <w:proofErr w:type="gramStart"/>
      <w:r w:rsidRPr="005D6D89">
        <w:t>assessing</w:t>
      </w:r>
      <w:proofErr w:type="gramEnd"/>
      <w:r w:rsidRPr="005D6D89">
        <w:t xml:space="preserve"> the effect of priority governance risks on priority risks in other domains. In particular, the impact of governance risks on the ability to adapt to risks in the other value</w:t>
      </w:r>
      <w:r w:rsidR="00920D46" w:rsidRPr="005D6D89">
        <w:t> </w:t>
      </w:r>
      <w:r w:rsidRPr="005D6D89">
        <w:t xml:space="preserve">domains. See section </w:t>
      </w:r>
      <w:r w:rsidR="000973BB">
        <w:t>2.3.3</w:t>
      </w:r>
      <w:r w:rsidRPr="005D6D89">
        <w:t xml:space="preserve"> for further information</w:t>
      </w:r>
    </w:p>
    <w:p w14:paraId="5E4842BA" w14:textId="77777777" w:rsidR="001C5BAD" w:rsidRPr="005D6D89" w:rsidRDefault="001C5BAD" w:rsidP="001C5BAD">
      <w:pPr>
        <w:pStyle w:val="Bullet"/>
      </w:pPr>
      <w:r w:rsidRPr="005D6D89">
        <w:t xml:space="preserve">illustrating the effect of cascading impacts through a case study in </w:t>
      </w:r>
      <w:hyperlink w:anchor="box4" w:history="1">
        <w:r w:rsidRPr="007946C6">
          <w:rPr>
            <w:rStyle w:val="Hyperlink"/>
          </w:rPr>
          <w:t xml:space="preserve">section </w:t>
        </w:r>
        <w:r w:rsidR="007946C6" w:rsidRPr="007946C6">
          <w:rPr>
            <w:rStyle w:val="Hyperlink"/>
          </w:rPr>
          <w:t>6</w:t>
        </w:r>
      </w:hyperlink>
    </w:p>
    <w:p w14:paraId="1534C326" w14:textId="7B2B8C2D" w:rsidR="001C5BAD" w:rsidRPr="005D6D89" w:rsidRDefault="001C5BAD" w:rsidP="001C5BAD">
      <w:pPr>
        <w:pStyle w:val="Bullet"/>
      </w:pPr>
      <w:proofErr w:type="gramStart"/>
      <w:r w:rsidRPr="005D6D89">
        <w:t>describing</w:t>
      </w:r>
      <w:proofErr w:type="gramEnd"/>
      <w:r w:rsidRPr="005D6D89">
        <w:t xml:space="preserve"> dependencies between risks in each profile for the 10 most significant risks</w:t>
      </w:r>
      <w:bookmarkEnd w:id="172"/>
      <w:r w:rsidR="00920D46" w:rsidRPr="005D6D89">
        <w:t> </w:t>
      </w:r>
      <w:r w:rsidRPr="005D6D89">
        <w:t>(</w:t>
      </w:r>
      <w:r w:rsidR="00B252CB" w:rsidRPr="00B252CB">
        <w:t xml:space="preserve">section </w:t>
      </w:r>
      <w:r w:rsidR="0023652B">
        <w:rPr>
          <w:rStyle w:val="Hyperlink"/>
        </w:rPr>
        <w:t>5.</w:t>
      </w:r>
      <w:r w:rsidR="00B252CB">
        <w:rPr>
          <w:rStyle w:val="Hyperlink"/>
        </w:rPr>
        <w:t>3.1</w:t>
      </w:r>
      <w:r w:rsidRPr="005D6D89">
        <w:t xml:space="preserve">, Interacting risks). The </w:t>
      </w:r>
      <w:hyperlink r:id="rId36" w:history="1">
        <w:r w:rsidR="00E546F8" w:rsidRPr="00E546F8">
          <w:rPr>
            <w:rStyle w:val="Hyperlink"/>
          </w:rPr>
          <w:t>technical report</w:t>
        </w:r>
      </w:hyperlink>
      <w:r w:rsidRPr="005D6D89">
        <w:t xml:space="preserve"> includes this description for all</w:t>
      </w:r>
      <w:r w:rsidR="00920D46" w:rsidRPr="005D6D89">
        <w:t> </w:t>
      </w:r>
      <w:r w:rsidRPr="005D6D89">
        <w:t>priority risks.</w:t>
      </w:r>
    </w:p>
    <w:p w14:paraId="242F39A9" w14:textId="77777777" w:rsidR="001C5BAD" w:rsidRPr="005D6D89" w:rsidRDefault="001C5BAD" w:rsidP="00036EDB">
      <w:pPr>
        <w:pStyle w:val="Heading3"/>
        <w:numPr>
          <w:ilvl w:val="0"/>
          <w:numId w:val="21"/>
        </w:numPr>
        <w:spacing w:before="240"/>
      </w:pPr>
      <w:bookmarkStart w:id="173" w:name="_Governance_domain"/>
      <w:bookmarkStart w:id="174" w:name="_Toc37393663"/>
      <w:bookmarkStart w:id="175" w:name="_Toc37090496"/>
      <w:bookmarkStart w:id="176" w:name="_Toc37255762"/>
      <w:bookmarkStart w:id="177" w:name="_Ref37427233"/>
      <w:bookmarkStart w:id="178" w:name="_Toc37784873"/>
      <w:bookmarkStart w:id="179" w:name="_Toc40699344"/>
      <w:bookmarkStart w:id="180" w:name="_Hlk37258729"/>
      <w:bookmarkEnd w:id="171"/>
      <w:bookmarkEnd w:id="173"/>
      <w:r w:rsidRPr="005D6D89">
        <w:t xml:space="preserve">Governance </w:t>
      </w:r>
      <w:bookmarkEnd w:id="174"/>
      <w:bookmarkEnd w:id="175"/>
      <w:bookmarkEnd w:id="176"/>
      <w:r w:rsidRPr="005D6D89">
        <w:t>domain</w:t>
      </w:r>
      <w:bookmarkEnd w:id="177"/>
      <w:bookmarkEnd w:id="178"/>
      <w:bookmarkEnd w:id="179"/>
    </w:p>
    <w:p w14:paraId="42C3CC5B" w14:textId="77777777" w:rsidR="001C5BAD" w:rsidRPr="005D6D89" w:rsidRDefault="001C5BAD" w:rsidP="001C5BAD">
      <w:pPr>
        <w:pStyle w:val="BodyText"/>
      </w:pPr>
      <w:bookmarkStart w:id="181" w:name="_Hlk37312299"/>
      <w:r w:rsidRPr="005D6D89">
        <w:t xml:space="preserve">Governance-related risks are distinct because they are universally </w:t>
      </w:r>
      <w:r w:rsidR="007473BA" w:rsidRPr="005D6D89">
        <w:t>crosscutting</w:t>
      </w:r>
      <w:r w:rsidRPr="005D6D89">
        <w:t xml:space="preserve"> and indirect, emerging from other domain risks. They also have the effect of reducing the ability to address risks in the other domains, by lowering adaptive capacity (Lawrence et al, 2018). Although </w:t>
      </w:r>
      <w:r w:rsidR="007473BA" w:rsidRPr="005D6D89">
        <w:t>crosscutting</w:t>
      </w:r>
      <w:r w:rsidRPr="005D6D89">
        <w:t xml:space="preserve"> and indirect risks </w:t>
      </w:r>
      <w:proofErr w:type="gramStart"/>
      <w:r w:rsidRPr="005D6D89">
        <w:t>were also identified</w:t>
      </w:r>
      <w:proofErr w:type="gramEnd"/>
      <w:r w:rsidRPr="005D6D89">
        <w:t xml:space="preserve"> in other domains, governance risks were considered to represent either barriers or enablers to climate action relevant to all domains. The consultants therefore assessed the governance risks differently, using the concept of adaptive capacity (a component of vulnerability) to:</w:t>
      </w:r>
    </w:p>
    <w:p w14:paraId="6C838F3B" w14:textId="77777777" w:rsidR="001C5BAD" w:rsidRPr="005D6D89" w:rsidRDefault="001C5BAD" w:rsidP="001C5BAD">
      <w:pPr>
        <w:pStyle w:val="Bullet"/>
      </w:pPr>
      <w:r w:rsidRPr="005D6D89">
        <w:t>understand how governance risks affect the risks in other domains and vice versa</w:t>
      </w:r>
    </w:p>
    <w:p w14:paraId="0E1AB1EA" w14:textId="77777777" w:rsidR="001C5BAD" w:rsidRPr="005D6D89" w:rsidRDefault="001C5BAD" w:rsidP="001C5BAD">
      <w:pPr>
        <w:pStyle w:val="Bullet"/>
      </w:pPr>
      <w:proofErr w:type="gramStart"/>
      <w:r w:rsidRPr="005D6D89">
        <w:t>prioritise</w:t>
      </w:r>
      <w:proofErr w:type="gramEnd"/>
      <w:r w:rsidRPr="005D6D89">
        <w:t xml:space="preserve"> the governance risks with the greatest effect. </w:t>
      </w:r>
    </w:p>
    <w:p w14:paraId="31280BA4" w14:textId="749BE509" w:rsidR="001C5BAD" w:rsidRPr="005D6D89" w:rsidRDefault="001C5BAD" w:rsidP="001C5BAD">
      <w:pPr>
        <w:pStyle w:val="BodyText"/>
      </w:pPr>
      <w:r w:rsidRPr="005D6D89">
        <w:t xml:space="preserve">The </w:t>
      </w:r>
      <w:hyperlink r:id="rId37" w:history="1">
        <w:r w:rsidR="005F460B" w:rsidRPr="005F460B">
          <w:rPr>
            <w:rStyle w:val="Hyperlink"/>
          </w:rPr>
          <w:t>method report</w:t>
        </w:r>
      </w:hyperlink>
      <w:r w:rsidRPr="005D6D89">
        <w:t xml:space="preserve"> details how the risks </w:t>
      </w:r>
      <w:proofErr w:type="gramStart"/>
      <w:r w:rsidRPr="005D6D89">
        <w:t>were assessed</w:t>
      </w:r>
      <w:proofErr w:type="gramEnd"/>
      <w:r w:rsidRPr="005D6D89">
        <w:t xml:space="preserve"> across domains.</w:t>
      </w:r>
      <w:bookmarkEnd w:id="180"/>
      <w:bookmarkEnd w:id="181"/>
    </w:p>
    <w:p w14:paraId="68535DCE" w14:textId="77777777" w:rsidR="0021142D" w:rsidRPr="005D6D89" w:rsidRDefault="0021142D" w:rsidP="0021142D">
      <w:pPr>
        <w:pStyle w:val="BodyText"/>
      </w:pPr>
    </w:p>
    <w:p w14:paraId="61428FC3" w14:textId="77777777" w:rsidR="002A37D9" w:rsidRPr="005D6D89" w:rsidRDefault="002A37D9">
      <w:pPr>
        <w:spacing w:before="0" w:after="200" w:line="276" w:lineRule="auto"/>
        <w:jc w:val="left"/>
      </w:pPr>
      <w:r w:rsidRPr="005D6D89">
        <w:br w:type="page"/>
      </w:r>
    </w:p>
    <w:p w14:paraId="51920335" w14:textId="77777777" w:rsidR="005A33B7" w:rsidRPr="005D6D89" w:rsidRDefault="005A33B7" w:rsidP="00036EDB">
      <w:pPr>
        <w:pStyle w:val="Heading1"/>
        <w:numPr>
          <w:ilvl w:val="0"/>
          <w:numId w:val="17"/>
        </w:numPr>
      </w:pPr>
      <w:bookmarkStart w:id="182" w:name="_Te_Ao_Māori"/>
      <w:bookmarkStart w:id="183" w:name="_Toc37255763"/>
      <w:bookmarkStart w:id="184" w:name="_Toc37393664"/>
      <w:bookmarkStart w:id="185" w:name="_Toc40699345"/>
      <w:bookmarkStart w:id="186" w:name="_Toc43064131"/>
      <w:bookmarkEnd w:id="182"/>
      <w:r w:rsidRPr="005D6D89">
        <w:t xml:space="preserve">Te </w:t>
      </w:r>
      <w:r w:rsidR="00852F78">
        <w:t>a</w:t>
      </w:r>
      <w:r w:rsidRPr="005D6D89">
        <w:t>o Māori and climate change risk</w:t>
      </w:r>
      <w:bookmarkEnd w:id="183"/>
      <w:bookmarkEnd w:id="184"/>
      <w:bookmarkEnd w:id="185"/>
      <w:bookmarkEnd w:id="186"/>
      <w:r w:rsidRPr="005D6D89">
        <w:t xml:space="preserve"> </w:t>
      </w:r>
    </w:p>
    <w:p w14:paraId="6991DA26" w14:textId="77777777" w:rsidR="005A33B7" w:rsidRPr="005D6D89" w:rsidRDefault="005A33B7" w:rsidP="00232F8F">
      <w:pPr>
        <w:pStyle w:val="BodyText"/>
        <w:rPr>
          <w:rFonts w:eastAsiaTheme="minorHAnsi"/>
          <w:lang w:eastAsia="en-US"/>
        </w:rPr>
      </w:pPr>
      <w:r w:rsidRPr="005D6D89">
        <w:rPr>
          <w:rFonts w:eastAsiaTheme="minorHAnsi"/>
          <w:lang w:eastAsia="en-US"/>
        </w:rPr>
        <w:t xml:space="preserve">The </w:t>
      </w:r>
      <w:r w:rsidRPr="005D6D89">
        <w:t>Māori</w:t>
      </w:r>
      <w:r w:rsidR="00110F01">
        <w:rPr>
          <w:rFonts w:eastAsiaTheme="minorHAnsi"/>
          <w:lang w:eastAsia="en-US"/>
        </w:rPr>
        <w:t xml:space="preserve"> world</w:t>
      </w:r>
      <w:r w:rsidRPr="005D6D89">
        <w:rPr>
          <w:rFonts w:eastAsiaTheme="minorHAnsi"/>
          <w:lang w:eastAsia="en-US"/>
        </w:rPr>
        <w:t>view (</w:t>
      </w:r>
      <w:proofErr w:type="gramStart"/>
      <w:r w:rsidRPr="005D6D89">
        <w:rPr>
          <w:rFonts w:eastAsiaTheme="minorHAnsi"/>
          <w:lang w:eastAsia="en-US"/>
        </w:rPr>
        <w:t>te</w:t>
      </w:r>
      <w:proofErr w:type="gramEnd"/>
      <w:r w:rsidRPr="005D6D89">
        <w:rPr>
          <w:rFonts w:eastAsiaTheme="minorHAnsi"/>
          <w:lang w:eastAsia="en-US"/>
        </w:rPr>
        <w:t xml:space="preserve"> ao Māori) acknowledges the interconnectedness and interrelationship of all living and non-living things. The karakia at the start of this report speaks</w:t>
      </w:r>
      <w:r w:rsidR="00577149" w:rsidRPr="005D6D89">
        <w:rPr>
          <w:rFonts w:eastAsiaTheme="minorHAnsi"/>
          <w:lang w:eastAsia="en-US"/>
        </w:rPr>
        <w:t> </w:t>
      </w:r>
      <w:r w:rsidRPr="005D6D89">
        <w:rPr>
          <w:rFonts w:eastAsiaTheme="minorHAnsi"/>
          <w:lang w:eastAsia="en-US"/>
        </w:rPr>
        <w:t>to this vital connection with</w:t>
      </w:r>
      <w:r w:rsidR="00110F01">
        <w:rPr>
          <w:rFonts w:eastAsiaTheme="minorHAnsi"/>
          <w:lang w:eastAsia="en-US"/>
        </w:rPr>
        <w:t>,</w:t>
      </w:r>
      <w:r w:rsidRPr="005D6D89">
        <w:rPr>
          <w:rFonts w:eastAsiaTheme="minorHAnsi"/>
          <w:lang w:eastAsia="en-US"/>
        </w:rPr>
        <w:t xml:space="preserve"> and reliance on</w:t>
      </w:r>
      <w:r w:rsidR="00110F01">
        <w:rPr>
          <w:rFonts w:eastAsiaTheme="minorHAnsi"/>
          <w:lang w:eastAsia="en-US"/>
        </w:rPr>
        <w:t>,</w:t>
      </w:r>
      <w:r w:rsidRPr="005D6D89">
        <w:rPr>
          <w:rFonts w:eastAsiaTheme="minorHAnsi"/>
          <w:lang w:eastAsia="en-US"/>
        </w:rPr>
        <w:t xml:space="preserve"> the natural world, and of each generation to those before and after. This includes the connectedness of ecosystems and society, as well</w:t>
      </w:r>
      <w:r w:rsidR="00577149" w:rsidRPr="005D6D89">
        <w:rPr>
          <w:rFonts w:eastAsiaTheme="minorHAnsi"/>
          <w:lang w:eastAsia="en-US"/>
        </w:rPr>
        <w:t> </w:t>
      </w:r>
      <w:r w:rsidRPr="005D6D89">
        <w:rPr>
          <w:rFonts w:eastAsiaTheme="minorHAnsi"/>
          <w:lang w:eastAsia="en-US"/>
        </w:rPr>
        <w:t>as of actions and consequences across domains. These interconnections are also reflected</w:t>
      </w:r>
      <w:r w:rsidR="00577149" w:rsidRPr="005D6D89">
        <w:rPr>
          <w:rFonts w:eastAsiaTheme="minorHAnsi"/>
          <w:lang w:eastAsia="en-US"/>
        </w:rPr>
        <w:t> </w:t>
      </w:r>
      <w:r w:rsidRPr="005D6D89">
        <w:rPr>
          <w:rFonts w:eastAsiaTheme="minorHAnsi"/>
          <w:lang w:eastAsia="en-US"/>
        </w:rPr>
        <w:t>in the Treasury</w:t>
      </w:r>
      <w:r w:rsidR="001200EA">
        <w:rPr>
          <w:rFonts w:eastAsiaTheme="minorHAnsi"/>
          <w:lang w:eastAsia="en-US"/>
        </w:rPr>
        <w:t>’</w:t>
      </w:r>
      <w:r w:rsidRPr="005D6D89">
        <w:rPr>
          <w:rFonts w:eastAsiaTheme="minorHAnsi"/>
          <w:lang w:eastAsia="en-US"/>
        </w:rPr>
        <w:t>s Living Standards Framework (LSF) for wellbeing, which is based on</w:t>
      </w:r>
      <w:r w:rsidR="00577149" w:rsidRPr="005D6D89">
        <w:rPr>
          <w:rFonts w:eastAsiaTheme="minorHAnsi"/>
          <w:lang w:eastAsia="en-US"/>
        </w:rPr>
        <w:t> </w:t>
      </w:r>
      <w:r w:rsidRPr="005D6D89">
        <w:rPr>
          <w:rFonts w:eastAsiaTheme="minorHAnsi"/>
          <w:lang w:eastAsia="en-US"/>
        </w:rPr>
        <w:t xml:space="preserve">four capitals – natural, human, social, and financial and </w:t>
      </w:r>
      <w:proofErr w:type="gramStart"/>
      <w:r w:rsidRPr="005D6D89">
        <w:rPr>
          <w:rFonts w:eastAsiaTheme="minorHAnsi"/>
          <w:lang w:eastAsia="en-US"/>
        </w:rPr>
        <w:t>physical,</w:t>
      </w:r>
      <w:proofErr w:type="gramEnd"/>
      <w:r w:rsidRPr="005D6D89">
        <w:rPr>
          <w:rFonts w:eastAsiaTheme="minorHAnsi"/>
          <w:lang w:eastAsia="en-US"/>
        </w:rPr>
        <w:t xml:space="preserve"> and particularly its He</w:t>
      </w:r>
      <w:r w:rsidR="0090091F">
        <w:rPr>
          <w:rFonts w:eastAsiaTheme="minorHAnsi"/>
          <w:lang w:eastAsia="en-US"/>
        </w:rPr>
        <w:t> </w:t>
      </w:r>
      <w:r w:rsidRPr="005D6D89">
        <w:rPr>
          <w:rFonts w:eastAsiaTheme="minorHAnsi"/>
          <w:lang w:eastAsia="en-US"/>
        </w:rPr>
        <w:t>Ara</w:t>
      </w:r>
      <w:r w:rsidR="00577149" w:rsidRPr="005D6D89">
        <w:rPr>
          <w:rFonts w:eastAsiaTheme="minorHAnsi"/>
          <w:lang w:eastAsia="en-US"/>
        </w:rPr>
        <w:t> </w:t>
      </w:r>
      <w:r w:rsidRPr="005D6D89">
        <w:rPr>
          <w:rFonts w:eastAsiaTheme="minorHAnsi"/>
          <w:lang w:eastAsia="en-US"/>
        </w:rPr>
        <w:t xml:space="preserve">Waiora framework (see figure </w:t>
      </w:r>
      <w:r w:rsidR="00C022AC">
        <w:rPr>
          <w:rFonts w:eastAsiaTheme="minorHAnsi"/>
          <w:lang w:eastAsia="en-US"/>
        </w:rPr>
        <w:t>4</w:t>
      </w:r>
      <w:r w:rsidRPr="005D6D89">
        <w:rPr>
          <w:rFonts w:eastAsiaTheme="minorHAnsi"/>
          <w:lang w:eastAsia="en-US"/>
        </w:rPr>
        <w:t>).</w:t>
      </w:r>
    </w:p>
    <w:p w14:paraId="1B6AD21A" w14:textId="77777777" w:rsidR="005A33B7" w:rsidRPr="005D6D89" w:rsidRDefault="005A33B7" w:rsidP="00232F8F">
      <w:pPr>
        <w:pStyle w:val="BodyText"/>
      </w:pPr>
      <w:r w:rsidRPr="005D6D89">
        <w:t>Waiora is a broad conception of human wellbeing, grounded in water (wai) as the source of all</w:t>
      </w:r>
      <w:r w:rsidR="00920D46" w:rsidRPr="005D6D89">
        <w:t> </w:t>
      </w:r>
      <w:r w:rsidRPr="005D6D89">
        <w:t>life. The foundations for wellbeing include kaitiakitanga (stewardship of all our resources), manaakitanga (care for others), ōhanga (prosperity) and whanaungatanga (the connections between us) (O</w:t>
      </w:r>
      <w:r w:rsidR="001200EA">
        <w:t>’</w:t>
      </w:r>
      <w:r w:rsidRPr="005D6D89">
        <w:t>Connell et al, 2018, p ii).</w:t>
      </w:r>
    </w:p>
    <w:p w14:paraId="6C0AF14E" w14:textId="038B89AC" w:rsidR="00232F8F" w:rsidRDefault="00232F8F" w:rsidP="00095C61">
      <w:pPr>
        <w:pStyle w:val="Figureheading"/>
      </w:pPr>
      <w:bookmarkStart w:id="187" w:name="_Ref37318202"/>
      <w:bookmarkStart w:id="188" w:name="_Toc36655201"/>
      <w:bookmarkStart w:id="189" w:name="_Toc37308843"/>
      <w:bookmarkStart w:id="190" w:name="_Toc42783263"/>
      <w:bookmarkStart w:id="191" w:name="_Toc43312895"/>
      <w:r w:rsidRPr="005D6D89">
        <w:t xml:space="preserve">Figure </w:t>
      </w:r>
      <w:bookmarkEnd w:id="187"/>
      <w:r w:rsidR="00BE02B7" w:rsidRPr="005D6D89">
        <w:t>4</w:t>
      </w:r>
      <w:r w:rsidRPr="005D6D89">
        <w:t>:</w:t>
      </w:r>
      <w:r w:rsidRPr="005D6D89">
        <w:tab/>
        <w:t>Treasury</w:t>
      </w:r>
      <w:r w:rsidR="001200EA">
        <w:t>’</w:t>
      </w:r>
      <w:r w:rsidRPr="005D6D89">
        <w:t>s Living Standards Framework (LSF) for wellbeing and the He Ara Waiora framework (Ministry for the Environment, 2019)</w:t>
      </w:r>
      <w:bookmarkEnd w:id="188"/>
      <w:bookmarkEnd w:id="189"/>
      <w:bookmarkEnd w:id="190"/>
      <w:bookmarkEnd w:id="191"/>
    </w:p>
    <w:p w14:paraId="1B2D3B71" w14:textId="77777777" w:rsidR="00696B5A" w:rsidRPr="00696B5A" w:rsidRDefault="00696B5A" w:rsidP="00696B5A">
      <w:pPr>
        <w:pStyle w:val="BodyText"/>
      </w:pPr>
    </w:p>
    <w:p w14:paraId="7AD83093" w14:textId="77777777" w:rsidR="005A33B7" w:rsidRDefault="009B1229" w:rsidP="00232F8F">
      <w:pPr>
        <w:pStyle w:val="BodyText"/>
        <w:jc w:val="center"/>
      </w:pPr>
      <w:r>
        <w:rPr>
          <w:noProof/>
        </w:rPr>
        <w:drawing>
          <wp:inline distT="0" distB="0" distL="0" distR="0" wp14:anchorId="400A84D5" wp14:editId="723FD6A1">
            <wp:extent cx="4216400" cy="421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cular Figure from main report - source NZ Treasury - from framework.png"/>
                    <pic:cNvPicPr/>
                  </pic:nvPicPr>
                  <pic:blipFill>
                    <a:blip r:embed="rId38"/>
                    <a:stretch>
                      <a:fillRect/>
                    </a:stretch>
                  </pic:blipFill>
                  <pic:spPr>
                    <a:xfrm>
                      <a:off x="0" y="0"/>
                      <a:ext cx="4222049" cy="4222049"/>
                    </a:xfrm>
                    <a:prstGeom prst="rect">
                      <a:avLst/>
                    </a:prstGeom>
                  </pic:spPr>
                </pic:pic>
              </a:graphicData>
            </a:graphic>
          </wp:inline>
        </w:drawing>
      </w:r>
    </w:p>
    <w:p w14:paraId="52CC5F54" w14:textId="77777777" w:rsidR="0044094E" w:rsidRPr="005D6D89" w:rsidRDefault="0044094E" w:rsidP="00232F8F">
      <w:pPr>
        <w:pStyle w:val="BodyText"/>
        <w:jc w:val="center"/>
      </w:pPr>
    </w:p>
    <w:p w14:paraId="0571F0F6" w14:textId="1E36301B" w:rsidR="005A33B7" w:rsidRPr="005D6D89" w:rsidRDefault="005A33B7" w:rsidP="00966BFF">
      <w:pPr>
        <w:pStyle w:val="BodyText"/>
        <w:keepLines/>
      </w:pPr>
      <w:r w:rsidRPr="005D6D89">
        <w:fldChar w:fldCharType="begin"/>
      </w:r>
      <w:r w:rsidRPr="005D6D89">
        <w:instrText xml:space="preserve"> REF _Ref37318202 \h  \* MERGEFORMAT </w:instrText>
      </w:r>
      <w:r w:rsidRPr="005D6D89">
        <w:fldChar w:fldCharType="separate"/>
      </w:r>
      <w:r w:rsidR="00CD3208" w:rsidRPr="005D6D89">
        <w:t xml:space="preserve">Figure </w:t>
      </w:r>
      <w:r w:rsidRPr="005D6D89">
        <w:fldChar w:fldCharType="end"/>
      </w:r>
      <w:proofErr w:type="gramStart"/>
      <w:r w:rsidR="00BE02B7" w:rsidRPr="005D6D89">
        <w:t>4</w:t>
      </w:r>
      <w:proofErr w:type="gramEnd"/>
      <w:r w:rsidRPr="005D6D89">
        <w:t xml:space="preserve"> shows that natural capital surrounds all the other capitals in the LSF. Our wellbeing is highly dependent on sustaining natural capital, or ecosystem </w:t>
      </w:r>
      <w:r w:rsidR="001200EA">
        <w:t>‘</w:t>
      </w:r>
      <w:r w:rsidRPr="005D6D89">
        <w:t>services</w:t>
      </w:r>
      <w:r w:rsidR="001200EA">
        <w:t>’</w:t>
      </w:r>
      <w:r w:rsidRPr="005D6D89">
        <w:t xml:space="preserve"> (Roberts et al 2015)</w:t>
      </w:r>
      <w:r w:rsidR="007B63BE" w:rsidRPr="005D6D89">
        <w:t>.</w:t>
      </w:r>
      <w:r w:rsidRPr="005D6D89">
        <w:rPr>
          <w:rStyle w:val="FootnoteReference"/>
          <w:rFonts w:cs="Calibri"/>
        </w:rPr>
        <w:footnoteReference w:id="1"/>
      </w:r>
      <w:r w:rsidRPr="005D6D89">
        <w:t xml:space="preserve"> These provide resources, moderate the climate, absorb pollutants, cycle nutrients, and confer cultural and other benefits. They are all supported by biodiversity: the animals, plants and </w:t>
      </w:r>
      <w:proofErr w:type="gramStart"/>
      <w:r w:rsidRPr="005D6D89">
        <w:t>micro-organisms</w:t>
      </w:r>
      <w:proofErr w:type="gramEnd"/>
      <w:r w:rsidRPr="005D6D89">
        <w:t xml:space="preserve"> that have adapted to, and interact in, the ecosystem. Ecosystems also include people and </w:t>
      </w:r>
      <w:proofErr w:type="gramStart"/>
      <w:r w:rsidRPr="005D6D89">
        <w:t>are shaped</w:t>
      </w:r>
      <w:proofErr w:type="gramEnd"/>
      <w:r w:rsidRPr="005D6D89">
        <w:t xml:space="preserve"> by cultural and social interactions. </w:t>
      </w:r>
    </w:p>
    <w:p w14:paraId="7F35BFDE" w14:textId="77777777" w:rsidR="005A33B7" w:rsidRPr="005D6D89" w:rsidRDefault="005A33B7" w:rsidP="005A33B7">
      <w:pPr>
        <w:pStyle w:val="BodyText"/>
      </w:pPr>
      <w:r w:rsidRPr="005D6D89">
        <w:t xml:space="preserve">The LSF complements Māori views of the world that acknowledge the interconnectedness between the environment and people, where the health and wellbeing of all, </w:t>
      </w:r>
      <w:proofErr w:type="gramStart"/>
      <w:r w:rsidRPr="005D6D89">
        <w:t>are intertwined and deeply connected</w:t>
      </w:r>
      <w:proofErr w:type="gramEnd"/>
      <w:r w:rsidRPr="005D6D89">
        <w:t xml:space="preserve">. In Māori customary contexts, </w:t>
      </w:r>
      <w:hyperlink w:anchor="whakapapa" w:history="1">
        <w:r w:rsidRPr="003160D2">
          <w:rPr>
            <w:rStyle w:val="Hyperlink"/>
          </w:rPr>
          <w:t>whakapapa</w:t>
        </w:r>
      </w:hyperlink>
      <w:r w:rsidRPr="006B714A">
        <w:t xml:space="preserve"> </w:t>
      </w:r>
      <w:r w:rsidRPr="005D6D89">
        <w:t>is the essential expression of these relationships and helps to generate meaning for human behaviour and understanding in</w:t>
      </w:r>
      <w:r w:rsidR="00D547FE" w:rsidRPr="005D6D89">
        <w:t> </w:t>
      </w:r>
      <w:r w:rsidRPr="005D6D89">
        <w:t>the world. These complementary frameworks are a useful starting point for assessing climate change risk.</w:t>
      </w:r>
      <w:r w:rsidR="00027F9F" w:rsidRPr="005D6D89">
        <w:t xml:space="preserve"> </w:t>
      </w:r>
    </w:p>
    <w:p w14:paraId="4C0E91D2" w14:textId="77777777" w:rsidR="005A33B7" w:rsidRPr="005D6D89" w:rsidRDefault="005A33B7" w:rsidP="007842AB">
      <w:pPr>
        <w:pStyle w:val="BodyText"/>
      </w:pPr>
      <w:r w:rsidRPr="005D6D89">
        <w:t xml:space="preserve">The LSF is applied in the context of the values and principles of manaakitanga (care and reciprocity), kaitiakitanga (intergenerational sustainability), whanaungatanga (connectedness and relationships), ōhanga (prosperity), </w:t>
      </w:r>
      <w:proofErr w:type="gramStart"/>
      <w:r w:rsidRPr="005D6D89">
        <w:t>kia</w:t>
      </w:r>
      <w:proofErr w:type="gramEnd"/>
      <w:r w:rsidRPr="005D6D89">
        <w:t xml:space="preserve"> mahi ngātahi (engagement and participation) and</w:t>
      </w:r>
      <w:r w:rsidR="007842AB" w:rsidRPr="005D6D89">
        <w:t> </w:t>
      </w:r>
      <w:r w:rsidRPr="005D6D89">
        <w:t>kia āwhina (support). A further principle, included for consideration in the NCCRA, is rangatiratanga (leadership and autonomy). The NCCRA framework summarises these values as</w:t>
      </w:r>
      <w:r w:rsidR="007842AB" w:rsidRPr="005D6D89">
        <w:t> </w:t>
      </w:r>
      <w:r w:rsidRPr="005D6D89">
        <w:t>ngā mātāpono –</w:t>
      </w:r>
      <w:r w:rsidR="00D547FE" w:rsidRPr="005D6D89">
        <w:t xml:space="preserve"> </w:t>
      </w:r>
      <w:r w:rsidRPr="005D6D89">
        <w:t xml:space="preserve">guiding principles (see </w:t>
      </w:r>
      <w:hyperlink w:anchor="_The_NCCRA_framework" w:history="1">
        <w:r w:rsidRPr="003160D2">
          <w:rPr>
            <w:rStyle w:val="Hyperlink"/>
          </w:rPr>
          <w:t xml:space="preserve">section </w:t>
        </w:r>
        <w:r w:rsidR="003160D2" w:rsidRPr="003160D2">
          <w:rPr>
            <w:rStyle w:val="Hyperlink"/>
          </w:rPr>
          <w:t>2.1.1</w:t>
        </w:r>
      </w:hyperlink>
      <w:r w:rsidRPr="005D6D89">
        <w:t xml:space="preserve"> for more on how the principles </w:t>
      </w:r>
      <w:proofErr w:type="gramStart"/>
      <w:r w:rsidRPr="005D6D89">
        <w:t>were applied</w:t>
      </w:r>
      <w:proofErr w:type="gramEnd"/>
      <w:r w:rsidRPr="005D6D89">
        <w:t xml:space="preserve"> in the NCCRA).</w:t>
      </w:r>
      <w:r w:rsidR="00027F9F" w:rsidRPr="005D6D89">
        <w:t xml:space="preserve"> </w:t>
      </w:r>
    </w:p>
    <w:p w14:paraId="65FD0DF6" w14:textId="77777777" w:rsidR="005A33B7" w:rsidRPr="005D6D89" w:rsidRDefault="005A33B7" w:rsidP="007842AB">
      <w:pPr>
        <w:pStyle w:val="BodyText"/>
      </w:pPr>
      <w:r w:rsidRPr="005D6D89">
        <w:t xml:space="preserve">As </w:t>
      </w:r>
      <w:hyperlink w:anchor="_Value_domains" w:history="1">
        <w:r w:rsidRPr="003160D2">
          <w:rPr>
            <w:rStyle w:val="Hyperlink"/>
          </w:rPr>
          <w:t xml:space="preserve">section </w:t>
        </w:r>
        <w:r w:rsidR="003160D2" w:rsidRPr="003160D2">
          <w:rPr>
            <w:rStyle w:val="Hyperlink"/>
          </w:rPr>
          <w:t>2.3.1</w:t>
        </w:r>
      </w:hyperlink>
      <w:r w:rsidRPr="005D6D89">
        <w:t xml:space="preserve"> explains, the approach to identifying elements at risk for the first NCCRA draws on and aligns with the Treasury</w:t>
      </w:r>
      <w:r w:rsidR="001200EA">
        <w:t>’</w:t>
      </w:r>
      <w:r w:rsidRPr="005D6D89">
        <w:t>s LSF. The NCCRA framework also draws on the recent</w:t>
      </w:r>
      <w:r w:rsidR="00920D46" w:rsidRPr="005D6D89">
        <w:t> </w:t>
      </w:r>
      <w:r w:rsidRPr="005D6D89">
        <w:t>National Disaster Resilience Strategy (NDRS), which details priorities and objectives for</w:t>
      </w:r>
      <w:r w:rsidR="00920D46" w:rsidRPr="005D6D89">
        <w:t> </w:t>
      </w:r>
      <w:r w:rsidRPr="005D6D89">
        <w:t>increasing New Zealand</w:t>
      </w:r>
      <w:r w:rsidR="001200EA">
        <w:t>’</w:t>
      </w:r>
      <w:r w:rsidRPr="005D6D89">
        <w:t>s resilience to disasters. The LSF</w:t>
      </w:r>
      <w:r w:rsidR="001200EA">
        <w:t>’</w:t>
      </w:r>
      <w:r w:rsidRPr="005D6D89">
        <w:t>s four capitals contribute to wellbeing at the individual, community or national level. Similarly, the NDRS categorises elements and assets (</w:t>
      </w:r>
      <w:proofErr w:type="gramStart"/>
      <w:r w:rsidRPr="005D6D89">
        <w:t>also termed</w:t>
      </w:r>
      <w:proofErr w:type="gramEnd"/>
      <w:r w:rsidRPr="005D6D89">
        <w:t xml:space="preserve"> capitals) under broad categories of social, cultural, economic, built environment, natural environment, and governance. This provides a structure</w:t>
      </w:r>
      <w:r w:rsidR="00920D46" w:rsidRPr="005D6D89">
        <w:t> </w:t>
      </w:r>
      <w:r w:rsidRPr="005D6D89">
        <w:t>for the NCCRA framework to gain an understanding of risk in terms of the value domains – groups of things we value as a society – that align with the NDRS and LSF. The domains defined</w:t>
      </w:r>
      <w:r w:rsidR="00920D46" w:rsidRPr="005D6D89">
        <w:t> </w:t>
      </w:r>
      <w:r w:rsidRPr="005D6D89">
        <w:t>by the NCCRA framework are:</w:t>
      </w:r>
    </w:p>
    <w:p w14:paraId="380D8D0E" w14:textId="77777777" w:rsidR="005A33B7" w:rsidRPr="005D6D89" w:rsidRDefault="005A33B7" w:rsidP="007842AB">
      <w:pPr>
        <w:pStyle w:val="Bullet"/>
      </w:pPr>
      <w:r w:rsidRPr="005D6D89">
        <w:t>natural environment – rohe taiao</w:t>
      </w:r>
    </w:p>
    <w:p w14:paraId="7AE92122" w14:textId="77777777" w:rsidR="005A33B7" w:rsidRPr="005D6D89" w:rsidRDefault="005A33B7" w:rsidP="007842AB">
      <w:pPr>
        <w:pStyle w:val="Bullet"/>
      </w:pPr>
      <w:r w:rsidRPr="005D6D89">
        <w:t>human environment – rohe tangata</w:t>
      </w:r>
    </w:p>
    <w:p w14:paraId="5CA90764" w14:textId="77777777" w:rsidR="005A33B7" w:rsidRPr="005D6D89" w:rsidRDefault="005A33B7" w:rsidP="007842AB">
      <w:pPr>
        <w:pStyle w:val="Bullet"/>
      </w:pPr>
      <w:r w:rsidRPr="005D6D89">
        <w:t>built environment – rohe tūranga rangata</w:t>
      </w:r>
    </w:p>
    <w:p w14:paraId="5B8D72D9" w14:textId="77777777" w:rsidR="005A33B7" w:rsidRPr="005D6D89" w:rsidRDefault="005A33B7" w:rsidP="007842AB">
      <w:pPr>
        <w:pStyle w:val="Bullet"/>
      </w:pPr>
      <w:r w:rsidRPr="005D6D89">
        <w:t>economy – rohe ōhanga</w:t>
      </w:r>
    </w:p>
    <w:p w14:paraId="5C7BE1C5" w14:textId="77777777" w:rsidR="005A33B7" w:rsidRPr="005D6D89" w:rsidRDefault="005A33B7" w:rsidP="007842AB">
      <w:pPr>
        <w:pStyle w:val="Bullet"/>
      </w:pPr>
      <w:proofErr w:type="gramStart"/>
      <w:r w:rsidRPr="005D6D89">
        <w:t>governance</w:t>
      </w:r>
      <w:proofErr w:type="gramEnd"/>
      <w:r w:rsidRPr="005D6D89">
        <w:t xml:space="preserve"> – rohe kāwanatanga. </w:t>
      </w:r>
    </w:p>
    <w:p w14:paraId="179134D6" w14:textId="77777777" w:rsidR="005A33B7" w:rsidRPr="005D6D89" w:rsidRDefault="005A33B7" w:rsidP="00036EDB">
      <w:pPr>
        <w:pStyle w:val="Heading2"/>
        <w:numPr>
          <w:ilvl w:val="0"/>
          <w:numId w:val="22"/>
        </w:numPr>
      </w:pPr>
      <w:bookmarkStart w:id="192" w:name="_Toc37090498"/>
      <w:bookmarkStart w:id="193" w:name="_Toc37255764"/>
      <w:bookmarkStart w:id="194" w:name="_Toc37393665"/>
      <w:bookmarkStart w:id="195" w:name="_Toc40699346"/>
      <w:bookmarkStart w:id="196" w:name="_Toc43064132"/>
      <w:r w:rsidRPr="005D6D89">
        <w:t>Bringing Māori perspectives to the NCCRA</w:t>
      </w:r>
      <w:bookmarkEnd w:id="192"/>
      <w:bookmarkEnd w:id="193"/>
      <w:bookmarkEnd w:id="194"/>
      <w:bookmarkEnd w:id="195"/>
      <w:bookmarkEnd w:id="196"/>
    </w:p>
    <w:p w14:paraId="38A4A94B" w14:textId="77777777" w:rsidR="005A33B7" w:rsidRPr="005D6D89" w:rsidRDefault="005A33B7" w:rsidP="00657A9C">
      <w:pPr>
        <w:pStyle w:val="BodyText"/>
        <w:keepLines/>
      </w:pPr>
      <w:r w:rsidRPr="005D6D89">
        <w:t xml:space="preserve">The NCCRA had to balance the challenge of using risk assessment methodology with factoring in diverse Māori views and values. A risk assessment is a reductive analytical exercise, simplifying complex systems (the natural environment, society, economy) into discrete parts and potential future events (risks), </w:t>
      </w:r>
      <w:r w:rsidR="007473BA" w:rsidRPr="005D6D89">
        <w:t>and then</w:t>
      </w:r>
      <w:r w:rsidRPr="005D6D89">
        <w:t xml:space="preserve"> attempting to assess and prioritise these risks.</w:t>
      </w:r>
      <w:r w:rsidR="00027F9F" w:rsidRPr="005D6D89">
        <w:t xml:space="preserve"> </w:t>
      </w:r>
    </w:p>
    <w:p w14:paraId="1FFF7AE3" w14:textId="77777777" w:rsidR="005A33B7" w:rsidRPr="005D6D89" w:rsidRDefault="005A33B7" w:rsidP="005A33B7">
      <w:pPr>
        <w:pStyle w:val="BodyText"/>
      </w:pPr>
      <w:r w:rsidRPr="005D6D89">
        <w:t>Clear connections and interdependencies of risks arise across the five domains. For Māori who</w:t>
      </w:r>
      <w:r w:rsidR="00657A9C" w:rsidRPr="005D6D89">
        <w:t> </w:t>
      </w:r>
      <w:proofErr w:type="gramStart"/>
      <w:r w:rsidRPr="005D6D89">
        <w:t>were consulted</w:t>
      </w:r>
      <w:proofErr w:type="gramEnd"/>
      <w:r w:rsidRPr="005D6D89">
        <w:t>, exploring these links was felt to provide a more complete understanding of how climate change will affect the wellbeing of Aotearoa New Zealand. However, the</w:t>
      </w:r>
      <w:r w:rsidR="007913D5" w:rsidRPr="005D6D89">
        <w:t> </w:t>
      </w:r>
      <w:r w:rsidR="00896AB8">
        <w:t>framework identifies</w:t>
      </w:r>
      <w:r w:rsidRPr="005D6D89">
        <w:t xml:space="preserve"> there is currently no rigorous method for factoring interdependencies into risk assessment and rating. It is therefore beyond the scope of this</w:t>
      </w:r>
      <w:r w:rsidR="007913D5" w:rsidRPr="005D6D89">
        <w:t> </w:t>
      </w:r>
      <w:r w:rsidRPr="005D6D89">
        <w:t>first</w:t>
      </w:r>
      <w:r w:rsidR="00657A9C" w:rsidRPr="005D6D89">
        <w:t> </w:t>
      </w:r>
      <w:r w:rsidRPr="005D6D89">
        <w:t xml:space="preserve">NCCRA. </w:t>
      </w:r>
    </w:p>
    <w:p w14:paraId="271A2BBC" w14:textId="77777777" w:rsidR="005A33B7" w:rsidRPr="005D6D89" w:rsidRDefault="005A33B7" w:rsidP="005A33B7">
      <w:pPr>
        <w:pStyle w:val="BodyText"/>
      </w:pPr>
      <w:r w:rsidRPr="005D6D89">
        <w:t>Due to these limitations, some iwi, including Te Urunga O Kea – the Te Arawa Climate Change Working Group, have noted their support for the development of a subsequent, parallel risk</w:t>
      </w:r>
      <w:r w:rsidR="00637C04">
        <w:t xml:space="preserve"> assessment for Māori, by Māori</w:t>
      </w:r>
      <w:r w:rsidRPr="005D6D89">
        <w:t xml:space="preserve">. They note the methodology for such a parallel process would emphasise interdependencies and </w:t>
      </w:r>
      <w:proofErr w:type="gramStart"/>
      <w:r w:rsidRPr="005D6D89">
        <w:t>be</w:t>
      </w:r>
      <w:r w:rsidR="003F68A9" w:rsidRPr="005D6D89">
        <w:t> </w:t>
      </w:r>
      <w:r w:rsidRPr="005D6D89">
        <w:t>underpinned</w:t>
      </w:r>
      <w:proofErr w:type="gramEnd"/>
      <w:r w:rsidRPr="005D6D89">
        <w:t xml:space="preserve"> by </w:t>
      </w:r>
      <w:hyperlink w:anchor="kaupapa" w:history="1">
        <w:r w:rsidRPr="0056637F">
          <w:rPr>
            <w:rStyle w:val="Hyperlink"/>
          </w:rPr>
          <w:t>kaupapa</w:t>
        </w:r>
      </w:hyperlink>
      <w:r w:rsidRPr="005D6D89">
        <w:t xml:space="preserve"> and </w:t>
      </w:r>
      <w:hyperlink w:anchor="tikanga" w:history="1">
        <w:r w:rsidRPr="000F175A">
          <w:rPr>
            <w:rStyle w:val="Hyperlink"/>
          </w:rPr>
          <w:t>tikanga</w:t>
        </w:r>
      </w:hyperlink>
      <w:r w:rsidRPr="000F175A">
        <w:t xml:space="preserve"> Māori</w:t>
      </w:r>
      <w:r w:rsidRPr="005D6D89">
        <w:t>, which may influence the identification, assessment and prioritisation of climate risks.</w:t>
      </w:r>
      <w:r w:rsidR="00027F9F" w:rsidRPr="005D6D89">
        <w:t xml:space="preserve"> </w:t>
      </w:r>
    </w:p>
    <w:p w14:paraId="320C99E6" w14:textId="77777777" w:rsidR="005A33B7" w:rsidRPr="005D6D89" w:rsidRDefault="005A33B7" w:rsidP="005A33B7">
      <w:pPr>
        <w:pStyle w:val="BodyText"/>
      </w:pPr>
      <w:r w:rsidRPr="005D6D89">
        <w:t xml:space="preserve">The risk assessment sought to recognise interdependencies and Māori perspectives in the following ways: </w:t>
      </w:r>
    </w:p>
    <w:p w14:paraId="2878D4CA" w14:textId="3CC310BE" w:rsidR="005E5B59" w:rsidRPr="005D6D89" w:rsidRDefault="005E5B59" w:rsidP="00D52B18">
      <w:pPr>
        <w:pStyle w:val="BodyText"/>
        <w:spacing w:before="0"/>
        <w:ind w:left="397" w:hanging="397"/>
      </w:pPr>
      <w:r w:rsidRPr="005D6D89">
        <w:t>1.</w:t>
      </w:r>
      <w:r w:rsidRPr="005D6D89">
        <w:tab/>
      </w:r>
      <w:r w:rsidRPr="005D6D89">
        <w:rPr>
          <w:b/>
          <w:bCs/>
        </w:rPr>
        <w:t>Interconnectedness of domains:</w:t>
      </w:r>
      <w:r w:rsidRPr="005D6D89">
        <w:t xml:space="preserve"> </w:t>
      </w:r>
      <w:hyperlink w:anchor="_Climate_change_risks" w:history="1">
        <w:r w:rsidRPr="000F175A">
          <w:rPr>
            <w:rStyle w:val="Hyperlink"/>
          </w:rPr>
          <w:t>Section 5</w:t>
        </w:r>
      </w:hyperlink>
      <w:r w:rsidRPr="005D6D89">
        <w:t xml:space="preserve"> describes the interdependencies for each of the 10 most significant risks. This report also includes a case study on interdependencies and cascading effects (</w:t>
      </w:r>
      <w:hyperlink w:anchor="_Case_studies:_cascading" w:history="1">
        <w:r w:rsidRPr="000F175A">
          <w:rPr>
            <w:rStyle w:val="Hyperlink"/>
          </w:rPr>
          <w:t>section 6</w:t>
        </w:r>
      </w:hyperlink>
      <w:r w:rsidRPr="005D6D89">
        <w:t xml:space="preserve">). Interdependencies between domains and risks have not affected the risk ratings, except for the governance risks. </w:t>
      </w:r>
      <w:hyperlink w:anchor="_Governance_domain" w:history="1">
        <w:r w:rsidRPr="000F175A">
          <w:rPr>
            <w:rStyle w:val="Hyperlink"/>
          </w:rPr>
          <w:t>Section 2.3.3</w:t>
        </w:r>
      </w:hyperlink>
      <w:r w:rsidRPr="005D6D89">
        <w:t xml:space="preserve"> has more detail about the risk assessment method. The </w:t>
      </w:r>
      <w:hyperlink r:id="rId39" w:history="1">
        <w:r w:rsidR="00E546F8" w:rsidRPr="00E546F8">
          <w:rPr>
            <w:rStyle w:val="Hyperlink"/>
          </w:rPr>
          <w:t>technical report</w:t>
        </w:r>
      </w:hyperlink>
      <w:r w:rsidR="00E546F8">
        <w:t xml:space="preserve"> </w:t>
      </w:r>
      <w:r w:rsidRPr="005D6D89">
        <w:t>sets out all the priority risks.</w:t>
      </w:r>
    </w:p>
    <w:p w14:paraId="3E8800C1" w14:textId="70A5AC24" w:rsidR="005E5B59" w:rsidRPr="005D6D89" w:rsidRDefault="005E5B59" w:rsidP="00D52B18">
      <w:pPr>
        <w:pStyle w:val="BodyText"/>
        <w:spacing w:before="0"/>
        <w:ind w:left="397" w:hanging="397"/>
      </w:pPr>
      <w:r w:rsidRPr="005D6D89">
        <w:t>2.</w:t>
      </w:r>
      <w:r w:rsidRPr="005D6D89">
        <w:tab/>
      </w:r>
      <w:r w:rsidRPr="005D6D89">
        <w:rPr>
          <w:b/>
          <w:bCs/>
        </w:rPr>
        <w:t>Ngā mātāpono:</w:t>
      </w:r>
      <w:r w:rsidRPr="005D6D89">
        <w:t xml:space="preserve"> These are the guiding principles of this report, informing engagement and the risk assessment. </w:t>
      </w:r>
      <w:hyperlink w:anchor="_The_NCCRA_framework" w:history="1">
        <w:r w:rsidRPr="006B7CBC">
          <w:rPr>
            <w:rStyle w:val="Hyperlink"/>
          </w:rPr>
          <w:t>Section 2.1.1</w:t>
        </w:r>
      </w:hyperlink>
      <w:r w:rsidRPr="005D6D89">
        <w:t xml:space="preserve"> describes how the principles informed the work of the NCCRA. The </w:t>
      </w:r>
      <w:hyperlink r:id="rId40" w:history="1">
        <w:r w:rsidR="005F460B" w:rsidRPr="005F460B">
          <w:rPr>
            <w:rStyle w:val="Hyperlink"/>
          </w:rPr>
          <w:t>method report</w:t>
        </w:r>
      </w:hyperlink>
      <w:r w:rsidRPr="005D6D89">
        <w:t xml:space="preserve"> gives more detail on how the NCCRA sought to apply these principles within the limitations of the project scope and timeframe.</w:t>
      </w:r>
      <w:r w:rsidR="00027F9F" w:rsidRPr="005D6D89">
        <w:t xml:space="preserve"> </w:t>
      </w:r>
    </w:p>
    <w:p w14:paraId="0291CEDF" w14:textId="261FD795" w:rsidR="005E5B59" w:rsidRPr="005D6D89" w:rsidRDefault="005E5B59" w:rsidP="00D52B18">
      <w:pPr>
        <w:pStyle w:val="BodyText"/>
        <w:spacing w:before="0"/>
        <w:ind w:left="397" w:hanging="397"/>
      </w:pPr>
      <w:r w:rsidRPr="005D6D89">
        <w:t>3.</w:t>
      </w:r>
      <w:r w:rsidRPr="005D6D89">
        <w:tab/>
      </w:r>
      <w:r w:rsidRPr="005D6D89">
        <w:rPr>
          <w:b/>
          <w:bCs/>
        </w:rPr>
        <w:t>Māori perspective on each domain:</w:t>
      </w:r>
      <w:r w:rsidRPr="005D6D89">
        <w:t xml:space="preserve"> In the </w:t>
      </w:r>
      <w:hyperlink r:id="rId41" w:history="1">
        <w:r w:rsidR="00E546F8" w:rsidRPr="00E546F8">
          <w:rPr>
            <w:rStyle w:val="Hyperlink"/>
          </w:rPr>
          <w:t>technical report</w:t>
        </w:r>
      </w:hyperlink>
      <w:r w:rsidRPr="005D6D89">
        <w:t>, the sections that present the risks, opportunities and knowledge gaps in each domain include an overview of relevant Māori concepts and values.</w:t>
      </w:r>
    </w:p>
    <w:p w14:paraId="2EBA03ED" w14:textId="77777777" w:rsidR="00C41DB0" w:rsidRPr="005D6D89" w:rsidRDefault="005E5B59" w:rsidP="00D52B18">
      <w:pPr>
        <w:pStyle w:val="BodyText"/>
        <w:spacing w:before="0"/>
        <w:ind w:left="397" w:hanging="397"/>
      </w:pPr>
      <w:r w:rsidRPr="005D6D89">
        <w:t>4.</w:t>
      </w:r>
      <w:r w:rsidRPr="005D6D89">
        <w:tab/>
      </w:r>
      <w:r w:rsidRPr="005D6D89">
        <w:rPr>
          <w:b/>
          <w:bCs/>
        </w:rPr>
        <w:t>Risks and opportunities of particular relevance to Māori:</w:t>
      </w:r>
      <w:r w:rsidRPr="005D6D89">
        <w:t xml:space="preserve"> While acknowledging that all</w:t>
      </w:r>
      <w:r w:rsidR="008931DF" w:rsidRPr="005D6D89">
        <w:t> </w:t>
      </w:r>
      <w:r w:rsidRPr="005D6D89">
        <w:t>the risks are relevant to Māori, the NCCRA also identifies risks that particularly relate to</w:t>
      </w:r>
      <w:r w:rsidR="00390101" w:rsidRPr="005D6D89">
        <w:t> </w:t>
      </w:r>
      <w:r w:rsidRPr="005D6D89">
        <w:t xml:space="preserve">Māori interests, values and practices. These </w:t>
      </w:r>
      <w:proofErr w:type="gramStart"/>
      <w:r w:rsidRPr="005D6D89">
        <w:t xml:space="preserve">are listed in </w:t>
      </w:r>
      <w:hyperlink w:anchor="_Risks_and_opportunities" w:history="1">
        <w:r w:rsidRPr="004850B4">
          <w:rPr>
            <w:rStyle w:val="Hyperlink"/>
          </w:rPr>
          <w:t>section 3.1.1</w:t>
        </w:r>
      </w:hyperlink>
      <w:r w:rsidRPr="005D6D89">
        <w:t xml:space="preserve"> and described in</w:t>
      </w:r>
      <w:r w:rsidR="00390101" w:rsidRPr="005D6D89">
        <w:t> </w:t>
      </w:r>
      <w:hyperlink w:anchor="_Climate_change_risks" w:history="1">
        <w:r w:rsidRPr="00E43CD9">
          <w:rPr>
            <w:rStyle w:val="Hyperlink"/>
          </w:rPr>
          <w:t>section 5</w:t>
        </w:r>
        <w:proofErr w:type="gramEnd"/>
      </w:hyperlink>
      <w:r w:rsidR="00C41DB0" w:rsidRPr="005D6D89">
        <w:t>.</w:t>
      </w:r>
    </w:p>
    <w:p w14:paraId="31355672" w14:textId="77777777" w:rsidR="008931DF" w:rsidRPr="005D6D89" w:rsidRDefault="008931DF" w:rsidP="00036EDB">
      <w:pPr>
        <w:pStyle w:val="Heading3"/>
        <w:numPr>
          <w:ilvl w:val="0"/>
          <w:numId w:val="23"/>
        </w:numPr>
        <w:spacing w:before="240"/>
      </w:pPr>
      <w:bookmarkStart w:id="197" w:name="_Risks_and_opportunities"/>
      <w:bookmarkStart w:id="198" w:name="_Toc37090499"/>
      <w:bookmarkStart w:id="199" w:name="_Toc37255765"/>
      <w:bookmarkStart w:id="200" w:name="_Toc37393666"/>
      <w:bookmarkStart w:id="201" w:name="_Ref37666548"/>
      <w:bookmarkStart w:id="202" w:name="_Toc40699347"/>
      <w:bookmarkEnd w:id="197"/>
      <w:r w:rsidRPr="005D6D89">
        <w:t>Risks and opportunities of particular significance to Māori</w:t>
      </w:r>
      <w:bookmarkEnd w:id="198"/>
      <w:bookmarkEnd w:id="199"/>
      <w:bookmarkEnd w:id="200"/>
      <w:bookmarkEnd w:id="201"/>
      <w:bookmarkEnd w:id="202"/>
    </w:p>
    <w:p w14:paraId="6642187F" w14:textId="77777777" w:rsidR="008931DF" w:rsidRPr="005D6D89" w:rsidRDefault="008931DF" w:rsidP="00E11AD9">
      <w:pPr>
        <w:pStyle w:val="Heading4"/>
        <w:spacing w:before="240"/>
      </w:pPr>
      <w:r w:rsidRPr="005D6D89">
        <w:t>Risks</w:t>
      </w:r>
    </w:p>
    <w:p w14:paraId="10B2AC1D" w14:textId="77777777" w:rsidR="008931DF" w:rsidRPr="005D6D89" w:rsidRDefault="008931DF" w:rsidP="00E11AD9">
      <w:pPr>
        <w:pStyle w:val="BodyText"/>
      </w:pPr>
      <w:r w:rsidRPr="005D6D89">
        <w:t xml:space="preserve">The following risks </w:t>
      </w:r>
      <w:proofErr w:type="gramStart"/>
      <w:r w:rsidRPr="005D6D89">
        <w:t>have been identified</w:t>
      </w:r>
      <w:proofErr w:type="gramEnd"/>
      <w:r w:rsidRPr="005D6D89">
        <w:t xml:space="preserve"> as being of particular significance to Māori. These risks could affect Māori interests, kawa (protocols) and tikanga (correct procedures, lore, practices) as well as diverse expressions of mana (authority, dignity, control, governance, power) and kaitiakitanga (intergenerational sustainability):</w:t>
      </w:r>
    </w:p>
    <w:p w14:paraId="31817E32" w14:textId="77777777" w:rsidR="008931DF" w:rsidRPr="005D6D89" w:rsidRDefault="008931DF" w:rsidP="00E11AD9">
      <w:pPr>
        <w:pStyle w:val="Bullet"/>
      </w:pPr>
      <w:r w:rsidRPr="005D6D89">
        <w:t>H5 – Risks to Māori social, cultural, spiritual and economic wellbeing from loss and degradation of lands and waters, as well as cultural assets such as marae, due to ongoing sea-level rise, changes in rainfall and drought.</w:t>
      </w:r>
    </w:p>
    <w:p w14:paraId="4FD31DB4" w14:textId="77777777" w:rsidR="008931DF" w:rsidRPr="005D6D89" w:rsidRDefault="008931DF" w:rsidP="00E11AD9">
      <w:pPr>
        <w:pStyle w:val="Bullet"/>
      </w:pPr>
      <w:r w:rsidRPr="005D6D89">
        <w:t>H6 – Risks to Māori social, cultural, spiritual and economic wellbeing from loss of species and biodiversity due to greater climate variability and ongoing sea-level rise.</w:t>
      </w:r>
    </w:p>
    <w:p w14:paraId="71275E8D" w14:textId="77777777" w:rsidR="008931DF" w:rsidRPr="005D6D89" w:rsidRDefault="008931DF" w:rsidP="00E11AD9">
      <w:pPr>
        <w:pStyle w:val="Bullet"/>
      </w:pPr>
      <w:r w:rsidRPr="005D6D89">
        <w:t>H8 – Risks to Māori and European cultural heritage sites due to ongoing sea-level rise, extreme weather events and increasing fire weather.</w:t>
      </w:r>
    </w:p>
    <w:p w14:paraId="0E63311A" w14:textId="77777777" w:rsidR="008931DF" w:rsidRPr="005D6D89" w:rsidRDefault="008931DF" w:rsidP="00E11AD9">
      <w:pPr>
        <w:pStyle w:val="Bullet"/>
      </w:pPr>
      <w:r w:rsidRPr="005D6D89">
        <w:t>G4 – Risk of a breach of Treaty obligations from a failure to engage adequately with and protect current and future generations of Māori from the impacts of climate change.</w:t>
      </w:r>
    </w:p>
    <w:p w14:paraId="0E5F58E3" w14:textId="77777777" w:rsidR="008931DF" w:rsidRPr="005D6D89" w:rsidRDefault="008931DF" w:rsidP="00E11AD9">
      <w:pPr>
        <w:pStyle w:val="BodyText"/>
      </w:pPr>
      <w:r w:rsidRPr="005D6D89">
        <w:t xml:space="preserve">Some risks will have a disproportionate impact on Māori or certain Māori groups: </w:t>
      </w:r>
    </w:p>
    <w:p w14:paraId="7AE1B6E8" w14:textId="77777777" w:rsidR="008931DF" w:rsidRPr="005D6D89" w:rsidRDefault="008931DF" w:rsidP="008931DF">
      <w:pPr>
        <w:pStyle w:val="Bullet"/>
      </w:pPr>
      <w:r w:rsidRPr="005D6D89">
        <w:t>H1 – Risks to social cohesion and community wellbeing from displacement of individuals, families, and communities due to climate change impacts.</w:t>
      </w:r>
    </w:p>
    <w:p w14:paraId="4032D632" w14:textId="77777777" w:rsidR="008931DF" w:rsidRPr="005D6D89" w:rsidRDefault="008931DF" w:rsidP="008931DF">
      <w:pPr>
        <w:pStyle w:val="Bullet"/>
        <w:rPr>
          <w:lang w:eastAsia="en-AU"/>
        </w:rPr>
      </w:pPr>
      <w:r w:rsidRPr="005D6D89">
        <w:t>H2 – Risks of exacerbating existing inequities and creating new and additional inequities due to differential distribution of climate change impacts.</w:t>
      </w:r>
    </w:p>
    <w:p w14:paraId="79501600" w14:textId="77777777" w:rsidR="008931DF" w:rsidRPr="005D6D89" w:rsidRDefault="008931DF" w:rsidP="008931DF">
      <w:pPr>
        <w:pStyle w:val="Bullet"/>
        <w:rPr>
          <w:lang w:eastAsia="en-AU"/>
        </w:rPr>
      </w:pPr>
      <w:r w:rsidRPr="005D6D89">
        <w:t>H4 – Risks of conflict, disruption, and loss of trust in government from changing patterns in the value of assets and competition for access to scarce resources primarily due to extreme weather events and ongoing sea-level rise.</w:t>
      </w:r>
    </w:p>
    <w:p w14:paraId="1068F60A" w14:textId="77777777" w:rsidR="008931DF" w:rsidRPr="005D6D89" w:rsidRDefault="008931DF" w:rsidP="008931DF">
      <w:pPr>
        <w:pStyle w:val="Bullet"/>
      </w:pPr>
      <w:r w:rsidRPr="005D6D89">
        <w:t>H7 – Risks to mental health, identity, autonomy and sense of belonging and wellbeing from trauma due to ongoing sea-level rise, extreme weather events and drought.</w:t>
      </w:r>
      <w:r w:rsidR="00027F9F" w:rsidRPr="005D6D89">
        <w:t xml:space="preserve"> </w:t>
      </w:r>
    </w:p>
    <w:p w14:paraId="25B390D0" w14:textId="77777777" w:rsidR="008931DF" w:rsidRPr="005D6D89" w:rsidRDefault="008931DF" w:rsidP="008931DF">
      <w:pPr>
        <w:pStyle w:val="Bullet"/>
      </w:pPr>
      <w:r w:rsidRPr="005D6D89">
        <w:t>B1 – Risk to potable water supplies (availability and quality) due to changes in rainfall, temperature, drought, extreme weather events and ongoing sea-level rise.</w:t>
      </w:r>
    </w:p>
    <w:p w14:paraId="74C7315C" w14:textId="77777777" w:rsidR="008931DF" w:rsidRPr="005D6D89" w:rsidRDefault="008931DF" w:rsidP="008931DF">
      <w:pPr>
        <w:pStyle w:val="Bullet"/>
      </w:pPr>
      <w:r w:rsidRPr="005D6D89">
        <w:t>B2 – Risks to buildings due to extreme weather events, drought, increased fire weather and ongoing sea-level rise.</w:t>
      </w:r>
    </w:p>
    <w:p w14:paraId="18BD804C" w14:textId="77777777" w:rsidR="008931DF" w:rsidRPr="005D6D89" w:rsidRDefault="008931DF" w:rsidP="008931DF">
      <w:pPr>
        <w:pStyle w:val="Bullet"/>
      </w:pPr>
      <w:r w:rsidRPr="005D6D89">
        <w:t>B4 – Risk to wastewater and stormwater systems (and levels of service) due to extreme weather events and ongoing sea-level rise.</w:t>
      </w:r>
    </w:p>
    <w:p w14:paraId="38EFB069" w14:textId="77777777" w:rsidR="008931DF" w:rsidRPr="005D6D89" w:rsidRDefault="008931DF" w:rsidP="008931DF">
      <w:pPr>
        <w:pStyle w:val="Bullet"/>
      </w:pPr>
      <w:r w:rsidRPr="005D6D89">
        <w:t xml:space="preserve">B6 – Risks to linear transport networks due to changes in temperature, extreme weather events and ongoing </w:t>
      </w:r>
      <w:proofErr w:type="gramStart"/>
      <w:r w:rsidRPr="005D6D89">
        <w:t>sea-level</w:t>
      </w:r>
      <w:proofErr w:type="gramEnd"/>
      <w:r w:rsidRPr="005D6D89">
        <w:t xml:space="preserve"> rise.</w:t>
      </w:r>
    </w:p>
    <w:p w14:paraId="5E4F8CF3" w14:textId="77777777" w:rsidR="008931DF" w:rsidRPr="005D6D89" w:rsidRDefault="008931DF" w:rsidP="008931DF">
      <w:pPr>
        <w:pStyle w:val="Bullet"/>
      </w:pPr>
      <w:r w:rsidRPr="005D6D89">
        <w:t>G6 – Risks to the ability of the emergency management system to respond to an increasing frequency and scale of compounding and cascading climate change impacts in New Zealand and the Pacific region.</w:t>
      </w:r>
    </w:p>
    <w:p w14:paraId="2CDF3A31" w14:textId="77777777" w:rsidR="008931DF" w:rsidRPr="005D6D89" w:rsidRDefault="008931DF" w:rsidP="008931DF">
      <w:pPr>
        <w:pStyle w:val="Bullet"/>
      </w:pPr>
      <w:r w:rsidRPr="005D6D89">
        <w:t>G8 – Risk to the ability of democratic institutions to follow due democratic decision-making processes under pressure from an increasing frequency and scale of compounding and cascading climate change impacts.</w:t>
      </w:r>
    </w:p>
    <w:p w14:paraId="0AC84392" w14:textId="13745900" w:rsidR="008931DF" w:rsidRPr="005D6D89" w:rsidRDefault="008931DF" w:rsidP="00E11AD9">
      <w:pPr>
        <w:pStyle w:val="BodyText"/>
      </w:pPr>
      <w:r w:rsidRPr="005D6D89">
        <w:t xml:space="preserve">These risks </w:t>
      </w:r>
      <w:proofErr w:type="gramStart"/>
      <w:r w:rsidRPr="005D6D89">
        <w:t>are described</w:t>
      </w:r>
      <w:proofErr w:type="gramEnd"/>
      <w:r w:rsidRPr="005D6D89">
        <w:t xml:space="preserve"> in </w:t>
      </w:r>
      <w:hyperlink w:anchor="_Climate_change_risks" w:history="1">
        <w:r w:rsidRPr="007A62AE">
          <w:rPr>
            <w:rStyle w:val="Hyperlink"/>
          </w:rPr>
          <w:t>section</w:t>
        </w:r>
        <w:r w:rsidR="007A62AE" w:rsidRPr="007A62AE">
          <w:rPr>
            <w:rStyle w:val="Hyperlink"/>
          </w:rPr>
          <w:t xml:space="preserve"> 5</w:t>
        </w:r>
      </w:hyperlink>
      <w:r w:rsidRPr="005D6D89">
        <w:t xml:space="preserve">, and in </w:t>
      </w:r>
      <w:r w:rsidR="007473BA">
        <w:t>more</w:t>
      </w:r>
      <w:r w:rsidRPr="005D6D89">
        <w:t xml:space="preserve"> detail in the </w:t>
      </w:r>
      <w:hyperlink r:id="rId42" w:history="1">
        <w:r w:rsidR="00E546F8" w:rsidRPr="00E546F8">
          <w:rPr>
            <w:rStyle w:val="Hyperlink"/>
          </w:rPr>
          <w:t>technical report</w:t>
        </w:r>
      </w:hyperlink>
      <w:r w:rsidRPr="005D6D89">
        <w:t xml:space="preserve">. </w:t>
      </w:r>
    </w:p>
    <w:p w14:paraId="3FD4DC61" w14:textId="77777777" w:rsidR="008931DF" w:rsidRPr="005D6D89" w:rsidRDefault="008931DF" w:rsidP="00E11AD9">
      <w:pPr>
        <w:pStyle w:val="Heading4"/>
      </w:pPr>
      <w:r w:rsidRPr="005D6D89">
        <w:t>Opportunities</w:t>
      </w:r>
    </w:p>
    <w:p w14:paraId="641752BF" w14:textId="77777777" w:rsidR="008931DF" w:rsidRPr="005D6D89" w:rsidRDefault="008931DF" w:rsidP="00E11AD9">
      <w:pPr>
        <w:pStyle w:val="BodyText"/>
        <w:rPr>
          <w:highlight w:val="cyan"/>
        </w:rPr>
      </w:pPr>
      <w:r w:rsidRPr="005D6D89">
        <w:t xml:space="preserve">The opportunities in </w:t>
      </w:r>
      <w:hyperlink w:anchor="_Opportunities" w:history="1">
        <w:r w:rsidRPr="008F203B">
          <w:rPr>
            <w:rStyle w:val="Hyperlink"/>
          </w:rPr>
          <w:t xml:space="preserve">section </w:t>
        </w:r>
        <w:r w:rsidR="008F203B" w:rsidRPr="008F203B">
          <w:rPr>
            <w:rStyle w:val="Hyperlink"/>
          </w:rPr>
          <w:t>5.8</w:t>
        </w:r>
      </w:hyperlink>
      <w:r w:rsidRPr="005D6D89">
        <w:t xml:space="preserve"> are relevant to Māori business, particularly the primary sector (EO1), which is a strong focus for the Māori economy, whakatipu rawa (Māori enterprise) (EO2), and mahinga kai (food provisioning) (EO1). The health and financial opportunities of warmer winters are of particular significance to vulnerable groups such as low-income families, in which Māori are disproportionately represented (HO1 and BO1). </w:t>
      </w:r>
    </w:p>
    <w:p w14:paraId="6DCE5D99" w14:textId="77777777" w:rsidR="007D4B8E" w:rsidRPr="005D6D89" w:rsidRDefault="007D4B8E">
      <w:pPr>
        <w:spacing w:before="0" w:after="200" w:line="276" w:lineRule="auto"/>
        <w:jc w:val="left"/>
      </w:pPr>
      <w:r w:rsidRPr="005D6D89">
        <w:br w:type="page"/>
      </w:r>
    </w:p>
    <w:p w14:paraId="20E9AC39" w14:textId="77777777" w:rsidR="005A7184" w:rsidRPr="00FD24D0" w:rsidRDefault="005A7184" w:rsidP="005A7184">
      <w:pPr>
        <w:pStyle w:val="Heading1"/>
        <w:numPr>
          <w:ilvl w:val="0"/>
          <w:numId w:val="17"/>
        </w:numPr>
      </w:pPr>
      <w:bookmarkStart w:id="203" w:name="_Climate_change_in"/>
      <w:bookmarkStart w:id="204" w:name="_Toc37255766"/>
      <w:bookmarkStart w:id="205" w:name="_Toc37393667"/>
      <w:bookmarkStart w:id="206" w:name="_Ref37667489"/>
      <w:bookmarkStart w:id="207" w:name="_Ref37667531"/>
      <w:bookmarkStart w:id="208" w:name="_Ref40346883"/>
      <w:bookmarkStart w:id="209" w:name="_Ref40346899"/>
      <w:bookmarkStart w:id="210" w:name="_Ref40346970"/>
      <w:bookmarkStart w:id="211" w:name="_Toc40699348"/>
      <w:bookmarkStart w:id="212" w:name="_Toc43064133"/>
      <w:bookmarkEnd w:id="203"/>
      <w:r w:rsidRPr="00FD24D0">
        <w:t>Climate change in New Zealand</w:t>
      </w:r>
      <w:bookmarkEnd w:id="204"/>
      <w:bookmarkEnd w:id="205"/>
      <w:bookmarkEnd w:id="206"/>
      <w:bookmarkEnd w:id="207"/>
      <w:bookmarkEnd w:id="208"/>
      <w:bookmarkEnd w:id="209"/>
      <w:bookmarkEnd w:id="210"/>
      <w:bookmarkEnd w:id="211"/>
      <w:bookmarkEnd w:id="212"/>
    </w:p>
    <w:p w14:paraId="3F80C114" w14:textId="77777777" w:rsidR="005A7184" w:rsidRPr="005D6D89" w:rsidRDefault="005A7184" w:rsidP="00812D16">
      <w:pPr>
        <w:pStyle w:val="Heading2"/>
        <w:numPr>
          <w:ilvl w:val="0"/>
          <w:numId w:val="24"/>
        </w:numPr>
        <w:spacing w:before="240"/>
      </w:pPr>
      <w:bookmarkStart w:id="213" w:name="_Toc37784878"/>
      <w:bookmarkStart w:id="214" w:name="_Toc40699349"/>
      <w:bookmarkStart w:id="215" w:name="_Toc43064134"/>
      <w:bookmarkStart w:id="216" w:name="_Hlk37061289"/>
      <w:r w:rsidRPr="005D6D89">
        <w:t>New Zealand is already experiencing the impacts</w:t>
      </w:r>
      <w:r w:rsidR="00A00645" w:rsidRPr="005D6D89">
        <w:t> </w:t>
      </w:r>
      <w:r w:rsidRPr="005D6D89">
        <w:t>from a changing climate</w:t>
      </w:r>
      <w:bookmarkEnd w:id="213"/>
      <w:bookmarkEnd w:id="214"/>
      <w:bookmarkEnd w:id="215"/>
      <w:r w:rsidRPr="005D6D89">
        <w:t xml:space="preserve"> </w:t>
      </w:r>
    </w:p>
    <w:p w14:paraId="497BE2D9" w14:textId="77777777" w:rsidR="005A7184" w:rsidRPr="005D6D89" w:rsidRDefault="005A7184" w:rsidP="005A7184">
      <w:pPr>
        <w:pStyle w:val="BodyText"/>
      </w:pPr>
      <w:r w:rsidRPr="005D6D89">
        <w:t>Natural variations have always played a part in our climate, and will continue to do so. Climate</w:t>
      </w:r>
      <w:r w:rsidR="00121AE3" w:rsidRPr="005D6D89">
        <w:t> </w:t>
      </w:r>
      <w:r w:rsidRPr="005D6D89">
        <w:t xml:space="preserve">change </w:t>
      </w:r>
      <w:proofErr w:type="gramStart"/>
      <w:r w:rsidRPr="005D6D89">
        <w:t>is expected</w:t>
      </w:r>
      <w:proofErr w:type="gramEnd"/>
      <w:r w:rsidRPr="005D6D89">
        <w:t xml:space="preserve"> to shift the range and the pattern of this variability. New Zealand is</w:t>
      </w:r>
      <w:r w:rsidR="00121AE3" w:rsidRPr="005D6D89">
        <w:t> </w:t>
      </w:r>
      <w:r w:rsidRPr="005D6D89">
        <w:t>observing gradual changes such as sea-level rise and higher average temperatures, and more</w:t>
      </w:r>
      <w:r w:rsidR="00121AE3" w:rsidRPr="005D6D89">
        <w:t> </w:t>
      </w:r>
      <w:r w:rsidRPr="005D6D89">
        <w:t>frequent and severe extreme weather events such as heatwaves, coastal flooding and changing seasonality (Ministry for the Environment, 2018). Climate change poses additional risks to New Zealand</w:t>
      </w:r>
      <w:r w:rsidR="001200EA">
        <w:t>’</w:t>
      </w:r>
      <w:r w:rsidRPr="005D6D89">
        <w:t xml:space="preserve">s communities and environment (natural and built), and will require adaptive responses to build resilience. </w:t>
      </w:r>
    </w:p>
    <w:p w14:paraId="30BA7CB8" w14:textId="77777777" w:rsidR="005A7184" w:rsidRPr="005D6D89" w:rsidRDefault="005A7184" w:rsidP="005A7184">
      <w:pPr>
        <w:pStyle w:val="BodyText"/>
      </w:pPr>
      <w:r w:rsidRPr="005D6D89">
        <w:t xml:space="preserve">Due to past emissions, the climate will continue to change well into the future. </w:t>
      </w:r>
      <w:bookmarkEnd w:id="216"/>
      <w:r w:rsidRPr="005D6D89">
        <w:t>Global surface temperatures have warmed, on average, by about 1</w:t>
      </w:r>
      <w:r w:rsidR="00FD24D0" w:rsidRPr="005D6D89">
        <w:t>°</w:t>
      </w:r>
      <w:r w:rsidRPr="005D6D89">
        <w:t>C on average since the late 19th century (Met Office, 2015). In New Zealand, a warming of 1</w:t>
      </w:r>
      <w:r w:rsidR="00FD24D0" w:rsidRPr="005D6D89">
        <w:t>°</w:t>
      </w:r>
      <w:r w:rsidRPr="005D6D89">
        <w:t xml:space="preserve">C </w:t>
      </w:r>
      <w:proofErr w:type="gramStart"/>
      <w:r w:rsidRPr="005D6D89">
        <w:t>was also recorded</w:t>
      </w:r>
      <w:proofErr w:type="gramEnd"/>
      <w:r w:rsidRPr="005D6D89">
        <w:t xml:space="preserve"> between 1909 and</w:t>
      </w:r>
      <w:r w:rsidR="009044C8" w:rsidRPr="005D6D89">
        <w:t> </w:t>
      </w:r>
      <w:r w:rsidRPr="005D6D89">
        <w:t>2018. On the basis of monthly mean temperatures relative to the 1981</w:t>
      </w:r>
      <w:r w:rsidR="00D66E85">
        <w:t>–</w:t>
      </w:r>
      <w:r w:rsidRPr="005D6D89">
        <w:t>2010 average temperature, the five warmest years were: 2016 (+0.8°C), 2018 and 1998 (tied on +0.8°C), 1999 (+0.7°C), and 2013 (+0.7°C) (NIWA, 2019).</w:t>
      </w:r>
    </w:p>
    <w:p w14:paraId="7D4F692B" w14:textId="77777777" w:rsidR="005A7184" w:rsidRPr="005D6D89" w:rsidRDefault="005A7184" w:rsidP="005A7184">
      <w:pPr>
        <w:pStyle w:val="BodyText"/>
      </w:pPr>
      <w:r w:rsidRPr="005D6D89">
        <w:t>The oceans have already warmed and the amounts of snow and ice have diminished (IPCC,</w:t>
      </w:r>
      <w:r w:rsidR="009044C8" w:rsidRPr="005D6D89">
        <w:t> </w:t>
      </w:r>
      <w:r w:rsidRPr="005D6D89">
        <w:t xml:space="preserve">2013). </w:t>
      </w:r>
    </w:p>
    <w:p w14:paraId="6A829E04" w14:textId="77777777" w:rsidR="005A7184" w:rsidRPr="005D6D89" w:rsidRDefault="005A7184" w:rsidP="005A7184">
      <w:pPr>
        <w:pStyle w:val="BodyText"/>
      </w:pPr>
      <w:r w:rsidRPr="005D6D89">
        <w:t>The global average sea level rose about 19 cm between 1901 and 2010, at an average rate of 1.7</w:t>
      </w:r>
      <w:r w:rsidR="00572269">
        <w:t> </w:t>
      </w:r>
      <w:r w:rsidRPr="005D6D89">
        <w:t xml:space="preserve">mm per year. </w:t>
      </w:r>
      <w:r w:rsidR="00FD24D0">
        <w:t>T</w:t>
      </w:r>
      <w:r w:rsidRPr="005D6D89">
        <w:t xml:space="preserve">he global average sea level rose at an average rate of about 3.4 mm per year between 1993 to 2016 (MfE, 2017a). </w:t>
      </w:r>
    </w:p>
    <w:p w14:paraId="2FF4E1FC" w14:textId="77777777" w:rsidR="005A7184" w:rsidRPr="005D6D89" w:rsidRDefault="005A7184" w:rsidP="005A7184">
      <w:pPr>
        <w:pStyle w:val="BodyText"/>
      </w:pPr>
      <w:r w:rsidRPr="005D6D89">
        <w:t>Due to the influence of regional climate trends and gravitational effects, the sea level does not</w:t>
      </w:r>
      <w:r w:rsidR="009044C8" w:rsidRPr="005D6D89">
        <w:t> </w:t>
      </w:r>
      <w:r w:rsidRPr="005D6D89">
        <w:t>rise uniformly around the globe. Between 1961 and 2018, a mean rate of sea-level rise of 2.44</w:t>
      </w:r>
      <w:r w:rsidR="009044C8" w:rsidRPr="005D6D89">
        <w:t> </w:t>
      </w:r>
      <w:r w:rsidRPr="005D6D89">
        <w:t xml:space="preserve">mm per year </w:t>
      </w:r>
      <w:proofErr w:type="gramStart"/>
      <w:r w:rsidRPr="005D6D89">
        <w:t>was recorded</w:t>
      </w:r>
      <w:proofErr w:type="gramEnd"/>
      <w:r w:rsidRPr="005D6D89">
        <w:t xml:space="preserve"> across the four long-term monitoring sites across New Zealand. This rate is more than double the mean rate of 1.22 mm per year </w:t>
      </w:r>
      <w:r w:rsidR="00FD24D0">
        <w:t>for</w:t>
      </w:r>
      <w:r w:rsidRPr="005D6D89">
        <w:t xml:space="preserve"> the same sites between the start of our records and 1960 (MfE, 2017a). </w:t>
      </w:r>
    </w:p>
    <w:p w14:paraId="608E54EA" w14:textId="77777777" w:rsidR="005A7184" w:rsidRPr="005D6D89" w:rsidRDefault="005A7184" w:rsidP="00812D16">
      <w:pPr>
        <w:pStyle w:val="Heading2"/>
        <w:numPr>
          <w:ilvl w:val="0"/>
          <w:numId w:val="24"/>
        </w:numPr>
      </w:pPr>
      <w:bookmarkStart w:id="217" w:name="_Toc37255767"/>
      <w:bookmarkStart w:id="218" w:name="_Toc37393668"/>
      <w:bookmarkStart w:id="219" w:name="_Ref37665860"/>
      <w:bookmarkStart w:id="220" w:name="_Toc37784879"/>
      <w:bookmarkStart w:id="221" w:name="_Toc40699350"/>
      <w:bookmarkStart w:id="222" w:name="_Toc43064135"/>
      <w:r w:rsidRPr="005D6D89">
        <w:t>Overview of climate change projections and</w:t>
      </w:r>
      <w:r w:rsidR="009044C8" w:rsidRPr="005D6D89">
        <w:t> </w:t>
      </w:r>
      <w:r w:rsidRPr="005D6D89">
        <w:t>impacts</w:t>
      </w:r>
      <w:bookmarkEnd w:id="217"/>
      <w:bookmarkEnd w:id="218"/>
      <w:bookmarkEnd w:id="219"/>
      <w:bookmarkEnd w:id="220"/>
      <w:bookmarkEnd w:id="221"/>
      <w:bookmarkEnd w:id="222"/>
    </w:p>
    <w:p w14:paraId="4F5C8314" w14:textId="22E81226" w:rsidR="005A7184" w:rsidRPr="005D6D89" w:rsidRDefault="005A7184" w:rsidP="009044C8">
      <w:pPr>
        <w:pStyle w:val="BodyText"/>
      </w:pPr>
      <w:r w:rsidRPr="005D6D89">
        <w:t xml:space="preserve">Warming of the climate system, driven by </w:t>
      </w:r>
      <w:r w:rsidRPr="00FD24D0">
        <w:t>anthropogenic</w:t>
      </w:r>
      <w:r w:rsidRPr="005D6D89">
        <w:t xml:space="preserve"> (caused by human activity) greenhouse gas emissions, is unequivocal </w:t>
      </w:r>
      <w:r w:rsidRPr="005D6D89">
        <w:fldChar w:fldCharType="begin"/>
      </w:r>
      <w:r w:rsidRPr="005D6D89">
        <w:instrText xml:space="preserve"> ADDIN ZOTERO_ITEM CSL_CITATION {"citationID":"JpQrA1iI","properties":{"formattedCitation":"(IPCC,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Pr="005D6D89">
        <w:fldChar w:fldCharType="separate"/>
      </w:r>
      <w:r w:rsidRPr="005D6D89">
        <w:rPr>
          <w:rFonts w:cs="Arial"/>
        </w:rPr>
        <w:t>(IPCC, 2019)</w:t>
      </w:r>
      <w:r w:rsidRPr="005D6D89">
        <w:fldChar w:fldCharType="end"/>
      </w:r>
      <w:r w:rsidRPr="005D6D89">
        <w:t xml:space="preserve">. </w:t>
      </w:r>
      <w:bookmarkStart w:id="223" w:name="_GoBack"/>
      <w:bookmarkEnd w:id="223"/>
      <w:r w:rsidRPr="005D6D89">
        <w:t>This section provides an overview of climate change projections for New Zealand. The world has</w:t>
      </w:r>
      <w:r w:rsidR="009044C8" w:rsidRPr="005D6D89">
        <w:t> </w:t>
      </w:r>
      <w:r w:rsidRPr="005D6D89">
        <w:t xml:space="preserve">already experienced significant climatic changes due to emissions from the combustion of fossil fuels and changes in land use. The volume and rate of emissions will depend on climate policies, resource availability and demographic, economic and technological change, all of which are uncertain. </w:t>
      </w:r>
    </w:p>
    <w:p w14:paraId="2B1D6996" w14:textId="77777777" w:rsidR="005A7184" w:rsidRPr="005D6D89" w:rsidRDefault="00FD24D0" w:rsidP="00812D16">
      <w:pPr>
        <w:pStyle w:val="Heading3"/>
        <w:numPr>
          <w:ilvl w:val="0"/>
          <w:numId w:val="25"/>
        </w:numPr>
      </w:pPr>
      <w:r>
        <w:t>Representative concentration p</w:t>
      </w:r>
      <w:r w:rsidR="005A7184" w:rsidRPr="005D6D89">
        <w:t>athways (RCPs)</w:t>
      </w:r>
    </w:p>
    <w:p w14:paraId="226878BC" w14:textId="1155377E" w:rsidR="005A7184" w:rsidRPr="005D6D89" w:rsidRDefault="005A7184" w:rsidP="001F621E">
      <w:pPr>
        <w:pStyle w:val="BodyText"/>
      </w:pPr>
      <w:r w:rsidRPr="005D6D89">
        <w:t>To consider this uncertainty, the IPCC developed four future emission sc</w:t>
      </w:r>
      <w:r w:rsidR="00FD24D0">
        <w:t xml:space="preserve">enarios, called </w:t>
      </w:r>
      <w:r w:rsidR="002B0472">
        <w:t xml:space="preserve">representative </w:t>
      </w:r>
      <w:r w:rsidR="00FD24D0">
        <w:t>concentration p</w:t>
      </w:r>
      <w:r w:rsidRPr="005D6D89">
        <w:t xml:space="preserve">athways (RCPs), to model future climate change for a range of climate variables. See </w:t>
      </w:r>
      <w:hyperlink w:anchor="box1" w:history="1">
        <w:r w:rsidR="000B575D">
          <w:rPr>
            <w:rStyle w:val="Hyperlink"/>
          </w:rPr>
          <w:t>b</w:t>
        </w:r>
        <w:r w:rsidRPr="005D6D89">
          <w:rPr>
            <w:rStyle w:val="Hyperlink"/>
          </w:rPr>
          <w:t>ox 1</w:t>
        </w:r>
      </w:hyperlink>
      <w:r w:rsidR="001B1460" w:rsidRPr="005D6D89">
        <w:t>.</w:t>
      </w:r>
      <w:r w:rsidR="001B1460" w:rsidRPr="005D6D89" w:rsidDel="001B1460">
        <w:t xml:space="preserve"> </w:t>
      </w:r>
    </w:p>
    <w:p w14:paraId="1CEC8496" w14:textId="77777777" w:rsidR="005A7184" w:rsidRPr="005D6D89" w:rsidRDefault="005A7184" w:rsidP="005A7184">
      <w:pPr>
        <w:pStyle w:val="BodyText"/>
      </w:pPr>
      <w:r w:rsidRPr="005D6D89">
        <w:t xml:space="preserve">Risks identified in the NCCRA are likely to be sensitive to the degree of climate change, outlined below. </w:t>
      </w:r>
    </w:p>
    <w:p w14:paraId="38A7427D" w14:textId="77777777" w:rsidR="005A7184" w:rsidRPr="005D6D89" w:rsidRDefault="005A7184" w:rsidP="00E32D45">
      <w:pPr>
        <w:pStyle w:val="Boxheadings"/>
      </w:pPr>
      <w:bookmarkStart w:id="224" w:name="_Toc43201226"/>
      <w:r w:rsidRPr="005D6D89">
        <w:t>Box 3</w:t>
      </w:r>
      <w:r w:rsidR="001E31C0" w:rsidRPr="005D6D89">
        <w:t>:</w:t>
      </w:r>
      <w:r w:rsidRPr="005D6D89">
        <w:tab/>
        <w:t>Climate change scenarios in the NCCRA</w:t>
      </w:r>
      <w:bookmarkEnd w:id="224"/>
    </w:p>
    <w:tbl>
      <w:tblPr>
        <w:tblStyle w:val="TableGrid"/>
        <w:tblW w:w="8505" w:type="dxa"/>
        <w:tblInd w:w="108"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hemeFill="accent3"/>
        <w:tblLook w:val="04A0" w:firstRow="1" w:lastRow="0" w:firstColumn="1" w:lastColumn="0" w:noHBand="0" w:noVBand="1"/>
      </w:tblPr>
      <w:tblGrid>
        <w:gridCol w:w="8505"/>
      </w:tblGrid>
      <w:tr w:rsidR="009C2F86" w:rsidRPr="005D6D89" w14:paraId="07B4A761" w14:textId="77777777" w:rsidTr="0014705D">
        <w:tc>
          <w:tcPr>
            <w:tcW w:w="9068" w:type="dxa"/>
            <w:shd w:val="clear" w:color="auto" w:fill="D2DDE2" w:themeFill="accent3"/>
          </w:tcPr>
          <w:p w14:paraId="03AE80A4" w14:textId="77777777" w:rsidR="009C2F86" w:rsidRPr="005D6D89" w:rsidRDefault="009C2F86" w:rsidP="00AC1FEE">
            <w:pPr>
              <w:pStyle w:val="Blueboxtext"/>
              <w:spacing w:before="240" w:after="0"/>
            </w:pPr>
            <w:r w:rsidRPr="005D6D89">
              <w:t xml:space="preserve">The RCPs are possible future emissions trajectories that could result from a range of climate policies. They include a time series of emissions and concentrations of greenhouse gases, aerosols and chemically active gases, as well as land use and land cover. RCPs are only one set of many scenarios that would lead to different levels of global warming </w:t>
            </w:r>
            <w:r w:rsidRPr="005D6D89">
              <w:rPr>
                <w:rFonts w:ascii="Arial" w:eastAsia="Times New Roman" w:hAnsi="Arial"/>
              </w:rPr>
              <w:fldChar w:fldCharType="begin"/>
            </w:r>
            <w:r w:rsidRPr="005D6D89">
              <w:instrText xml:space="preserve"> ADDIN ZOTERO_ITEM CSL_CITATION {"citationID":"K6S9KlbI","properties":{"formattedCitation":"(IPCC,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Pr="005D6D89">
              <w:rPr>
                <w:rFonts w:ascii="Arial" w:eastAsia="Times New Roman" w:hAnsi="Arial"/>
              </w:rPr>
              <w:fldChar w:fldCharType="separate"/>
            </w:r>
            <w:r w:rsidRPr="005D6D89">
              <w:rPr>
                <w:rFonts w:cs="Arial"/>
              </w:rPr>
              <w:t>(IPCC, 2019)</w:t>
            </w:r>
            <w:r w:rsidRPr="005D6D89">
              <w:rPr>
                <w:rFonts w:asciiTheme="minorHAnsi" w:eastAsiaTheme="minorHAnsi" w:hAnsiTheme="minorHAnsi"/>
                <w:lang w:eastAsia="en-US"/>
              </w:rPr>
              <w:fldChar w:fldCharType="end"/>
            </w:r>
            <w:r w:rsidRPr="005D6D89">
              <w:t>.</w:t>
            </w:r>
          </w:p>
          <w:p w14:paraId="5889D524" w14:textId="77777777" w:rsidR="009C2F86" w:rsidRPr="005D6D89" w:rsidRDefault="009C2F86" w:rsidP="00AC1FEE">
            <w:pPr>
              <w:pStyle w:val="Blueboxtext"/>
              <w:spacing w:after="0"/>
            </w:pPr>
            <w:r w:rsidRPr="005D6D89">
              <w:t xml:space="preserve">Stage 1 of this NCCRA used projections based on </w:t>
            </w:r>
            <w:r w:rsidRPr="005D6D89">
              <w:rPr>
                <w:b/>
              </w:rPr>
              <w:t>RCP8.5,</w:t>
            </w:r>
            <w:r w:rsidRPr="005D6D89">
              <w:t xml:space="preserve"> </w:t>
            </w:r>
            <w:r w:rsidRPr="005D6D89">
              <w:rPr>
                <w:b/>
              </w:rPr>
              <w:t>a high greenhouse gas emissions scenario</w:t>
            </w:r>
            <w:r w:rsidRPr="005D6D89">
              <w:t xml:space="preserve">. This is assumed </w:t>
            </w:r>
            <w:proofErr w:type="gramStart"/>
            <w:r w:rsidRPr="005D6D89">
              <w:t>to be a</w:t>
            </w:r>
            <w:proofErr w:type="gramEnd"/>
            <w:r w:rsidRPr="005D6D89">
              <w:t xml:space="preserve"> plausible upper level of risk. It supports the identification </w:t>
            </w:r>
            <w:r w:rsidR="00FD24D0">
              <w:t>of the most significant climate-</w:t>
            </w:r>
            <w:r w:rsidRPr="005D6D89">
              <w:t xml:space="preserve">related risks, analysed in Stage 2 of the assessment. However, more extreme scenarios are possible, and the sensitivity of the climate system remains uncertain. </w:t>
            </w:r>
          </w:p>
          <w:p w14:paraId="3AC29D72" w14:textId="77777777" w:rsidR="009C2F86" w:rsidRPr="005D6D89" w:rsidRDefault="009C2F86" w:rsidP="0044687D">
            <w:pPr>
              <w:pStyle w:val="Blueboxtext"/>
            </w:pPr>
            <w:r w:rsidRPr="005D6D89">
              <w:t xml:space="preserve">Stage 2 also used </w:t>
            </w:r>
            <w:r w:rsidRPr="005D6D89">
              <w:rPr>
                <w:b/>
              </w:rPr>
              <w:t>RCP4.5, a relatively lower greenhouse gas emissions scenario.</w:t>
            </w:r>
            <w:r w:rsidRPr="005D6D89">
              <w:t xml:space="preserve"> It </w:t>
            </w:r>
            <w:proofErr w:type="gramStart"/>
            <w:r w:rsidRPr="005D6D89">
              <w:t>was used</w:t>
            </w:r>
            <w:proofErr w:type="gramEnd"/>
            <w:r w:rsidRPr="005D6D89">
              <w:t xml:space="preserve"> to consider climate risks associated with trajectories involving greater mitigation of emissions. This involves</w:t>
            </w:r>
            <w:r w:rsidR="00FD24D0">
              <w:t xml:space="preserve"> a</w:t>
            </w:r>
            <w:r w:rsidRPr="005D6D89">
              <w:t xml:space="preserve"> sharp reduction in emissions in the second half of the century, but importantly it does not achieve the </w:t>
            </w:r>
            <w:hyperlink r:id="rId43" w:history="1">
              <w:r w:rsidRPr="00B252CB">
                <w:rPr>
                  <w:rStyle w:val="Hyperlink"/>
                </w:rPr>
                <w:t>Paris Agreement</w:t>
              </w:r>
            </w:hyperlink>
            <w:r w:rsidRPr="005D6D89">
              <w:t xml:space="preserve"> goal of limiting warming to 2</w:t>
            </w:r>
            <w:r w:rsidR="00FD24D0" w:rsidRPr="005D6D89">
              <w:t>°</w:t>
            </w:r>
            <w:r w:rsidRPr="005D6D89">
              <w:t>C.</w:t>
            </w:r>
          </w:p>
          <w:p w14:paraId="571EF04F" w14:textId="77777777" w:rsidR="00CB58ED" w:rsidRPr="005D6D89" w:rsidRDefault="00CB58ED" w:rsidP="001B1460">
            <w:pPr>
              <w:pStyle w:val="Figureheading"/>
              <w:ind w:left="1418" w:right="284"/>
              <w:rPr>
                <w:color w:val="1C556C" w:themeColor="accent1"/>
              </w:rPr>
            </w:pPr>
            <w:bookmarkStart w:id="225" w:name="_Toc43312896"/>
            <w:r w:rsidRPr="005D6D89">
              <w:rPr>
                <w:color w:val="1C556C" w:themeColor="accent1"/>
              </w:rPr>
              <w:t xml:space="preserve">Figure </w:t>
            </w:r>
            <w:r w:rsidR="00BE02B7" w:rsidRPr="005D6D89">
              <w:rPr>
                <w:color w:val="1C556C" w:themeColor="accent1"/>
              </w:rPr>
              <w:t>5</w:t>
            </w:r>
            <w:r w:rsidR="001C372B" w:rsidRPr="005D6D89">
              <w:rPr>
                <w:color w:val="1C556C" w:themeColor="accent1"/>
              </w:rPr>
              <w:t>:</w:t>
            </w:r>
            <w:r w:rsidRPr="005D6D89">
              <w:rPr>
                <w:color w:val="1C556C" w:themeColor="accent1"/>
              </w:rPr>
              <w:tab/>
              <w:t>Global average surface temperature change from 2006 to 2100 as determined by multi-model simulations relative to 1986–2005</w:t>
            </w:r>
            <w:bookmarkEnd w:id="225"/>
          </w:p>
          <w:p w14:paraId="58F5F4FE" w14:textId="77777777" w:rsidR="009C2F86" w:rsidRPr="005D6D89" w:rsidRDefault="009C2F86" w:rsidP="0044687D">
            <w:pPr>
              <w:pStyle w:val="Blueboxtext"/>
            </w:pPr>
            <w:r w:rsidRPr="005D6D89">
              <w:rPr>
                <w:noProof/>
              </w:rPr>
              <w:drawing>
                <wp:inline distT="0" distB="0" distL="0" distR="0" wp14:anchorId="25BCDCFE" wp14:editId="5976D31D">
                  <wp:extent cx="4876800" cy="2789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7580" cy="2790001"/>
                          </a:xfrm>
                          <a:prstGeom prst="rect">
                            <a:avLst/>
                          </a:prstGeom>
                          <a:noFill/>
                        </pic:spPr>
                      </pic:pic>
                    </a:graphicData>
                  </a:graphic>
                </wp:inline>
              </w:drawing>
            </w:r>
          </w:p>
          <w:p w14:paraId="6EC49C7F" w14:textId="77777777" w:rsidR="009C2F86" w:rsidRPr="005D6D89" w:rsidRDefault="00CB58ED" w:rsidP="00242697">
            <w:pPr>
              <w:pStyle w:val="Blueboxtext"/>
              <w:spacing w:after="240" w:line="240" w:lineRule="atLeast"/>
            </w:pPr>
            <w:bookmarkStart w:id="226" w:name="_Toc37308844"/>
            <w:bookmarkStart w:id="227" w:name="_Toc42783264"/>
            <w:r w:rsidRPr="005D6D89">
              <w:rPr>
                <w:sz w:val="18"/>
                <w:szCs w:val="18"/>
              </w:rPr>
              <w:t>Note:</w:t>
            </w:r>
            <w:r w:rsidR="009C2F86" w:rsidRPr="005D6D89">
              <w:rPr>
                <w:sz w:val="18"/>
                <w:szCs w:val="18"/>
              </w:rPr>
              <w:t xml:space="preserve"> Time series of projections and a measure of uncertainty (shading) </w:t>
            </w:r>
            <w:proofErr w:type="gramStart"/>
            <w:r w:rsidR="009C2F86" w:rsidRPr="005D6D89">
              <w:rPr>
                <w:sz w:val="18"/>
                <w:szCs w:val="18"/>
              </w:rPr>
              <w:t>are shown</w:t>
            </w:r>
            <w:proofErr w:type="gramEnd"/>
            <w:r w:rsidR="009C2F86" w:rsidRPr="005D6D89">
              <w:rPr>
                <w:sz w:val="18"/>
                <w:szCs w:val="18"/>
              </w:rPr>
              <w:t xml:space="preserve"> for scenarios RCP2.6 (blue) and RCP8.5 (red). The mean and associated uncertainties averaged over 2081–2100 are the coloured vertical bars at the right of each panel </w:t>
            </w:r>
            <w:r w:rsidR="009C2F86" w:rsidRPr="005D6D89">
              <w:rPr>
                <w:rStyle w:val="BodyTextChar"/>
                <w:sz w:val="18"/>
                <w:szCs w:val="18"/>
              </w:rPr>
              <w:fldChar w:fldCharType="begin"/>
            </w:r>
            <w:r w:rsidR="009C2F86" w:rsidRPr="005D6D89">
              <w:rPr>
                <w:rStyle w:val="BodyTextChar"/>
                <w:sz w:val="18"/>
                <w:szCs w:val="18"/>
              </w:rPr>
              <w:instrText xml:space="preserve"> ADDIN ZOTERO_ITEM CSL_CITATION {"citationID":"TPwTQrUI","properties":{"formattedCitation":"(IPCC, 2019)","plainCitation":"(IPCC, 2019)","noteIndex":0},"citationItems":[{"id":176,"uris":["http://zotero.org/users/local/rwNDlkOt/items/M88GJVV6"],"uri":["http://zotero.org/users/local/rwNDlkOt/items/M88GJVV6"],"itemData":{"id":176,"type":"article-journal","container-title":"IPCC Special Report on the Ocean and Cryosphere in a Changing Climate","DOI":"https://report.ipcc.ch/srocc/pdf/SROCC_FinalDraft_FullReport.pdf","title":"Summary for Policymakers","URL":"https://report.ipcc.ch/srocc/pdf/SROCC_FinalDraft_FullReport.pdf","author":[{"family":"IPCC","given":""}],"issued":{"date-parts":[["2019"]]}}}],"schema":"https://github.com/citation-style-language/schema/raw/master/csl-citation.json"} </w:instrText>
            </w:r>
            <w:r w:rsidR="009C2F86" w:rsidRPr="005D6D89">
              <w:rPr>
                <w:rStyle w:val="BodyTextChar"/>
                <w:sz w:val="18"/>
                <w:szCs w:val="18"/>
              </w:rPr>
              <w:fldChar w:fldCharType="separate"/>
            </w:r>
            <w:r w:rsidR="009C2F86" w:rsidRPr="005D6D89">
              <w:rPr>
                <w:rStyle w:val="BodyTextChar"/>
                <w:sz w:val="18"/>
                <w:szCs w:val="18"/>
              </w:rPr>
              <w:t>(IPCC, 2019)</w:t>
            </w:r>
            <w:r w:rsidR="009C2F86" w:rsidRPr="005D6D89">
              <w:rPr>
                <w:rStyle w:val="BodyTextChar"/>
                <w:sz w:val="18"/>
                <w:szCs w:val="18"/>
              </w:rPr>
              <w:fldChar w:fldCharType="end"/>
            </w:r>
            <w:r w:rsidR="009C2F86" w:rsidRPr="005D6D89">
              <w:rPr>
                <w:sz w:val="18"/>
                <w:szCs w:val="18"/>
              </w:rPr>
              <w:t>.</w:t>
            </w:r>
            <w:bookmarkEnd w:id="226"/>
            <w:bookmarkEnd w:id="227"/>
          </w:p>
        </w:tc>
      </w:tr>
      <w:tr w:rsidR="0014705D" w:rsidRPr="005D6D89" w14:paraId="09B1A04C" w14:textId="77777777" w:rsidTr="0014705D">
        <w:trPr>
          <w:trHeight w:val="547"/>
        </w:trPr>
        <w:tc>
          <w:tcPr>
            <w:tcW w:w="9068" w:type="dxa"/>
            <w:shd w:val="clear" w:color="auto" w:fill="D2DDE2" w:themeFill="accent3"/>
          </w:tcPr>
          <w:p w14:paraId="3885F5CD" w14:textId="77777777" w:rsidR="0014705D" w:rsidRPr="005D6D89" w:rsidRDefault="0014705D" w:rsidP="00462EA6">
            <w:pPr>
              <w:pStyle w:val="Figureheading"/>
              <w:spacing w:before="240"/>
              <w:ind w:left="1418" w:right="284"/>
              <w:rPr>
                <w:color w:val="1C556C" w:themeColor="accent1"/>
                <w:sz w:val="18"/>
                <w:szCs w:val="18"/>
              </w:rPr>
            </w:pPr>
            <w:bookmarkStart w:id="228" w:name="_Toc43312897"/>
            <w:r w:rsidRPr="005D6D89">
              <w:rPr>
                <w:color w:val="1C556C" w:themeColor="accent1"/>
              </w:rPr>
              <w:t xml:space="preserve">Figure </w:t>
            </w:r>
            <w:r w:rsidR="00BE02B7" w:rsidRPr="005D6D89">
              <w:rPr>
                <w:color w:val="1C556C" w:themeColor="accent1"/>
              </w:rPr>
              <w:t>6:</w:t>
            </w:r>
            <w:r w:rsidRPr="005D6D89">
              <w:rPr>
                <w:color w:val="1C556C" w:themeColor="accent1"/>
              </w:rPr>
              <w:tab/>
              <w:t>Projected global sea-level rise until 2300</w:t>
            </w:r>
            <w:bookmarkEnd w:id="228"/>
          </w:p>
          <w:p w14:paraId="063390D8" w14:textId="77777777" w:rsidR="0014705D" w:rsidRPr="005D6D89" w:rsidRDefault="0014705D" w:rsidP="0014705D">
            <w:pPr>
              <w:jc w:val="center"/>
              <w:rPr>
                <w:sz w:val="18"/>
              </w:rPr>
            </w:pPr>
            <w:r w:rsidRPr="005D6D89">
              <w:rPr>
                <w:noProof/>
                <w:sz w:val="18"/>
              </w:rPr>
              <w:drawing>
                <wp:inline distT="0" distB="0" distL="0" distR="0" wp14:anchorId="3E8DED61" wp14:editId="65D88704">
                  <wp:extent cx="5040000" cy="229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000" cy="2296800"/>
                          </a:xfrm>
                          <a:prstGeom prst="rect">
                            <a:avLst/>
                          </a:prstGeom>
                          <a:noFill/>
                        </pic:spPr>
                      </pic:pic>
                    </a:graphicData>
                  </a:graphic>
                </wp:inline>
              </w:drawing>
            </w:r>
          </w:p>
          <w:p w14:paraId="03485A02" w14:textId="77777777" w:rsidR="0014705D" w:rsidRPr="005D6D89" w:rsidRDefault="0014705D" w:rsidP="00FD24D0">
            <w:pPr>
              <w:pStyle w:val="Blueboxtext"/>
              <w:spacing w:before="60" w:after="240" w:line="240" w:lineRule="atLeast"/>
            </w:pPr>
            <w:bookmarkStart w:id="229" w:name="_Toc37308845"/>
            <w:bookmarkStart w:id="230" w:name="_Toc42783265"/>
            <w:r w:rsidRPr="005D6D89">
              <w:rPr>
                <w:sz w:val="18"/>
                <w:szCs w:val="18"/>
              </w:rPr>
              <w:t>Note: The inset shows an assessment of the likely range of the global projections for RCP2.6 and RCP8.5 up to 2100. Projections for longer time scales are highly uncertain but a range is provided (5</w:t>
            </w:r>
            <w:r w:rsidR="00FD24D0" w:rsidRPr="00FD24D0">
              <w:rPr>
                <w:sz w:val="18"/>
                <w:szCs w:val="18"/>
              </w:rPr>
              <w:t>th</w:t>
            </w:r>
            <w:r w:rsidR="00FD24D0">
              <w:rPr>
                <w:sz w:val="18"/>
                <w:szCs w:val="18"/>
              </w:rPr>
              <w:t>–</w:t>
            </w:r>
            <w:r w:rsidRPr="005D6D89">
              <w:rPr>
                <w:sz w:val="18"/>
                <w:szCs w:val="18"/>
              </w:rPr>
              <w:t xml:space="preserve">95th percentiles) </w:t>
            </w:r>
            <w:r w:rsidRPr="005D6D89">
              <w:rPr>
                <w:rStyle w:val="BodyTextChar"/>
                <w:sz w:val="18"/>
                <w:szCs w:val="18"/>
              </w:rPr>
              <w:fldChar w:fldCharType="begin"/>
            </w:r>
            <w:r w:rsidRPr="005D6D89">
              <w:rPr>
                <w:rStyle w:val="BodyTextChar"/>
                <w:sz w:val="18"/>
                <w:szCs w:val="18"/>
              </w:rPr>
              <w:instrText xml:space="preserve"> ADDIN ZOTERO_ITEM CSL_CITATION {"citationID":"peGuDWFn","properties":{"formattedCitation":"(Oppenheimer et al., 2019)","plainCitation":"(Oppenheimer et al., 2019)","noteIndex":0},"citationItems":[{"id":228,"uris":["http://zotero.org/users/local/rwNDlkOt/items/K6PKSDV4"],"uri":["http://zotero.org/users/local/rwNDlkOt/items/K6PKSDV4"],"itemData":{"id":228,"type":"article-journal","container-title":"IPCC Special Report on the Ocean and Cryosphere in a Changing Climate","source":"Google Scholar","title":"Chapter 4: Sea level rise and implications for low lying Islands, coasts and communities","author":[{"family":"Oppenheimer","given":"Michael"},{"family":"Glavovic","given":"Bruce"},{"family":"Hinkel","given":"Jochen"},{"family":"Wal","given":"Roderik","non-dropping-particle":"van de"},{"family":"Magnan","given":"Alexandre K."},{"family":"Abd-Elgawad","given":"Amro"},{"family":"Cai","given":"Rongshuo"},{"family":"Cifuentes-Jara","given":"Miguel"},{"family":"Deconto","given":"Robert M."},{"family":"Ghosh","given":"Tuhin"}],"issued":{"date-parts":[["2019"]]}}}],"schema":"https://github.com/citation-style-language/schema/raw/master/csl-citation.json"} </w:instrText>
            </w:r>
            <w:r w:rsidRPr="005D6D89">
              <w:rPr>
                <w:rStyle w:val="BodyTextChar"/>
                <w:sz w:val="18"/>
                <w:szCs w:val="18"/>
              </w:rPr>
              <w:fldChar w:fldCharType="separate"/>
            </w:r>
            <w:r w:rsidRPr="005D6D89">
              <w:rPr>
                <w:rStyle w:val="BodyTextChar"/>
                <w:sz w:val="18"/>
                <w:szCs w:val="18"/>
              </w:rPr>
              <w:t>(Oppenheimer et al, 2019)</w:t>
            </w:r>
            <w:bookmarkEnd w:id="229"/>
            <w:r w:rsidRPr="005D6D89">
              <w:rPr>
                <w:rStyle w:val="BodyTextChar"/>
                <w:sz w:val="18"/>
                <w:szCs w:val="18"/>
              </w:rPr>
              <w:fldChar w:fldCharType="end"/>
            </w:r>
            <w:r w:rsidRPr="005D6D89">
              <w:rPr>
                <w:sz w:val="18"/>
                <w:szCs w:val="18"/>
              </w:rPr>
              <w:t>.</w:t>
            </w:r>
            <w:bookmarkEnd w:id="230"/>
          </w:p>
        </w:tc>
      </w:tr>
    </w:tbl>
    <w:p w14:paraId="7E5F4578" w14:textId="015887E9" w:rsidR="009C2F86" w:rsidRPr="005D6D89" w:rsidRDefault="009C2F86" w:rsidP="0014705D">
      <w:pPr>
        <w:pStyle w:val="BodyText"/>
        <w:spacing w:before="240"/>
      </w:pPr>
      <w:r w:rsidRPr="005D6D89">
        <w:t xml:space="preserve">NIWA developed the projections that form a basis of this report after the release of the </w:t>
      </w:r>
      <w:r w:rsidRPr="005D6D89">
        <w:rPr>
          <w:i/>
        </w:rPr>
        <w:t>IPCC</w:t>
      </w:r>
      <w:r w:rsidR="00026D2D" w:rsidRPr="005D6D89">
        <w:rPr>
          <w:i/>
        </w:rPr>
        <w:t> </w:t>
      </w:r>
      <w:r w:rsidRPr="005D6D89">
        <w:rPr>
          <w:i/>
        </w:rPr>
        <w:t>Fifth Assessment Report</w:t>
      </w:r>
      <w:r w:rsidRPr="005D6D89">
        <w:t xml:space="preserve">. Projections were sourced from </w:t>
      </w:r>
      <w:r w:rsidRPr="005D6D89">
        <w:rPr>
          <w:i/>
        </w:rPr>
        <w:t>Climate Change Projections for New Zealand</w:t>
      </w:r>
      <w:r w:rsidRPr="005D6D89">
        <w:t xml:space="preserve"> (Ministry for the Environment, 2018) and </w:t>
      </w:r>
      <w:r w:rsidRPr="005D6D89">
        <w:rPr>
          <w:i/>
        </w:rPr>
        <w:t>Our Future Climate New Zealand</w:t>
      </w:r>
      <w:r w:rsidRPr="005D6D89">
        <w:t xml:space="preserve"> </w:t>
      </w:r>
      <w:r w:rsidRPr="005D6D89">
        <w:fldChar w:fldCharType="begin"/>
      </w:r>
      <w:r w:rsidRPr="005D6D89">
        <w:instrText xml:space="preserve"> ADDIN ZOTERO_ITEM CSL_CITATION {"citationID":"TzZ7XXWO","properties":{"formattedCitation":"(NIWA, 2016a)","plainCitation":"(NIWA, 2016a)","noteIndex":0},"citationItems":[{"id":214,"uris":["http://zotero.org/users/local/rwNDlkOt/items/E9BSYX9W"],"uri":["http://zotero.org/users/local/rwNDlkOt/items/E9BSYX9W"],"itemData":{"id":214,"type":"webpage","container-title":"Our Future Climate New Zealand","title":"Our Future Climate New Zealand - Local Charts","URL":"https://ofcnz.niwa.co.nz/#/home","author":[{"family":"NIWA","given":""}],"accessed":{"date-parts":[["2019",12,16]]},"issued":{"date-parts":[["2016"]]}}}],"schema":"https://github.com/citation-style-language/schema/raw/master/csl-citation.json"} </w:instrText>
      </w:r>
      <w:r w:rsidRPr="005D6D89">
        <w:fldChar w:fldCharType="separate"/>
      </w:r>
      <w:r w:rsidRPr="005D6D89">
        <w:rPr>
          <w:rFonts w:cs="Arial"/>
        </w:rPr>
        <w:t>(NIWA, 2016)</w:t>
      </w:r>
      <w:r w:rsidRPr="005D6D89">
        <w:fldChar w:fldCharType="end"/>
      </w:r>
      <w:r w:rsidRPr="005D6D89">
        <w:t>. Climate projections represent the average climatic conditions over a 20-year period, centred on either 2040 (</w:t>
      </w:r>
      <w:r w:rsidR="001200EA">
        <w:t>‘</w:t>
      </w:r>
      <w:r w:rsidRPr="005D6D89">
        <w:t>near future</w:t>
      </w:r>
      <w:r w:rsidR="001200EA">
        <w:t>’</w:t>
      </w:r>
      <w:r w:rsidRPr="005D6D89">
        <w:t>) or 2090 (</w:t>
      </w:r>
      <w:r w:rsidR="001200EA">
        <w:t>‘</w:t>
      </w:r>
      <w:r w:rsidRPr="005D6D89">
        <w:t>far future</w:t>
      </w:r>
      <w:r w:rsidR="001200EA">
        <w:t>’</w:t>
      </w:r>
      <w:r w:rsidRPr="005D6D89">
        <w:t xml:space="preserve">). Unless otherwise specified, all projections </w:t>
      </w:r>
      <w:proofErr w:type="gramStart"/>
      <w:r w:rsidRPr="005D6D89">
        <w:t>are based</w:t>
      </w:r>
      <w:proofErr w:type="gramEnd"/>
      <w:r w:rsidRPr="005D6D89">
        <w:t xml:space="preserve"> on RCP8.5 </w:t>
      </w:r>
      <w:r w:rsidR="00FD24D0">
        <w:t>(</w:t>
      </w:r>
      <w:r w:rsidRPr="005D6D89">
        <w:t>and refer to a baseline period of 1996</w:t>
      </w:r>
      <w:r w:rsidR="002D4747">
        <w:t>–</w:t>
      </w:r>
      <w:r w:rsidRPr="005D6D89">
        <w:t>2005</w:t>
      </w:r>
      <w:r w:rsidR="009E0258">
        <w:t xml:space="preserve">). A summary of </w:t>
      </w:r>
      <w:r w:rsidRPr="005D6D89">
        <w:t>projected changes to New Zealand</w:t>
      </w:r>
      <w:r w:rsidR="001200EA">
        <w:t>’</w:t>
      </w:r>
      <w:r w:rsidRPr="005D6D89">
        <w:t>s climate</w:t>
      </w:r>
      <w:r w:rsidR="00FA5897">
        <w:t xml:space="preserve"> </w:t>
      </w:r>
      <w:proofErr w:type="gramStart"/>
      <w:r w:rsidR="009E0258">
        <w:t>is shown</w:t>
      </w:r>
      <w:proofErr w:type="gramEnd"/>
      <w:r w:rsidR="009E0258">
        <w:t xml:space="preserve"> in</w:t>
      </w:r>
      <w:r w:rsidR="00FA5897">
        <w:t xml:space="preserve"> table 8</w:t>
      </w:r>
      <w:r w:rsidRPr="005D6D89">
        <w:t>, and the projected mean sea-level rise</w:t>
      </w:r>
      <w:r w:rsidR="00FD24D0">
        <w:t xml:space="preserve"> </w:t>
      </w:r>
      <w:r w:rsidR="009E0258">
        <w:t xml:space="preserve">is shown in </w:t>
      </w:r>
      <w:hyperlink w:anchor="table9" w:history="1">
        <w:r w:rsidR="00FD24D0" w:rsidRPr="006E25E7">
          <w:rPr>
            <w:rStyle w:val="Hyperlink"/>
          </w:rPr>
          <w:t>table 9</w:t>
        </w:r>
      </w:hyperlink>
      <w:r w:rsidRPr="005D6D89">
        <w:t xml:space="preserve">. See the </w:t>
      </w:r>
      <w:hyperlink r:id="rId46" w:history="1">
        <w:r w:rsidR="00E546F8" w:rsidRPr="00E546F8">
          <w:rPr>
            <w:rStyle w:val="Hyperlink"/>
          </w:rPr>
          <w:t>technical report</w:t>
        </w:r>
      </w:hyperlink>
      <w:r w:rsidRPr="005D6D89">
        <w:t xml:space="preserve"> for further information on these projections. </w:t>
      </w:r>
    </w:p>
    <w:p w14:paraId="27F916D4" w14:textId="77777777" w:rsidR="009C2F86" w:rsidRPr="005D6D89" w:rsidRDefault="009C2F86" w:rsidP="00E32D45">
      <w:pPr>
        <w:pStyle w:val="Tableheading"/>
      </w:pPr>
      <w:bookmarkStart w:id="231" w:name="_Ref37320857"/>
      <w:bookmarkStart w:id="232" w:name="_Toc40699400"/>
      <w:bookmarkStart w:id="233" w:name="_Toc43312802"/>
      <w:bookmarkStart w:id="234" w:name="_Toc37240788"/>
      <w:r w:rsidRPr="005D6D89">
        <w:t>T</w:t>
      </w:r>
      <w:bookmarkStart w:id="235" w:name="table7"/>
      <w:r w:rsidRPr="005D6D89">
        <w:t xml:space="preserve">able </w:t>
      </w:r>
      <w:bookmarkEnd w:id="231"/>
      <w:bookmarkEnd w:id="235"/>
      <w:r w:rsidR="00543147" w:rsidRPr="005D6D89">
        <w:t>8</w:t>
      </w:r>
      <w:r w:rsidR="0014705D" w:rsidRPr="005D6D89">
        <w:t>:</w:t>
      </w:r>
      <w:r w:rsidRPr="005D6D89">
        <w:tab/>
      </w:r>
      <w:bookmarkStart w:id="236" w:name="_Ref30674204"/>
      <w:r w:rsidRPr="005D6D89">
        <w:t xml:space="preserve">Climate change projections for New Zealand </w:t>
      </w:r>
      <w:r w:rsidRPr="005D6D89">
        <w:fldChar w:fldCharType="begin"/>
      </w:r>
      <w:r w:rsidRPr="005D6D89">
        <w:instrText xml:space="preserve"> ADDIN ZOTERO_ITEM CSL_CITATION {"citationID":"UGnMexD9","properties":{"formattedCitation":"(Ministry for the Environment, 2018)","plainCitation":"(Ministry for the Environment, 2018)","noteIndex":0},"citationItems":[{"id":185,"uris":["http://zotero.org/users/local/rwNDlkOt/items/QNCE22TH"],"uri":["http://zotero.org/users/local/rwNDlkOt/items/QNCE22TH"],"itemData":{"id":185,"type":"report","event-place":"Wellington, New Zealand","publisher":"Ministry for the Environment","publisher-place":"Wellington, New Zealand","title":"Climate Change Projections for New Zealand: Atmospheric projections based on simulations undertaken for the IPCC 5th Assessment 2nd edition","author":[{"family":"Ministry for the Environment","given":""}],"issued":{"date-parts":[["2018",9]]}}}],"schema":"https://github.com/citation-style-language/schema/raw/master/csl-citation.json"} </w:instrText>
      </w:r>
      <w:r w:rsidRPr="005D6D89">
        <w:fldChar w:fldCharType="separate"/>
      </w:r>
      <w:r w:rsidRPr="005D6D89">
        <w:t>(Ministry for the Environment,</w:t>
      </w:r>
      <w:r w:rsidR="00276DC1" w:rsidRPr="005D6D89">
        <w:t> </w:t>
      </w:r>
      <w:r w:rsidRPr="005D6D89">
        <w:t>2018)</w:t>
      </w:r>
      <w:bookmarkEnd w:id="232"/>
      <w:bookmarkEnd w:id="233"/>
      <w:r w:rsidRPr="005D6D89">
        <w:fldChar w:fldCharType="end"/>
      </w:r>
    </w:p>
    <w:tbl>
      <w:tblPr>
        <w:tblStyle w:val="TableGrid"/>
        <w:tblW w:w="86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952"/>
        <w:gridCol w:w="2694"/>
        <w:gridCol w:w="1983"/>
        <w:gridCol w:w="1984"/>
      </w:tblGrid>
      <w:tr w:rsidR="000D3F51" w:rsidRPr="00FF2AA3" w14:paraId="639961B8" w14:textId="77777777" w:rsidTr="00095C79">
        <w:trPr>
          <w:tblHeader/>
        </w:trPr>
        <w:tc>
          <w:tcPr>
            <w:tcW w:w="1133" w:type="pct"/>
            <w:tcBorders>
              <w:bottom w:val="single" w:sz="4" w:space="0" w:color="1C556C" w:themeColor="accent1"/>
            </w:tcBorders>
            <w:shd w:val="clear" w:color="auto" w:fill="1C556C" w:themeFill="accent1"/>
            <w:vAlign w:val="center"/>
            <w:hideMark/>
          </w:tcPr>
          <w:bookmarkEnd w:id="236"/>
          <w:p w14:paraId="19ED9284" w14:textId="77777777" w:rsidR="000D3F51" w:rsidRPr="00FF2AA3" w:rsidRDefault="000D3F51" w:rsidP="00F84089">
            <w:pPr>
              <w:pStyle w:val="TableTextBold0"/>
              <w:rPr>
                <w:rFonts w:cs="Calibri"/>
                <w:color w:val="FFFFFF" w:themeColor="background1"/>
                <w:szCs w:val="18"/>
              </w:rPr>
            </w:pPr>
            <w:r w:rsidRPr="00FF2AA3">
              <w:rPr>
                <w:rFonts w:cs="Calibri"/>
                <w:color w:val="FFFFFF" w:themeColor="background1"/>
                <w:szCs w:val="18"/>
              </w:rPr>
              <w:t>Climate variable</w:t>
            </w:r>
          </w:p>
        </w:tc>
        <w:tc>
          <w:tcPr>
            <w:tcW w:w="1564" w:type="pct"/>
            <w:tcBorders>
              <w:bottom w:val="single" w:sz="4" w:space="0" w:color="1C556C" w:themeColor="accent1"/>
            </w:tcBorders>
            <w:shd w:val="clear" w:color="auto" w:fill="1C556C" w:themeFill="accent1"/>
            <w:vAlign w:val="center"/>
            <w:hideMark/>
          </w:tcPr>
          <w:p w14:paraId="4A1AA114" w14:textId="77777777" w:rsidR="000D3F51" w:rsidRPr="00FF2AA3" w:rsidRDefault="000D3F51" w:rsidP="00F84089">
            <w:pPr>
              <w:pStyle w:val="TableTextBold0"/>
              <w:rPr>
                <w:rFonts w:cs="Calibri"/>
                <w:color w:val="FFFFFF" w:themeColor="background1"/>
                <w:szCs w:val="18"/>
              </w:rPr>
            </w:pPr>
            <w:r w:rsidRPr="00FF2AA3">
              <w:rPr>
                <w:rFonts w:cs="Calibri"/>
                <w:color w:val="FFFFFF" w:themeColor="background1"/>
                <w:szCs w:val="18"/>
              </w:rPr>
              <w:t>Description of change</w:t>
            </w:r>
          </w:p>
        </w:tc>
        <w:tc>
          <w:tcPr>
            <w:tcW w:w="1151" w:type="pct"/>
            <w:tcBorders>
              <w:bottom w:val="single" w:sz="4" w:space="0" w:color="1C556C" w:themeColor="accent1"/>
            </w:tcBorders>
            <w:shd w:val="clear" w:color="auto" w:fill="1C556C" w:themeFill="accent1"/>
            <w:vAlign w:val="center"/>
            <w:hideMark/>
          </w:tcPr>
          <w:p w14:paraId="7AA24EE9" w14:textId="77777777" w:rsidR="000D3F51" w:rsidRPr="00FF2AA3" w:rsidRDefault="000D3F51" w:rsidP="00F84089">
            <w:pPr>
              <w:pStyle w:val="TableTextBold0"/>
              <w:rPr>
                <w:rFonts w:cs="Calibri"/>
                <w:color w:val="FFFFFF" w:themeColor="background1"/>
                <w:szCs w:val="18"/>
              </w:rPr>
            </w:pPr>
            <w:r w:rsidRPr="00FF2AA3">
              <w:rPr>
                <w:rFonts w:cs="Calibri"/>
                <w:color w:val="FFFFFF" w:themeColor="background1"/>
                <w:szCs w:val="18"/>
              </w:rPr>
              <w:t>Change in 2040</w:t>
            </w:r>
          </w:p>
        </w:tc>
        <w:tc>
          <w:tcPr>
            <w:tcW w:w="1152" w:type="pct"/>
            <w:tcBorders>
              <w:bottom w:val="single" w:sz="4" w:space="0" w:color="1C556C" w:themeColor="accent1"/>
            </w:tcBorders>
            <w:shd w:val="clear" w:color="auto" w:fill="1C556C" w:themeFill="accent1"/>
            <w:vAlign w:val="center"/>
            <w:hideMark/>
          </w:tcPr>
          <w:p w14:paraId="3FBA27E5" w14:textId="77777777" w:rsidR="000D3F51" w:rsidRPr="00FF2AA3" w:rsidRDefault="000D3F51" w:rsidP="00F84089">
            <w:pPr>
              <w:pStyle w:val="TableTextBold0"/>
              <w:rPr>
                <w:rFonts w:cs="Calibri"/>
                <w:color w:val="FFFFFF" w:themeColor="background1"/>
                <w:szCs w:val="18"/>
              </w:rPr>
            </w:pPr>
            <w:r w:rsidRPr="00FF2AA3">
              <w:rPr>
                <w:rFonts w:cs="Calibri"/>
                <w:color w:val="FFFFFF" w:themeColor="background1"/>
                <w:szCs w:val="18"/>
              </w:rPr>
              <w:t>Change in 2090</w:t>
            </w:r>
          </w:p>
        </w:tc>
      </w:tr>
      <w:tr w:rsidR="00FF2AA3" w:rsidRPr="00FF2AA3" w14:paraId="489D8819" w14:textId="77777777" w:rsidTr="00095C79">
        <w:tc>
          <w:tcPr>
            <w:tcW w:w="5000" w:type="pct"/>
            <w:gridSpan w:val="4"/>
            <w:tcBorders>
              <w:bottom w:val="nil"/>
            </w:tcBorders>
            <w:shd w:val="clear" w:color="auto" w:fill="D2DDE2" w:themeFill="accent3"/>
            <w:vAlign w:val="center"/>
            <w:hideMark/>
          </w:tcPr>
          <w:p w14:paraId="0E46AE68" w14:textId="77777777" w:rsidR="000D3F51" w:rsidRPr="00FF2AA3" w:rsidRDefault="000D3F51" w:rsidP="000D3F51">
            <w:pPr>
              <w:pStyle w:val="TableTextBold0"/>
              <w:rPr>
                <w:rFonts w:cs="Calibri"/>
                <w:szCs w:val="18"/>
              </w:rPr>
            </w:pPr>
            <w:r w:rsidRPr="00FF2AA3">
              <w:rPr>
                <w:rFonts w:cs="Calibri"/>
                <w:szCs w:val="18"/>
              </w:rPr>
              <w:t>Temperature</w:t>
            </w:r>
          </w:p>
        </w:tc>
      </w:tr>
      <w:tr w:rsidR="00455252" w:rsidRPr="00FF2AA3" w14:paraId="609E1411" w14:textId="77777777" w:rsidTr="00095C79">
        <w:tc>
          <w:tcPr>
            <w:tcW w:w="1133" w:type="pct"/>
            <w:tcBorders>
              <w:top w:val="nil"/>
            </w:tcBorders>
            <w:shd w:val="clear" w:color="auto" w:fill="FFFFFF" w:themeFill="background1"/>
            <w:vAlign w:val="center"/>
            <w:hideMark/>
          </w:tcPr>
          <w:p w14:paraId="5E7B0963" w14:textId="77777777" w:rsidR="000D3F51" w:rsidRPr="00FF2AA3" w:rsidRDefault="000D3F51" w:rsidP="00FA52C7">
            <w:pPr>
              <w:pStyle w:val="TableText"/>
              <w:rPr>
                <w:rFonts w:cs="Calibri"/>
                <w:szCs w:val="18"/>
                <w:lang w:eastAsia="en-AU"/>
              </w:rPr>
            </w:pPr>
            <w:r w:rsidRPr="00FF2AA3">
              <w:rPr>
                <w:rFonts w:cs="Calibri"/>
                <w:szCs w:val="18"/>
                <w:lang w:eastAsia="en-AU"/>
              </w:rPr>
              <w:t xml:space="preserve">Mean </w:t>
            </w:r>
          </w:p>
        </w:tc>
        <w:tc>
          <w:tcPr>
            <w:tcW w:w="1564" w:type="pct"/>
            <w:tcBorders>
              <w:top w:val="nil"/>
              <w:bottom w:val="single" w:sz="4" w:space="0" w:color="1C556C" w:themeColor="accent1"/>
            </w:tcBorders>
            <w:shd w:val="clear" w:color="auto" w:fill="FFFFFF" w:themeFill="background1"/>
            <w:vAlign w:val="center"/>
            <w:hideMark/>
          </w:tcPr>
          <w:p w14:paraId="312400CB" w14:textId="77777777" w:rsidR="000D3F51" w:rsidRPr="00FF2AA3" w:rsidRDefault="000D3F51" w:rsidP="00FA52C7">
            <w:pPr>
              <w:pStyle w:val="TableText"/>
              <w:rPr>
                <w:rFonts w:cs="Calibri"/>
                <w:szCs w:val="18"/>
                <w:lang w:eastAsia="en-AU"/>
              </w:rPr>
            </w:pPr>
            <w:r w:rsidRPr="00FF2AA3">
              <w:rPr>
                <w:rFonts w:cs="Calibri"/>
                <w:szCs w:val="18"/>
                <w:lang w:eastAsia="en-AU"/>
              </w:rPr>
              <w:t>Overall increasing, with greatest changes at higher elevations. Warming greatest in summer and</w:t>
            </w:r>
            <w:r w:rsidR="00883336" w:rsidRPr="00FF2AA3">
              <w:rPr>
                <w:rFonts w:cs="Calibri"/>
                <w:szCs w:val="18"/>
                <w:lang w:eastAsia="en-AU"/>
              </w:rPr>
              <w:t> </w:t>
            </w:r>
            <w:r w:rsidRPr="00FF2AA3">
              <w:rPr>
                <w:rFonts w:cs="Calibri"/>
                <w:szCs w:val="18"/>
                <w:lang w:eastAsia="en-AU"/>
              </w:rPr>
              <w:t>autumn, and least in winter and spring.</w:t>
            </w:r>
          </w:p>
        </w:tc>
        <w:tc>
          <w:tcPr>
            <w:tcW w:w="1151" w:type="pct"/>
            <w:tcBorders>
              <w:top w:val="nil"/>
            </w:tcBorders>
            <w:shd w:val="clear" w:color="auto" w:fill="FFFFFF" w:themeFill="background1"/>
            <w:vAlign w:val="center"/>
            <w:hideMark/>
          </w:tcPr>
          <w:p w14:paraId="4D3F3FD1" w14:textId="77777777" w:rsidR="000D3F51" w:rsidRPr="00FF2AA3" w:rsidRDefault="000D3F51" w:rsidP="00FA52C7">
            <w:pPr>
              <w:pStyle w:val="TableText"/>
              <w:rPr>
                <w:rFonts w:cs="Calibri"/>
                <w:szCs w:val="18"/>
                <w:lang w:eastAsia="en-AU"/>
              </w:rPr>
            </w:pPr>
            <w:r w:rsidRPr="00FF2AA3">
              <w:rPr>
                <w:rFonts w:cs="Calibri"/>
                <w:szCs w:val="18"/>
                <w:lang w:eastAsia="en-AU"/>
              </w:rPr>
              <w:t>+1.0°C</w:t>
            </w:r>
          </w:p>
        </w:tc>
        <w:tc>
          <w:tcPr>
            <w:tcW w:w="1152" w:type="pct"/>
            <w:tcBorders>
              <w:top w:val="nil"/>
            </w:tcBorders>
            <w:shd w:val="clear" w:color="auto" w:fill="FFFFFF" w:themeFill="background1"/>
            <w:vAlign w:val="center"/>
            <w:hideMark/>
          </w:tcPr>
          <w:p w14:paraId="0E800720" w14:textId="77777777" w:rsidR="000D3F51" w:rsidRPr="00FF2AA3" w:rsidRDefault="000D3F51" w:rsidP="00FA52C7">
            <w:pPr>
              <w:pStyle w:val="TableText"/>
              <w:rPr>
                <w:rFonts w:cs="Calibri"/>
                <w:szCs w:val="18"/>
                <w:lang w:eastAsia="en-AU"/>
              </w:rPr>
            </w:pPr>
            <w:r w:rsidRPr="00FF2AA3">
              <w:rPr>
                <w:rFonts w:cs="Calibri"/>
                <w:szCs w:val="18"/>
                <w:lang w:eastAsia="en-AU"/>
              </w:rPr>
              <w:t>+3.0°C</w:t>
            </w:r>
          </w:p>
        </w:tc>
      </w:tr>
      <w:tr w:rsidR="00FE0CEC" w:rsidRPr="00FF2AA3" w14:paraId="73E329A1" w14:textId="77777777" w:rsidTr="00095C79">
        <w:tc>
          <w:tcPr>
            <w:tcW w:w="1133" w:type="pct"/>
            <w:tcBorders>
              <w:bottom w:val="single" w:sz="4" w:space="0" w:color="1C556C" w:themeColor="accent1"/>
            </w:tcBorders>
            <w:vAlign w:val="center"/>
            <w:hideMark/>
          </w:tcPr>
          <w:p w14:paraId="2B74A7EB" w14:textId="77777777" w:rsidR="000D3F51" w:rsidRPr="00FF2AA3" w:rsidRDefault="000D3F51" w:rsidP="00FA52C7">
            <w:pPr>
              <w:pStyle w:val="TableText"/>
              <w:rPr>
                <w:rFonts w:cs="Calibri"/>
                <w:szCs w:val="18"/>
                <w:lang w:eastAsia="en-AU"/>
              </w:rPr>
            </w:pPr>
            <w:r w:rsidRPr="00FF2AA3">
              <w:rPr>
                <w:rFonts w:cs="Calibri"/>
                <w:szCs w:val="18"/>
                <w:lang w:eastAsia="en-AU"/>
              </w:rPr>
              <w:t xml:space="preserve">Minimum and maximum </w:t>
            </w:r>
          </w:p>
        </w:tc>
        <w:tc>
          <w:tcPr>
            <w:tcW w:w="1564" w:type="pct"/>
            <w:tcBorders>
              <w:bottom w:val="single" w:sz="4" w:space="0" w:color="1C556C" w:themeColor="accent1"/>
            </w:tcBorders>
            <w:shd w:val="clear" w:color="auto" w:fill="FFFFFF" w:themeFill="background1"/>
            <w:vAlign w:val="center"/>
            <w:hideMark/>
          </w:tcPr>
          <w:p w14:paraId="355AB0BF" w14:textId="77777777" w:rsidR="000D3F51" w:rsidRPr="00FF2AA3" w:rsidRDefault="000D3F51" w:rsidP="00FA52C7">
            <w:pPr>
              <w:pStyle w:val="TableText"/>
              <w:rPr>
                <w:rFonts w:cs="Calibri"/>
                <w:szCs w:val="18"/>
                <w:lang w:eastAsia="en-AU"/>
              </w:rPr>
            </w:pPr>
            <w:r w:rsidRPr="00FF2AA3">
              <w:rPr>
                <w:rFonts w:cs="Calibri"/>
                <w:szCs w:val="18"/>
                <w:lang w:eastAsia="en-AU"/>
              </w:rPr>
              <w:t>Overall increasing, with greatest changes at higher elevations, particularly for maximum temperature.</w:t>
            </w:r>
          </w:p>
        </w:tc>
        <w:tc>
          <w:tcPr>
            <w:tcW w:w="1151" w:type="pct"/>
            <w:tcBorders>
              <w:bottom w:val="single" w:sz="4" w:space="0" w:color="1C556C" w:themeColor="accent1"/>
            </w:tcBorders>
            <w:vAlign w:val="center"/>
            <w:hideMark/>
          </w:tcPr>
          <w:p w14:paraId="733B6913" w14:textId="77777777" w:rsidR="000D3F51" w:rsidRPr="00FF2AA3" w:rsidRDefault="000D3F51" w:rsidP="00FA52C7">
            <w:pPr>
              <w:pStyle w:val="TableText"/>
              <w:rPr>
                <w:rFonts w:cs="Calibri"/>
                <w:szCs w:val="18"/>
                <w:lang w:eastAsia="en-AU"/>
              </w:rPr>
            </w:pPr>
            <w:r w:rsidRPr="00FF2AA3">
              <w:rPr>
                <w:rFonts w:cs="Calibri"/>
                <w:szCs w:val="18"/>
                <w:lang w:eastAsia="en-AU"/>
              </w:rPr>
              <w:t xml:space="preserve">Not available </w:t>
            </w:r>
          </w:p>
        </w:tc>
        <w:tc>
          <w:tcPr>
            <w:tcW w:w="1152" w:type="pct"/>
            <w:tcBorders>
              <w:bottom w:val="single" w:sz="4" w:space="0" w:color="1C556C" w:themeColor="accent1"/>
            </w:tcBorders>
            <w:vAlign w:val="center"/>
            <w:hideMark/>
          </w:tcPr>
          <w:p w14:paraId="493AE800" w14:textId="77777777" w:rsidR="000D3F51" w:rsidRPr="00FF2AA3" w:rsidRDefault="000D3F51" w:rsidP="00FA52C7">
            <w:pPr>
              <w:pStyle w:val="TableText"/>
              <w:rPr>
                <w:rFonts w:cs="Calibri"/>
                <w:szCs w:val="18"/>
                <w:lang w:eastAsia="en-AU"/>
              </w:rPr>
            </w:pPr>
            <w:r w:rsidRPr="00FF2AA3">
              <w:rPr>
                <w:rFonts w:cs="Calibri"/>
                <w:szCs w:val="18"/>
                <w:lang w:eastAsia="en-AU"/>
              </w:rPr>
              <w:t xml:space="preserve">Daily range increases by up to 2°C </w:t>
            </w:r>
          </w:p>
        </w:tc>
      </w:tr>
      <w:tr w:rsidR="00FA52C7" w:rsidRPr="00FF2AA3" w14:paraId="6908659D" w14:textId="77777777" w:rsidTr="00095C79">
        <w:tc>
          <w:tcPr>
            <w:tcW w:w="1133" w:type="pct"/>
            <w:shd w:val="clear" w:color="auto" w:fill="FFFFFF" w:themeFill="background1"/>
            <w:vAlign w:val="center"/>
            <w:hideMark/>
          </w:tcPr>
          <w:p w14:paraId="6CC0F953" w14:textId="77777777" w:rsidR="000D3F51" w:rsidRPr="00FF2AA3" w:rsidRDefault="000D3F51" w:rsidP="00FA52C7">
            <w:pPr>
              <w:pStyle w:val="TableText"/>
              <w:rPr>
                <w:rFonts w:cs="Calibri"/>
                <w:szCs w:val="18"/>
                <w:lang w:eastAsia="en-AU"/>
              </w:rPr>
            </w:pPr>
            <w:r w:rsidRPr="00FF2AA3">
              <w:rPr>
                <w:rFonts w:cs="Calibri"/>
                <w:szCs w:val="18"/>
                <w:lang w:eastAsia="en-AU"/>
              </w:rPr>
              <w:t>Number of cold nights (&lt;0°C)</w:t>
            </w:r>
          </w:p>
        </w:tc>
        <w:tc>
          <w:tcPr>
            <w:tcW w:w="1564" w:type="pct"/>
            <w:shd w:val="clear" w:color="auto" w:fill="FFFFFF" w:themeFill="background1"/>
            <w:vAlign w:val="center"/>
            <w:hideMark/>
          </w:tcPr>
          <w:p w14:paraId="4229DE76" w14:textId="77777777" w:rsidR="000D3F51" w:rsidRPr="00FF2AA3" w:rsidRDefault="000D3F51" w:rsidP="00FA52C7">
            <w:pPr>
              <w:pStyle w:val="TableText"/>
              <w:rPr>
                <w:rFonts w:cs="Calibri"/>
                <w:szCs w:val="18"/>
                <w:lang w:eastAsia="en-AU"/>
              </w:rPr>
            </w:pPr>
            <w:r w:rsidRPr="00FF2AA3">
              <w:rPr>
                <w:rFonts w:cs="Calibri"/>
                <w:szCs w:val="18"/>
                <w:lang w:eastAsia="en-AU"/>
              </w:rPr>
              <w:t>Overall decrease.</w:t>
            </w:r>
          </w:p>
        </w:tc>
        <w:tc>
          <w:tcPr>
            <w:tcW w:w="1151" w:type="pct"/>
            <w:shd w:val="clear" w:color="auto" w:fill="FFFFFF" w:themeFill="background1"/>
            <w:vAlign w:val="center"/>
            <w:hideMark/>
          </w:tcPr>
          <w:p w14:paraId="5B4831B4" w14:textId="77777777" w:rsidR="000D3F51" w:rsidRPr="00FF2AA3" w:rsidRDefault="000D3F51" w:rsidP="00FA52C7">
            <w:pPr>
              <w:pStyle w:val="TableText"/>
              <w:rPr>
                <w:rFonts w:cs="Calibri"/>
                <w:szCs w:val="18"/>
                <w:lang w:eastAsia="en-AU"/>
              </w:rPr>
            </w:pPr>
            <w:r w:rsidRPr="00FF2AA3">
              <w:rPr>
                <w:rFonts w:cs="Calibri"/>
                <w:szCs w:val="18"/>
                <w:lang w:eastAsia="en-AU"/>
              </w:rPr>
              <w:t>Average 50% decrease</w:t>
            </w:r>
          </w:p>
        </w:tc>
        <w:tc>
          <w:tcPr>
            <w:tcW w:w="1152" w:type="pct"/>
            <w:shd w:val="clear" w:color="auto" w:fill="FFFFFF" w:themeFill="background1"/>
            <w:vAlign w:val="center"/>
            <w:hideMark/>
          </w:tcPr>
          <w:p w14:paraId="7BA7A240" w14:textId="77777777" w:rsidR="000D3F51" w:rsidRPr="00FF2AA3" w:rsidRDefault="000D3F51" w:rsidP="00FA52C7">
            <w:pPr>
              <w:pStyle w:val="TableText"/>
              <w:rPr>
                <w:rFonts w:cs="Calibri"/>
                <w:szCs w:val="18"/>
                <w:lang w:eastAsia="en-AU"/>
              </w:rPr>
            </w:pPr>
            <w:r w:rsidRPr="00FF2AA3">
              <w:rPr>
                <w:rFonts w:cs="Calibri"/>
                <w:szCs w:val="18"/>
                <w:lang w:eastAsia="en-AU"/>
              </w:rPr>
              <w:t>Average 90% decrease</w:t>
            </w:r>
          </w:p>
        </w:tc>
      </w:tr>
      <w:tr w:rsidR="00FE0CEC" w:rsidRPr="00FF2AA3" w14:paraId="394C31D8" w14:textId="77777777" w:rsidTr="00095C79">
        <w:tc>
          <w:tcPr>
            <w:tcW w:w="1133" w:type="pct"/>
            <w:tcBorders>
              <w:bottom w:val="nil"/>
            </w:tcBorders>
            <w:vAlign w:val="center"/>
            <w:hideMark/>
          </w:tcPr>
          <w:p w14:paraId="022F1553" w14:textId="77777777" w:rsidR="000D3F51" w:rsidRPr="00FF2AA3" w:rsidRDefault="000D3F51" w:rsidP="00FA52C7">
            <w:pPr>
              <w:pStyle w:val="TableText"/>
              <w:rPr>
                <w:rFonts w:cs="Calibri"/>
                <w:szCs w:val="18"/>
                <w:lang w:eastAsia="en-AU"/>
              </w:rPr>
            </w:pPr>
            <w:r w:rsidRPr="00FF2AA3">
              <w:rPr>
                <w:rFonts w:cs="Calibri"/>
                <w:szCs w:val="18"/>
                <w:lang w:eastAsia="en-AU"/>
              </w:rPr>
              <w:t>Number of hot days (&gt;25°C)</w:t>
            </w:r>
          </w:p>
        </w:tc>
        <w:tc>
          <w:tcPr>
            <w:tcW w:w="1564" w:type="pct"/>
            <w:tcBorders>
              <w:bottom w:val="nil"/>
            </w:tcBorders>
            <w:vAlign w:val="center"/>
            <w:hideMark/>
          </w:tcPr>
          <w:p w14:paraId="6351CA19" w14:textId="77777777" w:rsidR="000D3F51" w:rsidRPr="00FF2AA3" w:rsidRDefault="000D3F51" w:rsidP="00FA52C7">
            <w:pPr>
              <w:pStyle w:val="TableText"/>
              <w:rPr>
                <w:rFonts w:cs="Calibri"/>
                <w:szCs w:val="18"/>
                <w:lang w:eastAsia="en-AU"/>
              </w:rPr>
            </w:pPr>
            <w:r w:rsidRPr="00FF2AA3">
              <w:rPr>
                <w:rFonts w:cs="Calibri"/>
                <w:szCs w:val="18"/>
                <w:lang w:eastAsia="en-AU"/>
              </w:rPr>
              <w:t>Increase, particularly in already warm regions.</w:t>
            </w:r>
          </w:p>
        </w:tc>
        <w:tc>
          <w:tcPr>
            <w:tcW w:w="1151" w:type="pct"/>
            <w:tcBorders>
              <w:bottom w:val="nil"/>
            </w:tcBorders>
            <w:vAlign w:val="center"/>
            <w:hideMark/>
          </w:tcPr>
          <w:p w14:paraId="53C2FCB9" w14:textId="77777777" w:rsidR="000D3F51" w:rsidRPr="00FF2AA3" w:rsidRDefault="000D3F51" w:rsidP="00FA52C7">
            <w:pPr>
              <w:pStyle w:val="TableText"/>
              <w:rPr>
                <w:rFonts w:cs="Calibri"/>
                <w:szCs w:val="18"/>
                <w:lang w:eastAsia="en-AU"/>
              </w:rPr>
            </w:pPr>
            <w:r w:rsidRPr="00FF2AA3">
              <w:rPr>
                <w:rFonts w:cs="Calibri"/>
                <w:szCs w:val="18"/>
                <w:lang w:eastAsia="en-AU"/>
              </w:rPr>
              <w:t>Average 100% increase</w:t>
            </w:r>
          </w:p>
        </w:tc>
        <w:tc>
          <w:tcPr>
            <w:tcW w:w="1152" w:type="pct"/>
            <w:tcBorders>
              <w:bottom w:val="nil"/>
            </w:tcBorders>
            <w:vAlign w:val="center"/>
            <w:hideMark/>
          </w:tcPr>
          <w:p w14:paraId="7A66154D" w14:textId="77777777" w:rsidR="000D3F51" w:rsidRPr="00FF2AA3" w:rsidRDefault="000D3F51" w:rsidP="00FA52C7">
            <w:pPr>
              <w:pStyle w:val="TableText"/>
              <w:rPr>
                <w:rFonts w:cs="Calibri"/>
                <w:szCs w:val="18"/>
                <w:lang w:eastAsia="en-AU"/>
              </w:rPr>
            </w:pPr>
            <w:r w:rsidRPr="00FF2AA3">
              <w:rPr>
                <w:rFonts w:cs="Calibri"/>
                <w:szCs w:val="18"/>
                <w:lang w:eastAsia="en-AU"/>
              </w:rPr>
              <w:t>Average 300% increase</w:t>
            </w:r>
          </w:p>
        </w:tc>
      </w:tr>
      <w:tr w:rsidR="00FF2AA3" w:rsidRPr="00FF2AA3" w14:paraId="7C907C79" w14:textId="77777777" w:rsidTr="00095C79">
        <w:tc>
          <w:tcPr>
            <w:tcW w:w="5000" w:type="pct"/>
            <w:gridSpan w:val="4"/>
            <w:tcBorders>
              <w:top w:val="nil"/>
              <w:bottom w:val="nil"/>
            </w:tcBorders>
            <w:shd w:val="clear" w:color="auto" w:fill="D2DDE2" w:themeFill="accent3"/>
            <w:vAlign w:val="center"/>
            <w:hideMark/>
          </w:tcPr>
          <w:p w14:paraId="3B210383" w14:textId="77777777" w:rsidR="000D3F51" w:rsidRPr="00FF2AA3" w:rsidRDefault="000D3F51" w:rsidP="000D3F51">
            <w:pPr>
              <w:pStyle w:val="TableTextBold0"/>
              <w:rPr>
                <w:rFonts w:cs="Calibri"/>
                <w:szCs w:val="18"/>
              </w:rPr>
            </w:pPr>
            <w:r w:rsidRPr="00FF2AA3">
              <w:rPr>
                <w:rFonts w:cs="Calibri"/>
                <w:szCs w:val="18"/>
              </w:rPr>
              <w:t>Rainfall</w:t>
            </w:r>
          </w:p>
        </w:tc>
      </w:tr>
      <w:tr w:rsidR="00FE0CEC" w:rsidRPr="00FF2AA3" w14:paraId="2A360747" w14:textId="77777777" w:rsidTr="00095C79">
        <w:tc>
          <w:tcPr>
            <w:tcW w:w="1133" w:type="pct"/>
            <w:tcBorders>
              <w:top w:val="nil"/>
            </w:tcBorders>
            <w:shd w:val="clear" w:color="auto" w:fill="FFFFFF" w:themeFill="background1"/>
            <w:vAlign w:val="center"/>
            <w:hideMark/>
          </w:tcPr>
          <w:p w14:paraId="4E041D86" w14:textId="77777777" w:rsidR="000D3F51" w:rsidRPr="00FF2AA3" w:rsidRDefault="000D3F51" w:rsidP="00FA52C7">
            <w:pPr>
              <w:pStyle w:val="TableText"/>
              <w:rPr>
                <w:rFonts w:cs="Calibri"/>
                <w:szCs w:val="18"/>
                <w:lang w:eastAsia="en-AU"/>
              </w:rPr>
            </w:pPr>
            <w:r w:rsidRPr="00FF2AA3">
              <w:rPr>
                <w:rFonts w:cs="Calibri"/>
                <w:szCs w:val="18"/>
                <w:lang w:eastAsia="en-AU"/>
              </w:rPr>
              <w:t>Average rainfall</w:t>
            </w:r>
          </w:p>
        </w:tc>
        <w:tc>
          <w:tcPr>
            <w:tcW w:w="1564" w:type="pct"/>
            <w:tcBorders>
              <w:top w:val="nil"/>
            </w:tcBorders>
            <w:shd w:val="clear" w:color="auto" w:fill="FFFFFF" w:themeFill="background1"/>
            <w:vAlign w:val="center"/>
            <w:hideMark/>
          </w:tcPr>
          <w:p w14:paraId="0EED895B" w14:textId="77777777" w:rsidR="000D3F51" w:rsidRPr="00FF2AA3" w:rsidRDefault="000D3F51" w:rsidP="00FA52C7">
            <w:pPr>
              <w:pStyle w:val="TableText"/>
              <w:rPr>
                <w:rFonts w:cs="Calibri"/>
                <w:szCs w:val="18"/>
                <w:lang w:eastAsia="en-AU"/>
              </w:rPr>
            </w:pPr>
            <w:r w:rsidRPr="00FF2AA3">
              <w:rPr>
                <w:rFonts w:cs="Calibri"/>
                <w:szCs w:val="18"/>
                <w:lang w:eastAsia="en-AU"/>
              </w:rPr>
              <w:t>Regional and seasonal variation. Generally an annual pattern of increases in west and south, and decreases in north and east.</w:t>
            </w:r>
          </w:p>
        </w:tc>
        <w:tc>
          <w:tcPr>
            <w:tcW w:w="2303" w:type="pct"/>
            <w:gridSpan w:val="2"/>
            <w:tcBorders>
              <w:top w:val="nil"/>
            </w:tcBorders>
            <w:shd w:val="clear" w:color="auto" w:fill="FFFFFF" w:themeFill="background1"/>
            <w:vAlign w:val="center"/>
            <w:hideMark/>
          </w:tcPr>
          <w:p w14:paraId="49BB1C35" w14:textId="77777777" w:rsidR="000D3F51" w:rsidRPr="00FF2AA3" w:rsidRDefault="000D3F51" w:rsidP="00FA52C7">
            <w:pPr>
              <w:pStyle w:val="TableText"/>
              <w:rPr>
                <w:rFonts w:cs="Calibri"/>
                <w:szCs w:val="18"/>
                <w:lang w:eastAsia="en-AU"/>
              </w:rPr>
            </w:pPr>
            <w:r w:rsidRPr="00FF2AA3">
              <w:rPr>
                <w:rFonts w:cs="Calibri"/>
                <w:szCs w:val="18"/>
                <w:lang w:eastAsia="en-AU"/>
              </w:rPr>
              <w:t>Substantial variation around the country, increasing in magnitude with increasing emissions.</w:t>
            </w:r>
          </w:p>
        </w:tc>
      </w:tr>
      <w:tr w:rsidR="00FE0CEC" w:rsidRPr="00FF2AA3" w14:paraId="21A633E8" w14:textId="77777777" w:rsidTr="00095C79">
        <w:tc>
          <w:tcPr>
            <w:tcW w:w="1133" w:type="pct"/>
            <w:tcBorders>
              <w:bottom w:val="single" w:sz="4" w:space="0" w:color="1C556C" w:themeColor="accent1"/>
            </w:tcBorders>
            <w:vAlign w:val="center"/>
            <w:hideMark/>
          </w:tcPr>
          <w:p w14:paraId="75C20974" w14:textId="77777777" w:rsidR="000D3F51" w:rsidRPr="00FF2AA3" w:rsidRDefault="000D3F51" w:rsidP="00FA52C7">
            <w:pPr>
              <w:pStyle w:val="TableText"/>
              <w:rPr>
                <w:rFonts w:cs="Calibri"/>
                <w:szCs w:val="18"/>
                <w:lang w:eastAsia="en-AU"/>
              </w:rPr>
            </w:pPr>
            <w:r w:rsidRPr="00FF2AA3">
              <w:rPr>
                <w:rFonts w:cs="Calibri"/>
                <w:szCs w:val="18"/>
                <w:lang w:eastAsia="en-AU"/>
              </w:rPr>
              <w:t>Number of dry days</w:t>
            </w:r>
          </w:p>
        </w:tc>
        <w:tc>
          <w:tcPr>
            <w:tcW w:w="1564" w:type="pct"/>
            <w:tcBorders>
              <w:bottom w:val="single" w:sz="4" w:space="0" w:color="1C556C" w:themeColor="accent1"/>
            </w:tcBorders>
            <w:vAlign w:val="center"/>
            <w:hideMark/>
          </w:tcPr>
          <w:p w14:paraId="2FF19F1A" w14:textId="77777777" w:rsidR="000D3F51" w:rsidRPr="00FF2AA3" w:rsidRDefault="000D3F51" w:rsidP="00FA52C7">
            <w:pPr>
              <w:pStyle w:val="TableText"/>
              <w:rPr>
                <w:rFonts w:cs="Calibri"/>
                <w:szCs w:val="18"/>
                <w:lang w:eastAsia="en-AU"/>
              </w:rPr>
            </w:pPr>
            <w:r w:rsidRPr="00FF2AA3">
              <w:rPr>
                <w:rFonts w:cs="Calibri"/>
                <w:szCs w:val="18"/>
                <w:lang w:eastAsia="en-AU"/>
              </w:rPr>
              <w:t>More dry days throughout North Island, and in inland South Island.</w:t>
            </w:r>
          </w:p>
        </w:tc>
        <w:tc>
          <w:tcPr>
            <w:tcW w:w="1151" w:type="pct"/>
            <w:tcBorders>
              <w:bottom w:val="single" w:sz="4" w:space="0" w:color="1C556C" w:themeColor="accent1"/>
            </w:tcBorders>
            <w:vAlign w:val="center"/>
            <w:hideMark/>
          </w:tcPr>
          <w:p w14:paraId="63717AF1" w14:textId="77777777" w:rsidR="000D3F51" w:rsidRPr="00FF2AA3" w:rsidRDefault="000D3F51" w:rsidP="00FA52C7">
            <w:pPr>
              <w:pStyle w:val="TableText"/>
              <w:rPr>
                <w:rFonts w:cs="Calibri"/>
                <w:szCs w:val="18"/>
                <w:lang w:eastAsia="en-AU"/>
              </w:rPr>
            </w:pPr>
            <w:r w:rsidRPr="00FF2AA3">
              <w:rPr>
                <w:rFonts w:cs="Calibri"/>
                <w:szCs w:val="18"/>
                <w:lang w:eastAsia="en-AU"/>
              </w:rPr>
              <w:t xml:space="preserve">Not available </w:t>
            </w:r>
          </w:p>
        </w:tc>
        <w:tc>
          <w:tcPr>
            <w:tcW w:w="1152" w:type="pct"/>
            <w:tcBorders>
              <w:bottom w:val="single" w:sz="4" w:space="0" w:color="1C556C" w:themeColor="accent1"/>
            </w:tcBorders>
            <w:vAlign w:val="center"/>
            <w:hideMark/>
          </w:tcPr>
          <w:p w14:paraId="138648DE" w14:textId="77777777" w:rsidR="000D3F51" w:rsidRPr="00FF2AA3" w:rsidRDefault="000D3F51" w:rsidP="00FA52C7">
            <w:pPr>
              <w:pStyle w:val="TableText"/>
              <w:rPr>
                <w:rFonts w:cs="Calibri"/>
                <w:szCs w:val="18"/>
                <w:lang w:eastAsia="en-AU"/>
              </w:rPr>
            </w:pPr>
            <w:r w:rsidRPr="00FF2AA3">
              <w:rPr>
                <w:rFonts w:cs="Calibri"/>
                <w:szCs w:val="18"/>
                <w:lang w:eastAsia="en-AU"/>
              </w:rPr>
              <w:t>Up to 10 or more dry days per year (~5% increase).</w:t>
            </w:r>
          </w:p>
        </w:tc>
      </w:tr>
      <w:tr w:rsidR="00FA52C7" w:rsidRPr="00FF2AA3" w14:paraId="251C191A" w14:textId="77777777" w:rsidTr="00095C79">
        <w:tc>
          <w:tcPr>
            <w:tcW w:w="1133" w:type="pct"/>
            <w:shd w:val="clear" w:color="auto" w:fill="FFFFFF" w:themeFill="background1"/>
            <w:vAlign w:val="center"/>
            <w:hideMark/>
          </w:tcPr>
          <w:p w14:paraId="00221B29" w14:textId="77777777" w:rsidR="000D3F51" w:rsidRPr="00FF2AA3" w:rsidRDefault="000D3F51" w:rsidP="00FA52C7">
            <w:pPr>
              <w:pStyle w:val="TableText"/>
              <w:rPr>
                <w:rFonts w:cs="Calibri"/>
                <w:szCs w:val="18"/>
                <w:lang w:eastAsia="en-AU"/>
              </w:rPr>
            </w:pPr>
            <w:r w:rsidRPr="00FF2AA3">
              <w:rPr>
                <w:rFonts w:cs="Calibri"/>
                <w:szCs w:val="18"/>
                <w:lang w:eastAsia="en-AU"/>
              </w:rPr>
              <w:t>Extreme rainfall events</w:t>
            </w:r>
          </w:p>
        </w:tc>
        <w:tc>
          <w:tcPr>
            <w:tcW w:w="1564" w:type="pct"/>
            <w:shd w:val="clear" w:color="auto" w:fill="FFFFFF" w:themeFill="background1"/>
            <w:vAlign w:val="center"/>
            <w:hideMark/>
          </w:tcPr>
          <w:p w14:paraId="37789922" w14:textId="77777777" w:rsidR="000D3F51" w:rsidRPr="00FF2AA3" w:rsidRDefault="000D3F51" w:rsidP="00FA52C7">
            <w:pPr>
              <w:pStyle w:val="TableText"/>
              <w:rPr>
                <w:rFonts w:cs="Calibri"/>
                <w:szCs w:val="18"/>
                <w:lang w:eastAsia="en-AU"/>
              </w:rPr>
            </w:pPr>
            <w:r w:rsidRPr="00FF2AA3">
              <w:rPr>
                <w:rFonts w:cs="Calibri"/>
                <w:szCs w:val="18"/>
                <w:lang w:eastAsia="en-AU"/>
              </w:rPr>
              <w:t>Increase everywhere.</w:t>
            </w:r>
          </w:p>
        </w:tc>
        <w:tc>
          <w:tcPr>
            <w:tcW w:w="1151" w:type="pct"/>
            <w:shd w:val="clear" w:color="auto" w:fill="FFFFFF" w:themeFill="background1"/>
            <w:hideMark/>
          </w:tcPr>
          <w:p w14:paraId="289791C2" w14:textId="77777777" w:rsidR="000D3F51" w:rsidRPr="00FF2AA3" w:rsidRDefault="000D3F51" w:rsidP="00FA52C7">
            <w:pPr>
              <w:pStyle w:val="TableText"/>
              <w:rPr>
                <w:rFonts w:cs="Calibri"/>
                <w:szCs w:val="18"/>
                <w:lang w:eastAsia="en-AU"/>
              </w:rPr>
            </w:pPr>
            <w:r w:rsidRPr="00FF2AA3">
              <w:rPr>
                <w:rFonts w:cs="Calibri"/>
                <w:szCs w:val="18"/>
                <w:lang w:eastAsia="en-AU"/>
              </w:rPr>
              <w:t>The 1 in 10-year event up +11% for 1-hour duration, up +5% for 5</w:t>
            </w:r>
            <w:r w:rsidR="00F84089" w:rsidRPr="00FF2AA3">
              <w:rPr>
                <w:rFonts w:cs="Calibri"/>
                <w:szCs w:val="18"/>
                <w:lang w:eastAsia="en-AU"/>
              </w:rPr>
              <w:noBreakHyphen/>
            </w:r>
            <w:r w:rsidRPr="00FF2AA3">
              <w:rPr>
                <w:rFonts w:cs="Calibri"/>
                <w:szCs w:val="18"/>
                <w:lang w:eastAsia="en-AU"/>
              </w:rPr>
              <w:t>day</w:t>
            </w:r>
          </w:p>
        </w:tc>
        <w:tc>
          <w:tcPr>
            <w:tcW w:w="1152" w:type="pct"/>
            <w:shd w:val="clear" w:color="auto" w:fill="FFFFFF" w:themeFill="background1"/>
            <w:vAlign w:val="center"/>
            <w:hideMark/>
          </w:tcPr>
          <w:p w14:paraId="59BF909F" w14:textId="77777777" w:rsidR="000D3F51" w:rsidRPr="00FF2AA3" w:rsidRDefault="000D3F51" w:rsidP="00FA52C7">
            <w:pPr>
              <w:pStyle w:val="TableText"/>
              <w:rPr>
                <w:rFonts w:cs="Calibri"/>
                <w:szCs w:val="18"/>
                <w:lang w:eastAsia="en-AU"/>
              </w:rPr>
            </w:pPr>
            <w:r w:rsidRPr="00FF2AA3">
              <w:rPr>
                <w:rFonts w:cs="Calibri"/>
                <w:szCs w:val="18"/>
                <w:lang w:eastAsia="en-AU"/>
              </w:rPr>
              <w:t>The 1 in 10-year event up +34% for 1-hour duration, up +15% for 5-day</w:t>
            </w:r>
          </w:p>
        </w:tc>
      </w:tr>
      <w:tr w:rsidR="00FE0CEC" w:rsidRPr="00FF2AA3" w14:paraId="09CB9F1D" w14:textId="77777777" w:rsidTr="00095C79">
        <w:tc>
          <w:tcPr>
            <w:tcW w:w="1133" w:type="pct"/>
            <w:tcBorders>
              <w:bottom w:val="single" w:sz="4" w:space="0" w:color="1C556C" w:themeColor="accent1"/>
            </w:tcBorders>
            <w:vAlign w:val="center"/>
            <w:hideMark/>
          </w:tcPr>
          <w:p w14:paraId="41FBBF28" w14:textId="77777777" w:rsidR="000D3F51" w:rsidRPr="00FF2AA3" w:rsidRDefault="000D3F51" w:rsidP="00FA52C7">
            <w:pPr>
              <w:pStyle w:val="TableText"/>
              <w:rPr>
                <w:rFonts w:cs="Calibri"/>
                <w:szCs w:val="18"/>
                <w:lang w:eastAsia="en-AU"/>
              </w:rPr>
            </w:pPr>
            <w:r w:rsidRPr="00FF2AA3">
              <w:rPr>
                <w:rFonts w:cs="Calibri"/>
                <w:szCs w:val="18"/>
                <w:lang w:eastAsia="en-AU"/>
              </w:rPr>
              <w:t>Snow</w:t>
            </w:r>
          </w:p>
        </w:tc>
        <w:tc>
          <w:tcPr>
            <w:tcW w:w="1564" w:type="pct"/>
            <w:tcBorders>
              <w:bottom w:val="single" w:sz="4" w:space="0" w:color="1C556C" w:themeColor="accent1"/>
            </w:tcBorders>
            <w:vAlign w:val="center"/>
            <w:hideMark/>
          </w:tcPr>
          <w:p w14:paraId="71E12AA9" w14:textId="77777777" w:rsidR="000D3F51" w:rsidRPr="00FF2AA3" w:rsidRDefault="000D3F51" w:rsidP="00FA52C7">
            <w:pPr>
              <w:pStyle w:val="TableText"/>
              <w:rPr>
                <w:rFonts w:cs="Calibri"/>
                <w:szCs w:val="18"/>
                <w:lang w:eastAsia="en-AU"/>
              </w:rPr>
            </w:pPr>
            <w:r w:rsidRPr="00FF2AA3">
              <w:rPr>
                <w:rFonts w:cs="Calibri"/>
                <w:szCs w:val="18"/>
                <w:lang w:eastAsia="en-AU"/>
              </w:rPr>
              <w:t>Large decreases confined to high altitude or southern regions of the South Island.</w:t>
            </w:r>
          </w:p>
        </w:tc>
        <w:tc>
          <w:tcPr>
            <w:tcW w:w="1151" w:type="pct"/>
            <w:tcBorders>
              <w:bottom w:val="single" w:sz="4" w:space="0" w:color="1C556C" w:themeColor="accent1"/>
            </w:tcBorders>
            <w:vAlign w:val="center"/>
            <w:hideMark/>
          </w:tcPr>
          <w:p w14:paraId="662E7A05" w14:textId="77777777" w:rsidR="000D3F51" w:rsidRPr="00FF2AA3" w:rsidRDefault="000D3F51" w:rsidP="00FA52C7">
            <w:pPr>
              <w:pStyle w:val="TableText"/>
              <w:rPr>
                <w:rFonts w:cs="Calibri"/>
                <w:szCs w:val="18"/>
                <w:lang w:eastAsia="en-AU"/>
              </w:rPr>
            </w:pPr>
            <w:r w:rsidRPr="00FF2AA3">
              <w:rPr>
                <w:rFonts w:cs="Calibri"/>
                <w:szCs w:val="18"/>
                <w:lang w:eastAsia="en-AU"/>
              </w:rPr>
              <w:t xml:space="preserve">Not available </w:t>
            </w:r>
          </w:p>
        </w:tc>
        <w:tc>
          <w:tcPr>
            <w:tcW w:w="1152" w:type="pct"/>
            <w:tcBorders>
              <w:bottom w:val="single" w:sz="4" w:space="0" w:color="1C556C" w:themeColor="accent1"/>
            </w:tcBorders>
            <w:vAlign w:val="center"/>
            <w:hideMark/>
          </w:tcPr>
          <w:p w14:paraId="200C0FEC" w14:textId="77777777" w:rsidR="000D3F51" w:rsidRPr="00FF2AA3" w:rsidRDefault="000D3F51" w:rsidP="00FA52C7">
            <w:pPr>
              <w:pStyle w:val="TableText"/>
              <w:rPr>
                <w:rFonts w:cs="Calibri"/>
                <w:szCs w:val="18"/>
                <w:lang w:eastAsia="en-AU"/>
              </w:rPr>
            </w:pPr>
            <w:r w:rsidRPr="00FF2AA3">
              <w:rPr>
                <w:rFonts w:cs="Calibri"/>
                <w:szCs w:val="18"/>
                <w:lang w:eastAsia="en-AU"/>
              </w:rPr>
              <w:t>Snow days per year reduce by 30 days or more</w:t>
            </w:r>
          </w:p>
        </w:tc>
      </w:tr>
      <w:tr w:rsidR="00FA52C7" w:rsidRPr="00FF2AA3" w14:paraId="7DF8D668" w14:textId="77777777" w:rsidTr="00095C79">
        <w:tc>
          <w:tcPr>
            <w:tcW w:w="1133" w:type="pct"/>
            <w:tcBorders>
              <w:bottom w:val="nil"/>
            </w:tcBorders>
            <w:shd w:val="clear" w:color="auto" w:fill="FFFFFF" w:themeFill="background1"/>
            <w:vAlign w:val="center"/>
            <w:hideMark/>
          </w:tcPr>
          <w:p w14:paraId="63A3CEDC" w14:textId="77777777" w:rsidR="000D3F51" w:rsidRPr="00FF2AA3" w:rsidRDefault="000D3F51" w:rsidP="00FA52C7">
            <w:pPr>
              <w:pStyle w:val="TableText"/>
              <w:rPr>
                <w:rFonts w:cs="Calibri"/>
                <w:szCs w:val="18"/>
                <w:lang w:eastAsia="en-AU"/>
              </w:rPr>
            </w:pPr>
            <w:r w:rsidRPr="00FF2AA3">
              <w:rPr>
                <w:rFonts w:cs="Calibri"/>
                <w:szCs w:val="18"/>
                <w:lang w:eastAsia="en-AU"/>
              </w:rPr>
              <w:t>Drought</w:t>
            </w:r>
          </w:p>
        </w:tc>
        <w:tc>
          <w:tcPr>
            <w:tcW w:w="1564" w:type="pct"/>
            <w:tcBorders>
              <w:bottom w:val="nil"/>
            </w:tcBorders>
            <w:shd w:val="clear" w:color="auto" w:fill="FFFFFF" w:themeFill="background1"/>
            <w:vAlign w:val="center"/>
            <w:hideMark/>
          </w:tcPr>
          <w:p w14:paraId="1E43B806" w14:textId="77777777" w:rsidR="000D3F51" w:rsidRPr="00FF2AA3" w:rsidRDefault="000D3F51" w:rsidP="00FA52C7">
            <w:pPr>
              <w:pStyle w:val="TableText"/>
              <w:rPr>
                <w:rFonts w:cs="Calibri"/>
                <w:szCs w:val="18"/>
                <w:lang w:eastAsia="en-AU"/>
              </w:rPr>
            </w:pPr>
            <w:r w:rsidRPr="00FF2AA3">
              <w:rPr>
                <w:rFonts w:cs="Calibri"/>
                <w:szCs w:val="18"/>
                <w:lang w:eastAsia="en-AU"/>
              </w:rPr>
              <w:t>Increase in severity and frequency, especially in already dry areas.</w:t>
            </w:r>
          </w:p>
        </w:tc>
        <w:tc>
          <w:tcPr>
            <w:tcW w:w="1151" w:type="pct"/>
            <w:tcBorders>
              <w:bottom w:val="nil"/>
            </w:tcBorders>
            <w:shd w:val="clear" w:color="auto" w:fill="FFFFFF" w:themeFill="background1"/>
            <w:vAlign w:val="center"/>
            <w:hideMark/>
          </w:tcPr>
          <w:p w14:paraId="26F77973" w14:textId="77777777" w:rsidR="000D3F51" w:rsidRPr="00FF2AA3" w:rsidRDefault="000D3F51" w:rsidP="00FA52C7">
            <w:pPr>
              <w:pStyle w:val="TableText"/>
              <w:rPr>
                <w:rFonts w:cs="Calibri"/>
                <w:szCs w:val="18"/>
                <w:lang w:eastAsia="en-AU"/>
              </w:rPr>
            </w:pPr>
            <w:r w:rsidRPr="00FF2AA3">
              <w:rPr>
                <w:rFonts w:cs="Calibri"/>
                <w:szCs w:val="18"/>
                <w:lang w:eastAsia="en-AU"/>
              </w:rPr>
              <w:t xml:space="preserve">Not available </w:t>
            </w:r>
          </w:p>
        </w:tc>
        <w:tc>
          <w:tcPr>
            <w:tcW w:w="1152" w:type="pct"/>
            <w:tcBorders>
              <w:bottom w:val="nil"/>
            </w:tcBorders>
            <w:shd w:val="clear" w:color="auto" w:fill="FFFFFF" w:themeFill="background1"/>
            <w:vAlign w:val="center"/>
            <w:hideMark/>
          </w:tcPr>
          <w:p w14:paraId="7EFAFE40" w14:textId="77777777" w:rsidR="000D3F51" w:rsidRPr="00FF2AA3" w:rsidRDefault="000D3F51" w:rsidP="00DB3F8A">
            <w:pPr>
              <w:pStyle w:val="TableText"/>
              <w:rPr>
                <w:rFonts w:cs="Calibri"/>
                <w:szCs w:val="18"/>
                <w:lang w:eastAsia="en-AU"/>
              </w:rPr>
            </w:pPr>
            <w:r w:rsidRPr="00FF2AA3">
              <w:rPr>
                <w:rFonts w:cs="Calibri"/>
                <w:szCs w:val="18"/>
                <w:lang w:eastAsia="en-AU"/>
              </w:rPr>
              <w:t>Up to 50 mm or more increase per year, on average, in July–June (PED)</w:t>
            </w:r>
            <w:r w:rsidR="00DB3F8A" w:rsidRPr="00FF2AA3">
              <w:rPr>
                <w:rFonts w:cs="Calibri"/>
                <w:szCs w:val="18"/>
                <w:lang w:eastAsia="en-AU"/>
              </w:rPr>
              <w:t xml:space="preserve"> </w:t>
            </w:r>
          </w:p>
        </w:tc>
      </w:tr>
      <w:tr w:rsidR="00FF2AA3" w:rsidRPr="00FF2AA3" w14:paraId="796D0F2C" w14:textId="77777777" w:rsidTr="00095C79">
        <w:tc>
          <w:tcPr>
            <w:tcW w:w="5000" w:type="pct"/>
            <w:gridSpan w:val="4"/>
            <w:tcBorders>
              <w:top w:val="nil"/>
              <w:bottom w:val="nil"/>
            </w:tcBorders>
            <w:shd w:val="clear" w:color="auto" w:fill="D2DDE2" w:themeFill="accent3"/>
            <w:vAlign w:val="center"/>
          </w:tcPr>
          <w:p w14:paraId="4E46490B" w14:textId="77777777" w:rsidR="000D3F51" w:rsidRPr="00B252CB" w:rsidRDefault="00EC6DF2" w:rsidP="00FF2AA3">
            <w:pPr>
              <w:pStyle w:val="TableText"/>
              <w:rPr>
                <w:rFonts w:cs="Calibri"/>
                <w:b/>
                <w:szCs w:val="18"/>
              </w:rPr>
            </w:pPr>
            <w:r w:rsidRPr="00FF2AA3">
              <w:rPr>
                <w:rFonts w:cs="Calibri"/>
                <w:szCs w:val="18"/>
              </w:rPr>
              <w:t xml:space="preserve"> </w:t>
            </w:r>
            <w:r w:rsidR="00B252CB" w:rsidRPr="00B252CB">
              <w:rPr>
                <w:rFonts w:cs="Calibri"/>
                <w:b/>
                <w:szCs w:val="18"/>
              </w:rPr>
              <w:t>Other</w:t>
            </w:r>
            <w:r w:rsidR="00B252CB">
              <w:rPr>
                <w:rFonts w:cs="Calibri"/>
                <w:b/>
                <w:szCs w:val="18"/>
              </w:rPr>
              <w:t xml:space="preserve"> variables</w:t>
            </w:r>
          </w:p>
        </w:tc>
      </w:tr>
      <w:tr w:rsidR="00FE0CEC" w:rsidRPr="00FF2AA3" w14:paraId="47BB7454" w14:textId="77777777" w:rsidTr="00095C79">
        <w:tc>
          <w:tcPr>
            <w:tcW w:w="1133" w:type="pct"/>
            <w:tcBorders>
              <w:top w:val="nil"/>
              <w:bottom w:val="single" w:sz="4" w:space="0" w:color="1C556C" w:themeColor="accent1"/>
            </w:tcBorders>
            <w:vAlign w:val="center"/>
            <w:hideMark/>
          </w:tcPr>
          <w:p w14:paraId="67EC0591" w14:textId="77777777" w:rsidR="000D3F51" w:rsidRPr="00FF2AA3" w:rsidRDefault="000D3F51" w:rsidP="00FA52C7">
            <w:pPr>
              <w:pStyle w:val="TableText"/>
              <w:rPr>
                <w:rFonts w:cs="Calibri"/>
                <w:szCs w:val="18"/>
                <w:lang w:eastAsia="en-AU"/>
              </w:rPr>
            </w:pPr>
            <w:r w:rsidRPr="00FF2AA3">
              <w:rPr>
                <w:rFonts w:cs="Calibri"/>
                <w:szCs w:val="18"/>
                <w:lang w:eastAsia="en-AU"/>
              </w:rPr>
              <w:t>Pressure and wind</w:t>
            </w:r>
          </w:p>
        </w:tc>
        <w:tc>
          <w:tcPr>
            <w:tcW w:w="1564" w:type="pct"/>
            <w:tcBorders>
              <w:top w:val="nil"/>
              <w:bottom w:val="single" w:sz="4" w:space="0" w:color="1C556C" w:themeColor="accent1"/>
            </w:tcBorders>
            <w:vAlign w:val="center"/>
            <w:hideMark/>
          </w:tcPr>
          <w:p w14:paraId="649E6BCF" w14:textId="77777777" w:rsidR="000D3F51" w:rsidRPr="00FF2AA3" w:rsidRDefault="000D3F51" w:rsidP="00FA52C7">
            <w:pPr>
              <w:pStyle w:val="TableText"/>
              <w:rPr>
                <w:rFonts w:cs="Calibri"/>
                <w:szCs w:val="18"/>
                <w:lang w:eastAsia="en-AU"/>
              </w:rPr>
            </w:pPr>
            <w:r w:rsidRPr="00FF2AA3">
              <w:rPr>
                <w:rFonts w:cs="Calibri"/>
                <w:szCs w:val="18"/>
                <w:lang w:eastAsia="en-AU"/>
              </w:rPr>
              <w:t>Varies with season, on average more northeast airflow in summer. Strengthened westerlies in winter.</w:t>
            </w:r>
          </w:p>
        </w:tc>
        <w:tc>
          <w:tcPr>
            <w:tcW w:w="2303" w:type="pct"/>
            <w:gridSpan w:val="2"/>
            <w:tcBorders>
              <w:top w:val="nil"/>
              <w:bottom w:val="single" w:sz="4" w:space="0" w:color="1C556C" w:themeColor="accent1"/>
            </w:tcBorders>
            <w:vAlign w:val="center"/>
            <w:hideMark/>
          </w:tcPr>
          <w:p w14:paraId="2C9ABFC3" w14:textId="77777777" w:rsidR="000D3F51" w:rsidRPr="00FF2AA3" w:rsidRDefault="000D3F51" w:rsidP="00FA5897">
            <w:pPr>
              <w:pStyle w:val="TableText"/>
              <w:rPr>
                <w:rFonts w:cs="Calibri"/>
                <w:szCs w:val="18"/>
                <w:lang w:eastAsia="en-AU"/>
              </w:rPr>
            </w:pPr>
            <w:r w:rsidRPr="00FF2AA3">
              <w:rPr>
                <w:rFonts w:cs="Calibri"/>
                <w:szCs w:val="18"/>
                <w:lang w:eastAsia="en-AU"/>
              </w:rPr>
              <w:t xml:space="preserve">Generally, the changes in pressure are only a few </w:t>
            </w:r>
            <w:r w:rsidRPr="00B252CB">
              <w:rPr>
                <w:rFonts w:cs="Calibri"/>
                <w:szCs w:val="18"/>
                <w:lang w:eastAsia="en-AU"/>
              </w:rPr>
              <w:t>hectopascals</w:t>
            </w:r>
            <w:r w:rsidR="00B252CB" w:rsidRPr="00B252CB">
              <w:rPr>
                <w:rStyle w:val="FootnoteReference"/>
                <w:rFonts w:cs="Calibri"/>
                <w:sz w:val="20"/>
                <w:lang w:eastAsia="en-AU"/>
              </w:rPr>
              <w:footnoteReference w:id="2"/>
            </w:r>
            <w:r w:rsidRPr="00B252CB">
              <w:rPr>
                <w:rFonts w:cs="Calibri"/>
                <w:sz w:val="20"/>
                <w:lang w:eastAsia="en-AU"/>
              </w:rPr>
              <w:t xml:space="preserve"> </w:t>
            </w:r>
            <w:r w:rsidRPr="00FF2AA3">
              <w:rPr>
                <w:rFonts w:cs="Calibri"/>
                <w:szCs w:val="18"/>
                <w:lang w:eastAsia="en-AU"/>
              </w:rPr>
              <w:t>but the spatial pattern matters for mean wind changes.</w:t>
            </w:r>
          </w:p>
        </w:tc>
      </w:tr>
      <w:tr w:rsidR="00FE0CEC" w:rsidRPr="00FF2AA3" w14:paraId="022C1F0F" w14:textId="77777777" w:rsidTr="00095C79">
        <w:tc>
          <w:tcPr>
            <w:tcW w:w="1133" w:type="pct"/>
            <w:shd w:val="clear" w:color="auto" w:fill="FFFFFF" w:themeFill="background1"/>
            <w:vAlign w:val="center"/>
            <w:hideMark/>
          </w:tcPr>
          <w:p w14:paraId="7D6AA835" w14:textId="77777777" w:rsidR="000D3F51" w:rsidRPr="00FF2AA3" w:rsidRDefault="000D3F51" w:rsidP="00FA52C7">
            <w:pPr>
              <w:pStyle w:val="TableText"/>
              <w:rPr>
                <w:rFonts w:cs="Calibri"/>
                <w:szCs w:val="18"/>
                <w:lang w:eastAsia="en-AU"/>
              </w:rPr>
            </w:pPr>
            <w:r w:rsidRPr="00FF2AA3">
              <w:rPr>
                <w:rFonts w:cs="Calibri"/>
                <w:szCs w:val="18"/>
                <w:lang w:eastAsia="en-AU"/>
              </w:rPr>
              <w:t>Extreme wind speeds</w:t>
            </w:r>
          </w:p>
        </w:tc>
        <w:tc>
          <w:tcPr>
            <w:tcW w:w="1564" w:type="pct"/>
            <w:shd w:val="clear" w:color="auto" w:fill="FFFFFF" w:themeFill="background1"/>
            <w:vAlign w:val="center"/>
            <w:hideMark/>
          </w:tcPr>
          <w:p w14:paraId="7FC3F675" w14:textId="77777777" w:rsidR="000D3F51" w:rsidRPr="00FF2AA3" w:rsidRDefault="000D3F51" w:rsidP="00FA52C7">
            <w:pPr>
              <w:pStyle w:val="TableText"/>
              <w:rPr>
                <w:rFonts w:cs="Calibri"/>
                <w:szCs w:val="18"/>
                <w:lang w:eastAsia="en-AU"/>
              </w:rPr>
            </w:pPr>
            <w:r w:rsidRPr="00FF2AA3">
              <w:rPr>
                <w:rFonts w:cs="Calibri"/>
                <w:szCs w:val="18"/>
                <w:lang w:eastAsia="en-AU"/>
              </w:rPr>
              <w:t>General increase. Most robust increases in southern half of North Island, and throughout the South Island.</w:t>
            </w:r>
          </w:p>
        </w:tc>
        <w:tc>
          <w:tcPr>
            <w:tcW w:w="2303" w:type="pct"/>
            <w:gridSpan w:val="2"/>
            <w:shd w:val="clear" w:color="auto" w:fill="FFFFFF" w:themeFill="background1"/>
            <w:vAlign w:val="center"/>
            <w:hideMark/>
          </w:tcPr>
          <w:p w14:paraId="1BD2D46D" w14:textId="77777777" w:rsidR="000D3F51" w:rsidRPr="00FF2AA3" w:rsidRDefault="000D3F51" w:rsidP="00FA52C7">
            <w:pPr>
              <w:pStyle w:val="TableText"/>
              <w:rPr>
                <w:rFonts w:cs="Calibri"/>
                <w:szCs w:val="18"/>
                <w:lang w:eastAsia="en-AU"/>
              </w:rPr>
            </w:pPr>
            <w:r w:rsidRPr="00FF2AA3">
              <w:rPr>
                <w:rFonts w:cs="Calibri"/>
                <w:szCs w:val="18"/>
                <w:lang w:eastAsia="en-AU"/>
              </w:rPr>
              <w:t>Up to 10% or more in parts of the country.</w:t>
            </w:r>
          </w:p>
        </w:tc>
      </w:tr>
      <w:tr w:rsidR="00FE0CEC" w:rsidRPr="00FF2AA3" w14:paraId="4DAA0111" w14:textId="77777777" w:rsidTr="00095C79">
        <w:tc>
          <w:tcPr>
            <w:tcW w:w="1133" w:type="pct"/>
            <w:tcBorders>
              <w:bottom w:val="single" w:sz="4" w:space="0" w:color="1C556C" w:themeColor="accent1"/>
            </w:tcBorders>
            <w:vAlign w:val="center"/>
            <w:hideMark/>
          </w:tcPr>
          <w:p w14:paraId="71B04489" w14:textId="77777777" w:rsidR="000D3F51" w:rsidRPr="00FF2AA3" w:rsidRDefault="000D3F51" w:rsidP="00FA52C7">
            <w:pPr>
              <w:pStyle w:val="TableText"/>
              <w:rPr>
                <w:rFonts w:cs="Calibri"/>
                <w:szCs w:val="18"/>
                <w:lang w:eastAsia="en-AU"/>
              </w:rPr>
            </w:pPr>
            <w:r w:rsidRPr="00FF2AA3">
              <w:rPr>
                <w:rFonts w:cs="Calibri"/>
                <w:szCs w:val="18"/>
                <w:lang w:eastAsia="en-AU"/>
              </w:rPr>
              <w:t>Storms</w:t>
            </w:r>
          </w:p>
        </w:tc>
        <w:tc>
          <w:tcPr>
            <w:tcW w:w="1564" w:type="pct"/>
            <w:tcBorders>
              <w:bottom w:val="single" w:sz="4" w:space="0" w:color="1C556C" w:themeColor="accent1"/>
            </w:tcBorders>
            <w:vAlign w:val="center"/>
            <w:hideMark/>
          </w:tcPr>
          <w:p w14:paraId="12421D8E" w14:textId="77777777" w:rsidR="000D3F51" w:rsidRPr="00FF2AA3" w:rsidRDefault="000D3F51" w:rsidP="00FA52C7">
            <w:pPr>
              <w:pStyle w:val="TableText"/>
              <w:rPr>
                <w:rFonts w:cs="Calibri"/>
                <w:szCs w:val="18"/>
                <w:lang w:eastAsia="en-AU"/>
              </w:rPr>
            </w:pPr>
            <w:r w:rsidRPr="00FF2AA3">
              <w:rPr>
                <w:rFonts w:cs="Calibri"/>
                <w:szCs w:val="18"/>
                <w:lang w:eastAsia="en-AU"/>
              </w:rPr>
              <w:t>Likely poleward shift of mid-latitude cyclones and possibly a small drop in frequency.</w:t>
            </w:r>
          </w:p>
        </w:tc>
        <w:tc>
          <w:tcPr>
            <w:tcW w:w="2303" w:type="pct"/>
            <w:gridSpan w:val="2"/>
            <w:tcBorders>
              <w:bottom w:val="single" w:sz="4" w:space="0" w:color="1C556C" w:themeColor="accent1"/>
            </w:tcBorders>
            <w:vAlign w:val="center"/>
            <w:hideMark/>
          </w:tcPr>
          <w:p w14:paraId="0D749CA4" w14:textId="77777777" w:rsidR="000D3F51" w:rsidRPr="00FF2AA3" w:rsidRDefault="000D3F51" w:rsidP="00FA52C7">
            <w:pPr>
              <w:pStyle w:val="TableText"/>
              <w:rPr>
                <w:rFonts w:cs="Calibri"/>
                <w:szCs w:val="18"/>
                <w:lang w:eastAsia="en-AU"/>
              </w:rPr>
            </w:pPr>
            <w:r w:rsidRPr="00FF2AA3">
              <w:rPr>
                <w:rFonts w:cs="Calibri"/>
                <w:szCs w:val="18"/>
                <w:lang w:eastAsia="en-AU"/>
              </w:rPr>
              <w:t>Specific projections are not available for storms in New Zealand.</w:t>
            </w:r>
          </w:p>
        </w:tc>
      </w:tr>
      <w:tr w:rsidR="00FE0CEC" w:rsidRPr="00FF2AA3" w14:paraId="791BB134" w14:textId="77777777" w:rsidTr="00095C79">
        <w:tc>
          <w:tcPr>
            <w:tcW w:w="1133" w:type="pct"/>
            <w:shd w:val="clear" w:color="auto" w:fill="FFFFFF" w:themeFill="background1"/>
            <w:vAlign w:val="center"/>
            <w:hideMark/>
          </w:tcPr>
          <w:p w14:paraId="0DF7B994" w14:textId="77777777" w:rsidR="000D3F51" w:rsidRPr="00FF2AA3" w:rsidRDefault="000D3F51" w:rsidP="00FA52C7">
            <w:pPr>
              <w:pStyle w:val="TableText"/>
              <w:rPr>
                <w:rFonts w:cs="Calibri"/>
                <w:szCs w:val="18"/>
                <w:lang w:eastAsia="en-AU"/>
              </w:rPr>
            </w:pPr>
            <w:r w:rsidRPr="00FF2AA3">
              <w:rPr>
                <w:rFonts w:cs="Calibri"/>
                <w:szCs w:val="18"/>
                <w:lang w:eastAsia="en-AU"/>
              </w:rPr>
              <w:t>Solar radiation</w:t>
            </w:r>
          </w:p>
        </w:tc>
        <w:tc>
          <w:tcPr>
            <w:tcW w:w="1564" w:type="pct"/>
            <w:shd w:val="clear" w:color="auto" w:fill="FFFFFF" w:themeFill="background1"/>
            <w:vAlign w:val="center"/>
            <w:hideMark/>
          </w:tcPr>
          <w:p w14:paraId="7397126B" w14:textId="77777777" w:rsidR="000D3F51" w:rsidRPr="00FF2AA3" w:rsidRDefault="000D3F51" w:rsidP="00FA52C7">
            <w:pPr>
              <w:pStyle w:val="TableText"/>
              <w:rPr>
                <w:rFonts w:cs="Calibri"/>
                <w:szCs w:val="18"/>
                <w:lang w:eastAsia="en-AU"/>
              </w:rPr>
            </w:pPr>
            <w:r w:rsidRPr="00FF2AA3">
              <w:rPr>
                <w:rFonts w:cs="Calibri"/>
                <w:szCs w:val="18"/>
                <w:lang w:eastAsia="en-AU"/>
              </w:rPr>
              <w:t>Varies around the country and with season. West Coast shows the largest changes by 2090: summer increase (~5%) and winter decrease (5%).</w:t>
            </w:r>
          </w:p>
        </w:tc>
        <w:tc>
          <w:tcPr>
            <w:tcW w:w="2303" w:type="pct"/>
            <w:gridSpan w:val="2"/>
            <w:shd w:val="clear" w:color="auto" w:fill="FFFFFF" w:themeFill="background1"/>
            <w:vAlign w:val="center"/>
            <w:hideMark/>
          </w:tcPr>
          <w:p w14:paraId="05AA80CB" w14:textId="77777777" w:rsidR="000D3F51" w:rsidRPr="00FF2AA3" w:rsidRDefault="000D3F51" w:rsidP="00DF4760">
            <w:pPr>
              <w:pStyle w:val="TableText"/>
              <w:rPr>
                <w:rFonts w:cs="Calibri"/>
                <w:szCs w:val="18"/>
                <w:lang w:eastAsia="en-AU"/>
              </w:rPr>
            </w:pPr>
            <w:r w:rsidRPr="00FF2AA3">
              <w:rPr>
                <w:rFonts w:cs="Calibri"/>
                <w:szCs w:val="18"/>
                <w:lang w:eastAsia="en-AU"/>
              </w:rPr>
              <w:t>Seasonal changes generally lie between</w:t>
            </w:r>
            <w:r w:rsidR="00DF4760" w:rsidRPr="00FF2AA3">
              <w:rPr>
                <w:rFonts w:cs="Calibri"/>
                <w:szCs w:val="18"/>
                <w:lang w:eastAsia="en-AU"/>
              </w:rPr>
              <w:t xml:space="preserve"> –</w:t>
            </w:r>
            <w:r w:rsidRPr="00FF2AA3">
              <w:rPr>
                <w:rFonts w:cs="Calibri"/>
                <w:szCs w:val="18"/>
                <w:lang w:eastAsia="en-AU"/>
              </w:rPr>
              <w:t>5% and</w:t>
            </w:r>
            <w:r w:rsidR="00E94D7E">
              <w:rPr>
                <w:rFonts w:cs="Calibri"/>
                <w:szCs w:val="18"/>
                <w:lang w:eastAsia="en-AU"/>
              </w:rPr>
              <w:t> </w:t>
            </w:r>
            <w:r w:rsidRPr="00FF2AA3">
              <w:rPr>
                <w:rFonts w:cs="Calibri"/>
                <w:szCs w:val="18"/>
                <w:lang w:eastAsia="en-AU"/>
              </w:rPr>
              <w:t>+5%.</w:t>
            </w:r>
          </w:p>
        </w:tc>
      </w:tr>
      <w:tr w:rsidR="00FE0CEC" w:rsidRPr="00FF2AA3" w14:paraId="5D1192B9" w14:textId="77777777" w:rsidTr="00095C79">
        <w:tc>
          <w:tcPr>
            <w:tcW w:w="1133" w:type="pct"/>
            <w:vAlign w:val="center"/>
            <w:hideMark/>
          </w:tcPr>
          <w:p w14:paraId="366A0057" w14:textId="77777777" w:rsidR="000D3F51" w:rsidRPr="00FF2AA3" w:rsidRDefault="000D3F51" w:rsidP="00FA52C7">
            <w:pPr>
              <w:pStyle w:val="TableText"/>
              <w:rPr>
                <w:rFonts w:cs="Calibri"/>
                <w:szCs w:val="18"/>
                <w:lang w:eastAsia="en-AU"/>
              </w:rPr>
            </w:pPr>
            <w:r w:rsidRPr="00FF2AA3">
              <w:rPr>
                <w:rFonts w:cs="Calibri"/>
                <w:szCs w:val="18"/>
                <w:lang w:eastAsia="en-AU"/>
              </w:rPr>
              <w:t>Relative humidity</w:t>
            </w:r>
          </w:p>
        </w:tc>
        <w:tc>
          <w:tcPr>
            <w:tcW w:w="1564" w:type="pct"/>
            <w:vAlign w:val="center"/>
            <w:hideMark/>
          </w:tcPr>
          <w:p w14:paraId="1B9BEB8A" w14:textId="77777777" w:rsidR="000D3F51" w:rsidRPr="00FF2AA3" w:rsidRDefault="000D3F51" w:rsidP="00FA52C7">
            <w:pPr>
              <w:pStyle w:val="TableText"/>
              <w:rPr>
                <w:rFonts w:cs="Calibri"/>
                <w:szCs w:val="18"/>
                <w:lang w:eastAsia="en-AU"/>
              </w:rPr>
            </w:pPr>
            <w:r w:rsidRPr="00FF2AA3">
              <w:rPr>
                <w:rFonts w:cs="Calibri"/>
                <w:szCs w:val="18"/>
                <w:lang w:eastAsia="en-AU"/>
              </w:rPr>
              <w:t>Overall decreasing, with largest decreases in South Island in spring and summer.</w:t>
            </w:r>
          </w:p>
        </w:tc>
        <w:tc>
          <w:tcPr>
            <w:tcW w:w="1151" w:type="pct"/>
            <w:vAlign w:val="center"/>
            <w:hideMark/>
          </w:tcPr>
          <w:p w14:paraId="47A7D01E" w14:textId="77777777" w:rsidR="000D3F51" w:rsidRPr="00FF2AA3" w:rsidRDefault="000D3F51" w:rsidP="00FA52C7">
            <w:pPr>
              <w:pStyle w:val="TableText"/>
              <w:rPr>
                <w:rFonts w:cs="Calibri"/>
                <w:szCs w:val="18"/>
                <w:lang w:eastAsia="en-AU"/>
              </w:rPr>
            </w:pPr>
            <w:r w:rsidRPr="00FF2AA3">
              <w:rPr>
                <w:rFonts w:cs="Calibri"/>
                <w:szCs w:val="18"/>
                <w:lang w:eastAsia="en-AU"/>
              </w:rPr>
              <w:t>Not available</w:t>
            </w:r>
          </w:p>
        </w:tc>
        <w:tc>
          <w:tcPr>
            <w:tcW w:w="1152" w:type="pct"/>
            <w:vAlign w:val="center"/>
            <w:hideMark/>
          </w:tcPr>
          <w:p w14:paraId="0BE7F794" w14:textId="77777777" w:rsidR="000D3F51" w:rsidRPr="00FF2AA3" w:rsidRDefault="000D3F51" w:rsidP="00FA52C7">
            <w:pPr>
              <w:pStyle w:val="TableText"/>
              <w:rPr>
                <w:rFonts w:cs="Calibri"/>
                <w:szCs w:val="18"/>
                <w:lang w:eastAsia="en-AU"/>
              </w:rPr>
            </w:pPr>
            <w:r w:rsidRPr="00FF2AA3">
              <w:rPr>
                <w:rFonts w:cs="Calibri"/>
                <w:szCs w:val="18"/>
                <w:lang w:eastAsia="en-AU"/>
              </w:rPr>
              <w:t>Up to 5% or more, especially in the South Island.</w:t>
            </w:r>
          </w:p>
        </w:tc>
      </w:tr>
    </w:tbl>
    <w:p w14:paraId="0636B8A0" w14:textId="77777777" w:rsidR="005A7184" w:rsidRPr="005D6D89" w:rsidRDefault="009C2F86" w:rsidP="00FA52C7">
      <w:pPr>
        <w:pStyle w:val="Note"/>
      </w:pPr>
      <w:r w:rsidRPr="005D6D89">
        <w:t xml:space="preserve">Note: Where numbers </w:t>
      </w:r>
      <w:proofErr w:type="gramStart"/>
      <w:r w:rsidRPr="005D6D89">
        <w:t>are provided</w:t>
      </w:r>
      <w:proofErr w:type="gramEnd"/>
      <w:r w:rsidRPr="005D6D89">
        <w:t>, they are the mean change for the country, averaged over all 41 models for the 20</w:t>
      </w:r>
      <w:r w:rsidR="00B56453" w:rsidRPr="005D6D89">
        <w:t> </w:t>
      </w:r>
      <w:r w:rsidRPr="005D6D89">
        <w:t>years, centred on 2040 or 2090.</w:t>
      </w:r>
      <w:bookmarkEnd w:id="234"/>
      <w:r w:rsidR="00DB3F8A">
        <w:t xml:space="preserve"> </w:t>
      </w:r>
      <w:r w:rsidR="00FA5897">
        <w:t>PED is t</w:t>
      </w:r>
      <w:r w:rsidR="00DB3F8A">
        <w:t>he measure for lack of soil moisture,</w:t>
      </w:r>
      <w:r w:rsidR="00FA5897">
        <w:t xml:space="preserve"> a major source of plant stress.</w:t>
      </w:r>
    </w:p>
    <w:p w14:paraId="7C557770" w14:textId="77777777" w:rsidR="00A107EA" w:rsidRPr="005D6D89" w:rsidRDefault="00A107EA" w:rsidP="00E32D45">
      <w:pPr>
        <w:pStyle w:val="Tableheading"/>
      </w:pPr>
      <w:bookmarkStart w:id="237" w:name="_Ref40269082"/>
      <w:bookmarkStart w:id="238" w:name="_Toc40699401"/>
      <w:bookmarkStart w:id="239" w:name="_Toc43312803"/>
      <w:r w:rsidRPr="005D6D89">
        <w:t>T</w:t>
      </w:r>
      <w:bookmarkStart w:id="240" w:name="table9"/>
      <w:r w:rsidRPr="005D6D89">
        <w:t xml:space="preserve">able </w:t>
      </w:r>
      <w:bookmarkEnd w:id="237"/>
      <w:r w:rsidR="00543147" w:rsidRPr="005D6D89">
        <w:t>9</w:t>
      </w:r>
      <w:bookmarkEnd w:id="240"/>
      <w:r w:rsidR="00B4123B" w:rsidRPr="005D6D89">
        <w:t>:</w:t>
      </w:r>
      <w:r w:rsidRPr="005D6D89">
        <w:tab/>
      </w:r>
      <w:r w:rsidRPr="00102E4B">
        <w:rPr>
          <w:color w:val="000000" w:themeColor="text1"/>
        </w:rPr>
        <w:t xml:space="preserve">RCP scenarios: </w:t>
      </w:r>
      <w:r w:rsidRPr="005D6D89">
        <w:t xml:space="preserve">Projected mean sea-level rise (metres above 1986–2005 baseline) for the wider New Zealand region </w:t>
      </w:r>
      <w:r w:rsidRPr="005D6D89">
        <w:fldChar w:fldCharType="begin"/>
      </w:r>
      <w:r w:rsidRPr="005D6D89">
        <w:instrText xml:space="preserve"> ADDIN ZOTERO_ITEM CSL_CITATION {"citationID":"47FmM1Rl","properties":{"formattedCitation":"(Bell et al., 2017)","plainCitation":"(Bell et al., 2017)","noteIndex":0},"citationItems":[{"id":73,"uris":["http://zotero.org/users/local/rwNDlkOt/items/PHJBEGJ9"],"uri":["http://zotero.org/users/local/rwNDlkOt/items/PHJBEGJ9"],"itemData":{"id":73,"type":"report","publisher":"Ministry for the Environment New Zealand","title":"Coastal Hazards and Climate Change: Guidance for Local Government","URL":"https://www.mfe.govt.nz/sites/default/files/media/Climate%20Change/coastal-hazards-guide-final.pdf","author":[{"family":"Bell","given":"R"},{"family":"Lawrence","given":"J"},{"family":"Allan","given":"S"},{"family":"Blackett","given":"P"},{"family":"Stephens","given":"S"}],"accessed":{"date-parts":[["2019",8,26]]},"issued":{"date-parts":[["2017"]]}}}],"schema":"https://github.com/citation-style-language/schema/raw/master/csl-citation.json"} </w:instrText>
      </w:r>
      <w:r w:rsidRPr="005D6D89">
        <w:fldChar w:fldCharType="separate"/>
      </w:r>
      <w:r w:rsidRPr="005D6D89">
        <w:t>(Ministry for the Environment,</w:t>
      </w:r>
      <w:r w:rsidR="00870559" w:rsidRPr="005D6D89">
        <w:t> </w:t>
      </w:r>
      <w:r w:rsidRPr="005D6D89">
        <w:t>2017b)</w:t>
      </w:r>
      <w:bookmarkEnd w:id="238"/>
      <w:bookmarkEnd w:id="239"/>
      <w:r w:rsidRPr="005D6D89">
        <w:fldChar w:fldCharType="end"/>
      </w:r>
    </w:p>
    <w:tbl>
      <w:tblPr>
        <w:tblStyle w:val="TableGrid"/>
        <w:tblW w:w="8590"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4214"/>
        <w:gridCol w:w="2194"/>
        <w:gridCol w:w="2182"/>
      </w:tblGrid>
      <w:tr w:rsidR="00A107EA" w:rsidRPr="005D6D89" w14:paraId="04B1A073" w14:textId="77777777" w:rsidTr="00095C79">
        <w:trPr>
          <w:tblHeader/>
        </w:trPr>
        <w:tc>
          <w:tcPr>
            <w:tcW w:w="4214" w:type="dxa"/>
            <w:tcBorders>
              <w:top w:val="nil"/>
            </w:tcBorders>
            <w:shd w:val="clear" w:color="auto" w:fill="1C556C" w:themeFill="accent1"/>
            <w:vAlign w:val="bottom"/>
          </w:tcPr>
          <w:p w14:paraId="75D3EF0F" w14:textId="77777777" w:rsidR="00A107EA" w:rsidRPr="00EA1D43" w:rsidRDefault="00A107EA" w:rsidP="008839A2">
            <w:pPr>
              <w:pStyle w:val="TableTextBold0"/>
              <w:keepNext/>
              <w:rPr>
                <w:color w:val="FFFFFF" w:themeColor="background1"/>
                <w:szCs w:val="18"/>
              </w:rPr>
            </w:pPr>
            <w:r w:rsidRPr="00EA1D43">
              <w:rPr>
                <w:color w:val="FFFFFF" w:themeColor="background1"/>
                <w:szCs w:val="18"/>
              </w:rPr>
              <w:t xml:space="preserve">RCP scenario </w:t>
            </w:r>
          </w:p>
        </w:tc>
        <w:tc>
          <w:tcPr>
            <w:tcW w:w="2194" w:type="dxa"/>
            <w:shd w:val="clear" w:color="auto" w:fill="1C556C" w:themeFill="accent1"/>
            <w:vAlign w:val="bottom"/>
          </w:tcPr>
          <w:p w14:paraId="5E86F787" w14:textId="77777777" w:rsidR="00A107EA" w:rsidRPr="005D6D89" w:rsidRDefault="00A107EA" w:rsidP="008839A2">
            <w:pPr>
              <w:pStyle w:val="TableTextBold0"/>
              <w:keepNext/>
              <w:jc w:val="center"/>
              <w:rPr>
                <w:color w:val="FFFFFF" w:themeColor="background1"/>
                <w:szCs w:val="18"/>
              </w:rPr>
            </w:pPr>
            <w:r w:rsidRPr="005D6D89">
              <w:rPr>
                <w:color w:val="FFFFFF" w:themeColor="background1"/>
                <w:szCs w:val="18"/>
              </w:rPr>
              <w:t>Mid-century</w:t>
            </w:r>
            <w:r w:rsidRPr="005D6D89">
              <w:rPr>
                <w:color w:val="FFFFFF" w:themeColor="background1"/>
                <w:szCs w:val="18"/>
              </w:rPr>
              <w:br/>
              <w:t>(30 years)</w:t>
            </w:r>
          </w:p>
        </w:tc>
        <w:tc>
          <w:tcPr>
            <w:tcW w:w="2182" w:type="dxa"/>
            <w:shd w:val="clear" w:color="auto" w:fill="1C556C" w:themeFill="accent1"/>
            <w:vAlign w:val="bottom"/>
          </w:tcPr>
          <w:p w14:paraId="7AD2D13A" w14:textId="77777777" w:rsidR="00A107EA" w:rsidRPr="005D6D89" w:rsidRDefault="00A107EA" w:rsidP="008839A2">
            <w:pPr>
              <w:pStyle w:val="TableTextBold0"/>
              <w:keepNext/>
              <w:jc w:val="center"/>
              <w:rPr>
                <w:color w:val="FFFFFF" w:themeColor="background1"/>
                <w:szCs w:val="18"/>
              </w:rPr>
            </w:pPr>
            <w:r w:rsidRPr="005D6D89">
              <w:rPr>
                <w:color w:val="FFFFFF" w:themeColor="background1"/>
                <w:szCs w:val="18"/>
              </w:rPr>
              <w:t>End of century</w:t>
            </w:r>
            <w:r w:rsidRPr="005D6D89">
              <w:rPr>
                <w:color w:val="FFFFFF" w:themeColor="background1"/>
                <w:szCs w:val="18"/>
              </w:rPr>
              <w:br/>
              <w:t>(80 years)</w:t>
            </w:r>
          </w:p>
        </w:tc>
      </w:tr>
      <w:tr w:rsidR="00A107EA" w:rsidRPr="005D6D89" w14:paraId="02266697" w14:textId="77777777" w:rsidTr="00095C79">
        <w:tc>
          <w:tcPr>
            <w:tcW w:w="4214" w:type="dxa"/>
            <w:vMerge w:val="restart"/>
          </w:tcPr>
          <w:p w14:paraId="2D65115A" w14:textId="77777777" w:rsidR="00A107EA" w:rsidRPr="005D6D89" w:rsidRDefault="00A107EA" w:rsidP="008839A2">
            <w:pPr>
              <w:pStyle w:val="TableTextBold0"/>
              <w:keepNext/>
              <w:rPr>
                <w:szCs w:val="18"/>
              </w:rPr>
            </w:pPr>
            <w:r w:rsidRPr="005D6D89">
              <w:rPr>
                <w:szCs w:val="18"/>
              </w:rPr>
              <w:t xml:space="preserve">RCP8.5: Higher greenhouse gas emissions </w:t>
            </w:r>
          </w:p>
          <w:p w14:paraId="19577EAB" w14:textId="77777777" w:rsidR="00A107EA" w:rsidRPr="005D6D89" w:rsidRDefault="00A107EA" w:rsidP="008839A2">
            <w:pPr>
              <w:pStyle w:val="TableText"/>
              <w:keepNext/>
              <w:rPr>
                <w:szCs w:val="18"/>
              </w:rPr>
            </w:pPr>
            <w:r w:rsidRPr="005D6D89">
              <w:rPr>
                <w:szCs w:val="18"/>
              </w:rPr>
              <w:t>Sea-level rise projections from the Coastal Hazards and Climate Change guidance: median and (H</w:t>
            </w:r>
            <w:r w:rsidRPr="005D6D89">
              <w:rPr>
                <w:szCs w:val="18"/>
                <w:vertAlign w:val="superscript"/>
              </w:rPr>
              <w:t>+</w:t>
            </w:r>
            <w:r w:rsidRPr="005D6D89">
              <w:rPr>
                <w:szCs w:val="18"/>
              </w:rPr>
              <w:t>)</w:t>
            </w:r>
            <w:r w:rsidR="00966A98" w:rsidRPr="005D6D89">
              <w:rPr>
                <w:rStyle w:val="FootnoteReference"/>
                <w:szCs w:val="18"/>
              </w:rPr>
              <w:footnoteReference w:id="3"/>
            </w:r>
            <w:r w:rsidRPr="005D6D89" w:rsidDel="00F6034D">
              <w:rPr>
                <w:szCs w:val="18"/>
              </w:rPr>
              <w:t xml:space="preserve"> </w:t>
            </w:r>
          </w:p>
          <w:p w14:paraId="4CA318D9" w14:textId="77777777" w:rsidR="00A107EA" w:rsidRPr="005D6D89" w:rsidRDefault="00A107EA" w:rsidP="00FA7C8F">
            <w:pPr>
              <w:pStyle w:val="TableText"/>
              <w:keepNext/>
              <w:spacing w:before="0"/>
              <w:rPr>
                <w:szCs w:val="18"/>
              </w:rPr>
            </w:pPr>
            <w:r w:rsidRPr="005D6D89">
              <w:rPr>
                <w:szCs w:val="18"/>
              </w:rPr>
              <w:t>Updated sea-level rise projections including offsets from IPCC Special Report: median and (H</w:t>
            </w:r>
            <w:r w:rsidRPr="005D6D89">
              <w:rPr>
                <w:szCs w:val="18"/>
                <w:vertAlign w:val="superscript"/>
              </w:rPr>
              <w:t>+</w:t>
            </w:r>
            <w:r w:rsidRPr="005D6D89">
              <w:rPr>
                <w:szCs w:val="18"/>
              </w:rPr>
              <w:t>)</w:t>
            </w:r>
            <w:r w:rsidR="008839A2">
              <w:rPr>
                <w:rStyle w:val="FootnoteReference"/>
                <w:szCs w:val="18"/>
              </w:rPr>
              <w:footnoteReference w:id="4"/>
            </w:r>
          </w:p>
        </w:tc>
        <w:tc>
          <w:tcPr>
            <w:tcW w:w="2194" w:type="dxa"/>
          </w:tcPr>
          <w:p w14:paraId="27FD158D" w14:textId="77777777" w:rsidR="00A107EA" w:rsidRPr="005D6D89" w:rsidRDefault="00A107EA" w:rsidP="008839A2">
            <w:pPr>
              <w:pStyle w:val="TableText"/>
              <w:keepNext/>
              <w:jc w:val="center"/>
              <w:rPr>
                <w:szCs w:val="18"/>
              </w:rPr>
            </w:pPr>
            <w:r w:rsidRPr="005D6D89">
              <w:rPr>
                <w:szCs w:val="18"/>
              </w:rPr>
              <w:t>0.28 m (0.37 m)</w:t>
            </w:r>
          </w:p>
          <w:p w14:paraId="33307819" w14:textId="77777777" w:rsidR="00A107EA" w:rsidRPr="005D6D89" w:rsidRDefault="00A107EA" w:rsidP="008839A2">
            <w:pPr>
              <w:pStyle w:val="TableText"/>
              <w:keepNext/>
              <w:spacing w:before="0"/>
              <w:jc w:val="center"/>
              <w:rPr>
                <w:szCs w:val="18"/>
              </w:rPr>
            </w:pPr>
            <w:r w:rsidRPr="005D6D89">
              <w:rPr>
                <w:szCs w:val="18"/>
              </w:rPr>
              <w:t>[2050]</w:t>
            </w:r>
          </w:p>
        </w:tc>
        <w:tc>
          <w:tcPr>
            <w:tcW w:w="2182" w:type="dxa"/>
          </w:tcPr>
          <w:p w14:paraId="657C218F" w14:textId="77777777" w:rsidR="00A107EA" w:rsidRPr="005D6D89" w:rsidRDefault="00A107EA" w:rsidP="008839A2">
            <w:pPr>
              <w:pStyle w:val="TableText"/>
              <w:keepNext/>
              <w:jc w:val="center"/>
              <w:rPr>
                <w:szCs w:val="18"/>
              </w:rPr>
            </w:pPr>
            <w:r w:rsidRPr="005D6D89">
              <w:rPr>
                <w:szCs w:val="18"/>
              </w:rPr>
              <w:t>0.79 m (1.05 m)</w:t>
            </w:r>
          </w:p>
          <w:p w14:paraId="662059EA" w14:textId="77777777" w:rsidR="00A107EA" w:rsidRPr="005D6D89" w:rsidRDefault="00A107EA" w:rsidP="008839A2">
            <w:pPr>
              <w:pStyle w:val="TableText"/>
              <w:keepNext/>
              <w:spacing w:before="0"/>
              <w:jc w:val="center"/>
              <w:rPr>
                <w:szCs w:val="18"/>
              </w:rPr>
            </w:pPr>
            <w:r w:rsidRPr="005D6D89">
              <w:rPr>
                <w:szCs w:val="18"/>
              </w:rPr>
              <w:t>[2100]</w:t>
            </w:r>
          </w:p>
        </w:tc>
      </w:tr>
      <w:tr w:rsidR="00A107EA" w:rsidRPr="005D6D89" w14:paraId="1298D2B2" w14:textId="77777777" w:rsidTr="00095C79">
        <w:tc>
          <w:tcPr>
            <w:tcW w:w="4214" w:type="dxa"/>
            <w:vMerge/>
          </w:tcPr>
          <w:p w14:paraId="163A56A5" w14:textId="77777777" w:rsidR="00A107EA" w:rsidRPr="005D6D89" w:rsidRDefault="00A107EA" w:rsidP="008839A2">
            <w:pPr>
              <w:pStyle w:val="TableText"/>
              <w:keepNext/>
              <w:rPr>
                <w:szCs w:val="18"/>
              </w:rPr>
            </w:pPr>
          </w:p>
        </w:tc>
        <w:tc>
          <w:tcPr>
            <w:tcW w:w="2194" w:type="dxa"/>
          </w:tcPr>
          <w:p w14:paraId="571ABCBA" w14:textId="77777777" w:rsidR="00A107EA" w:rsidRPr="005D6D89" w:rsidRDefault="00A107EA" w:rsidP="008839A2">
            <w:pPr>
              <w:pStyle w:val="TableText"/>
              <w:keepNext/>
              <w:jc w:val="center"/>
              <w:rPr>
                <w:szCs w:val="18"/>
              </w:rPr>
            </w:pPr>
            <w:r w:rsidRPr="005D6D89">
              <w:rPr>
                <w:szCs w:val="18"/>
              </w:rPr>
              <w:t>0.33 m (0.42 m)</w:t>
            </w:r>
          </w:p>
          <w:p w14:paraId="37C712AC" w14:textId="77777777" w:rsidR="00A107EA" w:rsidRPr="005D6D89" w:rsidRDefault="00A107EA" w:rsidP="008839A2">
            <w:pPr>
              <w:pStyle w:val="TableText"/>
              <w:keepNext/>
              <w:spacing w:before="0"/>
              <w:jc w:val="center"/>
              <w:rPr>
                <w:szCs w:val="18"/>
              </w:rPr>
            </w:pPr>
            <w:r w:rsidRPr="005D6D89">
              <w:rPr>
                <w:szCs w:val="18"/>
              </w:rPr>
              <w:t>[2050]</w:t>
            </w:r>
          </w:p>
        </w:tc>
        <w:tc>
          <w:tcPr>
            <w:tcW w:w="2182" w:type="dxa"/>
          </w:tcPr>
          <w:p w14:paraId="6B2427EC" w14:textId="77777777" w:rsidR="00A107EA" w:rsidRPr="005D6D89" w:rsidRDefault="00A107EA" w:rsidP="008839A2">
            <w:pPr>
              <w:pStyle w:val="TableText"/>
              <w:keepNext/>
              <w:jc w:val="center"/>
              <w:rPr>
                <w:szCs w:val="18"/>
              </w:rPr>
            </w:pPr>
            <w:r w:rsidRPr="005D6D89">
              <w:rPr>
                <w:szCs w:val="18"/>
              </w:rPr>
              <w:t>0.89</w:t>
            </w:r>
            <w:r w:rsidR="00FA5897">
              <w:rPr>
                <w:szCs w:val="18"/>
              </w:rPr>
              <w:t xml:space="preserve"> </w:t>
            </w:r>
            <w:r w:rsidRPr="005D6D89">
              <w:rPr>
                <w:szCs w:val="18"/>
              </w:rPr>
              <w:t>m (1.15 m)</w:t>
            </w:r>
          </w:p>
          <w:p w14:paraId="651C87F6" w14:textId="77777777" w:rsidR="00A107EA" w:rsidRPr="005D6D89" w:rsidRDefault="00A107EA" w:rsidP="008839A2">
            <w:pPr>
              <w:pStyle w:val="TableText"/>
              <w:keepNext/>
              <w:spacing w:before="0"/>
              <w:jc w:val="center"/>
              <w:rPr>
                <w:szCs w:val="18"/>
              </w:rPr>
            </w:pPr>
            <w:r w:rsidRPr="005D6D89">
              <w:rPr>
                <w:szCs w:val="18"/>
              </w:rPr>
              <w:t>[2100]</w:t>
            </w:r>
          </w:p>
        </w:tc>
      </w:tr>
      <w:tr w:rsidR="00A107EA" w:rsidRPr="005D6D89" w14:paraId="0BA57BE1" w14:textId="77777777" w:rsidTr="00095C79">
        <w:tc>
          <w:tcPr>
            <w:tcW w:w="4214" w:type="dxa"/>
          </w:tcPr>
          <w:p w14:paraId="0BD7A07A" w14:textId="77777777" w:rsidR="00A107EA" w:rsidRPr="005D6D89" w:rsidRDefault="00A107EA" w:rsidP="00144486">
            <w:pPr>
              <w:pStyle w:val="TableTextBold0"/>
              <w:rPr>
                <w:szCs w:val="18"/>
              </w:rPr>
            </w:pPr>
            <w:r w:rsidRPr="005D6D89">
              <w:rPr>
                <w:szCs w:val="18"/>
              </w:rPr>
              <w:t>RCP4.5: Lower greenhouse gases</w:t>
            </w:r>
          </w:p>
          <w:p w14:paraId="6A34296E" w14:textId="77777777" w:rsidR="00A107EA" w:rsidRPr="005D6D89" w:rsidRDefault="00A107EA" w:rsidP="00FA7C8F">
            <w:pPr>
              <w:pStyle w:val="TableText"/>
              <w:spacing w:before="0"/>
              <w:rPr>
                <w:szCs w:val="18"/>
              </w:rPr>
            </w:pPr>
            <w:r w:rsidRPr="005D6D89">
              <w:rPr>
                <w:szCs w:val="18"/>
              </w:rPr>
              <w:t>Sea-level rise projections from the Coastal Hazards and Climate Change guidance: median</w:t>
            </w:r>
            <w:r w:rsidR="00D07B07">
              <w:rPr>
                <w:rStyle w:val="FootnoteReference"/>
                <w:szCs w:val="18"/>
              </w:rPr>
              <w:footnoteReference w:id="5"/>
            </w:r>
            <w:r w:rsidRPr="005D6D89">
              <w:rPr>
                <w:szCs w:val="18"/>
              </w:rPr>
              <w:t xml:space="preserve"> </w:t>
            </w:r>
          </w:p>
        </w:tc>
        <w:tc>
          <w:tcPr>
            <w:tcW w:w="2194" w:type="dxa"/>
          </w:tcPr>
          <w:p w14:paraId="6E265B3E" w14:textId="77777777" w:rsidR="00A107EA" w:rsidRPr="005D6D89" w:rsidRDefault="00A107EA" w:rsidP="00E32D45">
            <w:pPr>
              <w:pStyle w:val="TableText"/>
              <w:jc w:val="center"/>
              <w:rPr>
                <w:szCs w:val="18"/>
              </w:rPr>
            </w:pPr>
            <w:r w:rsidRPr="005D6D89">
              <w:rPr>
                <w:szCs w:val="18"/>
              </w:rPr>
              <w:t>0.24 m</w:t>
            </w:r>
          </w:p>
          <w:p w14:paraId="50874425" w14:textId="77777777" w:rsidR="00A107EA" w:rsidRPr="005D6D89" w:rsidRDefault="00A107EA" w:rsidP="00E32D45">
            <w:pPr>
              <w:pStyle w:val="TableText"/>
              <w:spacing w:before="0"/>
              <w:jc w:val="center"/>
              <w:rPr>
                <w:szCs w:val="18"/>
              </w:rPr>
            </w:pPr>
            <w:r w:rsidRPr="005D6D89">
              <w:rPr>
                <w:szCs w:val="18"/>
              </w:rPr>
              <w:t>[2050]</w:t>
            </w:r>
          </w:p>
        </w:tc>
        <w:tc>
          <w:tcPr>
            <w:tcW w:w="2182" w:type="dxa"/>
          </w:tcPr>
          <w:p w14:paraId="704E2B8F" w14:textId="77777777" w:rsidR="00A107EA" w:rsidRPr="005D6D89" w:rsidRDefault="00A107EA" w:rsidP="00E32D45">
            <w:pPr>
              <w:pStyle w:val="TableText"/>
              <w:jc w:val="center"/>
              <w:rPr>
                <w:szCs w:val="18"/>
              </w:rPr>
            </w:pPr>
            <w:r w:rsidRPr="005D6D89">
              <w:rPr>
                <w:szCs w:val="18"/>
              </w:rPr>
              <w:t>0.55 m</w:t>
            </w:r>
          </w:p>
          <w:p w14:paraId="01EA1147" w14:textId="77777777" w:rsidR="00A107EA" w:rsidRPr="005D6D89" w:rsidRDefault="00A107EA" w:rsidP="00E32D45">
            <w:pPr>
              <w:pStyle w:val="TableText"/>
              <w:spacing w:before="0"/>
              <w:jc w:val="center"/>
              <w:rPr>
                <w:szCs w:val="18"/>
              </w:rPr>
            </w:pPr>
            <w:r w:rsidRPr="005D6D89">
              <w:rPr>
                <w:szCs w:val="18"/>
              </w:rPr>
              <w:t>[2100]</w:t>
            </w:r>
          </w:p>
        </w:tc>
      </w:tr>
      <w:tr w:rsidR="00A107EA" w:rsidRPr="005D6D89" w14:paraId="3451E8DC" w14:textId="77777777" w:rsidTr="00095C79">
        <w:tc>
          <w:tcPr>
            <w:tcW w:w="4214" w:type="dxa"/>
          </w:tcPr>
          <w:p w14:paraId="668E2B39" w14:textId="77777777" w:rsidR="00A107EA" w:rsidRPr="005D6D89" w:rsidRDefault="00A107EA" w:rsidP="00966A98">
            <w:pPr>
              <w:pStyle w:val="TableText"/>
              <w:rPr>
                <w:szCs w:val="18"/>
              </w:rPr>
            </w:pPr>
            <w:r w:rsidRPr="005D6D89">
              <w:rPr>
                <w:szCs w:val="18"/>
              </w:rPr>
              <w:t>Updated sea-level rise projections including offsets from IPCC Special Report: median</w:t>
            </w:r>
            <w:r w:rsidR="00966A98" w:rsidRPr="005D6D89">
              <w:rPr>
                <w:rStyle w:val="FootnoteReference"/>
                <w:szCs w:val="18"/>
              </w:rPr>
              <w:footnoteReference w:id="6"/>
            </w:r>
            <w:r w:rsidRPr="005D6D89">
              <w:rPr>
                <w:szCs w:val="18"/>
              </w:rPr>
              <w:t xml:space="preserve"> </w:t>
            </w:r>
          </w:p>
        </w:tc>
        <w:tc>
          <w:tcPr>
            <w:tcW w:w="2194" w:type="dxa"/>
          </w:tcPr>
          <w:p w14:paraId="771D1B49" w14:textId="77777777" w:rsidR="00A107EA" w:rsidRPr="005D6D89" w:rsidRDefault="00A107EA" w:rsidP="00E32D45">
            <w:pPr>
              <w:pStyle w:val="TableText"/>
              <w:jc w:val="center"/>
              <w:rPr>
                <w:szCs w:val="18"/>
              </w:rPr>
            </w:pPr>
            <w:r w:rsidRPr="005D6D89">
              <w:rPr>
                <w:szCs w:val="18"/>
              </w:rPr>
              <w:t>0.26 m</w:t>
            </w:r>
          </w:p>
          <w:p w14:paraId="32ACBE86" w14:textId="77777777" w:rsidR="00A107EA" w:rsidRPr="005D6D89" w:rsidRDefault="00A107EA" w:rsidP="00E32D45">
            <w:pPr>
              <w:pStyle w:val="TableText"/>
              <w:spacing w:before="0"/>
              <w:jc w:val="center"/>
              <w:rPr>
                <w:szCs w:val="18"/>
              </w:rPr>
            </w:pPr>
            <w:r w:rsidRPr="005D6D89">
              <w:rPr>
                <w:szCs w:val="18"/>
              </w:rPr>
              <w:t>[2050]</w:t>
            </w:r>
          </w:p>
        </w:tc>
        <w:tc>
          <w:tcPr>
            <w:tcW w:w="2182" w:type="dxa"/>
          </w:tcPr>
          <w:p w14:paraId="2815F006" w14:textId="77777777" w:rsidR="00A107EA" w:rsidRPr="005D6D89" w:rsidRDefault="00A107EA" w:rsidP="00E32D45">
            <w:pPr>
              <w:pStyle w:val="TableText"/>
              <w:jc w:val="center"/>
              <w:rPr>
                <w:szCs w:val="18"/>
              </w:rPr>
            </w:pPr>
            <w:r w:rsidRPr="005D6D89">
              <w:rPr>
                <w:szCs w:val="18"/>
              </w:rPr>
              <w:t>0.58 m</w:t>
            </w:r>
          </w:p>
          <w:p w14:paraId="6CA5EBBF" w14:textId="77777777" w:rsidR="00A107EA" w:rsidRPr="005D6D89" w:rsidRDefault="00A107EA" w:rsidP="00E32D45">
            <w:pPr>
              <w:pStyle w:val="TableText"/>
              <w:spacing w:before="0"/>
              <w:jc w:val="center"/>
              <w:rPr>
                <w:szCs w:val="18"/>
              </w:rPr>
            </w:pPr>
            <w:r w:rsidRPr="005D6D89">
              <w:rPr>
                <w:szCs w:val="18"/>
              </w:rPr>
              <w:t>[2100]</w:t>
            </w:r>
          </w:p>
        </w:tc>
      </w:tr>
    </w:tbl>
    <w:p w14:paraId="455F1E1B" w14:textId="77777777" w:rsidR="00A107EA" w:rsidRPr="005D6D89" w:rsidRDefault="00A107EA" w:rsidP="00A107EA">
      <w:pPr>
        <w:pStyle w:val="BodyText"/>
      </w:pPr>
    </w:p>
    <w:p w14:paraId="6D12D802" w14:textId="77777777" w:rsidR="00E1285E" w:rsidRPr="005D6D89" w:rsidRDefault="00E1285E" w:rsidP="00C41DB0">
      <w:pPr>
        <w:pStyle w:val="BodyText"/>
      </w:pPr>
    </w:p>
    <w:p w14:paraId="06F5BBA4" w14:textId="77777777" w:rsidR="0067629E" w:rsidRPr="005D6D89" w:rsidRDefault="0067629E">
      <w:pPr>
        <w:spacing w:before="0" w:after="200" w:line="276" w:lineRule="auto"/>
        <w:jc w:val="left"/>
      </w:pPr>
      <w:r w:rsidRPr="005D6D89">
        <w:br w:type="page"/>
      </w:r>
    </w:p>
    <w:p w14:paraId="1C2C403F" w14:textId="77777777" w:rsidR="0067629E" w:rsidRPr="005D6D89" w:rsidRDefault="0067629E" w:rsidP="00C35255">
      <w:pPr>
        <w:pStyle w:val="Heading1"/>
        <w:numPr>
          <w:ilvl w:val="0"/>
          <w:numId w:val="17"/>
        </w:numPr>
        <w:rPr>
          <w:sz w:val="47"/>
          <w:szCs w:val="47"/>
        </w:rPr>
      </w:pPr>
      <w:bookmarkStart w:id="241" w:name="_Climate_change_risks"/>
      <w:bookmarkStart w:id="242" w:name="_Toc37255768"/>
      <w:bookmarkStart w:id="243" w:name="_Toc37393669"/>
      <w:bookmarkStart w:id="244" w:name="_Ref37492036"/>
      <w:bookmarkStart w:id="245" w:name="_Ref37666504"/>
      <w:bookmarkStart w:id="246" w:name="_Ref37666589"/>
      <w:bookmarkStart w:id="247" w:name="_Toc37784880"/>
      <w:bookmarkStart w:id="248" w:name="_Ref40346475"/>
      <w:bookmarkStart w:id="249" w:name="_Ref40346510"/>
      <w:bookmarkStart w:id="250" w:name="_Ref40346630"/>
      <w:bookmarkStart w:id="251" w:name="_Ref40346646"/>
      <w:bookmarkStart w:id="252" w:name="_Toc40699351"/>
      <w:bookmarkStart w:id="253" w:name="_Toc43064136"/>
      <w:bookmarkEnd w:id="241"/>
      <w:r w:rsidRPr="005D6D89">
        <w:rPr>
          <w:sz w:val="47"/>
          <w:szCs w:val="47"/>
        </w:rPr>
        <w:t>Climate change risks and opportunities</w:t>
      </w:r>
      <w:bookmarkEnd w:id="242"/>
      <w:bookmarkEnd w:id="243"/>
      <w:bookmarkEnd w:id="244"/>
      <w:bookmarkEnd w:id="245"/>
      <w:bookmarkEnd w:id="246"/>
      <w:bookmarkEnd w:id="247"/>
      <w:bookmarkEnd w:id="248"/>
      <w:bookmarkEnd w:id="249"/>
      <w:bookmarkEnd w:id="250"/>
      <w:bookmarkEnd w:id="251"/>
      <w:bookmarkEnd w:id="252"/>
      <w:bookmarkEnd w:id="253"/>
    </w:p>
    <w:p w14:paraId="68A9772B" w14:textId="77777777" w:rsidR="0067629E" w:rsidRPr="005D6D89" w:rsidRDefault="0067629E" w:rsidP="00812D16">
      <w:pPr>
        <w:pStyle w:val="Heading2"/>
        <w:numPr>
          <w:ilvl w:val="0"/>
          <w:numId w:val="26"/>
        </w:numPr>
        <w:spacing w:before="240"/>
      </w:pPr>
      <w:bookmarkStart w:id="254" w:name="_Toc37255769"/>
      <w:bookmarkStart w:id="255" w:name="_Toc37393670"/>
      <w:bookmarkStart w:id="256" w:name="_Ref37667350"/>
      <w:bookmarkStart w:id="257" w:name="_Toc37784881"/>
      <w:bookmarkStart w:id="258" w:name="_Toc40699352"/>
      <w:bookmarkStart w:id="259" w:name="_Toc43064137"/>
      <w:r w:rsidRPr="005D6D89">
        <w:t>Risks by urgency</w:t>
      </w:r>
      <w:bookmarkEnd w:id="254"/>
      <w:bookmarkEnd w:id="255"/>
      <w:bookmarkEnd w:id="256"/>
      <w:bookmarkEnd w:id="257"/>
      <w:bookmarkEnd w:id="258"/>
      <w:bookmarkEnd w:id="259"/>
    </w:p>
    <w:p w14:paraId="484D94FF" w14:textId="77777777" w:rsidR="0067629E" w:rsidRPr="005D6D89" w:rsidRDefault="0067629E" w:rsidP="0067629E">
      <w:pPr>
        <w:pStyle w:val="BodyText"/>
      </w:pPr>
      <w:r w:rsidRPr="005D6D89">
        <w:t xml:space="preserve">This section outlines the priority risks by their urgency category. As described in </w:t>
      </w:r>
      <w:hyperlink w:anchor="_Assessment_and_engagement" w:history="1">
        <w:r w:rsidRPr="00D03620">
          <w:rPr>
            <w:rStyle w:val="Hyperlink"/>
          </w:rPr>
          <w:t>section</w:t>
        </w:r>
        <w:r w:rsidR="00D03620" w:rsidRPr="00D03620">
          <w:rPr>
            <w:rStyle w:val="Hyperlink"/>
          </w:rPr>
          <w:t xml:space="preserve"> 2.1</w:t>
        </w:r>
      </w:hyperlink>
      <w:r w:rsidRPr="005D6D89">
        <w:t>, in</w:t>
      </w:r>
      <w:r w:rsidR="002246E8" w:rsidRPr="005D6D89">
        <w:t> </w:t>
      </w:r>
      <w:r w:rsidRPr="005D6D89">
        <w:t xml:space="preserve">Stages 2 and 3 all risks </w:t>
      </w:r>
      <w:proofErr w:type="gramStart"/>
      <w:r w:rsidRPr="005D6D89">
        <w:t>were considered</w:t>
      </w:r>
      <w:proofErr w:type="gramEnd"/>
      <w:r w:rsidRPr="005D6D89">
        <w:t xml:space="preserve"> to have the potential for major or extreme consequence for New Zealand. However, the urgency and the type of adaptation response needed vary. </w:t>
      </w:r>
    </w:p>
    <w:p w14:paraId="6359D573" w14:textId="77777777" w:rsidR="0067629E" w:rsidRPr="005D6D89" w:rsidRDefault="0067629E" w:rsidP="0067629E">
      <w:pPr>
        <w:pStyle w:val="BodyText"/>
      </w:pPr>
      <w:r w:rsidRPr="005D6D89">
        <w:t>To support the NAP, the NCCRA developed an urgency profile for each risk. These describe the</w:t>
      </w:r>
      <w:r w:rsidR="002246E8" w:rsidRPr="005D6D89">
        <w:t> </w:t>
      </w:r>
      <w:r w:rsidRPr="005D6D89">
        <w:t>degree of action required under four different categories of action: more action needed, research priority, sustain current action</w:t>
      </w:r>
      <w:r w:rsidR="00FA5897">
        <w:t>,</w:t>
      </w:r>
      <w:r w:rsidRPr="005D6D89">
        <w:t xml:space="preserve"> and maintain a watching brief. </w:t>
      </w:r>
      <w:proofErr w:type="gramStart"/>
      <w:r w:rsidRPr="005D6D89">
        <w:t>More urgent risks</w:t>
      </w:r>
      <w:proofErr w:type="gramEnd"/>
      <w:r w:rsidRPr="005D6D89">
        <w:t xml:space="preserve"> had higher ratings for </w:t>
      </w:r>
      <w:r w:rsidR="001200EA">
        <w:t>‘</w:t>
      </w:r>
      <w:r w:rsidRPr="005D6D89">
        <w:t>more action needed</w:t>
      </w:r>
      <w:r w:rsidR="001200EA">
        <w:t>’</w:t>
      </w:r>
      <w:r w:rsidRPr="005D6D89">
        <w:t xml:space="preserve"> or </w:t>
      </w:r>
      <w:r w:rsidR="001200EA">
        <w:t>‘</w:t>
      </w:r>
      <w:r w:rsidRPr="005D6D89">
        <w:t>research priority</w:t>
      </w:r>
      <w:r w:rsidR="001200EA">
        <w:t>’</w:t>
      </w:r>
      <w:r w:rsidRPr="005D6D89">
        <w:t xml:space="preserve">; less urgent risks had higher ratings in </w:t>
      </w:r>
      <w:r w:rsidR="001200EA">
        <w:t>‘</w:t>
      </w:r>
      <w:r w:rsidRPr="005D6D89">
        <w:t>sustain current</w:t>
      </w:r>
      <w:r w:rsidR="00662EBB" w:rsidRPr="005D6D89">
        <w:t> </w:t>
      </w:r>
      <w:r w:rsidRPr="005D6D89">
        <w:t>action</w:t>
      </w:r>
      <w:r w:rsidR="001200EA">
        <w:t>’</w:t>
      </w:r>
      <w:r w:rsidRPr="005D6D89">
        <w:t xml:space="preserve"> or </w:t>
      </w:r>
      <w:r w:rsidR="001200EA">
        <w:t>‘</w:t>
      </w:r>
      <w:r w:rsidRPr="005D6D89">
        <w:t>watching brief</w:t>
      </w:r>
      <w:r w:rsidR="001200EA">
        <w:t>’</w:t>
      </w:r>
      <w:r w:rsidRPr="005D6D89">
        <w:t xml:space="preserve">. </w:t>
      </w:r>
      <w:hyperlink w:anchor="figure6" w:history="1">
        <w:r w:rsidR="00B3255C" w:rsidRPr="005D6D89">
          <w:rPr>
            <w:rStyle w:val="Hyperlink"/>
          </w:rPr>
          <w:t>Figure</w:t>
        </w:r>
        <w:r w:rsidR="001C372B" w:rsidRPr="005D6D89">
          <w:rPr>
            <w:rStyle w:val="Hyperlink"/>
          </w:rPr>
          <w:t xml:space="preserve"> </w:t>
        </w:r>
        <w:proofErr w:type="gramStart"/>
        <w:r w:rsidR="001C372B" w:rsidRPr="005D6D89">
          <w:rPr>
            <w:rStyle w:val="Hyperlink"/>
          </w:rPr>
          <w:t>7</w:t>
        </w:r>
        <w:proofErr w:type="gramEnd"/>
      </w:hyperlink>
      <w:r w:rsidR="00B3255C" w:rsidRPr="005D6D89">
        <w:t xml:space="preserve"> </w:t>
      </w:r>
      <w:r w:rsidRPr="005D6D89">
        <w:t xml:space="preserve">sets out risks by </w:t>
      </w:r>
      <w:r w:rsidR="001200EA">
        <w:t>‘</w:t>
      </w:r>
      <w:r w:rsidRPr="005D6D89">
        <w:t>more action needed</w:t>
      </w:r>
      <w:r w:rsidR="001200EA">
        <w:t>’</w:t>
      </w:r>
      <w:r w:rsidRPr="005D6D89">
        <w:t xml:space="preserve">, and </w:t>
      </w:r>
      <w:hyperlink w:anchor="figure7" w:history="1">
        <w:r w:rsidR="009F548A" w:rsidRPr="005D6D89">
          <w:rPr>
            <w:rStyle w:val="Hyperlink"/>
          </w:rPr>
          <w:t xml:space="preserve">figure </w:t>
        </w:r>
        <w:r w:rsidR="001C372B" w:rsidRPr="005D6D89">
          <w:rPr>
            <w:rStyle w:val="Hyperlink"/>
          </w:rPr>
          <w:t>8</w:t>
        </w:r>
      </w:hyperlink>
      <w:r w:rsidR="009F548A" w:rsidRPr="005D6D89">
        <w:t xml:space="preserve"> </w:t>
      </w:r>
      <w:r w:rsidRPr="005D6D89">
        <w:t xml:space="preserve">by </w:t>
      </w:r>
      <w:r w:rsidR="001200EA">
        <w:t>‘</w:t>
      </w:r>
      <w:r w:rsidRPr="005D6D89">
        <w:t>research priority</w:t>
      </w:r>
      <w:r w:rsidR="001200EA">
        <w:t>’</w:t>
      </w:r>
      <w:r w:rsidRPr="005D6D89">
        <w:t>.</w:t>
      </w:r>
      <w:r w:rsidR="00027F9F" w:rsidRPr="005D6D89">
        <w:t xml:space="preserve"> </w:t>
      </w:r>
    </w:p>
    <w:p w14:paraId="085E7C51" w14:textId="77777777" w:rsidR="006D5974" w:rsidRDefault="0067629E" w:rsidP="0067629E">
      <w:pPr>
        <w:pStyle w:val="BodyText"/>
        <w:sectPr w:rsidR="006D5974" w:rsidSect="00C02334">
          <w:footerReference w:type="default" r:id="rId47"/>
          <w:pgSz w:w="11907" w:h="16834" w:code="9"/>
          <w:pgMar w:top="1134" w:right="1701" w:bottom="1134" w:left="1701" w:header="675" w:footer="357" w:gutter="0"/>
          <w:cols w:space="720"/>
          <w:docGrid w:linePitch="272"/>
        </w:sectPr>
      </w:pPr>
      <w:r w:rsidRPr="005D6D89">
        <w:t>The urgent risks below represent a broad range of issues. Some risks, like those to the human,</w:t>
      </w:r>
      <w:r w:rsidR="002246E8" w:rsidRPr="005D6D89">
        <w:t> </w:t>
      </w:r>
      <w:r w:rsidRPr="005D6D89">
        <w:t xml:space="preserve">built and natural environment domains, </w:t>
      </w:r>
      <w:proofErr w:type="gramStart"/>
      <w:r w:rsidRPr="005D6D89">
        <w:t>are driven</w:t>
      </w:r>
      <w:proofErr w:type="gramEnd"/>
      <w:r w:rsidRPr="005D6D89">
        <w:t xml:space="preserve"> by vulnerabilities. In some cases,</w:t>
      </w:r>
      <w:r w:rsidR="002246E8" w:rsidRPr="005D6D89">
        <w:t> </w:t>
      </w:r>
      <w:r w:rsidRPr="005D6D89">
        <w:t xml:space="preserve">particularly in the natural environment, more research </w:t>
      </w:r>
      <w:proofErr w:type="gramStart"/>
      <w:r w:rsidRPr="005D6D89">
        <w:t>is urgently needed</w:t>
      </w:r>
      <w:proofErr w:type="gramEnd"/>
      <w:r w:rsidRPr="005D6D89">
        <w:t xml:space="preserve"> to understand the risks </w:t>
      </w:r>
      <w:r w:rsidR="007473BA">
        <w:t xml:space="preserve">better </w:t>
      </w:r>
      <w:r w:rsidRPr="005D6D89">
        <w:t>before they can be properly managed. Other risks, for instance in governance and the economy, require urgent action to enable effective adaptation across</w:t>
      </w:r>
      <w:r w:rsidR="00B3255C" w:rsidRPr="005D6D89">
        <w:t> </w:t>
      </w:r>
      <w:r w:rsidRPr="005D6D89">
        <w:t>all</w:t>
      </w:r>
      <w:r w:rsidR="002246E8" w:rsidRPr="005D6D89">
        <w:t> </w:t>
      </w:r>
      <w:r w:rsidRPr="005D6D89">
        <w:t xml:space="preserve">domains. </w:t>
      </w:r>
    </w:p>
    <w:p w14:paraId="2BD3D33E" w14:textId="77777777" w:rsidR="0067629E" w:rsidRPr="005D6D89" w:rsidRDefault="0067629E" w:rsidP="0067629E">
      <w:pPr>
        <w:pStyle w:val="BodyText"/>
      </w:pPr>
    </w:p>
    <w:p w14:paraId="785BC49E" w14:textId="77777777" w:rsidR="0067629E" w:rsidRDefault="0000300F" w:rsidP="00095C61">
      <w:pPr>
        <w:pStyle w:val="Figureheading"/>
      </w:pPr>
      <w:bookmarkStart w:id="260" w:name="_Toc43312898"/>
      <w:r w:rsidRPr="005D6D89">
        <w:t>F</w:t>
      </w:r>
      <w:bookmarkStart w:id="261" w:name="figure6"/>
      <w:r w:rsidRPr="005D6D89">
        <w:t xml:space="preserve">igure </w:t>
      </w:r>
      <w:bookmarkEnd w:id="261"/>
      <w:r w:rsidR="001C372B" w:rsidRPr="005D6D89">
        <w:t>7</w:t>
      </w:r>
      <w:r w:rsidRPr="005D6D89">
        <w:t>:</w:t>
      </w:r>
      <w:r w:rsidRPr="005D6D89">
        <w:tab/>
        <w:t xml:space="preserve">NCCRA risks arranged by the </w:t>
      </w:r>
      <w:r w:rsidR="001200EA">
        <w:t>‘</w:t>
      </w:r>
      <w:r w:rsidRPr="005D6D89">
        <w:t>more action needed</w:t>
      </w:r>
      <w:r w:rsidR="001200EA">
        <w:t>’</w:t>
      </w:r>
      <w:r w:rsidRPr="005D6D89">
        <w:t xml:space="preserve"> category</w:t>
      </w:r>
      <w:bookmarkEnd w:id="260"/>
    </w:p>
    <w:p w14:paraId="7392CC18" w14:textId="77777777" w:rsidR="00647989" w:rsidRPr="00647989" w:rsidRDefault="00647989" w:rsidP="00647989">
      <w:pPr>
        <w:pStyle w:val="BodyText"/>
        <w:rPr>
          <w:highlight w:val="cyan"/>
        </w:rPr>
      </w:pPr>
      <w:r>
        <w:rPr>
          <w:noProof/>
        </w:rPr>
        <w:drawing>
          <wp:inline distT="0" distB="0" distL="0" distR="0" wp14:anchorId="3EC08A0E" wp14:editId="7B7D209C">
            <wp:extent cx="8828777" cy="119070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7 - 8_Page_1.png"/>
                    <pic:cNvPicPr/>
                  </pic:nvPicPr>
                  <pic:blipFill rotWithShape="1">
                    <a:blip r:embed="rId48">
                      <a:extLst>
                        <a:ext uri="{28A0092B-C50C-407E-A947-70E740481C1C}">
                          <a14:useLocalDpi xmlns:a14="http://schemas.microsoft.com/office/drawing/2010/main" val="0"/>
                        </a:ext>
                      </a:extLst>
                    </a:blip>
                    <a:srcRect l="4738" t="5979" r="6318" b="9214"/>
                    <a:stretch/>
                  </pic:blipFill>
                  <pic:spPr bwMode="auto">
                    <a:xfrm>
                      <a:off x="0" y="0"/>
                      <a:ext cx="8835624" cy="11916313"/>
                    </a:xfrm>
                    <a:prstGeom prst="rect">
                      <a:avLst/>
                    </a:prstGeom>
                    <a:ln>
                      <a:noFill/>
                    </a:ln>
                    <a:extLst>
                      <a:ext uri="{53640926-AAD7-44D8-BBD7-CCE9431645EC}">
                        <a14:shadowObscured xmlns:a14="http://schemas.microsoft.com/office/drawing/2010/main"/>
                      </a:ext>
                    </a:extLst>
                  </pic:spPr>
                </pic:pic>
              </a:graphicData>
            </a:graphic>
          </wp:inline>
        </w:drawing>
      </w:r>
    </w:p>
    <w:p w14:paraId="61ACA7BB" w14:textId="77777777" w:rsidR="00662EBB" w:rsidRPr="005D6D89" w:rsidRDefault="00662EBB" w:rsidP="00343AA4">
      <w:pPr>
        <w:pStyle w:val="BodyText"/>
      </w:pPr>
      <w:bookmarkStart w:id="262" w:name="_Ref37664003"/>
      <w:bookmarkStart w:id="263" w:name="_Toc37308846"/>
      <w:bookmarkStart w:id="264" w:name="_Toc42783266"/>
    </w:p>
    <w:p w14:paraId="37ABAA3E" w14:textId="77777777" w:rsidR="0067629E" w:rsidRDefault="0067629E" w:rsidP="00095C61">
      <w:pPr>
        <w:pStyle w:val="Figureheading"/>
      </w:pPr>
      <w:bookmarkStart w:id="265" w:name="_Ref37664033"/>
      <w:bookmarkStart w:id="266" w:name="_Toc37308847"/>
      <w:bookmarkStart w:id="267" w:name="_Toc42783267"/>
      <w:bookmarkStart w:id="268" w:name="_Toc43312899"/>
      <w:bookmarkEnd w:id="262"/>
      <w:bookmarkEnd w:id="263"/>
      <w:bookmarkEnd w:id="264"/>
      <w:r w:rsidRPr="005D6D89">
        <w:t>F</w:t>
      </w:r>
      <w:bookmarkStart w:id="269" w:name="figure7"/>
      <w:r w:rsidRPr="005D6D89">
        <w:t xml:space="preserve">igure </w:t>
      </w:r>
      <w:r w:rsidR="001C372B" w:rsidRPr="005D6D89">
        <w:t>8</w:t>
      </w:r>
      <w:bookmarkEnd w:id="265"/>
      <w:bookmarkEnd w:id="269"/>
      <w:r w:rsidR="0000300F" w:rsidRPr="005D6D89">
        <w:t>:</w:t>
      </w:r>
      <w:r w:rsidRPr="005D6D89">
        <w:tab/>
        <w:t xml:space="preserve">NCCRA risks arranged by the </w:t>
      </w:r>
      <w:r w:rsidR="001200EA">
        <w:t>‘</w:t>
      </w:r>
      <w:r w:rsidRPr="005D6D89">
        <w:t>research priority</w:t>
      </w:r>
      <w:r w:rsidR="001200EA">
        <w:t>’</w:t>
      </w:r>
      <w:r w:rsidRPr="005D6D89">
        <w:t xml:space="preserve"> category</w:t>
      </w:r>
      <w:bookmarkEnd w:id="266"/>
      <w:bookmarkEnd w:id="267"/>
      <w:bookmarkEnd w:id="268"/>
    </w:p>
    <w:p w14:paraId="4FAEE949" w14:textId="77777777" w:rsidR="001444BC" w:rsidRPr="001444BC" w:rsidRDefault="00C334FE" w:rsidP="001444BC">
      <w:pPr>
        <w:pStyle w:val="BodyText"/>
      </w:pPr>
      <w:r>
        <w:rPr>
          <w:noProof/>
        </w:rPr>
        <w:drawing>
          <wp:inline distT="0" distB="0" distL="0" distR="0" wp14:anchorId="0A590599" wp14:editId="14387B0D">
            <wp:extent cx="8767225" cy="118474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7 - 8#_Page_2.png"/>
                    <pic:cNvPicPr/>
                  </pic:nvPicPr>
                  <pic:blipFill rotWithShape="1">
                    <a:blip r:embed="rId49">
                      <a:extLst>
                        <a:ext uri="{28A0092B-C50C-407E-A947-70E740481C1C}">
                          <a14:useLocalDpi xmlns:a14="http://schemas.microsoft.com/office/drawing/2010/main" val="0"/>
                        </a:ext>
                      </a:extLst>
                    </a:blip>
                    <a:srcRect l="4979" t="5970" r="6257" b="9217"/>
                    <a:stretch/>
                  </pic:blipFill>
                  <pic:spPr bwMode="auto">
                    <a:xfrm>
                      <a:off x="0" y="0"/>
                      <a:ext cx="8770879" cy="11852382"/>
                    </a:xfrm>
                    <a:prstGeom prst="rect">
                      <a:avLst/>
                    </a:prstGeom>
                    <a:ln>
                      <a:noFill/>
                    </a:ln>
                    <a:extLst>
                      <a:ext uri="{53640926-AAD7-44D8-BBD7-CCE9431645EC}">
                        <a14:shadowObscured xmlns:a14="http://schemas.microsoft.com/office/drawing/2010/main"/>
                      </a:ext>
                    </a:extLst>
                  </pic:spPr>
                </pic:pic>
              </a:graphicData>
            </a:graphic>
          </wp:inline>
        </w:drawing>
      </w:r>
    </w:p>
    <w:p w14:paraId="04386A6B" w14:textId="77777777" w:rsidR="006D5974" w:rsidRDefault="006D5974" w:rsidP="00186C2A">
      <w:pPr>
        <w:pStyle w:val="BodyText"/>
        <w:spacing w:before="0" w:after="0"/>
        <w:sectPr w:rsidR="006D5974" w:rsidSect="00C02334">
          <w:pgSz w:w="16838" w:h="23811" w:code="8"/>
          <w:pgMar w:top="1134" w:right="1701" w:bottom="1134" w:left="1701" w:header="675" w:footer="357" w:gutter="0"/>
          <w:cols w:space="720"/>
          <w:docGrid w:linePitch="299"/>
        </w:sectPr>
      </w:pPr>
    </w:p>
    <w:p w14:paraId="035736A2" w14:textId="77777777" w:rsidR="0067629E" w:rsidRPr="005D6D89" w:rsidRDefault="0067629E" w:rsidP="00186C2A">
      <w:pPr>
        <w:pStyle w:val="BodyText"/>
        <w:spacing w:before="0" w:after="0"/>
      </w:pPr>
    </w:p>
    <w:p w14:paraId="43D79B53" w14:textId="77777777" w:rsidR="0067629E" w:rsidRPr="005D6D89" w:rsidRDefault="0067629E" w:rsidP="00812D16">
      <w:pPr>
        <w:pStyle w:val="Heading2"/>
        <w:numPr>
          <w:ilvl w:val="0"/>
          <w:numId w:val="26"/>
        </w:numPr>
      </w:pPr>
      <w:bookmarkStart w:id="270" w:name="_Significant_risks_by"/>
      <w:bookmarkStart w:id="271" w:name="_Toc37255770"/>
      <w:bookmarkStart w:id="272" w:name="_Toc37393671"/>
      <w:bookmarkStart w:id="273" w:name="_Toc37784882"/>
      <w:bookmarkStart w:id="274" w:name="_Toc40699353"/>
      <w:bookmarkStart w:id="275" w:name="_Toc43064138"/>
      <w:bookmarkEnd w:id="270"/>
      <w:r w:rsidRPr="005D6D89">
        <w:t>Significant risks by value domain</w:t>
      </w:r>
      <w:bookmarkEnd w:id="271"/>
      <w:bookmarkEnd w:id="272"/>
      <w:bookmarkEnd w:id="273"/>
      <w:bookmarkEnd w:id="274"/>
      <w:bookmarkEnd w:id="275"/>
      <w:r w:rsidRPr="005D6D89">
        <w:t xml:space="preserve"> </w:t>
      </w:r>
    </w:p>
    <w:p w14:paraId="416E9B04" w14:textId="58532CCC" w:rsidR="0067629E" w:rsidRPr="005D6D89" w:rsidRDefault="0067629E" w:rsidP="0000668F">
      <w:pPr>
        <w:pStyle w:val="BodyText"/>
        <w:keepNext/>
      </w:pPr>
      <w:r w:rsidRPr="005D6D89">
        <w:t xml:space="preserve">This section describes the two most significant risks in each domain, with a summary of the other priority risks. For detailed profiles of all the priority risks in Stage 2 and 3, see the </w:t>
      </w:r>
      <w:hyperlink r:id="rId50" w:history="1">
        <w:r w:rsidR="00E546F8" w:rsidRPr="00E546F8">
          <w:rPr>
            <w:rStyle w:val="Hyperlink"/>
          </w:rPr>
          <w:t>technical report</w:t>
        </w:r>
      </w:hyperlink>
      <w:r w:rsidRPr="005D6D89">
        <w:t xml:space="preserve">. </w:t>
      </w:r>
    </w:p>
    <w:p w14:paraId="4B3DB674" w14:textId="04ABEF5E" w:rsidR="0067629E" w:rsidRPr="005D6D89" w:rsidRDefault="0067629E" w:rsidP="0067629E">
      <w:pPr>
        <w:pStyle w:val="BodyText"/>
      </w:pPr>
      <w:r w:rsidRPr="005D6D89">
        <w:fldChar w:fldCharType="begin"/>
      </w:r>
      <w:r w:rsidRPr="005D6D89">
        <w:instrText xml:space="preserve"> REF _Ref40345521 \h  \* MERGEFORMAT </w:instrText>
      </w:r>
      <w:r w:rsidRPr="005D6D89">
        <w:fldChar w:fldCharType="separate"/>
      </w:r>
      <w:r w:rsidR="00CD3208" w:rsidRPr="005D6D89">
        <w:t xml:space="preserve">Table </w:t>
      </w:r>
      <w:r w:rsidRPr="005D6D89">
        <w:fldChar w:fldCharType="end"/>
      </w:r>
      <w:r w:rsidR="00543147" w:rsidRPr="005D6D89">
        <w:t>10</w:t>
      </w:r>
      <w:r w:rsidRPr="005D6D89">
        <w:t xml:space="preserve"> shows the two most urgent, hence most significant, risks in each domain.</w:t>
      </w:r>
    </w:p>
    <w:p w14:paraId="198D5D5B" w14:textId="77777777" w:rsidR="0067629E" w:rsidRPr="005D6D89" w:rsidRDefault="00B45FF6" w:rsidP="0067629E">
      <w:pPr>
        <w:pStyle w:val="BodyText"/>
        <w:rPr>
          <w:b/>
        </w:rPr>
      </w:pPr>
      <w:hyperlink w:anchor="table11" w:history="1">
        <w:r w:rsidR="003F4926" w:rsidRPr="00623AB2">
          <w:rPr>
            <w:rStyle w:val="Hyperlink"/>
          </w:rPr>
          <w:t xml:space="preserve">Table </w:t>
        </w:r>
        <w:r w:rsidR="003F4926">
          <w:rPr>
            <w:rStyle w:val="Hyperlink"/>
          </w:rPr>
          <w:t>11</w:t>
        </w:r>
      </w:hyperlink>
      <w:r w:rsidR="00623AB2">
        <w:t xml:space="preserve"> </w:t>
      </w:r>
      <w:r w:rsidR="0067629E" w:rsidRPr="005D6D89">
        <w:t>shows all risks and their urgency ratings.</w:t>
      </w:r>
      <w:r w:rsidR="0067629E" w:rsidRPr="005D6D89">
        <w:rPr>
          <w:b/>
        </w:rPr>
        <w:t xml:space="preserve"> </w:t>
      </w:r>
      <w:r w:rsidR="0067629E" w:rsidRPr="005D6D89">
        <w:t xml:space="preserve">For each risk, an overall urgency rating </w:t>
      </w:r>
      <w:proofErr w:type="gramStart"/>
      <w:r w:rsidR="0067629E" w:rsidRPr="005D6D89">
        <w:t>has been provided</w:t>
      </w:r>
      <w:proofErr w:type="gramEnd"/>
      <w:r w:rsidR="0067629E" w:rsidRPr="005D6D89">
        <w:t xml:space="preserve"> which allows the NAP developers to compare the urgency of risks within each domain (see </w:t>
      </w:r>
      <w:hyperlink w:anchor="_Significant_risks_by" w:history="1">
        <w:r w:rsidR="0067629E" w:rsidRPr="00623AB2">
          <w:rPr>
            <w:rStyle w:val="Hyperlink"/>
          </w:rPr>
          <w:t xml:space="preserve">section </w:t>
        </w:r>
        <w:r w:rsidR="00623AB2" w:rsidRPr="00623AB2">
          <w:rPr>
            <w:rStyle w:val="Hyperlink"/>
          </w:rPr>
          <w:t>5.1</w:t>
        </w:r>
      </w:hyperlink>
      <w:r w:rsidR="0067629E" w:rsidRPr="005D6D89">
        <w:t xml:space="preserve">). This comparison </w:t>
      </w:r>
      <w:proofErr w:type="gramStart"/>
      <w:r w:rsidR="0067629E" w:rsidRPr="005D6D89">
        <w:t>should only be made</w:t>
      </w:r>
      <w:proofErr w:type="gramEnd"/>
      <w:r w:rsidR="0067629E" w:rsidRPr="005D6D89">
        <w:t xml:space="preserve"> within each domain and not between domains. The domains are fundamentally different and their ratings are not easily comparable. For example, the risks to the natural environment</w:t>
      </w:r>
      <w:r w:rsidR="00027F9F" w:rsidRPr="005D6D89">
        <w:t xml:space="preserve"> </w:t>
      </w:r>
      <w:r w:rsidR="0067629E" w:rsidRPr="005D6D89">
        <w:t xml:space="preserve">require more research before adaptation actions </w:t>
      </w:r>
      <w:proofErr w:type="gramStart"/>
      <w:r w:rsidR="0067629E" w:rsidRPr="005D6D89">
        <w:t>can be identified</w:t>
      </w:r>
      <w:proofErr w:type="gramEnd"/>
      <w:r w:rsidR="0067629E" w:rsidRPr="005D6D89">
        <w:t xml:space="preserve">. In comparison, the built environment risks </w:t>
      </w:r>
      <w:proofErr w:type="gramStart"/>
      <w:r w:rsidR="0067629E" w:rsidRPr="005D6D89">
        <w:t>are better understood</w:t>
      </w:r>
      <w:proofErr w:type="gramEnd"/>
      <w:r w:rsidR="0067629E" w:rsidRPr="005D6D89">
        <w:t>, so it is easier to identify immediate and urgent actions.</w:t>
      </w:r>
    </w:p>
    <w:p w14:paraId="5F431E09" w14:textId="77777777" w:rsidR="0067629E" w:rsidRPr="005D6D89" w:rsidRDefault="0067629E" w:rsidP="0067629E">
      <w:pPr>
        <w:pStyle w:val="BodyText"/>
      </w:pPr>
      <w:r w:rsidRPr="005D6D89">
        <w:rPr>
          <w:lang w:eastAsia="en-AU"/>
        </w:rPr>
        <w:t>The domains and their elements at risk are highly interconnected. Climate hazards affect many</w:t>
      </w:r>
      <w:r w:rsidR="00AC5613" w:rsidRPr="005D6D89">
        <w:rPr>
          <w:lang w:eastAsia="en-AU"/>
        </w:rPr>
        <w:t> </w:t>
      </w:r>
      <w:r w:rsidRPr="005D6D89">
        <w:rPr>
          <w:lang w:eastAsia="en-AU"/>
        </w:rPr>
        <w:t>elements at risk individually, but these in turn affect one another across domains (</w:t>
      </w:r>
      <w:hyperlink w:anchor="_Interdependencies,_direct_indirect" w:history="1">
        <w:r w:rsidRPr="00623AB2">
          <w:rPr>
            <w:rStyle w:val="Hyperlink"/>
            <w:lang w:eastAsia="en-AU"/>
          </w:rPr>
          <w:t xml:space="preserve">section </w:t>
        </w:r>
        <w:r w:rsidR="00623AB2" w:rsidRPr="00623AB2">
          <w:rPr>
            <w:rStyle w:val="Hyperlink"/>
            <w:lang w:eastAsia="en-AU"/>
          </w:rPr>
          <w:t>2.3.2</w:t>
        </w:r>
      </w:hyperlink>
      <w:r w:rsidRPr="005D6D89">
        <w:rPr>
          <w:lang w:eastAsia="en-AU"/>
        </w:rPr>
        <w:t xml:space="preserve">). </w:t>
      </w:r>
      <w:r w:rsidRPr="005D6D89">
        <w:t>This is also the case for adaptation. To be effective, adaptation actions should</w:t>
      </w:r>
      <w:r w:rsidR="00AC5613" w:rsidRPr="005D6D89">
        <w:t> </w:t>
      </w:r>
      <w:r w:rsidRPr="005D6D89">
        <w:t xml:space="preserve">be coordinated. As much as possible, they should address multiple risks. </w:t>
      </w:r>
    </w:p>
    <w:p w14:paraId="2CE41F08" w14:textId="77777777" w:rsidR="0067629E" w:rsidRPr="005D6D89" w:rsidRDefault="0067629E" w:rsidP="0067629E">
      <w:pPr>
        <w:pStyle w:val="BodyText"/>
      </w:pPr>
      <w:r w:rsidRPr="005D6D89">
        <w:t>Adaptation efforts will need to be spread across all the domains rather than simply focusing on</w:t>
      </w:r>
      <w:r w:rsidR="00372063" w:rsidRPr="005D6D89">
        <w:t> </w:t>
      </w:r>
      <w:r w:rsidRPr="005D6D89">
        <w:t>risks with the highest urgency ratings. For this reason, the 10 most significant risks here are taken to be the two most urgent risks in each domain (</w:t>
      </w:r>
      <w:r w:rsidR="00F524AC">
        <w:t>table 10</w:t>
      </w:r>
      <w:r w:rsidRPr="005D6D89">
        <w:t xml:space="preserve">), rather than the risks with the highest urgency scores overall. </w:t>
      </w:r>
    </w:p>
    <w:p w14:paraId="46872EA0" w14:textId="77777777" w:rsidR="00CD0A0F" w:rsidRPr="005D6D89" w:rsidRDefault="00CD0A0F" w:rsidP="00CD0A0F">
      <w:pPr>
        <w:pStyle w:val="Tableheading"/>
      </w:pPr>
      <w:bookmarkStart w:id="276" w:name="_Ref37321434"/>
      <w:bookmarkStart w:id="277" w:name="_Ref37491764"/>
      <w:bookmarkStart w:id="278" w:name="_Ref40345521"/>
      <w:bookmarkStart w:id="279" w:name="_Toc37240789"/>
      <w:bookmarkStart w:id="280" w:name="_Toc40699402"/>
      <w:bookmarkStart w:id="281" w:name="_Toc43312804"/>
      <w:r w:rsidRPr="005D6D89">
        <w:t xml:space="preserve">Table </w:t>
      </w:r>
      <w:bookmarkEnd w:id="276"/>
      <w:bookmarkEnd w:id="277"/>
      <w:bookmarkEnd w:id="278"/>
      <w:r w:rsidR="00543147" w:rsidRPr="005D6D89">
        <w:t>10</w:t>
      </w:r>
      <w:r w:rsidRPr="005D6D89">
        <w:t>:</w:t>
      </w:r>
      <w:r w:rsidRPr="005D6D89">
        <w:tab/>
        <w:t>Most significant risks in each domain</w:t>
      </w:r>
      <w:bookmarkEnd w:id="279"/>
      <w:r w:rsidRPr="005D6D89">
        <w:t xml:space="preserve"> based on urgency ratings</w:t>
      </w:r>
      <w:bookmarkEnd w:id="280"/>
      <w:bookmarkEnd w:id="281"/>
    </w:p>
    <w:tbl>
      <w:tblPr>
        <w:tblW w:w="8613" w:type="dxa"/>
        <w:tblBorders>
          <w:top w:val="single" w:sz="4" w:space="0" w:color="1F9970"/>
          <w:bottom w:val="single" w:sz="4" w:space="0" w:color="1F9970"/>
          <w:insideH w:val="single" w:sz="4" w:space="0" w:color="1F9970"/>
          <w:insideV w:val="single" w:sz="4" w:space="0" w:color="1F9970"/>
        </w:tblBorders>
        <w:tblLayout w:type="fixed"/>
        <w:tblLook w:val="0000" w:firstRow="0" w:lastRow="0" w:firstColumn="0" w:lastColumn="0" w:noHBand="0" w:noVBand="0"/>
      </w:tblPr>
      <w:tblGrid>
        <w:gridCol w:w="5904"/>
        <w:gridCol w:w="1183"/>
        <w:gridCol w:w="1526"/>
      </w:tblGrid>
      <w:tr w:rsidR="00CD0A0F" w:rsidRPr="005D6D89" w14:paraId="69C988B5" w14:textId="77777777" w:rsidTr="0023652B">
        <w:tc>
          <w:tcPr>
            <w:tcW w:w="3427" w:type="pct"/>
            <w:tcBorders>
              <w:top w:val="single" w:sz="4" w:space="0" w:color="2C9986"/>
              <w:bottom w:val="nil"/>
              <w:right w:val="nil"/>
            </w:tcBorders>
            <w:shd w:val="clear" w:color="auto" w:fill="CFE5E5"/>
            <w:tcMar>
              <w:top w:w="0" w:type="dxa"/>
            </w:tcMar>
          </w:tcPr>
          <w:p w14:paraId="4B149D38" w14:textId="77777777" w:rsidR="00CD0A0F" w:rsidRPr="005D6D89" w:rsidRDefault="00CD0A0F" w:rsidP="007900D4">
            <w:pPr>
              <w:pStyle w:val="TableTextBold0"/>
              <w:spacing w:after="0"/>
            </w:pPr>
          </w:p>
        </w:tc>
        <w:tc>
          <w:tcPr>
            <w:tcW w:w="1573" w:type="pct"/>
            <w:gridSpan w:val="2"/>
            <w:tcBorders>
              <w:top w:val="single" w:sz="4" w:space="0" w:color="2C9986"/>
              <w:left w:val="nil"/>
              <w:bottom w:val="nil"/>
            </w:tcBorders>
            <w:shd w:val="clear" w:color="auto" w:fill="CFE5E5"/>
            <w:tcMar>
              <w:top w:w="0" w:type="dxa"/>
            </w:tcMar>
          </w:tcPr>
          <w:p w14:paraId="70E0592A" w14:textId="77777777" w:rsidR="00CD0A0F" w:rsidRPr="005D6D89" w:rsidRDefault="00CD0A0F" w:rsidP="007900D4">
            <w:pPr>
              <w:pStyle w:val="TableTextBold0"/>
              <w:spacing w:after="0"/>
              <w:jc w:val="center"/>
            </w:pPr>
            <w:r w:rsidRPr="005D6D89">
              <w:t>Ratings</w:t>
            </w:r>
          </w:p>
        </w:tc>
      </w:tr>
      <w:tr w:rsidR="00CD0A0F" w:rsidRPr="005D6D89" w14:paraId="48B37935" w14:textId="77777777" w:rsidTr="0023652B">
        <w:tc>
          <w:tcPr>
            <w:tcW w:w="3427" w:type="pct"/>
            <w:tcBorders>
              <w:top w:val="nil"/>
              <w:bottom w:val="single" w:sz="4" w:space="0" w:color="2C9986"/>
              <w:right w:val="nil"/>
            </w:tcBorders>
            <w:shd w:val="clear" w:color="auto" w:fill="CFE5E5"/>
            <w:tcMar>
              <w:top w:w="0" w:type="dxa"/>
            </w:tcMar>
          </w:tcPr>
          <w:p w14:paraId="738E69AF" w14:textId="77777777" w:rsidR="00CD0A0F" w:rsidRPr="003C0BD8" w:rsidRDefault="003C0BD8" w:rsidP="003C0BD8">
            <w:pPr>
              <w:pStyle w:val="TableText"/>
              <w:spacing w:before="0" w:line="240" w:lineRule="auto"/>
              <w:rPr>
                <w:b/>
                <w:bCs/>
              </w:rPr>
            </w:pPr>
            <w:r w:rsidRPr="003C0BD8">
              <w:rPr>
                <w:b/>
                <w:bCs/>
              </w:rPr>
              <w:t>Risk</w:t>
            </w:r>
          </w:p>
        </w:tc>
        <w:tc>
          <w:tcPr>
            <w:tcW w:w="687" w:type="pct"/>
            <w:tcBorders>
              <w:top w:val="nil"/>
              <w:left w:val="nil"/>
              <w:bottom w:val="single" w:sz="4" w:space="0" w:color="2C9986"/>
              <w:right w:val="nil"/>
            </w:tcBorders>
            <w:shd w:val="clear" w:color="auto" w:fill="CFE5E5"/>
          </w:tcPr>
          <w:p w14:paraId="397947ED" w14:textId="77777777" w:rsidR="00CD0A0F" w:rsidRPr="005D6D89" w:rsidRDefault="00CD0A0F" w:rsidP="003C0BD8">
            <w:pPr>
              <w:pStyle w:val="TableTextBold0"/>
              <w:spacing w:before="0"/>
              <w:jc w:val="center"/>
            </w:pPr>
            <w:r w:rsidRPr="005D6D89">
              <w:t>Urgency</w:t>
            </w:r>
          </w:p>
        </w:tc>
        <w:tc>
          <w:tcPr>
            <w:tcW w:w="886" w:type="pct"/>
            <w:tcBorders>
              <w:top w:val="nil"/>
              <w:left w:val="nil"/>
              <w:bottom w:val="single" w:sz="4" w:space="0" w:color="2C9986"/>
            </w:tcBorders>
            <w:shd w:val="clear" w:color="auto" w:fill="CFE5E5"/>
          </w:tcPr>
          <w:p w14:paraId="7CC9118E" w14:textId="77777777" w:rsidR="00CD0A0F" w:rsidRPr="005D6D89" w:rsidRDefault="00CD0A0F" w:rsidP="003C0BD8">
            <w:pPr>
              <w:pStyle w:val="TableTextBold0"/>
              <w:spacing w:before="0"/>
              <w:jc w:val="center"/>
            </w:pPr>
            <w:r w:rsidRPr="005D6D89">
              <w:t>Consequence</w:t>
            </w:r>
          </w:p>
        </w:tc>
      </w:tr>
      <w:tr w:rsidR="00845880" w:rsidRPr="005D6D89" w14:paraId="66EA88C4" w14:textId="77777777" w:rsidTr="0023652B">
        <w:tc>
          <w:tcPr>
            <w:tcW w:w="5000" w:type="pct"/>
            <w:gridSpan w:val="3"/>
            <w:tcBorders>
              <w:bottom w:val="single" w:sz="4" w:space="0" w:color="2C9986"/>
            </w:tcBorders>
            <w:shd w:val="clear" w:color="auto" w:fill="2C9986"/>
          </w:tcPr>
          <w:p w14:paraId="283DD393" w14:textId="77777777" w:rsidR="00845880" w:rsidRPr="005D6D89" w:rsidRDefault="00845880" w:rsidP="0011097C">
            <w:pPr>
              <w:pStyle w:val="TableTextBold0"/>
              <w:rPr>
                <w:color w:val="FFFFFF" w:themeColor="background1"/>
              </w:rPr>
            </w:pPr>
            <w:r w:rsidRPr="005D6D89">
              <w:rPr>
                <w:color w:val="FFFFFF" w:themeColor="background1"/>
              </w:rPr>
              <w:t>Natural environment (N)</w:t>
            </w:r>
          </w:p>
        </w:tc>
      </w:tr>
      <w:tr w:rsidR="00CD0A0F" w:rsidRPr="005D6D89" w14:paraId="27C45EE6" w14:textId="77777777" w:rsidTr="0023652B">
        <w:tc>
          <w:tcPr>
            <w:tcW w:w="3427" w:type="pct"/>
            <w:tcBorders>
              <w:top w:val="single" w:sz="4" w:space="0" w:color="2C9986"/>
              <w:bottom w:val="single" w:sz="4" w:space="0" w:color="2C9986"/>
              <w:right w:val="single" w:sz="4" w:space="0" w:color="2C9986"/>
            </w:tcBorders>
            <w:shd w:val="clear" w:color="auto" w:fill="auto"/>
            <w:tcMar>
              <w:top w:w="0" w:type="dxa"/>
            </w:tcMar>
          </w:tcPr>
          <w:p w14:paraId="4E8DA34A" w14:textId="77777777" w:rsidR="00CD0A0F" w:rsidRPr="005D6D89" w:rsidRDefault="00CD0A0F" w:rsidP="00C80EB3">
            <w:pPr>
              <w:pStyle w:val="TableText"/>
            </w:pPr>
            <w:r w:rsidRPr="005D6D89">
              <w:t>N1 Risks to coastal ecosystems, including the intertidal zone, estuaries, dunes, coastal lakes and wetlands, due to ongoing sea-level rise and extreme weather events.</w:t>
            </w:r>
          </w:p>
        </w:tc>
        <w:tc>
          <w:tcPr>
            <w:tcW w:w="687" w:type="pct"/>
            <w:tcBorders>
              <w:top w:val="single" w:sz="4" w:space="0" w:color="2C9986"/>
              <w:left w:val="single" w:sz="4" w:space="0" w:color="2C9986"/>
              <w:bottom w:val="single" w:sz="4" w:space="0" w:color="2C9986"/>
              <w:right w:val="single" w:sz="4" w:space="0" w:color="2C9986"/>
            </w:tcBorders>
            <w:shd w:val="clear" w:color="auto" w:fill="auto"/>
          </w:tcPr>
          <w:p w14:paraId="2ABE30CA" w14:textId="77777777" w:rsidR="00CD0A0F" w:rsidRPr="008802E3" w:rsidRDefault="00CD0A0F" w:rsidP="0001490B">
            <w:pPr>
              <w:pStyle w:val="TableTextBold0"/>
              <w:jc w:val="center"/>
              <w:rPr>
                <w:b w:val="0"/>
                <w:bCs/>
              </w:rPr>
            </w:pPr>
            <w:r w:rsidRPr="008802E3">
              <w:rPr>
                <w:b w:val="0"/>
                <w:bCs/>
              </w:rPr>
              <w:t>78</w:t>
            </w:r>
          </w:p>
        </w:tc>
        <w:tc>
          <w:tcPr>
            <w:tcW w:w="886" w:type="pct"/>
            <w:tcBorders>
              <w:top w:val="single" w:sz="4" w:space="0" w:color="2C9986"/>
              <w:left w:val="single" w:sz="4" w:space="0" w:color="2C9986"/>
              <w:bottom w:val="single" w:sz="4" w:space="0" w:color="2C9986"/>
            </w:tcBorders>
            <w:shd w:val="clear" w:color="auto" w:fill="auto"/>
          </w:tcPr>
          <w:p w14:paraId="5D62863B" w14:textId="77777777" w:rsidR="00CD0A0F" w:rsidRPr="005D6D89" w:rsidRDefault="00CD0A0F" w:rsidP="0001490B">
            <w:pPr>
              <w:pStyle w:val="TableText"/>
              <w:jc w:val="center"/>
              <w:rPr>
                <w:sz w:val="14"/>
              </w:rPr>
            </w:pPr>
            <w:r w:rsidRPr="005D6D89">
              <w:t>Major</w:t>
            </w:r>
          </w:p>
        </w:tc>
      </w:tr>
      <w:tr w:rsidR="00CD0A0F" w:rsidRPr="005D6D89" w14:paraId="14970C01" w14:textId="77777777" w:rsidTr="0023652B">
        <w:tc>
          <w:tcPr>
            <w:tcW w:w="3427" w:type="pct"/>
            <w:tcBorders>
              <w:top w:val="single" w:sz="4" w:space="0" w:color="2C9986"/>
              <w:bottom w:val="single" w:sz="4" w:space="0" w:color="DA5A28"/>
              <w:right w:val="single" w:sz="4" w:space="0" w:color="2C9986"/>
            </w:tcBorders>
            <w:shd w:val="clear" w:color="auto" w:fill="auto"/>
            <w:tcMar>
              <w:top w:w="0" w:type="dxa"/>
            </w:tcMar>
          </w:tcPr>
          <w:p w14:paraId="337972C0" w14:textId="77777777" w:rsidR="00CD0A0F" w:rsidRPr="005D6D89" w:rsidRDefault="00CD0A0F" w:rsidP="00C80EB3">
            <w:pPr>
              <w:pStyle w:val="TableText"/>
            </w:pPr>
            <w:r w:rsidRPr="005D6D89">
              <w:t>N2 Risks to indigenous ecosystems and species from the enhanced spread, survival and establishment of invasive species due to climate change.</w:t>
            </w:r>
          </w:p>
        </w:tc>
        <w:tc>
          <w:tcPr>
            <w:tcW w:w="687" w:type="pct"/>
            <w:tcBorders>
              <w:top w:val="single" w:sz="4" w:space="0" w:color="2C9986"/>
              <w:left w:val="single" w:sz="4" w:space="0" w:color="2C9986"/>
              <w:bottom w:val="single" w:sz="4" w:space="0" w:color="DA5A28"/>
              <w:right w:val="single" w:sz="4" w:space="0" w:color="2C9986"/>
            </w:tcBorders>
            <w:shd w:val="clear" w:color="auto" w:fill="auto"/>
          </w:tcPr>
          <w:p w14:paraId="5533F761" w14:textId="77777777" w:rsidR="00CD0A0F" w:rsidRPr="008802E3" w:rsidRDefault="00CD0A0F" w:rsidP="0001490B">
            <w:pPr>
              <w:pStyle w:val="TableTextBold0"/>
              <w:jc w:val="center"/>
              <w:rPr>
                <w:b w:val="0"/>
                <w:bCs/>
              </w:rPr>
            </w:pPr>
            <w:r w:rsidRPr="008802E3">
              <w:rPr>
                <w:b w:val="0"/>
                <w:bCs/>
              </w:rPr>
              <w:t>73</w:t>
            </w:r>
          </w:p>
        </w:tc>
        <w:tc>
          <w:tcPr>
            <w:tcW w:w="886" w:type="pct"/>
            <w:tcBorders>
              <w:top w:val="single" w:sz="4" w:space="0" w:color="2C9986"/>
              <w:left w:val="single" w:sz="4" w:space="0" w:color="2C9986"/>
              <w:bottom w:val="single" w:sz="4" w:space="0" w:color="DA5A28"/>
            </w:tcBorders>
            <w:shd w:val="clear" w:color="auto" w:fill="auto"/>
          </w:tcPr>
          <w:p w14:paraId="45A636F4" w14:textId="77777777" w:rsidR="00CD0A0F" w:rsidRPr="005D6D89" w:rsidRDefault="00CD0A0F" w:rsidP="0001490B">
            <w:pPr>
              <w:pStyle w:val="TableText"/>
              <w:jc w:val="center"/>
              <w:rPr>
                <w:sz w:val="14"/>
              </w:rPr>
            </w:pPr>
            <w:r w:rsidRPr="005D6D89">
              <w:t>Major</w:t>
            </w:r>
          </w:p>
        </w:tc>
      </w:tr>
      <w:tr w:rsidR="00DD5D2B" w:rsidRPr="00DD5D2B" w14:paraId="7B5F754E" w14:textId="77777777" w:rsidTr="0023652B">
        <w:tc>
          <w:tcPr>
            <w:tcW w:w="5000" w:type="pct"/>
            <w:gridSpan w:val="3"/>
            <w:tcBorders>
              <w:top w:val="single" w:sz="4" w:space="0" w:color="DA5A28"/>
              <w:bottom w:val="single" w:sz="4" w:space="0" w:color="DA5A28"/>
            </w:tcBorders>
            <w:shd w:val="clear" w:color="auto" w:fill="DA5A28"/>
          </w:tcPr>
          <w:p w14:paraId="01B44248" w14:textId="77777777" w:rsidR="00CD0A0F" w:rsidRPr="00DD5D2B" w:rsidRDefault="00CD0A0F" w:rsidP="00C80EB3">
            <w:pPr>
              <w:pStyle w:val="TableText"/>
              <w:rPr>
                <w:b/>
                <w:bCs/>
                <w:color w:val="FFFFFF" w:themeColor="background1"/>
              </w:rPr>
            </w:pPr>
            <w:r w:rsidRPr="00DD5D2B">
              <w:rPr>
                <w:b/>
                <w:bCs/>
                <w:color w:val="FFFFFF" w:themeColor="background1"/>
              </w:rPr>
              <w:t>Human (H)</w:t>
            </w:r>
          </w:p>
        </w:tc>
      </w:tr>
      <w:tr w:rsidR="00CD0A0F" w:rsidRPr="005D6D89" w14:paraId="289E0FF4" w14:textId="77777777" w:rsidTr="0023652B">
        <w:tc>
          <w:tcPr>
            <w:tcW w:w="3427" w:type="pct"/>
            <w:tcBorders>
              <w:top w:val="single" w:sz="4" w:space="0" w:color="DA5A28"/>
            </w:tcBorders>
            <w:shd w:val="clear" w:color="auto" w:fill="auto"/>
            <w:tcMar>
              <w:top w:w="0" w:type="dxa"/>
            </w:tcMar>
          </w:tcPr>
          <w:p w14:paraId="1824378A" w14:textId="77777777" w:rsidR="00CD0A0F" w:rsidRPr="005D6D89" w:rsidRDefault="00CD0A0F" w:rsidP="00C80EB3">
            <w:pPr>
              <w:pStyle w:val="TableText"/>
            </w:pPr>
            <w:r w:rsidRPr="005D6D89">
              <w:t>H1 Risks to social cohesion and community wellbeing from displacement of individuals, families and communities due to climate change impacts.</w:t>
            </w:r>
          </w:p>
        </w:tc>
        <w:tc>
          <w:tcPr>
            <w:tcW w:w="687" w:type="pct"/>
            <w:tcBorders>
              <w:top w:val="single" w:sz="4" w:space="0" w:color="DA5A28"/>
            </w:tcBorders>
            <w:shd w:val="clear" w:color="auto" w:fill="auto"/>
          </w:tcPr>
          <w:p w14:paraId="40735976" w14:textId="77777777" w:rsidR="00CD0A0F" w:rsidRPr="008802E3" w:rsidRDefault="00CD0A0F" w:rsidP="00D43ABF">
            <w:pPr>
              <w:pStyle w:val="TableTextBold0"/>
              <w:jc w:val="center"/>
              <w:rPr>
                <w:b w:val="0"/>
                <w:bCs/>
              </w:rPr>
            </w:pPr>
            <w:r w:rsidRPr="008802E3">
              <w:rPr>
                <w:b w:val="0"/>
                <w:bCs/>
              </w:rPr>
              <w:t>88</w:t>
            </w:r>
          </w:p>
        </w:tc>
        <w:tc>
          <w:tcPr>
            <w:tcW w:w="886" w:type="pct"/>
            <w:tcBorders>
              <w:top w:val="single" w:sz="4" w:space="0" w:color="DA5A28"/>
            </w:tcBorders>
            <w:shd w:val="clear" w:color="auto" w:fill="auto"/>
          </w:tcPr>
          <w:p w14:paraId="243BE3C7" w14:textId="77777777" w:rsidR="00CD0A0F" w:rsidRPr="005D6D89" w:rsidRDefault="00CD0A0F" w:rsidP="00D43ABF">
            <w:pPr>
              <w:pStyle w:val="TableText"/>
              <w:jc w:val="center"/>
            </w:pPr>
            <w:r w:rsidRPr="005D6D89">
              <w:t>Extreme</w:t>
            </w:r>
          </w:p>
        </w:tc>
      </w:tr>
      <w:tr w:rsidR="00CD0A0F" w:rsidRPr="005D6D89" w14:paraId="6DFA4CFE" w14:textId="77777777" w:rsidTr="0023652B">
        <w:tc>
          <w:tcPr>
            <w:tcW w:w="3427" w:type="pct"/>
            <w:tcBorders>
              <w:bottom w:val="nil"/>
            </w:tcBorders>
            <w:shd w:val="clear" w:color="auto" w:fill="auto"/>
            <w:tcMar>
              <w:top w:w="0" w:type="dxa"/>
            </w:tcMar>
          </w:tcPr>
          <w:p w14:paraId="52D6C221" w14:textId="77777777" w:rsidR="00CD0A0F" w:rsidRPr="005D6D89" w:rsidRDefault="00CD0A0F" w:rsidP="00C80EB3">
            <w:pPr>
              <w:pStyle w:val="TableText"/>
            </w:pPr>
            <w:r w:rsidRPr="005D6D89">
              <w:t>H2 Risks of exacerbating existing inequities and creating new and additional inequities due to differential distribution of climate change impacts.</w:t>
            </w:r>
          </w:p>
        </w:tc>
        <w:tc>
          <w:tcPr>
            <w:tcW w:w="687" w:type="pct"/>
            <w:tcBorders>
              <w:bottom w:val="nil"/>
            </w:tcBorders>
            <w:shd w:val="clear" w:color="auto" w:fill="auto"/>
          </w:tcPr>
          <w:p w14:paraId="13E25890" w14:textId="77777777" w:rsidR="00CD0A0F" w:rsidRPr="008802E3" w:rsidRDefault="00CD0A0F" w:rsidP="00D43ABF">
            <w:pPr>
              <w:pStyle w:val="TableTextBold0"/>
              <w:jc w:val="center"/>
              <w:rPr>
                <w:b w:val="0"/>
                <w:bCs/>
              </w:rPr>
            </w:pPr>
            <w:r w:rsidRPr="008802E3">
              <w:rPr>
                <w:b w:val="0"/>
                <w:bCs/>
              </w:rPr>
              <w:t>85</w:t>
            </w:r>
          </w:p>
        </w:tc>
        <w:tc>
          <w:tcPr>
            <w:tcW w:w="886" w:type="pct"/>
            <w:tcBorders>
              <w:bottom w:val="nil"/>
            </w:tcBorders>
            <w:shd w:val="clear" w:color="auto" w:fill="auto"/>
          </w:tcPr>
          <w:p w14:paraId="6D6C475B" w14:textId="77777777" w:rsidR="00CD0A0F" w:rsidRPr="005D6D89" w:rsidRDefault="00CD0A0F" w:rsidP="00D43ABF">
            <w:pPr>
              <w:pStyle w:val="TableText"/>
              <w:jc w:val="center"/>
            </w:pPr>
            <w:r w:rsidRPr="005D6D89">
              <w:t>Extreme</w:t>
            </w:r>
          </w:p>
        </w:tc>
      </w:tr>
      <w:tr w:rsidR="00DD5D2B" w:rsidRPr="00DD5D2B" w14:paraId="63BCCEF8" w14:textId="77777777" w:rsidTr="0023652B">
        <w:tc>
          <w:tcPr>
            <w:tcW w:w="5000" w:type="pct"/>
            <w:gridSpan w:val="3"/>
            <w:tcBorders>
              <w:top w:val="nil"/>
              <w:bottom w:val="nil"/>
            </w:tcBorders>
            <w:shd w:val="clear" w:color="auto" w:fill="32809C"/>
          </w:tcPr>
          <w:p w14:paraId="36688B82" w14:textId="77777777" w:rsidR="00CD0A0F" w:rsidRPr="00DD5D2B" w:rsidRDefault="00CD0A0F" w:rsidP="00C80EB3">
            <w:pPr>
              <w:pStyle w:val="TableText"/>
              <w:rPr>
                <w:b/>
                <w:bCs/>
                <w:color w:val="FFFFFF" w:themeColor="background1"/>
              </w:rPr>
            </w:pPr>
            <w:r w:rsidRPr="00DD5D2B">
              <w:rPr>
                <w:b/>
                <w:bCs/>
                <w:color w:val="FFFFFF" w:themeColor="background1"/>
              </w:rPr>
              <w:t>Economy (E)</w:t>
            </w:r>
          </w:p>
        </w:tc>
      </w:tr>
      <w:tr w:rsidR="00CD0A0F" w:rsidRPr="005D6D89" w14:paraId="66B7127C" w14:textId="77777777" w:rsidTr="0023652B">
        <w:tc>
          <w:tcPr>
            <w:tcW w:w="3427" w:type="pct"/>
            <w:tcBorders>
              <w:top w:val="nil"/>
              <w:bottom w:val="single" w:sz="4" w:space="0" w:color="1F9970"/>
            </w:tcBorders>
            <w:shd w:val="clear" w:color="auto" w:fill="auto"/>
            <w:tcMar>
              <w:top w:w="0" w:type="dxa"/>
            </w:tcMar>
          </w:tcPr>
          <w:p w14:paraId="5D5CEAA4" w14:textId="77777777" w:rsidR="00CD0A0F" w:rsidRPr="005D6D89" w:rsidRDefault="00CD0A0F" w:rsidP="00C80EB3">
            <w:pPr>
              <w:pStyle w:val="TableText"/>
            </w:pPr>
            <w:r w:rsidRPr="005D6D89">
              <w:t>E1 Risks to governments from economic costs associated with lost productivity, disaster relief expenditure and unfunded contingent liabilities due to extreme events and ongoing, gradual changes.</w:t>
            </w:r>
          </w:p>
        </w:tc>
        <w:tc>
          <w:tcPr>
            <w:tcW w:w="687" w:type="pct"/>
            <w:tcBorders>
              <w:top w:val="nil"/>
              <w:bottom w:val="single" w:sz="4" w:space="0" w:color="1F9970"/>
            </w:tcBorders>
            <w:shd w:val="clear" w:color="auto" w:fill="auto"/>
          </w:tcPr>
          <w:p w14:paraId="50A27AA8" w14:textId="77777777" w:rsidR="00CD0A0F" w:rsidRPr="008802E3" w:rsidRDefault="00CD0A0F" w:rsidP="00D43ABF">
            <w:pPr>
              <w:pStyle w:val="TableTextBold0"/>
              <w:jc w:val="center"/>
              <w:rPr>
                <w:b w:val="0"/>
                <w:bCs/>
              </w:rPr>
            </w:pPr>
            <w:r w:rsidRPr="008802E3">
              <w:rPr>
                <w:b w:val="0"/>
                <w:bCs/>
              </w:rPr>
              <w:t>90</w:t>
            </w:r>
          </w:p>
        </w:tc>
        <w:tc>
          <w:tcPr>
            <w:tcW w:w="886" w:type="pct"/>
            <w:tcBorders>
              <w:top w:val="nil"/>
              <w:bottom w:val="single" w:sz="4" w:space="0" w:color="1F9970"/>
            </w:tcBorders>
            <w:shd w:val="clear" w:color="auto" w:fill="auto"/>
          </w:tcPr>
          <w:p w14:paraId="04485A26" w14:textId="77777777" w:rsidR="00CD0A0F" w:rsidRPr="005D6D89" w:rsidRDefault="00CD0A0F" w:rsidP="00D43ABF">
            <w:pPr>
              <w:pStyle w:val="TableText"/>
              <w:jc w:val="center"/>
            </w:pPr>
            <w:r w:rsidRPr="005D6D89">
              <w:t>Extreme</w:t>
            </w:r>
          </w:p>
        </w:tc>
      </w:tr>
      <w:tr w:rsidR="00CD0A0F" w:rsidRPr="005D6D89" w14:paraId="4AF670DD" w14:textId="77777777" w:rsidTr="0023652B">
        <w:tc>
          <w:tcPr>
            <w:tcW w:w="3427" w:type="pct"/>
            <w:tcBorders>
              <w:bottom w:val="single" w:sz="4" w:space="0" w:color="1F9970"/>
            </w:tcBorders>
            <w:shd w:val="clear" w:color="auto" w:fill="auto"/>
            <w:tcMar>
              <w:top w:w="0" w:type="dxa"/>
            </w:tcMar>
          </w:tcPr>
          <w:p w14:paraId="184CFF1C" w14:textId="77777777" w:rsidR="00CD0A0F" w:rsidRPr="005D6D89" w:rsidRDefault="00CD0A0F" w:rsidP="00C80EB3">
            <w:pPr>
              <w:pStyle w:val="TableText"/>
            </w:pPr>
            <w:r w:rsidRPr="005D6D89">
              <w:t>E2 Risks to the financial system from instability due to extreme weather events and ongoing, gradual changes.</w:t>
            </w:r>
          </w:p>
        </w:tc>
        <w:tc>
          <w:tcPr>
            <w:tcW w:w="687" w:type="pct"/>
            <w:tcBorders>
              <w:bottom w:val="single" w:sz="4" w:space="0" w:color="1F9970"/>
            </w:tcBorders>
            <w:shd w:val="clear" w:color="auto" w:fill="auto"/>
          </w:tcPr>
          <w:p w14:paraId="5CE38367" w14:textId="77777777" w:rsidR="00CD0A0F" w:rsidRPr="008802E3" w:rsidRDefault="00CD0A0F" w:rsidP="00D43ABF">
            <w:pPr>
              <w:pStyle w:val="TableTextBold0"/>
              <w:jc w:val="center"/>
              <w:rPr>
                <w:b w:val="0"/>
                <w:bCs/>
              </w:rPr>
            </w:pPr>
            <w:r w:rsidRPr="008802E3">
              <w:rPr>
                <w:b w:val="0"/>
                <w:bCs/>
              </w:rPr>
              <w:t>83</w:t>
            </w:r>
          </w:p>
        </w:tc>
        <w:tc>
          <w:tcPr>
            <w:tcW w:w="886" w:type="pct"/>
            <w:tcBorders>
              <w:bottom w:val="single" w:sz="4" w:space="0" w:color="1F9970"/>
            </w:tcBorders>
            <w:shd w:val="clear" w:color="auto" w:fill="auto"/>
          </w:tcPr>
          <w:p w14:paraId="1F34E308" w14:textId="77777777" w:rsidR="00CD0A0F" w:rsidRPr="005D6D89" w:rsidRDefault="00CD0A0F" w:rsidP="00D43ABF">
            <w:pPr>
              <w:pStyle w:val="TableText"/>
              <w:jc w:val="center"/>
            </w:pPr>
            <w:r w:rsidRPr="005D6D89">
              <w:t>Major</w:t>
            </w:r>
          </w:p>
        </w:tc>
      </w:tr>
      <w:tr w:rsidR="00DD5D2B" w:rsidRPr="00DD5D2B" w14:paraId="29D6C465" w14:textId="77777777" w:rsidTr="0023652B">
        <w:tc>
          <w:tcPr>
            <w:tcW w:w="5000" w:type="pct"/>
            <w:gridSpan w:val="3"/>
            <w:tcBorders>
              <w:top w:val="single" w:sz="4" w:space="0" w:color="1F9970"/>
              <w:bottom w:val="nil"/>
            </w:tcBorders>
            <w:shd w:val="clear" w:color="auto" w:fill="0F7B7D"/>
          </w:tcPr>
          <w:p w14:paraId="6B54A8A5" w14:textId="77777777" w:rsidR="00CD0A0F" w:rsidRPr="00DD5D2B" w:rsidRDefault="00CD0A0F" w:rsidP="001E1D11">
            <w:pPr>
              <w:pStyle w:val="TableText"/>
              <w:keepNext/>
              <w:rPr>
                <w:b/>
                <w:bCs/>
                <w:color w:val="FFFFFF" w:themeColor="background1"/>
                <w:highlight w:val="cyan"/>
              </w:rPr>
            </w:pPr>
            <w:r w:rsidRPr="00DD5D2B">
              <w:rPr>
                <w:b/>
                <w:bCs/>
                <w:color w:val="FFFFFF" w:themeColor="background1"/>
              </w:rPr>
              <w:t>Built environment (B)</w:t>
            </w:r>
          </w:p>
        </w:tc>
      </w:tr>
      <w:tr w:rsidR="00CD0A0F" w:rsidRPr="005D6D89" w14:paraId="4A0B3F2D" w14:textId="77777777" w:rsidTr="0023652B">
        <w:tc>
          <w:tcPr>
            <w:tcW w:w="3427" w:type="pct"/>
            <w:tcBorders>
              <w:top w:val="nil"/>
            </w:tcBorders>
            <w:shd w:val="clear" w:color="auto" w:fill="auto"/>
            <w:tcMar>
              <w:top w:w="0" w:type="dxa"/>
            </w:tcMar>
          </w:tcPr>
          <w:p w14:paraId="2F39134F" w14:textId="77777777" w:rsidR="00CD0A0F" w:rsidRPr="005D6D89" w:rsidRDefault="00CD0A0F" w:rsidP="009454C4">
            <w:pPr>
              <w:pStyle w:val="TableText"/>
              <w:keepNext/>
              <w:rPr>
                <w:highlight w:val="cyan"/>
              </w:rPr>
            </w:pPr>
            <w:r w:rsidRPr="005D6D89">
              <w:t>B1 Risk to potable water supplies (availability and quality) due to changes in rainfall, temperature, drought, extreme weather events and ongoing sea-level rise.</w:t>
            </w:r>
          </w:p>
        </w:tc>
        <w:tc>
          <w:tcPr>
            <w:tcW w:w="687" w:type="pct"/>
            <w:tcBorders>
              <w:top w:val="nil"/>
            </w:tcBorders>
            <w:shd w:val="clear" w:color="auto" w:fill="auto"/>
          </w:tcPr>
          <w:p w14:paraId="3BA69584" w14:textId="77777777" w:rsidR="00CD0A0F" w:rsidRPr="008802E3" w:rsidRDefault="00CD0A0F" w:rsidP="009454C4">
            <w:pPr>
              <w:pStyle w:val="TableTextBold0"/>
              <w:keepNext/>
              <w:jc w:val="center"/>
              <w:rPr>
                <w:b w:val="0"/>
                <w:bCs/>
                <w:highlight w:val="cyan"/>
              </w:rPr>
            </w:pPr>
            <w:r w:rsidRPr="008802E3">
              <w:rPr>
                <w:b w:val="0"/>
                <w:bCs/>
              </w:rPr>
              <w:t>93</w:t>
            </w:r>
          </w:p>
        </w:tc>
        <w:tc>
          <w:tcPr>
            <w:tcW w:w="886" w:type="pct"/>
            <w:tcBorders>
              <w:top w:val="nil"/>
            </w:tcBorders>
            <w:shd w:val="clear" w:color="auto" w:fill="auto"/>
          </w:tcPr>
          <w:p w14:paraId="00C2BE4D" w14:textId="77777777" w:rsidR="00CD0A0F" w:rsidRPr="005D6D89" w:rsidRDefault="00CD0A0F" w:rsidP="009454C4">
            <w:pPr>
              <w:pStyle w:val="TableText"/>
              <w:keepNext/>
              <w:jc w:val="center"/>
            </w:pPr>
            <w:r w:rsidRPr="005D6D89">
              <w:t>Extreme</w:t>
            </w:r>
          </w:p>
        </w:tc>
      </w:tr>
      <w:tr w:rsidR="00CD0A0F" w:rsidRPr="005D6D89" w14:paraId="79CEF9D2" w14:textId="77777777" w:rsidTr="0023652B">
        <w:tc>
          <w:tcPr>
            <w:tcW w:w="3427" w:type="pct"/>
            <w:tcBorders>
              <w:bottom w:val="nil"/>
            </w:tcBorders>
            <w:shd w:val="clear" w:color="auto" w:fill="auto"/>
            <w:tcMar>
              <w:top w:w="0" w:type="dxa"/>
            </w:tcMar>
          </w:tcPr>
          <w:p w14:paraId="2C838BD3" w14:textId="77777777" w:rsidR="00CD0A0F" w:rsidRPr="005D6D89" w:rsidRDefault="00CD0A0F" w:rsidP="00C80EB3">
            <w:pPr>
              <w:pStyle w:val="TableText"/>
            </w:pPr>
            <w:r w:rsidRPr="005D6D89">
              <w:t>B2 Risks to buildings due to extreme weather events, drought, increased fire weather and ongoing sea-level rise.</w:t>
            </w:r>
          </w:p>
        </w:tc>
        <w:tc>
          <w:tcPr>
            <w:tcW w:w="687" w:type="pct"/>
            <w:tcBorders>
              <w:bottom w:val="nil"/>
            </w:tcBorders>
            <w:shd w:val="clear" w:color="auto" w:fill="auto"/>
          </w:tcPr>
          <w:p w14:paraId="4D97E0DD" w14:textId="77777777" w:rsidR="00CD0A0F" w:rsidRPr="008802E3" w:rsidRDefault="00CD0A0F" w:rsidP="00D43ABF">
            <w:pPr>
              <w:pStyle w:val="TableTextBold0"/>
              <w:jc w:val="center"/>
              <w:rPr>
                <w:b w:val="0"/>
                <w:bCs/>
              </w:rPr>
            </w:pPr>
            <w:r w:rsidRPr="008802E3">
              <w:rPr>
                <w:b w:val="0"/>
                <w:bCs/>
              </w:rPr>
              <w:t>90</w:t>
            </w:r>
          </w:p>
        </w:tc>
        <w:tc>
          <w:tcPr>
            <w:tcW w:w="886" w:type="pct"/>
            <w:tcBorders>
              <w:bottom w:val="nil"/>
            </w:tcBorders>
            <w:shd w:val="clear" w:color="auto" w:fill="auto"/>
          </w:tcPr>
          <w:p w14:paraId="569A5580" w14:textId="77777777" w:rsidR="00CD0A0F" w:rsidRPr="005D6D89" w:rsidRDefault="00CD0A0F" w:rsidP="00D43ABF">
            <w:pPr>
              <w:pStyle w:val="TableText"/>
              <w:jc w:val="center"/>
            </w:pPr>
            <w:r w:rsidRPr="005D6D89">
              <w:t>Extreme</w:t>
            </w:r>
          </w:p>
        </w:tc>
      </w:tr>
      <w:tr w:rsidR="00DD5D2B" w:rsidRPr="00DD5D2B" w14:paraId="4AFAFD47" w14:textId="77777777" w:rsidTr="0023652B">
        <w:tc>
          <w:tcPr>
            <w:tcW w:w="5000" w:type="pct"/>
            <w:gridSpan w:val="3"/>
            <w:tcBorders>
              <w:top w:val="nil"/>
              <w:bottom w:val="nil"/>
            </w:tcBorders>
            <w:shd w:val="clear" w:color="auto" w:fill="6FC7B7"/>
          </w:tcPr>
          <w:p w14:paraId="1452E3D4" w14:textId="77777777" w:rsidR="00CD0A0F" w:rsidRPr="00DD5D2B" w:rsidRDefault="00CD0A0F" w:rsidP="00C80EB3">
            <w:pPr>
              <w:pStyle w:val="TableText"/>
              <w:rPr>
                <w:b/>
                <w:bCs/>
                <w:color w:val="FFFFFF" w:themeColor="background1"/>
              </w:rPr>
            </w:pPr>
            <w:r w:rsidRPr="00DD5D2B">
              <w:rPr>
                <w:b/>
                <w:bCs/>
                <w:color w:val="FFFFFF" w:themeColor="background1"/>
              </w:rPr>
              <w:t>Governance</w:t>
            </w:r>
            <w:r w:rsidR="00027F9F" w:rsidRPr="00DD5D2B">
              <w:rPr>
                <w:b/>
                <w:bCs/>
                <w:color w:val="FFFFFF" w:themeColor="background1"/>
              </w:rPr>
              <w:t xml:space="preserve"> </w:t>
            </w:r>
            <w:r w:rsidRPr="00DD5D2B">
              <w:rPr>
                <w:b/>
                <w:bCs/>
                <w:color w:val="FFFFFF" w:themeColor="background1"/>
              </w:rPr>
              <w:t>(G)</w:t>
            </w:r>
          </w:p>
        </w:tc>
      </w:tr>
      <w:tr w:rsidR="00CD0A0F" w:rsidRPr="005D6D89" w14:paraId="0FE85277" w14:textId="77777777" w:rsidTr="0023652B">
        <w:tc>
          <w:tcPr>
            <w:tcW w:w="3427" w:type="pct"/>
            <w:tcBorders>
              <w:top w:val="nil"/>
            </w:tcBorders>
            <w:shd w:val="clear" w:color="auto" w:fill="auto"/>
            <w:tcMar>
              <w:top w:w="0" w:type="dxa"/>
            </w:tcMar>
          </w:tcPr>
          <w:p w14:paraId="19D36EA7" w14:textId="77777777" w:rsidR="00CD0A0F" w:rsidRPr="005D6D89" w:rsidRDefault="00CD0A0F" w:rsidP="003E71BE">
            <w:pPr>
              <w:pStyle w:val="TableText"/>
              <w:rPr>
                <w:highlight w:val="cyan"/>
              </w:rPr>
            </w:pPr>
            <w:r w:rsidRPr="005D6D89">
              <w:t>G1 Risk of maladaptation across all domains due to the application of practices, processes and tools that do not account for uncertainty and change over long timeframes.</w:t>
            </w:r>
          </w:p>
        </w:tc>
        <w:tc>
          <w:tcPr>
            <w:tcW w:w="687" w:type="pct"/>
            <w:tcBorders>
              <w:top w:val="nil"/>
            </w:tcBorders>
            <w:shd w:val="clear" w:color="auto" w:fill="auto"/>
          </w:tcPr>
          <w:p w14:paraId="5F48B8AF" w14:textId="77777777" w:rsidR="00CD0A0F" w:rsidRPr="008802E3" w:rsidRDefault="00CD0A0F" w:rsidP="00D43ABF">
            <w:pPr>
              <w:pStyle w:val="TableTextBold0"/>
              <w:jc w:val="center"/>
              <w:rPr>
                <w:b w:val="0"/>
                <w:bCs/>
                <w:highlight w:val="cyan"/>
              </w:rPr>
            </w:pPr>
            <w:r w:rsidRPr="008802E3">
              <w:rPr>
                <w:b w:val="0"/>
                <w:bCs/>
              </w:rPr>
              <w:t>83</w:t>
            </w:r>
          </w:p>
        </w:tc>
        <w:tc>
          <w:tcPr>
            <w:tcW w:w="886" w:type="pct"/>
            <w:tcBorders>
              <w:top w:val="nil"/>
            </w:tcBorders>
            <w:shd w:val="clear" w:color="auto" w:fill="auto"/>
          </w:tcPr>
          <w:p w14:paraId="03E1FE60" w14:textId="77777777" w:rsidR="00CD0A0F" w:rsidRPr="005D6D89" w:rsidRDefault="00CD0A0F" w:rsidP="00D43ABF">
            <w:pPr>
              <w:pStyle w:val="TableText"/>
              <w:jc w:val="center"/>
            </w:pPr>
            <w:r w:rsidRPr="005D6D89">
              <w:t>Extreme</w:t>
            </w:r>
          </w:p>
        </w:tc>
      </w:tr>
      <w:tr w:rsidR="00CD0A0F" w:rsidRPr="005D6D89" w14:paraId="5780DD77" w14:textId="77777777" w:rsidTr="0023652B">
        <w:tc>
          <w:tcPr>
            <w:tcW w:w="3427" w:type="pct"/>
            <w:shd w:val="clear" w:color="auto" w:fill="auto"/>
            <w:tcMar>
              <w:top w:w="0" w:type="dxa"/>
            </w:tcMar>
          </w:tcPr>
          <w:p w14:paraId="5EB04B70" w14:textId="77777777" w:rsidR="00CD0A0F" w:rsidRPr="005D6D89" w:rsidRDefault="00CD0A0F" w:rsidP="003E71BE">
            <w:pPr>
              <w:pStyle w:val="TableText"/>
              <w:rPr>
                <w:highlight w:val="cyan"/>
              </w:rPr>
            </w:pPr>
            <w:r w:rsidRPr="005D6D89">
              <w:t xml:space="preserve">G2 </w:t>
            </w:r>
            <w:r w:rsidRPr="005D6D89">
              <w:rPr>
                <w:rFonts w:cs="Arial"/>
              </w:rPr>
              <w:t xml:space="preserve">Risk that climate change </w:t>
            </w:r>
            <w:proofErr w:type="gramStart"/>
            <w:r w:rsidRPr="005D6D89">
              <w:rPr>
                <w:rFonts w:cs="Arial"/>
              </w:rPr>
              <w:t>impacts</w:t>
            </w:r>
            <w:proofErr w:type="gramEnd"/>
            <w:r w:rsidRPr="005D6D89">
              <w:rPr>
                <w:rFonts w:cs="Arial"/>
              </w:rPr>
              <w:t xml:space="preserve"> across all domains will be exacerbated because current institutional arrangements are not fit for climate change adaptation. Institutional arrangements include legislative and decision-making frameworks, coordination within and across levels of government and funding mechanisms</w:t>
            </w:r>
            <w:r w:rsidRPr="005D6D89">
              <w:t>.</w:t>
            </w:r>
          </w:p>
        </w:tc>
        <w:tc>
          <w:tcPr>
            <w:tcW w:w="687" w:type="pct"/>
            <w:shd w:val="clear" w:color="auto" w:fill="auto"/>
          </w:tcPr>
          <w:p w14:paraId="2C4AE7F9" w14:textId="77777777" w:rsidR="00CD0A0F" w:rsidRPr="008802E3" w:rsidRDefault="00CD0A0F" w:rsidP="00D43ABF">
            <w:pPr>
              <w:pStyle w:val="TableTextBold0"/>
              <w:jc w:val="center"/>
              <w:rPr>
                <w:b w:val="0"/>
                <w:bCs/>
                <w:highlight w:val="cyan"/>
              </w:rPr>
            </w:pPr>
            <w:r w:rsidRPr="008802E3">
              <w:rPr>
                <w:b w:val="0"/>
                <w:bCs/>
              </w:rPr>
              <w:t>80</w:t>
            </w:r>
          </w:p>
        </w:tc>
        <w:tc>
          <w:tcPr>
            <w:tcW w:w="886" w:type="pct"/>
            <w:shd w:val="clear" w:color="auto" w:fill="auto"/>
          </w:tcPr>
          <w:p w14:paraId="50B1FE98" w14:textId="77777777" w:rsidR="00CD0A0F" w:rsidRPr="005D6D89" w:rsidRDefault="00CD0A0F" w:rsidP="00D43ABF">
            <w:pPr>
              <w:pStyle w:val="TableText"/>
              <w:jc w:val="center"/>
            </w:pPr>
            <w:r w:rsidRPr="005D6D89">
              <w:t>Extreme</w:t>
            </w:r>
          </w:p>
        </w:tc>
      </w:tr>
    </w:tbl>
    <w:p w14:paraId="05BD0CAE" w14:textId="77777777" w:rsidR="00CD0A0F" w:rsidRPr="005D6D89" w:rsidRDefault="00CD0A0F" w:rsidP="008F0A20">
      <w:pPr>
        <w:pStyle w:val="Note"/>
        <w:spacing w:after="60"/>
      </w:pPr>
      <w:r w:rsidRPr="005D6D89">
        <w:t>* Urgency rating: the adaptation and decision urgency rating for this risk.</w:t>
      </w:r>
    </w:p>
    <w:p w14:paraId="409C18A6" w14:textId="3276A898" w:rsidR="00CD0A0F" w:rsidRPr="005D6D89" w:rsidRDefault="00CD0A0F" w:rsidP="008F0A20">
      <w:pPr>
        <w:pStyle w:val="Note"/>
        <w:spacing w:before="0"/>
      </w:pPr>
      <w:r w:rsidRPr="005D6D89">
        <w:t>**Consequence rating: the highest consequence rating for this risk out of all three periods (now, 2050, 2100).</w:t>
      </w:r>
      <w:r w:rsidR="00027F9F" w:rsidRPr="005D6D89">
        <w:t xml:space="preserve"> </w:t>
      </w:r>
      <w:r w:rsidRPr="005D6D89">
        <w:t xml:space="preserve">The </w:t>
      </w:r>
      <w:hyperlink r:id="rId51" w:history="1">
        <w:r w:rsidR="00E546F8" w:rsidRPr="00E546F8">
          <w:rPr>
            <w:rStyle w:val="Hyperlink"/>
          </w:rPr>
          <w:t>technical report</w:t>
        </w:r>
      </w:hyperlink>
      <w:r w:rsidRPr="005D6D89">
        <w:t xml:space="preserve"> provides the consequence rating for each risk and period.</w:t>
      </w:r>
    </w:p>
    <w:p w14:paraId="3F6A5CF0" w14:textId="77777777" w:rsidR="00CD0A0F" w:rsidRPr="005D6D89" w:rsidRDefault="00CD0A0F" w:rsidP="00CD0A0F">
      <w:pPr>
        <w:pStyle w:val="BodyText"/>
      </w:pPr>
    </w:p>
    <w:p w14:paraId="6E7C4BB6" w14:textId="77777777" w:rsidR="00CD0A0F" w:rsidRPr="005D6D89" w:rsidRDefault="00CD0A0F" w:rsidP="00CD0A0F">
      <w:pPr>
        <w:pStyle w:val="BodyText"/>
        <w:sectPr w:rsidR="00CD0A0F" w:rsidRPr="005D6D89" w:rsidSect="00C02334">
          <w:pgSz w:w="11907" w:h="16834" w:code="9"/>
          <w:pgMar w:top="1134" w:right="1701" w:bottom="1134" w:left="1701" w:header="675" w:footer="357" w:gutter="0"/>
          <w:cols w:space="720"/>
          <w:docGrid w:linePitch="272"/>
        </w:sectPr>
      </w:pPr>
    </w:p>
    <w:p w14:paraId="31716DDE" w14:textId="00737CFA" w:rsidR="00256DAA" w:rsidRPr="005D6D89" w:rsidRDefault="00C266DD" w:rsidP="00256DAA">
      <w:pPr>
        <w:pStyle w:val="Tableheading"/>
        <w:spacing w:before="0" w:after="240"/>
      </w:pPr>
      <w:bookmarkStart w:id="282" w:name="_Ref37321257"/>
      <w:bookmarkStart w:id="283" w:name="table11"/>
      <w:bookmarkStart w:id="284" w:name="_Toc40699403"/>
      <w:bookmarkStart w:id="285" w:name="_Toc37240790"/>
      <w:bookmarkStart w:id="286" w:name="_Toc43312805"/>
      <w:r w:rsidRPr="00C10F51">
        <w:t xml:space="preserve">Table </w:t>
      </w:r>
      <w:r w:rsidR="00DD5D2B">
        <w:t>1</w:t>
      </w:r>
      <w:r w:rsidR="00B45FF6">
        <w:fldChar w:fldCharType="begin"/>
      </w:r>
      <w:r w:rsidR="00B45FF6">
        <w:instrText xml:space="preserve"> SEQ Table \* ARABIC </w:instrText>
      </w:r>
      <w:r w:rsidR="00B45FF6">
        <w:fldChar w:fldCharType="separate"/>
      </w:r>
      <w:r w:rsidR="00CD3208">
        <w:rPr>
          <w:noProof/>
        </w:rPr>
        <w:t>1</w:t>
      </w:r>
      <w:r w:rsidR="00B45FF6">
        <w:rPr>
          <w:noProof/>
        </w:rPr>
        <w:fldChar w:fldCharType="end"/>
      </w:r>
      <w:bookmarkEnd w:id="282"/>
      <w:bookmarkEnd w:id="283"/>
      <w:r w:rsidRPr="005D6D89">
        <w:t>:</w:t>
      </w:r>
      <w:r w:rsidRPr="005D6D89">
        <w:tab/>
        <w:t>Most significant risks and other priority risks in each domain based on urgency ratings</w:t>
      </w:r>
      <w:bookmarkEnd w:id="284"/>
      <w:bookmarkEnd w:id="285"/>
      <w:bookmarkEnd w:id="286"/>
    </w:p>
    <w:tbl>
      <w:tblPr>
        <w:tblW w:w="21489" w:type="dxa"/>
        <w:tblInd w:w="10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000" w:firstRow="0" w:lastRow="0" w:firstColumn="0" w:lastColumn="0" w:noHBand="0" w:noVBand="0"/>
      </w:tblPr>
      <w:tblGrid>
        <w:gridCol w:w="2338"/>
        <w:gridCol w:w="622"/>
        <w:gridCol w:w="597"/>
        <w:gridCol w:w="657"/>
        <w:gridCol w:w="2273"/>
        <w:gridCol w:w="622"/>
        <w:gridCol w:w="670"/>
        <w:gridCol w:w="657"/>
        <w:gridCol w:w="2518"/>
        <w:gridCol w:w="622"/>
        <w:gridCol w:w="684"/>
        <w:gridCol w:w="657"/>
        <w:gridCol w:w="2395"/>
        <w:gridCol w:w="622"/>
        <w:gridCol w:w="667"/>
        <w:gridCol w:w="657"/>
        <w:gridCol w:w="8"/>
        <w:gridCol w:w="2293"/>
        <w:gridCol w:w="622"/>
        <w:gridCol w:w="641"/>
        <w:gridCol w:w="667"/>
      </w:tblGrid>
      <w:tr w:rsidR="00C81B28" w:rsidRPr="005D6D89" w14:paraId="6C4342B8" w14:textId="77777777" w:rsidTr="003F1B2E">
        <w:trPr>
          <w:tblHeader/>
        </w:trPr>
        <w:tc>
          <w:tcPr>
            <w:tcW w:w="958" w:type="pct"/>
            <w:gridSpan w:val="4"/>
            <w:tcBorders>
              <w:top w:val="single" w:sz="4" w:space="0" w:color="2C9986"/>
              <w:bottom w:val="nil"/>
              <w:right w:val="single" w:sz="4" w:space="0" w:color="2C9986"/>
            </w:tcBorders>
            <w:shd w:val="clear" w:color="auto" w:fill="2C9986"/>
          </w:tcPr>
          <w:p w14:paraId="6790B516" w14:textId="77777777" w:rsidR="00BD42DE" w:rsidRPr="005D6D89" w:rsidRDefault="00BD42DE" w:rsidP="00C81B28">
            <w:pPr>
              <w:pStyle w:val="TableTextBold0"/>
              <w:rPr>
                <w:rFonts w:cs="Calibri"/>
                <w:color w:val="FFFFFF" w:themeColor="background1"/>
                <w:szCs w:val="18"/>
              </w:rPr>
            </w:pPr>
            <w:bookmarkStart w:id="287" w:name="_Hlk35600644"/>
            <w:r w:rsidRPr="005D6D89">
              <w:rPr>
                <w:rFonts w:cs="Calibri"/>
                <w:color w:val="FFFFFF" w:themeColor="background1"/>
                <w:szCs w:val="18"/>
              </w:rPr>
              <w:t xml:space="preserve">Natural environment </w:t>
            </w:r>
          </w:p>
        </w:tc>
        <w:tc>
          <w:tcPr>
            <w:tcW w:w="974" w:type="pct"/>
            <w:gridSpan w:val="4"/>
            <w:tcBorders>
              <w:top w:val="single" w:sz="4" w:space="0" w:color="2C9986"/>
              <w:left w:val="single" w:sz="4" w:space="0" w:color="2C9986"/>
              <w:bottom w:val="nil"/>
              <w:right w:val="single" w:sz="4" w:space="0" w:color="2C9986"/>
            </w:tcBorders>
            <w:shd w:val="clear" w:color="auto" w:fill="DA5A28"/>
          </w:tcPr>
          <w:p w14:paraId="35800C39"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Human</w:t>
            </w:r>
          </w:p>
        </w:tc>
        <w:tc>
          <w:tcPr>
            <w:tcW w:w="1035" w:type="pct"/>
            <w:gridSpan w:val="4"/>
            <w:tcBorders>
              <w:top w:val="single" w:sz="4" w:space="0" w:color="2C9986"/>
              <w:left w:val="single" w:sz="4" w:space="0" w:color="2C9986"/>
              <w:bottom w:val="nil"/>
              <w:right w:val="nil"/>
            </w:tcBorders>
            <w:shd w:val="clear" w:color="auto" w:fill="32809C"/>
          </w:tcPr>
          <w:p w14:paraId="0C61AA85"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Economy</w:t>
            </w:r>
          </w:p>
        </w:tc>
        <w:tc>
          <w:tcPr>
            <w:tcW w:w="1024" w:type="pct"/>
            <w:gridSpan w:val="5"/>
            <w:tcBorders>
              <w:top w:val="single" w:sz="4" w:space="0" w:color="2C9986"/>
              <w:left w:val="nil"/>
              <w:bottom w:val="nil"/>
              <w:right w:val="nil"/>
            </w:tcBorders>
            <w:shd w:val="clear" w:color="auto" w:fill="0F7B7D"/>
          </w:tcPr>
          <w:p w14:paraId="19D7728E"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Built environment</w:t>
            </w:r>
          </w:p>
        </w:tc>
        <w:tc>
          <w:tcPr>
            <w:tcW w:w="1009" w:type="pct"/>
            <w:gridSpan w:val="4"/>
            <w:tcBorders>
              <w:top w:val="single" w:sz="4" w:space="0" w:color="2C9986"/>
              <w:left w:val="nil"/>
              <w:bottom w:val="nil"/>
            </w:tcBorders>
            <w:shd w:val="clear" w:color="auto" w:fill="6FC7B7"/>
          </w:tcPr>
          <w:p w14:paraId="79527AF0" w14:textId="77777777" w:rsidR="00BD42DE" w:rsidRPr="003F1B2E" w:rsidRDefault="00BD42DE" w:rsidP="00DD5D2B">
            <w:pPr>
              <w:pStyle w:val="TableTextBold0"/>
              <w:jc w:val="center"/>
              <w:rPr>
                <w:rFonts w:cs="Calibri"/>
                <w:color w:val="FFFFFF" w:themeColor="background1"/>
                <w:szCs w:val="18"/>
              </w:rPr>
            </w:pPr>
            <w:r w:rsidRPr="003F1B2E">
              <w:rPr>
                <w:rFonts w:cs="Calibri"/>
                <w:color w:val="FFFFFF" w:themeColor="background1"/>
                <w:szCs w:val="18"/>
              </w:rPr>
              <w:t>Governance</w:t>
            </w:r>
          </w:p>
        </w:tc>
      </w:tr>
      <w:tr w:rsidR="00B762D4" w:rsidRPr="005D6D89" w14:paraId="62FEEFEF" w14:textId="77777777" w:rsidTr="00EE6BD4">
        <w:tc>
          <w:tcPr>
            <w:tcW w:w="5000" w:type="pct"/>
            <w:gridSpan w:val="21"/>
            <w:tcBorders>
              <w:top w:val="nil"/>
              <w:bottom w:val="nil"/>
            </w:tcBorders>
            <w:shd w:val="clear" w:color="auto" w:fill="1C556C" w:themeFill="accent1"/>
          </w:tcPr>
          <w:p w14:paraId="6B637EA8" w14:textId="77777777" w:rsidR="00BD42DE" w:rsidRPr="005D6D89" w:rsidRDefault="00BD42DE" w:rsidP="00C81B28">
            <w:pPr>
              <w:pStyle w:val="TableTextBold0"/>
              <w:rPr>
                <w:rFonts w:cs="Calibri"/>
                <w:color w:val="FFFFFF" w:themeColor="background1"/>
                <w:szCs w:val="18"/>
              </w:rPr>
            </w:pPr>
            <w:r w:rsidRPr="005D6D89">
              <w:rPr>
                <w:rFonts w:cs="Calibri"/>
                <w:color w:val="FFFFFF" w:themeColor="background1"/>
                <w:szCs w:val="18"/>
              </w:rPr>
              <w:t xml:space="preserve">10 most significant risks </w:t>
            </w:r>
          </w:p>
        </w:tc>
      </w:tr>
      <w:tr w:rsidR="00EE6BD4" w:rsidRPr="005D6D89" w14:paraId="3D5A24E2" w14:textId="77777777" w:rsidTr="00954947">
        <w:tc>
          <w:tcPr>
            <w:tcW w:w="563" w:type="pct"/>
            <w:tcBorders>
              <w:top w:val="nil"/>
              <w:bottom w:val="single" w:sz="4" w:space="0" w:color="2C9986"/>
              <w:right w:val="single" w:sz="4" w:space="0" w:color="2C9986"/>
            </w:tcBorders>
            <w:shd w:val="clear" w:color="auto" w:fill="2C9986"/>
            <w:tcMar>
              <w:top w:w="57" w:type="dxa"/>
            </w:tcMar>
          </w:tcPr>
          <w:p w14:paraId="69479C3B" w14:textId="77777777" w:rsidR="00BD42DE" w:rsidRPr="005D6D89" w:rsidRDefault="00BD42DE" w:rsidP="00DD5D2B">
            <w:pPr>
              <w:pStyle w:val="TableTextBold0"/>
              <w:spacing w:before="0"/>
              <w:rPr>
                <w:rFonts w:cs="Calibri"/>
                <w:color w:val="FFFFFF" w:themeColor="background1"/>
                <w:szCs w:val="18"/>
              </w:rPr>
            </w:pPr>
            <w:r w:rsidRPr="005D6D89">
              <w:rPr>
                <w:rFonts w:cs="Calibri"/>
                <w:color w:val="FFFFFF" w:themeColor="background1"/>
                <w:szCs w:val="18"/>
              </w:rPr>
              <w:t xml:space="preserve">Risk </w:t>
            </w:r>
          </w:p>
        </w:tc>
        <w:tc>
          <w:tcPr>
            <w:tcW w:w="395" w:type="pct"/>
            <w:gridSpan w:val="3"/>
            <w:tcBorders>
              <w:top w:val="nil"/>
              <w:left w:val="single" w:sz="4" w:space="0" w:color="2C9986"/>
              <w:bottom w:val="single" w:sz="4" w:space="0" w:color="2C9986"/>
              <w:right w:val="single" w:sz="4" w:space="0" w:color="2C9986"/>
            </w:tcBorders>
            <w:shd w:val="clear" w:color="auto" w:fill="2C9986"/>
          </w:tcPr>
          <w:p w14:paraId="7B417FA9" w14:textId="77777777" w:rsidR="00BD42DE" w:rsidRPr="005D6D89" w:rsidRDefault="00BD42DE" w:rsidP="00DD5D2B">
            <w:pPr>
              <w:pStyle w:val="TableTextBold0"/>
              <w:spacing w:before="0"/>
              <w:jc w:val="center"/>
              <w:rPr>
                <w:rFonts w:cs="Calibri"/>
                <w:color w:val="FFFFFF" w:themeColor="background1"/>
                <w:szCs w:val="18"/>
              </w:rPr>
            </w:pPr>
            <w:r w:rsidRPr="005D6D89">
              <w:rPr>
                <w:rFonts w:cs="Calibri"/>
                <w:color w:val="FFFFFF" w:themeColor="background1"/>
                <w:szCs w:val="18"/>
              </w:rPr>
              <w:t>Ratings</w:t>
            </w:r>
          </w:p>
        </w:tc>
        <w:tc>
          <w:tcPr>
            <w:tcW w:w="548" w:type="pct"/>
            <w:tcBorders>
              <w:top w:val="nil"/>
              <w:left w:val="single" w:sz="4" w:space="0" w:color="2C9986"/>
              <w:bottom w:val="single" w:sz="4" w:space="0" w:color="2C9986"/>
              <w:right w:val="nil"/>
            </w:tcBorders>
            <w:shd w:val="clear" w:color="auto" w:fill="DA5A28"/>
            <w:tcMar>
              <w:top w:w="57" w:type="dxa"/>
            </w:tcMar>
          </w:tcPr>
          <w:p w14:paraId="1ACB7CBE" w14:textId="77777777" w:rsidR="00BD42DE" w:rsidRPr="005D6D89" w:rsidRDefault="00BD42DE" w:rsidP="00DD5D2B">
            <w:pPr>
              <w:pStyle w:val="TableTextBold0"/>
              <w:spacing w:before="0"/>
              <w:jc w:val="center"/>
              <w:rPr>
                <w:rFonts w:cs="Calibri"/>
                <w:color w:val="FFFFFF" w:themeColor="background1"/>
                <w:szCs w:val="18"/>
              </w:rPr>
            </w:pPr>
            <w:r w:rsidRPr="005D6D89">
              <w:rPr>
                <w:rFonts w:cs="Calibri"/>
                <w:color w:val="FFFFFF" w:themeColor="background1"/>
                <w:szCs w:val="18"/>
              </w:rPr>
              <w:t>Risk</w:t>
            </w:r>
          </w:p>
        </w:tc>
        <w:tc>
          <w:tcPr>
            <w:tcW w:w="426" w:type="pct"/>
            <w:gridSpan w:val="3"/>
            <w:tcBorders>
              <w:top w:val="nil"/>
              <w:left w:val="nil"/>
              <w:bottom w:val="single" w:sz="4" w:space="0" w:color="2C9986"/>
              <w:right w:val="single" w:sz="4" w:space="0" w:color="2C9986"/>
            </w:tcBorders>
            <w:shd w:val="clear" w:color="auto" w:fill="DA5A28"/>
          </w:tcPr>
          <w:p w14:paraId="0B7D52BA" w14:textId="77777777" w:rsidR="00BD42DE" w:rsidRPr="005D6D89" w:rsidRDefault="00BD42DE" w:rsidP="00DD5D2B">
            <w:pPr>
              <w:pStyle w:val="TableTextBold0"/>
              <w:spacing w:before="0"/>
              <w:jc w:val="center"/>
              <w:rPr>
                <w:rFonts w:cs="Calibri"/>
                <w:color w:val="FFFFFF" w:themeColor="background1"/>
                <w:szCs w:val="18"/>
              </w:rPr>
            </w:pPr>
            <w:r w:rsidRPr="005D6D89">
              <w:rPr>
                <w:rFonts w:cs="Calibri"/>
                <w:color w:val="FFFFFF" w:themeColor="background1"/>
                <w:szCs w:val="18"/>
              </w:rPr>
              <w:t>Ratings</w:t>
            </w:r>
          </w:p>
        </w:tc>
        <w:tc>
          <w:tcPr>
            <w:tcW w:w="608" w:type="pct"/>
            <w:tcBorders>
              <w:top w:val="nil"/>
              <w:left w:val="single" w:sz="4" w:space="0" w:color="2C9986"/>
              <w:bottom w:val="single" w:sz="4" w:space="0" w:color="2C9986"/>
              <w:right w:val="nil"/>
            </w:tcBorders>
            <w:shd w:val="clear" w:color="auto" w:fill="32809C"/>
            <w:tcMar>
              <w:top w:w="57" w:type="dxa"/>
            </w:tcMar>
          </w:tcPr>
          <w:p w14:paraId="61DB6AE8" w14:textId="77777777" w:rsidR="00BD42DE" w:rsidRPr="005D6D89" w:rsidRDefault="00BD42DE" w:rsidP="00DD5D2B">
            <w:pPr>
              <w:pStyle w:val="TableTextBold0"/>
              <w:spacing w:before="0"/>
              <w:rPr>
                <w:rFonts w:cs="Calibri"/>
                <w:color w:val="FFFFFF" w:themeColor="background1"/>
                <w:szCs w:val="18"/>
              </w:rPr>
            </w:pPr>
            <w:r w:rsidRPr="005D6D89">
              <w:rPr>
                <w:rFonts w:cs="Calibri"/>
                <w:color w:val="FFFFFF" w:themeColor="background1"/>
                <w:szCs w:val="18"/>
              </w:rPr>
              <w:t xml:space="preserve">Risk </w:t>
            </w:r>
          </w:p>
        </w:tc>
        <w:tc>
          <w:tcPr>
            <w:tcW w:w="427" w:type="pct"/>
            <w:gridSpan w:val="3"/>
            <w:tcBorders>
              <w:top w:val="nil"/>
              <w:left w:val="nil"/>
              <w:bottom w:val="single" w:sz="4" w:space="0" w:color="2C9986"/>
              <w:right w:val="nil"/>
            </w:tcBorders>
            <w:shd w:val="clear" w:color="auto" w:fill="32809C"/>
          </w:tcPr>
          <w:p w14:paraId="39A12F1B" w14:textId="77777777" w:rsidR="00BD42DE" w:rsidRPr="005D6D89" w:rsidRDefault="00BD42DE" w:rsidP="00DD5D2B">
            <w:pPr>
              <w:pStyle w:val="TableTextBold0"/>
              <w:spacing w:before="0"/>
              <w:jc w:val="center"/>
              <w:rPr>
                <w:rFonts w:cs="Calibri"/>
                <w:color w:val="FFFFFF" w:themeColor="background1"/>
                <w:szCs w:val="18"/>
              </w:rPr>
            </w:pPr>
            <w:r w:rsidRPr="005D6D89">
              <w:rPr>
                <w:rFonts w:cs="Calibri"/>
                <w:color w:val="FFFFFF" w:themeColor="background1"/>
                <w:szCs w:val="18"/>
              </w:rPr>
              <w:t>Ratings</w:t>
            </w:r>
          </w:p>
        </w:tc>
        <w:tc>
          <w:tcPr>
            <w:tcW w:w="589" w:type="pct"/>
            <w:tcBorders>
              <w:top w:val="nil"/>
              <w:left w:val="nil"/>
              <w:bottom w:val="single" w:sz="4" w:space="0" w:color="2C9986"/>
              <w:right w:val="nil"/>
            </w:tcBorders>
            <w:shd w:val="clear" w:color="auto" w:fill="0F7B7D"/>
            <w:tcMar>
              <w:top w:w="57" w:type="dxa"/>
            </w:tcMar>
          </w:tcPr>
          <w:p w14:paraId="7798FD11" w14:textId="77777777" w:rsidR="00BD42DE" w:rsidRPr="005D6D89" w:rsidRDefault="00BD42DE" w:rsidP="00DD5D2B">
            <w:pPr>
              <w:pStyle w:val="TableTextBold0"/>
              <w:spacing w:before="0"/>
              <w:jc w:val="center"/>
              <w:rPr>
                <w:rFonts w:cs="Calibri"/>
                <w:color w:val="FFFFFF" w:themeColor="background1"/>
                <w:szCs w:val="18"/>
              </w:rPr>
            </w:pPr>
            <w:r w:rsidRPr="005D6D89">
              <w:rPr>
                <w:rFonts w:cs="Calibri"/>
                <w:color w:val="FFFFFF" w:themeColor="background1"/>
                <w:szCs w:val="18"/>
              </w:rPr>
              <w:t>Risk</w:t>
            </w:r>
          </w:p>
        </w:tc>
        <w:tc>
          <w:tcPr>
            <w:tcW w:w="434" w:type="pct"/>
            <w:gridSpan w:val="3"/>
            <w:tcBorders>
              <w:top w:val="nil"/>
              <w:left w:val="nil"/>
              <w:bottom w:val="single" w:sz="4" w:space="0" w:color="2C9986"/>
              <w:right w:val="nil"/>
            </w:tcBorders>
            <w:shd w:val="clear" w:color="auto" w:fill="0F7B7D"/>
          </w:tcPr>
          <w:p w14:paraId="43316259" w14:textId="77777777" w:rsidR="00BD42DE" w:rsidRPr="005D6D89" w:rsidRDefault="00BD42DE" w:rsidP="00DD5D2B">
            <w:pPr>
              <w:pStyle w:val="TableTextBold0"/>
              <w:spacing w:before="0"/>
              <w:jc w:val="center"/>
              <w:rPr>
                <w:rFonts w:cs="Calibri"/>
                <w:color w:val="FFFFFF" w:themeColor="background1"/>
                <w:szCs w:val="18"/>
              </w:rPr>
            </w:pPr>
            <w:r w:rsidRPr="005D6D89">
              <w:rPr>
                <w:rFonts w:cs="Calibri"/>
                <w:color w:val="FFFFFF" w:themeColor="background1"/>
                <w:szCs w:val="18"/>
              </w:rPr>
              <w:t>Ratings</w:t>
            </w:r>
          </w:p>
        </w:tc>
        <w:tc>
          <w:tcPr>
            <w:tcW w:w="568" w:type="pct"/>
            <w:gridSpan w:val="2"/>
            <w:tcBorders>
              <w:top w:val="nil"/>
              <w:left w:val="nil"/>
              <w:bottom w:val="nil"/>
              <w:right w:val="nil"/>
            </w:tcBorders>
            <w:shd w:val="clear" w:color="auto" w:fill="6FC7B7"/>
            <w:tcMar>
              <w:top w:w="57" w:type="dxa"/>
            </w:tcMar>
          </w:tcPr>
          <w:p w14:paraId="5896BCD5" w14:textId="77777777" w:rsidR="00BD42DE" w:rsidRPr="003F1B2E" w:rsidRDefault="00BD42DE" w:rsidP="00DD5D2B">
            <w:pPr>
              <w:pStyle w:val="TableTextBold0"/>
              <w:spacing w:before="0"/>
              <w:jc w:val="center"/>
              <w:rPr>
                <w:rFonts w:cs="Calibri"/>
                <w:color w:val="FFFFFF" w:themeColor="background1"/>
                <w:szCs w:val="18"/>
              </w:rPr>
            </w:pPr>
            <w:r w:rsidRPr="003F1B2E">
              <w:rPr>
                <w:rFonts w:cs="Calibri"/>
                <w:color w:val="FFFFFF" w:themeColor="background1"/>
                <w:szCs w:val="18"/>
              </w:rPr>
              <w:t>Risk</w:t>
            </w:r>
          </w:p>
        </w:tc>
        <w:tc>
          <w:tcPr>
            <w:tcW w:w="442" w:type="pct"/>
            <w:gridSpan w:val="3"/>
            <w:tcBorders>
              <w:top w:val="nil"/>
              <w:left w:val="nil"/>
              <w:bottom w:val="nil"/>
            </w:tcBorders>
            <w:shd w:val="clear" w:color="auto" w:fill="6FC7B7"/>
          </w:tcPr>
          <w:p w14:paraId="29D722AE" w14:textId="77777777" w:rsidR="00BD42DE" w:rsidRPr="003F1B2E" w:rsidRDefault="00BD42DE" w:rsidP="00DD5D2B">
            <w:pPr>
              <w:pStyle w:val="TableTextBold0"/>
              <w:spacing w:before="0"/>
              <w:jc w:val="center"/>
              <w:rPr>
                <w:rFonts w:cs="Calibri"/>
                <w:color w:val="FFFFFF" w:themeColor="background1"/>
                <w:szCs w:val="18"/>
              </w:rPr>
            </w:pPr>
            <w:r w:rsidRPr="003F1B2E">
              <w:rPr>
                <w:rFonts w:cs="Calibri"/>
                <w:color w:val="FFFFFF" w:themeColor="background1"/>
                <w:szCs w:val="18"/>
              </w:rPr>
              <w:t>Ratings</w:t>
            </w:r>
          </w:p>
        </w:tc>
      </w:tr>
      <w:tr w:rsidR="00BD42DE" w:rsidRPr="005D6D89" w14:paraId="5FE316C7" w14:textId="77777777" w:rsidTr="00954947">
        <w:tc>
          <w:tcPr>
            <w:tcW w:w="563" w:type="pct"/>
            <w:vMerge w:val="restart"/>
            <w:tcBorders>
              <w:top w:val="nil"/>
              <w:bottom w:val="single" w:sz="4" w:space="0" w:color="2C9986"/>
              <w:right w:val="single" w:sz="4" w:space="0" w:color="2C9986"/>
            </w:tcBorders>
            <w:shd w:val="clear" w:color="auto" w:fill="auto"/>
            <w:tcMar>
              <w:top w:w="57" w:type="dxa"/>
            </w:tcMar>
          </w:tcPr>
          <w:p w14:paraId="4645CA5E" w14:textId="77777777" w:rsidR="00BD42DE" w:rsidRPr="005D6D89" w:rsidRDefault="00BD42DE" w:rsidP="00C81B28">
            <w:pPr>
              <w:pStyle w:val="TableText"/>
              <w:rPr>
                <w:rFonts w:cs="Calibri"/>
                <w:szCs w:val="18"/>
              </w:rPr>
            </w:pPr>
            <w:r w:rsidRPr="005D6D89">
              <w:rPr>
                <w:rFonts w:cs="Calibri"/>
                <w:szCs w:val="18"/>
              </w:rPr>
              <w:t>N1 Risks to coastal ecosystems, including the intertidal zone, estuaries, dunes, coastal lakes and wetlands</w:t>
            </w:r>
            <w:r w:rsidRPr="008C3AC9">
              <w:rPr>
                <w:rFonts w:cs="Calibri"/>
                <w:color w:val="000000" w:themeColor="text1"/>
                <w:szCs w:val="18"/>
              </w:rPr>
              <w:t>,</w:t>
            </w:r>
            <w:r w:rsidRPr="005D6D89">
              <w:rPr>
                <w:rFonts w:cs="Calibri"/>
                <w:szCs w:val="18"/>
              </w:rPr>
              <w:t xml:space="preserve"> due to ongoing sea-level rise and extreme weather events. </w:t>
            </w:r>
          </w:p>
        </w:tc>
        <w:tc>
          <w:tcPr>
            <w:tcW w:w="243" w:type="pct"/>
            <w:gridSpan w:val="2"/>
            <w:tcBorders>
              <w:top w:val="nil"/>
              <w:left w:val="single" w:sz="4" w:space="0" w:color="2C9986"/>
              <w:bottom w:val="single" w:sz="4" w:space="0" w:color="2C9986"/>
              <w:right w:val="single" w:sz="4" w:space="0" w:color="2C9986"/>
            </w:tcBorders>
            <w:shd w:val="clear" w:color="auto" w:fill="FFFFFF" w:themeFill="background1"/>
          </w:tcPr>
          <w:p w14:paraId="7E7150EF" w14:textId="77777777" w:rsidR="00BD42DE" w:rsidRPr="005D6D89" w:rsidRDefault="00BD42DE" w:rsidP="00F374C2">
            <w:pPr>
              <w:pStyle w:val="TableText0"/>
              <w:rPr>
                <w:rFonts w:cs="Calibri"/>
                <w:b/>
                <w:szCs w:val="18"/>
              </w:rPr>
            </w:pPr>
            <w:r w:rsidRPr="005D6D89">
              <w:rPr>
                <w:rFonts w:cs="Calibri"/>
                <w:b/>
                <w:szCs w:val="18"/>
              </w:rPr>
              <w:t>Urgency</w:t>
            </w:r>
          </w:p>
        </w:tc>
        <w:tc>
          <w:tcPr>
            <w:tcW w:w="152" w:type="pct"/>
            <w:tcBorders>
              <w:top w:val="nil"/>
              <w:left w:val="single" w:sz="4" w:space="0" w:color="2C9986"/>
              <w:bottom w:val="single" w:sz="4" w:space="0" w:color="2C9986"/>
              <w:right w:val="single" w:sz="4" w:space="0" w:color="2C9986"/>
            </w:tcBorders>
            <w:shd w:val="clear" w:color="auto" w:fill="FFFFFF" w:themeFill="background1"/>
          </w:tcPr>
          <w:p w14:paraId="5C3AEA64" w14:textId="77777777" w:rsidR="00BD42DE" w:rsidRPr="005D6D89" w:rsidRDefault="00BD42DE" w:rsidP="00BD42DE">
            <w:pPr>
              <w:pStyle w:val="TableText0"/>
              <w:rPr>
                <w:rFonts w:cs="Calibri"/>
                <w:szCs w:val="18"/>
              </w:rPr>
            </w:pPr>
            <w:r w:rsidRPr="005D6D89">
              <w:rPr>
                <w:rFonts w:cs="Calibri"/>
                <w:szCs w:val="18"/>
              </w:rPr>
              <w:t>78</w:t>
            </w:r>
          </w:p>
        </w:tc>
        <w:tc>
          <w:tcPr>
            <w:tcW w:w="548" w:type="pct"/>
            <w:vMerge w:val="restart"/>
            <w:tcBorders>
              <w:top w:val="nil"/>
              <w:left w:val="single" w:sz="4" w:space="0" w:color="2C9986"/>
              <w:bottom w:val="single" w:sz="4" w:space="0" w:color="2C9986"/>
              <w:right w:val="single" w:sz="4" w:space="0" w:color="2C9986"/>
            </w:tcBorders>
            <w:shd w:val="clear" w:color="auto" w:fill="FFFFFF" w:themeFill="background1"/>
            <w:tcMar>
              <w:top w:w="57" w:type="dxa"/>
            </w:tcMar>
          </w:tcPr>
          <w:p w14:paraId="5B3EEB0C" w14:textId="77777777" w:rsidR="00BD42DE" w:rsidRPr="005D6D89" w:rsidRDefault="00BD42DE" w:rsidP="00C81B28">
            <w:pPr>
              <w:pStyle w:val="TableText"/>
              <w:rPr>
                <w:rFonts w:cs="Calibri"/>
                <w:szCs w:val="18"/>
              </w:rPr>
            </w:pPr>
            <w:r w:rsidRPr="005D6D89">
              <w:rPr>
                <w:rFonts w:cs="Calibri"/>
                <w:szCs w:val="18"/>
              </w:rPr>
              <w:t>H1 Risks to social cohesion and community wellbeing from displacement of individuals, families and communities due to climate change impacts.</w:t>
            </w:r>
          </w:p>
        </w:tc>
        <w:tc>
          <w:tcPr>
            <w:tcW w:w="257" w:type="pct"/>
            <w:gridSpan w:val="2"/>
            <w:tcBorders>
              <w:top w:val="nil"/>
              <w:left w:val="single" w:sz="4" w:space="0" w:color="2C9986"/>
              <w:bottom w:val="single" w:sz="4" w:space="0" w:color="2C9986"/>
              <w:right w:val="single" w:sz="4" w:space="0" w:color="2C9986"/>
            </w:tcBorders>
            <w:shd w:val="clear" w:color="auto" w:fill="FFFFFF" w:themeFill="background1"/>
          </w:tcPr>
          <w:p w14:paraId="17CC1AB5" w14:textId="77777777" w:rsidR="00BD42DE" w:rsidRPr="005D6D89" w:rsidRDefault="00BD42DE" w:rsidP="00BD42DE">
            <w:pPr>
              <w:pStyle w:val="TableText0"/>
              <w:rPr>
                <w:rFonts w:cs="Calibri"/>
                <w:b/>
                <w:szCs w:val="18"/>
              </w:rPr>
            </w:pPr>
            <w:r w:rsidRPr="005D6D89">
              <w:rPr>
                <w:rFonts w:cs="Calibri"/>
                <w:b/>
                <w:szCs w:val="18"/>
              </w:rPr>
              <w:t>Urgency</w:t>
            </w:r>
          </w:p>
        </w:tc>
        <w:tc>
          <w:tcPr>
            <w:tcW w:w="169" w:type="pct"/>
            <w:tcBorders>
              <w:top w:val="nil"/>
              <w:left w:val="single" w:sz="4" w:space="0" w:color="2C9986"/>
              <w:bottom w:val="single" w:sz="4" w:space="0" w:color="2C9986"/>
              <w:right w:val="single" w:sz="4" w:space="0" w:color="2C9986"/>
            </w:tcBorders>
            <w:shd w:val="clear" w:color="auto" w:fill="FFFFFF" w:themeFill="background1"/>
          </w:tcPr>
          <w:p w14:paraId="0C294216" w14:textId="77777777" w:rsidR="00BD42DE" w:rsidRPr="005D6D89" w:rsidRDefault="00BD42DE" w:rsidP="00BD42DE">
            <w:pPr>
              <w:pStyle w:val="TableText0"/>
              <w:rPr>
                <w:rFonts w:cs="Calibri"/>
                <w:b/>
                <w:szCs w:val="18"/>
              </w:rPr>
            </w:pPr>
            <w:r w:rsidRPr="005D6D89">
              <w:rPr>
                <w:rFonts w:cs="Calibri"/>
                <w:b/>
                <w:szCs w:val="18"/>
              </w:rPr>
              <w:t>88</w:t>
            </w:r>
          </w:p>
        </w:tc>
        <w:tc>
          <w:tcPr>
            <w:tcW w:w="608" w:type="pct"/>
            <w:vMerge w:val="restart"/>
            <w:tcBorders>
              <w:top w:val="nil"/>
              <w:left w:val="single" w:sz="4" w:space="0" w:color="2C9986"/>
              <w:bottom w:val="single" w:sz="4" w:space="0" w:color="2C9986"/>
              <w:right w:val="single" w:sz="4" w:space="0" w:color="2C9986"/>
            </w:tcBorders>
            <w:shd w:val="clear" w:color="auto" w:fill="FFFFFF" w:themeFill="background1"/>
            <w:tcMar>
              <w:top w:w="57" w:type="dxa"/>
            </w:tcMar>
          </w:tcPr>
          <w:p w14:paraId="25D8FF8A" w14:textId="77777777" w:rsidR="00BD42DE" w:rsidRPr="005D6D89" w:rsidRDefault="00BD42DE" w:rsidP="00BD42DE">
            <w:pPr>
              <w:pStyle w:val="TableText0"/>
              <w:rPr>
                <w:rFonts w:cs="Calibri"/>
                <w:szCs w:val="18"/>
              </w:rPr>
            </w:pPr>
            <w:r w:rsidRPr="005D6D89">
              <w:rPr>
                <w:rFonts w:cs="Calibri"/>
                <w:szCs w:val="18"/>
              </w:rPr>
              <w:t>E1 Risks to governments from economic costs associated with lost productivity, disaster relief expenditure and unfunded contingent liabilities due to extreme events and ongoing, gradual changes.</w:t>
            </w:r>
          </w:p>
        </w:tc>
        <w:tc>
          <w:tcPr>
            <w:tcW w:w="268" w:type="pct"/>
            <w:gridSpan w:val="2"/>
            <w:tcBorders>
              <w:top w:val="nil"/>
              <w:left w:val="single" w:sz="4" w:space="0" w:color="2C9986"/>
              <w:bottom w:val="single" w:sz="4" w:space="0" w:color="2C9986"/>
              <w:right w:val="single" w:sz="4" w:space="0" w:color="2C9986"/>
            </w:tcBorders>
            <w:shd w:val="clear" w:color="auto" w:fill="FFFFFF" w:themeFill="background1"/>
          </w:tcPr>
          <w:p w14:paraId="10D017CB" w14:textId="77777777" w:rsidR="00BD42DE" w:rsidRPr="005D6D89" w:rsidRDefault="00BD42DE" w:rsidP="00BD42DE">
            <w:pPr>
              <w:pStyle w:val="TableText0"/>
              <w:rPr>
                <w:rFonts w:cs="Calibri"/>
                <w:color w:val="C00000"/>
                <w:szCs w:val="18"/>
              </w:rPr>
            </w:pPr>
            <w:r w:rsidRPr="005D6D89">
              <w:rPr>
                <w:rFonts w:cs="Calibri"/>
                <w:b/>
                <w:szCs w:val="18"/>
              </w:rPr>
              <w:t>Urgency</w:t>
            </w:r>
          </w:p>
        </w:tc>
        <w:tc>
          <w:tcPr>
            <w:tcW w:w="159" w:type="pct"/>
            <w:tcBorders>
              <w:top w:val="nil"/>
              <w:left w:val="single" w:sz="4" w:space="0" w:color="2C9986"/>
              <w:bottom w:val="single" w:sz="4" w:space="0" w:color="2C9986"/>
              <w:right w:val="single" w:sz="4" w:space="0" w:color="2C9986"/>
            </w:tcBorders>
            <w:shd w:val="clear" w:color="auto" w:fill="FFFFFF" w:themeFill="background1"/>
          </w:tcPr>
          <w:p w14:paraId="1A2D853D" w14:textId="77777777" w:rsidR="00BD42DE" w:rsidRPr="005D6D89" w:rsidRDefault="00BD42DE" w:rsidP="00BD42DE">
            <w:pPr>
              <w:pStyle w:val="TableText0"/>
              <w:rPr>
                <w:rFonts w:cs="Calibri"/>
                <w:color w:val="C00000"/>
                <w:szCs w:val="18"/>
              </w:rPr>
            </w:pPr>
            <w:r w:rsidRPr="005D6D89">
              <w:rPr>
                <w:rFonts w:cs="Calibri"/>
                <w:szCs w:val="18"/>
              </w:rPr>
              <w:t>90</w:t>
            </w:r>
          </w:p>
        </w:tc>
        <w:tc>
          <w:tcPr>
            <w:tcW w:w="589" w:type="pct"/>
            <w:vMerge w:val="restart"/>
            <w:tcBorders>
              <w:top w:val="nil"/>
              <w:left w:val="single" w:sz="4" w:space="0" w:color="2C9986"/>
              <w:bottom w:val="single" w:sz="4" w:space="0" w:color="2C9986"/>
              <w:right w:val="single" w:sz="4" w:space="0" w:color="2C9986"/>
            </w:tcBorders>
            <w:shd w:val="clear" w:color="auto" w:fill="FFFFFF" w:themeFill="background1"/>
            <w:tcMar>
              <w:top w:w="57" w:type="dxa"/>
            </w:tcMar>
          </w:tcPr>
          <w:p w14:paraId="5F5D3B5E" w14:textId="77777777" w:rsidR="00BD42DE" w:rsidRPr="005D6D89" w:rsidRDefault="00BD42DE" w:rsidP="00BD42DE">
            <w:pPr>
              <w:pStyle w:val="TableText0"/>
              <w:rPr>
                <w:rFonts w:cs="Calibri"/>
                <w:szCs w:val="18"/>
              </w:rPr>
            </w:pPr>
            <w:r w:rsidRPr="005D6D89">
              <w:rPr>
                <w:rFonts w:cs="Calibri"/>
                <w:szCs w:val="18"/>
              </w:rPr>
              <w:t>B1 Risk to potable water supplies (availability and quality) due to changes in rainfall, temperature, drought, extreme weather events and ongoing sea-level rise.</w:t>
            </w:r>
          </w:p>
        </w:tc>
        <w:tc>
          <w:tcPr>
            <w:tcW w:w="277" w:type="pct"/>
            <w:gridSpan w:val="2"/>
            <w:tcBorders>
              <w:top w:val="nil"/>
              <w:left w:val="single" w:sz="4" w:space="0" w:color="2C9986"/>
              <w:bottom w:val="single" w:sz="4" w:space="0" w:color="2C9986"/>
              <w:right w:val="single" w:sz="4" w:space="0" w:color="2C9986"/>
            </w:tcBorders>
            <w:shd w:val="clear" w:color="auto" w:fill="FFFFFF" w:themeFill="background1"/>
          </w:tcPr>
          <w:p w14:paraId="16BB668F" w14:textId="77777777" w:rsidR="00BD42DE" w:rsidRPr="005D6D89" w:rsidRDefault="00BD42DE" w:rsidP="00BD42DE">
            <w:pPr>
              <w:pStyle w:val="TableText0"/>
              <w:rPr>
                <w:rFonts w:cs="Calibri"/>
                <w:szCs w:val="18"/>
              </w:rPr>
            </w:pPr>
            <w:r w:rsidRPr="005D6D89">
              <w:rPr>
                <w:rFonts w:cs="Calibri"/>
                <w:b/>
                <w:szCs w:val="18"/>
              </w:rPr>
              <w:t>Urgency</w:t>
            </w:r>
          </w:p>
        </w:tc>
        <w:tc>
          <w:tcPr>
            <w:tcW w:w="157" w:type="pct"/>
            <w:tcBorders>
              <w:top w:val="nil"/>
              <w:left w:val="single" w:sz="4" w:space="0" w:color="2C9986"/>
              <w:bottom w:val="single" w:sz="4" w:space="0" w:color="2C9986"/>
              <w:right w:val="single" w:sz="4" w:space="0" w:color="2C9986"/>
            </w:tcBorders>
            <w:shd w:val="clear" w:color="auto" w:fill="FFFFFF" w:themeFill="background1"/>
          </w:tcPr>
          <w:p w14:paraId="2E5A3486" w14:textId="77777777" w:rsidR="00BD42DE" w:rsidRPr="005D6D89" w:rsidRDefault="00BD42DE" w:rsidP="00BD42DE">
            <w:pPr>
              <w:pStyle w:val="TableText0"/>
              <w:rPr>
                <w:rFonts w:cs="Calibri"/>
                <w:szCs w:val="18"/>
              </w:rPr>
            </w:pPr>
            <w:r w:rsidRPr="005D6D89">
              <w:rPr>
                <w:rFonts w:cs="Calibri"/>
                <w:szCs w:val="18"/>
              </w:rPr>
              <w:t>93</w:t>
            </w:r>
          </w:p>
        </w:tc>
        <w:tc>
          <w:tcPr>
            <w:tcW w:w="568" w:type="pct"/>
            <w:gridSpan w:val="2"/>
            <w:vMerge w:val="restart"/>
            <w:tcBorders>
              <w:top w:val="nil"/>
              <w:left w:val="single" w:sz="4" w:space="0" w:color="2C9986"/>
              <w:bottom w:val="single" w:sz="4" w:space="0" w:color="2C9986"/>
              <w:right w:val="single" w:sz="4" w:space="0" w:color="2C9986"/>
            </w:tcBorders>
            <w:shd w:val="clear" w:color="auto" w:fill="FFFFFF" w:themeFill="background1"/>
            <w:tcMar>
              <w:top w:w="57" w:type="dxa"/>
            </w:tcMar>
          </w:tcPr>
          <w:p w14:paraId="559DB179" w14:textId="77777777" w:rsidR="00BD42DE" w:rsidRPr="005D6D89" w:rsidRDefault="00BD42DE" w:rsidP="00BD42DE">
            <w:pPr>
              <w:pStyle w:val="TableText0"/>
              <w:rPr>
                <w:rFonts w:cs="Calibri"/>
                <w:szCs w:val="18"/>
              </w:rPr>
            </w:pPr>
            <w:r w:rsidRPr="005D6D89">
              <w:rPr>
                <w:rFonts w:cs="Calibri"/>
                <w:szCs w:val="18"/>
              </w:rPr>
              <w:t>G1 Risk of maladaptation across all domains due to the application of practices, processes and tools that do not account for uncertainty and change over long timeframes.</w:t>
            </w:r>
          </w:p>
        </w:tc>
        <w:tc>
          <w:tcPr>
            <w:tcW w:w="268" w:type="pct"/>
            <w:gridSpan w:val="2"/>
            <w:tcBorders>
              <w:top w:val="nil"/>
              <w:left w:val="single" w:sz="4" w:space="0" w:color="2C9986"/>
              <w:bottom w:val="single" w:sz="4" w:space="0" w:color="2C9986"/>
              <w:right w:val="single" w:sz="4" w:space="0" w:color="2C9986"/>
            </w:tcBorders>
            <w:shd w:val="clear" w:color="auto" w:fill="FFFFFF" w:themeFill="background1"/>
          </w:tcPr>
          <w:p w14:paraId="1DAE6306" w14:textId="77777777" w:rsidR="00BD42DE" w:rsidRPr="005D6D89" w:rsidRDefault="00BD42DE" w:rsidP="00BD42DE">
            <w:pPr>
              <w:pStyle w:val="TableText0"/>
              <w:rPr>
                <w:rFonts w:cs="Calibri"/>
                <w:szCs w:val="18"/>
              </w:rPr>
            </w:pPr>
            <w:r w:rsidRPr="005D6D89">
              <w:rPr>
                <w:rFonts w:cs="Calibri"/>
                <w:b/>
                <w:szCs w:val="18"/>
              </w:rPr>
              <w:t>Urgency</w:t>
            </w:r>
          </w:p>
        </w:tc>
        <w:tc>
          <w:tcPr>
            <w:tcW w:w="174" w:type="pct"/>
            <w:tcBorders>
              <w:top w:val="nil"/>
              <w:left w:val="single" w:sz="4" w:space="0" w:color="2C9986"/>
              <w:bottom w:val="single" w:sz="4" w:space="0" w:color="2C9986"/>
            </w:tcBorders>
            <w:shd w:val="clear" w:color="auto" w:fill="FFFFFF" w:themeFill="background1"/>
          </w:tcPr>
          <w:p w14:paraId="46199E84" w14:textId="77777777" w:rsidR="00BD42DE" w:rsidRPr="005D6D89" w:rsidRDefault="00BD42DE" w:rsidP="00BD42DE">
            <w:pPr>
              <w:pStyle w:val="TableText0"/>
              <w:rPr>
                <w:rFonts w:cs="Calibri"/>
                <w:szCs w:val="18"/>
              </w:rPr>
            </w:pPr>
            <w:r w:rsidRPr="005D6D89">
              <w:rPr>
                <w:rFonts w:cs="Calibri"/>
                <w:szCs w:val="18"/>
              </w:rPr>
              <w:t>83</w:t>
            </w:r>
          </w:p>
        </w:tc>
      </w:tr>
      <w:tr w:rsidR="00857C1C" w:rsidRPr="005D6D89" w14:paraId="2EA70F55"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25EDAE8E" w14:textId="77777777" w:rsidR="00BD42DE" w:rsidRPr="005D6D89" w:rsidRDefault="00BD42DE" w:rsidP="00BD42DE">
            <w:pPr>
              <w:pStyle w:val="TableText0"/>
              <w:rPr>
                <w:rFonts w:cs="Calibri"/>
                <w:szCs w:val="18"/>
              </w:rPr>
            </w:pPr>
          </w:p>
        </w:tc>
        <w:tc>
          <w:tcPr>
            <w:tcW w:w="85" w:type="pct"/>
            <w:vMerge w:val="restart"/>
            <w:tcBorders>
              <w:top w:val="single" w:sz="4" w:space="0" w:color="2C9986"/>
              <w:left w:val="single" w:sz="4" w:space="0" w:color="2C9986"/>
              <w:bottom w:val="single" w:sz="4" w:space="0" w:color="2C9986"/>
              <w:right w:val="single" w:sz="4" w:space="0" w:color="2C9986"/>
            </w:tcBorders>
            <w:shd w:val="clear" w:color="auto" w:fill="FFFFFF" w:themeFill="background1"/>
            <w:textDirection w:val="btLr"/>
          </w:tcPr>
          <w:p w14:paraId="2A4E4465" w14:textId="77777777" w:rsidR="00BD42DE" w:rsidRPr="005D6D89" w:rsidRDefault="00BD42DE" w:rsidP="00C81B28">
            <w:pPr>
              <w:pStyle w:val="TableText0"/>
              <w:ind w:left="113" w:right="113"/>
              <w:jc w:val="right"/>
              <w:rPr>
                <w:rFonts w:cs="Calibri"/>
                <w:b/>
                <w:szCs w:val="18"/>
              </w:rPr>
            </w:pPr>
            <w:r w:rsidRPr="005D6D89">
              <w:rPr>
                <w:rFonts w:cs="Calibri"/>
                <w:b/>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17A2A31F" w14:textId="77777777" w:rsidR="00BD42DE" w:rsidRPr="005D6D89" w:rsidRDefault="00BD42DE" w:rsidP="00C81B28">
            <w:pPr>
              <w:pStyle w:val="TableText0"/>
              <w:rPr>
                <w:rFonts w:cs="Calibri"/>
                <w:b/>
                <w:szCs w:val="18"/>
              </w:rPr>
            </w:pPr>
            <w:r w:rsidRPr="005D6D89">
              <w:rPr>
                <w:rFonts w:cs="Calibri"/>
                <w:b/>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55589A3A" w14:textId="77777777" w:rsidR="00BD42DE" w:rsidRPr="005D6D89" w:rsidRDefault="00BD42DE" w:rsidP="00C81B28">
            <w:pPr>
              <w:pStyle w:val="TableText0"/>
              <w:rPr>
                <w:rFonts w:cs="Calibri"/>
                <w:szCs w:val="18"/>
              </w:rPr>
            </w:pPr>
            <w:r w:rsidRPr="005D6D89">
              <w:rPr>
                <w:rFonts w:cs="Calibri"/>
                <w:szCs w:val="18"/>
              </w:rPr>
              <w:t>Min</w:t>
            </w:r>
          </w:p>
        </w:tc>
        <w:tc>
          <w:tcPr>
            <w:tcW w:w="548" w:type="pct"/>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4321853A" w14:textId="77777777" w:rsidR="00BD42DE" w:rsidRPr="005D6D89" w:rsidRDefault="00BD42DE" w:rsidP="00C81B28">
            <w:pPr>
              <w:pStyle w:val="TableText"/>
              <w:rPr>
                <w:rFonts w:cs="Calibri"/>
                <w:szCs w:val="18"/>
              </w:rPr>
            </w:pPr>
          </w:p>
        </w:tc>
        <w:tc>
          <w:tcPr>
            <w:tcW w:w="82" w:type="pct"/>
            <w:vMerge w:val="restart"/>
            <w:tcBorders>
              <w:top w:val="single" w:sz="4" w:space="0" w:color="2C9986"/>
              <w:left w:val="single" w:sz="4" w:space="0" w:color="2C9986"/>
              <w:bottom w:val="single" w:sz="4" w:space="0" w:color="2C9986"/>
              <w:right w:val="single" w:sz="4" w:space="0" w:color="2C9986"/>
            </w:tcBorders>
            <w:shd w:val="clear" w:color="auto" w:fill="FFFFFF" w:themeFill="background1"/>
            <w:textDirection w:val="btLr"/>
          </w:tcPr>
          <w:p w14:paraId="7800D9F5" w14:textId="77777777" w:rsidR="00BD42DE" w:rsidRPr="005D6D89" w:rsidRDefault="00BD42DE" w:rsidP="00BD42DE">
            <w:pPr>
              <w:pStyle w:val="TableText0"/>
              <w:ind w:left="113" w:right="113"/>
              <w:jc w:val="right"/>
              <w:rPr>
                <w:rFonts w:cs="Calibri"/>
                <w:b/>
                <w:szCs w:val="18"/>
              </w:rPr>
            </w:pPr>
            <w:r w:rsidRPr="005D6D89">
              <w:rPr>
                <w:rFonts w:cs="Calibri"/>
                <w:b/>
                <w:szCs w:val="18"/>
              </w:rPr>
              <w:t>Consequence</w:t>
            </w:r>
          </w:p>
        </w:tc>
        <w:tc>
          <w:tcPr>
            <w:tcW w:w="175"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53B68EAE" w14:textId="77777777" w:rsidR="00BD42DE" w:rsidRPr="005D6D89" w:rsidRDefault="00BD42DE" w:rsidP="00BD42DE">
            <w:pPr>
              <w:pStyle w:val="TableText0"/>
              <w:rPr>
                <w:rFonts w:cs="Calibri"/>
                <w:b/>
                <w:szCs w:val="18"/>
              </w:rPr>
            </w:pPr>
            <w:r w:rsidRPr="005D6D89">
              <w:rPr>
                <w:rFonts w:cs="Calibri"/>
                <w:b/>
                <w:szCs w:val="18"/>
              </w:rPr>
              <w:t xml:space="preserve">Now </w:t>
            </w:r>
          </w:p>
        </w:tc>
        <w:tc>
          <w:tcPr>
            <w:tcW w:w="169"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1D8C7AA9" w14:textId="77777777" w:rsidR="00BD42DE" w:rsidRPr="005D6D89" w:rsidRDefault="00BD42DE" w:rsidP="00BD42DE">
            <w:pPr>
              <w:pStyle w:val="TableText0"/>
              <w:rPr>
                <w:rFonts w:cs="Calibri"/>
                <w:szCs w:val="18"/>
              </w:rPr>
            </w:pPr>
            <w:r w:rsidRPr="005D6D89">
              <w:rPr>
                <w:rFonts w:cs="Calibri"/>
                <w:szCs w:val="18"/>
              </w:rPr>
              <w:t>Min</w:t>
            </w:r>
          </w:p>
        </w:tc>
        <w:tc>
          <w:tcPr>
            <w:tcW w:w="608" w:type="pct"/>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314A69E1" w14:textId="77777777" w:rsidR="00BD42DE" w:rsidRPr="005D6D89" w:rsidRDefault="00BD42DE" w:rsidP="00BD42DE">
            <w:pPr>
              <w:pStyle w:val="TableText0"/>
              <w:rPr>
                <w:rFonts w:cs="Calibri"/>
                <w:szCs w:val="18"/>
              </w:rPr>
            </w:pPr>
          </w:p>
        </w:tc>
        <w:tc>
          <w:tcPr>
            <w:tcW w:w="90" w:type="pct"/>
            <w:vMerge w:val="restart"/>
            <w:tcBorders>
              <w:top w:val="single" w:sz="4" w:space="0" w:color="2C9986"/>
              <w:left w:val="single" w:sz="4" w:space="0" w:color="2C9986"/>
              <w:bottom w:val="single" w:sz="4" w:space="0" w:color="2C9986"/>
              <w:right w:val="single" w:sz="4" w:space="0" w:color="2C9986"/>
            </w:tcBorders>
            <w:shd w:val="clear" w:color="auto" w:fill="FFFFFF" w:themeFill="background1"/>
            <w:textDirection w:val="btLr"/>
          </w:tcPr>
          <w:p w14:paraId="0ECCB754" w14:textId="77777777" w:rsidR="00BD42DE" w:rsidRPr="005D6D89" w:rsidRDefault="00BD42DE" w:rsidP="00BD42DE">
            <w:pPr>
              <w:pStyle w:val="TableText0"/>
              <w:ind w:left="113" w:right="113"/>
              <w:jc w:val="right"/>
              <w:rPr>
                <w:rFonts w:cs="Calibri"/>
                <w:b/>
                <w:szCs w:val="18"/>
              </w:rPr>
            </w:pPr>
            <w:r w:rsidRPr="005D6D89">
              <w:rPr>
                <w:rFonts w:cs="Calibri"/>
                <w:b/>
                <w:szCs w:val="18"/>
              </w:rPr>
              <w:t>Consequence</w:t>
            </w:r>
          </w:p>
        </w:tc>
        <w:tc>
          <w:tcPr>
            <w:tcW w:w="178"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5EA1DC25" w14:textId="77777777" w:rsidR="00BD42DE" w:rsidRPr="005D6D89" w:rsidRDefault="00BD42DE" w:rsidP="00BD42DE">
            <w:pPr>
              <w:pStyle w:val="TableText0"/>
              <w:rPr>
                <w:rFonts w:cs="Calibri"/>
                <w:b/>
                <w:szCs w:val="18"/>
              </w:rPr>
            </w:pPr>
            <w:r w:rsidRPr="005D6D89">
              <w:rPr>
                <w:rFonts w:cs="Calibri"/>
                <w:b/>
                <w:szCs w:val="18"/>
              </w:rPr>
              <w:t xml:space="preserve">Now </w:t>
            </w:r>
          </w:p>
        </w:tc>
        <w:tc>
          <w:tcPr>
            <w:tcW w:w="159"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02874DFD" w14:textId="77777777" w:rsidR="00BD42DE" w:rsidRPr="005D6D89" w:rsidRDefault="00BD42DE" w:rsidP="00BD42DE">
            <w:pPr>
              <w:pStyle w:val="TableText0"/>
              <w:rPr>
                <w:rFonts w:cs="Calibri"/>
                <w:szCs w:val="18"/>
              </w:rPr>
            </w:pPr>
            <w:r w:rsidRPr="005D6D89">
              <w:rPr>
                <w:rFonts w:cs="Calibri"/>
                <w:szCs w:val="18"/>
              </w:rPr>
              <w:t>Min</w:t>
            </w:r>
          </w:p>
        </w:tc>
        <w:tc>
          <w:tcPr>
            <w:tcW w:w="589" w:type="pct"/>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1BC78E85" w14:textId="77777777" w:rsidR="00BD42DE" w:rsidRPr="005D6D89" w:rsidRDefault="00BD42DE" w:rsidP="00BD42DE">
            <w:pPr>
              <w:pStyle w:val="TableText0"/>
              <w:rPr>
                <w:rFonts w:cs="Calibri"/>
                <w:szCs w:val="18"/>
              </w:rPr>
            </w:pPr>
          </w:p>
        </w:tc>
        <w:tc>
          <w:tcPr>
            <w:tcW w:w="103" w:type="pct"/>
            <w:vMerge w:val="restart"/>
            <w:tcBorders>
              <w:top w:val="single" w:sz="4" w:space="0" w:color="2C9986"/>
              <w:left w:val="single" w:sz="4" w:space="0" w:color="2C9986"/>
              <w:bottom w:val="single" w:sz="4" w:space="0" w:color="2C9986"/>
              <w:right w:val="single" w:sz="4" w:space="0" w:color="2C9986"/>
            </w:tcBorders>
            <w:shd w:val="clear" w:color="auto" w:fill="FFFFFF" w:themeFill="background1"/>
            <w:textDirection w:val="btLr"/>
          </w:tcPr>
          <w:p w14:paraId="51B35338" w14:textId="77777777" w:rsidR="00BD42DE" w:rsidRPr="005D6D89" w:rsidRDefault="00BD42DE" w:rsidP="00BD42DE">
            <w:pPr>
              <w:pStyle w:val="TableText0"/>
              <w:ind w:left="113" w:right="113"/>
              <w:jc w:val="right"/>
              <w:rPr>
                <w:rFonts w:cs="Calibri"/>
                <w:b/>
                <w:szCs w:val="18"/>
              </w:rPr>
            </w:pPr>
            <w:r w:rsidRPr="005D6D89">
              <w:rPr>
                <w:rFonts w:cs="Calibri"/>
                <w:b/>
                <w:szCs w:val="18"/>
              </w:rPr>
              <w:t>Consequence</w:t>
            </w:r>
          </w:p>
        </w:tc>
        <w:tc>
          <w:tcPr>
            <w:tcW w:w="174"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678C6016" w14:textId="77777777" w:rsidR="00BD42DE" w:rsidRPr="005D6D89" w:rsidRDefault="00BD42DE" w:rsidP="00BD42DE">
            <w:pPr>
              <w:pStyle w:val="TableText0"/>
              <w:rPr>
                <w:rFonts w:cs="Calibri"/>
                <w:b/>
                <w:szCs w:val="18"/>
              </w:rPr>
            </w:pPr>
            <w:r w:rsidRPr="005D6D89">
              <w:rPr>
                <w:rFonts w:cs="Calibri"/>
                <w:b/>
                <w:szCs w:val="18"/>
              </w:rPr>
              <w:t xml:space="preserve">Now </w:t>
            </w:r>
          </w:p>
        </w:tc>
        <w:tc>
          <w:tcPr>
            <w:tcW w:w="157"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0F4F168B" w14:textId="77777777" w:rsidR="00BD42DE" w:rsidRPr="005D6D89" w:rsidRDefault="00BD42DE" w:rsidP="00BD42DE">
            <w:pPr>
              <w:pStyle w:val="TableText0"/>
              <w:rPr>
                <w:rFonts w:cs="Calibri"/>
                <w:szCs w:val="18"/>
              </w:rPr>
            </w:pPr>
            <w:r w:rsidRPr="005D6D89">
              <w:rPr>
                <w:rFonts w:cs="Calibri"/>
                <w:szCs w:val="18"/>
              </w:rPr>
              <w:t>Maj</w:t>
            </w:r>
            <w:r w:rsidR="00845880">
              <w:rPr>
                <w:rFonts w:cs="Calibri"/>
                <w:szCs w:val="18"/>
              </w:rPr>
              <w:t>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68209135" w14:textId="77777777" w:rsidR="00BD42DE" w:rsidRPr="005D6D89" w:rsidRDefault="00BD42DE" w:rsidP="00BD42DE">
            <w:pPr>
              <w:pStyle w:val="TableText0"/>
              <w:rPr>
                <w:rFonts w:cs="Calibri"/>
                <w:szCs w:val="18"/>
              </w:rPr>
            </w:pPr>
          </w:p>
        </w:tc>
        <w:tc>
          <w:tcPr>
            <w:tcW w:w="100" w:type="pct"/>
            <w:vMerge w:val="restart"/>
            <w:tcBorders>
              <w:top w:val="single" w:sz="4" w:space="0" w:color="2C9986"/>
              <w:left w:val="single" w:sz="4" w:space="0" w:color="2C9986"/>
              <w:bottom w:val="single" w:sz="4" w:space="0" w:color="2C9986"/>
              <w:right w:val="single" w:sz="4" w:space="0" w:color="2C9986"/>
            </w:tcBorders>
            <w:shd w:val="clear" w:color="auto" w:fill="FFFFFF" w:themeFill="background1"/>
            <w:textDirection w:val="btLr"/>
          </w:tcPr>
          <w:p w14:paraId="446F9FBB" w14:textId="77777777" w:rsidR="00BD42DE" w:rsidRPr="005D6D89" w:rsidRDefault="00BD42DE" w:rsidP="00BD42DE">
            <w:pPr>
              <w:pStyle w:val="TableText0"/>
              <w:ind w:left="113" w:right="113"/>
              <w:jc w:val="right"/>
              <w:rPr>
                <w:rFonts w:cs="Calibri"/>
                <w:b/>
                <w:szCs w:val="18"/>
              </w:rPr>
            </w:pPr>
            <w:r w:rsidRPr="005D6D89">
              <w:rPr>
                <w:rFonts w:cs="Calibri"/>
                <w:b/>
                <w:szCs w:val="18"/>
              </w:rPr>
              <w:t>Consequence</w:t>
            </w:r>
          </w:p>
        </w:tc>
        <w:tc>
          <w:tcPr>
            <w:tcW w:w="168"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094F9DFB" w14:textId="77777777" w:rsidR="00BD42DE" w:rsidRPr="005D6D89" w:rsidRDefault="00BD42DE" w:rsidP="00BD42DE">
            <w:pPr>
              <w:pStyle w:val="TableText0"/>
              <w:rPr>
                <w:rFonts w:cs="Calibri"/>
                <w:b/>
                <w:szCs w:val="18"/>
              </w:rPr>
            </w:pPr>
            <w:r w:rsidRPr="005D6D89">
              <w:rPr>
                <w:rFonts w:cs="Calibri"/>
                <w:b/>
                <w:szCs w:val="18"/>
              </w:rPr>
              <w:t xml:space="preserve">Now </w:t>
            </w:r>
          </w:p>
        </w:tc>
        <w:tc>
          <w:tcPr>
            <w:tcW w:w="174" w:type="pct"/>
            <w:tcBorders>
              <w:top w:val="single" w:sz="4" w:space="0" w:color="2C9986"/>
              <w:left w:val="single" w:sz="4" w:space="0" w:color="2C9986"/>
              <w:bottom w:val="single" w:sz="4" w:space="0" w:color="2C9986"/>
            </w:tcBorders>
            <w:shd w:val="clear" w:color="auto" w:fill="FFFFFF" w:themeFill="background1"/>
          </w:tcPr>
          <w:p w14:paraId="4E6C5FE1" w14:textId="77777777" w:rsidR="00BD42DE" w:rsidRPr="005D6D89" w:rsidRDefault="00BD42DE" w:rsidP="00BD42DE">
            <w:pPr>
              <w:pStyle w:val="TableText0"/>
              <w:rPr>
                <w:rFonts w:cs="Calibri"/>
                <w:szCs w:val="18"/>
              </w:rPr>
            </w:pPr>
            <w:r w:rsidRPr="005D6D89">
              <w:rPr>
                <w:rFonts w:cs="Calibri"/>
                <w:szCs w:val="18"/>
              </w:rPr>
              <w:t>Maj</w:t>
            </w:r>
            <w:r w:rsidR="00845880">
              <w:rPr>
                <w:rFonts w:cs="Calibri"/>
                <w:szCs w:val="18"/>
              </w:rPr>
              <w:t>or</w:t>
            </w:r>
          </w:p>
        </w:tc>
      </w:tr>
      <w:tr w:rsidR="00857C1C" w:rsidRPr="005D6D89" w14:paraId="0D905B54"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5A040C7D" w14:textId="77777777" w:rsidR="00BD42DE" w:rsidRPr="005D6D89" w:rsidRDefault="00BD42DE" w:rsidP="00BD42DE">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686004BA"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46A2544C" w14:textId="77777777" w:rsidR="00BD42DE" w:rsidRPr="005D6D89" w:rsidRDefault="00BD42DE" w:rsidP="00C81B28">
            <w:pPr>
              <w:pStyle w:val="TableText0"/>
              <w:rPr>
                <w:rFonts w:cs="Calibri"/>
                <w:b/>
                <w:szCs w:val="18"/>
              </w:rPr>
            </w:pPr>
            <w:r w:rsidRPr="005D6D89">
              <w:rPr>
                <w:rFonts w:cs="Calibri"/>
                <w:b/>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5C88C3B2" w14:textId="77777777" w:rsidR="00BD42DE" w:rsidRPr="005D6D89" w:rsidRDefault="00BD42DE" w:rsidP="00C81B28">
            <w:pPr>
              <w:pStyle w:val="TableText0"/>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05C86693" w14:textId="77777777" w:rsidR="00BD42DE" w:rsidRPr="005D6D89" w:rsidRDefault="00BD42DE" w:rsidP="00C81B28">
            <w:pPr>
              <w:pStyle w:val="TableText"/>
              <w:rPr>
                <w:rFonts w:cs="Calibri"/>
                <w:szCs w:val="18"/>
              </w:rPr>
            </w:pPr>
          </w:p>
        </w:tc>
        <w:tc>
          <w:tcPr>
            <w:tcW w:w="82"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7413BFE2" w14:textId="77777777" w:rsidR="00BD42DE" w:rsidRPr="005D6D89" w:rsidRDefault="00BD42DE" w:rsidP="00BD42DE">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34B540EE"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69"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2888BFCE" w14:textId="77777777" w:rsidR="00BD42DE" w:rsidRPr="005D6D89" w:rsidRDefault="00BD42DE" w:rsidP="00BD42DE">
            <w:pPr>
              <w:pStyle w:val="TableText0"/>
              <w:rPr>
                <w:rFonts w:cs="Calibri"/>
                <w:szCs w:val="18"/>
              </w:rPr>
            </w:pPr>
            <w:r w:rsidRPr="005D6D89">
              <w:rPr>
                <w:rFonts w:cs="Calibri"/>
                <w:szCs w:val="18"/>
              </w:rPr>
              <w:t>Ext</w:t>
            </w:r>
          </w:p>
        </w:tc>
        <w:tc>
          <w:tcPr>
            <w:tcW w:w="608" w:type="pct"/>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21331768" w14:textId="77777777" w:rsidR="00BD42DE" w:rsidRPr="005D6D89" w:rsidRDefault="00BD42DE" w:rsidP="00BD42DE">
            <w:pPr>
              <w:pStyle w:val="TableText0"/>
              <w:rPr>
                <w:rFonts w:cs="Calibri"/>
                <w:szCs w:val="18"/>
              </w:rPr>
            </w:pPr>
          </w:p>
        </w:tc>
        <w:tc>
          <w:tcPr>
            <w:tcW w:w="90"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4015B4E4" w14:textId="77777777" w:rsidR="00BD42DE" w:rsidRPr="005D6D89" w:rsidRDefault="00BD42DE" w:rsidP="00BD42DE">
            <w:pPr>
              <w:pStyle w:val="TableText0"/>
              <w:rPr>
                <w:rFonts w:cs="Calibri"/>
                <w:b/>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1BC96CF1"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59"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1965126D" w14:textId="77777777" w:rsidR="00BD42DE" w:rsidRPr="005D6D89" w:rsidRDefault="00BD42DE" w:rsidP="00BD42DE">
            <w:pPr>
              <w:pStyle w:val="TableText0"/>
              <w:rPr>
                <w:rFonts w:cs="Calibri"/>
                <w:szCs w:val="18"/>
              </w:rPr>
            </w:pPr>
            <w:r w:rsidRPr="005D6D89">
              <w:rPr>
                <w:rFonts w:cs="Calibri"/>
                <w:szCs w:val="18"/>
              </w:rPr>
              <w:t>Maj</w:t>
            </w:r>
            <w:r w:rsidR="00845880">
              <w:rPr>
                <w:rFonts w:cs="Calibri"/>
                <w:szCs w:val="18"/>
              </w:rPr>
              <w:t>or</w:t>
            </w:r>
          </w:p>
        </w:tc>
        <w:tc>
          <w:tcPr>
            <w:tcW w:w="589" w:type="pct"/>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55808DE7" w14:textId="77777777" w:rsidR="00BD42DE" w:rsidRPr="005D6D89" w:rsidRDefault="00BD42DE" w:rsidP="00BD42DE">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3FD0BA7F" w14:textId="77777777" w:rsidR="00BD42DE" w:rsidRPr="005D6D89" w:rsidRDefault="00BD42DE" w:rsidP="00BD42DE">
            <w:pPr>
              <w:pStyle w:val="TableText0"/>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458F8356"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57"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2DAE54FB" w14:textId="77777777" w:rsidR="00BD42DE" w:rsidRPr="005D6D89" w:rsidRDefault="00BD42DE" w:rsidP="00BD42DE">
            <w:pPr>
              <w:pStyle w:val="TableText0"/>
              <w:rPr>
                <w:rFonts w:cs="Calibri"/>
                <w:szCs w:val="18"/>
              </w:rPr>
            </w:pPr>
            <w:r w:rsidRPr="005D6D89">
              <w:rPr>
                <w:rFonts w:cs="Calibri"/>
                <w:szCs w:val="18"/>
              </w:rPr>
              <w:t>Maj</w:t>
            </w:r>
            <w:r w:rsidR="00845880">
              <w:rPr>
                <w:rFonts w:cs="Calibri"/>
                <w:szCs w:val="18"/>
              </w:rPr>
              <w:t>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13FEF9C0" w14:textId="77777777" w:rsidR="00BD42DE" w:rsidRPr="005D6D89" w:rsidRDefault="00BD42DE" w:rsidP="00BD42DE">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37C0090D" w14:textId="77777777" w:rsidR="00BD42DE" w:rsidRPr="005D6D89" w:rsidRDefault="00BD42DE" w:rsidP="00BD42DE">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5D280A71"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74" w:type="pct"/>
            <w:tcBorders>
              <w:top w:val="single" w:sz="4" w:space="0" w:color="2C9986"/>
              <w:left w:val="single" w:sz="4" w:space="0" w:color="2C9986"/>
              <w:bottom w:val="single" w:sz="4" w:space="0" w:color="2C9986"/>
            </w:tcBorders>
            <w:shd w:val="clear" w:color="auto" w:fill="FFFFFF" w:themeFill="background1"/>
          </w:tcPr>
          <w:p w14:paraId="64257F45" w14:textId="77777777" w:rsidR="00BD42DE" w:rsidRPr="005D6D89" w:rsidRDefault="00BD42DE" w:rsidP="00BD42DE">
            <w:pPr>
              <w:pStyle w:val="TableText0"/>
              <w:rPr>
                <w:rFonts w:cs="Calibri"/>
                <w:szCs w:val="18"/>
              </w:rPr>
            </w:pPr>
            <w:r w:rsidRPr="005D6D89">
              <w:rPr>
                <w:rFonts w:cs="Calibri"/>
                <w:szCs w:val="18"/>
              </w:rPr>
              <w:t>Ext</w:t>
            </w:r>
          </w:p>
        </w:tc>
      </w:tr>
      <w:tr w:rsidR="00857C1C" w:rsidRPr="005D6D89" w14:paraId="18F19A48"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760C5026" w14:textId="77777777" w:rsidR="00BD42DE" w:rsidRPr="005D6D89" w:rsidRDefault="00BD42DE" w:rsidP="00BD42DE">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516BA934"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2A472335" w14:textId="77777777" w:rsidR="00BD42DE" w:rsidRPr="005D6D89" w:rsidRDefault="00BD42DE" w:rsidP="00C81B28">
            <w:pPr>
              <w:pStyle w:val="TableText0"/>
              <w:rPr>
                <w:rFonts w:cs="Calibri"/>
                <w:b/>
                <w:szCs w:val="18"/>
              </w:rPr>
            </w:pPr>
            <w:r w:rsidRPr="005D6D89">
              <w:rPr>
                <w:rFonts w:cs="Calibri"/>
                <w:b/>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061E70A3" w14:textId="77777777" w:rsidR="00BD42DE" w:rsidRPr="005D6D89" w:rsidRDefault="00BD42DE" w:rsidP="00C81B28">
            <w:pPr>
              <w:pStyle w:val="TableText0"/>
              <w:rPr>
                <w:rFonts w:cs="Calibri"/>
                <w:szCs w:val="18"/>
              </w:rPr>
            </w:pPr>
            <w:r w:rsidRPr="005D6D89">
              <w:rPr>
                <w:rFonts w:cs="Calibri"/>
                <w:szCs w:val="18"/>
              </w:rPr>
              <w:t>Maj</w:t>
            </w:r>
            <w:r w:rsidR="007D31C2" w:rsidRPr="005D6D89">
              <w:rPr>
                <w:rFonts w:cs="Calibri"/>
                <w:szCs w:val="18"/>
              </w:rPr>
              <w:t>or</w:t>
            </w:r>
          </w:p>
        </w:tc>
        <w:tc>
          <w:tcPr>
            <w:tcW w:w="548" w:type="pct"/>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58D3E286" w14:textId="77777777" w:rsidR="00BD42DE" w:rsidRPr="005D6D89" w:rsidRDefault="00BD42DE" w:rsidP="00C81B28">
            <w:pPr>
              <w:pStyle w:val="TableText"/>
              <w:rPr>
                <w:rFonts w:cs="Calibri"/>
                <w:szCs w:val="18"/>
              </w:rPr>
            </w:pPr>
          </w:p>
        </w:tc>
        <w:tc>
          <w:tcPr>
            <w:tcW w:w="82"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53A60931" w14:textId="77777777" w:rsidR="00BD42DE" w:rsidRPr="005D6D89" w:rsidRDefault="00BD42DE" w:rsidP="00BD42DE">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23BB86D4" w14:textId="77777777" w:rsidR="00BD42DE" w:rsidRPr="005D6D89" w:rsidRDefault="00BD42DE" w:rsidP="00BD42DE">
            <w:pPr>
              <w:rPr>
                <w:rFonts w:cs="Calibri"/>
                <w:b/>
                <w:sz w:val="18"/>
                <w:szCs w:val="18"/>
              </w:rPr>
            </w:pPr>
            <w:r w:rsidRPr="005D6D89">
              <w:rPr>
                <w:rFonts w:cs="Calibri"/>
                <w:b/>
                <w:sz w:val="18"/>
                <w:szCs w:val="18"/>
              </w:rPr>
              <w:t>2100</w:t>
            </w:r>
          </w:p>
        </w:tc>
        <w:tc>
          <w:tcPr>
            <w:tcW w:w="169"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6C302750" w14:textId="77777777" w:rsidR="00BD42DE" w:rsidRPr="005D6D89" w:rsidRDefault="00BD42DE" w:rsidP="00BD42DE">
            <w:pPr>
              <w:pStyle w:val="TableText0"/>
              <w:rPr>
                <w:rFonts w:cs="Calibri"/>
                <w:szCs w:val="18"/>
              </w:rPr>
            </w:pPr>
            <w:r w:rsidRPr="005D6D89">
              <w:rPr>
                <w:rFonts w:cs="Calibri"/>
                <w:szCs w:val="18"/>
              </w:rPr>
              <w:t>Ext</w:t>
            </w:r>
          </w:p>
        </w:tc>
        <w:tc>
          <w:tcPr>
            <w:tcW w:w="608" w:type="pct"/>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0E612007" w14:textId="77777777" w:rsidR="00BD42DE" w:rsidRPr="005D6D89" w:rsidRDefault="00BD42DE" w:rsidP="00BD42DE">
            <w:pPr>
              <w:pStyle w:val="TableText0"/>
              <w:rPr>
                <w:rFonts w:cs="Calibri"/>
                <w:szCs w:val="18"/>
              </w:rPr>
            </w:pPr>
          </w:p>
        </w:tc>
        <w:tc>
          <w:tcPr>
            <w:tcW w:w="90"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3F1658AD" w14:textId="77777777" w:rsidR="00BD42DE" w:rsidRPr="005D6D89" w:rsidRDefault="00BD42DE" w:rsidP="00BD42DE">
            <w:pPr>
              <w:pStyle w:val="TableText0"/>
              <w:rPr>
                <w:rFonts w:cs="Calibri"/>
                <w:b/>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5754BE29" w14:textId="77777777" w:rsidR="00BD42DE" w:rsidRPr="005D6D89" w:rsidRDefault="00BD42DE" w:rsidP="00BD42DE">
            <w:pPr>
              <w:pStyle w:val="TableText0"/>
              <w:rPr>
                <w:rFonts w:cs="Calibri"/>
                <w:b/>
                <w:szCs w:val="18"/>
              </w:rPr>
            </w:pPr>
            <w:r w:rsidRPr="005D6D89">
              <w:rPr>
                <w:rFonts w:cs="Calibri"/>
                <w:b/>
                <w:szCs w:val="18"/>
              </w:rPr>
              <w:t>2100</w:t>
            </w:r>
          </w:p>
        </w:tc>
        <w:tc>
          <w:tcPr>
            <w:tcW w:w="159"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69101883" w14:textId="77777777" w:rsidR="00BD42DE" w:rsidRPr="005D6D89" w:rsidRDefault="00BD42DE" w:rsidP="00BD42DE">
            <w:pPr>
              <w:pStyle w:val="TableText0"/>
              <w:rPr>
                <w:rFonts w:cs="Calibri"/>
                <w:szCs w:val="18"/>
              </w:rPr>
            </w:pPr>
            <w:r w:rsidRPr="005D6D89">
              <w:rPr>
                <w:rFonts w:cs="Calibri"/>
                <w:szCs w:val="18"/>
              </w:rPr>
              <w:t>Ext</w:t>
            </w:r>
          </w:p>
        </w:tc>
        <w:tc>
          <w:tcPr>
            <w:tcW w:w="589" w:type="pct"/>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29894FD4" w14:textId="77777777" w:rsidR="00BD42DE" w:rsidRPr="005D6D89" w:rsidRDefault="00BD42DE" w:rsidP="00BD42DE">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13C8439F" w14:textId="77777777" w:rsidR="00BD42DE" w:rsidRPr="005D6D89" w:rsidRDefault="00BD42DE" w:rsidP="00BD42DE">
            <w:pPr>
              <w:pStyle w:val="TableText0"/>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04D6E8CE" w14:textId="77777777" w:rsidR="00BD42DE" w:rsidRPr="005D6D89" w:rsidRDefault="00BD42DE" w:rsidP="00BD42DE">
            <w:pPr>
              <w:pStyle w:val="TableText0"/>
              <w:rPr>
                <w:rFonts w:cs="Calibri"/>
                <w:b/>
                <w:szCs w:val="18"/>
              </w:rPr>
            </w:pPr>
            <w:r w:rsidRPr="005D6D89">
              <w:rPr>
                <w:rFonts w:cs="Calibri"/>
                <w:b/>
                <w:szCs w:val="18"/>
              </w:rPr>
              <w:t>2100</w:t>
            </w:r>
          </w:p>
        </w:tc>
        <w:tc>
          <w:tcPr>
            <w:tcW w:w="157"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43ADE999" w14:textId="77777777" w:rsidR="00BD42DE" w:rsidRPr="005D6D89" w:rsidRDefault="00BD42DE" w:rsidP="00BD42DE">
            <w:pPr>
              <w:pStyle w:val="TableText0"/>
              <w:rPr>
                <w:rFonts w:cs="Calibri"/>
                <w:szCs w:val="18"/>
              </w:rPr>
            </w:pPr>
            <w:r w:rsidRPr="005D6D89">
              <w:rPr>
                <w:rFonts w:cs="Calibri"/>
                <w:szCs w:val="18"/>
              </w:rPr>
              <w:t>Ext</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01E7665B" w14:textId="77777777" w:rsidR="00BD42DE" w:rsidRPr="005D6D89" w:rsidRDefault="00BD42DE" w:rsidP="00BD42DE">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shd w:val="clear" w:color="auto" w:fill="FFFFFF" w:themeFill="background1"/>
          </w:tcPr>
          <w:p w14:paraId="254E6762" w14:textId="77777777" w:rsidR="00BD42DE" w:rsidRPr="005D6D89" w:rsidRDefault="00BD42DE" w:rsidP="00BD42DE">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4BE0E887" w14:textId="77777777" w:rsidR="00BD42DE" w:rsidRPr="005D6D89" w:rsidRDefault="00BD42DE" w:rsidP="00BD42DE">
            <w:pPr>
              <w:pStyle w:val="TableText0"/>
              <w:rPr>
                <w:rFonts w:cs="Calibri"/>
                <w:b/>
                <w:szCs w:val="18"/>
              </w:rPr>
            </w:pPr>
            <w:r w:rsidRPr="005D6D89">
              <w:rPr>
                <w:rFonts w:cs="Calibri"/>
                <w:b/>
                <w:szCs w:val="18"/>
              </w:rPr>
              <w:t>2100</w:t>
            </w:r>
          </w:p>
        </w:tc>
        <w:tc>
          <w:tcPr>
            <w:tcW w:w="174" w:type="pct"/>
            <w:tcBorders>
              <w:top w:val="single" w:sz="4" w:space="0" w:color="2C9986"/>
              <w:left w:val="single" w:sz="4" w:space="0" w:color="2C9986"/>
              <w:bottom w:val="single" w:sz="4" w:space="0" w:color="2C9986"/>
            </w:tcBorders>
            <w:shd w:val="clear" w:color="auto" w:fill="FFFFFF" w:themeFill="background1"/>
          </w:tcPr>
          <w:p w14:paraId="0E45704B" w14:textId="77777777" w:rsidR="00BD42DE" w:rsidRPr="005D6D89" w:rsidRDefault="00BD42DE" w:rsidP="00BD42DE">
            <w:pPr>
              <w:pStyle w:val="TableText0"/>
              <w:rPr>
                <w:rFonts w:cs="Calibri"/>
                <w:szCs w:val="18"/>
              </w:rPr>
            </w:pPr>
            <w:r w:rsidRPr="005D6D89">
              <w:rPr>
                <w:rFonts w:cs="Calibri"/>
                <w:szCs w:val="18"/>
              </w:rPr>
              <w:t>Ext</w:t>
            </w:r>
          </w:p>
        </w:tc>
      </w:tr>
      <w:tr w:rsidR="00BD42DE" w:rsidRPr="005D6D89" w14:paraId="36A90D6D" w14:textId="77777777" w:rsidTr="008F1533">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07B87601" w14:textId="77777777" w:rsidR="00BD42DE" w:rsidRPr="005D6D89" w:rsidRDefault="00BD42DE" w:rsidP="00BD42DE">
            <w:pPr>
              <w:pStyle w:val="TableText0"/>
              <w:rPr>
                <w:rFonts w:cs="Calibri"/>
                <w:szCs w:val="18"/>
              </w:rPr>
            </w:pPr>
            <w:r w:rsidRPr="005D6D89">
              <w:rPr>
                <w:rFonts w:cs="Calibri"/>
                <w:szCs w:val="18"/>
              </w:rPr>
              <w:t>N2 Risks to indigenous ecosystems and species from the enhanced spread, survival and establishment of invasive species due to climate change.</w:t>
            </w:r>
            <w:r w:rsidR="00027F9F" w:rsidRPr="005D6D89">
              <w:rPr>
                <w:rFonts w:cs="Calibri"/>
                <w:szCs w:val="18"/>
              </w:rPr>
              <w:t xml:space="preserve"> </w:t>
            </w:r>
          </w:p>
        </w:tc>
        <w:tc>
          <w:tcPr>
            <w:tcW w:w="243" w:type="pct"/>
            <w:gridSpan w:val="2"/>
            <w:tcBorders>
              <w:top w:val="single" w:sz="4" w:space="0" w:color="2C9986"/>
              <w:left w:val="single" w:sz="4" w:space="0" w:color="2C9986"/>
              <w:bottom w:val="single" w:sz="4" w:space="0" w:color="2C9986"/>
              <w:right w:val="single" w:sz="4" w:space="0" w:color="2C9986"/>
            </w:tcBorders>
            <w:shd w:val="clear" w:color="auto" w:fill="FFFFFF" w:themeFill="background1"/>
          </w:tcPr>
          <w:p w14:paraId="4A93C088" w14:textId="77777777" w:rsidR="00BD42DE" w:rsidRPr="005D6D89" w:rsidRDefault="00BD42DE" w:rsidP="00C81B28">
            <w:pPr>
              <w:pStyle w:val="TableText0"/>
              <w:rPr>
                <w:rFonts w:cs="Calibri"/>
                <w:szCs w:val="18"/>
              </w:rPr>
            </w:pPr>
            <w:r w:rsidRPr="005D6D89">
              <w:rPr>
                <w:rFonts w:cs="Calibri"/>
                <w:b/>
                <w:szCs w:val="18"/>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214DF5C7" w14:textId="77777777" w:rsidR="00BD42DE" w:rsidRPr="005D6D89" w:rsidRDefault="00BD42DE" w:rsidP="00C81B28">
            <w:pPr>
              <w:pStyle w:val="TableText0"/>
              <w:rPr>
                <w:rFonts w:cs="Calibri"/>
                <w:szCs w:val="18"/>
              </w:rPr>
            </w:pPr>
            <w:r w:rsidRPr="005D6D89">
              <w:rPr>
                <w:rFonts w:cs="Calibri"/>
                <w:szCs w:val="18"/>
              </w:rPr>
              <w:t>73</w:t>
            </w:r>
          </w:p>
        </w:tc>
        <w:tc>
          <w:tcPr>
            <w:tcW w:w="548" w:type="pct"/>
            <w:vMerge w:val="restar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46DA9B00" w14:textId="77777777" w:rsidR="00BD42DE" w:rsidRPr="005D6D89" w:rsidRDefault="00BD42DE" w:rsidP="00C81B28">
            <w:pPr>
              <w:pStyle w:val="TableText"/>
              <w:rPr>
                <w:rFonts w:cs="Calibri"/>
                <w:szCs w:val="18"/>
              </w:rPr>
            </w:pPr>
            <w:r w:rsidRPr="005D6D89">
              <w:rPr>
                <w:rFonts w:cs="Calibri"/>
                <w:szCs w:val="18"/>
              </w:rPr>
              <w:t>H2 Risks of exacerbating existing inequities and creating new and additional inequities due to differential distribution of climate change impacts.</w:t>
            </w:r>
          </w:p>
        </w:tc>
        <w:tc>
          <w:tcPr>
            <w:tcW w:w="257" w:type="pct"/>
            <w:gridSpan w:val="2"/>
            <w:tcBorders>
              <w:top w:val="single" w:sz="4" w:space="0" w:color="2C9986"/>
              <w:left w:val="single" w:sz="4" w:space="0" w:color="2C9986"/>
              <w:bottom w:val="single" w:sz="4" w:space="0" w:color="2C9986"/>
              <w:right w:val="single" w:sz="4" w:space="0" w:color="2C9986"/>
            </w:tcBorders>
            <w:shd w:val="clear" w:color="auto" w:fill="FFFFFF" w:themeFill="background1"/>
          </w:tcPr>
          <w:p w14:paraId="4B792252" w14:textId="77777777" w:rsidR="00BD42DE" w:rsidRPr="005D6D89" w:rsidRDefault="00BD42DE" w:rsidP="00BD42DE">
            <w:pPr>
              <w:pStyle w:val="TableText0"/>
              <w:rPr>
                <w:rFonts w:cs="Calibri"/>
                <w:szCs w:val="18"/>
              </w:rPr>
            </w:pPr>
            <w:r w:rsidRPr="005D6D89">
              <w:rPr>
                <w:rFonts w:cs="Calibri"/>
                <w:b/>
                <w:szCs w:val="18"/>
              </w:rPr>
              <w:t>Urgency</w:t>
            </w:r>
          </w:p>
        </w:tc>
        <w:tc>
          <w:tcPr>
            <w:tcW w:w="169"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01267D08" w14:textId="77777777" w:rsidR="00BD42DE" w:rsidRPr="005D6D89" w:rsidRDefault="00BD42DE" w:rsidP="00BD42DE">
            <w:pPr>
              <w:pStyle w:val="TableText0"/>
              <w:rPr>
                <w:rFonts w:cs="Calibri"/>
                <w:szCs w:val="18"/>
              </w:rPr>
            </w:pPr>
            <w:r w:rsidRPr="005D6D89">
              <w:rPr>
                <w:rFonts w:cs="Calibri"/>
                <w:szCs w:val="18"/>
              </w:rPr>
              <w:t>85</w:t>
            </w:r>
          </w:p>
        </w:tc>
        <w:tc>
          <w:tcPr>
            <w:tcW w:w="608" w:type="pct"/>
            <w:vMerge w:val="restar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3C975C32" w14:textId="77777777" w:rsidR="00BD42DE" w:rsidRPr="005D6D89" w:rsidRDefault="00BD42DE" w:rsidP="00F374C2">
            <w:pPr>
              <w:pStyle w:val="TableText"/>
            </w:pPr>
            <w:r w:rsidRPr="005D6D89">
              <w:t>E2 Risks to the financial system from instability due to extreme weather events and ongoing, gradual changes.</w:t>
            </w:r>
          </w:p>
        </w:tc>
        <w:tc>
          <w:tcPr>
            <w:tcW w:w="268" w:type="pct"/>
            <w:gridSpan w:val="2"/>
            <w:tcBorders>
              <w:top w:val="single" w:sz="4" w:space="0" w:color="2C9986"/>
              <w:left w:val="single" w:sz="4" w:space="0" w:color="2C9986"/>
              <w:bottom w:val="single" w:sz="4" w:space="0" w:color="2C9986"/>
              <w:right w:val="single" w:sz="4" w:space="0" w:color="2C9986"/>
            </w:tcBorders>
            <w:shd w:val="clear" w:color="auto" w:fill="FFFFFF" w:themeFill="background1"/>
          </w:tcPr>
          <w:p w14:paraId="15B8BE2A" w14:textId="77777777" w:rsidR="00BD42DE" w:rsidRPr="005D6D89" w:rsidRDefault="00BD42DE" w:rsidP="00BD42DE">
            <w:pPr>
              <w:pStyle w:val="TableText0"/>
              <w:rPr>
                <w:rFonts w:cs="Calibri"/>
                <w:b/>
                <w:szCs w:val="18"/>
              </w:rPr>
            </w:pPr>
            <w:r w:rsidRPr="005D6D89">
              <w:rPr>
                <w:rFonts w:cs="Calibri"/>
                <w:b/>
                <w:szCs w:val="18"/>
              </w:rPr>
              <w:t>Urgency</w:t>
            </w:r>
          </w:p>
        </w:tc>
        <w:tc>
          <w:tcPr>
            <w:tcW w:w="159"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6B640196" w14:textId="77777777" w:rsidR="00BD42DE" w:rsidRPr="005D6D89" w:rsidRDefault="00BD42DE" w:rsidP="00BD42DE">
            <w:pPr>
              <w:pStyle w:val="TableText0"/>
              <w:rPr>
                <w:rFonts w:cs="Calibri"/>
                <w:b/>
                <w:szCs w:val="18"/>
              </w:rPr>
            </w:pPr>
            <w:r w:rsidRPr="005D6D89">
              <w:rPr>
                <w:rFonts w:cs="Calibri"/>
                <w:b/>
                <w:szCs w:val="18"/>
              </w:rPr>
              <w:t>83</w:t>
            </w:r>
          </w:p>
        </w:tc>
        <w:tc>
          <w:tcPr>
            <w:tcW w:w="589" w:type="pct"/>
            <w:vMerge w:val="restar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769DB766" w14:textId="77777777" w:rsidR="00BD42DE" w:rsidRPr="005D6D89" w:rsidRDefault="00BD42DE" w:rsidP="00BD42DE">
            <w:pPr>
              <w:pStyle w:val="TableText0"/>
              <w:rPr>
                <w:rFonts w:cs="Calibri"/>
                <w:szCs w:val="18"/>
              </w:rPr>
            </w:pPr>
            <w:r w:rsidRPr="005D6D89">
              <w:rPr>
                <w:rFonts w:cs="Calibri"/>
                <w:szCs w:val="18"/>
              </w:rPr>
              <w:t>B2 Risks to buildings due to extreme weather events, drought, increased fire weather and ongoing sea-level rise.</w:t>
            </w:r>
          </w:p>
        </w:tc>
        <w:tc>
          <w:tcPr>
            <w:tcW w:w="277" w:type="pct"/>
            <w:gridSpan w:val="2"/>
            <w:tcBorders>
              <w:top w:val="single" w:sz="4" w:space="0" w:color="2C9986"/>
              <w:left w:val="single" w:sz="4" w:space="0" w:color="2C9986"/>
              <w:bottom w:val="single" w:sz="4" w:space="0" w:color="2C9986"/>
              <w:right w:val="single" w:sz="4" w:space="0" w:color="2C9986"/>
            </w:tcBorders>
            <w:shd w:val="clear" w:color="auto" w:fill="FFFFFF" w:themeFill="background1"/>
          </w:tcPr>
          <w:p w14:paraId="1B91B114" w14:textId="77777777" w:rsidR="00BD42DE" w:rsidRPr="005D6D89" w:rsidRDefault="00BD42DE" w:rsidP="00BD42DE">
            <w:pPr>
              <w:pStyle w:val="TableText0"/>
              <w:rPr>
                <w:rFonts w:cs="Calibri"/>
                <w:szCs w:val="18"/>
              </w:rPr>
            </w:pPr>
            <w:r w:rsidRPr="005D6D89">
              <w:rPr>
                <w:rFonts w:cs="Calibri"/>
                <w:b/>
                <w:szCs w:val="18"/>
              </w:rPr>
              <w:t>Urgency</w:t>
            </w:r>
          </w:p>
        </w:tc>
        <w:tc>
          <w:tcPr>
            <w:tcW w:w="157" w:type="pct"/>
            <w:tcBorders>
              <w:top w:val="single" w:sz="4" w:space="0" w:color="2C9986"/>
              <w:left w:val="single" w:sz="4" w:space="0" w:color="2C9986"/>
              <w:bottom w:val="single" w:sz="4" w:space="0" w:color="2C9986"/>
              <w:right w:val="single" w:sz="4" w:space="0" w:color="2C9986"/>
            </w:tcBorders>
            <w:shd w:val="clear" w:color="auto" w:fill="FFFFFF" w:themeFill="background1"/>
          </w:tcPr>
          <w:p w14:paraId="3F430AD5" w14:textId="77777777" w:rsidR="00BD42DE" w:rsidRPr="005D6D89" w:rsidRDefault="00BD42DE" w:rsidP="00BD42DE">
            <w:pPr>
              <w:pStyle w:val="TableText0"/>
              <w:rPr>
                <w:rFonts w:cs="Calibri"/>
                <w:szCs w:val="18"/>
              </w:rPr>
            </w:pPr>
            <w:r w:rsidRPr="005D6D89">
              <w:rPr>
                <w:rFonts w:cs="Calibri"/>
                <w:szCs w:val="18"/>
              </w:rPr>
              <w:t>90</w:t>
            </w:r>
          </w:p>
        </w:tc>
        <w:tc>
          <w:tcPr>
            <w:tcW w:w="568" w:type="pct"/>
            <w:gridSpan w:val="2"/>
            <w:vMerge w:val="restart"/>
            <w:tcBorders>
              <w:top w:val="single" w:sz="4" w:space="0" w:color="2C9986"/>
              <w:left w:val="single" w:sz="4" w:space="0" w:color="2C9986"/>
              <w:bottom w:val="single" w:sz="4" w:space="0" w:color="2C9986"/>
              <w:right w:val="single" w:sz="4" w:space="0" w:color="2C9986"/>
            </w:tcBorders>
            <w:shd w:val="clear" w:color="auto" w:fill="FFFFFF" w:themeFill="background1"/>
            <w:tcMar>
              <w:top w:w="57" w:type="dxa"/>
            </w:tcMar>
          </w:tcPr>
          <w:p w14:paraId="0A035A8F" w14:textId="77777777" w:rsidR="00BD42DE" w:rsidRPr="005D6D89" w:rsidRDefault="00BD42DE" w:rsidP="00BD42DE">
            <w:pPr>
              <w:pStyle w:val="TableText0"/>
              <w:rPr>
                <w:rFonts w:cs="Calibri"/>
                <w:szCs w:val="18"/>
              </w:rPr>
            </w:pPr>
            <w:r w:rsidRPr="005D6D89">
              <w:rPr>
                <w:rFonts w:cs="Calibri"/>
                <w:szCs w:val="18"/>
              </w:rPr>
              <w:t xml:space="preserve">G2 Risk that climate change </w:t>
            </w:r>
            <w:proofErr w:type="gramStart"/>
            <w:r w:rsidRPr="005D6D89">
              <w:rPr>
                <w:rFonts w:cs="Calibri"/>
                <w:szCs w:val="18"/>
              </w:rPr>
              <w:t>impacts</w:t>
            </w:r>
            <w:proofErr w:type="gramEnd"/>
            <w:r w:rsidRPr="005D6D89">
              <w:rPr>
                <w:rFonts w:cs="Calibri"/>
                <w:szCs w:val="18"/>
              </w:rPr>
              <w:t xml:space="preserve"> across all domains will be exacerbated because current institutional arrangements are not fit for climate change adaptation. Institutional arrangements include legislative and decision-making frameworks, coordination within and across levels of government</w:t>
            </w:r>
            <w:r w:rsidR="008C3AC9">
              <w:rPr>
                <w:rFonts w:cs="Calibri"/>
                <w:szCs w:val="18"/>
              </w:rPr>
              <w:t>,</w:t>
            </w:r>
            <w:r w:rsidRPr="005D6D89">
              <w:rPr>
                <w:rFonts w:cs="Calibri"/>
                <w:szCs w:val="18"/>
              </w:rPr>
              <w:t xml:space="preserve"> and funding mechanisms</w:t>
            </w:r>
            <w:r w:rsidR="008C3AC9">
              <w:rPr>
                <w:rFonts w:cs="Calibri"/>
                <w:szCs w:val="18"/>
              </w:rPr>
              <w:t>.</w:t>
            </w:r>
          </w:p>
        </w:tc>
        <w:tc>
          <w:tcPr>
            <w:tcW w:w="268" w:type="pct"/>
            <w:gridSpan w:val="2"/>
            <w:tcBorders>
              <w:top w:val="single" w:sz="4" w:space="0" w:color="2C9986"/>
              <w:left w:val="single" w:sz="4" w:space="0" w:color="2C9986"/>
              <w:bottom w:val="single" w:sz="4" w:space="0" w:color="2C9986"/>
              <w:right w:val="single" w:sz="4" w:space="0" w:color="2C9986"/>
            </w:tcBorders>
            <w:shd w:val="clear" w:color="auto" w:fill="FFFFFF" w:themeFill="background1"/>
          </w:tcPr>
          <w:p w14:paraId="3DB5D6DF" w14:textId="77777777" w:rsidR="00BD42DE" w:rsidRPr="005D6D89" w:rsidRDefault="00BD42DE" w:rsidP="00BD42DE">
            <w:pPr>
              <w:pStyle w:val="TableText0"/>
              <w:rPr>
                <w:rFonts w:cs="Calibri"/>
                <w:szCs w:val="18"/>
              </w:rPr>
            </w:pPr>
            <w:r w:rsidRPr="005D6D89">
              <w:rPr>
                <w:rFonts w:cs="Calibri"/>
                <w:b/>
                <w:szCs w:val="18"/>
              </w:rPr>
              <w:t>Urgency</w:t>
            </w:r>
          </w:p>
        </w:tc>
        <w:tc>
          <w:tcPr>
            <w:tcW w:w="174" w:type="pct"/>
            <w:tcBorders>
              <w:top w:val="single" w:sz="4" w:space="0" w:color="2C9986"/>
              <w:left w:val="single" w:sz="4" w:space="0" w:color="2C9986"/>
              <w:bottom w:val="single" w:sz="4" w:space="0" w:color="2C9986"/>
            </w:tcBorders>
            <w:shd w:val="clear" w:color="auto" w:fill="FFFFFF" w:themeFill="background1"/>
          </w:tcPr>
          <w:p w14:paraId="04010853" w14:textId="77777777" w:rsidR="00BD42DE" w:rsidRPr="005D6D89" w:rsidRDefault="00BD42DE" w:rsidP="00BD42DE">
            <w:pPr>
              <w:pStyle w:val="TableText0"/>
              <w:rPr>
                <w:rFonts w:cs="Calibri"/>
                <w:szCs w:val="18"/>
              </w:rPr>
            </w:pPr>
            <w:r w:rsidRPr="005D6D89">
              <w:rPr>
                <w:rFonts w:cs="Calibri"/>
                <w:szCs w:val="18"/>
              </w:rPr>
              <w:t>80</w:t>
            </w:r>
          </w:p>
        </w:tc>
      </w:tr>
      <w:tr w:rsidR="00857C1C" w:rsidRPr="005D6D89" w14:paraId="1B761638"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0E74EE0F" w14:textId="77777777" w:rsidR="00BD42DE" w:rsidRPr="005D6D89" w:rsidRDefault="00BD42DE" w:rsidP="00BD42DE">
            <w:pPr>
              <w:pStyle w:val="TableText0"/>
              <w:rPr>
                <w:rFonts w:cs="Calibri"/>
                <w:szCs w:val="18"/>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tcPr>
          <w:p w14:paraId="36DD78A9" w14:textId="77777777" w:rsidR="00BD42DE" w:rsidRPr="005D6D89" w:rsidRDefault="00BD42DE" w:rsidP="00F374C2">
            <w:pPr>
              <w:pStyle w:val="TableText0"/>
              <w:spacing w:before="0"/>
              <w:jc w:val="right"/>
              <w:rPr>
                <w:rFonts w:cs="Calibri"/>
                <w:b/>
                <w:szCs w:val="18"/>
              </w:rPr>
            </w:pPr>
            <w:r w:rsidRPr="005D6D89">
              <w:rPr>
                <w:rFonts w:cs="Calibri"/>
                <w:b/>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96AC29C" w14:textId="77777777" w:rsidR="00BD42DE" w:rsidRPr="005D6D89" w:rsidRDefault="00BD42DE" w:rsidP="00C81B28">
            <w:pPr>
              <w:pStyle w:val="TableText0"/>
              <w:rPr>
                <w:rFonts w:cs="Calibri"/>
                <w:b/>
                <w:szCs w:val="18"/>
              </w:rPr>
            </w:pPr>
            <w:r w:rsidRPr="005D6D89">
              <w:rPr>
                <w:rFonts w:cs="Calibri"/>
                <w:b/>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3FB8C4FF" w14:textId="77777777" w:rsidR="00BD42DE" w:rsidRPr="005D6D89" w:rsidRDefault="00BD42DE" w:rsidP="00C81B28">
            <w:pPr>
              <w:pStyle w:val="TableText0"/>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E6A3AD0" w14:textId="77777777" w:rsidR="00BD42DE" w:rsidRPr="005D6D89" w:rsidRDefault="00BD42DE" w:rsidP="00BD42DE">
            <w:pPr>
              <w:rPr>
                <w:rFonts w:cs="Calibri"/>
                <w:sz w:val="18"/>
                <w:szCs w:val="18"/>
              </w:rPr>
            </w:pPr>
          </w:p>
        </w:tc>
        <w:tc>
          <w:tcPr>
            <w:tcW w:w="82" w:type="pct"/>
            <w:vMerge w:val="restart"/>
            <w:tcBorders>
              <w:top w:val="single" w:sz="4" w:space="0" w:color="2C9986"/>
              <w:left w:val="single" w:sz="4" w:space="0" w:color="2C9986"/>
              <w:bottom w:val="single" w:sz="4" w:space="0" w:color="2C9986"/>
              <w:right w:val="single" w:sz="4" w:space="0" w:color="2C9986"/>
            </w:tcBorders>
            <w:textDirection w:val="btLr"/>
          </w:tcPr>
          <w:p w14:paraId="3C5EFEAD" w14:textId="77777777" w:rsidR="00BD42DE" w:rsidRPr="005D6D89" w:rsidRDefault="00BD42DE" w:rsidP="00BD42DE">
            <w:pPr>
              <w:pStyle w:val="TableText0"/>
              <w:ind w:left="113" w:right="113"/>
              <w:jc w:val="right"/>
              <w:rPr>
                <w:rFonts w:cs="Calibri"/>
                <w:b/>
                <w:szCs w:val="18"/>
              </w:rPr>
            </w:pPr>
            <w:r w:rsidRPr="005D6D89">
              <w:rPr>
                <w:rFonts w:cs="Calibri"/>
                <w:b/>
                <w:szCs w:val="18"/>
              </w:rPr>
              <w:t>Consequence</w:t>
            </w: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35D06C5" w14:textId="77777777" w:rsidR="00BD42DE" w:rsidRPr="005D6D89" w:rsidRDefault="00BD42DE" w:rsidP="00BD42DE">
            <w:pPr>
              <w:pStyle w:val="TableText0"/>
              <w:rPr>
                <w:rFonts w:cs="Calibri"/>
                <w:b/>
                <w:szCs w:val="18"/>
              </w:rPr>
            </w:pPr>
            <w:r w:rsidRPr="005D6D89">
              <w:rPr>
                <w:rFonts w:cs="Calibri"/>
                <w:b/>
                <w:szCs w:val="18"/>
              </w:rPr>
              <w:t>Now</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42D977D4" w14:textId="77777777" w:rsidR="00BD42DE" w:rsidRPr="005D6D89" w:rsidRDefault="00BD42DE" w:rsidP="00BD42DE">
            <w:pPr>
              <w:pStyle w:val="TableText0"/>
              <w:rPr>
                <w:rFonts w:cs="Calibri"/>
                <w:szCs w:val="18"/>
              </w:rPr>
            </w:pPr>
            <w:r w:rsidRPr="005D6D89">
              <w:rPr>
                <w:rFonts w:cs="Calibri"/>
                <w:szCs w:val="18"/>
              </w:rPr>
              <w:t>Maj</w:t>
            </w:r>
            <w:r w:rsidR="00845880">
              <w:rPr>
                <w:rFonts w:cs="Calibri"/>
                <w:szCs w:val="18"/>
              </w:rPr>
              <w:t>or</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BD6C5B3" w14:textId="77777777" w:rsidR="00BD42DE" w:rsidRPr="005D6D89" w:rsidRDefault="00BD42DE" w:rsidP="00BD42DE">
            <w:pPr>
              <w:rPr>
                <w:rFonts w:cs="Calibri"/>
                <w:sz w:val="18"/>
                <w:szCs w:val="18"/>
              </w:rPr>
            </w:pPr>
          </w:p>
        </w:tc>
        <w:tc>
          <w:tcPr>
            <w:tcW w:w="90"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696B3B04" w14:textId="77777777" w:rsidR="00BD42DE" w:rsidRPr="005D6D89" w:rsidRDefault="00BD42DE" w:rsidP="00831288">
            <w:pPr>
              <w:spacing w:before="0"/>
              <w:ind w:left="113" w:right="113"/>
              <w:jc w:val="right"/>
              <w:rPr>
                <w:rFonts w:cs="Calibri"/>
                <w:b/>
                <w:sz w:val="18"/>
                <w:szCs w:val="18"/>
              </w:rPr>
            </w:pPr>
            <w:r w:rsidRPr="005D6D89">
              <w:rPr>
                <w:rFonts w:cs="Calibri"/>
                <w:b/>
                <w:sz w:val="18"/>
                <w:szCs w:val="18"/>
              </w:rPr>
              <w:t>Consequence</w:t>
            </w: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1C4043C" w14:textId="77777777" w:rsidR="00BD42DE" w:rsidRPr="005D6D89" w:rsidRDefault="00BD42DE" w:rsidP="00BD42DE">
            <w:pPr>
              <w:pStyle w:val="TableText0"/>
              <w:rPr>
                <w:rFonts w:cs="Calibri"/>
                <w:b/>
                <w:szCs w:val="18"/>
              </w:rPr>
            </w:pPr>
            <w:r w:rsidRPr="005D6D89">
              <w:rPr>
                <w:rFonts w:cs="Calibri"/>
                <w:b/>
                <w:szCs w:val="18"/>
              </w:rPr>
              <w:t>Now</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67E34E55" w14:textId="77777777" w:rsidR="00BD42DE" w:rsidRPr="005D6D89" w:rsidRDefault="00BD42DE" w:rsidP="00BD42DE">
            <w:pPr>
              <w:pStyle w:val="TableText0"/>
              <w:rPr>
                <w:rFonts w:cs="Calibri"/>
                <w:szCs w:val="18"/>
              </w:rPr>
            </w:pPr>
            <w:r w:rsidRPr="005D6D89">
              <w:rPr>
                <w:rFonts w:cs="Calibri"/>
                <w:szCs w:val="18"/>
              </w:rPr>
              <w:t>Min</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640F93C" w14:textId="77777777" w:rsidR="00BD42DE" w:rsidRPr="005D6D89" w:rsidRDefault="00BD42DE" w:rsidP="00BD42DE">
            <w:pPr>
              <w:pStyle w:val="TableText0"/>
              <w:rPr>
                <w:rFonts w:cs="Calibri"/>
                <w:szCs w:val="18"/>
              </w:rPr>
            </w:pPr>
          </w:p>
        </w:tc>
        <w:tc>
          <w:tcPr>
            <w:tcW w:w="103" w:type="pct"/>
            <w:vMerge w:val="restart"/>
            <w:tcBorders>
              <w:top w:val="single" w:sz="4" w:space="0" w:color="2C9986"/>
              <w:left w:val="single" w:sz="4" w:space="0" w:color="2C9986"/>
              <w:bottom w:val="single" w:sz="4" w:space="0" w:color="2C9986"/>
              <w:right w:val="single" w:sz="4" w:space="0" w:color="2C9986"/>
            </w:tcBorders>
            <w:textDirection w:val="btLr"/>
          </w:tcPr>
          <w:p w14:paraId="55A62AEB" w14:textId="77777777" w:rsidR="00BD42DE" w:rsidRPr="005D6D89" w:rsidRDefault="00BD42DE" w:rsidP="00BD42DE">
            <w:pPr>
              <w:pStyle w:val="TableText0"/>
              <w:ind w:left="113" w:right="113"/>
              <w:jc w:val="right"/>
              <w:rPr>
                <w:rFonts w:cs="Calibri"/>
                <w:b/>
                <w:szCs w:val="18"/>
              </w:rPr>
            </w:pPr>
            <w:r w:rsidRPr="005D6D89">
              <w:rPr>
                <w:rFonts w:cs="Calibri"/>
                <w:b/>
                <w:szCs w:val="18"/>
              </w:rPr>
              <w:t>Consequence</w:t>
            </w: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2C95515" w14:textId="77777777" w:rsidR="00BD42DE" w:rsidRPr="005D6D89" w:rsidRDefault="00BD42DE" w:rsidP="00BD42DE">
            <w:pPr>
              <w:pStyle w:val="TableText0"/>
              <w:rPr>
                <w:rFonts w:cs="Calibri"/>
                <w:b/>
                <w:szCs w:val="18"/>
              </w:rPr>
            </w:pPr>
            <w:r w:rsidRPr="005D6D89">
              <w:rPr>
                <w:rFonts w:cs="Calibri"/>
                <w:b/>
                <w:szCs w:val="18"/>
              </w:rPr>
              <w:t>Now</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60D1ED0E" w14:textId="77777777" w:rsidR="00BD42DE" w:rsidRPr="005D6D89" w:rsidRDefault="00BD42DE" w:rsidP="00BD42DE">
            <w:pPr>
              <w:pStyle w:val="TableText0"/>
              <w:rPr>
                <w:rFonts w:cs="Calibri"/>
                <w:szCs w:val="18"/>
              </w:rPr>
            </w:pPr>
            <w:r w:rsidRPr="005D6D89">
              <w:rPr>
                <w:rFonts w:cs="Calibri"/>
                <w:szCs w:val="18"/>
              </w:rPr>
              <w:t>Maj</w:t>
            </w:r>
            <w:r w:rsidR="00845880">
              <w:rPr>
                <w:rFonts w:cs="Calibri"/>
                <w:szCs w:val="18"/>
              </w:rPr>
              <w:t>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0801789" w14:textId="77777777" w:rsidR="00BD42DE" w:rsidRPr="005D6D89" w:rsidRDefault="00BD42DE" w:rsidP="00BD42DE">
            <w:pPr>
              <w:pStyle w:val="TableText0"/>
              <w:rPr>
                <w:rFonts w:cs="Calibri"/>
                <w:szCs w:val="18"/>
              </w:rPr>
            </w:pPr>
          </w:p>
        </w:tc>
        <w:tc>
          <w:tcPr>
            <w:tcW w:w="100" w:type="pct"/>
            <w:vMerge w:val="restart"/>
            <w:tcBorders>
              <w:top w:val="single" w:sz="4" w:space="0" w:color="2C9986"/>
              <w:left w:val="single" w:sz="4" w:space="0" w:color="2C9986"/>
              <w:bottom w:val="single" w:sz="4" w:space="0" w:color="2C9986"/>
              <w:right w:val="single" w:sz="4" w:space="0" w:color="2C9986"/>
            </w:tcBorders>
            <w:textDirection w:val="btLr"/>
          </w:tcPr>
          <w:p w14:paraId="7D13E0B8" w14:textId="77777777" w:rsidR="00BD42DE" w:rsidRPr="005D6D89" w:rsidRDefault="00BD42DE" w:rsidP="00BD42DE">
            <w:pPr>
              <w:pStyle w:val="TableText0"/>
              <w:ind w:left="113" w:right="113"/>
              <w:jc w:val="right"/>
              <w:rPr>
                <w:rFonts w:cs="Calibri"/>
                <w:b/>
                <w:szCs w:val="18"/>
              </w:rPr>
            </w:pPr>
            <w:r w:rsidRPr="005D6D89">
              <w:rPr>
                <w:rFonts w:cs="Calibri"/>
                <w:b/>
                <w:szCs w:val="18"/>
              </w:rPr>
              <w:t>Consequence</w:t>
            </w: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EA10015" w14:textId="77777777" w:rsidR="00BD42DE" w:rsidRPr="005D6D89" w:rsidRDefault="00BD42DE" w:rsidP="00BD42DE">
            <w:pPr>
              <w:pStyle w:val="TableText0"/>
              <w:rPr>
                <w:rFonts w:cs="Calibri"/>
                <w:b/>
                <w:szCs w:val="18"/>
              </w:rPr>
            </w:pPr>
            <w:r w:rsidRPr="005D6D89">
              <w:rPr>
                <w:rFonts w:cs="Calibri"/>
                <w:b/>
                <w:szCs w:val="18"/>
              </w:rPr>
              <w:t>Now</w:t>
            </w:r>
          </w:p>
        </w:tc>
        <w:tc>
          <w:tcPr>
            <w:tcW w:w="174" w:type="pct"/>
            <w:tcBorders>
              <w:top w:val="single" w:sz="4" w:space="0" w:color="2C9986"/>
              <w:left w:val="single" w:sz="4" w:space="0" w:color="2C9986"/>
              <w:bottom w:val="single" w:sz="4" w:space="0" w:color="2C9986"/>
            </w:tcBorders>
            <w:shd w:val="clear" w:color="auto" w:fill="auto"/>
          </w:tcPr>
          <w:p w14:paraId="018D0E9C" w14:textId="77777777" w:rsidR="00BD42DE" w:rsidRPr="005D6D89" w:rsidRDefault="00BD42DE" w:rsidP="00BD42DE">
            <w:pPr>
              <w:pStyle w:val="TableText0"/>
              <w:rPr>
                <w:rFonts w:cs="Calibri"/>
                <w:szCs w:val="18"/>
              </w:rPr>
            </w:pPr>
            <w:r w:rsidRPr="005D6D89">
              <w:rPr>
                <w:rFonts w:cs="Calibri"/>
                <w:szCs w:val="18"/>
              </w:rPr>
              <w:t>Maj</w:t>
            </w:r>
            <w:r w:rsidR="00845880">
              <w:rPr>
                <w:rFonts w:cs="Calibri"/>
                <w:szCs w:val="18"/>
              </w:rPr>
              <w:t>or</w:t>
            </w:r>
          </w:p>
        </w:tc>
      </w:tr>
      <w:tr w:rsidR="00857C1C" w:rsidRPr="005D6D89" w14:paraId="5138E303"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1C3F27E2" w14:textId="77777777" w:rsidR="00BD42DE" w:rsidRPr="005D6D89" w:rsidRDefault="00BD42DE" w:rsidP="00BD42DE">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3DE9B74C"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A29A48E" w14:textId="77777777" w:rsidR="00BD42DE" w:rsidRPr="005D6D89" w:rsidRDefault="00BD42DE" w:rsidP="00C81B28">
            <w:pPr>
              <w:pStyle w:val="TableText0"/>
              <w:rPr>
                <w:rFonts w:cs="Calibri"/>
                <w:b/>
                <w:szCs w:val="18"/>
              </w:rPr>
            </w:pPr>
            <w:r w:rsidRPr="005D6D89">
              <w:rPr>
                <w:rFonts w:cs="Calibri"/>
                <w:b/>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3A9AB7C0" w14:textId="77777777" w:rsidR="00BD42DE" w:rsidRPr="005D6D89" w:rsidRDefault="00BD42DE" w:rsidP="00C81B28">
            <w:pPr>
              <w:pStyle w:val="TableText0"/>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C880442" w14:textId="77777777" w:rsidR="00BD42DE" w:rsidRPr="005D6D89" w:rsidRDefault="00BD42DE" w:rsidP="00BD42DE">
            <w:pPr>
              <w:rPr>
                <w:rFonts w:cs="Calibri"/>
                <w:sz w:val="18"/>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69184B10" w14:textId="77777777" w:rsidR="00BD42DE" w:rsidRPr="005D6D89" w:rsidRDefault="00BD42DE" w:rsidP="00BD42DE">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404A503"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213B5C21" w14:textId="77777777" w:rsidR="00BD42DE" w:rsidRPr="005D6D89" w:rsidRDefault="00BD42DE" w:rsidP="00BD42DE">
            <w:pPr>
              <w:pStyle w:val="TableText0"/>
              <w:rPr>
                <w:rFonts w:cs="Calibri"/>
                <w:szCs w:val="18"/>
              </w:rPr>
            </w:pPr>
            <w:r w:rsidRPr="005D6D89">
              <w:rPr>
                <w:rFonts w:cs="Calibri"/>
                <w:szCs w:val="18"/>
              </w:rPr>
              <w:t>Ext</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D4A1103" w14:textId="77777777" w:rsidR="00BD42DE" w:rsidRPr="005D6D89" w:rsidRDefault="00BD42DE" w:rsidP="00BD42DE">
            <w:pPr>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1D7B94AE" w14:textId="77777777" w:rsidR="00BD42DE" w:rsidRPr="005D6D89" w:rsidRDefault="00BD42DE" w:rsidP="00BD42DE">
            <w:pPr>
              <w:rPr>
                <w:rFonts w:cs="Calibri"/>
                <w:b/>
                <w:sz w:val="18"/>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903A2F7"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0B8FA9B6" w14:textId="77777777" w:rsidR="00BD42DE" w:rsidRPr="005D6D89" w:rsidRDefault="00BD42DE" w:rsidP="00BD42DE">
            <w:pPr>
              <w:pStyle w:val="TableText0"/>
              <w:rPr>
                <w:rFonts w:cs="Calibri"/>
                <w:szCs w:val="18"/>
              </w:rPr>
            </w:pPr>
            <w:r w:rsidRPr="005D6D89">
              <w:rPr>
                <w:rFonts w:cs="Calibri"/>
                <w:szCs w:val="18"/>
              </w:rPr>
              <w:t>Mod</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16E65A3" w14:textId="77777777" w:rsidR="00BD42DE" w:rsidRPr="005D6D89" w:rsidRDefault="00BD42DE" w:rsidP="00BD42DE">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233DF2BC" w14:textId="77777777" w:rsidR="00BD42DE" w:rsidRPr="005D6D89" w:rsidRDefault="00BD42DE" w:rsidP="00BD42DE">
            <w:pPr>
              <w:pStyle w:val="TableText0"/>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A95EBF1"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048947A2" w14:textId="77777777" w:rsidR="00BD42DE" w:rsidRPr="005D6D89" w:rsidRDefault="00BD42DE" w:rsidP="00BD42DE">
            <w:pPr>
              <w:pStyle w:val="TableText0"/>
              <w:rPr>
                <w:rFonts w:cs="Calibri"/>
                <w:szCs w:val="18"/>
              </w:rPr>
            </w:pPr>
            <w:r w:rsidRPr="005D6D89">
              <w:rPr>
                <w:rFonts w:cs="Calibri"/>
                <w:szCs w:val="18"/>
              </w:rPr>
              <w:t>Ext</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18DC57B" w14:textId="77777777" w:rsidR="00BD42DE" w:rsidRPr="005D6D89" w:rsidRDefault="00BD42DE" w:rsidP="00BD42DE">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56DDB8EE" w14:textId="77777777" w:rsidR="00BD42DE" w:rsidRPr="005D6D89" w:rsidRDefault="00BD42DE" w:rsidP="00BD42DE">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30C539D"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74" w:type="pct"/>
            <w:tcBorders>
              <w:top w:val="single" w:sz="4" w:space="0" w:color="2C9986"/>
              <w:left w:val="single" w:sz="4" w:space="0" w:color="2C9986"/>
              <w:bottom w:val="single" w:sz="4" w:space="0" w:color="2C9986"/>
            </w:tcBorders>
            <w:shd w:val="clear" w:color="auto" w:fill="auto"/>
          </w:tcPr>
          <w:p w14:paraId="5AF056A5" w14:textId="77777777" w:rsidR="00BD42DE" w:rsidRPr="005D6D89" w:rsidRDefault="00BD42DE" w:rsidP="00BD42DE">
            <w:pPr>
              <w:pStyle w:val="TableText0"/>
              <w:rPr>
                <w:rFonts w:cs="Calibri"/>
                <w:szCs w:val="18"/>
              </w:rPr>
            </w:pPr>
            <w:r w:rsidRPr="005D6D89">
              <w:rPr>
                <w:rFonts w:cs="Calibri"/>
                <w:szCs w:val="18"/>
              </w:rPr>
              <w:t>Ext</w:t>
            </w:r>
          </w:p>
        </w:tc>
      </w:tr>
      <w:tr w:rsidR="00857C1C" w:rsidRPr="005D6D89" w14:paraId="12D856C5" w14:textId="77777777" w:rsidTr="00DD5D2B">
        <w:tc>
          <w:tcPr>
            <w:tcW w:w="563" w:type="pct"/>
            <w:vMerge/>
            <w:tcBorders>
              <w:top w:val="single" w:sz="4" w:space="0" w:color="2C9986"/>
              <w:bottom w:val="nil"/>
              <w:right w:val="single" w:sz="4" w:space="0" w:color="2C9986"/>
            </w:tcBorders>
            <w:shd w:val="clear" w:color="auto" w:fill="auto"/>
            <w:tcMar>
              <w:top w:w="57" w:type="dxa"/>
            </w:tcMar>
          </w:tcPr>
          <w:p w14:paraId="0E69D996" w14:textId="77777777" w:rsidR="00BD42DE" w:rsidRPr="005D6D89" w:rsidRDefault="00BD42DE" w:rsidP="00BD42DE">
            <w:pPr>
              <w:pStyle w:val="TableText0"/>
              <w:rPr>
                <w:rFonts w:cs="Calibri"/>
                <w:szCs w:val="18"/>
              </w:rPr>
            </w:pPr>
          </w:p>
        </w:tc>
        <w:tc>
          <w:tcPr>
            <w:tcW w:w="85" w:type="pct"/>
            <w:vMerge/>
            <w:tcBorders>
              <w:top w:val="single" w:sz="4" w:space="0" w:color="2C9986"/>
              <w:left w:val="single" w:sz="4" w:space="0" w:color="2C9986"/>
              <w:bottom w:val="nil"/>
              <w:right w:val="single" w:sz="4" w:space="0" w:color="2C9986"/>
            </w:tcBorders>
          </w:tcPr>
          <w:p w14:paraId="0DCD0DC3"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nil"/>
              <w:right w:val="single" w:sz="4" w:space="0" w:color="2C9986"/>
            </w:tcBorders>
            <w:shd w:val="clear" w:color="auto" w:fill="auto"/>
            <w:tcMar>
              <w:top w:w="57" w:type="dxa"/>
            </w:tcMar>
          </w:tcPr>
          <w:p w14:paraId="0E95A325" w14:textId="77777777" w:rsidR="00BD42DE" w:rsidRPr="005D6D89" w:rsidRDefault="00BD42DE" w:rsidP="00C81B28">
            <w:pPr>
              <w:pStyle w:val="TableText0"/>
              <w:rPr>
                <w:rFonts w:cs="Calibri"/>
                <w:b/>
                <w:szCs w:val="18"/>
              </w:rPr>
            </w:pPr>
            <w:r w:rsidRPr="005D6D89">
              <w:rPr>
                <w:rFonts w:cs="Calibri"/>
                <w:b/>
                <w:szCs w:val="18"/>
              </w:rPr>
              <w:t>2100</w:t>
            </w:r>
          </w:p>
        </w:tc>
        <w:tc>
          <w:tcPr>
            <w:tcW w:w="152" w:type="pct"/>
            <w:tcBorders>
              <w:top w:val="single" w:sz="4" w:space="0" w:color="2C9986"/>
              <w:left w:val="single" w:sz="4" w:space="0" w:color="2C9986"/>
              <w:bottom w:val="nil"/>
              <w:right w:val="single" w:sz="4" w:space="0" w:color="2C9986"/>
            </w:tcBorders>
            <w:shd w:val="clear" w:color="auto" w:fill="auto"/>
          </w:tcPr>
          <w:p w14:paraId="1DA089DA" w14:textId="77777777" w:rsidR="00BD42DE" w:rsidRPr="005D6D89" w:rsidRDefault="00BD42DE" w:rsidP="00C81B28">
            <w:pPr>
              <w:pStyle w:val="TableText0"/>
              <w:rPr>
                <w:rFonts w:cs="Calibri"/>
                <w:szCs w:val="18"/>
              </w:rPr>
            </w:pPr>
            <w:r w:rsidRPr="005D6D89">
              <w:rPr>
                <w:rFonts w:cs="Calibri"/>
                <w:szCs w:val="18"/>
              </w:rPr>
              <w:t>Maj</w:t>
            </w:r>
            <w:r w:rsidR="007D31C2" w:rsidRPr="005D6D89">
              <w:rPr>
                <w:rFonts w:cs="Calibri"/>
                <w:szCs w:val="18"/>
              </w:rPr>
              <w:t>or</w:t>
            </w:r>
          </w:p>
        </w:tc>
        <w:tc>
          <w:tcPr>
            <w:tcW w:w="548" w:type="pct"/>
            <w:vMerge/>
            <w:tcBorders>
              <w:top w:val="single" w:sz="4" w:space="0" w:color="2C9986"/>
              <w:left w:val="single" w:sz="4" w:space="0" w:color="2C9986"/>
              <w:bottom w:val="nil"/>
              <w:right w:val="single" w:sz="4" w:space="0" w:color="2C9986"/>
            </w:tcBorders>
            <w:shd w:val="clear" w:color="auto" w:fill="auto"/>
            <w:tcMar>
              <w:top w:w="57" w:type="dxa"/>
            </w:tcMar>
          </w:tcPr>
          <w:p w14:paraId="32D527A5" w14:textId="77777777" w:rsidR="00BD42DE" w:rsidRPr="005D6D89" w:rsidRDefault="00BD42DE" w:rsidP="00BD42DE">
            <w:pPr>
              <w:rPr>
                <w:rFonts w:cs="Calibri"/>
                <w:sz w:val="18"/>
                <w:szCs w:val="18"/>
              </w:rPr>
            </w:pPr>
          </w:p>
        </w:tc>
        <w:tc>
          <w:tcPr>
            <w:tcW w:w="82" w:type="pct"/>
            <w:vMerge/>
            <w:tcBorders>
              <w:top w:val="single" w:sz="4" w:space="0" w:color="2C9986"/>
              <w:left w:val="single" w:sz="4" w:space="0" w:color="2C9986"/>
              <w:bottom w:val="nil"/>
              <w:right w:val="single" w:sz="4" w:space="0" w:color="2C9986"/>
            </w:tcBorders>
          </w:tcPr>
          <w:p w14:paraId="365EA84E" w14:textId="77777777" w:rsidR="00BD42DE" w:rsidRPr="005D6D89" w:rsidRDefault="00BD42DE" w:rsidP="00BD42DE">
            <w:pPr>
              <w:pStyle w:val="TableText0"/>
              <w:rPr>
                <w:rFonts w:cs="Calibri"/>
                <w:b/>
                <w:szCs w:val="18"/>
              </w:rPr>
            </w:pPr>
          </w:p>
        </w:tc>
        <w:tc>
          <w:tcPr>
            <w:tcW w:w="175" w:type="pct"/>
            <w:tcBorders>
              <w:top w:val="single" w:sz="4" w:space="0" w:color="2C9986"/>
              <w:left w:val="single" w:sz="4" w:space="0" w:color="2C9986"/>
              <w:bottom w:val="nil"/>
              <w:right w:val="single" w:sz="4" w:space="0" w:color="2C9986"/>
            </w:tcBorders>
            <w:shd w:val="clear" w:color="auto" w:fill="auto"/>
            <w:tcMar>
              <w:top w:w="57" w:type="dxa"/>
            </w:tcMar>
          </w:tcPr>
          <w:p w14:paraId="686B7720" w14:textId="77777777" w:rsidR="00BD42DE" w:rsidRPr="005D6D89" w:rsidRDefault="00BD42DE" w:rsidP="00BD42DE">
            <w:pPr>
              <w:pStyle w:val="TableText0"/>
              <w:rPr>
                <w:rFonts w:cs="Calibri"/>
                <w:b/>
                <w:szCs w:val="18"/>
              </w:rPr>
            </w:pPr>
            <w:r w:rsidRPr="005D6D89">
              <w:rPr>
                <w:rFonts w:cs="Calibri"/>
                <w:b/>
                <w:szCs w:val="18"/>
              </w:rPr>
              <w:t>2100</w:t>
            </w:r>
          </w:p>
        </w:tc>
        <w:tc>
          <w:tcPr>
            <w:tcW w:w="169" w:type="pct"/>
            <w:tcBorders>
              <w:top w:val="single" w:sz="4" w:space="0" w:color="2C9986"/>
              <w:left w:val="single" w:sz="4" w:space="0" w:color="2C9986"/>
              <w:bottom w:val="nil"/>
              <w:right w:val="single" w:sz="4" w:space="0" w:color="2C9986"/>
            </w:tcBorders>
            <w:shd w:val="clear" w:color="auto" w:fill="auto"/>
          </w:tcPr>
          <w:p w14:paraId="7DC5E8B4" w14:textId="77777777" w:rsidR="00BD42DE" w:rsidRPr="005D6D89" w:rsidRDefault="00BD42DE" w:rsidP="00BD42DE">
            <w:pPr>
              <w:pStyle w:val="TableText0"/>
              <w:rPr>
                <w:rFonts w:cs="Calibri"/>
                <w:szCs w:val="18"/>
              </w:rPr>
            </w:pPr>
            <w:r w:rsidRPr="005D6D89">
              <w:rPr>
                <w:rFonts w:cs="Calibri"/>
                <w:szCs w:val="18"/>
              </w:rPr>
              <w:t>Ext</w:t>
            </w:r>
          </w:p>
        </w:tc>
        <w:tc>
          <w:tcPr>
            <w:tcW w:w="608" w:type="pct"/>
            <w:vMerge/>
            <w:tcBorders>
              <w:top w:val="single" w:sz="4" w:space="0" w:color="2C9986"/>
              <w:left w:val="single" w:sz="4" w:space="0" w:color="2C9986"/>
              <w:bottom w:val="nil"/>
              <w:right w:val="single" w:sz="4" w:space="0" w:color="2C9986"/>
            </w:tcBorders>
            <w:shd w:val="clear" w:color="auto" w:fill="auto"/>
            <w:tcMar>
              <w:top w:w="57" w:type="dxa"/>
            </w:tcMar>
          </w:tcPr>
          <w:p w14:paraId="2C7D38AE" w14:textId="77777777" w:rsidR="00BD42DE" w:rsidRPr="005D6D89" w:rsidRDefault="00BD42DE" w:rsidP="00BD42DE">
            <w:pPr>
              <w:rPr>
                <w:rFonts w:cs="Calibri"/>
                <w:sz w:val="18"/>
                <w:szCs w:val="18"/>
              </w:rPr>
            </w:pPr>
          </w:p>
        </w:tc>
        <w:tc>
          <w:tcPr>
            <w:tcW w:w="90" w:type="pct"/>
            <w:vMerge/>
            <w:tcBorders>
              <w:top w:val="single" w:sz="4" w:space="0" w:color="2C9986"/>
              <w:left w:val="single" w:sz="4" w:space="0" w:color="2C9986"/>
              <w:bottom w:val="nil"/>
              <w:right w:val="single" w:sz="4" w:space="0" w:color="2C9986"/>
            </w:tcBorders>
          </w:tcPr>
          <w:p w14:paraId="5AF42547" w14:textId="77777777" w:rsidR="00BD42DE" w:rsidRPr="005D6D89" w:rsidRDefault="00BD42DE" w:rsidP="00BD42DE">
            <w:pPr>
              <w:rPr>
                <w:rFonts w:cs="Calibri"/>
                <w:b/>
                <w:sz w:val="18"/>
                <w:szCs w:val="18"/>
              </w:rPr>
            </w:pPr>
          </w:p>
        </w:tc>
        <w:tc>
          <w:tcPr>
            <w:tcW w:w="178" w:type="pct"/>
            <w:tcBorders>
              <w:top w:val="single" w:sz="4" w:space="0" w:color="2C9986"/>
              <w:left w:val="single" w:sz="4" w:space="0" w:color="2C9986"/>
              <w:bottom w:val="nil"/>
              <w:right w:val="single" w:sz="4" w:space="0" w:color="2C9986"/>
            </w:tcBorders>
            <w:shd w:val="clear" w:color="auto" w:fill="auto"/>
            <w:tcMar>
              <w:top w:w="57" w:type="dxa"/>
            </w:tcMar>
          </w:tcPr>
          <w:p w14:paraId="63470C3A" w14:textId="77777777" w:rsidR="00BD42DE" w:rsidRPr="005D6D89" w:rsidRDefault="00BD42DE" w:rsidP="00BD42DE">
            <w:pPr>
              <w:pStyle w:val="TableText0"/>
              <w:rPr>
                <w:rFonts w:cs="Calibri"/>
                <w:b/>
                <w:szCs w:val="18"/>
              </w:rPr>
            </w:pPr>
            <w:r w:rsidRPr="005D6D89">
              <w:rPr>
                <w:rFonts w:cs="Calibri"/>
                <w:b/>
                <w:szCs w:val="18"/>
              </w:rPr>
              <w:t>2100</w:t>
            </w:r>
          </w:p>
        </w:tc>
        <w:tc>
          <w:tcPr>
            <w:tcW w:w="159" w:type="pct"/>
            <w:tcBorders>
              <w:top w:val="single" w:sz="4" w:space="0" w:color="2C9986"/>
              <w:left w:val="single" w:sz="4" w:space="0" w:color="2C9986"/>
              <w:bottom w:val="nil"/>
              <w:right w:val="single" w:sz="4" w:space="0" w:color="2C9986"/>
            </w:tcBorders>
            <w:shd w:val="clear" w:color="auto" w:fill="auto"/>
          </w:tcPr>
          <w:p w14:paraId="37ACFB71" w14:textId="77777777" w:rsidR="00BD42DE" w:rsidRPr="005D6D89" w:rsidRDefault="00CD1CDB" w:rsidP="00BD42DE">
            <w:pPr>
              <w:pStyle w:val="TableText0"/>
              <w:rPr>
                <w:rFonts w:cs="Calibri"/>
                <w:szCs w:val="18"/>
              </w:rPr>
            </w:pPr>
            <w:r w:rsidRPr="005D6D89">
              <w:rPr>
                <w:rFonts w:cs="Calibri"/>
                <w:szCs w:val="18"/>
              </w:rPr>
              <w:t>Major</w:t>
            </w:r>
          </w:p>
        </w:tc>
        <w:tc>
          <w:tcPr>
            <w:tcW w:w="589" w:type="pct"/>
            <w:vMerge/>
            <w:tcBorders>
              <w:top w:val="single" w:sz="4" w:space="0" w:color="2C9986"/>
              <w:left w:val="single" w:sz="4" w:space="0" w:color="2C9986"/>
              <w:bottom w:val="nil"/>
              <w:right w:val="single" w:sz="4" w:space="0" w:color="2C9986"/>
            </w:tcBorders>
            <w:shd w:val="clear" w:color="auto" w:fill="auto"/>
            <w:tcMar>
              <w:top w:w="57" w:type="dxa"/>
            </w:tcMar>
          </w:tcPr>
          <w:p w14:paraId="0236E6E3" w14:textId="77777777" w:rsidR="00BD42DE" w:rsidRPr="005D6D89" w:rsidRDefault="00BD42DE" w:rsidP="00BD42DE">
            <w:pPr>
              <w:pStyle w:val="TableText0"/>
              <w:rPr>
                <w:rFonts w:cs="Calibri"/>
                <w:szCs w:val="18"/>
              </w:rPr>
            </w:pPr>
          </w:p>
        </w:tc>
        <w:tc>
          <w:tcPr>
            <w:tcW w:w="103" w:type="pct"/>
            <w:vMerge/>
            <w:tcBorders>
              <w:top w:val="single" w:sz="4" w:space="0" w:color="2C9986"/>
              <w:left w:val="single" w:sz="4" w:space="0" w:color="2C9986"/>
              <w:bottom w:val="nil"/>
              <w:right w:val="single" w:sz="4" w:space="0" w:color="2C9986"/>
            </w:tcBorders>
          </w:tcPr>
          <w:p w14:paraId="0F4434DC" w14:textId="77777777" w:rsidR="00BD42DE" w:rsidRPr="005D6D89" w:rsidRDefault="00BD42DE" w:rsidP="00BD42DE">
            <w:pPr>
              <w:pStyle w:val="TableText0"/>
              <w:rPr>
                <w:rFonts w:cs="Calibri"/>
                <w:b/>
                <w:szCs w:val="18"/>
              </w:rPr>
            </w:pPr>
          </w:p>
        </w:tc>
        <w:tc>
          <w:tcPr>
            <w:tcW w:w="174" w:type="pct"/>
            <w:tcBorders>
              <w:top w:val="single" w:sz="4" w:space="0" w:color="2C9986"/>
              <w:left w:val="single" w:sz="4" w:space="0" w:color="2C9986"/>
              <w:bottom w:val="nil"/>
              <w:right w:val="single" w:sz="4" w:space="0" w:color="2C9986"/>
            </w:tcBorders>
            <w:shd w:val="clear" w:color="auto" w:fill="auto"/>
            <w:tcMar>
              <w:top w:w="57" w:type="dxa"/>
            </w:tcMar>
          </w:tcPr>
          <w:p w14:paraId="46AC9DB6" w14:textId="77777777" w:rsidR="00BD42DE" w:rsidRPr="005D6D89" w:rsidRDefault="00BD42DE" w:rsidP="00BD42DE">
            <w:pPr>
              <w:pStyle w:val="TableText0"/>
              <w:rPr>
                <w:rFonts w:cs="Calibri"/>
                <w:b/>
                <w:szCs w:val="18"/>
              </w:rPr>
            </w:pPr>
            <w:r w:rsidRPr="005D6D89">
              <w:rPr>
                <w:rFonts w:cs="Calibri"/>
                <w:b/>
                <w:szCs w:val="18"/>
              </w:rPr>
              <w:t>2100</w:t>
            </w:r>
          </w:p>
        </w:tc>
        <w:tc>
          <w:tcPr>
            <w:tcW w:w="157" w:type="pct"/>
            <w:tcBorders>
              <w:top w:val="single" w:sz="4" w:space="0" w:color="2C9986"/>
              <w:left w:val="single" w:sz="4" w:space="0" w:color="2C9986"/>
              <w:bottom w:val="nil"/>
              <w:right w:val="single" w:sz="4" w:space="0" w:color="2C9986"/>
            </w:tcBorders>
            <w:shd w:val="clear" w:color="auto" w:fill="auto"/>
          </w:tcPr>
          <w:p w14:paraId="672B2C07" w14:textId="77777777" w:rsidR="00BD42DE" w:rsidRPr="005D6D89" w:rsidRDefault="00BD42DE" w:rsidP="00BD42DE">
            <w:pPr>
              <w:pStyle w:val="TableText0"/>
              <w:rPr>
                <w:rFonts w:cs="Calibri"/>
                <w:szCs w:val="18"/>
              </w:rPr>
            </w:pPr>
            <w:r w:rsidRPr="005D6D89">
              <w:rPr>
                <w:rFonts w:cs="Calibri"/>
                <w:szCs w:val="18"/>
              </w:rPr>
              <w:t>Ext</w:t>
            </w:r>
          </w:p>
        </w:tc>
        <w:tc>
          <w:tcPr>
            <w:tcW w:w="568" w:type="pct"/>
            <w:gridSpan w:val="2"/>
            <w:vMerge/>
            <w:tcBorders>
              <w:top w:val="single" w:sz="4" w:space="0" w:color="2C9986"/>
              <w:left w:val="single" w:sz="4" w:space="0" w:color="2C9986"/>
              <w:bottom w:val="nil"/>
              <w:right w:val="single" w:sz="4" w:space="0" w:color="2C9986"/>
            </w:tcBorders>
            <w:shd w:val="clear" w:color="auto" w:fill="auto"/>
            <w:tcMar>
              <w:top w:w="57" w:type="dxa"/>
            </w:tcMar>
          </w:tcPr>
          <w:p w14:paraId="7E44EB5F" w14:textId="77777777" w:rsidR="00BD42DE" w:rsidRPr="005D6D89" w:rsidRDefault="00BD42DE" w:rsidP="00BD42DE">
            <w:pPr>
              <w:pStyle w:val="TableText0"/>
              <w:rPr>
                <w:rFonts w:cs="Calibri"/>
                <w:szCs w:val="18"/>
              </w:rPr>
            </w:pPr>
          </w:p>
        </w:tc>
        <w:tc>
          <w:tcPr>
            <w:tcW w:w="100" w:type="pct"/>
            <w:vMerge/>
            <w:tcBorders>
              <w:top w:val="single" w:sz="4" w:space="0" w:color="2C9986"/>
              <w:left w:val="single" w:sz="4" w:space="0" w:color="2C9986"/>
              <w:bottom w:val="nil"/>
              <w:right w:val="single" w:sz="4" w:space="0" w:color="2C9986"/>
            </w:tcBorders>
          </w:tcPr>
          <w:p w14:paraId="35068BC1" w14:textId="77777777" w:rsidR="00BD42DE" w:rsidRPr="005D6D89" w:rsidRDefault="00BD42DE" w:rsidP="00BD42DE">
            <w:pPr>
              <w:pStyle w:val="TableText0"/>
              <w:rPr>
                <w:rFonts w:cs="Calibri"/>
                <w:b/>
                <w:szCs w:val="18"/>
              </w:rPr>
            </w:pPr>
          </w:p>
        </w:tc>
        <w:tc>
          <w:tcPr>
            <w:tcW w:w="168" w:type="pct"/>
            <w:tcBorders>
              <w:top w:val="single" w:sz="4" w:space="0" w:color="2C9986"/>
              <w:left w:val="single" w:sz="4" w:space="0" w:color="2C9986"/>
              <w:bottom w:val="nil"/>
              <w:right w:val="single" w:sz="4" w:space="0" w:color="2C9986"/>
            </w:tcBorders>
            <w:shd w:val="clear" w:color="auto" w:fill="auto"/>
            <w:tcMar>
              <w:top w:w="57" w:type="dxa"/>
            </w:tcMar>
          </w:tcPr>
          <w:p w14:paraId="572C48D9" w14:textId="77777777" w:rsidR="00BD42DE" w:rsidRPr="005D6D89" w:rsidRDefault="00BD42DE" w:rsidP="00BD42DE">
            <w:pPr>
              <w:pStyle w:val="TableText0"/>
              <w:rPr>
                <w:rFonts w:cs="Calibri"/>
                <w:b/>
                <w:szCs w:val="18"/>
              </w:rPr>
            </w:pPr>
            <w:r w:rsidRPr="005D6D89">
              <w:rPr>
                <w:rFonts w:cs="Calibri"/>
                <w:b/>
                <w:szCs w:val="18"/>
              </w:rPr>
              <w:t>2100</w:t>
            </w:r>
          </w:p>
        </w:tc>
        <w:tc>
          <w:tcPr>
            <w:tcW w:w="174" w:type="pct"/>
            <w:tcBorders>
              <w:top w:val="single" w:sz="4" w:space="0" w:color="2C9986"/>
              <w:left w:val="single" w:sz="4" w:space="0" w:color="2C9986"/>
              <w:bottom w:val="nil"/>
            </w:tcBorders>
            <w:shd w:val="clear" w:color="auto" w:fill="auto"/>
          </w:tcPr>
          <w:p w14:paraId="58F38F96" w14:textId="77777777" w:rsidR="00BD42DE" w:rsidRPr="005D6D89" w:rsidRDefault="00BD42DE" w:rsidP="00BD42DE">
            <w:pPr>
              <w:pStyle w:val="TableText0"/>
              <w:rPr>
                <w:rFonts w:cs="Calibri"/>
                <w:szCs w:val="18"/>
              </w:rPr>
            </w:pPr>
            <w:r w:rsidRPr="005D6D89">
              <w:rPr>
                <w:rFonts w:cs="Calibri"/>
                <w:szCs w:val="18"/>
              </w:rPr>
              <w:t>Ext</w:t>
            </w:r>
          </w:p>
        </w:tc>
      </w:tr>
      <w:tr w:rsidR="00673CF2" w:rsidRPr="005D6D89" w14:paraId="6C628516" w14:textId="77777777" w:rsidTr="00DD5D2B">
        <w:tc>
          <w:tcPr>
            <w:tcW w:w="5000" w:type="pct"/>
            <w:gridSpan w:val="21"/>
            <w:tcBorders>
              <w:top w:val="nil"/>
              <w:bottom w:val="nil"/>
            </w:tcBorders>
            <w:shd w:val="clear" w:color="auto" w:fill="1C556C" w:themeFill="accent1"/>
            <w:tcMar>
              <w:top w:w="57" w:type="dxa"/>
            </w:tcMar>
          </w:tcPr>
          <w:p w14:paraId="10857EEA" w14:textId="77777777" w:rsidR="00BD42DE" w:rsidRPr="005D6D89" w:rsidRDefault="00BD42DE" w:rsidP="00BD42DE">
            <w:pPr>
              <w:pStyle w:val="TableTextBold0"/>
              <w:rPr>
                <w:rFonts w:cs="Calibri"/>
                <w:color w:val="FFFFFF" w:themeColor="background1"/>
                <w:szCs w:val="18"/>
              </w:rPr>
            </w:pPr>
            <w:r w:rsidRPr="005D6D89">
              <w:rPr>
                <w:rFonts w:cs="Calibri"/>
                <w:color w:val="FFFFFF" w:themeColor="background1"/>
                <w:szCs w:val="18"/>
              </w:rPr>
              <w:t xml:space="preserve">Other priority risks </w:t>
            </w:r>
          </w:p>
        </w:tc>
      </w:tr>
      <w:tr w:rsidR="003F1B2E" w:rsidRPr="005D6D89" w14:paraId="7077C82E" w14:textId="77777777" w:rsidTr="00400A58">
        <w:tc>
          <w:tcPr>
            <w:tcW w:w="563" w:type="pct"/>
            <w:tcBorders>
              <w:top w:val="nil"/>
              <w:bottom w:val="nil"/>
              <w:right w:val="single" w:sz="4" w:space="0" w:color="2C9986"/>
            </w:tcBorders>
            <w:shd w:val="clear" w:color="auto" w:fill="2C9986"/>
            <w:tcMar>
              <w:top w:w="57" w:type="dxa"/>
            </w:tcMar>
          </w:tcPr>
          <w:p w14:paraId="1A989208" w14:textId="77777777" w:rsidR="00BD42DE" w:rsidRPr="005D6D89" w:rsidRDefault="00BD42DE" w:rsidP="00DD5D2B">
            <w:pPr>
              <w:pStyle w:val="TableTextBold0"/>
              <w:rPr>
                <w:rFonts w:cs="Calibri"/>
                <w:color w:val="FFFFFF" w:themeColor="background1"/>
                <w:szCs w:val="18"/>
              </w:rPr>
            </w:pPr>
            <w:r w:rsidRPr="005D6D89">
              <w:rPr>
                <w:rFonts w:cs="Calibri"/>
                <w:color w:val="FFFFFF" w:themeColor="background1"/>
                <w:szCs w:val="18"/>
              </w:rPr>
              <w:t>Risk</w:t>
            </w:r>
          </w:p>
        </w:tc>
        <w:tc>
          <w:tcPr>
            <w:tcW w:w="395" w:type="pct"/>
            <w:gridSpan w:val="3"/>
            <w:tcBorders>
              <w:top w:val="nil"/>
              <w:left w:val="single" w:sz="4" w:space="0" w:color="2C9986"/>
              <w:bottom w:val="nil"/>
              <w:right w:val="nil"/>
            </w:tcBorders>
            <w:shd w:val="clear" w:color="auto" w:fill="2C9986"/>
          </w:tcPr>
          <w:p w14:paraId="6A270C41"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Ratings</w:t>
            </w:r>
          </w:p>
        </w:tc>
        <w:tc>
          <w:tcPr>
            <w:tcW w:w="548" w:type="pct"/>
            <w:tcBorders>
              <w:top w:val="nil"/>
              <w:left w:val="nil"/>
              <w:bottom w:val="nil"/>
              <w:right w:val="nil"/>
            </w:tcBorders>
            <w:shd w:val="clear" w:color="auto" w:fill="DA5A28"/>
            <w:tcMar>
              <w:top w:w="57" w:type="dxa"/>
            </w:tcMar>
          </w:tcPr>
          <w:p w14:paraId="770E0129"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Risk</w:t>
            </w:r>
          </w:p>
        </w:tc>
        <w:tc>
          <w:tcPr>
            <w:tcW w:w="426" w:type="pct"/>
            <w:gridSpan w:val="3"/>
            <w:tcBorders>
              <w:top w:val="nil"/>
              <w:left w:val="nil"/>
              <w:bottom w:val="nil"/>
              <w:right w:val="nil"/>
            </w:tcBorders>
            <w:shd w:val="clear" w:color="auto" w:fill="DA5A28"/>
          </w:tcPr>
          <w:p w14:paraId="6F4F8325"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Ratings</w:t>
            </w:r>
          </w:p>
        </w:tc>
        <w:tc>
          <w:tcPr>
            <w:tcW w:w="608" w:type="pct"/>
            <w:tcBorders>
              <w:top w:val="nil"/>
              <w:left w:val="nil"/>
              <w:bottom w:val="nil"/>
              <w:right w:val="nil"/>
            </w:tcBorders>
            <w:shd w:val="clear" w:color="auto" w:fill="32809C"/>
            <w:tcMar>
              <w:top w:w="57" w:type="dxa"/>
            </w:tcMar>
          </w:tcPr>
          <w:p w14:paraId="58670904"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Risk</w:t>
            </w:r>
          </w:p>
        </w:tc>
        <w:tc>
          <w:tcPr>
            <w:tcW w:w="427" w:type="pct"/>
            <w:gridSpan w:val="3"/>
            <w:tcBorders>
              <w:top w:val="nil"/>
              <w:left w:val="nil"/>
              <w:bottom w:val="nil"/>
              <w:right w:val="nil"/>
            </w:tcBorders>
            <w:shd w:val="clear" w:color="auto" w:fill="32809C"/>
          </w:tcPr>
          <w:p w14:paraId="03D1D1EC"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Ratings</w:t>
            </w:r>
          </w:p>
        </w:tc>
        <w:tc>
          <w:tcPr>
            <w:tcW w:w="589" w:type="pct"/>
            <w:tcBorders>
              <w:top w:val="nil"/>
              <w:left w:val="nil"/>
              <w:bottom w:val="nil"/>
              <w:right w:val="nil"/>
            </w:tcBorders>
            <w:shd w:val="clear" w:color="auto" w:fill="0F7B7D"/>
            <w:tcMar>
              <w:top w:w="57" w:type="dxa"/>
            </w:tcMar>
          </w:tcPr>
          <w:p w14:paraId="236EFAB1"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Risk</w:t>
            </w:r>
          </w:p>
        </w:tc>
        <w:tc>
          <w:tcPr>
            <w:tcW w:w="434" w:type="pct"/>
            <w:gridSpan w:val="3"/>
            <w:tcBorders>
              <w:top w:val="nil"/>
              <w:left w:val="nil"/>
              <w:bottom w:val="nil"/>
              <w:right w:val="nil"/>
            </w:tcBorders>
            <w:shd w:val="clear" w:color="auto" w:fill="0F7B7D"/>
          </w:tcPr>
          <w:p w14:paraId="7394155D"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Ratings</w:t>
            </w:r>
          </w:p>
        </w:tc>
        <w:tc>
          <w:tcPr>
            <w:tcW w:w="568" w:type="pct"/>
            <w:gridSpan w:val="2"/>
            <w:tcBorders>
              <w:top w:val="nil"/>
              <w:left w:val="nil"/>
              <w:bottom w:val="nil"/>
              <w:right w:val="nil"/>
            </w:tcBorders>
            <w:shd w:val="clear" w:color="auto" w:fill="6FC7B7"/>
            <w:tcMar>
              <w:top w:w="57" w:type="dxa"/>
            </w:tcMar>
          </w:tcPr>
          <w:p w14:paraId="1304926A"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Risk</w:t>
            </w:r>
          </w:p>
        </w:tc>
        <w:tc>
          <w:tcPr>
            <w:tcW w:w="442" w:type="pct"/>
            <w:gridSpan w:val="3"/>
            <w:tcBorders>
              <w:top w:val="nil"/>
              <w:left w:val="nil"/>
              <w:bottom w:val="nil"/>
            </w:tcBorders>
            <w:shd w:val="clear" w:color="auto" w:fill="6FC7B7"/>
          </w:tcPr>
          <w:p w14:paraId="3171A947" w14:textId="77777777" w:rsidR="00BD42DE" w:rsidRPr="005D6D89" w:rsidRDefault="00BD42DE" w:rsidP="00DD5D2B">
            <w:pPr>
              <w:pStyle w:val="TableTextBold0"/>
              <w:jc w:val="center"/>
              <w:rPr>
                <w:rFonts w:cs="Calibri"/>
                <w:color w:val="FFFFFF" w:themeColor="background1"/>
                <w:szCs w:val="18"/>
              </w:rPr>
            </w:pPr>
            <w:r w:rsidRPr="005D6D89">
              <w:rPr>
                <w:rFonts w:cs="Calibri"/>
                <w:color w:val="FFFFFF" w:themeColor="background1"/>
                <w:szCs w:val="18"/>
              </w:rPr>
              <w:t>Ratings</w:t>
            </w:r>
          </w:p>
        </w:tc>
      </w:tr>
      <w:tr w:rsidR="00C81B28" w:rsidRPr="005D6D89" w14:paraId="400BFF5F" w14:textId="77777777" w:rsidTr="00400A58">
        <w:tc>
          <w:tcPr>
            <w:tcW w:w="563" w:type="pct"/>
            <w:vMerge w:val="restart"/>
            <w:tcBorders>
              <w:top w:val="nil"/>
              <w:bottom w:val="single" w:sz="4" w:space="0" w:color="2C9986"/>
              <w:right w:val="single" w:sz="4" w:space="0" w:color="2C9986"/>
            </w:tcBorders>
            <w:shd w:val="clear" w:color="auto" w:fill="auto"/>
            <w:tcMar>
              <w:top w:w="57" w:type="dxa"/>
            </w:tcMar>
          </w:tcPr>
          <w:p w14:paraId="3E47802D" w14:textId="77777777" w:rsidR="00BD42DE" w:rsidRPr="005D6D89" w:rsidRDefault="00BD42DE" w:rsidP="00BD42DE">
            <w:pPr>
              <w:pStyle w:val="TableText0"/>
              <w:rPr>
                <w:rFonts w:cs="Calibri"/>
                <w:szCs w:val="18"/>
              </w:rPr>
            </w:pPr>
            <w:bookmarkStart w:id="288" w:name="_Hlk35594355"/>
            <w:r w:rsidRPr="005D6D89">
              <w:rPr>
                <w:rFonts w:cs="Calibri"/>
                <w:szCs w:val="18"/>
              </w:rPr>
              <w:t>N3 Risks to riverine ecosystems and species from alterations in the volume and variability of water flow, increased water temperatures, and more dynamic morphology (erosion and deposition)</w:t>
            </w:r>
            <w:r w:rsidR="008C3AC9">
              <w:rPr>
                <w:rFonts w:cs="Calibri"/>
                <w:szCs w:val="18"/>
              </w:rPr>
              <w:t>,</w:t>
            </w:r>
            <w:r w:rsidRPr="005D6D89">
              <w:rPr>
                <w:rFonts w:cs="Calibri"/>
                <w:szCs w:val="18"/>
              </w:rPr>
              <w:t xml:space="preserve"> due to changes in rainfall and temperature.</w:t>
            </w:r>
          </w:p>
        </w:tc>
        <w:tc>
          <w:tcPr>
            <w:tcW w:w="243" w:type="pct"/>
            <w:gridSpan w:val="2"/>
            <w:tcBorders>
              <w:top w:val="nil"/>
              <w:left w:val="single" w:sz="4" w:space="0" w:color="2C9986"/>
              <w:bottom w:val="single" w:sz="4" w:space="0" w:color="2C9986"/>
              <w:right w:val="single" w:sz="4" w:space="0" w:color="2C9986"/>
            </w:tcBorders>
          </w:tcPr>
          <w:p w14:paraId="580D14BD" w14:textId="77777777" w:rsidR="00BD42DE" w:rsidRPr="005D6D89" w:rsidRDefault="00BD42DE" w:rsidP="00BD42DE">
            <w:pPr>
              <w:pStyle w:val="TableText"/>
              <w:rPr>
                <w:rFonts w:cs="Calibri"/>
                <w:b/>
                <w:bCs/>
                <w:szCs w:val="18"/>
              </w:rPr>
            </w:pPr>
            <w:r w:rsidRPr="005D6D89">
              <w:rPr>
                <w:rFonts w:cs="Calibri"/>
                <w:b/>
                <w:bCs/>
                <w:szCs w:val="18"/>
              </w:rPr>
              <w:t>Urgency</w:t>
            </w:r>
          </w:p>
        </w:tc>
        <w:tc>
          <w:tcPr>
            <w:tcW w:w="152" w:type="pct"/>
            <w:tcBorders>
              <w:top w:val="nil"/>
              <w:left w:val="single" w:sz="4" w:space="0" w:color="2C9986"/>
              <w:bottom w:val="single" w:sz="4" w:space="0" w:color="2C9986"/>
              <w:right w:val="single" w:sz="4" w:space="0" w:color="2C9986"/>
            </w:tcBorders>
            <w:shd w:val="clear" w:color="auto" w:fill="auto"/>
          </w:tcPr>
          <w:p w14:paraId="08E18110" w14:textId="77777777" w:rsidR="00BD42DE" w:rsidRPr="005D6D89" w:rsidRDefault="00BD42DE" w:rsidP="00BD42DE">
            <w:pPr>
              <w:pStyle w:val="TableText"/>
              <w:rPr>
                <w:rFonts w:cs="Calibri"/>
                <w:szCs w:val="18"/>
              </w:rPr>
            </w:pPr>
            <w:r w:rsidRPr="005D6D89">
              <w:rPr>
                <w:rFonts w:cs="Calibri"/>
                <w:szCs w:val="18"/>
              </w:rPr>
              <w:t>68</w:t>
            </w:r>
          </w:p>
        </w:tc>
        <w:tc>
          <w:tcPr>
            <w:tcW w:w="548" w:type="pct"/>
            <w:vMerge w:val="restart"/>
            <w:tcBorders>
              <w:top w:val="nil"/>
              <w:left w:val="single" w:sz="4" w:space="0" w:color="2C9986"/>
              <w:bottom w:val="single" w:sz="4" w:space="0" w:color="2C9986"/>
              <w:right w:val="single" w:sz="4" w:space="0" w:color="2C9986"/>
            </w:tcBorders>
            <w:shd w:val="clear" w:color="auto" w:fill="auto"/>
            <w:tcMar>
              <w:top w:w="57" w:type="dxa"/>
            </w:tcMar>
          </w:tcPr>
          <w:p w14:paraId="4E20F397" w14:textId="77777777" w:rsidR="00BD42DE" w:rsidRPr="005D6D89" w:rsidRDefault="00BD42DE" w:rsidP="000C5F46">
            <w:pPr>
              <w:pStyle w:val="TableText"/>
              <w:rPr>
                <w:rFonts w:cs="Calibri"/>
                <w:szCs w:val="18"/>
              </w:rPr>
            </w:pPr>
            <w:r w:rsidRPr="005D6D89">
              <w:rPr>
                <w:rFonts w:cs="Calibri"/>
                <w:szCs w:val="18"/>
              </w:rPr>
              <w:t>H3 Risks to physical health from exposure to storm events, heatwaves, vector-borne and zoonotic diseases, water availability and resource quality and accessibility</w:t>
            </w:r>
            <w:r w:rsidR="008C3AC9">
              <w:rPr>
                <w:rFonts w:cs="Calibri"/>
                <w:szCs w:val="18"/>
              </w:rPr>
              <w:t>,</w:t>
            </w:r>
            <w:r w:rsidRPr="005D6D89">
              <w:rPr>
                <w:rFonts w:cs="Calibri"/>
                <w:szCs w:val="18"/>
              </w:rPr>
              <w:t xml:space="preserve"> due to changes in temperature, rainfall and extreme weather events.</w:t>
            </w:r>
          </w:p>
        </w:tc>
        <w:tc>
          <w:tcPr>
            <w:tcW w:w="257" w:type="pct"/>
            <w:gridSpan w:val="2"/>
            <w:tcBorders>
              <w:top w:val="nil"/>
              <w:left w:val="single" w:sz="4" w:space="0" w:color="2C9986"/>
              <w:bottom w:val="single" w:sz="4" w:space="0" w:color="2C9986"/>
              <w:right w:val="single" w:sz="4" w:space="0" w:color="2C9986"/>
            </w:tcBorders>
          </w:tcPr>
          <w:p w14:paraId="612DCB35" w14:textId="77777777" w:rsidR="00BD42DE" w:rsidRPr="005D6D89" w:rsidRDefault="00BD42DE" w:rsidP="00B86846">
            <w:pPr>
              <w:pStyle w:val="TableText"/>
              <w:rPr>
                <w:rFonts w:cs="Calibri"/>
                <w:b/>
                <w:bCs/>
                <w:szCs w:val="18"/>
              </w:rPr>
            </w:pPr>
            <w:r w:rsidRPr="005D6D89">
              <w:rPr>
                <w:rFonts w:cs="Calibri"/>
                <w:b/>
                <w:bCs/>
                <w:szCs w:val="18"/>
              </w:rPr>
              <w:t>Urgency</w:t>
            </w:r>
          </w:p>
        </w:tc>
        <w:tc>
          <w:tcPr>
            <w:tcW w:w="169" w:type="pct"/>
            <w:tcBorders>
              <w:top w:val="nil"/>
              <w:left w:val="single" w:sz="4" w:space="0" w:color="2C9986"/>
              <w:bottom w:val="single" w:sz="4" w:space="0" w:color="2C9986"/>
              <w:right w:val="single" w:sz="4" w:space="0" w:color="2C9986"/>
            </w:tcBorders>
            <w:shd w:val="clear" w:color="auto" w:fill="auto"/>
          </w:tcPr>
          <w:p w14:paraId="34D9AAEA" w14:textId="77777777" w:rsidR="00BD42DE" w:rsidRPr="005D6D89" w:rsidRDefault="00BD42DE" w:rsidP="00B86846">
            <w:pPr>
              <w:pStyle w:val="TableText"/>
              <w:rPr>
                <w:rFonts w:cs="Calibri"/>
                <w:szCs w:val="18"/>
              </w:rPr>
            </w:pPr>
            <w:r w:rsidRPr="005D6D89">
              <w:rPr>
                <w:rFonts w:cs="Calibri"/>
                <w:szCs w:val="18"/>
              </w:rPr>
              <w:t>83</w:t>
            </w:r>
          </w:p>
        </w:tc>
        <w:tc>
          <w:tcPr>
            <w:tcW w:w="608" w:type="pct"/>
            <w:vMerge w:val="restart"/>
            <w:tcBorders>
              <w:top w:val="nil"/>
              <w:left w:val="single" w:sz="4" w:space="0" w:color="2C9986"/>
              <w:bottom w:val="single" w:sz="4" w:space="0" w:color="2C9986"/>
              <w:right w:val="single" w:sz="4" w:space="0" w:color="2C9986"/>
            </w:tcBorders>
            <w:shd w:val="clear" w:color="auto" w:fill="auto"/>
            <w:tcMar>
              <w:top w:w="57" w:type="dxa"/>
            </w:tcMar>
          </w:tcPr>
          <w:p w14:paraId="1D7E93C0" w14:textId="77777777" w:rsidR="00BD42DE" w:rsidRPr="005D6D89" w:rsidRDefault="00BD42DE" w:rsidP="000C5F46">
            <w:pPr>
              <w:pStyle w:val="TableText"/>
              <w:rPr>
                <w:rFonts w:cs="Calibri"/>
                <w:szCs w:val="18"/>
              </w:rPr>
            </w:pPr>
            <w:r w:rsidRPr="005D6D89">
              <w:rPr>
                <w:rFonts w:cs="Calibri"/>
                <w:szCs w:val="18"/>
              </w:rPr>
              <w:t>E3 Risks to land-based primary sector productivity and output due to changes in mean rainfall and temperature, seasonality, weather extremes and changes in the distribution of invasive species.</w:t>
            </w:r>
          </w:p>
        </w:tc>
        <w:tc>
          <w:tcPr>
            <w:tcW w:w="268" w:type="pct"/>
            <w:gridSpan w:val="2"/>
            <w:tcBorders>
              <w:top w:val="nil"/>
              <w:left w:val="single" w:sz="4" w:space="0" w:color="2C9986"/>
              <w:bottom w:val="single" w:sz="4" w:space="0" w:color="2C9986"/>
              <w:right w:val="single" w:sz="4" w:space="0" w:color="2C9986"/>
            </w:tcBorders>
          </w:tcPr>
          <w:p w14:paraId="1BF6DDD5" w14:textId="77777777" w:rsidR="00BD42DE" w:rsidRPr="005D6D89" w:rsidRDefault="00BD42DE" w:rsidP="00B86846">
            <w:pPr>
              <w:pStyle w:val="TableText"/>
              <w:rPr>
                <w:rFonts w:cs="Calibri"/>
                <w:b/>
                <w:bCs/>
                <w:szCs w:val="18"/>
              </w:rPr>
            </w:pPr>
            <w:r w:rsidRPr="005D6D89">
              <w:rPr>
                <w:rFonts w:cs="Calibri"/>
                <w:b/>
                <w:bCs/>
                <w:szCs w:val="18"/>
              </w:rPr>
              <w:t>Urgency</w:t>
            </w:r>
          </w:p>
        </w:tc>
        <w:tc>
          <w:tcPr>
            <w:tcW w:w="159" w:type="pct"/>
            <w:tcBorders>
              <w:top w:val="nil"/>
              <w:left w:val="single" w:sz="4" w:space="0" w:color="2C9986"/>
              <w:bottom w:val="single" w:sz="4" w:space="0" w:color="2C9986"/>
              <w:right w:val="single" w:sz="4" w:space="0" w:color="2C9986"/>
            </w:tcBorders>
            <w:shd w:val="clear" w:color="auto" w:fill="auto"/>
          </w:tcPr>
          <w:p w14:paraId="68A8E6E1" w14:textId="77777777" w:rsidR="00BD42DE" w:rsidRPr="005D6D89" w:rsidRDefault="00BD42DE" w:rsidP="00B86846">
            <w:pPr>
              <w:pStyle w:val="TableText"/>
              <w:rPr>
                <w:rFonts w:cs="Calibri"/>
                <w:szCs w:val="18"/>
              </w:rPr>
            </w:pPr>
            <w:r w:rsidRPr="005D6D89">
              <w:rPr>
                <w:rFonts w:cs="Calibri"/>
                <w:szCs w:val="18"/>
              </w:rPr>
              <w:t>81</w:t>
            </w:r>
          </w:p>
        </w:tc>
        <w:tc>
          <w:tcPr>
            <w:tcW w:w="589" w:type="pct"/>
            <w:vMerge w:val="restart"/>
            <w:tcBorders>
              <w:top w:val="nil"/>
              <w:left w:val="single" w:sz="4" w:space="0" w:color="2C9986"/>
              <w:bottom w:val="single" w:sz="4" w:space="0" w:color="2C9986"/>
              <w:right w:val="single" w:sz="4" w:space="0" w:color="2C9986"/>
            </w:tcBorders>
            <w:shd w:val="clear" w:color="auto" w:fill="auto"/>
            <w:tcMar>
              <w:top w:w="57" w:type="dxa"/>
            </w:tcMar>
          </w:tcPr>
          <w:p w14:paraId="32AE2FEA" w14:textId="77777777" w:rsidR="00BD42DE" w:rsidRPr="005D6D89" w:rsidRDefault="00BD42DE" w:rsidP="008F6B3E">
            <w:pPr>
              <w:pStyle w:val="TableText"/>
              <w:rPr>
                <w:rFonts w:cs="Calibri"/>
                <w:szCs w:val="18"/>
              </w:rPr>
            </w:pPr>
            <w:r w:rsidRPr="005D6D89">
              <w:rPr>
                <w:rFonts w:cs="Calibri"/>
                <w:szCs w:val="18"/>
              </w:rPr>
              <w:t>B3 Risks to landfills and contaminated sites due to extreme weather events and ongoing sea-level rise.</w:t>
            </w:r>
          </w:p>
        </w:tc>
        <w:tc>
          <w:tcPr>
            <w:tcW w:w="277" w:type="pct"/>
            <w:gridSpan w:val="2"/>
            <w:tcBorders>
              <w:top w:val="nil"/>
              <w:left w:val="single" w:sz="4" w:space="0" w:color="2C9986"/>
              <w:bottom w:val="single" w:sz="4" w:space="0" w:color="2C9986"/>
              <w:right w:val="single" w:sz="4" w:space="0" w:color="2C9986"/>
            </w:tcBorders>
          </w:tcPr>
          <w:p w14:paraId="5F70E63E" w14:textId="77777777" w:rsidR="00BD42DE" w:rsidRPr="005D6D89" w:rsidRDefault="00BD42DE" w:rsidP="008F6B3E">
            <w:pPr>
              <w:pStyle w:val="TableText"/>
              <w:rPr>
                <w:rFonts w:cs="Calibri"/>
                <w:b/>
                <w:bCs/>
                <w:szCs w:val="18"/>
              </w:rPr>
            </w:pPr>
            <w:r w:rsidRPr="005D6D89">
              <w:rPr>
                <w:rFonts w:cs="Calibri"/>
                <w:b/>
                <w:bCs/>
                <w:szCs w:val="18"/>
              </w:rPr>
              <w:t>Urgency</w:t>
            </w:r>
          </w:p>
        </w:tc>
        <w:tc>
          <w:tcPr>
            <w:tcW w:w="157" w:type="pct"/>
            <w:tcBorders>
              <w:top w:val="nil"/>
              <w:left w:val="single" w:sz="4" w:space="0" w:color="2C9986"/>
              <w:bottom w:val="single" w:sz="4" w:space="0" w:color="2C9986"/>
              <w:right w:val="single" w:sz="4" w:space="0" w:color="2C9986"/>
            </w:tcBorders>
            <w:shd w:val="clear" w:color="auto" w:fill="auto"/>
          </w:tcPr>
          <w:p w14:paraId="093DC83F" w14:textId="77777777" w:rsidR="00BD42DE" w:rsidRPr="005D6D89" w:rsidRDefault="00BD42DE" w:rsidP="008F6B3E">
            <w:pPr>
              <w:pStyle w:val="TableText"/>
              <w:rPr>
                <w:rFonts w:cs="Calibri"/>
                <w:szCs w:val="18"/>
              </w:rPr>
            </w:pPr>
            <w:r w:rsidRPr="005D6D89">
              <w:rPr>
                <w:rFonts w:cs="Calibri"/>
                <w:szCs w:val="18"/>
              </w:rPr>
              <w:t>85</w:t>
            </w:r>
          </w:p>
        </w:tc>
        <w:tc>
          <w:tcPr>
            <w:tcW w:w="568" w:type="pct"/>
            <w:gridSpan w:val="2"/>
            <w:vMerge w:val="restart"/>
            <w:tcBorders>
              <w:top w:val="nil"/>
              <w:left w:val="single" w:sz="4" w:space="0" w:color="2C9986"/>
              <w:bottom w:val="single" w:sz="4" w:space="0" w:color="2C9986"/>
              <w:right w:val="single" w:sz="4" w:space="0" w:color="2C9986"/>
            </w:tcBorders>
            <w:shd w:val="clear" w:color="auto" w:fill="auto"/>
            <w:tcMar>
              <w:top w:w="57" w:type="dxa"/>
            </w:tcMar>
          </w:tcPr>
          <w:p w14:paraId="2237C5B2" w14:textId="77777777" w:rsidR="00BD42DE" w:rsidRPr="005D6D89" w:rsidRDefault="00BD42DE" w:rsidP="008F6B3E">
            <w:pPr>
              <w:pStyle w:val="TableText"/>
              <w:rPr>
                <w:rFonts w:cs="Calibri"/>
                <w:szCs w:val="18"/>
              </w:rPr>
            </w:pPr>
            <w:r w:rsidRPr="005D6D89">
              <w:rPr>
                <w:rFonts w:cs="Calibri"/>
                <w:szCs w:val="18"/>
              </w:rPr>
              <w:t>G3 Risks to governments and</w:t>
            </w:r>
            <w:r w:rsidR="00637285">
              <w:rPr>
                <w:rFonts w:cs="Calibri"/>
                <w:szCs w:val="18"/>
              </w:rPr>
              <w:t xml:space="preserve"> businesses from climate change-</w:t>
            </w:r>
            <w:r w:rsidRPr="005D6D89">
              <w:rPr>
                <w:rFonts w:cs="Calibri"/>
                <w:szCs w:val="18"/>
              </w:rPr>
              <w:t>related litigation, due to inadequate or mistimed climate change adaptation.</w:t>
            </w:r>
          </w:p>
        </w:tc>
        <w:tc>
          <w:tcPr>
            <w:tcW w:w="268" w:type="pct"/>
            <w:gridSpan w:val="2"/>
            <w:tcBorders>
              <w:top w:val="nil"/>
              <w:left w:val="single" w:sz="4" w:space="0" w:color="2C9986"/>
              <w:bottom w:val="single" w:sz="4" w:space="0" w:color="2C9986"/>
              <w:right w:val="single" w:sz="4" w:space="0" w:color="2C9986"/>
            </w:tcBorders>
          </w:tcPr>
          <w:p w14:paraId="50A808F7" w14:textId="77777777" w:rsidR="00BD42DE" w:rsidRPr="005D6D89" w:rsidRDefault="00BD42DE" w:rsidP="008F6B3E">
            <w:pPr>
              <w:pStyle w:val="TableText"/>
              <w:rPr>
                <w:rFonts w:cs="Calibri"/>
                <w:b/>
                <w:bCs/>
                <w:szCs w:val="18"/>
              </w:rPr>
            </w:pPr>
            <w:r w:rsidRPr="005D6D89">
              <w:rPr>
                <w:rFonts w:cs="Calibri"/>
                <w:b/>
                <w:bCs/>
                <w:szCs w:val="18"/>
              </w:rPr>
              <w:t>Urgency</w:t>
            </w:r>
          </w:p>
        </w:tc>
        <w:tc>
          <w:tcPr>
            <w:tcW w:w="174" w:type="pct"/>
            <w:tcBorders>
              <w:top w:val="nil"/>
              <w:left w:val="single" w:sz="4" w:space="0" w:color="2C9986"/>
              <w:bottom w:val="single" w:sz="4" w:space="0" w:color="2C9986"/>
            </w:tcBorders>
            <w:shd w:val="clear" w:color="auto" w:fill="auto"/>
          </w:tcPr>
          <w:p w14:paraId="596CDAA0" w14:textId="77777777" w:rsidR="00BD42DE" w:rsidRPr="005D6D89" w:rsidRDefault="00BD42DE" w:rsidP="008F6B3E">
            <w:pPr>
              <w:pStyle w:val="TableText"/>
              <w:rPr>
                <w:rFonts w:cs="Calibri"/>
                <w:szCs w:val="18"/>
              </w:rPr>
            </w:pPr>
            <w:r w:rsidRPr="005D6D89">
              <w:rPr>
                <w:rFonts w:cs="Calibri"/>
                <w:szCs w:val="18"/>
              </w:rPr>
              <w:t>78</w:t>
            </w:r>
          </w:p>
        </w:tc>
      </w:tr>
      <w:tr w:rsidR="00857C1C" w:rsidRPr="005D6D89" w14:paraId="6FB7BF7F"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2750B1C9" w14:textId="77777777" w:rsidR="00BD42DE" w:rsidRPr="005D6D89" w:rsidRDefault="00BD42DE" w:rsidP="00BD42DE">
            <w:pPr>
              <w:pStyle w:val="TableText0"/>
              <w:rPr>
                <w:rFonts w:cs="Calibri"/>
                <w:szCs w:val="18"/>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5DC1306D" w14:textId="77777777" w:rsidR="00BD42DE" w:rsidRPr="005D6D89" w:rsidRDefault="00BD42DE" w:rsidP="006C3DAF">
            <w:pPr>
              <w:pStyle w:val="TableText"/>
              <w:spacing w:before="0" w:after="120"/>
              <w:jc w:val="center"/>
              <w:rPr>
                <w:rFonts w:cs="Calibri"/>
                <w:b/>
                <w:bCs/>
                <w:szCs w:val="18"/>
              </w:rPr>
            </w:pPr>
            <w:r w:rsidRPr="005D6D89">
              <w:rPr>
                <w:rFonts w:cs="Calibri"/>
                <w:b/>
                <w:bCs/>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76BBF94" w14:textId="77777777" w:rsidR="00BD42DE" w:rsidRPr="005D6D89" w:rsidRDefault="00BD42DE" w:rsidP="00BD42DE">
            <w:pPr>
              <w:pStyle w:val="TableText"/>
              <w:rPr>
                <w:rFonts w:cs="Calibri"/>
                <w:b/>
                <w:bCs/>
                <w:szCs w:val="18"/>
              </w:rPr>
            </w:pPr>
            <w:r w:rsidRPr="005D6D89">
              <w:rPr>
                <w:rFonts w:cs="Calibri"/>
                <w:b/>
                <w:bCs/>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5BA185E1" w14:textId="77777777" w:rsidR="00BD42DE" w:rsidRPr="005D6D89" w:rsidRDefault="00BD42DE" w:rsidP="00BD42DE">
            <w:pPr>
              <w:pStyle w:val="TableText"/>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E99DEE7" w14:textId="77777777" w:rsidR="00BD42DE" w:rsidRPr="005D6D89" w:rsidRDefault="00BD42DE" w:rsidP="00BD42DE">
            <w:pPr>
              <w:rPr>
                <w:rFonts w:cs="Calibri"/>
                <w:sz w:val="18"/>
                <w:szCs w:val="18"/>
              </w:rPr>
            </w:pPr>
          </w:p>
        </w:tc>
        <w:tc>
          <w:tcPr>
            <w:tcW w:w="82"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50093FC6" w14:textId="77777777" w:rsidR="00BD42DE" w:rsidRPr="005D6D89" w:rsidRDefault="00BD42DE" w:rsidP="006C3DAF">
            <w:pPr>
              <w:pStyle w:val="TableText0"/>
              <w:spacing w:after="120"/>
              <w:ind w:left="113" w:right="113"/>
              <w:jc w:val="center"/>
              <w:rPr>
                <w:rFonts w:cs="Calibri"/>
                <w:b/>
                <w:szCs w:val="18"/>
              </w:rPr>
            </w:pPr>
            <w:r w:rsidRPr="005D6D89">
              <w:rPr>
                <w:rFonts w:cs="Calibri"/>
                <w:b/>
                <w:szCs w:val="18"/>
              </w:rPr>
              <w:t>Consequence</w:t>
            </w: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DE07270" w14:textId="77777777" w:rsidR="00BD42DE" w:rsidRPr="005D6D89" w:rsidRDefault="00BD42DE" w:rsidP="00BD42DE">
            <w:pPr>
              <w:pStyle w:val="TableText0"/>
              <w:rPr>
                <w:rFonts w:cs="Calibri"/>
                <w:b/>
                <w:szCs w:val="18"/>
              </w:rPr>
            </w:pPr>
            <w:r w:rsidRPr="005D6D89">
              <w:rPr>
                <w:rFonts w:cs="Calibri"/>
                <w:b/>
                <w:szCs w:val="18"/>
              </w:rPr>
              <w:t>Now</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7692EE8D" w14:textId="77777777" w:rsidR="00BD42DE" w:rsidRPr="005D6D89" w:rsidRDefault="00BD42DE" w:rsidP="00BD42DE">
            <w:pPr>
              <w:pStyle w:val="TableText0"/>
              <w:rPr>
                <w:rFonts w:cs="Calibri"/>
                <w:szCs w:val="18"/>
              </w:rPr>
            </w:pPr>
            <w:r w:rsidRPr="005D6D89">
              <w:rPr>
                <w:rFonts w:cs="Calibri"/>
                <w:szCs w:val="18"/>
              </w:rPr>
              <w:t>Min</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DD69C71" w14:textId="77777777" w:rsidR="00BD42DE" w:rsidRPr="005D6D89" w:rsidRDefault="00BD42DE" w:rsidP="00BD42DE">
            <w:pPr>
              <w:rPr>
                <w:rFonts w:cs="Calibri"/>
                <w:sz w:val="18"/>
                <w:szCs w:val="18"/>
              </w:rPr>
            </w:pPr>
          </w:p>
        </w:tc>
        <w:tc>
          <w:tcPr>
            <w:tcW w:w="90"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2D3C99C2" w14:textId="77777777" w:rsidR="00BD42DE" w:rsidRPr="005D6D89" w:rsidRDefault="00BD42DE" w:rsidP="006C3DAF">
            <w:pPr>
              <w:pStyle w:val="TableText"/>
              <w:spacing w:before="0" w:after="120"/>
              <w:jc w:val="center"/>
              <w:rPr>
                <w:rFonts w:cs="Calibri"/>
                <w:b/>
                <w:bCs/>
                <w:szCs w:val="18"/>
              </w:rPr>
            </w:pPr>
            <w:r w:rsidRPr="005D6D89">
              <w:rPr>
                <w:rFonts w:cs="Calibri"/>
                <w:b/>
                <w:bCs/>
                <w:szCs w:val="18"/>
              </w:rPr>
              <w:t>Consequence</w:t>
            </w: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8E360F3" w14:textId="77777777" w:rsidR="00BD42DE" w:rsidRPr="005D6D89" w:rsidRDefault="00BD42DE" w:rsidP="008F6B3E">
            <w:pPr>
              <w:pStyle w:val="TableText"/>
              <w:rPr>
                <w:rFonts w:cs="Calibri"/>
                <w:b/>
                <w:bCs/>
                <w:szCs w:val="18"/>
              </w:rPr>
            </w:pPr>
            <w:r w:rsidRPr="005D6D89">
              <w:rPr>
                <w:rFonts w:cs="Calibri"/>
                <w:b/>
                <w:bCs/>
                <w:szCs w:val="18"/>
              </w:rPr>
              <w:t>Now</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160B09F8" w14:textId="77777777" w:rsidR="00BD42DE" w:rsidRPr="005D6D89" w:rsidRDefault="00BD42DE" w:rsidP="008F6B3E">
            <w:pPr>
              <w:pStyle w:val="TableText"/>
              <w:rPr>
                <w:rFonts w:cs="Calibri"/>
                <w:szCs w:val="18"/>
              </w:rPr>
            </w:pPr>
            <w:r w:rsidRPr="005D6D89">
              <w:rPr>
                <w:rFonts w:cs="Calibri"/>
                <w:szCs w:val="18"/>
              </w:rPr>
              <w:t>Min</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08A31B5" w14:textId="77777777" w:rsidR="00BD42DE" w:rsidRPr="005D6D89" w:rsidRDefault="00BD42DE" w:rsidP="00BD42DE">
            <w:pPr>
              <w:pStyle w:val="TableText0"/>
              <w:rPr>
                <w:rFonts w:cs="Calibri"/>
                <w:szCs w:val="18"/>
              </w:rPr>
            </w:pPr>
          </w:p>
        </w:tc>
        <w:tc>
          <w:tcPr>
            <w:tcW w:w="103" w:type="pct"/>
            <w:vMerge w:val="restart"/>
            <w:tcBorders>
              <w:top w:val="single" w:sz="4" w:space="0" w:color="2C9986"/>
              <w:left w:val="single" w:sz="4" w:space="0" w:color="2C9986"/>
              <w:bottom w:val="single" w:sz="4" w:space="0" w:color="2C9986"/>
              <w:right w:val="single" w:sz="4" w:space="0" w:color="2C9986"/>
            </w:tcBorders>
            <w:textDirection w:val="btLr"/>
          </w:tcPr>
          <w:p w14:paraId="10A1B297" w14:textId="77777777" w:rsidR="00BD42DE" w:rsidRPr="005D6D89" w:rsidRDefault="00BD42DE" w:rsidP="008F6B3E">
            <w:pPr>
              <w:pStyle w:val="TableText"/>
              <w:spacing w:before="0"/>
              <w:jc w:val="center"/>
              <w:rPr>
                <w:rFonts w:cs="Calibri"/>
                <w:b/>
                <w:bCs/>
                <w:szCs w:val="18"/>
              </w:rPr>
            </w:pPr>
            <w:r w:rsidRPr="005D6D89">
              <w:rPr>
                <w:rFonts w:cs="Calibri"/>
                <w:b/>
                <w:bCs/>
                <w:szCs w:val="18"/>
              </w:rPr>
              <w:t>Consequence</w:t>
            </w: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64D096C" w14:textId="77777777" w:rsidR="00BD42DE" w:rsidRPr="005D6D89" w:rsidRDefault="00BD42DE" w:rsidP="008F6B3E">
            <w:pPr>
              <w:pStyle w:val="TableText"/>
              <w:rPr>
                <w:rFonts w:cs="Calibri"/>
                <w:b/>
                <w:bCs/>
                <w:szCs w:val="18"/>
              </w:rPr>
            </w:pPr>
            <w:r w:rsidRPr="005D6D89">
              <w:rPr>
                <w:rFonts w:cs="Calibri"/>
                <w:b/>
                <w:bCs/>
                <w:szCs w:val="18"/>
              </w:rPr>
              <w:t>Now</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746F4168" w14:textId="77777777" w:rsidR="00BD42DE" w:rsidRPr="005D6D89" w:rsidRDefault="00BD42DE" w:rsidP="008F6B3E">
            <w:pPr>
              <w:pStyle w:val="TableText"/>
              <w:rPr>
                <w:rFonts w:cs="Calibri"/>
                <w:szCs w:val="18"/>
              </w:rPr>
            </w:pPr>
            <w:r w:rsidRPr="005D6D89">
              <w:rPr>
                <w:rFonts w:cs="Calibri"/>
                <w:szCs w:val="18"/>
              </w:rPr>
              <w:t>Mod</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B2D366E" w14:textId="77777777" w:rsidR="00BD42DE" w:rsidRPr="005D6D89" w:rsidRDefault="00BD42DE" w:rsidP="00BD42DE">
            <w:pPr>
              <w:pStyle w:val="TableText0"/>
              <w:rPr>
                <w:rFonts w:cs="Calibri"/>
                <w:szCs w:val="18"/>
              </w:rPr>
            </w:pPr>
          </w:p>
        </w:tc>
        <w:tc>
          <w:tcPr>
            <w:tcW w:w="100" w:type="pct"/>
            <w:vMerge w:val="restart"/>
            <w:tcBorders>
              <w:top w:val="single" w:sz="4" w:space="0" w:color="2C9986"/>
              <w:left w:val="single" w:sz="4" w:space="0" w:color="2C9986"/>
              <w:bottom w:val="single" w:sz="4" w:space="0" w:color="2C9986"/>
              <w:right w:val="single" w:sz="4" w:space="0" w:color="2C9986"/>
            </w:tcBorders>
            <w:textDirection w:val="btLr"/>
          </w:tcPr>
          <w:p w14:paraId="408DF958" w14:textId="77777777" w:rsidR="00BD42DE" w:rsidRPr="005D6D89" w:rsidRDefault="00BD42DE" w:rsidP="008F6B3E">
            <w:pPr>
              <w:pStyle w:val="TableText"/>
              <w:spacing w:before="0"/>
              <w:jc w:val="center"/>
              <w:rPr>
                <w:rFonts w:cs="Calibri"/>
                <w:b/>
                <w:bCs/>
                <w:szCs w:val="18"/>
              </w:rPr>
            </w:pPr>
            <w:r w:rsidRPr="005D6D89">
              <w:rPr>
                <w:rFonts w:cs="Calibri"/>
                <w:b/>
                <w:bCs/>
                <w:szCs w:val="18"/>
              </w:rPr>
              <w:t>Consequence</w:t>
            </w: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1A387A7" w14:textId="77777777" w:rsidR="00BD42DE" w:rsidRPr="005D6D89" w:rsidRDefault="00BD42DE" w:rsidP="008F6B3E">
            <w:pPr>
              <w:pStyle w:val="TableText"/>
              <w:rPr>
                <w:rFonts w:cs="Calibri"/>
                <w:b/>
                <w:bCs/>
                <w:szCs w:val="18"/>
              </w:rPr>
            </w:pPr>
            <w:r w:rsidRPr="005D6D89">
              <w:rPr>
                <w:rFonts w:cs="Calibri"/>
                <w:b/>
                <w:bCs/>
                <w:szCs w:val="18"/>
              </w:rPr>
              <w:t>Now</w:t>
            </w:r>
          </w:p>
        </w:tc>
        <w:tc>
          <w:tcPr>
            <w:tcW w:w="174" w:type="pct"/>
            <w:tcBorders>
              <w:top w:val="single" w:sz="4" w:space="0" w:color="2C9986"/>
              <w:left w:val="single" w:sz="4" w:space="0" w:color="2C9986"/>
              <w:bottom w:val="single" w:sz="4" w:space="0" w:color="2C9986"/>
            </w:tcBorders>
            <w:shd w:val="clear" w:color="auto" w:fill="auto"/>
          </w:tcPr>
          <w:p w14:paraId="1997CD9D" w14:textId="77777777" w:rsidR="00BD42DE" w:rsidRPr="005D6D89" w:rsidRDefault="00BD42DE" w:rsidP="008F6B3E">
            <w:pPr>
              <w:pStyle w:val="TableText"/>
              <w:rPr>
                <w:rFonts w:cs="Calibri"/>
                <w:szCs w:val="18"/>
              </w:rPr>
            </w:pPr>
            <w:r w:rsidRPr="005D6D89">
              <w:rPr>
                <w:rFonts w:cs="Calibri"/>
                <w:szCs w:val="18"/>
              </w:rPr>
              <w:t>Mod</w:t>
            </w:r>
          </w:p>
        </w:tc>
      </w:tr>
      <w:tr w:rsidR="00857C1C" w:rsidRPr="005D6D89" w14:paraId="61986F4A"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773A6591" w14:textId="77777777" w:rsidR="00BD42DE" w:rsidRPr="005D6D89" w:rsidRDefault="00BD42DE" w:rsidP="00BD42DE">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16576463"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1B2F56B" w14:textId="77777777" w:rsidR="00BD42DE" w:rsidRPr="005D6D89" w:rsidRDefault="00BD42DE" w:rsidP="00BD42DE">
            <w:pPr>
              <w:pStyle w:val="TableText"/>
              <w:rPr>
                <w:rFonts w:cs="Calibri"/>
                <w:b/>
                <w:bCs/>
                <w:szCs w:val="18"/>
              </w:rPr>
            </w:pPr>
            <w:r w:rsidRPr="005D6D89">
              <w:rPr>
                <w:rFonts w:cs="Calibri"/>
                <w:b/>
                <w:bCs/>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397DE057" w14:textId="77777777" w:rsidR="00BD42DE" w:rsidRPr="005D6D89" w:rsidRDefault="00BD42DE" w:rsidP="00BD42DE">
            <w:pPr>
              <w:pStyle w:val="TableText"/>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D14349C" w14:textId="77777777" w:rsidR="00BD42DE" w:rsidRPr="005D6D89" w:rsidRDefault="00BD42DE" w:rsidP="00BD42DE">
            <w:pPr>
              <w:rPr>
                <w:rFonts w:cs="Calibri"/>
                <w:sz w:val="18"/>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7B3317B0" w14:textId="77777777" w:rsidR="00BD42DE" w:rsidRPr="005D6D89" w:rsidRDefault="00BD42DE" w:rsidP="00BD42DE">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220C507"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6E3394C0" w14:textId="77777777" w:rsidR="00BD42DE" w:rsidRPr="005D6D89" w:rsidRDefault="00BD42DE" w:rsidP="00BD42DE">
            <w:pPr>
              <w:pStyle w:val="TableText0"/>
              <w:rPr>
                <w:rFonts w:cs="Calibri"/>
                <w:szCs w:val="18"/>
              </w:rPr>
            </w:pPr>
            <w:r w:rsidRPr="005D6D89">
              <w:rPr>
                <w:rFonts w:cs="Calibri"/>
                <w:szCs w:val="18"/>
              </w:rPr>
              <w:t>Mod</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BDE89A7" w14:textId="77777777" w:rsidR="00BD42DE" w:rsidRPr="005D6D89" w:rsidRDefault="00BD42DE" w:rsidP="00BD42DE">
            <w:pPr>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3353A7E8" w14:textId="77777777" w:rsidR="00BD42DE" w:rsidRPr="005D6D89" w:rsidRDefault="00BD42DE" w:rsidP="008F6B3E">
            <w:pPr>
              <w:pStyle w:val="TableText"/>
              <w:rPr>
                <w:rFonts w:cs="Calibri"/>
                <w:b/>
                <w:bCs/>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B5D39C3" w14:textId="77777777" w:rsidR="00BD42DE" w:rsidRPr="005D6D89" w:rsidRDefault="00BD42DE" w:rsidP="008F6B3E">
            <w:pPr>
              <w:pStyle w:val="TableText"/>
              <w:rPr>
                <w:rFonts w:cs="Calibri"/>
                <w:b/>
                <w:bCs/>
                <w:szCs w:val="18"/>
              </w:rPr>
            </w:pPr>
            <w:r w:rsidRPr="005D6D89">
              <w:rPr>
                <w:rFonts w:cs="Calibri"/>
                <w:b/>
                <w:bCs/>
                <w:szCs w:val="18"/>
              </w:rPr>
              <w:t xml:space="preserve">2050 </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327DB672" w14:textId="77777777" w:rsidR="00BD42DE" w:rsidRPr="005D6D89" w:rsidRDefault="00BD42DE" w:rsidP="008F6B3E">
            <w:pPr>
              <w:pStyle w:val="TableText"/>
              <w:rPr>
                <w:rFonts w:cs="Calibri"/>
                <w:szCs w:val="18"/>
              </w:rPr>
            </w:pPr>
            <w:r w:rsidRPr="005D6D89">
              <w:rPr>
                <w:rFonts w:cs="Calibri"/>
                <w:szCs w:val="18"/>
              </w:rPr>
              <w:t>Mod</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BCD0DA1" w14:textId="77777777" w:rsidR="00BD42DE" w:rsidRPr="005D6D89" w:rsidRDefault="00BD42DE" w:rsidP="00BD42DE">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2490A7A4" w14:textId="77777777" w:rsidR="00BD42DE" w:rsidRPr="005D6D89" w:rsidRDefault="00BD42DE" w:rsidP="008F6B3E">
            <w:pPr>
              <w:pStyle w:val="TableText"/>
              <w:rPr>
                <w:rFonts w:cs="Calibri"/>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C7C035C" w14:textId="77777777" w:rsidR="00BD42DE" w:rsidRPr="005D6D89" w:rsidRDefault="00BD42DE" w:rsidP="008F6B3E">
            <w:pPr>
              <w:pStyle w:val="TableText"/>
              <w:rPr>
                <w:rFonts w:cs="Calibri"/>
                <w:b/>
                <w:bCs/>
                <w:szCs w:val="18"/>
              </w:rPr>
            </w:pPr>
            <w:r w:rsidRPr="005D6D89">
              <w:rPr>
                <w:rFonts w:cs="Calibri"/>
                <w:b/>
                <w:bCs/>
                <w:szCs w:val="18"/>
              </w:rPr>
              <w:t xml:space="preserve">2050 </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1C99D6E3" w14:textId="77777777" w:rsidR="00BD42DE" w:rsidRPr="005D6D89" w:rsidRDefault="00CD1CDB" w:rsidP="008F6B3E">
            <w:pPr>
              <w:pStyle w:val="TableText"/>
              <w:rPr>
                <w:rFonts w:cs="Calibri"/>
                <w:szCs w:val="18"/>
              </w:rPr>
            </w:pPr>
            <w:r w:rsidRPr="005D6D89">
              <w:rPr>
                <w:rFonts w:cs="Calibri"/>
                <w:szCs w:val="18"/>
              </w:rPr>
              <w:t>Major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4D57C9C" w14:textId="77777777" w:rsidR="00BD42DE" w:rsidRPr="005D6D89" w:rsidRDefault="00BD42DE" w:rsidP="00BD42DE">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1D1A44B7" w14:textId="77777777" w:rsidR="00BD42DE" w:rsidRPr="005D6D89" w:rsidRDefault="00BD42DE" w:rsidP="008F6B3E">
            <w:pPr>
              <w:pStyle w:val="TableText"/>
              <w:rPr>
                <w:rFonts w:cs="Calibri"/>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3CAE45E" w14:textId="77777777" w:rsidR="00BD42DE" w:rsidRPr="005D6D89" w:rsidRDefault="00BD42DE" w:rsidP="008F6B3E">
            <w:pPr>
              <w:pStyle w:val="TableText"/>
              <w:rPr>
                <w:rFonts w:cs="Calibri"/>
                <w:b/>
                <w:bCs/>
                <w:szCs w:val="18"/>
              </w:rPr>
            </w:pPr>
            <w:r w:rsidRPr="005D6D89">
              <w:rPr>
                <w:rFonts w:cs="Calibri"/>
                <w:b/>
                <w:bCs/>
                <w:szCs w:val="18"/>
              </w:rPr>
              <w:t xml:space="preserve">2050 </w:t>
            </w:r>
          </w:p>
        </w:tc>
        <w:tc>
          <w:tcPr>
            <w:tcW w:w="174" w:type="pct"/>
            <w:tcBorders>
              <w:top w:val="single" w:sz="4" w:space="0" w:color="2C9986"/>
              <w:left w:val="single" w:sz="4" w:space="0" w:color="2C9986"/>
              <w:bottom w:val="single" w:sz="4" w:space="0" w:color="2C9986"/>
            </w:tcBorders>
            <w:shd w:val="clear" w:color="auto" w:fill="auto"/>
          </w:tcPr>
          <w:p w14:paraId="69A7B35A" w14:textId="77777777" w:rsidR="00BD42DE" w:rsidRPr="005D6D89" w:rsidRDefault="00CD1CDB" w:rsidP="008F6B3E">
            <w:pPr>
              <w:pStyle w:val="TableText"/>
              <w:rPr>
                <w:rFonts w:cs="Calibri"/>
                <w:szCs w:val="18"/>
              </w:rPr>
            </w:pPr>
            <w:r w:rsidRPr="005D6D89">
              <w:rPr>
                <w:rFonts w:cs="Calibri"/>
                <w:szCs w:val="18"/>
              </w:rPr>
              <w:t>Major</w:t>
            </w:r>
          </w:p>
        </w:tc>
      </w:tr>
      <w:tr w:rsidR="00857C1C" w:rsidRPr="005D6D89" w14:paraId="510D6B54"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2FF263CB" w14:textId="77777777" w:rsidR="00BD42DE" w:rsidRPr="005D6D89" w:rsidRDefault="00BD42DE" w:rsidP="00BD42DE">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00EB2A88"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8CB5755" w14:textId="77777777" w:rsidR="00BD42DE" w:rsidRPr="005D6D89" w:rsidRDefault="00BD42DE" w:rsidP="00BD42DE">
            <w:pPr>
              <w:pStyle w:val="TableText"/>
              <w:rPr>
                <w:rFonts w:cs="Calibri"/>
                <w:b/>
                <w:bCs/>
                <w:szCs w:val="18"/>
              </w:rPr>
            </w:pPr>
            <w:r w:rsidRPr="005D6D89">
              <w:rPr>
                <w:rFonts w:cs="Calibri"/>
                <w:b/>
                <w:bCs/>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0BE22D01" w14:textId="77777777" w:rsidR="00BD42DE" w:rsidRPr="005D6D89" w:rsidRDefault="00CD1CDB" w:rsidP="00BD42DE">
            <w:pPr>
              <w:pStyle w:val="TableText"/>
              <w:rPr>
                <w:rFonts w:cs="Calibri"/>
                <w:szCs w:val="18"/>
              </w:rPr>
            </w:pPr>
            <w:r w:rsidRPr="005D6D89">
              <w:rPr>
                <w:rFonts w:cs="Calibri"/>
                <w:szCs w:val="18"/>
              </w:rPr>
              <w:t>Major</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EE52520" w14:textId="77777777" w:rsidR="00BD42DE" w:rsidRPr="005D6D89" w:rsidRDefault="00BD42DE" w:rsidP="00BD42DE">
            <w:pPr>
              <w:rPr>
                <w:rFonts w:cs="Calibri"/>
                <w:sz w:val="18"/>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37CE2B72" w14:textId="77777777" w:rsidR="00BD42DE" w:rsidRPr="005D6D89" w:rsidRDefault="00BD42DE" w:rsidP="00BD42DE">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B6580C3" w14:textId="77777777" w:rsidR="00BD42DE" w:rsidRPr="005D6D89" w:rsidRDefault="00BD42DE" w:rsidP="00BD42DE">
            <w:pPr>
              <w:pStyle w:val="TableText0"/>
              <w:rPr>
                <w:rFonts w:cs="Calibri"/>
                <w:b/>
                <w:szCs w:val="18"/>
              </w:rPr>
            </w:pPr>
            <w:r w:rsidRPr="005D6D89">
              <w:rPr>
                <w:rFonts w:cs="Calibri"/>
                <w:b/>
                <w:szCs w:val="18"/>
              </w:rPr>
              <w:t>2100</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0009BC91" w14:textId="77777777" w:rsidR="00BD42DE" w:rsidRPr="005D6D89" w:rsidRDefault="00CD1CDB" w:rsidP="00BD42DE">
            <w:pPr>
              <w:pStyle w:val="TableText0"/>
              <w:rPr>
                <w:rFonts w:cs="Calibri"/>
                <w:szCs w:val="18"/>
              </w:rPr>
            </w:pPr>
            <w:r w:rsidRPr="005D6D89">
              <w:rPr>
                <w:rFonts w:cs="Calibri"/>
                <w:szCs w:val="18"/>
              </w:rPr>
              <w:t>Major</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093C6BE" w14:textId="77777777" w:rsidR="00BD42DE" w:rsidRPr="005D6D89" w:rsidRDefault="00BD42DE" w:rsidP="00BD42DE">
            <w:pPr>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103C261E" w14:textId="77777777" w:rsidR="00BD42DE" w:rsidRPr="005D6D89" w:rsidRDefault="00BD42DE" w:rsidP="008F6B3E">
            <w:pPr>
              <w:pStyle w:val="TableText"/>
              <w:rPr>
                <w:rFonts w:cs="Calibri"/>
                <w:b/>
                <w:bCs/>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E8F0BC8" w14:textId="77777777" w:rsidR="00BD42DE" w:rsidRPr="005D6D89" w:rsidRDefault="00BD42DE" w:rsidP="008F6B3E">
            <w:pPr>
              <w:pStyle w:val="TableText"/>
              <w:rPr>
                <w:rFonts w:cs="Calibri"/>
                <w:b/>
                <w:bCs/>
                <w:szCs w:val="18"/>
              </w:rPr>
            </w:pPr>
            <w:r w:rsidRPr="005D6D89">
              <w:rPr>
                <w:rFonts w:cs="Calibri"/>
                <w:b/>
                <w:bCs/>
                <w:szCs w:val="18"/>
              </w:rPr>
              <w:t>2100</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00C3D8DC" w14:textId="77777777" w:rsidR="00BD42DE" w:rsidRPr="005D6D89" w:rsidRDefault="00CD1CDB" w:rsidP="008F6B3E">
            <w:pPr>
              <w:pStyle w:val="TableText"/>
              <w:rPr>
                <w:rFonts w:cs="Calibri"/>
                <w:szCs w:val="18"/>
              </w:rPr>
            </w:pPr>
            <w:r w:rsidRPr="005D6D89">
              <w:rPr>
                <w:rFonts w:cs="Calibri"/>
                <w:szCs w:val="18"/>
              </w:rPr>
              <w:t>Major</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463323B" w14:textId="77777777" w:rsidR="00BD42DE" w:rsidRPr="005D6D89" w:rsidRDefault="00BD42DE" w:rsidP="00BD42DE">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1C8AF820" w14:textId="77777777" w:rsidR="00BD42DE" w:rsidRPr="005D6D89" w:rsidRDefault="00BD42DE" w:rsidP="008F6B3E">
            <w:pPr>
              <w:pStyle w:val="TableText"/>
              <w:rPr>
                <w:rFonts w:cs="Calibri"/>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A5D97DA" w14:textId="77777777" w:rsidR="00BD42DE" w:rsidRPr="005D6D89" w:rsidRDefault="00BD42DE" w:rsidP="008F6B3E">
            <w:pPr>
              <w:pStyle w:val="TableText"/>
              <w:rPr>
                <w:rFonts w:cs="Calibri"/>
                <w:b/>
                <w:bCs/>
                <w:szCs w:val="18"/>
              </w:rPr>
            </w:pPr>
            <w:r w:rsidRPr="005D6D89">
              <w:rPr>
                <w:rFonts w:cs="Calibri"/>
                <w:b/>
                <w:bCs/>
                <w:szCs w:val="18"/>
              </w:rPr>
              <w:t>2100</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139750D4" w14:textId="77777777" w:rsidR="00BD42DE" w:rsidRPr="005D6D89" w:rsidRDefault="00CD1CDB" w:rsidP="008F6B3E">
            <w:pPr>
              <w:pStyle w:val="TableText"/>
              <w:rPr>
                <w:rFonts w:cs="Calibri"/>
                <w:szCs w:val="18"/>
              </w:rPr>
            </w:pPr>
            <w:r w:rsidRPr="005D6D89">
              <w:rPr>
                <w:rFonts w:cs="Calibri"/>
                <w:szCs w:val="18"/>
              </w:rPr>
              <w:t>Major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F048532" w14:textId="77777777" w:rsidR="00BD42DE" w:rsidRPr="005D6D89" w:rsidRDefault="00BD42DE" w:rsidP="00BD42DE">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5B76A122" w14:textId="77777777" w:rsidR="00BD42DE" w:rsidRPr="005D6D89" w:rsidRDefault="00BD42DE" w:rsidP="008F6B3E">
            <w:pPr>
              <w:pStyle w:val="TableText"/>
              <w:rPr>
                <w:rFonts w:cs="Calibri"/>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1108A9D" w14:textId="77777777" w:rsidR="00BD42DE" w:rsidRPr="005D6D89" w:rsidRDefault="00BD42DE" w:rsidP="008F6B3E">
            <w:pPr>
              <w:pStyle w:val="TableText"/>
              <w:rPr>
                <w:rFonts w:cs="Calibri"/>
                <w:b/>
                <w:bCs/>
                <w:szCs w:val="18"/>
              </w:rPr>
            </w:pPr>
            <w:r w:rsidRPr="005D6D89">
              <w:rPr>
                <w:rFonts w:cs="Calibri"/>
                <w:b/>
                <w:bCs/>
                <w:szCs w:val="18"/>
              </w:rPr>
              <w:t>2100</w:t>
            </w:r>
          </w:p>
        </w:tc>
        <w:tc>
          <w:tcPr>
            <w:tcW w:w="174" w:type="pct"/>
            <w:tcBorders>
              <w:top w:val="single" w:sz="4" w:space="0" w:color="2C9986"/>
              <w:left w:val="single" w:sz="4" w:space="0" w:color="2C9986"/>
              <w:bottom w:val="single" w:sz="4" w:space="0" w:color="2C9986"/>
            </w:tcBorders>
            <w:shd w:val="clear" w:color="auto" w:fill="auto"/>
          </w:tcPr>
          <w:p w14:paraId="22A28D24" w14:textId="77777777" w:rsidR="00BD42DE" w:rsidRPr="005D6D89" w:rsidRDefault="00CD1CDB" w:rsidP="008F6B3E">
            <w:pPr>
              <w:pStyle w:val="TableText"/>
              <w:rPr>
                <w:rFonts w:cs="Calibri"/>
                <w:szCs w:val="18"/>
              </w:rPr>
            </w:pPr>
            <w:r w:rsidRPr="005D6D89">
              <w:rPr>
                <w:rFonts w:cs="Calibri"/>
                <w:szCs w:val="18"/>
              </w:rPr>
              <w:t>Major</w:t>
            </w:r>
          </w:p>
        </w:tc>
      </w:tr>
      <w:bookmarkEnd w:id="288"/>
      <w:tr w:rsidR="00C81B28" w:rsidRPr="005D6D89" w14:paraId="4574D746" w14:textId="77777777" w:rsidTr="008F1533">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0ADB59C6" w14:textId="77777777" w:rsidR="00BD42DE" w:rsidRPr="005D6D89" w:rsidRDefault="00BD42DE" w:rsidP="008F6B3E">
            <w:pPr>
              <w:pStyle w:val="TableText"/>
              <w:rPr>
                <w:rFonts w:cs="Calibri"/>
                <w:szCs w:val="18"/>
              </w:rPr>
            </w:pPr>
            <w:r w:rsidRPr="005D6D89">
              <w:rPr>
                <w:rFonts w:cs="Calibri"/>
                <w:szCs w:val="18"/>
              </w:rPr>
              <w:t>N4 Risks to wetland ecosystems and species, particularly in eastern and northern parts of New Zealand, from reduced moisture status due to reduced rainfall.</w:t>
            </w:r>
            <w:r w:rsidR="00027F9F" w:rsidRPr="005D6D89">
              <w:rPr>
                <w:rFonts w:cs="Calibri"/>
                <w:szCs w:val="18"/>
              </w:rPr>
              <w:t xml:space="preserve"> </w:t>
            </w:r>
          </w:p>
        </w:tc>
        <w:tc>
          <w:tcPr>
            <w:tcW w:w="243" w:type="pct"/>
            <w:gridSpan w:val="2"/>
            <w:tcBorders>
              <w:top w:val="single" w:sz="4" w:space="0" w:color="2C9986"/>
              <w:left w:val="single" w:sz="4" w:space="0" w:color="2C9986"/>
              <w:bottom w:val="single" w:sz="4" w:space="0" w:color="2C9986"/>
              <w:right w:val="single" w:sz="4" w:space="0" w:color="2C9986"/>
            </w:tcBorders>
          </w:tcPr>
          <w:p w14:paraId="1C0FB5C2" w14:textId="77777777" w:rsidR="00BD42DE" w:rsidRPr="005D6D89" w:rsidRDefault="00BD42DE" w:rsidP="00A156A8">
            <w:pPr>
              <w:pStyle w:val="TableText"/>
              <w:rPr>
                <w:rFonts w:cs="Calibri"/>
                <w:b/>
                <w:bCs/>
                <w:szCs w:val="18"/>
              </w:rPr>
            </w:pPr>
            <w:r w:rsidRPr="005D6D89">
              <w:rPr>
                <w:rFonts w:cs="Calibri"/>
                <w:b/>
                <w:bCs/>
                <w:szCs w:val="18"/>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21BC8921" w14:textId="77777777" w:rsidR="00BD42DE" w:rsidRPr="005D6D89" w:rsidRDefault="00BD42DE" w:rsidP="00A156A8">
            <w:pPr>
              <w:pStyle w:val="TableText"/>
              <w:rPr>
                <w:rFonts w:cs="Calibri"/>
                <w:szCs w:val="18"/>
              </w:rPr>
            </w:pPr>
            <w:r w:rsidRPr="005D6D89">
              <w:rPr>
                <w:rFonts w:cs="Calibri"/>
                <w:szCs w:val="18"/>
              </w:rPr>
              <w:t>68</w:t>
            </w:r>
          </w:p>
        </w:tc>
        <w:tc>
          <w:tcPr>
            <w:tcW w:w="548"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8E56C90" w14:textId="77777777" w:rsidR="00BD42DE" w:rsidRPr="005D6D89" w:rsidRDefault="00BD42DE" w:rsidP="008F6B3E">
            <w:pPr>
              <w:pStyle w:val="TableText"/>
              <w:rPr>
                <w:rFonts w:cs="Calibri"/>
                <w:szCs w:val="18"/>
              </w:rPr>
            </w:pPr>
            <w:r w:rsidRPr="005D6D89">
              <w:rPr>
                <w:rFonts w:cs="Calibri"/>
                <w:szCs w:val="18"/>
              </w:rPr>
              <w:t>H4 Risks of conflict, disruption and loss of trust in government</w:t>
            </w:r>
            <w:r w:rsidR="008C3AC9">
              <w:rPr>
                <w:rFonts w:cs="Calibri"/>
                <w:szCs w:val="18"/>
              </w:rPr>
              <w:t>,</w:t>
            </w:r>
            <w:r w:rsidRPr="005D6D89">
              <w:rPr>
                <w:rFonts w:cs="Calibri"/>
                <w:szCs w:val="18"/>
              </w:rPr>
              <w:t xml:space="preserve"> from changing patterns in the value of assets and competition for access to scarce resources</w:t>
            </w:r>
            <w:r w:rsidR="008C3AC9">
              <w:rPr>
                <w:rFonts w:cs="Calibri"/>
                <w:szCs w:val="18"/>
              </w:rPr>
              <w:t>,</w:t>
            </w:r>
            <w:r w:rsidRPr="005D6D89">
              <w:rPr>
                <w:rFonts w:cs="Calibri"/>
                <w:szCs w:val="18"/>
              </w:rPr>
              <w:t xml:space="preserve"> primarily due to extreme weather events and ongoing sea-level rise.</w:t>
            </w:r>
          </w:p>
        </w:tc>
        <w:tc>
          <w:tcPr>
            <w:tcW w:w="257" w:type="pct"/>
            <w:gridSpan w:val="2"/>
            <w:tcBorders>
              <w:top w:val="single" w:sz="4" w:space="0" w:color="2C9986"/>
              <w:left w:val="single" w:sz="4" w:space="0" w:color="2C9986"/>
              <w:bottom w:val="single" w:sz="4" w:space="0" w:color="2C9986"/>
              <w:right w:val="single" w:sz="4" w:space="0" w:color="2C9986"/>
            </w:tcBorders>
          </w:tcPr>
          <w:p w14:paraId="7482A547" w14:textId="77777777" w:rsidR="00BD42DE" w:rsidRPr="005D6D89" w:rsidRDefault="00BD42DE" w:rsidP="006C3DAF">
            <w:pPr>
              <w:pStyle w:val="TableText"/>
              <w:rPr>
                <w:rFonts w:cs="Calibri"/>
                <w:b/>
                <w:bCs/>
                <w:szCs w:val="18"/>
              </w:rPr>
            </w:pPr>
            <w:r w:rsidRPr="005D6D89">
              <w:rPr>
                <w:rFonts w:cs="Calibri"/>
                <w:b/>
                <w:bCs/>
                <w:szCs w:val="18"/>
              </w:rPr>
              <w:t>Urgency</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530B943F" w14:textId="77777777" w:rsidR="00BD42DE" w:rsidRPr="005D6D89" w:rsidRDefault="00BD42DE" w:rsidP="006C3DAF">
            <w:pPr>
              <w:pStyle w:val="TableText"/>
              <w:rPr>
                <w:rFonts w:cs="Calibri"/>
                <w:szCs w:val="18"/>
              </w:rPr>
            </w:pPr>
            <w:r w:rsidRPr="005D6D89">
              <w:rPr>
                <w:rFonts w:cs="Calibri"/>
                <w:szCs w:val="18"/>
              </w:rPr>
              <w:t>83</w:t>
            </w:r>
          </w:p>
        </w:tc>
        <w:tc>
          <w:tcPr>
            <w:tcW w:w="608"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E430DAC" w14:textId="77777777" w:rsidR="00BD42DE" w:rsidRPr="005D6D89" w:rsidRDefault="00BD42DE" w:rsidP="008F6B3E">
            <w:pPr>
              <w:pStyle w:val="TableText"/>
              <w:rPr>
                <w:rFonts w:cs="Calibri"/>
                <w:szCs w:val="18"/>
              </w:rPr>
            </w:pPr>
            <w:r w:rsidRPr="005D6D89">
              <w:rPr>
                <w:rFonts w:cs="Calibri"/>
                <w:szCs w:val="18"/>
              </w:rPr>
              <w:t>E4 Risks to tourism from changes to landscapes and ecosystems and impacts on lifeline infrastructure, due to extreme weather events and ongoing, gradual changes.</w:t>
            </w:r>
          </w:p>
        </w:tc>
        <w:tc>
          <w:tcPr>
            <w:tcW w:w="268" w:type="pct"/>
            <w:gridSpan w:val="2"/>
            <w:tcBorders>
              <w:top w:val="single" w:sz="4" w:space="0" w:color="2C9986"/>
              <w:left w:val="single" w:sz="4" w:space="0" w:color="2C9986"/>
              <w:bottom w:val="single" w:sz="4" w:space="0" w:color="2C9986"/>
              <w:right w:val="single" w:sz="4" w:space="0" w:color="2C9986"/>
            </w:tcBorders>
          </w:tcPr>
          <w:p w14:paraId="6D70890D" w14:textId="77777777" w:rsidR="00BD42DE" w:rsidRPr="005D6D89" w:rsidRDefault="00BD42DE" w:rsidP="006C3DAF">
            <w:pPr>
              <w:pStyle w:val="TableText"/>
              <w:rPr>
                <w:rFonts w:cs="Calibri"/>
                <w:b/>
                <w:bCs/>
                <w:szCs w:val="18"/>
              </w:rPr>
            </w:pPr>
            <w:r w:rsidRPr="005D6D89">
              <w:rPr>
                <w:rFonts w:cs="Calibri"/>
                <w:b/>
                <w:bCs/>
                <w:szCs w:val="18"/>
              </w:rPr>
              <w:t>Urgency</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1146A472" w14:textId="77777777" w:rsidR="00BD42DE" w:rsidRPr="005D6D89" w:rsidRDefault="00BD42DE" w:rsidP="006C3DAF">
            <w:pPr>
              <w:pStyle w:val="TableText"/>
              <w:rPr>
                <w:rFonts w:cs="Calibri"/>
                <w:szCs w:val="18"/>
              </w:rPr>
            </w:pPr>
            <w:r w:rsidRPr="005D6D89">
              <w:rPr>
                <w:rFonts w:cs="Calibri"/>
                <w:szCs w:val="18"/>
              </w:rPr>
              <w:t>80</w:t>
            </w:r>
          </w:p>
        </w:tc>
        <w:tc>
          <w:tcPr>
            <w:tcW w:w="589"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E1F7278" w14:textId="77777777" w:rsidR="00BD42DE" w:rsidRPr="005D6D89" w:rsidRDefault="00BD42DE" w:rsidP="008F6B3E">
            <w:pPr>
              <w:pStyle w:val="TableText"/>
              <w:rPr>
                <w:rFonts w:cs="Calibri"/>
                <w:szCs w:val="18"/>
              </w:rPr>
            </w:pPr>
            <w:r w:rsidRPr="005D6D89">
              <w:rPr>
                <w:rFonts w:cs="Calibri"/>
                <w:szCs w:val="18"/>
              </w:rPr>
              <w:t>B4 Risk to wastewater and stormwater systems (and levels of service) due to extreme weather events and ongoing sea-level rise.</w:t>
            </w:r>
          </w:p>
        </w:tc>
        <w:tc>
          <w:tcPr>
            <w:tcW w:w="277" w:type="pct"/>
            <w:gridSpan w:val="2"/>
            <w:tcBorders>
              <w:top w:val="single" w:sz="4" w:space="0" w:color="2C9986"/>
              <w:left w:val="single" w:sz="4" w:space="0" w:color="2C9986"/>
              <w:bottom w:val="single" w:sz="4" w:space="0" w:color="2C9986"/>
              <w:right w:val="single" w:sz="4" w:space="0" w:color="2C9986"/>
            </w:tcBorders>
          </w:tcPr>
          <w:p w14:paraId="77774340" w14:textId="77777777" w:rsidR="00BD42DE" w:rsidRPr="005D6D89" w:rsidRDefault="00BD42DE" w:rsidP="006C3DAF">
            <w:pPr>
              <w:pStyle w:val="TableText"/>
              <w:rPr>
                <w:rFonts w:cs="Calibri"/>
                <w:b/>
                <w:bCs/>
                <w:szCs w:val="18"/>
              </w:rPr>
            </w:pPr>
            <w:r w:rsidRPr="005D6D89">
              <w:rPr>
                <w:rFonts w:cs="Calibri"/>
                <w:b/>
                <w:bCs/>
                <w:szCs w:val="18"/>
              </w:rPr>
              <w:t>Urgency</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355BF067" w14:textId="77777777" w:rsidR="00BD42DE" w:rsidRPr="005D6D89" w:rsidRDefault="00BD42DE" w:rsidP="006C3DAF">
            <w:pPr>
              <w:pStyle w:val="TableText"/>
              <w:rPr>
                <w:rFonts w:cs="Calibri"/>
                <w:szCs w:val="18"/>
              </w:rPr>
            </w:pPr>
            <w:r w:rsidRPr="005D6D89">
              <w:rPr>
                <w:rFonts w:cs="Calibri"/>
                <w:szCs w:val="18"/>
              </w:rPr>
              <w:t>85</w:t>
            </w:r>
          </w:p>
        </w:tc>
        <w:tc>
          <w:tcPr>
            <w:tcW w:w="568" w:type="pct"/>
            <w:gridSpan w:val="2"/>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3226687" w14:textId="77777777" w:rsidR="00BD42DE" w:rsidRPr="005D6D89" w:rsidRDefault="00BD42DE" w:rsidP="008F6B3E">
            <w:pPr>
              <w:pStyle w:val="TableText"/>
              <w:rPr>
                <w:rFonts w:cs="Calibri"/>
                <w:szCs w:val="18"/>
              </w:rPr>
            </w:pPr>
            <w:r w:rsidRPr="005D6D89">
              <w:rPr>
                <w:rFonts w:cs="Calibri"/>
                <w:szCs w:val="18"/>
              </w:rPr>
              <w:t xml:space="preserve">G4 Risk of a breach of Treaty obligations from a failure to engage adequately with and protect current and future generations of Māori from the impacts of climate change. </w:t>
            </w:r>
          </w:p>
        </w:tc>
        <w:tc>
          <w:tcPr>
            <w:tcW w:w="268" w:type="pct"/>
            <w:gridSpan w:val="2"/>
            <w:tcBorders>
              <w:top w:val="single" w:sz="4" w:space="0" w:color="2C9986"/>
              <w:left w:val="single" w:sz="4" w:space="0" w:color="2C9986"/>
              <w:bottom w:val="single" w:sz="4" w:space="0" w:color="2C9986"/>
              <w:right w:val="single" w:sz="4" w:space="0" w:color="2C9986"/>
            </w:tcBorders>
          </w:tcPr>
          <w:p w14:paraId="79C40AFA" w14:textId="77777777" w:rsidR="00BD42DE" w:rsidRPr="005D6D89" w:rsidRDefault="00BD42DE" w:rsidP="006C3DAF">
            <w:pPr>
              <w:pStyle w:val="TableText"/>
              <w:rPr>
                <w:rFonts w:cs="Calibri"/>
                <w:b/>
                <w:bCs/>
                <w:szCs w:val="18"/>
              </w:rPr>
            </w:pPr>
            <w:r w:rsidRPr="005D6D89">
              <w:rPr>
                <w:rFonts w:cs="Calibri"/>
                <w:b/>
                <w:bCs/>
                <w:szCs w:val="18"/>
              </w:rPr>
              <w:t>Urgency</w:t>
            </w:r>
          </w:p>
        </w:tc>
        <w:tc>
          <w:tcPr>
            <w:tcW w:w="174" w:type="pct"/>
            <w:tcBorders>
              <w:top w:val="single" w:sz="4" w:space="0" w:color="2C9986"/>
              <w:left w:val="single" w:sz="4" w:space="0" w:color="2C9986"/>
              <w:bottom w:val="single" w:sz="4" w:space="0" w:color="2C9986"/>
            </w:tcBorders>
            <w:shd w:val="clear" w:color="auto" w:fill="auto"/>
          </w:tcPr>
          <w:p w14:paraId="70E61307" w14:textId="77777777" w:rsidR="00BD42DE" w:rsidRPr="005D6D89" w:rsidRDefault="00BD42DE" w:rsidP="006C3DAF">
            <w:pPr>
              <w:pStyle w:val="TableText"/>
              <w:rPr>
                <w:rFonts w:cs="Calibri"/>
                <w:szCs w:val="18"/>
              </w:rPr>
            </w:pPr>
            <w:r w:rsidRPr="005D6D89">
              <w:rPr>
                <w:rFonts w:cs="Calibri"/>
                <w:szCs w:val="18"/>
              </w:rPr>
              <w:t>75</w:t>
            </w:r>
          </w:p>
        </w:tc>
      </w:tr>
      <w:tr w:rsidR="00857C1C" w:rsidRPr="005D6D89" w14:paraId="1D2B1813"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2E736947" w14:textId="77777777" w:rsidR="00BD42DE" w:rsidRPr="005D6D89" w:rsidRDefault="00BD42DE" w:rsidP="00BD42DE">
            <w:pPr>
              <w:pStyle w:val="TableText0"/>
              <w:rPr>
                <w:rFonts w:cs="Calibri"/>
                <w:szCs w:val="18"/>
                <w:highlight w:val="cyan"/>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1C9AA243" w14:textId="77777777" w:rsidR="00BD42DE" w:rsidRPr="005D6D89" w:rsidRDefault="00BD42DE" w:rsidP="006C3DAF">
            <w:pPr>
              <w:pStyle w:val="TableText"/>
              <w:spacing w:before="0" w:after="120"/>
              <w:jc w:val="center"/>
              <w:rPr>
                <w:rFonts w:cs="Calibri"/>
                <w:b/>
                <w:bCs/>
                <w:szCs w:val="18"/>
              </w:rPr>
            </w:pPr>
            <w:r w:rsidRPr="005D6D89">
              <w:rPr>
                <w:rFonts w:cs="Calibri"/>
                <w:b/>
                <w:bCs/>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34F932B" w14:textId="77777777" w:rsidR="00BD42DE" w:rsidRPr="005D6D89" w:rsidRDefault="00BD42DE" w:rsidP="008F6B3E">
            <w:pPr>
              <w:pStyle w:val="TableText"/>
              <w:rPr>
                <w:rFonts w:cs="Calibri"/>
                <w:b/>
                <w:bCs/>
                <w:szCs w:val="18"/>
              </w:rPr>
            </w:pPr>
            <w:r w:rsidRPr="005D6D89">
              <w:rPr>
                <w:rFonts w:cs="Calibri"/>
                <w:b/>
                <w:bCs/>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4ECDC69E" w14:textId="77777777" w:rsidR="00BD42DE" w:rsidRPr="005D6D89" w:rsidRDefault="00BD42DE" w:rsidP="008F6B3E">
            <w:pPr>
              <w:pStyle w:val="TableText"/>
              <w:rPr>
                <w:rFonts w:cs="Calibri"/>
                <w:szCs w:val="18"/>
              </w:rPr>
            </w:pPr>
            <w:r w:rsidRPr="005D6D89">
              <w:rPr>
                <w:rFonts w:cs="Calibri"/>
                <w:szCs w:val="18"/>
              </w:rPr>
              <w:t>Min</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74967C0" w14:textId="77777777" w:rsidR="00BD42DE" w:rsidRPr="005D6D89" w:rsidRDefault="00BD42DE" w:rsidP="00BD42DE">
            <w:pPr>
              <w:rPr>
                <w:rFonts w:cs="Calibri"/>
                <w:sz w:val="18"/>
                <w:szCs w:val="18"/>
              </w:rPr>
            </w:pPr>
          </w:p>
        </w:tc>
        <w:tc>
          <w:tcPr>
            <w:tcW w:w="82"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661E0E1C" w14:textId="77777777" w:rsidR="00BD42DE" w:rsidRPr="005D6D89" w:rsidRDefault="00BD42DE" w:rsidP="006C3DAF">
            <w:pPr>
              <w:pStyle w:val="TableTextBold0"/>
              <w:spacing w:before="0" w:after="120"/>
              <w:jc w:val="center"/>
              <w:rPr>
                <w:rFonts w:cs="Calibri"/>
                <w:szCs w:val="18"/>
              </w:rPr>
            </w:pPr>
            <w:r w:rsidRPr="005D6D89">
              <w:rPr>
                <w:rFonts w:cs="Calibri"/>
                <w:szCs w:val="18"/>
              </w:rPr>
              <w:t>Consequence</w:t>
            </w: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A102E73" w14:textId="77777777" w:rsidR="00BD42DE" w:rsidRPr="005D6D89" w:rsidRDefault="00BD42DE" w:rsidP="006C3DAF">
            <w:pPr>
              <w:pStyle w:val="TableText"/>
              <w:rPr>
                <w:rFonts w:cs="Calibri"/>
                <w:b/>
                <w:bCs/>
                <w:szCs w:val="18"/>
              </w:rPr>
            </w:pPr>
            <w:r w:rsidRPr="005D6D89">
              <w:rPr>
                <w:rFonts w:cs="Calibri"/>
                <w:b/>
                <w:bCs/>
                <w:szCs w:val="18"/>
              </w:rPr>
              <w:t>Now</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49D2C94B" w14:textId="77777777" w:rsidR="00BD42DE" w:rsidRPr="005D6D89" w:rsidRDefault="00BD42DE" w:rsidP="006C3DAF">
            <w:pPr>
              <w:pStyle w:val="TableText"/>
              <w:rPr>
                <w:rFonts w:cs="Calibri"/>
                <w:szCs w:val="18"/>
              </w:rPr>
            </w:pPr>
            <w:r w:rsidRPr="005D6D89">
              <w:rPr>
                <w:rFonts w:cs="Calibri"/>
                <w:szCs w:val="18"/>
              </w:rPr>
              <w:t>Mod</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6812215" w14:textId="77777777" w:rsidR="00BD42DE" w:rsidRPr="005D6D89" w:rsidRDefault="00BD42DE" w:rsidP="00BD42DE">
            <w:pPr>
              <w:rPr>
                <w:rFonts w:cs="Calibri"/>
                <w:sz w:val="18"/>
                <w:szCs w:val="18"/>
              </w:rPr>
            </w:pPr>
          </w:p>
        </w:tc>
        <w:tc>
          <w:tcPr>
            <w:tcW w:w="90"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13053F52" w14:textId="77777777" w:rsidR="00BD42DE" w:rsidRPr="005D6D89" w:rsidRDefault="00BD42DE" w:rsidP="006C3DAF">
            <w:pPr>
              <w:pStyle w:val="TableText"/>
              <w:spacing w:before="0" w:after="120"/>
              <w:jc w:val="center"/>
              <w:rPr>
                <w:rFonts w:cs="Calibri"/>
                <w:b/>
                <w:bCs/>
                <w:szCs w:val="18"/>
              </w:rPr>
            </w:pPr>
            <w:r w:rsidRPr="005D6D89">
              <w:rPr>
                <w:rFonts w:cs="Calibri"/>
                <w:b/>
                <w:bCs/>
                <w:szCs w:val="18"/>
              </w:rPr>
              <w:t>Consequence</w:t>
            </w: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B5AEF66" w14:textId="77777777" w:rsidR="00BD42DE" w:rsidRPr="005D6D89" w:rsidRDefault="00BD42DE" w:rsidP="006C3DAF">
            <w:pPr>
              <w:pStyle w:val="TableText"/>
              <w:rPr>
                <w:rFonts w:cs="Calibri"/>
                <w:b/>
                <w:bCs/>
                <w:szCs w:val="18"/>
              </w:rPr>
            </w:pPr>
            <w:r w:rsidRPr="005D6D89">
              <w:rPr>
                <w:rFonts w:cs="Calibri"/>
                <w:b/>
                <w:bCs/>
                <w:szCs w:val="18"/>
              </w:rPr>
              <w:t>Now</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7A9F083F" w14:textId="77777777" w:rsidR="00BD42DE" w:rsidRPr="005D6D89" w:rsidRDefault="00BD42DE" w:rsidP="006C3DAF">
            <w:pPr>
              <w:pStyle w:val="TableText"/>
              <w:rPr>
                <w:rFonts w:cs="Calibri"/>
                <w:szCs w:val="18"/>
              </w:rPr>
            </w:pPr>
            <w:r w:rsidRPr="005D6D89">
              <w:rPr>
                <w:rFonts w:cs="Calibri"/>
                <w:szCs w:val="18"/>
              </w:rPr>
              <w:t>Min</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20C642E" w14:textId="77777777" w:rsidR="00BD42DE" w:rsidRPr="005D6D89" w:rsidRDefault="00BD42DE" w:rsidP="00BD42DE">
            <w:pPr>
              <w:pStyle w:val="TableText0"/>
              <w:rPr>
                <w:rFonts w:cs="Calibri"/>
                <w:szCs w:val="18"/>
              </w:rPr>
            </w:pPr>
          </w:p>
        </w:tc>
        <w:tc>
          <w:tcPr>
            <w:tcW w:w="103"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706C05F6" w14:textId="77777777" w:rsidR="00BD42DE" w:rsidRPr="005D6D89" w:rsidRDefault="00BD42DE" w:rsidP="006C3DAF">
            <w:pPr>
              <w:pStyle w:val="TableText"/>
              <w:spacing w:before="0"/>
              <w:jc w:val="center"/>
              <w:rPr>
                <w:rFonts w:cs="Calibri"/>
                <w:b/>
                <w:bCs/>
                <w:szCs w:val="18"/>
              </w:rPr>
            </w:pPr>
            <w:r w:rsidRPr="005D6D89">
              <w:rPr>
                <w:rFonts w:cs="Calibri"/>
                <w:b/>
                <w:bCs/>
                <w:szCs w:val="18"/>
              </w:rPr>
              <w:t>Consequence</w:t>
            </w: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B2D929E" w14:textId="77777777" w:rsidR="00BD42DE" w:rsidRPr="005D6D89" w:rsidRDefault="00BD42DE" w:rsidP="006C3DAF">
            <w:pPr>
              <w:pStyle w:val="TableText"/>
              <w:rPr>
                <w:rFonts w:cs="Calibri"/>
                <w:b/>
                <w:bCs/>
                <w:szCs w:val="18"/>
              </w:rPr>
            </w:pPr>
            <w:r w:rsidRPr="005D6D89">
              <w:rPr>
                <w:rFonts w:cs="Calibri"/>
                <w:b/>
                <w:bCs/>
                <w:szCs w:val="18"/>
              </w:rPr>
              <w:t>Now</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1E5EB91A" w14:textId="77777777" w:rsidR="00BD42DE" w:rsidRPr="005D6D89" w:rsidRDefault="00CD1CDB" w:rsidP="006C3DAF">
            <w:pPr>
              <w:pStyle w:val="TableText"/>
              <w:rPr>
                <w:rFonts w:cs="Calibri"/>
                <w:szCs w:val="18"/>
              </w:rPr>
            </w:pPr>
            <w:r w:rsidRPr="005D6D89">
              <w:rPr>
                <w:rFonts w:cs="Calibri"/>
                <w:szCs w:val="18"/>
              </w:rPr>
              <w:t>Major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2EFDE1B" w14:textId="77777777" w:rsidR="00BD42DE" w:rsidRPr="005D6D89" w:rsidRDefault="00BD42DE" w:rsidP="00BD42DE">
            <w:pPr>
              <w:pStyle w:val="TableText0"/>
              <w:rPr>
                <w:rFonts w:cs="Calibri"/>
                <w:szCs w:val="18"/>
              </w:rPr>
            </w:pPr>
          </w:p>
        </w:tc>
        <w:tc>
          <w:tcPr>
            <w:tcW w:w="100"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37288C79" w14:textId="77777777" w:rsidR="00BD42DE" w:rsidRPr="005D6D89" w:rsidRDefault="00BD42DE" w:rsidP="006C3DAF">
            <w:pPr>
              <w:pStyle w:val="TableText"/>
              <w:spacing w:before="0"/>
              <w:jc w:val="center"/>
              <w:rPr>
                <w:rFonts w:cs="Calibri"/>
                <w:b/>
                <w:bCs/>
                <w:szCs w:val="18"/>
              </w:rPr>
            </w:pPr>
            <w:r w:rsidRPr="005D6D89">
              <w:rPr>
                <w:rFonts w:cs="Calibri"/>
                <w:b/>
                <w:bCs/>
                <w:szCs w:val="18"/>
              </w:rPr>
              <w:t>Consequence</w:t>
            </w: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9A1CF8E" w14:textId="77777777" w:rsidR="00BD42DE" w:rsidRPr="005D6D89" w:rsidRDefault="00BD42DE" w:rsidP="006C3DAF">
            <w:pPr>
              <w:pStyle w:val="TableText"/>
              <w:rPr>
                <w:rFonts w:cs="Calibri"/>
                <w:b/>
                <w:bCs/>
                <w:szCs w:val="18"/>
              </w:rPr>
            </w:pPr>
            <w:r w:rsidRPr="005D6D89">
              <w:rPr>
                <w:rFonts w:cs="Calibri"/>
                <w:b/>
                <w:bCs/>
                <w:szCs w:val="18"/>
              </w:rPr>
              <w:t>Now</w:t>
            </w:r>
          </w:p>
        </w:tc>
        <w:tc>
          <w:tcPr>
            <w:tcW w:w="174" w:type="pct"/>
            <w:tcBorders>
              <w:top w:val="single" w:sz="4" w:space="0" w:color="2C9986"/>
              <w:left w:val="single" w:sz="4" w:space="0" w:color="2C9986"/>
              <w:bottom w:val="single" w:sz="4" w:space="0" w:color="2C9986"/>
            </w:tcBorders>
            <w:shd w:val="clear" w:color="auto" w:fill="auto"/>
          </w:tcPr>
          <w:p w14:paraId="3FA44D02" w14:textId="77777777" w:rsidR="00BD42DE" w:rsidRPr="005D6D89" w:rsidRDefault="00BD42DE" w:rsidP="006C3DAF">
            <w:pPr>
              <w:pStyle w:val="TableText"/>
              <w:rPr>
                <w:rFonts w:cs="Calibri"/>
                <w:szCs w:val="18"/>
              </w:rPr>
            </w:pPr>
            <w:r w:rsidRPr="005D6D89">
              <w:rPr>
                <w:rFonts w:cs="Calibri"/>
                <w:szCs w:val="18"/>
              </w:rPr>
              <w:t>Mod</w:t>
            </w:r>
          </w:p>
        </w:tc>
      </w:tr>
      <w:tr w:rsidR="00857C1C" w:rsidRPr="005D6D89" w14:paraId="7D9F4094"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19475C48" w14:textId="77777777" w:rsidR="00BD42DE" w:rsidRPr="005D6D89" w:rsidRDefault="00BD42DE" w:rsidP="00BD42DE">
            <w:pPr>
              <w:pStyle w:val="TableText0"/>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61AC05A7" w14:textId="77777777" w:rsidR="00BD42DE" w:rsidRPr="005D6D89" w:rsidRDefault="00BD42DE" w:rsidP="008F6B3E">
            <w:pPr>
              <w:pStyle w:val="TableText"/>
              <w:rPr>
                <w:rFonts w:cs="Calibri"/>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F61CD28" w14:textId="77777777" w:rsidR="00BD42DE" w:rsidRPr="005D6D89" w:rsidRDefault="00BD42DE" w:rsidP="008F6B3E">
            <w:pPr>
              <w:pStyle w:val="TableText"/>
              <w:rPr>
                <w:rFonts w:cs="Calibri"/>
                <w:b/>
                <w:bCs/>
                <w:szCs w:val="18"/>
              </w:rPr>
            </w:pPr>
            <w:r w:rsidRPr="005D6D89">
              <w:rPr>
                <w:rFonts w:cs="Calibri"/>
                <w:b/>
                <w:bCs/>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06084A2E" w14:textId="77777777" w:rsidR="00BD42DE" w:rsidRPr="005D6D89" w:rsidRDefault="00BD42DE" w:rsidP="008F6B3E">
            <w:pPr>
              <w:pStyle w:val="TableText"/>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712879A" w14:textId="77777777" w:rsidR="00BD42DE" w:rsidRPr="005D6D89" w:rsidRDefault="00BD42DE" w:rsidP="00BD42DE">
            <w:pPr>
              <w:rPr>
                <w:rFonts w:cs="Calibri"/>
                <w:sz w:val="18"/>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6CE8DDF5" w14:textId="77777777" w:rsidR="00BD42DE" w:rsidRPr="005D6D89" w:rsidRDefault="00BD42DE" w:rsidP="00BD42DE">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C97F6FE" w14:textId="77777777" w:rsidR="00BD42DE" w:rsidRPr="005D6D89" w:rsidRDefault="00BD42DE" w:rsidP="006C3DAF">
            <w:pPr>
              <w:pStyle w:val="TableText"/>
              <w:rPr>
                <w:rFonts w:cs="Calibri"/>
                <w:b/>
                <w:bCs/>
                <w:szCs w:val="18"/>
              </w:rPr>
            </w:pPr>
            <w:r w:rsidRPr="005D6D89">
              <w:rPr>
                <w:rFonts w:cs="Calibri"/>
                <w:b/>
                <w:bCs/>
                <w:szCs w:val="18"/>
              </w:rPr>
              <w:t xml:space="preserve">2050 </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2CEB32D6" w14:textId="77777777" w:rsidR="00BD42DE" w:rsidRPr="005D6D89" w:rsidRDefault="00CD1CDB" w:rsidP="006C3DAF">
            <w:pPr>
              <w:pStyle w:val="TableText"/>
              <w:rPr>
                <w:rFonts w:cs="Calibri"/>
                <w:szCs w:val="18"/>
              </w:rPr>
            </w:pPr>
            <w:r w:rsidRPr="005D6D89">
              <w:rPr>
                <w:rFonts w:cs="Calibri"/>
                <w:szCs w:val="18"/>
              </w:rPr>
              <w:t>Major</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609F6EF" w14:textId="77777777" w:rsidR="00BD42DE" w:rsidRPr="005D6D89" w:rsidRDefault="00BD42DE" w:rsidP="00BD42DE">
            <w:pPr>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57531BB2" w14:textId="77777777" w:rsidR="00BD42DE" w:rsidRPr="005D6D89" w:rsidRDefault="00BD42DE" w:rsidP="006C3DAF">
            <w:pPr>
              <w:pStyle w:val="TableText"/>
              <w:rPr>
                <w:rFonts w:cs="Calibri"/>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A5A5295" w14:textId="77777777" w:rsidR="00BD42DE" w:rsidRPr="005D6D89" w:rsidRDefault="00BD42DE" w:rsidP="006C3DAF">
            <w:pPr>
              <w:pStyle w:val="TableText"/>
              <w:rPr>
                <w:rFonts w:cs="Calibri"/>
                <w:b/>
                <w:bCs/>
                <w:szCs w:val="18"/>
              </w:rPr>
            </w:pPr>
            <w:r w:rsidRPr="005D6D89">
              <w:rPr>
                <w:rFonts w:cs="Calibri"/>
                <w:b/>
                <w:bCs/>
                <w:szCs w:val="18"/>
              </w:rPr>
              <w:t xml:space="preserve">2050 </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661EEC94" w14:textId="77777777" w:rsidR="00BD42DE" w:rsidRPr="005D6D89" w:rsidRDefault="00BD42DE" w:rsidP="006C3DAF">
            <w:pPr>
              <w:pStyle w:val="TableText"/>
              <w:rPr>
                <w:rFonts w:cs="Calibri"/>
                <w:szCs w:val="18"/>
              </w:rPr>
            </w:pPr>
            <w:r w:rsidRPr="005D6D89">
              <w:rPr>
                <w:rFonts w:cs="Calibri"/>
                <w:szCs w:val="18"/>
              </w:rPr>
              <w:t>Mod</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B66CA6C" w14:textId="77777777" w:rsidR="00BD42DE" w:rsidRPr="005D6D89" w:rsidRDefault="00BD42DE" w:rsidP="00BD42DE">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41707736" w14:textId="77777777" w:rsidR="00BD42DE" w:rsidRPr="005D6D89" w:rsidRDefault="00BD42DE" w:rsidP="006C3DAF">
            <w:pPr>
              <w:pStyle w:val="TableText"/>
              <w:rPr>
                <w:rFonts w:cs="Calibri"/>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29A34A0" w14:textId="77777777" w:rsidR="00BD42DE" w:rsidRPr="005D6D89" w:rsidRDefault="00BD42DE" w:rsidP="006C3DAF">
            <w:pPr>
              <w:pStyle w:val="TableText"/>
              <w:rPr>
                <w:rFonts w:cs="Calibri"/>
                <w:b/>
                <w:bCs/>
                <w:szCs w:val="18"/>
              </w:rPr>
            </w:pPr>
            <w:r w:rsidRPr="005D6D89">
              <w:rPr>
                <w:rFonts w:cs="Calibri"/>
                <w:b/>
                <w:bCs/>
                <w:szCs w:val="18"/>
              </w:rPr>
              <w:t xml:space="preserve">2050 </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40E1A814" w14:textId="77777777" w:rsidR="00BD42DE" w:rsidRPr="005D6D89" w:rsidRDefault="00BD42DE" w:rsidP="006C3DAF">
            <w:pPr>
              <w:pStyle w:val="TableText"/>
              <w:rPr>
                <w:rFonts w:cs="Calibri"/>
                <w:szCs w:val="18"/>
              </w:rPr>
            </w:pPr>
            <w:r w:rsidRPr="005D6D89">
              <w:rPr>
                <w:rFonts w:cs="Calibri"/>
                <w:szCs w:val="18"/>
              </w:rPr>
              <w:t>Ext</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BF9EBD2" w14:textId="77777777" w:rsidR="00BD42DE" w:rsidRPr="005D6D89" w:rsidRDefault="00BD42DE" w:rsidP="00BD42DE">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2DD8A7FD" w14:textId="77777777" w:rsidR="00BD42DE" w:rsidRPr="005D6D89" w:rsidRDefault="00BD42DE" w:rsidP="006C3DAF">
            <w:pPr>
              <w:pStyle w:val="TableText"/>
              <w:rPr>
                <w:rFonts w:cs="Calibri"/>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BB1606F" w14:textId="77777777" w:rsidR="00BD42DE" w:rsidRPr="005D6D89" w:rsidRDefault="00BD42DE" w:rsidP="006C3DAF">
            <w:pPr>
              <w:pStyle w:val="TableText"/>
              <w:rPr>
                <w:rFonts w:cs="Calibri"/>
                <w:b/>
                <w:bCs/>
                <w:szCs w:val="18"/>
              </w:rPr>
            </w:pPr>
            <w:r w:rsidRPr="005D6D89">
              <w:rPr>
                <w:rFonts w:cs="Calibri"/>
                <w:b/>
                <w:bCs/>
                <w:szCs w:val="18"/>
              </w:rPr>
              <w:t xml:space="preserve">2050 </w:t>
            </w:r>
          </w:p>
        </w:tc>
        <w:tc>
          <w:tcPr>
            <w:tcW w:w="174" w:type="pct"/>
            <w:tcBorders>
              <w:top w:val="single" w:sz="4" w:space="0" w:color="2C9986"/>
              <w:left w:val="single" w:sz="4" w:space="0" w:color="2C9986"/>
              <w:bottom w:val="single" w:sz="4" w:space="0" w:color="2C9986"/>
            </w:tcBorders>
            <w:shd w:val="clear" w:color="auto" w:fill="auto"/>
          </w:tcPr>
          <w:p w14:paraId="0ECD8620" w14:textId="77777777" w:rsidR="00BD42DE" w:rsidRPr="005D6D89" w:rsidRDefault="00CD1CDB" w:rsidP="006C3DAF">
            <w:pPr>
              <w:pStyle w:val="TableText"/>
              <w:rPr>
                <w:rFonts w:cs="Calibri"/>
                <w:szCs w:val="18"/>
              </w:rPr>
            </w:pPr>
            <w:r w:rsidRPr="005D6D89">
              <w:rPr>
                <w:rFonts w:cs="Calibri"/>
                <w:szCs w:val="18"/>
              </w:rPr>
              <w:t>Major</w:t>
            </w:r>
          </w:p>
        </w:tc>
      </w:tr>
      <w:tr w:rsidR="00857C1C" w:rsidRPr="005D6D89" w14:paraId="3C24A512"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617D6E7E" w14:textId="77777777" w:rsidR="00BD42DE" w:rsidRPr="005D6D89" w:rsidRDefault="00BD42DE" w:rsidP="00BD42DE">
            <w:pPr>
              <w:pStyle w:val="TableText0"/>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2404B403" w14:textId="77777777" w:rsidR="00BD42DE" w:rsidRPr="005D6D89" w:rsidRDefault="00BD42DE" w:rsidP="008F6B3E">
            <w:pPr>
              <w:pStyle w:val="TableText"/>
              <w:rPr>
                <w:rFonts w:cs="Calibri"/>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37AA191" w14:textId="77777777" w:rsidR="00BD42DE" w:rsidRPr="005D6D89" w:rsidRDefault="00BD42DE" w:rsidP="008F6B3E">
            <w:pPr>
              <w:pStyle w:val="TableText"/>
              <w:rPr>
                <w:rFonts w:cs="Calibri"/>
                <w:b/>
                <w:bCs/>
                <w:szCs w:val="18"/>
              </w:rPr>
            </w:pPr>
            <w:r w:rsidRPr="005D6D89">
              <w:rPr>
                <w:rFonts w:cs="Calibri"/>
                <w:b/>
                <w:bCs/>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729526A4" w14:textId="77777777" w:rsidR="00BD42DE" w:rsidRPr="005D6D89" w:rsidRDefault="00CD1CDB" w:rsidP="008F6B3E">
            <w:pPr>
              <w:pStyle w:val="TableText"/>
              <w:rPr>
                <w:rFonts w:cs="Calibri"/>
                <w:szCs w:val="18"/>
              </w:rPr>
            </w:pPr>
            <w:r w:rsidRPr="005D6D89">
              <w:rPr>
                <w:rFonts w:cs="Calibri"/>
                <w:szCs w:val="18"/>
              </w:rPr>
              <w:t>Major</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EF86227" w14:textId="77777777" w:rsidR="00BD42DE" w:rsidRPr="005D6D89" w:rsidRDefault="00BD42DE" w:rsidP="00BD42DE">
            <w:pPr>
              <w:rPr>
                <w:rFonts w:cs="Calibri"/>
                <w:sz w:val="18"/>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79DA66AE" w14:textId="77777777" w:rsidR="00BD42DE" w:rsidRPr="005D6D89" w:rsidRDefault="00BD42DE" w:rsidP="00BD42DE">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AA20C5C" w14:textId="77777777" w:rsidR="00BD42DE" w:rsidRPr="005D6D89" w:rsidRDefault="00BD42DE" w:rsidP="006C3DAF">
            <w:pPr>
              <w:pStyle w:val="TableText"/>
              <w:rPr>
                <w:rFonts w:cs="Calibri"/>
                <w:b/>
                <w:bCs/>
                <w:szCs w:val="18"/>
              </w:rPr>
            </w:pPr>
            <w:r w:rsidRPr="005D6D89">
              <w:rPr>
                <w:rFonts w:cs="Calibri"/>
                <w:b/>
                <w:bCs/>
                <w:szCs w:val="18"/>
              </w:rPr>
              <w:t>2100</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45C0F5AC" w14:textId="77777777" w:rsidR="00BD42DE" w:rsidRPr="005D6D89" w:rsidRDefault="00CD1CDB" w:rsidP="006C3DAF">
            <w:pPr>
              <w:pStyle w:val="TableText"/>
              <w:rPr>
                <w:rFonts w:cs="Calibri"/>
                <w:szCs w:val="18"/>
              </w:rPr>
            </w:pPr>
            <w:r w:rsidRPr="005D6D89">
              <w:rPr>
                <w:rFonts w:cs="Calibri"/>
                <w:szCs w:val="18"/>
              </w:rPr>
              <w:t>Major</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69D8F91" w14:textId="77777777" w:rsidR="00BD42DE" w:rsidRPr="005D6D89" w:rsidRDefault="00BD42DE" w:rsidP="00BD42DE">
            <w:pPr>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35997D7A" w14:textId="77777777" w:rsidR="00BD42DE" w:rsidRPr="005D6D89" w:rsidRDefault="00BD42DE" w:rsidP="006C3DAF">
            <w:pPr>
              <w:pStyle w:val="TableText"/>
              <w:rPr>
                <w:rFonts w:cs="Calibri"/>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C6F75F4" w14:textId="77777777" w:rsidR="00BD42DE" w:rsidRPr="005D6D89" w:rsidRDefault="00BD42DE" w:rsidP="006C3DAF">
            <w:pPr>
              <w:pStyle w:val="TableText"/>
              <w:rPr>
                <w:rFonts w:cs="Calibri"/>
                <w:b/>
                <w:bCs/>
                <w:szCs w:val="18"/>
              </w:rPr>
            </w:pPr>
            <w:r w:rsidRPr="005D6D89">
              <w:rPr>
                <w:rFonts w:cs="Calibri"/>
                <w:b/>
                <w:bCs/>
                <w:szCs w:val="18"/>
              </w:rPr>
              <w:t>2100</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3B0CFA2B" w14:textId="77777777" w:rsidR="00BD42DE" w:rsidRPr="005D6D89" w:rsidRDefault="00CD1CDB" w:rsidP="006C3DAF">
            <w:pPr>
              <w:pStyle w:val="TableText"/>
              <w:rPr>
                <w:rFonts w:cs="Calibri"/>
                <w:szCs w:val="18"/>
              </w:rPr>
            </w:pPr>
            <w:r w:rsidRPr="005D6D89">
              <w:rPr>
                <w:rFonts w:cs="Calibri"/>
                <w:szCs w:val="18"/>
              </w:rPr>
              <w:t>Major</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BE60601" w14:textId="77777777" w:rsidR="00BD42DE" w:rsidRPr="005D6D89" w:rsidRDefault="00BD42DE" w:rsidP="00BD42DE">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42815205" w14:textId="77777777" w:rsidR="00BD42DE" w:rsidRPr="005D6D89" w:rsidRDefault="00BD42DE" w:rsidP="006C3DAF">
            <w:pPr>
              <w:pStyle w:val="TableText"/>
              <w:rPr>
                <w:rFonts w:cs="Calibri"/>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63454D1" w14:textId="77777777" w:rsidR="00BD42DE" w:rsidRPr="005D6D89" w:rsidRDefault="00BD42DE" w:rsidP="006C3DAF">
            <w:pPr>
              <w:pStyle w:val="TableText"/>
              <w:rPr>
                <w:rFonts w:cs="Calibri"/>
                <w:b/>
                <w:bCs/>
                <w:szCs w:val="18"/>
              </w:rPr>
            </w:pPr>
            <w:r w:rsidRPr="005D6D89">
              <w:rPr>
                <w:rFonts w:cs="Calibri"/>
                <w:b/>
                <w:bCs/>
                <w:szCs w:val="18"/>
              </w:rPr>
              <w:t>2100</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50A6CF4F" w14:textId="77777777" w:rsidR="00BD42DE" w:rsidRPr="005D6D89" w:rsidRDefault="00BD42DE" w:rsidP="006C3DAF">
            <w:pPr>
              <w:pStyle w:val="TableText"/>
              <w:rPr>
                <w:rFonts w:cs="Calibri"/>
                <w:szCs w:val="18"/>
              </w:rPr>
            </w:pPr>
            <w:r w:rsidRPr="005D6D89">
              <w:rPr>
                <w:rFonts w:cs="Calibri"/>
                <w:szCs w:val="18"/>
              </w:rPr>
              <w:t>Ext</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A6BED6E" w14:textId="77777777" w:rsidR="00BD42DE" w:rsidRPr="005D6D89" w:rsidRDefault="00BD42DE" w:rsidP="00BD42DE">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098065BD" w14:textId="77777777" w:rsidR="00BD42DE" w:rsidRPr="005D6D89" w:rsidRDefault="00BD42DE" w:rsidP="006C3DAF">
            <w:pPr>
              <w:pStyle w:val="TableText"/>
              <w:rPr>
                <w:rFonts w:cs="Calibri"/>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DCBAFCC" w14:textId="77777777" w:rsidR="00BD42DE" w:rsidRPr="005D6D89" w:rsidRDefault="00BD42DE" w:rsidP="006C3DAF">
            <w:pPr>
              <w:pStyle w:val="TableText"/>
              <w:rPr>
                <w:rFonts w:cs="Calibri"/>
                <w:b/>
                <w:bCs/>
                <w:szCs w:val="18"/>
              </w:rPr>
            </w:pPr>
            <w:r w:rsidRPr="005D6D89">
              <w:rPr>
                <w:rFonts w:cs="Calibri"/>
                <w:b/>
                <w:bCs/>
                <w:szCs w:val="18"/>
              </w:rPr>
              <w:t>2100</w:t>
            </w:r>
          </w:p>
        </w:tc>
        <w:tc>
          <w:tcPr>
            <w:tcW w:w="174" w:type="pct"/>
            <w:tcBorders>
              <w:top w:val="single" w:sz="4" w:space="0" w:color="2C9986"/>
              <w:left w:val="single" w:sz="4" w:space="0" w:color="2C9986"/>
              <w:bottom w:val="single" w:sz="4" w:space="0" w:color="2C9986"/>
            </w:tcBorders>
            <w:shd w:val="clear" w:color="auto" w:fill="auto"/>
          </w:tcPr>
          <w:p w14:paraId="2A23D810" w14:textId="77777777" w:rsidR="00BD42DE" w:rsidRPr="005D6D89" w:rsidRDefault="00CD1CDB" w:rsidP="006C3DAF">
            <w:pPr>
              <w:pStyle w:val="TableText"/>
              <w:rPr>
                <w:rFonts w:cs="Calibri"/>
                <w:szCs w:val="18"/>
              </w:rPr>
            </w:pPr>
            <w:r w:rsidRPr="005D6D89">
              <w:rPr>
                <w:rFonts w:cs="Calibri"/>
                <w:szCs w:val="18"/>
              </w:rPr>
              <w:t>Major</w:t>
            </w:r>
          </w:p>
        </w:tc>
      </w:tr>
      <w:tr w:rsidR="00C81B28" w:rsidRPr="005D6D89" w14:paraId="0B67510E" w14:textId="77777777" w:rsidTr="008F1533">
        <w:trPr>
          <w:cantSplit/>
        </w:trPr>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64DD7369" w14:textId="77777777" w:rsidR="00BD42DE" w:rsidRPr="005D6D89" w:rsidRDefault="00BD42DE" w:rsidP="006C3DAF">
            <w:pPr>
              <w:pStyle w:val="TableText0"/>
              <w:keepNext/>
              <w:keepLines/>
              <w:rPr>
                <w:rFonts w:cs="Calibri"/>
                <w:szCs w:val="18"/>
                <w:highlight w:val="cyan"/>
              </w:rPr>
            </w:pPr>
            <w:r w:rsidRPr="005D6D89">
              <w:rPr>
                <w:rFonts w:cs="Calibri"/>
                <w:szCs w:val="18"/>
              </w:rPr>
              <w:t xml:space="preserve">N5 Risks to migratory and/or coastal and </w:t>
            </w:r>
            <w:proofErr w:type="gramStart"/>
            <w:r w:rsidRPr="005D6D89">
              <w:rPr>
                <w:rFonts w:cs="Calibri"/>
                <w:szCs w:val="18"/>
              </w:rPr>
              <w:t>river-bed</w:t>
            </w:r>
            <w:proofErr w:type="gramEnd"/>
            <w:r w:rsidRPr="005D6D89">
              <w:rPr>
                <w:rFonts w:cs="Calibri"/>
                <w:szCs w:val="18"/>
              </w:rPr>
              <w:t xml:space="preserve"> nesting birds due to reduced ocean productivity, ongoing sea-level rise and altered river flows.</w:t>
            </w:r>
          </w:p>
        </w:tc>
        <w:tc>
          <w:tcPr>
            <w:tcW w:w="243" w:type="pct"/>
            <w:gridSpan w:val="2"/>
            <w:tcBorders>
              <w:top w:val="single" w:sz="4" w:space="0" w:color="2C9986"/>
              <w:left w:val="single" w:sz="4" w:space="0" w:color="2C9986"/>
              <w:bottom w:val="single" w:sz="4" w:space="0" w:color="2C9986"/>
              <w:right w:val="single" w:sz="4" w:space="0" w:color="2C9986"/>
            </w:tcBorders>
          </w:tcPr>
          <w:p w14:paraId="1EA1751D" w14:textId="77777777" w:rsidR="00BD42DE" w:rsidRPr="005D6D89" w:rsidRDefault="00BD42DE" w:rsidP="006C3DAF">
            <w:pPr>
              <w:pStyle w:val="TableText0"/>
              <w:keepNext/>
              <w:keepLines/>
              <w:rPr>
                <w:rFonts w:cs="Calibri"/>
                <w:b/>
                <w:szCs w:val="18"/>
              </w:rPr>
            </w:pPr>
            <w:r w:rsidRPr="005D6D89">
              <w:rPr>
                <w:rFonts w:cs="Calibri"/>
                <w:b/>
                <w:szCs w:val="18"/>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33169794" w14:textId="77777777" w:rsidR="00BD42DE" w:rsidRPr="005D6D89" w:rsidRDefault="00BD42DE" w:rsidP="006C3DAF">
            <w:pPr>
              <w:pStyle w:val="TableText0"/>
              <w:keepNext/>
              <w:keepLines/>
              <w:rPr>
                <w:rFonts w:cs="Calibri"/>
                <w:szCs w:val="18"/>
              </w:rPr>
            </w:pPr>
            <w:r w:rsidRPr="005D6D89">
              <w:rPr>
                <w:rFonts w:cs="Calibri"/>
                <w:szCs w:val="18"/>
              </w:rPr>
              <w:t>65</w:t>
            </w:r>
          </w:p>
        </w:tc>
        <w:tc>
          <w:tcPr>
            <w:tcW w:w="548"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4C1CB88" w14:textId="77777777" w:rsidR="00BD42DE" w:rsidRPr="005D6D89" w:rsidRDefault="00BD42DE" w:rsidP="005276C7">
            <w:pPr>
              <w:pStyle w:val="TableText"/>
              <w:rPr>
                <w:rFonts w:cs="Calibri"/>
                <w:szCs w:val="18"/>
              </w:rPr>
            </w:pPr>
            <w:r w:rsidRPr="005D6D89">
              <w:rPr>
                <w:rFonts w:cs="Calibri"/>
                <w:szCs w:val="18"/>
              </w:rPr>
              <w:t>H5 Risks to Māori social, cultural, spiritual and economic wellbeing from loss and degradation of lands and waters, as well as cultural assets such as marae, due to ongoing sea-level rise, changes in rainfall and drought.</w:t>
            </w:r>
          </w:p>
        </w:tc>
        <w:tc>
          <w:tcPr>
            <w:tcW w:w="257" w:type="pct"/>
            <w:gridSpan w:val="2"/>
            <w:tcBorders>
              <w:top w:val="single" w:sz="4" w:space="0" w:color="2C9986"/>
              <w:left w:val="single" w:sz="4" w:space="0" w:color="2C9986"/>
              <w:bottom w:val="single" w:sz="4" w:space="0" w:color="2C9986"/>
              <w:right w:val="single" w:sz="4" w:space="0" w:color="2C9986"/>
            </w:tcBorders>
          </w:tcPr>
          <w:p w14:paraId="19A9CDD1" w14:textId="77777777" w:rsidR="00BD42DE" w:rsidRPr="005D6D89" w:rsidRDefault="00BD42DE" w:rsidP="006C3DAF">
            <w:pPr>
              <w:keepNext/>
              <w:keepLines/>
              <w:spacing w:before="60" w:after="60"/>
              <w:jc w:val="left"/>
              <w:rPr>
                <w:rFonts w:cs="Calibri"/>
                <w:b/>
                <w:sz w:val="18"/>
                <w:szCs w:val="18"/>
              </w:rPr>
            </w:pPr>
            <w:r w:rsidRPr="005D6D89">
              <w:rPr>
                <w:rFonts w:cs="Calibri"/>
                <w:b/>
                <w:sz w:val="18"/>
                <w:szCs w:val="18"/>
              </w:rPr>
              <w:t>Urgency</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22498140" w14:textId="77777777" w:rsidR="00BD42DE" w:rsidRPr="005D6D89" w:rsidRDefault="00BD42DE" w:rsidP="006C3DAF">
            <w:pPr>
              <w:pStyle w:val="TableText0"/>
              <w:keepNext/>
              <w:keepLines/>
              <w:rPr>
                <w:rFonts w:cs="Calibri"/>
                <w:szCs w:val="18"/>
              </w:rPr>
            </w:pPr>
            <w:r w:rsidRPr="005D6D89">
              <w:rPr>
                <w:rFonts w:cs="Calibri"/>
                <w:szCs w:val="18"/>
              </w:rPr>
              <w:t>80</w:t>
            </w:r>
          </w:p>
        </w:tc>
        <w:tc>
          <w:tcPr>
            <w:tcW w:w="608"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8F0422C" w14:textId="77777777" w:rsidR="00BD42DE" w:rsidRPr="005D6D89" w:rsidRDefault="00BD42DE" w:rsidP="005276C7">
            <w:pPr>
              <w:pStyle w:val="TableText"/>
              <w:rPr>
                <w:rFonts w:cs="Calibri"/>
                <w:szCs w:val="18"/>
              </w:rPr>
            </w:pPr>
            <w:r w:rsidRPr="005D6D89">
              <w:rPr>
                <w:rFonts w:cs="Calibri"/>
                <w:szCs w:val="18"/>
              </w:rPr>
              <w:t>E5 Risks to fisheries from changes in the characteristics, productivity, and spatial distribution of fish stocks</w:t>
            </w:r>
            <w:r w:rsidR="008C3AC9">
              <w:rPr>
                <w:rFonts w:cs="Calibri"/>
                <w:szCs w:val="18"/>
              </w:rPr>
              <w:t>,</w:t>
            </w:r>
            <w:r w:rsidRPr="005D6D89">
              <w:rPr>
                <w:rFonts w:cs="Calibri"/>
                <w:szCs w:val="18"/>
              </w:rPr>
              <w:t xml:space="preserve"> due to changes in ocean temperature and acidification.</w:t>
            </w:r>
          </w:p>
        </w:tc>
        <w:tc>
          <w:tcPr>
            <w:tcW w:w="268" w:type="pct"/>
            <w:gridSpan w:val="2"/>
            <w:tcBorders>
              <w:top w:val="single" w:sz="4" w:space="0" w:color="2C9986"/>
              <w:left w:val="single" w:sz="4" w:space="0" w:color="2C9986"/>
              <w:bottom w:val="single" w:sz="4" w:space="0" w:color="2C9986"/>
              <w:right w:val="single" w:sz="4" w:space="0" w:color="2C9986"/>
            </w:tcBorders>
          </w:tcPr>
          <w:p w14:paraId="34278E97" w14:textId="77777777" w:rsidR="00BD42DE" w:rsidRPr="005D6D89" w:rsidRDefault="00BD42DE" w:rsidP="006C3DAF">
            <w:pPr>
              <w:pStyle w:val="TableText0"/>
              <w:keepNext/>
              <w:keepLines/>
              <w:rPr>
                <w:rFonts w:cs="Calibri"/>
                <w:b/>
                <w:szCs w:val="18"/>
              </w:rPr>
            </w:pPr>
            <w:r w:rsidRPr="005D6D89">
              <w:rPr>
                <w:rFonts w:cs="Calibri"/>
                <w:b/>
                <w:szCs w:val="18"/>
              </w:rPr>
              <w:t>Urgency</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6C961364" w14:textId="77777777" w:rsidR="00BD42DE" w:rsidRPr="005D6D89" w:rsidRDefault="00BD42DE" w:rsidP="006C3DAF">
            <w:pPr>
              <w:pStyle w:val="TableText0"/>
              <w:keepNext/>
              <w:keepLines/>
              <w:rPr>
                <w:rFonts w:cs="Calibri"/>
                <w:szCs w:val="18"/>
              </w:rPr>
            </w:pPr>
            <w:r w:rsidRPr="005D6D89">
              <w:rPr>
                <w:rFonts w:cs="Calibri"/>
                <w:szCs w:val="18"/>
              </w:rPr>
              <w:t>80</w:t>
            </w:r>
          </w:p>
        </w:tc>
        <w:tc>
          <w:tcPr>
            <w:tcW w:w="589"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472C9AE" w14:textId="77777777" w:rsidR="00BD42DE" w:rsidRPr="005D6D89" w:rsidRDefault="00BD42DE" w:rsidP="005276C7">
            <w:pPr>
              <w:pStyle w:val="TableText"/>
              <w:rPr>
                <w:rFonts w:cs="Calibri"/>
                <w:szCs w:val="18"/>
              </w:rPr>
            </w:pPr>
            <w:r w:rsidRPr="005D6D89">
              <w:rPr>
                <w:rFonts w:cs="Calibri"/>
                <w:szCs w:val="18"/>
              </w:rPr>
              <w:t>B5 Risks to ports and associated infrastructure</w:t>
            </w:r>
            <w:r w:rsidR="008C3AC9">
              <w:rPr>
                <w:rFonts w:cs="Calibri"/>
                <w:szCs w:val="18"/>
              </w:rPr>
              <w:t>,</w:t>
            </w:r>
            <w:r w:rsidRPr="005D6D89">
              <w:rPr>
                <w:rFonts w:cs="Calibri"/>
                <w:szCs w:val="18"/>
              </w:rPr>
              <w:t xml:space="preserve"> due to extreme weather events and ongoing sea-level rise.</w:t>
            </w:r>
          </w:p>
        </w:tc>
        <w:tc>
          <w:tcPr>
            <w:tcW w:w="277" w:type="pct"/>
            <w:gridSpan w:val="2"/>
            <w:tcBorders>
              <w:top w:val="single" w:sz="4" w:space="0" w:color="2C9986"/>
              <w:left w:val="single" w:sz="4" w:space="0" w:color="2C9986"/>
              <w:bottom w:val="single" w:sz="4" w:space="0" w:color="2C9986"/>
              <w:right w:val="single" w:sz="4" w:space="0" w:color="2C9986"/>
            </w:tcBorders>
          </w:tcPr>
          <w:p w14:paraId="52AFF6D8" w14:textId="77777777" w:rsidR="00BD42DE" w:rsidRPr="005D6D89" w:rsidRDefault="00BD42DE" w:rsidP="006C3DAF">
            <w:pPr>
              <w:pStyle w:val="TableText0"/>
              <w:keepNext/>
              <w:keepLines/>
              <w:rPr>
                <w:rFonts w:cs="Calibri"/>
                <w:b/>
                <w:szCs w:val="18"/>
              </w:rPr>
            </w:pPr>
            <w:r w:rsidRPr="005D6D89">
              <w:rPr>
                <w:rFonts w:cs="Calibri"/>
                <w:b/>
                <w:szCs w:val="18"/>
              </w:rPr>
              <w:t>Urgency</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439DA61E" w14:textId="77777777" w:rsidR="00BD42DE" w:rsidRPr="005D6D89" w:rsidRDefault="00BD42DE" w:rsidP="006C3DAF">
            <w:pPr>
              <w:pStyle w:val="TableText0"/>
              <w:keepNext/>
              <w:keepLines/>
              <w:rPr>
                <w:rFonts w:cs="Calibri"/>
                <w:szCs w:val="18"/>
              </w:rPr>
            </w:pPr>
            <w:r w:rsidRPr="005D6D89">
              <w:rPr>
                <w:rFonts w:cs="Calibri"/>
                <w:szCs w:val="18"/>
              </w:rPr>
              <w:t>70</w:t>
            </w:r>
          </w:p>
        </w:tc>
        <w:tc>
          <w:tcPr>
            <w:tcW w:w="568" w:type="pct"/>
            <w:gridSpan w:val="2"/>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1FAAB16" w14:textId="77777777" w:rsidR="00BD42DE" w:rsidRPr="005D6D89" w:rsidRDefault="00BD42DE" w:rsidP="005276C7">
            <w:pPr>
              <w:pStyle w:val="TableText"/>
              <w:rPr>
                <w:rFonts w:cs="Calibri"/>
                <w:szCs w:val="18"/>
              </w:rPr>
            </w:pPr>
            <w:r w:rsidRPr="005D6D89">
              <w:rPr>
                <w:rFonts w:cs="Calibri"/>
                <w:szCs w:val="18"/>
              </w:rPr>
              <w:t>G5 Risks of delayed adaptation and maladaptation</w:t>
            </w:r>
            <w:r w:rsidR="008C3AC9">
              <w:rPr>
                <w:rFonts w:cs="Calibri"/>
                <w:szCs w:val="18"/>
              </w:rPr>
              <w:t>,</w:t>
            </w:r>
            <w:r w:rsidRPr="005D6D89">
              <w:rPr>
                <w:rFonts w:cs="Calibri"/>
                <w:szCs w:val="18"/>
              </w:rPr>
              <w:t xml:space="preserve"> due to knowledge gaps resulting from under-investment in climate adaptation research and capacity building.</w:t>
            </w:r>
          </w:p>
        </w:tc>
        <w:tc>
          <w:tcPr>
            <w:tcW w:w="268" w:type="pct"/>
            <w:gridSpan w:val="2"/>
            <w:tcBorders>
              <w:top w:val="single" w:sz="4" w:space="0" w:color="2C9986"/>
              <w:left w:val="single" w:sz="4" w:space="0" w:color="2C9986"/>
              <w:bottom w:val="single" w:sz="4" w:space="0" w:color="2C9986"/>
              <w:right w:val="single" w:sz="4" w:space="0" w:color="2C9986"/>
            </w:tcBorders>
          </w:tcPr>
          <w:p w14:paraId="58822AD4" w14:textId="77777777" w:rsidR="00BD42DE" w:rsidRPr="005D6D89" w:rsidRDefault="00BD42DE" w:rsidP="006C3DAF">
            <w:pPr>
              <w:pStyle w:val="TableText0"/>
              <w:rPr>
                <w:rFonts w:cs="Calibri"/>
                <w:b/>
                <w:szCs w:val="18"/>
              </w:rPr>
            </w:pPr>
            <w:r w:rsidRPr="005D6D89">
              <w:rPr>
                <w:rFonts w:cs="Calibri"/>
                <w:b/>
                <w:szCs w:val="18"/>
              </w:rPr>
              <w:t>Urgency</w:t>
            </w:r>
          </w:p>
        </w:tc>
        <w:tc>
          <w:tcPr>
            <w:tcW w:w="174" w:type="pct"/>
            <w:tcBorders>
              <w:top w:val="single" w:sz="4" w:space="0" w:color="2C9986"/>
              <w:left w:val="single" w:sz="4" w:space="0" w:color="2C9986"/>
              <w:bottom w:val="single" w:sz="4" w:space="0" w:color="2C9986"/>
            </w:tcBorders>
            <w:shd w:val="clear" w:color="auto" w:fill="auto"/>
          </w:tcPr>
          <w:p w14:paraId="14B1FDEE" w14:textId="77777777" w:rsidR="00BD42DE" w:rsidRPr="005D6D89" w:rsidRDefault="00BD42DE" w:rsidP="006C3DAF">
            <w:pPr>
              <w:pStyle w:val="TableText0"/>
              <w:rPr>
                <w:rFonts w:cs="Calibri"/>
                <w:szCs w:val="18"/>
              </w:rPr>
            </w:pPr>
            <w:r w:rsidRPr="005D6D89">
              <w:rPr>
                <w:rFonts w:cs="Calibri"/>
                <w:szCs w:val="18"/>
              </w:rPr>
              <w:t>75</w:t>
            </w:r>
          </w:p>
        </w:tc>
      </w:tr>
      <w:tr w:rsidR="00857C1C" w:rsidRPr="005D6D89" w14:paraId="6B1B3787"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159D4567" w14:textId="77777777" w:rsidR="00BD42DE" w:rsidRPr="005D6D89" w:rsidRDefault="00BD42DE" w:rsidP="006C3DAF">
            <w:pPr>
              <w:pStyle w:val="TableText0"/>
              <w:keepNext/>
              <w:keepLines/>
              <w:rPr>
                <w:rFonts w:cs="Calibri"/>
                <w:szCs w:val="18"/>
                <w:highlight w:val="cyan"/>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4D7C468D" w14:textId="77777777" w:rsidR="00BD42DE" w:rsidRPr="005D6D89" w:rsidRDefault="00BD42DE" w:rsidP="006C3DAF">
            <w:pPr>
              <w:pStyle w:val="TableText0"/>
              <w:keepNext/>
              <w:keepLines/>
              <w:spacing w:after="120"/>
              <w:jc w:val="center"/>
              <w:rPr>
                <w:rFonts w:cs="Calibri"/>
                <w:b/>
                <w:szCs w:val="18"/>
              </w:rPr>
            </w:pPr>
            <w:r w:rsidRPr="005D6D89">
              <w:rPr>
                <w:rFonts w:cs="Calibri"/>
                <w:b/>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3AB69AA" w14:textId="77777777" w:rsidR="00BD42DE" w:rsidRPr="005D6D89" w:rsidRDefault="00BD42DE" w:rsidP="006C3DAF">
            <w:pPr>
              <w:pStyle w:val="TableText0"/>
              <w:keepNext/>
              <w:keepLines/>
              <w:rPr>
                <w:rFonts w:cs="Calibri"/>
                <w:b/>
                <w:szCs w:val="18"/>
              </w:rPr>
            </w:pPr>
            <w:r w:rsidRPr="005D6D89">
              <w:rPr>
                <w:rFonts w:cs="Calibri"/>
                <w:b/>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52015B73" w14:textId="77777777" w:rsidR="00BD42DE" w:rsidRPr="005D6D89" w:rsidRDefault="00BD42DE" w:rsidP="006C3DAF">
            <w:pPr>
              <w:pStyle w:val="TableText0"/>
              <w:keepNext/>
              <w:keepLines/>
              <w:rPr>
                <w:rFonts w:cs="Calibri"/>
                <w:szCs w:val="18"/>
              </w:rPr>
            </w:pPr>
            <w:r w:rsidRPr="005D6D89">
              <w:rPr>
                <w:rFonts w:cs="Calibri"/>
                <w:szCs w:val="18"/>
              </w:rPr>
              <w:t>Min</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91E2990" w14:textId="77777777" w:rsidR="00BD42DE" w:rsidRPr="005D6D89" w:rsidRDefault="00BD42DE" w:rsidP="006C3DAF">
            <w:pPr>
              <w:pStyle w:val="TableText"/>
              <w:rPr>
                <w:rFonts w:cs="Calibri"/>
                <w:szCs w:val="18"/>
              </w:rPr>
            </w:pPr>
          </w:p>
        </w:tc>
        <w:tc>
          <w:tcPr>
            <w:tcW w:w="82"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352D4A89" w14:textId="77777777" w:rsidR="00BD42DE" w:rsidRPr="005D6D89" w:rsidRDefault="00BD42DE" w:rsidP="006C3DAF">
            <w:pPr>
              <w:pStyle w:val="TableText0"/>
              <w:keepNext/>
              <w:keepLines/>
              <w:spacing w:after="120"/>
              <w:ind w:left="113" w:right="113"/>
              <w:jc w:val="center"/>
              <w:rPr>
                <w:rFonts w:cs="Calibri"/>
                <w:b/>
                <w:szCs w:val="18"/>
              </w:rPr>
            </w:pPr>
            <w:r w:rsidRPr="005D6D89">
              <w:rPr>
                <w:rFonts w:cs="Calibri"/>
                <w:b/>
                <w:szCs w:val="18"/>
              </w:rPr>
              <w:t>Consequence</w:t>
            </w: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5913FB7" w14:textId="77777777" w:rsidR="00BD42DE" w:rsidRPr="005D6D89" w:rsidRDefault="00BD42DE" w:rsidP="006C3DAF">
            <w:pPr>
              <w:pStyle w:val="TableText0"/>
              <w:keepNext/>
              <w:keepLines/>
              <w:rPr>
                <w:rFonts w:cs="Calibri"/>
                <w:b/>
                <w:szCs w:val="18"/>
              </w:rPr>
            </w:pPr>
            <w:r w:rsidRPr="005D6D89">
              <w:rPr>
                <w:rFonts w:cs="Calibri"/>
                <w:b/>
                <w:szCs w:val="18"/>
              </w:rPr>
              <w:t>Now</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50461011" w14:textId="77777777" w:rsidR="00BD42DE" w:rsidRPr="005D6D89" w:rsidRDefault="00CD1CDB" w:rsidP="006C3DAF">
            <w:pPr>
              <w:pStyle w:val="TableText0"/>
              <w:keepNext/>
              <w:keepLines/>
              <w:rPr>
                <w:rFonts w:cs="Calibri"/>
                <w:szCs w:val="18"/>
              </w:rPr>
            </w:pPr>
            <w:r w:rsidRPr="005D6D89">
              <w:rPr>
                <w:rFonts w:cs="Calibri"/>
                <w:szCs w:val="18"/>
              </w:rPr>
              <w:t>Major</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AE34C0C" w14:textId="77777777" w:rsidR="00BD42DE" w:rsidRPr="005D6D89" w:rsidRDefault="00BD42DE" w:rsidP="006C3DAF">
            <w:pPr>
              <w:keepNext/>
              <w:keepLines/>
              <w:spacing w:before="60" w:after="60"/>
              <w:jc w:val="left"/>
              <w:rPr>
                <w:rFonts w:cs="Calibri"/>
                <w:sz w:val="18"/>
                <w:szCs w:val="18"/>
              </w:rPr>
            </w:pPr>
          </w:p>
        </w:tc>
        <w:tc>
          <w:tcPr>
            <w:tcW w:w="90"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6CE9231A" w14:textId="77777777" w:rsidR="00BD42DE" w:rsidRPr="005D6D89" w:rsidRDefault="00BD42DE" w:rsidP="006C3DAF">
            <w:pPr>
              <w:keepNext/>
              <w:keepLines/>
              <w:spacing w:before="0"/>
              <w:ind w:left="113" w:right="113"/>
              <w:jc w:val="center"/>
              <w:rPr>
                <w:rFonts w:cs="Calibri"/>
                <w:b/>
                <w:sz w:val="18"/>
                <w:szCs w:val="18"/>
              </w:rPr>
            </w:pPr>
            <w:r w:rsidRPr="005D6D89">
              <w:rPr>
                <w:rFonts w:cs="Calibri"/>
                <w:b/>
                <w:sz w:val="18"/>
                <w:szCs w:val="18"/>
              </w:rPr>
              <w:t>Consequence</w:t>
            </w: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6F485DF" w14:textId="77777777" w:rsidR="00BD42DE" w:rsidRPr="005D6D89" w:rsidRDefault="00BD42DE" w:rsidP="006C3DAF">
            <w:pPr>
              <w:pStyle w:val="TableText0"/>
              <w:keepNext/>
              <w:keepLines/>
              <w:rPr>
                <w:rFonts w:cs="Calibri"/>
                <w:b/>
                <w:szCs w:val="18"/>
              </w:rPr>
            </w:pPr>
            <w:r w:rsidRPr="005D6D89">
              <w:rPr>
                <w:rFonts w:cs="Calibri"/>
                <w:b/>
                <w:szCs w:val="18"/>
              </w:rPr>
              <w:t>Now</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2DC0855E" w14:textId="77777777" w:rsidR="00BD42DE" w:rsidRPr="005D6D89" w:rsidRDefault="00BD42DE" w:rsidP="006C3DAF">
            <w:pPr>
              <w:pStyle w:val="TableText0"/>
              <w:keepNext/>
              <w:keepLines/>
              <w:rPr>
                <w:rFonts w:cs="Calibri"/>
                <w:szCs w:val="18"/>
              </w:rPr>
            </w:pPr>
            <w:r w:rsidRPr="005D6D89">
              <w:rPr>
                <w:rFonts w:cs="Calibri"/>
                <w:szCs w:val="18"/>
              </w:rPr>
              <w:t>Min</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DC93A51" w14:textId="77777777" w:rsidR="00BD42DE" w:rsidRPr="005D6D89" w:rsidRDefault="00BD42DE" w:rsidP="006C3DAF">
            <w:pPr>
              <w:pStyle w:val="TableText0"/>
              <w:keepNext/>
              <w:keepLines/>
              <w:rPr>
                <w:rFonts w:cs="Calibri"/>
                <w:szCs w:val="18"/>
              </w:rPr>
            </w:pPr>
          </w:p>
        </w:tc>
        <w:tc>
          <w:tcPr>
            <w:tcW w:w="103"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3BCF2718" w14:textId="77777777" w:rsidR="00BD42DE" w:rsidRPr="005D6D89" w:rsidRDefault="00BD42DE" w:rsidP="006C3DAF">
            <w:pPr>
              <w:pStyle w:val="TableText0"/>
              <w:keepNext/>
              <w:keepLines/>
              <w:spacing w:after="120"/>
              <w:ind w:left="113" w:right="113"/>
              <w:jc w:val="center"/>
              <w:rPr>
                <w:rFonts w:cs="Calibri"/>
                <w:b/>
                <w:szCs w:val="18"/>
              </w:rPr>
            </w:pPr>
            <w:r w:rsidRPr="005D6D89">
              <w:rPr>
                <w:rFonts w:cs="Calibri"/>
                <w:b/>
                <w:szCs w:val="18"/>
              </w:rPr>
              <w:t>Consequence</w:t>
            </w: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51B8C41" w14:textId="77777777" w:rsidR="00BD42DE" w:rsidRPr="005D6D89" w:rsidRDefault="00BD42DE" w:rsidP="006C3DAF">
            <w:pPr>
              <w:pStyle w:val="TableText0"/>
              <w:keepNext/>
              <w:keepLines/>
              <w:rPr>
                <w:rFonts w:cs="Calibri"/>
                <w:b/>
                <w:szCs w:val="18"/>
              </w:rPr>
            </w:pPr>
            <w:r w:rsidRPr="005D6D89">
              <w:rPr>
                <w:rFonts w:cs="Calibri"/>
                <w:b/>
                <w:szCs w:val="18"/>
              </w:rPr>
              <w:t>Now</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5CE0467E" w14:textId="77777777" w:rsidR="00BD42DE" w:rsidRPr="005D6D89" w:rsidRDefault="00BD42DE" w:rsidP="006C3DAF">
            <w:pPr>
              <w:pStyle w:val="TableText0"/>
              <w:keepNext/>
              <w:keepLines/>
              <w:rPr>
                <w:rFonts w:cs="Calibri"/>
                <w:szCs w:val="18"/>
              </w:rPr>
            </w:pPr>
            <w:r w:rsidRPr="005D6D89">
              <w:rPr>
                <w:rFonts w:cs="Calibri"/>
                <w:szCs w:val="18"/>
              </w:rPr>
              <w:t>Min</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2FD4869" w14:textId="77777777" w:rsidR="00BD42DE" w:rsidRPr="005D6D89" w:rsidRDefault="00BD42DE" w:rsidP="006C3DAF">
            <w:pPr>
              <w:pStyle w:val="TableText0"/>
              <w:rPr>
                <w:rFonts w:cs="Calibri"/>
                <w:szCs w:val="18"/>
              </w:rPr>
            </w:pPr>
          </w:p>
        </w:tc>
        <w:tc>
          <w:tcPr>
            <w:tcW w:w="100"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69CFA88D" w14:textId="77777777" w:rsidR="00BD42DE" w:rsidRPr="005D6D89" w:rsidRDefault="00BD42DE" w:rsidP="006C3DAF">
            <w:pPr>
              <w:pStyle w:val="TableText0"/>
              <w:spacing w:after="120"/>
              <w:ind w:left="113" w:right="113"/>
              <w:jc w:val="center"/>
              <w:rPr>
                <w:rFonts w:cs="Calibri"/>
                <w:b/>
                <w:szCs w:val="18"/>
              </w:rPr>
            </w:pPr>
            <w:r w:rsidRPr="005D6D89">
              <w:rPr>
                <w:rFonts w:cs="Calibri"/>
                <w:b/>
                <w:szCs w:val="18"/>
              </w:rPr>
              <w:t>Consequence</w:t>
            </w: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E822334" w14:textId="77777777" w:rsidR="00BD42DE" w:rsidRPr="005D6D89" w:rsidRDefault="00BD42DE" w:rsidP="006C3DAF">
            <w:pPr>
              <w:pStyle w:val="TableText0"/>
              <w:rPr>
                <w:rFonts w:cs="Calibri"/>
                <w:b/>
                <w:szCs w:val="18"/>
              </w:rPr>
            </w:pPr>
            <w:r w:rsidRPr="005D6D89">
              <w:rPr>
                <w:rFonts w:cs="Calibri"/>
                <w:b/>
                <w:szCs w:val="18"/>
              </w:rPr>
              <w:t>Now</w:t>
            </w:r>
          </w:p>
        </w:tc>
        <w:tc>
          <w:tcPr>
            <w:tcW w:w="174" w:type="pct"/>
            <w:tcBorders>
              <w:top w:val="single" w:sz="4" w:space="0" w:color="2C9986"/>
              <w:left w:val="single" w:sz="4" w:space="0" w:color="2C9986"/>
              <w:bottom w:val="single" w:sz="4" w:space="0" w:color="2C9986"/>
            </w:tcBorders>
            <w:shd w:val="clear" w:color="auto" w:fill="auto"/>
          </w:tcPr>
          <w:p w14:paraId="418D7701" w14:textId="77777777" w:rsidR="00BD42DE" w:rsidRPr="005D6D89" w:rsidRDefault="00CD1CDB" w:rsidP="006C3DAF">
            <w:pPr>
              <w:pStyle w:val="TableText0"/>
              <w:rPr>
                <w:rFonts w:cs="Calibri"/>
                <w:szCs w:val="18"/>
              </w:rPr>
            </w:pPr>
            <w:r w:rsidRPr="005D6D89">
              <w:rPr>
                <w:rFonts w:cs="Calibri"/>
                <w:szCs w:val="18"/>
              </w:rPr>
              <w:t>Major</w:t>
            </w:r>
          </w:p>
        </w:tc>
      </w:tr>
      <w:tr w:rsidR="00857C1C" w:rsidRPr="005D6D89" w14:paraId="3AC2DE29"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0E2E31E7" w14:textId="77777777" w:rsidR="00BD42DE" w:rsidRPr="005D6D89" w:rsidRDefault="00BD42DE" w:rsidP="006C3DAF">
            <w:pPr>
              <w:pStyle w:val="TableText0"/>
              <w:keepNext/>
              <w:keepLines/>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1D3D2823" w14:textId="77777777" w:rsidR="00BD42DE" w:rsidRPr="005D6D89" w:rsidRDefault="00BD42DE" w:rsidP="006C3DAF">
            <w:pPr>
              <w:pStyle w:val="TableText0"/>
              <w:keepNext/>
              <w:keepLines/>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E39898D" w14:textId="77777777" w:rsidR="00BD42DE" w:rsidRPr="005D6D89" w:rsidRDefault="00BD42DE" w:rsidP="006C3DAF">
            <w:pPr>
              <w:pStyle w:val="TableText0"/>
              <w:keepNext/>
              <w:keepLines/>
              <w:rPr>
                <w:rFonts w:cs="Calibri"/>
                <w:b/>
                <w:szCs w:val="18"/>
              </w:rPr>
            </w:pPr>
            <w:r w:rsidRPr="005D6D89">
              <w:rPr>
                <w:rFonts w:cs="Calibri"/>
                <w:b/>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105EC0F7" w14:textId="77777777" w:rsidR="00BD42DE" w:rsidRPr="005D6D89" w:rsidRDefault="00BD42DE" w:rsidP="006C3DAF">
            <w:pPr>
              <w:pStyle w:val="TableText0"/>
              <w:keepNext/>
              <w:keepLines/>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E1D75EF" w14:textId="77777777" w:rsidR="00BD42DE" w:rsidRPr="005D6D89" w:rsidRDefault="00BD42DE" w:rsidP="006C3DAF">
            <w:pPr>
              <w:pStyle w:val="TableText"/>
              <w:rPr>
                <w:rFonts w:cs="Calibri"/>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6B42201F" w14:textId="77777777" w:rsidR="00BD42DE" w:rsidRPr="005D6D89" w:rsidRDefault="00BD42DE" w:rsidP="006C3DAF">
            <w:pPr>
              <w:pStyle w:val="TableText0"/>
              <w:keepNext/>
              <w:keepLines/>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2D73E58" w14:textId="77777777" w:rsidR="00BD42DE" w:rsidRPr="005D6D89" w:rsidRDefault="00BD42DE" w:rsidP="006C3DAF">
            <w:pPr>
              <w:pStyle w:val="TableText0"/>
              <w:keepNext/>
              <w:keepLines/>
              <w:rPr>
                <w:rFonts w:cs="Calibri"/>
                <w:b/>
                <w:szCs w:val="18"/>
              </w:rPr>
            </w:pPr>
            <w:r w:rsidRPr="005D6D89">
              <w:rPr>
                <w:rFonts w:cs="Calibri"/>
                <w:b/>
                <w:szCs w:val="18"/>
              </w:rPr>
              <w:t xml:space="preserve">2050 </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767FA42F" w14:textId="77777777" w:rsidR="00BD42DE" w:rsidRPr="005D6D89" w:rsidRDefault="00BD42DE" w:rsidP="006C3DAF">
            <w:pPr>
              <w:pStyle w:val="TableText0"/>
              <w:keepNext/>
              <w:keepLines/>
              <w:rPr>
                <w:rFonts w:cs="Calibri"/>
                <w:szCs w:val="18"/>
              </w:rPr>
            </w:pPr>
            <w:r w:rsidRPr="005D6D89">
              <w:rPr>
                <w:rFonts w:cs="Calibri"/>
                <w:szCs w:val="18"/>
              </w:rPr>
              <w:t>Ext</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9CAA6B2" w14:textId="77777777" w:rsidR="00BD42DE" w:rsidRPr="005D6D89" w:rsidRDefault="00BD42DE" w:rsidP="006C3DAF">
            <w:pPr>
              <w:keepNext/>
              <w:keepLines/>
              <w:spacing w:before="60" w:after="60"/>
              <w:jc w:val="left"/>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0E69CBD1" w14:textId="77777777" w:rsidR="00BD42DE" w:rsidRPr="005D6D89" w:rsidRDefault="00BD42DE" w:rsidP="006C3DAF">
            <w:pPr>
              <w:keepNext/>
              <w:keepLines/>
              <w:spacing w:before="60" w:after="60"/>
              <w:jc w:val="left"/>
              <w:rPr>
                <w:rFonts w:cs="Calibri"/>
                <w:b/>
                <w:sz w:val="18"/>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BBCB98A" w14:textId="77777777" w:rsidR="00BD42DE" w:rsidRPr="005D6D89" w:rsidRDefault="00BD42DE" w:rsidP="006C3DAF">
            <w:pPr>
              <w:pStyle w:val="TableText0"/>
              <w:keepNext/>
              <w:keepLines/>
              <w:rPr>
                <w:rFonts w:cs="Calibri"/>
                <w:b/>
                <w:szCs w:val="18"/>
              </w:rPr>
            </w:pPr>
            <w:r w:rsidRPr="005D6D89">
              <w:rPr>
                <w:rFonts w:cs="Calibri"/>
                <w:b/>
                <w:szCs w:val="18"/>
              </w:rPr>
              <w:t xml:space="preserve">2050 </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6226A7D7" w14:textId="77777777" w:rsidR="00BD42DE" w:rsidRPr="005D6D89" w:rsidRDefault="00BD42DE" w:rsidP="006C3DAF">
            <w:pPr>
              <w:pStyle w:val="TableText0"/>
              <w:keepNext/>
              <w:keepLines/>
              <w:rPr>
                <w:rFonts w:cs="Calibri"/>
                <w:szCs w:val="18"/>
              </w:rPr>
            </w:pPr>
            <w:r w:rsidRPr="005D6D89">
              <w:rPr>
                <w:rFonts w:cs="Calibri"/>
                <w:szCs w:val="18"/>
              </w:rPr>
              <w:t>Mod</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001D29A" w14:textId="77777777" w:rsidR="00BD42DE" w:rsidRPr="005D6D89" w:rsidRDefault="00BD42DE" w:rsidP="006C3DAF">
            <w:pPr>
              <w:pStyle w:val="TableText0"/>
              <w:keepNext/>
              <w:keepLines/>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60F91C36" w14:textId="77777777" w:rsidR="00BD42DE" w:rsidRPr="005D6D89" w:rsidRDefault="00BD42DE" w:rsidP="006C3DAF">
            <w:pPr>
              <w:pStyle w:val="TableText0"/>
              <w:keepNext/>
              <w:keepLines/>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FBC1B49" w14:textId="77777777" w:rsidR="00BD42DE" w:rsidRPr="005D6D89" w:rsidRDefault="00BD42DE" w:rsidP="006C3DAF">
            <w:pPr>
              <w:pStyle w:val="TableText0"/>
              <w:keepNext/>
              <w:keepLines/>
              <w:rPr>
                <w:rFonts w:cs="Calibri"/>
                <w:b/>
                <w:szCs w:val="18"/>
              </w:rPr>
            </w:pPr>
            <w:r w:rsidRPr="005D6D89">
              <w:rPr>
                <w:rFonts w:cs="Calibri"/>
                <w:b/>
                <w:szCs w:val="18"/>
              </w:rPr>
              <w:t xml:space="preserve">2050 </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7E6F94C9" w14:textId="77777777" w:rsidR="00BD42DE" w:rsidRPr="005D6D89" w:rsidRDefault="00BD42DE" w:rsidP="006C3DAF">
            <w:pPr>
              <w:pStyle w:val="TableText0"/>
              <w:keepNext/>
              <w:keepLines/>
              <w:rPr>
                <w:rFonts w:cs="Calibri"/>
                <w:szCs w:val="18"/>
              </w:rPr>
            </w:pPr>
            <w:r w:rsidRPr="005D6D89">
              <w:rPr>
                <w:rFonts w:cs="Calibri"/>
                <w:szCs w:val="18"/>
              </w:rPr>
              <w:t>Mod</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9ABD7FC" w14:textId="77777777" w:rsidR="00BD42DE" w:rsidRPr="005D6D89" w:rsidRDefault="00BD42DE" w:rsidP="006C3DAF">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7089A6DA" w14:textId="77777777" w:rsidR="00BD42DE" w:rsidRPr="005D6D89" w:rsidRDefault="00BD42DE" w:rsidP="006C3DAF">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BD2DDE6"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74" w:type="pct"/>
            <w:tcBorders>
              <w:top w:val="single" w:sz="4" w:space="0" w:color="2C9986"/>
              <w:left w:val="single" w:sz="4" w:space="0" w:color="2C9986"/>
              <w:bottom w:val="single" w:sz="4" w:space="0" w:color="2C9986"/>
            </w:tcBorders>
            <w:shd w:val="clear" w:color="auto" w:fill="auto"/>
          </w:tcPr>
          <w:p w14:paraId="13979F31" w14:textId="77777777" w:rsidR="00BD42DE" w:rsidRPr="005D6D89" w:rsidRDefault="00CD1CDB" w:rsidP="006C3DAF">
            <w:pPr>
              <w:pStyle w:val="TableText0"/>
              <w:rPr>
                <w:rFonts w:cs="Calibri"/>
                <w:szCs w:val="18"/>
              </w:rPr>
            </w:pPr>
            <w:r w:rsidRPr="005D6D89">
              <w:rPr>
                <w:rFonts w:cs="Calibri"/>
                <w:szCs w:val="18"/>
              </w:rPr>
              <w:t>Major</w:t>
            </w:r>
          </w:p>
        </w:tc>
      </w:tr>
      <w:tr w:rsidR="00857C1C" w:rsidRPr="005D6D89" w14:paraId="1D5D4FDA"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60D1B00C" w14:textId="77777777" w:rsidR="00BD42DE" w:rsidRPr="005D6D89" w:rsidRDefault="00BD42DE" w:rsidP="006C3DAF">
            <w:pPr>
              <w:pStyle w:val="TableText0"/>
              <w:keepNext/>
              <w:keepLines/>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675B9E70" w14:textId="77777777" w:rsidR="00BD42DE" w:rsidRPr="005D6D89" w:rsidRDefault="00BD42DE" w:rsidP="006C3DAF">
            <w:pPr>
              <w:pStyle w:val="TableText0"/>
              <w:keepNext/>
              <w:keepLines/>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0DA25F9" w14:textId="77777777" w:rsidR="00BD42DE" w:rsidRPr="005D6D89" w:rsidRDefault="00BD42DE" w:rsidP="006C3DAF">
            <w:pPr>
              <w:pStyle w:val="TableText0"/>
              <w:keepNext/>
              <w:keepLines/>
              <w:rPr>
                <w:rFonts w:cs="Calibri"/>
                <w:b/>
                <w:szCs w:val="18"/>
              </w:rPr>
            </w:pPr>
            <w:r w:rsidRPr="005D6D89">
              <w:rPr>
                <w:rFonts w:cs="Calibri"/>
                <w:b/>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0BEFA1E5" w14:textId="77777777" w:rsidR="00BD42DE" w:rsidRPr="005D6D89" w:rsidRDefault="00CD1CDB" w:rsidP="006C3DAF">
            <w:pPr>
              <w:pStyle w:val="TableText0"/>
              <w:keepNext/>
              <w:keepLines/>
              <w:rPr>
                <w:rFonts w:cs="Calibri"/>
                <w:szCs w:val="18"/>
              </w:rPr>
            </w:pPr>
            <w:r w:rsidRPr="005D6D89">
              <w:rPr>
                <w:rFonts w:cs="Calibri"/>
                <w:szCs w:val="18"/>
              </w:rPr>
              <w:t>Major</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32278E8" w14:textId="77777777" w:rsidR="00BD42DE" w:rsidRPr="005D6D89" w:rsidRDefault="00BD42DE" w:rsidP="006C3DAF">
            <w:pPr>
              <w:pStyle w:val="TableText"/>
              <w:rPr>
                <w:rFonts w:cs="Calibri"/>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5C84FDEC" w14:textId="77777777" w:rsidR="00BD42DE" w:rsidRPr="005D6D89" w:rsidRDefault="00BD42DE" w:rsidP="006C3DAF">
            <w:pPr>
              <w:pStyle w:val="TableText0"/>
              <w:keepNext/>
              <w:keepLines/>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50E35ED" w14:textId="77777777" w:rsidR="00BD42DE" w:rsidRPr="005D6D89" w:rsidRDefault="00BD42DE" w:rsidP="006C3DAF">
            <w:pPr>
              <w:pStyle w:val="TableText0"/>
              <w:keepNext/>
              <w:keepLines/>
              <w:rPr>
                <w:rFonts w:cs="Calibri"/>
                <w:b/>
                <w:szCs w:val="18"/>
              </w:rPr>
            </w:pPr>
            <w:r w:rsidRPr="005D6D89">
              <w:rPr>
                <w:rFonts w:cs="Calibri"/>
                <w:b/>
                <w:szCs w:val="18"/>
              </w:rPr>
              <w:t>2100</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3D37CB38" w14:textId="77777777" w:rsidR="00BD42DE" w:rsidRPr="005D6D89" w:rsidRDefault="00BD42DE" w:rsidP="006C3DAF">
            <w:pPr>
              <w:pStyle w:val="TableText0"/>
              <w:keepNext/>
              <w:keepLines/>
              <w:rPr>
                <w:rFonts w:cs="Calibri"/>
                <w:szCs w:val="18"/>
              </w:rPr>
            </w:pPr>
            <w:r w:rsidRPr="005D6D89">
              <w:rPr>
                <w:rFonts w:cs="Calibri"/>
                <w:szCs w:val="18"/>
              </w:rPr>
              <w:t>Ext</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07C0294" w14:textId="77777777" w:rsidR="00BD42DE" w:rsidRPr="005D6D89" w:rsidRDefault="00BD42DE" w:rsidP="006C3DAF">
            <w:pPr>
              <w:keepNext/>
              <w:keepLines/>
              <w:spacing w:before="60" w:after="60"/>
              <w:jc w:val="left"/>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507BBC6F" w14:textId="77777777" w:rsidR="00BD42DE" w:rsidRPr="005D6D89" w:rsidRDefault="00BD42DE" w:rsidP="006C3DAF">
            <w:pPr>
              <w:keepNext/>
              <w:keepLines/>
              <w:spacing w:before="60" w:after="60"/>
              <w:jc w:val="left"/>
              <w:rPr>
                <w:rFonts w:cs="Calibri"/>
                <w:b/>
                <w:sz w:val="18"/>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5F8D1E8" w14:textId="77777777" w:rsidR="00BD42DE" w:rsidRPr="005D6D89" w:rsidRDefault="00BD42DE" w:rsidP="006C3DAF">
            <w:pPr>
              <w:pStyle w:val="TableText0"/>
              <w:keepNext/>
              <w:keepLines/>
              <w:rPr>
                <w:rFonts w:cs="Calibri"/>
                <w:b/>
                <w:szCs w:val="18"/>
              </w:rPr>
            </w:pPr>
            <w:r w:rsidRPr="005D6D89">
              <w:rPr>
                <w:rFonts w:cs="Calibri"/>
                <w:b/>
                <w:szCs w:val="18"/>
              </w:rPr>
              <w:t>2100</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2599741F" w14:textId="77777777" w:rsidR="00BD42DE" w:rsidRPr="005D6D89" w:rsidRDefault="00CD1CDB" w:rsidP="006C3DAF">
            <w:pPr>
              <w:pStyle w:val="TableText0"/>
              <w:keepNext/>
              <w:keepLines/>
              <w:rPr>
                <w:rFonts w:cs="Calibri"/>
                <w:szCs w:val="18"/>
              </w:rPr>
            </w:pPr>
            <w:r w:rsidRPr="005D6D89">
              <w:rPr>
                <w:rFonts w:cs="Calibri"/>
                <w:szCs w:val="18"/>
              </w:rPr>
              <w:t>Major</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B087DA4" w14:textId="77777777" w:rsidR="00BD42DE" w:rsidRPr="005D6D89" w:rsidRDefault="00BD42DE" w:rsidP="006C3DAF">
            <w:pPr>
              <w:pStyle w:val="TableText0"/>
              <w:keepNext/>
              <w:keepLines/>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5FC8AEC7" w14:textId="77777777" w:rsidR="00BD42DE" w:rsidRPr="005D6D89" w:rsidRDefault="00BD42DE" w:rsidP="006C3DAF">
            <w:pPr>
              <w:pStyle w:val="TableText0"/>
              <w:keepNext/>
              <w:keepLines/>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0E5FCF5" w14:textId="77777777" w:rsidR="00BD42DE" w:rsidRPr="005D6D89" w:rsidRDefault="00BD42DE" w:rsidP="006C3DAF">
            <w:pPr>
              <w:pStyle w:val="TableText0"/>
              <w:keepNext/>
              <w:keepLines/>
              <w:rPr>
                <w:rFonts w:cs="Calibri"/>
                <w:b/>
                <w:szCs w:val="18"/>
              </w:rPr>
            </w:pPr>
            <w:r w:rsidRPr="005D6D89">
              <w:rPr>
                <w:rFonts w:cs="Calibri"/>
                <w:b/>
                <w:szCs w:val="18"/>
              </w:rPr>
              <w:t>2100</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022615BB" w14:textId="77777777" w:rsidR="00BD42DE" w:rsidRPr="005D6D89" w:rsidRDefault="00CD1CDB" w:rsidP="006C3DAF">
            <w:pPr>
              <w:pStyle w:val="TableText0"/>
              <w:keepNext/>
              <w:keepLines/>
              <w:rPr>
                <w:rFonts w:cs="Calibri"/>
                <w:szCs w:val="18"/>
              </w:rPr>
            </w:pPr>
            <w:r w:rsidRPr="005D6D89">
              <w:rPr>
                <w:rFonts w:cs="Calibri"/>
                <w:szCs w:val="18"/>
              </w:rPr>
              <w:t>Major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A1C486E" w14:textId="77777777" w:rsidR="00BD42DE" w:rsidRPr="005D6D89" w:rsidRDefault="00BD42DE" w:rsidP="006C3DAF">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7A135EDB" w14:textId="77777777" w:rsidR="00BD42DE" w:rsidRPr="005D6D89" w:rsidRDefault="00BD42DE" w:rsidP="006C3DAF">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42ADF8C" w14:textId="77777777" w:rsidR="00BD42DE" w:rsidRPr="005D6D89" w:rsidRDefault="00BD42DE" w:rsidP="006C3DAF">
            <w:pPr>
              <w:pStyle w:val="TableText0"/>
              <w:rPr>
                <w:rFonts w:cs="Calibri"/>
                <w:b/>
                <w:szCs w:val="18"/>
              </w:rPr>
            </w:pPr>
            <w:r w:rsidRPr="005D6D89">
              <w:rPr>
                <w:rFonts w:cs="Calibri"/>
                <w:b/>
                <w:szCs w:val="18"/>
              </w:rPr>
              <w:t>2100</w:t>
            </w:r>
          </w:p>
        </w:tc>
        <w:tc>
          <w:tcPr>
            <w:tcW w:w="174" w:type="pct"/>
            <w:tcBorders>
              <w:top w:val="single" w:sz="4" w:space="0" w:color="2C9986"/>
              <w:left w:val="single" w:sz="4" w:space="0" w:color="2C9986"/>
              <w:bottom w:val="single" w:sz="4" w:space="0" w:color="2C9986"/>
            </w:tcBorders>
            <w:shd w:val="clear" w:color="auto" w:fill="auto"/>
          </w:tcPr>
          <w:p w14:paraId="0BCEF36D" w14:textId="77777777" w:rsidR="00BD42DE" w:rsidRPr="005D6D89" w:rsidRDefault="00CD1CDB" w:rsidP="006C3DAF">
            <w:pPr>
              <w:pStyle w:val="TableText0"/>
              <w:rPr>
                <w:rFonts w:cs="Calibri"/>
                <w:szCs w:val="18"/>
              </w:rPr>
            </w:pPr>
            <w:r w:rsidRPr="005D6D89">
              <w:rPr>
                <w:rFonts w:cs="Calibri"/>
                <w:szCs w:val="18"/>
              </w:rPr>
              <w:t>Major</w:t>
            </w:r>
          </w:p>
        </w:tc>
      </w:tr>
      <w:tr w:rsidR="00C81B28" w:rsidRPr="005D6D89" w14:paraId="6259B27C" w14:textId="77777777" w:rsidTr="008F1533">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1FCD1AF7" w14:textId="77777777" w:rsidR="00BD42DE" w:rsidRPr="005D6D89" w:rsidRDefault="00BD42DE" w:rsidP="006C3DAF">
            <w:pPr>
              <w:pStyle w:val="TableText0"/>
              <w:rPr>
                <w:rFonts w:cs="Calibri"/>
                <w:szCs w:val="18"/>
              </w:rPr>
            </w:pPr>
            <w:r w:rsidRPr="005D6D89">
              <w:rPr>
                <w:rFonts w:cs="Calibri"/>
                <w:szCs w:val="18"/>
              </w:rPr>
              <w:t xml:space="preserve">N6 Risks to lake ecosystems due </w:t>
            </w:r>
            <w:r w:rsidR="008C3AC9">
              <w:rPr>
                <w:rFonts w:cs="Calibri"/>
                <w:szCs w:val="18"/>
              </w:rPr>
              <w:t>to changes in temperature, lake-</w:t>
            </w:r>
            <w:r w:rsidRPr="005D6D89">
              <w:rPr>
                <w:rFonts w:cs="Calibri"/>
                <w:szCs w:val="18"/>
              </w:rPr>
              <w:t>water residence time, and thermal stratification and mixing.</w:t>
            </w:r>
          </w:p>
        </w:tc>
        <w:tc>
          <w:tcPr>
            <w:tcW w:w="243" w:type="pct"/>
            <w:gridSpan w:val="2"/>
            <w:tcBorders>
              <w:top w:val="single" w:sz="4" w:space="0" w:color="2C9986"/>
              <w:left w:val="single" w:sz="4" w:space="0" w:color="2C9986"/>
              <w:bottom w:val="single" w:sz="4" w:space="0" w:color="2C9986"/>
              <w:right w:val="single" w:sz="4" w:space="0" w:color="2C9986"/>
            </w:tcBorders>
          </w:tcPr>
          <w:p w14:paraId="1A90351F" w14:textId="77777777" w:rsidR="00BD42DE" w:rsidRPr="005D6D89" w:rsidRDefault="00BD42DE" w:rsidP="006C3DAF">
            <w:pPr>
              <w:pStyle w:val="TableText0"/>
              <w:rPr>
                <w:rFonts w:cs="Calibri"/>
                <w:b/>
                <w:szCs w:val="18"/>
              </w:rPr>
            </w:pPr>
            <w:r w:rsidRPr="005D6D89">
              <w:rPr>
                <w:rFonts w:cs="Calibri"/>
                <w:b/>
                <w:szCs w:val="18"/>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2952B35D" w14:textId="77777777" w:rsidR="00BD42DE" w:rsidRPr="005D6D89" w:rsidRDefault="00BD42DE" w:rsidP="006C3DAF">
            <w:pPr>
              <w:pStyle w:val="TableText0"/>
              <w:rPr>
                <w:rFonts w:cs="Calibri"/>
                <w:szCs w:val="18"/>
              </w:rPr>
            </w:pPr>
            <w:r w:rsidRPr="005D6D89">
              <w:rPr>
                <w:rFonts w:cs="Calibri"/>
                <w:szCs w:val="18"/>
              </w:rPr>
              <w:t>65</w:t>
            </w:r>
          </w:p>
        </w:tc>
        <w:tc>
          <w:tcPr>
            <w:tcW w:w="548"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4B7CD1A" w14:textId="77777777" w:rsidR="00BD42DE" w:rsidRPr="005D6D89" w:rsidRDefault="00BD42DE" w:rsidP="006C3DAF">
            <w:pPr>
              <w:pStyle w:val="TableText"/>
              <w:rPr>
                <w:rFonts w:cs="Calibri"/>
                <w:szCs w:val="18"/>
              </w:rPr>
            </w:pPr>
            <w:r w:rsidRPr="005D6D89">
              <w:rPr>
                <w:rFonts w:cs="Calibri"/>
                <w:szCs w:val="18"/>
              </w:rPr>
              <w:t>H6 Risks to Māori social, cultural, spiritual and economic wellbeing from loss of species and biodiversity</w:t>
            </w:r>
            <w:r w:rsidR="008C3AC9">
              <w:rPr>
                <w:rFonts w:cs="Calibri"/>
                <w:szCs w:val="18"/>
              </w:rPr>
              <w:t>,</w:t>
            </w:r>
            <w:r w:rsidRPr="005D6D89">
              <w:rPr>
                <w:rFonts w:cs="Calibri"/>
                <w:szCs w:val="18"/>
              </w:rPr>
              <w:t xml:space="preserve"> due to greater climate variability and ongoing sea-level rise.</w:t>
            </w:r>
          </w:p>
        </w:tc>
        <w:tc>
          <w:tcPr>
            <w:tcW w:w="257" w:type="pct"/>
            <w:gridSpan w:val="2"/>
            <w:tcBorders>
              <w:top w:val="single" w:sz="4" w:space="0" w:color="2C9986"/>
              <w:left w:val="single" w:sz="4" w:space="0" w:color="2C9986"/>
              <w:bottom w:val="single" w:sz="4" w:space="0" w:color="2C9986"/>
              <w:right w:val="single" w:sz="4" w:space="0" w:color="2C9986"/>
            </w:tcBorders>
          </w:tcPr>
          <w:p w14:paraId="7A4441DF" w14:textId="77777777" w:rsidR="00BD42DE" w:rsidRPr="005D6D89" w:rsidRDefault="00BD42DE" w:rsidP="00BE474F">
            <w:pPr>
              <w:pStyle w:val="TableText"/>
              <w:rPr>
                <w:b/>
                <w:bCs/>
              </w:rPr>
            </w:pPr>
            <w:r w:rsidRPr="005D6D89">
              <w:rPr>
                <w:b/>
                <w:bCs/>
              </w:rPr>
              <w:t>Urgency</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27A009A4" w14:textId="77777777" w:rsidR="00BD42DE" w:rsidRPr="005D6D89" w:rsidRDefault="00BD42DE" w:rsidP="00BE474F">
            <w:pPr>
              <w:pStyle w:val="TableText"/>
            </w:pPr>
            <w:r w:rsidRPr="005D6D89">
              <w:t>80</w:t>
            </w:r>
          </w:p>
        </w:tc>
        <w:tc>
          <w:tcPr>
            <w:tcW w:w="608"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19E9558" w14:textId="77777777" w:rsidR="00BD42DE" w:rsidRPr="005D6D89" w:rsidRDefault="00BD42DE" w:rsidP="005276C7">
            <w:pPr>
              <w:pStyle w:val="TableText"/>
              <w:rPr>
                <w:rFonts w:cs="Calibri"/>
                <w:szCs w:val="18"/>
              </w:rPr>
            </w:pPr>
            <w:r w:rsidRPr="005D6D89">
              <w:rPr>
                <w:rFonts w:cs="Calibri"/>
                <w:szCs w:val="18"/>
              </w:rPr>
              <w:t>E6 Risks to the insurability of assets</w:t>
            </w:r>
            <w:r w:rsidR="008C3AC9">
              <w:rPr>
                <w:rFonts w:cs="Calibri"/>
                <w:szCs w:val="18"/>
              </w:rPr>
              <w:t>,</w:t>
            </w:r>
            <w:r w:rsidRPr="005D6D89">
              <w:rPr>
                <w:rFonts w:cs="Calibri"/>
                <w:szCs w:val="18"/>
              </w:rPr>
              <w:t xml:space="preserve"> due to ongoing sea-level rise and extreme weather events.</w:t>
            </w:r>
          </w:p>
        </w:tc>
        <w:tc>
          <w:tcPr>
            <w:tcW w:w="268" w:type="pct"/>
            <w:gridSpan w:val="2"/>
            <w:tcBorders>
              <w:top w:val="single" w:sz="4" w:space="0" w:color="2C9986"/>
              <w:left w:val="single" w:sz="4" w:space="0" w:color="2C9986"/>
              <w:bottom w:val="single" w:sz="4" w:space="0" w:color="2C9986"/>
              <w:right w:val="single" w:sz="4" w:space="0" w:color="2C9986"/>
            </w:tcBorders>
          </w:tcPr>
          <w:p w14:paraId="7BD436B8" w14:textId="77777777" w:rsidR="00BD42DE" w:rsidRPr="005D6D89" w:rsidRDefault="00BD42DE" w:rsidP="006C3DAF">
            <w:pPr>
              <w:pStyle w:val="TableText0"/>
              <w:rPr>
                <w:rFonts w:cs="Calibri"/>
                <w:b/>
                <w:szCs w:val="18"/>
              </w:rPr>
            </w:pPr>
            <w:r w:rsidRPr="005D6D89">
              <w:rPr>
                <w:rFonts w:cs="Calibri"/>
                <w:b/>
                <w:szCs w:val="18"/>
              </w:rPr>
              <w:t>Urgency</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17442450" w14:textId="77777777" w:rsidR="00BD42DE" w:rsidRPr="005D6D89" w:rsidRDefault="00BD42DE" w:rsidP="006C3DAF">
            <w:pPr>
              <w:pStyle w:val="TableText0"/>
              <w:rPr>
                <w:rFonts w:cs="Calibri"/>
                <w:szCs w:val="18"/>
              </w:rPr>
            </w:pPr>
            <w:r w:rsidRPr="005D6D89">
              <w:rPr>
                <w:rFonts w:cs="Calibri"/>
                <w:szCs w:val="18"/>
              </w:rPr>
              <w:t>75</w:t>
            </w:r>
          </w:p>
        </w:tc>
        <w:tc>
          <w:tcPr>
            <w:tcW w:w="589"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C31C118" w14:textId="77777777" w:rsidR="00BD42DE" w:rsidRPr="005D6D89" w:rsidRDefault="00BD42DE" w:rsidP="006C3DAF">
            <w:pPr>
              <w:pStyle w:val="TableText0"/>
              <w:rPr>
                <w:rFonts w:cs="Calibri"/>
                <w:szCs w:val="18"/>
              </w:rPr>
            </w:pPr>
            <w:r w:rsidRPr="005D6D89">
              <w:rPr>
                <w:rFonts w:cs="Calibri"/>
                <w:szCs w:val="18"/>
              </w:rPr>
              <w:t>B6 Risks to linear transport networks</w:t>
            </w:r>
            <w:r w:rsidR="008C3AC9">
              <w:rPr>
                <w:rFonts w:cs="Calibri"/>
                <w:szCs w:val="18"/>
              </w:rPr>
              <w:t>,</w:t>
            </w:r>
            <w:r w:rsidRPr="005D6D89">
              <w:rPr>
                <w:rFonts w:cs="Calibri"/>
                <w:szCs w:val="18"/>
              </w:rPr>
              <w:t xml:space="preserve"> due to changes in temperature, extreme weather events and ongoing sea-level rise.</w:t>
            </w:r>
          </w:p>
        </w:tc>
        <w:tc>
          <w:tcPr>
            <w:tcW w:w="277" w:type="pct"/>
            <w:gridSpan w:val="2"/>
            <w:tcBorders>
              <w:top w:val="single" w:sz="4" w:space="0" w:color="2C9986"/>
              <w:left w:val="single" w:sz="4" w:space="0" w:color="2C9986"/>
              <w:bottom w:val="single" w:sz="4" w:space="0" w:color="2C9986"/>
              <w:right w:val="single" w:sz="4" w:space="0" w:color="2C9986"/>
            </w:tcBorders>
          </w:tcPr>
          <w:p w14:paraId="0BC979C2" w14:textId="77777777" w:rsidR="00BD42DE" w:rsidRPr="005D6D89" w:rsidRDefault="00BD42DE" w:rsidP="006C3DAF">
            <w:pPr>
              <w:pStyle w:val="TableText0"/>
              <w:rPr>
                <w:rFonts w:cs="Calibri"/>
                <w:b/>
                <w:szCs w:val="18"/>
              </w:rPr>
            </w:pPr>
            <w:r w:rsidRPr="005D6D89">
              <w:rPr>
                <w:rFonts w:cs="Calibri"/>
                <w:b/>
                <w:szCs w:val="18"/>
              </w:rPr>
              <w:t>Urgency</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4B50B841" w14:textId="77777777" w:rsidR="00BD42DE" w:rsidRPr="005D6D89" w:rsidRDefault="00BD42DE" w:rsidP="006C3DAF">
            <w:pPr>
              <w:pStyle w:val="TableText0"/>
              <w:rPr>
                <w:rFonts w:cs="Calibri"/>
                <w:szCs w:val="18"/>
              </w:rPr>
            </w:pPr>
            <w:r w:rsidRPr="005D6D89">
              <w:rPr>
                <w:rFonts w:cs="Calibri"/>
                <w:szCs w:val="18"/>
              </w:rPr>
              <w:t>60</w:t>
            </w:r>
          </w:p>
        </w:tc>
        <w:tc>
          <w:tcPr>
            <w:tcW w:w="568" w:type="pct"/>
            <w:gridSpan w:val="2"/>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2B978F7" w14:textId="77777777" w:rsidR="00BD42DE" w:rsidRPr="005D6D89" w:rsidRDefault="00BD42DE" w:rsidP="006C3DAF">
            <w:pPr>
              <w:spacing w:before="60" w:after="60" w:line="240" w:lineRule="auto"/>
              <w:jc w:val="left"/>
              <w:rPr>
                <w:rFonts w:cs="Calibri"/>
                <w:sz w:val="18"/>
                <w:szCs w:val="18"/>
              </w:rPr>
            </w:pPr>
            <w:r w:rsidRPr="005D6D89">
              <w:rPr>
                <w:rFonts w:cs="Calibri"/>
                <w:bCs/>
                <w:color w:val="000000"/>
                <w:sz w:val="18"/>
                <w:szCs w:val="18"/>
              </w:rPr>
              <w:t>G6 Risks to the ability of the emergency management system to respond to an increasing frequency and scale of compounding and cascading climate change impacts in New Zealand and the Pacific region.</w:t>
            </w:r>
          </w:p>
        </w:tc>
        <w:tc>
          <w:tcPr>
            <w:tcW w:w="268" w:type="pct"/>
            <w:gridSpan w:val="2"/>
            <w:tcBorders>
              <w:top w:val="single" w:sz="4" w:space="0" w:color="2C9986"/>
              <w:left w:val="single" w:sz="4" w:space="0" w:color="2C9986"/>
              <w:bottom w:val="single" w:sz="4" w:space="0" w:color="2C9986"/>
              <w:right w:val="single" w:sz="4" w:space="0" w:color="2C9986"/>
            </w:tcBorders>
          </w:tcPr>
          <w:p w14:paraId="50629663" w14:textId="77777777" w:rsidR="00BD42DE" w:rsidRPr="005D6D89" w:rsidRDefault="00BD42DE" w:rsidP="006C3DAF">
            <w:pPr>
              <w:pStyle w:val="TableText0"/>
              <w:rPr>
                <w:rFonts w:cs="Calibri"/>
                <w:b/>
                <w:szCs w:val="18"/>
              </w:rPr>
            </w:pPr>
            <w:r w:rsidRPr="005D6D89">
              <w:rPr>
                <w:rFonts w:cs="Calibri"/>
                <w:b/>
                <w:szCs w:val="18"/>
              </w:rPr>
              <w:t>Urgency</w:t>
            </w:r>
          </w:p>
        </w:tc>
        <w:tc>
          <w:tcPr>
            <w:tcW w:w="174" w:type="pct"/>
            <w:tcBorders>
              <w:top w:val="single" w:sz="4" w:space="0" w:color="2C9986"/>
              <w:left w:val="single" w:sz="4" w:space="0" w:color="2C9986"/>
              <w:bottom w:val="single" w:sz="4" w:space="0" w:color="2C9986"/>
            </w:tcBorders>
            <w:shd w:val="clear" w:color="auto" w:fill="auto"/>
          </w:tcPr>
          <w:p w14:paraId="71303B23" w14:textId="77777777" w:rsidR="00BD42DE" w:rsidRPr="005D6D89" w:rsidRDefault="00BD42DE" w:rsidP="006C3DAF">
            <w:pPr>
              <w:pStyle w:val="TableText0"/>
              <w:rPr>
                <w:rFonts w:cs="Calibri"/>
                <w:szCs w:val="18"/>
              </w:rPr>
            </w:pPr>
            <w:r w:rsidRPr="005D6D89">
              <w:rPr>
                <w:rFonts w:cs="Calibri"/>
                <w:szCs w:val="18"/>
              </w:rPr>
              <w:t>70</w:t>
            </w:r>
          </w:p>
        </w:tc>
      </w:tr>
      <w:tr w:rsidR="00857C1C" w:rsidRPr="005D6D89" w14:paraId="23C4F8BE"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26213A28" w14:textId="77777777" w:rsidR="00BD42DE" w:rsidRPr="005D6D89" w:rsidRDefault="00BD42DE" w:rsidP="006C3DAF">
            <w:pPr>
              <w:pStyle w:val="TableText0"/>
              <w:rPr>
                <w:rFonts w:cs="Calibri"/>
                <w:szCs w:val="18"/>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63C0D4B7" w14:textId="77777777" w:rsidR="00BD42DE" w:rsidRPr="005D6D89" w:rsidRDefault="00BD42DE" w:rsidP="006C3DAF">
            <w:pPr>
              <w:pStyle w:val="TableText0"/>
              <w:spacing w:after="120"/>
              <w:jc w:val="center"/>
              <w:rPr>
                <w:rFonts w:cs="Calibri"/>
                <w:b/>
                <w:szCs w:val="18"/>
              </w:rPr>
            </w:pPr>
            <w:r w:rsidRPr="005D6D89">
              <w:rPr>
                <w:rFonts w:cs="Calibri"/>
                <w:b/>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7AD558E" w14:textId="77777777" w:rsidR="00BD42DE" w:rsidRPr="005D6D89" w:rsidRDefault="00BD42DE" w:rsidP="006C3DAF">
            <w:pPr>
              <w:pStyle w:val="TableText0"/>
              <w:rPr>
                <w:rFonts w:cs="Calibri"/>
                <w:b/>
                <w:szCs w:val="18"/>
              </w:rPr>
            </w:pPr>
            <w:r w:rsidRPr="005D6D89">
              <w:rPr>
                <w:rFonts w:cs="Calibri"/>
                <w:b/>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4FB82A10" w14:textId="77777777" w:rsidR="00BD42DE" w:rsidRPr="005D6D89" w:rsidRDefault="00BD42DE" w:rsidP="006C3DAF">
            <w:pPr>
              <w:pStyle w:val="TableText0"/>
              <w:rPr>
                <w:rFonts w:cs="Calibri"/>
                <w:szCs w:val="18"/>
              </w:rPr>
            </w:pPr>
            <w:r w:rsidRPr="005D6D89">
              <w:rPr>
                <w:rFonts w:cs="Calibri"/>
                <w:szCs w:val="18"/>
              </w:rPr>
              <w:t>Min</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7327CDB" w14:textId="77777777" w:rsidR="00BD42DE" w:rsidRPr="005D6D89" w:rsidRDefault="00BD42DE" w:rsidP="006C3DAF">
            <w:pPr>
              <w:pStyle w:val="TableText"/>
              <w:rPr>
                <w:rFonts w:cs="Calibri"/>
                <w:szCs w:val="18"/>
              </w:rPr>
            </w:pPr>
          </w:p>
        </w:tc>
        <w:tc>
          <w:tcPr>
            <w:tcW w:w="82"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16ECBD9F" w14:textId="77777777" w:rsidR="00BD42DE" w:rsidRPr="005D6D89" w:rsidRDefault="00BD42DE" w:rsidP="006C3DAF">
            <w:pPr>
              <w:pStyle w:val="TableText0"/>
              <w:spacing w:after="120"/>
              <w:ind w:left="113" w:right="113"/>
              <w:jc w:val="center"/>
              <w:rPr>
                <w:rFonts w:cs="Calibri"/>
                <w:b/>
                <w:szCs w:val="18"/>
              </w:rPr>
            </w:pPr>
            <w:r w:rsidRPr="005D6D89">
              <w:rPr>
                <w:rFonts w:cs="Calibri"/>
                <w:b/>
                <w:szCs w:val="18"/>
              </w:rPr>
              <w:t>Consequence</w:t>
            </w: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3332AFF" w14:textId="77777777" w:rsidR="00BD42DE" w:rsidRPr="005D6D89" w:rsidRDefault="00BD42DE" w:rsidP="006C3DAF">
            <w:pPr>
              <w:pStyle w:val="TableText0"/>
              <w:rPr>
                <w:rFonts w:cs="Calibri"/>
                <w:b/>
                <w:szCs w:val="18"/>
              </w:rPr>
            </w:pPr>
            <w:r w:rsidRPr="005D6D89">
              <w:rPr>
                <w:rFonts w:cs="Calibri"/>
                <w:b/>
                <w:szCs w:val="18"/>
              </w:rPr>
              <w:t>Now</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2D052EE3" w14:textId="77777777" w:rsidR="00BD42DE" w:rsidRPr="005D6D89" w:rsidRDefault="00CD1CDB" w:rsidP="006C3DAF">
            <w:pPr>
              <w:pStyle w:val="TableText0"/>
              <w:rPr>
                <w:rFonts w:cs="Calibri"/>
                <w:szCs w:val="18"/>
              </w:rPr>
            </w:pPr>
            <w:r w:rsidRPr="005D6D89">
              <w:rPr>
                <w:rFonts w:cs="Calibri"/>
                <w:szCs w:val="18"/>
              </w:rPr>
              <w:t>Major</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AE4816C" w14:textId="77777777" w:rsidR="00BD42DE" w:rsidRPr="005D6D89" w:rsidRDefault="00BD42DE" w:rsidP="006C3DAF">
            <w:pPr>
              <w:spacing w:before="60" w:after="60"/>
              <w:jc w:val="left"/>
              <w:rPr>
                <w:rFonts w:cs="Calibri"/>
                <w:sz w:val="18"/>
                <w:szCs w:val="18"/>
              </w:rPr>
            </w:pPr>
          </w:p>
        </w:tc>
        <w:tc>
          <w:tcPr>
            <w:tcW w:w="90"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6B45E698" w14:textId="77777777" w:rsidR="00BD42DE" w:rsidRPr="005D6D89" w:rsidRDefault="00BD42DE" w:rsidP="006C3DAF">
            <w:pPr>
              <w:spacing w:before="0"/>
              <w:ind w:left="113" w:right="113"/>
              <w:jc w:val="left"/>
              <w:rPr>
                <w:rFonts w:cs="Calibri"/>
                <w:b/>
                <w:sz w:val="18"/>
                <w:szCs w:val="18"/>
              </w:rPr>
            </w:pPr>
            <w:r w:rsidRPr="005D6D89">
              <w:rPr>
                <w:rFonts w:cs="Calibri"/>
                <w:b/>
                <w:sz w:val="18"/>
                <w:szCs w:val="18"/>
              </w:rPr>
              <w:t>Consequence</w:t>
            </w: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3AC57AB" w14:textId="77777777" w:rsidR="00BD42DE" w:rsidRPr="005D6D89" w:rsidRDefault="00BD42DE" w:rsidP="006C3DAF">
            <w:pPr>
              <w:pStyle w:val="TableText0"/>
              <w:rPr>
                <w:rFonts w:cs="Calibri"/>
                <w:b/>
                <w:szCs w:val="18"/>
              </w:rPr>
            </w:pPr>
            <w:r w:rsidRPr="005D6D89">
              <w:rPr>
                <w:rFonts w:cs="Calibri"/>
                <w:b/>
                <w:szCs w:val="18"/>
              </w:rPr>
              <w:t>Now</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35AC1E1A" w14:textId="77777777" w:rsidR="00BD42DE" w:rsidRPr="005D6D89" w:rsidRDefault="00BD42DE" w:rsidP="006C3DAF">
            <w:pPr>
              <w:pStyle w:val="TableText0"/>
              <w:rPr>
                <w:rFonts w:cs="Calibri"/>
                <w:szCs w:val="18"/>
              </w:rPr>
            </w:pPr>
            <w:r w:rsidRPr="005D6D89">
              <w:rPr>
                <w:rFonts w:cs="Calibri"/>
                <w:szCs w:val="18"/>
              </w:rPr>
              <w:t>Insig</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70BA357" w14:textId="77777777" w:rsidR="00BD42DE" w:rsidRPr="005D6D89" w:rsidRDefault="00BD42DE" w:rsidP="006C3DAF">
            <w:pPr>
              <w:pStyle w:val="TableText0"/>
              <w:rPr>
                <w:rFonts w:cs="Calibri"/>
                <w:szCs w:val="18"/>
              </w:rPr>
            </w:pPr>
          </w:p>
        </w:tc>
        <w:tc>
          <w:tcPr>
            <w:tcW w:w="103" w:type="pct"/>
            <w:vMerge w:val="restart"/>
            <w:tcBorders>
              <w:top w:val="single" w:sz="4" w:space="0" w:color="2C9986"/>
              <w:left w:val="single" w:sz="4" w:space="0" w:color="2C9986"/>
              <w:bottom w:val="single" w:sz="4" w:space="0" w:color="2C9986"/>
              <w:right w:val="single" w:sz="4" w:space="0" w:color="2C9986"/>
            </w:tcBorders>
            <w:textDirection w:val="btLr"/>
          </w:tcPr>
          <w:p w14:paraId="0485F68F" w14:textId="77777777" w:rsidR="00BD42DE" w:rsidRPr="005D6D89" w:rsidRDefault="00BD42DE" w:rsidP="006C3DAF">
            <w:pPr>
              <w:pStyle w:val="TableText0"/>
              <w:spacing w:after="120"/>
              <w:ind w:left="113" w:right="113"/>
              <w:rPr>
                <w:rFonts w:cs="Calibri"/>
                <w:b/>
                <w:szCs w:val="18"/>
              </w:rPr>
            </w:pPr>
            <w:r w:rsidRPr="005D6D89">
              <w:rPr>
                <w:rFonts w:cs="Calibri"/>
                <w:b/>
                <w:szCs w:val="18"/>
              </w:rPr>
              <w:t>Consequence</w:t>
            </w: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2507709" w14:textId="77777777" w:rsidR="00BD42DE" w:rsidRPr="005D6D89" w:rsidRDefault="00BD42DE" w:rsidP="006C3DAF">
            <w:pPr>
              <w:pStyle w:val="TableText0"/>
              <w:rPr>
                <w:rFonts w:cs="Calibri"/>
                <w:b/>
                <w:szCs w:val="18"/>
              </w:rPr>
            </w:pPr>
            <w:r w:rsidRPr="005D6D89">
              <w:rPr>
                <w:rFonts w:cs="Calibri"/>
                <w:b/>
                <w:szCs w:val="18"/>
              </w:rPr>
              <w:t>Now</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03F358C2" w14:textId="77777777" w:rsidR="00BD42DE" w:rsidRPr="005D6D89" w:rsidRDefault="00CD1CDB" w:rsidP="006C3DAF">
            <w:pPr>
              <w:pStyle w:val="TableText0"/>
              <w:rPr>
                <w:rFonts w:cs="Calibri"/>
                <w:szCs w:val="18"/>
              </w:rPr>
            </w:pPr>
            <w:r w:rsidRPr="005D6D89">
              <w:rPr>
                <w:rFonts w:cs="Calibri"/>
                <w:szCs w:val="18"/>
              </w:rPr>
              <w:t>Major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9A0BEB4" w14:textId="77777777" w:rsidR="00BD42DE" w:rsidRPr="005D6D89" w:rsidRDefault="00BD42DE" w:rsidP="006C3DAF">
            <w:pPr>
              <w:pStyle w:val="TableText0"/>
              <w:rPr>
                <w:rFonts w:cs="Calibri"/>
                <w:szCs w:val="18"/>
              </w:rPr>
            </w:pPr>
          </w:p>
        </w:tc>
        <w:tc>
          <w:tcPr>
            <w:tcW w:w="100" w:type="pct"/>
            <w:vMerge w:val="restart"/>
            <w:tcBorders>
              <w:top w:val="single" w:sz="4" w:space="0" w:color="2C9986"/>
              <w:left w:val="single" w:sz="4" w:space="0" w:color="2C9986"/>
              <w:bottom w:val="single" w:sz="4" w:space="0" w:color="2C9986"/>
              <w:right w:val="single" w:sz="4" w:space="0" w:color="2C9986"/>
            </w:tcBorders>
            <w:textDirection w:val="btLr"/>
          </w:tcPr>
          <w:p w14:paraId="16C0CA06" w14:textId="77777777" w:rsidR="00BD42DE" w:rsidRPr="005D6D89" w:rsidRDefault="00BD42DE" w:rsidP="006C3DAF">
            <w:pPr>
              <w:pStyle w:val="TableText0"/>
              <w:spacing w:after="120"/>
              <w:ind w:left="113" w:right="113"/>
              <w:rPr>
                <w:rFonts w:cs="Calibri"/>
                <w:b/>
                <w:szCs w:val="18"/>
              </w:rPr>
            </w:pPr>
            <w:r w:rsidRPr="005D6D89">
              <w:rPr>
                <w:rFonts w:cs="Calibri"/>
                <w:b/>
                <w:szCs w:val="18"/>
              </w:rPr>
              <w:t>Consequence</w:t>
            </w: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D12F85B" w14:textId="77777777" w:rsidR="00BD42DE" w:rsidRPr="005D6D89" w:rsidRDefault="00BD42DE" w:rsidP="006C3DAF">
            <w:pPr>
              <w:pStyle w:val="TableText0"/>
              <w:rPr>
                <w:rFonts w:cs="Calibri"/>
                <w:b/>
                <w:szCs w:val="18"/>
              </w:rPr>
            </w:pPr>
            <w:r w:rsidRPr="005D6D89">
              <w:rPr>
                <w:rFonts w:cs="Calibri"/>
                <w:b/>
                <w:szCs w:val="18"/>
              </w:rPr>
              <w:t>Now</w:t>
            </w:r>
          </w:p>
        </w:tc>
        <w:tc>
          <w:tcPr>
            <w:tcW w:w="174" w:type="pct"/>
            <w:tcBorders>
              <w:top w:val="single" w:sz="4" w:space="0" w:color="2C9986"/>
              <w:left w:val="single" w:sz="4" w:space="0" w:color="2C9986"/>
              <w:bottom w:val="single" w:sz="4" w:space="0" w:color="2C9986"/>
            </w:tcBorders>
            <w:shd w:val="clear" w:color="auto" w:fill="auto"/>
          </w:tcPr>
          <w:p w14:paraId="5BCEB364" w14:textId="77777777" w:rsidR="00BD42DE" w:rsidRPr="005D6D89" w:rsidRDefault="00CD1CDB" w:rsidP="006C3DAF">
            <w:pPr>
              <w:pStyle w:val="TableText0"/>
              <w:rPr>
                <w:rFonts w:cs="Calibri"/>
                <w:szCs w:val="18"/>
              </w:rPr>
            </w:pPr>
            <w:r w:rsidRPr="005D6D89">
              <w:rPr>
                <w:rFonts w:cs="Calibri"/>
                <w:szCs w:val="18"/>
              </w:rPr>
              <w:t>Major</w:t>
            </w:r>
          </w:p>
        </w:tc>
      </w:tr>
      <w:tr w:rsidR="00857C1C" w:rsidRPr="005D6D89" w14:paraId="731BD372"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56875CB3" w14:textId="77777777" w:rsidR="00BD42DE" w:rsidRPr="005D6D89" w:rsidRDefault="00BD42DE" w:rsidP="006C3DAF">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21FC2A67" w14:textId="77777777" w:rsidR="00BD42DE" w:rsidRPr="005D6D89" w:rsidRDefault="00BD42DE" w:rsidP="006C3DAF">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1F3700E"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531EC398" w14:textId="77777777" w:rsidR="00BD42DE" w:rsidRPr="005D6D89" w:rsidRDefault="00BD42DE" w:rsidP="006C3DAF">
            <w:pPr>
              <w:pStyle w:val="TableText0"/>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E427762" w14:textId="77777777" w:rsidR="00BD42DE" w:rsidRPr="005D6D89" w:rsidRDefault="00BD42DE" w:rsidP="006C3DAF">
            <w:pPr>
              <w:pStyle w:val="TableText"/>
              <w:rPr>
                <w:rFonts w:cs="Calibri"/>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36EACA49" w14:textId="77777777" w:rsidR="00BD42DE" w:rsidRPr="005D6D89" w:rsidRDefault="00BD42DE" w:rsidP="006C3DAF">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85F2AA2"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25F37A12" w14:textId="77777777" w:rsidR="00BD42DE" w:rsidRPr="005D6D89" w:rsidRDefault="00BD42DE" w:rsidP="006C3DAF">
            <w:pPr>
              <w:pStyle w:val="TableText0"/>
              <w:rPr>
                <w:rFonts w:cs="Calibri"/>
                <w:szCs w:val="18"/>
              </w:rPr>
            </w:pPr>
            <w:r w:rsidRPr="005D6D89">
              <w:rPr>
                <w:rFonts w:cs="Calibri"/>
                <w:szCs w:val="18"/>
              </w:rPr>
              <w:t>Ext</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89EC9A0" w14:textId="77777777" w:rsidR="00BD42DE" w:rsidRPr="005D6D89" w:rsidRDefault="00BD42DE" w:rsidP="006C3DAF">
            <w:pPr>
              <w:spacing w:before="60" w:after="60"/>
              <w:jc w:val="left"/>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4EA9C4BC" w14:textId="77777777" w:rsidR="00BD42DE" w:rsidRPr="005D6D89" w:rsidRDefault="00BD42DE" w:rsidP="006C3DAF">
            <w:pPr>
              <w:spacing w:before="60" w:after="60"/>
              <w:jc w:val="left"/>
              <w:rPr>
                <w:rFonts w:cs="Calibri"/>
                <w:b/>
                <w:sz w:val="18"/>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1ED3052"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63639354" w14:textId="77777777" w:rsidR="00BD42DE" w:rsidRPr="005D6D89" w:rsidRDefault="00BD42DE" w:rsidP="006C3DAF">
            <w:pPr>
              <w:pStyle w:val="TableText0"/>
              <w:rPr>
                <w:rFonts w:cs="Calibri"/>
                <w:szCs w:val="18"/>
              </w:rPr>
            </w:pPr>
            <w:r w:rsidRPr="005D6D89">
              <w:rPr>
                <w:rFonts w:cs="Calibri"/>
                <w:szCs w:val="18"/>
              </w:rPr>
              <w:t>Mod</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E17D9AD" w14:textId="77777777" w:rsidR="00BD42DE" w:rsidRPr="005D6D89" w:rsidRDefault="00BD42DE" w:rsidP="006C3DAF">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7406ABB8" w14:textId="77777777" w:rsidR="00BD42DE" w:rsidRPr="005D6D89" w:rsidRDefault="00BD42DE" w:rsidP="006C3DAF">
            <w:pPr>
              <w:pStyle w:val="TableText0"/>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EF6A502"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17251E9D" w14:textId="77777777" w:rsidR="00BD42DE" w:rsidRPr="005D6D89" w:rsidRDefault="00CD1CDB" w:rsidP="006C3DAF">
            <w:pPr>
              <w:pStyle w:val="TableText0"/>
              <w:rPr>
                <w:rFonts w:cs="Calibri"/>
                <w:szCs w:val="18"/>
              </w:rPr>
            </w:pPr>
            <w:r w:rsidRPr="005D6D89">
              <w:rPr>
                <w:rFonts w:cs="Calibri"/>
                <w:szCs w:val="18"/>
              </w:rPr>
              <w:t>Major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6141B32" w14:textId="77777777" w:rsidR="00BD42DE" w:rsidRPr="005D6D89" w:rsidRDefault="00BD42DE" w:rsidP="006C3DAF">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4C63FC72" w14:textId="77777777" w:rsidR="00BD42DE" w:rsidRPr="005D6D89" w:rsidRDefault="00BD42DE" w:rsidP="006C3DAF">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2D86C7E"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74" w:type="pct"/>
            <w:tcBorders>
              <w:top w:val="single" w:sz="4" w:space="0" w:color="2C9986"/>
              <w:left w:val="single" w:sz="4" w:space="0" w:color="2C9986"/>
              <w:bottom w:val="single" w:sz="4" w:space="0" w:color="2C9986"/>
            </w:tcBorders>
            <w:shd w:val="clear" w:color="auto" w:fill="auto"/>
          </w:tcPr>
          <w:p w14:paraId="33C6F7C3" w14:textId="77777777" w:rsidR="00BD42DE" w:rsidRPr="005D6D89" w:rsidRDefault="00CD1CDB" w:rsidP="006C3DAF">
            <w:pPr>
              <w:pStyle w:val="TableText0"/>
              <w:rPr>
                <w:rFonts w:cs="Calibri"/>
                <w:szCs w:val="18"/>
              </w:rPr>
            </w:pPr>
            <w:r w:rsidRPr="005D6D89">
              <w:rPr>
                <w:rFonts w:cs="Calibri"/>
                <w:szCs w:val="18"/>
              </w:rPr>
              <w:t>Major</w:t>
            </w:r>
          </w:p>
        </w:tc>
      </w:tr>
      <w:tr w:rsidR="00857C1C" w:rsidRPr="005D6D89" w14:paraId="47A0EAA3"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0D8BB3EE" w14:textId="77777777" w:rsidR="00BD42DE" w:rsidRPr="005D6D89" w:rsidRDefault="00BD42DE" w:rsidP="006C3DAF">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43825A26" w14:textId="77777777" w:rsidR="00BD42DE" w:rsidRPr="005D6D89" w:rsidRDefault="00BD42DE" w:rsidP="006C3DAF">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AC92F7B" w14:textId="77777777" w:rsidR="00BD42DE" w:rsidRPr="005D6D89" w:rsidRDefault="00BD42DE" w:rsidP="006C3DAF">
            <w:pPr>
              <w:pStyle w:val="TableText0"/>
              <w:rPr>
                <w:rFonts w:cs="Calibri"/>
                <w:b/>
                <w:szCs w:val="18"/>
              </w:rPr>
            </w:pPr>
            <w:r w:rsidRPr="005D6D89">
              <w:rPr>
                <w:rFonts w:cs="Calibri"/>
                <w:b/>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132F6D0F" w14:textId="77777777" w:rsidR="00BD42DE" w:rsidRPr="005D6D89" w:rsidRDefault="00CD1CDB" w:rsidP="006C3DAF">
            <w:pPr>
              <w:pStyle w:val="TableText0"/>
              <w:rPr>
                <w:rFonts w:cs="Calibri"/>
                <w:szCs w:val="18"/>
              </w:rPr>
            </w:pPr>
            <w:r w:rsidRPr="005D6D89">
              <w:rPr>
                <w:rFonts w:cs="Calibri"/>
                <w:szCs w:val="18"/>
              </w:rPr>
              <w:t>Major</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D77972B" w14:textId="77777777" w:rsidR="00BD42DE" w:rsidRPr="005D6D89" w:rsidRDefault="00BD42DE" w:rsidP="006C3DAF">
            <w:pPr>
              <w:pStyle w:val="TableText"/>
              <w:rPr>
                <w:rFonts w:cs="Calibri"/>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0FEF0160" w14:textId="77777777" w:rsidR="00BD42DE" w:rsidRPr="005D6D89" w:rsidRDefault="00BD42DE" w:rsidP="006C3DAF">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F146E8E" w14:textId="77777777" w:rsidR="00BD42DE" w:rsidRPr="005D6D89" w:rsidRDefault="00BD42DE" w:rsidP="006C3DAF">
            <w:pPr>
              <w:pStyle w:val="TableText0"/>
              <w:rPr>
                <w:rFonts w:cs="Calibri"/>
                <w:b/>
                <w:szCs w:val="18"/>
              </w:rPr>
            </w:pPr>
            <w:r w:rsidRPr="005D6D89">
              <w:rPr>
                <w:rFonts w:cs="Calibri"/>
                <w:b/>
                <w:szCs w:val="18"/>
              </w:rPr>
              <w:t>2100</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2DE21DA5" w14:textId="77777777" w:rsidR="00BD42DE" w:rsidRPr="005D6D89" w:rsidRDefault="00BD42DE" w:rsidP="006C3DAF">
            <w:pPr>
              <w:pStyle w:val="TableText0"/>
              <w:rPr>
                <w:rFonts w:cs="Calibri"/>
                <w:szCs w:val="18"/>
              </w:rPr>
            </w:pPr>
            <w:r w:rsidRPr="005D6D89">
              <w:rPr>
                <w:rFonts w:cs="Calibri"/>
                <w:szCs w:val="18"/>
              </w:rPr>
              <w:t>Ext</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6981789" w14:textId="77777777" w:rsidR="00BD42DE" w:rsidRPr="005D6D89" w:rsidRDefault="00BD42DE" w:rsidP="006C3DAF">
            <w:pPr>
              <w:spacing w:before="60" w:after="60"/>
              <w:jc w:val="left"/>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23CBBF62" w14:textId="77777777" w:rsidR="00BD42DE" w:rsidRPr="005D6D89" w:rsidRDefault="00BD42DE" w:rsidP="006C3DAF">
            <w:pPr>
              <w:spacing w:before="60" w:after="60"/>
              <w:jc w:val="left"/>
              <w:rPr>
                <w:rFonts w:cs="Calibri"/>
                <w:b/>
                <w:sz w:val="18"/>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A79D98F" w14:textId="77777777" w:rsidR="00BD42DE" w:rsidRPr="005D6D89" w:rsidRDefault="00BD42DE" w:rsidP="006C3DAF">
            <w:pPr>
              <w:pStyle w:val="TableText0"/>
              <w:rPr>
                <w:rFonts w:cs="Calibri"/>
                <w:b/>
                <w:szCs w:val="18"/>
              </w:rPr>
            </w:pPr>
            <w:r w:rsidRPr="005D6D89">
              <w:rPr>
                <w:rFonts w:cs="Calibri"/>
                <w:b/>
                <w:szCs w:val="18"/>
              </w:rPr>
              <w:t>2100</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0F9C1D51" w14:textId="77777777" w:rsidR="00BD42DE" w:rsidRPr="005D6D89" w:rsidRDefault="00CD1CDB" w:rsidP="006C3DAF">
            <w:pPr>
              <w:pStyle w:val="TableText0"/>
              <w:rPr>
                <w:rFonts w:cs="Calibri"/>
                <w:szCs w:val="18"/>
              </w:rPr>
            </w:pPr>
            <w:r w:rsidRPr="005D6D89">
              <w:rPr>
                <w:rFonts w:cs="Calibri"/>
                <w:szCs w:val="18"/>
              </w:rPr>
              <w:t>Major</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31D6226" w14:textId="77777777" w:rsidR="00BD42DE" w:rsidRPr="005D6D89" w:rsidRDefault="00BD42DE" w:rsidP="006C3DAF">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494B2EB6" w14:textId="77777777" w:rsidR="00BD42DE" w:rsidRPr="005D6D89" w:rsidRDefault="00BD42DE" w:rsidP="006C3DAF">
            <w:pPr>
              <w:pStyle w:val="TableText0"/>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44BCCF7" w14:textId="77777777" w:rsidR="00BD42DE" w:rsidRPr="005D6D89" w:rsidRDefault="00BD42DE" w:rsidP="006C3DAF">
            <w:pPr>
              <w:pStyle w:val="TableText0"/>
              <w:rPr>
                <w:rFonts w:cs="Calibri"/>
                <w:b/>
                <w:szCs w:val="18"/>
              </w:rPr>
            </w:pPr>
            <w:r w:rsidRPr="005D6D89">
              <w:rPr>
                <w:rFonts w:cs="Calibri"/>
                <w:b/>
                <w:szCs w:val="18"/>
              </w:rPr>
              <w:t>2100</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4B02F932" w14:textId="77777777" w:rsidR="00BD42DE" w:rsidRPr="005D6D89" w:rsidRDefault="00BD42DE" w:rsidP="006C3DAF">
            <w:pPr>
              <w:pStyle w:val="TableText0"/>
              <w:rPr>
                <w:rFonts w:cs="Calibri"/>
                <w:szCs w:val="18"/>
              </w:rPr>
            </w:pPr>
            <w:r w:rsidRPr="005D6D89">
              <w:rPr>
                <w:rFonts w:cs="Calibri"/>
                <w:szCs w:val="18"/>
              </w:rPr>
              <w:t>Ext</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C1EC85B" w14:textId="77777777" w:rsidR="00BD42DE" w:rsidRPr="005D6D89" w:rsidRDefault="00BD42DE" w:rsidP="006C3DAF">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53F9390D" w14:textId="77777777" w:rsidR="00BD42DE" w:rsidRPr="005D6D89" w:rsidRDefault="00BD42DE" w:rsidP="006C3DAF">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B0E9A71" w14:textId="77777777" w:rsidR="00BD42DE" w:rsidRPr="005D6D89" w:rsidRDefault="00BD42DE" w:rsidP="006C3DAF">
            <w:pPr>
              <w:pStyle w:val="TableText0"/>
              <w:rPr>
                <w:rFonts w:cs="Calibri"/>
                <w:b/>
                <w:szCs w:val="18"/>
              </w:rPr>
            </w:pPr>
            <w:r w:rsidRPr="005D6D89">
              <w:rPr>
                <w:rFonts w:cs="Calibri"/>
                <w:b/>
                <w:szCs w:val="18"/>
              </w:rPr>
              <w:t>2100</w:t>
            </w:r>
          </w:p>
        </w:tc>
        <w:tc>
          <w:tcPr>
            <w:tcW w:w="174" w:type="pct"/>
            <w:tcBorders>
              <w:top w:val="single" w:sz="4" w:space="0" w:color="2C9986"/>
              <w:left w:val="single" w:sz="4" w:space="0" w:color="2C9986"/>
              <w:bottom w:val="single" w:sz="4" w:space="0" w:color="2C9986"/>
            </w:tcBorders>
            <w:shd w:val="clear" w:color="auto" w:fill="auto"/>
          </w:tcPr>
          <w:p w14:paraId="1A47980D" w14:textId="77777777" w:rsidR="00BD42DE" w:rsidRPr="005D6D89" w:rsidRDefault="00CD1CDB" w:rsidP="006C3DAF">
            <w:pPr>
              <w:pStyle w:val="TableText0"/>
              <w:rPr>
                <w:rFonts w:cs="Calibri"/>
                <w:szCs w:val="18"/>
              </w:rPr>
            </w:pPr>
            <w:r w:rsidRPr="005D6D89">
              <w:rPr>
                <w:rFonts w:cs="Calibri"/>
                <w:szCs w:val="18"/>
              </w:rPr>
              <w:t>Major</w:t>
            </w:r>
          </w:p>
        </w:tc>
      </w:tr>
      <w:tr w:rsidR="00C81B28" w:rsidRPr="005D6D89" w14:paraId="4A921A46" w14:textId="77777777" w:rsidTr="008F1533">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035646BC" w14:textId="77777777" w:rsidR="00BD42DE" w:rsidRPr="005D6D89" w:rsidRDefault="00BD42DE" w:rsidP="006C3DAF">
            <w:pPr>
              <w:pStyle w:val="TableText0"/>
              <w:rPr>
                <w:rFonts w:cs="Calibri"/>
                <w:szCs w:val="18"/>
              </w:rPr>
            </w:pPr>
            <w:r w:rsidRPr="005D6D89">
              <w:rPr>
                <w:rFonts w:cs="Calibri"/>
                <w:szCs w:val="18"/>
              </w:rPr>
              <w:t>N7 Risks to terrestrial, freshwater and marine ecosystems</w:t>
            </w:r>
            <w:r w:rsidR="008C3AC9">
              <w:rPr>
                <w:rFonts w:cs="Calibri"/>
                <w:szCs w:val="18"/>
              </w:rPr>
              <w:t>,</w:t>
            </w:r>
            <w:r w:rsidRPr="005D6D89">
              <w:rPr>
                <w:rFonts w:cs="Calibri"/>
                <w:szCs w:val="18"/>
              </w:rPr>
              <w:t xml:space="preserve"> due to increased extreme weather events, drought, and fire weather.</w:t>
            </w:r>
          </w:p>
        </w:tc>
        <w:tc>
          <w:tcPr>
            <w:tcW w:w="243" w:type="pct"/>
            <w:gridSpan w:val="2"/>
            <w:tcBorders>
              <w:top w:val="single" w:sz="4" w:space="0" w:color="2C9986"/>
              <w:left w:val="single" w:sz="4" w:space="0" w:color="2C9986"/>
              <w:bottom w:val="single" w:sz="4" w:space="0" w:color="2C9986"/>
              <w:right w:val="single" w:sz="4" w:space="0" w:color="2C9986"/>
            </w:tcBorders>
          </w:tcPr>
          <w:p w14:paraId="1FE453C5" w14:textId="77777777" w:rsidR="00BD42DE" w:rsidRPr="005D6D89" w:rsidRDefault="00BD42DE" w:rsidP="006C3DAF">
            <w:pPr>
              <w:pStyle w:val="TableText0"/>
              <w:rPr>
                <w:rFonts w:cs="Calibri"/>
                <w:b/>
                <w:szCs w:val="18"/>
              </w:rPr>
            </w:pPr>
            <w:r w:rsidRPr="005D6D89">
              <w:rPr>
                <w:rFonts w:cs="Calibri"/>
                <w:b/>
                <w:szCs w:val="18"/>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156E6C42" w14:textId="77777777" w:rsidR="00BD42DE" w:rsidRPr="005D6D89" w:rsidRDefault="00BD42DE" w:rsidP="006C3DAF">
            <w:pPr>
              <w:pStyle w:val="TableText0"/>
              <w:rPr>
                <w:rFonts w:cs="Calibri"/>
                <w:szCs w:val="18"/>
              </w:rPr>
            </w:pPr>
            <w:r w:rsidRPr="005D6D89">
              <w:rPr>
                <w:rFonts w:cs="Calibri"/>
                <w:szCs w:val="18"/>
              </w:rPr>
              <w:t>60</w:t>
            </w:r>
          </w:p>
        </w:tc>
        <w:tc>
          <w:tcPr>
            <w:tcW w:w="548"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83BE296" w14:textId="77777777" w:rsidR="00BD42DE" w:rsidRPr="005D6D89" w:rsidRDefault="00BD42DE" w:rsidP="005276C7">
            <w:pPr>
              <w:pStyle w:val="TableText"/>
              <w:rPr>
                <w:rFonts w:cs="Calibri"/>
                <w:szCs w:val="18"/>
              </w:rPr>
            </w:pPr>
            <w:r w:rsidRPr="005D6D89">
              <w:rPr>
                <w:rFonts w:cs="Calibri"/>
                <w:szCs w:val="18"/>
              </w:rPr>
              <w:t>H7 Risks to mental health, identity, autonomy and sense of belonging and wellbeing from trauma</w:t>
            </w:r>
            <w:r w:rsidR="008C3AC9">
              <w:rPr>
                <w:rFonts w:cs="Calibri"/>
                <w:szCs w:val="18"/>
              </w:rPr>
              <w:t>,</w:t>
            </w:r>
            <w:r w:rsidRPr="005D6D89">
              <w:rPr>
                <w:rFonts w:cs="Calibri"/>
                <w:szCs w:val="18"/>
              </w:rPr>
              <w:t xml:space="preserve"> due to ongoing sea-level rise, extreme weather events and drought.</w:t>
            </w:r>
            <w:r w:rsidR="00027F9F" w:rsidRPr="005D6D89">
              <w:rPr>
                <w:rFonts w:cs="Calibri"/>
                <w:szCs w:val="18"/>
              </w:rPr>
              <w:t xml:space="preserve"> </w:t>
            </w:r>
          </w:p>
        </w:tc>
        <w:tc>
          <w:tcPr>
            <w:tcW w:w="257" w:type="pct"/>
            <w:gridSpan w:val="2"/>
            <w:tcBorders>
              <w:top w:val="single" w:sz="4" w:space="0" w:color="2C9986"/>
              <w:left w:val="single" w:sz="4" w:space="0" w:color="2C9986"/>
              <w:bottom w:val="single" w:sz="4" w:space="0" w:color="2C9986"/>
              <w:right w:val="single" w:sz="4" w:space="0" w:color="2C9986"/>
            </w:tcBorders>
          </w:tcPr>
          <w:p w14:paraId="3C7080B0" w14:textId="77777777" w:rsidR="00BD42DE" w:rsidRPr="005D6D89" w:rsidRDefault="00BD42DE" w:rsidP="00BE474F">
            <w:pPr>
              <w:pStyle w:val="TableText"/>
              <w:rPr>
                <w:b/>
                <w:bCs/>
              </w:rPr>
            </w:pPr>
            <w:r w:rsidRPr="005D6D89">
              <w:rPr>
                <w:b/>
                <w:bCs/>
              </w:rPr>
              <w:t>Urgency</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4305C4DE" w14:textId="77777777" w:rsidR="00BD42DE" w:rsidRPr="005D6D89" w:rsidRDefault="00BD42DE" w:rsidP="00BE474F">
            <w:pPr>
              <w:pStyle w:val="TableText"/>
            </w:pPr>
            <w:r w:rsidRPr="005D6D89">
              <w:t>80</w:t>
            </w:r>
          </w:p>
        </w:tc>
        <w:tc>
          <w:tcPr>
            <w:tcW w:w="608"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F5E45D3" w14:textId="77777777" w:rsidR="00BD42DE" w:rsidRPr="005D6D89" w:rsidRDefault="00BD42DE" w:rsidP="005276C7">
            <w:pPr>
              <w:pStyle w:val="TableText"/>
              <w:rPr>
                <w:rFonts w:cs="Calibri"/>
                <w:szCs w:val="18"/>
              </w:rPr>
            </w:pPr>
            <w:r w:rsidRPr="005D6D89">
              <w:rPr>
                <w:rFonts w:cs="Calibri"/>
                <w:szCs w:val="18"/>
              </w:rPr>
              <w:t>E7 Risks to businesses and public organisations from supply chain and distribution network disruptions</w:t>
            </w:r>
            <w:r w:rsidR="008C3AC9">
              <w:rPr>
                <w:rFonts w:cs="Calibri"/>
                <w:szCs w:val="18"/>
              </w:rPr>
              <w:t>,</w:t>
            </w:r>
            <w:r w:rsidRPr="005D6D89">
              <w:rPr>
                <w:rFonts w:cs="Calibri"/>
                <w:szCs w:val="18"/>
              </w:rPr>
              <w:t xml:space="preserve"> due to extreme weather events and ongoing, gradual changes.</w:t>
            </w:r>
          </w:p>
        </w:tc>
        <w:tc>
          <w:tcPr>
            <w:tcW w:w="268" w:type="pct"/>
            <w:gridSpan w:val="2"/>
            <w:tcBorders>
              <w:top w:val="single" w:sz="4" w:space="0" w:color="2C9986"/>
              <w:left w:val="single" w:sz="4" w:space="0" w:color="2C9986"/>
              <w:bottom w:val="single" w:sz="4" w:space="0" w:color="2C9986"/>
              <w:right w:val="single" w:sz="4" w:space="0" w:color="2C9986"/>
            </w:tcBorders>
          </w:tcPr>
          <w:p w14:paraId="6EA98CEF" w14:textId="77777777" w:rsidR="00BD42DE" w:rsidRPr="005D6D89" w:rsidRDefault="00BD42DE" w:rsidP="006C3DAF">
            <w:pPr>
              <w:pStyle w:val="TableText0"/>
              <w:rPr>
                <w:rFonts w:cs="Calibri"/>
                <w:b/>
                <w:szCs w:val="18"/>
              </w:rPr>
            </w:pPr>
            <w:r w:rsidRPr="005D6D89">
              <w:rPr>
                <w:rFonts w:cs="Calibri"/>
                <w:b/>
                <w:szCs w:val="18"/>
              </w:rPr>
              <w:t>Urgency</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7990B27E" w14:textId="77777777" w:rsidR="00BD42DE" w:rsidRPr="005D6D89" w:rsidRDefault="00BD42DE" w:rsidP="006C3DAF">
            <w:pPr>
              <w:pStyle w:val="TableText0"/>
              <w:rPr>
                <w:rFonts w:cs="Calibri"/>
                <w:szCs w:val="18"/>
              </w:rPr>
            </w:pPr>
            <w:r w:rsidRPr="005D6D89">
              <w:rPr>
                <w:rFonts w:cs="Calibri"/>
                <w:szCs w:val="18"/>
              </w:rPr>
              <w:t>68</w:t>
            </w:r>
          </w:p>
        </w:tc>
        <w:tc>
          <w:tcPr>
            <w:tcW w:w="589"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F1C8DC6" w14:textId="77777777" w:rsidR="00BD42DE" w:rsidRPr="005D6D89" w:rsidRDefault="00BD42DE" w:rsidP="006C3DAF">
            <w:pPr>
              <w:pStyle w:val="TableText0"/>
              <w:rPr>
                <w:rFonts w:cs="Calibri"/>
                <w:szCs w:val="18"/>
              </w:rPr>
            </w:pPr>
            <w:r w:rsidRPr="005D6D89">
              <w:rPr>
                <w:rFonts w:cs="Calibri"/>
                <w:szCs w:val="18"/>
              </w:rPr>
              <w:t>B7 Risk to airports</w:t>
            </w:r>
            <w:r w:rsidR="008C3AC9">
              <w:rPr>
                <w:rFonts w:cs="Calibri"/>
                <w:szCs w:val="18"/>
              </w:rPr>
              <w:t>,</w:t>
            </w:r>
            <w:r w:rsidRPr="005D6D89">
              <w:rPr>
                <w:rFonts w:cs="Calibri"/>
                <w:szCs w:val="18"/>
              </w:rPr>
              <w:t xml:space="preserve"> due to changes in temperature, wind, extreme weather events and ongoing sea-level rise.</w:t>
            </w:r>
          </w:p>
        </w:tc>
        <w:tc>
          <w:tcPr>
            <w:tcW w:w="277" w:type="pct"/>
            <w:gridSpan w:val="2"/>
            <w:tcBorders>
              <w:top w:val="single" w:sz="4" w:space="0" w:color="2C9986"/>
              <w:left w:val="single" w:sz="4" w:space="0" w:color="2C9986"/>
              <w:bottom w:val="single" w:sz="4" w:space="0" w:color="2C9986"/>
              <w:right w:val="single" w:sz="4" w:space="0" w:color="2C9986"/>
            </w:tcBorders>
          </w:tcPr>
          <w:p w14:paraId="4577C477" w14:textId="77777777" w:rsidR="00BD42DE" w:rsidRPr="005D6D89" w:rsidRDefault="00BD42DE" w:rsidP="006C3DAF">
            <w:pPr>
              <w:pStyle w:val="TableText0"/>
              <w:rPr>
                <w:rFonts w:cs="Calibri"/>
                <w:b/>
                <w:szCs w:val="18"/>
              </w:rPr>
            </w:pPr>
            <w:r w:rsidRPr="005D6D89">
              <w:rPr>
                <w:rFonts w:cs="Calibri"/>
                <w:b/>
                <w:szCs w:val="18"/>
              </w:rPr>
              <w:t>Urgency</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1EB8D369" w14:textId="77777777" w:rsidR="00BD42DE" w:rsidRPr="005D6D89" w:rsidRDefault="00BD42DE" w:rsidP="006C3DAF">
            <w:pPr>
              <w:pStyle w:val="TableText0"/>
              <w:rPr>
                <w:rFonts w:cs="Calibri"/>
                <w:szCs w:val="18"/>
              </w:rPr>
            </w:pPr>
            <w:r w:rsidRPr="005D6D89">
              <w:rPr>
                <w:rFonts w:cs="Calibri"/>
                <w:szCs w:val="18"/>
              </w:rPr>
              <w:t>55</w:t>
            </w:r>
          </w:p>
        </w:tc>
        <w:tc>
          <w:tcPr>
            <w:tcW w:w="568" w:type="pct"/>
            <w:gridSpan w:val="2"/>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393363E" w14:textId="77777777" w:rsidR="00BD42DE" w:rsidRPr="005D6D89" w:rsidRDefault="00BD42DE" w:rsidP="006C3DAF">
            <w:pPr>
              <w:spacing w:before="60" w:after="60" w:line="240" w:lineRule="auto"/>
              <w:jc w:val="left"/>
              <w:rPr>
                <w:rFonts w:cs="Calibri"/>
                <w:sz w:val="18"/>
                <w:szCs w:val="18"/>
              </w:rPr>
            </w:pPr>
            <w:r w:rsidRPr="005D6D89">
              <w:rPr>
                <w:rFonts w:cs="Calibri"/>
                <w:bCs/>
                <w:color w:val="000000"/>
                <w:sz w:val="18"/>
                <w:szCs w:val="18"/>
              </w:rPr>
              <w:t xml:space="preserve">G7 Risk that effective </w:t>
            </w:r>
            <w:proofErr w:type="gramStart"/>
            <w:r w:rsidRPr="005D6D89">
              <w:rPr>
                <w:rFonts w:cs="Calibri"/>
                <w:bCs/>
                <w:color w:val="000000"/>
                <w:sz w:val="18"/>
                <w:szCs w:val="18"/>
              </w:rPr>
              <w:t>climate change adaptation policy</w:t>
            </w:r>
            <w:proofErr w:type="gramEnd"/>
            <w:r w:rsidRPr="005D6D89">
              <w:rPr>
                <w:rFonts w:cs="Calibri"/>
                <w:bCs/>
                <w:color w:val="000000"/>
                <w:sz w:val="18"/>
                <w:szCs w:val="18"/>
              </w:rPr>
              <w:t xml:space="preserve"> will not be implemented and sustained</w:t>
            </w:r>
            <w:r w:rsidR="008C3AC9">
              <w:rPr>
                <w:rFonts w:cs="Calibri"/>
                <w:bCs/>
                <w:color w:val="000000"/>
                <w:sz w:val="18"/>
                <w:szCs w:val="18"/>
              </w:rPr>
              <w:t>,</w:t>
            </w:r>
            <w:r w:rsidRPr="005D6D89">
              <w:rPr>
                <w:rFonts w:cs="Calibri"/>
                <w:bCs/>
                <w:color w:val="000000"/>
                <w:sz w:val="18"/>
                <w:szCs w:val="18"/>
              </w:rPr>
              <w:t xml:space="preserve"> due to a failure to secure sufficient parliamentary agreement.</w:t>
            </w:r>
          </w:p>
        </w:tc>
        <w:tc>
          <w:tcPr>
            <w:tcW w:w="268" w:type="pct"/>
            <w:gridSpan w:val="2"/>
            <w:tcBorders>
              <w:top w:val="single" w:sz="4" w:space="0" w:color="2C9986"/>
              <w:left w:val="single" w:sz="4" w:space="0" w:color="2C9986"/>
              <w:bottom w:val="single" w:sz="4" w:space="0" w:color="2C9986"/>
              <w:right w:val="single" w:sz="4" w:space="0" w:color="2C9986"/>
            </w:tcBorders>
          </w:tcPr>
          <w:p w14:paraId="3194ACDC" w14:textId="77777777" w:rsidR="00BD42DE" w:rsidRPr="005D6D89" w:rsidRDefault="00BD42DE" w:rsidP="006C3DAF">
            <w:pPr>
              <w:pStyle w:val="TableText0"/>
              <w:rPr>
                <w:rFonts w:cs="Calibri"/>
                <w:b/>
                <w:szCs w:val="18"/>
              </w:rPr>
            </w:pPr>
            <w:r w:rsidRPr="005D6D89">
              <w:rPr>
                <w:rFonts w:cs="Calibri"/>
                <w:b/>
                <w:szCs w:val="18"/>
              </w:rPr>
              <w:t>Urgency</w:t>
            </w:r>
          </w:p>
        </w:tc>
        <w:tc>
          <w:tcPr>
            <w:tcW w:w="174" w:type="pct"/>
            <w:tcBorders>
              <w:top w:val="single" w:sz="4" w:space="0" w:color="2C9986"/>
              <w:left w:val="single" w:sz="4" w:space="0" w:color="2C9986"/>
              <w:bottom w:val="single" w:sz="4" w:space="0" w:color="2C9986"/>
            </w:tcBorders>
            <w:shd w:val="clear" w:color="auto" w:fill="auto"/>
          </w:tcPr>
          <w:p w14:paraId="2FB84093" w14:textId="77777777" w:rsidR="00BD42DE" w:rsidRPr="005D6D89" w:rsidRDefault="00BD42DE" w:rsidP="006C3DAF">
            <w:pPr>
              <w:pStyle w:val="TableText0"/>
              <w:rPr>
                <w:rFonts w:cs="Calibri"/>
                <w:szCs w:val="18"/>
              </w:rPr>
            </w:pPr>
            <w:r w:rsidRPr="005D6D89">
              <w:rPr>
                <w:rFonts w:cs="Calibri"/>
                <w:szCs w:val="18"/>
              </w:rPr>
              <w:t>68</w:t>
            </w:r>
          </w:p>
        </w:tc>
      </w:tr>
      <w:tr w:rsidR="00857C1C" w:rsidRPr="005D6D89" w14:paraId="04F25CFF"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6206C539" w14:textId="77777777" w:rsidR="00BD42DE" w:rsidRPr="005D6D89" w:rsidRDefault="00BD42DE" w:rsidP="006C3DAF">
            <w:pPr>
              <w:pStyle w:val="TableText0"/>
              <w:rPr>
                <w:rFonts w:cs="Calibri"/>
                <w:szCs w:val="18"/>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38C8F4B9" w14:textId="77777777" w:rsidR="00BD42DE" w:rsidRPr="005D6D89" w:rsidRDefault="00BD42DE" w:rsidP="005276C7">
            <w:pPr>
              <w:pStyle w:val="TableText0"/>
              <w:spacing w:after="120"/>
              <w:jc w:val="center"/>
              <w:rPr>
                <w:rFonts w:cs="Calibri"/>
                <w:b/>
                <w:szCs w:val="18"/>
              </w:rPr>
            </w:pPr>
            <w:r w:rsidRPr="005D6D89">
              <w:rPr>
                <w:rFonts w:cs="Calibri"/>
                <w:b/>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0612EF5" w14:textId="77777777" w:rsidR="00BD42DE" w:rsidRPr="005D6D89" w:rsidRDefault="00BD42DE" w:rsidP="006C3DAF">
            <w:pPr>
              <w:pStyle w:val="TableText0"/>
              <w:rPr>
                <w:rFonts w:cs="Calibri"/>
                <w:b/>
                <w:szCs w:val="18"/>
              </w:rPr>
            </w:pPr>
            <w:r w:rsidRPr="005D6D89">
              <w:rPr>
                <w:rFonts w:cs="Calibri"/>
                <w:b/>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7B5326FF" w14:textId="77777777" w:rsidR="00BD42DE" w:rsidRPr="005D6D89" w:rsidRDefault="00BD42DE" w:rsidP="006C3DAF">
            <w:pPr>
              <w:pStyle w:val="TableText0"/>
              <w:rPr>
                <w:rFonts w:cs="Calibri"/>
                <w:szCs w:val="18"/>
              </w:rPr>
            </w:pPr>
            <w:r w:rsidRPr="005D6D89">
              <w:rPr>
                <w:rFonts w:cs="Calibri"/>
                <w:szCs w:val="18"/>
              </w:rPr>
              <w:t>Min</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00BF51B" w14:textId="77777777" w:rsidR="00BD42DE" w:rsidRPr="005D6D89" w:rsidRDefault="00BD42DE" w:rsidP="006C3DAF">
            <w:pPr>
              <w:spacing w:before="60" w:after="60"/>
              <w:jc w:val="left"/>
              <w:rPr>
                <w:rFonts w:cs="Calibri"/>
                <w:sz w:val="18"/>
                <w:szCs w:val="18"/>
              </w:rPr>
            </w:pPr>
          </w:p>
        </w:tc>
        <w:tc>
          <w:tcPr>
            <w:tcW w:w="82"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25C6D903" w14:textId="77777777" w:rsidR="00BD42DE" w:rsidRPr="005D6D89" w:rsidRDefault="00BD42DE" w:rsidP="005276C7">
            <w:pPr>
              <w:pStyle w:val="TableText0"/>
              <w:spacing w:after="120"/>
              <w:ind w:left="113" w:right="113"/>
              <w:rPr>
                <w:rFonts w:cs="Calibri"/>
                <w:b/>
                <w:szCs w:val="18"/>
              </w:rPr>
            </w:pPr>
            <w:r w:rsidRPr="005D6D89">
              <w:rPr>
                <w:rFonts w:cs="Calibri"/>
                <w:b/>
                <w:szCs w:val="18"/>
              </w:rPr>
              <w:t>Consequence</w:t>
            </w: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8801783" w14:textId="77777777" w:rsidR="00BD42DE" w:rsidRPr="005D6D89" w:rsidRDefault="00BD42DE" w:rsidP="006C3DAF">
            <w:pPr>
              <w:pStyle w:val="TableText0"/>
              <w:rPr>
                <w:rFonts w:cs="Calibri"/>
                <w:b/>
                <w:szCs w:val="18"/>
              </w:rPr>
            </w:pPr>
            <w:r w:rsidRPr="005D6D89">
              <w:rPr>
                <w:rFonts w:cs="Calibri"/>
                <w:b/>
                <w:szCs w:val="18"/>
              </w:rPr>
              <w:t>Now</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4512EB1C" w14:textId="77777777" w:rsidR="00BD42DE" w:rsidRPr="005D6D89" w:rsidRDefault="00BD42DE" w:rsidP="006C3DAF">
            <w:pPr>
              <w:pStyle w:val="TableText0"/>
              <w:rPr>
                <w:rFonts w:cs="Calibri"/>
                <w:szCs w:val="18"/>
              </w:rPr>
            </w:pPr>
            <w:r w:rsidRPr="005D6D89">
              <w:rPr>
                <w:rFonts w:cs="Calibri"/>
                <w:szCs w:val="18"/>
              </w:rPr>
              <w:t>Ma</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1D267F1" w14:textId="77777777" w:rsidR="00BD42DE" w:rsidRPr="005D6D89" w:rsidRDefault="00BD42DE" w:rsidP="006C3DAF">
            <w:pPr>
              <w:spacing w:before="60" w:after="60"/>
              <w:jc w:val="left"/>
              <w:rPr>
                <w:rFonts w:cs="Calibri"/>
                <w:sz w:val="18"/>
                <w:szCs w:val="18"/>
              </w:rPr>
            </w:pPr>
          </w:p>
        </w:tc>
        <w:tc>
          <w:tcPr>
            <w:tcW w:w="90" w:type="pct"/>
            <w:vMerge w:val="restart"/>
            <w:tcBorders>
              <w:top w:val="single" w:sz="4" w:space="0" w:color="2C9986"/>
              <w:left w:val="single" w:sz="4" w:space="0" w:color="2C9986"/>
              <w:bottom w:val="single" w:sz="4" w:space="0" w:color="2C9986"/>
              <w:right w:val="single" w:sz="4" w:space="0" w:color="2C9986"/>
            </w:tcBorders>
            <w:textDirection w:val="btLr"/>
          </w:tcPr>
          <w:p w14:paraId="7FEA490F" w14:textId="77777777" w:rsidR="00BD42DE" w:rsidRPr="005D6D89" w:rsidRDefault="00BD42DE" w:rsidP="006C3DAF">
            <w:pPr>
              <w:spacing w:before="60" w:after="60"/>
              <w:ind w:left="113" w:right="113"/>
              <w:jc w:val="left"/>
              <w:rPr>
                <w:rFonts w:cs="Calibri"/>
                <w:b/>
                <w:sz w:val="18"/>
                <w:szCs w:val="18"/>
              </w:rPr>
            </w:pPr>
            <w:r w:rsidRPr="005D6D89">
              <w:rPr>
                <w:rFonts w:cs="Calibri"/>
                <w:b/>
                <w:sz w:val="18"/>
                <w:szCs w:val="18"/>
              </w:rPr>
              <w:t>Consequence</w:t>
            </w: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A01D3B7" w14:textId="77777777" w:rsidR="00BD42DE" w:rsidRPr="005D6D89" w:rsidRDefault="00BD42DE" w:rsidP="006C3DAF">
            <w:pPr>
              <w:pStyle w:val="TableText0"/>
              <w:rPr>
                <w:rFonts w:cs="Calibri"/>
                <w:b/>
                <w:szCs w:val="18"/>
              </w:rPr>
            </w:pPr>
            <w:r w:rsidRPr="005D6D89">
              <w:rPr>
                <w:rFonts w:cs="Calibri"/>
                <w:b/>
                <w:szCs w:val="18"/>
              </w:rPr>
              <w:t>Now</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1323E96D" w14:textId="77777777" w:rsidR="00BD42DE" w:rsidRPr="005D6D89" w:rsidRDefault="00BD42DE" w:rsidP="006C3DAF">
            <w:pPr>
              <w:pStyle w:val="TableText0"/>
              <w:rPr>
                <w:rFonts w:cs="Calibri"/>
                <w:szCs w:val="18"/>
              </w:rPr>
            </w:pPr>
            <w:r w:rsidRPr="005D6D89">
              <w:rPr>
                <w:rFonts w:cs="Calibri"/>
                <w:szCs w:val="18"/>
              </w:rPr>
              <w:t>Insig</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3BEBB2F" w14:textId="77777777" w:rsidR="00BD42DE" w:rsidRPr="005D6D89" w:rsidRDefault="00BD42DE" w:rsidP="006C3DAF">
            <w:pPr>
              <w:pStyle w:val="TableText0"/>
              <w:rPr>
                <w:rFonts w:cs="Calibri"/>
                <w:szCs w:val="18"/>
              </w:rPr>
            </w:pPr>
          </w:p>
        </w:tc>
        <w:tc>
          <w:tcPr>
            <w:tcW w:w="103" w:type="pct"/>
            <w:vMerge w:val="restart"/>
            <w:tcBorders>
              <w:top w:val="single" w:sz="4" w:space="0" w:color="2C9986"/>
              <w:left w:val="single" w:sz="4" w:space="0" w:color="2C9986"/>
              <w:bottom w:val="single" w:sz="4" w:space="0" w:color="2C9986"/>
              <w:right w:val="single" w:sz="4" w:space="0" w:color="2C9986"/>
            </w:tcBorders>
            <w:textDirection w:val="btLr"/>
          </w:tcPr>
          <w:p w14:paraId="271FE9F2" w14:textId="77777777" w:rsidR="00BD42DE" w:rsidRPr="005D6D89" w:rsidRDefault="00BD42DE" w:rsidP="005276C7">
            <w:pPr>
              <w:pStyle w:val="TableText0"/>
              <w:spacing w:after="120"/>
              <w:ind w:left="113" w:right="113"/>
              <w:rPr>
                <w:rFonts w:cs="Calibri"/>
                <w:b/>
                <w:szCs w:val="18"/>
              </w:rPr>
            </w:pPr>
            <w:r w:rsidRPr="005D6D89">
              <w:rPr>
                <w:rFonts w:cs="Calibri"/>
                <w:b/>
                <w:szCs w:val="18"/>
              </w:rPr>
              <w:t>Consequence</w:t>
            </w: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E5EA3A9" w14:textId="77777777" w:rsidR="00BD42DE" w:rsidRPr="005D6D89" w:rsidRDefault="00BD42DE" w:rsidP="006C3DAF">
            <w:pPr>
              <w:pStyle w:val="TableText0"/>
              <w:rPr>
                <w:rFonts w:cs="Calibri"/>
                <w:b/>
                <w:szCs w:val="18"/>
              </w:rPr>
            </w:pPr>
            <w:r w:rsidRPr="005D6D89">
              <w:rPr>
                <w:rFonts w:cs="Calibri"/>
                <w:b/>
                <w:szCs w:val="18"/>
              </w:rPr>
              <w:t>Now</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5FB94D74" w14:textId="77777777" w:rsidR="00BD42DE" w:rsidRPr="005D6D89" w:rsidRDefault="00CD1CDB" w:rsidP="006C3DAF">
            <w:pPr>
              <w:pStyle w:val="TableText0"/>
              <w:rPr>
                <w:rFonts w:cs="Calibri"/>
                <w:szCs w:val="18"/>
              </w:rPr>
            </w:pPr>
            <w:r w:rsidRPr="005D6D89">
              <w:rPr>
                <w:rFonts w:cs="Calibri"/>
                <w:szCs w:val="18"/>
              </w:rPr>
              <w:t>Major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2DD4AC8" w14:textId="77777777" w:rsidR="00BD42DE" w:rsidRPr="005D6D89" w:rsidRDefault="00BD42DE" w:rsidP="006C3DAF">
            <w:pPr>
              <w:pStyle w:val="TableText0"/>
              <w:rPr>
                <w:rFonts w:cs="Calibri"/>
                <w:szCs w:val="18"/>
              </w:rPr>
            </w:pPr>
          </w:p>
        </w:tc>
        <w:tc>
          <w:tcPr>
            <w:tcW w:w="100" w:type="pct"/>
            <w:vMerge w:val="restart"/>
            <w:tcBorders>
              <w:top w:val="single" w:sz="4" w:space="0" w:color="2C9986"/>
              <w:left w:val="single" w:sz="4" w:space="0" w:color="2C9986"/>
              <w:bottom w:val="single" w:sz="4" w:space="0" w:color="2C9986"/>
              <w:right w:val="single" w:sz="4" w:space="0" w:color="2C9986"/>
            </w:tcBorders>
            <w:textDirection w:val="btLr"/>
          </w:tcPr>
          <w:p w14:paraId="5E8ACD38" w14:textId="77777777" w:rsidR="00BD42DE" w:rsidRPr="005D6D89" w:rsidRDefault="00BD42DE" w:rsidP="005276C7">
            <w:pPr>
              <w:pStyle w:val="TableText0"/>
              <w:spacing w:after="120"/>
              <w:ind w:left="113" w:right="113"/>
              <w:rPr>
                <w:rFonts w:cs="Calibri"/>
                <w:b/>
                <w:szCs w:val="18"/>
              </w:rPr>
            </w:pPr>
            <w:r w:rsidRPr="005D6D89">
              <w:rPr>
                <w:rFonts w:cs="Calibri"/>
                <w:b/>
                <w:szCs w:val="18"/>
              </w:rPr>
              <w:t>Consequence</w:t>
            </w: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DEFD322" w14:textId="77777777" w:rsidR="00BD42DE" w:rsidRPr="005D6D89" w:rsidRDefault="00BD42DE" w:rsidP="006C3DAF">
            <w:pPr>
              <w:pStyle w:val="TableText0"/>
              <w:rPr>
                <w:rFonts w:cs="Calibri"/>
                <w:b/>
                <w:szCs w:val="18"/>
              </w:rPr>
            </w:pPr>
            <w:r w:rsidRPr="005D6D89">
              <w:rPr>
                <w:rFonts w:cs="Calibri"/>
                <w:b/>
                <w:szCs w:val="18"/>
              </w:rPr>
              <w:t>Now</w:t>
            </w:r>
          </w:p>
        </w:tc>
        <w:tc>
          <w:tcPr>
            <w:tcW w:w="174" w:type="pct"/>
            <w:tcBorders>
              <w:top w:val="single" w:sz="4" w:space="0" w:color="2C9986"/>
              <w:left w:val="single" w:sz="4" w:space="0" w:color="2C9986"/>
              <w:bottom w:val="single" w:sz="4" w:space="0" w:color="2C9986"/>
            </w:tcBorders>
            <w:shd w:val="clear" w:color="auto" w:fill="auto"/>
          </w:tcPr>
          <w:p w14:paraId="44838782" w14:textId="77777777" w:rsidR="00BD42DE" w:rsidRPr="005D6D89" w:rsidRDefault="00BD42DE" w:rsidP="006C3DAF">
            <w:pPr>
              <w:pStyle w:val="TableText0"/>
              <w:rPr>
                <w:rFonts w:cs="Calibri"/>
                <w:szCs w:val="18"/>
              </w:rPr>
            </w:pPr>
            <w:r w:rsidRPr="005D6D89">
              <w:rPr>
                <w:rFonts w:cs="Calibri"/>
                <w:szCs w:val="18"/>
              </w:rPr>
              <w:t>Mod</w:t>
            </w:r>
          </w:p>
        </w:tc>
      </w:tr>
      <w:tr w:rsidR="00857C1C" w:rsidRPr="005D6D89" w14:paraId="286868C9"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60E66326" w14:textId="77777777" w:rsidR="00BD42DE" w:rsidRPr="005D6D89" w:rsidRDefault="00BD42DE" w:rsidP="006C3DAF">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017691B5" w14:textId="77777777" w:rsidR="00BD42DE" w:rsidRPr="005D6D89" w:rsidRDefault="00BD42DE" w:rsidP="006C3DAF">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CC08B9F"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41B91573" w14:textId="77777777" w:rsidR="00BD42DE" w:rsidRPr="005D6D89" w:rsidRDefault="00BD42DE" w:rsidP="006C3DAF">
            <w:pPr>
              <w:pStyle w:val="TableText0"/>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478B50A" w14:textId="77777777" w:rsidR="00BD42DE" w:rsidRPr="005D6D89" w:rsidRDefault="00BD42DE" w:rsidP="006C3DAF">
            <w:pPr>
              <w:spacing w:before="60" w:after="60"/>
              <w:jc w:val="left"/>
              <w:rPr>
                <w:rFonts w:cs="Calibri"/>
                <w:sz w:val="18"/>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55C63FC9" w14:textId="77777777" w:rsidR="00BD42DE" w:rsidRPr="005D6D89" w:rsidRDefault="00BD42DE" w:rsidP="006C3DAF">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189E54D"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122E884D" w14:textId="77777777" w:rsidR="00BD42DE" w:rsidRPr="005D6D89" w:rsidRDefault="00CD1CDB" w:rsidP="006C3DAF">
            <w:pPr>
              <w:pStyle w:val="TableText0"/>
              <w:rPr>
                <w:rFonts w:cs="Calibri"/>
                <w:szCs w:val="18"/>
              </w:rPr>
            </w:pPr>
            <w:r w:rsidRPr="005D6D89">
              <w:rPr>
                <w:rFonts w:cs="Calibri"/>
                <w:szCs w:val="18"/>
              </w:rPr>
              <w:t>Major</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E2FB6D6" w14:textId="77777777" w:rsidR="00BD42DE" w:rsidRPr="005D6D89" w:rsidRDefault="00BD42DE" w:rsidP="006C3DAF">
            <w:pPr>
              <w:spacing w:before="60" w:after="60"/>
              <w:jc w:val="left"/>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2785E073" w14:textId="77777777" w:rsidR="00BD42DE" w:rsidRPr="005D6D89" w:rsidRDefault="00BD42DE" w:rsidP="006C3DAF">
            <w:pPr>
              <w:spacing w:before="60" w:after="60"/>
              <w:jc w:val="left"/>
              <w:rPr>
                <w:rFonts w:cs="Calibri"/>
                <w:b/>
                <w:sz w:val="18"/>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60051CD"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654EFDE3" w14:textId="77777777" w:rsidR="00BD42DE" w:rsidRPr="005D6D89" w:rsidRDefault="00BD42DE" w:rsidP="006C3DAF">
            <w:pPr>
              <w:pStyle w:val="TableText0"/>
              <w:rPr>
                <w:rFonts w:cs="Calibri"/>
                <w:szCs w:val="18"/>
              </w:rPr>
            </w:pPr>
            <w:r w:rsidRPr="005D6D89">
              <w:rPr>
                <w:rFonts w:cs="Calibri"/>
                <w:szCs w:val="18"/>
              </w:rPr>
              <w:t>Mod</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26ED432" w14:textId="77777777" w:rsidR="00BD42DE" w:rsidRPr="005D6D89" w:rsidRDefault="00BD42DE" w:rsidP="006C3DAF">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10CF36C4" w14:textId="77777777" w:rsidR="00BD42DE" w:rsidRPr="005D6D89" w:rsidRDefault="00BD42DE" w:rsidP="006C3DAF">
            <w:pPr>
              <w:pStyle w:val="TableText0"/>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874C44F"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329BF300" w14:textId="77777777" w:rsidR="00BD42DE" w:rsidRPr="005D6D89" w:rsidRDefault="00CD1CDB" w:rsidP="006C3DAF">
            <w:pPr>
              <w:pStyle w:val="TableText0"/>
              <w:rPr>
                <w:rFonts w:cs="Calibri"/>
                <w:szCs w:val="18"/>
              </w:rPr>
            </w:pPr>
            <w:r w:rsidRPr="005D6D89">
              <w:rPr>
                <w:rFonts w:cs="Calibri"/>
                <w:szCs w:val="18"/>
              </w:rPr>
              <w:t>Major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3C61AD9" w14:textId="77777777" w:rsidR="00BD42DE" w:rsidRPr="005D6D89" w:rsidRDefault="00BD42DE" w:rsidP="006C3DAF">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0200B421" w14:textId="77777777" w:rsidR="00BD42DE" w:rsidRPr="005D6D89" w:rsidRDefault="00BD42DE" w:rsidP="006C3DAF">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00AF96D"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74" w:type="pct"/>
            <w:tcBorders>
              <w:top w:val="single" w:sz="4" w:space="0" w:color="2C9986"/>
              <w:left w:val="single" w:sz="4" w:space="0" w:color="2C9986"/>
              <w:bottom w:val="single" w:sz="4" w:space="0" w:color="2C9986"/>
            </w:tcBorders>
            <w:shd w:val="clear" w:color="auto" w:fill="auto"/>
          </w:tcPr>
          <w:p w14:paraId="700FC794" w14:textId="77777777" w:rsidR="00BD42DE" w:rsidRPr="005D6D89" w:rsidRDefault="00BD42DE" w:rsidP="006C3DAF">
            <w:pPr>
              <w:pStyle w:val="TableText0"/>
              <w:rPr>
                <w:rFonts w:cs="Calibri"/>
                <w:szCs w:val="18"/>
              </w:rPr>
            </w:pPr>
            <w:r w:rsidRPr="005D6D89">
              <w:rPr>
                <w:rFonts w:cs="Calibri"/>
                <w:szCs w:val="18"/>
              </w:rPr>
              <w:t>Ext</w:t>
            </w:r>
          </w:p>
        </w:tc>
      </w:tr>
      <w:tr w:rsidR="00857C1C" w:rsidRPr="005D6D89" w14:paraId="304C26DC"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4888AFC6" w14:textId="77777777" w:rsidR="00BD42DE" w:rsidRPr="005D6D89" w:rsidRDefault="00BD42DE" w:rsidP="006C3DAF">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3ECC2715" w14:textId="77777777" w:rsidR="00BD42DE" w:rsidRPr="005D6D89" w:rsidRDefault="00BD42DE" w:rsidP="006C3DAF">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904168A" w14:textId="77777777" w:rsidR="00BD42DE" w:rsidRPr="005D6D89" w:rsidRDefault="00BD42DE" w:rsidP="006C3DAF">
            <w:pPr>
              <w:pStyle w:val="TableText0"/>
              <w:rPr>
                <w:rFonts w:cs="Calibri"/>
                <w:b/>
                <w:szCs w:val="18"/>
              </w:rPr>
            </w:pPr>
            <w:r w:rsidRPr="005D6D89">
              <w:rPr>
                <w:rFonts w:cs="Calibri"/>
                <w:b/>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6CE171AA" w14:textId="77777777" w:rsidR="00BD42DE" w:rsidRPr="005D6D89" w:rsidRDefault="00CD1CDB" w:rsidP="006C3DAF">
            <w:pPr>
              <w:pStyle w:val="TableText0"/>
              <w:rPr>
                <w:rFonts w:cs="Calibri"/>
                <w:szCs w:val="18"/>
              </w:rPr>
            </w:pPr>
            <w:r w:rsidRPr="005D6D89">
              <w:rPr>
                <w:rFonts w:cs="Calibri"/>
                <w:szCs w:val="18"/>
              </w:rPr>
              <w:t>Major</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FD2762E" w14:textId="77777777" w:rsidR="00BD42DE" w:rsidRPr="005D6D89" w:rsidRDefault="00BD42DE" w:rsidP="006C3DAF">
            <w:pPr>
              <w:spacing w:before="60" w:after="60"/>
              <w:jc w:val="left"/>
              <w:rPr>
                <w:rFonts w:cs="Calibri"/>
                <w:sz w:val="18"/>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680C7A15" w14:textId="77777777" w:rsidR="00BD42DE" w:rsidRPr="005D6D89" w:rsidRDefault="00BD42DE" w:rsidP="006C3DAF">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1B45A62" w14:textId="77777777" w:rsidR="00BD42DE" w:rsidRPr="005D6D89" w:rsidRDefault="00BD42DE" w:rsidP="006C3DAF">
            <w:pPr>
              <w:pStyle w:val="TableText0"/>
              <w:rPr>
                <w:rFonts w:cs="Calibri"/>
                <w:b/>
                <w:szCs w:val="18"/>
              </w:rPr>
            </w:pPr>
            <w:r w:rsidRPr="005D6D89">
              <w:rPr>
                <w:rFonts w:cs="Calibri"/>
                <w:b/>
                <w:szCs w:val="18"/>
              </w:rPr>
              <w:t>2100</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3EFC4AE0" w14:textId="77777777" w:rsidR="00BD42DE" w:rsidRPr="005D6D89" w:rsidRDefault="00CD1CDB" w:rsidP="006C3DAF">
            <w:pPr>
              <w:pStyle w:val="TableText0"/>
              <w:rPr>
                <w:rFonts w:cs="Calibri"/>
                <w:szCs w:val="18"/>
              </w:rPr>
            </w:pPr>
            <w:r w:rsidRPr="005D6D89">
              <w:rPr>
                <w:rFonts w:cs="Calibri"/>
                <w:szCs w:val="18"/>
              </w:rPr>
              <w:t>Major</w:t>
            </w:r>
          </w:p>
        </w:tc>
        <w:tc>
          <w:tcPr>
            <w:tcW w:w="60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FD15514" w14:textId="77777777" w:rsidR="00BD42DE" w:rsidRPr="005D6D89" w:rsidRDefault="00BD42DE" w:rsidP="006C3DAF">
            <w:pPr>
              <w:spacing w:before="60" w:after="60"/>
              <w:jc w:val="left"/>
              <w:rPr>
                <w:rFonts w:cs="Calibri"/>
                <w:sz w:val="18"/>
                <w:szCs w:val="18"/>
              </w:rPr>
            </w:pPr>
          </w:p>
        </w:tc>
        <w:tc>
          <w:tcPr>
            <w:tcW w:w="90" w:type="pct"/>
            <w:vMerge/>
            <w:tcBorders>
              <w:top w:val="single" w:sz="4" w:space="0" w:color="2C9986"/>
              <w:left w:val="single" w:sz="4" w:space="0" w:color="2C9986"/>
              <w:bottom w:val="single" w:sz="4" w:space="0" w:color="2C9986"/>
              <w:right w:val="single" w:sz="4" w:space="0" w:color="2C9986"/>
            </w:tcBorders>
          </w:tcPr>
          <w:p w14:paraId="4CB9DB13" w14:textId="77777777" w:rsidR="00BD42DE" w:rsidRPr="005D6D89" w:rsidRDefault="00BD42DE" w:rsidP="006C3DAF">
            <w:pPr>
              <w:spacing w:before="60" w:after="60"/>
              <w:jc w:val="left"/>
              <w:rPr>
                <w:rFonts w:cs="Calibri"/>
                <w:b/>
                <w:sz w:val="18"/>
                <w:szCs w:val="18"/>
              </w:rPr>
            </w:pPr>
          </w:p>
        </w:tc>
        <w:tc>
          <w:tcPr>
            <w:tcW w:w="17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11636A8" w14:textId="77777777" w:rsidR="00BD42DE" w:rsidRPr="005D6D89" w:rsidRDefault="00BD42DE" w:rsidP="006C3DAF">
            <w:pPr>
              <w:pStyle w:val="TableText0"/>
              <w:rPr>
                <w:rFonts w:cs="Calibri"/>
                <w:b/>
                <w:szCs w:val="18"/>
              </w:rPr>
            </w:pPr>
            <w:r w:rsidRPr="005D6D89">
              <w:rPr>
                <w:rFonts w:cs="Calibri"/>
                <w:b/>
                <w:szCs w:val="18"/>
              </w:rPr>
              <w:t>2100</w:t>
            </w:r>
          </w:p>
        </w:tc>
        <w:tc>
          <w:tcPr>
            <w:tcW w:w="159" w:type="pct"/>
            <w:tcBorders>
              <w:top w:val="single" w:sz="4" w:space="0" w:color="2C9986"/>
              <w:left w:val="single" w:sz="4" w:space="0" w:color="2C9986"/>
              <w:bottom w:val="single" w:sz="4" w:space="0" w:color="2C9986"/>
              <w:right w:val="single" w:sz="4" w:space="0" w:color="2C9986"/>
            </w:tcBorders>
            <w:shd w:val="clear" w:color="auto" w:fill="auto"/>
          </w:tcPr>
          <w:p w14:paraId="1C3B7AD7" w14:textId="77777777" w:rsidR="00BD42DE" w:rsidRPr="005D6D89" w:rsidRDefault="00CD1CDB" w:rsidP="006C3DAF">
            <w:pPr>
              <w:pStyle w:val="TableText0"/>
              <w:rPr>
                <w:rFonts w:cs="Calibri"/>
                <w:szCs w:val="18"/>
              </w:rPr>
            </w:pPr>
            <w:r w:rsidRPr="005D6D89">
              <w:rPr>
                <w:rFonts w:cs="Calibri"/>
                <w:szCs w:val="18"/>
              </w:rPr>
              <w:t>Major</w:t>
            </w: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0E4393D" w14:textId="77777777" w:rsidR="00BD42DE" w:rsidRPr="005D6D89" w:rsidRDefault="00BD42DE" w:rsidP="006C3DAF">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3E74964D" w14:textId="77777777" w:rsidR="00BD42DE" w:rsidRPr="005D6D89" w:rsidRDefault="00BD42DE" w:rsidP="006C3DAF">
            <w:pPr>
              <w:pStyle w:val="TableText0"/>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9B6EA35" w14:textId="77777777" w:rsidR="00BD42DE" w:rsidRPr="005D6D89" w:rsidRDefault="00BD42DE" w:rsidP="006C3DAF">
            <w:pPr>
              <w:pStyle w:val="TableText0"/>
              <w:rPr>
                <w:rFonts w:cs="Calibri"/>
                <w:b/>
                <w:szCs w:val="18"/>
              </w:rPr>
            </w:pPr>
            <w:r w:rsidRPr="005D6D89">
              <w:rPr>
                <w:rFonts w:cs="Calibri"/>
                <w:b/>
                <w:szCs w:val="18"/>
              </w:rPr>
              <w:t>2100</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1943ABC1" w14:textId="77777777" w:rsidR="00BD42DE" w:rsidRPr="005D6D89" w:rsidRDefault="00BD42DE" w:rsidP="006C3DAF">
            <w:pPr>
              <w:pStyle w:val="TableText0"/>
              <w:rPr>
                <w:rFonts w:cs="Calibri"/>
                <w:szCs w:val="18"/>
              </w:rPr>
            </w:pPr>
            <w:r w:rsidRPr="005D6D89">
              <w:rPr>
                <w:rFonts w:cs="Calibri"/>
                <w:szCs w:val="18"/>
              </w:rPr>
              <w:t>Ext</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420BCF1" w14:textId="77777777" w:rsidR="00BD42DE" w:rsidRPr="005D6D89" w:rsidRDefault="00BD42DE" w:rsidP="006C3DAF">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06FD3B60" w14:textId="77777777" w:rsidR="00BD42DE" w:rsidRPr="005D6D89" w:rsidRDefault="00BD42DE" w:rsidP="006C3DAF">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BDB92D7" w14:textId="77777777" w:rsidR="00BD42DE" w:rsidRPr="005D6D89" w:rsidRDefault="00BD42DE" w:rsidP="006C3DAF">
            <w:pPr>
              <w:pStyle w:val="TableText0"/>
              <w:rPr>
                <w:rFonts w:cs="Calibri"/>
                <w:b/>
                <w:szCs w:val="18"/>
              </w:rPr>
            </w:pPr>
            <w:r w:rsidRPr="005D6D89">
              <w:rPr>
                <w:rFonts w:cs="Calibri"/>
                <w:b/>
                <w:szCs w:val="18"/>
              </w:rPr>
              <w:t>2100</w:t>
            </w:r>
          </w:p>
        </w:tc>
        <w:tc>
          <w:tcPr>
            <w:tcW w:w="174" w:type="pct"/>
            <w:tcBorders>
              <w:top w:val="single" w:sz="4" w:space="0" w:color="2C9986"/>
              <w:left w:val="single" w:sz="4" w:space="0" w:color="2C9986"/>
              <w:bottom w:val="single" w:sz="4" w:space="0" w:color="2C9986"/>
            </w:tcBorders>
            <w:shd w:val="clear" w:color="auto" w:fill="auto"/>
          </w:tcPr>
          <w:p w14:paraId="719D0816" w14:textId="77777777" w:rsidR="00BD42DE" w:rsidRPr="005D6D89" w:rsidRDefault="00BD42DE" w:rsidP="006C3DAF">
            <w:pPr>
              <w:pStyle w:val="TableText0"/>
              <w:rPr>
                <w:rFonts w:cs="Calibri"/>
                <w:szCs w:val="18"/>
              </w:rPr>
            </w:pPr>
            <w:r w:rsidRPr="005D6D89">
              <w:rPr>
                <w:rFonts w:cs="Calibri"/>
                <w:szCs w:val="18"/>
              </w:rPr>
              <w:t>Ext</w:t>
            </w:r>
          </w:p>
        </w:tc>
      </w:tr>
      <w:tr w:rsidR="00C81B28" w:rsidRPr="005D6D89" w14:paraId="40A11982" w14:textId="77777777" w:rsidTr="008F1533">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747B8AEE" w14:textId="77777777" w:rsidR="00BD42DE" w:rsidRPr="005D6D89" w:rsidRDefault="00BD42DE" w:rsidP="006C3DAF">
            <w:pPr>
              <w:pStyle w:val="TableText0"/>
              <w:rPr>
                <w:rFonts w:cs="Calibri"/>
                <w:szCs w:val="18"/>
              </w:rPr>
            </w:pPr>
            <w:r w:rsidRPr="005D6D89">
              <w:rPr>
                <w:rFonts w:cs="Calibri"/>
                <w:szCs w:val="18"/>
              </w:rPr>
              <w:t>N8 Risks to oceanic ecosyst</w:t>
            </w:r>
            <w:r w:rsidR="008C3AC9">
              <w:rPr>
                <w:rFonts w:cs="Calibri"/>
                <w:szCs w:val="18"/>
              </w:rPr>
              <w:t>em productivity and functioning, due to changes in sea-</w:t>
            </w:r>
            <w:r w:rsidRPr="005D6D89">
              <w:rPr>
                <w:rFonts w:cs="Calibri"/>
                <w:szCs w:val="18"/>
              </w:rPr>
              <w:t>surface temperature, ocean mixing, nutrient availability, chemical composition and vertical particle flux</w:t>
            </w:r>
            <w:r w:rsidR="008C3AC9">
              <w:rPr>
                <w:rFonts w:cs="Calibri"/>
                <w:szCs w:val="18"/>
              </w:rPr>
              <w:t>.</w:t>
            </w:r>
          </w:p>
        </w:tc>
        <w:tc>
          <w:tcPr>
            <w:tcW w:w="243" w:type="pct"/>
            <w:gridSpan w:val="2"/>
            <w:tcBorders>
              <w:top w:val="single" w:sz="4" w:space="0" w:color="2C9986"/>
              <w:left w:val="single" w:sz="4" w:space="0" w:color="2C9986"/>
              <w:bottom w:val="single" w:sz="4" w:space="0" w:color="2C9986"/>
              <w:right w:val="single" w:sz="4" w:space="0" w:color="2C9986"/>
            </w:tcBorders>
          </w:tcPr>
          <w:p w14:paraId="428DB177" w14:textId="77777777" w:rsidR="00BD42DE" w:rsidRPr="005D6D89" w:rsidRDefault="00BD42DE" w:rsidP="006C3DAF">
            <w:pPr>
              <w:pStyle w:val="TableText0"/>
              <w:rPr>
                <w:rFonts w:cs="Calibri"/>
                <w:b/>
                <w:szCs w:val="18"/>
              </w:rPr>
            </w:pPr>
            <w:r w:rsidRPr="005D6D89">
              <w:rPr>
                <w:rFonts w:cs="Calibri"/>
                <w:b/>
                <w:szCs w:val="18"/>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50DDF660" w14:textId="77777777" w:rsidR="00BD42DE" w:rsidRPr="005D6D89" w:rsidRDefault="00BD42DE" w:rsidP="006C3DAF">
            <w:pPr>
              <w:pStyle w:val="TableText0"/>
              <w:rPr>
                <w:rFonts w:cs="Calibri"/>
                <w:szCs w:val="18"/>
              </w:rPr>
            </w:pPr>
            <w:r w:rsidRPr="005D6D89">
              <w:rPr>
                <w:rFonts w:cs="Calibri"/>
                <w:szCs w:val="18"/>
              </w:rPr>
              <w:t>55</w:t>
            </w:r>
          </w:p>
        </w:tc>
        <w:tc>
          <w:tcPr>
            <w:tcW w:w="548"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E419A0A" w14:textId="77777777" w:rsidR="00BD42DE" w:rsidRPr="005D6D89" w:rsidRDefault="00BD42DE" w:rsidP="005276C7">
            <w:pPr>
              <w:pStyle w:val="TableText"/>
              <w:rPr>
                <w:rFonts w:cs="Calibri"/>
                <w:szCs w:val="18"/>
              </w:rPr>
            </w:pPr>
            <w:r w:rsidRPr="005D6D89">
              <w:rPr>
                <w:rFonts w:cs="Calibri"/>
                <w:szCs w:val="18"/>
              </w:rPr>
              <w:t>H8 Risks to Māori and European cultural heritage sites</w:t>
            </w:r>
            <w:r w:rsidR="008C3AC9">
              <w:rPr>
                <w:rFonts w:cs="Calibri"/>
                <w:szCs w:val="18"/>
              </w:rPr>
              <w:t>,</w:t>
            </w:r>
            <w:r w:rsidRPr="005D6D89">
              <w:rPr>
                <w:rFonts w:cs="Calibri"/>
                <w:szCs w:val="18"/>
              </w:rPr>
              <w:t xml:space="preserve"> due to ongoing sea-level rise, extreme weather events and increasing fire weather.</w:t>
            </w:r>
          </w:p>
        </w:tc>
        <w:tc>
          <w:tcPr>
            <w:tcW w:w="257" w:type="pct"/>
            <w:gridSpan w:val="2"/>
            <w:tcBorders>
              <w:top w:val="single" w:sz="4" w:space="0" w:color="2C9986"/>
              <w:left w:val="single" w:sz="4" w:space="0" w:color="2C9986"/>
              <w:bottom w:val="single" w:sz="4" w:space="0" w:color="2C9986"/>
              <w:right w:val="single" w:sz="4" w:space="0" w:color="2C9986"/>
            </w:tcBorders>
          </w:tcPr>
          <w:p w14:paraId="65BF5150" w14:textId="77777777" w:rsidR="00BD42DE" w:rsidRPr="005D6D89" w:rsidRDefault="00BD42DE" w:rsidP="006C3DAF">
            <w:pPr>
              <w:spacing w:before="60" w:after="60"/>
              <w:jc w:val="left"/>
              <w:rPr>
                <w:rFonts w:cs="Calibri"/>
                <w:b/>
                <w:sz w:val="18"/>
                <w:szCs w:val="18"/>
              </w:rPr>
            </w:pPr>
            <w:r w:rsidRPr="005D6D89">
              <w:rPr>
                <w:rFonts w:cs="Calibri"/>
                <w:b/>
                <w:sz w:val="18"/>
                <w:szCs w:val="18"/>
              </w:rPr>
              <w:t>Urgency</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779F689D" w14:textId="77777777" w:rsidR="00BD42DE" w:rsidRPr="005D6D89" w:rsidRDefault="00BD42DE" w:rsidP="006C3DAF">
            <w:pPr>
              <w:pStyle w:val="TableText0"/>
              <w:rPr>
                <w:rFonts w:cs="Calibri"/>
                <w:szCs w:val="18"/>
              </w:rPr>
            </w:pPr>
            <w:r w:rsidRPr="005D6D89">
              <w:rPr>
                <w:rFonts w:cs="Calibri"/>
                <w:szCs w:val="18"/>
              </w:rPr>
              <w:t>75</w:t>
            </w:r>
          </w:p>
        </w:tc>
        <w:tc>
          <w:tcPr>
            <w:tcW w:w="1035" w:type="pct"/>
            <w:gridSpan w:val="4"/>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97D4739" w14:textId="77777777" w:rsidR="00BD42DE" w:rsidRPr="005D6D89" w:rsidRDefault="00BD42DE" w:rsidP="005276C7">
            <w:pPr>
              <w:pStyle w:val="TableText"/>
              <w:rPr>
                <w:rFonts w:cs="Calibri"/>
                <w:szCs w:val="18"/>
                <w:highlight w:val="cyan"/>
              </w:rPr>
            </w:pPr>
          </w:p>
        </w:tc>
        <w:tc>
          <w:tcPr>
            <w:tcW w:w="589" w:type="pct"/>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62216AC" w14:textId="77777777" w:rsidR="00BD42DE" w:rsidRPr="005D6D89" w:rsidRDefault="00BD42DE" w:rsidP="006C3DAF">
            <w:pPr>
              <w:pStyle w:val="TableText0"/>
              <w:rPr>
                <w:rFonts w:cs="Calibri"/>
                <w:szCs w:val="18"/>
              </w:rPr>
            </w:pPr>
            <w:r w:rsidRPr="005D6D89">
              <w:rPr>
                <w:rFonts w:cs="Calibri"/>
                <w:szCs w:val="18"/>
              </w:rPr>
              <w:t>B8 Risks to electricity infrastructure</w:t>
            </w:r>
            <w:r w:rsidR="008C3AC9">
              <w:rPr>
                <w:rFonts w:cs="Calibri"/>
                <w:szCs w:val="18"/>
              </w:rPr>
              <w:t>,</w:t>
            </w:r>
            <w:r w:rsidRPr="005D6D89">
              <w:rPr>
                <w:rFonts w:cs="Calibri"/>
                <w:szCs w:val="18"/>
              </w:rPr>
              <w:t xml:space="preserve"> due to changes in temperature, rainfall, snow, extreme weather events, wind and increased fire weather.</w:t>
            </w:r>
          </w:p>
        </w:tc>
        <w:tc>
          <w:tcPr>
            <w:tcW w:w="277" w:type="pct"/>
            <w:gridSpan w:val="2"/>
            <w:tcBorders>
              <w:top w:val="single" w:sz="4" w:space="0" w:color="2C9986"/>
              <w:left w:val="single" w:sz="4" w:space="0" w:color="2C9986"/>
              <w:bottom w:val="single" w:sz="4" w:space="0" w:color="2C9986"/>
              <w:right w:val="single" w:sz="4" w:space="0" w:color="2C9986"/>
            </w:tcBorders>
          </w:tcPr>
          <w:p w14:paraId="34CC8A78" w14:textId="77777777" w:rsidR="00BD42DE" w:rsidRPr="005D6D89" w:rsidRDefault="00BD42DE" w:rsidP="006C3DAF">
            <w:pPr>
              <w:pStyle w:val="TableText0"/>
              <w:rPr>
                <w:rFonts w:cs="Calibri"/>
                <w:b/>
                <w:szCs w:val="18"/>
              </w:rPr>
            </w:pPr>
            <w:r w:rsidRPr="005D6D89">
              <w:rPr>
                <w:rFonts w:cs="Calibri"/>
                <w:b/>
                <w:szCs w:val="18"/>
              </w:rPr>
              <w:t>Urgency</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25E8EA19" w14:textId="77777777" w:rsidR="00BD42DE" w:rsidRPr="005D6D89" w:rsidRDefault="00BD42DE" w:rsidP="006C3DAF">
            <w:pPr>
              <w:pStyle w:val="TableText0"/>
              <w:rPr>
                <w:rFonts w:cs="Calibri"/>
                <w:szCs w:val="18"/>
              </w:rPr>
            </w:pPr>
            <w:r w:rsidRPr="005D6D89">
              <w:rPr>
                <w:rFonts w:cs="Calibri"/>
                <w:szCs w:val="18"/>
              </w:rPr>
              <w:t>55</w:t>
            </w:r>
          </w:p>
        </w:tc>
        <w:tc>
          <w:tcPr>
            <w:tcW w:w="568" w:type="pct"/>
            <w:gridSpan w:val="2"/>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3698603" w14:textId="77777777" w:rsidR="00BD42DE" w:rsidRPr="005D6D89" w:rsidRDefault="00BD42DE" w:rsidP="006C3DAF">
            <w:pPr>
              <w:spacing w:before="60" w:after="60" w:line="240" w:lineRule="auto"/>
              <w:jc w:val="left"/>
              <w:rPr>
                <w:rFonts w:cs="Calibri"/>
                <w:sz w:val="18"/>
                <w:szCs w:val="18"/>
              </w:rPr>
            </w:pPr>
            <w:r w:rsidRPr="005D6D89">
              <w:rPr>
                <w:rFonts w:cs="Calibri"/>
                <w:bCs/>
                <w:color w:val="000000"/>
                <w:sz w:val="18"/>
                <w:szCs w:val="18"/>
              </w:rPr>
              <w:t>G8 Risk to the ability of democratic institutions to follow due democratic decision-making processes under pressure from an increasing frequency and scale of compounding and cascading climate change impacts.</w:t>
            </w:r>
          </w:p>
        </w:tc>
        <w:tc>
          <w:tcPr>
            <w:tcW w:w="268" w:type="pct"/>
            <w:gridSpan w:val="2"/>
            <w:tcBorders>
              <w:top w:val="single" w:sz="4" w:space="0" w:color="2C9986"/>
              <w:left w:val="single" w:sz="4" w:space="0" w:color="2C9986"/>
              <w:bottom w:val="single" w:sz="4" w:space="0" w:color="2C9986"/>
              <w:right w:val="single" w:sz="4" w:space="0" w:color="2C9986"/>
            </w:tcBorders>
          </w:tcPr>
          <w:p w14:paraId="3247257D" w14:textId="77777777" w:rsidR="00BD42DE" w:rsidRPr="005D6D89" w:rsidRDefault="00BD42DE" w:rsidP="006C3DAF">
            <w:pPr>
              <w:pStyle w:val="TableText0"/>
              <w:rPr>
                <w:rFonts w:cs="Calibri"/>
                <w:b/>
                <w:szCs w:val="18"/>
              </w:rPr>
            </w:pPr>
            <w:r w:rsidRPr="005D6D89">
              <w:rPr>
                <w:rFonts w:cs="Calibri"/>
                <w:b/>
                <w:szCs w:val="18"/>
              </w:rPr>
              <w:t>Urgency</w:t>
            </w:r>
          </w:p>
        </w:tc>
        <w:tc>
          <w:tcPr>
            <w:tcW w:w="174" w:type="pct"/>
            <w:tcBorders>
              <w:top w:val="single" w:sz="4" w:space="0" w:color="2C9986"/>
              <w:left w:val="single" w:sz="4" w:space="0" w:color="2C9986"/>
              <w:bottom w:val="single" w:sz="4" w:space="0" w:color="2C9986"/>
            </w:tcBorders>
            <w:shd w:val="clear" w:color="auto" w:fill="auto"/>
          </w:tcPr>
          <w:p w14:paraId="6E7604C0" w14:textId="77777777" w:rsidR="00BD42DE" w:rsidRPr="005D6D89" w:rsidRDefault="00BD42DE" w:rsidP="006C3DAF">
            <w:pPr>
              <w:pStyle w:val="TableText0"/>
              <w:rPr>
                <w:rFonts w:cs="Calibri"/>
                <w:szCs w:val="18"/>
              </w:rPr>
            </w:pPr>
            <w:r w:rsidRPr="005D6D89">
              <w:rPr>
                <w:rFonts w:cs="Calibri"/>
                <w:szCs w:val="18"/>
              </w:rPr>
              <w:t>53</w:t>
            </w:r>
          </w:p>
        </w:tc>
      </w:tr>
      <w:tr w:rsidR="00857C1C" w:rsidRPr="005D6D89" w14:paraId="62BE7C7A"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7F5C6F75" w14:textId="77777777" w:rsidR="00BD42DE" w:rsidRPr="005D6D89" w:rsidRDefault="00BD42DE" w:rsidP="006C3DAF">
            <w:pPr>
              <w:pStyle w:val="TableText0"/>
              <w:rPr>
                <w:rFonts w:cs="Calibri"/>
                <w:szCs w:val="18"/>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182CD68A" w14:textId="77777777" w:rsidR="00BD42DE" w:rsidRPr="005D6D89" w:rsidRDefault="00BD42DE" w:rsidP="005276C7">
            <w:pPr>
              <w:pStyle w:val="TableText0"/>
              <w:keepNext/>
              <w:keepLines/>
              <w:spacing w:after="120"/>
              <w:jc w:val="center"/>
              <w:rPr>
                <w:rFonts w:cs="Calibri"/>
                <w:b/>
                <w:szCs w:val="18"/>
              </w:rPr>
            </w:pPr>
            <w:r w:rsidRPr="005D6D89">
              <w:rPr>
                <w:rFonts w:cs="Calibri"/>
                <w:b/>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B2F2981" w14:textId="77777777" w:rsidR="00BD42DE" w:rsidRPr="005D6D89" w:rsidRDefault="00BD42DE" w:rsidP="006C3DAF">
            <w:pPr>
              <w:pStyle w:val="TableText0"/>
              <w:rPr>
                <w:rFonts w:cs="Calibri"/>
                <w:b/>
                <w:szCs w:val="18"/>
              </w:rPr>
            </w:pPr>
            <w:r w:rsidRPr="005D6D89">
              <w:rPr>
                <w:rFonts w:cs="Calibri"/>
                <w:b/>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2B57E446" w14:textId="77777777" w:rsidR="00BD42DE" w:rsidRPr="005D6D89" w:rsidRDefault="00BD42DE" w:rsidP="006C3DAF">
            <w:pPr>
              <w:pStyle w:val="TableText0"/>
              <w:rPr>
                <w:rFonts w:cs="Calibri"/>
                <w:szCs w:val="18"/>
              </w:rPr>
            </w:pPr>
            <w:r w:rsidRPr="005D6D89">
              <w:rPr>
                <w:rFonts w:cs="Calibri"/>
                <w:szCs w:val="18"/>
              </w:rPr>
              <w:t>Min</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5DD23EC" w14:textId="77777777" w:rsidR="00BD42DE" w:rsidRPr="005D6D89" w:rsidRDefault="00BD42DE" w:rsidP="006C3DAF">
            <w:pPr>
              <w:spacing w:before="60" w:after="60"/>
              <w:jc w:val="left"/>
              <w:rPr>
                <w:rFonts w:cs="Calibri"/>
                <w:sz w:val="18"/>
                <w:szCs w:val="18"/>
              </w:rPr>
            </w:pPr>
          </w:p>
        </w:tc>
        <w:tc>
          <w:tcPr>
            <w:tcW w:w="82"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6FB81469" w14:textId="77777777" w:rsidR="00BD42DE" w:rsidRPr="005D6D89" w:rsidRDefault="00BD42DE" w:rsidP="005276C7">
            <w:pPr>
              <w:pStyle w:val="TableText0"/>
              <w:spacing w:after="120"/>
              <w:ind w:left="113" w:right="113"/>
              <w:jc w:val="center"/>
              <w:rPr>
                <w:rFonts w:cs="Calibri"/>
                <w:b/>
                <w:szCs w:val="18"/>
              </w:rPr>
            </w:pPr>
            <w:r w:rsidRPr="005D6D89">
              <w:rPr>
                <w:rFonts w:cs="Calibri"/>
                <w:b/>
                <w:szCs w:val="18"/>
              </w:rPr>
              <w:t>Consequence</w:t>
            </w: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3F3EDC5" w14:textId="77777777" w:rsidR="00BD42DE" w:rsidRPr="005D6D89" w:rsidRDefault="00BD42DE" w:rsidP="006C3DAF">
            <w:pPr>
              <w:pStyle w:val="TableText0"/>
              <w:rPr>
                <w:rFonts w:cs="Calibri"/>
                <w:b/>
                <w:szCs w:val="18"/>
              </w:rPr>
            </w:pPr>
            <w:r w:rsidRPr="005D6D89">
              <w:rPr>
                <w:rFonts w:cs="Calibri"/>
                <w:b/>
                <w:szCs w:val="18"/>
              </w:rPr>
              <w:t>Now</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3FF54827" w14:textId="77777777" w:rsidR="00BD42DE" w:rsidRPr="005D6D89" w:rsidRDefault="00BD42DE" w:rsidP="006C3DAF">
            <w:pPr>
              <w:pStyle w:val="TableText0"/>
              <w:rPr>
                <w:rFonts w:cs="Calibri"/>
                <w:szCs w:val="18"/>
              </w:rPr>
            </w:pPr>
            <w:r w:rsidRPr="005D6D89">
              <w:rPr>
                <w:rFonts w:cs="Calibri"/>
                <w:szCs w:val="18"/>
              </w:rPr>
              <w:t>Ma</w:t>
            </w: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FDDD2BD" w14:textId="77777777" w:rsidR="00BD42DE" w:rsidRPr="005D6D89" w:rsidRDefault="00BD42DE" w:rsidP="006C3DAF">
            <w:pPr>
              <w:pStyle w:val="TableText0"/>
              <w:rPr>
                <w:rFonts w:cs="Calibri"/>
                <w:szCs w:val="18"/>
                <w:highlight w:val="cyan"/>
              </w:rPr>
            </w:pP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BEA7CF2" w14:textId="77777777" w:rsidR="00BD42DE" w:rsidRPr="005D6D89" w:rsidRDefault="00BD42DE" w:rsidP="006C3DAF">
            <w:pPr>
              <w:pStyle w:val="TableText0"/>
              <w:rPr>
                <w:rFonts w:cs="Calibri"/>
                <w:szCs w:val="18"/>
              </w:rPr>
            </w:pPr>
          </w:p>
        </w:tc>
        <w:tc>
          <w:tcPr>
            <w:tcW w:w="103"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2DC8130D" w14:textId="77777777" w:rsidR="00BD42DE" w:rsidRPr="005D6D89" w:rsidRDefault="00BD42DE" w:rsidP="005276C7">
            <w:pPr>
              <w:pStyle w:val="TableText0"/>
              <w:spacing w:after="120"/>
              <w:ind w:left="113" w:right="113"/>
              <w:jc w:val="center"/>
              <w:rPr>
                <w:rFonts w:cs="Calibri"/>
                <w:b/>
                <w:szCs w:val="18"/>
              </w:rPr>
            </w:pPr>
            <w:r w:rsidRPr="005D6D89">
              <w:rPr>
                <w:rFonts w:cs="Calibri"/>
                <w:b/>
                <w:szCs w:val="18"/>
              </w:rPr>
              <w:t>Consequence</w:t>
            </w: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F8FA9F8" w14:textId="77777777" w:rsidR="00BD42DE" w:rsidRPr="005D6D89" w:rsidRDefault="00BD42DE" w:rsidP="006C3DAF">
            <w:pPr>
              <w:pStyle w:val="TableText0"/>
              <w:rPr>
                <w:rFonts w:cs="Calibri"/>
                <w:b/>
                <w:szCs w:val="18"/>
              </w:rPr>
            </w:pPr>
            <w:r w:rsidRPr="005D6D89">
              <w:rPr>
                <w:rFonts w:cs="Calibri"/>
                <w:b/>
                <w:szCs w:val="18"/>
              </w:rPr>
              <w:t>Now</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75787D89" w14:textId="77777777" w:rsidR="00BD42DE" w:rsidRPr="005D6D89" w:rsidRDefault="00BD42DE" w:rsidP="006C3DAF">
            <w:pPr>
              <w:pStyle w:val="TableText0"/>
              <w:rPr>
                <w:rFonts w:cs="Calibri"/>
                <w:szCs w:val="18"/>
              </w:rPr>
            </w:pPr>
            <w:r w:rsidRPr="005D6D89">
              <w:rPr>
                <w:rFonts w:cs="Calibri"/>
                <w:szCs w:val="18"/>
              </w:rPr>
              <w:t>Mod</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A74E715" w14:textId="77777777" w:rsidR="00BD42DE" w:rsidRPr="005D6D89" w:rsidRDefault="00BD42DE" w:rsidP="006C3DAF">
            <w:pPr>
              <w:pStyle w:val="TableText0"/>
              <w:rPr>
                <w:rFonts w:cs="Calibri"/>
                <w:szCs w:val="18"/>
              </w:rPr>
            </w:pPr>
          </w:p>
        </w:tc>
        <w:tc>
          <w:tcPr>
            <w:tcW w:w="100" w:type="pct"/>
            <w:vMerge w:val="restart"/>
            <w:tcBorders>
              <w:top w:val="single" w:sz="4" w:space="0" w:color="2C9986"/>
              <w:left w:val="single" w:sz="4" w:space="0" w:color="2C9986"/>
              <w:bottom w:val="single" w:sz="4" w:space="0" w:color="2C9986"/>
              <w:right w:val="single" w:sz="4" w:space="0" w:color="2C9986"/>
            </w:tcBorders>
            <w:textDirection w:val="btLr"/>
          </w:tcPr>
          <w:p w14:paraId="61D1E346" w14:textId="77777777" w:rsidR="00BD42DE" w:rsidRPr="005D6D89" w:rsidRDefault="00BD42DE" w:rsidP="005276C7">
            <w:pPr>
              <w:pStyle w:val="TableText0"/>
              <w:spacing w:after="120"/>
              <w:ind w:left="113" w:right="113"/>
              <w:jc w:val="center"/>
              <w:rPr>
                <w:rFonts w:cs="Calibri"/>
                <w:b/>
                <w:szCs w:val="18"/>
              </w:rPr>
            </w:pPr>
            <w:r w:rsidRPr="005D6D89">
              <w:rPr>
                <w:rFonts w:cs="Calibri"/>
                <w:b/>
                <w:szCs w:val="18"/>
              </w:rPr>
              <w:t>Consequence</w:t>
            </w: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C08DBAE" w14:textId="77777777" w:rsidR="00BD42DE" w:rsidRPr="005D6D89" w:rsidRDefault="00BD42DE" w:rsidP="006C3DAF">
            <w:pPr>
              <w:pStyle w:val="TableText0"/>
              <w:rPr>
                <w:rFonts w:cs="Calibri"/>
                <w:b/>
                <w:szCs w:val="18"/>
              </w:rPr>
            </w:pPr>
            <w:r w:rsidRPr="005D6D89">
              <w:rPr>
                <w:rFonts w:cs="Calibri"/>
                <w:b/>
                <w:szCs w:val="18"/>
              </w:rPr>
              <w:t>Now</w:t>
            </w:r>
          </w:p>
        </w:tc>
        <w:tc>
          <w:tcPr>
            <w:tcW w:w="174" w:type="pct"/>
            <w:tcBorders>
              <w:top w:val="single" w:sz="4" w:space="0" w:color="2C9986"/>
              <w:left w:val="single" w:sz="4" w:space="0" w:color="2C9986"/>
              <w:bottom w:val="single" w:sz="4" w:space="0" w:color="2C9986"/>
            </w:tcBorders>
            <w:shd w:val="clear" w:color="auto" w:fill="auto"/>
          </w:tcPr>
          <w:p w14:paraId="0AE08798" w14:textId="77777777" w:rsidR="00BD42DE" w:rsidRPr="005D6D89" w:rsidRDefault="00BD42DE" w:rsidP="006C3DAF">
            <w:pPr>
              <w:pStyle w:val="TableText0"/>
              <w:rPr>
                <w:rFonts w:cs="Calibri"/>
                <w:szCs w:val="18"/>
              </w:rPr>
            </w:pPr>
            <w:r w:rsidRPr="005D6D89">
              <w:rPr>
                <w:rFonts w:cs="Calibri"/>
                <w:szCs w:val="18"/>
              </w:rPr>
              <w:t>Mod</w:t>
            </w:r>
          </w:p>
        </w:tc>
      </w:tr>
      <w:tr w:rsidR="00857C1C" w:rsidRPr="005D6D89" w14:paraId="479C37AC"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40BA3F3E" w14:textId="77777777" w:rsidR="00BD42DE" w:rsidRPr="005D6D89" w:rsidRDefault="00BD42DE" w:rsidP="006C3DAF">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44190F15" w14:textId="77777777" w:rsidR="00BD42DE" w:rsidRPr="005D6D89" w:rsidRDefault="00BD42DE" w:rsidP="006C3DAF">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0645F24"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75A298A1" w14:textId="77777777" w:rsidR="00BD42DE" w:rsidRPr="005D6D89" w:rsidRDefault="00BD42DE" w:rsidP="006C3DAF">
            <w:pPr>
              <w:pStyle w:val="TableText0"/>
              <w:rPr>
                <w:rFonts w:cs="Calibri"/>
                <w:szCs w:val="18"/>
              </w:rPr>
            </w:pPr>
            <w:r w:rsidRPr="005D6D89">
              <w:rPr>
                <w:rFonts w:cs="Calibri"/>
                <w:szCs w:val="18"/>
              </w:rPr>
              <w:t>Mod</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9C64D4C" w14:textId="77777777" w:rsidR="00BD42DE" w:rsidRPr="005D6D89" w:rsidRDefault="00BD42DE" w:rsidP="006C3DAF">
            <w:pPr>
              <w:spacing w:before="60" w:after="60"/>
              <w:jc w:val="left"/>
              <w:rPr>
                <w:rFonts w:cs="Calibri"/>
                <w:sz w:val="18"/>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479063B4" w14:textId="77777777" w:rsidR="00BD42DE" w:rsidRPr="005D6D89" w:rsidRDefault="00BD42DE" w:rsidP="006C3DAF">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94DDD6A"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0B33EA00" w14:textId="77777777" w:rsidR="00BD42DE" w:rsidRPr="005D6D89" w:rsidRDefault="00CD1CDB" w:rsidP="006C3DAF">
            <w:pPr>
              <w:pStyle w:val="TableText0"/>
              <w:rPr>
                <w:rFonts w:cs="Calibri"/>
                <w:szCs w:val="18"/>
              </w:rPr>
            </w:pPr>
            <w:r w:rsidRPr="005D6D89">
              <w:rPr>
                <w:rFonts w:cs="Calibri"/>
                <w:szCs w:val="18"/>
              </w:rPr>
              <w:t>Major</w:t>
            </w: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1A4C835" w14:textId="77777777" w:rsidR="00BD42DE" w:rsidRPr="005D6D89" w:rsidRDefault="00BD42DE" w:rsidP="006C3DAF">
            <w:pPr>
              <w:pStyle w:val="TableText0"/>
              <w:rPr>
                <w:rFonts w:cs="Calibri"/>
                <w:szCs w:val="18"/>
                <w:highlight w:val="cyan"/>
              </w:rPr>
            </w:pP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9A17AAA" w14:textId="77777777" w:rsidR="00BD42DE" w:rsidRPr="005D6D89" w:rsidRDefault="00BD42DE" w:rsidP="006C3DAF">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12EB8455" w14:textId="77777777" w:rsidR="00BD42DE" w:rsidRPr="005D6D89" w:rsidRDefault="00BD42DE" w:rsidP="006C3DAF">
            <w:pPr>
              <w:pStyle w:val="TableText0"/>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04069AC"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7222DF8C" w14:textId="77777777" w:rsidR="00BD42DE" w:rsidRPr="005D6D89" w:rsidRDefault="00BD42DE" w:rsidP="006C3DAF">
            <w:pPr>
              <w:pStyle w:val="TableText0"/>
              <w:rPr>
                <w:rFonts w:cs="Calibri"/>
                <w:szCs w:val="18"/>
              </w:rPr>
            </w:pPr>
            <w:r w:rsidRPr="005D6D89">
              <w:rPr>
                <w:rFonts w:cs="Calibri"/>
                <w:szCs w:val="18"/>
              </w:rPr>
              <w:t>Mod</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EE6E5A3" w14:textId="77777777" w:rsidR="00BD42DE" w:rsidRPr="005D6D89" w:rsidRDefault="00BD42DE" w:rsidP="006C3DAF">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3B0467B8" w14:textId="77777777" w:rsidR="00BD42DE" w:rsidRPr="005D6D89" w:rsidRDefault="00BD42DE" w:rsidP="006C3DAF">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30BDEF4" w14:textId="77777777" w:rsidR="00BD42DE" w:rsidRPr="005D6D89" w:rsidRDefault="00BD42DE" w:rsidP="006C3DAF">
            <w:pPr>
              <w:pStyle w:val="TableText0"/>
              <w:rPr>
                <w:rFonts w:cs="Calibri"/>
                <w:b/>
                <w:szCs w:val="18"/>
              </w:rPr>
            </w:pPr>
            <w:r w:rsidRPr="005D6D89">
              <w:rPr>
                <w:rFonts w:cs="Calibri"/>
                <w:b/>
                <w:szCs w:val="18"/>
              </w:rPr>
              <w:t xml:space="preserve">2050 </w:t>
            </w:r>
          </w:p>
        </w:tc>
        <w:tc>
          <w:tcPr>
            <w:tcW w:w="174" w:type="pct"/>
            <w:tcBorders>
              <w:top w:val="single" w:sz="4" w:space="0" w:color="2C9986"/>
              <w:left w:val="single" w:sz="4" w:space="0" w:color="2C9986"/>
              <w:bottom w:val="single" w:sz="4" w:space="0" w:color="2C9986"/>
            </w:tcBorders>
            <w:shd w:val="clear" w:color="auto" w:fill="auto"/>
          </w:tcPr>
          <w:p w14:paraId="6974F9B3" w14:textId="77777777" w:rsidR="00BD42DE" w:rsidRPr="005D6D89" w:rsidRDefault="00CD1CDB" w:rsidP="006C3DAF">
            <w:pPr>
              <w:pStyle w:val="TableText0"/>
              <w:rPr>
                <w:rFonts w:cs="Calibri"/>
                <w:szCs w:val="18"/>
              </w:rPr>
            </w:pPr>
            <w:r w:rsidRPr="005D6D89">
              <w:rPr>
                <w:rFonts w:cs="Calibri"/>
                <w:szCs w:val="18"/>
              </w:rPr>
              <w:t>Major</w:t>
            </w:r>
          </w:p>
        </w:tc>
      </w:tr>
      <w:tr w:rsidR="00857C1C" w:rsidRPr="005D6D89" w14:paraId="68F9BA47"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4F108DB0" w14:textId="77777777" w:rsidR="00BD42DE" w:rsidRPr="005D6D89" w:rsidRDefault="00BD42DE" w:rsidP="006C3DAF">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4918685C" w14:textId="77777777" w:rsidR="00BD42DE" w:rsidRPr="005D6D89" w:rsidRDefault="00BD42DE" w:rsidP="006C3DAF">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8687FF1" w14:textId="77777777" w:rsidR="00BD42DE" w:rsidRPr="005D6D89" w:rsidRDefault="00BD42DE" w:rsidP="006C3DAF">
            <w:pPr>
              <w:pStyle w:val="TableText0"/>
              <w:rPr>
                <w:rFonts w:cs="Calibri"/>
                <w:b/>
                <w:szCs w:val="18"/>
              </w:rPr>
            </w:pPr>
            <w:r w:rsidRPr="005D6D89">
              <w:rPr>
                <w:rFonts w:cs="Calibri"/>
                <w:b/>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6C011751" w14:textId="77777777" w:rsidR="00BD42DE" w:rsidRPr="005D6D89" w:rsidRDefault="00CD1CDB" w:rsidP="006C3DAF">
            <w:pPr>
              <w:pStyle w:val="TableText0"/>
              <w:rPr>
                <w:rFonts w:cs="Calibri"/>
                <w:szCs w:val="18"/>
              </w:rPr>
            </w:pPr>
            <w:r w:rsidRPr="005D6D89">
              <w:rPr>
                <w:rFonts w:cs="Calibri"/>
                <w:szCs w:val="18"/>
              </w:rPr>
              <w:t>Major</w:t>
            </w:r>
          </w:p>
        </w:tc>
        <w:tc>
          <w:tcPr>
            <w:tcW w:w="548"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0E8654E" w14:textId="77777777" w:rsidR="00BD42DE" w:rsidRPr="005D6D89" w:rsidRDefault="00BD42DE" w:rsidP="006C3DAF">
            <w:pPr>
              <w:spacing w:before="60" w:after="60"/>
              <w:jc w:val="left"/>
              <w:rPr>
                <w:rFonts w:cs="Calibri"/>
                <w:sz w:val="18"/>
                <w:szCs w:val="18"/>
              </w:rPr>
            </w:pPr>
          </w:p>
        </w:tc>
        <w:tc>
          <w:tcPr>
            <w:tcW w:w="82" w:type="pct"/>
            <w:vMerge/>
            <w:tcBorders>
              <w:top w:val="single" w:sz="4" w:space="0" w:color="2C9986"/>
              <w:left w:val="single" w:sz="4" w:space="0" w:color="2C9986"/>
              <w:bottom w:val="single" w:sz="4" w:space="0" w:color="2C9986"/>
              <w:right w:val="single" w:sz="4" w:space="0" w:color="2C9986"/>
            </w:tcBorders>
          </w:tcPr>
          <w:p w14:paraId="6E8323F2" w14:textId="77777777" w:rsidR="00BD42DE" w:rsidRPr="005D6D89" w:rsidRDefault="00BD42DE" w:rsidP="006C3DAF">
            <w:pPr>
              <w:pStyle w:val="TableText0"/>
              <w:rPr>
                <w:rFonts w:cs="Calibri"/>
                <w:b/>
                <w:szCs w:val="18"/>
              </w:rPr>
            </w:pPr>
          </w:p>
        </w:tc>
        <w:tc>
          <w:tcPr>
            <w:tcW w:w="175"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806E71D" w14:textId="77777777" w:rsidR="00BD42DE" w:rsidRPr="005D6D89" w:rsidRDefault="00BD42DE" w:rsidP="006C3DAF">
            <w:pPr>
              <w:pStyle w:val="TableText0"/>
              <w:rPr>
                <w:rFonts w:cs="Calibri"/>
                <w:b/>
                <w:szCs w:val="18"/>
              </w:rPr>
            </w:pPr>
            <w:r w:rsidRPr="005D6D89">
              <w:rPr>
                <w:rFonts w:cs="Calibri"/>
                <w:b/>
                <w:szCs w:val="18"/>
              </w:rPr>
              <w:t>2100</w:t>
            </w:r>
          </w:p>
        </w:tc>
        <w:tc>
          <w:tcPr>
            <w:tcW w:w="169" w:type="pct"/>
            <w:tcBorders>
              <w:top w:val="single" w:sz="4" w:space="0" w:color="2C9986"/>
              <w:left w:val="single" w:sz="4" w:space="0" w:color="2C9986"/>
              <w:bottom w:val="single" w:sz="4" w:space="0" w:color="2C9986"/>
              <w:right w:val="single" w:sz="4" w:space="0" w:color="2C9986"/>
            </w:tcBorders>
            <w:shd w:val="clear" w:color="auto" w:fill="auto"/>
          </w:tcPr>
          <w:p w14:paraId="7BDD0DA3" w14:textId="77777777" w:rsidR="00BD42DE" w:rsidRPr="005D6D89" w:rsidRDefault="00CD1CDB" w:rsidP="006C3DAF">
            <w:pPr>
              <w:pStyle w:val="TableText0"/>
              <w:rPr>
                <w:rFonts w:cs="Calibri"/>
                <w:szCs w:val="18"/>
              </w:rPr>
            </w:pPr>
            <w:r w:rsidRPr="005D6D89">
              <w:rPr>
                <w:rFonts w:cs="Calibri"/>
                <w:szCs w:val="18"/>
              </w:rPr>
              <w:t>Major</w:t>
            </w: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A6118B4" w14:textId="77777777" w:rsidR="00BD42DE" w:rsidRPr="005D6D89" w:rsidRDefault="00BD42DE" w:rsidP="006C3DAF">
            <w:pPr>
              <w:pStyle w:val="TableText0"/>
              <w:rPr>
                <w:rFonts w:cs="Calibri"/>
                <w:szCs w:val="18"/>
                <w:highlight w:val="cyan"/>
              </w:rPr>
            </w:pPr>
          </w:p>
        </w:tc>
        <w:tc>
          <w:tcPr>
            <w:tcW w:w="589" w:type="pct"/>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9FDA036" w14:textId="77777777" w:rsidR="00BD42DE" w:rsidRPr="005D6D89" w:rsidRDefault="00BD42DE" w:rsidP="006C3DAF">
            <w:pPr>
              <w:pStyle w:val="TableText0"/>
              <w:rPr>
                <w:rFonts w:cs="Calibri"/>
                <w:szCs w:val="18"/>
              </w:rPr>
            </w:pPr>
          </w:p>
        </w:tc>
        <w:tc>
          <w:tcPr>
            <w:tcW w:w="103" w:type="pct"/>
            <w:vMerge/>
            <w:tcBorders>
              <w:top w:val="single" w:sz="4" w:space="0" w:color="2C9986"/>
              <w:left w:val="single" w:sz="4" w:space="0" w:color="2C9986"/>
              <w:bottom w:val="single" w:sz="4" w:space="0" w:color="2C9986"/>
              <w:right w:val="single" w:sz="4" w:space="0" w:color="2C9986"/>
            </w:tcBorders>
          </w:tcPr>
          <w:p w14:paraId="01F803E6" w14:textId="77777777" w:rsidR="00BD42DE" w:rsidRPr="005D6D89" w:rsidRDefault="00BD42DE" w:rsidP="006C3DAF">
            <w:pPr>
              <w:pStyle w:val="TableText0"/>
              <w:rPr>
                <w:rFonts w:cs="Calibri"/>
                <w:b/>
                <w:szCs w:val="18"/>
              </w:rPr>
            </w:pPr>
          </w:p>
        </w:tc>
        <w:tc>
          <w:tcPr>
            <w:tcW w:w="174"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2BA3E96" w14:textId="77777777" w:rsidR="00BD42DE" w:rsidRPr="005D6D89" w:rsidRDefault="00BD42DE" w:rsidP="006C3DAF">
            <w:pPr>
              <w:pStyle w:val="TableText0"/>
              <w:rPr>
                <w:rFonts w:cs="Calibri"/>
                <w:b/>
                <w:szCs w:val="18"/>
              </w:rPr>
            </w:pPr>
            <w:r w:rsidRPr="005D6D89">
              <w:rPr>
                <w:rFonts w:cs="Calibri"/>
                <w:b/>
                <w:szCs w:val="18"/>
              </w:rPr>
              <w:t>2100</w:t>
            </w:r>
          </w:p>
        </w:tc>
        <w:tc>
          <w:tcPr>
            <w:tcW w:w="157" w:type="pct"/>
            <w:tcBorders>
              <w:top w:val="single" w:sz="4" w:space="0" w:color="2C9986"/>
              <w:left w:val="single" w:sz="4" w:space="0" w:color="2C9986"/>
              <w:bottom w:val="single" w:sz="4" w:space="0" w:color="2C9986"/>
              <w:right w:val="single" w:sz="4" w:space="0" w:color="2C9986"/>
            </w:tcBorders>
            <w:shd w:val="clear" w:color="auto" w:fill="auto"/>
          </w:tcPr>
          <w:p w14:paraId="5DFFC487" w14:textId="77777777" w:rsidR="00BD42DE" w:rsidRPr="005D6D89" w:rsidRDefault="00CD1CDB" w:rsidP="006C3DAF">
            <w:pPr>
              <w:pStyle w:val="TableText0"/>
              <w:rPr>
                <w:rFonts w:cs="Calibri"/>
                <w:szCs w:val="18"/>
              </w:rPr>
            </w:pPr>
            <w:r w:rsidRPr="005D6D89">
              <w:rPr>
                <w:rFonts w:cs="Calibri"/>
                <w:szCs w:val="18"/>
              </w:rPr>
              <w:t>Major</w:t>
            </w:r>
          </w:p>
        </w:tc>
        <w:tc>
          <w:tcPr>
            <w:tcW w:w="568" w:type="pct"/>
            <w:gridSpan w:val="2"/>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8235D30" w14:textId="77777777" w:rsidR="00BD42DE" w:rsidRPr="005D6D89" w:rsidRDefault="00BD42DE" w:rsidP="006C3DAF">
            <w:pPr>
              <w:pStyle w:val="TableText0"/>
              <w:rPr>
                <w:rFonts w:cs="Calibri"/>
                <w:szCs w:val="18"/>
              </w:rPr>
            </w:pPr>
          </w:p>
        </w:tc>
        <w:tc>
          <w:tcPr>
            <w:tcW w:w="100" w:type="pct"/>
            <w:vMerge/>
            <w:tcBorders>
              <w:top w:val="single" w:sz="4" w:space="0" w:color="2C9986"/>
              <w:left w:val="single" w:sz="4" w:space="0" w:color="2C9986"/>
              <w:bottom w:val="single" w:sz="4" w:space="0" w:color="2C9986"/>
              <w:right w:val="single" w:sz="4" w:space="0" w:color="2C9986"/>
            </w:tcBorders>
          </w:tcPr>
          <w:p w14:paraId="3FBAD4BA" w14:textId="77777777" w:rsidR="00BD42DE" w:rsidRPr="005D6D89" w:rsidRDefault="00BD42DE" w:rsidP="006C3DAF">
            <w:pPr>
              <w:pStyle w:val="TableText0"/>
              <w:rPr>
                <w:rFonts w:cs="Calibri"/>
                <w:b/>
                <w:szCs w:val="18"/>
              </w:rPr>
            </w:pPr>
          </w:p>
        </w:tc>
        <w:tc>
          <w:tcPr>
            <w:tcW w:w="16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D7FB8AF" w14:textId="77777777" w:rsidR="00BD42DE" w:rsidRPr="005D6D89" w:rsidRDefault="00BD42DE" w:rsidP="006C3DAF">
            <w:pPr>
              <w:pStyle w:val="TableText0"/>
              <w:rPr>
                <w:rFonts w:cs="Calibri"/>
                <w:b/>
                <w:szCs w:val="18"/>
              </w:rPr>
            </w:pPr>
            <w:r w:rsidRPr="005D6D89">
              <w:rPr>
                <w:rFonts w:cs="Calibri"/>
                <w:b/>
                <w:szCs w:val="18"/>
              </w:rPr>
              <w:t>2100</w:t>
            </w:r>
          </w:p>
        </w:tc>
        <w:tc>
          <w:tcPr>
            <w:tcW w:w="174" w:type="pct"/>
            <w:tcBorders>
              <w:top w:val="single" w:sz="4" w:space="0" w:color="2C9986"/>
              <w:left w:val="single" w:sz="4" w:space="0" w:color="2C9986"/>
              <w:bottom w:val="single" w:sz="4" w:space="0" w:color="2C9986"/>
            </w:tcBorders>
            <w:shd w:val="clear" w:color="auto" w:fill="auto"/>
          </w:tcPr>
          <w:p w14:paraId="27DD1EF7" w14:textId="77777777" w:rsidR="00BD42DE" w:rsidRPr="005D6D89" w:rsidRDefault="00CD1CDB" w:rsidP="006C3DAF">
            <w:pPr>
              <w:pStyle w:val="TableText0"/>
              <w:rPr>
                <w:rFonts w:cs="Calibri"/>
                <w:szCs w:val="18"/>
              </w:rPr>
            </w:pPr>
            <w:r w:rsidRPr="005D6D89">
              <w:rPr>
                <w:rFonts w:cs="Calibri"/>
                <w:szCs w:val="18"/>
              </w:rPr>
              <w:t>Major</w:t>
            </w:r>
          </w:p>
        </w:tc>
      </w:tr>
      <w:tr w:rsidR="00BD42DE" w:rsidRPr="005D6D89" w14:paraId="0E1933BF" w14:textId="77777777" w:rsidTr="008F1533">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4F6C19BF" w14:textId="77777777" w:rsidR="00BD42DE" w:rsidRPr="005D6D89" w:rsidRDefault="00BD42DE" w:rsidP="006C3DAF">
            <w:pPr>
              <w:pStyle w:val="TableText0"/>
              <w:rPr>
                <w:rFonts w:cs="Calibri"/>
                <w:szCs w:val="18"/>
              </w:rPr>
            </w:pPr>
            <w:r w:rsidRPr="005D6D89">
              <w:rPr>
                <w:rFonts w:cs="Calibri"/>
                <w:szCs w:val="18"/>
              </w:rPr>
              <w:t>N9 Risks to sub-alpine ecosystems</w:t>
            </w:r>
            <w:r w:rsidR="008C3AC9">
              <w:rPr>
                <w:rFonts w:cs="Calibri"/>
                <w:szCs w:val="18"/>
              </w:rPr>
              <w:t>,</w:t>
            </w:r>
            <w:r w:rsidRPr="005D6D89">
              <w:rPr>
                <w:rFonts w:cs="Calibri"/>
                <w:szCs w:val="18"/>
              </w:rPr>
              <w:t xml:space="preserve"> due to changes in temperature and a reduction in snow cover.</w:t>
            </w:r>
          </w:p>
        </w:tc>
        <w:tc>
          <w:tcPr>
            <w:tcW w:w="243" w:type="pct"/>
            <w:gridSpan w:val="2"/>
            <w:tcBorders>
              <w:top w:val="single" w:sz="4" w:space="0" w:color="2C9986"/>
              <w:left w:val="single" w:sz="4" w:space="0" w:color="2C9986"/>
              <w:bottom w:val="single" w:sz="4" w:space="0" w:color="2C9986"/>
              <w:right w:val="single" w:sz="4" w:space="0" w:color="2C9986"/>
            </w:tcBorders>
          </w:tcPr>
          <w:p w14:paraId="01249A12" w14:textId="77777777" w:rsidR="00BD42DE" w:rsidRPr="005D6D89" w:rsidRDefault="00BD42DE" w:rsidP="006C3DAF">
            <w:pPr>
              <w:pStyle w:val="TableText0"/>
              <w:rPr>
                <w:rFonts w:cs="Calibri"/>
                <w:b/>
                <w:szCs w:val="18"/>
              </w:rPr>
            </w:pPr>
            <w:r w:rsidRPr="005D6D89">
              <w:rPr>
                <w:rFonts w:cs="Calibri"/>
                <w:b/>
                <w:szCs w:val="18"/>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7437444E" w14:textId="77777777" w:rsidR="00BD42DE" w:rsidRPr="005D6D89" w:rsidRDefault="00BD42DE" w:rsidP="006C3DAF">
            <w:pPr>
              <w:pStyle w:val="TableText0"/>
              <w:rPr>
                <w:rFonts w:cs="Calibri"/>
                <w:szCs w:val="18"/>
              </w:rPr>
            </w:pPr>
            <w:r w:rsidRPr="005D6D89">
              <w:rPr>
                <w:rFonts w:cs="Calibri"/>
                <w:szCs w:val="18"/>
              </w:rPr>
              <w:t>55</w:t>
            </w:r>
          </w:p>
        </w:tc>
        <w:tc>
          <w:tcPr>
            <w:tcW w:w="974" w:type="pct"/>
            <w:gridSpan w:val="4"/>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7446525" w14:textId="77777777" w:rsidR="00BD42DE" w:rsidRPr="005D6D89" w:rsidRDefault="00BD42DE" w:rsidP="006C3DAF">
            <w:pPr>
              <w:pStyle w:val="TableText0"/>
              <w:rPr>
                <w:rFonts w:cs="Calibri"/>
                <w:szCs w:val="18"/>
                <w:highlight w:val="cyan"/>
              </w:rPr>
            </w:pPr>
          </w:p>
        </w:tc>
        <w:tc>
          <w:tcPr>
            <w:tcW w:w="1035" w:type="pct"/>
            <w:gridSpan w:val="4"/>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5E8DE62" w14:textId="77777777" w:rsidR="00BD42DE" w:rsidRPr="005D6D89" w:rsidRDefault="00BD42DE" w:rsidP="006C3DAF">
            <w:pPr>
              <w:pStyle w:val="TableText0"/>
              <w:rPr>
                <w:rFonts w:cs="Calibri"/>
                <w:szCs w:val="18"/>
                <w:highlight w:val="cyan"/>
              </w:rPr>
            </w:pPr>
          </w:p>
        </w:tc>
        <w:tc>
          <w:tcPr>
            <w:tcW w:w="1024" w:type="pct"/>
            <w:gridSpan w:val="5"/>
            <w:vMerge w:val="restar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1A83A4E" w14:textId="77777777" w:rsidR="00BD42DE" w:rsidRPr="005D6D89" w:rsidRDefault="00BD42DE" w:rsidP="006C3DAF">
            <w:pPr>
              <w:pStyle w:val="TableText0"/>
              <w:rPr>
                <w:rFonts w:cs="Calibri"/>
                <w:szCs w:val="18"/>
                <w:highlight w:val="cyan"/>
              </w:rPr>
            </w:pPr>
          </w:p>
        </w:tc>
        <w:tc>
          <w:tcPr>
            <w:tcW w:w="1009" w:type="pct"/>
            <w:gridSpan w:val="4"/>
            <w:vMerge w:val="restart"/>
            <w:tcBorders>
              <w:top w:val="single" w:sz="4" w:space="0" w:color="2C9986"/>
              <w:left w:val="single" w:sz="4" w:space="0" w:color="2C9986"/>
              <w:bottom w:val="single" w:sz="4" w:space="0" w:color="2C9986"/>
            </w:tcBorders>
            <w:shd w:val="clear" w:color="auto" w:fill="auto"/>
            <w:tcMar>
              <w:top w:w="57" w:type="dxa"/>
            </w:tcMar>
          </w:tcPr>
          <w:p w14:paraId="1DD1A0F9" w14:textId="77777777" w:rsidR="00BD42DE" w:rsidRPr="005D6D89" w:rsidRDefault="00BD42DE" w:rsidP="006C3DAF">
            <w:pPr>
              <w:pStyle w:val="TableText0"/>
              <w:rPr>
                <w:rFonts w:cs="Calibri"/>
                <w:szCs w:val="18"/>
                <w:highlight w:val="cyan"/>
              </w:rPr>
            </w:pPr>
          </w:p>
        </w:tc>
      </w:tr>
      <w:tr w:rsidR="00BD42DE" w:rsidRPr="005D6D89" w14:paraId="416950B0"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77E2DE35" w14:textId="77777777" w:rsidR="00BD42DE" w:rsidRPr="005D6D89" w:rsidRDefault="00BD42DE" w:rsidP="00BD42DE">
            <w:pPr>
              <w:pStyle w:val="TableText0"/>
              <w:rPr>
                <w:rFonts w:cs="Calibri"/>
                <w:szCs w:val="18"/>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55737D75" w14:textId="77777777" w:rsidR="00BD42DE" w:rsidRPr="005D6D89" w:rsidRDefault="00BD42DE" w:rsidP="008F7DE0">
            <w:pPr>
              <w:pStyle w:val="TableText"/>
              <w:spacing w:before="0" w:after="120"/>
              <w:jc w:val="center"/>
              <w:rPr>
                <w:rFonts w:cs="Calibri"/>
                <w:b/>
                <w:bCs/>
                <w:szCs w:val="18"/>
              </w:rPr>
            </w:pPr>
            <w:r w:rsidRPr="005D6D89">
              <w:rPr>
                <w:rFonts w:cs="Calibri"/>
                <w:b/>
                <w:bCs/>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AA0C20D" w14:textId="77777777" w:rsidR="00BD42DE" w:rsidRPr="005D6D89" w:rsidRDefault="00BD42DE" w:rsidP="00BD42DE">
            <w:pPr>
              <w:pStyle w:val="TableText0"/>
              <w:rPr>
                <w:rFonts w:cs="Calibri"/>
                <w:b/>
                <w:szCs w:val="18"/>
              </w:rPr>
            </w:pPr>
            <w:r w:rsidRPr="005D6D89">
              <w:rPr>
                <w:rFonts w:cs="Calibri"/>
                <w:b/>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144150AE" w14:textId="77777777" w:rsidR="00BD42DE" w:rsidRPr="005D6D89" w:rsidRDefault="00BD42DE" w:rsidP="00BD42DE">
            <w:pPr>
              <w:pStyle w:val="TableText0"/>
              <w:rPr>
                <w:rFonts w:cs="Calibri"/>
                <w:szCs w:val="18"/>
              </w:rPr>
            </w:pPr>
            <w:r w:rsidRPr="005D6D89">
              <w:rPr>
                <w:rFonts w:cs="Calibri"/>
                <w:szCs w:val="18"/>
              </w:rPr>
              <w:t>Min</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8C0E287"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ABF1B2E"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08267C9"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05D46D14" w14:textId="77777777" w:rsidR="00BD42DE" w:rsidRPr="005D6D89" w:rsidRDefault="00BD42DE" w:rsidP="00BD42DE">
            <w:pPr>
              <w:pStyle w:val="TableText0"/>
              <w:rPr>
                <w:rFonts w:cs="Calibri"/>
                <w:szCs w:val="18"/>
                <w:highlight w:val="cyan"/>
              </w:rPr>
            </w:pPr>
          </w:p>
        </w:tc>
      </w:tr>
      <w:tr w:rsidR="00BD42DE" w:rsidRPr="005D6D89" w14:paraId="5B418930"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0049412A" w14:textId="77777777" w:rsidR="00BD42DE" w:rsidRPr="005D6D89" w:rsidRDefault="00BD42DE" w:rsidP="00BD42DE">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155597D7"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FAED3B3"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40FC2B89" w14:textId="77777777" w:rsidR="00BD42DE" w:rsidRPr="005D6D89" w:rsidRDefault="00BD42DE" w:rsidP="00BD42DE">
            <w:pPr>
              <w:pStyle w:val="TableText0"/>
              <w:rPr>
                <w:rFonts w:cs="Calibri"/>
                <w:szCs w:val="18"/>
              </w:rPr>
            </w:pPr>
            <w:r w:rsidRPr="005D6D89">
              <w:rPr>
                <w:rFonts w:cs="Calibri"/>
                <w:szCs w:val="18"/>
              </w:rPr>
              <w:t>Mod</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51F0AEF"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2F3288D"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56765C4"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5AB7E10D" w14:textId="77777777" w:rsidR="00BD42DE" w:rsidRPr="005D6D89" w:rsidRDefault="00BD42DE" w:rsidP="00BD42DE">
            <w:pPr>
              <w:pStyle w:val="TableText0"/>
              <w:rPr>
                <w:rFonts w:cs="Calibri"/>
                <w:szCs w:val="18"/>
                <w:highlight w:val="cyan"/>
              </w:rPr>
            </w:pPr>
          </w:p>
        </w:tc>
      </w:tr>
      <w:tr w:rsidR="00BD42DE" w:rsidRPr="005D6D89" w14:paraId="18B101C4" w14:textId="77777777" w:rsidTr="008F1533">
        <w:trPr>
          <w:trHeight w:val="714"/>
        </w:trPr>
        <w:tc>
          <w:tcPr>
            <w:tcW w:w="563" w:type="pct"/>
            <w:vMerge/>
            <w:tcBorders>
              <w:top w:val="single" w:sz="4" w:space="0" w:color="2C9986"/>
              <w:bottom w:val="single" w:sz="4" w:space="0" w:color="2C9986"/>
              <w:right w:val="single" w:sz="4" w:space="0" w:color="2C9986"/>
            </w:tcBorders>
            <w:shd w:val="clear" w:color="auto" w:fill="auto"/>
            <w:tcMar>
              <w:top w:w="57" w:type="dxa"/>
            </w:tcMar>
          </w:tcPr>
          <w:p w14:paraId="7C38CBA1" w14:textId="77777777" w:rsidR="00BD42DE" w:rsidRPr="005D6D89" w:rsidRDefault="00BD42DE" w:rsidP="00BD42DE">
            <w:pPr>
              <w:pStyle w:val="TableText0"/>
              <w:rPr>
                <w:rFonts w:cs="Calibri"/>
                <w:szCs w:val="18"/>
              </w:rPr>
            </w:pPr>
          </w:p>
        </w:tc>
        <w:tc>
          <w:tcPr>
            <w:tcW w:w="85" w:type="pct"/>
            <w:vMerge/>
            <w:tcBorders>
              <w:top w:val="single" w:sz="4" w:space="0" w:color="2C9986"/>
              <w:left w:val="single" w:sz="4" w:space="0" w:color="2C9986"/>
              <w:bottom w:val="single" w:sz="4" w:space="0" w:color="2C9986"/>
              <w:right w:val="single" w:sz="4" w:space="0" w:color="2C9986"/>
            </w:tcBorders>
          </w:tcPr>
          <w:p w14:paraId="29E8CD7C"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31FDA66" w14:textId="77777777" w:rsidR="00BD42DE" w:rsidRPr="005D6D89" w:rsidRDefault="00BD42DE" w:rsidP="00BD42DE">
            <w:pPr>
              <w:pStyle w:val="TableText0"/>
              <w:rPr>
                <w:rFonts w:cs="Calibri"/>
                <w:b/>
                <w:szCs w:val="18"/>
              </w:rPr>
            </w:pPr>
            <w:r w:rsidRPr="005D6D89">
              <w:rPr>
                <w:rFonts w:cs="Calibri"/>
                <w:b/>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580A586A" w14:textId="77777777" w:rsidR="00BD42DE" w:rsidRPr="005D6D89" w:rsidRDefault="00CD1CDB" w:rsidP="00BD42DE">
            <w:pPr>
              <w:pStyle w:val="TableText0"/>
              <w:rPr>
                <w:rFonts w:cs="Calibri"/>
                <w:szCs w:val="18"/>
              </w:rPr>
            </w:pPr>
            <w:r w:rsidRPr="005D6D89">
              <w:rPr>
                <w:rFonts w:cs="Calibri"/>
                <w:szCs w:val="18"/>
              </w:rPr>
              <w:t>Major</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FEEC0CA"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566B68A"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075859A"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67934AFF" w14:textId="77777777" w:rsidR="00BD42DE" w:rsidRPr="005D6D89" w:rsidRDefault="00BD42DE" w:rsidP="00BD42DE">
            <w:pPr>
              <w:pStyle w:val="TableText0"/>
              <w:rPr>
                <w:rFonts w:cs="Calibri"/>
                <w:szCs w:val="18"/>
                <w:highlight w:val="cyan"/>
              </w:rPr>
            </w:pPr>
          </w:p>
        </w:tc>
      </w:tr>
      <w:tr w:rsidR="00BD42DE" w:rsidRPr="005D6D89" w14:paraId="3E5B51E9" w14:textId="77777777" w:rsidTr="008F1533">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599D699C" w14:textId="77777777" w:rsidR="00BD42DE" w:rsidRPr="005D6D89" w:rsidRDefault="00BD42DE" w:rsidP="00BD42DE">
            <w:pPr>
              <w:pStyle w:val="TableText0"/>
              <w:rPr>
                <w:rFonts w:cs="Calibri"/>
                <w:szCs w:val="18"/>
                <w:highlight w:val="cyan"/>
              </w:rPr>
            </w:pPr>
            <w:r w:rsidRPr="005D6D89">
              <w:rPr>
                <w:rFonts w:cs="Calibri"/>
                <w:szCs w:val="18"/>
              </w:rPr>
              <w:t>N10 Risks to carbonate-based, hard-shelled species from ocean acidification</w:t>
            </w:r>
            <w:r w:rsidR="008C3AC9">
              <w:rPr>
                <w:rFonts w:cs="Calibri"/>
                <w:szCs w:val="18"/>
              </w:rPr>
              <w:t>,</w:t>
            </w:r>
            <w:r w:rsidRPr="005D6D89">
              <w:rPr>
                <w:rFonts w:cs="Calibri"/>
                <w:szCs w:val="18"/>
              </w:rPr>
              <w:t xml:space="preserve"> due to increased atmospheric concentrations of </w:t>
            </w:r>
            <w:r w:rsidRPr="005D6D89">
              <w:rPr>
                <w:rFonts w:cs="Calibri"/>
                <w:color w:val="000000"/>
                <w:szCs w:val="18"/>
              </w:rPr>
              <w:t>CO</w:t>
            </w:r>
            <w:r w:rsidRPr="005D6D89">
              <w:rPr>
                <w:rFonts w:cs="Calibri"/>
                <w:color w:val="000000"/>
                <w:szCs w:val="18"/>
                <w:vertAlign w:val="subscript"/>
              </w:rPr>
              <w:t>2</w:t>
            </w:r>
            <w:r w:rsidRPr="005D6D89">
              <w:rPr>
                <w:rFonts w:cs="Calibri"/>
                <w:szCs w:val="18"/>
              </w:rPr>
              <w:t>.</w:t>
            </w:r>
          </w:p>
        </w:tc>
        <w:tc>
          <w:tcPr>
            <w:tcW w:w="243" w:type="pct"/>
            <w:gridSpan w:val="2"/>
            <w:tcBorders>
              <w:top w:val="single" w:sz="4" w:space="0" w:color="2C9986"/>
              <w:left w:val="single" w:sz="4" w:space="0" w:color="2C9986"/>
              <w:bottom w:val="single" w:sz="4" w:space="0" w:color="2C9986"/>
              <w:right w:val="single" w:sz="4" w:space="0" w:color="2C9986"/>
            </w:tcBorders>
          </w:tcPr>
          <w:p w14:paraId="06E9625D" w14:textId="77777777" w:rsidR="00BD42DE" w:rsidRPr="005D6D89" w:rsidRDefault="00BD42DE" w:rsidP="000212FE">
            <w:pPr>
              <w:pStyle w:val="TableText"/>
              <w:rPr>
                <w:b/>
                <w:bCs/>
              </w:rPr>
            </w:pPr>
            <w:r w:rsidRPr="005D6D89">
              <w:rPr>
                <w:b/>
                <w:bCs/>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426F3159" w14:textId="77777777" w:rsidR="00BD42DE" w:rsidRPr="005D6D89" w:rsidRDefault="00BD42DE" w:rsidP="000212FE">
            <w:pPr>
              <w:pStyle w:val="TableText"/>
            </w:pPr>
            <w:r w:rsidRPr="005D6D89">
              <w:t>55</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EC4F993"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5A758DE"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008F5AC"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12C583BB" w14:textId="77777777" w:rsidR="00BD42DE" w:rsidRPr="005D6D89" w:rsidRDefault="00BD42DE" w:rsidP="00BD42DE">
            <w:pPr>
              <w:pStyle w:val="TableText0"/>
              <w:rPr>
                <w:rFonts w:cs="Calibri"/>
                <w:szCs w:val="18"/>
                <w:highlight w:val="cyan"/>
              </w:rPr>
            </w:pPr>
          </w:p>
        </w:tc>
      </w:tr>
      <w:tr w:rsidR="00BD42DE" w:rsidRPr="005D6D89" w14:paraId="49E1E974"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50621B3B" w14:textId="77777777" w:rsidR="00BD42DE" w:rsidRPr="005D6D89" w:rsidRDefault="00BD42DE" w:rsidP="00BD42DE">
            <w:pPr>
              <w:pStyle w:val="TableText0"/>
              <w:rPr>
                <w:rFonts w:cs="Calibri"/>
                <w:szCs w:val="18"/>
                <w:highlight w:val="cyan"/>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5EBB7A20" w14:textId="77777777" w:rsidR="00BD42DE" w:rsidRPr="005D6D89" w:rsidRDefault="00BD42DE" w:rsidP="005139A2">
            <w:pPr>
              <w:pStyle w:val="TableText"/>
              <w:spacing w:before="0" w:after="120"/>
              <w:jc w:val="center"/>
              <w:rPr>
                <w:b/>
                <w:bCs/>
              </w:rPr>
            </w:pPr>
            <w:r w:rsidRPr="005D6D89">
              <w:rPr>
                <w:b/>
                <w:bCs/>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94919B4" w14:textId="77777777" w:rsidR="00BD42DE" w:rsidRPr="005D6D89" w:rsidRDefault="00BD42DE" w:rsidP="000212FE">
            <w:pPr>
              <w:pStyle w:val="TableText"/>
              <w:rPr>
                <w:b/>
                <w:bCs/>
              </w:rPr>
            </w:pPr>
            <w:r w:rsidRPr="005D6D89">
              <w:rPr>
                <w:b/>
                <w:bCs/>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646C06CC" w14:textId="77777777" w:rsidR="00BD42DE" w:rsidRPr="005D6D89" w:rsidRDefault="00BD42DE" w:rsidP="000212FE">
            <w:pPr>
              <w:pStyle w:val="TableText"/>
            </w:pPr>
            <w:r w:rsidRPr="005D6D89">
              <w:t>Min</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F4DBC58"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43F3598"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7F7AF7C"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4413E26B" w14:textId="77777777" w:rsidR="00BD42DE" w:rsidRPr="005D6D89" w:rsidRDefault="00BD42DE" w:rsidP="00BD42DE">
            <w:pPr>
              <w:pStyle w:val="TableText0"/>
              <w:rPr>
                <w:rFonts w:cs="Calibri"/>
                <w:szCs w:val="18"/>
                <w:highlight w:val="cyan"/>
              </w:rPr>
            </w:pPr>
          </w:p>
        </w:tc>
      </w:tr>
      <w:tr w:rsidR="00BD42DE" w:rsidRPr="005D6D89" w14:paraId="5A2C835C"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7AC5E506" w14:textId="77777777" w:rsidR="00BD42DE" w:rsidRPr="005D6D89" w:rsidRDefault="00BD42DE" w:rsidP="00BD42DE">
            <w:pPr>
              <w:pStyle w:val="TableText0"/>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14F007E0" w14:textId="77777777" w:rsidR="00BD42DE" w:rsidRPr="005D6D89" w:rsidRDefault="00BD42DE" w:rsidP="000212FE">
            <w:pPr>
              <w:pStyle w:val="TableText"/>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76AD70B" w14:textId="77777777" w:rsidR="00BD42DE" w:rsidRPr="005D6D89" w:rsidRDefault="00BD42DE" w:rsidP="000212FE">
            <w:pPr>
              <w:pStyle w:val="TableText"/>
              <w:rPr>
                <w:b/>
                <w:bCs/>
              </w:rPr>
            </w:pPr>
            <w:r w:rsidRPr="005D6D89">
              <w:rPr>
                <w:b/>
                <w:bCs/>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38C8A374" w14:textId="77777777" w:rsidR="00BD42DE" w:rsidRPr="005D6D89" w:rsidRDefault="00BD42DE" w:rsidP="000212FE">
            <w:pPr>
              <w:pStyle w:val="TableText"/>
            </w:pPr>
            <w:r w:rsidRPr="005D6D89">
              <w:t>Mod</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433668C"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2F1AE53"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CB97919"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026790D9" w14:textId="77777777" w:rsidR="00BD42DE" w:rsidRPr="005D6D89" w:rsidRDefault="00BD42DE" w:rsidP="00BD42DE">
            <w:pPr>
              <w:pStyle w:val="TableText0"/>
              <w:rPr>
                <w:rFonts w:cs="Calibri"/>
                <w:szCs w:val="18"/>
                <w:highlight w:val="cyan"/>
              </w:rPr>
            </w:pPr>
          </w:p>
        </w:tc>
      </w:tr>
      <w:tr w:rsidR="00BD42DE" w:rsidRPr="005D6D89" w14:paraId="0FBBF394"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78B858E8" w14:textId="77777777" w:rsidR="00BD42DE" w:rsidRPr="005D6D89" w:rsidRDefault="00BD42DE" w:rsidP="00BD42DE">
            <w:pPr>
              <w:pStyle w:val="TableText0"/>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5337B01F" w14:textId="77777777" w:rsidR="00BD42DE" w:rsidRPr="005D6D89" w:rsidRDefault="00BD42DE" w:rsidP="000212FE">
            <w:pPr>
              <w:pStyle w:val="TableText"/>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A6C6836" w14:textId="77777777" w:rsidR="00BD42DE" w:rsidRPr="005D6D89" w:rsidRDefault="00BD42DE" w:rsidP="000212FE">
            <w:pPr>
              <w:pStyle w:val="TableText"/>
              <w:rPr>
                <w:b/>
                <w:bCs/>
              </w:rPr>
            </w:pPr>
            <w:r w:rsidRPr="005D6D89">
              <w:rPr>
                <w:b/>
                <w:bCs/>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4BE69604" w14:textId="77777777" w:rsidR="00BD42DE" w:rsidRPr="005D6D89" w:rsidRDefault="00CD1CDB" w:rsidP="000212FE">
            <w:pPr>
              <w:pStyle w:val="TableText"/>
            </w:pPr>
            <w:r w:rsidRPr="005D6D89">
              <w:t>Major</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815EC58"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C18E474"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20112FA"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0E41DCB0" w14:textId="77777777" w:rsidR="00BD42DE" w:rsidRPr="005D6D89" w:rsidRDefault="00BD42DE" w:rsidP="00BD42DE">
            <w:pPr>
              <w:pStyle w:val="TableText0"/>
              <w:rPr>
                <w:rFonts w:cs="Calibri"/>
                <w:szCs w:val="18"/>
                <w:highlight w:val="cyan"/>
              </w:rPr>
            </w:pPr>
          </w:p>
        </w:tc>
      </w:tr>
      <w:tr w:rsidR="00BD42DE" w:rsidRPr="005D6D89" w14:paraId="0E98523D" w14:textId="77777777" w:rsidTr="008F1533">
        <w:trPr>
          <w:cantSplit/>
        </w:trPr>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387C2B9D" w14:textId="77777777" w:rsidR="00BD42DE" w:rsidRPr="005D6D89" w:rsidRDefault="00BD42DE" w:rsidP="00BD42DE">
            <w:pPr>
              <w:pStyle w:val="TableText0"/>
              <w:keepNext/>
              <w:keepLines/>
              <w:rPr>
                <w:rFonts w:cs="Calibri"/>
                <w:szCs w:val="18"/>
                <w:highlight w:val="cyan"/>
              </w:rPr>
            </w:pPr>
            <w:r w:rsidRPr="005D6D89">
              <w:rPr>
                <w:rFonts w:cs="Calibri"/>
                <w:szCs w:val="18"/>
              </w:rPr>
              <w:t>N11 Risks to the long-term composition and stability of indigenous forest ecosystems due to changes in temperature, rainfall, wind and drought.</w:t>
            </w:r>
          </w:p>
        </w:tc>
        <w:tc>
          <w:tcPr>
            <w:tcW w:w="243" w:type="pct"/>
            <w:gridSpan w:val="2"/>
            <w:tcBorders>
              <w:top w:val="single" w:sz="4" w:space="0" w:color="2C9986"/>
              <w:left w:val="single" w:sz="4" w:space="0" w:color="2C9986"/>
              <w:bottom w:val="single" w:sz="4" w:space="0" w:color="2C9986"/>
              <w:right w:val="single" w:sz="4" w:space="0" w:color="2C9986"/>
            </w:tcBorders>
          </w:tcPr>
          <w:p w14:paraId="0EA1FE61" w14:textId="77777777" w:rsidR="00BD42DE" w:rsidRPr="005D6D89" w:rsidRDefault="00BD42DE" w:rsidP="008F7DE0">
            <w:pPr>
              <w:pStyle w:val="TableText0"/>
              <w:keepNext/>
              <w:keepLines/>
              <w:rPr>
                <w:rFonts w:cs="Calibri"/>
                <w:b/>
                <w:szCs w:val="18"/>
              </w:rPr>
            </w:pPr>
            <w:r w:rsidRPr="005D6D89">
              <w:rPr>
                <w:rFonts w:cs="Calibri"/>
                <w:b/>
                <w:szCs w:val="18"/>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77A888A1" w14:textId="77777777" w:rsidR="00BD42DE" w:rsidRPr="005D6D89" w:rsidRDefault="00BD42DE" w:rsidP="008F7DE0">
            <w:pPr>
              <w:pStyle w:val="TableText0"/>
              <w:keepNext/>
              <w:keepLines/>
              <w:rPr>
                <w:rFonts w:cs="Calibri"/>
                <w:szCs w:val="18"/>
              </w:rPr>
            </w:pPr>
            <w:r w:rsidRPr="005D6D89">
              <w:rPr>
                <w:rFonts w:cs="Calibri"/>
                <w:szCs w:val="18"/>
              </w:rPr>
              <w:t>53</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78E8DF0" w14:textId="77777777" w:rsidR="00BD42DE" w:rsidRPr="005D6D89" w:rsidRDefault="00BD42DE" w:rsidP="00BD42DE">
            <w:pPr>
              <w:pStyle w:val="TableText0"/>
              <w:keepNext/>
              <w:keepLines/>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2E7F6FE" w14:textId="77777777" w:rsidR="00BD42DE" w:rsidRPr="005D6D89" w:rsidRDefault="00BD42DE" w:rsidP="00BD42DE">
            <w:pPr>
              <w:pStyle w:val="TableText0"/>
              <w:keepNext/>
              <w:keepLines/>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7FB6111" w14:textId="77777777" w:rsidR="00BD42DE" w:rsidRPr="005D6D89" w:rsidRDefault="00BD42DE" w:rsidP="00BD42DE">
            <w:pPr>
              <w:pStyle w:val="TableText0"/>
              <w:keepNext/>
              <w:keepLines/>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71C78724" w14:textId="77777777" w:rsidR="00BD42DE" w:rsidRPr="005D6D89" w:rsidRDefault="00BD42DE" w:rsidP="00BD42DE">
            <w:pPr>
              <w:pStyle w:val="TableText0"/>
              <w:keepNext/>
              <w:keepLines/>
              <w:rPr>
                <w:rFonts w:cs="Calibri"/>
                <w:szCs w:val="18"/>
                <w:highlight w:val="cyan"/>
              </w:rPr>
            </w:pPr>
          </w:p>
        </w:tc>
      </w:tr>
      <w:tr w:rsidR="00BD42DE" w:rsidRPr="005D6D89" w14:paraId="6B1078BB"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04979FD7" w14:textId="77777777" w:rsidR="00BD42DE" w:rsidRPr="005D6D89" w:rsidRDefault="00BD42DE" w:rsidP="00BD42DE">
            <w:pPr>
              <w:pStyle w:val="TableText0"/>
              <w:keepNext/>
              <w:keepLines/>
              <w:rPr>
                <w:rFonts w:cs="Calibri"/>
                <w:szCs w:val="18"/>
                <w:highlight w:val="cyan"/>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47DBBEFE" w14:textId="77777777" w:rsidR="00BD42DE" w:rsidRPr="005D6D89" w:rsidRDefault="00BD42DE" w:rsidP="00F62B15">
            <w:pPr>
              <w:pStyle w:val="TableText0"/>
              <w:keepNext/>
              <w:keepLines/>
              <w:spacing w:after="120"/>
              <w:jc w:val="center"/>
              <w:rPr>
                <w:rFonts w:cs="Calibri"/>
                <w:b/>
                <w:szCs w:val="18"/>
              </w:rPr>
            </w:pPr>
            <w:r w:rsidRPr="005D6D89">
              <w:rPr>
                <w:rFonts w:cs="Calibri"/>
                <w:b/>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43ADF7A" w14:textId="77777777" w:rsidR="00BD42DE" w:rsidRPr="005D6D89" w:rsidRDefault="00BD42DE" w:rsidP="00BD42DE">
            <w:pPr>
              <w:pStyle w:val="TableText0"/>
              <w:keepNext/>
              <w:keepLines/>
              <w:rPr>
                <w:rFonts w:cs="Calibri"/>
                <w:b/>
                <w:szCs w:val="18"/>
              </w:rPr>
            </w:pPr>
            <w:r w:rsidRPr="005D6D89">
              <w:rPr>
                <w:rFonts w:cs="Calibri"/>
                <w:b/>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719C36EA" w14:textId="77777777" w:rsidR="00BD42DE" w:rsidRPr="005D6D89" w:rsidRDefault="00BD42DE" w:rsidP="00BD42DE">
            <w:pPr>
              <w:pStyle w:val="TableText0"/>
              <w:keepNext/>
              <w:keepLines/>
              <w:rPr>
                <w:rFonts w:cs="Calibri"/>
                <w:szCs w:val="18"/>
              </w:rPr>
            </w:pPr>
            <w:r w:rsidRPr="005D6D89">
              <w:rPr>
                <w:rFonts w:cs="Calibri"/>
                <w:szCs w:val="18"/>
              </w:rPr>
              <w:t>Insig</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0F3A8EB" w14:textId="77777777" w:rsidR="00BD42DE" w:rsidRPr="005D6D89" w:rsidRDefault="00BD42DE" w:rsidP="00BD42DE">
            <w:pPr>
              <w:pStyle w:val="TableText0"/>
              <w:keepNext/>
              <w:keepLines/>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EA4073A" w14:textId="77777777" w:rsidR="00BD42DE" w:rsidRPr="005D6D89" w:rsidRDefault="00BD42DE" w:rsidP="00BD42DE">
            <w:pPr>
              <w:pStyle w:val="TableText0"/>
              <w:keepNext/>
              <w:keepLines/>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5B61D54" w14:textId="77777777" w:rsidR="00BD42DE" w:rsidRPr="005D6D89" w:rsidRDefault="00BD42DE" w:rsidP="00BD42DE">
            <w:pPr>
              <w:pStyle w:val="TableText0"/>
              <w:keepNext/>
              <w:keepLines/>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568FF0A9" w14:textId="77777777" w:rsidR="00BD42DE" w:rsidRPr="005D6D89" w:rsidRDefault="00BD42DE" w:rsidP="00BD42DE">
            <w:pPr>
              <w:pStyle w:val="TableText0"/>
              <w:keepNext/>
              <w:keepLines/>
              <w:rPr>
                <w:rFonts w:cs="Calibri"/>
                <w:szCs w:val="18"/>
                <w:highlight w:val="cyan"/>
              </w:rPr>
            </w:pPr>
          </w:p>
        </w:tc>
      </w:tr>
      <w:tr w:rsidR="00BD42DE" w:rsidRPr="005D6D89" w14:paraId="28965ABB"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71F48901" w14:textId="77777777" w:rsidR="00BD42DE" w:rsidRPr="005D6D89" w:rsidRDefault="00BD42DE" w:rsidP="00BD42DE">
            <w:pPr>
              <w:pStyle w:val="TableText0"/>
              <w:keepNext/>
              <w:keepLines/>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4D38DAEE" w14:textId="77777777" w:rsidR="00BD42DE" w:rsidRPr="005D6D89" w:rsidRDefault="00BD42DE" w:rsidP="00BD42DE">
            <w:pPr>
              <w:pStyle w:val="TableText0"/>
              <w:keepNext/>
              <w:keepLines/>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933C823" w14:textId="77777777" w:rsidR="00BD42DE" w:rsidRPr="005D6D89" w:rsidRDefault="00BD42DE" w:rsidP="00BD42DE">
            <w:pPr>
              <w:pStyle w:val="TableText0"/>
              <w:keepNext/>
              <w:keepLines/>
              <w:rPr>
                <w:rFonts w:cs="Calibri"/>
                <w:b/>
                <w:szCs w:val="18"/>
              </w:rPr>
            </w:pPr>
            <w:r w:rsidRPr="005D6D89">
              <w:rPr>
                <w:rFonts w:cs="Calibri"/>
                <w:b/>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72919ADD" w14:textId="77777777" w:rsidR="00BD42DE" w:rsidRPr="005D6D89" w:rsidRDefault="00BD42DE" w:rsidP="00BD42DE">
            <w:pPr>
              <w:pStyle w:val="TableText0"/>
              <w:keepNext/>
              <w:keepLines/>
              <w:rPr>
                <w:rFonts w:cs="Calibri"/>
                <w:szCs w:val="18"/>
              </w:rPr>
            </w:pPr>
            <w:r w:rsidRPr="005D6D89">
              <w:rPr>
                <w:rFonts w:cs="Calibri"/>
                <w:szCs w:val="18"/>
              </w:rPr>
              <w:t>Min</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6EEFA4F" w14:textId="77777777" w:rsidR="00BD42DE" w:rsidRPr="005D6D89" w:rsidRDefault="00BD42DE" w:rsidP="00BD42DE">
            <w:pPr>
              <w:pStyle w:val="TableText0"/>
              <w:keepNext/>
              <w:keepLines/>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9058370" w14:textId="77777777" w:rsidR="00BD42DE" w:rsidRPr="005D6D89" w:rsidRDefault="00BD42DE" w:rsidP="00BD42DE">
            <w:pPr>
              <w:pStyle w:val="TableText0"/>
              <w:keepNext/>
              <w:keepLines/>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53903840" w14:textId="77777777" w:rsidR="00BD42DE" w:rsidRPr="005D6D89" w:rsidRDefault="00BD42DE" w:rsidP="00BD42DE">
            <w:pPr>
              <w:pStyle w:val="TableText0"/>
              <w:keepNext/>
              <w:keepLines/>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5ECAE3E9" w14:textId="77777777" w:rsidR="00BD42DE" w:rsidRPr="005D6D89" w:rsidRDefault="00BD42DE" w:rsidP="00BD42DE">
            <w:pPr>
              <w:pStyle w:val="TableText0"/>
              <w:keepNext/>
              <w:keepLines/>
              <w:rPr>
                <w:rFonts w:cs="Calibri"/>
                <w:szCs w:val="18"/>
                <w:highlight w:val="cyan"/>
              </w:rPr>
            </w:pPr>
          </w:p>
        </w:tc>
      </w:tr>
      <w:tr w:rsidR="00BD42DE" w:rsidRPr="005D6D89" w14:paraId="63271278" w14:textId="77777777" w:rsidTr="008F1533">
        <w:trPr>
          <w:trHeight w:val="653"/>
        </w:trPr>
        <w:tc>
          <w:tcPr>
            <w:tcW w:w="563" w:type="pct"/>
            <w:vMerge/>
            <w:tcBorders>
              <w:top w:val="single" w:sz="4" w:space="0" w:color="2C9986"/>
              <w:bottom w:val="single" w:sz="4" w:space="0" w:color="2C9986"/>
              <w:right w:val="single" w:sz="4" w:space="0" w:color="2C9986"/>
            </w:tcBorders>
            <w:shd w:val="clear" w:color="auto" w:fill="auto"/>
            <w:tcMar>
              <w:top w:w="57" w:type="dxa"/>
            </w:tcMar>
          </w:tcPr>
          <w:p w14:paraId="2B237FCB" w14:textId="77777777" w:rsidR="00BD42DE" w:rsidRPr="005D6D89" w:rsidRDefault="00BD42DE" w:rsidP="00BD42DE">
            <w:pPr>
              <w:pStyle w:val="TableText0"/>
              <w:keepNext/>
              <w:keepLines/>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0BEA49A5" w14:textId="77777777" w:rsidR="00BD42DE" w:rsidRPr="005D6D89" w:rsidRDefault="00BD42DE" w:rsidP="00BD42DE">
            <w:pPr>
              <w:pStyle w:val="TableText0"/>
              <w:keepNext/>
              <w:keepLines/>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617E994" w14:textId="77777777" w:rsidR="00BD42DE" w:rsidRPr="005D6D89" w:rsidRDefault="00BD42DE" w:rsidP="00BD42DE">
            <w:pPr>
              <w:pStyle w:val="TableText0"/>
              <w:keepNext/>
              <w:keepLines/>
              <w:rPr>
                <w:rFonts w:cs="Calibri"/>
                <w:b/>
                <w:szCs w:val="18"/>
              </w:rPr>
            </w:pPr>
            <w:r w:rsidRPr="005D6D89">
              <w:rPr>
                <w:rFonts w:cs="Calibri"/>
                <w:b/>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4E6893CE" w14:textId="77777777" w:rsidR="00BD42DE" w:rsidRPr="005D6D89" w:rsidRDefault="00CD1CDB" w:rsidP="00BD42DE">
            <w:pPr>
              <w:pStyle w:val="TableText0"/>
              <w:keepNext/>
              <w:keepLines/>
              <w:rPr>
                <w:rFonts w:cs="Calibri"/>
                <w:szCs w:val="18"/>
              </w:rPr>
            </w:pPr>
            <w:r w:rsidRPr="005D6D89">
              <w:rPr>
                <w:rFonts w:cs="Calibri"/>
                <w:szCs w:val="18"/>
              </w:rPr>
              <w:t>Major</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CFB12CA" w14:textId="77777777" w:rsidR="00BD42DE" w:rsidRPr="005D6D89" w:rsidRDefault="00BD42DE" w:rsidP="00BD42DE">
            <w:pPr>
              <w:pStyle w:val="TableText0"/>
              <w:keepNext/>
              <w:keepLines/>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70C97C3" w14:textId="77777777" w:rsidR="00BD42DE" w:rsidRPr="005D6D89" w:rsidRDefault="00BD42DE" w:rsidP="00BD42DE">
            <w:pPr>
              <w:pStyle w:val="TableText0"/>
              <w:keepNext/>
              <w:keepLines/>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926FF82" w14:textId="77777777" w:rsidR="00BD42DE" w:rsidRPr="005D6D89" w:rsidRDefault="00BD42DE" w:rsidP="00BD42DE">
            <w:pPr>
              <w:pStyle w:val="TableText0"/>
              <w:keepNext/>
              <w:keepLines/>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18251F1B" w14:textId="77777777" w:rsidR="00BD42DE" w:rsidRPr="005D6D89" w:rsidRDefault="00BD42DE" w:rsidP="00BD42DE">
            <w:pPr>
              <w:pStyle w:val="TableText0"/>
              <w:keepNext/>
              <w:keepLines/>
              <w:rPr>
                <w:rFonts w:cs="Calibri"/>
                <w:szCs w:val="18"/>
                <w:highlight w:val="cyan"/>
              </w:rPr>
            </w:pPr>
          </w:p>
        </w:tc>
      </w:tr>
      <w:tr w:rsidR="00BD42DE" w:rsidRPr="005D6D89" w14:paraId="2CA9F393" w14:textId="77777777" w:rsidTr="008F1533">
        <w:tc>
          <w:tcPr>
            <w:tcW w:w="563" w:type="pct"/>
            <w:vMerge w:val="restart"/>
            <w:tcBorders>
              <w:top w:val="single" w:sz="4" w:space="0" w:color="2C9986"/>
              <w:bottom w:val="single" w:sz="4" w:space="0" w:color="2C9986"/>
              <w:right w:val="single" w:sz="4" w:space="0" w:color="2C9986"/>
            </w:tcBorders>
            <w:shd w:val="clear" w:color="auto" w:fill="auto"/>
            <w:tcMar>
              <w:top w:w="57" w:type="dxa"/>
            </w:tcMar>
          </w:tcPr>
          <w:p w14:paraId="6CFC6041" w14:textId="77777777" w:rsidR="00BD42DE" w:rsidRPr="005D6D89" w:rsidRDefault="00BD42DE" w:rsidP="00F62B15">
            <w:pPr>
              <w:pStyle w:val="TableText"/>
              <w:rPr>
                <w:rFonts w:cs="Calibri"/>
                <w:szCs w:val="18"/>
                <w:highlight w:val="cyan"/>
              </w:rPr>
            </w:pPr>
            <w:r w:rsidRPr="005D6D89">
              <w:rPr>
                <w:rFonts w:cs="Calibri"/>
                <w:szCs w:val="18"/>
              </w:rPr>
              <w:t>N12 Risks to the diverse range of threatened and endangered species that are dependent on New Zealand</w:t>
            </w:r>
            <w:r w:rsidR="001200EA">
              <w:rPr>
                <w:rFonts w:cs="Calibri"/>
                <w:szCs w:val="18"/>
              </w:rPr>
              <w:t>’</w:t>
            </w:r>
            <w:r w:rsidRPr="005D6D89">
              <w:rPr>
                <w:rFonts w:cs="Calibri"/>
                <w:szCs w:val="18"/>
              </w:rPr>
              <w:t>s offshore islands for their continued survival due to ongoing sea-level rise, changes in terrestrial climates, and changes in ocean chemistry and productivity.</w:t>
            </w:r>
          </w:p>
        </w:tc>
        <w:tc>
          <w:tcPr>
            <w:tcW w:w="243" w:type="pct"/>
            <w:gridSpan w:val="2"/>
            <w:tcBorders>
              <w:top w:val="single" w:sz="4" w:space="0" w:color="2C9986"/>
              <w:left w:val="single" w:sz="4" w:space="0" w:color="2C9986"/>
              <w:bottom w:val="single" w:sz="4" w:space="0" w:color="2C9986"/>
              <w:right w:val="single" w:sz="4" w:space="0" w:color="2C9986"/>
            </w:tcBorders>
          </w:tcPr>
          <w:p w14:paraId="29059593" w14:textId="77777777" w:rsidR="00BD42DE" w:rsidRPr="005D6D89" w:rsidRDefault="00BD42DE" w:rsidP="00BD42DE">
            <w:pPr>
              <w:pStyle w:val="TableText0"/>
              <w:rPr>
                <w:rFonts w:cs="Calibri"/>
                <w:b/>
                <w:szCs w:val="18"/>
              </w:rPr>
            </w:pPr>
            <w:r w:rsidRPr="005D6D89">
              <w:rPr>
                <w:rFonts w:cs="Calibri"/>
                <w:b/>
                <w:szCs w:val="18"/>
              </w:rPr>
              <w:t>Urgency</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5647FAE6" w14:textId="77777777" w:rsidR="00BD42DE" w:rsidRPr="005D6D89" w:rsidRDefault="00BD42DE" w:rsidP="00BD42DE">
            <w:pPr>
              <w:pStyle w:val="TableText0"/>
              <w:rPr>
                <w:rFonts w:cs="Calibri"/>
                <w:szCs w:val="18"/>
              </w:rPr>
            </w:pPr>
            <w:r w:rsidRPr="005D6D89">
              <w:rPr>
                <w:rFonts w:cs="Calibri"/>
                <w:szCs w:val="18"/>
              </w:rPr>
              <w:t>45</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27122DF"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9538C44"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53902F1"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3732A327" w14:textId="77777777" w:rsidR="00BD42DE" w:rsidRPr="005D6D89" w:rsidRDefault="00BD42DE" w:rsidP="00BD42DE">
            <w:pPr>
              <w:pStyle w:val="TableText0"/>
              <w:rPr>
                <w:rFonts w:cs="Calibri"/>
                <w:szCs w:val="18"/>
                <w:highlight w:val="cyan"/>
              </w:rPr>
            </w:pPr>
          </w:p>
        </w:tc>
      </w:tr>
      <w:tr w:rsidR="00BD42DE" w:rsidRPr="005D6D89" w14:paraId="1E7FEC56"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0EF2112B" w14:textId="77777777" w:rsidR="00BD42DE" w:rsidRPr="005D6D89" w:rsidRDefault="00BD42DE" w:rsidP="00BD42DE">
            <w:pPr>
              <w:pStyle w:val="TableText0"/>
              <w:rPr>
                <w:rFonts w:cs="Calibri"/>
                <w:szCs w:val="18"/>
                <w:highlight w:val="cyan"/>
              </w:rPr>
            </w:pPr>
          </w:p>
        </w:tc>
        <w:tc>
          <w:tcPr>
            <w:tcW w:w="85" w:type="pct"/>
            <w:vMerge w:val="restart"/>
            <w:tcBorders>
              <w:top w:val="single" w:sz="4" w:space="0" w:color="2C9986"/>
              <w:left w:val="single" w:sz="4" w:space="0" w:color="2C9986"/>
              <w:bottom w:val="single" w:sz="4" w:space="0" w:color="2C9986"/>
              <w:right w:val="single" w:sz="4" w:space="0" w:color="2C9986"/>
            </w:tcBorders>
            <w:textDirection w:val="btLr"/>
            <w:vAlign w:val="center"/>
          </w:tcPr>
          <w:p w14:paraId="77894C06" w14:textId="77777777" w:rsidR="00BD42DE" w:rsidRPr="005D6D89" w:rsidRDefault="00BD42DE" w:rsidP="00F62B15">
            <w:pPr>
              <w:pStyle w:val="TableText0"/>
              <w:spacing w:after="120"/>
              <w:jc w:val="right"/>
              <w:rPr>
                <w:rFonts w:cs="Calibri"/>
                <w:b/>
                <w:szCs w:val="18"/>
              </w:rPr>
            </w:pPr>
            <w:r w:rsidRPr="005D6D89">
              <w:rPr>
                <w:rFonts w:cs="Calibri"/>
                <w:b/>
                <w:szCs w:val="18"/>
              </w:rPr>
              <w:t>Consequence</w:t>
            </w: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936853A" w14:textId="77777777" w:rsidR="00BD42DE" w:rsidRPr="005D6D89" w:rsidRDefault="00BD42DE" w:rsidP="00BD42DE">
            <w:pPr>
              <w:pStyle w:val="TableText0"/>
              <w:rPr>
                <w:rFonts w:cs="Calibri"/>
                <w:b/>
                <w:szCs w:val="18"/>
              </w:rPr>
            </w:pPr>
            <w:r w:rsidRPr="005D6D89">
              <w:rPr>
                <w:rFonts w:cs="Calibri"/>
                <w:b/>
                <w:szCs w:val="18"/>
              </w:rPr>
              <w:t>Now</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6BA1F66E" w14:textId="77777777" w:rsidR="00BD42DE" w:rsidRPr="005D6D89" w:rsidRDefault="00BD42DE" w:rsidP="00BD42DE">
            <w:pPr>
              <w:pStyle w:val="TableText0"/>
              <w:rPr>
                <w:rFonts w:cs="Calibri"/>
                <w:szCs w:val="18"/>
              </w:rPr>
            </w:pPr>
            <w:r w:rsidRPr="005D6D89">
              <w:rPr>
                <w:rFonts w:cs="Calibri"/>
                <w:szCs w:val="18"/>
              </w:rPr>
              <w:t>Min</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F77DD89"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47AA91B"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20B676EF"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12FD67B3" w14:textId="77777777" w:rsidR="00BD42DE" w:rsidRPr="005D6D89" w:rsidRDefault="00BD42DE" w:rsidP="00BD42DE">
            <w:pPr>
              <w:pStyle w:val="TableText0"/>
              <w:rPr>
                <w:rFonts w:cs="Calibri"/>
                <w:szCs w:val="18"/>
                <w:highlight w:val="cyan"/>
              </w:rPr>
            </w:pPr>
          </w:p>
        </w:tc>
      </w:tr>
      <w:tr w:rsidR="00BD42DE" w:rsidRPr="005D6D89" w14:paraId="1A08BBDD"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2C9A5C76" w14:textId="77777777" w:rsidR="00BD42DE" w:rsidRPr="005D6D89" w:rsidRDefault="00BD42DE" w:rsidP="00BD42DE">
            <w:pPr>
              <w:pStyle w:val="TableText0"/>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38D9DDB4"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191B1D22" w14:textId="77777777" w:rsidR="00BD42DE" w:rsidRPr="005D6D89" w:rsidRDefault="00BD42DE" w:rsidP="00BD42DE">
            <w:pPr>
              <w:pStyle w:val="TableText0"/>
              <w:rPr>
                <w:rFonts w:cs="Calibri"/>
                <w:b/>
                <w:szCs w:val="18"/>
              </w:rPr>
            </w:pPr>
            <w:r w:rsidRPr="005D6D89">
              <w:rPr>
                <w:rFonts w:cs="Calibri"/>
                <w:b/>
                <w:szCs w:val="18"/>
              </w:rPr>
              <w:t xml:space="preserve">2050 </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4039538E" w14:textId="77777777" w:rsidR="00BD42DE" w:rsidRPr="005D6D89" w:rsidRDefault="00BD42DE" w:rsidP="00BD42DE">
            <w:pPr>
              <w:pStyle w:val="TableText0"/>
              <w:rPr>
                <w:rFonts w:cs="Calibri"/>
                <w:szCs w:val="18"/>
              </w:rPr>
            </w:pPr>
            <w:r w:rsidRPr="005D6D89">
              <w:rPr>
                <w:rFonts w:cs="Calibri"/>
                <w:szCs w:val="18"/>
              </w:rPr>
              <w:t>Mod</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72473CE2"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1F7A330"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043C304C"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14158E82" w14:textId="77777777" w:rsidR="00BD42DE" w:rsidRPr="005D6D89" w:rsidRDefault="00BD42DE" w:rsidP="00BD42DE">
            <w:pPr>
              <w:pStyle w:val="TableText0"/>
              <w:rPr>
                <w:rFonts w:cs="Calibri"/>
                <w:szCs w:val="18"/>
                <w:highlight w:val="cyan"/>
              </w:rPr>
            </w:pPr>
          </w:p>
        </w:tc>
      </w:tr>
      <w:tr w:rsidR="00BD42DE" w:rsidRPr="005D6D89" w14:paraId="0EE36A5D" w14:textId="77777777" w:rsidTr="008F1533">
        <w:tc>
          <w:tcPr>
            <w:tcW w:w="563" w:type="pct"/>
            <w:vMerge/>
            <w:tcBorders>
              <w:top w:val="single" w:sz="4" w:space="0" w:color="2C9986"/>
              <w:bottom w:val="single" w:sz="4" w:space="0" w:color="2C9986"/>
              <w:right w:val="single" w:sz="4" w:space="0" w:color="2C9986"/>
            </w:tcBorders>
            <w:shd w:val="clear" w:color="auto" w:fill="auto"/>
            <w:tcMar>
              <w:top w:w="57" w:type="dxa"/>
            </w:tcMar>
          </w:tcPr>
          <w:p w14:paraId="5C1BCE52" w14:textId="77777777" w:rsidR="00BD42DE" w:rsidRPr="005D6D89" w:rsidRDefault="00BD42DE" w:rsidP="00BD42DE">
            <w:pPr>
              <w:pStyle w:val="TableText0"/>
              <w:rPr>
                <w:rFonts w:cs="Calibri"/>
                <w:szCs w:val="18"/>
                <w:highlight w:val="cyan"/>
              </w:rPr>
            </w:pPr>
          </w:p>
        </w:tc>
        <w:tc>
          <w:tcPr>
            <w:tcW w:w="85" w:type="pct"/>
            <w:vMerge/>
            <w:tcBorders>
              <w:top w:val="single" w:sz="4" w:space="0" w:color="2C9986"/>
              <w:left w:val="single" w:sz="4" w:space="0" w:color="2C9986"/>
              <w:bottom w:val="single" w:sz="4" w:space="0" w:color="2C9986"/>
              <w:right w:val="single" w:sz="4" w:space="0" w:color="2C9986"/>
            </w:tcBorders>
          </w:tcPr>
          <w:p w14:paraId="31C7131B" w14:textId="77777777" w:rsidR="00BD42DE" w:rsidRPr="005D6D89" w:rsidRDefault="00BD42DE" w:rsidP="00BD42DE">
            <w:pPr>
              <w:pStyle w:val="TableText0"/>
              <w:rPr>
                <w:rFonts w:cs="Calibri"/>
                <w:b/>
                <w:szCs w:val="18"/>
              </w:rPr>
            </w:pPr>
          </w:p>
        </w:tc>
        <w:tc>
          <w:tcPr>
            <w:tcW w:w="158" w:type="pct"/>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D34BB31" w14:textId="77777777" w:rsidR="00BD42DE" w:rsidRPr="005D6D89" w:rsidRDefault="00BD42DE" w:rsidP="00BD42DE">
            <w:pPr>
              <w:pStyle w:val="TableText0"/>
              <w:rPr>
                <w:rFonts w:cs="Calibri"/>
                <w:b/>
                <w:szCs w:val="18"/>
              </w:rPr>
            </w:pPr>
            <w:r w:rsidRPr="005D6D89">
              <w:rPr>
                <w:rFonts w:cs="Calibri"/>
                <w:b/>
                <w:szCs w:val="18"/>
              </w:rPr>
              <w:t>2100</w:t>
            </w:r>
          </w:p>
        </w:tc>
        <w:tc>
          <w:tcPr>
            <w:tcW w:w="152" w:type="pct"/>
            <w:tcBorders>
              <w:top w:val="single" w:sz="4" w:space="0" w:color="2C9986"/>
              <w:left w:val="single" w:sz="4" w:space="0" w:color="2C9986"/>
              <w:bottom w:val="single" w:sz="4" w:space="0" w:color="2C9986"/>
              <w:right w:val="single" w:sz="4" w:space="0" w:color="2C9986"/>
            </w:tcBorders>
            <w:shd w:val="clear" w:color="auto" w:fill="auto"/>
          </w:tcPr>
          <w:p w14:paraId="2AFE0C1C" w14:textId="77777777" w:rsidR="00BD42DE" w:rsidRPr="005D6D89" w:rsidRDefault="00CD1CDB" w:rsidP="00BD42DE">
            <w:pPr>
              <w:pStyle w:val="TableText0"/>
              <w:rPr>
                <w:rFonts w:cs="Calibri"/>
                <w:szCs w:val="18"/>
              </w:rPr>
            </w:pPr>
            <w:r w:rsidRPr="005D6D89">
              <w:rPr>
                <w:rFonts w:cs="Calibri"/>
                <w:szCs w:val="18"/>
              </w:rPr>
              <w:t>Major</w:t>
            </w:r>
          </w:p>
        </w:tc>
        <w:tc>
          <w:tcPr>
            <w:tcW w:w="974"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6F2368AF" w14:textId="77777777" w:rsidR="00BD42DE" w:rsidRPr="005D6D89" w:rsidRDefault="00BD42DE" w:rsidP="00BD42DE">
            <w:pPr>
              <w:pStyle w:val="TableText0"/>
              <w:rPr>
                <w:rFonts w:cs="Calibri"/>
                <w:szCs w:val="18"/>
                <w:highlight w:val="cyan"/>
              </w:rPr>
            </w:pPr>
          </w:p>
        </w:tc>
        <w:tc>
          <w:tcPr>
            <w:tcW w:w="1035" w:type="pct"/>
            <w:gridSpan w:val="4"/>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3C73EB99" w14:textId="77777777" w:rsidR="00BD42DE" w:rsidRPr="005D6D89" w:rsidRDefault="00BD42DE" w:rsidP="00BD42DE">
            <w:pPr>
              <w:pStyle w:val="TableText0"/>
              <w:rPr>
                <w:rFonts w:cs="Calibri"/>
                <w:szCs w:val="18"/>
                <w:highlight w:val="cyan"/>
              </w:rPr>
            </w:pPr>
          </w:p>
        </w:tc>
        <w:tc>
          <w:tcPr>
            <w:tcW w:w="1024" w:type="pct"/>
            <w:gridSpan w:val="5"/>
            <w:vMerge/>
            <w:tcBorders>
              <w:top w:val="single" w:sz="4" w:space="0" w:color="2C9986"/>
              <w:left w:val="single" w:sz="4" w:space="0" w:color="2C9986"/>
              <w:bottom w:val="single" w:sz="4" w:space="0" w:color="2C9986"/>
              <w:right w:val="single" w:sz="4" w:space="0" w:color="2C9986"/>
            </w:tcBorders>
            <w:shd w:val="clear" w:color="auto" w:fill="auto"/>
            <w:tcMar>
              <w:top w:w="57" w:type="dxa"/>
            </w:tcMar>
          </w:tcPr>
          <w:p w14:paraId="46222752" w14:textId="77777777" w:rsidR="00BD42DE" w:rsidRPr="005D6D89" w:rsidRDefault="00BD42DE" w:rsidP="00BD42DE">
            <w:pPr>
              <w:pStyle w:val="TableText0"/>
              <w:rPr>
                <w:rFonts w:cs="Calibri"/>
                <w:szCs w:val="18"/>
                <w:highlight w:val="cyan"/>
              </w:rPr>
            </w:pPr>
          </w:p>
        </w:tc>
        <w:tc>
          <w:tcPr>
            <w:tcW w:w="1009" w:type="pct"/>
            <w:gridSpan w:val="4"/>
            <w:vMerge/>
            <w:tcBorders>
              <w:top w:val="single" w:sz="4" w:space="0" w:color="2C9986"/>
              <w:left w:val="single" w:sz="4" w:space="0" w:color="2C9986"/>
              <w:bottom w:val="single" w:sz="4" w:space="0" w:color="2C9986"/>
            </w:tcBorders>
            <w:shd w:val="clear" w:color="auto" w:fill="auto"/>
            <w:tcMar>
              <w:top w:w="57" w:type="dxa"/>
            </w:tcMar>
          </w:tcPr>
          <w:p w14:paraId="274B4D5B" w14:textId="77777777" w:rsidR="00BD42DE" w:rsidRPr="005D6D89" w:rsidRDefault="00BD42DE" w:rsidP="00BD42DE">
            <w:pPr>
              <w:pStyle w:val="TableText0"/>
              <w:rPr>
                <w:rFonts w:cs="Calibri"/>
                <w:szCs w:val="18"/>
                <w:highlight w:val="cyan"/>
              </w:rPr>
            </w:pPr>
          </w:p>
        </w:tc>
      </w:tr>
    </w:tbl>
    <w:bookmarkEnd w:id="287"/>
    <w:p w14:paraId="45741E25" w14:textId="77777777" w:rsidR="00BD42DE" w:rsidRPr="005D6D89" w:rsidRDefault="00BD42DE" w:rsidP="00080566">
      <w:pPr>
        <w:pStyle w:val="Note"/>
        <w:spacing w:after="0"/>
        <w:rPr>
          <w:b/>
          <w:bCs/>
        </w:rPr>
      </w:pPr>
      <w:r w:rsidRPr="005D6D89">
        <w:rPr>
          <w:b/>
          <w:bCs/>
        </w:rPr>
        <w:t>Consequence rating key:</w:t>
      </w:r>
    </w:p>
    <w:p w14:paraId="12B5394D" w14:textId="77777777" w:rsidR="00BD42DE" w:rsidRPr="005D6D89" w:rsidRDefault="00BD42DE" w:rsidP="00080566">
      <w:pPr>
        <w:pStyle w:val="Note"/>
        <w:spacing w:before="60" w:after="0"/>
        <w:rPr>
          <w:rFonts w:cs="Arial"/>
          <w:bCs/>
          <w:szCs w:val="16"/>
        </w:rPr>
      </w:pPr>
      <w:r w:rsidRPr="005D6D89">
        <w:rPr>
          <w:rFonts w:cs="Arial"/>
          <w:bCs/>
          <w:szCs w:val="16"/>
        </w:rPr>
        <w:t>Insig</w:t>
      </w:r>
      <w:r w:rsidRPr="005D6D89">
        <w:rPr>
          <w:rFonts w:cs="Arial"/>
          <w:bCs/>
          <w:szCs w:val="16"/>
        </w:rPr>
        <w:tab/>
      </w:r>
      <w:r w:rsidRPr="005D6D89">
        <w:rPr>
          <w:rFonts w:cs="Arial"/>
          <w:bCs/>
          <w:szCs w:val="16"/>
        </w:rPr>
        <w:tab/>
        <w:t>Insignificant</w:t>
      </w:r>
    </w:p>
    <w:p w14:paraId="4D63F9DE" w14:textId="77777777" w:rsidR="00BD42DE" w:rsidRPr="005D6D89" w:rsidRDefault="00BD42DE" w:rsidP="00080566">
      <w:pPr>
        <w:pStyle w:val="Note"/>
        <w:spacing w:before="60" w:after="0"/>
        <w:rPr>
          <w:rFonts w:cs="Arial"/>
          <w:bCs/>
          <w:szCs w:val="16"/>
        </w:rPr>
      </w:pPr>
      <w:r w:rsidRPr="005D6D89">
        <w:rPr>
          <w:rFonts w:cs="Arial"/>
          <w:bCs/>
          <w:szCs w:val="16"/>
        </w:rPr>
        <w:t>Min</w:t>
      </w:r>
      <w:r w:rsidRPr="005D6D89">
        <w:rPr>
          <w:rFonts w:cs="Arial"/>
          <w:bCs/>
          <w:szCs w:val="16"/>
        </w:rPr>
        <w:tab/>
      </w:r>
      <w:r w:rsidRPr="005D6D89">
        <w:rPr>
          <w:rFonts w:cs="Arial"/>
          <w:bCs/>
          <w:szCs w:val="16"/>
        </w:rPr>
        <w:tab/>
        <w:t>Minor</w:t>
      </w:r>
    </w:p>
    <w:p w14:paraId="0F758AA6" w14:textId="77777777" w:rsidR="00BD42DE" w:rsidRPr="005D6D89" w:rsidRDefault="00BD42DE" w:rsidP="00080566">
      <w:pPr>
        <w:pStyle w:val="Note"/>
        <w:spacing w:before="60" w:after="0"/>
        <w:rPr>
          <w:rFonts w:cs="Arial"/>
          <w:bCs/>
          <w:szCs w:val="16"/>
        </w:rPr>
      </w:pPr>
      <w:r w:rsidRPr="005D6D89">
        <w:rPr>
          <w:rFonts w:cs="Arial"/>
          <w:bCs/>
          <w:szCs w:val="16"/>
        </w:rPr>
        <w:t>Mod</w:t>
      </w:r>
      <w:r w:rsidRPr="005D6D89">
        <w:rPr>
          <w:rFonts w:cs="Arial"/>
          <w:bCs/>
          <w:szCs w:val="16"/>
        </w:rPr>
        <w:tab/>
      </w:r>
      <w:r w:rsidRPr="005D6D89">
        <w:rPr>
          <w:rFonts w:cs="Arial"/>
          <w:bCs/>
          <w:szCs w:val="16"/>
        </w:rPr>
        <w:tab/>
        <w:t>Moderate</w:t>
      </w:r>
    </w:p>
    <w:p w14:paraId="2B54C358" w14:textId="77777777" w:rsidR="00BD42DE" w:rsidRPr="005D6D89" w:rsidRDefault="00BD42DE" w:rsidP="00080566">
      <w:pPr>
        <w:pStyle w:val="Note"/>
        <w:spacing w:before="60" w:after="0"/>
        <w:rPr>
          <w:rFonts w:cs="Arial"/>
          <w:bCs/>
          <w:szCs w:val="16"/>
        </w:rPr>
      </w:pPr>
      <w:r w:rsidRPr="005D6D89">
        <w:rPr>
          <w:rFonts w:cs="Arial"/>
          <w:bCs/>
          <w:szCs w:val="16"/>
        </w:rPr>
        <w:t>Maj</w:t>
      </w:r>
      <w:r w:rsidR="00845880">
        <w:rPr>
          <w:rFonts w:cs="Arial"/>
          <w:bCs/>
          <w:szCs w:val="16"/>
        </w:rPr>
        <w:t>or</w:t>
      </w:r>
      <w:r w:rsidR="00845880">
        <w:rPr>
          <w:rFonts w:cs="Arial"/>
          <w:bCs/>
          <w:szCs w:val="16"/>
        </w:rPr>
        <w:tab/>
      </w:r>
      <w:r w:rsidRPr="005D6D89">
        <w:rPr>
          <w:rFonts w:cs="Arial"/>
          <w:bCs/>
          <w:szCs w:val="16"/>
        </w:rPr>
        <w:t>Major</w:t>
      </w:r>
    </w:p>
    <w:p w14:paraId="6DD6D3EB" w14:textId="77777777" w:rsidR="00BD42DE" w:rsidRPr="005D6D89" w:rsidRDefault="00BD42DE" w:rsidP="00080566">
      <w:pPr>
        <w:pStyle w:val="Note"/>
        <w:spacing w:before="60" w:after="0"/>
        <w:rPr>
          <w:rFonts w:cs="Arial"/>
          <w:bCs/>
          <w:szCs w:val="16"/>
        </w:rPr>
      </w:pPr>
      <w:r w:rsidRPr="005D6D89">
        <w:rPr>
          <w:rFonts w:cs="Arial"/>
          <w:bCs/>
          <w:szCs w:val="16"/>
        </w:rPr>
        <w:t>Ext</w:t>
      </w:r>
      <w:r w:rsidRPr="005D6D89">
        <w:rPr>
          <w:rFonts w:cs="Arial"/>
          <w:bCs/>
          <w:szCs w:val="16"/>
        </w:rPr>
        <w:tab/>
      </w:r>
      <w:r w:rsidRPr="005D6D89">
        <w:rPr>
          <w:rFonts w:cs="Arial"/>
          <w:bCs/>
          <w:szCs w:val="16"/>
        </w:rPr>
        <w:tab/>
        <w:t>Extreme</w:t>
      </w:r>
    </w:p>
    <w:p w14:paraId="658CCD1D" w14:textId="77777777" w:rsidR="00BD42DE" w:rsidRPr="005D6D89" w:rsidRDefault="00BD42DE" w:rsidP="00BD42DE">
      <w:pPr>
        <w:spacing w:after="0" w:line="240" w:lineRule="auto"/>
        <w:rPr>
          <w:rFonts w:asciiTheme="majorHAnsi" w:hAnsiTheme="majorHAnsi" w:cstheme="majorHAnsi"/>
          <w:b/>
          <w:sz w:val="24"/>
        </w:rPr>
      </w:pPr>
    </w:p>
    <w:p w14:paraId="65A5BD5B" w14:textId="77777777" w:rsidR="00C266DD" w:rsidRPr="005D6D89" w:rsidRDefault="00C266DD" w:rsidP="00C266DD"/>
    <w:p w14:paraId="225E3483" w14:textId="77777777" w:rsidR="002F797E" w:rsidRPr="005D6D89" w:rsidRDefault="002F797E" w:rsidP="00C41DB0">
      <w:pPr>
        <w:pStyle w:val="BodyText"/>
      </w:pPr>
    </w:p>
    <w:p w14:paraId="13114103" w14:textId="77777777" w:rsidR="002F797E" w:rsidRPr="005D6D89" w:rsidRDefault="002F797E" w:rsidP="00C41DB0">
      <w:pPr>
        <w:pStyle w:val="BodyText"/>
        <w:sectPr w:rsidR="002F797E" w:rsidRPr="005D6D89" w:rsidSect="00C02334">
          <w:footerReference w:type="default" r:id="rId52"/>
          <w:pgSz w:w="23808" w:h="16840" w:orient="landscape" w:code="8"/>
          <w:pgMar w:top="1701" w:right="1134" w:bottom="1701" w:left="1134" w:header="567" w:footer="567" w:gutter="0"/>
          <w:cols w:space="720"/>
          <w:docGrid w:linePitch="299"/>
        </w:sectPr>
      </w:pPr>
    </w:p>
    <w:p w14:paraId="17F7C524" w14:textId="77777777" w:rsidR="00F37C95" w:rsidRDefault="00F37C95" w:rsidP="00812D16">
      <w:pPr>
        <w:pStyle w:val="Heading2"/>
        <w:numPr>
          <w:ilvl w:val="0"/>
          <w:numId w:val="26"/>
        </w:numPr>
        <w:spacing w:after="240"/>
      </w:pPr>
      <w:bookmarkStart w:id="289" w:name="_Toc35812350"/>
      <w:bookmarkStart w:id="290" w:name="_Toc37255771"/>
      <w:bookmarkStart w:id="291" w:name="_Toc37393672"/>
      <w:bookmarkStart w:id="292" w:name="_Toc40699354"/>
      <w:bookmarkStart w:id="293" w:name="_Toc43064139"/>
      <w:r w:rsidRPr="005D6D89">
        <w:t>Natural environment domain | Rohe taiao</w:t>
      </w:r>
      <w:bookmarkEnd w:id="289"/>
      <w:bookmarkEnd w:id="290"/>
      <w:bookmarkEnd w:id="291"/>
      <w:bookmarkEnd w:id="292"/>
      <w:bookmarkEnd w:id="293"/>
      <w:r w:rsidRPr="005D6D89">
        <w:t xml:space="preserve"> </w:t>
      </w:r>
    </w:p>
    <w:p w14:paraId="1752C0A2" w14:textId="77777777" w:rsidR="00F83630" w:rsidRPr="00F83630" w:rsidRDefault="00F83630" w:rsidP="00F83630">
      <w:pPr>
        <w:pStyle w:val="Tableheading"/>
      </w:pPr>
      <w:bookmarkStart w:id="294" w:name="_Toc43312806"/>
      <w:r>
        <w:t>Table 12:</w:t>
      </w:r>
      <w:r>
        <w:tab/>
      </w:r>
      <w:r w:rsidRPr="00F83630">
        <w:t>Natural environment domain</w:t>
      </w:r>
      <w:bookmarkEnd w:id="294"/>
    </w:p>
    <w:tbl>
      <w:tblPr>
        <w:tblW w:w="8613" w:type="dxa"/>
        <w:tblBorders>
          <w:top w:val="single" w:sz="4" w:space="0" w:color="1F9970"/>
          <w:bottom w:val="single" w:sz="4" w:space="0" w:color="1F9970"/>
          <w:insideH w:val="single" w:sz="4" w:space="0" w:color="1F9970"/>
          <w:insideV w:val="single" w:sz="4" w:space="0" w:color="1F9970"/>
        </w:tblBorders>
        <w:tblLayout w:type="fixed"/>
        <w:tblLook w:val="0000" w:firstRow="0" w:lastRow="0" w:firstColumn="0" w:lastColumn="0" w:noHBand="0" w:noVBand="0"/>
      </w:tblPr>
      <w:tblGrid>
        <w:gridCol w:w="6348"/>
        <w:gridCol w:w="992"/>
        <w:gridCol w:w="1273"/>
      </w:tblGrid>
      <w:tr w:rsidR="00F37C95" w:rsidRPr="005D6D89" w14:paraId="2092E9B1" w14:textId="77777777" w:rsidTr="00095C79">
        <w:trPr>
          <w:tblHeader/>
        </w:trPr>
        <w:tc>
          <w:tcPr>
            <w:tcW w:w="5000" w:type="pct"/>
            <w:gridSpan w:val="3"/>
            <w:tcBorders>
              <w:bottom w:val="single" w:sz="4" w:space="0" w:color="1F9970"/>
            </w:tcBorders>
            <w:shd w:val="clear" w:color="auto" w:fill="2C9986"/>
          </w:tcPr>
          <w:p w14:paraId="5CB4D66D" w14:textId="77777777" w:rsidR="00F37C95" w:rsidRPr="005D6D89" w:rsidRDefault="00F37C95" w:rsidP="00F37C95">
            <w:pPr>
              <w:pStyle w:val="TableTextBold0"/>
              <w:rPr>
                <w:rFonts w:cs="Calibri"/>
                <w:color w:val="FFFFFF" w:themeColor="background1"/>
                <w:szCs w:val="18"/>
              </w:rPr>
            </w:pPr>
            <w:bookmarkStart w:id="295" w:name="_Hlk37674523"/>
            <w:r w:rsidRPr="005D6D89">
              <w:rPr>
                <w:rFonts w:cs="Calibri"/>
                <w:color w:val="FFFFFF" w:themeColor="background1"/>
                <w:szCs w:val="18"/>
              </w:rPr>
              <w:t xml:space="preserve">Natural environment </w:t>
            </w:r>
          </w:p>
        </w:tc>
      </w:tr>
      <w:tr w:rsidR="00DA2301" w:rsidRPr="005D6D89" w14:paraId="10F3B4A7" w14:textId="77777777" w:rsidTr="00095C79">
        <w:trPr>
          <w:tblHeader/>
        </w:trPr>
        <w:tc>
          <w:tcPr>
            <w:tcW w:w="3685" w:type="pct"/>
            <w:tcBorders>
              <w:bottom w:val="single" w:sz="4" w:space="0" w:color="CFE5E5"/>
              <w:right w:val="single" w:sz="4" w:space="0" w:color="CFE5E5"/>
            </w:tcBorders>
            <w:shd w:val="clear" w:color="auto" w:fill="CFE5E5"/>
          </w:tcPr>
          <w:p w14:paraId="3F1BF9D3" w14:textId="77777777" w:rsidR="00DA2301" w:rsidRPr="005D6D89" w:rsidRDefault="00DA2301" w:rsidP="00C650D1">
            <w:pPr>
              <w:pStyle w:val="TableTextBold0"/>
              <w:spacing w:after="0"/>
              <w:rPr>
                <w:rFonts w:cs="Calibri"/>
                <w:szCs w:val="18"/>
              </w:rPr>
            </w:pPr>
          </w:p>
        </w:tc>
        <w:tc>
          <w:tcPr>
            <w:tcW w:w="1315" w:type="pct"/>
            <w:gridSpan w:val="2"/>
            <w:tcBorders>
              <w:left w:val="single" w:sz="4" w:space="0" w:color="CFE5E5"/>
              <w:bottom w:val="single" w:sz="4" w:space="0" w:color="CFE5E5"/>
            </w:tcBorders>
            <w:shd w:val="clear" w:color="auto" w:fill="CFE5E5"/>
          </w:tcPr>
          <w:p w14:paraId="2F4BFB48" w14:textId="77777777" w:rsidR="00DA2301" w:rsidRPr="005D6D89" w:rsidRDefault="00DA2301" w:rsidP="00C650D1">
            <w:pPr>
              <w:pStyle w:val="TableTextBold0"/>
              <w:spacing w:after="0"/>
              <w:jc w:val="center"/>
              <w:rPr>
                <w:rFonts w:cs="Calibri"/>
                <w:szCs w:val="18"/>
              </w:rPr>
            </w:pPr>
            <w:r>
              <w:rPr>
                <w:rFonts w:cs="Calibri"/>
                <w:szCs w:val="18"/>
              </w:rPr>
              <w:t>Ratings</w:t>
            </w:r>
          </w:p>
        </w:tc>
      </w:tr>
      <w:tr w:rsidR="00DA2301" w:rsidRPr="005D6D89" w14:paraId="5C337170" w14:textId="77777777" w:rsidTr="00095C79">
        <w:trPr>
          <w:tblHeader/>
        </w:trPr>
        <w:tc>
          <w:tcPr>
            <w:tcW w:w="3685" w:type="pct"/>
            <w:tcBorders>
              <w:top w:val="single" w:sz="4" w:space="0" w:color="CFE5E5"/>
              <w:bottom w:val="single" w:sz="4" w:space="0" w:color="CFE5E5"/>
              <w:right w:val="single" w:sz="4" w:space="0" w:color="CFE5E5"/>
            </w:tcBorders>
            <w:shd w:val="clear" w:color="auto" w:fill="CFE5E5"/>
          </w:tcPr>
          <w:p w14:paraId="706626AF" w14:textId="77777777" w:rsidR="00DA2301" w:rsidRPr="005D6D89" w:rsidRDefault="00DA2301" w:rsidP="00EB3B2F">
            <w:pPr>
              <w:pStyle w:val="TableTextBold0"/>
              <w:spacing w:before="0"/>
              <w:rPr>
                <w:rFonts w:cs="Calibri"/>
                <w:szCs w:val="18"/>
              </w:rPr>
            </w:pPr>
            <w:r w:rsidRPr="005D6D89">
              <w:rPr>
                <w:rFonts w:cs="Calibri"/>
                <w:szCs w:val="18"/>
              </w:rPr>
              <w:t>Most significant risks</w:t>
            </w:r>
          </w:p>
        </w:tc>
        <w:tc>
          <w:tcPr>
            <w:tcW w:w="576" w:type="pct"/>
            <w:tcBorders>
              <w:top w:val="single" w:sz="4" w:space="0" w:color="CFE5E5"/>
              <w:left w:val="single" w:sz="4" w:space="0" w:color="CFE5E5"/>
              <w:bottom w:val="single" w:sz="4" w:space="0" w:color="CFE5E5"/>
              <w:right w:val="single" w:sz="4" w:space="0" w:color="CFE5E5"/>
            </w:tcBorders>
            <w:shd w:val="clear" w:color="auto" w:fill="CFE5E5"/>
          </w:tcPr>
          <w:p w14:paraId="19E6F45F" w14:textId="77777777" w:rsidR="00DA2301" w:rsidRPr="005D6D89" w:rsidRDefault="00DA2301" w:rsidP="00EB3B2F">
            <w:pPr>
              <w:pStyle w:val="TableTextBold0"/>
              <w:spacing w:before="0"/>
              <w:jc w:val="center"/>
              <w:rPr>
                <w:rFonts w:cs="Calibri"/>
                <w:szCs w:val="18"/>
              </w:rPr>
            </w:pPr>
            <w:r w:rsidRPr="005D6D89">
              <w:t>Urgency</w:t>
            </w:r>
          </w:p>
        </w:tc>
        <w:tc>
          <w:tcPr>
            <w:tcW w:w="740" w:type="pct"/>
            <w:tcBorders>
              <w:top w:val="single" w:sz="4" w:space="0" w:color="CFE5E5"/>
              <w:left w:val="single" w:sz="4" w:space="0" w:color="CFE5E5"/>
              <w:bottom w:val="single" w:sz="4" w:space="0" w:color="CFE5E5"/>
              <w:right w:val="single" w:sz="4" w:space="0" w:color="CFE5E5"/>
            </w:tcBorders>
            <w:shd w:val="clear" w:color="auto" w:fill="CFE5E5"/>
          </w:tcPr>
          <w:p w14:paraId="4C39B076" w14:textId="77777777" w:rsidR="00DA2301" w:rsidRPr="005D6D89" w:rsidRDefault="00DA2301" w:rsidP="00EB3B2F">
            <w:pPr>
              <w:pStyle w:val="TableTextBold0"/>
              <w:spacing w:before="0"/>
              <w:jc w:val="center"/>
              <w:rPr>
                <w:rFonts w:cs="Calibri"/>
                <w:szCs w:val="18"/>
              </w:rPr>
            </w:pPr>
            <w:r w:rsidRPr="005D6D89">
              <w:t>Consequence</w:t>
            </w:r>
          </w:p>
        </w:tc>
      </w:tr>
      <w:tr w:rsidR="00DA2301" w:rsidRPr="005D6D89" w14:paraId="021912AE" w14:textId="77777777" w:rsidTr="00095C79">
        <w:tc>
          <w:tcPr>
            <w:tcW w:w="3685" w:type="pct"/>
            <w:tcBorders>
              <w:top w:val="single" w:sz="4" w:space="0" w:color="CFE5E5"/>
            </w:tcBorders>
            <w:shd w:val="clear" w:color="auto" w:fill="auto"/>
            <w:tcMar>
              <w:top w:w="0" w:type="dxa"/>
            </w:tcMar>
          </w:tcPr>
          <w:p w14:paraId="3C93B5F9" w14:textId="77777777" w:rsidR="00DA2301" w:rsidRPr="005D6D89" w:rsidRDefault="00DA2301" w:rsidP="00F37C95">
            <w:pPr>
              <w:pStyle w:val="TableText"/>
              <w:rPr>
                <w:rFonts w:cs="Calibri"/>
                <w:szCs w:val="18"/>
              </w:rPr>
            </w:pPr>
            <w:r w:rsidRPr="005D6D89">
              <w:rPr>
                <w:rFonts w:cs="Calibri"/>
                <w:szCs w:val="18"/>
              </w:rPr>
              <w:t>N1 Risks to coastal ecosystems, including the intertidal zone, estuaries, dunes, coastal lakes and wetlands, due to ongoing sea-level rise and extreme weather events.</w:t>
            </w:r>
          </w:p>
        </w:tc>
        <w:tc>
          <w:tcPr>
            <w:tcW w:w="576" w:type="pct"/>
            <w:tcBorders>
              <w:top w:val="single" w:sz="4" w:space="0" w:color="CFE5E5"/>
              <w:right w:val="single" w:sz="4" w:space="0" w:color="1F9970"/>
            </w:tcBorders>
          </w:tcPr>
          <w:p w14:paraId="09B8D499" w14:textId="77777777" w:rsidR="00DA2301" w:rsidRPr="00DA2301" w:rsidRDefault="00DA2301" w:rsidP="00DA2301">
            <w:pPr>
              <w:pStyle w:val="TableTextBold0"/>
              <w:jc w:val="center"/>
              <w:rPr>
                <w:b w:val="0"/>
                <w:bCs/>
              </w:rPr>
            </w:pPr>
            <w:r w:rsidRPr="00DA2301">
              <w:rPr>
                <w:rFonts w:cs="Calibri"/>
                <w:b w:val="0"/>
                <w:bCs/>
                <w:szCs w:val="18"/>
              </w:rPr>
              <w:t>78</w:t>
            </w:r>
            <w:r w:rsidRPr="00DA2301">
              <w:rPr>
                <w:b w:val="0"/>
                <w:bCs/>
              </w:rPr>
              <w:t>*</w:t>
            </w:r>
          </w:p>
        </w:tc>
        <w:tc>
          <w:tcPr>
            <w:tcW w:w="740" w:type="pct"/>
            <w:tcBorders>
              <w:top w:val="single" w:sz="4" w:space="0" w:color="CFE5E5"/>
              <w:left w:val="single" w:sz="4" w:space="0" w:color="1F9970"/>
            </w:tcBorders>
            <w:shd w:val="clear" w:color="auto" w:fill="auto"/>
          </w:tcPr>
          <w:p w14:paraId="12C09B78" w14:textId="77777777" w:rsidR="00DA2301" w:rsidRPr="005D6D89" w:rsidRDefault="00DA2301" w:rsidP="00870462">
            <w:pPr>
              <w:pStyle w:val="TableText"/>
              <w:spacing w:after="40"/>
              <w:jc w:val="center"/>
              <w:rPr>
                <w:rFonts w:cs="Calibri"/>
                <w:szCs w:val="18"/>
              </w:rPr>
            </w:pPr>
            <w:r w:rsidRPr="005D6D89">
              <w:rPr>
                <w:rFonts w:cs="Calibri"/>
                <w:szCs w:val="18"/>
              </w:rPr>
              <w:t>Major</w:t>
            </w:r>
            <w:r w:rsidRPr="005D6D89">
              <w:t>**</w:t>
            </w:r>
          </w:p>
        </w:tc>
      </w:tr>
      <w:tr w:rsidR="00DA2301" w:rsidRPr="005D6D89" w14:paraId="026ECC2B" w14:textId="77777777" w:rsidTr="00095C79">
        <w:tc>
          <w:tcPr>
            <w:tcW w:w="3685" w:type="pct"/>
            <w:tcBorders>
              <w:bottom w:val="single" w:sz="4" w:space="0" w:color="CFE5E5"/>
            </w:tcBorders>
            <w:shd w:val="clear" w:color="auto" w:fill="auto"/>
            <w:tcMar>
              <w:top w:w="0" w:type="dxa"/>
            </w:tcMar>
          </w:tcPr>
          <w:p w14:paraId="16EE46A6" w14:textId="77777777" w:rsidR="00DA2301" w:rsidRPr="005D6D89" w:rsidRDefault="00DA2301" w:rsidP="00F37C95">
            <w:pPr>
              <w:pStyle w:val="TableText"/>
              <w:rPr>
                <w:rFonts w:cs="Calibri"/>
                <w:szCs w:val="18"/>
              </w:rPr>
            </w:pPr>
            <w:r w:rsidRPr="005D6D89">
              <w:rPr>
                <w:rFonts w:cs="Calibri"/>
                <w:szCs w:val="18"/>
              </w:rPr>
              <w:t>N2 Risks to indigenous ecosystems and species from the enhanced spread, survival and establishment of invasive species</w:t>
            </w:r>
            <w:r w:rsidR="008C3AC9">
              <w:rPr>
                <w:rFonts w:cs="Calibri"/>
                <w:szCs w:val="18"/>
              </w:rPr>
              <w:t>,</w:t>
            </w:r>
            <w:r w:rsidRPr="005D6D89">
              <w:rPr>
                <w:rFonts w:cs="Calibri"/>
                <w:szCs w:val="18"/>
              </w:rPr>
              <w:t xml:space="preserve"> due to climate change.</w:t>
            </w:r>
          </w:p>
        </w:tc>
        <w:tc>
          <w:tcPr>
            <w:tcW w:w="576" w:type="pct"/>
            <w:tcBorders>
              <w:bottom w:val="single" w:sz="4" w:space="0" w:color="CFE5E5"/>
            </w:tcBorders>
          </w:tcPr>
          <w:p w14:paraId="4E1912F1" w14:textId="77777777" w:rsidR="00DA2301" w:rsidRPr="00DA2301" w:rsidRDefault="00DA2301" w:rsidP="00DA2301">
            <w:pPr>
              <w:pStyle w:val="TableTextBold0"/>
              <w:jc w:val="center"/>
              <w:rPr>
                <w:b w:val="0"/>
                <w:bCs/>
              </w:rPr>
            </w:pPr>
            <w:r w:rsidRPr="00DA2301">
              <w:rPr>
                <w:rFonts w:cs="Calibri"/>
                <w:b w:val="0"/>
                <w:bCs/>
                <w:szCs w:val="18"/>
              </w:rPr>
              <w:t>73</w:t>
            </w:r>
          </w:p>
        </w:tc>
        <w:tc>
          <w:tcPr>
            <w:tcW w:w="740" w:type="pct"/>
            <w:tcBorders>
              <w:bottom w:val="single" w:sz="4" w:space="0" w:color="CFE5E5"/>
            </w:tcBorders>
            <w:shd w:val="clear" w:color="auto" w:fill="auto"/>
          </w:tcPr>
          <w:p w14:paraId="32F880B7" w14:textId="77777777" w:rsidR="00DA2301" w:rsidRPr="005D6D89" w:rsidRDefault="00DA2301" w:rsidP="00870462">
            <w:pPr>
              <w:pStyle w:val="TableText"/>
              <w:jc w:val="center"/>
              <w:rPr>
                <w:rFonts w:cs="Calibri"/>
                <w:szCs w:val="18"/>
              </w:rPr>
            </w:pPr>
            <w:r w:rsidRPr="005D6D89">
              <w:rPr>
                <w:rFonts w:cs="Calibri"/>
                <w:szCs w:val="18"/>
              </w:rPr>
              <w:t>Major</w:t>
            </w:r>
          </w:p>
        </w:tc>
      </w:tr>
      <w:tr w:rsidR="00F37C95" w:rsidRPr="005D6D89" w14:paraId="31DB10BB" w14:textId="77777777" w:rsidTr="00095C79">
        <w:tc>
          <w:tcPr>
            <w:tcW w:w="5000" w:type="pct"/>
            <w:gridSpan w:val="3"/>
            <w:tcBorders>
              <w:top w:val="single" w:sz="4" w:space="0" w:color="CFE5E5"/>
              <w:bottom w:val="single" w:sz="4" w:space="0" w:color="CFE5E5"/>
            </w:tcBorders>
            <w:shd w:val="clear" w:color="auto" w:fill="CFE5E5"/>
            <w:tcMar>
              <w:top w:w="0" w:type="dxa"/>
            </w:tcMar>
          </w:tcPr>
          <w:p w14:paraId="6F9B3F5F" w14:textId="77777777" w:rsidR="00F37C95" w:rsidRPr="005D6D89" w:rsidRDefault="00F37C95" w:rsidP="00F37C95">
            <w:pPr>
              <w:pStyle w:val="TableTextBold0"/>
            </w:pPr>
            <w:r w:rsidRPr="005D6D89">
              <w:t>Other priority risks (Stage 2)</w:t>
            </w:r>
          </w:p>
        </w:tc>
      </w:tr>
      <w:tr w:rsidR="00DA2301" w:rsidRPr="005D6D89" w14:paraId="3F37C08D" w14:textId="77777777" w:rsidTr="00095C79">
        <w:tc>
          <w:tcPr>
            <w:tcW w:w="3685" w:type="pct"/>
            <w:tcBorders>
              <w:top w:val="single" w:sz="4" w:space="0" w:color="CFE5E5"/>
            </w:tcBorders>
            <w:shd w:val="clear" w:color="auto" w:fill="auto"/>
            <w:tcMar>
              <w:top w:w="0" w:type="dxa"/>
            </w:tcMar>
          </w:tcPr>
          <w:p w14:paraId="3C1DB205" w14:textId="77777777" w:rsidR="00DA2301" w:rsidRPr="005D6D89" w:rsidRDefault="00DA2301" w:rsidP="00B96E49">
            <w:pPr>
              <w:pStyle w:val="TableText"/>
            </w:pPr>
            <w:r w:rsidRPr="005D6D89">
              <w:t>N3 Risks to riverine ecosystems and species from alterations in the volume and variability of water flow, increased water temperatures, and more dynamic morphology (erosion and deposition)</w:t>
            </w:r>
            <w:r w:rsidR="00B61730">
              <w:t>,</w:t>
            </w:r>
            <w:r w:rsidRPr="005D6D89">
              <w:t xml:space="preserve"> due to changes in rainfall and temperature</w:t>
            </w:r>
            <w:r w:rsidR="00B61730">
              <w:t>.</w:t>
            </w:r>
          </w:p>
        </w:tc>
        <w:tc>
          <w:tcPr>
            <w:tcW w:w="576" w:type="pct"/>
            <w:tcBorders>
              <w:top w:val="single" w:sz="4" w:space="0" w:color="CFE5E5"/>
            </w:tcBorders>
          </w:tcPr>
          <w:p w14:paraId="5A434CB8" w14:textId="77777777" w:rsidR="00DA2301" w:rsidRPr="005D6D89" w:rsidRDefault="00DA2301" w:rsidP="00DA2301">
            <w:pPr>
              <w:pStyle w:val="TableText"/>
              <w:jc w:val="center"/>
              <w:rPr>
                <w:b/>
              </w:rPr>
            </w:pPr>
            <w:r w:rsidRPr="005D6D89">
              <w:t>68</w:t>
            </w:r>
          </w:p>
        </w:tc>
        <w:tc>
          <w:tcPr>
            <w:tcW w:w="740" w:type="pct"/>
            <w:tcBorders>
              <w:top w:val="single" w:sz="4" w:space="0" w:color="CFE5E5"/>
            </w:tcBorders>
            <w:shd w:val="clear" w:color="auto" w:fill="auto"/>
          </w:tcPr>
          <w:p w14:paraId="62E3260E" w14:textId="77777777" w:rsidR="00DA2301" w:rsidRPr="005D6D89" w:rsidRDefault="00DA2301" w:rsidP="00870462">
            <w:pPr>
              <w:pStyle w:val="TableText"/>
              <w:jc w:val="center"/>
            </w:pPr>
            <w:r w:rsidRPr="005D6D89">
              <w:t>Major</w:t>
            </w:r>
          </w:p>
        </w:tc>
      </w:tr>
      <w:tr w:rsidR="00DA2301" w:rsidRPr="005D6D89" w14:paraId="5673F657" w14:textId="77777777" w:rsidTr="00095C79">
        <w:tc>
          <w:tcPr>
            <w:tcW w:w="3685" w:type="pct"/>
            <w:shd w:val="clear" w:color="auto" w:fill="auto"/>
            <w:tcMar>
              <w:top w:w="0" w:type="dxa"/>
            </w:tcMar>
          </w:tcPr>
          <w:p w14:paraId="58E2B66A" w14:textId="77777777" w:rsidR="00DA2301" w:rsidRPr="005D6D89" w:rsidRDefault="00DA2301" w:rsidP="00B96E49">
            <w:pPr>
              <w:pStyle w:val="TableText"/>
            </w:pPr>
            <w:r w:rsidRPr="005D6D89">
              <w:t>N4 Risks to wetland ecosystems and species, particularly in eastern and northern parts of New Zealand, from reduced moisture status</w:t>
            </w:r>
            <w:r w:rsidR="00B61730">
              <w:t>,</w:t>
            </w:r>
            <w:r w:rsidRPr="005D6D89">
              <w:t xml:space="preserve"> due to reduced rainfall.</w:t>
            </w:r>
          </w:p>
        </w:tc>
        <w:tc>
          <w:tcPr>
            <w:tcW w:w="576" w:type="pct"/>
          </w:tcPr>
          <w:p w14:paraId="0C7CEE82" w14:textId="77777777" w:rsidR="00DA2301" w:rsidRPr="005D6D89" w:rsidRDefault="00DA2301" w:rsidP="00DA2301">
            <w:pPr>
              <w:pStyle w:val="TableText"/>
              <w:jc w:val="center"/>
              <w:rPr>
                <w:b/>
              </w:rPr>
            </w:pPr>
            <w:r w:rsidRPr="005D6D89">
              <w:t>68</w:t>
            </w:r>
          </w:p>
        </w:tc>
        <w:tc>
          <w:tcPr>
            <w:tcW w:w="740" w:type="pct"/>
            <w:shd w:val="clear" w:color="auto" w:fill="auto"/>
          </w:tcPr>
          <w:p w14:paraId="2FD69737" w14:textId="77777777" w:rsidR="00DA2301" w:rsidRPr="005D6D89" w:rsidRDefault="00DA2301" w:rsidP="00870462">
            <w:pPr>
              <w:pStyle w:val="TableText"/>
              <w:jc w:val="center"/>
            </w:pPr>
            <w:r w:rsidRPr="005D6D89">
              <w:t>Major</w:t>
            </w:r>
          </w:p>
        </w:tc>
      </w:tr>
      <w:tr w:rsidR="00DA2301" w:rsidRPr="005D6D89" w14:paraId="0677947D" w14:textId="77777777" w:rsidTr="00095C79">
        <w:tc>
          <w:tcPr>
            <w:tcW w:w="3685" w:type="pct"/>
            <w:shd w:val="clear" w:color="auto" w:fill="auto"/>
            <w:tcMar>
              <w:top w:w="0" w:type="dxa"/>
            </w:tcMar>
          </w:tcPr>
          <w:p w14:paraId="39BE4DE2" w14:textId="77777777" w:rsidR="00DA2301" w:rsidRPr="005D6D89" w:rsidRDefault="00DA2301" w:rsidP="00B96E49">
            <w:pPr>
              <w:pStyle w:val="TableText"/>
            </w:pPr>
            <w:r w:rsidRPr="005D6D89">
              <w:t xml:space="preserve">N5 Risks to migratory and/or coastal and </w:t>
            </w:r>
            <w:proofErr w:type="gramStart"/>
            <w:r w:rsidRPr="005D6D89">
              <w:t>river-bed</w:t>
            </w:r>
            <w:proofErr w:type="gramEnd"/>
            <w:r w:rsidRPr="005D6D89">
              <w:t xml:space="preserve"> nesting birds</w:t>
            </w:r>
            <w:r w:rsidR="00B61730">
              <w:t>,</w:t>
            </w:r>
            <w:r w:rsidRPr="005D6D89">
              <w:t xml:space="preserve"> due to reduced ocean productivity, ongoing sea-level rise and altered river flows.</w:t>
            </w:r>
          </w:p>
        </w:tc>
        <w:tc>
          <w:tcPr>
            <w:tcW w:w="576" w:type="pct"/>
          </w:tcPr>
          <w:p w14:paraId="54BEAE9E" w14:textId="77777777" w:rsidR="00DA2301" w:rsidRPr="005D6D89" w:rsidRDefault="00DA2301" w:rsidP="00DA2301">
            <w:pPr>
              <w:pStyle w:val="TableText"/>
              <w:jc w:val="center"/>
              <w:rPr>
                <w:b/>
              </w:rPr>
            </w:pPr>
            <w:r w:rsidRPr="005D6D89">
              <w:t>65</w:t>
            </w:r>
          </w:p>
        </w:tc>
        <w:tc>
          <w:tcPr>
            <w:tcW w:w="740" w:type="pct"/>
            <w:shd w:val="clear" w:color="auto" w:fill="auto"/>
          </w:tcPr>
          <w:p w14:paraId="323DC33C" w14:textId="77777777" w:rsidR="00DA2301" w:rsidRPr="005D6D89" w:rsidRDefault="00DA2301" w:rsidP="00870462">
            <w:pPr>
              <w:pStyle w:val="TableText"/>
              <w:jc w:val="center"/>
            </w:pPr>
            <w:r w:rsidRPr="005D6D89">
              <w:t>Major</w:t>
            </w:r>
          </w:p>
        </w:tc>
      </w:tr>
      <w:tr w:rsidR="00DA2301" w:rsidRPr="005D6D89" w14:paraId="73E7DAFD" w14:textId="77777777" w:rsidTr="00095C79">
        <w:tc>
          <w:tcPr>
            <w:tcW w:w="3685" w:type="pct"/>
            <w:shd w:val="clear" w:color="auto" w:fill="auto"/>
            <w:tcMar>
              <w:top w:w="0" w:type="dxa"/>
            </w:tcMar>
          </w:tcPr>
          <w:p w14:paraId="34884206" w14:textId="77777777" w:rsidR="00DA2301" w:rsidRPr="005D6D89" w:rsidRDefault="00DA2301" w:rsidP="00B96E49">
            <w:pPr>
              <w:pStyle w:val="TableText"/>
            </w:pPr>
            <w:r w:rsidRPr="005D6D89">
              <w:t>N6 Risks to lake ecosystems</w:t>
            </w:r>
            <w:r w:rsidR="00B61730">
              <w:t>,</w:t>
            </w:r>
            <w:r w:rsidRPr="005D6D89">
              <w:t xml:space="preserve"> due </w:t>
            </w:r>
            <w:r w:rsidR="00B61730">
              <w:t>to changes in temperature, lake-</w:t>
            </w:r>
            <w:r w:rsidRPr="005D6D89">
              <w:t>water residence time, and thermal stratification and mixing.</w:t>
            </w:r>
          </w:p>
        </w:tc>
        <w:tc>
          <w:tcPr>
            <w:tcW w:w="576" w:type="pct"/>
          </w:tcPr>
          <w:p w14:paraId="6A59A603" w14:textId="77777777" w:rsidR="00DA2301" w:rsidRPr="005D6D89" w:rsidRDefault="00DA2301" w:rsidP="00DA2301">
            <w:pPr>
              <w:pStyle w:val="TableText"/>
              <w:jc w:val="center"/>
              <w:rPr>
                <w:b/>
              </w:rPr>
            </w:pPr>
            <w:r w:rsidRPr="005D6D89">
              <w:t>65</w:t>
            </w:r>
          </w:p>
        </w:tc>
        <w:tc>
          <w:tcPr>
            <w:tcW w:w="740" w:type="pct"/>
            <w:shd w:val="clear" w:color="auto" w:fill="auto"/>
          </w:tcPr>
          <w:p w14:paraId="0C42A606" w14:textId="77777777" w:rsidR="00DA2301" w:rsidRPr="005D6D89" w:rsidRDefault="00DA2301" w:rsidP="00870462">
            <w:pPr>
              <w:pStyle w:val="TableText"/>
              <w:jc w:val="center"/>
            </w:pPr>
            <w:r w:rsidRPr="005D6D89">
              <w:t>Major</w:t>
            </w:r>
          </w:p>
        </w:tc>
      </w:tr>
      <w:tr w:rsidR="00DA2301" w:rsidRPr="005D6D89" w14:paraId="25F54363" w14:textId="77777777" w:rsidTr="00095C79">
        <w:tc>
          <w:tcPr>
            <w:tcW w:w="3685" w:type="pct"/>
            <w:shd w:val="clear" w:color="auto" w:fill="auto"/>
            <w:tcMar>
              <w:top w:w="0" w:type="dxa"/>
            </w:tcMar>
          </w:tcPr>
          <w:p w14:paraId="20C91F90" w14:textId="77777777" w:rsidR="00DA2301" w:rsidRPr="005D6D89" w:rsidRDefault="00DA2301" w:rsidP="00B96E49">
            <w:pPr>
              <w:pStyle w:val="TableText"/>
            </w:pPr>
            <w:r w:rsidRPr="005D6D89">
              <w:t>N7 Risks to terrestrial, freshwater and marine ecosystems</w:t>
            </w:r>
            <w:r w:rsidR="00B61730">
              <w:t>,</w:t>
            </w:r>
            <w:r w:rsidRPr="005D6D89">
              <w:t xml:space="preserve"> due to increased extreme weather events, drought, and fire weather</w:t>
            </w:r>
            <w:r w:rsidR="00B61730">
              <w:t>.</w:t>
            </w:r>
          </w:p>
        </w:tc>
        <w:tc>
          <w:tcPr>
            <w:tcW w:w="576" w:type="pct"/>
          </w:tcPr>
          <w:p w14:paraId="5ECC9055" w14:textId="77777777" w:rsidR="00DA2301" w:rsidRPr="005D6D89" w:rsidRDefault="00DA2301" w:rsidP="00DA2301">
            <w:pPr>
              <w:pStyle w:val="TableText"/>
              <w:jc w:val="center"/>
              <w:rPr>
                <w:b/>
              </w:rPr>
            </w:pPr>
            <w:r w:rsidRPr="005D6D89">
              <w:t>60</w:t>
            </w:r>
          </w:p>
        </w:tc>
        <w:tc>
          <w:tcPr>
            <w:tcW w:w="740" w:type="pct"/>
            <w:shd w:val="clear" w:color="auto" w:fill="auto"/>
          </w:tcPr>
          <w:p w14:paraId="68C9EF7B" w14:textId="77777777" w:rsidR="00DA2301" w:rsidRPr="005D6D89" w:rsidRDefault="00DA2301" w:rsidP="00870462">
            <w:pPr>
              <w:pStyle w:val="TableText"/>
              <w:jc w:val="center"/>
            </w:pPr>
            <w:r w:rsidRPr="005D6D89">
              <w:t>Major</w:t>
            </w:r>
          </w:p>
        </w:tc>
      </w:tr>
      <w:tr w:rsidR="00DA2301" w:rsidRPr="005D6D89" w14:paraId="45824167" w14:textId="77777777" w:rsidTr="00095C79">
        <w:tc>
          <w:tcPr>
            <w:tcW w:w="3685" w:type="pct"/>
            <w:shd w:val="clear" w:color="auto" w:fill="auto"/>
            <w:tcMar>
              <w:top w:w="0" w:type="dxa"/>
            </w:tcMar>
          </w:tcPr>
          <w:p w14:paraId="4D26F08D" w14:textId="77777777" w:rsidR="00DA2301" w:rsidRPr="005D6D89" w:rsidRDefault="00DA2301" w:rsidP="00B96E49">
            <w:pPr>
              <w:pStyle w:val="TableText"/>
            </w:pPr>
            <w:r w:rsidRPr="005D6D89">
              <w:t>N8 Risks to oceanic ecosystem productivity and functioning</w:t>
            </w:r>
            <w:r w:rsidR="00B61730">
              <w:t>,</w:t>
            </w:r>
            <w:r w:rsidRPr="005D6D89">
              <w:t xml:space="preserve"> due to changes in sea surface temperature, ocean mixing, nutrient availability, chemical composition and vertical particle flux.</w:t>
            </w:r>
          </w:p>
        </w:tc>
        <w:tc>
          <w:tcPr>
            <w:tcW w:w="576" w:type="pct"/>
          </w:tcPr>
          <w:p w14:paraId="69E724EA" w14:textId="77777777" w:rsidR="00DA2301" w:rsidRPr="005D6D89" w:rsidRDefault="00DA2301" w:rsidP="00DA2301">
            <w:pPr>
              <w:pStyle w:val="TableText"/>
              <w:jc w:val="center"/>
              <w:rPr>
                <w:b/>
              </w:rPr>
            </w:pPr>
            <w:r w:rsidRPr="005D6D89">
              <w:t>55</w:t>
            </w:r>
          </w:p>
        </w:tc>
        <w:tc>
          <w:tcPr>
            <w:tcW w:w="740" w:type="pct"/>
            <w:shd w:val="clear" w:color="auto" w:fill="auto"/>
          </w:tcPr>
          <w:p w14:paraId="63802116" w14:textId="77777777" w:rsidR="00DA2301" w:rsidRPr="005D6D89" w:rsidRDefault="00DA2301" w:rsidP="00870462">
            <w:pPr>
              <w:pStyle w:val="TableText"/>
              <w:jc w:val="center"/>
            </w:pPr>
            <w:r w:rsidRPr="005D6D89">
              <w:t>Major</w:t>
            </w:r>
          </w:p>
        </w:tc>
      </w:tr>
      <w:tr w:rsidR="00DA2301" w:rsidRPr="005D6D89" w14:paraId="090DB025" w14:textId="77777777" w:rsidTr="00095C79">
        <w:tc>
          <w:tcPr>
            <w:tcW w:w="3685" w:type="pct"/>
            <w:shd w:val="clear" w:color="auto" w:fill="auto"/>
            <w:tcMar>
              <w:top w:w="0" w:type="dxa"/>
            </w:tcMar>
          </w:tcPr>
          <w:p w14:paraId="3113E249" w14:textId="77777777" w:rsidR="00DA2301" w:rsidRPr="005D6D89" w:rsidRDefault="00DA2301" w:rsidP="00B96E49">
            <w:pPr>
              <w:pStyle w:val="TableText"/>
            </w:pPr>
            <w:r w:rsidRPr="005D6D89">
              <w:t>N9 Risks to sub-alpine ecosystems</w:t>
            </w:r>
            <w:r w:rsidR="00B61730">
              <w:t>,</w:t>
            </w:r>
            <w:r w:rsidRPr="005D6D89">
              <w:t xml:space="preserve"> due to changes in temperature and a reduction in snow cover.</w:t>
            </w:r>
          </w:p>
        </w:tc>
        <w:tc>
          <w:tcPr>
            <w:tcW w:w="576" w:type="pct"/>
          </w:tcPr>
          <w:p w14:paraId="62DCEA80" w14:textId="77777777" w:rsidR="00DA2301" w:rsidRPr="005D6D89" w:rsidRDefault="00DA2301" w:rsidP="00DA2301">
            <w:pPr>
              <w:pStyle w:val="TableText"/>
              <w:jc w:val="center"/>
              <w:rPr>
                <w:b/>
              </w:rPr>
            </w:pPr>
            <w:r w:rsidRPr="005D6D89">
              <w:t>55</w:t>
            </w:r>
          </w:p>
        </w:tc>
        <w:tc>
          <w:tcPr>
            <w:tcW w:w="740" w:type="pct"/>
            <w:shd w:val="clear" w:color="auto" w:fill="auto"/>
          </w:tcPr>
          <w:p w14:paraId="501D247D" w14:textId="77777777" w:rsidR="00DA2301" w:rsidRPr="005D6D89" w:rsidRDefault="00DA2301" w:rsidP="00870462">
            <w:pPr>
              <w:pStyle w:val="TableText"/>
              <w:jc w:val="center"/>
            </w:pPr>
            <w:r w:rsidRPr="005D6D89">
              <w:t>Major</w:t>
            </w:r>
          </w:p>
        </w:tc>
      </w:tr>
      <w:tr w:rsidR="00DA2301" w:rsidRPr="005D6D89" w14:paraId="2D6481C4" w14:textId="77777777" w:rsidTr="00095C79">
        <w:tc>
          <w:tcPr>
            <w:tcW w:w="3685" w:type="pct"/>
            <w:shd w:val="clear" w:color="auto" w:fill="auto"/>
            <w:tcMar>
              <w:top w:w="0" w:type="dxa"/>
            </w:tcMar>
          </w:tcPr>
          <w:p w14:paraId="6D2B4205" w14:textId="77777777" w:rsidR="00DA2301" w:rsidRPr="005D6D89" w:rsidRDefault="00DA2301" w:rsidP="00B96E49">
            <w:pPr>
              <w:pStyle w:val="TableText"/>
            </w:pPr>
            <w:r w:rsidRPr="005D6D89">
              <w:t>N10 Risks to carbonate-based, hard-shelled species from ocean acidification</w:t>
            </w:r>
            <w:r w:rsidR="00B61730">
              <w:t>,</w:t>
            </w:r>
            <w:r w:rsidRPr="005D6D89">
              <w:t xml:space="preserve"> due to increased atmospheric concentrations of </w:t>
            </w:r>
            <w:r w:rsidRPr="005D6D89">
              <w:rPr>
                <w:color w:val="000000"/>
              </w:rPr>
              <w:t>CO</w:t>
            </w:r>
            <w:r w:rsidRPr="005D6D89">
              <w:rPr>
                <w:color w:val="000000"/>
                <w:vertAlign w:val="subscript"/>
              </w:rPr>
              <w:t>2</w:t>
            </w:r>
            <w:r w:rsidR="00B61730" w:rsidRPr="00B61730">
              <w:rPr>
                <w:color w:val="000000"/>
              </w:rPr>
              <w:t>.</w:t>
            </w:r>
          </w:p>
        </w:tc>
        <w:tc>
          <w:tcPr>
            <w:tcW w:w="576" w:type="pct"/>
          </w:tcPr>
          <w:p w14:paraId="2F90BE11" w14:textId="77777777" w:rsidR="00DA2301" w:rsidRPr="005D6D89" w:rsidRDefault="00DA2301" w:rsidP="00DA2301">
            <w:pPr>
              <w:pStyle w:val="TableText"/>
              <w:jc w:val="center"/>
              <w:rPr>
                <w:b/>
              </w:rPr>
            </w:pPr>
            <w:r w:rsidRPr="005D6D89">
              <w:t>55</w:t>
            </w:r>
          </w:p>
        </w:tc>
        <w:tc>
          <w:tcPr>
            <w:tcW w:w="740" w:type="pct"/>
            <w:shd w:val="clear" w:color="auto" w:fill="auto"/>
          </w:tcPr>
          <w:p w14:paraId="5ED85C94" w14:textId="77777777" w:rsidR="00DA2301" w:rsidRPr="005D6D89" w:rsidRDefault="00DA2301" w:rsidP="00870462">
            <w:pPr>
              <w:pStyle w:val="TableText"/>
              <w:jc w:val="center"/>
            </w:pPr>
            <w:r w:rsidRPr="005D6D89">
              <w:t>Major</w:t>
            </w:r>
          </w:p>
        </w:tc>
      </w:tr>
      <w:tr w:rsidR="00DA2301" w:rsidRPr="005D6D89" w14:paraId="47790DFB" w14:textId="77777777" w:rsidTr="00095C79">
        <w:tc>
          <w:tcPr>
            <w:tcW w:w="3685" w:type="pct"/>
            <w:shd w:val="clear" w:color="auto" w:fill="auto"/>
            <w:tcMar>
              <w:top w:w="0" w:type="dxa"/>
            </w:tcMar>
          </w:tcPr>
          <w:p w14:paraId="03D31A8B" w14:textId="77777777" w:rsidR="00DA2301" w:rsidRPr="005D6D89" w:rsidRDefault="00DA2301" w:rsidP="00B96E49">
            <w:pPr>
              <w:pStyle w:val="TableText"/>
            </w:pPr>
            <w:r w:rsidRPr="005D6D89">
              <w:t>N11 Risks to the long-term composition and stability of indigenous forest ecosystems</w:t>
            </w:r>
            <w:r w:rsidR="00B61730">
              <w:t>,</w:t>
            </w:r>
            <w:r w:rsidRPr="005D6D89">
              <w:t xml:space="preserve"> due to changes in temperature, rainfall, wind and drought.</w:t>
            </w:r>
          </w:p>
        </w:tc>
        <w:tc>
          <w:tcPr>
            <w:tcW w:w="576" w:type="pct"/>
          </w:tcPr>
          <w:p w14:paraId="54ADEDE8" w14:textId="77777777" w:rsidR="00DA2301" w:rsidRPr="005D6D89" w:rsidRDefault="00DA2301" w:rsidP="00DA2301">
            <w:pPr>
              <w:pStyle w:val="TableText"/>
              <w:jc w:val="center"/>
              <w:rPr>
                <w:b/>
              </w:rPr>
            </w:pPr>
            <w:r w:rsidRPr="005D6D89">
              <w:t>53</w:t>
            </w:r>
          </w:p>
        </w:tc>
        <w:tc>
          <w:tcPr>
            <w:tcW w:w="740" w:type="pct"/>
            <w:shd w:val="clear" w:color="auto" w:fill="auto"/>
          </w:tcPr>
          <w:p w14:paraId="2F8CCBF4" w14:textId="77777777" w:rsidR="00DA2301" w:rsidRPr="005D6D89" w:rsidRDefault="00DA2301" w:rsidP="00870462">
            <w:pPr>
              <w:pStyle w:val="TableText"/>
              <w:jc w:val="center"/>
            </w:pPr>
            <w:r w:rsidRPr="005D6D89">
              <w:t>Major</w:t>
            </w:r>
          </w:p>
        </w:tc>
      </w:tr>
      <w:tr w:rsidR="00DA2301" w:rsidRPr="005D6D89" w14:paraId="2E3AE8B2" w14:textId="77777777" w:rsidTr="00095C79">
        <w:tc>
          <w:tcPr>
            <w:tcW w:w="3685" w:type="pct"/>
            <w:shd w:val="clear" w:color="auto" w:fill="auto"/>
            <w:tcMar>
              <w:top w:w="0" w:type="dxa"/>
            </w:tcMar>
          </w:tcPr>
          <w:p w14:paraId="0A1A34D2" w14:textId="77777777" w:rsidR="00DA2301" w:rsidRPr="005D6D89" w:rsidRDefault="00DA2301" w:rsidP="00B96E49">
            <w:pPr>
              <w:pStyle w:val="TableText"/>
            </w:pPr>
            <w:r w:rsidRPr="005D6D89">
              <w:t>N12 Risks to the diverse range of threatened and endangered species that are dependent on New Zealand</w:t>
            </w:r>
            <w:r w:rsidR="001200EA">
              <w:t>’</w:t>
            </w:r>
            <w:r w:rsidRPr="005D6D89">
              <w:t>s offshore islands for their continued survival</w:t>
            </w:r>
            <w:r w:rsidR="00B61730">
              <w:t>,</w:t>
            </w:r>
            <w:r w:rsidRPr="005D6D89">
              <w:t xml:space="preserve"> due to ongoing sea-level rise, changes in terrestrial climates, and changes in ocean chemistry and productivity.</w:t>
            </w:r>
          </w:p>
        </w:tc>
        <w:tc>
          <w:tcPr>
            <w:tcW w:w="576" w:type="pct"/>
          </w:tcPr>
          <w:p w14:paraId="2A691F94" w14:textId="77777777" w:rsidR="00DA2301" w:rsidRPr="005D6D89" w:rsidRDefault="00DA2301" w:rsidP="00DA2301">
            <w:pPr>
              <w:pStyle w:val="TableText"/>
              <w:jc w:val="center"/>
              <w:rPr>
                <w:b/>
              </w:rPr>
            </w:pPr>
            <w:r w:rsidRPr="005D6D89">
              <w:t>45</w:t>
            </w:r>
          </w:p>
        </w:tc>
        <w:tc>
          <w:tcPr>
            <w:tcW w:w="740" w:type="pct"/>
            <w:shd w:val="clear" w:color="auto" w:fill="auto"/>
          </w:tcPr>
          <w:p w14:paraId="1DED2897" w14:textId="77777777" w:rsidR="00DA2301" w:rsidRPr="005D6D89" w:rsidRDefault="00DA2301" w:rsidP="00870462">
            <w:pPr>
              <w:pStyle w:val="TableText"/>
              <w:jc w:val="center"/>
            </w:pPr>
            <w:r w:rsidRPr="005D6D89">
              <w:t>Major</w:t>
            </w:r>
          </w:p>
        </w:tc>
      </w:tr>
    </w:tbl>
    <w:bookmarkEnd w:id="295"/>
    <w:p w14:paraId="24FDC537" w14:textId="77777777" w:rsidR="00F37C95" w:rsidRPr="005D6D89" w:rsidRDefault="00F37C95" w:rsidP="00B96E49">
      <w:pPr>
        <w:pStyle w:val="Note"/>
        <w:spacing w:after="0"/>
      </w:pPr>
      <w:r w:rsidRPr="005D6D89">
        <w:t>* Urgency rating: the adaptation and decision urgency rating for this risk.</w:t>
      </w:r>
    </w:p>
    <w:p w14:paraId="36838C93" w14:textId="134EE2D3" w:rsidR="00F37C95" w:rsidRPr="005D6D89" w:rsidRDefault="00F37C95" w:rsidP="00B96E49">
      <w:pPr>
        <w:pStyle w:val="Note"/>
        <w:spacing w:after="0"/>
      </w:pPr>
      <w:bookmarkStart w:id="296" w:name="_Toc35812351"/>
      <w:bookmarkStart w:id="297" w:name="_Toc37255772"/>
      <w:bookmarkStart w:id="298" w:name="_Toc37393673"/>
      <w:r w:rsidRPr="005D6D89">
        <w:t>**Consequence rating: the highest consequence rating for this risk out of all three periods (now, 2050, 2100).</w:t>
      </w:r>
      <w:r w:rsidR="00027F9F" w:rsidRPr="005D6D89">
        <w:t xml:space="preserve"> </w:t>
      </w:r>
      <w:r w:rsidRPr="005D6D89">
        <w:t xml:space="preserve">The </w:t>
      </w:r>
      <w:hyperlink r:id="rId53" w:history="1">
        <w:r w:rsidR="00E546F8" w:rsidRPr="00E546F8">
          <w:rPr>
            <w:rStyle w:val="Hyperlink"/>
          </w:rPr>
          <w:t>technical report</w:t>
        </w:r>
      </w:hyperlink>
      <w:r w:rsidRPr="005D6D89">
        <w:t xml:space="preserve"> provides the consequence rating for each risk and period.</w:t>
      </w:r>
    </w:p>
    <w:p w14:paraId="6FB4A2B7" w14:textId="77777777" w:rsidR="00F37C95" w:rsidRPr="005D6D89" w:rsidRDefault="00F37C95" w:rsidP="00812D16">
      <w:pPr>
        <w:pStyle w:val="Heading3"/>
        <w:numPr>
          <w:ilvl w:val="0"/>
          <w:numId w:val="28"/>
        </w:numPr>
      </w:pPr>
      <w:bookmarkStart w:id="299" w:name="_Toc37784884"/>
      <w:bookmarkStart w:id="300" w:name="_Toc40699355"/>
      <w:bookmarkEnd w:id="296"/>
      <w:bookmarkEnd w:id="297"/>
      <w:bookmarkEnd w:id="298"/>
      <w:r w:rsidRPr="005D6D89">
        <w:t>Most significant risks</w:t>
      </w:r>
      <w:bookmarkEnd w:id="299"/>
      <w:bookmarkEnd w:id="300"/>
    </w:p>
    <w:p w14:paraId="7FD332F9" w14:textId="77777777" w:rsidR="00F37C95" w:rsidRPr="005D6D89" w:rsidRDefault="00F37C95" w:rsidP="00EE6664">
      <w:pPr>
        <w:pStyle w:val="Heading4"/>
        <w:spacing w:before="240"/>
      </w:pPr>
      <w:r w:rsidRPr="005D6D89">
        <w:t>N1 Risks to coastal ecosystems, including the intertidal zone, estuaries, dunes,</w:t>
      </w:r>
      <w:r w:rsidR="00705ED3" w:rsidRPr="005D6D89">
        <w:t> </w:t>
      </w:r>
      <w:r w:rsidRPr="005D6D89">
        <w:t>coastal lakes and wetlands, due to ongoing sea-level rise and extreme weather</w:t>
      </w:r>
      <w:r w:rsidR="009638AD" w:rsidRPr="005D6D89">
        <w:t> </w:t>
      </w:r>
      <w:r w:rsidRPr="005D6D89">
        <w:t xml:space="preserve">events </w:t>
      </w:r>
    </w:p>
    <w:p w14:paraId="64577B42" w14:textId="77777777" w:rsidR="00F37C95" w:rsidRPr="005D6D89" w:rsidRDefault="00F37C95" w:rsidP="009638AD">
      <w:pPr>
        <w:pStyle w:val="Heading5"/>
      </w:pPr>
      <w:r w:rsidRPr="005D6D89">
        <w:t>Risk summary</w:t>
      </w:r>
    </w:p>
    <w:p w14:paraId="0B20761C" w14:textId="77777777" w:rsidR="00F37C95" w:rsidRPr="005D6D89" w:rsidRDefault="00F37C95" w:rsidP="00EC21B0">
      <w:pPr>
        <w:pStyle w:val="BodyText"/>
        <w:spacing w:before="100" w:after="100"/>
      </w:pPr>
      <w:bookmarkStart w:id="301" w:name="_Hlk36654068"/>
      <w:r w:rsidRPr="005D6D89">
        <w:t>Climate change will affect coastal ecosystems in various ways, with a strong potential for wider effects on the more inland ecosystems to which they are connected (O</w:t>
      </w:r>
      <w:r w:rsidR="001200EA">
        <w:t>’</w:t>
      </w:r>
      <w:r w:rsidRPr="005D6D89">
        <w:t xml:space="preserve">Meara, Hillman, and Thrush, 2017). Sea-level rise, mainly expressed as ongoing gradual change, </w:t>
      </w:r>
      <w:proofErr w:type="gramStart"/>
      <w:r w:rsidRPr="005D6D89">
        <w:t>can be expected</w:t>
      </w:r>
      <w:proofErr w:type="gramEnd"/>
      <w:r w:rsidRPr="005D6D89">
        <w:t xml:space="preserve"> to affect coastal ecosystems in various ways and is likely to be exacerbated by discrete but sporadic extreme storm events. Moderate storm and flooding events are also likely to increase in frequency and sequencing, causing recurring stress on coastal ecosystems. </w:t>
      </w:r>
    </w:p>
    <w:p w14:paraId="775FCF8F" w14:textId="77777777" w:rsidR="00F37C95" w:rsidRPr="005D6D89" w:rsidRDefault="00F37C95" w:rsidP="00EC21B0">
      <w:pPr>
        <w:pStyle w:val="BodyText"/>
        <w:spacing w:before="100" w:after="100"/>
      </w:pPr>
      <w:r w:rsidRPr="005D6D89">
        <w:t xml:space="preserve">This combination of gradual change and episodic extreme events </w:t>
      </w:r>
      <w:proofErr w:type="gramStart"/>
      <w:r w:rsidRPr="005D6D89">
        <w:t>can be expected</w:t>
      </w:r>
      <w:proofErr w:type="gramEnd"/>
      <w:r w:rsidRPr="005D6D89">
        <w:t xml:space="preserve"> to become more severe over time and profoundly affect indigenous ecosystems of the intertidal zone, estuaries, dune systems, coastal wetlands, and coastal rivers, streams and lakes, along with the</w:t>
      </w:r>
      <w:r w:rsidR="00EC21B0" w:rsidRPr="005D6D89">
        <w:t> </w:t>
      </w:r>
      <w:r w:rsidRPr="005D6D89">
        <w:t>species they support. Existing human-induced pressures will intensify these effects. This includes direct effects such as coastal development and other land-use</w:t>
      </w:r>
      <w:r w:rsidR="00B61730">
        <w:t xml:space="preserve"> </w:t>
      </w:r>
      <w:r w:rsidRPr="005D6D89">
        <w:t xml:space="preserve">changes that result in sediment runoff and lower water quality, and the more indirect effect of physical occupation of coastal sites. The latter reduces the availability of sites for landward migration by ecosystems and species as sea levels rise. This phenomenon </w:t>
      </w:r>
      <w:proofErr w:type="gramStart"/>
      <w:r w:rsidRPr="005D6D89">
        <w:t>is known</w:t>
      </w:r>
      <w:proofErr w:type="gramEnd"/>
      <w:r w:rsidRPr="005D6D89">
        <w:t xml:space="preserve"> as coastal squeeze (Rouse</w:t>
      </w:r>
      <w:r w:rsidR="00B61730">
        <w:t xml:space="preserve"> et al</w:t>
      </w:r>
      <w:r w:rsidRPr="005D6D89">
        <w:t xml:space="preserve">, 2017). </w:t>
      </w:r>
    </w:p>
    <w:p w14:paraId="31AA946A" w14:textId="77777777" w:rsidR="00F37C95" w:rsidRPr="005D6D89" w:rsidRDefault="00F37C95" w:rsidP="009638AD">
      <w:pPr>
        <w:pStyle w:val="Heading5"/>
      </w:pPr>
      <w:bookmarkStart w:id="302" w:name="_Hlk36832679"/>
      <w:bookmarkEnd w:id="301"/>
      <w:r w:rsidRPr="005D6D89">
        <w:t>Exposure</w:t>
      </w:r>
    </w:p>
    <w:p w14:paraId="780C7CE6" w14:textId="77777777" w:rsidR="00F37C95" w:rsidRPr="005D6D89" w:rsidRDefault="00F37C95" w:rsidP="00EC21B0">
      <w:pPr>
        <w:pStyle w:val="BodyText"/>
        <w:spacing w:before="100" w:after="100"/>
      </w:pPr>
      <w:r w:rsidRPr="005D6D89">
        <w:t xml:space="preserve">Extreme storm events and the ongoing gradual threat of sea-level rise </w:t>
      </w:r>
      <w:proofErr w:type="gramStart"/>
      <w:r w:rsidRPr="005D6D89">
        <w:t>are projected</w:t>
      </w:r>
      <w:proofErr w:type="gramEnd"/>
      <w:r w:rsidRPr="005D6D89">
        <w:t xml:space="preserve"> to become more frequent and severe towards the end of the century. Rising sea levels will affect</w:t>
      </w:r>
      <w:r w:rsidR="00EC21B0" w:rsidRPr="005D6D89">
        <w:t> </w:t>
      </w:r>
      <w:r w:rsidRPr="005D6D89">
        <w:t xml:space="preserve">coastal areas throughout New Zealand, adding to the increase of 20 cm that has already occurred since 1900 (Ministry for the Environment, 2017b). See </w:t>
      </w:r>
      <w:hyperlink w:anchor="_Climate_change_in" w:history="1">
        <w:r w:rsidRPr="00D03620">
          <w:rPr>
            <w:rStyle w:val="Hyperlink"/>
          </w:rPr>
          <w:t xml:space="preserve">section </w:t>
        </w:r>
        <w:r w:rsidR="00D03620" w:rsidRPr="00D03620">
          <w:rPr>
            <w:rStyle w:val="Hyperlink"/>
          </w:rPr>
          <w:t>4</w:t>
        </w:r>
      </w:hyperlink>
      <w:r w:rsidRPr="005D6D89">
        <w:t xml:space="preserve"> for more detail. More frequent storm events will pose a significant risk to ecosystems and species through direct physical damage (eg, wave surge), and increased sediment deposition.</w:t>
      </w:r>
    </w:p>
    <w:p w14:paraId="12206DF5" w14:textId="77777777" w:rsidR="00F37C95" w:rsidRPr="005D6D89" w:rsidRDefault="00F37C95" w:rsidP="00EC21B0">
      <w:pPr>
        <w:pStyle w:val="BodyText"/>
        <w:spacing w:before="100" w:after="100"/>
      </w:pPr>
      <w:r w:rsidRPr="005D6D89">
        <w:t xml:space="preserve">Sea-level rise, coupled with more frequent, extreme storm events, will pose direct and major risks to the integrity of a diverse range of coastal ecosystems, including mangroves, dunes, estuaries, salt marsh, coastal turfs, boulder beaches and coastal cliffs. This will threaten the survival of many species that are restricted to the coastal zone, for example, the many threatened plant species in coastal turfs (Johnson and Rogers, 2003). </w:t>
      </w:r>
    </w:p>
    <w:p w14:paraId="012700C9" w14:textId="77777777" w:rsidR="00F37C95" w:rsidRPr="005D6D89" w:rsidRDefault="00F37C95" w:rsidP="00EC21B0">
      <w:pPr>
        <w:pStyle w:val="BodyText"/>
        <w:spacing w:before="100" w:after="100"/>
      </w:pPr>
      <w:r w:rsidRPr="005D6D89">
        <w:t>As sea levels rise, the zone of influence of tides will extend further inland, affecting lowland rivers, coastal lakes and wetlands. Inundation of low-lying areas from tides, storm surges and waves surpassing natural or human barriers</w:t>
      </w:r>
      <w:r w:rsidR="00B61730">
        <w:t>,</w:t>
      </w:r>
      <w:r w:rsidRPr="005D6D89">
        <w:t xml:space="preserve"> will become more frequent and widespread (Rouse</w:t>
      </w:r>
      <w:r w:rsidR="00B61730">
        <w:t xml:space="preserve"> et al</w:t>
      </w:r>
      <w:r w:rsidRPr="005D6D89">
        <w:t>, 2017). For example, a 1 m sea-level rise will result in salinity intrusion extending up to 5 km further inland up the Waihou River on the Hauraki Plains (McBride</w:t>
      </w:r>
      <w:r w:rsidR="00B61730">
        <w:t xml:space="preserve"> et al</w:t>
      </w:r>
      <w:r w:rsidRPr="005D6D89">
        <w:t xml:space="preserve">, 2016). </w:t>
      </w:r>
    </w:p>
    <w:bookmarkEnd w:id="302"/>
    <w:p w14:paraId="5055DC03" w14:textId="77777777" w:rsidR="00F37C95" w:rsidRPr="005D6D89" w:rsidRDefault="00F37C95" w:rsidP="009638AD">
      <w:pPr>
        <w:pStyle w:val="Heading5"/>
      </w:pPr>
      <w:r w:rsidRPr="005D6D89">
        <w:t>Sensitivity</w:t>
      </w:r>
    </w:p>
    <w:p w14:paraId="08E63364" w14:textId="77777777" w:rsidR="00F37C95" w:rsidRPr="005D6D89" w:rsidRDefault="00F37C95" w:rsidP="00EC21B0">
      <w:pPr>
        <w:pStyle w:val="BodyText"/>
        <w:spacing w:before="100" w:after="100"/>
      </w:pPr>
      <w:r w:rsidRPr="005D6D89">
        <w:t>A recent national analysis of the susceptibility of New Zealand</w:t>
      </w:r>
      <w:r w:rsidR="001200EA">
        <w:t>’</w:t>
      </w:r>
      <w:r w:rsidRPr="005D6D89">
        <w:t>s shoreline (Rouse</w:t>
      </w:r>
      <w:r w:rsidR="00B61730">
        <w:t xml:space="preserve"> et al</w:t>
      </w:r>
      <w:r w:rsidRPr="005D6D89">
        <w:t>, 2017) concluded the east coasts of the North and South Islands are likely to be more sensitive to</w:t>
      </w:r>
      <w:r w:rsidR="009E6D7D" w:rsidRPr="005D6D89">
        <w:t> </w:t>
      </w:r>
      <w:r w:rsidR="00B61730">
        <w:t>climate change-</w:t>
      </w:r>
      <w:r w:rsidRPr="005D6D89">
        <w:t>induced coastal inundation and erosion,</w:t>
      </w:r>
      <w:r w:rsidR="00B61730">
        <w:t xml:space="preserve"> reflecting their currently low-wave exposure, low-</w:t>
      </w:r>
      <w:r w:rsidRPr="005D6D89">
        <w:t>tidal range, and deficits in sediments near tidal inlets. By contrast, the west coasts of both islands have a lower sensitivity due to their exposu</w:t>
      </w:r>
      <w:r w:rsidR="00B61730">
        <w:t>re to high-</w:t>
      </w:r>
      <w:r w:rsidRPr="005D6D89">
        <w:t>wave energy (Rouse</w:t>
      </w:r>
      <w:r w:rsidR="00B61730">
        <w:t xml:space="preserve"> et al</w:t>
      </w:r>
      <w:r w:rsidRPr="005D6D89">
        <w:t xml:space="preserve">, 2017). </w:t>
      </w:r>
    </w:p>
    <w:p w14:paraId="024E292C" w14:textId="77777777" w:rsidR="00F37C95" w:rsidRPr="005D6D89" w:rsidRDefault="00F37C95" w:rsidP="00970097">
      <w:pPr>
        <w:pStyle w:val="BodyText"/>
      </w:pPr>
      <w:r w:rsidRPr="005D6D89">
        <w:t xml:space="preserve">Natural responses to these risks </w:t>
      </w:r>
      <w:proofErr w:type="gramStart"/>
      <w:r w:rsidRPr="005D6D89">
        <w:t>will be impeded</w:t>
      </w:r>
      <w:proofErr w:type="gramEnd"/>
      <w:r w:rsidRPr="005D6D89">
        <w:t xml:space="preserve"> in many locations by existing high-intensity human use and development in the coastal zone, particularly where there is </w:t>
      </w:r>
      <w:r w:rsidRPr="00B61730">
        <w:t>coastal squeeze</w:t>
      </w:r>
      <w:r w:rsidRPr="005D6D89">
        <w:rPr>
          <w:highlight w:val="yellow"/>
        </w:rPr>
        <w:t xml:space="preserve"> </w:t>
      </w:r>
      <w:r w:rsidRPr="005D6D89">
        <w:t>(Rouse</w:t>
      </w:r>
      <w:r w:rsidR="00B61730">
        <w:t xml:space="preserve"> et al</w:t>
      </w:r>
      <w:r w:rsidRPr="005D6D89">
        <w:t>, 2017).</w:t>
      </w:r>
    </w:p>
    <w:p w14:paraId="0B8E260C" w14:textId="77777777" w:rsidR="00F37C95" w:rsidRPr="005D6D89" w:rsidRDefault="00F37C95" w:rsidP="009638AD">
      <w:pPr>
        <w:pStyle w:val="Heading5"/>
      </w:pPr>
      <w:bookmarkStart w:id="303" w:name="_Hlk36832694"/>
      <w:r w:rsidRPr="005D6D89">
        <w:t>Adaptive capacity</w:t>
      </w:r>
    </w:p>
    <w:p w14:paraId="67566284" w14:textId="77777777" w:rsidR="00F37C95" w:rsidRPr="005D6D89" w:rsidRDefault="00F37C95" w:rsidP="00970097">
      <w:pPr>
        <w:pStyle w:val="BodyText"/>
      </w:pPr>
      <w:bookmarkStart w:id="304" w:name="_Hlk36832151"/>
      <w:r w:rsidRPr="005D6D89">
        <w:t>In the absence of human-induced pressures, many coastal ecosystems and species would be able to adapt in some way. However, most are exposed to the effects of introduced species, inputs of nutrients and sediments (eg, from agri</w:t>
      </w:r>
      <w:r w:rsidR="00B61730">
        <w:t>cultural practices, see Wilcock</w:t>
      </w:r>
      <w:r w:rsidRPr="005D6D89">
        <w:t xml:space="preserve"> et al, 2011), and direct disturbance from activities such as subdivisions and the construction of buildings, roads, marinas and other structures. This is likely to reduce their adaptive capacity</w:t>
      </w:r>
      <w:r w:rsidR="007473BA">
        <w:t xml:space="preserve"> substantially</w:t>
      </w:r>
      <w:r w:rsidRPr="005D6D89">
        <w:t>, particularly where there is intensive human activity such as around towns and cities. Ecosystems and species that are more tolerant of periodic exposure to saline waters are likely to have a greater adaptive capacity, as well as those having some degree of dispersal ability.</w:t>
      </w:r>
      <w:r w:rsidR="00027F9F" w:rsidRPr="005D6D89">
        <w:t xml:space="preserve"> </w:t>
      </w:r>
    </w:p>
    <w:p w14:paraId="780E4FB6" w14:textId="77777777" w:rsidR="00F37C95" w:rsidRPr="005D6D89" w:rsidRDefault="00F37C95" w:rsidP="00970097">
      <w:pPr>
        <w:pStyle w:val="BodyText"/>
      </w:pPr>
      <w:r w:rsidRPr="005D6D89">
        <w:t>The adaptive capacity of coastal ecosystems will rely somewhat on effective management, rather than on their own characteristics.</w:t>
      </w:r>
    </w:p>
    <w:bookmarkEnd w:id="303"/>
    <w:bookmarkEnd w:id="304"/>
    <w:p w14:paraId="5814EE01" w14:textId="77777777" w:rsidR="00F37C95" w:rsidRPr="005D6D89" w:rsidRDefault="00F37C95" w:rsidP="009638AD">
      <w:pPr>
        <w:pStyle w:val="Heading5"/>
      </w:pPr>
      <w:r w:rsidRPr="005D6D89">
        <w:t xml:space="preserve">Consequence </w:t>
      </w:r>
    </w:p>
    <w:p w14:paraId="35FB83FD" w14:textId="77777777" w:rsidR="00F37C95" w:rsidRPr="005D6D89" w:rsidRDefault="00F37C95" w:rsidP="00F714C9">
      <w:pPr>
        <w:pStyle w:val="BodyText"/>
      </w:pPr>
      <w:bookmarkStart w:id="305" w:name="_Hlk36832118"/>
      <w:r w:rsidRPr="005D6D89">
        <w:t>Sea-level rise, coupled with more frequent, extreme storms, will pose risks to a broad range of</w:t>
      </w:r>
      <w:r w:rsidR="00041E9C" w:rsidRPr="005D6D89">
        <w:t> </w:t>
      </w:r>
      <w:r w:rsidRPr="005D6D89">
        <w:t>coastal ecosystems and threaten many species, including many found only in coastal environments. This includes highly productive coastal ecosystems with important breeding, roosting and foraging habitat for indigenous bird species. Some, including Kaipara Harbour, the</w:t>
      </w:r>
      <w:r w:rsidR="00041E9C" w:rsidRPr="005D6D89">
        <w:t> </w:t>
      </w:r>
      <w:r w:rsidRPr="005D6D89">
        <w:t xml:space="preserve">Firth of Thames and Farewell Spit, provide crucial habitat for internationally significant migratory bird species (McGlone and Walker, 2011). Others provide important nursery habitat for juvenile fish (Francis et al, 2011). </w:t>
      </w:r>
    </w:p>
    <w:p w14:paraId="0D0362C5" w14:textId="77777777" w:rsidR="00F37C95" w:rsidRPr="005D6D89" w:rsidRDefault="00F37C95" w:rsidP="00F714C9">
      <w:pPr>
        <w:pStyle w:val="BodyText"/>
      </w:pPr>
      <w:r w:rsidRPr="005D6D89">
        <w:t xml:space="preserve">Salinity intrusions into currently freshwater ecosystems will lead to changes in the distribution of species. For example, Lake Waihola </w:t>
      </w:r>
      <w:proofErr w:type="gramStart"/>
      <w:r w:rsidRPr="005D6D89">
        <w:t>is predicted</w:t>
      </w:r>
      <w:proofErr w:type="gramEnd"/>
      <w:r w:rsidRPr="005D6D89">
        <w:t xml:space="preserve"> to shift</w:t>
      </w:r>
      <w:r w:rsidR="007473BA">
        <w:t xml:space="preserve"> progressively</w:t>
      </w:r>
      <w:r w:rsidRPr="005D6D89">
        <w:t xml:space="preserve"> to a greater dominance by estuarine and marine species. Although this will increase the richness of salt</w:t>
      </w:r>
      <w:r w:rsidR="00101A8F">
        <w:noBreakHyphen/>
      </w:r>
      <w:r w:rsidRPr="005D6D89">
        <w:t xml:space="preserve">tolerant species, it is likely to </w:t>
      </w:r>
      <w:proofErr w:type="gramStart"/>
      <w:r w:rsidRPr="005D6D89">
        <w:t>be offset</w:t>
      </w:r>
      <w:proofErr w:type="gramEnd"/>
      <w:r w:rsidRPr="005D6D89">
        <w:t xml:space="preserve"> by losses of indigenous freshwater species (Schallenberg, Hall, and Burns, 2003). Risks of invasion by more salt-tolerant, introduced species will increase where these changes trigger mortality events among indigenous species.</w:t>
      </w:r>
    </w:p>
    <w:p w14:paraId="55F0DB95" w14:textId="77777777" w:rsidR="00F37C95" w:rsidRPr="005D6D89" w:rsidRDefault="00F37C95" w:rsidP="00F714C9">
      <w:pPr>
        <w:pStyle w:val="BodyText"/>
      </w:pPr>
      <w:r w:rsidRPr="005D6D89">
        <w:t>More frequent storm events pose a risk to ecosystems and species through direct physical damage (eg, wave surge), and increased sedimentation. The latter is likely to have negative impacts on inshore and estuarine marine ecosystems by reducing light, increasing turbidity and reduci</w:t>
      </w:r>
      <w:r w:rsidR="00B61730">
        <w:t>ng primary productivity (Thrush</w:t>
      </w:r>
      <w:r w:rsidRPr="005D6D89">
        <w:t xml:space="preserve"> et al, 2004). Changes in sediment size can also reduce habitat suitability for current species, in some cases directly causing mortality – for example, when fine silt covers coarser sandy sediments (Rouse</w:t>
      </w:r>
      <w:r w:rsidR="00B61730">
        <w:t xml:space="preserve"> et al</w:t>
      </w:r>
      <w:r w:rsidRPr="005D6D89">
        <w:t xml:space="preserve">, 2017). </w:t>
      </w:r>
    </w:p>
    <w:p w14:paraId="1424CFEE" w14:textId="77777777" w:rsidR="00F37C95" w:rsidRPr="005D6D89" w:rsidRDefault="00F37C95" w:rsidP="00F714C9">
      <w:pPr>
        <w:pStyle w:val="BodyText"/>
      </w:pPr>
      <w:r w:rsidRPr="005D6D89">
        <w:t>High human use and development in the coastal zone will hamper responses to these risks.</w:t>
      </w:r>
    </w:p>
    <w:bookmarkEnd w:id="305"/>
    <w:p w14:paraId="6349870B" w14:textId="77777777" w:rsidR="00F37C95" w:rsidRPr="005D6D89" w:rsidRDefault="00F37C95" w:rsidP="009638AD">
      <w:pPr>
        <w:pStyle w:val="Heading5"/>
      </w:pPr>
      <w:r w:rsidRPr="005D6D89">
        <w:t xml:space="preserve">Interacting risks </w:t>
      </w:r>
    </w:p>
    <w:p w14:paraId="16CEA9EF" w14:textId="77777777" w:rsidR="00F37C95" w:rsidRPr="005D6D89" w:rsidRDefault="00F37C95" w:rsidP="00F714C9">
      <w:pPr>
        <w:pStyle w:val="BodyText"/>
      </w:pPr>
      <w:bookmarkStart w:id="306" w:name="_Hlk36832129"/>
      <w:r w:rsidRPr="005D6D89">
        <w:t xml:space="preserve">Impacts on coastal ecosystems will interact with oceanic productivity and functioning (N8) and will have cascading impacts on reliant bird species (N5). Freshwater ecosystems (N3, N4 and N6) </w:t>
      </w:r>
      <w:proofErr w:type="gramStart"/>
      <w:r w:rsidRPr="005D6D89">
        <w:t>may be affected</w:t>
      </w:r>
      <w:proofErr w:type="gramEnd"/>
      <w:r w:rsidRPr="005D6D89">
        <w:t xml:space="preserve"> through saline intrusion due to coastal inundation. </w:t>
      </w:r>
    </w:p>
    <w:p w14:paraId="1159EFBF" w14:textId="77777777" w:rsidR="00F37C95" w:rsidRPr="005D6D89" w:rsidRDefault="00F37C95" w:rsidP="00815C4C">
      <w:pPr>
        <w:pStyle w:val="BodyText"/>
        <w:spacing w:before="100" w:after="100"/>
      </w:pPr>
      <w:r w:rsidRPr="005D6D89">
        <w:t xml:space="preserve">Coastal environments </w:t>
      </w:r>
      <w:proofErr w:type="gramStart"/>
      <w:r w:rsidRPr="005D6D89">
        <w:t>are innately connected</w:t>
      </w:r>
      <w:proofErr w:type="gramEnd"/>
      <w:r w:rsidRPr="005D6D89">
        <w:t xml:space="preserve"> with social and economic systems. Disruption of coastal ecosystems will have cascading impacts on these systems as well. Impacts on coastal ecosystems will affect the tourism sector (E4) as well as fisheries and aquaculture (E5). </w:t>
      </w:r>
      <w:bookmarkStart w:id="307" w:name="_Hlk40101775"/>
      <w:r w:rsidRPr="005D6D89">
        <w:t>Ongoing sea-level rise and extreme storm events will also pose a threat to New Zealand</w:t>
      </w:r>
      <w:r w:rsidR="001200EA">
        <w:t>’</w:t>
      </w:r>
      <w:r w:rsidRPr="005D6D89">
        <w:t xml:space="preserve">s coastal development (B2), which is likely to displace coastal communities (H1), and to Māori social, economic, cultural capital, cultural heritage values, and spiritual wellbeing where this is strongly connected to coastal ecosystems (H5, H6 and H8). </w:t>
      </w:r>
      <w:bookmarkEnd w:id="307"/>
    </w:p>
    <w:p w14:paraId="424F3586" w14:textId="77777777" w:rsidR="00F37C95" w:rsidRPr="005D6D89" w:rsidRDefault="00F37C95" w:rsidP="00815C4C">
      <w:pPr>
        <w:pStyle w:val="BodyText"/>
        <w:spacing w:before="100" w:after="100"/>
      </w:pPr>
      <w:r w:rsidRPr="005D6D89">
        <w:t>There is a risk that uncoordinated governance will result in inadequate or maladaptive actions to protect coastal ecosystems and manage retreat. This will have significant consequences for coastal ecosystems, as well as social and economic systems (G1). Effective governance will be key in building adaptive capacity for coastal environments. However, there is a risk in our ability to understand, predict and respond to climate change impacts on biodiversity, due to under-investment in biodiversity science (G5). There is also a risk of failing to allocate timely and effective funding for conservation management (G2).</w:t>
      </w:r>
      <w:bookmarkEnd w:id="306"/>
    </w:p>
    <w:p w14:paraId="73C525ED" w14:textId="77777777" w:rsidR="00F37C95" w:rsidRPr="005D6D89" w:rsidRDefault="00F37C95" w:rsidP="00815C4C">
      <w:pPr>
        <w:pStyle w:val="Heading5"/>
        <w:spacing w:before="200"/>
      </w:pPr>
      <w:r w:rsidRPr="005D6D89">
        <w:t xml:space="preserve">Confidence: High agreement, medium evidence </w:t>
      </w:r>
    </w:p>
    <w:p w14:paraId="6D4CE38A" w14:textId="77777777" w:rsidR="00F37C95" w:rsidRPr="005D6D89" w:rsidRDefault="00F37C95" w:rsidP="00815C4C">
      <w:pPr>
        <w:pStyle w:val="BodyText"/>
        <w:spacing w:before="100" w:after="100"/>
      </w:pPr>
      <w:proofErr w:type="gramStart"/>
      <w:r w:rsidRPr="005D6D89">
        <w:t>There is a high level of agreement that ongoing sea-level rise and extreme storm events will result in coastal inundation and salinity intrusion</w:t>
      </w:r>
      <w:r w:rsidR="007473BA">
        <w:t>.</w:t>
      </w:r>
      <w:proofErr w:type="gramEnd"/>
      <w:r w:rsidR="007473BA">
        <w:t xml:space="preserve"> This</w:t>
      </w:r>
      <w:r w:rsidRPr="005D6D89">
        <w:t>, in turn</w:t>
      </w:r>
      <w:r w:rsidR="007473BA">
        <w:t xml:space="preserve">, will degrade </w:t>
      </w:r>
      <w:r w:rsidRPr="005D6D89">
        <w:t>a wide range of coastal ecosystems and species. Although there is very strong agreement on the mechanisms driving</w:t>
      </w:r>
      <w:r w:rsidR="00A0377F" w:rsidRPr="005D6D89">
        <w:t> </w:t>
      </w:r>
      <w:r w:rsidRPr="005D6D89">
        <w:t>this risk, and reasonable knowledge about impact pathways, there are still extensive knowledge gaps in how these effects will manifest for particular ecosystems and species, and</w:t>
      </w:r>
      <w:r w:rsidR="00A0377F" w:rsidRPr="005D6D89">
        <w:t> </w:t>
      </w:r>
      <w:r w:rsidRPr="005D6D89">
        <w:t>in different locations.</w:t>
      </w:r>
    </w:p>
    <w:p w14:paraId="39C21B72" w14:textId="77777777" w:rsidR="00F37C95" w:rsidRPr="005D6D89" w:rsidRDefault="00F37C95" w:rsidP="00815C4C">
      <w:pPr>
        <w:pStyle w:val="Heading5"/>
        <w:spacing w:before="200"/>
      </w:pPr>
      <w:r w:rsidRPr="005D6D89">
        <w:t>Adaptation</w:t>
      </w:r>
    </w:p>
    <w:p w14:paraId="66A3B70F" w14:textId="77777777" w:rsidR="00F37C95" w:rsidRPr="005D6D89" w:rsidRDefault="00F37C95" w:rsidP="00815C4C">
      <w:pPr>
        <w:pStyle w:val="BodyText"/>
        <w:spacing w:before="100" w:after="100"/>
      </w:pPr>
      <w:r w:rsidRPr="005D6D89">
        <w:t xml:space="preserve">Current action to manage the risk to coastal ecosystems due to sea-level rise </w:t>
      </w:r>
      <w:proofErr w:type="gramStart"/>
      <w:r w:rsidRPr="005D6D89">
        <w:t>is being driven</w:t>
      </w:r>
      <w:proofErr w:type="gramEnd"/>
      <w:r w:rsidRPr="005D6D89">
        <w:t xml:space="preserve"> by regional councils and local community groups. However, this </w:t>
      </w:r>
      <w:proofErr w:type="gramStart"/>
      <w:r w:rsidRPr="005D6D89">
        <w:t>is mostly focused</w:t>
      </w:r>
      <w:proofErr w:type="gramEnd"/>
      <w:r w:rsidRPr="005D6D89">
        <w:t xml:space="preserve"> on protecting human infrastructure rather than biodiversity. Actions include the development of frameworks, implementation plans and community engagement. </w:t>
      </w:r>
    </w:p>
    <w:p w14:paraId="31B2A1B4" w14:textId="77777777" w:rsidR="00F37C95" w:rsidRDefault="00F37C95" w:rsidP="00815C4C">
      <w:pPr>
        <w:pStyle w:val="BodyText"/>
        <w:spacing w:before="100" w:after="100"/>
      </w:pPr>
      <w:r w:rsidRPr="005D6D89">
        <w:t>Regions that are highly exposed, such as Hawke</w:t>
      </w:r>
      <w:r w:rsidR="001200EA">
        <w:t>’</w:t>
      </w:r>
      <w:r w:rsidRPr="005D6D89">
        <w:t>s Bay, have coastal hazard strategies that define the problem, and a framework for decision-making. They apply this to hazard risk response, and outline actions (Hawke</w:t>
      </w:r>
      <w:r w:rsidR="001200EA">
        <w:t>’</w:t>
      </w:r>
      <w:r w:rsidRPr="005D6D89">
        <w:t>s Bay Regional Council, 2016; Bendall, 2018). The Takutai</w:t>
      </w:r>
      <w:r w:rsidR="00A0377F" w:rsidRPr="005D6D89">
        <w:t> </w:t>
      </w:r>
      <w:r w:rsidRPr="005D6D89">
        <w:t>Kapiti Project and Makara Beach Project are examples of community-led, collaborative projects that are developing action plans. The Makara Beach Project has put forward a series of community-endorsed recommendations to the Wellington City Council for how the wider community should prepare for and adapt to sea-level rise and extreme weather events (The</w:t>
      </w:r>
      <w:r w:rsidR="00A0377F" w:rsidRPr="005D6D89">
        <w:t> </w:t>
      </w:r>
      <w:r w:rsidR="00B61730">
        <w:t>Makara Beach Project, nd</w:t>
      </w:r>
      <w:r w:rsidRPr="005D6D89">
        <w:t xml:space="preserve">). </w:t>
      </w:r>
    </w:p>
    <w:p w14:paraId="2CF23568" w14:textId="77777777" w:rsidR="00541B99" w:rsidRPr="00541B99" w:rsidRDefault="00541B99" w:rsidP="00541B99">
      <w:pPr>
        <w:pStyle w:val="Tableheading"/>
      </w:pPr>
      <w:bookmarkStart w:id="308" w:name="_Toc43312807"/>
      <w:r>
        <w:t>Table 13:</w:t>
      </w:r>
      <w:r>
        <w:tab/>
      </w:r>
      <w:r w:rsidRPr="00541B99">
        <w:t>N1 Risks to coastal ecosystems: Urgency profile</w:t>
      </w:r>
      <w:bookmarkEnd w:id="308"/>
    </w:p>
    <w:tbl>
      <w:tblPr>
        <w:tblStyle w:val="TableGrid"/>
        <w:tblW w:w="8613" w:type="dxa"/>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Look w:val="04A0" w:firstRow="1" w:lastRow="0" w:firstColumn="1" w:lastColumn="0" w:noHBand="0" w:noVBand="1"/>
      </w:tblPr>
      <w:tblGrid>
        <w:gridCol w:w="2235"/>
        <w:gridCol w:w="992"/>
        <w:gridCol w:w="992"/>
        <w:gridCol w:w="1134"/>
        <w:gridCol w:w="992"/>
        <w:gridCol w:w="851"/>
        <w:gridCol w:w="1417"/>
      </w:tblGrid>
      <w:tr w:rsidR="006A3A70" w:rsidRPr="005D6D89" w14:paraId="51DE0557" w14:textId="77777777" w:rsidTr="00095C79">
        <w:trPr>
          <w:tblHeader/>
        </w:trPr>
        <w:tc>
          <w:tcPr>
            <w:tcW w:w="8613" w:type="dxa"/>
            <w:gridSpan w:val="7"/>
            <w:shd w:val="clear" w:color="auto" w:fill="2C9986"/>
          </w:tcPr>
          <w:p w14:paraId="62F7A767" w14:textId="77777777" w:rsidR="00663A38" w:rsidRPr="005D6D89" w:rsidRDefault="00663A38" w:rsidP="00815C4C">
            <w:pPr>
              <w:pStyle w:val="TableTextBold0"/>
              <w:spacing w:before="50" w:after="50"/>
              <w:rPr>
                <w:color w:val="FFFFFF" w:themeColor="background1"/>
              </w:rPr>
            </w:pPr>
            <w:r w:rsidRPr="00845880">
              <w:rPr>
                <w:color w:val="FFFFFF" w:themeColor="background1"/>
              </w:rPr>
              <w:t>N1 Risks to coastal ecosystems: U</w:t>
            </w:r>
            <w:r w:rsidRPr="005D6D89">
              <w:rPr>
                <w:color w:val="FFFFFF" w:themeColor="background1"/>
              </w:rPr>
              <w:t xml:space="preserve">rgency profile </w:t>
            </w:r>
          </w:p>
        </w:tc>
      </w:tr>
      <w:tr w:rsidR="00663A38" w:rsidRPr="005D6D89" w14:paraId="044F16B7" w14:textId="77777777" w:rsidTr="00095C79">
        <w:trPr>
          <w:tblHeader/>
        </w:trPr>
        <w:tc>
          <w:tcPr>
            <w:tcW w:w="2235" w:type="dxa"/>
            <w:shd w:val="clear" w:color="auto" w:fill="FFFFFF" w:themeFill="background1"/>
            <w:vAlign w:val="bottom"/>
          </w:tcPr>
          <w:p w14:paraId="4D7FBC29" w14:textId="77777777" w:rsidR="00663A38" w:rsidRPr="00BC5AF8" w:rsidRDefault="00663A38" w:rsidP="00815C4C">
            <w:pPr>
              <w:pStyle w:val="TableTextBold0"/>
              <w:spacing w:before="50" w:after="50"/>
            </w:pPr>
            <w:r w:rsidRPr="00BC5AF8">
              <w:t>Urgency category</w:t>
            </w:r>
          </w:p>
        </w:tc>
        <w:tc>
          <w:tcPr>
            <w:tcW w:w="1984" w:type="dxa"/>
            <w:gridSpan w:val="2"/>
            <w:vAlign w:val="bottom"/>
          </w:tcPr>
          <w:p w14:paraId="38625DC4" w14:textId="77777777" w:rsidR="00663A38" w:rsidRPr="005D6D89" w:rsidRDefault="00663A38" w:rsidP="00845880">
            <w:pPr>
              <w:pStyle w:val="TableTextBold0"/>
              <w:spacing w:before="50" w:after="50"/>
            </w:pPr>
            <w:r w:rsidRPr="005D6D89">
              <w:t>Proportion of urgency</w:t>
            </w:r>
            <w:r w:rsidR="00845880">
              <w:t xml:space="preserve"> out of 100</w:t>
            </w:r>
          </w:p>
        </w:tc>
        <w:tc>
          <w:tcPr>
            <w:tcW w:w="4394" w:type="dxa"/>
            <w:gridSpan w:val="4"/>
            <w:vAlign w:val="bottom"/>
          </w:tcPr>
          <w:p w14:paraId="30B3FF1F" w14:textId="77777777" w:rsidR="00663A38" w:rsidRPr="005D6D89" w:rsidRDefault="00663A38" w:rsidP="00815C4C">
            <w:pPr>
              <w:pStyle w:val="TableTextBold0"/>
              <w:spacing w:before="50" w:after="50"/>
            </w:pPr>
            <w:r w:rsidRPr="005D6D89">
              <w:t>Description of actions</w:t>
            </w:r>
          </w:p>
        </w:tc>
      </w:tr>
      <w:tr w:rsidR="00663A38" w:rsidRPr="005D6D89" w14:paraId="4C67BBD6" w14:textId="77777777" w:rsidTr="00095C79">
        <w:tc>
          <w:tcPr>
            <w:tcW w:w="2235" w:type="dxa"/>
            <w:shd w:val="clear" w:color="auto" w:fill="FFFFFF" w:themeFill="background1"/>
            <w:hideMark/>
          </w:tcPr>
          <w:p w14:paraId="692724C6" w14:textId="77777777" w:rsidR="00663A38" w:rsidRPr="007D0B70" w:rsidRDefault="00663A38" w:rsidP="00815C4C">
            <w:pPr>
              <w:pStyle w:val="TableTextBold0"/>
              <w:spacing w:before="50" w:after="50"/>
              <w:rPr>
                <w:b w:val="0"/>
              </w:rPr>
            </w:pPr>
            <w:r w:rsidRPr="007D0B70">
              <w:rPr>
                <w:b w:val="0"/>
              </w:rPr>
              <w:t>More action needed</w:t>
            </w:r>
          </w:p>
        </w:tc>
        <w:tc>
          <w:tcPr>
            <w:tcW w:w="1984" w:type="dxa"/>
            <w:gridSpan w:val="2"/>
          </w:tcPr>
          <w:p w14:paraId="1DBAA5E9" w14:textId="77777777" w:rsidR="00663A38" w:rsidRPr="005D6D89" w:rsidRDefault="00663A38" w:rsidP="00845880">
            <w:pPr>
              <w:pStyle w:val="TableText"/>
              <w:spacing w:before="50" w:after="50"/>
              <w:jc w:val="center"/>
            </w:pPr>
            <w:r w:rsidRPr="005D6D89">
              <w:t>40</w:t>
            </w:r>
          </w:p>
        </w:tc>
        <w:tc>
          <w:tcPr>
            <w:tcW w:w="4394" w:type="dxa"/>
            <w:gridSpan w:val="4"/>
          </w:tcPr>
          <w:p w14:paraId="1C7B974A" w14:textId="77777777" w:rsidR="00663A38" w:rsidRPr="005D6D89" w:rsidRDefault="00663A38" w:rsidP="00815C4C">
            <w:pPr>
              <w:pStyle w:val="TableText"/>
              <w:spacing w:before="50" w:after="50"/>
            </w:pPr>
            <w:r w:rsidRPr="005D6D89">
              <w:t>Active adaptive management to avoid and reduce coastal squeeze, particularly by regional/unitary authorities</w:t>
            </w:r>
            <w:r w:rsidR="008F04A3">
              <w:t>.</w:t>
            </w:r>
            <w:r w:rsidRPr="005D6D89">
              <w:t xml:space="preserve"> These should focus on management of the impacts of human development and maladaptations on environments of high biodiversity value, while taking account of likely changes in sea</w:t>
            </w:r>
            <w:r w:rsidR="006D3E1F" w:rsidRPr="005D6D89">
              <w:t> </w:t>
            </w:r>
            <w:r w:rsidRPr="005D6D89">
              <w:t>level.</w:t>
            </w:r>
          </w:p>
        </w:tc>
      </w:tr>
      <w:tr w:rsidR="00663A38" w:rsidRPr="005D6D89" w14:paraId="7276B581" w14:textId="77777777" w:rsidTr="00095C79">
        <w:tc>
          <w:tcPr>
            <w:tcW w:w="2235" w:type="dxa"/>
            <w:shd w:val="clear" w:color="auto" w:fill="FFFFFF" w:themeFill="background1"/>
            <w:hideMark/>
          </w:tcPr>
          <w:p w14:paraId="429DE54C" w14:textId="77777777" w:rsidR="00663A38" w:rsidRPr="007D0B70" w:rsidRDefault="00663A38" w:rsidP="00815C4C">
            <w:pPr>
              <w:pStyle w:val="TableTextBold0"/>
              <w:spacing w:before="50" w:after="50"/>
              <w:rPr>
                <w:b w:val="0"/>
                <w:highlight w:val="yellow"/>
              </w:rPr>
            </w:pPr>
            <w:r w:rsidRPr="007D0B70">
              <w:rPr>
                <w:b w:val="0"/>
              </w:rPr>
              <w:t>Research priority</w:t>
            </w:r>
          </w:p>
        </w:tc>
        <w:tc>
          <w:tcPr>
            <w:tcW w:w="1984" w:type="dxa"/>
            <w:gridSpan w:val="2"/>
          </w:tcPr>
          <w:p w14:paraId="3E72654F" w14:textId="77777777" w:rsidR="00663A38" w:rsidRPr="005D6D89" w:rsidRDefault="00663A38" w:rsidP="00815C4C">
            <w:pPr>
              <w:pStyle w:val="TableText"/>
              <w:spacing w:before="50" w:after="50"/>
              <w:jc w:val="center"/>
            </w:pPr>
            <w:r w:rsidRPr="005D6D89">
              <w:t>40</w:t>
            </w:r>
          </w:p>
        </w:tc>
        <w:tc>
          <w:tcPr>
            <w:tcW w:w="4394" w:type="dxa"/>
            <w:gridSpan w:val="4"/>
          </w:tcPr>
          <w:p w14:paraId="45A5533A" w14:textId="77777777" w:rsidR="00663A38" w:rsidRPr="005D6D89" w:rsidRDefault="00663A38" w:rsidP="00815C4C">
            <w:pPr>
              <w:pStyle w:val="TableText"/>
              <w:spacing w:before="50" w:after="50"/>
            </w:pPr>
            <w:r w:rsidRPr="005D6D89">
              <w:t>Research required to identify most vulnerable types of hydro-systems, how they will respond and change their bio-physical functioning, eg, supporting significant biodiversity values, on exposed coasts, coastal lakes, lowland rivers, or with current or projected high levels of</w:t>
            </w:r>
            <w:r w:rsidR="00101A8F">
              <w:t> </w:t>
            </w:r>
            <w:r w:rsidRPr="005D6D89">
              <w:t>human development and land use, and how to manage adaptation.</w:t>
            </w:r>
          </w:p>
        </w:tc>
      </w:tr>
      <w:tr w:rsidR="00663A38" w:rsidRPr="005D6D89" w14:paraId="79258269" w14:textId="77777777" w:rsidTr="00095C79">
        <w:tc>
          <w:tcPr>
            <w:tcW w:w="2235" w:type="dxa"/>
            <w:shd w:val="clear" w:color="auto" w:fill="FFFFFF" w:themeFill="background1"/>
            <w:hideMark/>
          </w:tcPr>
          <w:p w14:paraId="4F1E031C" w14:textId="77777777" w:rsidR="00663A38" w:rsidRPr="007D0B70" w:rsidRDefault="00663A38" w:rsidP="00815C4C">
            <w:pPr>
              <w:pStyle w:val="TableTextBold0"/>
              <w:spacing w:before="50" w:after="50"/>
              <w:rPr>
                <w:b w:val="0"/>
              </w:rPr>
            </w:pPr>
            <w:r w:rsidRPr="007D0B70">
              <w:rPr>
                <w:b w:val="0"/>
              </w:rPr>
              <w:t>Sustain current action</w:t>
            </w:r>
          </w:p>
        </w:tc>
        <w:tc>
          <w:tcPr>
            <w:tcW w:w="1984" w:type="dxa"/>
            <w:gridSpan w:val="2"/>
          </w:tcPr>
          <w:p w14:paraId="4D6A1CB7" w14:textId="77777777" w:rsidR="00663A38" w:rsidRPr="005D6D89" w:rsidRDefault="00663A38" w:rsidP="00815C4C">
            <w:pPr>
              <w:pStyle w:val="TableText"/>
              <w:spacing w:before="50" w:after="50"/>
              <w:jc w:val="center"/>
            </w:pPr>
            <w:r w:rsidRPr="005D6D89">
              <w:t>10</w:t>
            </w:r>
          </w:p>
        </w:tc>
        <w:tc>
          <w:tcPr>
            <w:tcW w:w="4394" w:type="dxa"/>
            <w:gridSpan w:val="4"/>
          </w:tcPr>
          <w:p w14:paraId="7ADC869F" w14:textId="77777777" w:rsidR="00663A38" w:rsidRPr="005D6D89" w:rsidRDefault="00663A38" w:rsidP="00815C4C">
            <w:pPr>
              <w:pStyle w:val="TableText"/>
              <w:spacing w:before="50" w:after="50"/>
            </w:pPr>
            <w:r w:rsidRPr="005D6D89">
              <w:t>Continue current management of coastal ecosystems and species to maintain their resilience and maximise their abi</w:t>
            </w:r>
            <w:r w:rsidR="008F04A3">
              <w:t>lity to adjust naturally to sea-</w:t>
            </w:r>
            <w:r w:rsidRPr="005D6D89">
              <w:t>level changes.</w:t>
            </w:r>
          </w:p>
        </w:tc>
      </w:tr>
      <w:tr w:rsidR="00663A38" w:rsidRPr="005D6D89" w14:paraId="1AF590A9" w14:textId="77777777" w:rsidTr="00095C79">
        <w:tc>
          <w:tcPr>
            <w:tcW w:w="2235" w:type="dxa"/>
            <w:tcBorders>
              <w:bottom w:val="single" w:sz="8" w:space="0" w:color="2C9986" w:themeColor="accent4"/>
            </w:tcBorders>
            <w:shd w:val="clear" w:color="auto" w:fill="FFFFFF" w:themeFill="background1"/>
            <w:hideMark/>
          </w:tcPr>
          <w:p w14:paraId="2F08F1B4" w14:textId="77777777" w:rsidR="00663A38" w:rsidRPr="007D0B70" w:rsidRDefault="00663A38" w:rsidP="00815C4C">
            <w:pPr>
              <w:pStyle w:val="TableTextBold0"/>
              <w:spacing w:before="50" w:after="50"/>
              <w:rPr>
                <w:b w:val="0"/>
              </w:rPr>
            </w:pPr>
            <w:r w:rsidRPr="007D0B70">
              <w:rPr>
                <w:b w:val="0"/>
              </w:rPr>
              <w:t xml:space="preserve">Watching brief </w:t>
            </w:r>
          </w:p>
        </w:tc>
        <w:tc>
          <w:tcPr>
            <w:tcW w:w="1984" w:type="dxa"/>
            <w:gridSpan w:val="2"/>
            <w:tcBorders>
              <w:bottom w:val="single" w:sz="8" w:space="0" w:color="2C9986" w:themeColor="accent4"/>
            </w:tcBorders>
          </w:tcPr>
          <w:p w14:paraId="052D4E1A" w14:textId="77777777" w:rsidR="00663A38" w:rsidRPr="005D6D89" w:rsidRDefault="00663A38" w:rsidP="00815C4C">
            <w:pPr>
              <w:pStyle w:val="TableText"/>
              <w:spacing w:before="50" w:after="50"/>
              <w:jc w:val="center"/>
            </w:pPr>
            <w:r w:rsidRPr="005D6D89">
              <w:t>10</w:t>
            </w:r>
          </w:p>
        </w:tc>
        <w:tc>
          <w:tcPr>
            <w:tcW w:w="4394" w:type="dxa"/>
            <w:gridSpan w:val="4"/>
            <w:tcBorders>
              <w:bottom w:val="single" w:sz="8" w:space="0" w:color="2C9986" w:themeColor="accent4"/>
            </w:tcBorders>
          </w:tcPr>
          <w:p w14:paraId="3619E867" w14:textId="77777777" w:rsidR="00663A38" w:rsidRPr="005D6D89" w:rsidRDefault="00663A38" w:rsidP="00815C4C">
            <w:pPr>
              <w:pStyle w:val="TableText"/>
              <w:spacing w:before="50" w:after="50"/>
            </w:pPr>
            <w:r w:rsidRPr="005D6D89">
              <w:t>Monitor representative high-value coastal ecosystems for evidence of change.</w:t>
            </w:r>
          </w:p>
        </w:tc>
      </w:tr>
      <w:tr w:rsidR="00663A38" w:rsidRPr="005D6D89" w14:paraId="6309CFEE" w14:textId="77777777" w:rsidTr="00095C79">
        <w:tc>
          <w:tcPr>
            <w:tcW w:w="2235" w:type="dxa"/>
            <w:tcBorders>
              <w:top w:val="single" w:sz="8" w:space="0" w:color="2C9986" w:themeColor="accent4"/>
            </w:tcBorders>
            <w:shd w:val="clear" w:color="auto" w:fill="2C9986"/>
          </w:tcPr>
          <w:p w14:paraId="59BB63AF" w14:textId="77777777" w:rsidR="00663A38" w:rsidRPr="005D6D89" w:rsidRDefault="00663A38" w:rsidP="00815C4C">
            <w:pPr>
              <w:pStyle w:val="TableTextBold0"/>
              <w:spacing w:before="50" w:after="50"/>
              <w:rPr>
                <w:color w:val="FFFFFF" w:themeColor="background1"/>
              </w:rPr>
            </w:pPr>
            <w:r w:rsidRPr="005D6D89">
              <w:rPr>
                <w:color w:val="FFFFFF" w:themeColor="background1"/>
              </w:rPr>
              <w:t xml:space="preserve">Adaptation urgency </w:t>
            </w:r>
          </w:p>
        </w:tc>
        <w:tc>
          <w:tcPr>
            <w:tcW w:w="1984" w:type="dxa"/>
            <w:gridSpan w:val="2"/>
            <w:tcBorders>
              <w:top w:val="single" w:sz="8" w:space="0" w:color="2C9986" w:themeColor="accent4"/>
            </w:tcBorders>
            <w:shd w:val="clear" w:color="auto" w:fill="FFFFFF" w:themeFill="background1"/>
          </w:tcPr>
          <w:p w14:paraId="04EC0493" w14:textId="77777777" w:rsidR="00663A38" w:rsidRPr="005D6D89" w:rsidRDefault="00663A38" w:rsidP="00815C4C">
            <w:pPr>
              <w:pStyle w:val="TableText"/>
              <w:spacing w:before="50" w:after="50"/>
              <w:jc w:val="center"/>
            </w:pPr>
            <w:r w:rsidRPr="005D6D89">
              <w:t>78</w:t>
            </w:r>
          </w:p>
        </w:tc>
        <w:tc>
          <w:tcPr>
            <w:tcW w:w="1134" w:type="dxa"/>
            <w:tcBorders>
              <w:top w:val="single" w:sz="8" w:space="0" w:color="2C9986" w:themeColor="accent4"/>
            </w:tcBorders>
            <w:shd w:val="clear" w:color="auto" w:fill="2C9986"/>
          </w:tcPr>
          <w:p w14:paraId="6D782044" w14:textId="77777777" w:rsidR="00663A38" w:rsidRPr="005D6D89" w:rsidRDefault="00663A38" w:rsidP="00815C4C">
            <w:pPr>
              <w:pStyle w:val="TableText"/>
              <w:spacing w:before="50" w:after="50"/>
              <w:rPr>
                <w:b/>
                <w:bCs/>
                <w:color w:val="FFFFFF" w:themeColor="background1"/>
              </w:rPr>
            </w:pPr>
            <w:r w:rsidRPr="005D6D89">
              <w:rPr>
                <w:b/>
                <w:bCs/>
                <w:color w:val="FFFFFF" w:themeColor="background1"/>
              </w:rPr>
              <w:t>Confidence</w:t>
            </w:r>
            <w:r w:rsidR="00027F9F" w:rsidRPr="005D6D89">
              <w:rPr>
                <w:b/>
                <w:bCs/>
                <w:color w:val="FFFFFF" w:themeColor="background1"/>
              </w:rPr>
              <w:t xml:space="preserve"> </w:t>
            </w:r>
          </w:p>
        </w:tc>
        <w:tc>
          <w:tcPr>
            <w:tcW w:w="3260" w:type="dxa"/>
            <w:gridSpan w:val="3"/>
            <w:tcBorders>
              <w:top w:val="single" w:sz="8" w:space="0" w:color="2C9986" w:themeColor="accent4"/>
            </w:tcBorders>
          </w:tcPr>
          <w:p w14:paraId="347AB8A1" w14:textId="77777777" w:rsidR="00663A38" w:rsidRPr="005D6D89" w:rsidRDefault="00663A38" w:rsidP="00815C4C">
            <w:pPr>
              <w:pStyle w:val="TableText"/>
              <w:spacing w:before="50" w:after="50"/>
            </w:pPr>
            <w:r w:rsidRPr="005D6D89">
              <w:t>High agreement, medium evidence</w:t>
            </w:r>
          </w:p>
        </w:tc>
      </w:tr>
      <w:tr w:rsidR="00461D36" w:rsidRPr="005D6D89" w14:paraId="1CD313E4" w14:textId="77777777" w:rsidTr="00095C79">
        <w:tc>
          <w:tcPr>
            <w:tcW w:w="2235" w:type="dxa"/>
            <w:shd w:val="clear" w:color="auto" w:fill="2C9986"/>
          </w:tcPr>
          <w:p w14:paraId="0A7AB654" w14:textId="77777777" w:rsidR="00663A38" w:rsidRPr="005D6D89" w:rsidRDefault="00663A38" w:rsidP="00815C4C">
            <w:pPr>
              <w:pStyle w:val="TableTextBold0"/>
              <w:spacing w:before="50" w:after="50"/>
              <w:rPr>
                <w:color w:val="FFFFFF" w:themeColor="background1"/>
              </w:rPr>
            </w:pPr>
            <w:r w:rsidRPr="005D6D89">
              <w:rPr>
                <w:color w:val="FFFFFF" w:themeColor="background1"/>
              </w:rPr>
              <w:t xml:space="preserve">Consequence </w:t>
            </w:r>
          </w:p>
        </w:tc>
        <w:tc>
          <w:tcPr>
            <w:tcW w:w="992" w:type="dxa"/>
            <w:shd w:val="clear" w:color="auto" w:fill="2C9986"/>
          </w:tcPr>
          <w:p w14:paraId="20B17854" w14:textId="77777777" w:rsidR="00663A38" w:rsidRPr="005D6D89" w:rsidRDefault="00663A38" w:rsidP="00815C4C">
            <w:pPr>
              <w:pStyle w:val="TableText"/>
              <w:spacing w:before="50" w:after="50"/>
              <w:jc w:val="center"/>
              <w:rPr>
                <w:color w:val="FFFFFF" w:themeColor="background1"/>
              </w:rPr>
            </w:pPr>
            <w:r w:rsidRPr="005D6D89">
              <w:rPr>
                <w:color w:val="FFFFFF" w:themeColor="background1"/>
              </w:rPr>
              <w:t>Now</w:t>
            </w:r>
          </w:p>
        </w:tc>
        <w:tc>
          <w:tcPr>
            <w:tcW w:w="992" w:type="dxa"/>
          </w:tcPr>
          <w:p w14:paraId="5361F0C0" w14:textId="77777777" w:rsidR="00663A38" w:rsidRPr="005D6D89" w:rsidRDefault="00663A38" w:rsidP="00815C4C">
            <w:pPr>
              <w:pStyle w:val="TableText"/>
              <w:spacing w:before="50" w:after="50"/>
              <w:jc w:val="center"/>
            </w:pPr>
            <w:r w:rsidRPr="005D6D89">
              <w:t>Minor</w:t>
            </w:r>
          </w:p>
        </w:tc>
        <w:tc>
          <w:tcPr>
            <w:tcW w:w="1134" w:type="dxa"/>
            <w:shd w:val="clear" w:color="auto" w:fill="2C9986"/>
          </w:tcPr>
          <w:p w14:paraId="6F5DE577" w14:textId="77777777" w:rsidR="00663A38" w:rsidRPr="005D6D89" w:rsidRDefault="00663A38" w:rsidP="00815C4C">
            <w:pPr>
              <w:pStyle w:val="TableText"/>
              <w:spacing w:before="50" w:after="50"/>
              <w:rPr>
                <w:color w:val="FFFFFF" w:themeColor="background1"/>
              </w:rPr>
            </w:pPr>
            <w:r w:rsidRPr="005D6D89">
              <w:rPr>
                <w:color w:val="FFFFFF" w:themeColor="background1"/>
              </w:rPr>
              <w:t>2050</w:t>
            </w:r>
          </w:p>
        </w:tc>
        <w:tc>
          <w:tcPr>
            <w:tcW w:w="992" w:type="dxa"/>
          </w:tcPr>
          <w:p w14:paraId="0038FFC5" w14:textId="77777777" w:rsidR="00663A38" w:rsidRPr="005D6D89" w:rsidRDefault="00663A38" w:rsidP="00815C4C">
            <w:pPr>
              <w:pStyle w:val="TableText"/>
              <w:spacing w:before="50" w:after="50"/>
            </w:pPr>
            <w:r w:rsidRPr="005D6D89">
              <w:t>Moderate</w:t>
            </w:r>
          </w:p>
        </w:tc>
        <w:tc>
          <w:tcPr>
            <w:tcW w:w="851" w:type="dxa"/>
            <w:shd w:val="clear" w:color="auto" w:fill="2C9986"/>
          </w:tcPr>
          <w:p w14:paraId="25B8CDA8" w14:textId="77777777" w:rsidR="00663A38" w:rsidRPr="005D6D89" w:rsidRDefault="00663A38" w:rsidP="00815C4C">
            <w:pPr>
              <w:pStyle w:val="TableText"/>
              <w:spacing w:before="50" w:after="50"/>
              <w:rPr>
                <w:color w:val="FFFFFF" w:themeColor="background1"/>
              </w:rPr>
            </w:pPr>
            <w:r w:rsidRPr="005D6D89">
              <w:rPr>
                <w:color w:val="FFFFFF" w:themeColor="background1"/>
              </w:rPr>
              <w:t>2100</w:t>
            </w:r>
          </w:p>
        </w:tc>
        <w:tc>
          <w:tcPr>
            <w:tcW w:w="1417" w:type="dxa"/>
          </w:tcPr>
          <w:p w14:paraId="3DB67C80" w14:textId="77777777" w:rsidR="00663A38" w:rsidRPr="005D6D89" w:rsidRDefault="00663A38" w:rsidP="00815C4C">
            <w:pPr>
              <w:pStyle w:val="TableText"/>
              <w:spacing w:before="50" w:after="50"/>
            </w:pPr>
            <w:r w:rsidRPr="005D6D89">
              <w:t>Major</w:t>
            </w:r>
          </w:p>
        </w:tc>
      </w:tr>
    </w:tbl>
    <w:p w14:paraId="68AEE00D" w14:textId="77777777" w:rsidR="00663A38" w:rsidRPr="005D6D89" w:rsidRDefault="00663A38" w:rsidP="006D3E1F">
      <w:pPr>
        <w:pStyle w:val="Heading4"/>
        <w:spacing w:before="400"/>
      </w:pPr>
      <w:bookmarkStart w:id="309" w:name="_Toc37255773"/>
      <w:bookmarkStart w:id="310" w:name="_Toc37393674"/>
      <w:r w:rsidRPr="005D6D89">
        <w:t>N2 Risks to indigenous ecosystems and species from the enhanced spread, survival</w:t>
      </w:r>
      <w:r w:rsidR="00101A8F">
        <w:t> </w:t>
      </w:r>
      <w:r w:rsidRPr="005D6D89">
        <w:t xml:space="preserve">and establishment of invasive species due to climate change </w:t>
      </w:r>
      <w:bookmarkEnd w:id="309"/>
      <w:bookmarkEnd w:id="310"/>
    </w:p>
    <w:p w14:paraId="17D644D7" w14:textId="77777777" w:rsidR="00663A38" w:rsidRPr="005D6D89" w:rsidRDefault="00663A38" w:rsidP="001F73DC">
      <w:pPr>
        <w:pStyle w:val="Heading5"/>
        <w:spacing w:before="180"/>
      </w:pPr>
      <w:r w:rsidRPr="005D6D89">
        <w:t>Risk summary</w:t>
      </w:r>
    </w:p>
    <w:p w14:paraId="121BB816" w14:textId="77777777" w:rsidR="00663A38" w:rsidRPr="005D6D89" w:rsidRDefault="00663A38" w:rsidP="001F73DC">
      <w:pPr>
        <w:pStyle w:val="BodyText"/>
        <w:spacing w:before="100" w:after="100"/>
      </w:pPr>
      <w:bookmarkStart w:id="311" w:name="_Hlk36654260"/>
      <w:r w:rsidRPr="005D6D89">
        <w:t xml:space="preserve">New Zealand </w:t>
      </w:r>
      <w:proofErr w:type="gramStart"/>
      <w:r w:rsidRPr="005D6D89">
        <w:t>is recognised</w:t>
      </w:r>
      <w:proofErr w:type="gramEnd"/>
      <w:r w:rsidRPr="005D6D89">
        <w:t xml:space="preserve"> as a globally significant biodiversity hotspot. It has very high levels of </w:t>
      </w:r>
      <w:r w:rsidRPr="008F04A3">
        <w:t>endemism</w:t>
      </w:r>
      <w:r w:rsidRPr="005D6D89">
        <w:t>, including more than 80 per cent of all vascular plants, 90 per cent of insects, all</w:t>
      </w:r>
      <w:r w:rsidR="006D3E1F" w:rsidRPr="005D6D89">
        <w:t> </w:t>
      </w:r>
      <w:r w:rsidRPr="005D6D89">
        <w:t>reptiles, a quarter of birds, and all terrestrial mammals, namely several species of bats/pekapeka (Department of Conservation, 2020). A significant number of endemic species</w:t>
      </w:r>
      <w:r w:rsidR="001C519B" w:rsidRPr="005D6D89">
        <w:t> </w:t>
      </w:r>
      <w:r w:rsidRPr="005D6D89">
        <w:t>are vulnerable to extinction (Macinnis-Ng</w:t>
      </w:r>
      <w:r w:rsidR="00B61730">
        <w:t xml:space="preserve"> et al</w:t>
      </w:r>
      <w:r w:rsidRPr="005D6D89">
        <w:t xml:space="preserve">, </w:t>
      </w:r>
      <w:r w:rsidR="00B61730">
        <w:t>nd</w:t>
      </w:r>
      <w:r w:rsidRPr="005D6D89">
        <w:t xml:space="preserve">). </w:t>
      </w:r>
    </w:p>
    <w:p w14:paraId="4C71DE83" w14:textId="77777777" w:rsidR="00663A38" w:rsidRPr="005D6D89" w:rsidRDefault="00663A38" w:rsidP="001F73DC">
      <w:pPr>
        <w:pStyle w:val="BodyText"/>
        <w:spacing w:after="100"/>
      </w:pPr>
      <w:r w:rsidRPr="005D6D89">
        <w:t>New Zealand</w:t>
      </w:r>
      <w:r w:rsidR="001200EA">
        <w:t>’</w:t>
      </w:r>
      <w:r w:rsidRPr="005D6D89">
        <w:t xml:space="preserve">s </w:t>
      </w:r>
      <w:r w:rsidRPr="008F04A3">
        <w:t>indigenous</w:t>
      </w:r>
      <w:r w:rsidRPr="005D6D89">
        <w:t xml:space="preserve"> ecosystems and taonga species are already under considerable pressure from introduced pests. The country </w:t>
      </w:r>
      <w:proofErr w:type="gramStart"/>
      <w:r w:rsidRPr="005D6D89">
        <w:t>is described</w:t>
      </w:r>
      <w:proofErr w:type="gramEnd"/>
      <w:r w:rsidRPr="005D6D89">
        <w:t xml:space="preserve"> as one of the most invaded places on</w:t>
      </w:r>
      <w:r w:rsidR="001C519B" w:rsidRPr="005D6D89">
        <w:t> </w:t>
      </w:r>
      <w:r w:rsidRPr="005D6D89">
        <w:t xml:space="preserve">earth (Mooney and Hobbs, 2000). As </w:t>
      </w:r>
      <w:proofErr w:type="gramStart"/>
      <w:r w:rsidRPr="005D6D89">
        <w:t>temperatures</w:t>
      </w:r>
      <w:proofErr w:type="gramEnd"/>
      <w:r w:rsidRPr="005D6D89">
        <w:t xml:space="preserve"> warm, climatic conditions are likely to:</w:t>
      </w:r>
    </w:p>
    <w:p w14:paraId="47721C1C" w14:textId="77777777" w:rsidR="00663A38" w:rsidRPr="005D6D89" w:rsidRDefault="00663A38" w:rsidP="001F73DC">
      <w:pPr>
        <w:pStyle w:val="Bullet"/>
        <w:spacing w:after="100"/>
      </w:pPr>
      <w:r w:rsidRPr="005D6D89">
        <w:t>favour existing introduced species that are more adapted to</w:t>
      </w:r>
      <w:r w:rsidR="008F04A3">
        <w:t>,</w:t>
      </w:r>
      <w:r w:rsidRPr="005D6D89">
        <w:t xml:space="preserve"> or have a higher tolerance of</w:t>
      </w:r>
      <w:r w:rsidR="008F04A3">
        <w:t>,</w:t>
      </w:r>
      <w:r w:rsidRPr="005D6D89">
        <w:t xml:space="preserve"> warmer conditions (Thuiller, Richardson, and Midgley, 2007</w:t>
      </w:r>
    </w:p>
    <w:p w14:paraId="7FAD33D0" w14:textId="77777777" w:rsidR="00663A38" w:rsidRPr="005D6D89" w:rsidRDefault="00663A38" w:rsidP="002C693F">
      <w:pPr>
        <w:pStyle w:val="Bullet"/>
      </w:pPr>
      <w:proofErr w:type="gramStart"/>
      <w:r w:rsidRPr="005D6D89">
        <w:t>facilitate</w:t>
      </w:r>
      <w:proofErr w:type="gramEnd"/>
      <w:r w:rsidRPr="005D6D89">
        <w:t xml:space="preserve"> expansion of the problematic</w:t>
      </w:r>
      <w:r w:rsidR="008F04A3">
        <w:t>,</w:t>
      </w:r>
      <w:r w:rsidRPr="005D6D89">
        <w:t xml:space="preserve"> introduced species and the establishment of new</w:t>
      </w:r>
      <w:r w:rsidR="001C519B" w:rsidRPr="005D6D89">
        <w:t> </w:t>
      </w:r>
      <w:r w:rsidRPr="005D6D89">
        <w:t>ones.</w:t>
      </w:r>
    </w:p>
    <w:p w14:paraId="32A9A401" w14:textId="77777777" w:rsidR="00663A38" w:rsidRPr="005D6D89" w:rsidRDefault="00663A38" w:rsidP="001F73DC">
      <w:pPr>
        <w:pStyle w:val="BodyText"/>
        <w:spacing w:before="100" w:after="100"/>
      </w:pPr>
      <w:r w:rsidRPr="005D6D89">
        <w:t xml:space="preserve">These factors combine to increase pressures on indigenous ecosystems and species. The impacts are often challenging to predict, with complex effects across different </w:t>
      </w:r>
      <w:r w:rsidRPr="008F04A3">
        <w:t>trophic levels</w:t>
      </w:r>
      <w:r w:rsidRPr="005D6D89">
        <w:t xml:space="preserve"> (Tompkins, Byrom, and Pech, 2013; Macinnis-Ng</w:t>
      </w:r>
      <w:r w:rsidR="00B61730">
        <w:t xml:space="preserve"> et al</w:t>
      </w:r>
      <w:r w:rsidRPr="005D6D89">
        <w:t xml:space="preserve">, </w:t>
      </w:r>
      <w:r w:rsidR="00B61730">
        <w:t>nd</w:t>
      </w:r>
      <w:r w:rsidRPr="005D6D89">
        <w:t>). Further complications arise from</w:t>
      </w:r>
      <w:r w:rsidR="001C519B" w:rsidRPr="005D6D89">
        <w:t> </w:t>
      </w:r>
      <w:r w:rsidRPr="005D6D89">
        <w:t>interactions with other human-induced pressures such as habitat fragmentation and</w:t>
      </w:r>
      <w:r w:rsidR="001C519B" w:rsidRPr="005D6D89">
        <w:t> </w:t>
      </w:r>
      <w:r w:rsidRPr="005D6D89">
        <w:t xml:space="preserve">harvesting. </w:t>
      </w:r>
    </w:p>
    <w:p w14:paraId="31059481" w14:textId="77777777" w:rsidR="00663A38" w:rsidRPr="005D6D89" w:rsidRDefault="00663A38" w:rsidP="001C519B">
      <w:pPr>
        <w:pStyle w:val="Heading5"/>
      </w:pPr>
      <w:bookmarkStart w:id="312" w:name="_Hlk36832754"/>
      <w:bookmarkEnd w:id="311"/>
      <w:r w:rsidRPr="005D6D89">
        <w:t xml:space="preserve">Exposure </w:t>
      </w:r>
    </w:p>
    <w:p w14:paraId="3E1EE00C" w14:textId="77777777" w:rsidR="00663A38" w:rsidRPr="005D6D89" w:rsidRDefault="00663A38" w:rsidP="001F73DC">
      <w:pPr>
        <w:pStyle w:val="BodyText"/>
        <w:spacing w:before="100" w:after="100"/>
      </w:pPr>
      <w:r w:rsidRPr="005D6D89">
        <w:t>Ongoing gradual changes in climate and extreme weather events will exacerbate the threat of</w:t>
      </w:r>
      <w:r w:rsidR="0047009A" w:rsidRPr="005D6D89">
        <w:t> </w:t>
      </w:r>
      <w:r w:rsidRPr="005D6D89">
        <w:t xml:space="preserve">invasive or exotic species. Projections show an increase in severity and frequency towards the end of the century, with the greatest increases under </w:t>
      </w:r>
      <w:r w:rsidRPr="00845880">
        <w:t>RCP8.5</w:t>
      </w:r>
      <w:r w:rsidRPr="005D6D89">
        <w:t>. Key hazards include warming temperatures, changes in rainfall, drought and heatwaves, and floods.</w:t>
      </w:r>
      <w:r w:rsidR="00027F9F" w:rsidRPr="005D6D89">
        <w:t xml:space="preserve"> </w:t>
      </w:r>
      <w:hyperlink w:anchor="_Climate_change_in" w:history="1">
        <w:r w:rsidRPr="002C1B6E">
          <w:rPr>
            <w:rStyle w:val="Hyperlink"/>
          </w:rPr>
          <w:t xml:space="preserve">Section </w:t>
        </w:r>
        <w:r w:rsidR="002C1B6E" w:rsidRPr="002C1B6E">
          <w:rPr>
            <w:rStyle w:val="Hyperlink"/>
          </w:rPr>
          <w:t>4</w:t>
        </w:r>
      </w:hyperlink>
      <w:r w:rsidRPr="005D6D89">
        <w:t xml:space="preserve"> details these</w:t>
      </w:r>
      <w:r w:rsidR="001C519B" w:rsidRPr="005D6D89">
        <w:t> </w:t>
      </w:r>
      <w:r w:rsidRPr="005D6D89">
        <w:t>hazards.</w:t>
      </w:r>
    </w:p>
    <w:p w14:paraId="4185F544" w14:textId="77777777" w:rsidR="00663A38" w:rsidRPr="005D6D89" w:rsidRDefault="00663A38" w:rsidP="001F73DC">
      <w:pPr>
        <w:pStyle w:val="BodyText"/>
        <w:spacing w:after="100"/>
      </w:pPr>
      <w:r w:rsidRPr="005D6D89">
        <w:t xml:space="preserve">Most sub-national climate zones will experience some degree of climatic change. Predictions include: </w:t>
      </w:r>
    </w:p>
    <w:p w14:paraId="4B1F016D" w14:textId="77777777" w:rsidR="00663A38" w:rsidRPr="005D6D89" w:rsidRDefault="00663A38" w:rsidP="001F73DC">
      <w:pPr>
        <w:pStyle w:val="Bullet"/>
        <w:spacing w:after="100"/>
      </w:pPr>
      <w:r w:rsidRPr="005D6D89">
        <w:t xml:space="preserve">generally uniform increases in average temperatures, with slightly higher increases in the northeast than in the southwest </w:t>
      </w:r>
    </w:p>
    <w:p w14:paraId="7F8696A0" w14:textId="77777777" w:rsidR="00663A38" w:rsidRPr="005D6D89" w:rsidRDefault="00663A38" w:rsidP="001F73DC">
      <w:pPr>
        <w:pStyle w:val="Bullet"/>
        <w:spacing w:after="100"/>
      </w:pPr>
      <w:r w:rsidRPr="005D6D89">
        <w:t>slightly greater warming in the North Island than the South Island</w:t>
      </w:r>
    </w:p>
    <w:p w14:paraId="694D64C5" w14:textId="77777777" w:rsidR="00663A38" w:rsidRPr="005D6D89" w:rsidRDefault="00663A38" w:rsidP="001C519B">
      <w:pPr>
        <w:pStyle w:val="Bullet"/>
        <w:rPr>
          <w:color w:val="000000" w:themeColor="text1"/>
        </w:rPr>
      </w:pPr>
      <w:proofErr w:type="gramStart"/>
      <w:r w:rsidRPr="005D6D89">
        <w:t>less</w:t>
      </w:r>
      <w:proofErr w:type="gramEnd"/>
      <w:r w:rsidRPr="005D6D89">
        <w:t xml:space="preserve"> frequent frosts, with much of the northern North Island expected to become largely frost-free by 2100.</w:t>
      </w:r>
    </w:p>
    <w:p w14:paraId="591FC217" w14:textId="77777777" w:rsidR="00663A38" w:rsidRPr="005D6D89" w:rsidRDefault="00663A38" w:rsidP="0047009A">
      <w:pPr>
        <w:pStyle w:val="BodyText"/>
        <w:spacing w:before="100" w:after="100"/>
      </w:pPr>
      <w:r w:rsidRPr="005D6D89">
        <w:t xml:space="preserve">The predicted changes </w:t>
      </w:r>
      <w:proofErr w:type="gramStart"/>
      <w:r w:rsidRPr="005D6D89">
        <w:t>are expected</w:t>
      </w:r>
      <w:proofErr w:type="gramEnd"/>
      <w:r w:rsidRPr="005D6D89">
        <w:t xml:space="preserve"> to foster expansion of many invasive species, likely southwards and to higher elevations (McGlone and Walker, 2011). Many have traits that help them invade new habitats, including wide dispersal of </w:t>
      </w:r>
      <w:r w:rsidRPr="00845880">
        <w:t>propagules</w:t>
      </w:r>
      <w:r w:rsidRPr="005D6D89">
        <w:t xml:space="preserve">, fast reproductive or growth rates, and </w:t>
      </w:r>
      <w:r w:rsidR="008F04A3">
        <w:t xml:space="preserve">the </w:t>
      </w:r>
      <w:r w:rsidRPr="005D6D89">
        <w:t xml:space="preserve">ability to establish or persist in harsh environments. </w:t>
      </w:r>
    </w:p>
    <w:p w14:paraId="3265D51B" w14:textId="77777777" w:rsidR="00663A38" w:rsidRPr="005D6D89" w:rsidRDefault="00663A38" w:rsidP="0047009A">
      <w:pPr>
        <w:pStyle w:val="BodyText"/>
        <w:spacing w:before="100" w:after="100"/>
      </w:pPr>
      <w:r w:rsidRPr="005D6D89">
        <w:t xml:space="preserve">Additions to the pool of invasive species are also likely to arise from species that </w:t>
      </w:r>
      <w:proofErr w:type="gramStart"/>
      <w:r w:rsidRPr="005D6D89">
        <w:t>are already established in New Zealand</w:t>
      </w:r>
      <w:r w:rsidR="008F04A3">
        <w:t>,</w:t>
      </w:r>
      <w:r w:rsidRPr="005D6D89">
        <w:t xml:space="preserve"> but not currently considered problematic</w:t>
      </w:r>
      <w:proofErr w:type="gramEnd"/>
      <w:r w:rsidRPr="005D6D89">
        <w:t xml:space="preserve">. This is likely as changing climates enable them to reproduce or alter their competitive advantage over indigenous species facing increasing stress (Thuiller, Richardson and Midgley, 2007). </w:t>
      </w:r>
    </w:p>
    <w:p w14:paraId="07AD441B" w14:textId="77777777" w:rsidR="00663A38" w:rsidRPr="005D6D89" w:rsidRDefault="00663A38" w:rsidP="0047009A">
      <w:pPr>
        <w:pStyle w:val="BodyText"/>
        <w:spacing w:before="100" w:after="100"/>
      </w:pPr>
      <w:r w:rsidRPr="005D6D89">
        <w:t>Higher temperatures will also favour new</w:t>
      </w:r>
      <w:r w:rsidR="008F04A3">
        <w:t>,</w:t>
      </w:r>
      <w:r w:rsidRPr="005D6D89">
        <w:t xml:space="preserve"> warm-climate invasive species. Human transport will bring some (eg, plant or insect species accidentally carried with imported goods or products, marine invertebrates in ship ballast water). Others are likely to establish through natural dispersal (eg, wind-borne plant pathogens, or marine species moving south in response to warmer ocean temperatures). </w:t>
      </w:r>
    </w:p>
    <w:bookmarkEnd w:id="312"/>
    <w:p w14:paraId="1D1A6460" w14:textId="77777777" w:rsidR="00663A38" w:rsidRPr="005D6D89" w:rsidRDefault="00663A38" w:rsidP="0047009A">
      <w:pPr>
        <w:pStyle w:val="Heading5"/>
        <w:spacing w:before="200"/>
      </w:pPr>
      <w:r w:rsidRPr="005D6D89">
        <w:t xml:space="preserve">Sensitivity </w:t>
      </w:r>
    </w:p>
    <w:p w14:paraId="188982EE" w14:textId="77777777" w:rsidR="00663A38" w:rsidRPr="005D6D89" w:rsidRDefault="00663A38" w:rsidP="0047009A">
      <w:pPr>
        <w:pStyle w:val="BodyText"/>
        <w:spacing w:before="100" w:after="100"/>
      </w:pPr>
      <w:r w:rsidRPr="005D6D89">
        <w:t>Many of New Zealand</w:t>
      </w:r>
      <w:r w:rsidR="001200EA">
        <w:t>’</w:t>
      </w:r>
      <w:r w:rsidRPr="005D6D89">
        <w:t>s indigenous ecosystems and taonga species already face high pressure from introduced species, including plants, vertebrates, invertebrates and pathogens. Impacts include predation, competition and</w:t>
      </w:r>
      <w:r w:rsidR="008F04A3">
        <w:t>,</w:t>
      </w:r>
      <w:r w:rsidRPr="005D6D89">
        <w:t xml:space="preserve"> in some cases</w:t>
      </w:r>
      <w:r w:rsidR="008F04A3">
        <w:t>,</w:t>
      </w:r>
      <w:r w:rsidRPr="005D6D89">
        <w:t xml:space="preserve"> mortality. These combine to reduce both native dominance in ecosystems, and the abundance of vulnerable species, in some cases leading to endangerment or even extinction. </w:t>
      </w:r>
    </w:p>
    <w:p w14:paraId="6E70A5F2" w14:textId="77777777" w:rsidR="00663A38" w:rsidRPr="005D6D89" w:rsidRDefault="00663A38" w:rsidP="0047009A">
      <w:pPr>
        <w:pStyle w:val="BodyText"/>
        <w:spacing w:before="100" w:after="100"/>
      </w:pPr>
      <w:r w:rsidRPr="005D6D89">
        <w:t>Climate change will exacerbate these pressures by enabling</w:t>
      </w:r>
      <w:r w:rsidR="00027F9F" w:rsidRPr="005D6D89">
        <w:t xml:space="preserve"> </w:t>
      </w:r>
      <w:r w:rsidRPr="005D6D89">
        <w:t>invasive species to expand. For example,</w:t>
      </w:r>
      <w:r w:rsidRPr="005D6D89">
        <w:rPr>
          <w:color w:val="DA6C28" w:themeColor="accent6"/>
        </w:rPr>
        <w:t xml:space="preserve"> </w:t>
      </w:r>
      <w:r w:rsidRPr="005D6D89">
        <w:t>rodents may extend their altitudinal ranges, and freshwater pest fish in warmer northern lakes and rivers are more likely to spread southwards and to higher elevations. Some</w:t>
      </w:r>
      <w:r w:rsidR="0047009A" w:rsidRPr="005D6D89">
        <w:t> </w:t>
      </w:r>
      <w:r w:rsidRPr="005D6D89">
        <w:t xml:space="preserve">non-problematic species could become invasive, and novel species from warm locations outside New Zealand are more likely </w:t>
      </w:r>
      <w:proofErr w:type="gramStart"/>
      <w:r w:rsidRPr="005D6D89">
        <w:t>to become est</w:t>
      </w:r>
      <w:r w:rsidR="008F04A3">
        <w:t>ablished</w:t>
      </w:r>
      <w:r w:rsidR="00027F9F" w:rsidRPr="005D6D89">
        <w:t xml:space="preserve"> </w:t>
      </w:r>
      <w:r w:rsidRPr="005D6D89">
        <w:t>and invade indigenous ecosystems</w:t>
      </w:r>
      <w:proofErr w:type="gramEnd"/>
      <w:r w:rsidRPr="005D6D89">
        <w:t xml:space="preserve">. </w:t>
      </w:r>
      <w:r w:rsidRPr="005D6D89">
        <w:rPr>
          <w:color w:val="000000" w:themeColor="text1"/>
        </w:rPr>
        <w:t xml:space="preserve">By contrast, higher temperatures in some waters may reduce the abundance of introduced salmonids, increasing the survival of </w:t>
      </w:r>
      <w:r w:rsidRPr="005D6D89">
        <w:t>indigenous</w:t>
      </w:r>
      <w:r w:rsidRPr="005D6D89">
        <w:rPr>
          <w:color w:val="000000" w:themeColor="text1"/>
        </w:rPr>
        <w:t xml:space="preserve"> fish (Robertson et al, 2016).</w:t>
      </w:r>
    </w:p>
    <w:p w14:paraId="729B2BAC" w14:textId="77777777" w:rsidR="00663A38" w:rsidRPr="005D6D89" w:rsidRDefault="00663A38" w:rsidP="0047009A">
      <w:pPr>
        <w:pStyle w:val="BodyText"/>
        <w:spacing w:before="100" w:after="100"/>
        <w:rPr>
          <w:color w:val="000000" w:themeColor="text1"/>
        </w:rPr>
      </w:pPr>
      <w:r w:rsidRPr="005D6D89">
        <w:rPr>
          <w:color w:val="000000" w:themeColor="text1"/>
        </w:rPr>
        <w:t xml:space="preserve">Humans will facilitate the invasion of introduced species. The greatest numbers of weeds are near population centres, which are reservoirs for spread into surrounding landscapes (Timmins and Williams 1991). Humans have also introduced freshwater pest fish, particularly in northern waters, through accidental and deliberate release (Hamilton et al, 2013). </w:t>
      </w:r>
    </w:p>
    <w:p w14:paraId="45E761F1" w14:textId="77777777" w:rsidR="00663A38" w:rsidRPr="005D6D89" w:rsidRDefault="00663A38" w:rsidP="0047009A">
      <w:pPr>
        <w:pStyle w:val="BodyText"/>
        <w:spacing w:before="100" w:after="100"/>
        <w:rPr>
          <w:color w:val="000000" w:themeColor="text1"/>
        </w:rPr>
      </w:pPr>
      <w:r w:rsidRPr="005D6D89">
        <w:rPr>
          <w:color w:val="000000" w:themeColor="text1"/>
        </w:rPr>
        <w:t>Fragmentation increases the vulnerability of many lowland</w:t>
      </w:r>
      <w:r w:rsidR="008F04A3">
        <w:rPr>
          <w:color w:val="000000" w:themeColor="text1"/>
        </w:rPr>
        <w:t>,</w:t>
      </w:r>
      <w:r w:rsidRPr="005D6D89">
        <w:rPr>
          <w:color w:val="000000" w:themeColor="text1"/>
        </w:rPr>
        <w:t xml:space="preserve"> terrestrial indigenous ecosystems. It increases the ratio of </w:t>
      </w:r>
      <w:r w:rsidR="008F04A3">
        <w:t>edge-to-</w:t>
      </w:r>
      <w:r w:rsidRPr="00845880">
        <w:t xml:space="preserve">core </w:t>
      </w:r>
      <w:r w:rsidRPr="008F04A3">
        <w:t>habitats</w:t>
      </w:r>
      <w:r w:rsidR="008F04A3">
        <w:t xml:space="preserve"> </w:t>
      </w:r>
      <w:r w:rsidRPr="005D6D89">
        <w:rPr>
          <w:color w:val="000000" w:themeColor="text1"/>
        </w:rPr>
        <w:t xml:space="preserve">(edge effects are changes in population or community structures that occur at the boundary of two or more habitats), providing more opportunities for invasion from surrounding exotic-dominated landscapes (McGlone and Walker, 2011). Indigenous landscapes in drier environments, where human firing has replaced woody cover with tussock grasslands, are particularly vulnerable to invasion by wilding conifers. Some of these can survive at higher elevations than indigenous species that normally occur at treeline, allowing them to invade subalpine ecosystems. </w:t>
      </w:r>
    </w:p>
    <w:p w14:paraId="58A52926" w14:textId="77777777" w:rsidR="00663A38" w:rsidRPr="005D6D89" w:rsidRDefault="00663A38" w:rsidP="001C519B">
      <w:pPr>
        <w:pStyle w:val="BodyText"/>
      </w:pPr>
      <w:r w:rsidRPr="005D6D89">
        <w:t xml:space="preserve">Predicting the overall impacts of invasive species is difficult, given the complex </w:t>
      </w:r>
      <w:r w:rsidRPr="00845880">
        <w:t>relationships</w:t>
      </w:r>
      <w:r w:rsidRPr="005D6D89">
        <w:t xml:space="preserve"> between invasive and indigenous species, and between invasive species (Tompkins, Byrom, and Pech, 2013). </w:t>
      </w:r>
      <w:proofErr w:type="gramStart"/>
      <w:r w:rsidRPr="005D6D89">
        <w:t>More frequent events</w:t>
      </w:r>
      <w:r w:rsidR="007473BA">
        <w:t>,</w:t>
      </w:r>
      <w:r w:rsidRPr="005D6D89">
        <w:t xml:space="preserve"> such as droughts or heatwaves</w:t>
      </w:r>
      <w:r w:rsidR="007473BA">
        <w:t>,</w:t>
      </w:r>
      <w:proofErr w:type="gramEnd"/>
      <w:r w:rsidRPr="005D6D89">
        <w:t xml:space="preserve"> may enable invasive species to expand their range, eg, when formerly dominant indigenous </w:t>
      </w:r>
      <w:r w:rsidR="008F04A3">
        <w:t>species are lost through stress-</w:t>
      </w:r>
      <w:r w:rsidRPr="005D6D89">
        <w:t>induced mortality (Thomsen</w:t>
      </w:r>
      <w:r w:rsidR="00B61730">
        <w:t xml:space="preserve"> et al</w:t>
      </w:r>
      <w:r w:rsidRPr="005D6D89">
        <w:t xml:space="preserve">, 2019). </w:t>
      </w:r>
    </w:p>
    <w:p w14:paraId="53288566" w14:textId="77777777" w:rsidR="00663A38" w:rsidRPr="005D6D89" w:rsidRDefault="00663A38" w:rsidP="001C519B">
      <w:pPr>
        <w:pStyle w:val="Heading5"/>
      </w:pPr>
      <w:bookmarkStart w:id="313" w:name="_Hlk36832769"/>
      <w:r w:rsidRPr="005D6D89">
        <w:t>Adaptive capacity</w:t>
      </w:r>
    </w:p>
    <w:p w14:paraId="549277CA" w14:textId="77777777" w:rsidR="00663A38" w:rsidRPr="005D6D89" w:rsidRDefault="00663A38" w:rsidP="00C318EC">
      <w:pPr>
        <w:pStyle w:val="BodyText"/>
        <w:spacing w:before="100" w:after="100"/>
      </w:pPr>
      <w:r w:rsidRPr="005D6D89">
        <w:t xml:space="preserve">Many indigenous ecosystems and taonga species (indigenous) exhibit a low adaptive capacity in the face of human-induced pressures such as introducing alien species, clearing and fragmentation of habitat, discharging nutrients and sediments into waterbodies, and harvesting marine fish. This is a common feature of island </w:t>
      </w:r>
      <w:r w:rsidRPr="00845880">
        <w:t>biotas</w:t>
      </w:r>
      <w:r w:rsidRPr="005D6D89">
        <w:t xml:space="preserve">, and particularly those with long genetic isolation (Frankham, 1997; </w:t>
      </w:r>
      <w:r w:rsidR="008F04A3">
        <w:t>Williams, Shoo, Isaac, Hoffmann</w:t>
      </w:r>
      <w:r w:rsidRPr="005D6D89">
        <w:t xml:space="preserve"> and Langham, 2008). Most indigenous bird species have declined in the face of predation by introduced mammals (Innes et al, 2010), many of our forests have been changed significantly by introduced mammalian browsers (</w:t>
      </w:r>
      <w:r w:rsidR="0080544C">
        <w:t>eg,</w:t>
      </w:r>
      <w:r w:rsidRPr="005D6D89">
        <w:t xml:space="preserve"> Wardle</w:t>
      </w:r>
      <w:r w:rsidR="00B61730">
        <w:t xml:space="preserve"> et al</w:t>
      </w:r>
      <w:r w:rsidRPr="005D6D89">
        <w:t>, 2001), and the numbers of distinctive freshwater galaxiids have declined because of predatory salmon (McDowall, 2003; McIntosh</w:t>
      </w:r>
      <w:r w:rsidR="00B61730">
        <w:t xml:space="preserve"> et al</w:t>
      </w:r>
      <w:r w:rsidRPr="005D6D89">
        <w:t xml:space="preserve">, 2010). </w:t>
      </w:r>
    </w:p>
    <w:p w14:paraId="120A6324" w14:textId="77777777" w:rsidR="00663A38" w:rsidRPr="005D6D89" w:rsidRDefault="00663A38" w:rsidP="00C318EC">
      <w:pPr>
        <w:pStyle w:val="BodyText"/>
        <w:spacing w:before="100" w:after="100"/>
      </w:pPr>
      <w:r w:rsidRPr="005D6D89">
        <w:t xml:space="preserve">Site-specific studies are generally lacking, but it is crucial to continue managing introduced species with the aim of keeping diverse ecosystems as healthy as possible, and maintaining populations of species at particular risk of decline. </w:t>
      </w:r>
    </w:p>
    <w:p w14:paraId="338A1EFD" w14:textId="77777777" w:rsidR="00663A38" w:rsidRPr="005D6D89" w:rsidRDefault="00663A38" w:rsidP="00C318EC">
      <w:pPr>
        <w:pStyle w:val="BodyText"/>
        <w:spacing w:before="100" w:after="100"/>
      </w:pPr>
      <w:r w:rsidRPr="005D6D89">
        <w:t>Adaptive capacity of species and natural ecosystems is somewhat limited without effective governance. Interventions to reduce the impact of invasive species m</w:t>
      </w:r>
      <w:r w:rsidR="008F04A3">
        <w:t>ay help, at least in the short-to medium-</w:t>
      </w:r>
      <w:r w:rsidRPr="005D6D89">
        <w:t xml:space="preserve">term. Conservation management to eradicate invasive species and protect taonga and indigenous species has had some success in New Zealand. However, there are major knowledge gaps and challenges in eradicating invasive predators </w:t>
      </w:r>
      <w:r w:rsidR="00237239">
        <w:t xml:space="preserve">in the </w:t>
      </w:r>
      <w:r w:rsidRPr="005D6D89">
        <w:t>long term (Macinnis</w:t>
      </w:r>
      <w:r w:rsidR="001C519B" w:rsidRPr="005D6D89">
        <w:noBreakHyphen/>
      </w:r>
      <w:r w:rsidRPr="005D6D89">
        <w:t>Ng</w:t>
      </w:r>
      <w:r w:rsidR="00B61730">
        <w:t xml:space="preserve"> et al</w:t>
      </w:r>
      <w:r w:rsidRPr="005D6D89">
        <w:t xml:space="preserve">, </w:t>
      </w:r>
      <w:r w:rsidR="00B61730">
        <w:t>nd</w:t>
      </w:r>
      <w:r w:rsidRPr="005D6D89">
        <w:t xml:space="preserve">). </w:t>
      </w:r>
    </w:p>
    <w:bookmarkEnd w:id="313"/>
    <w:p w14:paraId="54D3B19E" w14:textId="77777777" w:rsidR="00663A38" w:rsidRPr="005D6D89" w:rsidRDefault="00663A38" w:rsidP="001C519B">
      <w:pPr>
        <w:pStyle w:val="Heading5"/>
      </w:pPr>
      <w:r w:rsidRPr="005D6D89">
        <w:t>Consequence</w:t>
      </w:r>
    </w:p>
    <w:p w14:paraId="5851CED7" w14:textId="77777777" w:rsidR="00663A38" w:rsidRPr="005D6D89" w:rsidRDefault="00663A38" w:rsidP="00C318EC">
      <w:pPr>
        <w:pStyle w:val="BodyText"/>
        <w:spacing w:before="100" w:after="100"/>
      </w:pPr>
      <w:bookmarkStart w:id="314" w:name="_Hlk36832823"/>
      <w:r w:rsidRPr="005D6D89">
        <w:t>Expanding and new pest species are likely to compromise our ability to maintain the integrity and functioning of our indigenous ecosystems, and to increase the challenge of protecting our at-risk and threatened species. These risks are also likely to interact with</w:t>
      </w:r>
      <w:r w:rsidR="008F04A3">
        <w:t>,</w:t>
      </w:r>
      <w:r w:rsidRPr="005D6D89">
        <w:t xml:space="preserve"> and </w:t>
      </w:r>
      <w:proofErr w:type="gramStart"/>
      <w:r w:rsidRPr="005D6D89">
        <w:t>be compounded</w:t>
      </w:r>
      <w:proofErr w:type="gramEnd"/>
      <w:r w:rsidRPr="005D6D89">
        <w:t xml:space="preserve"> by</w:t>
      </w:r>
      <w:r w:rsidR="008F04A3">
        <w:t>,</w:t>
      </w:r>
      <w:r w:rsidRPr="005D6D89">
        <w:t xml:space="preserve"> all the other natural environment risks identified by this assessment. </w:t>
      </w:r>
    </w:p>
    <w:p w14:paraId="55790324" w14:textId="77777777" w:rsidR="00663A38" w:rsidRPr="005D6D89" w:rsidRDefault="00663A38" w:rsidP="00C318EC">
      <w:pPr>
        <w:pStyle w:val="BodyText"/>
        <w:spacing w:before="100" w:after="100"/>
        <w:rPr>
          <w:rFonts w:ascii="DOCBook-Mäori" w:hAnsi="DOCBook-Mäori" w:cs="DOCBook-Mäori"/>
        </w:rPr>
      </w:pPr>
      <w:r w:rsidRPr="005D6D89">
        <w:rPr>
          <w:rFonts w:cs="Arial"/>
        </w:rPr>
        <w:t xml:space="preserve">A number of taonga species are already under threat, including the brown kiwi, kākā, mohua, whio, </w:t>
      </w:r>
      <w:r w:rsidRPr="005D6D89">
        <w:rPr>
          <w:rFonts w:cs="Arial"/>
          <w:i/>
        </w:rPr>
        <w:t>Powelliphanta</w:t>
      </w:r>
      <w:r w:rsidRPr="005D6D89">
        <w:rPr>
          <w:rFonts w:cs="Arial"/>
        </w:rPr>
        <w:t xml:space="preserve"> snails</w:t>
      </w:r>
      <w:r w:rsidR="008F04A3">
        <w:rPr>
          <w:rFonts w:cs="Arial"/>
        </w:rPr>
        <w:t>,</w:t>
      </w:r>
      <w:r w:rsidRPr="005D6D89">
        <w:rPr>
          <w:rFonts w:cs="Arial"/>
        </w:rPr>
        <w:t xml:space="preserve"> and the North Island kokako (Department of Conservation, 2019). Without continued effective conservation management, higher temperatures may add pressure, as invasive species spread. </w:t>
      </w:r>
      <w:bookmarkEnd w:id="314"/>
    </w:p>
    <w:p w14:paraId="1E7A71A5" w14:textId="77777777" w:rsidR="00663A38" w:rsidRPr="005D6D89" w:rsidRDefault="00663A38" w:rsidP="001C519B">
      <w:pPr>
        <w:pStyle w:val="Heading5"/>
      </w:pPr>
      <w:r w:rsidRPr="005D6D89">
        <w:t xml:space="preserve">Interacting risks </w:t>
      </w:r>
    </w:p>
    <w:p w14:paraId="5A667A31" w14:textId="77777777" w:rsidR="00663A38" w:rsidRPr="005D6D89" w:rsidRDefault="00663A38" w:rsidP="00C318EC">
      <w:pPr>
        <w:pStyle w:val="BodyText"/>
        <w:spacing w:before="100" w:after="100"/>
      </w:pPr>
      <w:r w:rsidRPr="005D6D89">
        <w:t xml:space="preserve">The disruption of natural ecosystems by invasive species would affect sectors that rely on indigenous species and natural landscapes, particularly tourism (E4), the land-based primary sector (E3), fisheries and aquaculture (E5). Conversely, changes in land use could render existing uses unsustainable, creating cascading impacts on the natural environment. </w:t>
      </w:r>
    </w:p>
    <w:p w14:paraId="286A8CEF" w14:textId="77777777" w:rsidR="00663A38" w:rsidRPr="005D6D89" w:rsidRDefault="00663A38" w:rsidP="00C318EC">
      <w:pPr>
        <w:pStyle w:val="BodyText"/>
        <w:spacing w:before="100" w:after="100"/>
      </w:pPr>
      <w:r w:rsidRPr="005D6D89">
        <w:t>Invasive species pose a threat to indigenous species and ecosystems that are fundamental to</w:t>
      </w:r>
      <w:r w:rsidR="00AE11D9">
        <w:t> </w:t>
      </w:r>
      <w:r w:rsidRPr="005D6D89">
        <w:t>Māori social, economic, cultural capital, cultural heritage values, and spiritual wellbeing (H6</w:t>
      </w:r>
      <w:r w:rsidR="007626E4" w:rsidRPr="005D6D89">
        <w:t> </w:t>
      </w:r>
      <w:r w:rsidRPr="005D6D89">
        <w:t>and H8). With the invasion of exotic species comes the threat of vector-borne diseases and</w:t>
      </w:r>
      <w:r w:rsidR="00AE11D9">
        <w:t> </w:t>
      </w:r>
      <w:r w:rsidRPr="005D6D89">
        <w:t xml:space="preserve">associated health implications (H3). </w:t>
      </w:r>
    </w:p>
    <w:p w14:paraId="1AAD6C37" w14:textId="77777777" w:rsidR="00663A38" w:rsidRPr="005D6D89" w:rsidRDefault="00663A38" w:rsidP="001C519B">
      <w:pPr>
        <w:pStyle w:val="Heading5"/>
      </w:pPr>
      <w:r w:rsidRPr="005D6D89">
        <w:t>Confidence: High agreement, medium evidence</w:t>
      </w:r>
    </w:p>
    <w:p w14:paraId="0A1D4716" w14:textId="77777777" w:rsidR="00663A38" w:rsidRPr="005D6D89" w:rsidRDefault="00663A38" w:rsidP="00C318EC">
      <w:pPr>
        <w:pStyle w:val="BodyText"/>
        <w:spacing w:before="100"/>
      </w:pPr>
      <w:r w:rsidRPr="005D6D89">
        <w:t xml:space="preserve">There is a high level of agreement that changing climatic conditions will likely enable the spread of existing and novel introduced species, with a likely change in ecosystem composition and loss of taonga and indigenous species. However, evidence of the impacts is limited largely to a few well-studied systems. Further research </w:t>
      </w:r>
      <w:proofErr w:type="gramStart"/>
      <w:r w:rsidRPr="005D6D89">
        <w:t>is needed</w:t>
      </w:r>
      <w:proofErr w:type="gramEnd"/>
      <w:r w:rsidRPr="005D6D89">
        <w:t xml:space="preserve"> to identify the specific vulnerabilities of a wider range of indigenous ecosystems and species.</w:t>
      </w:r>
    </w:p>
    <w:p w14:paraId="203CC6F3" w14:textId="77777777" w:rsidR="00663A38" w:rsidRPr="005D6D89" w:rsidRDefault="00663A38" w:rsidP="001C519B">
      <w:pPr>
        <w:pStyle w:val="Heading5"/>
      </w:pPr>
      <w:r w:rsidRPr="005D6D89">
        <w:t>Adaptation</w:t>
      </w:r>
    </w:p>
    <w:p w14:paraId="56A91558" w14:textId="77777777" w:rsidR="00663A38" w:rsidRPr="005D6D89" w:rsidRDefault="00663A38" w:rsidP="001C519B">
      <w:pPr>
        <w:pStyle w:val="BodyText"/>
        <w:rPr>
          <w:lang w:eastAsia="en-AU"/>
        </w:rPr>
      </w:pPr>
      <w:r w:rsidRPr="005D6D89">
        <w:rPr>
          <w:lang w:eastAsia="en-AU"/>
        </w:rPr>
        <w:t xml:space="preserve">Adaptation action to reduce establishment, spread and survival of exotic or invasive species </w:t>
      </w:r>
      <w:proofErr w:type="gramStart"/>
      <w:r w:rsidRPr="005D6D89">
        <w:rPr>
          <w:lang w:eastAsia="en-AU"/>
        </w:rPr>
        <w:t>is largely driven</w:t>
      </w:r>
      <w:proofErr w:type="gramEnd"/>
      <w:r w:rsidRPr="005D6D89">
        <w:rPr>
          <w:lang w:eastAsia="en-AU"/>
        </w:rPr>
        <w:t xml:space="preserve"> by the Department of Conservation (DOC), the Ministry for Primary Industries (MPI) and regional councils. Non-government organisations (NGOs) and community groups also contribute. For example, Predator Free 2050 </w:t>
      </w:r>
      <w:proofErr w:type="gramStart"/>
      <w:r w:rsidRPr="005D6D89">
        <w:rPr>
          <w:lang w:eastAsia="en-AU"/>
        </w:rPr>
        <w:t>is supported</w:t>
      </w:r>
      <w:proofErr w:type="gramEnd"/>
      <w:r w:rsidRPr="005D6D89">
        <w:rPr>
          <w:lang w:eastAsia="en-AU"/>
        </w:rPr>
        <w:t xml:space="preserve"> by NGOs such as WWF, Kiwis for</w:t>
      </w:r>
      <w:r w:rsidR="00186CF7" w:rsidRPr="005D6D89">
        <w:rPr>
          <w:lang w:eastAsia="en-AU"/>
        </w:rPr>
        <w:t> </w:t>
      </w:r>
      <w:r w:rsidRPr="005D6D89">
        <w:rPr>
          <w:lang w:eastAsia="en-AU"/>
        </w:rPr>
        <w:t>Kiwi, Forest and Bird</w:t>
      </w:r>
      <w:r w:rsidR="008F04A3">
        <w:rPr>
          <w:lang w:eastAsia="en-AU"/>
        </w:rPr>
        <w:t>,</w:t>
      </w:r>
      <w:r w:rsidRPr="005D6D89">
        <w:rPr>
          <w:lang w:eastAsia="en-AU"/>
        </w:rPr>
        <w:t xml:space="preserve"> and Sanctuaries of New Zealand (Predator Free NZ, </w:t>
      </w:r>
      <w:r w:rsidR="00B61730">
        <w:rPr>
          <w:lang w:eastAsia="en-AU"/>
        </w:rPr>
        <w:t>nd</w:t>
      </w:r>
      <w:r w:rsidRPr="005D6D89">
        <w:rPr>
          <w:lang w:eastAsia="en-AU"/>
        </w:rPr>
        <w:t xml:space="preserve">). </w:t>
      </w:r>
    </w:p>
    <w:p w14:paraId="2FA4AC3C" w14:textId="77777777" w:rsidR="008F04A3" w:rsidRDefault="00663A38" w:rsidP="00EE4E33">
      <w:pPr>
        <w:pStyle w:val="BodyText"/>
        <w:rPr>
          <w:lang w:eastAsia="en-AU"/>
        </w:rPr>
      </w:pPr>
      <w:r w:rsidRPr="005D6D89">
        <w:rPr>
          <w:lang w:eastAsia="en-AU"/>
        </w:rPr>
        <w:t>Adaptive management includes risk assessments (including anticipation of emerging risks), early detection/rapid response (EDRR), border management, marine biosecurity, pest management, eradication of predators and assisted migration (translocation) (Champion, 2018</w:t>
      </w:r>
      <w:r w:rsidR="00136D82">
        <w:rPr>
          <w:lang w:eastAsia="en-AU"/>
        </w:rPr>
        <w:t>; Department of Conservation, nd</w:t>
      </w:r>
      <w:r w:rsidRPr="005D6D89">
        <w:rPr>
          <w:lang w:eastAsia="en-AU"/>
        </w:rPr>
        <w:t xml:space="preserve">). </w:t>
      </w:r>
    </w:p>
    <w:p w14:paraId="5B70366A" w14:textId="77777777" w:rsidR="008F04A3" w:rsidRDefault="00663A38" w:rsidP="00EE4E33">
      <w:pPr>
        <w:pStyle w:val="BodyText"/>
        <w:rPr>
          <w:lang w:eastAsia="en-AU"/>
        </w:rPr>
      </w:pPr>
      <w:r w:rsidRPr="005D6D89">
        <w:rPr>
          <w:lang w:eastAsia="en-AU"/>
        </w:rPr>
        <w:t xml:space="preserve">MPI is accountable for the end-to-end management of the biosecurity system under the Biosecurity Act (1993). Under this, regional councils for example, are driving action by updating and implementing regional pest management plans, providing a framework for the efficient and effective management or eradication of specific species (Auckland Council, 2019). </w:t>
      </w:r>
    </w:p>
    <w:p w14:paraId="7AE45852" w14:textId="77777777" w:rsidR="002F797E" w:rsidRDefault="00663A38" w:rsidP="00EE4E33">
      <w:pPr>
        <w:pStyle w:val="BodyText"/>
        <w:rPr>
          <w:lang w:eastAsia="en-AU"/>
        </w:rPr>
      </w:pPr>
      <w:r w:rsidRPr="005D6D89">
        <w:rPr>
          <w:lang w:eastAsia="en-AU"/>
        </w:rPr>
        <w:t>Other examples include Predator Free 2050, War on Weeds,</w:t>
      </w:r>
      <w:r w:rsidR="00347722" w:rsidRPr="005D6D89">
        <w:rPr>
          <w:lang w:eastAsia="en-AU"/>
        </w:rPr>
        <w:t> </w:t>
      </w:r>
      <w:r w:rsidRPr="005D6D89">
        <w:rPr>
          <w:lang w:eastAsia="en-AU"/>
        </w:rPr>
        <w:t>The Kauri Dieback Program, Myrtle Rust Strategy, and Land Information New Zealand control</w:t>
      </w:r>
      <w:r w:rsidR="00347722" w:rsidRPr="005D6D89">
        <w:rPr>
          <w:lang w:eastAsia="en-AU"/>
        </w:rPr>
        <w:t> </w:t>
      </w:r>
      <w:r w:rsidRPr="005D6D89">
        <w:rPr>
          <w:lang w:eastAsia="en-AU"/>
        </w:rPr>
        <w:t>programmes.</w:t>
      </w:r>
    </w:p>
    <w:p w14:paraId="251D3D7F" w14:textId="77777777" w:rsidR="00D52C19" w:rsidRPr="005D6D89" w:rsidRDefault="00D52C19" w:rsidP="00D52C19">
      <w:pPr>
        <w:pStyle w:val="Tableheading"/>
        <w:rPr>
          <w:lang w:eastAsia="en-AU"/>
        </w:rPr>
      </w:pPr>
      <w:bookmarkStart w:id="315" w:name="_Toc43312808"/>
      <w:r>
        <w:rPr>
          <w:lang w:eastAsia="en-AU"/>
        </w:rPr>
        <w:t xml:space="preserve">Table 14: </w:t>
      </w:r>
      <w:r>
        <w:rPr>
          <w:lang w:eastAsia="en-AU"/>
        </w:rPr>
        <w:tab/>
      </w:r>
      <w:r w:rsidRPr="00D52C19">
        <w:rPr>
          <w:lang w:eastAsia="en-AU"/>
        </w:rPr>
        <w:t>N2 Risks to indigenous ecosystems and species: urgency profile</w:t>
      </w:r>
      <w:bookmarkEnd w:id="315"/>
    </w:p>
    <w:tbl>
      <w:tblPr>
        <w:tblStyle w:val="TableGrid"/>
        <w:tblW w:w="8613" w:type="dxa"/>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Look w:val="04A0" w:firstRow="1" w:lastRow="0" w:firstColumn="1" w:lastColumn="0" w:noHBand="0" w:noVBand="1"/>
      </w:tblPr>
      <w:tblGrid>
        <w:gridCol w:w="2093"/>
        <w:gridCol w:w="850"/>
        <w:gridCol w:w="1134"/>
        <w:gridCol w:w="1134"/>
        <w:gridCol w:w="993"/>
        <w:gridCol w:w="708"/>
        <w:gridCol w:w="1701"/>
      </w:tblGrid>
      <w:tr w:rsidR="00B85DF2" w:rsidRPr="005D6D89" w14:paraId="6D89F1BB" w14:textId="77777777" w:rsidTr="00095C79">
        <w:tc>
          <w:tcPr>
            <w:tcW w:w="8613" w:type="dxa"/>
            <w:gridSpan w:val="7"/>
            <w:shd w:val="clear" w:color="auto" w:fill="2C9986"/>
            <w:hideMark/>
          </w:tcPr>
          <w:p w14:paraId="6DCD06C7" w14:textId="77777777" w:rsidR="00B85DF2" w:rsidRPr="005D6D89" w:rsidRDefault="00B85DF2" w:rsidP="0097673C">
            <w:pPr>
              <w:pStyle w:val="TableTextBold0"/>
              <w:rPr>
                <w:color w:val="FFFFFF" w:themeColor="background1"/>
              </w:rPr>
            </w:pPr>
            <w:bookmarkStart w:id="316" w:name="_Hlk35588735"/>
            <w:r w:rsidRPr="005D6D89">
              <w:rPr>
                <w:color w:val="FFFFFF" w:themeColor="background1"/>
              </w:rPr>
              <w:t>N2 Risks to indigenous ecosystems and species: urgency profile</w:t>
            </w:r>
          </w:p>
        </w:tc>
      </w:tr>
      <w:tr w:rsidR="00B85DF2" w:rsidRPr="005D6D89" w14:paraId="26AB1DFD" w14:textId="77777777" w:rsidTr="00095C79">
        <w:tc>
          <w:tcPr>
            <w:tcW w:w="2093" w:type="dxa"/>
            <w:shd w:val="clear" w:color="auto" w:fill="FFFFFF" w:themeFill="background1"/>
            <w:vAlign w:val="bottom"/>
          </w:tcPr>
          <w:p w14:paraId="600B936F" w14:textId="77777777" w:rsidR="00B85DF2" w:rsidRPr="003F0A2D" w:rsidRDefault="00B85DF2" w:rsidP="0097673C">
            <w:pPr>
              <w:pStyle w:val="TableTextBold0"/>
              <w:rPr>
                <w:color w:val="000000" w:themeColor="text1"/>
              </w:rPr>
            </w:pPr>
            <w:r w:rsidRPr="003F0A2D">
              <w:rPr>
                <w:color w:val="000000" w:themeColor="text1"/>
              </w:rPr>
              <w:t>Urgency category</w:t>
            </w:r>
          </w:p>
        </w:tc>
        <w:tc>
          <w:tcPr>
            <w:tcW w:w="1984" w:type="dxa"/>
            <w:gridSpan w:val="2"/>
            <w:vAlign w:val="bottom"/>
          </w:tcPr>
          <w:p w14:paraId="3723F6F2" w14:textId="77777777" w:rsidR="00B85DF2" w:rsidRPr="00136D82" w:rsidRDefault="00845880" w:rsidP="0097673C">
            <w:pPr>
              <w:pStyle w:val="TableTextBold0"/>
              <w:jc w:val="center"/>
            </w:pPr>
            <w:r w:rsidRPr="00136D82">
              <w:t>Proportion of urgency out of 100</w:t>
            </w:r>
          </w:p>
        </w:tc>
        <w:tc>
          <w:tcPr>
            <w:tcW w:w="4536" w:type="dxa"/>
            <w:gridSpan w:val="4"/>
            <w:vAlign w:val="bottom"/>
          </w:tcPr>
          <w:p w14:paraId="79C571C9" w14:textId="77777777" w:rsidR="00B85DF2" w:rsidRPr="005D6D89" w:rsidRDefault="00B85DF2" w:rsidP="0097673C">
            <w:pPr>
              <w:pStyle w:val="TableTextBold0"/>
            </w:pPr>
            <w:r w:rsidRPr="005D6D89">
              <w:t>Description of actions</w:t>
            </w:r>
          </w:p>
        </w:tc>
      </w:tr>
      <w:tr w:rsidR="00B85DF2" w:rsidRPr="005D6D89" w14:paraId="246AD054" w14:textId="77777777" w:rsidTr="00095C79">
        <w:tc>
          <w:tcPr>
            <w:tcW w:w="2093" w:type="dxa"/>
            <w:shd w:val="clear" w:color="auto" w:fill="FFFFFF" w:themeFill="background1"/>
            <w:hideMark/>
          </w:tcPr>
          <w:p w14:paraId="0DAA3107" w14:textId="77777777" w:rsidR="00B85DF2" w:rsidRPr="007D0B70" w:rsidRDefault="00B85DF2" w:rsidP="0097673C">
            <w:pPr>
              <w:pStyle w:val="TableTextBold0"/>
              <w:rPr>
                <w:b w:val="0"/>
                <w:color w:val="000000" w:themeColor="text1"/>
              </w:rPr>
            </w:pPr>
            <w:r w:rsidRPr="007D0B70">
              <w:rPr>
                <w:b w:val="0"/>
                <w:color w:val="000000" w:themeColor="text1"/>
              </w:rPr>
              <w:t>More action needed</w:t>
            </w:r>
          </w:p>
        </w:tc>
        <w:tc>
          <w:tcPr>
            <w:tcW w:w="1984" w:type="dxa"/>
            <w:gridSpan w:val="2"/>
            <w:hideMark/>
          </w:tcPr>
          <w:p w14:paraId="5527A345" w14:textId="77777777" w:rsidR="00B85DF2" w:rsidRPr="00136D82" w:rsidRDefault="00B85DF2" w:rsidP="0097673C">
            <w:pPr>
              <w:pStyle w:val="TableText"/>
              <w:jc w:val="center"/>
            </w:pPr>
            <w:r w:rsidRPr="00136D82">
              <w:t>40</w:t>
            </w:r>
          </w:p>
        </w:tc>
        <w:tc>
          <w:tcPr>
            <w:tcW w:w="4536" w:type="dxa"/>
            <w:gridSpan w:val="4"/>
            <w:hideMark/>
          </w:tcPr>
          <w:p w14:paraId="6CAF8413" w14:textId="77777777" w:rsidR="00B85DF2" w:rsidRPr="005D6D89" w:rsidRDefault="00B85DF2" w:rsidP="0097673C">
            <w:pPr>
              <w:pStyle w:val="TableText"/>
            </w:pPr>
            <w:r w:rsidRPr="005D6D89">
              <w:t>Proactively detect and manage existing and new pests as they become established. Reduce the impacts of species that induce major changes in ecosystem structure, including those that become invasive after disturbance events such as fire or marine heatwaves.</w:t>
            </w:r>
          </w:p>
        </w:tc>
      </w:tr>
      <w:tr w:rsidR="00B85DF2" w:rsidRPr="005D6D89" w14:paraId="5136CC56" w14:textId="77777777" w:rsidTr="00095C79">
        <w:tc>
          <w:tcPr>
            <w:tcW w:w="2093" w:type="dxa"/>
            <w:shd w:val="clear" w:color="auto" w:fill="FFFFFF" w:themeFill="background1"/>
            <w:hideMark/>
          </w:tcPr>
          <w:p w14:paraId="30C6F112" w14:textId="77777777" w:rsidR="00B85DF2" w:rsidRPr="007D0B70" w:rsidRDefault="00B85DF2" w:rsidP="0097673C">
            <w:pPr>
              <w:pStyle w:val="TableTextBold0"/>
              <w:rPr>
                <w:b w:val="0"/>
                <w:color w:val="000000" w:themeColor="text1"/>
                <w:highlight w:val="yellow"/>
              </w:rPr>
            </w:pPr>
            <w:r w:rsidRPr="007D0B70">
              <w:rPr>
                <w:b w:val="0"/>
                <w:color w:val="000000" w:themeColor="text1"/>
              </w:rPr>
              <w:t>Research priority</w:t>
            </w:r>
          </w:p>
        </w:tc>
        <w:tc>
          <w:tcPr>
            <w:tcW w:w="1984" w:type="dxa"/>
            <w:gridSpan w:val="2"/>
            <w:hideMark/>
          </w:tcPr>
          <w:p w14:paraId="5B1B0F1D" w14:textId="77777777" w:rsidR="00B85DF2" w:rsidRPr="00136D82" w:rsidRDefault="00B85DF2" w:rsidP="0097673C">
            <w:pPr>
              <w:pStyle w:val="TableText"/>
              <w:jc w:val="center"/>
            </w:pPr>
            <w:r w:rsidRPr="00136D82">
              <w:t>10</w:t>
            </w:r>
          </w:p>
        </w:tc>
        <w:tc>
          <w:tcPr>
            <w:tcW w:w="4536" w:type="dxa"/>
            <w:gridSpan w:val="4"/>
            <w:hideMark/>
          </w:tcPr>
          <w:p w14:paraId="381FA1A1" w14:textId="77777777" w:rsidR="00B85DF2" w:rsidRPr="005D6D89" w:rsidRDefault="00B85DF2" w:rsidP="0097673C">
            <w:pPr>
              <w:pStyle w:val="TableText"/>
            </w:pPr>
            <w:r w:rsidRPr="005D6D89">
              <w:t xml:space="preserve">Research required to: </w:t>
            </w:r>
          </w:p>
          <w:p w14:paraId="30886C04" w14:textId="77777777" w:rsidR="00B85DF2" w:rsidRPr="005D6D89" w:rsidRDefault="00B85DF2" w:rsidP="00812D16">
            <w:pPr>
              <w:pStyle w:val="TableText"/>
              <w:numPr>
                <w:ilvl w:val="0"/>
                <w:numId w:val="37"/>
              </w:numPr>
              <w:spacing w:before="0" w:after="0"/>
            </w:pPr>
            <w:r w:rsidRPr="005D6D89">
              <w:t xml:space="preserve">identify new and emerging risks from invasive species across terrestrial, freshwater and marine domains </w:t>
            </w:r>
          </w:p>
          <w:p w14:paraId="7CA496B6" w14:textId="77777777" w:rsidR="00B85DF2" w:rsidRPr="005D6D89" w:rsidRDefault="00B85DF2" w:rsidP="00812D16">
            <w:pPr>
              <w:pStyle w:val="TableText"/>
              <w:numPr>
                <w:ilvl w:val="0"/>
                <w:numId w:val="37"/>
              </w:numPr>
            </w:pPr>
            <w:proofErr w:type="gramStart"/>
            <w:r w:rsidRPr="005D6D89">
              <w:t>develop</w:t>
            </w:r>
            <w:proofErr w:type="gramEnd"/>
            <w:r w:rsidRPr="005D6D89">
              <w:t xml:space="preserve"> effective ways to manage these risks. </w:t>
            </w:r>
          </w:p>
        </w:tc>
      </w:tr>
      <w:tr w:rsidR="00B85DF2" w:rsidRPr="005D6D89" w14:paraId="261A3888" w14:textId="77777777" w:rsidTr="00095C79">
        <w:tc>
          <w:tcPr>
            <w:tcW w:w="2093" w:type="dxa"/>
            <w:shd w:val="clear" w:color="auto" w:fill="FFFFFF" w:themeFill="background1"/>
            <w:hideMark/>
          </w:tcPr>
          <w:p w14:paraId="3E49E1C6" w14:textId="77777777" w:rsidR="00B85DF2" w:rsidRPr="007D0B70" w:rsidRDefault="00B85DF2" w:rsidP="0097673C">
            <w:pPr>
              <w:pStyle w:val="TableTextBold0"/>
              <w:rPr>
                <w:b w:val="0"/>
                <w:color w:val="000000" w:themeColor="text1"/>
              </w:rPr>
            </w:pPr>
            <w:r w:rsidRPr="007D0B70">
              <w:rPr>
                <w:b w:val="0"/>
                <w:color w:val="000000" w:themeColor="text1"/>
              </w:rPr>
              <w:t>Sustain current action</w:t>
            </w:r>
          </w:p>
        </w:tc>
        <w:tc>
          <w:tcPr>
            <w:tcW w:w="1984" w:type="dxa"/>
            <w:gridSpan w:val="2"/>
            <w:hideMark/>
          </w:tcPr>
          <w:p w14:paraId="33673D4D" w14:textId="77777777" w:rsidR="00B85DF2" w:rsidRPr="005D6D89" w:rsidRDefault="00B85DF2" w:rsidP="0097673C">
            <w:pPr>
              <w:pStyle w:val="TableText"/>
              <w:jc w:val="center"/>
            </w:pPr>
            <w:r w:rsidRPr="005D6D89">
              <w:t>50</w:t>
            </w:r>
          </w:p>
        </w:tc>
        <w:tc>
          <w:tcPr>
            <w:tcW w:w="4536" w:type="dxa"/>
            <w:gridSpan w:val="4"/>
            <w:hideMark/>
          </w:tcPr>
          <w:p w14:paraId="1AA77AAE" w14:textId="77777777" w:rsidR="00B85DF2" w:rsidRPr="005D6D89" w:rsidRDefault="00B85DF2" w:rsidP="0097673C">
            <w:pPr>
              <w:pStyle w:val="TableText"/>
            </w:pPr>
            <w:r w:rsidRPr="005D6D89">
              <w:t>Aggressively continue pre-border, border and post-border biosecurity and control of problematic species.</w:t>
            </w:r>
          </w:p>
        </w:tc>
      </w:tr>
      <w:tr w:rsidR="00B85DF2" w:rsidRPr="005D6D89" w14:paraId="2A96D249" w14:textId="77777777" w:rsidTr="00095C79">
        <w:tc>
          <w:tcPr>
            <w:tcW w:w="2093" w:type="dxa"/>
            <w:tcBorders>
              <w:bottom w:val="single" w:sz="8" w:space="0" w:color="2C9986" w:themeColor="accent4"/>
            </w:tcBorders>
            <w:shd w:val="clear" w:color="auto" w:fill="FFFFFF" w:themeFill="background1"/>
            <w:hideMark/>
          </w:tcPr>
          <w:p w14:paraId="56F792A5" w14:textId="77777777" w:rsidR="00B85DF2" w:rsidRPr="007D0B70" w:rsidRDefault="00B85DF2" w:rsidP="0097673C">
            <w:pPr>
              <w:pStyle w:val="TableTextBold0"/>
              <w:rPr>
                <w:b w:val="0"/>
                <w:color w:val="000000" w:themeColor="text1"/>
              </w:rPr>
            </w:pPr>
            <w:r w:rsidRPr="007D0B70">
              <w:rPr>
                <w:b w:val="0"/>
                <w:color w:val="000000" w:themeColor="text1"/>
              </w:rPr>
              <w:t xml:space="preserve">Watching brief </w:t>
            </w:r>
          </w:p>
        </w:tc>
        <w:tc>
          <w:tcPr>
            <w:tcW w:w="1984" w:type="dxa"/>
            <w:gridSpan w:val="2"/>
            <w:tcBorders>
              <w:bottom w:val="single" w:sz="8" w:space="0" w:color="2C9986" w:themeColor="accent4"/>
            </w:tcBorders>
            <w:hideMark/>
          </w:tcPr>
          <w:p w14:paraId="72C1AA97" w14:textId="77777777" w:rsidR="00B85DF2" w:rsidRPr="005D6D89" w:rsidRDefault="00B85DF2" w:rsidP="0097673C">
            <w:pPr>
              <w:pStyle w:val="TableText"/>
              <w:jc w:val="center"/>
            </w:pPr>
            <w:r w:rsidRPr="005D6D89">
              <w:t>0</w:t>
            </w:r>
          </w:p>
        </w:tc>
        <w:tc>
          <w:tcPr>
            <w:tcW w:w="4536" w:type="dxa"/>
            <w:gridSpan w:val="4"/>
            <w:tcBorders>
              <w:bottom w:val="single" w:sz="8" w:space="0" w:color="2C9986" w:themeColor="accent4"/>
            </w:tcBorders>
            <w:hideMark/>
          </w:tcPr>
          <w:p w14:paraId="0ABA5D38" w14:textId="77777777" w:rsidR="00B85DF2" w:rsidRPr="005D6D89" w:rsidRDefault="00B85DF2" w:rsidP="0097673C">
            <w:pPr>
              <w:pStyle w:val="TableText"/>
            </w:pPr>
            <w:r w:rsidRPr="005D6D89">
              <w:t>Proactively detect and manage existing and new pest species as they become established. Reduce the impacts of species that induce major changes in ecosystem structure, including those that become invasive after disturbance events such as fire or marine heatwaves.</w:t>
            </w:r>
          </w:p>
        </w:tc>
      </w:tr>
      <w:tr w:rsidR="00B85DF2" w:rsidRPr="005D6D89" w14:paraId="49AAE555" w14:textId="77777777" w:rsidTr="00095C79">
        <w:tc>
          <w:tcPr>
            <w:tcW w:w="2093" w:type="dxa"/>
            <w:tcBorders>
              <w:top w:val="single" w:sz="8" w:space="0" w:color="2C9986" w:themeColor="accent4"/>
              <w:bottom w:val="single" w:sz="4" w:space="0" w:color="2C9986" w:themeColor="accent4"/>
              <w:right w:val="nil"/>
            </w:tcBorders>
            <w:shd w:val="clear" w:color="auto" w:fill="2C9986"/>
            <w:hideMark/>
          </w:tcPr>
          <w:p w14:paraId="770E030C" w14:textId="77777777" w:rsidR="00B85DF2" w:rsidRPr="005D6D89" w:rsidRDefault="00B85DF2" w:rsidP="0097673C">
            <w:pPr>
              <w:pStyle w:val="TableTextBold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Adaptation urgency </w:t>
            </w:r>
          </w:p>
        </w:tc>
        <w:tc>
          <w:tcPr>
            <w:tcW w:w="1984" w:type="dxa"/>
            <w:gridSpan w:val="2"/>
            <w:tcBorders>
              <w:top w:val="single" w:sz="8" w:space="0" w:color="2C9986" w:themeColor="accent4"/>
              <w:left w:val="nil"/>
            </w:tcBorders>
            <w:shd w:val="clear" w:color="auto" w:fill="FFFFFF" w:themeFill="background1"/>
            <w:hideMark/>
          </w:tcPr>
          <w:p w14:paraId="6F97DCF7" w14:textId="77777777" w:rsidR="00B85DF2" w:rsidRPr="005D6D89" w:rsidRDefault="00B85DF2" w:rsidP="0097673C">
            <w:pPr>
              <w:pStyle w:val="TableText"/>
              <w:jc w:val="center"/>
            </w:pPr>
            <w:r w:rsidRPr="005D6D89">
              <w:t>73</w:t>
            </w:r>
          </w:p>
        </w:tc>
        <w:tc>
          <w:tcPr>
            <w:tcW w:w="1134" w:type="dxa"/>
            <w:tcBorders>
              <w:top w:val="single" w:sz="8" w:space="0" w:color="2C9986" w:themeColor="accent4"/>
            </w:tcBorders>
            <w:shd w:val="clear" w:color="auto" w:fill="2C9986"/>
            <w:hideMark/>
          </w:tcPr>
          <w:p w14:paraId="3004E871" w14:textId="77777777" w:rsidR="00B85DF2" w:rsidRPr="005D6D89" w:rsidRDefault="00B85DF2" w:rsidP="0097673C">
            <w:pPr>
              <w:pStyle w:val="TableTextBold0"/>
              <w:rPr>
                <w:color w:val="FFFFFF" w:themeColor="background1"/>
              </w:rPr>
            </w:pPr>
            <w:r w:rsidRPr="005D6D89">
              <w:rPr>
                <w:color w:val="FFFFFF" w:themeColor="background1"/>
              </w:rPr>
              <w:t>Confidence</w:t>
            </w:r>
            <w:r w:rsidR="00027F9F" w:rsidRPr="005D6D89">
              <w:rPr>
                <w:color w:val="FFFFFF" w:themeColor="background1"/>
              </w:rPr>
              <w:t xml:space="preserve"> </w:t>
            </w:r>
          </w:p>
        </w:tc>
        <w:tc>
          <w:tcPr>
            <w:tcW w:w="3402" w:type="dxa"/>
            <w:gridSpan w:val="3"/>
            <w:tcBorders>
              <w:top w:val="single" w:sz="8" w:space="0" w:color="2C9986" w:themeColor="accent4"/>
            </w:tcBorders>
            <w:hideMark/>
          </w:tcPr>
          <w:p w14:paraId="47560281" w14:textId="77777777" w:rsidR="00B85DF2" w:rsidRPr="005D6D89" w:rsidRDefault="00B85DF2" w:rsidP="0097673C">
            <w:pPr>
              <w:pStyle w:val="TableText"/>
            </w:pPr>
            <w:r w:rsidRPr="005D6D89">
              <w:t>High agreement, medium evidence</w:t>
            </w:r>
          </w:p>
        </w:tc>
      </w:tr>
      <w:tr w:rsidR="00B85DF2" w:rsidRPr="005D6D89" w14:paraId="67B73934" w14:textId="77777777" w:rsidTr="00095C79">
        <w:tc>
          <w:tcPr>
            <w:tcW w:w="2093" w:type="dxa"/>
            <w:tcBorders>
              <w:right w:val="single" w:sz="4" w:space="0" w:color="FFFFFF" w:themeColor="background1"/>
            </w:tcBorders>
            <w:shd w:val="clear" w:color="auto" w:fill="2C9986"/>
            <w:hideMark/>
          </w:tcPr>
          <w:p w14:paraId="3C2CB8E2" w14:textId="77777777" w:rsidR="00B85DF2" w:rsidRPr="005D6D89" w:rsidRDefault="00B85DF2" w:rsidP="0097673C">
            <w:pPr>
              <w:pStyle w:val="TableTextBold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Consequence </w:t>
            </w:r>
          </w:p>
        </w:tc>
        <w:tc>
          <w:tcPr>
            <w:tcW w:w="850" w:type="dxa"/>
            <w:tcBorders>
              <w:left w:val="single" w:sz="4" w:space="0" w:color="FFFFFF" w:themeColor="background1"/>
            </w:tcBorders>
            <w:shd w:val="clear" w:color="auto" w:fill="2C9986"/>
            <w:hideMark/>
          </w:tcPr>
          <w:p w14:paraId="1ABD8920" w14:textId="77777777" w:rsidR="00B85DF2" w:rsidRPr="005D6D89" w:rsidRDefault="00B85DF2" w:rsidP="0097673C">
            <w:pPr>
              <w:pStyle w:val="TableText"/>
              <w:rPr>
                <w:color w:val="FFFFFF" w:themeColor="background1"/>
              </w:rPr>
            </w:pPr>
            <w:r w:rsidRPr="005D6D89">
              <w:rPr>
                <w:color w:val="FFFFFF" w:themeColor="background1"/>
              </w:rPr>
              <w:t>Now</w:t>
            </w:r>
          </w:p>
        </w:tc>
        <w:tc>
          <w:tcPr>
            <w:tcW w:w="1134" w:type="dxa"/>
            <w:hideMark/>
          </w:tcPr>
          <w:p w14:paraId="74424DFD" w14:textId="77777777" w:rsidR="00B85DF2" w:rsidRPr="005D6D89" w:rsidRDefault="00B85DF2" w:rsidP="0097673C">
            <w:pPr>
              <w:pStyle w:val="TableText"/>
            </w:pPr>
            <w:r w:rsidRPr="005D6D89">
              <w:t>Minor</w:t>
            </w:r>
          </w:p>
        </w:tc>
        <w:tc>
          <w:tcPr>
            <w:tcW w:w="1134" w:type="dxa"/>
            <w:shd w:val="clear" w:color="auto" w:fill="2C9986"/>
            <w:hideMark/>
          </w:tcPr>
          <w:p w14:paraId="2EB6DA0C" w14:textId="77777777" w:rsidR="00B85DF2" w:rsidRPr="005D6D89" w:rsidRDefault="00B85DF2" w:rsidP="0097673C">
            <w:pPr>
              <w:pStyle w:val="TableText"/>
              <w:rPr>
                <w:color w:val="FFFFFF" w:themeColor="background1"/>
              </w:rPr>
            </w:pPr>
            <w:r w:rsidRPr="005D6D89">
              <w:rPr>
                <w:color w:val="FFFFFF" w:themeColor="background1"/>
              </w:rPr>
              <w:t>2050</w:t>
            </w:r>
          </w:p>
        </w:tc>
        <w:tc>
          <w:tcPr>
            <w:tcW w:w="993" w:type="dxa"/>
            <w:hideMark/>
          </w:tcPr>
          <w:p w14:paraId="37D7D102" w14:textId="77777777" w:rsidR="00B85DF2" w:rsidRPr="005D6D89" w:rsidRDefault="00B85DF2" w:rsidP="0097673C">
            <w:pPr>
              <w:pStyle w:val="TableText"/>
            </w:pPr>
            <w:r w:rsidRPr="005D6D89">
              <w:t>Moderate</w:t>
            </w:r>
          </w:p>
        </w:tc>
        <w:tc>
          <w:tcPr>
            <w:tcW w:w="708" w:type="dxa"/>
            <w:shd w:val="clear" w:color="auto" w:fill="2C9986"/>
            <w:hideMark/>
          </w:tcPr>
          <w:p w14:paraId="6D79FA9D" w14:textId="77777777" w:rsidR="00B85DF2" w:rsidRPr="005D6D89" w:rsidRDefault="00B85DF2" w:rsidP="0097673C">
            <w:pPr>
              <w:pStyle w:val="TableText"/>
              <w:rPr>
                <w:color w:val="FFFFFF" w:themeColor="background1"/>
              </w:rPr>
            </w:pPr>
            <w:r w:rsidRPr="005D6D89">
              <w:rPr>
                <w:color w:val="FFFFFF" w:themeColor="background1"/>
              </w:rPr>
              <w:t>2100</w:t>
            </w:r>
          </w:p>
        </w:tc>
        <w:tc>
          <w:tcPr>
            <w:tcW w:w="1701" w:type="dxa"/>
            <w:hideMark/>
          </w:tcPr>
          <w:p w14:paraId="7B903E69" w14:textId="77777777" w:rsidR="00B85DF2" w:rsidRPr="005D6D89" w:rsidRDefault="00B85DF2" w:rsidP="0097673C">
            <w:pPr>
              <w:pStyle w:val="TableText"/>
            </w:pPr>
            <w:r w:rsidRPr="005D6D89">
              <w:t>Major</w:t>
            </w:r>
          </w:p>
        </w:tc>
        <w:bookmarkEnd w:id="316"/>
      </w:tr>
    </w:tbl>
    <w:p w14:paraId="7B1A71DA" w14:textId="77777777" w:rsidR="00B85DF2" w:rsidRPr="005D6D89" w:rsidRDefault="00B85DF2" w:rsidP="00812D16">
      <w:pPr>
        <w:pStyle w:val="Heading3"/>
        <w:numPr>
          <w:ilvl w:val="0"/>
          <w:numId w:val="28"/>
        </w:numPr>
        <w:spacing w:before="440"/>
      </w:pPr>
      <w:bookmarkStart w:id="317" w:name="_Other_priority_risks"/>
      <w:bookmarkStart w:id="318" w:name="_Toc35812353"/>
      <w:bookmarkStart w:id="319" w:name="_Toc37255774"/>
      <w:bookmarkStart w:id="320" w:name="_Toc37393675"/>
      <w:bookmarkStart w:id="321" w:name="_Toc40699356"/>
      <w:bookmarkStart w:id="322" w:name="_Hlk35710325"/>
      <w:bookmarkStart w:id="323" w:name="_Hlk35588834"/>
      <w:bookmarkStart w:id="324" w:name="_Toc35517206"/>
      <w:bookmarkEnd w:id="317"/>
      <w:r w:rsidRPr="005D6D89">
        <w:t xml:space="preserve">Other priority risks for the natural environment </w:t>
      </w:r>
      <w:bookmarkEnd w:id="318"/>
      <w:bookmarkEnd w:id="319"/>
      <w:bookmarkEnd w:id="320"/>
      <w:bookmarkEnd w:id="321"/>
    </w:p>
    <w:bookmarkEnd w:id="322"/>
    <w:bookmarkEnd w:id="323"/>
    <w:bookmarkEnd w:id="324"/>
    <w:p w14:paraId="408EC2F6" w14:textId="125070FE" w:rsidR="00B85DF2" w:rsidRPr="005D6D89" w:rsidRDefault="00B85DF2" w:rsidP="00360986">
      <w:pPr>
        <w:pStyle w:val="BodyText"/>
        <w:keepNext/>
        <w:spacing w:after="100"/>
      </w:pPr>
      <w:r w:rsidRPr="005D6D89">
        <w:t xml:space="preserve">The remaining 10 priority risks in the natural environment domain </w:t>
      </w:r>
      <w:proofErr w:type="gramStart"/>
      <w:r w:rsidRPr="005D6D89">
        <w:t>are listed</w:t>
      </w:r>
      <w:proofErr w:type="gramEnd"/>
      <w:r w:rsidRPr="005D6D89">
        <w:t xml:space="preserve"> in order of urgency. For more </w:t>
      </w:r>
      <w:r w:rsidR="00237239" w:rsidRPr="005D6D89">
        <w:t>information,</w:t>
      </w:r>
      <w:r w:rsidRPr="005D6D89">
        <w:t xml:space="preserve"> see the </w:t>
      </w:r>
      <w:hyperlink r:id="rId54" w:history="1">
        <w:r w:rsidR="00E546F8" w:rsidRPr="00E546F8">
          <w:rPr>
            <w:rStyle w:val="Hyperlink"/>
          </w:rPr>
          <w:t>technical report</w:t>
        </w:r>
      </w:hyperlink>
      <w:r w:rsidRPr="005D6D89">
        <w:t xml:space="preserve"> (table 1, section 3.4). </w:t>
      </w:r>
    </w:p>
    <w:p w14:paraId="3FDA407E" w14:textId="77777777" w:rsidR="00B85DF2" w:rsidRPr="005D6D89" w:rsidRDefault="00B85DF2" w:rsidP="003575E0">
      <w:pPr>
        <w:pStyle w:val="Heading4"/>
        <w:spacing w:before="240"/>
      </w:pPr>
      <w:bookmarkStart w:id="325" w:name="_Toc37174235"/>
      <w:r w:rsidRPr="005D6D89">
        <w:t>N3 Risks to riverine ecosystems and species from alterations in the volume and variability of water flow, increased water temperatures, and more dynamic morphology (erosion and deposition)</w:t>
      </w:r>
      <w:r w:rsidR="00502D9F">
        <w:t>,</w:t>
      </w:r>
      <w:r w:rsidRPr="005D6D89">
        <w:t xml:space="preserve"> due to changes in rainfall and temperature </w:t>
      </w:r>
      <w:bookmarkEnd w:id="325"/>
    </w:p>
    <w:p w14:paraId="32E8F58B" w14:textId="77777777" w:rsidR="00B85DF2" w:rsidRPr="005D6D89" w:rsidRDefault="00B85DF2" w:rsidP="00093310">
      <w:pPr>
        <w:pStyle w:val="BodyText"/>
        <w:spacing w:before="100" w:after="100"/>
      </w:pPr>
      <w:bookmarkStart w:id="326" w:name="_Hlk36654317"/>
      <w:r w:rsidRPr="005D6D89">
        <w:t>New Zealand</w:t>
      </w:r>
      <w:r w:rsidR="001200EA">
        <w:t>’</w:t>
      </w:r>
      <w:r w:rsidRPr="005D6D89">
        <w:t>s freshwater riverine ecosystems support a diverse array of animal and plant life,</w:t>
      </w:r>
      <w:r w:rsidR="00AE11D9">
        <w:t> </w:t>
      </w:r>
      <w:r w:rsidRPr="005D6D89">
        <w:t>including fish, invertebrates, plants, birds and microorganisms, many of which are endemic (Weeks</w:t>
      </w:r>
      <w:r w:rsidR="00B61730">
        <w:t xml:space="preserve"> et al</w:t>
      </w:r>
      <w:r w:rsidR="00502D9F">
        <w:t>, 2016; Robertson, Bowie, Death</w:t>
      </w:r>
      <w:r w:rsidRPr="005D6D89">
        <w:t xml:space="preserve"> and Collins, 2013). </w:t>
      </w:r>
    </w:p>
    <w:p w14:paraId="2E20B22F" w14:textId="77777777" w:rsidR="00B85DF2" w:rsidRPr="005D6D89" w:rsidRDefault="00B85DF2" w:rsidP="00093310">
      <w:pPr>
        <w:pStyle w:val="BodyText"/>
        <w:spacing w:before="100" w:after="100"/>
      </w:pPr>
      <w:r w:rsidRPr="005D6D89">
        <w:t xml:space="preserve">Up to 74 per cent of indigenous freshwater </w:t>
      </w:r>
      <w:proofErr w:type="gramStart"/>
      <w:r w:rsidRPr="005D6D89">
        <w:t>fish</w:t>
      </w:r>
      <w:proofErr w:type="gramEnd"/>
      <w:r w:rsidRPr="005D6D89">
        <w:t xml:space="preserve"> species are listed as endangered or at risk,</w:t>
      </w:r>
      <w:r w:rsidR="00AE11D9">
        <w:t> </w:t>
      </w:r>
      <w:r w:rsidRPr="005D6D89">
        <w:t>making these among the most threatened in the world (Weeks</w:t>
      </w:r>
      <w:r w:rsidR="00B61730">
        <w:t xml:space="preserve"> et al</w:t>
      </w:r>
      <w:r w:rsidRPr="005D6D89">
        <w:t>, 2016). In riverine</w:t>
      </w:r>
      <w:r w:rsidR="00AE11D9">
        <w:t> </w:t>
      </w:r>
      <w:r w:rsidRPr="005D6D89">
        <w:t>ecosystems, disturbance by high river and stream flows plays an important role in structuring invertebrate communities and broader ecosystem function (Townsend</w:t>
      </w:r>
      <w:r w:rsidR="00B61730">
        <w:t xml:space="preserve"> et al</w:t>
      </w:r>
      <w:r w:rsidRPr="005D6D89">
        <w:t>, 1997; Death</w:t>
      </w:r>
      <w:r w:rsidR="00B61730">
        <w:t xml:space="preserve"> et al</w:t>
      </w:r>
      <w:r w:rsidRPr="005D6D89">
        <w:t xml:space="preserve">, 2015). </w:t>
      </w:r>
    </w:p>
    <w:p w14:paraId="37608300" w14:textId="77777777" w:rsidR="00B85DF2" w:rsidRPr="005D6D89" w:rsidRDefault="00B85DF2" w:rsidP="00093310">
      <w:pPr>
        <w:pStyle w:val="BodyText"/>
        <w:spacing w:before="100" w:after="100"/>
      </w:pPr>
      <w:r w:rsidRPr="005D6D89">
        <w:t xml:space="preserve">However, there is already significant pressure from human activities such as </w:t>
      </w:r>
      <w:proofErr w:type="gramStart"/>
      <w:r w:rsidRPr="005D6D89">
        <w:t>hydro-power</w:t>
      </w:r>
      <w:proofErr w:type="gramEnd"/>
      <w:r w:rsidRPr="005D6D89">
        <w:t xml:space="preserve"> generation, agricultural intensification and urbanisation. These impede the movement of migratory </w:t>
      </w:r>
      <w:proofErr w:type="gramStart"/>
      <w:r w:rsidRPr="005D6D89">
        <w:t>species,</w:t>
      </w:r>
      <w:proofErr w:type="gramEnd"/>
      <w:r w:rsidRPr="005D6D89">
        <w:t xml:space="preserve"> reduce river flows and their variability, and increase inputs of sediments, nutrients and other contaminants (Weeks</w:t>
      </w:r>
      <w:r w:rsidR="00B61730">
        <w:t xml:space="preserve"> et al</w:t>
      </w:r>
      <w:r w:rsidRPr="005D6D89">
        <w:t>, 2016). There are also 21 introduced freshwater fish species and over 70 introduced aquatic plant species in our rivers and streams,</w:t>
      </w:r>
      <w:r w:rsidR="00E959E1" w:rsidRPr="005D6D89">
        <w:t> </w:t>
      </w:r>
      <w:r w:rsidRPr="005D6D89">
        <w:t>reducing the abundance of indigenous</w:t>
      </w:r>
      <w:r w:rsidRPr="005D6D89" w:rsidDel="007C6707">
        <w:t xml:space="preserve"> </w:t>
      </w:r>
      <w:r w:rsidRPr="005D6D89">
        <w:t>fish by competition, predation, and alteration</w:t>
      </w:r>
      <w:r w:rsidR="00E959E1" w:rsidRPr="005D6D89">
        <w:t> </w:t>
      </w:r>
      <w:r w:rsidRPr="005D6D89">
        <w:t>of biodiversity and habitat (Weeks</w:t>
      </w:r>
      <w:r w:rsidR="00B61730">
        <w:t xml:space="preserve"> et al</w:t>
      </w:r>
      <w:r w:rsidRPr="005D6D89">
        <w:t xml:space="preserve">, 2016). </w:t>
      </w:r>
      <w:bookmarkEnd w:id="326"/>
    </w:p>
    <w:p w14:paraId="0C8E6D3F" w14:textId="77777777" w:rsidR="00B85DF2" w:rsidRPr="005D6D89" w:rsidRDefault="00B85DF2" w:rsidP="003575E0">
      <w:pPr>
        <w:pStyle w:val="Heading4"/>
        <w:spacing w:before="240"/>
      </w:pPr>
      <w:r w:rsidRPr="005D6D89">
        <w:t>N4</w:t>
      </w:r>
      <w:r w:rsidR="00027F9F" w:rsidRPr="005D6D89">
        <w:t xml:space="preserve"> </w:t>
      </w:r>
      <w:r w:rsidRPr="005D6D89">
        <w:t>Risks to wetland ecosystems and species, particularly in eastern and</w:t>
      </w:r>
      <w:r w:rsidR="00502D9F">
        <w:t xml:space="preserve"> northern parts of New Zealand </w:t>
      </w:r>
      <w:r w:rsidRPr="005D6D89">
        <w:t>from reduced moisture status</w:t>
      </w:r>
      <w:r w:rsidR="00502D9F">
        <w:t>,</w:t>
      </w:r>
      <w:r w:rsidRPr="005D6D89">
        <w:t xml:space="preserve"> due to reduced rainfall </w:t>
      </w:r>
    </w:p>
    <w:p w14:paraId="4F01BFFC" w14:textId="77777777" w:rsidR="00B85DF2" w:rsidRPr="005D6D89" w:rsidRDefault="00B85DF2" w:rsidP="00093310">
      <w:pPr>
        <w:pStyle w:val="BodyText"/>
        <w:spacing w:before="100" w:after="100"/>
      </w:pPr>
      <w:bookmarkStart w:id="327" w:name="_Hlk36654288"/>
      <w:r w:rsidRPr="005D6D89">
        <w:t>New Zealand</w:t>
      </w:r>
      <w:r w:rsidR="001200EA">
        <w:t>’</w:t>
      </w:r>
      <w:r w:rsidRPr="005D6D89">
        <w:t>s wetland ecosystems and species are already vulnerable because of widespread changes in land use. About 90 per cent of their former cover has been lost since European settlement in the 1840s, most notably in lowland environments (Robertson, Ausseil, Rance, Betts, and Pomeroy, 2019). Despite this, wetlands still support a high proportion of the country</w:t>
      </w:r>
      <w:r w:rsidR="001200EA">
        <w:t>’</w:t>
      </w:r>
      <w:r w:rsidRPr="005D6D89">
        <w:t>s threatened plant species, many surviving in ephemeral wetlands (Holdaway, Wiser,</w:t>
      </w:r>
      <w:r w:rsidR="00E959E1" w:rsidRPr="005D6D89">
        <w:t> </w:t>
      </w:r>
      <w:r w:rsidRPr="005D6D89">
        <w:t xml:space="preserve">and Williams, 2012). </w:t>
      </w:r>
    </w:p>
    <w:p w14:paraId="112F05EF" w14:textId="77777777" w:rsidR="00B85DF2" w:rsidRPr="005D6D89" w:rsidRDefault="00B85DF2" w:rsidP="00093310">
      <w:pPr>
        <w:pStyle w:val="BodyText"/>
        <w:spacing w:before="100" w:after="100"/>
      </w:pPr>
      <w:r w:rsidRPr="005D6D89">
        <w:t xml:space="preserve">Climate change </w:t>
      </w:r>
      <w:proofErr w:type="gramStart"/>
      <w:r w:rsidRPr="005D6D89">
        <w:t>is predicted</w:t>
      </w:r>
      <w:proofErr w:type="gramEnd"/>
      <w:r w:rsidRPr="005D6D89">
        <w:t xml:space="preserve"> to alter the distribution of annual and seasonal rainfall. This, combined with higher temperatures and more wind, will inevitably affect the moisture status of many freshwater wetland ecosystems and species. The greatest impact will likely be in drier (mainly eastern) environments, where wetland loss has generally been greater than in high rainfall (mainly western) environments. </w:t>
      </w:r>
    </w:p>
    <w:p w14:paraId="54035E11" w14:textId="77777777" w:rsidR="00B85DF2" w:rsidRPr="005D6D89" w:rsidRDefault="00B85DF2" w:rsidP="00093310">
      <w:pPr>
        <w:pStyle w:val="BodyText"/>
        <w:spacing w:before="100" w:after="100"/>
      </w:pPr>
      <w:r w:rsidRPr="005D6D89">
        <w:t>Many wetlands surviving in drier environments have high conservation value</w:t>
      </w:r>
      <w:r w:rsidR="00502D9F">
        <w:t>s</w:t>
      </w:r>
      <w:r w:rsidRPr="005D6D89">
        <w:t xml:space="preserve"> because they are</w:t>
      </w:r>
      <w:r w:rsidR="00186CF7" w:rsidRPr="005D6D89">
        <w:t> </w:t>
      </w:r>
      <w:r w:rsidRPr="005D6D89">
        <w:t xml:space="preserve">irreplaceable; they are likely to continue to decline, given the expected deterioration in their moisture status. </w:t>
      </w:r>
      <w:proofErr w:type="gramStart"/>
      <w:r w:rsidRPr="005D6D89">
        <w:t>More indigenous species</w:t>
      </w:r>
      <w:proofErr w:type="gramEnd"/>
      <w:r w:rsidRPr="005D6D89">
        <w:t xml:space="preserve"> will likely be lost, and invasion by introduced species</w:t>
      </w:r>
      <w:r w:rsidR="00093310" w:rsidRPr="005D6D89">
        <w:t> </w:t>
      </w:r>
      <w:r w:rsidRPr="005D6D89">
        <w:t>will increase.</w:t>
      </w:r>
      <w:r w:rsidR="00027F9F" w:rsidRPr="005D6D89">
        <w:t xml:space="preserve"> </w:t>
      </w:r>
      <w:bookmarkEnd w:id="327"/>
    </w:p>
    <w:p w14:paraId="203C8D84" w14:textId="77777777" w:rsidR="00B85DF2" w:rsidRPr="005D6D89" w:rsidRDefault="00B85DF2" w:rsidP="000F6304">
      <w:pPr>
        <w:pStyle w:val="Heading4"/>
        <w:spacing w:before="240"/>
      </w:pPr>
      <w:r w:rsidRPr="005D6D89">
        <w:t>N5 Risks to migratory and/or coastal and river-bed nesting birds</w:t>
      </w:r>
      <w:r w:rsidR="00502D9F">
        <w:t>,</w:t>
      </w:r>
      <w:r w:rsidRPr="005D6D89">
        <w:t xml:space="preserve"> due to reduced ocean productivity, ongoing sea-level rise and altered river flows </w:t>
      </w:r>
    </w:p>
    <w:p w14:paraId="4E0DC48A" w14:textId="77777777" w:rsidR="00B85DF2" w:rsidRPr="005D6D89" w:rsidRDefault="00B85DF2" w:rsidP="00186CF7">
      <w:pPr>
        <w:pStyle w:val="BodyText"/>
        <w:spacing w:before="100" w:after="100"/>
      </w:pPr>
      <w:bookmarkStart w:id="328" w:name="_Hlk36654562"/>
      <w:r w:rsidRPr="005D6D89">
        <w:t>New Zealand supports an abundance of marine and coastal bird species, making it one of the</w:t>
      </w:r>
      <w:r w:rsidR="00186CF7" w:rsidRPr="005D6D89">
        <w:t> </w:t>
      </w:r>
      <w:r w:rsidRPr="005D6D89">
        <w:t>world</w:t>
      </w:r>
      <w:r w:rsidR="001200EA">
        <w:t>’</w:t>
      </w:r>
      <w:r w:rsidRPr="005D6D89">
        <w:t>s most significant regions for seabird diversity. About 80 seabird species breed here</w:t>
      </w:r>
      <w:r w:rsidR="00186CF7" w:rsidRPr="005D6D89">
        <w:t> </w:t>
      </w:r>
      <w:r w:rsidRPr="005D6D89">
        <w:t>(McGlone and Walker, 2011). A number of other riverine and coastal bird species that are</w:t>
      </w:r>
      <w:r w:rsidR="00186CF7" w:rsidRPr="005D6D89">
        <w:t> </w:t>
      </w:r>
      <w:r w:rsidRPr="00136D82">
        <w:t>endemic</w:t>
      </w:r>
      <w:r w:rsidRPr="005D6D89">
        <w:t>, permanently reside in New Zealand, but undertake annual migrations from</w:t>
      </w:r>
      <w:r w:rsidR="00186CF7" w:rsidRPr="005D6D89">
        <w:t> </w:t>
      </w:r>
      <w:r w:rsidRPr="005D6D89">
        <w:t xml:space="preserve">summer breeding grounds on braided rivers to coastal sites for overwintering. </w:t>
      </w:r>
    </w:p>
    <w:p w14:paraId="0139B5D5" w14:textId="77777777" w:rsidR="00B85DF2" w:rsidRPr="005D6D89" w:rsidRDefault="00B85DF2" w:rsidP="00186CF7">
      <w:pPr>
        <w:pStyle w:val="BodyText"/>
        <w:spacing w:before="100" w:after="100"/>
      </w:pPr>
      <w:r w:rsidRPr="005D6D89">
        <w:t>Changing climatic conditions</w:t>
      </w:r>
      <w:r w:rsidR="00502D9F">
        <w:t>,</w:t>
      </w:r>
      <w:r w:rsidRPr="005D6D89">
        <w:t xml:space="preserve"> such as altered river flows and flood frequencies, extreme weather events, sea-level rise, warming ocean temperatures and drought</w:t>
      </w:r>
      <w:r w:rsidR="00502D9F">
        <w:t>,</w:t>
      </w:r>
      <w:r w:rsidRPr="005D6D89">
        <w:t xml:space="preserve"> will likely affect migratory, coastal and </w:t>
      </w:r>
      <w:proofErr w:type="gramStart"/>
      <w:r w:rsidRPr="005D6D89">
        <w:t>river-bed</w:t>
      </w:r>
      <w:proofErr w:type="gramEnd"/>
      <w:r w:rsidRPr="005D6D89">
        <w:t xml:space="preserve"> nesting birds in many ways. The impacts are likely to include availability of food and costal habitats, and breeding success (Robertson, Bowie, Death and Collins, 2013; Law</w:t>
      </w:r>
      <w:r w:rsidR="00B61730">
        <w:t xml:space="preserve"> et al</w:t>
      </w:r>
      <w:r w:rsidRPr="005D6D89">
        <w:t xml:space="preserve">, 2018). </w:t>
      </w:r>
    </w:p>
    <w:bookmarkEnd w:id="328"/>
    <w:p w14:paraId="1E015BBC" w14:textId="77777777" w:rsidR="00B85DF2" w:rsidRPr="005D6D89" w:rsidRDefault="00B85DF2" w:rsidP="000F6304">
      <w:pPr>
        <w:pStyle w:val="Heading4"/>
        <w:spacing w:before="240"/>
      </w:pPr>
      <w:r w:rsidRPr="005D6D89">
        <w:t>N6 Risks to lake ecosystems</w:t>
      </w:r>
      <w:r w:rsidR="00502D9F">
        <w:t>,</w:t>
      </w:r>
      <w:r w:rsidRPr="005D6D89">
        <w:t xml:space="preserve"> due </w:t>
      </w:r>
      <w:r w:rsidR="00502D9F">
        <w:t>to changes in temperature, lake-</w:t>
      </w:r>
      <w:r w:rsidRPr="005D6D89">
        <w:t xml:space="preserve">water residence time, and thermal stratification and mixing </w:t>
      </w:r>
    </w:p>
    <w:p w14:paraId="35290D58" w14:textId="77777777" w:rsidR="00B85DF2" w:rsidRPr="005D6D89" w:rsidRDefault="00B85DF2" w:rsidP="00186CF7">
      <w:pPr>
        <w:pStyle w:val="BodyText"/>
        <w:spacing w:before="100" w:after="100"/>
      </w:pPr>
      <w:bookmarkStart w:id="329" w:name="_Hlk36654593"/>
      <w:r w:rsidRPr="005D6D89">
        <w:t>New Zealand</w:t>
      </w:r>
      <w:r w:rsidR="001200EA">
        <w:t>’</w:t>
      </w:r>
      <w:r w:rsidRPr="005D6D89">
        <w:t xml:space="preserve">s 3820 lakes with a surface area of more than </w:t>
      </w:r>
      <w:proofErr w:type="gramStart"/>
      <w:r w:rsidR="00502D9F">
        <w:t>1</w:t>
      </w:r>
      <w:r w:rsidRPr="005D6D89">
        <w:t xml:space="preserve"> hectare</w:t>
      </w:r>
      <w:proofErr w:type="gramEnd"/>
      <w:r w:rsidRPr="005D6D89">
        <w:t xml:space="preserve"> account for 1.3 per cent of the country</w:t>
      </w:r>
      <w:r w:rsidR="001200EA">
        <w:t>’</w:t>
      </w:r>
      <w:r w:rsidRPr="005D6D89">
        <w:t>s land area (Hamilton</w:t>
      </w:r>
      <w:r w:rsidR="00B61730">
        <w:t xml:space="preserve"> et al</w:t>
      </w:r>
      <w:r w:rsidRPr="005D6D89">
        <w:t xml:space="preserve">, 2013). These lakes are already </w:t>
      </w:r>
      <w:r w:rsidRPr="00502D9F">
        <w:t xml:space="preserve">degrading </w:t>
      </w:r>
      <w:r w:rsidRPr="005D6D89">
        <w:t>significantly due to altered inflows and outflows, invasive species (algae, fish and macrophytes) and increased nutrient inputs from land-use</w:t>
      </w:r>
      <w:r w:rsidR="00502D9F">
        <w:t xml:space="preserve"> </w:t>
      </w:r>
      <w:r w:rsidRPr="005D6D89">
        <w:t xml:space="preserve">changes, including agricultural intensification. </w:t>
      </w:r>
    </w:p>
    <w:p w14:paraId="02F1CA58" w14:textId="77777777" w:rsidR="00B85DF2" w:rsidRPr="005D6D89" w:rsidRDefault="00B85DF2" w:rsidP="00186CF7">
      <w:pPr>
        <w:pStyle w:val="BodyText"/>
        <w:spacing w:before="100" w:after="100"/>
      </w:pPr>
      <w:r w:rsidRPr="005D6D89">
        <w:t>Climate change poses diverse risks, several interacting with existing pressures (Hamilton</w:t>
      </w:r>
      <w:r w:rsidR="00B61730">
        <w:t xml:space="preserve"> et al</w:t>
      </w:r>
      <w:r w:rsidRPr="005D6D89">
        <w:t>, 2013). Periodic or permanent increases in salinity are likely in coastal lakes because of sea-level rise,</w:t>
      </w:r>
      <w:r w:rsidR="00027F9F" w:rsidRPr="005D6D89">
        <w:t xml:space="preserve"> </w:t>
      </w:r>
      <w:r w:rsidRPr="005D6D89">
        <w:t xml:space="preserve">changing ecosystem composition and structure. </w:t>
      </w:r>
    </w:p>
    <w:p w14:paraId="10EC33E1" w14:textId="77777777" w:rsidR="00B85DF2" w:rsidRPr="005D6D89" w:rsidRDefault="00B85DF2" w:rsidP="00186CF7">
      <w:pPr>
        <w:pStyle w:val="BodyText"/>
        <w:spacing w:before="100" w:after="100"/>
      </w:pPr>
      <w:r w:rsidRPr="005D6D89">
        <w:t xml:space="preserve">Rising temperatures, coupled </w:t>
      </w:r>
      <w:proofErr w:type="gramStart"/>
      <w:r w:rsidRPr="005D6D89">
        <w:t>with more frequent strong winds,</w:t>
      </w:r>
      <w:proofErr w:type="gramEnd"/>
      <w:r w:rsidRPr="005D6D89">
        <w:t xml:space="preserve"> will likely alter mixing and thermal regimes in many deeper lakes, extending the period over which stratification is maintained. Warmer temperatures </w:t>
      </w:r>
      <w:proofErr w:type="gramStart"/>
      <w:r w:rsidRPr="005D6D89">
        <w:t>are also predicted</w:t>
      </w:r>
      <w:proofErr w:type="gramEnd"/>
      <w:r w:rsidRPr="005D6D89">
        <w:t xml:space="preserve"> to raise the risk of:</w:t>
      </w:r>
    </w:p>
    <w:p w14:paraId="508EE66A" w14:textId="77777777" w:rsidR="00B85DF2" w:rsidRPr="005D6D89" w:rsidRDefault="00B85DF2" w:rsidP="00D62914">
      <w:pPr>
        <w:pStyle w:val="Bullet"/>
      </w:pPr>
      <w:r w:rsidRPr="005D6D89">
        <w:t xml:space="preserve">deoxygenation of bottom waters and altered nutrient status through the release of phosphorus and ammonium </w:t>
      </w:r>
    </w:p>
    <w:p w14:paraId="152A5507" w14:textId="77777777" w:rsidR="00B85DF2" w:rsidRPr="005D6D89" w:rsidRDefault="00B85DF2" w:rsidP="00D62914">
      <w:pPr>
        <w:pStyle w:val="Bullet"/>
      </w:pPr>
      <w:r w:rsidRPr="005D6D89">
        <w:t>shifts from macrophyte to algal dominance in shallow lowland lakes</w:t>
      </w:r>
    </w:p>
    <w:p w14:paraId="140CA78A" w14:textId="77777777" w:rsidR="00B85DF2" w:rsidRPr="005D6D89" w:rsidRDefault="00B85DF2" w:rsidP="00D62914">
      <w:pPr>
        <w:pStyle w:val="Bullet"/>
      </w:pPr>
      <w:r w:rsidRPr="005D6D89">
        <w:t>the spread of problematic</w:t>
      </w:r>
      <w:r w:rsidR="00502D9F">
        <w:t>,</w:t>
      </w:r>
      <w:r w:rsidRPr="005D6D89">
        <w:t xml:space="preserve"> introduced plant and fish species that are presently most widespread in warmer northern lakes</w:t>
      </w:r>
    </w:p>
    <w:p w14:paraId="4484233D" w14:textId="77777777" w:rsidR="00B85DF2" w:rsidRPr="005D6D89" w:rsidRDefault="00B85DF2" w:rsidP="00D62914">
      <w:pPr>
        <w:pStyle w:val="Bullet"/>
      </w:pPr>
      <w:proofErr w:type="gramStart"/>
      <w:r w:rsidRPr="005D6D89">
        <w:t>the</w:t>
      </w:r>
      <w:proofErr w:type="gramEnd"/>
      <w:r w:rsidRPr="005D6D89">
        <w:t xml:space="preserve"> loss of New Zealand</w:t>
      </w:r>
      <w:r w:rsidR="001200EA">
        <w:t>’</w:t>
      </w:r>
      <w:r w:rsidRPr="005D6D89">
        <w:t>s highly distinctive, but little studied sub-alpine lake ecosystems.</w:t>
      </w:r>
      <w:r w:rsidR="00027F9F" w:rsidRPr="005D6D89">
        <w:t xml:space="preserve"> </w:t>
      </w:r>
      <w:bookmarkEnd w:id="329"/>
    </w:p>
    <w:p w14:paraId="1C48A74A" w14:textId="77777777" w:rsidR="00B85DF2" w:rsidRPr="005D6D89" w:rsidRDefault="00B85DF2" w:rsidP="000F6304">
      <w:pPr>
        <w:pStyle w:val="Heading4"/>
        <w:spacing w:before="240"/>
      </w:pPr>
      <w:r w:rsidRPr="005D6D89">
        <w:t>N7 Risks to terrestrial, freshwater and marine ecosystems</w:t>
      </w:r>
      <w:r w:rsidR="00502D9F">
        <w:t>,</w:t>
      </w:r>
      <w:r w:rsidRPr="005D6D89">
        <w:t xml:space="preserve"> due to increased extreme</w:t>
      </w:r>
      <w:r w:rsidR="003575E0" w:rsidRPr="005D6D89">
        <w:t> </w:t>
      </w:r>
      <w:r w:rsidR="00502D9F">
        <w:t>weather events, drought</w:t>
      </w:r>
      <w:r w:rsidRPr="005D6D89">
        <w:t xml:space="preserve"> and fire weather </w:t>
      </w:r>
    </w:p>
    <w:p w14:paraId="2A468A57" w14:textId="77777777" w:rsidR="00B85DF2" w:rsidRPr="005D6D89" w:rsidRDefault="00B85DF2" w:rsidP="00186CF7">
      <w:pPr>
        <w:pStyle w:val="BodyText"/>
        <w:spacing w:before="100"/>
      </w:pPr>
      <w:bookmarkStart w:id="330" w:name="_Hlk36654662"/>
      <w:r w:rsidRPr="005D6D89">
        <w:t xml:space="preserve">Natural disturbance </w:t>
      </w:r>
      <w:proofErr w:type="gramStart"/>
      <w:r w:rsidRPr="005D6D89">
        <w:t>has long been recognised</w:t>
      </w:r>
      <w:proofErr w:type="gramEnd"/>
      <w:r w:rsidRPr="005D6D89">
        <w:t xml:space="preserve"> as important in many of New Zealand</w:t>
      </w:r>
      <w:r w:rsidR="001200EA">
        <w:t>’</w:t>
      </w:r>
      <w:r w:rsidRPr="005D6D89">
        <w:t>s terrestrial indigenous ecosystems. These are adapted to, and in many cases structured by</w:t>
      </w:r>
      <w:r w:rsidR="00502D9F">
        <w:t>,</w:t>
      </w:r>
      <w:r w:rsidRPr="005D6D89">
        <w:t xml:space="preserve"> disturbances such as earthquakes and extreme weather events that cause mortality through wind, drought, heatwaves, hail and frost (eg, Ogden, Stewart, and Allen, 1996). </w:t>
      </w:r>
    </w:p>
    <w:p w14:paraId="6F35F7E1" w14:textId="77777777" w:rsidR="00B85DF2" w:rsidRPr="005D6D89" w:rsidRDefault="00B85DF2" w:rsidP="00186CF7">
      <w:pPr>
        <w:pStyle w:val="BodyText"/>
        <w:spacing w:before="100"/>
      </w:pPr>
      <w:r w:rsidRPr="005D6D89">
        <w:t>Projections are for more frequent extreme and moderate climatic events, as well as changes in</w:t>
      </w:r>
      <w:r w:rsidR="000F6304" w:rsidRPr="005D6D89">
        <w:t> </w:t>
      </w:r>
      <w:r w:rsidRPr="005D6D89">
        <w:t>their sequence and seasonal timing. This is likely to affect our indigenous ecosystems and</w:t>
      </w:r>
      <w:r w:rsidR="000F6304" w:rsidRPr="005D6D89">
        <w:t> </w:t>
      </w:r>
      <w:r w:rsidRPr="005D6D89">
        <w:t xml:space="preserve">species. </w:t>
      </w:r>
    </w:p>
    <w:p w14:paraId="04736F7F" w14:textId="77777777" w:rsidR="00B85DF2" w:rsidRPr="005D6D89" w:rsidRDefault="00B85DF2" w:rsidP="00186CF7">
      <w:pPr>
        <w:pStyle w:val="BodyText"/>
        <w:spacing w:before="100"/>
      </w:pPr>
      <w:r w:rsidRPr="005D6D89">
        <w:t xml:space="preserve">Although specific evidence from New Zealand studies is largely lacking, it </w:t>
      </w:r>
      <w:proofErr w:type="gramStart"/>
      <w:r w:rsidRPr="005D6D89">
        <w:t>has been argued</w:t>
      </w:r>
      <w:proofErr w:type="gramEnd"/>
      <w:r w:rsidRPr="005D6D89">
        <w:t xml:space="preserve"> that</w:t>
      </w:r>
      <w:r w:rsidR="000F6304" w:rsidRPr="005D6D89">
        <w:t> </w:t>
      </w:r>
      <w:r w:rsidRPr="005D6D89">
        <w:t>extreme climate events are likely to affect ecosystems and species more than the more gradual shifts in mean temperature and rainfall expected under climate change (Jentsch and Beierkuhnlein, 2008). In particular, species that can persist under stable conditions may not be</w:t>
      </w:r>
      <w:r w:rsidR="000F6304" w:rsidRPr="005D6D89">
        <w:t> </w:t>
      </w:r>
      <w:r w:rsidRPr="005D6D89">
        <w:t xml:space="preserve">able to </w:t>
      </w:r>
      <w:r w:rsidR="00502D9F">
        <w:t>reproduce in a more disturbance-</w:t>
      </w:r>
      <w:r w:rsidRPr="005D6D89">
        <w:t>prone environment. Disruptions to ecosystem structure and composition are likely to provide greater opportunities for the establishment of competing introduce</w:t>
      </w:r>
      <w:r w:rsidR="00502D9F">
        <w:t>d species (Thuiller, Richardson</w:t>
      </w:r>
      <w:r w:rsidRPr="005D6D89">
        <w:t xml:space="preserve"> and Midgley, 2007). Compounding these pressures are existing habitat loss and fragmentation, and competition with or predation by established introduced species (Macinnis-Ng</w:t>
      </w:r>
      <w:r w:rsidR="00B61730">
        <w:t xml:space="preserve"> et al</w:t>
      </w:r>
      <w:r w:rsidRPr="005D6D89">
        <w:t xml:space="preserve">, </w:t>
      </w:r>
      <w:r w:rsidR="00B61730">
        <w:t>nd</w:t>
      </w:r>
      <w:r w:rsidRPr="005D6D89">
        <w:t>).</w:t>
      </w:r>
      <w:bookmarkEnd w:id="330"/>
    </w:p>
    <w:p w14:paraId="5B891F3F" w14:textId="77777777" w:rsidR="00B85DF2" w:rsidRPr="005D6D89" w:rsidRDefault="00B85DF2" w:rsidP="0064266C">
      <w:pPr>
        <w:pStyle w:val="Heading4"/>
        <w:spacing w:before="240"/>
      </w:pPr>
      <w:r w:rsidRPr="005D6D89">
        <w:t>N8 Risks to oceanic ecosystem productivity and functioning</w:t>
      </w:r>
      <w:r w:rsidR="00502D9F">
        <w:t>,</w:t>
      </w:r>
      <w:r w:rsidRPr="005D6D89">
        <w:t xml:space="preserve"> due to changes in sea</w:t>
      </w:r>
      <w:r w:rsidR="00502D9F">
        <w:t>-</w:t>
      </w:r>
      <w:r w:rsidRPr="005D6D89">
        <w:t>surface temperature, ocean mixing, nutrient availability, chemical composition and</w:t>
      </w:r>
      <w:r w:rsidR="00E959E1" w:rsidRPr="005D6D89">
        <w:t> </w:t>
      </w:r>
      <w:r w:rsidRPr="005D6D89">
        <w:t xml:space="preserve">vertical particle flux </w:t>
      </w:r>
    </w:p>
    <w:p w14:paraId="368091FF" w14:textId="77777777" w:rsidR="00B85DF2" w:rsidRPr="005D6D89" w:rsidRDefault="00B85DF2" w:rsidP="00D62914">
      <w:pPr>
        <w:pStyle w:val="BodyText"/>
      </w:pPr>
      <w:bookmarkStart w:id="331" w:name="_Hlk36832564"/>
      <w:r w:rsidRPr="005D6D89">
        <w:t>New Zealand lies across a zone of enhanced ocean productivity along the subtropical front. This is an important boundary between warmer northern (subtropical) waters with low nutrients and productivity, and colder southern (subantarctic) waters with higher nutrient levels and generally greater phytoplankton productivity (Bradford-Grieve</w:t>
      </w:r>
      <w:r w:rsidR="00B61730">
        <w:t xml:space="preserve"> et al</w:t>
      </w:r>
      <w:r w:rsidRPr="005D6D89">
        <w:t xml:space="preserve">, 2006). </w:t>
      </w:r>
    </w:p>
    <w:p w14:paraId="7D6DC2DE" w14:textId="77777777" w:rsidR="00B85DF2" w:rsidRPr="005D6D89" w:rsidRDefault="00B85DF2" w:rsidP="00D62914">
      <w:pPr>
        <w:pStyle w:val="BodyText"/>
      </w:pPr>
      <w:r w:rsidRPr="005D6D89">
        <w:t xml:space="preserve">Projected increases in ocean temperatures and windiness will alter physical and biogeochemical processes, particularly at the ocean surface (Law et al, 2018). Ocean productivity and function </w:t>
      </w:r>
      <w:proofErr w:type="gramStart"/>
      <w:r w:rsidRPr="005D6D89">
        <w:t>will be altered</w:t>
      </w:r>
      <w:proofErr w:type="gramEnd"/>
      <w:r w:rsidRPr="005D6D89">
        <w:t xml:space="preserve"> mostly through changes in the depth of the surface mixed layer, affecting light penetration and the exchange of nutrients across the mixed layer boundary. This </w:t>
      </w:r>
      <w:proofErr w:type="gramStart"/>
      <w:r w:rsidRPr="005D6D89">
        <w:t>is expected</w:t>
      </w:r>
      <w:proofErr w:type="gramEnd"/>
      <w:r w:rsidRPr="005D6D89">
        <w:t xml:space="preserve"> to reduce primary productivity. Effects will likely flow on to the functioning of broader marine food webs and ecosystems through reductions in the vertical flux of organic particles to the sea floor (Law</w:t>
      </w:r>
      <w:r w:rsidR="00B61730">
        <w:t xml:space="preserve"> et al</w:t>
      </w:r>
      <w:r w:rsidRPr="005D6D89">
        <w:t>, 2018). This</w:t>
      </w:r>
      <w:r w:rsidR="00502D9F">
        <w:t>,</w:t>
      </w:r>
      <w:r w:rsidRPr="005D6D89">
        <w:t xml:space="preserve"> in turn</w:t>
      </w:r>
      <w:r w:rsidR="00502D9F">
        <w:t>,</w:t>
      </w:r>
      <w:r w:rsidRPr="005D6D89">
        <w:t xml:space="preserve"> may see regional shifts in ecosystem composition, and in the distribution and abundance of marine species. </w:t>
      </w:r>
    </w:p>
    <w:p w14:paraId="76D9B9AD" w14:textId="77777777" w:rsidR="00B85DF2" w:rsidRPr="005D6D89" w:rsidRDefault="00B85DF2" w:rsidP="00D62914">
      <w:pPr>
        <w:pStyle w:val="BodyText"/>
      </w:pPr>
      <w:r w:rsidRPr="005D6D89">
        <w:t xml:space="preserve">These changes will most likely occur via a process of ongoing, gradual change. Changes in ocean temperature and chemistry </w:t>
      </w:r>
      <w:proofErr w:type="gramStart"/>
      <w:r w:rsidRPr="005D6D89">
        <w:t>are expected</w:t>
      </w:r>
      <w:proofErr w:type="gramEnd"/>
      <w:r w:rsidRPr="005D6D89">
        <w:t xml:space="preserve"> to increase </w:t>
      </w:r>
      <w:r w:rsidR="00237239">
        <w:t xml:space="preserve">gradually </w:t>
      </w:r>
      <w:r w:rsidRPr="005D6D89">
        <w:t xml:space="preserve">towards the end of the century. Human activities have already extensively affected our marine environment, including from bottom trawling, land-based discharge of sediments, nutrients and pollutants, and the introduction of invasive species. These impacts are likely to interact with the effects of climate change by reducing the resilience of ecosystems and species. </w:t>
      </w:r>
      <w:bookmarkEnd w:id="331"/>
    </w:p>
    <w:p w14:paraId="19B52BF1" w14:textId="77777777" w:rsidR="00B85DF2" w:rsidRPr="005D6D89" w:rsidRDefault="00B85DF2" w:rsidP="0064266C">
      <w:pPr>
        <w:pStyle w:val="Heading4"/>
        <w:spacing w:before="240"/>
      </w:pPr>
      <w:r w:rsidRPr="005D6D89">
        <w:t>N9 Risks to sub-alpine ecosystems</w:t>
      </w:r>
      <w:r w:rsidR="00502D9F">
        <w:t>,</w:t>
      </w:r>
      <w:r w:rsidRPr="005D6D89">
        <w:t xml:space="preserve"> due to changes in temperature and a reduction in</w:t>
      </w:r>
      <w:r w:rsidR="00E959E1" w:rsidRPr="005D6D89">
        <w:t> </w:t>
      </w:r>
      <w:r w:rsidRPr="005D6D89">
        <w:t xml:space="preserve">snow cover </w:t>
      </w:r>
    </w:p>
    <w:p w14:paraId="56638D66" w14:textId="77777777" w:rsidR="00B85DF2" w:rsidRPr="005D6D89" w:rsidRDefault="00B85DF2" w:rsidP="00D62914">
      <w:pPr>
        <w:pStyle w:val="BodyText"/>
      </w:pPr>
      <w:bookmarkStart w:id="332" w:name="_Hlk36654780"/>
      <w:r w:rsidRPr="005D6D89">
        <w:t>New Zealand</w:t>
      </w:r>
      <w:r w:rsidR="001200EA">
        <w:t>’</w:t>
      </w:r>
      <w:r w:rsidRPr="005D6D89">
        <w:t>s sub-alpine ecosystems support a diverse array of indigenous species. About 93</w:t>
      </w:r>
      <w:r w:rsidR="00D62914" w:rsidRPr="005D6D89">
        <w:t> </w:t>
      </w:r>
      <w:r w:rsidRPr="005D6D89">
        <w:t xml:space="preserve">per cent of </w:t>
      </w:r>
      <w:r w:rsidRPr="00136D82">
        <w:t>vascular</w:t>
      </w:r>
      <w:r w:rsidR="00502D9F">
        <w:t>,</w:t>
      </w:r>
      <w:r w:rsidRPr="005D6D89">
        <w:t xml:space="preserve"> alpine plant species are endemic (Halloy and Mark, 2003). Many are relatively isolated populations in habitat </w:t>
      </w:r>
      <w:r w:rsidR="001200EA">
        <w:t>‘</w:t>
      </w:r>
      <w:r w:rsidRPr="005D6D89">
        <w:t>islands</w:t>
      </w:r>
      <w:r w:rsidR="001200EA">
        <w:t>’</w:t>
      </w:r>
      <w:r w:rsidRPr="005D6D89">
        <w:t xml:space="preserve"> on range crests that are often separated from similar habitats. This isolation </w:t>
      </w:r>
      <w:proofErr w:type="gramStart"/>
      <w:r w:rsidRPr="005D6D89">
        <w:t>is often compounded</w:t>
      </w:r>
      <w:proofErr w:type="gramEnd"/>
      <w:r w:rsidRPr="005D6D89">
        <w:t xml:space="preserve"> by clearance and fragmentation of</w:t>
      </w:r>
      <w:r w:rsidR="002F60DB" w:rsidRPr="005D6D89">
        <w:t> </w:t>
      </w:r>
      <w:r w:rsidR="00502D9F">
        <w:t>surrounding lower-</w:t>
      </w:r>
      <w:r w:rsidRPr="005D6D89">
        <w:t>elevation habitats. With limited potential to migrate southwards or up</w:t>
      </w:r>
      <w:r w:rsidR="002F60DB" w:rsidRPr="005D6D89">
        <w:noBreakHyphen/>
      </w:r>
      <w:r w:rsidRPr="005D6D89">
        <w:t>slope in the face of rising temperatures, these ecosystems and their distinctive species could become significantly vulnerable (Macinnis-Ng</w:t>
      </w:r>
      <w:r w:rsidR="00B61730">
        <w:t xml:space="preserve"> et al</w:t>
      </w:r>
      <w:r w:rsidRPr="005D6D89">
        <w:t xml:space="preserve">, </w:t>
      </w:r>
      <w:r w:rsidR="00B61730">
        <w:t>nd</w:t>
      </w:r>
      <w:r w:rsidRPr="005D6D89">
        <w:t xml:space="preserve">). </w:t>
      </w:r>
    </w:p>
    <w:p w14:paraId="44345B85" w14:textId="77777777" w:rsidR="00B85DF2" w:rsidRPr="005D6D89" w:rsidRDefault="00B85DF2" w:rsidP="00D62914">
      <w:pPr>
        <w:pStyle w:val="BodyText"/>
      </w:pPr>
      <w:r w:rsidRPr="005D6D89">
        <w:t xml:space="preserve">One study identified around 40–70 alpine species at risk of extinction from higher temperatures (Halloy and Mark, 2003). </w:t>
      </w:r>
    </w:p>
    <w:p w14:paraId="27A7D283" w14:textId="77777777" w:rsidR="00B85DF2" w:rsidRPr="005D6D89" w:rsidRDefault="00B85DF2" w:rsidP="00AE2FAF">
      <w:pPr>
        <w:pStyle w:val="BodyText"/>
        <w:spacing w:after="100"/>
      </w:pPr>
      <w:r w:rsidRPr="005D6D89">
        <w:t>Temperatures predicted under</w:t>
      </w:r>
      <w:r w:rsidRPr="00136D82">
        <w:t xml:space="preserve"> RCP8.5</w:t>
      </w:r>
      <w:r w:rsidRPr="005D6D89">
        <w:t xml:space="preserve"> (about 2.8</w:t>
      </w:r>
      <w:r w:rsidR="00FB55F9">
        <w:t>–</w:t>
      </w:r>
      <w:r w:rsidRPr="005D6D89">
        <w:t>3.1</w:t>
      </w:r>
      <w:r w:rsidRPr="005D6D89">
        <w:rPr>
          <w:vertAlign w:val="superscript"/>
        </w:rPr>
        <w:t>o</w:t>
      </w:r>
      <w:r w:rsidRPr="005D6D89">
        <w:t>C by 2100 (Ministry for the Environment, 2018, Pearce et al, 2018) will likely:</w:t>
      </w:r>
    </w:p>
    <w:p w14:paraId="6C43B338" w14:textId="77777777" w:rsidR="00B85DF2" w:rsidRPr="005D6D89" w:rsidRDefault="00B85DF2" w:rsidP="00AE2FAF">
      <w:pPr>
        <w:pStyle w:val="Bullet"/>
        <w:spacing w:after="100"/>
      </w:pPr>
      <w:r w:rsidRPr="005D6D89">
        <w:t>cause the loss of 200</w:t>
      </w:r>
      <w:r w:rsidR="00502D9F">
        <w:t>–</w:t>
      </w:r>
      <w:r w:rsidRPr="005D6D89">
        <w:t>300 indigenous</w:t>
      </w:r>
      <w:r w:rsidR="00502D9F">
        <w:t>,</w:t>
      </w:r>
      <w:r w:rsidRPr="005D6D89">
        <w:t xml:space="preserve"> vascular plant species, equating to about half our total alpine flora (Halloy and Mark, 2003) </w:t>
      </w:r>
    </w:p>
    <w:p w14:paraId="7C3F5E0E" w14:textId="77777777" w:rsidR="00B85DF2" w:rsidRPr="005D6D89" w:rsidRDefault="00B85DF2" w:rsidP="00AE2FAF">
      <w:pPr>
        <w:pStyle w:val="Bullet"/>
        <w:spacing w:after="100"/>
      </w:pPr>
      <w:r w:rsidRPr="005D6D89">
        <w:t xml:space="preserve">increase risks of invasion by introduced species such as </w:t>
      </w:r>
      <w:r w:rsidRPr="005D6D89">
        <w:rPr>
          <w:i/>
        </w:rPr>
        <w:t xml:space="preserve">Pinus contorta </w:t>
      </w:r>
      <w:r w:rsidRPr="005D6D89">
        <w:t xml:space="preserve">and </w:t>
      </w:r>
      <w:r w:rsidRPr="005D6D89">
        <w:rPr>
          <w:i/>
        </w:rPr>
        <w:t>Calluna vulgaris</w:t>
      </w:r>
      <w:r w:rsidR="00502D9F">
        <w:t xml:space="preserve"> L. (Tomiolo, Harsch, Duncan</w:t>
      </w:r>
      <w:r w:rsidRPr="005D6D89">
        <w:t xml:space="preserve"> and Hulme, </w:t>
      </w:r>
      <w:r w:rsidR="00502D9F">
        <w:t>2016; Giejsztowt, Classen</w:t>
      </w:r>
      <w:r w:rsidRPr="005D6D89">
        <w:t xml:space="preserve"> and Deslippe,</w:t>
      </w:r>
      <w:r w:rsidR="00BE5FB2" w:rsidRPr="005D6D89">
        <w:t> </w:t>
      </w:r>
      <w:r w:rsidRPr="005D6D89">
        <w:t xml:space="preserve">2019) </w:t>
      </w:r>
    </w:p>
    <w:p w14:paraId="260842E3" w14:textId="77777777" w:rsidR="00B85DF2" w:rsidRPr="005D6D89" w:rsidRDefault="00B85DF2" w:rsidP="00AE2FAF">
      <w:pPr>
        <w:pStyle w:val="Bullet"/>
        <w:spacing w:after="100"/>
      </w:pPr>
      <w:proofErr w:type="gramStart"/>
      <w:r w:rsidRPr="005D6D89">
        <w:t>increase</w:t>
      </w:r>
      <w:proofErr w:type="gramEnd"/>
      <w:r w:rsidRPr="005D6D89">
        <w:t xml:space="preserve"> the suitability of sub-alpine environments for introduced vertebrate predators such as ship rats, and predation on subalpine birds, lizards and invertebrates by stoats, mice and hedgehogs. </w:t>
      </w:r>
      <w:bookmarkEnd w:id="332"/>
    </w:p>
    <w:p w14:paraId="25FAC56D" w14:textId="77777777" w:rsidR="00B85DF2" w:rsidRPr="005D6D89" w:rsidRDefault="00B85DF2" w:rsidP="00BE5FB2">
      <w:pPr>
        <w:pStyle w:val="Heading4"/>
      </w:pPr>
      <w:r w:rsidRPr="005D6D89">
        <w:t>N10 Risks to carbonate-based, hard-shelled species from ocean acidification</w:t>
      </w:r>
      <w:r w:rsidR="00502D9F">
        <w:t>,</w:t>
      </w:r>
      <w:r w:rsidRPr="005D6D89">
        <w:t xml:space="preserve"> due to increased atmospheric concentrations </w:t>
      </w:r>
      <w:r w:rsidRPr="00502D9F">
        <w:t>of</w:t>
      </w:r>
      <w:r w:rsidRPr="005D6D89">
        <w:t xml:space="preserve"> </w:t>
      </w:r>
      <w:r w:rsidRPr="00502D9F">
        <w:rPr>
          <w:rFonts w:cs="Arial"/>
        </w:rPr>
        <w:t>CO</w:t>
      </w:r>
      <w:r w:rsidRPr="00502D9F">
        <w:rPr>
          <w:rFonts w:cs="Arial"/>
          <w:sz w:val="18"/>
          <w:szCs w:val="18"/>
          <w:vertAlign w:val="subscript"/>
        </w:rPr>
        <w:t>2</w:t>
      </w:r>
      <w:r w:rsidRPr="005D6D89">
        <w:t xml:space="preserve"> </w:t>
      </w:r>
    </w:p>
    <w:p w14:paraId="20749A9A" w14:textId="77777777" w:rsidR="00B85DF2" w:rsidRPr="005D6D89" w:rsidRDefault="00B85DF2" w:rsidP="00AE2FAF">
      <w:pPr>
        <w:pStyle w:val="BodyText"/>
        <w:spacing w:before="100" w:after="100"/>
      </w:pPr>
      <w:bookmarkStart w:id="333" w:name="_Hlk36654685"/>
      <w:bookmarkStart w:id="334" w:name="_Hlk36832597"/>
      <w:r w:rsidRPr="005D6D89">
        <w:t xml:space="preserve">Increasing atmospheric </w:t>
      </w:r>
      <w:proofErr w:type="gramStart"/>
      <w:r w:rsidRPr="005D6D89">
        <w:t>CO</w:t>
      </w:r>
      <w:r w:rsidRPr="005D6D89">
        <w:rPr>
          <w:vertAlign w:val="subscript"/>
        </w:rPr>
        <w:t>2</w:t>
      </w:r>
      <w:proofErr w:type="gramEnd"/>
      <w:r w:rsidRPr="005D6D89">
        <w:t xml:space="preserve"> (carbon dioxide) concentrations are acidifying the oceans, in</w:t>
      </w:r>
      <w:r w:rsidR="00FB55F9">
        <w:t> </w:t>
      </w:r>
      <w:r w:rsidRPr="005D6D89">
        <w:t>turn</w:t>
      </w:r>
      <w:r w:rsidR="002F60DB" w:rsidRPr="005D6D89">
        <w:t> </w:t>
      </w:r>
      <w:r w:rsidRPr="005D6D89">
        <w:t>creating conditions that threaten the survival of a broad range of species with carbonate</w:t>
      </w:r>
      <w:r w:rsidR="00FB55F9">
        <w:noBreakHyphen/>
      </w:r>
      <w:r w:rsidRPr="005D6D89">
        <w:t>based exoskeletons. These include molluscs, some plankton, echinoderms and</w:t>
      </w:r>
      <w:r w:rsidR="00FB55F9">
        <w:t> </w:t>
      </w:r>
      <w:r w:rsidRPr="005D6D89">
        <w:t>corals (Law et</w:t>
      </w:r>
      <w:r w:rsidR="002F60DB" w:rsidRPr="005D6D89">
        <w:t> </w:t>
      </w:r>
      <w:r w:rsidRPr="005D6D89">
        <w:t>al, 2017; Rouse</w:t>
      </w:r>
      <w:r w:rsidR="00B61730">
        <w:t xml:space="preserve"> et al</w:t>
      </w:r>
      <w:r w:rsidRPr="005D6D89">
        <w:t xml:space="preserve">, 2017). </w:t>
      </w:r>
    </w:p>
    <w:p w14:paraId="345BBBAC" w14:textId="77777777" w:rsidR="00B85DF2" w:rsidRPr="005D6D89" w:rsidRDefault="00B85DF2" w:rsidP="00AE2FAF">
      <w:pPr>
        <w:pStyle w:val="BodyText"/>
        <w:spacing w:before="100" w:after="100"/>
      </w:pPr>
      <w:r w:rsidRPr="005D6D89">
        <w:t>The likely result is lower developmental rates, impaired shell forming and maintenance, and</w:t>
      </w:r>
      <w:r w:rsidR="002F60DB" w:rsidRPr="005D6D89">
        <w:t> </w:t>
      </w:r>
      <w:r w:rsidRPr="005D6D89">
        <w:t>reduced survival of larvae (Rouse</w:t>
      </w:r>
      <w:r w:rsidR="00B61730">
        <w:t xml:space="preserve"> et al</w:t>
      </w:r>
      <w:r w:rsidRPr="005D6D89">
        <w:t>, 2017). Many of these hard-shelled species play important roles in controlling ecosystem structure or function. For example, phytoplankton are</w:t>
      </w:r>
      <w:r w:rsidR="002F60DB" w:rsidRPr="005D6D89">
        <w:t> </w:t>
      </w:r>
      <w:r w:rsidRPr="005D6D89">
        <w:t>critical to ocean productivity and provide food for marine food webs (Law</w:t>
      </w:r>
      <w:r w:rsidR="00B61730">
        <w:t xml:space="preserve"> et al</w:t>
      </w:r>
      <w:r w:rsidRPr="005D6D89">
        <w:t>, 2017). Similarly, many New Zealand mollusc species, including pāua, cockles and flat oysters, play complex and important roles in maintaining healthy ecosystem function and structure, through</w:t>
      </w:r>
      <w:r w:rsidR="00E959E1" w:rsidRPr="005D6D89">
        <w:t> </w:t>
      </w:r>
      <w:r w:rsidRPr="005D6D89">
        <w:t>biogeochemical processing, nutrient recycling, controlling phytoplankton biomass, and providing food and habitat for benthic (deep-sea) organisms (Gazeau</w:t>
      </w:r>
      <w:r w:rsidR="00B61730">
        <w:t xml:space="preserve"> et al</w:t>
      </w:r>
      <w:r w:rsidRPr="005D6D89">
        <w:t>, 2013; Law</w:t>
      </w:r>
      <w:r w:rsidR="00B61730">
        <w:t xml:space="preserve"> et al</w:t>
      </w:r>
      <w:r w:rsidRPr="005D6D89">
        <w:t xml:space="preserve">, 2017). Some of these species are also of economic importance. </w:t>
      </w:r>
      <w:bookmarkEnd w:id="333"/>
      <w:bookmarkEnd w:id="334"/>
    </w:p>
    <w:p w14:paraId="3E3B7207" w14:textId="77777777" w:rsidR="00B85DF2" w:rsidRPr="005D6D89" w:rsidRDefault="00B85DF2" w:rsidP="00AE2FAF">
      <w:pPr>
        <w:pStyle w:val="Heading4"/>
        <w:spacing w:before="240"/>
      </w:pPr>
      <w:r w:rsidRPr="005D6D89">
        <w:t>N11 Risks to the long-term composition and stability of indigenous forest ecosystems</w:t>
      </w:r>
      <w:r w:rsidR="00502D9F">
        <w:t>,</w:t>
      </w:r>
      <w:r w:rsidR="00E959E1" w:rsidRPr="005D6D89">
        <w:t> </w:t>
      </w:r>
      <w:r w:rsidRPr="005D6D89">
        <w:t xml:space="preserve">due to changes in temperature, rainfall, wind and drought </w:t>
      </w:r>
    </w:p>
    <w:p w14:paraId="09924765" w14:textId="77777777" w:rsidR="00B85DF2" w:rsidRPr="005D6D89" w:rsidRDefault="00B85DF2" w:rsidP="002F60DB">
      <w:pPr>
        <w:pStyle w:val="BodyText"/>
      </w:pPr>
      <w:bookmarkStart w:id="335" w:name="_Hlk36654800"/>
      <w:r w:rsidRPr="005D6D89">
        <w:t xml:space="preserve">Indigenous forests once formed the dominant land cover across New Zealand. Substantial clearance since human settlement has reduced their extent by about 75 per cent, to a current area of about 6.4 million hectares (Forestry New Zealand, 2020). Forest loss has been greatest in lowlands, where many surviving forests are highly fragmented. </w:t>
      </w:r>
    </w:p>
    <w:p w14:paraId="4BC9A0CB" w14:textId="77777777" w:rsidR="00B85DF2" w:rsidRPr="005D6D89" w:rsidRDefault="00B85DF2" w:rsidP="002F60DB">
      <w:pPr>
        <w:pStyle w:val="BodyText"/>
      </w:pPr>
      <w:r w:rsidRPr="005D6D89">
        <w:t xml:space="preserve">Analysis of the historic and current distributions of dominant forest species (eg, McGlone et al, 1993; Leathwick, 1995), shows a high degree of landscape-scale sorting of ecosystems and species in relation to climate parameters such as temperature and moisture stress. This might suggest future climate changes will alter the distribution of forest ecosystems and species. However, there is only very limited evidence for this (McGlone and Walker, 2011), suggesting a degree of stasis in distribution. Such changes </w:t>
      </w:r>
      <w:proofErr w:type="gramStart"/>
      <w:r w:rsidRPr="005D6D89">
        <w:t>may be slowed down</w:t>
      </w:r>
      <w:proofErr w:type="gramEnd"/>
      <w:r w:rsidRPr="005D6D89">
        <w:t xml:space="preserve"> by lower abundance of avian dispersers, and fragmentation in many lowland environments. A likely complication in detection is the pervasive effects of introduced browsers.</w:t>
      </w:r>
      <w:bookmarkEnd w:id="335"/>
    </w:p>
    <w:p w14:paraId="112A60F1" w14:textId="77777777" w:rsidR="00B85DF2" w:rsidRPr="005D6D89" w:rsidRDefault="00B85DF2" w:rsidP="00AE2FAF">
      <w:pPr>
        <w:pStyle w:val="Heading4"/>
        <w:spacing w:before="240"/>
      </w:pPr>
      <w:r w:rsidRPr="005D6D89">
        <w:t>N12 Risks to the diverse range of threatened and endangered species that are dependent on New Zealand</w:t>
      </w:r>
      <w:r w:rsidR="001200EA">
        <w:t>’</w:t>
      </w:r>
      <w:r w:rsidRPr="005D6D89">
        <w:t>s offshore islands for their continued survival</w:t>
      </w:r>
      <w:r w:rsidR="00502D9F">
        <w:t>,</w:t>
      </w:r>
      <w:r w:rsidRPr="005D6D89">
        <w:t xml:space="preserve"> due to ongoing sea-level rise, changes in terrestrial climates, and changes in ocean chemistry and productivity </w:t>
      </w:r>
    </w:p>
    <w:p w14:paraId="21D5C52F" w14:textId="77777777" w:rsidR="00B85DF2" w:rsidRPr="005D6D89" w:rsidRDefault="00B85DF2" w:rsidP="002F60DB">
      <w:pPr>
        <w:pStyle w:val="BodyText"/>
      </w:pPr>
      <w:bookmarkStart w:id="336" w:name="_Hlk36654837"/>
      <w:r w:rsidRPr="005D6D89">
        <w:t>New Zealand</w:t>
      </w:r>
      <w:r w:rsidR="001200EA">
        <w:t>’</w:t>
      </w:r>
      <w:r w:rsidRPr="005D6D89">
        <w:t>s offshore islands play a critical role in the conservation of many of its at-risk and</w:t>
      </w:r>
      <w:r w:rsidR="00E959E1" w:rsidRPr="005D6D89">
        <w:t> </w:t>
      </w:r>
      <w:r w:rsidRPr="005D6D89">
        <w:t>threatened indigenous species. They provide vital refuge from introduced vertebrate pests</w:t>
      </w:r>
      <w:r w:rsidR="006E1277" w:rsidRPr="005D6D89">
        <w:t> </w:t>
      </w:r>
      <w:r w:rsidRPr="005D6D89">
        <w:t>including rodents, mustelids and feral cats, which have severely reduced or eliminated a</w:t>
      </w:r>
      <w:r w:rsidR="006E1277" w:rsidRPr="005D6D89">
        <w:t> </w:t>
      </w:r>
      <w:r w:rsidRPr="005D6D89">
        <w:t>significant number of vulnerable indigenous species from the mainland (Mortimer, Sharp, and</w:t>
      </w:r>
      <w:r w:rsidR="00E959E1" w:rsidRPr="005D6D89">
        <w:t> </w:t>
      </w:r>
      <w:r w:rsidRPr="005D6D89">
        <w:t xml:space="preserve">Craig, 1996). </w:t>
      </w:r>
    </w:p>
    <w:p w14:paraId="20FA686E" w14:textId="77777777" w:rsidR="00B85DF2" w:rsidRPr="005D6D89" w:rsidRDefault="00B85DF2" w:rsidP="002F60DB">
      <w:pPr>
        <w:pStyle w:val="BodyText"/>
      </w:pPr>
      <w:r w:rsidRPr="005D6D89">
        <w:t>These islands now provide critical habitat for around 6 per cent of indigenous</w:t>
      </w:r>
      <w:r w:rsidR="00502D9F">
        <w:t>,</w:t>
      </w:r>
      <w:r w:rsidRPr="005D6D89">
        <w:t xml:space="preserve"> vascular plant species, 25 per cent of indigenous</w:t>
      </w:r>
      <w:r w:rsidRPr="005D6D89" w:rsidDel="007C6707">
        <w:t xml:space="preserve"> </w:t>
      </w:r>
      <w:r w:rsidRPr="005D6D89">
        <w:t>reptiles and frogs, and around 50 per cent of breeding seabird species (Bellingham</w:t>
      </w:r>
      <w:r w:rsidR="00B61730">
        <w:t xml:space="preserve"> et al</w:t>
      </w:r>
      <w:r w:rsidRPr="005D6D89">
        <w:t>, 2010) (Mortimer, Sharp, and Craig, 1996). Many support more than one threatened species; the Chath</w:t>
      </w:r>
      <w:r w:rsidR="00E45F9A">
        <w:t>am Island group alone supports</w:t>
      </w:r>
      <w:r w:rsidRPr="005D6D89">
        <w:t xml:space="preserve"> 20 per cent of New Zealand</w:t>
      </w:r>
      <w:r w:rsidR="001200EA">
        <w:t>’</w:t>
      </w:r>
      <w:r w:rsidRPr="005D6D89">
        <w:t>s threatened bird species (Aikman, Davis, Miskelly, O</w:t>
      </w:r>
      <w:r w:rsidR="001200EA">
        <w:t>’</w:t>
      </w:r>
      <w:r w:rsidRPr="005D6D89">
        <w:t xml:space="preserve">Connor, and Taylor, 2001). </w:t>
      </w:r>
    </w:p>
    <w:p w14:paraId="4184FAF5" w14:textId="77777777" w:rsidR="00B85DF2" w:rsidRPr="005D6D89" w:rsidRDefault="00B85DF2" w:rsidP="002F60DB">
      <w:pPr>
        <w:pStyle w:val="BodyText"/>
      </w:pPr>
      <w:r w:rsidRPr="005D6D89">
        <w:t>Gradual sea-level rise and reduced ocean productivity (N8), coupled with more frequent extreme storm events, will likely pose a serious long-term threat to species dependent on our offshore islands for survival. Although most of the islands are nature reserves with restricted public access, the threat will likely intensify with other human-mediated threats to these species (Bellingham</w:t>
      </w:r>
      <w:r w:rsidR="00B61730">
        <w:t xml:space="preserve"> et al</w:t>
      </w:r>
      <w:r w:rsidR="00E45F9A">
        <w:t>, 2010; Mortimer, Sharp</w:t>
      </w:r>
      <w:r w:rsidRPr="005D6D89">
        <w:t xml:space="preserve"> and Craig, 1996). For example, lower ocean productivity is likely to further compromise species such as albatross (</w:t>
      </w:r>
      <w:r w:rsidRPr="005D6D89">
        <w:rPr>
          <w:i/>
        </w:rPr>
        <w:t xml:space="preserve">Diomedea </w:t>
      </w:r>
      <w:r w:rsidRPr="00136D82">
        <w:rPr>
          <w:i/>
        </w:rPr>
        <w:t>exulans</w:t>
      </w:r>
      <w:r w:rsidRPr="005D6D89">
        <w:t xml:space="preserve">), which already suffer high levels of mortality from long-line ocean fishing (Pryde, 1997). </w:t>
      </w:r>
      <w:bookmarkEnd w:id="336"/>
    </w:p>
    <w:p w14:paraId="259C6F48" w14:textId="77777777" w:rsidR="00883933" w:rsidRPr="003E1680" w:rsidRDefault="00CC0034" w:rsidP="00812D16">
      <w:pPr>
        <w:pStyle w:val="Heading2"/>
        <w:numPr>
          <w:ilvl w:val="0"/>
          <w:numId w:val="26"/>
        </w:numPr>
        <w:spacing w:before="320" w:after="160"/>
      </w:pPr>
      <w:bookmarkStart w:id="337" w:name="_Toc37255775"/>
      <w:bookmarkStart w:id="338" w:name="_Toc37393676"/>
      <w:bookmarkStart w:id="339" w:name="_Toc40699357"/>
      <w:bookmarkStart w:id="340" w:name="_Toc43064140"/>
      <w:r w:rsidRPr="003E1680">
        <w:t>Human domain | Rohe tangata</w:t>
      </w:r>
      <w:bookmarkEnd w:id="337"/>
      <w:bookmarkEnd w:id="338"/>
      <w:bookmarkEnd w:id="339"/>
      <w:r w:rsidR="00027F9F" w:rsidRPr="003E1680">
        <w:t xml:space="preserve"> </w:t>
      </w:r>
    </w:p>
    <w:p w14:paraId="7D65F4AB" w14:textId="77777777" w:rsidR="00CC0034" w:rsidRPr="005D6D89" w:rsidRDefault="00883933" w:rsidP="00883933">
      <w:pPr>
        <w:pStyle w:val="Tableheading"/>
      </w:pPr>
      <w:bookmarkStart w:id="341" w:name="_Toc43312809"/>
      <w:r>
        <w:t xml:space="preserve">Table 15: </w:t>
      </w:r>
      <w:r>
        <w:tab/>
        <w:t>Human domain</w:t>
      </w:r>
      <w:bookmarkEnd w:id="340"/>
      <w:bookmarkEnd w:id="341"/>
    </w:p>
    <w:tbl>
      <w:tblPr>
        <w:tblW w:w="8613" w:type="dxa"/>
        <w:tblBorders>
          <w:top w:val="single" w:sz="4" w:space="0" w:color="F5800B"/>
          <w:bottom w:val="single" w:sz="4" w:space="0" w:color="F5800B"/>
          <w:insideH w:val="single" w:sz="4" w:space="0" w:color="F5800B"/>
          <w:insideV w:val="single" w:sz="4" w:space="0" w:color="F5800B"/>
        </w:tblBorders>
        <w:tblLayout w:type="fixed"/>
        <w:tblLook w:val="0000" w:firstRow="0" w:lastRow="0" w:firstColumn="0" w:lastColumn="0" w:noHBand="0" w:noVBand="0"/>
      </w:tblPr>
      <w:tblGrid>
        <w:gridCol w:w="6344"/>
        <w:gridCol w:w="851"/>
        <w:gridCol w:w="1418"/>
      </w:tblGrid>
      <w:tr w:rsidR="000C7F3E" w:rsidRPr="005D6D89" w14:paraId="7AF7EB8D" w14:textId="77777777" w:rsidTr="00095C79">
        <w:trPr>
          <w:tblHeader/>
        </w:trPr>
        <w:tc>
          <w:tcPr>
            <w:tcW w:w="5000" w:type="pct"/>
            <w:gridSpan w:val="3"/>
            <w:tcBorders>
              <w:top w:val="nil"/>
              <w:bottom w:val="nil"/>
            </w:tcBorders>
            <w:shd w:val="clear" w:color="auto" w:fill="DA5A28"/>
          </w:tcPr>
          <w:p w14:paraId="4B684A51" w14:textId="77777777" w:rsidR="00CC0034" w:rsidRPr="005D6D89" w:rsidRDefault="00CC0034" w:rsidP="000C7F3E">
            <w:pPr>
              <w:pStyle w:val="TableTextBold0"/>
              <w:rPr>
                <w:color w:val="FFFFFF" w:themeColor="background1"/>
              </w:rPr>
            </w:pPr>
            <w:bookmarkStart w:id="342" w:name="_Hlk37168835"/>
            <w:r w:rsidRPr="005D6D89">
              <w:rPr>
                <w:color w:val="FFFFFF" w:themeColor="background1"/>
              </w:rPr>
              <w:t>Human</w:t>
            </w:r>
          </w:p>
        </w:tc>
      </w:tr>
      <w:tr w:rsidR="003550C3" w:rsidRPr="003550C3" w14:paraId="3566D8ED" w14:textId="77777777" w:rsidTr="00095C79">
        <w:tc>
          <w:tcPr>
            <w:tcW w:w="3683" w:type="pct"/>
            <w:tcBorders>
              <w:top w:val="nil"/>
              <w:bottom w:val="nil"/>
              <w:right w:val="nil"/>
            </w:tcBorders>
            <w:shd w:val="clear" w:color="auto" w:fill="D2DDE2" w:themeFill="accent3"/>
          </w:tcPr>
          <w:p w14:paraId="1414702B" w14:textId="77777777" w:rsidR="003F0A2D" w:rsidRPr="003550C3" w:rsidRDefault="003F0A2D" w:rsidP="003B2E6B">
            <w:pPr>
              <w:pStyle w:val="TableTextBold0"/>
              <w:spacing w:after="0"/>
            </w:pPr>
          </w:p>
        </w:tc>
        <w:tc>
          <w:tcPr>
            <w:tcW w:w="1317" w:type="pct"/>
            <w:gridSpan w:val="2"/>
            <w:tcBorders>
              <w:top w:val="nil"/>
              <w:left w:val="nil"/>
              <w:bottom w:val="nil"/>
            </w:tcBorders>
            <w:shd w:val="clear" w:color="auto" w:fill="D2DDE2" w:themeFill="accent3"/>
          </w:tcPr>
          <w:p w14:paraId="6F1FE37B" w14:textId="77777777" w:rsidR="003F0A2D" w:rsidRPr="003550C3" w:rsidRDefault="003F0A2D" w:rsidP="003B2E6B">
            <w:pPr>
              <w:pStyle w:val="TableTextBold0"/>
              <w:spacing w:after="0"/>
              <w:jc w:val="center"/>
            </w:pPr>
            <w:r w:rsidRPr="003550C3">
              <w:t>Ratings</w:t>
            </w:r>
          </w:p>
        </w:tc>
      </w:tr>
      <w:tr w:rsidR="003550C3" w:rsidRPr="003550C3" w14:paraId="219B6798" w14:textId="77777777" w:rsidTr="00095C79">
        <w:tc>
          <w:tcPr>
            <w:tcW w:w="3683" w:type="pct"/>
            <w:tcBorders>
              <w:top w:val="nil"/>
              <w:bottom w:val="nil"/>
              <w:right w:val="nil"/>
            </w:tcBorders>
            <w:shd w:val="clear" w:color="auto" w:fill="D2DDE2" w:themeFill="accent3"/>
          </w:tcPr>
          <w:p w14:paraId="459CBDA9" w14:textId="77777777" w:rsidR="003F0A2D" w:rsidRPr="003550C3" w:rsidRDefault="003F0A2D" w:rsidP="003B2E6B">
            <w:pPr>
              <w:pStyle w:val="TableTextBold0"/>
              <w:spacing w:before="0"/>
            </w:pPr>
            <w:r w:rsidRPr="003550C3">
              <w:t>Most significant risks</w:t>
            </w:r>
          </w:p>
        </w:tc>
        <w:tc>
          <w:tcPr>
            <w:tcW w:w="494" w:type="pct"/>
            <w:tcBorders>
              <w:top w:val="nil"/>
              <w:left w:val="nil"/>
              <w:bottom w:val="nil"/>
              <w:right w:val="nil"/>
            </w:tcBorders>
            <w:shd w:val="clear" w:color="auto" w:fill="D2DDE2" w:themeFill="accent3"/>
          </w:tcPr>
          <w:p w14:paraId="2924D3C3" w14:textId="77777777" w:rsidR="003F0A2D" w:rsidRPr="003550C3" w:rsidRDefault="003F0A2D" w:rsidP="003B2E6B">
            <w:pPr>
              <w:pStyle w:val="TableTextBold0"/>
              <w:spacing w:before="0"/>
              <w:jc w:val="center"/>
            </w:pPr>
            <w:r w:rsidRPr="003550C3">
              <w:t>Urgency</w:t>
            </w:r>
          </w:p>
        </w:tc>
        <w:tc>
          <w:tcPr>
            <w:tcW w:w="823" w:type="pct"/>
            <w:tcBorders>
              <w:top w:val="nil"/>
              <w:left w:val="nil"/>
              <w:bottom w:val="nil"/>
            </w:tcBorders>
            <w:shd w:val="clear" w:color="auto" w:fill="D2DDE2" w:themeFill="accent3"/>
          </w:tcPr>
          <w:p w14:paraId="04DCB1BE" w14:textId="77777777" w:rsidR="003F0A2D" w:rsidRPr="003550C3" w:rsidRDefault="003F0A2D" w:rsidP="003B2E6B">
            <w:pPr>
              <w:pStyle w:val="TableTextBold0"/>
              <w:spacing w:before="0"/>
              <w:jc w:val="center"/>
            </w:pPr>
            <w:r w:rsidRPr="003550C3">
              <w:t>Consequence</w:t>
            </w:r>
          </w:p>
        </w:tc>
      </w:tr>
      <w:tr w:rsidR="00502EFA" w:rsidRPr="005D6D89" w14:paraId="5DFBEF02" w14:textId="77777777" w:rsidTr="00095C79">
        <w:tc>
          <w:tcPr>
            <w:tcW w:w="3683" w:type="pct"/>
            <w:tcBorders>
              <w:top w:val="nil"/>
            </w:tcBorders>
            <w:shd w:val="clear" w:color="auto" w:fill="auto"/>
            <w:tcMar>
              <w:top w:w="0" w:type="dxa"/>
            </w:tcMar>
          </w:tcPr>
          <w:p w14:paraId="61E1F414" w14:textId="77777777" w:rsidR="00502EFA" w:rsidRPr="005D6D89" w:rsidRDefault="00502EFA" w:rsidP="001107E4">
            <w:pPr>
              <w:pStyle w:val="TableText"/>
            </w:pPr>
            <w:r w:rsidRPr="005D6D89">
              <w:t>H1 Risks to social cohesion and community wellbeing from displacement of individuals, families and communities</w:t>
            </w:r>
            <w:r w:rsidR="00101782">
              <w:t>,</w:t>
            </w:r>
            <w:r w:rsidRPr="005D6D89">
              <w:t xml:space="preserve"> due to climate change impacts.</w:t>
            </w:r>
          </w:p>
        </w:tc>
        <w:tc>
          <w:tcPr>
            <w:tcW w:w="494" w:type="pct"/>
            <w:tcBorders>
              <w:top w:val="nil"/>
            </w:tcBorders>
          </w:tcPr>
          <w:p w14:paraId="345D9682" w14:textId="77777777" w:rsidR="00502EFA" w:rsidRPr="00502EFA" w:rsidRDefault="00502EFA" w:rsidP="00502EFA">
            <w:pPr>
              <w:pStyle w:val="TableTextBold0"/>
              <w:jc w:val="center"/>
              <w:rPr>
                <w:b w:val="0"/>
                <w:bCs/>
              </w:rPr>
            </w:pPr>
            <w:r w:rsidRPr="00502EFA">
              <w:rPr>
                <w:b w:val="0"/>
                <w:bCs/>
              </w:rPr>
              <w:t>88*</w:t>
            </w:r>
          </w:p>
        </w:tc>
        <w:tc>
          <w:tcPr>
            <w:tcW w:w="823" w:type="pct"/>
            <w:tcBorders>
              <w:top w:val="nil"/>
            </w:tcBorders>
            <w:shd w:val="clear" w:color="auto" w:fill="auto"/>
          </w:tcPr>
          <w:p w14:paraId="0563BAA5" w14:textId="77777777" w:rsidR="00502EFA" w:rsidRPr="005D6D89" w:rsidRDefault="00502EFA" w:rsidP="00502EFA">
            <w:pPr>
              <w:pStyle w:val="TableText"/>
              <w:jc w:val="center"/>
            </w:pPr>
            <w:r w:rsidRPr="005D6D89">
              <w:t>Extreme**</w:t>
            </w:r>
          </w:p>
        </w:tc>
      </w:tr>
      <w:tr w:rsidR="00502EFA" w:rsidRPr="005D6D89" w14:paraId="3E1BA452" w14:textId="77777777" w:rsidTr="00095C79">
        <w:tc>
          <w:tcPr>
            <w:tcW w:w="3683" w:type="pct"/>
            <w:tcBorders>
              <w:bottom w:val="nil"/>
            </w:tcBorders>
            <w:shd w:val="clear" w:color="auto" w:fill="auto"/>
            <w:tcMar>
              <w:top w:w="0" w:type="dxa"/>
            </w:tcMar>
          </w:tcPr>
          <w:p w14:paraId="250CF9DE" w14:textId="77777777" w:rsidR="00502EFA" w:rsidRPr="005D6D89" w:rsidRDefault="00502EFA" w:rsidP="001107E4">
            <w:pPr>
              <w:pStyle w:val="TableText"/>
            </w:pPr>
            <w:r w:rsidRPr="005D6D89">
              <w:t>H2 Risks of exacerbating existing inequities and creating new and additional inequities</w:t>
            </w:r>
            <w:r w:rsidR="00101782">
              <w:t>,</w:t>
            </w:r>
            <w:r w:rsidRPr="005D6D89">
              <w:t xml:space="preserve"> due to differential distribution of climate change impacts.</w:t>
            </w:r>
          </w:p>
        </w:tc>
        <w:tc>
          <w:tcPr>
            <w:tcW w:w="494" w:type="pct"/>
            <w:tcBorders>
              <w:bottom w:val="nil"/>
            </w:tcBorders>
          </w:tcPr>
          <w:p w14:paraId="7DDA80D4" w14:textId="77777777" w:rsidR="00502EFA" w:rsidRPr="00502EFA" w:rsidRDefault="00502EFA" w:rsidP="00502EFA">
            <w:pPr>
              <w:pStyle w:val="TableTextBold0"/>
              <w:jc w:val="center"/>
              <w:rPr>
                <w:b w:val="0"/>
                <w:bCs/>
              </w:rPr>
            </w:pPr>
            <w:r w:rsidRPr="00502EFA">
              <w:rPr>
                <w:b w:val="0"/>
                <w:bCs/>
              </w:rPr>
              <w:t>85</w:t>
            </w:r>
          </w:p>
        </w:tc>
        <w:tc>
          <w:tcPr>
            <w:tcW w:w="823" w:type="pct"/>
            <w:tcBorders>
              <w:bottom w:val="nil"/>
            </w:tcBorders>
            <w:shd w:val="clear" w:color="auto" w:fill="auto"/>
          </w:tcPr>
          <w:p w14:paraId="428D3449" w14:textId="77777777" w:rsidR="00502EFA" w:rsidRPr="005D6D89" w:rsidRDefault="00502EFA" w:rsidP="00502EFA">
            <w:pPr>
              <w:pStyle w:val="TableText"/>
              <w:jc w:val="center"/>
            </w:pPr>
            <w:r w:rsidRPr="005D6D89">
              <w:t>Extreme</w:t>
            </w:r>
          </w:p>
        </w:tc>
      </w:tr>
      <w:tr w:rsidR="003550C3" w:rsidRPr="003550C3" w14:paraId="3312F1C3" w14:textId="77777777" w:rsidTr="00095C79">
        <w:tc>
          <w:tcPr>
            <w:tcW w:w="5000" w:type="pct"/>
            <w:gridSpan w:val="3"/>
            <w:tcBorders>
              <w:top w:val="nil"/>
              <w:bottom w:val="nil"/>
            </w:tcBorders>
            <w:shd w:val="clear" w:color="auto" w:fill="D2DDE2" w:themeFill="accent3"/>
            <w:tcMar>
              <w:top w:w="0" w:type="dxa"/>
            </w:tcMar>
          </w:tcPr>
          <w:p w14:paraId="457BA26C" w14:textId="77777777" w:rsidR="00CC0034" w:rsidRPr="003550C3" w:rsidRDefault="00CC0034" w:rsidP="000D5724">
            <w:pPr>
              <w:pStyle w:val="TableTextBold0"/>
            </w:pPr>
            <w:r w:rsidRPr="003550C3">
              <w:t>Other priority risks (Stage 2)</w:t>
            </w:r>
          </w:p>
        </w:tc>
      </w:tr>
      <w:tr w:rsidR="00502EFA" w:rsidRPr="005D6D89" w14:paraId="33241A68" w14:textId="77777777" w:rsidTr="00095C79">
        <w:tc>
          <w:tcPr>
            <w:tcW w:w="3683" w:type="pct"/>
            <w:tcBorders>
              <w:top w:val="nil"/>
            </w:tcBorders>
            <w:shd w:val="clear" w:color="auto" w:fill="auto"/>
            <w:tcMar>
              <w:top w:w="0" w:type="dxa"/>
            </w:tcMar>
          </w:tcPr>
          <w:p w14:paraId="78D18839" w14:textId="77777777" w:rsidR="00502EFA" w:rsidRPr="005D6D89" w:rsidRDefault="00502EFA" w:rsidP="00AE2FAF">
            <w:pPr>
              <w:pStyle w:val="TableText"/>
              <w:spacing w:before="40" w:after="40"/>
              <w:rPr>
                <w:bCs/>
              </w:rPr>
            </w:pPr>
            <w:r w:rsidRPr="005D6D89">
              <w:t>H3 Risks to physical health from exposure to storm events, heatwaves, vector-borne and zoonotic diseases, water availability and resource quality and accessibility</w:t>
            </w:r>
            <w:r w:rsidR="00101782">
              <w:t>,</w:t>
            </w:r>
            <w:r w:rsidRPr="005D6D89">
              <w:t xml:space="preserve"> due to changes in temperature, rainfall and extreme weather events.</w:t>
            </w:r>
          </w:p>
        </w:tc>
        <w:tc>
          <w:tcPr>
            <w:tcW w:w="494" w:type="pct"/>
            <w:tcBorders>
              <w:top w:val="nil"/>
            </w:tcBorders>
          </w:tcPr>
          <w:p w14:paraId="1963F05D" w14:textId="77777777" w:rsidR="00502EFA" w:rsidRPr="00502EFA" w:rsidRDefault="00502EFA" w:rsidP="00502EFA">
            <w:pPr>
              <w:pStyle w:val="TableTextBold0"/>
              <w:spacing w:before="40" w:after="40"/>
              <w:jc w:val="center"/>
              <w:rPr>
                <w:b w:val="0"/>
                <w:bCs/>
              </w:rPr>
            </w:pPr>
            <w:r w:rsidRPr="00502EFA">
              <w:rPr>
                <w:b w:val="0"/>
                <w:bCs/>
              </w:rPr>
              <w:t>83</w:t>
            </w:r>
          </w:p>
        </w:tc>
        <w:tc>
          <w:tcPr>
            <w:tcW w:w="823" w:type="pct"/>
            <w:tcBorders>
              <w:top w:val="nil"/>
            </w:tcBorders>
            <w:shd w:val="clear" w:color="auto" w:fill="auto"/>
          </w:tcPr>
          <w:p w14:paraId="2A08EACA" w14:textId="77777777" w:rsidR="00502EFA" w:rsidRPr="005D6D89" w:rsidRDefault="00502EFA" w:rsidP="00502EFA">
            <w:pPr>
              <w:pStyle w:val="TableText"/>
              <w:spacing w:before="40" w:after="40"/>
              <w:jc w:val="center"/>
            </w:pPr>
            <w:r w:rsidRPr="005D6D89">
              <w:t>Major</w:t>
            </w:r>
          </w:p>
        </w:tc>
      </w:tr>
      <w:tr w:rsidR="00502EFA" w:rsidRPr="005D6D89" w14:paraId="2AA4CEA8" w14:textId="77777777" w:rsidTr="00095C79">
        <w:tc>
          <w:tcPr>
            <w:tcW w:w="3683" w:type="pct"/>
            <w:shd w:val="clear" w:color="auto" w:fill="auto"/>
            <w:tcMar>
              <w:top w:w="0" w:type="dxa"/>
            </w:tcMar>
          </w:tcPr>
          <w:p w14:paraId="0B15C527" w14:textId="77777777" w:rsidR="00502EFA" w:rsidRPr="005D6D89" w:rsidRDefault="00502EFA" w:rsidP="00AE2FAF">
            <w:pPr>
              <w:pStyle w:val="TableText"/>
              <w:spacing w:before="40" w:after="40"/>
              <w:rPr>
                <w:bCs/>
              </w:rPr>
            </w:pPr>
            <w:r w:rsidRPr="005D6D89">
              <w:t>H4 Risks of conflict, disruption and loss of trust in government from changing patterns in the value of assets and competition for access to scarce resources</w:t>
            </w:r>
            <w:r w:rsidR="00101782">
              <w:t>,</w:t>
            </w:r>
            <w:r w:rsidRPr="005D6D89">
              <w:t xml:space="preserve"> primarily due to extreme weather events and ongoing sea-level rise</w:t>
            </w:r>
            <w:r w:rsidRPr="005D6D89">
              <w:rPr>
                <w:bCs/>
              </w:rPr>
              <w:t>.</w:t>
            </w:r>
          </w:p>
        </w:tc>
        <w:tc>
          <w:tcPr>
            <w:tcW w:w="494" w:type="pct"/>
          </w:tcPr>
          <w:p w14:paraId="5D391393" w14:textId="77777777" w:rsidR="00502EFA" w:rsidRPr="00502EFA" w:rsidRDefault="00502EFA" w:rsidP="00502EFA">
            <w:pPr>
              <w:pStyle w:val="TableTextBold0"/>
              <w:spacing w:before="40" w:after="40"/>
              <w:jc w:val="center"/>
              <w:rPr>
                <w:b w:val="0"/>
                <w:bCs/>
              </w:rPr>
            </w:pPr>
            <w:r w:rsidRPr="00502EFA">
              <w:rPr>
                <w:b w:val="0"/>
                <w:bCs/>
              </w:rPr>
              <w:t>83</w:t>
            </w:r>
          </w:p>
        </w:tc>
        <w:tc>
          <w:tcPr>
            <w:tcW w:w="823" w:type="pct"/>
            <w:shd w:val="clear" w:color="auto" w:fill="auto"/>
          </w:tcPr>
          <w:p w14:paraId="71B0E742" w14:textId="77777777" w:rsidR="00502EFA" w:rsidRPr="005D6D89" w:rsidRDefault="00502EFA" w:rsidP="00502EFA">
            <w:pPr>
              <w:pStyle w:val="TableText"/>
              <w:spacing w:before="40" w:after="40"/>
              <w:jc w:val="center"/>
            </w:pPr>
            <w:r w:rsidRPr="005D6D89">
              <w:t>Major</w:t>
            </w:r>
          </w:p>
        </w:tc>
      </w:tr>
      <w:tr w:rsidR="00502EFA" w:rsidRPr="005D6D89" w14:paraId="5E9711BE" w14:textId="77777777" w:rsidTr="00095C79">
        <w:tc>
          <w:tcPr>
            <w:tcW w:w="3683" w:type="pct"/>
            <w:shd w:val="clear" w:color="auto" w:fill="auto"/>
            <w:tcMar>
              <w:top w:w="0" w:type="dxa"/>
            </w:tcMar>
          </w:tcPr>
          <w:p w14:paraId="0F98CA4B" w14:textId="77777777" w:rsidR="00502EFA" w:rsidRPr="005D6D89" w:rsidRDefault="00502EFA" w:rsidP="00AE2FAF">
            <w:pPr>
              <w:pStyle w:val="TableText"/>
              <w:spacing w:before="40" w:after="40"/>
              <w:rPr>
                <w:bCs/>
              </w:rPr>
            </w:pPr>
            <w:r w:rsidRPr="005D6D89">
              <w:rPr>
                <w:bCs/>
              </w:rPr>
              <w:t>H5</w:t>
            </w:r>
            <w:r w:rsidRPr="005D6D89">
              <w:t xml:space="preserve"> </w:t>
            </w:r>
            <w:r w:rsidRPr="005D6D89">
              <w:rPr>
                <w:bCs/>
              </w:rPr>
              <w:t>Risks to Māori social, cultural, spiritual and economic wellbeing from loss and degradation of lands and waters, as well as cultural assets such as marae, due to ongoing sea-level rise, changes in rainfall and drought.</w:t>
            </w:r>
          </w:p>
        </w:tc>
        <w:tc>
          <w:tcPr>
            <w:tcW w:w="494" w:type="pct"/>
          </w:tcPr>
          <w:p w14:paraId="739548C1" w14:textId="77777777" w:rsidR="00502EFA" w:rsidRPr="00502EFA" w:rsidRDefault="00502EFA" w:rsidP="00502EFA">
            <w:pPr>
              <w:pStyle w:val="TableTextBold0"/>
              <w:spacing w:before="40" w:after="40"/>
              <w:jc w:val="center"/>
              <w:rPr>
                <w:b w:val="0"/>
                <w:bCs/>
              </w:rPr>
            </w:pPr>
            <w:r w:rsidRPr="00502EFA">
              <w:rPr>
                <w:b w:val="0"/>
                <w:bCs/>
              </w:rPr>
              <w:t>80</w:t>
            </w:r>
          </w:p>
        </w:tc>
        <w:tc>
          <w:tcPr>
            <w:tcW w:w="823" w:type="pct"/>
            <w:shd w:val="clear" w:color="auto" w:fill="auto"/>
          </w:tcPr>
          <w:p w14:paraId="41150614" w14:textId="77777777" w:rsidR="00502EFA" w:rsidRPr="005D6D89" w:rsidRDefault="00502EFA" w:rsidP="00502EFA">
            <w:pPr>
              <w:pStyle w:val="TableText"/>
              <w:spacing w:before="40" w:after="40"/>
              <w:jc w:val="center"/>
            </w:pPr>
            <w:r w:rsidRPr="005D6D89">
              <w:t>Extreme</w:t>
            </w:r>
          </w:p>
        </w:tc>
      </w:tr>
      <w:tr w:rsidR="00502EFA" w:rsidRPr="005D6D89" w14:paraId="43946F23" w14:textId="77777777" w:rsidTr="00095C79">
        <w:tc>
          <w:tcPr>
            <w:tcW w:w="3683" w:type="pct"/>
            <w:shd w:val="clear" w:color="auto" w:fill="auto"/>
            <w:tcMar>
              <w:top w:w="0" w:type="dxa"/>
            </w:tcMar>
          </w:tcPr>
          <w:p w14:paraId="6490961D" w14:textId="77777777" w:rsidR="00502EFA" w:rsidRPr="005D6D89" w:rsidRDefault="00502EFA" w:rsidP="00AE2FAF">
            <w:pPr>
              <w:pStyle w:val="TableText"/>
              <w:spacing w:before="40" w:after="40"/>
            </w:pPr>
            <w:r w:rsidRPr="005D6D89">
              <w:rPr>
                <w:bCs/>
              </w:rPr>
              <w:t>H6 Risks to Māori social, cultural, spiritual and economic wellbeing from loss of</w:t>
            </w:r>
            <w:r w:rsidR="00FB55F9">
              <w:rPr>
                <w:bCs/>
              </w:rPr>
              <w:t> </w:t>
            </w:r>
            <w:r w:rsidRPr="005D6D89">
              <w:rPr>
                <w:bCs/>
              </w:rPr>
              <w:t>species and biodiversity</w:t>
            </w:r>
            <w:r w:rsidR="00101782">
              <w:rPr>
                <w:bCs/>
              </w:rPr>
              <w:t>,</w:t>
            </w:r>
            <w:r w:rsidRPr="005D6D89">
              <w:rPr>
                <w:bCs/>
              </w:rPr>
              <w:t xml:space="preserve"> due to greater climate variability and ongoing sea</w:t>
            </w:r>
            <w:r w:rsidR="00FB55F9">
              <w:rPr>
                <w:bCs/>
              </w:rPr>
              <w:noBreakHyphen/>
            </w:r>
            <w:r w:rsidRPr="005D6D89">
              <w:rPr>
                <w:bCs/>
              </w:rPr>
              <w:t>level</w:t>
            </w:r>
            <w:r w:rsidR="00FB55F9">
              <w:rPr>
                <w:bCs/>
              </w:rPr>
              <w:t> </w:t>
            </w:r>
            <w:r w:rsidRPr="005D6D89">
              <w:rPr>
                <w:bCs/>
              </w:rPr>
              <w:t>rise.</w:t>
            </w:r>
          </w:p>
        </w:tc>
        <w:tc>
          <w:tcPr>
            <w:tcW w:w="494" w:type="pct"/>
          </w:tcPr>
          <w:p w14:paraId="19DBCC8D" w14:textId="77777777" w:rsidR="00502EFA" w:rsidRPr="00502EFA" w:rsidRDefault="00502EFA" w:rsidP="00502EFA">
            <w:pPr>
              <w:pStyle w:val="TableTextBold0"/>
              <w:spacing w:before="40" w:after="40"/>
              <w:jc w:val="center"/>
              <w:rPr>
                <w:b w:val="0"/>
                <w:bCs/>
              </w:rPr>
            </w:pPr>
            <w:r w:rsidRPr="00502EFA">
              <w:rPr>
                <w:b w:val="0"/>
                <w:bCs/>
              </w:rPr>
              <w:t>80</w:t>
            </w:r>
          </w:p>
        </w:tc>
        <w:tc>
          <w:tcPr>
            <w:tcW w:w="823" w:type="pct"/>
            <w:shd w:val="clear" w:color="auto" w:fill="auto"/>
          </w:tcPr>
          <w:p w14:paraId="2042F3EC" w14:textId="77777777" w:rsidR="00502EFA" w:rsidRPr="005D6D89" w:rsidRDefault="00502EFA" w:rsidP="00502EFA">
            <w:pPr>
              <w:pStyle w:val="TableText"/>
              <w:spacing w:before="40" w:after="40"/>
              <w:jc w:val="center"/>
            </w:pPr>
            <w:r w:rsidRPr="005D6D89">
              <w:t>Extreme</w:t>
            </w:r>
          </w:p>
        </w:tc>
      </w:tr>
      <w:tr w:rsidR="00502EFA" w:rsidRPr="005D6D89" w14:paraId="19EF7BB3" w14:textId="77777777" w:rsidTr="00095C79">
        <w:tc>
          <w:tcPr>
            <w:tcW w:w="3683" w:type="pct"/>
            <w:shd w:val="clear" w:color="auto" w:fill="auto"/>
            <w:tcMar>
              <w:top w:w="0" w:type="dxa"/>
            </w:tcMar>
          </w:tcPr>
          <w:p w14:paraId="307879B7" w14:textId="77777777" w:rsidR="00502EFA" w:rsidRPr="005D6D89" w:rsidRDefault="00502EFA" w:rsidP="00AE2FAF">
            <w:pPr>
              <w:pStyle w:val="TableText"/>
              <w:spacing w:before="40" w:after="40"/>
            </w:pPr>
            <w:r w:rsidRPr="005D6D89">
              <w:t>H7 Risks to mental health, identity, autonomy and sense of belonging and wellbeing from trauma</w:t>
            </w:r>
            <w:r w:rsidR="00101782">
              <w:t>,</w:t>
            </w:r>
            <w:r w:rsidRPr="005D6D89">
              <w:t xml:space="preserve"> due to ongoing sea-level rise, extreme weather events and</w:t>
            </w:r>
            <w:r w:rsidR="00FB55F9">
              <w:t> </w:t>
            </w:r>
            <w:r w:rsidRPr="005D6D89">
              <w:t>drought</w:t>
            </w:r>
            <w:r w:rsidRPr="005D6D89">
              <w:rPr>
                <w:bCs/>
              </w:rPr>
              <w:t>.</w:t>
            </w:r>
          </w:p>
        </w:tc>
        <w:tc>
          <w:tcPr>
            <w:tcW w:w="494" w:type="pct"/>
          </w:tcPr>
          <w:p w14:paraId="18E23FD1" w14:textId="77777777" w:rsidR="00502EFA" w:rsidRPr="00502EFA" w:rsidRDefault="00502EFA" w:rsidP="00502EFA">
            <w:pPr>
              <w:pStyle w:val="TableTextBold0"/>
              <w:spacing w:before="40" w:after="40"/>
              <w:jc w:val="center"/>
              <w:rPr>
                <w:b w:val="0"/>
                <w:bCs/>
              </w:rPr>
            </w:pPr>
            <w:r w:rsidRPr="00502EFA">
              <w:rPr>
                <w:b w:val="0"/>
                <w:bCs/>
              </w:rPr>
              <w:t>80</w:t>
            </w:r>
          </w:p>
        </w:tc>
        <w:tc>
          <w:tcPr>
            <w:tcW w:w="823" w:type="pct"/>
            <w:shd w:val="clear" w:color="auto" w:fill="auto"/>
          </w:tcPr>
          <w:p w14:paraId="3AB702B4" w14:textId="77777777" w:rsidR="00502EFA" w:rsidRPr="005D6D89" w:rsidRDefault="00502EFA" w:rsidP="00502EFA">
            <w:pPr>
              <w:pStyle w:val="TableText"/>
              <w:spacing w:before="40" w:after="40"/>
              <w:jc w:val="center"/>
            </w:pPr>
            <w:r w:rsidRPr="005D6D89">
              <w:t>Major</w:t>
            </w:r>
          </w:p>
        </w:tc>
      </w:tr>
      <w:tr w:rsidR="00502EFA" w:rsidRPr="005D6D89" w14:paraId="6C947C85" w14:textId="77777777" w:rsidTr="00095C79">
        <w:tc>
          <w:tcPr>
            <w:tcW w:w="3683" w:type="pct"/>
            <w:tcBorders>
              <w:bottom w:val="nil"/>
            </w:tcBorders>
            <w:shd w:val="clear" w:color="auto" w:fill="auto"/>
            <w:tcMar>
              <w:top w:w="0" w:type="dxa"/>
            </w:tcMar>
          </w:tcPr>
          <w:p w14:paraId="1369405F" w14:textId="77777777" w:rsidR="00502EFA" w:rsidRPr="005D6D89" w:rsidRDefault="00502EFA" w:rsidP="00AE2FAF">
            <w:pPr>
              <w:pStyle w:val="TableText"/>
              <w:spacing w:before="40" w:after="40"/>
            </w:pPr>
            <w:r w:rsidRPr="005D6D89">
              <w:t>H8 Risks to Māori and European cultural heritage sites</w:t>
            </w:r>
            <w:r w:rsidR="00101782">
              <w:t>,</w:t>
            </w:r>
            <w:r w:rsidRPr="005D6D89">
              <w:t xml:space="preserve"> due to ongoing sea-level rise, extreme weather events and increasing fire weather.</w:t>
            </w:r>
          </w:p>
        </w:tc>
        <w:tc>
          <w:tcPr>
            <w:tcW w:w="494" w:type="pct"/>
            <w:tcBorders>
              <w:bottom w:val="nil"/>
            </w:tcBorders>
          </w:tcPr>
          <w:p w14:paraId="47D734C8" w14:textId="77777777" w:rsidR="00502EFA" w:rsidRPr="00502EFA" w:rsidRDefault="00502EFA" w:rsidP="00502EFA">
            <w:pPr>
              <w:pStyle w:val="TableTextBold0"/>
              <w:spacing w:before="40" w:after="40"/>
              <w:jc w:val="center"/>
              <w:rPr>
                <w:b w:val="0"/>
                <w:bCs/>
              </w:rPr>
            </w:pPr>
            <w:r w:rsidRPr="00502EFA">
              <w:rPr>
                <w:b w:val="0"/>
                <w:bCs/>
              </w:rPr>
              <w:t>75</w:t>
            </w:r>
          </w:p>
        </w:tc>
        <w:tc>
          <w:tcPr>
            <w:tcW w:w="823" w:type="pct"/>
            <w:tcBorders>
              <w:bottom w:val="nil"/>
            </w:tcBorders>
            <w:shd w:val="clear" w:color="auto" w:fill="auto"/>
          </w:tcPr>
          <w:p w14:paraId="2610C64F" w14:textId="77777777" w:rsidR="00502EFA" w:rsidRPr="005D6D89" w:rsidRDefault="00502EFA" w:rsidP="00502EFA">
            <w:pPr>
              <w:pStyle w:val="TableText"/>
              <w:spacing w:before="40" w:after="40"/>
              <w:jc w:val="center"/>
            </w:pPr>
            <w:r w:rsidRPr="005D6D89">
              <w:t>Major</w:t>
            </w:r>
          </w:p>
        </w:tc>
      </w:tr>
      <w:tr w:rsidR="003550C3" w:rsidRPr="003550C3" w14:paraId="39A71EDD" w14:textId="77777777" w:rsidTr="00095C79">
        <w:tc>
          <w:tcPr>
            <w:tcW w:w="5000" w:type="pct"/>
            <w:gridSpan w:val="3"/>
            <w:tcBorders>
              <w:top w:val="nil"/>
              <w:bottom w:val="nil"/>
            </w:tcBorders>
            <w:shd w:val="clear" w:color="auto" w:fill="D2DDE2" w:themeFill="accent3"/>
            <w:tcMar>
              <w:top w:w="0" w:type="dxa"/>
            </w:tcMar>
          </w:tcPr>
          <w:p w14:paraId="1779E085" w14:textId="77777777" w:rsidR="00CC0034" w:rsidRPr="003550C3" w:rsidRDefault="00CC0034" w:rsidP="000D5724">
            <w:pPr>
              <w:pStyle w:val="TableTextBold0"/>
            </w:pPr>
            <w:r w:rsidRPr="003550C3">
              <w:t>Opportunity</w:t>
            </w:r>
          </w:p>
        </w:tc>
      </w:tr>
      <w:tr w:rsidR="00502EFA" w:rsidRPr="005D6D89" w14:paraId="160BDD9A" w14:textId="77777777" w:rsidTr="00095C79">
        <w:tc>
          <w:tcPr>
            <w:tcW w:w="3683" w:type="pct"/>
            <w:tcBorders>
              <w:top w:val="nil"/>
            </w:tcBorders>
            <w:shd w:val="clear" w:color="auto" w:fill="auto"/>
            <w:tcMar>
              <w:top w:w="0" w:type="dxa"/>
            </w:tcMar>
          </w:tcPr>
          <w:p w14:paraId="5B57E83D" w14:textId="6DA4682C" w:rsidR="00502EFA" w:rsidRPr="005D6D89" w:rsidRDefault="00502EFA" w:rsidP="00AE2FAF">
            <w:pPr>
              <w:pStyle w:val="TableText"/>
              <w:spacing w:before="40" w:after="40"/>
            </w:pPr>
            <w:bookmarkStart w:id="343" w:name="_Toc37404087"/>
            <w:bookmarkStart w:id="344" w:name="_Toc37416508"/>
            <w:r w:rsidRPr="005D6D89">
              <w:t>HO1 Opportunity for reduction in cold weather-related mortality</w:t>
            </w:r>
            <w:bookmarkEnd w:id="343"/>
            <w:bookmarkEnd w:id="344"/>
            <w:r w:rsidR="00101782">
              <w:t>.</w:t>
            </w:r>
            <w:r w:rsidRPr="005D6D89">
              <w:t xml:space="preserve"> </w:t>
            </w:r>
          </w:p>
        </w:tc>
        <w:tc>
          <w:tcPr>
            <w:tcW w:w="494" w:type="pct"/>
            <w:tcBorders>
              <w:top w:val="nil"/>
            </w:tcBorders>
          </w:tcPr>
          <w:p w14:paraId="567551D6" w14:textId="77777777" w:rsidR="00502EFA" w:rsidRPr="00502EFA" w:rsidRDefault="00502EFA" w:rsidP="00502EFA">
            <w:pPr>
              <w:pStyle w:val="TableTextBold0"/>
              <w:spacing w:before="40" w:after="40"/>
              <w:jc w:val="center"/>
              <w:rPr>
                <w:b w:val="0"/>
                <w:bCs/>
              </w:rPr>
            </w:pPr>
            <w:r w:rsidRPr="00502EFA">
              <w:rPr>
                <w:b w:val="0"/>
                <w:bCs/>
              </w:rPr>
              <w:t>45</w:t>
            </w:r>
          </w:p>
        </w:tc>
        <w:tc>
          <w:tcPr>
            <w:tcW w:w="823" w:type="pct"/>
            <w:tcBorders>
              <w:top w:val="nil"/>
            </w:tcBorders>
            <w:shd w:val="clear" w:color="auto" w:fill="auto"/>
          </w:tcPr>
          <w:p w14:paraId="6DD16B3C" w14:textId="77777777" w:rsidR="00502EFA" w:rsidRPr="005D6D89" w:rsidRDefault="00502EFA" w:rsidP="00502EFA">
            <w:pPr>
              <w:pStyle w:val="TableText"/>
              <w:spacing w:before="40" w:after="40"/>
              <w:jc w:val="center"/>
            </w:pPr>
            <w:r w:rsidRPr="005D6D89">
              <w:t>n/a</w:t>
            </w:r>
          </w:p>
        </w:tc>
      </w:tr>
    </w:tbl>
    <w:bookmarkEnd w:id="342"/>
    <w:p w14:paraId="604119B6" w14:textId="77777777" w:rsidR="00CC0034" w:rsidRPr="005D6D89" w:rsidRDefault="00CC0034" w:rsidP="0064266C">
      <w:pPr>
        <w:pStyle w:val="Note"/>
        <w:spacing w:before="60" w:after="0"/>
      </w:pPr>
      <w:r w:rsidRPr="005D6D89">
        <w:t>* Urgency rating: the adaptation and decision urgency rating for this risk.</w:t>
      </w:r>
    </w:p>
    <w:p w14:paraId="3C8440DF" w14:textId="2DC97E6E" w:rsidR="00CC0034" w:rsidRPr="005D6D89" w:rsidRDefault="00CC0034" w:rsidP="0064266C">
      <w:pPr>
        <w:pStyle w:val="Note"/>
        <w:spacing w:before="60" w:after="0"/>
      </w:pPr>
      <w:r w:rsidRPr="005D6D89">
        <w:t>**Consequence rating: the highest consequence rating assigned to this risk out of all three periods (now, 2050, 2100).</w:t>
      </w:r>
      <w:r w:rsidR="00027F9F" w:rsidRPr="005D6D89">
        <w:t xml:space="preserve"> </w:t>
      </w:r>
      <w:r w:rsidRPr="005D6D89">
        <w:t xml:space="preserve">The </w:t>
      </w:r>
      <w:hyperlink r:id="rId55" w:history="1">
        <w:r w:rsidR="00E546F8" w:rsidRPr="00E546F8">
          <w:rPr>
            <w:rStyle w:val="Hyperlink"/>
          </w:rPr>
          <w:t>technical report</w:t>
        </w:r>
      </w:hyperlink>
      <w:r w:rsidRPr="005D6D89">
        <w:t xml:space="preserve"> provides the consequence rating for each risk and period.</w:t>
      </w:r>
    </w:p>
    <w:p w14:paraId="38B9781D" w14:textId="77777777" w:rsidR="00CC0034" w:rsidRPr="005D6D89" w:rsidRDefault="00CC0034" w:rsidP="00812D16">
      <w:pPr>
        <w:pStyle w:val="Heading3"/>
        <w:numPr>
          <w:ilvl w:val="0"/>
          <w:numId w:val="29"/>
        </w:numPr>
        <w:spacing w:before="440"/>
      </w:pPr>
      <w:bookmarkStart w:id="345" w:name="_Toc40699358"/>
      <w:bookmarkStart w:id="346" w:name="_Toc37255776"/>
      <w:bookmarkStart w:id="347" w:name="_Toc37393677"/>
      <w:r w:rsidRPr="005D6D89">
        <w:t xml:space="preserve">Most </w:t>
      </w:r>
      <w:bookmarkStart w:id="348" w:name="_Toc37153159"/>
      <w:bookmarkStart w:id="349" w:name="_Toc37174251"/>
      <w:r w:rsidRPr="005D6D89">
        <w:t>significant risks</w:t>
      </w:r>
      <w:bookmarkEnd w:id="345"/>
    </w:p>
    <w:p w14:paraId="3E41C6DA" w14:textId="77777777" w:rsidR="00CC0034" w:rsidRPr="005D6D89" w:rsidRDefault="00CC0034" w:rsidP="003842D3">
      <w:pPr>
        <w:pStyle w:val="Heading4"/>
        <w:spacing w:before="160"/>
      </w:pPr>
      <w:r w:rsidRPr="005D6D89">
        <w:t>H1 Risks to social cohesion and community wellbeing from displacement of individuals, families and communities</w:t>
      </w:r>
      <w:r w:rsidR="00101782">
        <w:t>,</w:t>
      </w:r>
      <w:r w:rsidRPr="005D6D89">
        <w:t xml:space="preserve"> due to climate change impacts</w:t>
      </w:r>
      <w:bookmarkEnd w:id="348"/>
      <w:bookmarkEnd w:id="349"/>
      <w:r w:rsidRPr="005D6D89">
        <w:t xml:space="preserve"> </w:t>
      </w:r>
      <w:bookmarkEnd w:id="346"/>
      <w:bookmarkEnd w:id="347"/>
    </w:p>
    <w:p w14:paraId="7C767C9F" w14:textId="77777777" w:rsidR="00CC0034" w:rsidRPr="005D6D89" w:rsidRDefault="00CC0034" w:rsidP="003842D3">
      <w:pPr>
        <w:pStyle w:val="Heading5"/>
        <w:spacing w:before="200"/>
      </w:pPr>
      <w:r w:rsidRPr="005D6D89">
        <w:t xml:space="preserve">Risk summary </w:t>
      </w:r>
    </w:p>
    <w:p w14:paraId="6897E163" w14:textId="77777777" w:rsidR="00CC0034" w:rsidRPr="005D6D89" w:rsidRDefault="00CC0034" w:rsidP="007007DF">
      <w:pPr>
        <w:pStyle w:val="BodyText"/>
      </w:pPr>
      <w:r w:rsidRPr="005D6D89">
        <w:t xml:space="preserve">Extreme events such as flash floods, more frequent coastal flooding and erosion or landslides, or gradual, accumulating changes (particularly rising sea levels), may render some locations uninhabitable. When people </w:t>
      </w:r>
      <w:proofErr w:type="gramStart"/>
      <w:r w:rsidRPr="005D6D89">
        <w:t xml:space="preserve">are </w:t>
      </w:r>
      <w:r w:rsidRPr="005D6D89">
        <w:rPr>
          <w:b/>
        </w:rPr>
        <w:t>displaced</w:t>
      </w:r>
      <w:proofErr w:type="gramEnd"/>
      <w:r w:rsidRPr="00FB55F9">
        <w:rPr>
          <w:bCs/>
        </w:rPr>
        <w:t xml:space="preserve">, </w:t>
      </w:r>
      <w:r w:rsidRPr="005D6D89">
        <w:t xml:space="preserve">they can suffer trauma from leaving familiar surroundings, breaking social and cultural bonds, and the challenges of resettlement. There are two sides to the risk: the impact on those who move </w:t>
      </w:r>
      <w:proofErr w:type="gramStart"/>
      <w:r w:rsidRPr="005D6D89">
        <w:t>away,</w:t>
      </w:r>
      <w:proofErr w:type="gramEnd"/>
      <w:r w:rsidRPr="005D6D89">
        <w:t xml:space="preserve"> and the impact on the community left behind. </w:t>
      </w:r>
    </w:p>
    <w:p w14:paraId="25AE7619" w14:textId="77777777" w:rsidR="00CC0034" w:rsidRPr="005D6D89" w:rsidRDefault="00CC0034" w:rsidP="007007DF">
      <w:pPr>
        <w:pStyle w:val="BodyText"/>
      </w:pPr>
      <w:r w:rsidRPr="005D6D89">
        <w:t>Mobilised populations, whether moving internally or across borders, will change the composition of communities, affect housing and labour markets, require changes to regional development planning</w:t>
      </w:r>
      <w:r w:rsidR="00101782">
        <w:t>,</w:t>
      </w:r>
      <w:r w:rsidRPr="005D6D89">
        <w:t xml:space="preserve"> and alter the demand for social services and other resources. Those who remain may experience a sense of loss and abandonment as the community diminishes, and from broken family, social and cultural bonds. As a community shrinks, essential services </w:t>
      </w:r>
      <w:proofErr w:type="gramStart"/>
      <w:r w:rsidRPr="005D6D89">
        <w:t>may be eroded</w:t>
      </w:r>
      <w:proofErr w:type="gramEnd"/>
      <w:r w:rsidRPr="005D6D89">
        <w:t xml:space="preserve"> – for example, education facilities, job opportunities or community services. This has been reported in rural New Zealand communities over the last 30 years </w:t>
      </w:r>
      <w:proofErr w:type="gramStart"/>
      <w:r w:rsidRPr="005D6D89">
        <w:t>as a result</w:t>
      </w:r>
      <w:proofErr w:type="gramEnd"/>
      <w:r w:rsidRPr="005D6D89">
        <w:t xml:space="preserve"> of government reform in the mid-1980s. These risks to social cohesion and community wellbeing increase over time and are greater under </w:t>
      </w:r>
      <w:r w:rsidRPr="00136D82">
        <w:t>RCP8.5 than RCP4.5</w:t>
      </w:r>
      <w:r w:rsidRPr="005D6D89">
        <w:t xml:space="preserve">. </w:t>
      </w:r>
    </w:p>
    <w:p w14:paraId="30F55C79" w14:textId="77777777" w:rsidR="00CC0034" w:rsidRPr="005D6D89" w:rsidRDefault="00CC0034" w:rsidP="007007DF">
      <w:pPr>
        <w:pStyle w:val="Heading5"/>
      </w:pPr>
      <w:r w:rsidRPr="005D6D89">
        <w:t xml:space="preserve">Exposure </w:t>
      </w:r>
    </w:p>
    <w:p w14:paraId="4FE95B0F" w14:textId="77777777" w:rsidR="00CC0034" w:rsidRPr="005D6D89" w:rsidRDefault="00CC0034" w:rsidP="007007DF">
      <w:pPr>
        <w:pStyle w:val="BodyText"/>
      </w:pPr>
      <w:r w:rsidRPr="005D6D89">
        <w:t>New Zealand</w:t>
      </w:r>
      <w:r w:rsidR="001200EA">
        <w:t>’</w:t>
      </w:r>
      <w:r w:rsidRPr="005D6D89">
        <w:t xml:space="preserve">s low-lying coastal areas </w:t>
      </w:r>
      <w:proofErr w:type="gramStart"/>
      <w:r w:rsidRPr="005D6D89">
        <w:t>are exposed</w:t>
      </w:r>
      <w:proofErr w:type="gramEnd"/>
      <w:r w:rsidRPr="005D6D89">
        <w:t xml:space="preserve"> to ongoing sea-level rise and associated pressures such as rising groundwater and </w:t>
      </w:r>
      <w:r w:rsidRPr="00101782">
        <w:t>salinisation</w:t>
      </w:r>
      <w:r w:rsidRPr="005D6D89">
        <w:t>, and extreme events. Intensified development along coastal areas and urbanisation are increasing the number of people exposed to extreme weather events, landslides and coastal flooding (Glavovic, Saunder</w:t>
      </w:r>
      <w:r w:rsidR="00101782">
        <w:t>s</w:t>
      </w:r>
      <w:r w:rsidRPr="005D6D89">
        <w:t xml:space="preserve"> and Becker, 2010). About 675,500 people live in areas currently prone to flooding. A further 72,065 people live in areas that are subject to </w:t>
      </w:r>
      <w:r w:rsidRPr="00136D82">
        <w:t>1 per cent AEP</w:t>
      </w:r>
      <w:r w:rsidRPr="005D6D89">
        <w:t xml:space="preserve"> (annual exce</w:t>
      </w:r>
      <w:r w:rsidR="00101782">
        <w:t>edance probability) extreme sea-</w:t>
      </w:r>
      <w:r w:rsidRPr="005D6D89">
        <w:t xml:space="preserve">level elevation (Paulik, 2019). Inland communities </w:t>
      </w:r>
      <w:proofErr w:type="gramStart"/>
      <w:r w:rsidRPr="005D6D89">
        <w:t>are exposed</w:t>
      </w:r>
      <w:proofErr w:type="gramEnd"/>
      <w:r w:rsidRPr="005D6D89">
        <w:t xml:space="preserve"> to extreme events and gradual changes</w:t>
      </w:r>
      <w:r w:rsidR="00101782">
        <w:t>,</w:t>
      </w:r>
      <w:r w:rsidRPr="005D6D89">
        <w:t xml:space="preserve"> which may alter the viability of crucial economic enterprises.</w:t>
      </w:r>
      <w:r w:rsidR="00027F9F" w:rsidRPr="005D6D89">
        <w:t xml:space="preserve"> </w:t>
      </w:r>
    </w:p>
    <w:p w14:paraId="465724C4" w14:textId="77777777" w:rsidR="00CC0034" w:rsidRPr="005D6D89" w:rsidRDefault="00CC0034" w:rsidP="007007DF">
      <w:pPr>
        <w:pStyle w:val="BodyText"/>
      </w:pPr>
      <w:r w:rsidRPr="005D6D89">
        <w:t xml:space="preserve">Sea levels </w:t>
      </w:r>
      <w:proofErr w:type="gramStart"/>
      <w:r w:rsidRPr="005D6D89">
        <w:t>are projected</w:t>
      </w:r>
      <w:proofErr w:type="gramEnd"/>
      <w:r w:rsidRPr="005D6D89">
        <w:t xml:space="preserve"> to rise by up to 0.90 m by 2100 under RCP8.5 for all zones, resulting in</w:t>
      </w:r>
      <w:r w:rsidR="00714CE6" w:rsidRPr="005D6D89">
        <w:t> </w:t>
      </w:r>
      <w:r w:rsidRPr="005D6D89">
        <w:t xml:space="preserve">coastal flooding and salinisation of groundwater (Ministry for the Environment, 2017b). Extreme storm tides, winds and rainfall </w:t>
      </w:r>
      <w:proofErr w:type="gramStart"/>
      <w:r w:rsidRPr="005D6D89">
        <w:t>are projected</w:t>
      </w:r>
      <w:proofErr w:type="gramEnd"/>
      <w:r w:rsidRPr="005D6D89">
        <w:t xml:space="preserve"> to increase in frequency and magnitude in all regions for 2050 and 2100 under RCP8.5. The intensity of tropical cyclones in the North Island and northern South Island </w:t>
      </w:r>
      <w:proofErr w:type="gramStart"/>
      <w:r w:rsidRPr="005D6D89">
        <w:t>is also projected</w:t>
      </w:r>
      <w:proofErr w:type="gramEnd"/>
      <w:r w:rsidRPr="005D6D89">
        <w:t xml:space="preserve"> to increase (Pearce</w:t>
      </w:r>
      <w:r w:rsidR="00B61730">
        <w:t xml:space="preserve"> et al</w:t>
      </w:r>
      <w:r w:rsidRPr="005D6D89">
        <w:t>, 2018). This will result in flooding, landslides and erosion that can have immediate and long-term implications, due to damage to belongings and households, displacement and trauma (Stephenson</w:t>
      </w:r>
      <w:r w:rsidR="00B61730">
        <w:t xml:space="preserve"> et al</w:t>
      </w:r>
      <w:r w:rsidRPr="005D6D89">
        <w:t xml:space="preserve">, 2018). </w:t>
      </w:r>
      <w:bookmarkStart w:id="350" w:name="_Hlk36674199"/>
      <w:r w:rsidRPr="005D6D89">
        <w:t>Some areas are already very exposed to flooding. For example, 4.3 per cent of Westport</w:t>
      </w:r>
      <w:r w:rsidR="000D5724" w:rsidRPr="005D6D89">
        <w:t> </w:t>
      </w:r>
      <w:proofErr w:type="gramStart"/>
      <w:r w:rsidRPr="005D6D89">
        <w:t>will be inundated</w:t>
      </w:r>
      <w:proofErr w:type="gramEnd"/>
      <w:r w:rsidRPr="005D6D89">
        <w:t xml:space="preserve"> by a 1-in-50-year flood. By 2080</w:t>
      </w:r>
      <w:r w:rsidR="00101782">
        <w:t>,</w:t>
      </w:r>
      <w:r w:rsidRPr="005D6D89">
        <w:t xml:space="preserve"> this could rise to 80 per cent (Hennessy</w:t>
      </w:r>
      <w:r w:rsidR="00B61730">
        <w:t xml:space="preserve"> et al</w:t>
      </w:r>
      <w:r w:rsidRPr="005D6D89">
        <w:t>, 2007).</w:t>
      </w:r>
      <w:bookmarkEnd w:id="350"/>
      <w:r w:rsidRPr="005D6D89">
        <w:t xml:space="preserve"> </w:t>
      </w:r>
    </w:p>
    <w:p w14:paraId="182A56A3" w14:textId="77777777" w:rsidR="00CC0034" w:rsidRPr="00C96207" w:rsidRDefault="00CC0034" w:rsidP="00714CE6">
      <w:pPr>
        <w:pStyle w:val="Heading5"/>
      </w:pPr>
      <w:r w:rsidRPr="00C96207">
        <w:t>Sensitivity</w:t>
      </w:r>
    </w:p>
    <w:p w14:paraId="2B4A601E" w14:textId="77777777" w:rsidR="00CC0034" w:rsidRPr="005D6D89" w:rsidRDefault="00CC0034" w:rsidP="00714CE6">
      <w:pPr>
        <w:pStyle w:val="BodyText"/>
      </w:pPr>
      <w:bookmarkStart w:id="351" w:name="_Hlk36714792"/>
      <w:r w:rsidRPr="00C96207">
        <w:t>Networks and relationships are particularly important in communities before, during and in recovery after extreme events and disasters (Jakes and Langer, 2012). Any erosion of these networks (as the community shrinks) can increase communities</w:t>
      </w:r>
      <w:r w:rsidR="001200EA" w:rsidRPr="00C96207">
        <w:t>’</w:t>
      </w:r>
      <w:r w:rsidRPr="00C96207">
        <w:t xml:space="preserve"> sensitivity and decrease their ability to respond to future events.</w:t>
      </w:r>
      <w:r w:rsidRPr="005D6D89">
        <w:t xml:space="preserve"> </w:t>
      </w:r>
    </w:p>
    <w:bookmarkEnd w:id="351"/>
    <w:p w14:paraId="5F561B84" w14:textId="77777777" w:rsidR="00CC0034" w:rsidRPr="005D6D89" w:rsidRDefault="00CC0034" w:rsidP="00957987">
      <w:pPr>
        <w:pStyle w:val="BodyText"/>
        <w:spacing w:after="100"/>
      </w:pPr>
      <w:r w:rsidRPr="005D6D89">
        <w:t xml:space="preserve">The communities most likely to be sensitive include those where livelihoods depend on the natural environment. Farming communities are highly sensitive to events that can disrupt farming, causing financial losses, and affecting mental health, social cohesion and community wellbeing (Krishnamurthy, 2012). In this case, the risk may cascade through the natural and economic domain rather than directly from exposure to a hazard. </w:t>
      </w:r>
    </w:p>
    <w:p w14:paraId="056A6EC6" w14:textId="77777777" w:rsidR="00CC0034" w:rsidRPr="005D6D89" w:rsidRDefault="00CC0034" w:rsidP="00957987">
      <w:pPr>
        <w:pStyle w:val="BodyText"/>
        <w:spacing w:after="100"/>
        <w:rPr>
          <w:color w:val="000000" w:themeColor="text1"/>
        </w:rPr>
      </w:pPr>
      <w:r w:rsidRPr="005D6D89">
        <w:rPr>
          <w:color w:val="000000" w:themeColor="text1"/>
        </w:rPr>
        <w:t>Other examples of communities that are likely to be sensitive include:</w:t>
      </w:r>
    </w:p>
    <w:p w14:paraId="5F2850E8" w14:textId="77777777" w:rsidR="00F8563F" w:rsidRPr="005D6D89" w:rsidRDefault="00F8563F" w:rsidP="00957987">
      <w:pPr>
        <w:pStyle w:val="Numberedparagraph"/>
        <w:spacing w:after="100"/>
      </w:pPr>
      <w:r w:rsidRPr="005D6D89">
        <w:t>Low-lying areas facing the impacts of coastal erosion and ongoing sea-level rise. These hazards increase the risk of disruption to livelihoods and communities in the short and long term (Stephenson</w:t>
      </w:r>
      <w:r w:rsidR="00B61730">
        <w:t xml:space="preserve"> et al</w:t>
      </w:r>
      <w:r w:rsidRPr="005D6D89">
        <w:t>, 2018). As the disruptions increase, so does the likelihood that those who can move will move (Lawrence et al, 2018).</w:t>
      </w:r>
      <w:r w:rsidR="00027F9F" w:rsidRPr="005D6D89">
        <w:t xml:space="preserve"> </w:t>
      </w:r>
    </w:p>
    <w:p w14:paraId="28B4D037" w14:textId="77777777" w:rsidR="00F8563F" w:rsidRPr="005D6D89" w:rsidRDefault="00F8563F" w:rsidP="00957987">
      <w:pPr>
        <w:pStyle w:val="Numberedparagraph"/>
        <w:spacing w:after="100"/>
      </w:pPr>
      <w:r w:rsidRPr="005D6D89">
        <w:t>Flood plains, or areas potentially affected by waterlogging (due to groundwater changes), which may cause parts or all of the community to be relocated.</w:t>
      </w:r>
    </w:p>
    <w:p w14:paraId="3BA49217" w14:textId="77777777" w:rsidR="00347722" w:rsidRPr="005D6D89" w:rsidRDefault="00F8563F" w:rsidP="00957987">
      <w:pPr>
        <w:pStyle w:val="Numberedparagraph"/>
        <w:spacing w:after="100"/>
      </w:pPr>
      <w:r w:rsidRPr="005D6D89">
        <w:t>Ethnically and culturally homogeneous communities, where social cohesion generally declines as diversity increases (Laurence and Bentley, 2016).</w:t>
      </w:r>
    </w:p>
    <w:p w14:paraId="33855A77" w14:textId="77777777" w:rsidR="001109B3" w:rsidRPr="005D6D89" w:rsidRDefault="001109B3" w:rsidP="00957987">
      <w:pPr>
        <w:pStyle w:val="BodyText"/>
        <w:spacing w:after="100"/>
      </w:pPr>
      <w:r w:rsidRPr="005D6D89">
        <w:t>Individuals who rely on strong social networks for support (eg, the elderly) are more sensitive</w:t>
      </w:r>
      <w:r w:rsidR="000D5724" w:rsidRPr="005D6D89">
        <w:t> </w:t>
      </w:r>
      <w:r w:rsidRPr="005D6D89">
        <w:t>to loss of social cohesion (Wistow, Dominelli, Oven, Dunn and Curtis, 2015) and</w:t>
      </w:r>
      <w:r w:rsidR="000D5724" w:rsidRPr="005D6D89">
        <w:t> </w:t>
      </w:r>
      <w:r w:rsidRPr="005D6D89">
        <w:t xml:space="preserve">connectedness. </w:t>
      </w:r>
    </w:p>
    <w:p w14:paraId="1DEC6677" w14:textId="77777777" w:rsidR="001109B3" w:rsidRPr="005D6D89" w:rsidRDefault="001109B3" w:rsidP="008365FB">
      <w:pPr>
        <w:pStyle w:val="Heading5"/>
      </w:pPr>
      <w:r w:rsidRPr="005D6D89">
        <w:t xml:space="preserve">Adaptive capacity </w:t>
      </w:r>
    </w:p>
    <w:p w14:paraId="1123B7E7" w14:textId="77777777" w:rsidR="001109B3" w:rsidRPr="005D6D89" w:rsidRDefault="001109B3" w:rsidP="00FA6C94">
      <w:pPr>
        <w:pStyle w:val="BodyText"/>
        <w:spacing w:before="100" w:after="100"/>
      </w:pPr>
      <w:bookmarkStart w:id="352" w:name="_Hlk36715167"/>
      <w:r w:rsidRPr="005D6D89">
        <w:t xml:space="preserve">A sense of community, social cohesion and community wellbeing is paramount for resilience and adaptive capacity (Jakes and Langer, 2012; Tompkins and Adger, 2004). If this </w:t>
      </w:r>
      <w:proofErr w:type="gramStart"/>
      <w:r w:rsidRPr="005D6D89">
        <w:t>is eroded</w:t>
      </w:r>
      <w:proofErr w:type="gramEnd"/>
      <w:r w:rsidRPr="005D6D89">
        <w:t>, by</w:t>
      </w:r>
      <w:r w:rsidR="000D5724" w:rsidRPr="005D6D89">
        <w:t> </w:t>
      </w:r>
      <w:r w:rsidRPr="005D6D89">
        <w:t>definition, that capacity lessens. For Māori, culture forms the basis of social cohesiveness, which in turn contributes wellbeing and resilience including the adaptive capacity of the</w:t>
      </w:r>
      <w:r w:rsidR="000D5724" w:rsidRPr="005D6D89">
        <w:t> </w:t>
      </w:r>
      <w:r w:rsidRPr="005D6D89">
        <w:t>collective.</w:t>
      </w:r>
    </w:p>
    <w:bookmarkEnd w:id="352"/>
    <w:p w14:paraId="2252D623" w14:textId="77777777" w:rsidR="001109B3" w:rsidRPr="005D6D89" w:rsidRDefault="001109B3" w:rsidP="00FA6C94">
      <w:pPr>
        <w:pStyle w:val="BodyText"/>
        <w:spacing w:before="100" w:after="100"/>
      </w:pPr>
      <w:r w:rsidRPr="005D6D89">
        <w:t xml:space="preserve">This is apparent in community responses to historical events. When Mt </w:t>
      </w:r>
      <w:bookmarkStart w:id="353" w:name="_Hlk40208154"/>
      <w:r w:rsidRPr="005D6D89">
        <w:t>Ruapehu</w:t>
      </w:r>
      <w:bookmarkEnd w:id="353"/>
      <w:r w:rsidRPr="005D6D89">
        <w:t xml:space="preserve"> erupted in 1995–1996, a sense of community and self-efficacy were important predictors of people</w:t>
      </w:r>
      <w:r w:rsidR="001200EA">
        <w:t>’</w:t>
      </w:r>
      <w:r w:rsidRPr="005D6D89">
        <w:t xml:space="preserve">s resilience and the capacity to respond (Tompkins and Adger, 2004). The ability to cope </w:t>
      </w:r>
      <w:proofErr w:type="gramStart"/>
      <w:r w:rsidRPr="005D6D89">
        <w:t>would have been compromised</w:t>
      </w:r>
      <w:proofErr w:type="gramEnd"/>
      <w:r w:rsidRPr="005D6D89">
        <w:t xml:space="preserve"> without connections and cohesion. </w:t>
      </w:r>
    </w:p>
    <w:p w14:paraId="5EEDBF8D" w14:textId="77777777" w:rsidR="001109B3" w:rsidRPr="005D6D89" w:rsidRDefault="001109B3" w:rsidP="00FA6C94">
      <w:pPr>
        <w:pStyle w:val="BodyText"/>
        <w:spacing w:before="100" w:after="100"/>
      </w:pPr>
      <w:bookmarkStart w:id="354" w:name="_Hlk36715369"/>
      <w:r w:rsidRPr="005D6D89">
        <w:t>Maintaining social cohesion and community wellbeing in the face of displacement and movement of people requires a recognition that adaptation in other domains will affect this risk. For example, good governance and inclusive decision-making are required to develop acceptable adaptation options for communities, and minimise risks to cohesion and wellbeing.</w:t>
      </w:r>
    </w:p>
    <w:bookmarkEnd w:id="354"/>
    <w:p w14:paraId="61DA5EF6" w14:textId="77777777" w:rsidR="001109B3" w:rsidRPr="005D6D89" w:rsidRDefault="001109B3" w:rsidP="00FA6C94">
      <w:pPr>
        <w:pStyle w:val="BodyText"/>
        <w:spacing w:before="100" w:after="100"/>
      </w:pPr>
      <w:r w:rsidRPr="005D6D89">
        <w:t xml:space="preserve">Anticipatory governance and effective decision-making in the context of uncertainty is necessary to reduce exposure to this risk, by ensuring communities do not develop in areas prone to climate change hazards that may lead to displacement. </w:t>
      </w:r>
    </w:p>
    <w:p w14:paraId="1179DBF0" w14:textId="77777777" w:rsidR="001109B3" w:rsidRPr="005D6D89" w:rsidRDefault="001109B3" w:rsidP="008365FB">
      <w:pPr>
        <w:pStyle w:val="Heading5"/>
      </w:pPr>
      <w:r w:rsidRPr="005D6D89">
        <w:t xml:space="preserve">Consequence </w:t>
      </w:r>
    </w:p>
    <w:p w14:paraId="0AF72E21" w14:textId="77777777" w:rsidR="001109B3" w:rsidRPr="005D6D89" w:rsidRDefault="001109B3" w:rsidP="00FA6C94">
      <w:pPr>
        <w:pStyle w:val="BodyText"/>
        <w:spacing w:before="100" w:after="100"/>
      </w:pPr>
      <w:r w:rsidRPr="005D6D89">
        <w:t xml:space="preserve">Populations displaced by disasters and climate change will change the composition of communities, affect housing and labour markets, require changes to regional development planning, and alter the demand for social services. Displaced people may also lose their local support networks, and communities receiving them might be unwelcoming, contributing to or causing tension and conflict (Campbell, 2019; Boege, 2018). </w:t>
      </w:r>
    </w:p>
    <w:p w14:paraId="47B15458" w14:textId="77777777" w:rsidR="001109B3" w:rsidRPr="005D6D89" w:rsidRDefault="001109B3" w:rsidP="00FA6C94">
      <w:pPr>
        <w:pStyle w:val="BodyText"/>
        <w:spacing w:before="100" w:after="100"/>
      </w:pPr>
      <w:r w:rsidRPr="005D6D89">
        <w:t>Kelso was a small Otago town of 200 residents that experienced severe floods in 1978, and</w:t>
      </w:r>
      <w:r w:rsidR="00957987" w:rsidRPr="005D6D89">
        <w:t> </w:t>
      </w:r>
      <w:r w:rsidRPr="005D6D89">
        <w:t xml:space="preserve">again 15 months later. Works to increase flood protection </w:t>
      </w:r>
      <w:proofErr w:type="gramStart"/>
      <w:r w:rsidRPr="005D6D89">
        <w:t>were deemed</w:t>
      </w:r>
      <w:proofErr w:type="gramEnd"/>
      <w:r w:rsidRPr="005D6D89">
        <w:t xml:space="preserve"> unaffordable and</w:t>
      </w:r>
      <w:r w:rsidR="00957987" w:rsidRPr="005D6D89">
        <w:t> </w:t>
      </w:r>
      <w:r w:rsidRPr="005D6D89">
        <w:t xml:space="preserve">individual residents moved, depending on </w:t>
      </w:r>
      <w:r w:rsidR="00C96207">
        <w:t xml:space="preserve">the </w:t>
      </w:r>
      <w:r w:rsidRPr="005D6D89">
        <w:t>perceived risk to households (Glavovic, Saunders, and Becker, 2010). This led to the closure of community amenities and the eventual</w:t>
      </w:r>
      <w:r w:rsidR="00655FF4">
        <w:t> </w:t>
      </w:r>
      <w:r w:rsidRPr="005D6D89">
        <w:t>relocation of remaining residents to neighbouring towns (Glavovic, Saunders, and</w:t>
      </w:r>
      <w:r w:rsidR="00655FF4">
        <w:t> </w:t>
      </w:r>
      <w:r w:rsidRPr="005D6D89">
        <w:t>Becker, 2010). The townspeople have held reunions but the social bonds within the community were</w:t>
      </w:r>
      <w:r w:rsidR="00957987" w:rsidRPr="005D6D89">
        <w:t> </w:t>
      </w:r>
      <w:r w:rsidRPr="005D6D89">
        <w:t xml:space="preserve">ultimately broken. </w:t>
      </w:r>
    </w:p>
    <w:p w14:paraId="78FDA22F" w14:textId="77777777" w:rsidR="001109B3" w:rsidRPr="005D6D89" w:rsidRDefault="001109B3" w:rsidP="00FA6C94">
      <w:pPr>
        <w:pStyle w:val="BodyText"/>
        <w:spacing w:after="100"/>
      </w:pPr>
      <w:r w:rsidRPr="005D6D89">
        <w:t xml:space="preserve">It is likely that cultural, economic and social capital as well as spiritual wellbeing </w:t>
      </w:r>
      <w:proofErr w:type="gramStart"/>
      <w:r w:rsidRPr="005D6D89">
        <w:t>will be adversely affected</w:t>
      </w:r>
      <w:proofErr w:type="gramEnd"/>
      <w:r w:rsidRPr="005D6D89">
        <w:t xml:space="preserve"> if Māori are forced to relocate from tribal lands and territories. </w:t>
      </w:r>
    </w:p>
    <w:p w14:paraId="3543ECB2" w14:textId="77777777" w:rsidR="001109B3" w:rsidRPr="005D6D89" w:rsidRDefault="001109B3" w:rsidP="00FB528D">
      <w:pPr>
        <w:pStyle w:val="Heading5"/>
      </w:pPr>
      <w:r w:rsidRPr="005D6D89">
        <w:t xml:space="preserve">Interacting risks </w:t>
      </w:r>
    </w:p>
    <w:p w14:paraId="09DC39D1" w14:textId="77777777" w:rsidR="001109B3" w:rsidRPr="005D6D89" w:rsidRDefault="001109B3" w:rsidP="00FA6C94">
      <w:pPr>
        <w:pStyle w:val="BodyText"/>
        <w:spacing w:before="100" w:after="100"/>
      </w:pPr>
      <w:r w:rsidRPr="005D6D89">
        <w:t xml:space="preserve">The interaction between climate hazards, social cohesion and community wellbeing could amplify the vulnerability of individuals and communities to climate change. Loss of land and households will exacerbate physical and mental health issues (H3 and H7), affect a sense of belonging and identity (H7) and perpetuate inequity (H2), adversely </w:t>
      </w:r>
      <w:proofErr w:type="gramStart"/>
      <w:r w:rsidRPr="005D6D89">
        <w:t>impacting</w:t>
      </w:r>
      <w:proofErr w:type="gramEnd"/>
      <w:r w:rsidRPr="005D6D89">
        <w:t xml:space="preserve"> social cohesion. Loss or damage to cultural heritage sites (H8) may also reduce social cohesion and community wellbeing. Risks to lifeline infrastructures, such as energy networks (B8), transport networks (B6) and water (B1 and B4) can increase pressures on populations and communities. Climate change-related economic pressures, particularly in agricultural communities (E3), will also interact with displacement and community cohesion. </w:t>
      </w:r>
    </w:p>
    <w:p w14:paraId="60A2AF89" w14:textId="77777777" w:rsidR="001109B3" w:rsidRPr="005D6D89" w:rsidRDefault="001109B3" w:rsidP="00FB528D">
      <w:pPr>
        <w:pStyle w:val="Heading5"/>
      </w:pPr>
      <w:r w:rsidRPr="005D6D89">
        <w:t xml:space="preserve">Confidence: High agreement, moderate evidence </w:t>
      </w:r>
    </w:p>
    <w:p w14:paraId="5C3505D7" w14:textId="77777777" w:rsidR="001109B3" w:rsidRPr="005D6D89" w:rsidRDefault="001109B3" w:rsidP="00FA6C94">
      <w:pPr>
        <w:pStyle w:val="BodyText"/>
        <w:spacing w:before="100" w:after="100"/>
      </w:pPr>
      <w:r w:rsidRPr="005D6D89">
        <w:t xml:space="preserve">There is high agreement that climate will expose community wellbeing and social cohesion to risks. However, the way and extent to which communities </w:t>
      </w:r>
      <w:proofErr w:type="gramStart"/>
      <w:r w:rsidRPr="005D6D89">
        <w:t>will be affected</w:t>
      </w:r>
      <w:proofErr w:type="gramEnd"/>
      <w:r w:rsidRPr="005D6D89">
        <w:t xml:space="preserve">, and the range of impacts, is not well understood. </w:t>
      </w:r>
    </w:p>
    <w:p w14:paraId="792DF898" w14:textId="77777777" w:rsidR="001109B3" w:rsidRPr="005D6D89" w:rsidRDefault="001109B3" w:rsidP="001109B3">
      <w:pPr>
        <w:pStyle w:val="Heading5"/>
      </w:pPr>
      <w:r w:rsidRPr="005D6D89">
        <w:t>Adaptation</w:t>
      </w:r>
    </w:p>
    <w:p w14:paraId="73A6EA35" w14:textId="77777777" w:rsidR="00AB4058" w:rsidRDefault="001109B3" w:rsidP="00280FA5">
      <w:pPr>
        <w:pStyle w:val="BodyText"/>
        <w:spacing w:before="100"/>
      </w:pPr>
      <w:r w:rsidRPr="005D6D89">
        <w:t>There were no discoverable adaptation actions for this risk from either the literature review or the consultation process.</w:t>
      </w:r>
    </w:p>
    <w:p w14:paraId="6573F15B" w14:textId="77777777" w:rsidR="007C1BCB" w:rsidRPr="005D6D89" w:rsidRDefault="007C1BCB" w:rsidP="007C1BCB">
      <w:pPr>
        <w:pStyle w:val="Tableheading"/>
      </w:pPr>
      <w:bookmarkStart w:id="355" w:name="_Toc43312810"/>
      <w:r>
        <w:t>Table 16:</w:t>
      </w:r>
      <w:r>
        <w:tab/>
      </w:r>
      <w:r w:rsidRPr="005D6D89">
        <w:t>H1 Risks to social cohesion and community wellbeing: Urgency profile</w:t>
      </w:r>
      <w:bookmarkEnd w:id="355"/>
    </w:p>
    <w:tbl>
      <w:tblPr>
        <w:tblStyle w:val="TableGrid"/>
        <w:tblW w:w="8613" w:type="dxa"/>
        <w:tblBorders>
          <w:top w:val="single" w:sz="4" w:space="0" w:color="DA5A28"/>
          <w:left w:val="none" w:sz="0" w:space="0" w:color="auto"/>
          <w:bottom w:val="single" w:sz="4" w:space="0" w:color="DA5A28"/>
          <w:right w:val="none" w:sz="0" w:space="0" w:color="auto"/>
          <w:insideH w:val="single" w:sz="4" w:space="0" w:color="DA5A28"/>
          <w:insideV w:val="single" w:sz="4" w:space="0" w:color="DA5A28"/>
        </w:tblBorders>
        <w:tblLayout w:type="fixed"/>
        <w:tblLook w:val="04A0" w:firstRow="1" w:lastRow="0" w:firstColumn="1" w:lastColumn="0" w:noHBand="0" w:noVBand="1"/>
      </w:tblPr>
      <w:tblGrid>
        <w:gridCol w:w="2093"/>
        <w:gridCol w:w="992"/>
        <w:gridCol w:w="992"/>
        <w:gridCol w:w="1276"/>
        <w:gridCol w:w="992"/>
        <w:gridCol w:w="851"/>
        <w:gridCol w:w="1417"/>
      </w:tblGrid>
      <w:tr w:rsidR="007E76B3" w:rsidRPr="005D6D89" w14:paraId="76365FAB" w14:textId="77777777" w:rsidTr="00095C79">
        <w:tc>
          <w:tcPr>
            <w:tcW w:w="8613" w:type="dxa"/>
            <w:gridSpan w:val="7"/>
            <w:shd w:val="clear" w:color="auto" w:fill="DA5A28"/>
          </w:tcPr>
          <w:p w14:paraId="2BFF24E0" w14:textId="77777777" w:rsidR="005D0C2A" w:rsidRPr="005D6D89" w:rsidRDefault="005D0C2A" w:rsidP="00FB528D">
            <w:pPr>
              <w:pStyle w:val="TableTextBold0"/>
              <w:rPr>
                <w:color w:val="FFFFFF" w:themeColor="background1"/>
              </w:rPr>
            </w:pPr>
            <w:bookmarkStart w:id="356" w:name="_Hlk35589120"/>
            <w:r w:rsidRPr="005D6D89">
              <w:rPr>
                <w:color w:val="FFFFFF" w:themeColor="background1"/>
              </w:rPr>
              <w:t xml:space="preserve">H1 Risks to social cohesion and community wellbeing: Urgency profile </w:t>
            </w:r>
          </w:p>
        </w:tc>
      </w:tr>
      <w:tr w:rsidR="0085566C" w:rsidRPr="0085566C" w14:paraId="42258725" w14:textId="77777777" w:rsidTr="00095C79">
        <w:tc>
          <w:tcPr>
            <w:tcW w:w="2093" w:type="dxa"/>
            <w:shd w:val="clear" w:color="auto" w:fill="FFFFFF" w:themeFill="background1"/>
          </w:tcPr>
          <w:p w14:paraId="1F01091A" w14:textId="77777777" w:rsidR="005D0C2A" w:rsidRPr="0085566C" w:rsidRDefault="005D0C2A" w:rsidP="00FB528D">
            <w:pPr>
              <w:pStyle w:val="TableTextBold0"/>
            </w:pPr>
            <w:r w:rsidRPr="0085566C">
              <w:t xml:space="preserve">Urgency category </w:t>
            </w:r>
          </w:p>
        </w:tc>
        <w:tc>
          <w:tcPr>
            <w:tcW w:w="1984" w:type="dxa"/>
            <w:gridSpan w:val="2"/>
          </w:tcPr>
          <w:p w14:paraId="05C6E62B" w14:textId="77777777" w:rsidR="005D0C2A" w:rsidRPr="0085566C" w:rsidRDefault="00845880" w:rsidP="00FB528D">
            <w:pPr>
              <w:pStyle w:val="TableTextBold0"/>
            </w:pPr>
            <w:r>
              <w:t>Proportion of urgency out of 100</w:t>
            </w:r>
          </w:p>
        </w:tc>
        <w:tc>
          <w:tcPr>
            <w:tcW w:w="4536" w:type="dxa"/>
            <w:gridSpan w:val="4"/>
          </w:tcPr>
          <w:p w14:paraId="3A78AA2E" w14:textId="77777777" w:rsidR="005D0C2A" w:rsidRPr="0085566C" w:rsidRDefault="005D0C2A" w:rsidP="00FB528D">
            <w:pPr>
              <w:pStyle w:val="TableTextBold0"/>
            </w:pPr>
            <w:r w:rsidRPr="0085566C">
              <w:t>Description of actions</w:t>
            </w:r>
          </w:p>
        </w:tc>
      </w:tr>
      <w:tr w:rsidR="005D0C2A" w:rsidRPr="005D6D89" w14:paraId="0F150549" w14:textId="77777777" w:rsidTr="00095C79">
        <w:tc>
          <w:tcPr>
            <w:tcW w:w="2093" w:type="dxa"/>
            <w:shd w:val="clear" w:color="auto" w:fill="FFFFFF" w:themeFill="background1"/>
            <w:hideMark/>
          </w:tcPr>
          <w:p w14:paraId="34BE6784" w14:textId="77777777" w:rsidR="005D0C2A" w:rsidRPr="007D0B70" w:rsidRDefault="005D0C2A" w:rsidP="00FB528D">
            <w:pPr>
              <w:pStyle w:val="TableTextBold0"/>
              <w:rPr>
                <w:b w:val="0"/>
              </w:rPr>
            </w:pPr>
            <w:r w:rsidRPr="007D0B70">
              <w:rPr>
                <w:b w:val="0"/>
              </w:rPr>
              <w:t>More action needed</w:t>
            </w:r>
          </w:p>
        </w:tc>
        <w:tc>
          <w:tcPr>
            <w:tcW w:w="1984" w:type="dxa"/>
            <w:gridSpan w:val="2"/>
          </w:tcPr>
          <w:p w14:paraId="0795FAF7" w14:textId="77777777" w:rsidR="005D0C2A" w:rsidRPr="005D6D89" w:rsidRDefault="005D0C2A" w:rsidP="00FB528D">
            <w:pPr>
              <w:pStyle w:val="TableText"/>
              <w:jc w:val="center"/>
            </w:pPr>
            <w:r w:rsidRPr="005D6D89">
              <w:t>70</w:t>
            </w:r>
          </w:p>
        </w:tc>
        <w:tc>
          <w:tcPr>
            <w:tcW w:w="4536" w:type="dxa"/>
            <w:gridSpan w:val="4"/>
          </w:tcPr>
          <w:p w14:paraId="1FC97833" w14:textId="77777777" w:rsidR="005D0C2A" w:rsidRPr="005D6D89" w:rsidRDefault="005D0C2A" w:rsidP="00FB528D">
            <w:pPr>
              <w:pStyle w:val="TableText"/>
            </w:pPr>
            <w:r w:rsidRPr="005D6D89">
              <w:t xml:space="preserve">Action needed on how communities might relocate away from risk areas in an agreed and fair way. Consider policy and funding first. </w:t>
            </w:r>
          </w:p>
        </w:tc>
      </w:tr>
      <w:tr w:rsidR="005D0C2A" w:rsidRPr="005D6D89" w14:paraId="500B934F" w14:textId="77777777" w:rsidTr="00095C79">
        <w:tc>
          <w:tcPr>
            <w:tcW w:w="2093" w:type="dxa"/>
            <w:shd w:val="clear" w:color="auto" w:fill="FFFFFF" w:themeFill="background1"/>
            <w:hideMark/>
          </w:tcPr>
          <w:p w14:paraId="3478834F" w14:textId="77777777" w:rsidR="005D0C2A" w:rsidRPr="007D0B70" w:rsidRDefault="005D0C2A" w:rsidP="00FB528D">
            <w:pPr>
              <w:pStyle w:val="TableTextBold0"/>
              <w:rPr>
                <w:b w:val="0"/>
                <w:highlight w:val="yellow"/>
              </w:rPr>
            </w:pPr>
            <w:r w:rsidRPr="007D0B70">
              <w:rPr>
                <w:b w:val="0"/>
              </w:rPr>
              <w:t>Research priority</w:t>
            </w:r>
          </w:p>
        </w:tc>
        <w:tc>
          <w:tcPr>
            <w:tcW w:w="1984" w:type="dxa"/>
            <w:gridSpan w:val="2"/>
          </w:tcPr>
          <w:p w14:paraId="0E52339C" w14:textId="77777777" w:rsidR="005D0C2A" w:rsidRPr="005D6D89" w:rsidRDefault="005D0C2A" w:rsidP="00FB528D">
            <w:pPr>
              <w:pStyle w:val="TableText"/>
              <w:jc w:val="center"/>
            </w:pPr>
            <w:r w:rsidRPr="005D6D89">
              <w:t>20</w:t>
            </w:r>
          </w:p>
        </w:tc>
        <w:tc>
          <w:tcPr>
            <w:tcW w:w="4536" w:type="dxa"/>
            <w:gridSpan w:val="4"/>
          </w:tcPr>
          <w:p w14:paraId="0292AD36" w14:textId="77777777" w:rsidR="005D0C2A" w:rsidRPr="005D6D89" w:rsidRDefault="005D0C2A" w:rsidP="00136D82">
            <w:pPr>
              <w:pStyle w:val="TableText"/>
            </w:pPr>
            <w:r w:rsidRPr="005D6D89">
              <w:t>Further research to understand how to relocate affected individuals and communities</w:t>
            </w:r>
            <w:r w:rsidR="00136D82">
              <w:t xml:space="preserve"> successfully</w:t>
            </w:r>
            <w:r w:rsidRPr="005D6D89">
              <w:t>.</w:t>
            </w:r>
          </w:p>
        </w:tc>
      </w:tr>
      <w:tr w:rsidR="005D0C2A" w:rsidRPr="005D6D89" w14:paraId="698F7811" w14:textId="77777777" w:rsidTr="00095C79">
        <w:tc>
          <w:tcPr>
            <w:tcW w:w="2093" w:type="dxa"/>
            <w:shd w:val="clear" w:color="auto" w:fill="FFFFFF" w:themeFill="background1"/>
            <w:hideMark/>
          </w:tcPr>
          <w:p w14:paraId="671F1B5C" w14:textId="77777777" w:rsidR="005D0C2A" w:rsidRPr="007D0B70" w:rsidRDefault="005D0C2A" w:rsidP="00FB528D">
            <w:pPr>
              <w:pStyle w:val="TableTextBold0"/>
              <w:rPr>
                <w:b w:val="0"/>
              </w:rPr>
            </w:pPr>
            <w:r w:rsidRPr="007D0B70">
              <w:rPr>
                <w:b w:val="0"/>
              </w:rPr>
              <w:t>Sustain current action</w:t>
            </w:r>
          </w:p>
        </w:tc>
        <w:tc>
          <w:tcPr>
            <w:tcW w:w="1984" w:type="dxa"/>
            <w:gridSpan w:val="2"/>
          </w:tcPr>
          <w:p w14:paraId="2F698B37" w14:textId="77777777" w:rsidR="005D0C2A" w:rsidRPr="005D6D89" w:rsidRDefault="005D0C2A" w:rsidP="00FB528D">
            <w:pPr>
              <w:pStyle w:val="TableText"/>
              <w:jc w:val="center"/>
            </w:pPr>
            <w:r w:rsidRPr="005D6D89">
              <w:t>0</w:t>
            </w:r>
          </w:p>
        </w:tc>
        <w:tc>
          <w:tcPr>
            <w:tcW w:w="4536" w:type="dxa"/>
            <w:gridSpan w:val="4"/>
          </w:tcPr>
          <w:p w14:paraId="7F0E7AF1" w14:textId="77777777" w:rsidR="005D0C2A" w:rsidRPr="005D6D89" w:rsidRDefault="005D0C2A" w:rsidP="00FB528D">
            <w:pPr>
              <w:pStyle w:val="TableText"/>
            </w:pPr>
          </w:p>
        </w:tc>
      </w:tr>
      <w:tr w:rsidR="005D0C2A" w:rsidRPr="005D6D89" w14:paraId="5B5B34A0" w14:textId="77777777" w:rsidTr="00095C79">
        <w:tc>
          <w:tcPr>
            <w:tcW w:w="2093" w:type="dxa"/>
            <w:tcBorders>
              <w:bottom w:val="single" w:sz="8" w:space="0" w:color="DA5A28"/>
            </w:tcBorders>
            <w:shd w:val="clear" w:color="auto" w:fill="FFFFFF" w:themeFill="background1"/>
            <w:hideMark/>
          </w:tcPr>
          <w:p w14:paraId="3FFE2295" w14:textId="77777777" w:rsidR="005D0C2A" w:rsidRPr="007D0B70" w:rsidRDefault="005D0C2A" w:rsidP="00FB528D">
            <w:pPr>
              <w:pStyle w:val="TableTextBold0"/>
              <w:rPr>
                <w:b w:val="0"/>
              </w:rPr>
            </w:pPr>
            <w:r w:rsidRPr="007D0B70">
              <w:rPr>
                <w:b w:val="0"/>
              </w:rPr>
              <w:t xml:space="preserve">Watching brief </w:t>
            </w:r>
          </w:p>
        </w:tc>
        <w:tc>
          <w:tcPr>
            <w:tcW w:w="1984" w:type="dxa"/>
            <w:gridSpan w:val="2"/>
            <w:tcBorders>
              <w:bottom w:val="single" w:sz="8" w:space="0" w:color="DA5A28"/>
            </w:tcBorders>
          </w:tcPr>
          <w:p w14:paraId="13817204" w14:textId="77777777" w:rsidR="005D0C2A" w:rsidRPr="005D6D89" w:rsidRDefault="005D0C2A" w:rsidP="00FB528D">
            <w:pPr>
              <w:pStyle w:val="TableText"/>
              <w:jc w:val="center"/>
            </w:pPr>
            <w:r w:rsidRPr="005D6D89">
              <w:t>10</w:t>
            </w:r>
          </w:p>
        </w:tc>
        <w:tc>
          <w:tcPr>
            <w:tcW w:w="4536" w:type="dxa"/>
            <w:gridSpan w:val="4"/>
            <w:tcBorders>
              <w:bottom w:val="single" w:sz="8" w:space="0" w:color="DA5A28"/>
            </w:tcBorders>
          </w:tcPr>
          <w:p w14:paraId="67FFCCA8" w14:textId="77777777" w:rsidR="005D0C2A" w:rsidRPr="005D6D89" w:rsidRDefault="005D0C2A" w:rsidP="00FB528D">
            <w:pPr>
              <w:pStyle w:val="TableText"/>
            </w:pPr>
            <w:r w:rsidRPr="005D6D89">
              <w:t xml:space="preserve">Establish monitoring process to ensure actions are effective. </w:t>
            </w:r>
          </w:p>
        </w:tc>
      </w:tr>
      <w:tr w:rsidR="00FB528D" w:rsidRPr="005D6D89" w14:paraId="3794F248" w14:textId="77777777" w:rsidTr="00095C79">
        <w:tc>
          <w:tcPr>
            <w:tcW w:w="2093" w:type="dxa"/>
            <w:tcBorders>
              <w:top w:val="single" w:sz="8" w:space="0" w:color="DA5A28"/>
              <w:bottom w:val="single" w:sz="4" w:space="0" w:color="DA5A28"/>
            </w:tcBorders>
            <w:shd w:val="clear" w:color="auto" w:fill="DA5A28"/>
          </w:tcPr>
          <w:p w14:paraId="54FED808" w14:textId="77777777" w:rsidR="005D0C2A" w:rsidRPr="005D6D89" w:rsidRDefault="005D0C2A" w:rsidP="00FB528D">
            <w:pPr>
              <w:pStyle w:val="TableTextBold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Adaptation urgency </w:t>
            </w:r>
          </w:p>
        </w:tc>
        <w:tc>
          <w:tcPr>
            <w:tcW w:w="1984" w:type="dxa"/>
            <w:gridSpan w:val="2"/>
            <w:tcBorders>
              <w:top w:val="single" w:sz="8" w:space="0" w:color="DA5A28"/>
            </w:tcBorders>
            <w:shd w:val="clear" w:color="auto" w:fill="FFFFFF" w:themeFill="background1"/>
          </w:tcPr>
          <w:p w14:paraId="4FB2990D" w14:textId="77777777" w:rsidR="005D0C2A" w:rsidRPr="005D6D89" w:rsidRDefault="005D0C2A" w:rsidP="00FB528D">
            <w:pPr>
              <w:pStyle w:val="TableText"/>
              <w:jc w:val="center"/>
              <w:rPr>
                <w:rFonts w:asciiTheme="minorHAnsi" w:hAnsiTheme="minorHAnsi" w:cstheme="minorHAnsi"/>
              </w:rPr>
            </w:pPr>
            <w:r w:rsidRPr="005D6D89">
              <w:rPr>
                <w:rFonts w:asciiTheme="minorHAnsi" w:hAnsiTheme="minorHAnsi" w:cstheme="minorHAnsi"/>
              </w:rPr>
              <w:t>88</w:t>
            </w:r>
          </w:p>
        </w:tc>
        <w:tc>
          <w:tcPr>
            <w:tcW w:w="1276" w:type="dxa"/>
            <w:tcBorders>
              <w:top w:val="single" w:sz="8" w:space="0" w:color="DA5A28"/>
            </w:tcBorders>
            <w:shd w:val="clear" w:color="auto" w:fill="DA5A28"/>
          </w:tcPr>
          <w:p w14:paraId="11A66204" w14:textId="77777777" w:rsidR="005D0C2A" w:rsidRPr="005D6D89" w:rsidRDefault="005D0C2A" w:rsidP="00FB528D">
            <w:pPr>
              <w:pStyle w:val="TableText"/>
              <w:rPr>
                <w:rFonts w:asciiTheme="minorHAnsi" w:hAnsiTheme="minorHAnsi" w:cstheme="minorHAnsi"/>
                <w:b/>
                <w:bCs/>
                <w:color w:val="FFFFFF" w:themeColor="background1"/>
              </w:rPr>
            </w:pPr>
            <w:r w:rsidRPr="005D6D89">
              <w:rPr>
                <w:rFonts w:asciiTheme="minorHAnsi" w:hAnsiTheme="minorHAnsi" w:cstheme="minorHAnsi"/>
                <w:b/>
                <w:bCs/>
                <w:color w:val="FFFFFF" w:themeColor="background1"/>
              </w:rPr>
              <w:t>Confidence</w:t>
            </w:r>
            <w:r w:rsidR="00027F9F" w:rsidRPr="005D6D89">
              <w:rPr>
                <w:rFonts w:asciiTheme="minorHAnsi" w:hAnsiTheme="minorHAnsi" w:cstheme="minorHAnsi"/>
                <w:b/>
                <w:bCs/>
                <w:color w:val="FFFFFF" w:themeColor="background1"/>
              </w:rPr>
              <w:t xml:space="preserve"> </w:t>
            </w:r>
          </w:p>
        </w:tc>
        <w:tc>
          <w:tcPr>
            <w:tcW w:w="3260" w:type="dxa"/>
            <w:gridSpan w:val="3"/>
            <w:tcBorders>
              <w:top w:val="single" w:sz="8" w:space="0" w:color="DA5A28"/>
            </w:tcBorders>
          </w:tcPr>
          <w:p w14:paraId="370AE236" w14:textId="77777777" w:rsidR="005D0C2A" w:rsidRPr="005D6D89" w:rsidRDefault="005D0C2A" w:rsidP="00FB528D">
            <w:pPr>
              <w:pStyle w:val="TableText"/>
              <w:rPr>
                <w:rFonts w:asciiTheme="minorHAnsi" w:hAnsiTheme="minorHAnsi" w:cstheme="minorHAnsi"/>
              </w:rPr>
            </w:pPr>
            <w:r w:rsidRPr="005D6D89">
              <w:rPr>
                <w:rFonts w:asciiTheme="minorHAnsi" w:hAnsiTheme="minorHAnsi" w:cstheme="minorHAnsi"/>
              </w:rPr>
              <w:t>High agreement, moderate evidence</w:t>
            </w:r>
          </w:p>
        </w:tc>
      </w:tr>
      <w:tr w:rsidR="00FB528D" w:rsidRPr="005D6D89" w14:paraId="547D6523" w14:textId="77777777" w:rsidTr="00095C79">
        <w:tc>
          <w:tcPr>
            <w:tcW w:w="2093" w:type="dxa"/>
            <w:tcBorders>
              <w:bottom w:val="single" w:sz="4" w:space="0" w:color="DA5A28"/>
            </w:tcBorders>
            <w:shd w:val="clear" w:color="auto" w:fill="DA5A28"/>
          </w:tcPr>
          <w:p w14:paraId="681F84A1" w14:textId="77777777" w:rsidR="005D0C2A" w:rsidRPr="005D6D89" w:rsidRDefault="005D0C2A" w:rsidP="00FB528D">
            <w:pPr>
              <w:pStyle w:val="TableTextBold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Consequence </w:t>
            </w:r>
          </w:p>
        </w:tc>
        <w:tc>
          <w:tcPr>
            <w:tcW w:w="992" w:type="dxa"/>
            <w:shd w:val="clear" w:color="auto" w:fill="DA5A28"/>
          </w:tcPr>
          <w:p w14:paraId="1C2FF17A" w14:textId="77777777" w:rsidR="005D0C2A" w:rsidRPr="005D6D89" w:rsidRDefault="005D0C2A" w:rsidP="00FB528D">
            <w:pPr>
              <w:pStyle w:val="TableTextBold0"/>
              <w:jc w:val="center"/>
              <w:rPr>
                <w:b w:val="0"/>
                <w:bCs/>
                <w:color w:val="FFFFFF" w:themeColor="background1"/>
              </w:rPr>
            </w:pPr>
            <w:r w:rsidRPr="005D6D89">
              <w:rPr>
                <w:b w:val="0"/>
                <w:bCs/>
                <w:color w:val="FFFFFF" w:themeColor="background1"/>
              </w:rPr>
              <w:t>Now</w:t>
            </w:r>
          </w:p>
        </w:tc>
        <w:tc>
          <w:tcPr>
            <w:tcW w:w="992" w:type="dxa"/>
          </w:tcPr>
          <w:p w14:paraId="764F98C1" w14:textId="77777777" w:rsidR="005D0C2A" w:rsidRPr="005D6D89" w:rsidRDefault="005D0C2A" w:rsidP="00FB528D">
            <w:pPr>
              <w:pStyle w:val="TableTextBold0"/>
              <w:jc w:val="center"/>
              <w:rPr>
                <w:b w:val="0"/>
                <w:bCs/>
              </w:rPr>
            </w:pPr>
            <w:r w:rsidRPr="005D6D89">
              <w:rPr>
                <w:b w:val="0"/>
                <w:bCs/>
              </w:rPr>
              <w:t>Minor</w:t>
            </w:r>
          </w:p>
        </w:tc>
        <w:tc>
          <w:tcPr>
            <w:tcW w:w="1276" w:type="dxa"/>
            <w:shd w:val="clear" w:color="auto" w:fill="DA5A28"/>
          </w:tcPr>
          <w:p w14:paraId="66A4103C" w14:textId="77777777" w:rsidR="005D0C2A" w:rsidRPr="005D6D89" w:rsidRDefault="005D0C2A" w:rsidP="00FB528D">
            <w:pPr>
              <w:pStyle w:val="TableText"/>
              <w:rPr>
                <w:rFonts w:asciiTheme="minorHAnsi" w:hAnsiTheme="minorHAnsi" w:cstheme="minorHAnsi"/>
                <w:color w:val="FFFFFF" w:themeColor="background1"/>
              </w:rPr>
            </w:pPr>
            <w:r w:rsidRPr="005D6D89">
              <w:rPr>
                <w:rFonts w:asciiTheme="minorHAnsi" w:hAnsiTheme="minorHAnsi" w:cstheme="minorHAnsi"/>
                <w:color w:val="FFFFFF" w:themeColor="background1"/>
              </w:rPr>
              <w:t>2050</w:t>
            </w:r>
          </w:p>
        </w:tc>
        <w:tc>
          <w:tcPr>
            <w:tcW w:w="992" w:type="dxa"/>
          </w:tcPr>
          <w:p w14:paraId="3F0FABD5" w14:textId="77777777" w:rsidR="005D0C2A" w:rsidRPr="005D6D89" w:rsidRDefault="005D0C2A" w:rsidP="00FB528D">
            <w:pPr>
              <w:pStyle w:val="TableText"/>
              <w:rPr>
                <w:rFonts w:asciiTheme="minorHAnsi" w:hAnsiTheme="minorHAnsi" w:cstheme="minorHAnsi"/>
              </w:rPr>
            </w:pPr>
            <w:r w:rsidRPr="005D6D89">
              <w:rPr>
                <w:rFonts w:asciiTheme="minorHAnsi" w:hAnsiTheme="minorHAnsi" w:cstheme="minorHAnsi"/>
              </w:rPr>
              <w:t>Extreme</w:t>
            </w:r>
          </w:p>
        </w:tc>
        <w:tc>
          <w:tcPr>
            <w:tcW w:w="851" w:type="dxa"/>
            <w:shd w:val="clear" w:color="auto" w:fill="DA5A28"/>
          </w:tcPr>
          <w:p w14:paraId="573FE2A5" w14:textId="77777777" w:rsidR="005D0C2A" w:rsidRPr="005D6D89" w:rsidRDefault="005D0C2A" w:rsidP="00FB528D">
            <w:pPr>
              <w:pStyle w:val="TableText"/>
              <w:rPr>
                <w:rFonts w:asciiTheme="minorHAnsi" w:hAnsiTheme="minorHAnsi" w:cstheme="minorHAnsi"/>
                <w:color w:val="FFFFFF" w:themeColor="background1"/>
              </w:rPr>
            </w:pPr>
            <w:r w:rsidRPr="005D6D89">
              <w:rPr>
                <w:rFonts w:asciiTheme="minorHAnsi" w:hAnsiTheme="minorHAnsi" w:cstheme="minorHAnsi"/>
                <w:color w:val="FFFFFF" w:themeColor="background1"/>
              </w:rPr>
              <w:t>2100</w:t>
            </w:r>
          </w:p>
        </w:tc>
        <w:tc>
          <w:tcPr>
            <w:tcW w:w="1417" w:type="dxa"/>
          </w:tcPr>
          <w:p w14:paraId="48E6ACBB" w14:textId="77777777" w:rsidR="005D0C2A" w:rsidRPr="005D6D89" w:rsidRDefault="005D0C2A" w:rsidP="00FB528D">
            <w:pPr>
              <w:pStyle w:val="TableText"/>
              <w:rPr>
                <w:rFonts w:asciiTheme="minorHAnsi" w:hAnsiTheme="minorHAnsi" w:cstheme="minorHAnsi"/>
              </w:rPr>
            </w:pPr>
            <w:r w:rsidRPr="005D6D89">
              <w:rPr>
                <w:rFonts w:asciiTheme="minorHAnsi" w:hAnsiTheme="minorHAnsi" w:cstheme="minorHAnsi"/>
              </w:rPr>
              <w:t>Extreme</w:t>
            </w:r>
          </w:p>
        </w:tc>
      </w:tr>
    </w:tbl>
    <w:p w14:paraId="699DDC6F" w14:textId="77777777" w:rsidR="005D0C2A" w:rsidRPr="005D6D89" w:rsidRDefault="005D0C2A" w:rsidP="00360986">
      <w:pPr>
        <w:pStyle w:val="Heading4"/>
        <w:spacing w:before="440"/>
      </w:pPr>
      <w:bookmarkStart w:id="357" w:name="_Toc37255777"/>
      <w:bookmarkStart w:id="358" w:name="_Toc37393678"/>
      <w:bookmarkStart w:id="359" w:name="_Hlk35589130"/>
      <w:bookmarkEnd w:id="356"/>
      <w:r w:rsidRPr="005D6D89">
        <w:t>H2 Risks of exacerbating existing inequities and creating new and additional inequities</w:t>
      </w:r>
      <w:r w:rsidR="00101782">
        <w:t>,</w:t>
      </w:r>
      <w:r w:rsidRPr="005D6D89">
        <w:t xml:space="preserve"> due to differential distribution of climate change impacts </w:t>
      </w:r>
      <w:bookmarkEnd w:id="357"/>
      <w:bookmarkEnd w:id="358"/>
    </w:p>
    <w:bookmarkEnd w:id="359"/>
    <w:p w14:paraId="681E7DAA" w14:textId="77777777" w:rsidR="005D0C2A" w:rsidRPr="005D6D89" w:rsidRDefault="005D0C2A" w:rsidP="006B7B41">
      <w:pPr>
        <w:pStyle w:val="Heading5"/>
      </w:pPr>
      <w:r w:rsidRPr="005D6D89">
        <w:t>Risk summary</w:t>
      </w:r>
    </w:p>
    <w:p w14:paraId="74C7DFCF" w14:textId="77777777" w:rsidR="005D0C2A" w:rsidRPr="005D6D89" w:rsidRDefault="005D0C2A" w:rsidP="00FA6C94">
      <w:pPr>
        <w:pStyle w:val="BodyText"/>
        <w:spacing w:before="100"/>
      </w:pPr>
      <w:r w:rsidRPr="005D6D89">
        <w:t xml:space="preserve">Exposure to extreme weather events such as flooding or heatwaves, or to gradual changes such as inundation of low-lying areas, will be the same for communities and individuals in affected areas. However, the ability to respond, adapt or cope with these risks is uneven, due to existing inequalities (Ellis, 2018). Those marginalised by age, race, ethnicity, socioeconomic status, gender, literacy or health may be unable to access resources to respond to climate risks (Ton, Gaillard, Adamason, Akgungor and Ho, 2019). An inability to convert resources to action can create and worsen inequity (Ton, Gaillard, Adamason, Akgungor and Ho, 2019). </w:t>
      </w:r>
    </w:p>
    <w:p w14:paraId="32E20E79" w14:textId="77777777" w:rsidR="005D0C2A" w:rsidRPr="005D6D89" w:rsidRDefault="005D0C2A" w:rsidP="006B7B41">
      <w:pPr>
        <w:pStyle w:val="BodyText"/>
      </w:pPr>
      <w:r w:rsidRPr="005D6D89">
        <w:t>New inequities may appear, especially due to slowly emerging risks such as sea-level rise. Exacerbation of existing inequalities and creation of new inequalities can have cascading implications for livelihoods and wellbeing.</w:t>
      </w:r>
      <w:r w:rsidR="00027F9F" w:rsidRPr="005D6D89">
        <w:t xml:space="preserve"> </w:t>
      </w:r>
    </w:p>
    <w:p w14:paraId="2551FE9E" w14:textId="77777777" w:rsidR="005D0C2A" w:rsidRPr="005D6D89" w:rsidRDefault="005D0C2A" w:rsidP="006B7B41">
      <w:pPr>
        <w:pStyle w:val="Heading5"/>
      </w:pPr>
      <w:r w:rsidRPr="005D6D89">
        <w:t xml:space="preserve">Exposure </w:t>
      </w:r>
    </w:p>
    <w:p w14:paraId="55A1B1E3" w14:textId="77777777" w:rsidR="005D0C2A" w:rsidRPr="005D6D89" w:rsidRDefault="005D0C2A" w:rsidP="006B7B41">
      <w:pPr>
        <w:pStyle w:val="BodyText"/>
      </w:pPr>
      <w:r w:rsidRPr="005D6D89">
        <w:t xml:space="preserve">Extreme events and ongoing gradual changes will take place across all regions of New Zealand and may intersect with existing social vulnerability and inequality. </w:t>
      </w:r>
      <w:bookmarkStart w:id="360" w:name="_Hlk36671425"/>
      <w:r w:rsidRPr="005D6D89">
        <w:t>For example, flooding and waterlogging often occur in the low-lying areas of South Dunedin. A significant proportion of the community there have social deprivation scores of between 8 and 10 (Stephenson</w:t>
      </w:r>
      <w:r w:rsidR="00B61730">
        <w:t xml:space="preserve"> et al</w:t>
      </w:r>
      <w:r w:rsidRPr="005D6D89">
        <w:t>, 2018).</w:t>
      </w:r>
      <w:bookmarkEnd w:id="360"/>
      <w:r w:rsidRPr="005D6D89">
        <w:t xml:space="preserve"> Conversely, changing exposure may create new inequities as new groups of people and communities </w:t>
      </w:r>
      <w:proofErr w:type="gramStart"/>
      <w:r w:rsidRPr="005D6D89">
        <w:t>are affected</w:t>
      </w:r>
      <w:proofErr w:type="gramEnd"/>
      <w:r w:rsidRPr="005D6D89">
        <w:t xml:space="preserve"> as the hazards increase. Exposure to this risk will be greater under </w:t>
      </w:r>
      <w:r w:rsidRPr="00C96207">
        <w:t xml:space="preserve">RCP8.5 than RCP4.5 </w:t>
      </w:r>
      <w:r w:rsidRPr="005D6D89">
        <w:t>and will increase over time, potentially compounded by inequalities from other domains.</w:t>
      </w:r>
      <w:r w:rsidR="00027F9F" w:rsidRPr="005D6D89">
        <w:t xml:space="preserve"> </w:t>
      </w:r>
    </w:p>
    <w:p w14:paraId="37323E09" w14:textId="77777777" w:rsidR="005D0C2A" w:rsidRPr="005D6D89" w:rsidRDefault="005D0C2A" w:rsidP="006B7B41">
      <w:pPr>
        <w:pStyle w:val="Heading5"/>
      </w:pPr>
      <w:r w:rsidRPr="005D6D89">
        <w:t>Sensitivity</w:t>
      </w:r>
    </w:p>
    <w:p w14:paraId="1D82C0AE" w14:textId="77777777" w:rsidR="005D0C2A" w:rsidRPr="005D6D89" w:rsidRDefault="005D0C2A" w:rsidP="006B7B41">
      <w:pPr>
        <w:pStyle w:val="BodyText"/>
      </w:pPr>
      <w:bookmarkStart w:id="361" w:name="_Hlk36671925"/>
      <w:proofErr w:type="gramStart"/>
      <w:r w:rsidRPr="005D6D89">
        <w:t>Sensitivity is influenced by social, cultural, political and economic processes (Adger et al, 2004)</w:t>
      </w:r>
      <w:proofErr w:type="gramEnd"/>
      <w:r w:rsidRPr="005D6D89">
        <w:t>. Sensitivity and adaptive capacity are place-</w:t>
      </w:r>
      <w:r w:rsidR="00237239" w:rsidRPr="005D6D89">
        <w:t>dependent;</w:t>
      </w:r>
      <w:r w:rsidRPr="005D6D89">
        <w:t xml:space="preserve"> they vary according to the climate hazard, and over time (Cutter and Finch, 2008).</w:t>
      </w:r>
      <w:r w:rsidR="00C96207">
        <w:t xml:space="preserve"> For example, Oppenheimer et al</w:t>
      </w:r>
      <w:r w:rsidRPr="005D6D89">
        <w:t xml:space="preserve"> (2014) differentiate vulnerability before a crisis or disaster (eg, drought, flood), and in the recovery. </w:t>
      </w:r>
    </w:p>
    <w:bookmarkEnd w:id="361"/>
    <w:p w14:paraId="3C268BC8" w14:textId="77777777" w:rsidR="005D0C2A" w:rsidRPr="005D6D89" w:rsidRDefault="005D0C2A" w:rsidP="006B7B41">
      <w:pPr>
        <w:pStyle w:val="BodyText"/>
      </w:pPr>
      <w:r w:rsidRPr="005D6D89">
        <w:t xml:space="preserve">The following </w:t>
      </w:r>
      <w:proofErr w:type="gramStart"/>
      <w:r w:rsidRPr="005D6D89">
        <w:t>are understood</w:t>
      </w:r>
      <w:proofErr w:type="gramEnd"/>
      <w:r w:rsidRPr="005D6D89">
        <w:t xml:space="preserve"> to be key sources of sensitivity to extreme climate events:</w:t>
      </w:r>
    </w:p>
    <w:p w14:paraId="2DCD56D1" w14:textId="77777777" w:rsidR="005D0C2A" w:rsidRPr="00821D0E" w:rsidRDefault="005D0C2A" w:rsidP="006B7B41">
      <w:pPr>
        <w:pStyle w:val="Bullet"/>
      </w:pPr>
      <w:r w:rsidRPr="00821D0E">
        <w:t xml:space="preserve">Socio-economic disparities between Māori and non-Māori communities: These increase sensitivity to climate change impacts and risks for Māori society (Manning, Lawrence, Ngaru King and Chapman, 2015). Māori communities are more sensitive to climate </w:t>
      </w:r>
      <w:r w:rsidRPr="00821D0E">
        <w:rPr>
          <w:rFonts w:cstheme="minorHAnsi"/>
        </w:rPr>
        <w:t xml:space="preserve">impacts on ecological systems, due to </w:t>
      </w:r>
      <w:r w:rsidRPr="00821D0E">
        <w:t>dependence</w:t>
      </w:r>
      <w:r w:rsidRPr="00821D0E">
        <w:rPr>
          <w:rFonts w:cstheme="minorHAnsi"/>
        </w:rPr>
        <w:t xml:space="preserve"> on primary industries for livelihoods, and the impacts of climate change on cultural and spiritual wellbeing (H5, H6), as well as</w:t>
      </w:r>
      <w:r w:rsidR="006B7B41" w:rsidRPr="00821D0E">
        <w:rPr>
          <w:rFonts w:cstheme="minorHAnsi"/>
        </w:rPr>
        <w:t> </w:t>
      </w:r>
      <w:r w:rsidRPr="00821D0E">
        <w:rPr>
          <w:rFonts w:cstheme="minorHAnsi"/>
        </w:rPr>
        <w:t xml:space="preserve">on coastal </w:t>
      </w:r>
      <w:hyperlink w:anchor="mahingakai" w:history="1">
        <w:r w:rsidRPr="00821D0E">
          <w:rPr>
            <w:rStyle w:val="Hyperlink"/>
            <w:rFonts w:cstheme="minorHAnsi"/>
          </w:rPr>
          <w:t>mahinga kai</w:t>
        </w:r>
      </w:hyperlink>
      <w:r w:rsidRPr="00821D0E">
        <w:rPr>
          <w:rFonts w:cstheme="minorHAnsi"/>
        </w:rPr>
        <w:t xml:space="preserve"> and proximity of housing and infrastructure (Stephenson</w:t>
      </w:r>
      <w:r w:rsidR="00B61730">
        <w:rPr>
          <w:rFonts w:cstheme="minorHAnsi"/>
        </w:rPr>
        <w:t xml:space="preserve"> et al</w:t>
      </w:r>
      <w:r w:rsidRPr="00821D0E">
        <w:rPr>
          <w:rFonts w:cstheme="minorHAnsi"/>
        </w:rPr>
        <w:t>,</w:t>
      </w:r>
      <w:r w:rsidR="006B7B41" w:rsidRPr="00821D0E">
        <w:rPr>
          <w:rFonts w:cstheme="minorHAnsi"/>
        </w:rPr>
        <w:t> </w:t>
      </w:r>
      <w:r w:rsidRPr="00821D0E">
        <w:rPr>
          <w:rFonts w:cstheme="minorHAnsi"/>
        </w:rPr>
        <w:t xml:space="preserve">2018). </w:t>
      </w:r>
    </w:p>
    <w:p w14:paraId="39885DA1" w14:textId="77777777" w:rsidR="005D0C2A" w:rsidRPr="005D6D89" w:rsidRDefault="005D0C2A" w:rsidP="006B7B41">
      <w:pPr>
        <w:pStyle w:val="Bullet"/>
      </w:pPr>
      <w:r w:rsidRPr="005D6D89">
        <w:t>Socioeconomic status: In general, people living in poverty are more sensitive to the impacts of climate change hazards (Fothergill and Peek, 2004).</w:t>
      </w:r>
    </w:p>
    <w:p w14:paraId="3F7CAAD3" w14:textId="77777777" w:rsidR="005D0C2A" w:rsidRPr="005D6D89" w:rsidRDefault="005D0C2A" w:rsidP="006B7B41">
      <w:pPr>
        <w:pStyle w:val="Bullet"/>
      </w:pPr>
      <w:r w:rsidRPr="005D6D89">
        <w:t xml:space="preserve">Ethnicity: Ethnic communities are often geographically and economically isolated from jobs, services and institutions. Discrimination also plays a major role in increasing their sensitivity (Fothergill, Maestras and Darlington, 1999). Where minorities are immigrants from non-English-speaking countries, language barriers can greatly increase vulnerability to a disaster (Trujillo-Pagan, 2007). </w:t>
      </w:r>
    </w:p>
    <w:p w14:paraId="2CB2497B" w14:textId="77777777" w:rsidR="005D0C2A" w:rsidRPr="005D6D89" w:rsidRDefault="005D0C2A" w:rsidP="006B7B41">
      <w:pPr>
        <w:pStyle w:val="Bullet"/>
      </w:pPr>
      <w:r w:rsidRPr="005D6D89">
        <w:t>Gender: After disasters, women and children are often vulnerable. Evidence shows that</w:t>
      </w:r>
      <w:r w:rsidR="006B7B41" w:rsidRPr="005D6D89">
        <w:t> </w:t>
      </w:r>
      <w:r w:rsidRPr="005D6D89">
        <w:t>lower-income women experience ongoing job and house displacement, increased domestic violence and reduced access to education and childcare for children after extreme event</w:t>
      </w:r>
      <w:r w:rsidR="00C96207">
        <w:t>s (Freudenburg, Gramling, Laska</w:t>
      </w:r>
      <w:r w:rsidRPr="005D6D89">
        <w:t xml:space="preserve"> and Erikson, 2008). Unequal participation in labour markets and decision-making compound inequalities (Enarson, 2007). Research also shows domestic violence increases after extreme events, such as fires (Parkinson and Zara, 2013). </w:t>
      </w:r>
    </w:p>
    <w:p w14:paraId="4EB9AB94" w14:textId="77777777" w:rsidR="005D0C2A" w:rsidRPr="005D6D89" w:rsidRDefault="005D0C2A" w:rsidP="006B7B41">
      <w:pPr>
        <w:pStyle w:val="Bullet"/>
      </w:pPr>
      <w:r w:rsidRPr="005D6D89">
        <w:t>Age: Disruptions from a disaster can have significant psychological and physical effects on</w:t>
      </w:r>
      <w:r w:rsidR="006B7B41" w:rsidRPr="005D6D89">
        <w:t> </w:t>
      </w:r>
      <w:r w:rsidRPr="005D6D89">
        <w:t>children. The elderly are likely to suffer health problems and recover more slowly, and tend to be more reluctant to evacuate their homes (To</w:t>
      </w:r>
      <w:r w:rsidR="00657717">
        <w:t>n, Gaillard, Adamason, Akgungor</w:t>
      </w:r>
      <w:r w:rsidRPr="005D6D89">
        <w:t xml:space="preserve"> and Ho, 2019). </w:t>
      </w:r>
    </w:p>
    <w:p w14:paraId="43F839F0" w14:textId="77777777" w:rsidR="005D0C2A" w:rsidRPr="005D6D89" w:rsidRDefault="005D0C2A" w:rsidP="006B7B41">
      <w:pPr>
        <w:pStyle w:val="Bullet"/>
      </w:pPr>
      <w:r w:rsidRPr="005D6D89">
        <w:t>Disability: People with mental or physical disabilities are less able to respond effectively to disasters and require additional help to prepare for and recover from disasters (McGuire, Ford and Okoro, 2007).</w:t>
      </w:r>
    </w:p>
    <w:p w14:paraId="24D3789E" w14:textId="77777777" w:rsidR="005D0C2A" w:rsidRPr="005D6D89" w:rsidRDefault="005D0C2A" w:rsidP="006B7B41">
      <w:pPr>
        <w:pStyle w:val="Bullet"/>
      </w:pPr>
      <w:bookmarkStart w:id="362" w:name="_Hlk36672473"/>
      <w:r w:rsidRPr="005D6D89">
        <w:t>Other factors such as perceived risk</w:t>
      </w:r>
      <w:bookmarkEnd w:id="362"/>
      <w:r w:rsidRPr="005D6D89">
        <w:t>, previous experiences and trauma, social networks and informed climate change knowledge influence sensitivity to risk</w:t>
      </w:r>
      <w:r w:rsidR="00657717">
        <w:t>s (Freudenburg, Gramling, Laska</w:t>
      </w:r>
      <w:r w:rsidRPr="005D6D89">
        <w:t xml:space="preserve"> and Erikson, 2008).</w:t>
      </w:r>
    </w:p>
    <w:p w14:paraId="5FC7035D" w14:textId="77777777" w:rsidR="005D0C2A" w:rsidRPr="005D6D89" w:rsidRDefault="005D0C2A" w:rsidP="006B7B41">
      <w:pPr>
        <w:pStyle w:val="BodyText"/>
      </w:pPr>
      <w:r w:rsidRPr="00136D82">
        <w:t xml:space="preserve">Sensitivity to gradual, ongoing change is less well known, but it is becoming apparent the distribution of climate change risk is changing across society. For example, wealthy asset owners of coastal properties, who may have large mortgages, could face </w:t>
      </w:r>
      <w:proofErr w:type="gramStart"/>
      <w:r w:rsidRPr="00136D82">
        <w:t>more precarious situations</w:t>
      </w:r>
      <w:proofErr w:type="gramEnd"/>
      <w:r w:rsidRPr="00136D82">
        <w:t xml:space="preserve"> if they experience insurance retreat and are affected by an extreme event.</w:t>
      </w:r>
      <w:r w:rsidRPr="005D6D89">
        <w:t xml:space="preserve"> </w:t>
      </w:r>
    </w:p>
    <w:p w14:paraId="70D8E8F0" w14:textId="77777777" w:rsidR="005D0C2A" w:rsidRPr="005D6D89" w:rsidRDefault="005D0C2A" w:rsidP="006B7B41">
      <w:pPr>
        <w:pStyle w:val="Heading5"/>
      </w:pPr>
      <w:r w:rsidRPr="005D6D89">
        <w:t xml:space="preserve">Adaptive capacity </w:t>
      </w:r>
    </w:p>
    <w:p w14:paraId="4C6D3D71" w14:textId="77777777" w:rsidR="005D0C2A" w:rsidRPr="005D6D89" w:rsidRDefault="005D0C2A" w:rsidP="006B7B41">
      <w:pPr>
        <w:pStyle w:val="BodyText"/>
      </w:pPr>
      <w:r w:rsidRPr="005D6D89">
        <w:t>Inequity and adaptive capacity are related. Inequity can hinder adaptive capacity and a lack of</w:t>
      </w:r>
      <w:r w:rsidR="00BF606D" w:rsidRPr="005D6D89">
        <w:t> </w:t>
      </w:r>
      <w:r w:rsidRPr="005D6D89">
        <w:t xml:space="preserve">adaptive capacity can intensify social vulnerability (Fisher, 2011). Community members most likely to </w:t>
      </w:r>
      <w:proofErr w:type="gramStart"/>
      <w:r w:rsidRPr="005D6D89">
        <w:t>be affected</w:t>
      </w:r>
      <w:proofErr w:type="gramEnd"/>
      <w:r w:rsidRPr="005D6D89">
        <w:t xml:space="preserve"> are the least empowered or accustomed to contributing to decision</w:t>
      </w:r>
      <w:r w:rsidR="00BF606D" w:rsidRPr="005D6D89">
        <w:noBreakHyphen/>
      </w:r>
      <w:r w:rsidRPr="005D6D89">
        <w:t>making (Barnett and O</w:t>
      </w:r>
      <w:r w:rsidR="001200EA">
        <w:t>’</w:t>
      </w:r>
      <w:r w:rsidRPr="005D6D89">
        <w:t>Neill, 2010). Decisions can lead to inequitable outcomes or maladaptation that entrenches inequity (Barnett and O</w:t>
      </w:r>
      <w:r w:rsidR="001200EA">
        <w:t>’</w:t>
      </w:r>
      <w:r w:rsidRPr="005D6D89">
        <w:t xml:space="preserve">Neill, 2010; Guerin, 2007). </w:t>
      </w:r>
    </w:p>
    <w:p w14:paraId="15DAF471" w14:textId="77777777" w:rsidR="005D0C2A" w:rsidRPr="005D6D89" w:rsidRDefault="005D0C2A" w:rsidP="006B7B41">
      <w:pPr>
        <w:pStyle w:val="BodyText"/>
      </w:pPr>
      <w:r w:rsidRPr="005D6D89">
        <w:t>The ability to adapt is affected by socio-economic factors such as age, gender, social networks</w:t>
      </w:r>
      <w:r w:rsidR="00BF606D" w:rsidRPr="005D6D89">
        <w:t> </w:t>
      </w:r>
      <w:r w:rsidRPr="005D6D89">
        <w:t xml:space="preserve">and social capital in conjunction with </w:t>
      </w:r>
      <w:proofErr w:type="gramStart"/>
      <w:r w:rsidRPr="005D6D89">
        <w:t>past experiences</w:t>
      </w:r>
      <w:proofErr w:type="gramEnd"/>
      <w:r w:rsidRPr="005D6D89">
        <w:t>, perceived risk and informed</w:t>
      </w:r>
      <w:r w:rsidR="00BF606D" w:rsidRPr="005D6D89">
        <w:t> </w:t>
      </w:r>
      <w:r w:rsidRPr="005D6D89">
        <w:t xml:space="preserve">knowledge. </w:t>
      </w:r>
    </w:p>
    <w:p w14:paraId="0BE0451B" w14:textId="77777777" w:rsidR="005D0C2A" w:rsidRPr="005D6D89" w:rsidRDefault="005D0C2A" w:rsidP="006B7B41">
      <w:pPr>
        <w:pStyle w:val="BodyText"/>
      </w:pPr>
      <w:r w:rsidRPr="005D6D89">
        <w:t>Limited knowledge or unders</w:t>
      </w:r>
      <w:r w:rsidR="00657717">
        <w:t>tanding of climate change risks</w:t>
      </w:r>
      <w:r w:rsidRPr="005D6D89">
        <w:t xml:space="preserve"> </w:t>
      </w:r>
      <w:r w:rsidR="00657717">
        <w:t>(</w:t>
      </w:r>
      <w:r w:rsidRPr="005D6D89">
        <w:t>potentially a consequence of limited access to information</w:t>
      </w:r>
      <w:r w:rsidR="00657717">
        <w:t xml:space="preserve">) can result in maladaptation and path dependency as well as </w:t>
      </w:r>
      <w:r w:rsidRPr="005D6D89">
        <w:t>constrain adaptive capacity, further exacerbating inequity. For example, developing coastal areas and</w:t>
      </w:r>
      <w:r w:rsidR="00BE67C5">
        <w:t> </w:t>
      </w:r>
      <w:r w:rsidRPr="005D6D89">
        <w:t>low-lying land exposed to flooding, or relying on hard protection measures such as structural flood controls to mitigate risk</w:t>
      </w:r>
      <w:r w:rsidR="00657717">
        <w:t>,</w:t>
      </w:r>
      <w:r w:rsidRPr="005D6D89">
        <w:t xml:space="preserve"> can lead communities to believe they are adequately pro</w:t>
      </w:r>
      <w:r w:rsidR="00657717">
        <w:t>tected (Manning, Lawrence, King</w:t>
      </w:r>
      <w:r w:rsidRPr="005D6D89">
        <w:t xml:space="preserve"> and Chapman, 2015). Inclusive decision-making and adaptation strategies that help to increase self-efficacy and empower individuals to participate may help</w:t>
      </w:r>
      <w:r w:rsidR="00BF606D" w:rsidRPr="005D6D89">
        <w:t> </w:t>
      </w:r>
      <w:r w:rsidRPr="005D6D89">
        <w:t>to address existing inequities and limit future ones (Stephenson</w:t>
      </w:r>
      <w:r w:rsidR="00B61730">
        <w:t xml:space="preserve"> et al</w:t>
      </w:r>
      <w:r w:rsidRPr="005D6D89">
        <w:t>, 2018; Tompkins and Adger, 2004).</w:t>
      </w:r>
    </w:p>
    <w:p w14:paraId="35C7DD2C" w14:textId="77777777" w:rsidR="005D0C2A" w:rsidRPr="005D6D89" w:rsidRDefault="005D0C2A" w:rsidP="006B7B41">
      <w:pPr>
        <w:pStyle w:val="Heading5"/>
      </w:pPr>
      <w:r w:rsidRPr="005D6D89">
        <w:t>Consequence</w:t>
      </w:r>
    </w:p>
    <w:p w14:paraId="4F7CBBF2" w14:textId="77777777" w:rsidR="005D0C2A" w:rsidRPr="005D6D89" w:rsidRDefault="005D0C2A" w:rsidP="006B7B41">
      <w:pPr>
        <w:pStyle w:val="BodyText"/>
      </w:pPr>
      <w:r w:rsidRPr="005D6D89">
        <w:t>Access to resources for individual, family and community wants and needs is already unequal across society, with some groups experiencing marginalisation and poor social outcomes (eg, health, employment, access to education or welfare and support services). Climate change is likely to exacerbate these existing inequities and generate new ones.</w:t>
      </w:r>
      <w:r w:rsidR="00027F9F" w:rsidRPr="005D6D89">
        <w:t xml:space="preserve"> </w:t>
      </w:r>
    </w:p>
    <w:p w14:paraId="7F432061" w14:textId="77777777" w:rsidR="005D0C2A" w:rsidRPr="005D6D89" w:rsidRDefault="005D0C2A" w:rsidP="0097669F">
      <w:pPr>
        <w:pStyle w:val="BodyText"/>
        <w:spacing w:before="100" w:after="100"/>
      </w:pPr>
      <w:r w:rsidRPr="005D6D89">
        <w:t xml:space="preserve">There is also the question of who will fund a response, particularly </w:t>
      </w:r>
      <w:r w:rsidR="00657717">
        <w:t xml:space="preserve">for </w:t>
      </w:r>
      <w:r w:rsidRPr="005D6D89">
        <w:t xml:space="preserve">managed retreat (Boston and Lawrence, 2018). Financial assistance after natural disasters for affected communities and households is currently ad hoc (Boston and Lawrence, 2018). For example, the Government announced in 2017 after severe flooding in Edgecumbe that </w:t>
      </w:r>
      <w:r w:rsidR="00657717">
        <w:t>it</w:t>
      </w:r>
      <w:r w:rsidR="00657717" w:rsidRPr="005D6D89">
        <w:t xml:space="preserve"> </w:t>
      </w:r>
      <w:r w:rsidRPr="005D6D89">
        <w:t xml:space="preserve">would fund the clean-up and repair of all affected properties, including those uninsured or unable to afford repairs (Boston and Lawrence, 2018). However, many other communities affected by similar extensive flooding have not received such funding. </w:t>
      </w:r>
    </w:p>
    <w:p w14:paraId="4D3E37E7" w14:textId="77777777" w:rsidR="005D0C2A" w:rsidRPr="005D6D89" w:rsidRDefault="005D0C2A" w:rsidP="0097669F">
      <w:pPr>
        <w:pStyle w:val="BodyText"/>
        <w:spacing w:before="100" w:after="100"/>
      </w:pPr>
      <w:r w:rsidRPr="005D6D89">
        <w:t>Changing climate conditions are also likely to exacerbate many of the health inequalities already faced by Māori. This will demand careful societal responses that do not exacerbate these (Manning, Lawrence, King and Chapman, 2015). Many Māori communities are concentrated around coastal areas, which are particularly vulnerable to rising sea levels.</w:t>
      </w:r>
    </w:p>
    <w:p w14:paraId="66F36CC3" w14:textId="77777777" w:rsidR="005D0C2A" w:rsidRPr="005D6D89" w:rsidRDefault="005D0C2A" w:rsidP="0084411A">
      <w:pPr>
        <w:pStyle w:val="Heading5"/>
        <w:spacing w:before="160"/>
      </w:pPr>
      <w:r w:rsidRPr="005D6D89">
        <w:t xml:space="preserve">Interacting risks </w:t>
      </w:r>
    </w:p>
    <w:p w14:paraId="23A0587F" w14:textId="77777777" w:rsidR="005D0C2A" w:rsidRPr="005D6D89" w:rsidRDefault="005D0C2A" w:rsidP="0097669F">
      <w:pPr>
        <w:pStyle w:val="BodyText"/>
        <w:spacing w:before="100" w:after="100"/>
        <w:rPr>
          <w:b/>
        </w:rPr>
      </w:pPr>
      <w:r w:rsidRPr="005D6D89">
        <w:t xml:space="preserve">Inequity </w:t>
      </w:r>
      <w:proofErr w:type="gramStart"/>
      <w:r w:rsidRPr="005D6D89">
        <w:t xml:space="preserve">is both exacerbated </w:t>
      </w:r>
      <w:r w:rsidR="00657717">
        <w:t xml:space="preserve">by </w:t>
      </w:r>
      <w:r w:rsidRPr="005D6D89">
        <w:t>and produced by a changing climate, which increases the sensitivity of vulnerable individuals and communities to risk</w:t>
      </w:r>
      <w:proofErr w:type="gramEnd"/>
      <w:r w:rsidRPr="005D6D89">
        <w:t>. Increased inequity will likely exacerbate physical and mental health issues (H3 and H7), affect a sense of identity and belonging (H7), and may even lead to social conflict or disruption (H4) as a result of inadequate</w:t>
      </w:r>
      <w:r w:rsidR="00204E05" w:rsidRPr="005D6D89">
        <w:t> </w:t>
      </w:r>
      <w:r w:rsidRPr="005D6D89">
        <w:t>adaptation and action (G5 and G1). Climate hazards that damage or limit access to</w:t>
      </w:r>
      <w:r w:rsidR="00204E05" w:rsidRPr="005D6D89">
        <w:t> </w:t>
      </w:r>
      <w:r w:rsidRPr="005D6D89">
        <w:t xml:space="preserve">infrastructure such as homes, transport networks (B6), energy (B8) and telecommunications have the greatest impact on marginalised persons. </w:t>
      </w:r>
    </w:p>
    <w:p w14:paraId="596FC9F1" w14:textId="77777777" w:rsidR="005D0C2A" w:rsidRPr="005D6D89" w:rsidRDefault="005D0C2A" w:rsidP="0084411A">
      <w:pPr>
        <w:pStyle w:val="Heading5"/>
        <w:spacing w:before="160"/>
      </w:pPr>
      <w:r w:rsidRPr="005D6D89">
        <w:t>Confidence: High agreement, medium evidence</w:t>
      </w:r>
      <w:r w:rsidR="00027F9F" w:rsidRPr="005D6D89">
        <w:t xml:space="preserve"> </w:t>
      </w:r>
    </w:p>
    <w:p w14:paraId="30A2F92B" w14:textId="77777777" w:rsidR="005D0C2A" w:rsidRPr="005D6D89" w:rsidRDefault="005D0C2A" w:rsidP="0097669F">
      <w:pPr>
        <w:pStyle w:val="BodyText"/>
        <w:spacing w:before="100" w:after="100"/>
      </w:pPr>
      <w:r w:rsidRPr="005D6D89">
        <w:t xml:space="preserve">There is high agreement that climate hazards will worsen existing inequity and create new inequities. What </w:t>
      </w:r>
      <w:proofErr w:type="gramStart"/>
      <w:r w:rsidRPr="005D6D89">
        <w:t>is needed</w:t>
      </w:r>
      <w:proofErr w:type="gramEnd"/>
      <w:r w:rsidRPr="005D6D89">
        <w:t xml:space="preserve"> is greater understanding of community vulnerability to local impacts, together with governance that includes marginalised people. </w:t>
      </w:r>
    </w:p>
    <w:p w14:paraId="773DBF8F" w14:textId="77777777" w:rsidR="005D0C2A" w:rsidRPr="005D6D89" w:rsidRDefault="005D0C2A" w:rsidP="0084411A">
      <w:pPr>
        <w:pStyle w:val="Heading5"/>
        <w:spacing w:before="160"/>
      </w:pPr>
      <w:r w:rsidRPr="005D6D89">
        <w:t>Adaptation</w:t>
      </w:r>
    </w:p>
    <w:p w14:paraId="16EAC218" w14:textId="77777777" w:rsidR="005D0C2A" w:rsidRPr="005D6D89" w:rsidRDefault="005D0C2A" w:rsidP="0097669F">
      <w:pPr>
        <w:pStyle w:val="BodyText"/>
        <w:spacing w:before="100"/>
      </w:pPr>
      <w:r w:rsidRPr="005D6D89">
        <w:t xml:space="preserve">Although efforts are under way to address social inequities in a more general sense, few, if any have a </w:t>
      </w:r>
      <w:proofErr w:type="gramStart"/>
      <w:r w:rsidRPr="005D6D89">
        <w:t>climate change adaptation component</w:t>
      </w:r>
      <w:proofErr w:type="gramEnd"/>
      <w:r w:rsidRPr="005D6D89">
        <w:t>.</w:t>
      </w:r>
      <w:r w:rsidR="00027F9F" w:rsidRPr="005D6D89">
        <w:t xml:space="preserve"> </w:t>
      </w:r>
    </w:p>
    <w:p w14:paraId="4724D0FC" w14:textId="77777777" w:rsidR="001109B3" w:rsidRDefault="005D0C2A" w:rsidP="004317A5">
      <w:pPr>
        <w:pStyle w:val="BodyText"/>
        <w:spacing w:before="100" w:after="100"/>
      </w:pPr>
      <w:r w:rsidRPr="005D6D89">
        <w:t xml:space="preserve">Efforts </w:t>
      </w:r>
      <w:proofErr w:type="gramStart"/>
      <w:r w:rsidRPr="005D6D89">
        <w:t>are usually targeted</w:t>
      </w:r>
      <w:proofErr w:type="gramEnd"/>
      <w:r w:rsidRPr="005D6D89">
        <w:t xml:space="preserve"> to a vulnerable group such as rural populations or Māori groups, and address access to resources rather than climate change and potential and emerging inequities. There are limited, if any, actions to address this risk in a holistic and integrated manner. Climate change will likely create new groups of vulnerable people – an issue which </w:t>
      </w:r>
      <w:proofErr w:type="gramStart"/>
      <w:r w:rsidRPr="005D6D89">
        <w:t>has not been explored</w:t>
      </w:r>
      <w:proofErr w:type="gramEnd"/>
      <w:r w:rsidRPr="005D6D89">
        <w:t>.</w:t>
      </w:r>
      <w:r w:rsidR="00027F9F" w:rsidRPr="005D6D89">
        <w:t xml:space="preserve"> </w:t>
      </w:r>
    </w:p>
    <w:p w14:paraId="6A722B36" w14:textId="77777777" w:rsidR="004317A5" w:rsidRPr="005D6D89" w:rsidRDefault="0084411A" w:rsidP="0084411A">
      <w:pPr>
        <w:pStyle w:val="Tableheading"/>
      </w:pPr>
      <w:bookmarkStart w:id="363" w:name="_Toc43312811"/>
      <w:r>
        <w:t>Table 1</w:t>
      </w:r>
      <w:r w:rsidR="00184426">
        <w:t>7</w:t>
      </w:r>
      <w:r>
        <w:t>:</w:t>
      </w:r>
      <w:r>
        <w:tab/>
      </w:r>
      <w:r w:rsidRPr="005D6D89">
        <w:t>H2 Risks of exacerbating existing inequities: Urgency profile</w:t>
      </w:r>
      <w:bookmarkEnd w:id="363"/>
    </w:p>
    <w:tbl>
      <w:tblPr>
        <w:tblStyle w:val="TableGrid"/>
        <w:tblW w:w="8613" w:type="dxa"/>
        <w:tblBorders>
          <w:top w:val="single" w:sz="4" w:space="0" w:color="DA5A28"/>
          <w:left w:val="none" w:sz="0" w:space="0" w:color="auto"/>
          <w:bottom w:val="single" w:sz="4" w:space="0" w:color="DA5A28"/>
          <w:right w:val="none" w:sz="0" w:space="0" w:color="auto"/>
          <w:insideH w:val="single" w:sz="4" w:space="0" w:color="DA5A28"/>
          <w:insideV w:val="single" w:sz="4" w:space="0" w:color="DA5A28"/>
        </w:tblBorders>
        <w:tblLayout w:type="fixed"/>
        <w:tblLook w:val="04A0" w:firstRow="1" w:lastRow="0" w:firstColumn="1" w:lastColumn="0" w:noHBand="0" w:noVBand="1"/>
      </w:tblPr>
      <w:tblGrid>
        <w:gridCol w:w="2278"/>
        <w:gridCol w:w="949"/>
        <w:gridCol w:w="992"/>
        <w:gridCol w:w="1134"/>
        <w:gridCol w:w="992"/>
        <w:gridCol w:w="749"/>
        <w:gridCol w:w="1519"/>
      </w:tblGrid>
      <w:tr w:rsidR="00204E05" w:rsidRPr="005D6D89" w14:paraId="02DF47C7" w14:textId="77777777" w:rsidTr="00095C79">
        <w:tc>
          <w:tcPr>
            <w:tcW w:w="8613" w:type="dxa"/>
            <w:gridSpan w:val="7"/>
            <w:shd w:val="clear" w:color="auto" w:fill="DA5A28"/>
          </w:tcPr>
          <w:p w14:paraId="38F0A463" w14:textId="77777777" w:rsidR="00E72A97" w:rsidRPr="005D6D89" w:rsidRDefault="00E72A97" w:rsidP="00E72A97">
            <w:pPr>
              <w:pStyle w:val="TableTextBold0"/>
              <w:rPr>
                <w:color w:val="FFFFFF" w:themeColor="background1"/>
              </w:rPr>
            </w:pPr>
            <w:r w:rsidRPr="005D6D89">
              <w:rPr>
                <w:color w:val="FFFFFF" w:themeColor="background1"/>
              </w:rPr>
              <w:t>H2 Risks of exacerbating existing inequities: Urgency profile</w:t>
            </w:r>
          </w:p>
        </w:tc>
      </w:tr>
      <w:tr w:rsidR="00E72A97" w:rsidRPr="005D6D89" w14:paraId="60619ABB" w14:textId="77777777" w:rsidTr="00095C79">
        <w:tc>
          <w:tcPr>
            <w:tcW w:w="2278" w:type="dxa"/>
            <w:shd w:val="clear" w:color="auto" w:fill="FFFFFF" w:themeFill="background1"/>
          </w:tcPr>
          <w:p w14:paraId="4AD160A7" w14:textId="77777777" w:rsidR="00E72A97" w:rsidRPr="0085566C" w:rsidRDefault="00E72A97" w:rsidP="0097669F">
            <w:pPr>
              <w:pStyle w:val="TableTextBold0"/>
            </w:pPr>
            <w:r w:rsidRPr="0085566C">
              <w:t>Urgency category</w:t>
            </w:r>
          </w:p>
        </w:tc>
        <w:tc>
          <w:tcPr>
            <w:tcW w:w="1941" w:type="dxa"/>
            <w:gridSpan w:val="2"/>
          </w:tcPr>
          <w:p w14:paraId="5D75CBD2" w14:textId="77777777" w:rsidR="00E72A97" w:rsidRPr="005D6D89" w:rsidRDefault="00845880" w:rsidP="0097669F">
            <w:pPr>
              <w:pStyle w:val="TableTextBold0"/>
            </w:pPr>
            <w:r>
              <w:t>Proportion of urgency out of 100</w:t>
            </w:r>
          </w:p>
        </w:tc>
        <w:tc>
          <w:tcPr>
            <w:tcW w:w="4394" w:type="dxa"/>
            <w:gridSpan w:val="4"/>
          </w:tcPr>
          <w:p w14:paraId="0B193060" w14:textId="77777777" w:rsidR="00E72A97" w:rsidRPr="005D6D89" w:rsidRDefault="00E72A97" w:rsidP="0097669F">
            <w:pPr>
              <w:pStyle w:val="TableTextBold0"/>
            </w:pPr>
            <w:r w:rsidRPr="005D6D89">
              <w:t>Description of actions</w:t>
            </w:r>
          </w:p>
        </w:tc>
      </w:tr>
      <w:tr w:rsidR="00E72A97" w:rsidRPr="005D6D89" w14:paraId="0026088C" w14:textId="77777777" w:rsidTr="00095C79">
        <w:tc>
          <w:tcPr>
            <w:tcW w:w="2278" w:type="dxa"/>
            <w:shd w:val="clear" w:color="auto" w:fill="FFFFFF" w:themeFill="background1"/>
            <w:hideMark/>
          </w:tcPr>
          <w:p w14:paraId="1B79D931" w14:textId="77777777" w:rsidR="00E72A97" w:rsidRPr="007D0B70" w:rsidRDefault="00E72A97" w:rsidP="00E72A97">
            <w:pPr>
              <w:pStyle w:val="TableTextBold0"/>
              <w:rPr>
                <w:b w:val="0"/>
              </w:rPr>
            </w:pPr>
            <w:r w:rsidRPr="007D0B70">
              <w:rPr>
                <w:b w:val="0"/>
              </w:rPr>
              <w:t>More action needed</w:t>
            </w:r>
          </w:p>
        </w:tc>
        <w:tc>
          <w:tcPr>
            <w:tcW w:w="1941" w:type="dxa"/>
            <w:gridSpan w:val="2"/>
          </w:tcPr>
          <w:p w14:paraId="2C8DFDCD" w14:textId="77777777" w:rsidR="00E72A97" w:rsidRPr="005D6D89" w:rsidRDefault="00E72A97" w:rsidP="00E72A97">
            <w:pPr>
              <w:pStyle w:val="TableText"/>
              <w:jc w:val="center"/>
            </w:pPr>
            <w:r w:rsidRPr="005D6D89">
              <w:t>60</w:t>
            </w:r>
          </w:p>
        </w:tc>
        <w:tc>
          <w:tcPr>
            <w:tcW w:w="4394" w:type="dxa"/>
            <w:gridSpan w:val="4"/>
          </w:tcPr>
          <w:p w14:paraId="5E4E6282" w14:textId="77777777" w:rsidR="00E72A97" w:rsidRPr="005D6D89" w:rsidRDefault="00E72A97" w:rsidP="0097669F">
            <w:pPr>
              <w:pStyle w:val="TableText"/>
            </w:pPr>
            <w:r w:rsidRPr="005D6D89">
              <w:t xml:space="preserve">Early policies, principles and practices </w:t>
            </w:r>
            <w:proofErr w:type="gramStart"/>
            <w:r w:rsidRPr="005D6D89">
              <w:t>are likely needed</w:t>
            </w:r>
            <w:proofErr w:type="gramEnd"/>
            <w:r w:rsidRPr="005D6D89">
              <w:t xml:space="preserve"> to ensure that inequity (current and intergenerational) is considered in all future actions. </w:t>
            </w:r>
          </w:p>
        </w:tc>
      </w:tr>
      <w:tr w:rsidR="00E72A97" w:rsidRPr="005D6D89" w14:paraId="54E24334" w14:textId="77777777" w:rsidTr="00095C79">
        <w:tc>
          <w:tcPr>
            <w:tcW w:w="2278" w:type="dxa"/>
            <w:shd w:val="clear" w:color="auto" w:fill="FFFFFF" w:themeFill="background1"/>
            <w:hideMark/>
          </w:tcPr>
          <w:p w14:paraId="4E2284E0" w14:textId="77777777" w:rsidR="00E72A97" w:rsidRPr="007D0B70" w:rsidRDefault="00E72A97" w:rsidP="00E72A97">
            <w:pPr>
              <w:pStyle w:val="TableTextBold0"/>
              <w:rPr>
                <w:b w:val="0"/>
                <w:highlight w:val="yellow"/>
              </w:rPr>
            </w:pPr>
            <w:r w:rsidRPr="007D0B70">
              <w:rPr>
                <w:b w:val="0"/>
              </w:rPr>
              <w:t>Research priority</w:t>
            </w:r>
          </w:p>
        </w:tc>
        <w:tc>
          <w:tcPr>
            <w:tcW w:w="1941" w:type="dxa"/>
            <w:gridSpan w:val="2"/>
          </w:tcPr>
          <w:p w14:paraId="1D50710D" w14:textId="77777777" w:rsidR="00E72A97" w:rsidRPr="005D6D89" w:rsidRDefault="00E72A97" w:rsidP="00E72A97">
            <w:pPr>
              <w:pStyle w:val="TableText"/>
              <w:jc w:val="center"/>
            </w:pPr>
            <w:r w:rsidRPr="005D6D89">
              <w:t>30</w:t>
            </w:r>
          </w:p>
        </w:tc>
        <w:tc>
          <w:tcPr>
            <w:tcW w:w="4394" w:type="dxa"/>
            <w:gridSpan w:val="4"/>
          </w:tcPr>
          <w:p w14:paraId="320DC243" w14:textId="77777777" w:rsidR="00E72A97" w:rsidRPr="005D6D89" w:rsidRDefault="00E72A97" w:rsidP="001048C6">
            <w:pPr>
              <w:pStyle w:val="TableText"/>
            </w:pPr>
            <w:r w:rsidRPr="005D6D89">
              <w:t xml:space="preserve">Further research would be </w:t>
            </w:r>
            <w:r w:rsidR="00237239" w:rsidRPr="005D6D89">
              <w:t>useful;</w:t>
            </w:r>
            <w:r w:rsidRPr="005D6D89">
              <w:t xml:space="preserve"> </w:t>
            </w:r>
            <w:r w:rsidR="00237239" w:rsidRPr="005D6D89">
              <w:t>however,</w:t>
            </w:r>
            <w:r w:rsidRPr="005D6D89">
              <w:t xml:space="preserve"> some actions should and </w:t>
            </w:r>
            <w:proofErr w:type="gramStart"/>
            <w:r w:rsidRPr="005D6D89">
              <w:t>can be taken</w:t>
            </w:r>
            <w:proofErr w:type="gramEnd"/>
            <w:r w:rsidRPr="005D6D89">
              <w:t xml:space="preserve"> regardless. </w:t>
            </w:r>
          </w:p>
        </w:tc>
      </w:tr>
      <w:tr w:rsidR="00E72A97" w:rsidRPr="005D6D89" w14:paraId="5B98D76A" w14:textId="77777777" w:rsidTr="00095C79">
        <w:tc>
          <w:tcPr>
            <w:tcW w:w="2278" w:type="dxa"/>
            <w:shd w:val="clear" w:color="auto" w:fill="FFFFFF" w:themeFill="background1"/>
            <w:hideMark/>
          </w:tcPr>
          <w:p w14:paraId="07390AF2" w14:textId="77777777" w:rsidR="00E72A97" w:rsidRPr="007D0B70" w:rsidRDefault="00E72A97" w:rsidP="00E72A97">
            <w:pPr>
              <w:pStyle w:val="TableTextBold0"/>
              <w:rPr>
                <w:b w:val="0"/>
              </w:rPr>
            </w:pPr>
            <w:r w:rsidRPr="007D0B70">
              <w:rPr>
                <w:b w:val="0"/>
              </w:rPr>
              <w:t>Sustain current action</w:t>
            </w:r>
          </w:p>
        </w:tc>
        <w:tc>
          <w:tcPr>
            <w:tcW w:w="1941" w:type="dxa"/>
            <w:gridSpan w:val="2"/>
          </w:tcPr>
          <w:p w14:paraId="32658C5A" w14:textId="77777777" w:rsidR="00E72A97" w:rsidRPr="005D6D89" w:rsidRDefault="00E72A97" w:rsidP="00E72A97">
            <w:pPr>
              <w:pStyle w:val="TableText"/>
              <w:jc w:val="center"/>
            </w:pPr>
            <w:r w:rsidRPr="005D6D89">
              <w:t>0</w:t>
            </w:r>
          </w:p>
        </w:tc>
        <w:tc>
          <w:tcPr>
            <w:tcW w:w="4394" w:type="dxa"/>
            <w:gridSpan w:val="4"/>
          </w:tcPr>
          <w:p w14:paraId="7CC63980" w14:textId="77777777" w:rsidR="00E72A97" w:rsidRPr="005D6D89" w:rsidRDefault="00E72A97" w:rsidP="001048C6">
            <w:pPr>
              <w:pStyle w:val="TableText"/>
            </w:pPr>
          </w:p>
        </w:tc>
      </w:tr>
      <w:tr w:rsidR="00E72A97" w:rsidRPr="005D6D89" w14:paraId="6085F856" w14:textId="77777777" w:rsidTr="00095C79">
        <w:tc>
          <w:tcPr>
            <w:tcW w:w="2278" w:type="dxa"/>
            <w:tcBorders>
              <w:bottom w:val="single" w:sz="8" w:space="0" w:color="DA5A28"/>
            </w:tcBorders>
            <w:shd w:val="clear" w:color="auto" w:fill="FFFFFF" w:themeFill="background1"/>
            <w:hideMark/>
          </w:tcPr>
          <w:p w14:paraId="118CD75A" w14:textId="77777777" w:rsidR="00E72A97" w:rsidRPr="007D0B70" w:rsidRDefault="00E72A97" w:rsidP="00E72A97">
            <w:pPr>
              <w:pStyle w:val="TableTextBold0"/>
              <w:rPr>
                <w:b w:val="0"/>
              </w:rPr>
            </w:pPr>
            <w:r w:rsidRPr="007D0B70">
              <w:rPr>
                <w:b w:val="0"/>
              </w:rPr>
              <w:t xml:space="preserve">Watching brief </w:t>
            </w:r>
          </w:p>
        </w:tc>
        <w:tc>
          <w:tcPr>
            <w:tcW w:w="1941" w:type="dxa"/>
            <w:gridSpan w:val="2"/>
            <w:tcBorders>
              <w:bottom w:val="single" w:sz="8" w:space="0" w:color="DA5A28"/>
            </w:tcBorders>
          </w:tcPr>
          <w:p w14:paraId="632E4301" w14:textId="77777777" w:rsidR="00E72A97" w:rsidRPr="005D6D89" w:rsidRDefault="00E72A97" w:rsidP="00E72A97">
            <w:pPr>
              <w:pStyle w:val="TableText"/>
              <w:jc w:val="center"/>
            </w:pPr>
            <w:r w:rsidRPr="005D6D89">
              <w:t>10</w:t>
            </w:r>
          </w:p>
        </w:tc>
        <w:tc>
          <w:tcPr>
            <w:tcW w:w="4394" w:type="dxa"/>
            <w:gridSpan w:val="4"/>
            <w:tcBorders>
              <w:bottom w:val="single" w:sz="8" w:space="0" w:color="DA5A28"/>
            </w:tcBorders>
          </w:tcPr>
          <w:p w14:paraId="00CD56C2" w14:textId="77777777" w:rsidR="00E72A97" w:rsidRPr="005D6D89" w:rsidRDefault="00E72A97" w:rsidP="001048C6">
            <w:pPr>
              <w:pStyle w:val="TableText"/>
            </w:pPr>
          </w:p>
        </w:tc>
      </w:tr>
      <w:tr w:rsidR="00E72A97" w:rsidRPr="005D6D89" w14:paraId="6ADE516C" w14:textId="77777777" w:rsidTr="00095C79">
        <w:tc>
          <w:tcPr>
            <w:tcW w:w="2278" w:type="dxa"/>
            <w:tcBorders>
              <w:top w:val="single" w:sz="8" w:space="0" w:color="DA5A28"/>
            </w:tcBorders>
            <w:shd w:val="clear" w:color="auto" w:fill="DA5A28"/>
          </w:tcPr>
          <w:p w14:paraId="0E94ED5D" w14:textId="77777777" w:rsidR="00E72A97" w:rsidRPr="005D6D89" w:rsidRDefault="00E72A97" w:rsidP="00E72A97">
            <w:pPr>
              <w:pStyle w:val="TableTextBold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Adaptation urgency </w:t>
            </w:r>
          </w:p>
        </w:tc>
        <w:tc>
          <w:tcPr>
            <w:tcW w:w="1941" w:type="dxa"/>
            <w:gridSpan w:val="2"/>
            <w:tcBorders>
              <w:top w:val="single" w:sz="8" w:space="0" w:color="DA5A28"/>
            </w:tcBorders>
            <w:shd w:val="clear" w:color="auto" w:fill="FFFFFF" w:themeFill="background1"/>
          </w:tcPr>
          <w:p w14:paraId="0262B9DE" w14:textId="77777777" w:rsidR="00E72A97" w:rsidRPr="005D6D89" w:rsidRDefault="00E72A97" w:rsidP="00E72A97">
            <w:pPr>
              <w:pStyle w:val="TableText"/>
              <w:jc w:val="center"/>
              <w:rPr>
                <w:rFonts w:asciiTheme="minorHAnsi" w:hAnsiTheme="minorHAnsi" w:cstheme="minorHAnsi"/>
              </w:rPr>
            </w:pPr>
            <w:r w:rsidRPr="005D6D89">
              <w:rPr>
                <w:rFonts w:asciiTheme="minorHAnsi" w:hAnsiTheme="minorHAnsi" w:cstheme="minorHAnsi"/>
              </w:rPr>
              <w:t>85</w:t>
            </w:r>
          </w:p>
        </w:tc>
        <w:tc>
          <w:tcPr>
            <w:tcW w:w="1134" w:type="dxa"/>
            <w:tcBorders>
              <w:top w:val="single" w:sz="8" w:space="0" w:color="DA5A28"/>
            </w:tcBorders>
            <w:shd w:val="clear" w:color="auto" w:fill="DA5A28"/>
          </w:tcPr>
          <w:p w14:paraId="20812C27" w14:textId="77777777" w:rsidR="00E72A97" w:rsidRPr="005D6D89" w:rsidRDefault="00E72A97" w:rsidP="001048C6">
            <w:pPr>
              <w:pStyle w:val="TableText"/>
              <w:rPr>
                <w:rFonts w:asciiTheme="minorHAnsi" w:hAnsiTheme="minorHAnsi" w:cstheme="minorHAnsi"/>
                <w:b/>
                <w:bCs/>
                <w:color w:val="FFFFFF" w:themeColor="background1"/>
              </w:rPr>
            </w:pPr>
            <w:r w:rsidRPr="005D6D89">
              <w:rPr>
                <w:rFonts w:asciiTheme="minorHAnsi" w:hAnsiTheme="minorHAnsi" w:cstheme="minorHAnsi"/>
                <w:b/>
                <w:bCs/>
                <w:color w:val="FFFFFF" w:themeColor="background1"/>
              </w:rPr>
              <w:t>Confidence</w:t>
            </w:r>
            <w:r w:rsidR="00027F9F" w:rsidRPr="005D6D89">
              <w:rPr>
                <w:rFonts w:asciiTheme="minorHAnsi" w:hAnsiTheme="minorHAnsi" w:cstheme="minorHAnsi"/>
                <w:b/>
                <w:bCs/>
                <w:color w:val="FFFFFF" w:themeColor="background1"/>
              </w:rPr>
              <w:t xml:space="preserve"> </w:t>
            </w:r>
          </w:p>
        </w:tc>
        <w:tc>
          <w:tcPr>
            <w:tcW w:w="3260" w:type="dxa"/>
            <w:gridSpan w:val="3"/>
            <w:tcBorders>
              <w:top w:val="single" w:sz="8" w:space="0" w:color="DA5A28"/>
            </w:tcBorders>
          </w:tcPr>
          <w:p w14:paraId="168797FC" w14:textId="77777777" w:rsidR="00E72A97" w:rsidRPr="005D6D89" w:rsidRDefault="00E72A97" w:rsidP="001048C6">
            <w:pPr>
              <w:pStyle w:val="TableText"/>
              <w:rPr>
                <w:rFonts w:asciiTheme="minorHAnsi" w:hAnsiTheme="minorHAnsi" w:cstheme="minorHAnsi"/>
              </w:rPr>
            </w:pPr>
            <w:r w:rsidRPr="005D6D89">
              <w:rPr>
                <w:rFonts w:asciiTheme="minorHAnsi" w:hAnsiTheme="minorHAnsi" w:cstheme="minorHAnsi"/>
              </w:rPr>
              <w:t>High agreement, medium evidence.</w:t>
            </w:r>
          </w:p>
        </w:tc>
      </w:tr>
      <w:tr w:rsidR="00E72A97" w:rsidRPr="005D6D89" w14:paraId="72CFFF07" w14:textId="77777777" w:rsidTr="00095C79">
        <w:tc>
          <w:tcPr>
            <w:tcW w:w="2278" w:type="dxa"/>
            <w:shd w:val="clear" w:color="auto" w:fill="DA5A28"/>
          </w:tcPr>
          <w:p w14:paraId="6DE682E2" w14:textId="77777777" w:rsidR="00E72A97" w:rsidRPr="005D6D89" w:rsidRDefault="00E72A97" w:rsidP="00E72A97">
            <w:pPr>
              <w:pStyle w:val="TableTextBold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Consequence </w:t>
            </w:r>
          </w:p>
        </w:tc>
        <w:tc>
          <w:tcPr>
            <w:tcW w:w="949" w:type="dxa"/>
            <w:shd w:val="clear" w:color="auto" w:fill="DA5A28"/>
          </w:tcPr>
          <w:p w14:paraId="3F38129C" w14:textId="77777777" w:rsidR="00E72A97" w:rsidRPr="005D6D89" w:rsidRDefault="00E72A97" w:rsidP="00E72A97">
            <w:pPr>
              <w:pStyle w:val="TableText"/>
              <w:jc w:val="center"/>
              <w:rPr>
                <w:rFonts w:asciiTheme="minorHAnsi" w:hAnsiTheme="minorHAnsi" w:cstheme="minorHAnsi"/>
                <w:color w:val="FFFFFF" w:themeColor="background1"/>
              </w:rPr>
            </w:pPr>
            <w:r w:rsidRPr="005D6D89">
              <w:rPr>
                <w:rFonts w:asciiTheme="minorHAnsi" w:hAnsiTheme="minorHAnsi" w:cstheme="minorHAnsi"/>
                <w:color w:val="FFFFFF" w:themeColor="background1"/>
              </w:rPr>
              <w:t>Now</w:t>
            </w:r>
          </w:p>
        </w:tc>
        <w:tc>
          <w:tcPr>
            <w:tcW w:w="992" w:type="dxa"/>
          </w:tcPr>
          <w:p w14:paraId="652EC3E9" w14:textId="77777777" w:rsidR="00E72A97" w:rsidRPr="005D6D89" w:rsidRDefault="00E72A97" w:rsidP="00E72A97">
            <w:pPr>
              <w:pStyle w:val="TableText"/>
              <w:jc w:val="center"/>
              <w:rPr>
                <w:rFonts w:asciiTheme="minorHAnsi" w:hAnsiTheme="minorHAnsi" w:cstheme="minorHAnsi"/>
              </w:rPr>
            </w:pPr>
            <w:r w:rsidRPr="005D6D89">
              <w:rPr>
                <w:rFonts w:asciiTheme="minorHAnsi" w:hAnsiTheme="minorHAnsi" w:cstheme="minorHAnsi"/>
              </w:rPr>
              <w:t>Major</w:t>
            </w:r>
          </w:p>
        </w:tc>
        <w:tc>
          <w:tcPr>
            <w:tcW w:w="1134" w:type="dxa"/>
            <w:shd w:val="clear" w:color="auto" w:fill="DA5A28"/>
          </w:tcPr>
          <w:p w14:paraId="4E1EA84C" w14:textId="77777777" w:rsidR="00E72A97" w:rsidRPr="005D6D89" w:rsidRDefault="00E72A97" w:rsidP="001048C6">
            <w:pPr>
              <w:pStyle w:val="TableText"/>
              <w:rPr>
                <w:rFonts w:asciiTheme="minorHAnsi" w:hAnsiTheme="minorHAnsi" w:cstheme="minorHAnsi"/>
                <w:color w:val="FFFFFF" w:themeColor="background1"/>
              </w:rPr>
            </w:pPr>
            <w:r w:rsidRPr="005D6D89">
              <w:rPr>
                <w:rFonts w:asciiTheme="minorHAnsi" w:hAnsiTheme="minorHAnsi" w:cstheme="minorHAnsi"/>
                <w:color w:val="FFFFFF" w:themeColor="background1"/>
              </w:rPr>
              <w:t>2050</w:t>
            </w:r>
          </w:p>
        </w:tc>
        <w:tc>
          <w:tcPr>
            <w:tcW w:w="992" w:type="dxa"/>
          </w:tcPr>
          <w:p w14:paraId="092B3F9C" w14:textId="77777777" w:rsidR="00E72A97" w:rsidRPr="005D6D89" w:rsidRDefault="00E72A97" w:rsidP="001048C6">
            <w:pPr>
              <w:pStyle w:val="TableText"/>
              <w:rPr>
                <w:rFonts w:asciiTheme="minorHAnsi" w:hAnsiTheme="minorHAnsi" w:cstheme="minorHAnsi"/>
              </w:rPr>
            </w:pPr>
            <w:r w:rsidRPr="005D6D89">
              <w:rPr>
                <w:rFonts w:asciiTheme="minorHAnsi" w:hAnsiTheme="minorHAnsi" w:cstheme="minorHAnsi"/>
              </w:rPr>
              <w:t>Extreme</w:t>
            </w:r>
          </w:p>
        </w:tc>
        <w:tc>
          <w:tcPr>
            <w:tcW w:w="749" w:type="dxa"/>
            <w:shd w:val="clear" w:color="auto" w:fill="DA5A28"/>
          </w:tcPr>
          <w:p w14:paraId="5B33E889" w14:textId="77777777" w:rsidR="00E72A97" w:rsidRPr="005D6D89" w:rsidRDefault="00E72A97" w:rsidP="001048C6">
            <w:pPr>
              <w:pStyle w:val="TableText"/>
              <w:rPr>
                <w:rFonts w:asciiTheme="minorHAnsi" w:hAnsiTheme="minorHAnsi" w:cstheme="minorHAnsi"/>
                <w:color w:val="FFFFFF" w:themeColor="background1"/>
              </w:rPr>
            </w:pPr>
            <w:r w:rsidRPr="005D6D89">
              <w:rPr>
                <w:rFonts w:asciiTheme="minorHAnsi" w:hAnsiTheme="minorHAnsi" w:cstheme="minorHAnsi"/>
                <w:color w:val="FFFFFF" w:themeColor="background1"/>
              </w:rPr>
              <w:t>2100</w:t>
            </w:r>
          </w:p>
        </w:tc>
        <w:tc>
          <w:tcPr>
            <w:tcW w:w="1519" w:type="dxa"/>
          </w:tcPr>
          <w:p w14:paraId="716CB7B1" w14:textId="77777777" w:rsidR="00E72A97" w:rsidRPr="005D6D89" w:rsidRDefault="00E72A97" w:rsidP="001048C6">
            <w:pPr>
              <w:pStyle w:val="TableText"/>
              <w:rPr>
                <w:rFonts w:asciiTheme="minorHAnsi" w:hAnsiTheme="minorHAnsi" w:cstheme="minorHAnsi"/>
              </w:rPr>
            </w:pPr>
            <w:r w:rsidRPr="005D6D89">
              <w:rPr>
                <w:rFonts w:asciiTheme="minorHAnsi" w:hAnsiTheme="minorHAnsi" w:cstheme="minorHAnsi"/>
              </w:rPr>
              <w:t>Extreme</w:t>
            </w:r>
            <w:r w:rsidR="003A7B91">
              <w:rPr>
                <w:rFonts w:asciiTheme="minorHAnsi" w:hAnsiTheme="minorHAnsi" w:cstheme="minorHAnsi"/>
              </w:rPr>
              <w:t xml:space="preserve"> </w:t>
            </w:r>
            <w:r w:rsidRPr="005D6D89">
              <w:rPr>
                <w:rFonts w:asciiTheme="minorHAnsi" w:hAnsiTheme="minorHAnsi" w:cstheme="minorHAnsi"/>
              </w:rPr>
              <w:t xml:space="preserve">150 </w:t>
            </w:r>
          </w:p>
        </w:tc>
      </w:tr>
    </w:tbl>
    <w:p w14:paraId="3077A7F4" w14:textId="77777777" w:rsidR="00E72A97" w:rsidRPr="005D6D89" w:rsidRDefault="00E72A97" w:rsidP="00812D16">
      <w:pPr>
        <w:pStyle w:val="Heading3"/>
        <w:numPr>
          <w:ilvl w:val="0"/>
          <w:numId w:val="29"/>
        </w:numPr>
        <w:spacing w:before="440"/>
      </w:pPr>
      <w:bookmarkStart w:id="364" w:name="_Other_priority_risks_1"/>
      <w:bookmarkStart w:id="365" w:name="_Toc37255778"/>
      <w:bookmarkStart w:id="366" w:name="_Toc37393679"/>
      <w:bookmarkStart w:id="367" w:name="_Ref40346946"/>
      <w:bookmarkStart w:id="368" w:name="_Toc40699359"/>
      <w:bookmarkEnd w:id="364"/>
      <w:r w:rsidRPr="005D6D89">
        <w:t>Other priority risks for the human domain</w:t>
      </w:r>
      <w:bookmarkEnd w:id="365"/>
      <w:bookmarkEnd w:id="366"/>
      <w:bookmarkEnd w:id="367"/>
      <w:bookmarkEnd w:id="368"/>
    </w:p>
    <w:p w14:paraId="79731195" w14:textId="77777777" w:rsidR="00E72A97" w:rsidRPr="005D6D89" w:rsidRDefault="00E72A97" w:rsidP="00D953E6">
      <w:pPr>
        <w:pStyle w:val="Heading4"/>
        <w:spacing w:before="240"/>
      </w:pPr>
      <w:bookmarkStart w:id="369" w:name="_Hlk35589163"/>
      <w:r w:rsidRPr="005D6D89">
        <w:t>H3 Risks to physical health from exposure to storm events, heatwaves, vector-borne and zoonotic diseases, water availability and resource quality and accessibility</w:t>
      </w:r>
      <w:r w:rsidR="00101782">
        <w:t>,</w:t>
      </w:r>
      <w:r w:rsidRPr="005D6D89">
        <w:t xml:space="preserve"> due to changes in temperature, rainfall and extreme weather events </w:t>
      </w:r>
    </w:p>
    <w:p w14:paraId="4E766814" w14:textId="77777777" w:rsidR="00E72A97" w:rsidRPr="005D6D89" w:rsidRDefault="00E72A97" w:rsidP="0097669F">
      <w:pPr>
        <w:pStyle w:val="BodyText"/>
      </w:pPr>
      <w:bookmarkStart w:id="370" w:name="_Hlk37682662"/>
      <w:bookmarkStart w:id="371" w:name="_Hlk35589178"/>
      <w:bookmarkEnd w:id="369"/>
      <w:r w:rsidRPr="005D6D89">
        <w:t>New Zealanders</w:t>
      </w:r>
      <w:r w:rsidR="001200EA">
        <w:t>’</w:t>
      </w:r>
      <w:r w:rsidRPr="005D6D89">
        <w:t xml:space="preserve"> physical health </w:t>
      </w:r>
      <w:proofErr w:type="gramStart"/>
      <w:r w:rsidRPr="005D6D89">
        <w:t>is already affected</w:t>
      </w:r>
      <w:proofErr w:type="gramEnd"/>
      <w:r w:rsidRPr="005D6D89">
        <w:t xml:space="preserve"> by impacts from climate hazards such as wildfire, floods, heatwaves, droughts and storms (Jones, Bennett</w:t>
      </w:r>
      <w:r w:rsidR="00B61730">
        <w:t xml:space="preserve"> et al</w:t>
      </w:r>
      <w:r w:rsidRPr="005D6D89">
        <w:t xml:space="preserve">, 2014). These hazards </w:t>
      </w:r>
      <w:proofErr w:type="gramStart"/>
      <w:r w:rsidRPr="005D6D89">
        <w:t>are projected</w:t>
      </w:r>
      <w:proofErr w:type="gramEnd"/>
      <w:r w:rsidRPr="005D6D89">
        <w:t xml:space="preserve"> to increase in frequency and severity. New Zealanders </w:t>
      </w:r>
      <w:proofErr w:type="gramStart"/>
      <w:r w:rsidRPr="005D6D89">
        <w:t>will also be exposed</w:t>
      </w:r>
      <w:proofErr w:type="gramEnd"/>
      <w:r w:rsidRPr="005D6D89">
        <w:t xml:space="preserve"> to </w:t>
      </w:r>
      <w:r w:rsidRPr="00136D82">
        <w:t>zoonotic</w:t>
      </w:r>
      <w:r w:rsidRPr="00903AD8">
        <w:t xml:space="preserve"> </w:t>
      </w:r>
      <w:r w:rsidRPr="005D6D89">
        <w:t xml:space="preserve">and water-borne diseases, due to changes in the distribution of species and in hydrological systems (Cann et al, 2013; Derraik and Slaney, 2007). </w:t>
      </w:r>
    </w:p>
    <w:p w14:paraId="2F83B749" w14:textId="77777777" w:rsidR="00E72A97" w:rsidRPr="005D6D89" w:rsidRDefault="00E72A97" w:rsidP="0097669F">
      <w:pPr>
        <w:pStyle w:val="BodyText"/>
      </w:pPr>
      <w:r w:rsidRPr="005D6D89">
        <w:t xml:space="preserve">Human health </w:t>
      </w:r>
      <w:proofErr w:type="gramStart"/>
      <w:r w:rsidRPr="005D6D89">
        <w:t>will be indirectly affected</w:t>
      </w:r>
      <w:proofErr w:type="gramEnd"/>
      <w:r w:rsidRPr="005D6D89">
        <w:t xml:space="preserve"> by drought and heavy rainfall events </w:t>
      </w:r>
      <w:r w:rsidR="00657717">
        <w:t xml:space="preserve">affecting </w:t>
      </w:r>
      <w:r w:rsidRPr="005D6D89">
        <w:t xml:space="preserve">water availability and quality (McBride et al, 2014; Woodward et al, 2001). Climate change will also alter the quality </w:t>
      </w:r>
      <w:r w:rsidR="00657717">
        <w:t xml:space="preserve">of </w:t>
      </w:r>
      <w:r w:rsidRPr="005D6D89">
        <w:t xml:space="preserve">and access </w:t>
      </w:r>
      <w:r w:rsidR="00657717">
        <w:t>to</w:t>
      </w:r>
      <w:r w:rsidR="00657717" w:rsidRPr="005D6D89">
        <w:t xml:space="preserve"> </w:t>
      </w:r>
      <w:r w:rsidRPr="005D6D89">
        <w:t xml:space="preserve">resources that support human health and wellbeing, such as food, water, outside space and clean air (Royal Society | Te Apārangi, 2017). These climate changes will </w:t>
      </w:r>
      <w:proofErr w:type="gramStart"/>
      <w:r w:rsidRPr="005D6D89">
        <w:t>impact</w:t>
      </w:r>
      <w:proofErr w:type="gramEnd"/>
      <w:r w:rsidRPr="005D6D89">
        <w:t xml:space="preserve"> the physical health, safety and wellbeing of New Zealanders. </w:t>
      </w:r>
      <w:bookmarkEnd w:id="370"/>
    </w:p>
    <w:p w14:paraId="6B1B3433" w14:textId="77777777" w:rsidR="00E72A97" w:rsidRPr="005D6D89" w:rsidRDefault="00E72A97" w:rsidP="00C5220A">
      <w:pPr>
        <w:pStyle w:val="Heading4"/>
        <w:spacing w:before="240"/>
      </w:pPr>
      <w:r w:rsidRPr="005D6D89">
        <w:t>H4 Risks of conflict, disruption and loss of trust in government from the changing patterns in the value of assets and competition for access to scarce resources</w:t>
      </w:r>
      <w:r w:rsidR="00101782">
        <w:t>,</w:t>
      </w:r>
      <w:r w:rsidRPr="005D6D89">
        <w:t xml:space="preserve"> primarily due to extreme weather events and ongoing sea-level rise </w:t>
      </w:r>
    </w:p>
    <w:p w14:paraId="0DAE69B6" w14:textId="77777777" w:rsidR="00E72A97" w:rsidRPr="005D6D89" w:rsidRDefault="00E72A97" w:rsidP="0097669F">
      <w:pPr>
        <w:pStyle w:val="BodyText"/>
      </w:pPr>
      <w:r w:rsidRPr="005D6D89">
        <w:t xml:space="preserve">Climate change is likely to exacerbate stressors that give rise to conflict and disruption, particularly as the value of assets changes and competition for resources intensifies. </w:t>
      </w:r>
      <w:r w:rsidR="000332F0">
        <w:br/>
      </w:r>
      <w:r w:rsidRPr="005D6D89">
        <w:t xml:space="preserve">Gradual, ongoing change, and the growing magnitude and frequency of extreme events is likely to affect the value of </w:t>
      </w:r>
      <w:r w:rsidRPr="00136D82">
        <w:t>assets (</w:t>
      </w:r>
      <w:r w:rsidR="00136D82">
        <w:t>eg,</w:t>
      </w:r>
      <w:r w:rsidRPr="00136D82">
        <w:t xml:space="preserve"> property)</w:t>
      </w:r>
      <w:r w:rsidRPr="005D6D89">
        <w:t xml:space="preserve"> and decrease the availability of some resources (eg, land, water, safe building sites), while increasing the demand for the resources and the value of other unaffected assets. Conflict is therefore likely to arise over competition for increasingly scarce resources such as water and arable land, and from relocation and displacement (Boege, 2018). </w:t>
      </w:r>
    </w:p>
    <w:p w14:paraId="771A3538" w14:textId="77777777" w:rsidR="00E72A97" w:rsidRPr="005D6D89" w:rsidRDefault="00E72A97" w:rsidP="0097669F">
      <w:pPr>
        <w:pStyle w:val="BodyText"/>
      </w:pPr>
      <w:r w:rsidRPr="005D6D89">
        <w:t>Gradual changes may also aggravate existing environmental, economic and societal stressors such as water supply and food security, resulting in increased tension (Weir and Virani, 2011) and may exacerbate socio-economic vulnerability. Conversely, new tensions may emerge, if powerful groups have their interests affected and their wealth reduced.</w:t>
      </w:r>
      <w:r w:rsidR="00027F9F" w:rsidRPr="005D6D89">
        <w:t xml:space="preserve"> </w:t>
      </w:r>
    </w:p>
    <w:p w14:paraId="437897D6" w14:textId="77777777" w:rsidR="00E72A97" w:rsidRPr="005D6D89" w:rsidRDefault="00E72A97" w:rsidP="0097669F">
      <w:pPr>
        <w:pStyle w:val="BodyText"/>
      </w:pPr>
      <w:r w:rsidRPr="005D6D89">
        <w:t xml:space="preserve">Perceptions of unfairness and opacity in processes could also lead to tensions, particularly over adaptation funding. Competition for adaptation resources is likely to emerge rapidly. Conflict may arise from land-use changes driven by climate events such as coastal inundation, but also in response to changes in regulations and financial priorities. Inadequate government response or maladaptation pathways may also amplify tension and reduce trust in governments. </w:t>
      </w:r>
    </w:p>
    <w:p w14:paraId="0465B534" w14:textId="77777777" w:rsidR="00E72A97" w:rsidRPr="005D6D89" w:rsidRDefault="00E72A97" w:rsidP="00C5220A">
      <w:pPr>
        <w:pStyle w:val="Heading4"/>
        <w:spacing w:before="240"/>
      </w:pPr>
      <w:r w:rsidRPr="005D6D89">
        <w:t xml:space="preserve">H5 Risks to Māori social, cultural, spiritual and economic wellbeing from loss and degradation of lands and waters, as well as cultural assets such as marae, due to ongoing sea-level rise, changes in rainfall and drought </w:t>
      </w:r>
    </w:p>
    <w:p w14:paraId="4CE531CE" w14:textId="77777777" w:rsidR="00E72A97" w:rsidRPr="005D6D89" w:rsidRDefault="00E72A97" w:rsidP="0097669F">
      <w:pPr>
        <w:pStyle w:val="BodyText"/>
      </w:pPr>
      <w:r w:rsidRPr="005D6D89">
        <w:t xml:space="preserve">Māori have unique spiritual, cultural and economic ties with the environment and </w:t>
      </w:r>
      <w:hyperlink w:anchor="manawhenua" w:history="1">
        <w:r w:rsidRPr="00136D82">
          <w:rPr>
            <w:rStyle w:val="Hyperlink"/>
          </w:rPr>
          <w:t>mana whenua</w:t>
        </w:r>
      </w:hyperlink>
      <w:r w:rsidRPr="005D6D89">
        <w:t>. Degradation and loss of land and waters is likely to increase over time. This will affect cultural wellbeing and spiritual health, identity and livelihoods. Many Māori communities live in exposed areas, and climate change-induced pressures will challenge the capacities of some Māori to cope and adapt (King et al, 2012).</w:t>
      </w:r>
    </w:p>
    <w:p w14:paraId="0FB4823B" w14:textId="77777777" w:rsidR="00E72A97" w:rsidRPr="005D6D89" w:rsidRDefault="00E72A97" w:rsidP="00D953E6">
      <w:pPr>
        <w:pStyle w:val="Heading4"/>
      </w:pPr>
      <w:r w:rsidRPr="005D6D89">
        <w:t>H6 Risks to Māori social, cultural, spiritual and economic wellbeing from loss of species and biodiversity</w:t>
      </w:r>
      <w:r w:rsidR="00101782">
        <w:t>,</w:t>
      </w:r>
      <w:r w:rsidRPr="005D6D89">
        <w:t xml:space="preserve"> due to greater climate variability and ongoing sea-level rise </w:t>
      </w:r>
    </w:p>
    <w:p w14:paraId="1AF4D579" w14:textId="77777777" w:rsidR="00E72A97" w:rsidRPr="005D6D89" w:rsidRDefault="00E72A97" w:rsidP="0097669F">
      <w:pPr>
        <w:pStyle w:val="BodyText"/>
      </w:pPr>
      <w:bookmarkStart w:id="372" w:name="_Hlk35878074"/>
      <w:r w:rsidRPr="005D6D89">
        <w:t>Human pressures are already affecting New Zealand</w:t>
      </w:r>
      <w:r w:rsidR="001200EA">
        <w:t>’</w:t>
      </w:r>
      <w:r w:rsidRPr="005D6D89">
        <w:t xml:space="preserve">s biodiversity, and climate change </w:t>
      </w:r>
      <w:proofErr w:type="gramStart"/>
      <w:r w:rsidRPr="005D6D89">
        <w:t>is expected</w:t>
      </w:r>
      <w:proofErr w:type="gramEnd"/>
      <w:r w:rsidRPr="005D6D89">
        <w:t xml:space="preserve"> to further change the abundance and distribution of indigenous flora and fauna. Loss of species and biodiversity is very likely to increase over time, with greater impacts under RCP8.5 than under RCP4.5 </w:t>
      </w:r>
      <w:r w:rsidRPr="00136D82">
        <w:t xml:space="preserve">(see </w:t>
      </w:r>
      <w:hyperlink w:anchor="box1" w:history="1">
        <w:r w:rsidR="00DD5D2B" w:rsidRPr="00136D82">
          <w:rPr>
            <w:rStyle w:val="Hyperlink"/>
          </w:rPr>
          <w:t>b</w:t>
        </w:r>
        <w:r w:rsidRPr="00136D82">
          <w:rPr>
            <w:rStyle w:val="Hyperlink"/>
          </w:rPr>
          <w:t>ox 1</w:t>
        </w:r>
      </w:hyperlink>
      <w:r w:rsidRPr="00136D82">
        <w:t>).</w:t>
      </w:r>
      <w:r w:rsidRPr="005D6D89">
        <w:t xml:space="preserve"> Loss of species is expected to have adverse consequences for Māori, </w:t>
      </w:r>
      <w:proofErr w:type="gramStart"/>
      <w:r w:rsidRPr="005D6D89">
        <w:t>impacting</w:t>
      </w:r>
      <w:proofErr w:type="gramEnd"/>
      <w:r w:rsidRPr="005D6D89">
        <w:t xml:space="preserve"> cultural practices, health and economic opportunity.</w:t>
      </w:r>
    </w:p>
    <w:bookmarkEnd w:id="372"/>
    <w:p w14:paraId="3DAE33BC" w14:textId="77777777" w:rsidR="00E72A97" w:rsidRPr="005D6D89" w:rsidRDefault="00E72A97" w:rsidP="00C5220A">
      <w:pPr>
        <w:pStyle w:val="Heading4"/>
        <w:spacing w:before="240"/>
      </w:pPr>
      <w:r w:rsidRPr="005D6D89">
        <w:t>H7 Risks to mental health, identity, autonomy and sense of belonging and wellbeing from trauma</w:t>
      </w:r>
      <w:r w:rsidR="00101782">
        <w:t>,</w:t>
      </w:r>
      <w:r w:rsidRPr="005D6D89">
        <w:t xml:space="preserve"> due to ongoing sea-level rise, extreme weather events and drought </w:t>
      </w:r>
    </w:p>
    <w:p w14:paraId="5F0396A6" w14:textId="77777777" w:rsidR="00E72A97" w:rsidRPr="005D6D89" w:rsidRDefault="00E72A97" w:rsidP="0097669F">
      <w:pPr>
        <w:pStyle w:val="BodyText"/>
      </w:pPr>
      <w:bookmarkStart w:id="373" w:name="_Hlk37682725"/>
      <w:r w:rsidRPr="005D6D89">
        <w:t>Climate change has several implications for the mental health and wellbeing of New Zealanders. The harm experienced or witnessed when exposed to extreme events can cause trauma (Berry et al, 2010). Mental health risks range from minor stress and distress to clinically recognised disorders such as anxiety and post-traumatic stress (Royal Society | Te Apārangi, 2017). Communities may also experience disruptions to environmental and social determinants of health. For example, disruption of the relationship between individuals and their environment can cause risks to mental health (Royal Society | Te Apārangi, 2017), as can the loss of livelihoods, poverty and displacement (Berry et al, 2010). Loss of autonomy and feelings of helplessness (eg, from being unable to stop the beach in front of your property eroding) can also affect mental health. Finally, fear and grief associated with climate change and expected loss itself can cause trauma (Jones, Keating</w:t>
      </w:r>
      <w:r w:rsidR="00B61730">
        <w:t xml:space="preserve"> et al</w:t>
      </w:r>
      <w:r w:rsidRPr="005D6D89">
        <w:t>, 2014; Cunsolo and Ellis, 2018).</w:t>
      </w:r>
      <w:bookmarkEnd w:id="373"/>
    </w:p>
    <w:p w14:paraId="27B758F7" w14:textId="77777777" w:rsidR="00E72A97" w:rsidRPr="005D6D89" w:rsidRDefault="00E72A97" w:rsidP="00D953E6">
      <w:pPr>
        <w:pStyle w:val="Heading4"/>
        <w:spacing w:before="240"/>
      </w:pPr>
      <w:r w:rsidRPr="005D6D89">
        <w:t>H8 Risks to Māori and European cultural heritage sites</w:t>
      </w:r>
      <w:r w:rsidR="00101782">
        <w:t>,</w:t>
      </w:r>
      <w:r w:rsidRPr="005D6D89">
        <w:t xml:space="preserve"> due to ongoing sea-level rise, extreme weather events and increasing fire weather </w:t>
      </w:r>
    </w:p>
    <w:p w14:paraId="3FDCBC78" w14:textId="77777777" w:rsidR="00E72A97" w:rsidRPr="005D6D89" w:rsidRDefault="00E72A97" w:rsidP="00361128">
      <w:pPr>
        <w:pStyle w:val="BodyText"/>
      </w:pPr>
      <w:bookmarkStart w:id="374" w:name="_Hlk40112300"/>
      <w:bookmarkStart w:id="375" w:name="_Hlk37682744"/>
      <w:bookmarkEnd w:id="371"/>
      <w:r w:rsidRPr="00BB00D6">
        <w:rPr>
          <w:rFonts w:eastAsia="Arial Unicode MS" w:cs="Arial"/>
        </w:rPr>
        <w:t>New Zealand</w:t>
      </w:r>
      <w:r w:rsidR="001200EA" w:rsidRPr="00BB00D6">
        <w:rPr>
          <w:rFonts w:eastAsia="Arial Unicode MS" w:cs="Arial"/>
        </w:rPr>
        <w:t>’</w:t>
      </w:r>
      <w:r w:rsidRPr="00BB00D6">
        <w:rPr>
          <w:rFonts w:eastAsia="Arial Unicode MS" w:cs="Arial"/>
        </w:rPr>
        <w:t xml:space="preserve">s cultural heritage </w:t>
      </w:r>
      <w:bookmarkEnd w:id="374"/>
      <w:r w:rsidRPr="00BB00D6">
        <w:rPr>
          <w:rFonts w:eastAsia="Arial Unicode MS" w:cs="Arial"/>
        </w:rPr>
        <w:t>inc</w:t>
      </w:r>
      <w:r w:rsidRPr="00226961">
        <w:rPr>
          <w:rFonts w:eastAsia="Arial Unicode MS" w:cs="Arial"/>
        </w:rPr>
        <w:t xml:space="preserve">ludes </w:t>
      </w:r>
      <w:bookmarkStart w:id="376" w:name="_Hlk40126193"/>
      <w:r w:rsidRPr="00226961">
        <w:rPr>
          <w:rFonts w:eastAsia="Arial Unicode MS" w:cs="Arial"/>
        </w:rPr>
        <w:t xml:space="preserve">places of significance to Māori, archaeological sites, historic </w:t>
      </w:r>
      <w:r w:rsidRPr="00226961">
        <w:t xml:space="preserve">buildings and structures, and cultural landscapes </w:t>
      </w:r>
      <w:bookmarkEnd w:id="376"/>
      <w:r w:rsidRPr="00226961">
        <w:t>(Parliamentary Commissioner for the Environment, 1996). Heritage, in all its forms, is already exposed and vulnerable to climate hazards. Rising sea levels</w:t>
      </w:r>
      <w:r w:rsidR="000332F0" w:rsidRPr="00226961">
        <w:t xml:space="preserve">, </w:t>
      </w:r>
      <w:r w:rsidRPr="00226961">
        <w:t xml:space="preserve">increased intensity of extreme weather events and changes in humidity </w:t>
      </w:r>
      <w:proofErr w:type="gramStart"/>
      <w:r w:rsidRPr="00226961">
        <w:t>are expected</w:t>
      </w:r>
      <w:proofErr w:type="gramEnd"/>
      <w:r w:rsidRPr="00226961">
        <w:t xml:space="preserve"> to have significant implications for cultural heritage (Reisinger et al, 2014). Exposure to acute events and ongoing gradual change </w:t>
      </w:r>
      <w:proofErr w:type="gramStart"/>
      <w:r w:rsidRPr="00226961">
        <w:t>is projected</w:t>
      </w:r>
      <w:proofErr w:type="gramEnd"/>
      <w:r w:rsidRPr="00226961">
        <w:t xml:space="preserve"> to increase, and to be greater under RCP8.5 than RCP4.5 (see </w:t>
      </w:r>
      <w:hyperlink w:anchor="box1" w:history="1">
        <w:r w:rsidR="00DD5D2B" w:rsidRPr="00BB00D6">
          <w:rPr>
            <w:rStyle w:val="Hyperlink"/>
          </w:rPr>
          <w:t>b</w:t>
        </w:r>
        <w:r w:rsidRPr="00BB00D6">
          <w:rPr>
            <w:rStyle w:val="Hyperlink"/>
          </w:rPr>
          <w:t>ox 1</w:t>
        </w:r>
      </w:hyperlink>
      <w:r w:rsidRPr="00BB00D6">
        <w:t>).</w:t>
      </w:r>
    </w:p>
    <w:p w14:paraId="12371F0A" w14:textId="77777777" w:rsidR="00463827" w:rsidRDefault="00463827" w:rsidP="00812D16">
      <w:pPr>
        <w:pStyle w:val="Heading2"/>
        <w:numPr>
          <w:ilvl w:val="0"/>
          <w:numId w:val="26"/>
        </w:numPr>
        <w:spacing w:before="320" w:after="120"/>
      </w:pPr>
      <w:bookmarkStart w:id="377" w:name="_Toc43064141"/>
      <w:bookmarkStart w:id="378" w:name="_Toc37255779"/>
      <w:bookmarkStart w:id="379" w:name="_Toc37393680"/>
      <w:bookmarkStart w:id="380" w:name="_Toc40699360"/>
      <w:bookmarkEnd w:id="375"/>
      <w:r w:rsidRPr="005D6D89">
        <w:t>Economy domain | Rohe ōhanga</w:t>
      </w:r>
      <w:bookmarkEnd w:id="377"/>
      <w:r w:rsidRPr="005D6D89" w:rsidDel="00DF5231">
        <w:t xml:space="preserve"> </w:t>
      </w:r>
      <w:bookmarkEnd w:id="378"/>
      <w:bookmarkEnd w:id="379"/>
      <w:bookmarkEnd w:id="380"/>
    </w:p>
    <w:p w14:paraId="67AE7522" w14:textId="77777777" w:rsidR="00184426" w:rsidRPr="00184426" w:rsidRDefault="00184426" w:rsidP="004152CC">
      <w:pPr>
        <w:pStyle w:val="Tableheading"/>
      </w:pPr>
      <w:bookmarkStart w:id="381" w:name="_Toc43312812"/>
      <w:r>
        <w:t>Tab</w:t>
      </w:r>
      <w:r w:rsidR="00BC3529">
        <w:t>l</w:t>
      </w:r>
      <w:r>
        <w:t>e 18:</w:t>
      </w:r>
      <w:r>
        <w:tab/>
      </w:r>
      <w:r w:rsidR="004152CC" w:rsidRPr="004152CC">
        <w:t>Economy domain</w:t>
      </w:r>
      <w:bookmarkEnd w:id="381"/>
    </w:p>
    <w:tbl>
      <w:tblPr>
        <w:tblW w:w="8613" w:type="dxa"/>
        <w:tblBorders>
          <w:top w:val="single" w:sz="4" w:space="0" w:color="32809C"/>
          <w:bottom w:val="single" w:sz="4" w:space="0" w:color="32809C"/>
          <w:insideH w:val="single" w:sz="4" w:space="0" w:color="32809C"/>
          <w:insideV w:val="single" w:sz="4" w:space="0" w:color="32809C"/>
        </w:tblBorders>
        <w:tblLayout w:type="fixed"/>
        <w:tblLook w:val="0000" w:firstRow="0" w:lastRow="0" w:firstColumn="0" w:lastColumn="0" w:noHBand="0" w:noVBand="0"/>
      </w:tblPr>
      <w:tblGrid>
        <w:gridCol w:w="6441"/>
        <w:gridCol w:w="947"/>
        <w:gridCol w:w="1225"/>
      </w:tblGrid>
      <w:tr w:rsidR="00DE44E5" w:rsidRPr="00DE44E5" w14:paraId="1C529448" w14:textId="77777777" w:rsidTr="00095C79">
        <w:trPr>
          <w:tblHeader/>
        </w:trPr>
        <w:tc>
          <w:tcPr>
            <w:tcW w:w="5000" w:type="pct"/>
            <w:gridSpan w:val="3"/>
            <w:tcBorders>
              <w:bottom w:val="single" w:sz="4" w:space="0" w:color="32809C"/>
            </w:tcBorders>
            <w:shd w:val="clear" w:color="auto" w:fill="32809C"/>
          </w:tcPr>
          <w:p w14:paraId="2AD08387" w14:textId="77777777" w:rsidR="00463827" w:rsidRPr="00DE44E5" w:rsidRDefault="00463827" w:rsidP="004D1A13">
            <w:pPr>
              <w:pStyle w:val="TableTextBold0"/>
              <w:rPr>
                <w:color w:val="FFFFFF" w:themeColor="background1"/>
              </w:rPr>
            </w:pPr>
            <w:bookmarkStart w:id="382" w:name="_Hlk37675129"/>
            <w:r w:rsidRPr="00DE44E5">
              <w:rPr>
                <w:color w:val="FFFFFF" w:themeColor="background1"/>
              </w:rPr>
              <w:t xml:space="preserve">Economy </w:t>
            </w:r>
          </w:p>
        </w:tc>
      </w:tr>
      <w:tr w:rsidR="003B2E6B" w:rsidRPr="003B2E6B" w14:paraId="2E727725" w14:textId="77777777" w:rsidTr="00095C79">
        <w:tc>
          <w:tcPr>
            <w:tcW w:w="3739" w:type="pct"/>
            <w:tcBorders>
              <w:bottom w:val="nil"/>
              <w:right w:val="nil"/>
            </w:tcBorders>
            <w:shd w:val="clear" w:color="auto" w:fill="D2DDE2" w:themeFill="accent3"/>
          </w:tcPr>
          <w:p w14:paraId="270F5783" w14:textId="77777777" w:rsidR="003A7B91" w:rsidRPr="003B2E6B" w:rsidRDefault="003A7B91" w:rsidP="00B968E7">
            <w:pPr>
              <w:pStyle w:val="TableTextBold0"/>
              <w:spacing w:after="0"/>
            </w:pPr>
          </w:p>
        </w:tc>
        <w:tc>
          <w:tcPr>
            <w:tcW w:w="1261" w:type="pct"/>
            <w:gridSpan w:val="2"/>
            <w:tcBorders>
              <w:left w:val="nil"/>
              <w:bottom w:val="nil"/>
            </w:tcBorders>
            <w:shd w:val="clear" w:color="auto" w:fill="D2DDE2" w:themeFill="accent3"/>
          </w:tcPr>
          <w:p w14:paraId="129D0FC3" w14:textId="77777777" w:rsidR="003A7B91" w:rsidRPr="003B2E6B" w:rsidRDefault="00DE44E5" w:rsidP="00B968E7">
            <w:pPr>
              <w:pStyle w:val="TableTextBold0"/>
              <w:spacing w:after="0"/>
              <w:jc w:val="center"/>
            </w:pPr>
            <w:r w:rsidRPr="003B2E6B">
              <w:t>Ratings</w:t>
            </w:r>
          </w:p>
        </w:tc>
      </w:tr>
      <w:tr w:rsidR="003B2E6B" w:rsidRPr="003B2E6B" w14:paraId="767C1E1C" w14:textId="77777777" w:rsidTr="00095C79">
        <w:tc>
          <w:tcPr>
            <w:tcW w:w="3739" w:type="pct"/>
            <w:tcBorders>
              <w:top w:val="nil"/>
              <w:bottom w:val="nil"/>
              <w:right w:val="nil"/>
            </w:tcBorders>
            <w:shd w:val="clear" w:color="auto" w:fill="D2DDE2" w:themeFill="accent3"/>
          </w:tcPr>
          <w:p w14:paraId="78518EF8" w14:textId="77777777" w:rsidR="00463827" w:rsidRPr="003B2E6B" w:rsidRDefault="004D1A13" w:rsidP="00B968E7">
            <w:pPr>
              <w:pStyle w:val="TableTextBold0"/>
              <w:spacing w:before="0"/>
            </w:pPr>
            <w:r w:rsidRPr="003B2E6B">
              <w:t>Most significant risks</w:t>
            </w:r>
          </w:p>
        </w:tc>
        <w:tc>
          <w:tcPr>
            <w:tcW w:w="550" w:type="pct"/>
            <w:tcBorders>
              <w:top w:val="nil"/>
              <w:left w:val="nil"/>
              <w:bottom w:val="nil"/>
              <w:right w:val="nil"/>
            </w:tcBorders>
            <w:shd w:val="clear" w:color="auto" w:fill="D2DDE2" w:themeFill="accent3"/>
          </w:tcPr>
          <w:p w14:paraId="6BE6B9B3" w14:textId="77777777" w:rsidR="00463827" w:rsidRPr="003B2E6B" w:rsidRDefault="00463827" w:rsidP="00B968E7">
            <w:pPr>
              <w:pStyle w:val="TableTextBold0"/>
              <w:spacing w:before="0"/>
              <w:jc w:val="center"/>
            </w:pPr>
            <w:r w:rsidRPr="003B2E6B">
              <w:t>Urgency</w:t>
            </w:r>
          </w:p>
        </w:tc>
        <w:tc>
          <w:tcPr>
            <w:tcW w:w="711" w:type="pct"/>
            <w:tcBorders>
              <w:top w:val="nil"/>
              <w:left w:val="nil"/>
              <w:bottom w:val="nil"/>
            </w:tcBorders>
            <w:shd w:val="clear" w:color="auto" w:fill="D2DDE2" w:themeFill="accent3"/>
          </w:tcPr>
          <w:p w14:paraId="0D6F00BE" w14:textId="77777777" w:rsidR="00463827" w:rsidRPr="003B2E6B" w:rsidRDefault="00463827" w:rsidP="00B968E7">
            <w:pPr>
              <w:pStyle w:val="TableTextBold0"/>
              <w:spacing w:before="0"/>
            </w:pPr>
            <w:r w:rsidRPr="003B2E6B">
              <w:t>Consequence</w:t>
            </w:r>
          </w:p>
        </w:tc>
      </w:tr>
      <w:tr w:rsidR="004D1A13" w:rsidRPr="005D6D89" w14:paraId="05877023" w14:textId="77777777" w:rsidTr="00095C79">
        <w:tc>
          <w:tcPr>
            <w:tcW w:w="3739" w:type="pct"/>
            <w:tcBorders>
              <w:top w:val="nil"/>
            </w:tcBorders>
            <w:shd w:val="clear" w:color="auto" w:fill="auto"/>
            <w:tcMar>
              <w:top w:w="0" w:type="dxa"/>
            </w:tcMar>
          </w:tcPr>
          <w:p w14:paraId="129C1501" w14:textId="77777777" w:rsidR="004D1A13" w:rsidRPr="005D6D89" w:rsidRDefault="004D1A13" w:rsidP="004D1A13">
            <w:pPr>
              <w:pStyle w:val="TableText"/>
            </w:pPr>
            <w:r w:rsidRPr="005D6D89">
              <w:t>E1 Risks to governments from economic costs associated with lost productivity, disaster relief expenditure and unfunded contingent liabilities due to extreme events and ongoing, gradual changes.</w:t>
            </w:r>
          </w:p>
        </w:tc>
        <w:tc>
          <w:tcPr>
            <w:tcW w:w="550" w:type="pct"/>
            <w:tcBorders>
              <w:top w:val="nil"/>
            </w:tcBorders>
          </w:tcPr>
          <w:p w14:paraId="08DE9285" w14:textId="77777777" w:rsidR="004D1A13" w:rsidRPr="00DE44E5" w:rsidRDefault="004D1A13" w:rsidP="004D1A13">
            <w:pPr>
              <w:pStyle w:val="TableText"/>
              <w:jc w:val="center"/>
              <w:rPr>
                <w:bCs/>
              </w:rPr>
            </w:pPr>
            <w:r w:rsidRPr="00DE44E5">
              <w:rPr>
                <w:bCs/>
              </w:rPr>
              <w:t>90*</w:t>
            </w:r>
          </w:p>
        </w:tc>
        <w:tc>
          <w:tcPr>
            <w:tcW w:w="711" w:type="pct"/>
            <w:tcBorders>
              <w:top w:val="nil"/>
            </w:tcBorders>
            <w:shd w:val="clear" w:color="auto" w:fill="auto"/>
          </w:tcPr>
          <w:p w14:paraId="5DA7B2E9" w14:textId="77777777" w:rsidR="004D1A13" w:rsidRPr="005D6D89" w:rsidRDefault="004D1A13" w:rsidP="001048C6">
            <w:pPr>
              <w:pStyle w:val="TableText"/>
            </w:pPr>
            <w:r w:rsidRPr="005D6D89">
              <w:t>Extreme**</w:t>
            </w:r>
          </w:p>
        </w:tc>
      </w:tr>
      <w:tr w:rsidR="004D1A13" w:rsidRPr="005D6D89" w14:paraId="60ABE833" w14:textId="77777777" w:rsidTr="00095C79">
        <w:tc>
          <w:tcPr>
            <w:tcW w:w="3739" w:type="pct"/>
            <w:tcBorders>
              <w:bottom w:val="nil"/>
            </w:tcBorders>
            <w:shd w:val="clear" w:color="auto" w:fill="auto"/>
            <w:tcMar>
              <w:top w:w="0" w:type="dxa"/>
            </w:tcMar>
          </w:tcPr>
          <w:p w14:paraId="37E599E0" w14:textId="77777777" w:rsidR="004D1A13" w:rsidRPr="005D6D89" w:rsidRDefault="004D1A13" w:rsidP="004D1A13">
            <w:pPr>
              <w:pStyle w:val="TableText"/>
            </w:pPr>
            <w:r w:rsidRPr="005D6D89">
              <w:t>E2 Risks to the financial system from instability due to extreme weather events and ongoing, gradual changes.</w:t>
            </w:r>
          </w:p>
        </w:tc>
        <w:tc>
          <w:tcPr>
            <w:tcW w:w="550" w:type="pct"/>
            <w:tcBorders>
              <w:bottom w:val="nil"/>
            </w:tcBorders>
          </w:tcPr>
          <w:p w14:paraId="7E4CF1D3" w14:textId="77777777" w:rsidR="004D1A13" w:rsidRPr="00DE44E5" w:rsidRDefault="004D1A13" w:rsidP="004D1A13">
            <w:pPr>
              <w:pStyle w:val="TableText"/>
              <w:jc w:val="center"/>
              <w:rPr>
                <w:bCs/>
              </w:rPr>
            </w:pPr>
            <w:r w:rsidRPr="00DE44E5">
              <w:rPr>
                <w:bCs/>
              </w:rPr>
              <w:t>83</w:t>
            </w:r>
          </w:p>
        </w:tc>
        <w:tc>
          <w:tcPr>
            <w:tcW w:w="711" w:type="pct"/>
            <w:tcBorders>
              <w:bottom w:val="nil"/>
            </w:tcBorders>
            <w:shd w:val="clear" w:color="auto" w:fill="auto"/>
          </w:tcPr>
          <w:p w14:paraId="68E6287B" w14:textId="77777777" w:rsidR="004D1A13" w:rsidRPr="005D6D89" w:rsidRDefault="004D1A13" w:rsidP="001048C6">
            <w:pPr>
              <w:pStyle w:val="TableText"/>
            </w:pPr>
            <w:r w:rsidRPr="005D6D89">
              <w:t>Major</w:t>
            </w:r>
          </w:p>
        </w:tc>
      </w:tr>
      <w:tr w:rsidR="00DF6366" w:rsidRPr="00DF6366" w14:paraId="6692E988" w14:textId="77777777" w:rsidTr="00095C79">
        <w:tc>
          <w:tcPr>
            <w:tcW w:w="5000" w:type="pct"/>
            <w:gridSpan w:val="3"/>
            <w:tcBorders>
              <w:top w:val="nil"/>
              <w:bottom w:val="nil"/>
            </w:tcBorders>
            <w:shd w:val="clear" w:color="auto" w:fill="D2DDE2" w:themeFill="accent3"/>
            <w:tcMar>
              <w:top w:w="0" w:type="dxa"/>
            </w:tcMar>
          </w:tcPr>
          <w:p w14:paraId="3DF7CD7C" w14:textId="77777777" w:rsidR="00463827" w:rsidRPr="00DF6366" w:rsidRDefault="00463827" w:rsidP="001048C6">
            <w:pPr>
              <w:pStyle w:val="TableText"/>
            </w:pPr>
            <w:r w:rsidRPr="00DF6366">
              <w:rPr>
                <w:b/>
              </w:rPr>
              <w:t>Other priority risks (Stage 2)</w:t>
            </w:r>
          </w:p>
        </w:tc>
      </w:tr>
      <w:tr w:rsidR="00F30783" w:rsidRPr="005D6D89" w14:paraId="41427624" w14:textId="77777777" w:rsidTr="00095C79">
        <w:tc>
          <w:tcPr>
            <w:tcW w:w="3739" w:type="pct"/>
            <w:tcBorders>
              <w:top w:val="nil"/>
            </w:tcBorders>
            <w:shd w:val="clear" w:color="auto" w:fill="auto"/>
            <w:tcMar>
              <w:top w:w="0" w:type="dxa"/>
            </w:tcMar>
          </w:tcPr>
          <w:p w14:paraId="2D15FE4B" w14:textId="77777777" w:rsidR="00F30783" w:rsidRPr="005D6D89" w:rsidRDefault="00F30783" w:rsidP="004D1A13">
            <w:pPr>
              <w:pStyle w:val="TableText"/>
            </w:pPr>
            <w:r w:rsidRPr="005D6D89">
              <w:t>E3 Risks to land-based primary sector productivity and output due to changing precipitation and water availability, temperature, seasonality, climate extremes and the distribution of invasive species.</w:t>
            </w:r>
          </w:p>
        </w:tc>
        <w:tc>
          <w:tcPr>
            <w:tcW w:w="550" w:type="pct"/>
            <w:tcBorders>
              <w:top w:val="nil"/>
            </w:tcBorders>
          </w:tcPr>
          <w:p w14:paraId="3FC94EB3" w14:textId="77777777" w:rsidR="00F30783" w:rsidRPr="00DE44E5" w:rsidRDefault="00F30783" w:rsidP="00A6362A">
            <w:pPr>
              <w:pStyle w:val="TableText"/>
              <w:jc w:val="center"/>
              <w:rPr>
                <w:bCs/>
              </w:rPr>
            </w:pPr>
            <w:r w:rsidRPr="00DE44E5">
              <w:rPr>
                <w:bCs/>
              </w:rPr>
              <w:t>81</w:t>
            </w:r>
          </w:p>
        </w:tc>
        <w:tc>
          <w:tcPr>
            <w:tcW w:w="711" w:type="pct"/>
            <w:tcBorders>
              <w:top w:val="nil"/>
            </w:tcBorders>
            <w:shd w:val="clear" w:color="auto" w:fill="auto"/>
          </w:tcPr>
          <w:p w14:paraId="28DCFF7F" w14:textId="77777777" w:rsidR="00F30783" w:rsidRPr="005D6D89" w:rsidRDefault="00F30783" w:rsidP="001048C6">
            <w:pPr>
              <w:pStyle w:val="TableText"/>
            </w:pPr>
            <w:r w:rsidRPr="005D6D89">
              <w:t>Major</w:t>
            </w:r>
          </w:p>
        </w:tc>
      </w:tr>
      <w:tr w:rsidR="00F30783" w:rsidRPr="005D6D89" w14:paraId="16FCE1E4" w14:textId="77777777" w:rsidTr="00095C79">
        <w:tc>
          <w:tcPr>
            <w:tcW w:w="3739" w:type="pct"/>
            <w:shd w:val="clear" w:color="auto" w:fill="auto"/>
            <w:tcMar>
              <w:top w:w="0" w:type="dxa"/>
            </w:tcMar>
          </w:tcPr>
          <w:p w14:paraId="2DBB161A" w14:textId="77777777" w:rsidR="00F30783" w:rsidRPr="005D6D89" w:rsidRDefault="00F30783" w:rsidP="001048C6">
            <w:pPr>
              <w:pStyle w:val="TableText"/>
              <w:rPr>
                <w:rFonts w:cs="Arial"/>
              </w:rPr>
            </w:pPr>
            <w:r w:rsidRPr="005D6D89">
              <w:rPr>
                <w:rFonts w:cs="Arial"/>
                <w:bCs/>
              </w:rPr>
              <w:t>E4 Risks to tourism from changes to landscapes and ecosystems and impacts on lifeline infrastructure, due to extreme weather events and ongoing, gradual changes.</w:t>
            </w:r>
          </w:p>
        </w:tc>
        <w:tc>
          <w:tcPr>
            <w:tcW w:w="550" w:type="pct"/>
          </w:tcPr>
          <w:p w14:paraId="7D4BA0CF" w14:textId="77777777" w:rsidR="00F30783" w:rsidRPr="00DE44E5" w:rsidRDefault="00F30783" w:rsidP="00A6362A">
            <w:pPr>
              <w:pStyle w:val="TableText"/>
              <w:jc w:val="center"/>
              <w:rPr>
                <w:bCs/>
              </w:rPr>
            </w:pPr>
            <w:r w:rsidRPr="00DE44E5">
              <w:rPr>
                <w:bCs/>
              </w:rPr>
              <w:t>80</w:t>
            </w:r>
          </w:p>
        </w:tc>
        <w:tc>
          <w:tcPr>
            <w:tcW w:w="711" w:type="pct"/>
            <w:shd w:val="clear" w:color="auto" w:fill="auto"/>
          </w:tcPr>
          <w:p w14:paraId="59651C56" w14:textId="77777777" w:rsidR="00F30783" w:rsidRPr="005D6D89" w:rsidRDefault="00F30783" w:rsidP="001048C6">
            <w:pPr>
              <w:pStyle w:val="TableText"/>
            </w:pPr>
            <w:r w:rsidRPr="005D6D89">
              <w:t>Major</w:t>
            </w:r>
          </w:p>
        </w:tc>
      </w:tr>
      <w:tr w:rsidR="00F30783" w:rsidRPr="005D6D89" w14:paraId="4F68284A" w14:textId="77777777" w:rsidTr="00095C79">
        <w:tc>
          <w:tcPr>
            <w:tcW w:w="3739" w:type="pct"/>
            <w:shd w:val="clear" w:color="auto" w:fill="auto"/>
            <w:tcMar>
              <w:top w:w="0" w:type="dxa"/>
            </w:tcMar>
          </w:tcPr>
          <w:p w14:paraId="7E72A8B6" w14:textId="77777777" w:rsidR="00F30783" w:rsidRPr="005D6D89" w:rsidRDefault="00F30783" w:rsidP="001048C6">
            <w:pPr>
              <w:pStyle w:val="TableText"/>
              <w:rPr>
                <w:rFonts w:cs="Arial"/>
              </w:rPr>
            </w:pPr>
            <w:r w:rsidRPr="005D6D89">
              <w:rPr>
                <w:rFonts w:cs="Arial"/>
              </w:rPr>
              <w:t>E5 Risks to fisheries from changes in the characteristics, productivity, and spatial distribution of fish stocks due to changes in ocean temperature and acidification.</w:t>
            </w:r>
          </w:p>
        </w:tc>
        <w:tc>
          <w:tcPr>
            <w:tcW w:w="550" w:type="pct"/>
          </w:tcPr>
          <w:p w14:paraId="0FBF59DD" w14:textId="77777777" w:rsidR="00F30783" w:rsidRPr="00DE44E5" w:rsidRDefault="00F30783" w:rsidP="00A6362A">
            <w:pPr>
              <w:pStyle w:val="TableText"/>
              <w:jc w:val="center"/>
              <w:rPr>
                <w:bCs/>
              </w:rPr>
            </w:pPr>
            <w:r w:rsidRPr="00DE44E5">
              <w:rPr>
                <w:bCs/>
              </w:rPr>
              <w:t>80</w:t>
            </w:r>
          </w:p>
        </w:tc>
        <w:tc>
          <w:tcPr>
            <w:tcW w:w="711" w:type="pct"/>
            <w:shd w:val="clear" w:color="auto" w:fill="auto"/>
          </w:tcPr>
          <w:p w14:paraId="3AE71D9F" w14:textId="77777777" w:rsidR="00F30783" w:rsidRPr="005D6D89" w:rsidRDefault="00F30783" w:rsidP="001048C6">
            <w:pPr>
              <w:pStyle w:val="TableText"/>
            </w:pPr>
            <w:r w:rsidRPr="005D6D89">
              <w:t>Major</w:t>
            </w:r>
          </w:p>
        </w:tc>
      </w:tr>
      <w:tr w:rsidR="00F30783" w:rsidRPr="005D6D89" w14:paraId="00A028F3" w14:textId="77777777" w:rsidTr="00095C79">
        <w:tc>
          <w:tcPr>
            <w:tcW w:w="3739" w:type="pct"/>
            <w:shd w:val="clear" w:color="auto" w:fill="auto"/>
            <w:tcMar>
              <w:top w:w="0" w:type="dxa"/>
            </w:tcMar>
          </w:tcPr>
          <w:p w14:paraId="69DE7C51" w14:textId="77777777" w:rsidR="00F30783" w:rsidRPr="005D6D89" w:rsidRDefault="00F30783" w:rsidP="001048C6">
            <w:pPr>
              <w:pStyle w:val="TableText"/>
              <w:rPr>
                <w:rFonts w:cs="Arial"/>
              </w:rPr>
            </w:pPr>
            <w:r w:rsidRPr="005D6D89">
              <w:rPr>
                <w:rFonts w:cs="Arial"/>
              </w:rPr>
              <w:t>E6 Risks to the insurability of assets due to ongoing sea-level rise and extreme weather events</w:t>
            </w:r>
            <w:r w:rsidRPr="005D6D89">
              <w:rPr>
                <w:rFonts w:ascii="Arial" w:hAnsi="Arial" w:cs="Arial"/>
              </w:rPr>
              <w:t>.</w:t>
            </w:r>
          </w:p>
        </w:tc>
        <w:tc>
          <w:tcPr>
            <w:tcW w:w="550" w:type="pct"/>
          </w:tcPr>
          <w:p w14:paraId="17541CAD" w14:textId="77777777" w:rsidR="00F30783" w:rsidRPr="00DE44E5" w:rsidRDefault="00F30783" w:rsidP="00A6362A">
            <w:pPr>
              <w:pStyle w:val="TableText"/>
              <w:jc w:val="center"/>
              <w:rPr>
                <w:bCs/>
              </w:rPr>
            </w:pPr>
            <w:r w:rsidRPr="00DE44E5">
              <w:rPr>
                <w:bCs/>
              </w:rPr>
              <w:t>75</w:t>
            </w:r>
          </w:p>
        </w:tc>
        <w:tc>
          <w:tcPr>
            <w:tcW w:w="711" w:type="pct"/>
            <w:shd w:val="clear" w:color="auto" w:fill="auto"/>
          </w:tcPr>
          <w:p w14:paraId="10DCC5E2" w14:textId="77777777" w:rsidR="00F30783" w:rsidRPr="005D6D89" w:rsidRDefault="00F30783" w:rsidP="001048C6">
            <w:pPr>
              <w:pStyle w:val="TableText"/>
            </w:pPr>
            <w:r w:rsidRPr="005D6D89">
              <w:t>Major</w:t>
            </w:r>
          </w:p>
        </w:tc>
      </w:tr>
      <w:tr w:rsidR="00F30783" w:rsidRPr="005D6D89" w14:paraId="429AD414" w14:textId="77777777" w:rsidTr="00095C79">
        <w:tc>
          <w:tcPr>
            <w:tcW w:w="3739" w:type="pct"/>
            <w:tcBorders>
              <w:bottom w:val="nil"/>
            </w:tcBorders>
            <w:shd w:val="clear" w:color="auto" w:fill="auto"/>
            <w:tcMar>
              <w:top w:w="0" w:type="dxa"/>
            </w:tcMar>
          </w:tcPr>
          <w:p w14:paraId="1B4FAE73" w14:textId="77777777" w:rsidR="00F30783" w:rsidRPr="005D6D89" w:rsidRDefault="00F30783" w:rsidP="001048C6">
            <w:pPr>
              <w:pStyle w:val="TableText"/>
              <w:rPr>
                <w:rFonts w:cs="Arial"/>
              </w:rPr>
            </w:pPr>
            <w:r w:rsidRPr="005D6D89">
              <w:rPr>
                <w:rFonts w:cs="Arial"/>
              </w:rPr>
              <w:t>E7 Risks to businesses and public organisations from supply chain and distribution network disruptions due to extreme weather events and ongoing, gradual changes.</w:t>
            </w:r>
          </w:p>
        </w:tc>
        <w:tc>
          <w:tcPr>
            <w:tcW w:w="550" w:type="pct"/>
            <w:tcBorders>
              <w:bottom w:val="nil"/>
            </w:tcBorders>
          </w:tcPr>
          <w:p w14:paraId="5AE41FC8" w14:textId="77777777" w:rsidR="00F30783" w:rsidRPr="00DE44E5" w:rsidRDefault="00F30783" w:rsidP="00A6362A">
            <w:pPr>
              <w:pStyle w:val="TableText"/>
              <w:jc w:val="center"/>
              <w:rPr>
                <w:bCs/>
              </w:rPr>
            </w:pPr>
            <w:r w:rsidRPr="00DE44E5">
              <w:rPr>
                <w:bCs/>
              </w:rPr>
              <w:t>68</w:t>
            </w:r>
          </w:p>
        </w:tc>
        <w:tc>
          <w:tcPr>
            <w:tcW w:w="711" w:type="pct"/>
            <w:tcBorders>
              <w:bottom w:val="nil"/>
            </w:tcBorders>
            <w:shd w:val="clear" w:color="auto" w:fill="auto"/>
          </w:tcPr>
          <w:p w14:paraId="7CA43539" w14:textId="77777777" w:rsidR="00F30783" w:rsidRPr="005D6D89" w:rsidRDefault="00F30783" w:rsidP="001048C6">
            <w:pPr>
              <w:pStyle w:val="TableText"/>
            </w:pPr>
            <w:r w:rsidRPr="005D6D89">
              <w:t>Major</w:t>
            </w:r>
          </w:p>
        </w:tc>
      </w:tr>
      <w:tr w:rsidR="00DF6366" w:rsidRPr="00DF6366" w14:paraId="0DBBC1E7" w14:textId="77777777" w:rsidTr="00095C79">
        <w:tc>
          <w:tcPr>
            <w:tcW w:w="5000" w:type="pct"/>
            <w:gridSpan w:val="3"/>
            <w:tcBorders>
              <w:top w:val="nil"/>
              <w:bottom w:val="nil"/>
            </w:tcBorders>
            <w:shd w:val="clear" w:color="auto" w:fill="D2DDE2" w:themeFill="accent3"/>
            <w:tcMar>
              <w:top w:w="0" w:type="dxa"/>
            </w:tcMar>
          </w:tcPr>
          <w:p w14:paraId="48C6CD38" w14:textId="77777777" w:rsidR="00463827" w:rsidRPr="00DF6366" w:rsidRDefault="00463827" w:rsidP="00DC6376">
            <w:pPr>
              <w:pStyle w:val="TableText"/>
              <w:keepNext/>
              <w:tabs>
                <w:tab w:val="left" w:pos="1707"/>
              </w:tabs>
            </w:pPr>
            <w:r w:rsidRPr="00DF6366">
              <w:rPr>
                <w:b/>
              </w:rPr>
              <w:t>Opportunities</w:t>
            </w:r>
          </w:p>
        </w:tc>
      </w:tr>
      <w:tr w:rsidR="00F30783" w:rsidRPr="005D6D89" w14:paraId="768112D5" w14:textId="77777777" w:rsidTr="00095C79">
        <w:tc>
          <w:tcPr>
            <w:tcW w:w="3739" w:type="pct"/>
            <w:tcBorders>
              <w:top w:val="nil"/>
            </w:tcBorders>
            <w:shd w:val="clear" w:color="auto" w:fill="auto"/>
            <w:tcMar>
              <w:top w:w="0" w:type="dxa"/>
            </w:tcMar>
          </w:tcPr>
          <w:p w14:paraId="770A6540" w14:textId="77777777" w:rsidR="00F30783" w:rsidRPr="005D6D89" w:rsidRDefault="0080544C" w:rsidP="001048C6">
            <w:pPr>
              <w:pStyle w:val="TableText"/>
            </w:pPr>
            <w:r>
              <w:rPr>
                <w:rFonts w:cs="Arial"/>
              </w:rPr>
              <w:t>EO1</w:t>
            </w:r>
            <w:r w:rsidR="00F30783" w:rsidRPr="005D6D89">
              <w:rPr>
                <w:rFonts w:cs="Arial"/>
              </w:rPr>
              <w:t xml:space="preserve"> Opportunities for increased primary sector productivity due to warmer temperatures</w:t>
            </w:r>
          </w:p>
        </w:tc>
        <w:tc>
          <w:tcPr>
            <w:tcW w:w="550" w:type="pct"/>
            <w:tcBorders>
              <w:top w:val="nil"/>
            </w:tcBorders>
          </w:tcPr>
          <w:p w14:paraId="64DB3A24" w14:textId="77777777" w:rsidR="00F30783" w:rsidRPr="00DE44E5" w:rsidRDefault="00F30783" w:rsidP="00A6362A">
            <w:pPr>
              <w:pStyle w:val="TableText"/>
              <w:jc w:val="center"/>
              <w:rPr>
                <w:bCs/>
              </w:rPr>
            </w:pPr>
            <w:r w:rsidRPr="00DE44E5">
              <w:rPr>
                <w:bCs/>
              </w:rPr>
              <w:t>80</w:t>
            </w:r>
          </w:p>
        </w:tc>
        <w:tc>
          <w:tcPr>
            <w:tcW w:w="711" w:type="pct"/>
            <w:tcBorders>
              <w:top w:val="nil"/>
            </w:tcBorders>
            <w:shd w:val="clear" w:color="auto" w:fill="auto"/>
          </w:tcPr>
          <w:p w14:paraId="49525483" w14:textId="77777777" w:rsidR="00F30783" w:rsidRPr="005D6D89" w:rsidRDefault="00F30783" w:rsidP="001048C6">
            <w:pPr>
              <w:pStyle w:val="TableText"/>
            </w:pPr>
            <w:r w:rsidRPr="005D6D89">
              <w:t>n/a</w:t>
            </w:r>
          </w:p>
        </w:tc>
      </w:tr>
      <w:tr w:rsidR="00F30783" w:rsidRPr="005D6D89" w14:paraId="5E2A67F6" w14:textId="77777777" w:rsidTr="00095C79">
        <w:tc>
          <w:tcPr>
            <w:tcW w:w="3739" w:type="pct"/>
            <w:shd w:val="clear" w:color="auto" w:fill="auto"/>
            <w:tcMar>
              <w:top w:w="0" w:type="dxa"/>
            </w:tcMar>
          </w:tcPr>
          <w:p w14:paraId="50BC6F23" w14:textId="77777777" w:rsidR="00F30783" w:rsidRPr="005D6D89" w:rsidRDefault="0080544C" w:rsidP="001048C6">
            <w:pPr>
              <w:pStyle w:val="TableText"/>
            </w:pPr>
            <w:r>
              <w:rPr>
                <w:rFonts w:cs="Arial"/>
              </w:rPr>
              <w:t>EO2</w:t>
            </w:r>
            <w:r w:rsidR="00F30783" w:rsidRPr="005D6D89">
              <w:rPr>
                <w:rFonts w:cs="Arial"/>
              </w:rPr>
              <w:t xml:space="preserve"> Opportunity for businesses to provide adaptation-related goods and services</w:t>
            </w:r>
          </w:p>
        </w:tc>
        <w:tc>
          <w:tcPr>
            <w:tcW w:w="550" w:type="pct"/>
          </w:tcPr>
          <w:p w14:paraId="680071FF" w14:textId="77777777" w:rsidR="00F30783" w:rsidRPr="00DE44E5" w:rsidRDefault="00F30783" w:rsidP="00A6362A">
            <w:pPr>
              <w:pStyle w:val="TableText"/>
              <w:jc w:val="center"/>
              <w:rPr>
                <w:bCs/>
              </w:rPr>
            </w:pPr>
            <w:r w:rsidRPr="00DE44E5">
              <w:rPr>
                <w:bCs/>
              </w:rPr>
              <w:t>80</w:t>
            </w:r>
          </w:p>
        </w:tc>
        <w:tc>
          <w:tcPr>
            <w:tcW w:w="711" w:type="pct"/>
            <w:shd w:val="clear" w:color="auto" w:fill="auto"/>
          </w:tcPr>
          <w:p w14:paraId="74222D22" w14:textId="77777777" w:rsidR="00F30783" w:rsidRPr="005D6D89" w:rsidRDefault="00F30783" w:rsidP="001048C6">
            <w:pPr>
              <w:pStyle w:val="TableText"/>
            </w:pPr>
            <w:r w:rsidRPr="005D6D89">
              <w:t>n/a</w:t>
            </w:r>
          </w:p>
        </w:tc>
      </w:tr>
    </w:tbl>
    <w:bookmarkEnd w:id="382"/>
    <w:p w14:paraId="1BE336E4" w14:textId="77777777" w:rsidR="00463827" w:rsidRPr="005D6D89" w:rsidRDefault="00463827" w:rsidP="00CE6BF9">
      <w:pPr>
        <w:pStyle w:val="Note"/>
        <w:spacing w:after="60"/>
      </w:pPr>
      <w:r w:rsidRPr="005D6D89">
        <w:t>* Urgency rating: the adaptation and decision urgency rating for this risk.</w:t>
      </w:r>
    </w:p>
    <w:p w14:paraId="76BD793B" w14:textId="03BDDEB8" w:rsidR="00463827" w:rsidRPr="005D6D89" w:rsidRDefault="00463827" w:rsidP="00E84DBB">
      <w:pPr>
        <w:pStyle w:val="Note"/>
        <w:spacing w:before="0"/>
      </w:pPr>
      <w:r w:rsidRPr="005D6D89">
        <w:t>**Consequence rating: the highest consequence rating for this risk out of all three periods (now, 2050, 2100).</w:t>
      </w:r>
      <w:r w:rsidR="00027F9F" w:rsidRPr="005D6D89">
        <w:t xml:space="preserve"> </w:t>
      </w:r>
      <w:r w:rsidRPr="005D6D89">
        <w:t>The</w:t>
      </w:r>
      <w:r w:rsidR="00C5220A" w:rsidRPr="005D6D89">
        <w:t> </w:t>
      </w:r>
      <w:hyperlink r:id="rId56" w:history="1">
        <w:r w:rsidR="00E546F8" w:rsidRPr="00E546F8">
          <w:rPr>
            <w:rStyle w:val="Hyperlink"/>
          </w:rPr>
          <w:t>technical report</w:t>
        </w:r>
      </w:hyperlink>
      <w:r w:rsidRPr="005D6D89">
        <w:t xml:space="preserve"> provides this rating for each risk and period.</w:t>
      </w:r>
    </w:p>
    <w:p w14:paraId="5DE0B34F" w14:textId="77777777" w:rsidR="004E27B1" w:rsidRPr="005D6D89" w:rsidRDefault="004E27B1" w:rsidP="00812D16">
      <w:pPr>
        <w:pStyle w:val="Heading3"/>
        <w:numPr>
          <w:ilvl w:val="0"/>
          <w:numId w:val="30"/>
        </w:numPr>
      </w:pPr>
      <w:bookmarkStart w:id="383" w:name="_Toc40699361"/>
      <w:bookmarkStart w:id="384" w:name="_Toc37255780"/>
      <w:bookmarkStart w:id="385" w:name="_Toc37393681"/>
      <w:r w:rsidRPr="005D6D89">
        <w:t xml:space="preserve">Most </w:t>
      </w:r>
      <w:bookmarkStart w:id="386" w:name="_Hlk35589260"/>
      <w:r w:rsidRPr="005D6D89">
        <w:t>significant risks</w:t>
      </w:r>
      <w:bookmarkEnd w:id="383"/>
    </w:p>
    <w:p w14:paraId="104BC6AD" w14:textId="77777777" w:rsidR="004E27B1" w:rsidRPr="005D6D89" w:rsidRDefault="004E27B1" w:rsidP="001E6965">
      <w:pPr>
        <w:pStyle w:val="Heading4"/>
        <w:spacing w:before="240"/>
      </w:pPr>
      <w:r w:rsidRPr="005D6D89">
        <w:t xml:space="preserve">E1 </w:t>
      </w:r>
      <w:bookmarkEnd w:id="384"/>
      <w:bookmarkEnd w:id="385"/>
      <w:r w:rsidR="00F046A4" w:rsidRPr="00F046A4">
        <w:t>Risks to governments from economic costs associated with lost productivity, disaster relief expenditure and unfunded contingent liabilities due to extreme events and ongoing, gradual changes.</w:t>
      </w:r>
    </w:p>
    <w:p w14:paraId="4611A0AE" w14:textId="77777777" w:rsidR="004E27B1" w:rsidRPr="005D6D89" w:rsidRDefault="004E27B1" w:rsidP="001E6965">
      <w:pPr>
        <w:pStyle w:val="Heading5"/>
      </w:pPr>
      <w:bookmarkStart w:id="387" w:name="_Hlk37682790"/>
      <w:bookmarkEnd w:id="386"/>
      <w:r w:rsidRPr="005D6D89">
        <w:t>Risk summary</w:t>
      </w:r>
    </w:p>
    <w:p w14:paraId="2D4E1824" w14:textId="77777777" w:rsidR="004E27B1" w:rsidRPr="005D6D89" w:rsidRDefault="004E27B1" w:rsidP="001E6965">
      <w:pPr>
        <w:pStyle w:val="BodyText"/>
      </w:pPr>
      <w:r w:rsidRPr="005D6D89">
        <w:t>The costs of climate change in New Zealand are already significant (Frame et al, 2018), and will only increase over time. Almost all risks detailed in this report impact on the economy and the Government</w:t>
      </w:r>
      <w:r w:rsidR="001200EA">
        <w:t>’</w:t>
      </w:r>
      <w:r w:rsidRPr="005D6D89">
        <w:t xml:space="preserve">s fiscal position, whether from loss of revenue or additional spending to adapt infrastructure, respond to health needs or recover from extreme events. The damages from, and costs of adapting to climate change will likely place a significant and growing financial burden on public authorities, who will be tasked with funding investments in adaptation, providing post-event relief and responding to health impacts. </w:t>
      </w:r>
    </w:p>
    <w:p w14:paraId="2800EA42" w14:textId="77777777" w:rsidR="004E27B1" w:rsidRPr="005D6D89" w:rsidRDefault="004E27B1" w:rsidP="001E6965">
      <w:pPr>
        <w:pStyle w:val="Heading5"/>
      </w:pPr>
      <w:r w:rsidRPr="005D6D89">
        <w:t>Exposure</w:t>
      </w:r>
    </w:p>
    <w:p w14:paraId="46279CE6" w14:textId="77777777" w:rsidR="004E27B1" w:rsidRPr="005D6D89" w:rsidRDefault="004E27B1" w:rsidP="001E6965">
      <w:pPr>
        <w:pStyle w:val="BodyText"/>
      </w:pPr>
      <w:r w:rsidRPr="005D6D89">
        <w:t>The public sector and the Government</w:t>
      </w:r>
      <w:r w:rsidR="001200EA">
        <w:t>’</w:t>
      </w:r>
      <w:r w:rsidRPr="005D6D89">
        <w:t xml:space="preserve">s fiscal position </w:t>
      </w:r>
      <w:proofErr w:type="gramStart"/>
      <w:r w:rsidRPr="005D6D89">
        <w:t>are exposed</w:t>
      </w:r>
      <w:proofErr w:type="gramEnd"/>
      <w:r w:rsidRPr="005D6D89">
        <w:t xml:space="preserve"> to the consequences of climate change across the domains. The damage from climate-change hazards will place a growing financial burden on citizens, businesses and public authorities. Central and local government, on behalf of communities, manage risks to public goods and assets (including the environment) and create an institutional, market and regulatory context that promotes resilience and action (Ministry for the Environment, 2017c). </w:t>
      </w:r>
    </w:p>
    <w:p w14:paraId="78BB02DC" w14:textId="77777777" w:rsidR="004E27B1" w:rsidRPr="005D6D89" w:rsidRDefault="004E27B1" w:rsidP="001E6965">
      <w:pPr>
        <w:pStyle w:val="BodyText"/>
      </w:pPr>
      <w:r w:rsidRPr="005D6D89">
        <w:t xml:space="preserve">Research by Frame </w:t>
      </w:r>
      <w:r w:rsidR="00226961">
        <w:t>et al</w:t>
      </w:r>
      <w:r w:rsidRPr="005D6D89">
        <w:t xml:space="preserve"> (2018) investigated the scale of the economic impact of climate</w:t>
      </w:r>
      <w:r w:rsidR="004D197E">
        <w:noBreakHyphen/>
      </w:r>
      <w:r w:rsidRPr="005D6D89">
        <w:t>related floods and drought in New Zealand between mid-2007 and mid-2017. They</w:t>
      </w:r>
      <w:r w:rsidR="004D197E">
        <w:t> </w:t>
      </w:r>
      <w:r w:rsidRPr="005D6D89">
        <w:t xml:space="preserve">conservatively estimate that flood and drought costs attributable to anthropogenic influence on climate are already somewhere near $120 million per decade for insured damages from floods, and $720 million per decade for economic losses from droughts. They warn these costs will “almost certainly” (p9) increase over time. Already the annual cost of repairing land transport networks damaged by weather-related events (B6) has more than quadrupled over the past decade (Boston and Lawrence, 2018). The Government </w:t>
      </w:r>
      <w:proofErr w:type="gramStart"/>
      <w:r w:rsidRPr="005D6D89">
        <w:t>may be exposed</w:t>
      </w:r>
      <w:proofErr w:type="gramEnd"/>
      <w:r w:rsidRPr="005D6D89">
        <w:t xml:space="preserve"> to compensation for homeowners and commercial buildings, due to managed retreat</w:t>
      </w:r>
      <w:r w:rsidR="004D197E">
        <w:t> </w:t>
      </w:r>
      <w:r w:rsidRPr="005D6D89">
        <w:t>from landslide areas and coastal or river flood plains.</w:t>
      </w:r>
      <w:r w:rsidR="00027F9F" w:rsidRPr="005D6D89">
        <w:t xml:space="preserve"> </w:t>
      </w:r>
    </w:p>
    <w:p w14:paraId="3969B3EC" w14:textId="77777777" w:rsidR="004E27B1" w:rsidRPr="005D6D89" w:rsidRDefault="004E27B1" w:rsidP="001E6965">
      <w:pPr>
        <w:pStyle w:val="BodyText"/>
      </w:pPr>
      <w:r w:rsidRPr="005D6D89">
        <w:t>Ecosystem services provided by the natural environment are significant and</w:t>
      </w:r>
      <w:r w:rsidR="00226961">
        <w:t>,</w:t>
      </w:r>
      <w:r w:rsidRPr="005D6D89">
        <w:t xml:space="preserve"> in some cases</w:t>
      </w:r>
      <w:r w:rsidR="00226961">
        <w:t>,</w:t>
      </w:r>
      <w:r w:rsidRPr="005D6D89">
        <w:t xml:space="preserve"> irreplaceable. Examples include nutrient cycling, soil provision, water and air purification, carbon sequestration, food and resource provision, and cultural services and experiences. Their loss, as well as diminishing the welfare of all New Zealanders, may also burden the Government by </w:t>
      </w:r>
      <w:proofErr w:type="gramStart"/>
      <w:r w:rsidRPr="005D6D89">
        <w:t>impacting on</w:t>
      </w:r>
      <w:proofErr w:type="gramEnd"/>
      <w:r w:rsidRPr="005D6D89">
        <w:t xml:space="preserve"> key sectors of the economy, such as primary industries (E3, E5) and tourism (E4). The impacts of climate change on people also manifest in the economy, through declining productivity in hot weather, the direct health risks from disease and exposure to extreme events (H3), the indirect costs of trauma (H1)</w:t>
      </w:r>
      <w:r w:rsidR="00226961">
        <w:t>,</w:t>
      </w:r>
      <w:r w:rsidRPr="005D6D89">
        <w:t xml:space="preserve"> and exacerbation of persistent inequalities (H2). </w:t>
      </w:r>
    </w:p>
    <w:p w14:paraId="27284445" w14:textId="77777777" w:rsidR="004E27B1" w:rsidRPr="005D6D89" w:rsidRDefault="004E27B1" w:rsidP="001E6965">
      <w:pPr>
        <w:pStyle w:val="BodyText"/>
      </w:pPr>
      <w:r w:rsidRPr="005D6D89">
        <w:t>A review of recent research related to climate change risks in New Zealand by McKim (2016) identified only two pieces of (</w:t>
      </w:r>
      <w:r w:rsidRPr="00136D82">
        <w:t>grey</w:t>
      </w:r>
      <w:r w:rsidRPr="005D6D89">
        <w:t xml:space="preserve">) literature on finance (including banking and insurance) and climate change. It </w:t>
      </w:r>
      <w:proofErr w:type="gramStart"/>
      <w:r w:rsidRPr="005D6D89">
        <w:t>concluded that</w:t>
      </w:r>
      <w:proofErr w:type="gramEnd"/>
      <w:r w:rsidRPr="005D6D89">
        <w:t xml:space="preserve"> “a general lack of published research in this area, at least in the New Zealand context, is evident</w:t>
      </w:r>
      <w:r w:rsidRPr="005D6D89">
        <w:rPr>
          <w:i/>
        </w:rPr>
        <w:t>”</w:t>
      </w:r>
      <w:r w:rsidRPr="005D6D89">
        <w:t xml:space="preserve"> (p15).</w:t>
      </w:r>
    </w:p>
    <w:p w14:paraId="4ECFD53F" w14:textId="77777777" w:rsidR="004E27B1" w:rsidRPr="005D6D89" w:rsidRDefault="004E27B1" w:rsidP="001E6965">
      <w:pPr>
        <w:pStyle w:val="Heading5"/>
      </w:pPr>
      <w:r w:rsidRPr="005D6D89">
        <w:t>Sensitivity</w:t>
      </w:r>
    </w:p>
    <w:p w14:paraId="1634A4FC" w14:textId="77777777" w:rsidR="004E27B1" w:rsidRPr="005D6D89" w:rsidRDefault="00226961" w:rsidP="00360986">
      <w:pPr>
        <w:pStyle w:val="BodyText"/>
        <w:spacing w:before="100" w:after="100"/>
      </w:pPr>
      <w:r>
        <w:t>New Zealand g</w:t>
      </w:r>
      <w:r w:rsidR="004E27B1" w:rsidRPr="005D6D89">
        <w:t xml:space="preserve">overnments are sensitive to the financial risks from climate change. Already local governments are struggling to finance infrastructure for housing, tourism and regional development, provide safe drinking water, and develop resilient infrastructure (DIA 2017). For some councils, further investment is constrained because they are approaching covenanted debt limits (New Zealand Productivity Commission, 2019). </w:t>
      </w:r>
    </w:p>
    <w:p w14:paraId="7CAA1BE1" w14:textId="77777777" w:rsidR="004E27B1" w:rsidRPr="005D6D89" w:rsidRDefault="004E27B1" w:rsidP="00360986">
      <w:pPr>
        <w:pStyle w:val="BodyText"/>
        <w:spacing w:before="100" w:after="100"/>
      </w:pPr>
      <w:r w:rsidRPr="005D6D89">
        <w:t xml:space="preserve">Local governments rely on rates for more than 50 per cent of their income, which </w:t>
      </w:r>
      <w:proofErr w:type="gramStart"/>
      <w:r w:rsidRPr="005D6D89">
        <w:t>are generally based</w:t>
      </w:r>
      <w:proofErr w:type="gramEnd"/>
      <w:r w:rsidRPr="005D6D89">
        <w:t xml:space="preserve"> on the land, capital or rental value of property in the government area (LGNZ, 2019). This situation increases the sensitivity of local governments to climate change impacts that influence property values, for example </w:t>
      </w:r>
      <w:r w:rsidRPr="00136D82">
        <w:t>insurance sector retreat</w:t>
      </w:r>
      <w:r w:rsidRPr="005D6D89">
        <w:t xml:space="preserve"> (E6). Also, rates that are linked to land, capital or rental values may fail to keep pace with the costs of adaptation, particularly those projected to occur under RCP8.5 </w:t>
      </w:r>
      <w:r w:rsidRPr="00136D82">
        <w:t xml:space="preserve">(see </w:t>
      </w:r>
      <w:hyperlink w:anchor="box1" w:history="1">
        <w:r w:rsidR="00297930" w:rsidRPr="00136D82">
          <w:rPr>
            <w:rStyle w:val="Hyperlink"/>
          </w:rPr>
          <w:t>b</w:t>
        </w:r>
        <w:r w:rsidRPr="00136D82">
          <w:rPr>
            <w:rStyle w:val="Hyperlink"/>
          </w:rPr>
          <w:t>ox 1</w:t>
        </w:r>
      </w:hyperlink>
      <w:r w:rsidRPr="00136D82">
        <w:t>).</w:t>
      </w:r>
    </w:p>
    <w:p w14:paraId="24FC79C1" w14:textId="77777777" w:rsidR="004E27B1" w:rsidRPr="005D6D89" w:rsidRDefault="004E27B1" w:rsidP="00360986">
      <w:pPr>
        <w:pStyle w:val="BodyText"/>
        <w:spacing w:before="100" w:after="100"/>
      </w:pPr>
      <w:r w:rsidRPr="005D6D89">
        <w:t xml:space="preserve">Central government finances are relatively strong, but fiscal pressures </w:t>
      </w:r>
      <w:proofErr w:type="gramStart"/>
      <w:r w:rsidRPr="005D6D89">
        <w:t>are projected</w:t>
      </w:r>
      <w:proofErr w:type="gramEnd"/>
      <w:r w:rsidRPr="005D6D89">
        <w:t xml:space="preserve"> to increase as an ageing population slows revenue growth and increases expenses (Treasury, 2019). The Treasury (2016) also warns that “[i]n the future, we may also see threats to our natural resources (</w:t>
      </w:r>
      <w:r w:rsidR="0080544C">
        <w:t>eg,</w:t>
      </w:r>
      <w:r w:rsidRPr="005D6D89">
        <w:t xml:space="preserve"> climate change, water quality and natural disasters) as a fiscal pressure” (p6).</w:t>
      </w:r>
    </w:p>
    <w:p w14:paraId="04D7B410" w14:textId="77777777" w:rsidR="004E27B1" w:rsidRPr="005D6D89" w:rsidRDefault="004E27B1" w:rsidP="001E6965">
      <w:pPr>
        <w:pStyle w:val="Heading5"/>
      </w:pPr>
      <w:r w:rsidRPr="005D6D89">
        <w:t>Adaptive capacity</w:t>
      </w:r>
    </w:p>
    <w:p w14:paraId="62238035" w14:textId="77777777" w:rsidR="004E27B1" w:rsidRPr="005D6D89" w:rsidRDefault="004E27B1" w:rsidP="00360986">
      <w:pPr>
        <w:pStyle w:val="BodyText"/>
        <w:spacing w:before="100" w:after="100"/>
      </w:pPr>
      <w:r w:rsidRPr="005D6D89">
        <w:t xml:space="preserve">Local governments currently have varying, but generally limited, capacity to respond to economic risks. Some councils have indicated they could meet additional costs through general or targeted rates (James et al, 2019). However, on average, growth in council rates has outstripped common economic indicators, and continuing rates increases may </w:t>
      </w:r>
      <w:r w:rsidR="003F4926">
        <w:t xml:space="preserve">make council rates less affordable </w:t>
      </w:r>
      <w:r w:rsidRPr="005D6D89">
        <w:t xml:space="preserve">for households (DIA, 2017). Other councils have disaster relief funds or have already budgeted for higher infrastructure costs. Many councils remain unsure of what the costs would be and how they would meet </w:t>
      </w:r>
      <w:proofErr w:type="gramStart"/>
      <w:r w:rsidRPr="005D6D89">
        <w:t>them</w:t>
      </w:r>
      <w:proofErr w:type="gramEnd"/>
      <w:r w:rsidRPr="005D6D89">
        <w:t xml:space="preserve"> (James et al, 2019). </w:t>
      </w:r>
    </w:p>
    <w:p w14:paraId="06FA6C84" w14:textId="77777777" w:rsidR="004E27B1" w:rsidRPr="005D6D89" w:rsidRDefault="004E27B1" w:rsidP="00360986">
      <w:pPr>
        <w:pStyle w:val="BodyText"/>
        <w:spacing w:before="100" w:after="100"/>
      </w:pPr>
      <w:r w:rsidRPr="005D6D89">
        <w:t>Central government is better able to adapt by preparing for a changed climatic future and funding efforts to ensure New Zealanders can prosper socially, economically and culturally. Central government sets the domestic regulatory framework for considering adaptation. Among other roles, it provides robust information on how New Zealand</w:t>
      </w:r>
      <w:r w:rsidR="001200EA">
        <w:t>’</w:t>
      </w:r>
      <w:r w:rsidRPr="005D6D89">
        <w:t>s environment may</w:t>
      </w:r>
      <w:r w:rsidR="00BD3164" w:rsidRPr="005D6D89">
        <w:t> </w:t>
      </w:r>
      <w:r w:rsidRPr="005D6D89">
        <w:t>change and makes this information accessible to other sectors (Ministry for the Environment, 2017c).</w:t>
      </w:r>
    </w:p>
    <w:p w14:paraId="5021AFB6" w14:textId="77777777" w:rsidR="004E27B1" w:rsidRPr="005D6D89" w:rsidRDefault="004E27B1" w:rsidP="001E6965">
      <w:pPr>
        <w:pStyle w:val="Heading5"/>
      </w:pPr>
      <w:r w:rsidRPr="005D6D89">
        <w:t>Consequence</w:t>
      </w:r>
    </w:p>
    <w:p w14:paraId="375EB5F4" w14:textId="77777777" w:rsidR="004E27B1" w:rsidRPr="005D6D89" w:rsidRDefault="004E27B1" w:rsidP="00360986">
      <w:pPr>
        <w:pStyle w:val="BodyText"/>
        <w:spacing w:before="100"/>
      </w:pPr>
      <w:r w:rsidRPr="005D6D89">
        <w:t>There have been numerous attempts to calculate the economic cost of climate change, notably the Stern Review (Stern, 2006). This estimated that, without action, climate change</w:t>
      </w:r>
      <w:r w:rsidR="001E6965" w:rsidRPr="005D6D89">
        <w:t> </w:t>
      </w:r>
      <w:r w:rsidR="00237239" w:rsidRPr="005D6D89">
        <w:t>might</w:t>
      </w:r>
      <w:r w:rsidRPr="005D6D89">
        <w:t xml:space="preserve"> lead to costs equivalent to losing at least 5 per cent of global gross domestic product (GDP) each year</w:t>
      </w:r>
      <w:r w:rsidRPr="005D6D89">
        <w:rPr>
          <w:b/>
          <w:bCs/>
        </w:rPr>
        <w:t xml:space="preserve">. </w:t>
      </w:r>
      <w:r w:rsidRPr="005D6D89">
        <w:t xml:space="preserve">More recently, Hinkel </w:t>
      </w:r>
      <w:r w:rsidR="00226961">
        <w:t>et al</w:t>
      </w:r>
      <w:r w:rsidRPr="005D6D89">
        <w:t xml:space="preserve"> (2014) estimated </w:t>
      </w:r>
      <w:r w:rsidR="00237239">
        <w:t xml:space="preserve">that </w:t>
      </w:r>
      <w:r w:rsidRPr="005D6D89">
        <w:t>if the sea</w:t>
      </w:r>
      <w:r w:rsidR="00226961">
        <w:t xml:space="preserve"> </w:t>
      </w:r>
      <w:r w:rsidRPr="005D6D89">
        <w:t>level rises by</w:t>
      </w:r>
      <w:r w:rsidR="001E6965" w:rsidRPr="005D6D89">
        <w:t> </w:t>
      </w:r>
      <w:r w:rsidRPr="005D6D89">
        <w:t>1.23</w:t>
      </w:r>
      <w:r w:rsidR="001E6965" w:rsidRPr="005D6D89">
        <w:t> </w:t>
      </w:r>
      <w:r w:rsidRPr="005D6D89">
        <w:t>m by 2100</w:t>
      </w:r>
      <w:r w:rsidR="001E6965" w:rsidRPr="005D6D89">
        <w:t>,</w:t>
      </w:r>
      <w:r w:rsidRPr="005D6D89">
        <w:rPr>
          <w:rStyle w:val="FootnoteReference"/>
        </w:rPr>
        <w:footnoteReference w:id="7"/>
      </w:r>
      <w:r w:rsidRPr="005D6D89">
        <w:t xml:space="preserve"> frequent floods alone would cause losses of over 9 per cent of global</w:t>
      </w:r>
      <w:r w:rsidR="001E6965" w:rsidRPr="005D6D89">
        <w:t> </w:t>
      </w:r>
      <w:r w:rsidRPr="005D6D89">
        <w:t>GDP</w:t>
      </w:r>
      <w:r w:rsidR="001E6965" w:rsidRPr="005D6D89">
        <w:t> </w:t>
      </w:r>
      <w:r w:rsidRPr="005D6D89">
        <w:t>each year. A decline in economic output of this magnitude would have significant</w:t>
      </w:r>
      <w:r w:rsidR="001E6965" w:rsidRPr="005D6D89">
        <w:t> </w:t>
      </w:r>
      <w:r w:rsidRPr="005D6D89">
        <w:t>consequences for the New Zealand Government</w:t>
      </w:r>
      <w:r w:rsidR="001200EA">
        <w:t>’</w:t>
      </w:r>
      <w:r w:rsidRPr="005D6D89">
        <w:t>s ability to deliver services to</w:t>
      </w:r>
      <w:r w:rsidR="001E6965" w:rsidRPr="005D6D89">
        <w:t> </w:t>
      </w:r>
      <w:r w:rsidRPr="005D6D89">
        <w:t>support</w:t>
      </w:r>
      <w:r w:rsidR="001E6965" w:rsidRPr="005D6D89">
        <w:t> </w:t>
      </w:r>
      <w:r w:rsidRPr="005D6D89">
        <w:t>communities.</w:t>
      </w:r>
      <w:r w:rsidR="00027F9F" w:rsidRPr="005D6D89">
        <w:t xml:space="preserve"> </w:t>
      </w:r>
    </w:p>
    <w:p w14:paraId="47772D81" w14:textId="77777777" w:rsidR="004E27B1" w:rsidRPr="005D6D89" w:rsidRDefault="004E27B1" w:rsidP="001E6965">
      <w:pPr>
        <w:pStyle w:val="Heading5"/>
      </w:pPr>
      <w:r w:rsidRPr="005D6D89">
        <w:t>Confidence: High agreement, medium evidence</w:t>
      </w:r>
    </w:p>
    <w:p w14:paraId="42197BDD" w14:textId="77777777" w:rsidR="004E27B1" w:rsidRPr="005D6D89" w:rsidRDefault="004E27B1" w:rsidP="00360986">
      <w:pPr>
        <w:pStyle w:val="BodyText"/>
        <w:spacing w:before="100" w:after="100"/>
      </w:pPr>
      <w:r w:rsidRPr="005D6D89">
        <w:t>There is high agreement that climate change is likely to have adverse consequences for the economy, but limited agreement on their extent. There is robust evidence of the economic costs of climate change in other global regions, but very little research has explored this risk in the New Zealand context.</w:t>
      </w:r>
    </w:p>
    <w:p w14:paraId="66B1AA7E" w14:textId="77777777" w:rsidR="004E27B1" w:rsidRPr="005D6D89" w:rsidRDefault="004E27B1" w:rsidP="001E6965">
      <w:pPr>
        <w:pStyle w:val="Heading5"/>
      </w:pPr>
      <w:r w:rsidRPr="005D6D89">
        <w:t xml:space="preserve">Adaptation </w:t>
      </w:r>
    </w:p>
    <w:p w14:paraId="48E6A27A" w14:textId="77777777" w:rsidR="004E27B1" w:rsidRDefault="004E27B1" w:rsidP="00280FA5">
      <w:pPr>
        <w:pStyle w:val="BodyText"/>
        <w:spacing w:before="100"/>
      </w:pPr>
      <w:r w:rsidRPr="005D6D89">
        <w:t xml:space="preserve">All levels of government are taking actions that indirectly manage public sector fiscal risk. Efforts of central government and its departments include tax policies, adverse events policies, transport resilience strategies, capacity building and engagement with other levels of government. These </w:t>
      </w:r>
      <w:r w:rsidR="00226961">
        <w:t xml:space="preserve">efforts </w:t>
      </w:r>
      <w:proofErr w:type="gramStart"/>
      <w:r w:rsidRPr="005D6D89">
        <w:t>are not necessarily targeted</w:t>
      </w:r>
      <w:proofErr w:type="gramEnd"/>
      <w:r w:rsidRPr="005D6D89">
        <w:t xml:space="preserve"> directly at Risk E1 as it relates to climate change, but serve to reduce the risk regardless. Local and regional governments have also progressed actions related to infrastructure strategies, adaptation pathway development, establishing community resilience groups, and emergency management. Adaptation to address the other risks in this report will also contribute to reducing this risk.</w:t>
      </w:r>
    </w:p>
    <w:p w14:paraId="52F40214" w14:textId="77777777" w:rsidR="00951DB7" w:rsidRPr="005D6D89" w:rsidRDefault="00951DB7" w:rsidP="00951DB7">
      <w:pPr>
        <w:pStyle w:val="Tableheading"/>
      </w:pPr>
      <w:bookmarkStart w:id="388" w:name="_Toc43312813"/>
      <w:r>
        <w:t>Table 19:</w:t>
      </w:r>
      <w:r>
        <w:tab/>
      </w:r>
      <w:r w:rsidRPr="005D6D89">
        <w:t>E1 Public sector fiscal risks: Urgency profile</w:t>
      </w:r>
      <w:bookmarkEnd w:id="388"/>
    </w:p>
    <w:tbl>
      <w:tblPr>
        <w:tblStyle w:val="TableGrid"/>
        <w:tblW w:w="8613" w:type="dxa"/>
        <w:tblBorders>
          <w:top w:val="single" w:sz="4" w:space="0" w:color="32809C"/>
          <w:left w:val="none" w:sz="0" w:space="0" w:color="auto"/>
          <w:bottom w:val="single" w:sz="4" w:space="0" w:color="32809C"/>
          <w:right w:val="none" w:sz="0" w:space="0" w:color="auto"/>
          <w:insideH w:val="single" w:sz="4" w:space="0" w:color="32809C"/>
          <w:insideV w:val="single" w:sz="4" w:space="0" w:color="32809C"/>
        </w:tblBorders>
        <w:tblLayout w:type="fixed"/>
        <w:tblLook w:val="04A0" w:firstRow="1" w:lastRow="0" w:firstColumn="1" w:lastColumn="0" w:noHBand="0" w:noVBand="1"/>
      </w:tblPr>
      <w:tblGrid>
        <w:gridCol w:w="1876"/>
        <w:gridCol w:w="978"/>
        <w:gridCol w:w="972"/>
        <w:gridCol w:w="1070"/>
        <w:gridCol w:w="988"/>
        <w:gridCol w:w="616"/>
        <w:gridCol w:w="2113"/>
      </w:tblGrid>
      <w:tr w:rsidR="00952298" w:rsidRPr="005D6D89" w14:paraId="0FE17B6E" w14:textId="77777777" w:rsidTr="00095C79">
        <w:tc>
          <w:tcPr>
            <w:tcW w:w="8613" w:type="dxa"/>
            <w:gridSpan w:val="7"/>
            <w:shd w:val="clear" w:color="auto" w:fill="32809C"/>
          </w:tcPr>
          <w:p w14:paraId="76009859" w14:textId="77777777" w:rsidR="004E27B1" w:rsidRPr="005D6D89" w:rsidRDefault="004E27B1" w:rsidP="00360986">
            <w:pPr>
              <w:pStyle w:val="TableTextBold0"/>
              <w:spacing w:before="50" w:after="50"/>
              <w:rPr>
                <w:color w:val="FFFFFF" w:themeColor="background1"/>
              </w:rPr>
            </w:pPr>
            <w:r w:rsidRPr="005D6D89">
              <w:rPr>
                <w:color w:val="FFFFFF" w:themeColor="background1"/>
              </w:rPr>
              <w:t>E1 Public sector fiscal risks : Urgency profile</w:t>
            </w:r>
          </w:p>
        </w:tc>
      </w:tr>
      <w:tr w:rsidR="004E27B1" w:rsidRPr="005D6D89" w14:paraId="2B3C4474" w14:textId="77777777" w:rsidTr="00095C79">
        <w:tc>
          <w:tcPr>
            <w:tcW w:w="1876" w:type="dxa"/>
            <w:shd w:val="clear" w:color="auto" w:fill="FFFFFF" w:themeFill="background1"/>
          </w:tcPr>
          <w:p w14:paraId="5848F06B" w14:textId="77777777" w:rsidR="004E27B1" w:rsidRPr="00DE44E5" w:rsidRDefault="004E27B1" w:rsidP="00360986">
            <w:pPr>
              <w:pStyle w:val="TableTextBold0"/>
              <w:spacing w:before="50" w:after="50"/>
            </w:pPr>
            <w:r w:rsidRPr="00DE44E5">
              <w:t>Urgency category</w:t>
            </w:r>
          </w:p>
        </w:tc>
        <w:tc>
          <w:tcPr>
            <w:tcW w:w="1950" w:type="dxa"/>
            <w:gridSpan w:val="2"/>
          </w:tcPr>
          <w:p w14:paraId="013C2153" w14:textId="77777777" w:rsidR="004E27B1" w:rsidRPr="005D6D89" w:rsidRDefault="00845880" w:rsidP="00360986">
            <w:pPr>
              <w:pStyle w:val="TableText"/>
              <w:spacing w:before="50" w:after="50"/>
              <w:rPr>
                <w:b/>
                <w:bCs/>
              </w:rPr>
            </w:pPr>
            <w:r>
              <w:rPr>
                <w:b/>
                <w:bCs/>
              </w:rPr>
              <w:t>Proportion of urgency out of 100</w:t>
            </w:r>
          </w:p>
        </w:tc>
        <w:tc>
          <w:tcPr>
            <w:tcW w:w="4787" w:type="dxa"/>
            <w:gridSpan w:val="4"/>
          </w:tcPr>
          <w:p w14:paraId="7AD72891" w14:textId="77777777" w:rsidR="004E27B1" w:rsidRPr="005D6D89" w:rsidRDefault="004E27B1" w:rsidP="00360986">
            <w:pPr>
              <w:pStyle w:val="TableText"/>
              <w:spacing w:before="50" w:after="50"/>
              <w:rPr>
                <w:b/>
                <w:bCs/>
              </w:rPr>
            </w:pPr>
            <w:r w:rsidRPr="005D6D89">
              <w:rPr>
                <w:b/>
                <w:bCs/>
              </w:rPr>
              <w:t>Description of actions</w:t>
            </w:r>
          </w:p>
        </w:tc>
      </w:tr>
      <w:tr w:rsidR="004E27B1" w:rsidRPr="005D6D89" w14:paraId="1729595E" w14:textId="77777777" w:rsidTr="00095C79">
        <w:tc>
          <w:tcPr>
            <w:tcW w:w="1876" w:type="dxa"/>
            <w:shd w:val="clear" w:color="auto" w:fill="FFFFFF" w:themeFill="background1"/>
            <w:hideMark/>
          </w:tcPr>
          <w:p w14:paraId="421AEC3C" w14:textId="77777777" w:rsidR="004E27B1" w:rsidRPr="007D0B70" w:rsidRDefault="004E27B1" w:rsidP="00360986">
            <w:pPr>
              <w:pStyle w:val="TableTextBold0"/>
              <w:spacing w:before="50" w:after="50"/>
              <w:rPr>
                <w:b w:val="0"/>
              </w:rPr>
            </w:pPr>
            <w:r w:rsidRPr="007D0B70">
              <w:rPr>
                <w:b w:val="0"/>
              </w:rPr>
              <w:t>More action needed</w:t>
            </w:r>
          </w:p>
        </w:tc>
        <w:tc>
          <w:tcPr>
            <w:tcW w:w="1950" w:type="dxa"/>
            <w:gridSpan w:val="2"/>
          </w:tcPr>
          <w:p w14:paraId="1DE58853" w14:textId="77777777" w:rsidR="004E27B1" w:rsidRPr="005D6D89" w:rsidRDefault="004E27B1" w:rsidP="00360986">
            <w:pPr>
              <w:pStyle w:val="TableText"/>
              <w:spacing w:before="50" w:after="50"/>
              <w:jc w:val="center"/>
            </w:pPr>
            <w:r w:rsidRPr="005D6D89">
              <w:t>70</w:t>
            </w:r>
          </w:p>
        </w:tc>
        <w:tc>
          <w:tcPr>
            <w:tcW w:w="4787" w:type="dxa"/>
            <w:gridSpan w:val="4"/>
          </w:tcPr>
          <w:p w14:paraId="09AB996B" w14:textId="77777777" w:rsidR="004E27B1" w:rsidRPr="005D6D89" w:rsidRDefault="004E27B1" w:rsidP="00360986">
            <w:pPr>
              <w:pStyle w:val="TableText"/>
              <w:spacing w:before="50" w:after="50"/>
            </w:pPr>
            <w:r w:rsidRPr="005D6D89">
              <w:t>Planning and budgeting for the growing financial burden is critical at all levels of the public sector. Adequate resourcing between different levels of government is essential.</w:t>
            </w:r>
          </w:p>
        </w:tc>
      </w:tr>
      <w:tr w:rsidR="004E27B1" w:rsidRPr="005D6D89" w14:paraId="1DA48BD8" w14:textId="77777777" w:rsidTr="00095C79">
        <w:tc>
          <w:tcPr>
            <w:tcW w:w="1876" w:type="dxa"/>
            <w:shd w:val="clear" w:color="auto" w:fill="FFFFFF" w:themeFill="background1"/>
            <w:hideMark/>
          </w:tcPr>
          <w:p w14:paraId="2856272B" w14:textId="77777777" w:rsidR="004E27B1" w:rsidRPr="007D0B70" w:rsidRDefault="004E27B1" w:rsidP="00360986">
            <w:pPr>
              <w:pStyle w:val="TableTextBold0"/>
              <w:spacing w:before="50" w:after="50"/>
              <w:rPr>
                <w:b w:val="0"/>
              </w:rPr>
            </w:pPr>
            <w:r w:rsidRPr="007D0B70">
              <w:rPr>
                <w:b w:val="0"/>
              </w:rPr>
              <w:t>Research priority</w:t>
            </w:r>
          </w:p>
        </w:tc>
        <w:tc>
          <w:tcPr>
            <w:tcW w:w="1950" w:type="dxa"/>
            <w:gridSpan w:val="2"/>
          </w:tcPr>
          <w:p w14:paraId="0C29630F" w14:textId="77777777" w:rsidR="004E27B1" w:rsidRPr="005D6D89" w:rsidRDefault="004E27B1" w:rsidP="00360986">
            <w:pPr>
              <w:pStyle w:val="TableText"/>
              <w:spacing w:before="50" w:after="50"/>
              <w:jc w:val="center"/>
            </w:pPr>
            <w:r w:rsidRPr="005D6D89">
              <w:t>20</w:t>
            </w:r>
          </w:p>
        </w:tc>
        <w:tc>
          <w:tcPr>
            <w:tcW w:w="4787" w:type="dxa"/>
            <w:gridSpan w:val="4"/>
          </w:tcPr>
          <w:p w14:paraId="2AC9E009" w14:textId="77777777" w:rsidR="004E27B1" w:rsidRPr="005D6D89" w:rsidRDefault="004E27B1" w:rsidP="00360986">
            <w:pPr>
              <w:pStyle w:val="TableText"/>
              <w:spacing w:before="50" w:after="50"/>
            </w:pPr>
            <w:r w:rsidRPr="005D6D89">
              <w:t xml:space="preserve">Develop credible estimates of future financial impacts of climate change over time across sectors. </w:t>
            </w:r>
          </w:p>
        </w:tc>
      </w:tr>
      <w:tr w:rsidR="004E27B1" w:rsidRPr="005D6D89" w14:paraId="196F11C4" w14:textId="77777777" w:rsidTr="00095C79">
        <w:tc>
          <w:tcPr>
            <w:tcW w:w="1876" w:type="dxa"/>
            <w:shd w:val="clear" w:color="auto" w:fill="FFFFFF" w:themeFill="background1"/>
            <w:hideMark/>
          </w:tcPr>
          <w:p w14:paraId="4C959763" w14:textId="77777777" w:rsidR="004E27B1" w:rsidRPr="007D0B70" w:rsidRDefault="004E27B1" w:rsidP="00360986">
            <w:pPr>
              <w:pStyle w:val="TableTextBold0"/>
              <w:spacing w:before="50" w:after="50"/>
              <w:rPr>
                <w:b w:val="0"/>
              </w:rPr>
            </w:pPr>
            <w:r w:rsidRPr="007D0B70">
              <w:rPr>
                <w:b w:val="0"/>
              </w:rPr>
              <w:t>Sustain current action</w:t>
            </w:r>
          </w:p>
        </w:tc>
        <w:tc>
          <w:tcPr>
            <w:tcW w:w="1950" w:type="dxa"/>
            <w:gridSpan w:val="2"/>
          </w:tcPr>
          <w:p w14:paraId="21DD9A77" w14:textId="77777777" w:rsidR="004E27B1" w:rsidRPr="005D6D89" w:rsidRDefault="004E27B1" w:rsidP="00360986">
            <w:pPr>
              <w:pStyle w:val="TableText"/>
              <w:spacing w:before="50" w:after="50"/>
              <w:jc w:val="center"/>
            </w:pPr>
            <w:r w:rsidRPr="005D6D89">
              <w:t>10</w:t>
            </w:r>
          </w:p>
        </w:tc>
        <w:tc>
          <w:tcPr>
            <w:tcW w:w="4787" w:type="dxa"/>
            <w:gridSpan w:val="4"/>
          </w:tcPr>
          <w:p w14:paraId="4D7B977A" w14:textId="77777777" w:rsidR="004E27B1" w:rsidRPr="005D6D89" w:rsidRDefault="004E27B1" w:rsidP="00360986">
            <w:pPr>
              <w:pStyle w:val="TableText"/>
              <w:spacing w:before="50" w:after="50"/>
            </w:pPr>
            <w:r w:rsidRPr="005D6D89">
              <w:t>Taking adaptation action in other areas will reduce this risk. Continue to monitor risk reduction efforts.</w:t>
            </w:r>
          </w:p>
        </w:tc>
      </w:tr>
      <w:tr w:rsidR="004E27B1" w:rsidRPr="005D6D89" w14:paraId="3C33D6A5" w14:textId="77777777" w:rsidTr="00095C79">
        <w:tc>
          <w:tcPr>
            <w:tcW w:w="1876" w:type="dxa"/>
            <w:tcBorders>
              <w:bottom w:val="single" w:sz="8" w:space="0" w:color="32809C"/>
            </w:tcBorders>
            <w:shd w:val="clear" w:color="auto" w:fill="FFFFFF" w:themeFill="background1"/>
            <w:hideMark/>
          </w:tcPr>
          <w:p w14:paraId="55095C00" w14:textId="77777777" w:rsidR="004E27B1" w:rsidRPr="007D0B70" w:rsidRDefault="004E27B1" w:rsidP="00360986">
            <w:pPr>
              <w:pStyle w:val="TableTextBold0"/>
              <w:spacing w:before="50" w:after="50"/>
              <w:rPr>
                <w:b w:val="0"/>
              </w:rPr>
            </w:pPr>
            <w:r w:rsidRPr="007D0B70">
              <w:rPr>
                <w:b w:val="0"/>
              </w:rPr>
              <w:t xml:space="preserve">Watching brief </w:t>
            </w:r>
          </w:p>
        </w:tc>
        <w:tc>
          <w:tcPr>
            <w:tcW w:w="1950" w:type="dxa"/>
            <w:gridSpan w:val="2"/>
            <w:tcBorders>
              <w:bottom w:val="single" w:sz="8" w:space="0" w:color="32809C"/>
            </w:tcBorders>
          </w:tcPr>
          <w:p w14:paraId="631B56FF" w14:textId="77777777" w:rsidR="004E27B1" w:rsidRPr="005D6D89" w:rsidRDefault="004E27B1" w:rsidP="00360986">
            <w:pPr>
              <w:pStyle w:val="TableText"/>
              <w:spacing w:before="50" w:after="50"/>
              <w:jc w:val="center"/>
            </w:pPr>
            <w:r w:rsidRPr="005D6D89">
              <w:t>0</w:t>
            </w:r>
          </w:p>
        </w:tc>
        <w:tc>
          <w:tcPr>
            <w:tcW w:w="4787" w:type="dxa"/>
            <w:gridSpan w:val="4"/>
            <w:tcBorders>
              <w:bottom w:val="single" w:sz="8" w:space="0" w:color="32809C"/>
            </w:tcBorders>
          </w:tcPr>
          <w:p w14:paraId="2AE55D2A" w14:textId="77777777" w:rsidR="004E27B1" w:rsidRPr="005D6D89" w:rsidRDefault="004E27B1" w:rsidP="00360986">
            <w:pPr>
              <w:pStyle w:val="TableText"/>
              <w:spacing w:before="50" w:after="50"/>
            </w:pPr>
          </w:p>
        </w:tc>
      </w:tr>
      <w:tr w:rsidR="004E27B1" w:rsidRPr="005D6D89" w14:paraId="653FF095" w14:textId="77777777" w:rsidTr="00095C79">
        <w:tc>
          <w:tcPr>
            <w:tcW w:w="1876" w:type="dxa"/>
            <w:tcBorders>
              <w:top w:val="single" w:sz="8" w:space="0" w:color="32809C"/>
            </w:tcBorders>
            <w:shd w:val="clear" w:color="auto" w:fill="32809C"/>
          </w:tcPr>
          <w:p w14:paraId="2BBE4F3C" w14:textId="77777777" w:rsidR="004E27B1" w:rsidRPr="005D6D89" w:rsidRDefault="004E27B1" w:rsidP="00360986">
            <w:pPr>
              <w:pStyle w:val="TableTextBold0"/>
              <w:spacing w:before="50" w:after="5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Adaptation urgency </w:t>
            </w:r>
          </w:p>
        </w:tc>
        <w:tc>
          <w:tcPr>
            <w:tcW w:w="1950" w:type="dxa"/>
            <w:gridSpan w:val="2"/>
            <w:tcBorders>
              <w:top w:val="single" w:sz="8" w:space="0" w:color="32809C"/>
            </w:tcBorders>
            <w:shd w:val="clear" w:color="auto" w:fill="FFFFFF" w:themeFill="background1"/>
          </w:tcPr>
          <w:p w14:paraId="3EF27BBA" w14:textId="77777777" w:rsidR="004E27B1" w:rsidRPr="005D6D89" w:rsidRDefault="004E27B1" w:rsidP="00360986">
            <w:pPr>
              <w:pStyle w:val="TableText"/>
              <w:spacing w:before="50" w:after="50"/>
              <w:jc w:val="center"/>
            </w:pPr>
            <w:r w:rsidRPr="005D6D89">
              <w:t>90</w:t>
            </w:r>
          </w:p>
        </w:tc>
        <w:tc>
          <w:tcPr>
            <w:tcW w:w="1070" w:type="dxa"/>
            <w:tcBorders>
              <w:top w:val="single" w:sz="8" w:space="0" w:color="32809C"/>
            </w:tcBorders>
            <w:shd w:val="clear" w:color="auto" w:fill="32809C"/>
          </w:tcPr>
          <w:p w14:paraId="77815A9F" w14:textId="77777777" w:rsidR="004E27B1" w:rsidRPr="005D6D89" w:rsidRDefault="004E27B1" w:rsidP="00360986">
            <w:pPr>
              <w:pStyle w:val="TableTextBold0"/>
              <w:spacing w:before="50" w:after="50"/>
              <w:rPr>
                <w:color w:val="FFFFFF" w:themeColor="background1"/>
              </w:rPr>
            </w:pPr>
            <w:r w:rsidRPr="005D6D89">
              <w:rPr>
                <w:color w:val="FFFFFF" w:themeColor="background1"/>
              </w:rPr>
              <w:t>Confidence</w:t>
            </w:r>
            <w:r w:rsidR="00027F9F" w:rsidRPr="005D6D89">
              <w:rPr>
                <w:color w:val="FFFFFF" w:themeColor="background1"/>
              </w:rPr>
              <w:t xml:space="preserve"> </w:t>
            </w:r>
          </w:p>
        </w:tc>
        <w:tc>
          <w:tcPr>
            <w:tcW w:w="3717" w:type="dxa"/>
            <w:gridSpan w:val="3"/>
            <w:tcBorders>
              <w:top w:val="single" w:sz="8" w:space="0" w:color="32809C"/>
            </w:tcBorders>
          </w:tcPr>
          <w:p w14:paraId="387E6D9D" w14:textId="77777777" w:rsidR="004E27B1" w:rsidRPr="005D6D89" w:rsidRDefault="004E27B1" w:rsidP="00360986">
            <w:pPr>
              <w:pStyle w:val="TableText"/>
              <w:spacing w:before="50" w:after="50"/>
            </w:pPr>
            <w:r w:rsidRPr="005D6D89">
              <w:t>High agreement, medium evidence.</w:t>
            </w:r>
          </w:p>
        </w:tc>
      </w:tr>
      <w:tr w:rsidR="004E27B1" w:rsidRPr="005D6D89" w14:paraId="24896F27" w14:textId="77777777" w:rsidTr="00095C79">
        <w:tc>
          <w:tcPr>
            <w:tcW w:w="1876" w:type="dxa"/>
            <w:shd w:val="clear" w:color="auto" w:fill="32809C"/>
          </w:tcPr>
          <w:p w14:paraId="60FD6815" w14:textId="77777777" w:rsidR="004E27B1" w:rsidRPr="005D6D89" w:rsidRDefault="004E27B1" w:rsidP="00360986">
            <w:pPr>
              <w:pStyle w:val="TableTextBold0"/>
              <w:spacing w:before="50" w:after="5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Consequence </w:t>
            </w:r>
          </w:p>
        </w:tc>
        <w:tc>
          <w:tcPr>
            <w:tcW w:w="978" w:type="dxa"/>
            <w:shd w:val="clear" w:color="auto" w:fill="32809C"/>
          </w:tcPr>
          <w:p w14:paraId="748ED34E" w14:textId="77777777" w:rsidR="004E27B1" w:rsidRPr="005D6D89" w:rsidRDefault="004E27B1" w:rsidP="00360986">
            <w:pPr>
              <w:pStyle w:val="TableText"/>
              <w:spacing w:before="50" w:after="50"/>
              <w:jc w:val="center"/>
              <w:rPr>
                <w:rFonts w:asciiTheme="minorHAnsi" w:hAnsiTheme="minorHAnsi" w:cstheme="minorHAnsi"/>
                <w:color w:val="FFFFFF" w:themeColor="background1"/>
              </w:rPr>
            </w:pPr>
            <w:r w:rsidRPr="005D6D89">
              <w:rPr>
                <w:rFonts w:asciiTheme="minorHAnsi" w:hAnsiTheme="minorHAnsi" w:cstheme="minorHAnsi"/>
                <w:color w:val="FFFFFF" w:themeColor="background1"/>
              </w:rPr>
              <w:t>Now</w:t>
            </w:r>
          </w:p>
        </w:tc>
        <w:tc>
          <w:tcPr>
            <w:tcW w:w="972" w:type="dxa"/>
          </w:tcPr>
          <w:p w14:paraId="264D43D6" w14:textId="77777777" w:rsidR="004E27B1" w:rsidRPr="005D6D89" w:rsidRDefault="004E27B1" w:rsidP="00360986">
            <w:pPr>
              <w:pStyle w:val="TableText"/>
              <w:spacing w:before="50" w:after="50"/>
              <w:jc w:val="center"/>
            </w:pPr>
            <w:r w:rsidRPr="005D6D89">
              <w:t>Minor</w:t>
            </w:r>
          </w:p>
        </w:tc>
        <w:tc>
          <w:tcPr>
            <w:tcW w:w="1070" w:type="dxa"/>
            <w:shd w:val="clear" w:color="auto" w:fill="32809C"/>
          </w:tcPr>
          <w:p w14:paraId="7D301CD0" w14:textId="77777777" w:rsidR="004E27B1" w:rsidRPr="005D6D89" w:rsidRDefault="004E27B1" w:rsidP="00360986">
            <w:pPr>
              <w:pStyle w:val="TableText"/>
              <w:spacing w:before="50" w:after="50"/>
              <w:rPr>
                <w:color w:val="FFFFFF" w:themeColor="background1"/>
              </w:rPr>
            </w:pPr>
            <w:r w:rsidRPr="005D6D89">
              <w:rPr>
                <w:color w:val="FFFFFF" w:themeColor="background1"/>
              </w:rPr>
              <w:t>2050</w:t>
            </w:r>
          </w:p>
        </w:tc>
        <w:tc>
          <w:tcPr>
            <w:tcW w:w="988" w:type="dxa"/>
          </w:tcPr>
          <w:p w14:paraId="39CE60FB" w14:textId="77777777" w:rsidR="004E27B1" w:rsidRPr="005D6D89" w:rsidRDefault="004E27B1" w:rsidP="00360986">
            <w:pPr>
              <w:pStyle w:val="TableText"/>
              <w:spacing w:before="50" w:after="50"/>
            </w:pPr>
            <w:r w:rsidRPr="005D6D89">
              <w:t>Major</w:t>
            </w:r>
          </w:p>
        </w:tc>
        <w:tc>
          <w:tcPr>
            <w:tcW w:w="616" w:type="dxa"/>
            <w:shd w:val="clear" w:color="auto" w:fill="32809C"/>
          </w:tcPr>
          <w:p w14:paraId="3D6B5C1E" w14:textId="77777777" w:rsidR="004E27B1" w:rsidRPr="005D6D89" w:rsidRDefault="004E27B1" w:rsidP="00360986">
            <w:pPr>
              <w:pStyle w:val="TableText"/>
              <w:spacing w:before="50" w:after="50"/>
              <w:rPr>
                <w:rFonts w:asciiTheme="minorHAnsi" w:hAnsiTheme="minorHAnsi" w:cstheme="minorHAnsi"/>
                <w:color w:val="FFFFFF" w:themeColor="background1"/>
              </w:rPr>
            </w:pPr>
            <w:r w:rsidRPr="005D6D89">
              <w:rPr>
                <w:rFonts w:asciiTheme="minorHAnsi" w:hAnsiTheme="minorHAnsi" w:cstheme="minorHAnsi"/>
                <w:color w:val="FFFFFF" w:themeColor="background1"/>
              </w:rPr>
              <w:t>2100</w:t>
            </w:r>
          </w:p>
        </w:tc>
        <w:tc>
          <w:tcPr>
            <w:tcW w:w="2113" w:type="dxa"/>
          </w:tcPr>
          <w:p w14:paraId="5AB9CA0E" w14:textId="77777777" w:rsidR="004E27B1" w:rsidRPr="005D6D89" w:rsidRDefault="004E27B1" w:rsidP="00360986">
            <w:pPr>
              <w:pStyle w:val="TableText"/>
              <w:spacing w:before="50" w:after="50"/>
            </w:pPr>
            <w:r w:rsidRPr="005D6D89">
              <w:t>Extreme</w:t>
            </w:r>
          </w:p>
        </w:tc>
      </w:tr>
    </w:tbl>
    <w:p w14:paraId="4779EC81" w14:textId="77777777" w:rsidR="004E27B1" w:rsidRPr="005D6D89" w:rsidRDefault="004E27B1" w:rsidP="004B4E77">
      <w:pPr>
        <w:pStyle w:val="Heading4"/>
        <w:keepLines/>
        <w:spacing w:before="440"/>
      </w:pPr>
      <w:bookmarkStart w:id="389" w:name="_Toc37255781"/>
      <w:bookmarkStart w:id="390" w:name="_Toc37393682"/>
      <w:bookmarkStart w:id="391" w:name="_Hlk35589276"/>
      <w:bookmarkEnd w:id="387"/>
      <w:r w:rsidRPr="005D6D89">
        <w:t>E2 Risks to the financial system from instability</w:t>
      </w:r>
      <w:r w:rsidR="00101782">
        <w:t>,</w:t>
      </w:r>
      <w:r w:rsidRPr="005D6D89">
        <w:t xml:space="preserve"> due to extreme weather events and</w:t>
      </w:r>
      <w:r w:rsidR="00DE44E5">
        <w:t> </w:t>
      </w:r>
      <w:r w:rsidRPr="005D6D89">
        <w:t xml:space="preserve">ongoing, gradual changes </w:t>
      </w:r>
      <w:bookmarkEnd w:id="389"/>
      <w:bookmarkEnd w:id="390"/>
    </w:p>
    <w:bookmarkEnd w:id="391"/>
    <w:p w14:paraId="2B72F9B1" w14:textId="77777777" w:rsidR="004E27B1" w:rsidRPr="005D6D89" w:rsidRDefault="004E27B1" w:rsidP="004B4E77">
      <w:pPr>
        <w:pStyle w:val="Heading5"/>
        <w:keepLines/>
        <w:spacing w:before="180"/>
        <w:rPr>
          <w:rFonts w:asciiTheme="minorHAnsi" w:hAnsiTheme="minorHAnsi" w:cstheme="minorHAnsi"/>
        </w:rPr>
      </w:pPr>
      <w:r w:rsidRPr="005D6D89">
        <w:t>Risk summary</w:t>
      </w:r>
    </w:p>
    <w:p w14:paraId="74E1B332" w14:textId="77777777" w:rsidR="004E27B1" w:rsidRPr="005D6D89" w:rsidRDefault="004E27B1" w:rsidP="004B4E77">
      <w:pPr>
        <w:pStyle w:val="BodyText"/>
        <w:keepNext/>
        <w:keepLines/>
        <w:spacing w:before="100" w:after="100"/>
      </w:pPr>
      <w:r w:rsidRPr="005D6D89">
        <w:t>Financial instability affects livelihoods, socio-economic inequality and the economy. The fundamental changes projected for the climate system are likely to have severe implications for the stability of the global financial system (Dafermos, Nikolaidi and Galanis, 2018). New</w:t>
      </w:r>
      <w:r w:rsidR="005547FA" w:rsidRPr="005D6D89">
        <w:t> </w:t>
      </w:r>
      <w:r w:rsidRPr="005D6D89">
        <w:t xml:space="preserve">Zealand </w:t>
      </w:r>
      <w:proofErr w:type="gramStart"/>
      <w:r w:rsidRPr="005D6D89">
        <w:t>is exposed</w:t>
      </w:r>
      <w:proofErr w:type="gramEnd"/>
      <w:r w:rsidRPr="005D6D89">
        <w:t xml:space="preserve"> to climate change impacts in financial markets globally as well as locally. Climate-related hazards </w:t>
      </w:r>
      <w:proofErr w:type="gramStart"/>
      <w:r w:rsidRPr="005D6D89">
        <w:t>could severely and abruptly damage</w:t>
      </w:r>
      <w:proofErr w:type="gramEnd"/>
      <w:r w:rsidRPr="005D6D89">
        <w:t xml:space="preserve"> the balance sheets of households, corporations, banks and insurers, triggering financial and macroeconomic instability (Batten, Sowerbutts and Tanaka, 2016). </w:t>
      </w:r>
    </w:p>
    <w:p w14:paraId="11A47256" w14:textId="77777777" w:rsidR="004E27B1" w:rsidRPr="005D6D89" w:rsidRDefault="004E27B1" w:rsidP="003A05E9">
      <w:pPr>
        <w:pStyle w:val="Heading5"/>
      </w:pPr>
      <w:r w:rsidRPr="005D6D89">
        <w:t>Exposure</w:t>
      </w:r>
    </w:p>
    <w:p w14:paraId="6CC319BE" w14:textId="77777777" w:rsidR="004E27B1" w:rsidRPr="005D6D89" w:rsidRDefault="004E27B1" w:rsidP="00360986">
      <w:pPr>
        <w:pStyle w:val="BodyText"/>
      </w:pPr>
      <w:r w:rsidRPr="005D6D89">
        <w:t>New Zealand</w:t>
      </w:r>
      <w:r w:rsidR="001200EA">
        <w:t>’</w:t>
      </w:r>
      <w:r w:rsidRPr="005D6D89">
        <w:t>s financial system is highly exposed to climate change through local changes and</w:t>
      </w:r>
      <w:r w:rsidR="005547FA" w:rsidRPr="005D6D89">
        <w:t> </w:t>
      </w:r>
      <w:r w:rsidRPr="005D6D89">
        <w:t>international markets. The global financial system is an extremely complex network of tightly linked financial institutions and markets. As the global fallout from the implosion of the U</w:t>
      </w:r>
      <w:r w:rsidR="00226961">
        <w:t xml:space="preserve">nited </w:t>
      </w:r>
      <w:r w:rsidRPr="005D6D89">
        <w:t>S</w:t>
      </w:r>
      <w:r w:rsidR="00226961">
        <w:t>tates’</w:t>
      </w:r>
      <w:r w:rsidRPr="005D6D89">
        <w:t xml:space="preserve"> sub-prime mortgage market in 2008 showed, this complexity and interconnectedness can transmit and amplify disruption across the globe. </w:t>
      </w:r>
    </w:p>
    <w:p w14:paraId="13BF7953" w14:textId="77777777" w:rsidR="004E27B1" w:rsidRPr="005D6D89" w:rsidRDefault="004E27B1" w:rsidP="00360986">
      <w:pPr>
        <w:pStyle w:val="BodyText"/>
      </w:pPr>
      <w:r w:rsidRPr="005D6D89">
        <w:t>The stability of New Zealand</w:t>
      </w:r>
      <w:r w:rsidR="001200EA">
        <w:t>’</w:t>
      </w:r>
      <w:r w:rsidRPr="005D6D89">
        <w:t xml:space="preserve">s financial system </w:t>
      </w:r>
      <w:proofErr w:type="gramStart"/>
      <w:r w:rsidRPr="005D6D89">
        <w:t>is therefore influenced</w:t>
      </w:r>
      <w:proofErr w:type="gramEnd"/>
      <w:r w:rsidRPr="005D6D89">
        <w:t xml:space="preserve"> by climate-related hazards occurring globally, as well as the behaviour of foreign governments, regulatory bodies and financial institutions (Batten, Sowerbutts and Tanaka, 2016). </w:t>
      </w:r>
      <w:r w:rsidR="00A7442C">
        <w:t>The system</w:t>
      </w:r>
      <w:r w:rsidR="00A7442C" w:rsidRPr="005D6D89">
        <w:t xml:space="preserve"> </w:t>
      </w:r>
      <w:proofErr w:type="gramStart"/>
      <w:r w:rsidRPr="005D6D89">
        <w:t>could be affected</w:t>
      </w:r>
      <w:proofErr w:type="gramEnd"/>
      <w:r w:rsidRPr="005D6D89">
        <w:t xml:space="preserve"> by any single </w:t>
      </w:r>
      <w:r w:rsidR="00A7442C">
        <w:t xml:space="preserve">acute event </w:t>
      </w:r>
      <w:r w:rsidRPr="005D6D89">
        <w:t xml:space="preserve">or </w:t>
      </w:r>
      <w:r w:rsidR="00A7442C">
        <w:t xml:space="preserve">a </w:t>
      </w:r>
      <w:r w:rsidRPr="005D6D89">
        <w:t>series of events</w:t>
      </w:r>
      <w:r w:rsidR="00A7442C">
        <w:t xml:space="preserve"> – </w:t>
      </w:r>
      <w:r w:rsidRPr="005D6D89">
        <w:t>such as hurricanes or cyclones, fires or floods</w:t>
      </w:r>
      <w:r w:rsidR="00A7442C">
        <w:t xml:space="preserve"> – </w:t>
      </w:r>
      <w:r w:rsidRPr="005D6D89">
        <w:t>that precipitate rapid reappraisals</w:t>
      </w:r>
      <w:r w:rsidR="00A7442C">
        <w:t xml:space="preserve"> of asset values</w:t>
      </w:r>
      <w:r w:rsidRPr="005D6D89">
        <w:t xml:space="preserve"> in major financial hubs such as New York, Tokyo, Shanghai, Shenzhen, Hong Kong or London. The pricing of ongoing, gradual events</w:t>
      </w:r>
      <w:r w:rsidR="00A7442C">
        <w:t xml:space="preserve"> – </w:t>
      </w:r>
      <w:r w:rsidRPr="005D6D89">
        <w:t>particularly sea-level rise</w:t>
      </w:r>
      <w:r w:rsidR="00A7442C">
        <w:t xml:space="preserve"> – </w:t>
      </w:r>
      <w:r w:rsidRPr="005D6D89">
        <w:t>could also trigger rapid reappraisal and disruption. Vulnerability of supply and distribution systems (E7) may also expose the financial system to disruption (Hong, Li and Xu, 2019).</w:t>
      </w:r>
    </w:p>
    <w:p w14:paraId="339E1CD3" w14:textId="77777777" w:rsidR="004E27B1" w:rsidRPr="005D6D89" w:rsidRDefault="004E27B1" w:rsidP="00360986">
      <w:pPr>
        <w:pStyle w:val="BodyText"/>
      </w:pPr>
      <w:r w:rsidRPr="005D6D89">
        <w:t xml:space="preserve">Small and medium enterprises (SMEs), which account for 97 per cent of all New Zealand businesses and 29 per cent of employment (New Zealand Foreign Affairs and Trade, </w:t>
      </w:r>
      <w:r w:rsidR="00B61730">
        <w:t>nd</w:t>
      </w:r>
      <w:r w:rsidRPr="005D6D89">
        <w:t>), are</w:t>
      </w:r>
      <w:r w:rsidR="00D85875" w:rsidRPr="005D6D89">
        <w:t> </w:t>
      </w:r>
      <w:r w:rsidRPr="005D6D89">
        <w:t xml:space="preserve">particularly sensitive to such disruption, and </w:t>
      </w:r>
      <w:proofErr w:type="gramStart"/>
      <w:r w:rsidRPr="005D6D89">
        <w:t>could</w:t>
      </w:r>
      <w:proofErr w:type="gramEnd"/>
      <w:r w:rsidRPr="005D6D89">
        <w:t xml:space="preserve"> function as a source of financial system</w:t>
      </w:r>
      <w:r w:rsidR="00D85875" w:rsidRPr="005D6D89">
        <w:t> </w:t>
      </w:r>
      <w:r w:rsidRPr="005D6D89">
        <w:t>instability.</w:t>
      </w:r>
    </w:p>
    <w:p w14:paraId="53C4A2EB" w14:textId="77777777" w:rsidR="004E27B1" w:rsidRPr="005D6D89" w:rsidRDefault="004E27B1" w:rsidP="00360986">
      <w:pPr>
        <w:pStyle w:val="BodyText"/>
      </w:pPr>
      <w:r w:rsidRPr="005D6D89">
        <w:t xml:space="preserve">Extreme events and ongoing gradual changes could contribute to this </w:t>
      </w:r>
      <w:r w:rsidR="00A7442C">
        <w:t xml:space="preserve">financial </w:t>
      </w:r>
      <w:r w:rsidRPr="005D6D89">
        <w:t xml:space="preserve">instability in New Zealand. Sea-level rise, or change in climatic means, could over </w:t>
      </w:r>
      <w:r w:rsidR="00A7442C">
        <w:t xml:space="preserve">the </w:t>
      </w:r>
      <w:r w:rsidR="00237239">
        <w:t>long-term</w:t>
      </w:r>
      <w:r w:rsidR="00A7442C" w:rsidRPr="005D6D89">
        <w:t xml:space="preserve"> </w:t>
      </w:r>
      <w:r w:rsidRPr="005D6D89">
        <w:t>stress businesses, governments, bank balance sheets, and economic activity. Extreme events in areas</w:t>
      </w:r>
      <w:r w:rsidR="00D85875" w:rsidRPr="005D6D89">
        <w:t> </w:t>
      </w:r>
      <w:r w:rsidRPr="005D6D89">
        <w:t xml:space="preserve">where valuable assets are concentrated, such as cities, could also lead to disproportionate instability. </w:t>
      </w:r>
    </w:p>
    <w:p w14:paraId="39AAEA29" w14:textId="77777777" w:rsidR="004E27B1" w:rsidRPr="005D6D89" w:rsidRDefault="004E27B1" w:rsidP="00360986">
      <w:pPr>
        <w:pStyle w:val="Heading5"/>
      </w:pPr>
      <w:r w:rsidRPr="005D6D89">
        <w:t>Sensitivity</w:t>
      </w:r>
    </w:p>
    <w:p w14:paraId="6CE60A19" w14:textId="77777777" w:rsidR="004E27B1" w:rsidRPr="005D6D89" w:rsidRDefault="004E27B1" w:rsidP="00360986">
      <w:pPr>
        <w:pStyle w:val="BodyText"/>
      </w:pPr>
      <w:r w:rsidRPr="005D6D89">
        <w:t>New Zealand</w:t>
      </w:r>
      <w:r w:rsidR="001200EA">
        <w:t>’</w:t>
      </w:r>
      <w:r w:rsidRPr="005D6D89">
        <w:t>s financial system is resilient to a broad range of economic risks (Reserve Bank of</w:t>
      </w:r>
      <w:r w:rsidR="003A05E9" w:rsidRPr="005D6D89">
        <w:t> </w:t>
      </w:r>
      <w:r w:rsidRPr="005D6D89">
        <w:t xml:space="preserve">New Zealand, 2019). Many factors affect its sensitivity to climate change, including debt, capitalisation and </w:t>
      </w:r>
      <w:r w:rsidR="00A7442C">
        <w:t xml:space="preserve">the </w:t>
      </w:r>
      <w:r w:rsidRPr="005D6D89">
        <w:t xml:space="preserve">ability to price risk. </w:t>
      </w:r>
    </w:p>
    <w:p w14:paraId="501E4DCD" w14:textId="77777777" w:rsidR="004E27B1" w:rsidRPr="005D6D89" w:rsidRDefault="004E27B1" w:rsidP="00360986">
      <w:pPr>
        <w:pStyle w:val="BodyText"/>
        <w:rPr>
          <w:b/>
        </w:rPr>
      </w:pPr>
      <w:r w:rsidRPr="005D6D89">
        <w:t>New Zealand</w:t>
      </w:r>
      <w:r w:rsidR="001200EA">
        <w:t>’</w:t>
      </w:r>
      <w:r w:rsidRPr="005D6D89">
        <w:t xml:space="preserve">s AAA credit rating is justified by its </w:t>
      </w:r>
      <w:r w:rsidR="001200EA">
        <w:t>‘</w:t>
      </w:r>
      <w:r w:rsidRPr="005D6D89">
        <w:t>very high economic resilience</w:t>
      </w:r>
      <w:r w:rsidR="001200EA">
        <w:t>’</w:t>
      </w:r>
      <w:r w:rsidRPr="005D6D89">
        <w:t>, a strong fiscal</w:t>
      </w:r>
      <w:r w:rsidR="003A05E9" w:rsidRPr="005D6D89">
        <w:t> </w:t>
      </w:r>
      <w:r w:rsidRPr="005D6D89">
        <w:t xml:space="preserve">position and effective institutions and policies, which mitigate our vulnerability to financial shocks (Fyers, 2016). However, a large external or domestic shock, such as a natural disaster, could result in a </w:t>
      </w:r>
      <w:bookmarkStart w:id="392" w:name="_Hlk40101576"/>
      <w:r w:rsidRPr="005D6D89">
        <w:t xml:space="preserve">credit downgrade, which would undermine the banking system by raising the cost of funding </w:t>
      </w:r>
      <w:bookmarkEnd w:id="392"/>
      <w:r w:rsidRPr="005D6D89">
        <w:t>(Moody</w:t>
      </w:r>
      <w:r w:rsidR="001200EA">
        <w:t>’</w:t>
      </w:r>
      <w:r w:rsidRPr="005D6D89">
        <w:t>s, 2017). This would be particularly severe if some of New</w:t>
      </w:r>
      <w:r w:rsidR="003A05E9" w:rsidRPr="005D6D89">
        <w:t> </w:t>
      </w:r>
      <w:proofErr w:type="gramStart"/>
      <w:r w:rsidRPr="005D6D89">
        <w:t>Zealand</w:t>
      </w:r>
      <w:r w:rsidR="001200EA">
        <w:t>’</w:t>
      </w:r>
      <w:r w:rsidRPr="005D6D89">
        <w:t>s</w:t>
      </w:r>
      <w:proofErr w:type="gramEnd"/>
      <w:r w:rsidRPr="005D6D89">
        <w:t xml:space="preserve"> many highly indebted households and dairy farms had to default (Reserve Bank</w:t>
      </w:r>
      <w:r w:rsidR="00921F56" w:rsidRPr="005D6D89">
        <w:t> </w:t>
      </w:r>
      <w:r w:rsidRPr="005D6D89">
        <w:t>of New Zealand, 2019).</w:t>
      </w:r>
    </w:p>
    <w:p w14:paraId="359BA0E4" w14:textId="77777777" w:rsidR="004E27B1" w:rsidRPr="005D6D89" w:rsidRDefault="004E27B1" w:rsidP="00360986">
      <w:pPr>
        <w:pStyle w:val="BodyText"/>
      </w:pPr>
      <w:r w:rsidRPr="005D6D89">
        <w:t>The Reserve Bank of New Zealand has recognised the costs of bank failures are higher than previously understood. It has proposed to reduce the sensitivity of the banking system by</w:t>
      </w:r>
      <w:r w:rsidR="005547FA" w:rsidRPr="005D6D89">
        <w:t> </w:t>
      </w:r>
      <w:r w:rsidRPr="005D6D89">
        <w:t>gradually raising bank capital requirements. However</w:t>
      </w:r>
      <w:r w:rsidR="00136D82">
        <w:t>,</w:t>
      </w:r>
      <w:r w:rsidRPr="005D6D89">
        <w:t xml:space="preserve"> some insurers and non-bank deposit takers have capital buffers that would absorb only relatively small losses, rendering them sensitive to disruption (Reserve Bank of New Zealand, 2019).</w:t>
      </w:r>
      <w:r w:rsidRPr="005D6D89">
        <w:rPr>
          <w:rStyle w:val="FootnoteReference"/>
          <w:rFonts w:asciiTheme="minorHAnsi" w:hAnsiTheme="minorHAnsi" w:cstheme="minorHAnsi"/>
        </w:rPr>
        <w:t xml:space="preserve"> </w:t>
      </w:r>
    </w:p>
    <w:p w14:paraId="2E78287D" w14:textId="77777777" w:rsidR="004E27B1" w:rsidRPr="005D6D89" w:rsidRDefault="004E27B1" w:rsidP="00360986">
      <w:pPr>
        <w:pStyle w:val="BodyText"/>
      </w:pPr>
      <w:r w:rsidRPr="005D6D89">
        <w:t>The insurance sector is highly sensitive to changes in climate hazards and may be underestimating the impact of climate change on catastrophe risks. For example, reinsurers</w:t>
      </w:r>
      <w:r w:rsidR="00BC337A">
        <w:t> </w:t>
      </w:r>
      <w:r w:rsidRPr="005D6D89">
        <w:t xml:space="preserve">could be underestimating their exposure to </w:t>
      </w:r>
      <w:r w:rsidR="00A7442C">
        <w:t>1</w:t>
      </w:r>
      <w:r w:rsidRPr="005D6D89">
        <w:t>-in-10</w:t>
      </w:r>
      <w:r w:rsidR="00A7442C">
        <w:t>-</w:t>
      </w:r>
      <w:r w:rsidRPr="005D6D89">
        <w:t xml:space="preserve">year and </w:t>
      </w:r>
      <w:r w:rsidR="00A7442C">
        <w:t>1</w:t>
      </w:r>
      <w:r w:rsidRPr="005D6D89">
        <w:t>-in-250</w:t>
      </w:r>
      <w:r w:rsidR="00A7442C">
        <w:t>-</w:t>
      </w:r>
      <w:r w:rsidRPr="005D6D89">
        <w:t>year catastrophe losses by an average of about 50 per cent (Standard and Poor</w:t>
      </w:r>
      <w:r w:rsidR="001200EA">
        <w:t>’</w:t>
      </w:r>
      <w:r w:rsidRPr="005D6D89">
        <w:t>s, 2014). Catastrophe models,</w:t>
      </w:r>
      <w:r w:rsidR="00293901" w:rsidRPr="005D6D89">
        <w:t> </w:t>
      </w:r>
      <w:r w:rsidRPr="005D6D89">
        <w:t>used by insurers, reinsurers, governments, capital markets and other financial entities,</w:t>
      </w:r>
      <w:r w:rsidR="00293901" w:rsidRPr="005D6D89">
        <w:t> </w:t>
      </w:r>
      <w:r w:rsidRPr="005D6D89">
        <w:t>also tend to rely on historical data and do not necessarily incorporate climate</w:t>
      </w:r>
      <w:r w:rsidR="00BC337A">
        <w:t> </w:t>
      </w:r>
      <w:r w:rsidRPr="005D6D89">
        <w:t>change</w:t>
      </w:r>
      <w:r w:rsidR="00293901" w:rsidRPr="005D6D89">
        <w:t> </w:t>
      </w:r>
      <w:r w:rsidRPr="005D6D89">
        <w:t>trends (Lloyd</w:t>
      </w:r>
      <w:r w:rsidR="001200EA">
        <w:t>’</w:t>
      </w:r>
      <w:r w:rsidRPr="005D6D89">
        <w:t>s, 2014).</w:t>
      </w:r>
    </w:p>
    <w:p w14:paraId="52B61F32" w14:textId="77777777" w:rsidR="004E27B1" w:rsidRPr="005D6D89" w:rsidRDefault="004E27B1" w:rsidP="003A05E9">
      <w:pPr>
        <w:pStyle w:val="Heading5"/>
      </w:pPr>
      <w:r w:rsidRPr="005D6D89">
        <w:t>Adaptive capacity</w:t>
      </w:r>
    </w:p>
    <w:p w14:paraId="2FD7AE90" w14:textId="77777777" w:rsidR="004E27B1" w:rsidRPr="005D6D89" w:rsidRDefault="004E27B1" w:rsidP="003A05E9">
      <w:pPr>
        <w:pStyle w:val="BodyText"/>
        <w:rPr>
          <w:shd w:val="clear" w:color="auto" w:fill="FFFFFF"/>
        </w:rPr>
      </w:pPr>
      <w:r w:rsidRPr="005D6D89">
        <w:rPr>
          <w:shd w:val="clear" w:color="auto" w:fill="FFFFFF"/>
        </w:rPr>
        <w:t>The</w:t>
      </w:r>
      <w:r w:rsidRPr="005D6D89">
        <w:rPr>
          <w:i/>
          <w:shd w:val="clear" w:color="auto" w:fill="FFFFFF"/>
        </w:rPr>
        <w:t xml:space="preserve"> Reserve Bank of New Zealand Climate Change Strategy</w:t>
      </w:r>
      <w:r w:rsidRPr="005D6D89">
        <w:rPr>
          <w:shd w:val="clear" w:color="auto" w:fill="FFFFFF"/>
        </w:rPr>
        <w:t xml:space="preserve"> acknowledges the need to consider climate change risk in setting monetary policy (which controls either monetary supply or the interest rate payable on short-term borrowing), </w:t>
      </w:r>
      <w:r w:rsidRPr="005D6D89">
        <w:t>monitoring financial stability risks and financial markets, and identifying appropriate prudential requirements (Reserve Bank of New Zealand, 2020)</w:t>
      </w:r>
      <w:r w:rsidRPr="005D6D89">
        <w:rPr>
          <w:shd w:val="clear" w:color="auto" w:fill="FFFFFF"/>
        </w:rPr>
        <w:t>. However, historically low interest rates limit the ability to stimulate the economy in the event of a demand-side shock (Reserve Bank of New Zealand, 2019). Monetary policy instruments are also limited in addressing supply-side shocks</w:t>
      </w:r>
      <w:r w:rsidRPr="005D6D89">
        <w:t xml:space="preserve">. </w:t>
      </w:r>
    </w:p>
    <w:p w14:paraId="00508549" w14:textId="77777777" w:rsidR="004E27B1" w:rsidRPr="005D6D89" w:rsidRDefault="004E27B1" w:rsidP="003A05E9">
      <w:pPr>
        <w:pStyle w:val="BodyText"/>
      </w:pPr>
      <w:r w:rsidRPr="005D6D89">
        <w:t xml:space="preserve">Actions by the financial sector influence the size and allocation of damages from a hazard (Batten, Sowerbutts, and Tanaka, 2016). For example, the amount of insurance and credit available for construction in flood-prone areas will determine the size of the eventual financial losses from flooding in these areas, as well as the allocation of these losses. The inherent uncertainty in future </w:t>
      </w:r>
      <w:r w:rsidR="00A7442C">
        <w:t xml:space="preserve">concentrations of </w:t>
      </w:r>
      <w:r w:rsidRPr="005D6D89">
        <w:t xml:space="preserve">greenhouse gas, corresponding climate change, and the reactions of humans hinder accurate and efficient pricing of risk (Aglietta and Espanage, 2016). Importantly, the </w:t>
      </w:r>
      <w:r w:rsidR="001200EA">
        <w:t>‘</w:t>
      </w:r>
      <w:r w:rsidRPr="005D6D89">
        <w:t>long tails</w:t>
      </w:r>
      <w:r w:rsidR="001200EA">
        <w:t>’</w:t>
      </w:r>
      <w:r w:rsidRPr="005D6D89">
        <w:t xml:space="preserve"> of probability distributions (unlikely but extreme events) that grow </w:t>
      </w:r>
      <w:r w:rsidR="001200EA">
        <w:t>‘</w:t>
      </w:r>
      <w:r w:rsidRPr="005D6D89">
        <w:t>thicker</w:t>
      </w:r>
      <w:r w:rsidR="001200EA">
        <w:t>’</w:t>
      </w:r>
      <w:r w:rsidRPr="005D6D89">
        <w:t xml:space="preserve"> (ie, more likely) with climate change inaction cannot be ruled out as they are crucial for accurate pricing of uncertainty (Weitzman, 2009).</w:t>
      </w:r>
    </w:p>
    <w:p w14:paraId="2C15F320" w14:textId="77777777" w:rsidR="004E27B1" w:rsidRPr="005D6D89" w:rsidRDefault="004E27B1" w:rsidP="003A05E9">
      <w:pPr>
        <w:pStyle w:val="BodyText"/>
      </w:pPr>
      <w:r w:rsidRPr="005D6D89">
        <w:t>There is an international movement towards disclosure of climate change risks such as the Carbon Standards Disclosure Board, the UN Principles for Responsible Investment, the Task Force on Climate-related Financial Disclosures, and the Network for Greening the Financial System, of which New Zealand is a member. The intention is</w:t>
      </w:r>
      <w:r w:rsidRPr="005D6D89">
        <w:rPr>
          <w:rFonts w:asciiTheme="minorHAnsi" w:hAnsiTheme="minorHAnsi" w:cstheme="minorHAnsi"/>
        </w:rPr>
        <w:t xml:space="preserve"> to</w:t>
      </w:r>
      <w:r w:rsidRPr="005D6D89">
        <w:t xml:space="preserve"> mobilise mainstream financial flows towards investments that </w:t>
      </w:r>
      <w:proofErr w:type="gramStart"/>
      <w:r w:rsidRPr="005D6D89">
        <w:t>are not exposed</w:t>
      </w:r>
      <w:proofErr w:type="gramEnd"/>
      <w:r w:rsidRPr="005D6D89">
        <w:t xml:space="preserve"> to climate risk. Thus far</w:t>
      </w:r>
      <w:r w:rsidR="00136D82">
        <w:t>,</w:t>
      </w:r>
      <w:r w:rsidRPr="005D6D89">
        <w:t xml:space="preserve"> </w:t>
      </w:r>
      <w:r w:rsidR="00A7442C">
        <w:t xml:space="preserve">disclosure by the </w:t>
      </w:r>
      <w:r w:rsidR="00A7442C" w:rsidRPr="005D6D89">
        <w:t xml:space="preserve">Task Force on Climate-related Financial Disclosure </w:t>
      </w:r>
      <w:r w:rsidR="00F8784C">
        <w:t xml:space="preserve">(TCFD) </w:t>
      </w:r>
      <w:r w:rsidRPr="005D6D89">
        <w:t xml:space="preserve">is minimal, and capital flows generally still fail to consider climate risk. The market, in general, under-reacts to many types of value-relevant information (Weitzman, 2009) such as industry news, demographic shifts and upstream-downstream relationships (Hong, Torous and Valkanov, 2007; Cohen and Frazzini, 2008). </w:t>
      </w:r>
    </w:p>
    <w:p w14:paraId="611CCF8B" w14:textId="77777777" w:rsidR="004E27B1" w:rsidRPr="005D6D89" w:rsidRDefault="004E27B1" w:rsidP="003A05E9">
      <w:pPr>
        <w:pStyle w:val="BodyText"/>
      </w:pPr>
      <w:r w:rsidRPr="005D6D89">
        <w:t xml:space="preserve">Research also suggests that stock markets are inefficient in responding to information about drought trends (Hong, Li and Xu, 2019). The reasons require further research but may include inattention, </w:t>
      </w:r>
      <w:proofErr w:type="gramStart"/>
      <w:r w:rsidRPr="005D6D89">
        <w:t>home country equity bias</w:t>
      </w:r>
      <w:proofErr w:type="gramEnd"/>
      <w:r w:rsidRPr="005D6D89">
        <w:t xml:space="preserve">, or other institutional investor frictions. Whatever the reason, the inability to </w:t>
      </w:r>
      <w:proofErr w:type="gramStart"/>
      <w:r w:rsidRPr="005D6D89">
        <w:t>price climate change risk</w:t>
      </w:r>
      <w:proofErr w:type="gramEnd"/>
      <w:r w:rsidRPr="005D6D89">
        <w:t xml:space="preserve"> </w:t>
      </w:r>
      <w:r w:rsidR="00237239">
        <w:t xml:space="preserve">adequately </w:t>
      </w:r>
      <w:r w:rsidRPr="005D6D89">
        <w:t xml:space="preserve">reduces adaptive capacity (Hong, Li and Xu, 2019). Government proposals to introduce TCFD-aligned disclosures may help reduce sensitivity to this risk by enabling more accurate pricing. </w:t>
      </w:r>
    </w:p>
    <w:p w14:paraId="2952E336" w14:textId="77777777" w:rsidR="004E27B1" w:rsidRPr="005D6D89" w:rsidRDefault="004E27B1" w:rsidP="003A05E9">
      <w:pPr>
        <w:pStyle w:val="Heading5"/>
      </w:pPr>
      <w:r w:rsidRPr="005D6D89">
        <w:t>Consequence</w:t>
      </w:r>
    </w:p>
    <w:p w14:paraId="6BE34EAE" w14:textId="77777777" w:rsidR="004E27B1" w:rsidRPr="005D6D89" w:rsidRDefault="004E27B1" w:rsidP="003A05E9">
      <w:pPr>
        <w:pStyle w:val="BodyText"/>
      </w:pPr>
      <w:r w:rsidRPr="005D6D89">
        <w:t>Climate change presents a systemic risk to the financial system, with severe impacts on the</w:t>
      </w:r>
      <w:r w:rsidR="005547FA" w:rsidRPr="005D6D89">
        <w:t> </w:t>
      </w:r>
      <w:r w:rsidRPr="005D6D89">
        <w:t xml:space="preserve">real economy. Extreme events, such as flooding or fire, along with ongoing gradual changes, like soil erosion or sea-level rise, can have several impacts. These </w:t>
      </w:r>
      <w:proofErr w:type="gramStart"/>
      <w:r w:rsidRPr="005D6D89">
        <w:t>could be intensified</w:t>
      </w:r>
      <w:proofErr w:type="gramEnd"/>
      <w:r w:rsidR="005547FA" w:rsidRPr="005D6D89">
        <w:t> </w:t>
      </w:r>
      <w:r w:rsidRPr="005D6D89">
        <w:t>through</w:t>
      </w:r>
      <w:r w:rsidR="00921F56" w:rsidRPr="005D6D89">
        <w:t> </w:t>
      </w:r>
      <w:r w:rsidRPr="005D6D89">
        <w:t>interactions between the financial system and other parts of the economy</w:t>
      </w:r>
      <w:r w:rsidR="005547FA" w:rsidRPr="005D6D89">
        <w:t> </w:t>
      </w:r>
      <w:r w:rsidRPr="005D6D89">
        <w:t>as well</w:t>
      </w:r>
      <w:r w:rsidR="00921F56" w:rsidRPr="005D6D89">
        <w:t> </w:t>
      </w:r>
      <w:r w:rsidRPr="005D6D89">
        <w:t>as</w:t>
      </w:r>
      <w:r w:rsidR="00921F56" w:rsidRPr="005D6D89">
        <w:t> </w:t>
      </w:r>
      <w:r w:rsidRPr="005D6D89">
        <w:t>government policies and regulations. Financial instability could have a</w:t>
      </w:r>
      <w:r w:rsidR="00A7681F">
        <w:t> </w:t>
      </w:r>
      <w:r w:rsidRPr="005D6D89">
        <w:t>range of economic</w:t>
      </w:r>
      <w:r w:rsidR="00921F56" w:rsidRPr="005D6D89">
        <w:t> </w:t>
      </w:r>
      <w:r w:rsidRPr="005D6D89">
        <w:t>effects, including greater income inequality (Domanski and Zabai, 2016)</w:t>
      </w:r>
      <w:r w:rsidR="00A7681F">
        <w:t> </w:t>
      </w:r>
      <w:r w:rsidRPr="005D6D89">
        <w:t>and reinforcing the adverse effects of climate change on economic activity (Dafermos,</w:t>
      </w:r>
      <w:r w:rsidR="00A7681F">
        <w:t> </w:t>
      </w:r>
      <w:r w:rsidRPr="005D6D89">
        <w:t>Nikolaidi</w:t>
      </w:r>
      <w:r w:rsidR="00921F56" w:rsidRPr="005D6D89">
        <w:t> </w:t>
      </w:r>
      <w:r w:rsidRPr="005D6D89">
        <w:t xml:space="preserve">and Galanis, 2018). </w:t>
      </w:r>
    </w:p>
    <w:p w14:paraId="0A4E4EAB" w14:textId="77777777" w:rsidR="004E27B1" w:rsidRPr="005D6D89" w:rsidRDefault="004E27B1" w:rsidP="003A05E9">
      <w:pPr>
        <w:pStyle w:val="BodyText"/>
        <w:rPr>
          <w:rFonts w:asciiTheme="minorHAnsi" w:hAnsiTheme="minorHAnsi" w:cstheme="minorHAnsi"/>
        </w:rPr>
      </w:pPr>
      <w:r w:rsidRPr="005D6D89">
        <w:rPr>
          <w:rFonts w:asciiTheme="minorHAnsi" w:hAnsiTheme="minorHAnsi" w:cstheme="minorHAnsi"/>
        </w:rPr>
        <w:t>Climate change poses a potential risk to financial systems by disrupting both supply and</w:t>
      </w:r>
      <w:r w:rsidR="00921F56" w:rsidRPr="005D6D89">
        <w:rPr>
          <w:rFonts w:asciiTheme="minorHAnsi" w:hAnsiTheme="minorHAnsi" w:cstheme="minorHAnsi"/>
        </w:rPr>
        <w:t> </w:t>
      </w:r>
      <w:r w:rsidRPr="005D6D89">
        <w:rPr>
          <w:rFonts w:asciiTheme="minorHAnsi" w:hAnsiTheme="minorHAnsi" w:cstheme="minorHAnsi"/>
        </w:rPr>
        <w:t xml:space="preserve">demand. </w:t>
      </w:r>
    </w:p>
    <w:p w14:paraId="792CA77F" w14:textId="77777777" w:rsidR="004E27B1" w:rsidRPr="005D6D89" w:rsidRDefault="004E27B1" w:rsidP="003A05E9">
      <w:pPr>
        <w:pStyle w:val="BodyText"/>
        <w:rPr>
          <w:rFonts w:asciiTheme="minorHAnsi" w:hAnsiTheme="minorHAnsi" w:cstheme="minorHAnsi"/>
        </w:rPr>
      </w:pPr>
      <w:r w:rsidRPr="005D6D89">
        <w:rPr>
          <w:rFonts w:asciiTheme="minorHAnsi" w:hAnsiTheme="minorHAnsi" w:cstheme="minorHAnsi"/>
        </w:rPr>
        <w:t>Demand-side disruptions affect consumption, investment and international trade. Climate change</w:t>
      </w:r>
      <w:r w:rsidR="00F8784C">
        <w:rPr>
          <w:rFonts w:asciiTheme="minorHAnsi" w:hAnsiTheme="minorHAnsi" w:cstheme="minorHAnsi"/>
        </w:rPr>
        <w:t>-</w:t>
      </w:r>
      <w:r w:rsidRPr="005D6D89">
        <w:rPr>
          <w:rFonts w:asciiTheme="minorHAnsi" w:hAnsiTheme="minorHAnsi" w:cstheme="minorHAnsi"/>
        </w:rPr>
        <w:t xml:space="preserve">induced losses could reduce household wealth and therefore private consumption. Business investments </w:t>
      </w:r>
      <w:proofErr w:type="gramStart"/>
      <w:r w:rsidRPr="005D6D89">
        <w:rPr>
          <w:rFonts w:asciiTheme="minorHAnsi" w:hAnsiTheme="minorHAnsi" w:cstheme="minorHAnsi"/>
        </w:rPr>
        <w:t>could be reduced</w:t>
      </w:r>
      <w:proofErr w:type="gramEnd"/>
      <w:r w:rsidRPr="005D6D89">
        <w:rPr>
          <w:rFonts w:asciiTheme="minorHAnsi" w:hAnsiTheme="minorHAnsi" w:cstheme="minorHAnsi"/>
        </w:rPr>
        <w:t xml:space="preserve"> by uncertainty and damage to physical and financial assets. Climate hazards can also have significant effects on domestic and inter</w:t>
      </w:r>
      <w:r w:rsidR="00136D82">
        <w:rPr>
          <w:rFonts w:asciiTheme="minorHAnsi" w:hAnsiTheme="minorHAnsi" w:cstheme="minorHAnsi"/>
        </w:rPr>
        <w:t xml:space="preserve">national trade (Gassenher, Keck and </w:t>
      </w:r>
      <w:proofErr w:type="gramStart"/>
      <w:r w:rsidR="00136D82">
        <w:rPr>
          <w:rFonts w:asciiTheme="minorHAnsi" w:hAnsiTheme="minorHAnsi" w:cstheme="minorHAnsi"/>
        </w:rPr>
        <w:t>The</w:t>
      </w:r>
      <w:proofErr w:type="gramEnd"/>
      <w:r w:rsidR="00136D82">
        <w:rPr>
          <w:rFonts w:asciiTheme="minorHAnsi" w:hAnsiTheme="minorHAnsi" w:cstheme="minorHAnsi"/>
        </w:rPr>
        <w:t xml:space="preserve">, 2010; Oh </w:t>
      </w:r>
      <w:r w:rsidRPr="005D6D89">
        <w:rPr>
          <w:rFonts w:asciiTheme="minorHAnsi" w:hAnsiTheme="minorHAnsi" w:cstheme="minorHAnsi"/>
        </w:rPr>
        <w:t xml:space="preserve">and Reuveny, 2010). </w:t>
      </w:r>
    </w:p>
    <w:p w14:paraId="4122A7E0" w14:textId="77777777" w:rsidR="004E27B1" w:rsidRPr="005D6D89" w:rsidRDefault="004E27B1" w:rsidP="003A05E9">
      <w:pPr>
        <w:pStyle w:val="BodyText"/>
        <w:rPr>
          <w:rFonts w:asciiTheme="minorHAnsi" w:hAnsiTheme="minorHAnsi" w:cstheme="minorHAnsi"/>
        </w:rPr>
      </w:pPr>
      <w:r w:rsidRPr="005D6D89">
        <w:rPr>
          <w:rFonts w:asciiTheme="minorHAnsi" w:hAnsiTheme="minorHAnsi" w:cstheme="minorHAnsi"/>
        </w:rPr>
        <w:t>Supply-side disruptions affect productive capacity. These disruptions could include loss in worker productivity in hot weather, impacts on production facilities and the transport networks, or shortages in commodities reducing the supply of goods.</w:t>
      </w:r>
    </w:p>
    <w:p w14:paraId="698F1636" w14:textId="77777777" w:rsidR="004E27B1" w:rsidRPr="005D6D89" w:rsidRDefault="004E27B1" w:rsidP="003A05E9">
      <w:pPr>
        <w:pStyle w:val="BodyText"/>
      </w:pPr>
      <w:r w:rsidRPr="005D6D89">
        <w:t>Climate change could cause permanent or long-term damage to capital and land (Stern, 2013), and increase the rate of ca</w:t>
      </w:r>
      <w:r w:rsidR="00136D82">
        <w:t xml:space="preserve">pital depreciation (Fankhauser </w:t>
      </w:r>
      <w:r w:rsidRPr="005D6D89">
        <w:t>and Tol, 2005). Both can reduce profitability and gradually diminish the liquidity of firms. Extreme events undermine the financial robustness of banks (Klomp, 2014). In extreme cases, capital reserves become too low</w:t>
      </w:r>
      <w:r w:rsidR="00921F56" w:rsidRPr="005D6D89">
        <w:t> </w:t>
      </w:r>
      <w:r w:rsidRPr="005D6D89">
        <w:t xml:space="preserve">to cover regulatory requirements, necessitating a government response, which may include a bailout. This would adversely affect the public debt-to-output ratio (Dafermos, Nikolaidi and Galanis, 2018). </w:t>
      </w:r>
    </w:p>
    <w:p w14:paraId="31540DA7" w14:textId="77777777" w:rsidR="004E27B1" w:rsidRPr="005D6D89" w:rsidRDefault="004E27B1" w:rsidP="003A05E9">
      <w:pPr>
        <w:pStyle w:val="BodyText"/>
      </w:pPr>
      <w:r w:rsidRPr="005D6D89">
        <w:t xml:space="preserve">If banks suffer losses on their capital </w:t>
      </w:r>
      <w:r w:rsidR="00237239" w:rsidRPr="005D6D89">
        <w:t>because</w:t>
      </w:r>
      <w:r w:rsidRPr="005D6D89">
        <w:t xml:space="preserve"> of a climate hazard and cannot raise new capital immediately, they may reduce lending to both affected and unaffected areas to improve their regulatory capital ratios. The resulting reduction in credit supply could in turn exacerbate a fall in the value of assets used to secure loans, and further affect the balance sheets of households and businesses, potentially deepening the inevitable econom</w:t>
      </w:r>
      <w:r w:rsidR="00136D82">
        <w:t>ic downturn (Batten, Sowerbutts</w:t>
      </w:r>
      <w:r w:rsidRPr="005D6D89">
        <w:t xml:space="preserve"> and Tanaka, 2016). </w:t>
      </w:r>
    </w:p>
    <w:p w14:paraId="009C9910" w14:textId="77777777" w:rsidR="004E27B1" w:rsidRPr="005D6D89" w:rsidRDefault="004E27B1" w:rsidP="003A05E9">
      <w:pPr>
        <w:pStyle w:val="BodyText"/>
        <w:rPr>
          <w:color w:val="000000"/>
        </w:rPr>
      </w:pPr>
      <w:r w:rsidRPr="005D6D89">
        <w:rPr>
          <w:color w:val="000000"/>
        </w:rPr>
        <w:t>An extreme event could also undermine business confidence and trigger a sharp sell-off in financial markets</w:t>
      </w:r>
      <w:r w:rsidR="00F8784C">
        <w:rPr>
          <w:color w:val="000000"/>
        </w:rPr>
        <w:t>. This could result in an</w:t>
      </w:r>
      <w:r w:rsidRPr="005D6D89">
        <w:rPr>
          <w:color w:val="000000"/>
        </w:rPr>
        <w:t xml:space="preserve"> increase </w:t>
      </w:r>
      <w:r w:rsidR="00F8784C">
        <w:rPr>
          <w:color w:val="000000"/>
        </w:rPr>
        <w:t xml:space="preserve">in </w:t>
      </w:r>
      <w:r w:rsidRPr="005D6D89">
        <w:rPr>
          <w:color w:val="000000"/>
        </w:rPr>
        <w:t>the cost of funding new investments and thus</w:t>
      </w:r>
      <w:r w:rsidR="005547FA" w:rsidRPr="005D6D89">
        <w:rPr>
          <w:color w:val="000000"/>
        </w:rPr>
        <w:t> </w:t>
      </w:r>
      <w:r w:rsidRPr="005D6D89">
        <w:rPr>
          <w:color w:val="000000"/>
        </w:rPr>
        <w:t xml:space="preserve">reduce investment demand. Climate change may also influence </w:t>
      </w:r>
      <w:r w:rsidR="00F8784C">
        <w:rPr>
          <w:color w:val="000000"/>
        </w:rPr>
        <w:t xml:space="preserve">how households allocate </w:t>
      </w:r>
      <w:r w:rsidRPr="005D6D89">
        <w:rPr>
          <w:color w:val="000000"/>
        </w:rPr>
        <w:t>capital</w:t>
      </w:r>
      <w:r w:rsidR="00F8784C">
        <w:rPr>
          <w:color w:val="000000"/>
        </w:rPr>
        <w:t xml:space="preserve">. </w:t>
      </w:r>
      <w:r w:rsidR="00237239">
        <w:rPr>
          <w:color w:val="000000"/>
        </w:rPr>
        <w:t>I</w:t>
      </w:r>
      <w:r w:rsidRPr="005D6D89">
        <w:rPr>
          <w:color w:val="000000"/>
        </w:rPr>
        <w:t xml:space="preserve">n response to declining corporate profitability and increases in risk, </w:t>
      </w:r>
      <w:r w:rsidR="00237239">
        <w:rPr>
          <w:color w:val="000000"/>
        </w:rPr>
        <w:t xml:space="preserve">households may </w:t>
      </w:r>
      <w:r w:rsidRPr="005D6D89">
        <w:rPr>
          <w:color w:val="000000"/>
        </w:rPr>
        <w:t xml:space="preserve">reallocate financial wealth from corporate bonds towards term deposits and government securities, which </w:t>
      </w:r>
      <w:proofErr w:type="gramStart"/>
      <w:r w:rsidRPr="005D6D89">
        <w:rPr>
          <w:color w:val="000000"/>
        </w:rPr>
        <w:t>are perceived</w:t>
      </w:r>
      <w:proofErr w:type="gramEnd"/>
      <w:r w:rsidRPr="005D6D89">
        <w:rPr>
          <w:color w:val="000000"/>
        </w:rPr>
        <w:t xml:space="preserve"> to be less risky. This </w:t>
      </w:r>
      <w:r w:rsidR="00F8784C">
        <w:rPr>
          <w:color w:val="000000"/>
        </w:rPr>
        <w:t xml:space="preserve">reallocation of </w:t>
      </w:r>
      <w:r w:rsidRPr="005D6D89">
        <w:rPr>
          <w:color w:val="000000"/>
        </w:rPr>
        <w:t>investment portfolio</w:t>
      </w:r>
      <w:r w:rsidR="00F8784C">
        <w:rPr>
          <w:color w:val="000000"/>
        </w:rPr>
        <w:t>s</w:t>
      </w:r>
      <w:r w:rsidRPr="005D6D89">
        <w:rPr>
          <w:color w:val="000000"/>
        </w:rPr>
        <w:t xml:space="preserve"> can cause a gradual decline in the price of corporate bonds, </w:t>
      </w:r>
      <w:r w:rsidR="00F8784C">
        <w:rPr>
          <w:color w:val="000000"/>
        </w:rPr>
        <w:t>which would reduce</w:t>
      </w:r>
      <w:r w:rsidR="00F8784C" w:rsidRPr="005D6D89">
        <w:rPr>
          <w:color w:val="000000"/>
        </w:rPr>
        <w:t xml:space="preserve"> </w:t>
      </w:r>
      <w:r w:rsidRPr="005D6D89">
        <w:rPr>
          <w:color w:val="000000"/>
        </w:rPr>
        <w:t xml:space="preserve">economic growth from wealth-related consumption and </w:t>
      </w:r>
      <w:r w:rsidR="00F8784C">
        <w:rPr>
          <w:color w:val="000000"/>
        </w:rPr>
        <w:t xml:space="preserve">firms’ </w:t>
      </w:r>
      <w:r w:rsidRPr="005D6D89">
        <w:rPr>
          <w:color w:val="000000"/>
        </w:rPr>
        <w:t>ability to fund investment, thereby constraining econo</w:t>
      </w:r>
      <w:r w:rsidR="00136D82">
        <w:rPr>
          <w:color w:val="000000"/>
        </w:rPr>
        <w:t>mic growth (Dafermos, Nikolaidi</w:t>
      </w:r>
      <w:r w:rsidRPr="005D6D89">
        <w:rPr>
          <w:color w:val="000000"/>
        </w:rPr>
        <w:t xml:space="preserve"> and Galanis, 2018). These impacts </w:t>
      </w:r>
      <w:proofErr w:type="gramStart"/>
      <w:r w:rsidRPr="005D6D89">
        <w:rPr>
          <w:color w:val="000000"/>
        </w:rPr>
        <w:t>are expected</w:t>
      </w:r>
      <w:proofErr w:type="gramEnd"/>
      <w:r w:rsidRPr="005D6D89">
        <w:rPr>
          <w:color w:val="000000"/>
        </w:rPr>
        <w:t xml:space="preserve"> to become more severe if global warming passes a 2.5°C threshold (Dafermos, Nikolaidi and</w:t>
      </w:r>
      <w:r w:rsidR="00A7681F">
        <w:rPr>
          <w:color w:val="000000"/>
        </w:rPr>
        <w:t> </w:t>
      </w:r>
      <w:r w:rsidRPr="005D6D89">
        <w:rPr>
          <w:color w:val="000000"/>
        </w:rPr>
        <w:t>Galanis, 2018).</w:t>
      </w:r>
    </w:p>
    <w:p w14:paraId="12A8A2AD" w14:textId="77777777" w:rsidR="004E27B1" w:rsidRPr="005D6D89" w:rsidRDefault="004E27B1" w:rsidP="00921F56">
      <w:pPr>
        <w:pStyle w:val="BodyText"/>
        <w:keepLines/>
      </w:pPr>
      <w:r w:rsidRPr="005D6D89">
        <w:t>Climate change can also affect the stability of the financial system through the insurance sector. Increasingly frequent and severe extreme events, such as fires, floods and storm surges</w:t>
      </w:r>
      <w:r w:rsidR="00F8784C">
        <w:t>,</w:t>
      </w:r>
      <w:r w:rsidRPr="005D6D89">
        <w:t xml:space="preserve"> could have a direct effect on the insurers that cover them. If insured losses from an event or a series of events are sufficiently large and concentrated, they could lead to distress or failure of</w:t>
      </w:r>
      <w:r w:rsidR="00921F56" w:rsidRPr="005D6D89">
        <w:t> </w:t>
      </w:r>
      <w:r w:rsidRPr="005D6D89">
        <w:t>insurance companies. This</w:t>
      </w:r>
      <w:r w:rsidR="00F8784C">
        <w:t>,</w:t>
      </w:r>
      <w:r w:rsidRPr="005D6D89">
        <w:t xml:space="preserve"> in turn</w:t>
      </w:r>
      <w:r w:rsidR="00F8784C">
        <w:t>,</w:t>
      </w:r>
      <w:r w:rsidRPr="005D6D89">
        <w:t xml:space="preserve"> could affect financial stability if it disrupt</w:t>
      </w:r>
      <w:r w:rsidR="00F8784C">
        <w:t>ed</w:t>
      </w:r>
      <w:r w:rsidRPr="005D6D89">
        <w:t xml:space="preserve"> critical insurance services and systemically important financial markets, such as securities lending and</w:t>
      </w:r>
      <w:r w:rsidR="00921F56" w:rsidRPr="005D6D89">
        <w:t> </w:t>
      </w:r>
      <w:r w:rsidRPr="005D6D89">
        <w:t xml:space="preserve">funding transactions (French, Vital and Minot, 2015). Large-scale fire sales of assets by distressed insurers could reduce asset prices, which could adversely affect the balance sheets of other financial institutions </w:t>
      </w:r>
      <w:r w:rsidR="00F8784C">
        <w:t>like</w:t>
      </w:r>
      <w:r w:rsidRPr="005D6D89">
        <w:t xml:space="preserve"> banks. If these risks are uninsured, the deterioration of </w:t>
      </w:r>
      <w:r w:rsidR="00F8784C">
        <w:t xml:space="preserve">the balance sheets of </w:t>
      </w:r>
      <w:r w:rsidRPr="005D6D89">
        <w:t>affected households and corporates could lead to losses for their lender banks (Campiglio</w:t>
      </w:r>
      <w:r w:rsidR="00B61730">
        <w:t xml:space="preserve"> et al</w:t>
      </w:r>
      <w:r w:rsidRPr="005D6D89">
        <w:t xml:space="preserve">, 2018). Figure </w:t>
      </w:r>
      <w:r w:rsidR="001C372B" w:rsidRPr="005D6D89">
        <w:t>9</w:t>
      </w:r>
      <w:r w:rsidRPr="005D6D89">
        <w:t xml:space="preserve"> illustrates some of these relationships. </w:t>
      </w:r>
    </w:p>
    <w:p w14:paraId="6A759299" w14:textId="77777777" w:rsidR="00095C61" w:rsidRPr="005D6D89" w:rsidRDefault="00717EC1" w:rsidP="00095C61">
      <w:pPr>
        <w:pStyle w:val="Figureheading"/>
        <w:rPr>
          <w:sz w:val="16"/>
        </w:rPr>
      </w:pPr>
      <w:bookmarkStart w:id="393" w:name="_Toc43312900"/>
      <w:r w:rsidRPr="005D6D89">
        <w:t xml:space="preserve">Figure </w:t>
      </w:r>
      <w:r w:rsidR="001C372B" w:rsidRPr="005D6D89">
        <w:t>9</w:t>
      </w:r>
      <w:r w:rsidRPr="005D6D89">
        <w:t>:</w:t>
      </w:r>
      <w:r w:rsidRPr="005D6D89">
        <w:tab/>
        <w:t xml:space="preserve">A transmission map from a climate hazard to financial sector losses and the </w:t>
      </w:r>
      <w:r w:rsidR="00237239" w:rsidRPr="005D6D89">
        <w:t>macro economy</w:t>
      </w:r>
      <w:r w:rsidRPr="005D6D89">
        <w:t xml:space="preserve"> (Batten, Sowerbutts and Tanaka, 2016)</w:t>
      </w:r>
      <w:bookmarkEnd w:id="393"/>
    </w:p>
    <w:p w14:paraId="3B85F56D" w14:textId="77777777" w:rsidR="00095C61" w:rsidRPr="005D6D89" w:rsidRDefault="00095C61" w:rsidP="00116906">
      <w:pPr>
        <w:autoSpaceDE w:val="0"/>
        <w:autoSpaceDN w:val="0"/>
        <w:adjustRightInd w:val="0"/>
        <w:spacing w:line="200" w:lineRule="atLeast"/>
        <w:rPr>
          <w:rFonts w:asciiTheme="minorHAnsi" w:hAnsiTheme="minorHAnsi" w:cstheme="minorHAnsi"/>
        </w:rPr>
      </w:pPr>
      <w:r w:rsidRPr="005D6D89">
        <w:rPr>
          <w:rFonts w:asciiTheme="minorHAnsi" w:hAnsiTheme="minorHAnsi" w:cstheme="minorHAnsi"/>
          <w:noProof/>
          <w:color w:val="000000"/>
        </w:rPr>
        <w:drawing>
          <wp:inline distT="0" distB="0" distL="0" distR="0" wp14:anchorId="55D56B9A" wp14:editId="778DD087">
            <wp:extent cx="5400000" cy="328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duotone>
                        <a:schemeClr val="accent2">
                          <a:shade val="45000"/>
                          <a:satMod val="135000"/>
                        </a:schemeClr>
                        <a:prstClr val="white"/>
                      </a:duotone>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l="1652" t="3370" r="1355" b="4046"/>
                    <a:stretch/>
                  </pic:blipFill>
                  <pic:spPr bwMode="auto">
                    <a:xfrm>
                      <a:off x="0" y="0"/>
                      <a:ext cx="5400000" cy="3286800"/>
                    </a:xfrm>
                    <a:prstGeom prst="rect">
                      <a:avLst/>
                    </a:prstGeom>
                    <a:noFill/>
                    <a:ln>
                      <a:noFill/>
                    </a:ln>
                    <a:extLst>
                      <a:ext uri="{53640926-AAD7-44D8-BBD7-CCE9431645EC}">
                        <a14:shadowObscured xmlns:a14="http://schemas.microsoft.com/office/drawing/2010/main"/>
                      </a:ext>
                    </a:extLst>
                  </pic:spPr>
                </pic:pic>
              </a:graphicData>
            </a:graphic>
          </wp:inline>
        </w:drawing>
      </w:r>
    </w:p>
    <w:p w14:paraId="1D251FBB" w14:textId="77777777" w:rsidR="00181496" w:rsidRPr="005D6D89" w:rsidRDefault="00181496" w:rsidP="00181496">
      <w:pPr>
        <w:pStyle w:val="Heading5"/>
      </w:pPr>
      <w:r w:rsidRPr="005D6D89">
        <w:t>Interacting risks</w:t>
      </w:r>
    </w:p>
    <w:p w14:paraId="343F0733" w14:textId="053009CE" w:rsidR="00181496" w:rsidRPr="005D6D89" w:rsidRDefault="00181496" w:rsidP="00181496">
      <w:pPr>
        <w:pStyle w:val="BodyText"/>
      </w:pPr>
      <w:r w:rsidRPr="005D6D89">
        <w:t>Financial system instability will affect the Government</w:t>
      </w:r>
      <w:r w:rsidR="001200EA">
        <w:t>’</w:t>
      </w:r>
      <w:r w:rsidRPr="005D6D89">
        <w:t xml:space="preserve">s fiscal position (E1), other economic sectors (E3, </w:t>
      </w:r>
      <w:r w:rsidR="00B63AAD" w:rsidRPr="005D6D89">
        <w:t>E</w:t>
      </w:r>
      <w:r w:rsidR="00B63AAD">
        <w:t>4</w:t>
      </w:r>
      <w:r w:rsidR="00B63AAD" w:rsidRPr="005D6D89">
        <w:t xml:space="preserve"> </w:t>
      </w:r>
      <w:r w:rsidRPr="005D6D89">
        <w:t xml:space="preserve">and E5) and the ability to fund adaptation (G2). Emergency government responses may </w:t>
      </w:r>
      <w:r w:rsidR="00F8784C">
        <w:t>occur</w:t>
      </w:r>
      <w:r w:rsidRPr="005D6D89">
        <w:t xml:space="preserve"> in the context of a major financial system disruption, posing risks to democratic decision-making (</w:t>
      </w:r>
      <w:r w:rsidR="00B63AAD" w:rsidRPr="005D6D89">
        <w:t>G</w:t>
      </w:r>
      <w:r w:rsidR="00B63AAD">
        <w:t>8</w:t>
      </w:r>
      <w:r w:rsidRPr="005D6D89">
        <w:t>). Financial crises also tend to exacerbate inequities (H2) and cause health problems (H3).</w:t>
      </w:r>
    </w:p>
    <w:p w14:paraId="71040731" w14:textId="77777777" w:rsidR="00181496" w:rsidRPr="005D6D89" w:rsidRDefault="00181496" w:rsidP="00181496">
      <w:pPr>
        <w:pStyle w:val="Heading5"/>
      </w:pPr>
      <w:r w:rsidRPr="005D6D89">
        <w:t>Confidence: high agreement, medium evidence</w:t>
      </w:r>
    </w:p>
    <w:p w14:paraId="4294D092" w14:textId="77777777" w:rsidR="00181496" w:rsidRPr="005D6D89" w:rsidRDefault="00181496" w:rsidP="00181496">
      <w:pPr>
        <w:pStyle w:val="BodyText"/>
      </w:pPr>
      <w:r w:rsidRPr="005D6D89">
        <w:t xml:space="preserve">There is a reasonably high degree of agreement on the impacts of climate change on financial system stability, and a large, growing body of academic and </w:t>
      </w:r>
      <w:r w:rsidRPr="00136D82">
        <w:t>grey</w:t>
      </w:r>
      <w:r w:rsidRPr="005D6D89">
        <w:t xml:space="preserve"> literature to substantiate this consensus. However, this research area is in its infancy, and there is little data for the New Zealand context.</w:t>
      </w:r>
    </w:p>
    <w:p w14:paraId="62124EEC" w14:textId="77777777" w:rsidR="00181496" w:rsidRPr="005D6D89" w:rsidRDefault="00181496" w:rsidP="00181496">
      <w:pPr>
        <w:pStyle w:val="Heading5"/>
      </w:pPr>
      <w:r w:rsidRPr="005D6D89">
        <w:t>Adaptation</w:t>
      </w:r>
    </w:p>
    <w:p w14:paraId="736AA46C" w14:textId="77777777" w:rsidR="00877B9B" w:rsidRDefault="00181496" w:rsidP="009F2C2F">
      <w:pPr>
        <w:pStyle w:val="BodyText"/>
        <w:spacing w:before="100" w:after="100"/>
      </w:pPr>
      <w:r w:rsidRPr="005D6D89">
        <w:t xml:space="preserve">Some adaptation </w:t>
      </w:r>
      <w:proofErr w:type="gramStart"/>
      <w:r w:rsidRPr="005D6D89">
        <w:t>efforts,</w:t>
      </w:r>
      <w:proofErr w:type="gramEnd"/>
      <w:r w:rsidRPr="005D6D89">
        <w:t xml:space="preserve"> both planned and under way, explicitly target financial system stability in the context of climate change. </w:t>
      </w:r>
      <w:proofErr w:type="gramStart"/>
      <w:r w:rsidRPr="005D6D89">
        <w:t>The Reserve Bank of New Zealand (RBNZ) has developed a climate change strategy and takes other regulatory actions to support financial system stability.</w:t>
      </w:r>
      <w:proofErr w:type="gramEnd"/>
      <w:r w:rsidRPr="005D6D89">
        <w:t xml:space="preserve"> The finance and insurance sectors are working with governments on policy frameworks to enable proactive risk reduction, and some banks are starting to </w:t>
      </w:r>
      <w:proofErr w:type="gramStart"/>
      <w:r w:rsidRPr="005D6D89">
        <w:t>factor climate change risk</w:t>
      </w:r>
      <w:proofErr w:type="gramEnd"/>
      <w:r w:rsidRPr="005D6D89">
        <w:t xml:space="preserve"> into lending decisions. Adaptation to address other risks in New Zealand will also contribute to reducing this risk.</w:t>
      </w:r>
    </w:p>
    <w:p w14:paraId="5D32CAA1" w14:textId="77777777" w:rsidR="00A523D9" w:rsidRPr="005D6D89" w:rsidRDefault="00A523D9" w:rsidP="00A523D9">
      <w:pPr>
        <w:pStyle w:val="Tableheading"/>
      </w:pPr>
      <w:bookmarkStart w:id="394" w:name="_Toc43312814"/>
      <w:r>
        <w:t>Table 20:</w:t>
      </w:r>
      <w:r>
        <w:tab/>
      </w:r>
      <w:r w:rsidRPr="005D6D89">
        <w:t>E2 Risks to the financial system from instability: Urgency profile</w:t>
      </w:r>
      <w:bookmarkEnd w:id="394"/>
    </w:p>
    <w:tbl>
      <w:tblPr>
        <w:tblStyle w:val="TableGrid"/>
        <w:tblW w:w="8613" w:type="dxa"/>
        <w:tblBorders>
          <w:top w:val="single" w:sz="4" w:space="0" w:color="32809C"/>
          <w:left w:val="none" w:sz="0" w:space="0" w:color="auto"/>
          <w:bottom w:val="single" w:sz="4" w:space="0" w:color="32809C"/>
          <w:right w:val="none" w:sz="0" w:space="0" w:color="auto"/>
          <w:insideH w:val="single" w:sz="4" w:space="0" w:color="32809C"/>
          <w:insideV w:val="single" w:sz="4" w:space="0" w:color="32809C"/>
        </w:tblBorders>
        <w:tblLayout w:type="fixed"/>
        <w:tblLook w:val="04A0" w:firstRow="1" w:lastRow="0" w:firstColumn="1" w:lastColumn="0" w:noHBand="0" w:noVBand="1"/>
      </w:tblPr>
      <w:tblGrid>
        <w:gridCol w:w="108"/>
        <w:gridCol w:w="1985"/>
        <w:gridCol w:w="992"/>
        <w:gridCol w:w="992"/>
        <w:gridCol w:w="1134"/>
        <w:gridCol w:w="993"/>
        <w:gridCol w:w="850"/>
        <w:gridCol w:w="1559"/>
      </w:tblGrid>
      <w:tr w:rsidR="007B796E" w:rsidRPr="005D6D89" w14:paraId="57F4452F" w14:textId="77777777" w:rsidTr="00095C79">
        <w:tc>
          <w:tcPr>
            <w:tcW w:w="8613" w:type="dxa"/>
            <w:gridSpan w:val="8"/>
            <w:shd w:val="clear" w:color="auto" w:fill="32809C"/>
          </w:tcPr>
          <w:p w14:paraId="00946506" w14:textId="77777777" w:rsidR="00026EE9" w:rsidRPr="005D6D89" w:rsidRDefault="00026EE9" w:rsidP="009F2C2F">
            <w:pPr>
              <w:pStyle w:val="TableTextBold0"/>
              <w:keepNext/>
              <w:spacing w:before="50" w:after="50"/>
              <w:rPr>
                <w:color w:val="FFFFFF" w:themeColor="background1"/>
              </w:rPr>
            </w:pPr>
            <w:r w:rsidRPr="005D6D89">
              <w:rPr>
                <w:color w:val="FFFFFF" w:themeColor="background1"/>
              </w:rPr>
              <w:t>E2 Risks to the financial system from instability: Urgency profile</w:t>
            </w:r>
          </w:p>
        </w:tc>
      </w:tr>
      <w:tr w:rsidR="00026EE9" w:rsidRPr="005D6D89" w14:paraId="2606B931" w14:textId="77777777" w:rsidTr="00095C79">
        <w:trPr>
          <w:gridBefore w:val="1"/>
          <w:wBefore w:w="108" w:type="dxa"/>
        </w:trPr>
        <w:tc>
          <w:tcPr>
            <w:tcW w:w="1985" w:type="dxa"/>
            <w:shd w:val="clear" w:color="auto" w:fill="FFFFFF" w:themeFill="background1"/>
            <w:vAlign w:val="bottom"/>
          </w:tcPr>
          <w:p w14:paraId="510F0A25" w14:textId="77777777" w:rsidR="00026EE9" w:rsidRPr="000874AA" w:rsidRDefault="00026EE9" w:rsidP="009F2C2F">
            <w:pPr>
              <w:pStyle w:val="TableTextBold0"/>
              <w:keepNext/>
              <w:spacing w:before="50" w:after="50"/>
            </w:pPr>
            <w:r w:rsidRPr="000874AA">
              <w:t>Urgency category</w:t>
            </w:r>
          </w:p>
        </w:tc>
        <w:tc>
          <w:tcPr>
            <w:tcW w:w="1984" w:type="dxa"/>
            <w:gridSpan w:val="2"/>
            <w:vAlign w:val="bottom"/>
          </w:tcPr>
          <w:p w14:paraId="49050C3A" w14:textId="77777777" w:rsidR="00026EE9" w:rsidRPr="005D6D89" w:rsidRDefault="00845880" w:rsidP="009F2C2F">
            <w:pPr>
              <w:pStyle w:val="TableTextBold0"/>
              <w:keepNext/>
              <w:spacing w:before="50" w:after="50"/>
              <w:jc w:val="center"/>
            </w:pPr>
            <w:r>
              <w:t>Proportion of urgency out of 100</w:t>
            </w:r>
          </w:p>
        </w:tc>
        <w:tc>
          <w:tcPr>
            <w:tcW w:w="4536" w:type="dxa"/>
            <w:gridSpan w:val="4"/>
            <w:vAlign w:val="bottom"/>
          </w:tcPr>
          <w:p w14:paraId="61B2DE4A" w14:textId="77777777" w:rsidR="00026EE9" w:rsidRPr="005D6D89" w:rsidRDefault="00026EE9" w:rsidP="009F2C2F">
            <w:pPr>
              <w:pStyle w:val="TableTextBold0"/>
              <w:keepNext/>
              <w:spacing w:before="50" w:after="50"/>
              <w:rPr>
                <w:rFonts w:cs="Arial"/>
              </w:rPr>
            </w:pPr>
            <w:r w:rsidRPr="005D6D89">
              <w:rPr>
                <w:rFonts w:cs="Arial"/>
              </w:rPr>
              <w:t>Description of actions</w:t>
            </w:r>
          </w:p>
        </w:tc>
      </w:tr>
      <w:tr w:rsidR="00026EE9" w:rsidRPr="005D6D89" w14:paraId="65493194" w14:textId="77777777" w:rsidTr="00095C79">
        <w:trPr>
          <w:gridBefore w:val="1"/>
          <w:wBefore w:w="108" w:type="dxa"/>
        </w:trPr>
        <w:tc>
          <w:tcPr>
            <w:tcW w:w="1985" w:type="dxa"/>
            <w:shd w:val="clear" w:color="auto" w:fill="FFFFFF" w:themeFill="background1"/>
            <w:hideMark/>
          </w:tcPr>
          <w:p w14:paraId="6AFB4D63" w14:textId="77777777" w:rsidR="00026EE9" w:rsidRPr="007D0B70" w:rsidRDefault="00026EE9" w:rsidP="009F2C2F">
            <w:pPr>
              <w:pStyle w:val="TableTextBold0"/>
              <w:keepNext/>
              <w:spacing w:before="50" w:after="50"/>
              <w:rPr>
                <w:b w:val="0"/>
              </w:rPr>
            </w:pPr>
            <w:r w:rsidRPr="007D0B70">
              <w:rPr>
                <w:b w:val="0"/>
              </w:rPr>
              <w:t>More action needed</w:t>
            </w:r>
          </w:p>
        </w:tc>
        <w:tc>
          <w:tcPr>
            <w:tcW w:w="1984" w:type="dxa"/>
            <w:gridSpan w:val="2"/>
          </w:tcPr>
          <w:p w14:paraId="45D4BED5" w14:textId="77777777" w:rsidR="00026EE9" w:rsidRPr="005D6D89" w:rsidRDefault="00026EE9" w:rsidP="009F2C2F">
            <w:pPr>
              <w:pStyle w:val="TableText"/>
              <w:keepNext/>
              <w:spacing w:before="50" w:after="50"/>
              <w:jc w:val="center"/>
            </w:pPr>
            <w:r w:rsidRPr="005D6D89">
              <w:t>40</w:t>
            </w:r>
          </w:p>
        </w:tc>
        <w:tc>
          <w:tcPr>
            <w:tcW w:w="4536" w:type="dxa"/>
            <w:gridSpan w:val="4"/>
          </w:tcPr>
          <w:p w14:paraId="0DA9D290" w14:textId="77777777" w:rsidR="00026EE9" w:rsidRPr="005D6D89" w:rsidRDefault="00026EE9" w:rsidP="009F2C2F">
            <w:pPr>
              <w:pStyle w:val="TableText"/>
              <w:keepNext/>
              <w:spacing w:before="50" w:after="50"/>
            </w:pPr>
            <w:r w:rsidRPr="005D6D89">
              <w:t xml:space="preserve">Coordinate </w:t>
            </w:r>
            <w:r w:rsidR="006B09FD">
              <w:t xml:space="preserve">a </w:t>
            </w:r>
            <w:r w:rsidRPr="005D6D89">
              <w:t>long-term plan integrating climate risk across relevant sectors.</w:t>
            </w:r>
          </w:p>
          <w:p w14:paraId="46FFA857" w14:textId="77777777" w:rsidR="00026EE9" w:rsidRPr="005D6D89" w:rsidRDefault="00026EE9" w:rsidP="009F2C2F">
            <w:pPr>
              <w:pStyle w:val="TableText"/>
              <w:keepNext/>
              <w:spacing w:before="50" w:after="50"/>
            </w:pPr>
            <w:r w:rsidRPr="005D6D89">
              <w:t>Build resilience into the financial system, including climate-related financial disclosure and banking regulations (particularly for lending).</w:t>
            </w:r>
          </w:p>
          <w:p w14:paraId="58E9FD20" w14:textId="77777777" w:rsidR="00026EE9" w:rsidRPr="005D6D89" w:rsidRDefault="00026EE9" w:rsidP="009F2C2F">
            <w:pPr>
              <w:pStyle w:val="TableText"/>
              <w:keepNext/>
              <w:spacing w:before="50" w:after="50"/>
            </w:pPr>
            <w:r w:rsidRPr="005D6D89">
              <w:t>Mobilise climate finance for adaptation.</w:t>
            </w:r>
          </w:p>
          <w:p w14:paraId="23A0A791" w14:textId="77777777" w:rsidR="00026EE9" w:rsidRPr="005D6D89" w:rsidRDefault="00026EE9" w:rsidP="009F2C2F">
            <w:pPr>
              <w:pStyle w:val="TableText"/>
              <w:keepNext/>
              <w:spacing w:before="50" w:after="50"/>
            </w:pPr>
            <w:r w:rsidRPr="005D6D89">
              <w:t>Build the resilience of New Zealand</w:t>
            </w:r>
            <w:r w:rsidR="001200EA">
              <w:t>’</w:t>
            </w:r>
            <w:r w:rsidRPr="005D6D89">
              <w:t>s SMEs.</w:t>
            </w:r>
          </w:p>
        </w:tc>
      </w:tr>
      <w:tr w:rsidR="00026EE9" w:rsidRPr="005D6D89" w14:paraId="023C159D" w14:textId="77777777" w:rsidTr="00095C79">
        <w:trPr>
          <w:gridBefore w:val="1"/>
          <w:wBefore w:w="108" w:type="dxa"/>
        </w:trPr>
        <w:tc>
          <w:tcPr>
            <w:tcW w:w="1985" w:type="dxa"/>
            <w:shd w:val="clear" w:color="auto" w:fill="FFFFFF" w:themeFill="background1"/>
            <w:hideMark/>
          </w:tcPr>
          <w:p w14:paraId="43FFD4AE" w14:textId="77777777" w:rsidR="00026EE9" w:rsidRPr="007D0B70" w:rsidRDefault="00026EE9" w:rsidP="009F2C2F">
            <w:pPr>
              <w:pStyle w:val="TableTextBold0"/>
              <w:spacing w:before="50" w:after="50"/>
              <w:rPr>
                <w:b w:val="0"/>
              </w:rPr>
            </w:pPr>
            <w:r w:rsidRPr="007D0B70">
              <w:rPr>
                <w:b w:val="0"/>
              </w:rPr>
              <w:t>Research priority</w:t>
            </w:r>
          </w:p>
        </w:tc>
        <w:tc>
          <w:tcPr>
            <w:tcW w:w="1984" w:type="dxa"/>
            <w:gridSpan w:val="2"/>
          </w:tcPr>
          <w:p w14:paraId="488EEFDA" w14:textId="77777777" w:rsidR="00026EE9" w:rsidRPr="005D6D89" w:rsidRDefault="00026EE9" w:rsidP="009F2C2F">
            <w:pPr>
              <w:pStyle w:val="TableText"/>
              <w:spacing w:before="50" w:after="50"/>
              <w:jc w:val="center"/>
            </w:pPr>
            <w:r w:rsidRPr="005D6D89">
              <w:t>50</w:t>
            </w:r>
          </w:p>
        </w:tc>
        <w:tc>
          <w:tcPr>
            <w:tcW w:w="4536" w:type="dxa"/>
            <w:gridSpan w:val="4"/>
          </w:tcPr>
          <w:p w14:paraId="2E945377" w14:textId="77777777" w:rsidR="006B09FD" w:rsidRDefault="006B09FD" w:rsidP="009F2C2F">
            <w:pPr>
              <w:pStyle w:val="TableText"/>
              <w:spacing w:before="50" w:after="50"/>
            </w:pPr>
            <w:r>
              <w:t>Develop an improve understanding of the p</w:t>
            </w:r>
            <w:r w:rsidR="00026EE9" w:rsidRPr="005D6D89">
              <w:t xml:space="preserve">otential disruption from shocks due to ongoing climate change. </w:t>
            </w:r>
          </w:p>
          <w:p w14:paraId="0B52CAD5" w14:textId="77777777" w:rsidR="00026EE9" w:rsidRPr="005D6D89" w:rsidRDefault="00026EE9" w:rsidP="009F2C2F">
            <w:pPr>
              <w:pStyle w:val="TableText"/>
              <w:spacing w:before="50" w:after="50"/>
            </w:pPr>
            <w:r w:rsidRPr="005D6D89">
              <w:t xml:space="preserve">Identify and implement mechanisms to reduce disruption. </w:t>
            </w:r>
          </w:p>
        </w:tc>
      </w:tr>
      <w:tr w:rsidR="00026EE9" w:rsidRPr="005D6D89" w14:paraId="447AF545" w14:textId="77777777" w:rsidTr="00095C79">
        <w:trPr>
          <w:gridBefore w:val="1"/>
          <w:wBefore w:w="108" w:type="dxa"/>
        </w:trPr>
        <w:tc>
          <w:tcPr>
            <w:tcW w:w="1985" w:type="dxa"/>
            <w:shd w:val="clear" w:color="auto" w:fill="FFFFFF" w:themeFill="background1"/>
            <w:hideMark/>
          </w:tcPr>
          <w:p w14:paraId="5615DF68" w14:textId="77777777" w:rsidR="00026EE9" w:rsidRPr="007D0B70" w:rsidRDefault="00026EE9" w:rsidP="009F2C2F">
            <w:pPr>
              <w:pStyle w:val="TableTextBold0"/>
              <w:spacing w:before="50" w:after="50"/>
              <w:rPr>
                <w:b w:val="0"/>
              </w:rPr>
            </w:pPr>
            <w:r w:rsidRPr="007D0B70">
              <w:rPr>
                <w:b w:val="0"/>
              </w:rPr>
              <w:t>Sustain current action</w:t>
            </w:r>
          </w:p>
        </w:tc>
        <w:tc>
          <w:tcPr>
            <w:tcW w:w="1984" w:type="dxa"/>
            <w:gridSpan w:val="2"/>
          </w:tcPr>
          <w:p w14:paraId="20287B8B" w14:textId="77777777" w:rsidR="00026EE9" w:rsidRPr="005D6D89" w:rsidRDefault="00026EE9" w:rsidP="009F2C2F">
            <w:pPr>
              <w:pStyle w:val="TableText"/>
              <w:spacing w:before="50" w:after="50"/>
              <w:jc w:val="center"/>
            </w:pPr>
            <w:r w:rsidRPr="005D6D89">
              <w:t>10</w:t>
            </w:r>
          </w:p>
        </w:tc>
        <w:tc>
          <w:tcPr>
            <w:tcW w:w="4536" w:type="dxa"/>
            <w:gridSpan w:val="4"/>
          </w:tcPr>
          <w:p w14:paraId="4C18370C" w14:textId="77777777" w:rsidR="00026EE9" w:rsidRPr="005D6D89" w:rsidRDefault="006B09FD" w:rsidP="009F2C2F">
            <w:pPr>
              <w:pStyle w:val="TableText"/>
              <w:spacing w:before="50" w:after="50"/>
            </w:pPr>
            <w:r>
              <w:t xml:space="preserve">The Reserve Bank of New Zealand </w:t>
            </w:r>
            <w:r w:rsidR="00026EE9" w:rsidRPr="005D6D89">
              <w:t xml:space="preserve">has research programmes and a climate change strategy and the Council of Financial Regulators has established a </w:t>
            </w:r>
            <w:r>
              <w:t>c</w:t>
            </w:r>
            <w:r w:rsidR="00026EE9" w:rsidRPr="005D6D89">
              <w:t xml:space="preserve">limate </w:t>
            </w:r>
            <w:r>
              <w:t>w</w:t>
            </w:r>
            <w:r w:rsidR="00026EE9" w:rsidRPr="005D6D89">
              <w:t xml:space="preserve">ork </w:t>
            </w:r>
            <w:r>
              <w:t>s</w:t>
            </w:r>
            <w:r w:rsidR="00026EE9" w:rsidRPr="005D6D89">
              <w:t>tream, which are good foundations to build on.</w:t>
            </w:r>
          </w:p>
          <w:p w14:paraId="5804A000" w14:textId="77777777" w:rsidR="00026EE9" w:rsidRPr="005D6D89" w:rsidRDefault="00026EE9" w:rsidP="009F2C2F">
            <w:pPr>
              <w:pStyle w:val="TableText"/>
              <w:spacing w:before="50" w:after="50"/>
            </w:pPr>
            <w:r w:rsidRPr="005D6D89">
              <w:t xml:space="preserve">Existing monetary policy mechanisms have some capacity to manage shocks. </w:t>
            </w:r>
          </w:p>
        </w:tc>
      </w:tr>
      <w:tr w:rsidR="00026EE9" w:rsidRPr="005D6D89" w14:paraId="3D4C76B8" w14:textId="77777777" w:rsidTr="00095C79">
        <w:trPr>
          <w:gridBefore w:val="1"/>
          <w:wBefore w:w="108" w:type="dxa"/>
        </w:trPr>
        <w:tc>
          <w:tcPr>
            <w:tcW w:w="1985" w:type="dxa"/>
            <w:tcBorders>
              <w:bottom w:val="single" w:sz="8" w:space="0" w:color="32809C"/>
            </w:tcBorders>
            <w:shd w:val="clear" w:color="auto" w:fill="FFFFFF" w:themeFill="background1"/>
            <w:hideMark/>
          </w:tcPr>
          <w:p w14:paraId="3C2026AB" w14:textId="77777777" w:rsidR="00026EE9" w:rsidRPr="007D0B70" w:rsidRDefault="00026EE9" w:rsidP="009F2C2F">
            <w:pPr>
              <w:pStyle w:val="TableTextBold0"/>
              <w:spacing w:before="50" w:after="50"/>
              <w:rPr>
                <w:b w:val="0"/>
              </w:rPr>
            </w:pPr>
            <w:r w:rsidRPr="007D0B70">
              <w:rPr>
                <w:b w:val="0"/>
              </w:rPr>
              <w:t xml:space="preserve">Watching brief </w:t>
            </w:r>
          </w:p>
        </w:tc>
        <w:tc>
          <w:tcPr>
            <w:tcW w:w="1984" w:type="dxa"/>
            <w:gridSpan w:val="2"/>
            <w:tcBorders>
              <w:bottom w:val="single" w:sz="8" w:space="0" w:color="32809C"/>
            </w:tcBorders>
          </w:tcPr>
          <w:p w14:paraId="3878365A" w14:textId="77777777" w:rsidR="00026EE9" w:rsidRPr="005D6D89" w:rsidRDefault="00026EE9" w:rsidP="009F2C2F">
            <w:pPr>
              <w:pStyle w:val="TableText"/>
              <w:spacing w:before="50" w:after="50"/>
              <w:jc w:val="center"/>
            </w:pPr>
            <w:r w:rsidRPr="005D6D89">
              <w:t>0</w:t>
            </w:r>
          </w:p>
        </w:tc>
        <w:tc>
          <w:tcPr>
            <w:tcW w:w="4536" w:type="dxa"/>
            <w:gridSpan w:val="4"/>
            <w:tcBorders>
              <w:bottom w:val="single" w:sz="8" w:space="0" w:color="32809C"/>
            </w:tcBorders>
          </w:tcPr>
          <w:p w14:paraId="76C9F86D" w14:textId="77777777" w:rsidR="00026EE9" w:rsidRPr="005D6D89" w:rsidRDefault="00026EE9" w:rsidP="009F2C2F">
            <w:pPr>
              <w:pStyle w:val="TableText"/>
              <w:spacing w:before="50" w:after="50"/>
            </w:pPr>
          </w:p>
        </w:tc>
      </w:tr>
      <w:tr w:rsidR="00026EE9" w:rsidRPr="005D6D89" w14:paraId="20E0F065" w14:textId="77777777" w:rsidTr="00095C79">
        <w:trPr>
          <w:gridBefore w:val="1"/>
          <w:wBefore w:w="108" w:type="dxa"/>
        </w:trPr>
        <w:tc>
          <w:tcPr>
            <w:tcW w:w="1985" w:type="dxa"/>
            <w:tcBorders>
              <w:top w:val="single" w:sz="8" w:space="0" w:color="32809C"/>
            </w:tcBorders>
            <w:shd w:val="clear" w:color="auto" w:fill="32809C"/>
          </w:tcPr>
          <w:p w14:paraId="397333E8" w14:textId="77777777" w:rsidR="00026EE9" w:rsidRPr="005D6D89" w:rsidRDefault="00026EE9" w:rsidP="009F2C2F">
            <w:pPr>
              <w:pStyle w:val="TableTextBold0"/>
              <w:spacing w:before="50" w:after="5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Adaptation urgency </w:t>
            </w:r>
          </w:p>
        </w:tc>
        <w:tc>
          <w:tcPr>
            <w:tcW w:w="1984" w:type="dxa"/>
            <w:gridSpan w:val="2"/>
            <w:tcBorders>
              <w:top w:val="single" w:sz="8" w:space="0" w:color="32809C"/>
            </w:tcBorders>
            <w:shd w:val="clear" w:color="auto" w:fill="FFFFFF" w:themeFill="background1"/>
          </w:tcPr>
          <w:p w14:paraId="139B1490" w14:textId="77777777" w:rsidR="00026EE9" w:rsidRPr="005D6D89" w:rsidRDefault="00026EE9" w:rsidP="009F2C2F">
            <w:pPr>
              <w:pStyle w:val="TableText"/>
              <w:spacing w:before="50" w:after="50"/>
              <w:jc w:val="center"/>
            </w:pPr>
            <w:r w:rsidRPr="005D6D89">
              <w:t>83</w:t>
            </w:r>
          </w:p>
        </w:tc>
        <w:tc>
          <w:tcPr>
            <w:tcW w:w="1134" w:type="dxa"/>
            <w:tcBorders>
              <w:top w:val="single" w:sz="8" w:space="0" w:color="32809C"/>
            </w:tcBorders>
            <w:shd w:val="clear" w:color="auto" w:fill="32809C"/>
          </w:tcPr>
          <w:p w14:paraId="3F70A484" w14:textId="77777777" w:rsidR="00026EE9" w:rsidRPr="005D6D89" w:rsidRDefault="00026EE9" w:rsidP="009F2C2F">
            <w:pPr>
              <w:pStyle w:val="TableText"/>
              <w:spacing w:before="50" w:after="50"/>
              <w:rPr>
                <w:b/>
                <w:bCs/>
                <w:color w:val="FFFFFF" w:themeColor="background1"/>
              </w:rPr>
            </w:pPr>
            <w:r w:rsidRPr="005D6D89">
              <w:rPr>
                <w:b/>
                <w:bCs/>
                <w:color w:val="FFFFFF" w:themeColor="background1"/>
              </w:rPr>
              <w:t>Confidence</w:t>
            </w:r>
          </w:p>
        </w:tc>
        <w:tc>
          <w:tcPr>
            <w:tcW w:w="3402" w:type="dxa"/>
            <w:gridSpan w:val="3"/>
            <w:tcBorders>
              <w:top w:val="single" w:sz="8" w:space="0" w:color="32809C"/>
            </w:tcBorders>
          </w:tcPr>
          <w:p w14:paraId="5F642B60" w14:textId="77777777" w:rsidR="00026EE9" w:rsidRPr="005D6D89" w:rsidRDefault="00026EE9" w:rsidP="009F2C2F">
            <w:pPr>
              <w:pStyle w:val="TableText"/>
              <w:spacing w:before="50" w:after="50"/>
            </w:pPr>
            <w:r w:rsidRPr="005D6D89">
              <w:t>High agreement, medium evidence</w:t>
            </w:r>
          </w:p>
        </w:tc>
      </w:tr>
      <w:tr w:rsidR="007B796E" w:rsidRPr="005D6D89" w14:paraId="6D045D9E" w14:textId="77777777" w:rsidTr="00095C79">
        <w:trPr>
          <w:gridBefore w:val="1"/>
          <w:wBefore w:w="108" w:type="dxa"/>
        </w:trPr>
        <w:tc>
          <w:tcPr>
            <w:tcW w:w="1985" w:type="dxa"/>
            <w:shd w:val="clear" w:color="auto" w:fill="32809C"/>
          </w:tcPr>
          <w:p w14:paraId="70732975" w14:textId="77777777" w:rsidR="00026EE9" w:rsidRPr="005D6D89" w:rsidRDefault="00026EE9" w:rsidP="009F2C2F">
            <w:pPr>
              <w:pStyle w:val="TableTextBold0"/>
              <w:spacing w:before="50" w:after="5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Consequence </w:t>
            </w:r>
          </w:p>
        </w:tc>
        <w:tc>
          <w:tcPr>
            <w:tcW w:w="992" w:type="dxa"/>
            <w:shd w:val="clear" w:color="auto" w:fill="32809C"/>
          </w:tcPr>
          <w:p w14:paraId="0D0A5462" w14:textId="77777777" w:rsidR="00026EE9" w:rsidRPr="005D6D89" w:rsidRDefault="00026EE9" w:rsidP="009F2C2F">
            <w:pPr>
              <w:pStyle w:val="TableText"/>
              <w:spacing w:before="50" w:after="50"/>
              <w:jc w:val="center"/>
              <w:rPr>
                <w:color w:val="FFFFFF" w:themeColor="background1"/>
              </w:rPr>
            </w:pPr>
            <w:r w:rsidRPr="005D6D89">
              <w:rPr>
                <w:color w:val="FFFFFF" w:themeColor="background1"/>
              </w:rPr>
              <w:t>Now</w:t>
            </w:r>
          </w:p>
        </w:tc>
        <w:tc>
          <w:tcPr>
            <w:tcW w:w="992" w:type="dxa"/>
          </w:tcPr>
          <w:p w14:paraId="6053F636" w14:textId="77777777" w:rsidR="00026EE9" w:rsidRPr="005D6D89" w:rsidRDefault="00026EE9" w:rsidP="009F2C2F">
            <w:pPr>
              <w:pStyle w:val="TableText"/>
              <w:spacing w:before="50" w:after="50"/>
              <w:jc w:val="center"/>
            </w:pPr>
            <w:r w:rsidRPr="005D6D89">
              <w:t>Minor</w:t>
            </w:r>
          </w:p>
        </w:tc>
        <w:tc>
          <w:tcPr>
            <w:tcW w:w="1134" w:type="dxa"/>
            <w:shd w:val="clear" w:color="auto" w:fill="32809C"/>
          </w:tcPr>
          <w:p w14:paraId="101961D1" w14:textId="77777777" w:rsidR="00026EE9" w:rsidRPr="005D6D89" w:rsidRDefault="00026EE9" w:rsidP="009F2C2F">
            <w:pPr>
              <w:pStyle w:val="TableText"/>
              <w:spacing w:before="50" w:after="50"/>
              <w:rPr>
                <w:color w:val="FFFFFF" w:themeColor="background1"/>
              </w:rPr>
            </w:pPr>
            <w:r w:rsidRPr="005D6D89">
              <w:rPr>
                <w:color w:val="FFFFFF" w:themeColor="background1"/>
              </w:rPr>
              <w:t>2050</w:t>
            </w:r>
          </w:p>
        </w:tc>
        <w:tc>
          <w:tcPr>
            <w:tcW w:w="993" w:type="dxa"/>
          </w:tcPr>
          <w:p w14:paraId="38CA4D7E" w14:textId="77777777" w:rsidR="00026EE9" w:rsidRPr="005D6D89" w:rsidRDefault="00026EE9" w:rsidP="009F2C2F">
            <w:pPr>
              <w:pStyle w:val="TableText"/>
              <w:spacing w:before="50" w:after="50"/>
            </w:pPr>
            <w:r w:rsidRPr="005D6D89">
              <w:t>Moderate</w:t>
            </w:r>
          </w:p>
        </w:tc>
        <w:tc>
          <w:tcPr>
            <w:tcW w:w="850" w:type="dxa"/>
            <w:shd w:val="clear" w:color="auto" w:fill="32809C"/>
          </w:tcPr>
          <w:p w14:paraId="440BA7F3" w14:textId="77777777" w:rsidR="00026EE9" w:rsidRPr="005D6D89" w:rsidRDefault="00026EE9" w:rsidP="009F2C2F">
            <w:pPr>
              <w:pStyle w:val="TableText"/>
              <w:spacing w:before="50" w:after="50"/>
              <w:rPr>
                <w:color w:val="FFFFFF" w:themeColor="background1"/>
              </w:rPr>
            </w:pPr>
            <w:r w:rsidRPr="005D6D89">
              <w:rPr>
                <w:color w:val="FFFFFF" w:themeColor="background1"/>
              </w:rPr>
              <w:t>2100</w:t>
            </w:r>
          </w:p>
        </w:tc>
        <w:tc>
          <w:tcPr>
            <w:tcW w:w="1559" w:type="dxa"/>
          </w:tcPr>
          <w:p w14:paraId="0E36F291" w14:textId="77777777" w:rsidR="00026EE9" w:rsidRPr="005D6D89" w:rsidRDefault="00026EE9" w:rsidP="009F2C2F">
            <w:pPr>
              <w:pStyle w:val="TableText"/>
              <w:spacing w:before="50" w:after="50"/>
              <w:rPr>
                <w:rFonts w:asciiTheme="minorHAnsi" w:hAnsiTheme="minorHAnsi" w:cstheme="minorHAnsi"/>
              </w:rPr>
            </w:pPr>
            <w:r w:rsidRPr="005D6D89">
              <w:rPr>
                <w:rFonts w:asciiTheme="minorHAnsi" w:hAnsiTheme="minorHAnsi" w:cstheme="minorHAnsi"/>
              </w:rPr>
              <w:t>Major</w:t>
            </w:r>
          </w:p>
        </w:tc>
      </w:tr>
    </w:tbl>
    <w:p w14:paraId="5B887866" w14:textId="77777777" w:rsidR="00942443" w:rsidRPr="005D6D89" w:rsidRDefault="00942443" w:rsidP="00812D16">
      <w:pPr>
        <w:pStyle w:val="Heading3"/>
        <w:numPr>
          <w:ilvl w:val="0"/>
          <w:numId w:val="30"/>
        </w:numPr>
        <w:spacing w:before="440"/>
      </w:pPr>
      <w:bookmarkStart w:id="395" w:name="_Toc37255782"/>
      <w:bookmarkStart w:id="396" w:name="_Toc37393683"/>
      <w:bookmarkStart w:id="397" w:name="_Toc40699362"/>
      <w:r w:rsidRPr="005D6D89">
        <w:t>Other priority risks for the economy domain</w:t>
      </w:r>
      <w:bookmarkEnd w:id="395"/>
      <w:bookmarkEnd w:id="396"/>
      <w:bookmarkEnd w:id="397"/>
    </w:p>
    <w:p w14:paraId="1D7FC097" w14:textId="77777777" w:rsidR="00942443" w:rsidRPr="005D6D89" w:rsidRDefault="00942443" w:rsidP="009F2C2F">
      <w:pPr>
        <w:pStyle w:val="Heading4"/>
        <w:spacing w:before="180"/>
      </w:pPr>
      <w:bookmarkStart w:id="398" w:name="_Hlk35589307"/>
      <w:r w:rsidRPr="005D6D89">
        <w:t xml:space="preserve">E3 </w:t>
      </w:r>
      <w:r w:rsidR="00F046A4" w:rsidRPr="00F046A4">
        <w:t>Risks to land-based primary sector productivity and output due to changing precipitation and water availability, temperature, seasonality, climate extremes and the distribution of invasive species.</w:t>
      </w:r>
    </w:p>
    <w:p w14:paraId="490C2B09" w14:textId="77777777" w:rsidR="00942443" w:rsidRPr="005D6D89" w:rsidRDefault="00942443" w:rsidP="009F2C2F">
      <w:pPr>
        <w:pStyle w:val="BodyText"/>
        <w:spacing w:before="100" w:after="100"/>
      </w:pPr>
      <w:r w:rsidRPr="005D6D89">
        <w:t xml:space="preserve">The primary sector faces risks from extreme events and ongoing, gradual changes. Climate change will </w:t>
      </w:r>
      <w:r w:rsidRPr="007D0B70">
        <w:t>reduce</w:t>
      </w:r>
      <w:r w:rsidRPr="005D6D89">
        <w:t xml:space="preserve"> the quality and quantity of output across many areas including horticulture (Cradock-Henry, 2017), viticulture (Sturman et al, 2017), agriculture and forestry (Wakelin 2018; Lake et al, </w:t>
      </w:r>
      <w:r w:rsidR="00B61730">
        <w:t>nd</w:t>
      </w:r>
      <w:r w:rsidRPr="005D6D89">
        <w:t xml:space="preserve">; Ausseil et al, 2019). Changes in temperature and seasonality influence maturation (Salinger et al, 2019), length of growing season and the quality (size, shape, taste) of horticulture products (Cradock-Henry, 2017; Salinger, 1987); the distribution of pests and diseases (Watt et al, 2019; Wakelin et al, 2018) and the efficacy of some pest control agents (Gerard et al, 2013). </w:t>
      </w:r>
    </w:p>
    <w:p w14:paraId="72DBCB5D" w14:textId="77777777" w:rsidR="00942443" w:rsidRPr="005D6D89" w:rsidRDefault="00942443" w:rsidP="009F2C2F">
      <w:pPr>
        <w:pStyle w:val="BodyText"/>
        <w:spacing w:before="100" w:after="100" w:line="270" w:lineRule="atLeast"/>
        <w:rPr>
          <w:rFonts w:cs="Arial"/>
        </w:rPr>
      </w:pPr>
      <w:r w:rsidRPr="005D6D89">
        <w:t xml:space="preserve">The amount of land suitable for primary industries will decrease as sea levels rise and low-lying coastal areas become affected by inundation and groundwater </w:t>
      </w:r>
      <w:r w:rsidR="006B09FD" w:rsidRPr="006944C4">
        <w:t>salinisation</w:t>
      </w:r>
      <w:r w:rsidRPr="005D6D89">
        <w:t xml:space="preserve"> (Lake et al, </w:t>
      </w:r>
      <w:r w:rsidR="00B61730">
        <w:t>nd</w:t>
      </w:r>
      <w:r w:rsidRPr="005D6D89">
        <w:t>). The impacts will increase over time and be greater under RCP8.5 than RCP4.5</w:t>
      </w:r>
      <w:r w:rsidR="006B09FD">
        <w:t>.</w:t>
      </w:r>
      <w:r w:rsidRPr="005D6D89">
        <w:t xml:space="preserve"> Some </w:t>
      </w:r>
      <w:r w:rsidR="006B09FD">
        <w:t xml:space="preserve">impacts </w:t>
      </w:r>
      <w:proofErr w:type="gramStart"/>
      <w:r w:rsidRPr="005D6D89">
        <w:t>are already being felt</w:t>
      </w:r>
      <w:proofErr w:type="gramEnd"/>
      <w:r w:rsidRPr="005D6D89">
        <w:t xml:space="preserve"> by the sector</w:t>
      </w:r>
      <w:r w:rsidR="006B09FD">
        <w:t xml:space="preserve">, </w:t>
      </w:r>
      <w:r w:rsidRPr="005D6D89">
        <w:t xml:space="preserve">for example, pressure on </w:t>
      </w:r>
      <w:r w:rsidR="006B09FD">
        <w:t xml:space="preserve">water </w:t>
      </w:r>
      <w:r w:rsidRPr="005D6D89">
        <w:t xml:space="preserve">availability (Frame et al, in press). </w:t>
      </w:r>
      <w:r w:rsidRPr="005D6D89">
        <w:rPr>
          <w:rFonts w:cs="Arial"/>
        </w:rPr>
        <w:t xml:space="preserve">The Māori economy </w:t>
      </w:r>
      <w:proofErr w:type="gramStart"/>
      <w:r w:rsidRPr="005D6D89">
        <w:rPr>
          <w:rFonts w:cs="Arial"/>
        </w:rPr>
        <w:t>is focused</w:t>
      </w:r>
      <w:proofErr w:type="gramEnd"/>
      <w:r w:rsidRPr="005D6D89">
        <w:rPr>
          <w:rFonts w:cs="Arial"/>
        </w:rPr>
        <w:t xml:space="preserve"> </w:t>
      </w:r>
      <w:r w:rsidR="006B09FD">
        <w:rPr>
          <w:rFonts w:cs="Arial"/>
        </w:rPr>
        <w:t>o</w:t>
      </w:r>
      <w:r w:rsidRPr="005D6D89">
        <w:rPr>
          <w:rFonts w:cs="Arial"/>
        </w:rPr>
        <w:t xml:space="preserve">n primary production industries </w:t>
      </w:r>
      <w:r w:rsidR="006B09FD">
        <w:rPr>
          <w:rFonts w:cs="Arial"/>
        </w:rPr>
        <w:t>like</w:t>
      </w:r>
      <w:r w:rsidRPr="005D6D89">
        <w:rPr>
          <w:rFonts w:cs="Arial"/>
        </w:rPr>
        <w:t xml:space="preserve"> dairy, horticulture (especially kiwifruit) and forestry. Reduced production and profitability would have a significant impact on economic return to Māori landowners and Māori working in those businesses. </w:t>
      </w:r>
    </w:p>
    <w:p w14:paraId="7515997B" w14:textId="77777777" w:rsidR="00942443" w:rsidRPr="005D6D89" w:rsidRDefault="00942443" w:rsidP="00B7685F">
      <w:pPr>
        <w:pStyle w:val="Heading4"/>
        <w:spacing w:before="200"/>
      </w:pPr>
      <w:r w:rsidRPr="005D6D89">
        <w:t xml:space="preserve">E4 Risks to tourism from changes to landscapes and ecosystems and impacts on lifeline infrastructure, due to extreme weather events and ongoing, gradual changes </w:t>
      </w:r>
    </w:p>
    <w:p w14:paraId="58ADF6B3" w14:textId="77777777" w:rsidR="00942443" w:rsidRPr="005D6D89" w:rsidRDefault="00942443" w:rsidP="009732B0">
      <w:pPr>
        <w:pStyle w:val="BodyText"/>
        <w:spacing w:before="100" w:after="100" w:line="270" w:lineRule="atLeast"/>
      </w:pPr>
      <w:r w:rsidRPr="005D6D89">
        <w:t>Natural environments have supported New Zealand</w:t>
      </w:r>
      <w:r w:rsidR="001200EA">
        <w:t>’</w:t>
      </w:r>
      <w:r w:rsidRPr="005D6D89">
        <w:t>s tourism industry, but they and the infrastructure that allows us to access and enjoy them are at risk from climate change hazards. Changes to the number of snow days and peak snow elevation affect skiing and other snow activities (Hopkins, 2013), and warmer temperatures may lead to glacier retreat (Espiner and Becken, 2014). Rising sea levels and other climate hazards may damage infrastructure including rail, roads and airports</w:t>
      </w:r>
      <w:r w:rsidR="006B09FD">
        <w:t>,</w:t>
      </w:r>
      <w:r w:rsidRPr="005D6D89">
        <w:t xml:space="preserve"> which provide access for tourism (Paulik</w:t>
      </w:r>
      <w:r w:rsidR="00B61730">
        <w:t xml:space="preserve"> et al</w:t>
      </w:r>
      <w:r w:rsidRPr="005D6D89">
        <w:t xml:space="preserve">, 2019). Rising sea levels can also alter coastal ecosystems that attract visitors. Many tourist activities </w:t>
      </w:r>
      <w:proofErr w:type="gramStart"/>
      <w:r w:rsidRPr="005D6D89">
        <w:t>are affected</w:t>
      </w:r>
      <w:proofErr w:type="gramEnd"/>
      <w:r w:rsidRPr="005D6D89">
        <w:t xml:space="preserve"> by weather, and therefore where</w:t>
      </w:r>
      <w:r w:rsidR="006B09FD">
        <w:t>ver</w:t>
      </w:r>
      <w:r w:rsidRPr="005D6D89">
        <w:t xml:space="preserve"> climate change exacerbates precipitation, wind and other extreme weather events there could be negative impacts. </w:t>
      </w:r>
      <w:r w:rsidR="006B09FD">
        <w:t>For example, a</w:t>
      </w:r>
      <w:r w:rsidRPr="005D6D89">
        <w:t xml:space="preserve">n interplay of climate factors that degrade wildlife ecosystems may disrupt ventures such as birdwatching tours (Kutzner, 2019). The risk to the tourism industry </w:t>
      </w:r>
      <w:proofErr w:type="gramStart"/>
      <w:r w:rsidRPr="005D6D89">
        <w:t>is expected</w:t>
      </w:r>
      <w:proofErr w:type="gramEnd"/>
      <w:r w:rsidRPr="005D6D89">
        <w:t xml:space="preserve"> to intensify over time under projected climate scenarios. </w:t>
      </w:r>
    </w:p>
    <w:p w14:paraId="24DE03FA" w14:textId="77777777" w:rsidR="00942443" w:rsidRPr="005D6D89" w:rsidRDefault="00942443" w:rsidP="00B7685F">
      <w:pPr>
        <w:pStyle w:val="Heading4"/>
        <w:spacing w:before="200"/>
      </w:pPr>
      <w:r w:rsidRPr="005D6D89">
        <w:t>E5 Risks to fisheries from changes in the characteristics, productivity, and spatial distribution of fish stocks</w:t>
      </w:r>
      <w:r w:rsidR="00101782">
        <w:t>,</w:t>
      </w:r>
      <w:r w:rsidRPr="005D6D89">
        <w:t xml:space="preserve"> due to changes in ocean temperature and acidification </w:t>
      </w:r>
    </w:p>
    <w:p w14:paraId="744B4437" w14:textId="77777777" w:rsidR="00942443" w:rsidRPr="005D6D89" w:rsidRDefault="00942443" w:rsidP="009732B0">
      <w:pPr>
        <w:pStyle w:val="BodyText"/>
        <w:spacing w:before="100" w:after="100"/>
      </w:pPr>
      <w:r w:rsidRPr="005D6D89">
        <w:t xml:space="preserve">Primary production in coastal waters may be vulnerable to ocean warming, acidification and sedimentation (The Royal Society of New Zealand, 2016). As fish physiology </w:t>
      </w:r>
      <w:proofErr w:type="gramStart"/>
      <w:r w:rsidRPr="005D6D89">
        <w:t>is directly linked</w:t>
      </w:r>
      <w:proofErr w:type="gramEnd"/>
      <w:r w:rsidRPr="005D6D89">
        <w:t xml:space="preserve"> to temperature, rising sea</w:t>
      </w:r>
      <w:r w:rsidR="006B09FD">
        <w:t>-</w:t>
      </w:r>
      <w:r w:rsidRPr="005D6D89">
        <w:t xml:space="preserve">surface temperatures under both </w:t>
      </w:r>
      <w:r w:rsidRPr="005D6D89">
        <w:rPr>
          <w:color w:val="000000" w:themeColor="text1"/>
        </w:rPr>
        <w:t xml:space="preserve">RCP4.5 and RCP8.5 may </w:t>
      </w:r>
      <w:r w:rsidRPr="005D6D89">
        <w:t xml:space="preserve">alter growth, metabolism, reproductive success and food consumption (Flicke et al, 2007). This is most likely at a species level, disrupting and creating additional pressures for aquatic communities (Flicke et al, 2017). </w:t>
      </w:r>
    </w:p>
    <w:p w14:paraId="0684ED3E" w14:textId="77777777" w:rsidR="00942443" w:rsidRPr="005D6D89" w:rsidRDefault="00942443" w:rsidP="009732B0">
      <w:pPr>
        <w:pStyle w:val="BodyText"/>
        <w:spacing w:before="100" w:after="100" w:line="270" w:lineRule="atLeast"/>
      </w:pPr>
      <w:r w:rsidRPr="005D6D89">
        <w:t>Increasing ocean acidification may damage carbonate-forming species, including molluscs such as pāua, cockles and flay oysters that have significant economic value (Rouse</w:t>
      </w:r>
      <w:r w:rsidR="00B61730">
        <w:t xml:space="preserve"> et al</w:t>
      </w:r>
      <w:r w:rsidRPr="005D6D89">
        <w:t>, 2017; Law</w:t>
      </w:r>
      <w:r w:rsidR="00B61730">
        <w:t xml:space="preserve"> et al</w:t>
      </w:r>
      <w:r w:rsidRPr="005D6D89">
        <w:t xml:space="preserve">, 2017), although the evidence is mixed (Cross et al, 2016; Cornwall et al, 2016). Sea-level rise and ocean acidification are gradual and will increase over time under both RCPs. </w:t>
      </w:r>
    </w:p>
    <w:p w14:paraId="348E0F5C" w14:textId="77777777" w:rsidR="00942443" w:rsidRPr="005D6D89" w:rsidRDefault="00942443" w:rsidP="009732B0">
      <w:pPr>
        <w:pStyle w:val="BodyText"/>
        <w:spacing w:before="100" w:after="100" w:line="270" w:lineRule="atLeast"/>
      </w:pPr>
      <w:r w:rsidRPr="005D6D89">
        <w:t>The transmission of some diseases is temperature dependent, increasing in rate and prevalence at higher temperatures (Sweet</w:t>
      </w:r>
      <w:r w:rsidR="003803A4">
        <w:t>,</w:t>
      </w:r>
      <w:r w:rsidRPr="005D6D89">
        <w:t xml:space="preserve"> 2016). Other </w:t>
      </w:r>
      <w:r w:rsidR="003803A4" w:rsidRPr="006944C4">
        <w:t>anthropogenic</w:t>
      </w:r>
      <w:r w:rsidRPr="005D6D89">
        <w:t xml:space="preserve"> stressors</w:t>
      </w:r>
      <w:r w:rsidR="003803A4">
        <w:t>,</w:t>
      </w:r>
      <w:r w:rsidRPr="005D6D89">
        <w:t xml:space="preserve"> such as disturbance of habitat from commercial fishing and overexploitation</w:t>
      </w:r>
      <w:r w:rsidR="003803A4">
        <w:t>,</w:t>
      </w:r>
      <w:r w:rsidRPr="005D6D89">
        <w:t xml:space="preserve"> can significantly lower productivity (Parsons et al, 2014). </w:t>
      </w:r>
    </w:p>
    <w:p w14:paraId="48EFF9DD" w14:textId="77777777" w:rsidR="00942443" w:rsidRPr="005D6D89" w:rsidRDefault="00942443" w:rsidP="009732B0">
      <w:pPr>
        <w:pStyle w:val="Heading4"/>
        <w:spacing w:before="200"/>
      </w:pPr>
      <w:r w:rsidRPr="005D6D89">
        <w:t>E6 Risks to the insurability of assets</w:t>
      </w:r>
      <w:r w:rsidR="00101782">
        <w:t>,</w:t>
      </w:r>
      <w:r w:rsidRPr="005D6D89">
        <w:t xml:space="preserve"> due to ongoing sea-level rise and extreme weather events </w:t>
      </w:r>
    </w:p>
    <w:p w14:paraId="39516B07" w14:textId="77777777" w:rsidR="00942443" w:rsidRPr="005D6D89" w:rsidRDefault="00942443" w:rsidP="009732B0">
      <w:pPr>
        <w:pStyle w:val="BodyText"/>
        <w:spacing w:before="100" w:after="100" w:line="270" w:lineRule="atLeast"/>
      </w:pPr>
      <w:r w:rsidRPr="005D6D89">
        <w:t xml:space="preserve">Projected changes in the frequency and intensity of acute hazards that we insure against, such as flood, fire, storm-surge, landslide, hailstorm and tsunami, are causing the insurance industry to change premiums, develop new offerings and adjust availability. These changes are likely to affect many insurance markets, most significantly home insurance. </w:t>
      </w:r>
    </w:p>
    <w:p w14:paraId="0383B9EC" w14:textId="77777777" w:rsidR="00942443" w:rsidRPr="005D6D89" w:rsidRDefault="00942443" w:rsidP="009732B0">
      <w:pPr>
        <w:pStyle w:val="BodyText"/>
        <w:spacing w:before="100" w:after="100" w:line="270" w:lineRule="atLeast"/>
      </w:pPr>
      <w:r w:rsidRPr="005D6D89">
        <w:t>Changes to insurance could add to hardships after extreme events, with significant flow-on effects for New Zealand society including loss of peace of mind, the displacement of communities, changes in business investment and household consumption, fiscal risks to the</w:t>
      </w:r>
      <w:r w:rsidR="00AD661E" w:rsidRPr="005D6D89">
        <w:t> </w:t>
      </w:r>
      <w:r w:rsidRPr="005D6D89">
        <w:t>Government and financial system instability.</w:t>
      </w:r>
    </w:p>
    <w:p w14:paraId="6F80460F" w14:textId="77777777" w:rsidR="00942443" w:rsidRPr="005D6D89" w:rsidRDefault="00942443" w:rsidP="00116906">
      <w:pPr>
        <w:pStyle w:val="Heading4"/>
        <w:spacing w:before="240"/>
      </w:pPr>
      <w:r w:rsidRPr="005D6D89">
        <w:t>E7 Risks to businesses and public organisations from supply chain and distribution network disruptions</w:t>
      </w:r>
      <w:r w:rsidR="00101782">
        <w:t>,</w:t>
      </w:r>
      <w:r w:rsidRPr="005D6D89">
        <w:t xml:space="preserve"> due to extreme weather events and ongoing, gradual changes </w:t>
      </w:r>
    </w:p>
    <w:p w14:paraId="270C978D" w14:textId="77777777" w:rsidR="00942443" w:rsidRPr="005D6D89" w:rsidRDefault="00942443" w:rsidP="005C4DA9">
      <w:pPr>
        <w:pStyle w:val="BodyText"/>
        <w:spacing w:before="100" w:after="100"/>
      </w:pPr>
      <w:r w:rsidRPr="005D6D89">
        <w:t>Supply chains are comprised of local and global networks of infrastructure, people, information, materials and capital. They are subject to climate-related disruptions at many</w:t>
      </w:r>
      <w:r w:rsidR="00AD661E" w:rsidRPr="005D6D89">
        <w:t> </w:t>
      </w:r>
      <w:r w:rsidRPr="005D6D89">
        <w:t xml:space="preserve">scales and in many geographies. Supply chains are likely to </w:t>
      </w:r>
      <w:proofErr w:type="gramStart"/>
      <w:r w:rsidRPr="005D6D89">
        <w:t>be affected</w:t>
      </w:r>
      <w:proofErr w:type="gramEnd"/>
      <w:r w:rsidRPr="005D6D89">
        <w:t xml:space="preserve"> </w:t>
      </w:r>
      <w:r w:rsidR="003803A4" w:rsidRPr="005D6D89">
        <w:t xml:space="preserve">adversely </w:t>
      </w:r>
      <w:r w:rsidRPr="005D6D89">
        <w:t xml:space="preserve">by acute hazards such as flooding, fire or landslides, or gradual changes such as sea-level rise, changes in seasonality, drought and erosion. Adverse weather and transport network disruption (B6) </w:t>
      </w:r>
      <w:proofErr w:type="gramStart"/>
      <w:r w:rsidRPr="005D6D89">
        <w:t>are already increasingly cited</w:t>
      </w:r>
      <w:proofErr w:type="gramEnd"/>
      <w:r w:rsidRPr="005D6D89">
        <w:t xml:space="preserve"> as reasons for supply chain disruption (Business</w:t>
      </w:r>
      <w:r w:rsidR="00AD661E" w:rsidRPr="005D6D89">
        <w:t> </w:t>
      </w:r>
      <w:r w:rsidRPr="005D6D89">
        <w:t xml:space="preserve">Continuity Institute, 2019). </w:t>
      </w:r>
    </w:p>
    <w:p w14:paraId="291EB77E" w14:textId="77777777" w:rsidR="00942443" w:rsidRPr="005D6D89" w:rsidRDefault="00942443" w:rsidP="005C4DA9">
      <w:pPr>
        <w:pStyle w:val="BodyText"/>
        <w:spacing w:before="100" w:after="100"/>
      </w:pPr>
      <w:r w:rsidRPr="005D6D89">
        <w:t xml:space="preserve">Due to its geographical separation from global markets, New Zealand is particularly prone to </w:t>
      </w:r>
      <w:r w:rsidR="003803A4">
        <w:t xml:space="preserve">disruption to </w:t>
      </w:r>
      <w:r w:rsidRPr="005D6D89">
        <w:t>supply and distribution (Basnet, Childerhouse, Foulds and Martin, 2006). This can lead to losses in productivity, share price movements, damage to brand and reputation, loss of</w:t>
      </w:r>
      <w:r w:rsidR="00AD661E" w:rsidRPr="005D6D89">
        <w:t> </w:t>
      </w:r>
      <w:r w:rsidRPr="005D6D89">
        <w:t xml:space="preserve">customers, and increased regulatory scrutiny. The sensitivity and vulnerability of supply chains </w:t>
      </w:r>
      <w:proofErr w:type="gramStart"/>
      <w:r w:rsidRPr="005D6D89">
        <w:t>is influenced</w:t>
      </w:r>
      <w:proofErr w:type="gramEnd"/>
      <w:r w:rsidRPr="005D6D89">
        <w:t xml:space="preserve"> by many factors including the resilience of physical infrastructure, industry profitability, the material characteristics of products, and regulatory frameworks. It therefore differs between geographies, economic sectors, and the actors within each sector. Supply chains are already vulnerable to climate-related hazards; their exposure is likely to be greater under </w:t>
      </w:r>
      <w:r w:rsidRPr="007D0B70">
        <w:t>RCP8.5</w:t>
      </w:r>
      <w:r w:rsidRPr="003803A4">
        <w:t xml:space="preserve"> than </w:t>
      </w:r>
      <w:r w:rsidRPr="007D0B70">
        <w:t>RCP4.5</w:t>
      </w:r>
      <w:r w:rsidRPr="005D6D89">
        <w:t xml:space="preserve"> and increase over time.</w:t>
      </w:r>
    </w:p>
    <w:p w14:paraId="1A722A40" w14:textId="77777777" w:rsidR="006653CC" w:rsidRDefault="006653CC" w:rsidP="00812D16">
      <w:pPr>
        <w:pStyle w:val="Heading2"/>
        <w:numPr>
          <w:ilvl w:val="0"/>
          <w:numId w:val="26"/>
        </w:numPr>
        <w:spacing w:before="240" w:after="200"/>
      </w:pPr>
      <w:bookmarkStart w:id="399" w:name="_Toc35805056"/>
      <w:bookmarkStart w:id="400" w:name="_Toc37255783"/>
      <w:bookmarkStart w:id="401" w:name="_Toc37393684"/>
      <w:bookmarkStart w:id="402" w:name="_Toc40699363"/>
      <w:bookmarkStart w:id="403" w:name="_Toc43064142"/>
      <w:bookmarkEnd w:id="398"/>
      <w:r w:rsidRPr="005D6D89">
        <w:t>Built environment | Rohe tūranga tangata</w:t>
      </w:r>
      <w:bookmarkEnd w:id="399"/>
      <w:bookmarkEnd w:id="400"/>
      <w:bookmarkEnd w:id="401"/>
      <w:bookmarkEnd w:id="402"/>
      <w:bookmarkEnd w:id="403"/>
    </w:p>
    <w:p w14:paraId="28CBAC0C" w14:textId="77777777" w:rsidR="00711C6D" w:rsidRPr="00711C6D" w:rsidRDefault="00207062" w:rsidP="00207062">
      <w:pPr>
        <w:pStyle w:val="Tableheading"/>
        <w:spacing w:before="0"/>
      </w:pPr>
      <w:bookmarkStart w:id="404" w:name="_Toc43312815"/>
      <w:r>
        <w:t>Table 21:</w:t>
      </w:r>
      <w:r>
        <w:tab/>
        <w:t>Built environment</w:t>
      </w:r>
      <w:bookmarkEnd w:id="404"/>
    </w:p>
    <w:tbl>
      <w:tblPr>
        <w:tblW w:w="8613" w:type="dxa"/>
        <w:tblBorders>
          <w:top w:val="single" w:sz="4" w:space="0" w:color="12A2A6"/>
          <w:bottom w:val="single" w:sz="4" w:space="0" w:color="12A2A6"/>
          <w:insideH w:val="single" w:sz="4" w:space="0" w:color="12A2A6"/>
          <w:insideV w:val="single" w:sz="4" w:space="0" w:color="12A2A6"/>
        </w:tblBorders>
        <w:tblLayout w:type="fixed"/>
        <w:tblLook w:val="0000" w:firstRow="0" w:lastRow="0" w:firstColumn="0" w:lastColumn="0" w:noHBand="0" w:noVBand="0"/>
      </w:tblPr>
      <w:tblGrid>
        <w:gridCol w:w="6487"/>
        <w:gridCol w:w="853"/>
        <w:gridCol w:w="1273"/>
      </w:tblGrid>
      <w:tr w:rsidR="00836483" w:rsidRPr="005D6D89" w14:paraId="544A4336" w14:textId="77777777" w:rsidTr="00095C79">
        <w:trPr>
          <w:tblHeader/>
        </w:trPr>
        <w:tc>
          <w:tcPr>
            <w:tcW w:w="5000" w:type="pct"/>
            <w:gridSpan w:val="3"/>
            <w:tcBorders>
              <w:bottom w:val="single" w:sz="4" w:space="0" w:color="12A2A6"/>
            </w:tcBorders>
            <w:shd w:val="clear" w:color="auto" w:fill="0F7B7D"/>
          </w:tcPr>
          <w:p w14:paraId="28941730" w14:textId="77777777" w:rsidR="006653CC" w:rsidRPr="005D6D89" w:rsidRDefault="006653CC" w:rsidP="00207062">
            <w:pPr>
              <w:pStyle w:val="TableTextBold0"/>
              <w:spacing w:before="50" w:after="50"/>
              <w:rPr>
                <w:color w:val="FFFFFF" w:themeColor="background1"/>
              </w:rPr>
            </w:pPr>
            <w:bookmarkStart w:id="405" w:name="_Hlk37675228"/>
            <w:r w:rsidRPr="005D6D89">
              <w:rPr>
                <w:color w:val="FFFFFF" w:themeColor="background1"/>
              </w:rPr>
              <w:t>Built environment</w:t>
            </w:r>
            <w:r w:rsidR="00027F9F" w:rsidRPr="005D6D89">
              <w:rPr>
                <w:color w:val="FFFFFF" w:themeColor="background1"/>
              </w:rPr>
              <w:t xml:space="preserve"> </w:t>
            </w:r>
          </w:p>
        </w:tc>
      </w:tr>
      <w:tr w:rsidR="000874AA" w:rsidRPr="005D6D89" w14:paraId="348B1418" w14:textId="77777777" w:rsidTr="00095C79">
        <w:tc>
          <w:tcPr>
            <w:tcW w:w="3766" w:type="pct"/>
            <w:tcBorders>
              <w:bottom w:val="nil"/>
              <w:right w:val="nil"/>
            </w:tcBorders>
            <w:shd w:val="clear" w:color="auto" w:fill="CFE5E5"/>
            <w:tcMar>
              <w:top w:w="0" w:type="dxa"/>
            </w:tcMar>
          </w:tcPr>
          <w:p w14:paraId="40013FFD" w14:textId="77777777" w:rsidR="000874AA" w:rsidRPr="005D6D89" w:rsidRDefault="000874AA" w:rsidP="003A528F">
            <w:pPr>
              <w:pStyle w:val="TableTextBold0"/>
              <w:spacing w:before="50" w:after="0"/>
            </w:pPr>
          </w:p>
        </w:tc>
        <w:tc>
          <w:tcPr>
            <w:tcW w:w="1234" w:type="pct"/>
            <w:gridSpan w:val="2"/>
            <w:tcBorders>
              <w:left w:val="nil"/>
              <w:bottom w:val="nil"/>
            </w:tcBorders>
            <w:shd w:val="clear" w:color="auto" w:fill="CFE5E5"/>
          </w:tcPr>
          <w:p w14:paraId="0B00B0CB" w14:textId="77777777" w:rsidR="000874AA" w:rsidRPr="005D6D89" w:rsidRDefault="000874AA" w:rsidP="003803A4">
            <w:pPr>
              <w:pStyle w:val="TableTextBold0"/>
              <w:tabs>
                <w:tab w:val="clear" w:pos="567"/>
                <w:tab w:val="left" w:pos="456"/>
              </w:tabs>
              <w:spacing w:before="50" w:after="0"/>
              <w:jc w:val="center"/>
              <w:rPr>
                <w:bCs/>
                <w:szCs w:val="18"/>
              </w:rPr>
            </w:pPr>
            <w:r>
              <w:rPr>
                <w:bCs/>
                <w:szCs w:val="18"/>
              </w:rPr>
              <w:t>Ratings</w:t>
            </w:r>
          </w:p>
        </w:tc>
      </w:tr>
      <w:tr w:rsidR="00836483" w:rsidRPr="005D6D89" w14:paraId="03725A39" w14:textId="77777777" w:rsidTr="00095C79">
        <w:tc>
          <w:tcPr>
            <w:tcW w:w="3766" w:type="pct"/>
            <w:tcBorders>
              <w:top w:val="nil"/>
              <w:bottom w:val="nil"/>
              <w:right w:val="nil"/>
            </w:tcBorders>
            <w:shd w:val="clear" w:color="auto" w:fill="CFE5E5"/>
            <w:tcMar>
              <w:top w:w="0" w:type="dxa"/>
            </w:tcMar>
          </w:tcPr>
          <w:p w14:paraId="568EA6F9" w14:textId="77777777" w:rsidR="00836483" w:rsidRPr="005D6D89" w:rsidRDefault="00836483" w:rsidP="003A528F">
            <w:pPr>
              <w:pStyle w:val="TableTextBold0"/>
              <w:spacing w:before="40" w:after="50"/>
            </w:pPr>
            <w:r w:rsidRPr="005D6D89">
              <w:t>Most significant risks</w:t>
            </w:r>
          </w:p>
        </w:tc>
        <w:tc>
          <w:tcPr>
            <w:tcW w:w="495" w:type="pct"/>
            <w:tcBorders>
              <w:top w:val="nil"/>
              <w:left w:val="nil"/>
              <w:bottom w:val="nil"/>
              <w:right w:val="nil"/>
            </w:tcBorders>
            <w:shd w:val="clear" w:color="auto" w:fill="CFE5E5"/>
          </w:tcPr>
          <w:p w14:paraId="39A87886" w14:textId="77777777" w:rsidR="00836483" w:rsidRPr="005D6D89" w:rsidRDefault="00220713" w:rsidP="003A528F">
            <w:pPr>
              <w:pStyle w:val="TableTextBold0"/>
              <w:spacing w:before="40" w:after="50"/>
            </w:pPr>
            <w:r w:rsidRPr="005D6D89">
              <w:rPr>
                <w:bCs/>
                <w:szCs w:val="18"/>
              </w:rPr>
              <w:t>Urgency</w:t>
            </w:r>
          </w:p>
        </w:tc>
        <w:tc>
          <w:tcPr>
            <w:tcW w:w="740" w:type="pct"/>
            <w:tcBorders>
              <w:top w:val="nil"/>
              <w:left w:val="nil"/>
              <w:bottom w:val="nil"/>
            </w:tcBorders>
            <w:shd w:val="clear" w:color="auto" w:fill="CFE5E5"/>
          </w:tcPr>
          <w:p w14:paraId="0F246CE6" w14:textId="77777777" w:rsidR="00836483" w:rsidRPr="005D6D89" w:rsidRDefault="00220713" w:rsidP="003A528F">
            <w:pPr>
              <w:pStyle w:val="TableTextBold0"/>
              <w:spacing w:before="40" w:after="50"/>
            </w:pPr>
            <w:r w:rsidRPr="005D6D89">
              <w:rPr>
                <w:bCs/>
                <w:szCs w:val="18"/>
              </w:rPr>
              <w:t>Consequence</w:t>
            </w:r>
          </w:p>
        </w:tc>
      </w:tr>
      <w:tr w:rsidR="00116906" w:rsidRPr="005D6D89" w14:paraId="2FBEC822" w14:textId="77777777" w:rsidTr="00095C79">
        <w:tc>
          <w:tcPr>
            <w:tcW w:w="3766" w:type="pct"/>
            <w:tcBorders>
              <w:top w:val="nil"/>
            </w:tcBorders>
            <w:shd w:val="clear" w:color="auto" w:fill="auto"/>
            <w:tcMar>
              <w:top w:w="0" w:type="dxa"/>
            </w:tcMar>
          </w:tcPr>
          <w:p w14:paraId="54FBE5B1" w14:textId="77777777" w:rsidR="00116906" w:rsidRPr="005D6D89" w:rsidRDefault="00116906" w:rsidP="00207062">
            <w:pPr>
              <w:pStyle w:val="TableText"/>
              <w:spacing w:before="50" w:after="50"/>
            </w:pPr>
            <w:r w:rsidRPr="005D6D89">
              <w:t>B1 Risk to potable water supplies (availability and quality) due to changes in rainfall, temperature, drought, extreme weather events and ongoing sea-level rise.</w:t>
            </w:r>
          </w:p>
        </w:tc>
        <w:tc>
          <w:tcPr>
            <w:tcW w:w="495" w:type="pct"/>
            <w:tcBorders>
              <w:top w:val="nil"/>
            </w:tcBorders>
          </w:tcPr>
          <w:p w14:paraId="5EA79EDA" w14:textId="77777777" w:rsidR="00116906" w:rsidRPr="005D6D89" w:rsidRDefault="00116906" w:rsidP="00207062">
            <w:pPr>
              <w:pStyle w:val="TableText"/>
              <w:spacing w:before="50" w:after="50"/>
              <w:jc w:val="center"/>
            </w:pPr>
            <w:r w:rsidRPr="005D6D89">
              <w:t>93*</w:t>
            </w:r>
          </w:p>
        </w:tc>
        <w:tc>
          <w:tcPr>
            <w:tcW w:w="740" w:type="pct"/>
            <w:tcBorders>
              <w:top w:val="nil"/>
            </w:tcBorders>
            <w:shd w:val="clear" w:color="auto" w:fill="FFFFFF" w:themeFill="background1"/>
          </w:tcPr>
          <w:p w14:paraId="5F85EC15" w14:textId="77777777" w:rsidR="00116906" w:rsidRPr="005D6D89" w:rsidRDefault="00116906" w:rsidP="00207062">
            <w:pPr>
              <w:pStyle w:val="TableText"/>
              <w:spacing w:before="50" w:after="50"/>
            </w:pPr>
            <w:r w:rsidRPr="005D6D89">
              <w:t>Extreme**</w:t>
            </w:r>
          </w:p>
        </w:tc>
      </w:tr>
      <w:tr w:rsidR="00116906" w:rsidRPr="005D6D89" w14:paraId="23A6D107" w14:textId="77777777" w:rsidTr="00095C79">
        <w:tc>
          <w:tcPr>
            <w:tcW w:w="3766" w:type="pct"/>
            <w:tcBorders>
              <w:bottom w:val="nil"/>
            </w:tcBorders>
            <w:shd w:val="clear" w:color="auto" w:fill="auto"/>
            <w:tcMar>
              <w:top w:w="0" w:type="dxa"/>
            </w:tcMar>
          </w:tcPr>
          <w:p w14:paraId="45108669" w14:textId="77777777" w:rsidR="00116906" w:rsidRPr="005D6D89" w:rsidRDefault="00116906" w:rsidP="00207062">
            <w:pPr>
              <w:pStyle w:val="TableText"/>
              <w:spacing w:before="50" w:after="50"/>
            </w:pPr>
            <w:r w:rsidRPr="005D6D89">
              <w:t>B2 Risks to buildings due to extreme weather events, drought, increased fire weather and ongoing sea-level rise.</w:t>
            </w:r>
          </w:p>
        </w:tc>
        <w:tc>
          <w:tcPr>
            <w:tcW w:w="495" w:type="pct"/>
            <w:tcBorders>
              <w:bottom w:val="nil"/>
            </w:tcBorders>
          </w:tcPr>
          <w:p w14:paraId="26013D9E" w14:textId="77777777" w:rsidR="00116906" w:rsidRPr="005D6D89" w:rsidRDefault="00116906" w:rsidP="00207062">
            <w:pPr>
              <w:pStyle w:val="TableText"/>
              <w:spacing w:before="50" w:after="50"/>
              <w:jc w:val="center"/>
            </w:pPr>
            <w:r w:rsidRPr="005D6D89">
              <w:rPr>
                <w:szCs w:val="18"/>
              </w:rPr>
              <w:t>90</w:t>
            </w:r>
          </w:p>
        </w:tc>
        <w:tc>
          <w:tcPr>
            <w:tcW w:w="740" w:type="pct"/>
            <w:tcBorders>
              <w:bottom w:val="nil"/>
            </w:tcBorders>
            <w:shd w:val="clear" w:color="auto" w:fill="FFFFFF" w:themeFill="background1"/>
          </w:tcPr>
          <w:p w14:paraId="18A59737" w14:textId="77777777" w:rsidR="00116906" w:rsidRPr="005D6D89" w:rsidRDefault="00116906" w:rsidP="00207062">
            <w:pPr>
              <w:pStyle w:val="TableText"/>
              <w:spacing w:before="50" w:after="50"/>
              <w:rPr>
                <w:szCs w:val="18"/>
              </w:rPr>
            </w:pPr>
            <w:r w:rsidRPr="005D6D89">
              <w:rPr>
                <w:szCs w:val="18"/>
              </w:rPr>
              <w:t>Extreme</w:t>
            </w:r>
          </w:p>
        </w:tc>
      </w:tr>
      <w:tr w:rsidR="006653CC" w:rsidRPr="005D6D89" w14:paraId="13CFB112" w14:textId="77777777" w:rsidTr="00095C79">
        <w:tc>
          <w:tcPr>
            <w:tcW w:w="5000" w:type="pct"/>
            <w:gridSpan w:val="3"/>
            <w:tcBorders>
              <w:top w:val="nil"/>
              <w:bottom w:val="nil"/>
            </w:tcBorders>
            <w:shd w:val="clear" w:color="auto" w:fill="CFE5E5"/>
            <w:tcMar>
              <w:top w:w="0" w:type="dxa"/>
            </w:tcMar>
          </w:tcPr>
          <w:p w14:paraId="51ADCE49" w14:textId="77777777" w:rsidR="006653CC" w:rsidRPr="005D6D89" w:rsidRDefault="006653CC" w:rsidP="00207062">
            <w:pPr>
              <w:pStyle w:val="TableTextBold0"/>
              <w:spacing w:before="50" w:after="50"/>
            </w:pPr>
            <w:r w:rsidRPr="005D6D89">
              <w:t>Other priority risks (Stage 2)</w:t>
            </w:r>
          </w:p>
        </w:tc>
      </w:tr>
      <w:tr w:rsidR="00116906" w:rsidRPr="005D6D89" w14:paraId="75F6D917" w14:textId="77777777" w:rsidTr="00095C79">
        <w:tc>
          <w:tcPr>
            <w:tcW w:w="3766" w:type="pct"/>
            <w:tcBorders>
              <w:top w:val="nil"/>
            </w:tcBorders>
            <w:shd w:val="clear" w:color="auto" w:fill="auto"/>
            <w:tcMar>
              <w:top w:w="0" w:type="dxa"/>
            </w:tcMar>
          </w:tcPr>
          <w:p w14:paraId="21C8BE42" w14:textId="77777777" w:rsidR="00116906" w:rsidRPr="005D6D89" w:rsidRDefault="00116906" w:rsidP="00207062">
            <w:pPr>
              <w:pStyle w:val="TableText"/>
              <w:spacing w:before="50" w:after="50"/>
              <w:rPr>
                <w:highlight w:val="yellow"/>
              </w:rPr>
            </w:pPr>
            <w:r w:rsidRPr="005D6D89">
              <w:t>B3 Risks to landfills and contaminated sites due to extreme weather events and ongoing sea-level rise.</w:t>
            </w:r>
          </w:p>
        </w:tc>
        <w:tc>
          <w:tcPr>
            <w:tcW w:w="495" w:type="pct"/>
            <w:tcBorders>
              <w:top w:val="nil"/>
            </w:tcBorders>
          </w:tcPr>
          <w:p w14:paraId="2D379EBA" w14:textId="77777777" w:rsidR="00116906" w:rsidRPr="005D6D89" w:rsidRDefault="00116906" w:rsidP="00207062">
            <w:pPr>
              <w:pStyle w:val="TableText"/>
              <w:spacing w:before="50" w:after="50"/>
              <w:jc w:val="center"/>
            </w:pPr>
            <w:r w:rsidRPr="005D6D89">
              <w:t>85</w:t>
            </w:r>
          </w:p>
        </w:tc>
        <w:tc>
          <w:tcPr>
            <w:tcW w:w="740" w:type="pct"/>
            <w:tcBorders>
              <w:top w:val="nil"/>
            </w:tcBorders>
            <w:shd w:val="clear" w:color="auto" w:fill="FFFFFF" w:themeFill="background1"/>
          </w:tcPr>
          <w:p w14:paraId="49D11A9D" w14:textId="77777777" w:rsidR="00116906" w:rsidRPr="005D6D89" w:rsidRDefault="00116906" w:rsidP="00207062">
            <w:pPr>
              <w:pStyle w:val="TableText"/>
              <w:spacing w:before="50" w:after="50"/>
            </w:pPr>
            <w:r w:rsidRPr="005D6D89">
              <w:t>Major</w:t>
            </w:r>
          </w:p>
        </w:tc>
      </w:tr>
      <w:tr w:rsidR="00116906" w:rsidRPr="005D6D89" w14:paraId="1E1AD518" w14:textId="77777777" w:rsidTr="00095C79">
        <w:tc>
          <w:tcPr>
            <w:tcW w:w="3766" w:type="pct"/>
            <w:shd w:val="clear" w:color="auto" w:fill="auto"/>
            <w:tcMar>
              <w:top w:w="0" w:type="dxa"/>
            </w:tcMar>
          </w:tcPr>
          <w:p w14:paraId="19F34251" w14:textId="77777777" w:rsidR="00116906" w:rsidRPr="005D6D89" w:rsidRDefault="00116906" w:rsidP="00207062">
            <w:pPr>
              <w:pStyle w:val="TableText"/>
              <w:spacing w:before="50" w:after="50"/>
            </w:pPr>
            <w:r w:rsidRPr="005D6D89">
              <w:t>B4 Risk to wastewater and stormwater systems (and levels of service) due to extreme weather events and ongoing sea-level rise.</w:t>
            </w:r>
          </w:p>
        </w:tc>
        <w:tc>
          <w:tcPr>
            <w:tcW w:w="495" w:type="pct"/>
          </w:tcPr>
          <w:p w14:paraId="2443D3C0" w14:textId="77777777" w:rsidR="00116906" w:rsidRPr="005D6D89" w:rsidRDefault="00116906" w:rsidP="00207062">
            <w:pPr>
              <w:pStyle w:val="TableText"/>
              <w:spacing w:before="50" w:after="50"/>
              <w:jc w:val="center"/>
            </w:pPr>
            <w:r w:rsidRPr="005D6D89">
              <w:t>85</w:t>
            </w:r>
          </w:p>
        </w:tc>
        <w:tc>
          <w:tcPr>
            <w:tcW w:w="740" w:type="pct"/>
            <w:shd w:val="clear" w:color="auto" w:fill="FFFFFF" w:themeFill="background1"/>
          </w:tcPr>
          <w:p w14:paraId="591F3AAD" w14:textId="77777777" w:rsidR="00116906" w:rsidRPr="005D6D89" w:rsidRDefault="00116906" w:rsidP="00207062">
            <w:pPr>
              <w:pStyle w:val="TableText"/>
              <w:spacing w:before="50" w:after="50"/>
            </w:pPr>
            <w:r w:rsidRPr="005D6D89">
              <w:t>Extreme</w:t>
            </w:r>
          </w:p>
        </w:tc>
      </w:tr>
      <w:tr w:rsidR="00116906" w:rsidRPr="005D6D89" w14:paraId="3145A4AD" w14:textId="77777777" w:rsidTr="00095C79">
        <w:tc>
          <w:tcPr>
            <w:tcW w:w="3766" w:type="pct"/>
            <w:shd w:val="clear" w:color="auto" w:fill="auto"/>
            <w:tcMar>
              <w:top w:w="0" w:type="dxa"/>
            </w:tcMar>
          </w:tcPr>
          <w:p w14:paraId="066DAFD2" w14:textId="77777777" w:rsidR="00116906" w:rsidRPr="005D6D89" w:rsidRDefault="00116906" w:rsidP="00207062">
            <w:pPr>
              <w:pStyle w:val="TableText"/>
              <w:spacing w:before="50" w:after="50"/>
              <w:rPr>
                <w:rFonts w:cs="Arial"/>
                <w:highlight w:val="yellow"/>
              </w:rPr>
            </w:pPr>
            <w:r w:rsidRPr="005D6D89">
              <w:rPr>
                <w:rFonts w:cs="Arial"/>
              </w:rPr>
              <w:t>B5 Risks to ports and associated infrastructure due to extreme weather events and ongoing sea-level rise.</w:t>
            </w:r>
          </w:p>
        </w:tc>
        <w:tc>
          <w:tcPr>
            <w:tcW w:w="495" w:type="pct"/>
          </w:tcPr>
          <w:p w14:paraId="38FEC44F" w14:textId="77777777" w:rsidR="00116906" w:rsidRPr="005D6D89" w:rsidRDefault="00116906" w:rsidP="00207062">
            <w:pPr>
              <w:pStyle w:val="TableText"/>
              <w:spacing w:before="50" w:after="50"/>
              <w:jc w:val="center"/>
            </w:pPr>
            <w:r w:rsidRPr="005D6D89">
              <w:rPr>
                <w:szCs w:val="18"/>
              </w:rPr>
              <w:t>70</w:t>
            </w:r>
          </w:p>
        </w:tc>
        <w:tc>
          <w:tcPr>
            <w:tcW w:w="740" w:type="pct"/>
            <w:shd w:val="clear" w:color="auto" w:fill="FFFFFF" w:themeFill="background1"/>
          </w:tcPr>
          <w:p w14:paraId="20BDED4F" w14:textId="77777777" w:rsidR="00116906" w:rsidRPr="005D6D89" w:rsidRDefault="00116906" w:rsidP="00207062">
            <w:pPr>
              <w:pStyle w:val="TableText"/>
              <w:spacing w:before="50" w:after="50"/>
              <w:rPr>
                <w:szCs w:val="18"/>
              </w:rPr>
            </w:pPr>
            <w:r w:rsidRPr="005D6D89">
              <w:rPr>
                <w:szCs w:val="18"/>
              </w:rPr>
              <w:t>Major</w:t>
            </w:r>
          </w:p>
        </w:tc>
      </w:tr>
      <w:tr w:rsidR="00116906" w:rsidRPr="005D6D89" w14:paraId="178674D2" w14:textId="77777777" w:rsidTr="00095C79">
        <w:tc>
          <w:tcPr>
            <w:tcW w:w="3766" w:type="pct"/>
            <w:shd w:val="clear" w:color="auto" w:fill="auto"/>
            <w:tcMar>
              <w:top w:w="0" w:type="dxa"/>
            </w:tcMar>
          </w:tcPr>
          <w:p w14:paraId="57CB446F" w14:textId="77777777" w:rsidR="00116906" w:rsidRPr="005D6D89" w:rsidRDefault="00116906" w:rsidP="00207062">
            <w:pPr>
              <w:pStyle w:val="TableText"/>
              <w:spacing w:before="50" w:after="50"/>
              <w:rPr>
                <w:rFonts w:cs="Arial"/>
              </w:rPr>
            </w:pPr>
            <w:r w:rsidRPr="005D6D89">
              <w:rPr>
                <w:rFonts w:cs="Arial"/>
              </w:rPr>
              <w:t>B6 Risks to linear transport networks due to changes in temperature, extreme weather events and ongoing sea-level rise.</w:t>
            </w:r>
          </w:p>
        </w:tc>
        <w:tc>
          <w:tcPr>
            <w:tcW w:w="495" w:type="pct"/>
          </w:tcPr>
          <w:p w14:paraId="2C0D2A05" w14:textId="77777777" w:rsidR="00116906" w:rsidRPr="005D6D89" w:rsidRDefault="00116906" w:rsidP="00207062">
            <w:pPr>
              <w:pStyle w:val="TableText"/>
              <w:spacing w:before="50" w:after="50"/>
              <w:jc w:val="center"/>
            </w:pPr>
            <w:r w:rsidRPr="005D6D89">
              <w:rPr>
                <w:szCs w:val="18"/>
              </w:rPr>
              <w:t>60</w:t>
            </w:r>
          </w:p>
        </w:tc>
        <w:tc>
          <w:tcPr>
            <w:tcW w:w="740" w:type="pct"/>
            <w:shd w:val="clear" w:color="auto" w:fill="FFFFFF" w:themeFill="background1"/>
          </w:tcPr>
          <w:p w14:paraId="1011D78A" w14:textId="77777777" w:rsidR="00116906" w:rsidRPr="005D6D89" w:rsidRDefault="00116906" w:rsidP="00207062">
            <w:pPr>
              <w:pStyle w:val="TableText"/>
              <w:spacing w:before="50" w:after="50"/>
              <w:rPr>
                <w:szCs w:val="18"/>
              </w:rPr>
            </w:pPr>
            <w:r w:rsidRPr="005D6D89">
              <w:rPr>
                <w:szCs w:val="18"/>
              </w:rPr>
              <w:t>Extreme</w:t>
            </w:r>
          </w:p>
        </w:tc>
      </w:tr>
      <w:tr w:rsidR="00116906" w:rsidRPr="005D6D89" w14:paraId="416B4FAF" w14:textId="77777777" w:rsidTr="00095C79">
        <w:tc>
          <w:tcPr>
            <w:tcW w:w="3766" w:type="pct"/>
            <w:shd w:val="clear" w:color="auto" w:fill="auto"/>
            <w:tcMar>
              <w:top w:w="0" w:type="dxa"/>
            </w:tcMar>
          </w:tcPr>
          <w:p w14:paraId="1C3C4BCC" w14:textId="77777777" w:rsidR="00116906" w:rsidRPr="005D6D89" w:rsidRDefault="00116906" w:rsidP="00207062">
            <w:pPr>
              <w:pStyle w:val="TableText"/>
              <w:spacing w:before="50" w:after="50"/>
            </w:pPr>
            <w:r w:rsidRPr="005D6D89">
              <w:rPr>
                <w:rFonts w:cs="Arial"/>
              </w:rPr>
              <w:t>B7 Risk to airports due to changes in temperature, wind, extreme weather events and ongoing sea-level rise.</w:t>
            </w:r>
          </w:p>
        </w:tc>
        <w:tc>
          <w:tcPr>
            <w:tcW w:w="495" w:type="pct"/>
          </w:tcPr>
          <w:p w14:paraId="50348ABB" w14:textId="77777777" w:rsidR="00116906" w:rsidRPr="005D6D89" w:rsidRDefault="00116906" w:rsidP="00207062">
            <w:pPr>
              <w:pStyle w:val="TableText"/>
              <w:spacing w:before="50" w:after="50"/>
              <w:jc w:val="center"/>
            </w:pPr>
            <w:r w:rsidRPr="005D6D89">
              <w:rPr>
                <w:szCs w:val="18"/>
              </w:rPr>
              <w:t>55</w:t>
            </w:r>
          </w:p>
        </w:tc>
        <w:tc>
          <w:tcPr>
            <w:tcW w:w="740" w:type="pct"/>
            <w:shd w:val="clear" w:color="auto" w:fill="FFFFFF" w:themeFill="background1"/>
          </w:tcPr>
          <w:p w14:paraId="0ABAF590" w14:textId="77777777" w:rsidR="00116906" w:rsidRPr="005D6D89" w:rsidRDefault="00116906" w:rsidP="00207062">
            <w:pPr>
              <w:pStyle w:val="TableText"/>
              <w:spacing w:before="50" w:after="50"/>
              <w:rPr>
                <w:szCs w:val="18"/>
              </w:rPr>
            </w:pPr>
            <w:r w:rsidRPr="005D6D89">
              <w:rPr>
                <w:szCs w:val="18"/>
              </w:rPr>
              <w:t>Extreme</w:t>
            </w:r>
          </w:p>
        </w:tc>
      </w:tr>
      <w:tr w:rsidR="00116906" w:rsidRPr="005D6D89" w14:paraId="03416790" w14:textId="77777777" w:rsidTr="00095C79">
        <w:tc>
          <w:tcPr>
            <w:tcW w:w="3766" w:type="pct"/>
            <w:tcBorders>
              <w:bottom w:val="nil"/>
            </w:tcBorders>
            <w:shd w:val="clear" w:color="auto" w:fill="auto"/>
            <w:tcMar>
              <w:top w:w="0" w:type="dxa"/>
            </w:tcMar>
          </w:tcPr>
          <w:p w14:paraId="4CDCB328" w14:textId="77777777" w:rsidR="00116906" w:rsidRPr="005D6D89" w:rsidRDefault="00116906" w:rsidP="00207062">
            <w:pPr>
              <w:pStyle w:val="TableText"/>
              <w:spacing w:before="50" w:after="50"/>
            </w:pPr>
            <w:r w:rsidRPr="005D6D89">
              <w:rPr>
                <w:rFonts w:cs="Arial"/>
              </w:rPr>
              <w:t>B8 Risks to electricity infrastructure due to changes in temperature, rainfall, snow, extreme weather events, wind and increased fire weather.</w:t>
            </w:r>
          </w:p>
        </w:tc>
        <w:tc>
          <w:tcPr>
            <w:tcW w:w="495" w:type="pct"/>
            <w:tcBorders>
              <w:bottom w:val="nil"/>
            </w:tcBorders>
          </w:tcPr>
          <w:p w14:paraId="49D1E36B" w14:textId="77777777" w:rsidR="00116906" w:rsidRPr="005D6D89" w:rsidRDefault="00116906" w:rsidP="00207062">
            <w:pPr>
              <w:pStyle w:val="TableText"/>
              <w:spacing w:before="50" w:after="50"/>
              <w:jc w:val="center"/>
            </w:pPr>
            <w:r w:rsidRPr="005D6D89">
              <w:rPr>
                <w:szCs w:val="18"/>
              </w:rPr>
              <w:t>55</w:t>
            </w:r>
          </w:p>
        </w:tc>
        <w:tc>
          <w:tcPr>
            <w:tcW w:w="740" w:type="pct"/>
            <w:tcBorders>
              <w:bottom w:val="nil"/>
            </w:tcBorders>
            <w:shd w:val="clear" w:color="auto" w:fill="FFFFFF" w:themeFill="background1"/>
          </w:tcPr>
          <w:p w14:paraId="140E4A34" w14:textId="77777777" w:rsidR="00116906" w:rsidRPr="005D6D89" w:rsidRDefault="00116906" w:rsidP="00207062">
            <w:pPr>
              <w:pStyle w:val="TableText"/>
              <w:spacing w:before="50" w:after="50"/>
              <w:rPr>
                <w:szCs w:val="18"/>
              </w:rPr>
            </w:pPr>
            <w:r w:rsidRPr="005D6D89">
              <w:rPr>
                <w:szCs w:val="18"/>
              </w:rPr>
              <w:t>Extreme</w:t>
            </w:r>
          </w:p>
        </w:tc>
      </w:tr>
      <w:tr w:rsidR="006653CC" w:rsidRPr="005D6D89" w14:paraId="3ED8522F" w14:textId="77777777" w:rsidTr="00095C79">
        <w:tc>
          <w:tcPr>
            <w:tcW w:w="5000" w:type="pct"/>
            <w:gridSpan w:val="3"/>
            <w:tcBorders>
              <w:top w:val="nil"/>
              <w:bottom w:val="nil"/>
            </w:tcBorders>
            <w:shd w:val="clear" w:color="auto" w:fill="CFE5E5"/>
            <w:tcMar>
              <w:top w:w="0" w:type="dxa"/>
            </w:tcMar>
          </w:tcPr>
          <w:p w14:paraId="7F2EBB67" w14:textId="77777777" w:rsidR="006653CC" w:rsidRPr="005D6D89" w:rsidRDefault="006653CC" w:rsidP="00207062">
            <w:pPr>
              <w:pStyle w:val="TableTextBold0"/>
              <w:keepNext/>
              <w:spacing w:before="50" w:after="50"/>
            </w:pPr>
            <w:r w:rsidRPr="005D6D89">
              <w:t>Opportunities</w:t>
            </w:r>
          </w:p>
        </w:tc>
      </w:tr>
      <w:tr w:rsidR="00116906" w:rsidRPr="005D6D89" w14:paraId="30A40E81" w14:textId="77777777" w:rsidTr="00095C79">
        <w:tc>
          <w:tcPr>
            <w:tcW w:w="3766" w:type="pct"/>
            <w:tcBorders>
              <w:top w:val="nil"/>
            </w:tcBorders>
            <w:tcMar>
              <w:top w:w="0" w:type="dxa"/>
            </w:tcMar>
          </w:tcPr>
          <w:p w14:paraId="0BD5B7E8" w14:textId="77777777" w:rsidR="00116906" w:rsidRPr="005D6D89" w:rsidRDefault="0080544C" w:rsidP="00207062">
            <w:pPr>
              <w:pStyle w:val="TableText"/>
              <w:spacing w:before="50" w:after="50"/>
            </w:pPr>
            <w:r>
              <w:t>BO1</w:t>
            </w:r>
            <w:r w:rsidR="00116906" w:rsidRPr="005D6D89">
              <w:t xml:space="preserve"> Opportunity for reduction in winter heating demand due to warmer temperatures</w:t>
            </w:r>
            <w:r w:rsidR="003803A4">
              <w:t>.</w:t>
            </w:r>
          </w:p>
        </w:tc>
        <w:tc>
          <w:tcPr>
            <w:tcW w:w="495" w:type="pct"/>
            <w:tcBorders>
              <w:top w:val="nil"/>
            </w:tcBorders>
          </w:tcPr>
          <w:p w14:paraId="20FD092A" w14:textId="77777777" w:rsidR="00116906" w:rsidRPr="005D6D89" w:rsidRDefault="00116906" w:rsidP="00207062">
            <w:pPr>
              <w:pStyle w:val="TableText"/>
              <w:spacing w:before="50" w:after="50"/>
              <w:jc w:val="center"/>
            </w:pPr>
            <w:r w:rsidRPr="005D6D89">
              <w:rPr>
                <w:szCs w:val="18"/>
              </w:rPr>
              <w:t>65</w:t>
            </w:r>
          </w:p>
        </w:tc>
        <w:tc>
          <w:tcPr>
            <w:tcW w:w="740" w:type="pct"/>
            <w:tcBorders>
              <w:top w:val="nil"/>
            </w:tcBorders>
            <w:shd w:val="clear" w:color="auto" w:fill="FFFFFF" w:themeFill="background1"/>
          </w:tcPr>
          <w:p w14:paraId="2655477B" w14:textId="77777777" w:rsidR="00116906" w:rsidRPr="005D6D89" w:rsidRDefault="00116906" w:rsidP="00207062">
            <w:pPr>
              <w:pStyle w:val="TableText"/>
              <w:spacing w:before="50" w:after="50"/>
              <w:rPr>
                <w:szCs w:val="18"/>
              </w:rPr>
            </w:pPr>
            <w:r w:rsidRPr="005D6D89">
              <w:rPr>
                <w:szCs w:val="18"/>
              </w:rPr>
              <w:t>n/a</w:t>
            </w:r>
          </w:p>
        </w:tc>
      </w:tr>
    </w:tbl>
    <w:bookmarkEnd w:id="405"/>
    <w:p w14:paraId="20CD3605" w14:textId="77777777" w:rsidR="006653CC" w:rsidRPr="005D6D89" w:rsidRDefault="006653CC" w:rsidP="00E64D4B">
      <w:pPr>
        <w:pStyle w:val="Note"/>
        <w:spacing w:after="60"/>
      </w:pPr>
      <w:r w:rsidRPr="005D6D89">
        <w:t>* Urgency rating: the adaptation and decision urgency rating for this risk.</w:t>
      </w:r>
    </w:p>
    <w:p w14:paraId="7B9E1868" w14:textId="6F0F5690" w:rsidR="006653CC" w:rsidRPr="005D6D89" w:rsidRDefault="006653CC" w:rsidP="003A528F">
      <w:pPr>
        <w:pStyle w:val="Note"/>
        <w:spacing w:before="0" w:line="220" w:lineRule="atLeast"/>
      </w:pPr>
      <w:r w:rsidRPr="005D6D89">
        <w:t>**Consequence rating: the highest consequence rating for this risk out of all three periods (now, 2050, 2100).</w:t>
      </w:r>
      <w:r w:rsidR="00027F9F" w:rsidRPr="005D6D89">
        <w:t xml:space="preserve"> </w:t>
      </w:r>
      <w:r w:rsidRPr="005D6D89">
        <w:t>The</w:t>
      </w:r>
      <w:r w:rsidR="00E64D4B" w:rsidRPr="005D6D89">
        <w:t> </w:t>
      </w:r>
      <w:hyperlink r:id="rId59" w:history="1">
        <w:r w:rsidR="00E546F8" w:rsidRPr="00E546F8">
          <w:rPr>
            <w:rStyle w:val="Hyperlink"/>
          </w:rPr>
          <w:t>technical report</w:t>
        </w:r>
      </w:hyperlink>
      <w:r w:rsidRPr="005D6D89">
        <w:t xml:space="preserve"> provides the consequence rating for each risk and period.</w:t>
      </w:r>
    </w:p>
    <w:p w14:paraId="7B1B4FA1" w14:textId="77777777" w:rsidR="006653CC" w:rsidRPr="005D6D89" w:rsidRDefault="006653CC" w:rsidP="00812D16">
      <w:pPr>
        <w:pStyle w:val="Heading3"/>
        <w:numPr>
          <w:ilvl w:val="0"/>
          <w:numId w:val="32"/>
        </w:numPr>
      </w:pPr>
      <w:bookmarkStart w:id="406" w:name="_Toc40286461"/>
      <w:bookmarkStart w:id="407" w:name="_Toc40699364"/>
      <w:bookmarkStart w:id="408" w:name="_Toc35805057"/>
      <w:bookmarkStart w:id="409" w:name="_Toc37255784"/>
      <w:bookmarkStart w:id="410" w:name="_Toc37393685"/>
      <w:r w:rsidRPr="005D6D89">
        <w:t xml:space="preserve">Most </w:t>
      </w:r>
      <w:bookmarkEnd w:id="406"/>
      <w:r w:rsidRPr="005D6D89">
        <w:t>significant risks</w:t>
      </w:r>
      <w:bookmarkEnd w:id="407"/>
    </w:p>
    <w:bookmarkEnd w:id="408"/>
    <w:bookmarkEnd w:id="409"/>
    <w:p w14:paraId="61CACB72" w14:textId="77777777" w:rsidR="006653CC" w:rsidRPr="005D6D89" w:rsidRDefault="006653CC" w:rsidP="00900E6A">
      <w:pPr>
        <w:pStyle w:val="Heading4"/>
        <w:spacing w:before="200"/>
      </w:pPr>
      <w:r w:rsidRPr="005D6D89">
        <w:t xml:space="preserve">B1 Risk to potable water supplies (availability and quality) due to changes in rainfall, temperature, drought, extreme weather events and ongoing sea-level rise </w:t>
      </w:r>
      <w:bookmarkEnd w:id="410"/>
    </w:p>
    <w:p w14:paraId="3BEBCD46" w14:textId="77777777" w:rsidR="006653CC" w:rsidRPr="005D6D89" w:rsidRDefault="006653CC" w:rsidP="00900E6A">
      <w:pPr>
        <w:pStyle w:val="Heading5"/>
        <w:spacing w:before="200"/>
      </w:pPr>
      <w:r w:rsidRPr="005D6D89">
        <w:t xml:space="preserve">Risk summary </w:t>
      </w:r>
    </w:p>
    <w:p w14:paraId="602ECFBE" w14:textId="77777777" w:rsidR="006653CC" w:rsidRPr="005D6D89" w:rsidRDefault="006653CC" w:rsidP="00900E6A">
      <w:pPr>
        <w:pStyle w:val="BodyText"/>
        <w:spacing w:before="100" w:after="100"/>
      </w:pPr>
      <w:bookmarkStart w:id="411" w:name="_Hlk40298281"/>
      <w:r w:rsidRPr="005D6D89">
        <w:t xml:space="preserve">All towns, cities and sectors of our economy rely on a safe and secure water supply. Many water supplies are at risk from drought, changes in mean annual rainfall, extreme weather events (including heavy rainfall) and sea-level rise. This risk is likely to increase in the future. </w:t>
      </w:r>
    </w:p>
    <w:p w14:paraId="7EE499A4" w14:textId="77777777" w:rsidR="006653CC" w:rsidRPr="005D6D89" w:rsidRDefault="006653CC" w:rsidP="00900E6A">
      <w:pPr>
        <w:pStyle w:val="BodyText"/>
        <w:spacing w:before="100" w:after="100"/>
      </w:pPr>
      <w:r w:rsidRPr="005D6D89">
        <w:t xml:space="preserve">Drought severity will increase in most regions. As well as reducing water availability, drought and higher temperatures can lead to higher demand, which can exacerbate supply issues. Population growth </w:t>
      </w:r>
      <w:proofErr w:type="gramStart"/>
      <w:r w:rsidRPr="005D6D89">
        <w:t>is projected</w:t>
      </w:r>
      <w:proofErr w:type="gramEnd"/>
      <w:r w:rsidRPr="005D6D89">
        <w:t xml:space="preserve"> to increase, adding pressure on water supplies. High growth regions include Auckland, Bay of Plenty, Northland, Waikato, Greater Wellington, Hawke</w:t>
      </w:r>
      <w:r w:rsidR="003803A4">
        <w:t>’</w:t>
      </w:r>
      <w:r w:rsidRPr="005D6D89">
        <w:t>s Bay</w:t>
      </w:r>
      <w:r w:rsidR="00900E6A" w:rsidRPr="005D6D89">
        <w:t> </w:t>
      </w:r>
      <w:r w:rsidRPr="005D6D89">
        <w:t xml:space="preserve">and Otago. </w:t>
      </w:r>
    </w:p>
    <w:p w14:paraId="22E71ED1" w14:textId="77777777" w:rsidR="006653CC" w:rsidRPr="005D6D89" w:rsidRDefault="006653CC" w:rsidP="00900E6A">
      <w:pPr>
        <w:pStyle w:val="BodyText"/>
        <w:spacing w:before="100" w:after="100"/>
      </w:pPr>
      <w:r w:rsidRPr="005D6D89">
        <w:t xml:space="preserve">Sea-level rise (leading to salinity stress) and increases in heavy rainfall (leading to flooding and sedimentation of water sources) are already affecting water quality around New Zealand, and this will likely increase. </w:t>
      </w:r>
    </w:p>
    <w:p w14:paraId="179603AE" w14:textId="77777777" w:rsidR="006653CC" w:rsidRPr="005D6D89" w:rsidRDefault="006653CC" w:rsidP="00900E6A">
      <w:pPr>
        <w:pStyle w:val="BodyText"/>
        <w:spacing w:before="100" w:after="100"/>
      </w:pPr>
      <w:r w:rsidRPr="005D6D89">
        <w:t xml:space="preserve">For Māori, water </w:t>
      </w:r>
      <w:proofErr w:type="gramStart"/>
      <w:r w:rsidRPr="005D6D89">
        <w:t>is seen</w:t>
      </w:r>
      <w:proofErr w:type="gramEnd"/>
      <w:r w:rsidRPr="005D6D89">
        <w:t xml:space="preserve"> as the essence of all life; impacts on water are a significant cultural issue. Some Māori communities also rely on non-reticulated water systems, making them vulnerable to drought and water contamination.</w:t>
      </w:r>
    </w:p>
    <w:bookmarkEnd w:id="411"/>
    <w:p w14:paraId="7117F630" w14:textId="77777777" w:rsidR="006653CC" w:rsidRPr="005D6D89" w:rsidRDefault="006653CC" w:rsidP="00900E6A">
      <w:pPr>
        <w:pStyle w:val="Heading5"/>
        <w:spacing w:before="200"/>
      </w:pPr>
      <w:r w:rsidRPr="005D6D89">
        <w:t xml:space="preserve">Exposure </w:t>
      </w:r>
    </w:p>
    <w:p w14:paraId="3F4C7052" w14:textId="77777777" w:rsidR="006653CC" w:rsidRPr="005D6D89" w:rsidRDefault="006653CC" w:rsidP="00900E6A">
      <w:pPr>
        <w:pStyle w:val="BodyText"/>
        <w:spacing w:before="100" w:after="100"/>
      </w:pPr>
      <w:bookmarkStart w:id="412" w:name="_Hlk40298302"/>
      <w:r w:rsidRPr="005D6D89">
        <w:t xml:space="preserve">Potable water supplies </w:t>
      </w:r>
      <w:proofErr w:type="gramStart"/>
      <w:r w:rsidRPr="005D6D89">
        <w:t>are exposed</w:t>
      </w:r>
      <w:proofErr w:type="gramEnd"/>
      <w:r w:rsidRPr="005D6D89">
        <w:t xml:space="preserve"> to drought, changes in mean annual rainfall, heavy rainfall, rising sea levels and salinity stress. Exposure can reduce water availability and quality. </w:t>
      </w:r>
    </w:p>
    <w:p w14:paraId="727DCE61" w14:textId="77777777" w:rsidR="006653CC" w:rsidRPr="005D6D89" w:rsidRDefault="006653CC" w:rsidP="00900E6A">
      <w:pPr>
        <w:pStyle w:val="BodyText"/>
        <w:spacing w:before="100" w:after="100"/>
      </w:pPr>
      <w:r w:rsidRPr="005D6D89">
        <w:t>Projections show that droughts will be more severe in most regions except Taranaki-Manawatu, West Coast and Southland. Droughts are likely to be more frequent and intense in</w:t>
      </w:r>
      <w:r w:rsidR="00600C08" w:rsidRPr="005D6D89">
        <w:t> </w:t>
      </w:r>
      <w:r w:rsidRPr="005D6D89">
        <w:t xml:space="preserve">already drought-prone areas (Ministry for the Environment, 2018). </w:t>
      </w:r>
    </w:p>
    <w:p w14:paraId="5F636236" w14:textId="77777777" w:rsidR="006653CC" w:rsidRPr="005D6D89" w:rsidRDefault="006653CC" w:rsidP="00900E6A">
      <w:pPr>
        <w:pStyle w:val="BodyText"/>
        <w:spacing w:before="100" w:after="100"/>
      </w:pPr>
      <w:r w:rsidRPr="005D6D89">
        <w:t>While some areas will have less water available annually, others may experience a lack of water during times of need, or seasonally. Since 2014, the number of councils that have set water restrictions has ranged from 44 to 66 per cent annually (WaterNZ, 2015, 2016, 2017, 2018). This is a significant number and</w:t>
      </w:r>
      <w:r w:rsidR="003803A4">
        <w:t>,</w:t>
      </w:r>
      <w:r w:rsidRPr="005D6D89">
        <w:t xml:space="preserve"> without intervention</w:t>
      </w:r>
      <w:r w:rsidR="003803A4">
        <w:t>,</w:t>
      </w:r>
      <w:r w:rsidRPr="005D6D89">
        <w:t xml:space="preserve"> will likely increase. Recent droughts have caused significant</w:t>
      </w:r>
      <w:r w:rsidR="003803A4">
        <w:t>,</w:t>
      </w:r>
      <w:r w:rsidRPr="005D6D89">
        <w:t xml:space="preserve"> recorded decreases in water supplies around New Zealand. In</w:t>
      </w:r>
      <w:r w:rsidR="00600C08" w:rsidRPr="005D6D89">
        <w:t> </w:t>
      </w:r>
      <w:r w:rsidRPr="005D6D89">
        <w:t>2010, Northland had the worst drought in 60 years, with record low rainfall causing significant water shortages for rural and urban populations (Northland Regional Council, 2011). Wellington also had a drought in 2013, when the region came close to running out of drinking water (Harrington et al, 2016). During the 2019</w:t>
      </w:r>
      <w:r w:rsidR="003803A4">
        <w:t>–</w:t>
      </w:r>
      <w:r w:rsidRPr="005D6D89">
        <w:t>2020 summer, Northland had the driest summer on record, causing water shortages throughout the region, as well as in Waikato and</w:t>
      </w:r>
      <w:r w:rsidR="00600C08" w:rsidRPr="005D6D89">
        <w:t> </w:t>
      </w:r>
      <w:r w:rsidRPr="005D6D89">
        <w:t>Auckland (RNZ, 2020).</w:t>
      </w:r>
    </w:p>
    <w:p w14:paraId="02BB9EF1" w14:textId="77777777" w:rsidR="006653CC" w:rsidRPr="005D6D89" w:rsidRDefault="006653CC" w:rsidP="00900E6A">
      <w:pPr>
        <w:pStyle w:val="BodyText"/>
      </w:pPr>
      <w:r w:rsidRPr="005D6D89">
        <w:t>Heavy rainfall can lead to the contamination of water supplies that rely on freshwater rivers</w:t>
      </w:r>
      <w:r w:rsidR="00900E6A" w:rsidRPr="005D6D89">
        <w:t> </w:t>
      </w:r>
      <w:r w:rsidRPr="005D6D89">
        <w:t xml:space="preserve">and lakes. In March 2017, Auckland had three short, intense rainstorms (the </w:t>
      </w:r>
      <w:r w:rsidR="001200EA">
        <w:t>‘</w:t>
      </w:r>
      <w:r w:rsidRPr="005D6D89">
        <w:t>Tasman Tempest</w:t>
      </w:r>
      <w:r w:rsidR="001200EA">
        <w:t>’</w:t>
      </w:r>
      <w:r w:rsidRPr="005D6D89">
        <w:t>). These caused sedimentation of water reservoirs, which led to the contamination of</w:t>
      </w:r>
      <w:r w:rsidR="00900E6A" w:rsidRPr="005D6D89">
        <w:t> </w:t>
      </w:r>
      <w:r w:rsidRPr="005D6D89">
        <w:t>a number of dams supplying Auckland</w:t>
      </w:r>
      <w:r w:rsidR="001200EA">
        <w:t>’</w:t>
      </w:r>
      <w:r w:rsidRPr="005D6D89">
        <w:t>s water (Urich, Li and Burton, 2017).</w:t>
      </w:r>
    </w:p>
    <w:p w14:paraId="72CD378C" w14:textId="77777777" w:rsidR="006653CC" w:rsidRPr="005D6D89" w:rsidRDefault="006653CC" w:rsidP="00600C08">
      <w:pPr>
        <w:pStyle w:val="BodyText"/>
        <w:spacing w:after="100"/>
      </w:pPr>
      <w:r w:rsidRPr="005D6D89">
        <w:t xml:space="preserve">New Zealand has nearly 150 mapped aquifers </w:t>
      </w:r>
      <w:r w:rsidR="003803A4">
        <w:t>that</w:t>
      </w:r>
      <w:r w:rsidR="003803A4" w:rsidRPr="005D6D89">
        <w:t xml:space="preserve"> </w:t>
      </w:r>
      <w:r w:rsidRPr="005D6D89">
        <w:t>provide roughly one-third of its daily supply. Many of these are located along the coast (Pattle Delamore Partners Ltd, 2011). As sea levels rise, coastal aquifers will become increasingly vulnerable to saltwater contamination. Salinisation of coastal aquifers is already occurring in Northland, Auckland, Waikato, Bay of Plenty, Taranaki, Wellington, Tasman, Marlborough, Canterbury and Dunedin (Pattle Delamore Partners Ltd, 2011). Salinity stress and wider groundwater changes will increase the pressure on water security, affecting both water availability and quality (</w:t>
      </w:r>
      <w:bookmarkStart w:id="413" w:name="_Hlk37427955"/>
      <w:r w:rsidRPr="005D6D89">
        <w:t>Thorburn et al, 2013).</w:t>
      </w:r>
      <w:bookmarkEnd w:id="413"/>
    </w:p>
    <w:bookmarkEnd w:id="412"/>
    <w:p w14:paraId="45D8F850" w14:textId="77777777" w:rsidR="006653CC" w:rsidRPr="005D6D89" w:rsidRDefault="006653CC" w:rsidP="00900E6A">
      <w:pPr>
        <w:pStyle w:val="Heading5"/>
      </w:pPr>
      <w:r w:rsidRPr="005D6D89">
        <w:t>Sensitivity</w:t>
      </w:r>
    </w:p>
    <w:p w14:paraId="2FBAE89C" w14:textId="77777777" w:rsidR="006653CC" w:rsidRPr="005D6D89" w:rsidRDefault="006653CC" w:rsidP="00600C08">
      <w:pPr>
        <w:pStyle w:val="BodyText"/>
        <w:spacing w:before="100" w:after="100"/>
      </w:pPr>
      <w:bookmarkStart w:id="414" w:name="_Hlk40298331"/>
      <w:r w:rsidRPr="005D6D89">
        <w:t xml:space="preserve">Water supplies are sensitive to climate change impacts due to the design, condition and location of infrastructure as well as changes in water availability and demand. </w:t>
      </w:r>
    </w:p>
    <w:p w14:paraId="307A7074" w14:textId="77777777" w:rsidR="006653CC" w:rsidRPr="005D6D89" w:rsidRDefault="006653CC" w:rsidP="00600C08">
      <w:pPr>
        <w:pStyle w:val="BodyText"/>
        <w:spacing w:before="100" w:after="100"/>
      </w:pPr>
      <w:r w:rsidRPr="005D6D89">
        <w:t xml:space="preserve">Rising temperatures and drought can increase water demand, both average and peak, as people use more water outdoors. This exacerbates shortages from lower rainfall and higher evapotranspiration (LGNZ, 2019; Paulik et al, 2019a; Paulik et al, 2019b; Hendy et al, 2018; Thorburn et al, 2013). A number of towns in New Zealand do not have water meters or </w:t>
      </w:r>
      <w:proofErr w:type="gramStart"/>
      <w:r w:rsidR="003803A4">
        <w:t xml:space="preserve">are </w:t>
      </w:r>
      <w:r w:rsidRPr="005D6D89">
        <w:t>only partially metered</w:t>
      </w:r>
      <w:proofErr w:type="gramEnd"/>
      <w:r w:rsidRPr="005D6D89">
        <w:t>. Managing demand in these towns is therefore more difficult (WaterNZ, 2018). Higher temperatures and drought can also lead to algal blooms, which can contaminate drinking water sources (Ministry for the Environment, Stats NZ, 2020).</w:t>
      </w:r>
      <w:r w:rsidR="00027F9F" w:rsidRPr="005D6D89">
        <w:t xml:space="preserve"> </w:t>
      </w:r>
    </w:p>
    <w:p w14:paraId="6438EC6D" w14:textId="77777777" w:rsidR="006653CC" w:rsidRPr="005D6D89" w:rsidRDefault="006653CC" w:rsidP="00600C08">
      <w:pPr>
        <w:pStyle w:val="BodyText"/>
        <w:spacing w:before="100" w:after="100"/>
      </w:pPr>
      <w:r w:rsidRPr="005D6D89">
        <w:t>Water supplies are generally more sensitive where there is a single source of water, rather than</w:t>
      </w:r>
      <w:r w:rsidR="00027F9F" w:rsidRPr="005D6D89">
        <w:t xml:space="preserve"> </w:t>
      </w:r>
      <w:r w:rsidRPr="005D6D89">
        <w:t xml:space="preserve">several sources as in Auckland, which has access to dams in the Hunua and Waitākere Ranges, the Onehunga Aquifer and the Waikato River (Watercare, </w:t>
      </w:r>
      <w:r w:rsidR="00B61730">
        <w:t>nd</w:t>
      </w:r>
      <w:r w:rsidRPr="005D6D89">
        <w:t xml:space="preserve">). </w:t>
      </w:r>
    </w:p>
    <w:p w14:paraId="76D30D14" w14:textId="77777777" w:rsidR="006653CC" w:rsidRPr="005D6D89" w:rsidRDefault="006653CC" w:rsidP="00600C08">
      <w:pPr>
        <w:pStyle w:val="BodyText"/>
        <w:spacing w:before="100" w:after="100"/>
      </w:pPr>
      <w:r w:rsidRPr="005D6D89">
        <w:t>Rural water supplies are also sensitive to climate change hazards, particularly where reticulated systems are limited or absent (Woodward, Hales and de Wet, 2001). Rural and Māori communities, as well as communities with inadequate resources to import water or pay</w:t>
      </w:r>
      <w:r w:rsidR="00900E6A" w:rsidRPr="005D6D89">
        <w:t> </w:t>
      </w:r>
      <w:r w:rsidRPr="005D6D89">
        <w:t xml:space="preserve">for private treatment facilities, will be more sensitive to increasing drought (Woodward, Hales and de Wet, 2001). </w:t>
      </w:r>
    </w:p>
    <w:p w14:paraId="19A99F4B" w14:textId="77777777" w:rsidR="006653CC" w:rsidRPr="005D6D89" w:rsidRDefault="006653CC" w:rsidP="00600C08">
      <w:pPr>
        <w:pStyle w:val="BodyText"/>
        <w:spacing w:before="100" w:after="100"/>
        <w:rPr>
          <w:iCs/>
        </w:rPr>
      </w:pPr>
      <w:r w:rsidRPr="005D6D89">
        <w:t>The potential for water insecurity to affect communities with social inequities or</w:t>
      </w:r>
      <w:r w:rsidR="00900E6A" w:rsidRPr="005D6D89">
        <w:t> </w:t>
      </w:r>
      <w:r w:rsidRPr="005D6D89">
        <w:t xml:space="preserve">health issues </w:t>
      </w:r>
      <w:r w:rsidR="007B0FC9">
        <w:t xml:space="preserve">adversely </w:t>
      </w:r>
      <w:proofErr w:type="gramStart"/>
      <w:r w:rsidRPr="005D6D89">
        <w:t>is not well understood</w:t>
      </w:r>
      <w:proofErr w:type="gramEnd"/>
      <w:r w:rsidRPr="005D6D89">
        <w:t xml:space="preserve"> in New Zealand. The inquiry into the Havelock North</w:t>
      </w:r>
      <w:r w:rsidR="00900E6A" w:rsidRPr="005D6D89">
        <w:t> </w:t>
      </w:r>
      <w:r w:rsidRPr="005D6D89">
        <w:t>campylobacteriosis outbreak in 2016 illustrates this point, noting that</w:t>
      </w:r>
      <w:r w:rsidR="00C337A7">
        <w:t>:</w:t>
      </w:r>
      <w:r w:rsidRPr="005D6D89">
        <w:t xml:space="preserve"> “unlike in areas</w:t>
      </w:r>
      <w:r w:rsidR="00900E6A" w:rsidRPr="005D6D89">
        <w:t> </w:t>
      </w:r>
      <w:r w:rsidRPr="005D6D89">
        <w:t>where</w:t>
      </w:r>
      <w:r w:rsidR="00900E6A" w:rsidRPr="005D6D89">
        <w:t> </w:t>
      </w:r>
      <w:r w:rsidRPr="005D6D89">
        <w:t>consumers can make their own assessment of risk, drinking water risks are effectively imposed</w:t>
      </w:r>
      <w:r w:rsidR="00900E6A" w:rsidRPr="005D6D89">
        <w:t> </w:t>
      </w:r>
      <w:r w:rsidRPr="005D6D89">
        <w:t>on all consumers by suppliers. The consumer base will include many people who are</w:t>
      </w:r>
      <w:r w:rsidR="00900E6A" w:rsidRPr="005D6D89">
        <w:t> </w:t>
      </w:r>
      <w:r w:rsidRPr="005D6D89">
        <w:t>vulnerable for various reasons, including old age, youth and those who are</w:t>
      </w:r>
      <w:r w:rsidR="00900E6A" w:rsidRPr="005D6D89">
        <w:t> </w:t>
      </w:r>
      <w:r w:rsidRPr="005D6D89">
        <w:t xml:space="preserve">immunocompromised or suffering from ill health” </w:t>
      </w:r>
      <w:r w:rsidRPr="005D6D89">
        <w:rPr>
          <w:iCs/>
        </w:rPr>
        <w:t xml:space="preserve">(DIA, 2017). </w:t>
      </w:r>
      <w:bookmarkEnd w:id="414"/>
    </w:p>
    <w:p w14:paraId="1B50D0CC" w14:textId="77777777" w:rsidR="006653CC" w:rsidRPr="005D6D89" w:rsidRDefault="006653CC" w:rsidP="00900E6A">
      <w:pPr>
        <w:pStyle w:val="Heading5"/>
      </w:pPr>
      <w:r w:rsidRPr="005D6D89">
        <w:t>Adaptive capacity</w:t>
      </w:r>
    </w:p>
    <w:p w14:paraId="0666DFB4" w14:textId="77777777" w:rsidR="006653CC" w:rsidRPr="005D6D89" w:rsidRDefault="006653CC" w:rsidP="00600C08">
      <w:pPr>
        <w:pStyle w:val="BodyText"/>
        <w:spacing w:after="100"/>
      </w:pPr>
      <w:bookmarkStart w:id="415" w:name="_Hlk40298347"/>
      <w:r w:rsidRPr="005D6D89">
        <w:t xml:space="preserve">In terms of water availability, the adaptive capacity of systems will largely depend on the ability to maintain or enhance supplies and storage, and to manage and reduce per capita demand. Overseas experience has shown that demand </w:t>
      </w:r>
      <w:proofErr w:type="gramStart"/>
      <w:r w:rsidRPr="005D6D89">
        <w:t>can be reduced</w:t>
      </w:r>
      <w:proofErr w:type="gramEnd"/>
      <w:r w:rsidRPr="005D6D89">
        <w:t xml:space="preserve"> through interventions such as water efficiency, metering, pricing and behaviour change (Tortajada and Joshi, 2013).</w:t>
      </w:r>
    </w:p>
    <w:p w14:paraId="33A0BBB5" w14:textId="77777777" w:rsidR="006653CC" w:rsidRPr="005D6D89" w:rsidRDefault="006653CC" w:rsidP="00600C08">
      <w:pPr>
        <w:pStyle w:val="BodyText"/>
        <w:spacing w:after="100"/>
      </w:pPr>
      <w:r w:rsidRPr="005D6D89">
        <w:t>In New Zealand, water is mostly supplied to cities and towns by local authorities (city or district councils), or in some cases, council</w:t>
      </w:r>
      <w:r w:rsidR="00C337A7">
        <w:t>-</w:t>
      </w:r>
      <w:r w:rsidRPr="005D6D89">
        <w:t>controlled organisations. As management of supply is fragmented, improvements in adaptive capacity may continue to be ad hoc around New Zealand. However, central government is undertaking a Three Waters Review (</w:t>
      </w:r>
      <w:bookmarkStart w:id="416" w:name="_Hlk37428434"/>
      <w:r w:rsidRPr="005D6D89">
        <w:t>DIA, 2018</w:t>
      </w:r>
      <w:bookmarkEnd w:id="416"/>
      <w:r w:rsidRPr="005D6D89">
        <w:t xml:space="preserve">) and establishing a new regulatory body (to be called </w:t>
      </w:r>
      <w:r w:rsidRPr="005D6D89">
        <w:rPr>
          <w:iCs/>
        </w:rPr>
        <w:t>Taumata Arowai), to</w:t>
      </w:r>
      <w:r w:rsidRPr="005D6D89">
        <w:t xml:space="preserve"> administer and enforce a new drinking</w:t>
      </w:r>
      <w:r w:rsidR="00C337A7">
        <w:t>-</w:t>
      </w:r>
      <w:r w:rsidRPr="005D6D89">
        <w:t xml:space="preserve">water regulatory system, including managing the risks to sources of drinking water. This may bring much-needed oversight and consistency in adapting to climate risks. </w:t>
      </w:r>
    </w:p>
    <w:p w14:paraId="384DD4E3" w14:textId="77777777" w:rsidR="006653CC" w:rsidRPr="005D6D89" w:rsidRDefault="006653CC" w:rsidP="00600C08">
      <w:pPr>
        <w:pStyle w:val="BodyText"/>
        <w:spacing w:after="100"/>
      </w:pPr>
      <w:r w:rsidRPr="005D6D89">
        <w:t xml:space="preserve">Adaptive capacity </w:t>
      </w:r>
      <w:proofErr w:type="gramStart"/>
      <w:r w:rsidRPr="005D6D89">
        <w:t>is considered</w:t>
      </w:r>
      <w:proofErr w:type="gramEnd"/>
      <w:r w:rsidRPr="005D6D89">
        <w:t xml:space="preserve"> lower in smaller communities where infrastructure is already under pressure due to low investment. Climate change will exacerbate these pressures. The cost to upgrade water and wastewater infrastructure to meet current drinking</w:t>
      </w:r>
      <w:r w:rsidR="00C337A7">
        <w:t>-</w:t>
      </w:r>
      <w:r w:rsidRPr="005D6D89">
        <w:t xml:space="preserve">water standards </w:t>
      </w:r>
      <w:proofErr w:type="gramStart"/>
      <w:r w:rsidRPr="005D6D89">
        <w:t>is estimated</w:t>
      </w:r>
      <w:proofErr w:type="gramEnd"/>
      <w:r w:rsidRPr="005D6D89">
        <w:t xml:space="preserve"> at $8 billion (BECA, 2019; GHD et al, 2019).</w:t>
      </w:r>
    </w:p>
    <w:bookmarkEnd w:id="415"/>
    <w:p w14:paraId="1CECE2E8" w14:textId="77777777" w:rsidR="006653CC" w:rsidRPr="005D6D89" w:rsidRDefault="006653CC" w:rsidP="00900E6A">
      <w:pPr>
        <w:pStyle w:val="Heading5"/>
      </w:pPr>
      <w:r w:rsidRPr="005D6D89">
        <w:t>Consequence</w:t>
      </w:r>
    </w:p>
    <w:p w14:paraId="46C99AF9" w14:textId="77777777" w:rsidR="006653CC" w:rsidRPr="005D6D89" w:rsidRDefault="006653CC" w:rsidP="00900E6A">
      <w:pPr>
        <w:pStyle w:val="BodyText"/>
      </w:pPr>
      <w:bookmarkStart w:id="417" w:name="_Hlk40298376"/>
      <w:r w:rsidRPr="005D6D89">
        <w:t xml:space="preserve">Given the importance of water supplies for communities and business, consequences from impaired supply can be significant, and could arise from a range of climate hazards. </w:t>
      </w:r>
    </w:p>
    <w:p w14:paraId="3F4B213E" w14:textId="77777777" w:rsidR="006653CC" w:rsidRPr="005D6D89" w:rsidRDefault="006653CC" w:rsidP="00900E6A">
      <w:pPr>
        <w:pStyle w:val="BodyText"/>
      </w:pPr>
      <w:r w:rsidRPr="005D6D89">
        <w:t xml:space="preserve">The </w:t>
      </w:r>
      <w:r w:rsidR="001200EA">
        <w:t>‘</w:t>
      </w:r>
      <w:r w:rsidRPr="005D6D89">
        <w:t>Tasman Tempest</w:t>
      </w:r>
      <w:r w:rsidR="001200EA">
        <w:t>’</w:t>
      </w:r>
      <w:r w:rsidRPr="005D6D89">
        <w:t xml:space="preserve"> (see above) affected water supply in Auckland and thousands of people across the city. It caused very poor</w:t>
      </w:r>
      <w:r w:rsidR="00C337A7">
        <w:t>,</w:t>
      </w:r>
      <w:r w:rsidRPr="005D6D89">
        <w:t xml:space="preserve"> raw water quality, compromised treatment facilities, and reduced throughput. Watercare called for voluntary water savings of 20</w:t>
      </w:r>
      <w:r w:rsidR="00C337A7">
        <w:t xml:space="preserve"> litres per day</w:t>
      </w:r>
      <w:r w:rsidRPr="005D6D89">
        <w:t xml:space="preserve"> for residential customers</w:t>
      </w:r>
      <w:r w:rsidR="00C337A7">
        <w:t>,</w:t>
      </w:r>
      <w:r w:rsidRPr="005D6D89">
        <w:t xml:space="preserve"> and ran an engagement campaign with all large commercial users to inform them of issues and encourage voluntary reductions and contingency planning. Through these actions, severe commercial losses and impacts on public health </w:t>
      </w:r>
      <w:proofErr w:type="gramStart"/>
      <w:r w:rsidRPr="005D6D89">
        <w:t>were avoided</w:t>
      </w:r>
      <w:proofErr w:type="gramEnd"/>
      <w:r w:rsidRPr="005D6D89">
        <w:t xml:space="preserve">. </w:t>
      </w:r>
    </w:p>
    <w:p w14:paraId="404718BF" w14:textId="77777777" w:rsidR="006653CC" w:rsidRPr="005D6D89" w:rsidRDefault="006653CC" w:rsidP="00900E6A">
      <w:pPr>
        <w:pStyle w:val="BodyText"/>
      </w:pPr>
      <w:r w:rsidRPr="005D6D89">
        <w:t>Recent droughts have caused water shortages through</w:t>
      </w:r>
      <w:r w:rsidR="00C337A7">
        <w:t>out</w:t>
      </w:r>
      <w:r w:rsidRPr="005D6D89">
        <w:t xml:space="preserve"> Waikato, Auckland and Northland, resulting in numerous water reduction advisories and waiting lists for water tank refills of up</w:t>
      </w:r>
      <w:r w:rsidR="00900E6A" w:rsidRPr="005D6D89">
        <w:t> </w:t>
      </w:r>
      <w:r w:rsidRPr="005D6D89">
        <w:t>to</w:t>
      </w:r>
      <w:r w:rsidR="00900E6A" w:rsidRPr="005D6D89">
        <w:t> </w:t>
      </w:r>
      <w:r w:rsidRPr="005D6D89">
        <w:t>five weeks (RNZ, 2020). Water reductions are generally staged, with initial restrictions on</w:t>
      </w:r>
      <w:r w:rsidR="00900E6A" w:rsidRPr="005D6D89">
        <w:t> </w:t>
      </w:r>
      <w:r w:rsidRPr="005D6D89">
        <w:t>public outdoor water use (</w:t>
      </w:r>
      <w:r w:rsidR="00C337A7">
        <w:t xml:space="preserve">eg, </w:t>
      </w:r>
      <w:r w:rsidRPr="005D6D89">
        <w:t>public parks, sports</w:t>
      </w:r>
      <w:r w:rsidR="00C337A7">
        <w:t xml:space="preserve"> </w:t>
      </w:r>
      <w:r w:rsidRPr="005D6D89">
        <w:t>fields), followed by private outdoor use (</w:t>
      </w:r>
      <w:r w:rsidR="00C337A7">
        <w:t xml:space="preserve">eg, </w:t>
      </w:r>
      <w:r w:rsidRPr="005D6D89">
        <w:t xml:space="preserve">gardens) and finally more restrictions on residential and commercial use. The increasing restrictions will have corresponding levels of consequence for community health and wellbeing, and for business operations. </w:t>
      </w:r>
    </w:p>
    <w:p w14:paraId="028D2D55" w14:textId="77777777" w:rsidR="006653CC" w:rsidRPr="005D6D89" w:rsidRDefault="006653CC" w:rsidP="00900E6A">
      <w:pPr>
        <w:pStyle w:val="BodyText"/>
      </w:pPr>
      <w:r w:rsidRPr="005D6D89">
        <w:t>Droughts can also lead to more favourable conditions for algal blooms (influenced by high water temperatures, long residence times and high nutrient concentrations) and poorer water quality particularly in non-reticulated systems (van Vliet and Zwolsman, 2008), as well as in reticulated systems where treatment may be inadequate. This can in turn lead to significant health impacts. While not directly climate change related, the Havelock North event illustrates the potentially severe social consequences of water contamination (DIA, 2017).</w:t>
      </w:r>
    </w:p>
    <w:bookmarkEnd w:id="417"/>
    <w:p w14:paraId="7D10D677" w14:textId="77777777" w:rsidR="006653CC" w:rsidRPr="005D6D89" w:rsidRDefault="006653CC" w:rsidP="00900E6A">
      <w:pPr>
        <w:pStyle w:val="Heading5"/>
      </w:pPr>
      <w:r w:rsidRPr="005D6D89">
        <w:t xml:space="preserve">Interacting risks </w:t>
      </w:r>
    </w:p>
    <w:p w14:paraId="0A00831B" w14:textId="77777777" w:rsidR="006653CC" w:rsidRPr="005D6D89" w:rsidRDefault="006653CC" w:rsidP="00900E6A">
      <w:pPr>
        <w:pStyle w:val="BodyText"/>
      </w:pPr>
      <w:bookmarkStart w:id="418" w:name="_Hlk40298391"/>
      <w:r w:rsidRPr="005D6D89">
        <w:t>Changes in water availability from drought and lower rainfall will have consequences for all domains. They may contribute to a rise in diseases due to water-borne pathogens or a lack of</w:t>
      </w:r>
      <w:r w:rsidR="00900E6A" w:rsidRPr="005D6D89">
        <w:t> </w:t>
      </w:r>
      <w:r w:rsidRPr="005D6D89">
        <w:t>hygiene (H3) (Hendy et al, 2018). More frequent watering bans and higher prices</w:t>
      </w:r>
      <w:r w:rsidR="00C337A7">
        <w:t xml:space="preserve"> for water</w:t>
      </w:r>
      <w:r w:rsidRPr="005D6D89">
        <w:t xml:space="preserve"> (or the imposition of water prices) and wide-scale</w:t>
      </w:r>
      <w:r w:rsidR="00C337A7">
        <w:t xml:space="preserve"> shortages in</w:t>
      </w:r>
      <w:r w:rsidRPr="005D6D89">
        <w:t xml:space="preserve"> drinking water could exacerbate inequities and create new ones (H2). </w:t>
      </w:r>
    </w:p>
    <w:p w14:paraId="50B24E31" w14:textId="77777777" w:rsidR="006653CC" w:rsidRPr="005D6D89" w:rsidRDefault="006653CC" w:rsidP="00900E6A">
      <w:pPr>
        <w:pStyle w:val="BodyText"/>
      </w:pPr>
      <w:r w:rsidRPr="005D6D89">
        <w:t>Increased human use may degrade rivers, lakes and streams (and associated ecosystems) (N3,</w:t>
      </w:r>
      <w:r w:rsidR="00900E6A" w:rsidRPr="005D6D89">
        <w:t> </w:t>
      </w:r>
      <w:r w:rsidRPr="005D6D89">
        <w:t xml:space="preserve">N6). However, mitigating impacts on rivers, lakes and streams could also help to reduce the risks to potable water in some areas (N3, N6). The management of water resources </w:t>
      </w:r>
      <w:proofErr w:type="gramStart"/>
      <w:r w:rsidRPr="005D6D89">
        <w:t>could be further challenged</w:t>
      </w:r>
      <w:proofErr w:type="gramEnd"/>
      <w:r w:rsidRPr="005D6D89">
        <w:t xml:space="preserve"> by uncoordinated and inconsistent governance between and within levels and agencies of government and private property owners, and the possibility of maladaptive actions (G1, G2). Lower capacity of amenity spaces will compromise human health and wellbeing.</w:t>
      </w:r>
    </w:p>
    <w:bookmarkEnd w:id="418"/>
    <w:p w14:paraId="636E8E28" w14:textId="77777777" w:rsidR="006653CC" w:rsidRPr="005D6D89" w:rsidRDefault="006653CC" w:rsidP="00900E6A">
      <w:pPr>
        <w:pStyle w:val="Heading5"/>
      </w:pPr>
      <w:r w:rsidRPr="005D6D89">
        <w:t xml:space="preserve">Confidence: High agreement, medium evidence </w:t>
      </w:r>
    </w:p>
    <w:p w14:paraId="23508500" w14:textId="77777777" w:rsidR="006653CC" w:rsidRPr="005D6D89" w:rsidRDefault="006653CC" w:rsidP="00900E6A">
      <w:pPr>
        <w:pStyle w:val="BodyText"/>
      </w:pPr>
      <w:bookmarkStart w:id="419" w:name="_Hlk40298399"/>
      <w:r w:rsidRPr="005D6D89">
        <w:t xml:space="preserve">Overall, there is high agreement that climate change will </w:t>
      </w:r>
      <w:proofErr w:type="gramStart"/>
      <w:r w:rsidRPr="005D6D89">
        <w:t>impact</w:t>
      </w:r>
      <w:proofErr w:type="gramEnd"/>
      <w:r w:rsidRPr="005D6D89">
        <w:t xml:space="preserve"> urban and rural water security. There is strong evidence on hazard exposure to water systems. In general, there is strong evidence on the vulnerabilities to water security from climate change, but further research is required to understand community vulnerability to changes in water quality.</w:t>
      </w:r>
    </w:p>
    <w:bookmarkEnd w:id="419"/>
    <w:p w14:paraId="630B1D20" w14:textId="77777777" w:rsidR="006653CC" w:rsidRPr="005D6D89" w:rsidRDefault="006653CC" w:rsidP="00900E6A">
      <w:pPr>
        <w:pStyle w:val="Heading5"/>
      </w:pPr>
      <w:r w:rsidRPr="005D6D89">
        <w:t xml:space="preserve">Adaptation </w:t>
      </w:r>
    </w:p>
    <w:p w14:paraId="3C694372" w14:textId="77777777" w:rsidR="00181496" w:rsidRDefault="006653CC" w:rsidP="009E6AA4">
      <w:pPr>
        <w:pStyle w:val="BodyText"/>
      </w:pPr>
      <w:r w:rsidRPr="005D6D89">
        <w:t xml:space="preserve">Adaptation is variable among the </w:t>
      </w:r>
      <w:r w:rsidRPr="009E6AA4">
        <w:t>various</w:t>
      </w:r>
      <w:r w:rsidRPr="005D6D89">
        <w:t xml:space="preserve"> councils and water supply authorities. Watercare has</w:t>
      </w:r>
      <w:r w:rsidR="00900E6A" w:rsidRPr="005D6D89">
        <w:t> </w:t>
      </w:r>
      <w:r w:rsidRPr="005D6D89">
        <w:t>a climate change strategy</w:t>
      </w:r>
      <w:r w:rsidR="00C337A7">
        <w:t>,</w:t>
      </w:r>
      <w:r w:rsidRPr="005D6D89">
        <w:t xml:space="preserve"> which includes a focus on climate resilience for </w:t>
      </w:r>
      <w:r w:rsidR="00C337A7">
        <w:t>its</w:t>
      </w:r>
      <w:r w:rsidR="00C337A7" w:rsidRPr="005D6D89">
        <w:t xml:space="preserve"> </w:t>
      </w:r>
      <w:r w:rsidRPr="005D6D89">
        <w:t>network. All</w:t>
      </w:r>
      <w:r w:rsidR="00900E6A" w:rsidRPr="005D6D89">
        <w:t> </w:t>
      </w:r>
      <w:r w:rsidRPr="005D6D89">
        <w:t xml:space="preserve">authorities actively monitor water availability, demand and quality, and most have </w:t>
      </w:r>
      <w:r w:rsidR="00C337A7">
        <w:t xml:space="preserve">prepared </w:t>
      </w:r>
      <w:r w:rsidRPr="005D6D89">
        <w:t>demand</w:t>
      </w:r>
      <w:r w:rsidR="00900E6A" w:rsidRPr="005D6D89">
        <w:t> </w:t>
      </w:r>
      <w:r w:rsidRPr="005D6D89">
        <w:t>management plans and drought management plans.</w:t>
      </w:r>
    </w:p>
    <w:p w14:paraId="2D4D38B1" w14:textId="77777777" w:rsidR="009E6AA4" w:rsidRPr="005D6D89" w:rsidRDefault="009E6AA4" w:rsidP="009E6AA4">
      <w:pPr>
        <w:pStyle w:val="Tableheading"/>
      </w:pPr>
      <w:bookmarkStart w:id="420" w:name="_Toc43312816"/>
      <w:r>
        <w:t>Table 22:</w:t>
      </w:r>
      <w:r>
        <w:tab/>
      </w:r>
      <w:r w:rsidRPr="009E6AA4">
        <w:t>B1 Risk to potable water supplies: Urgency profile</w:t>
      </w:r>
      <w:bookmarkEnd w:id="420"/>
    </w:p>
    <w:tbl>
      <w:tblPr>
        <w:tblStyle w:val="TableGrid"/>
        <w:tblW w:w="8613" w:type="dxa"/>
        <w:tblBorders>
          <w:top w:val="single" w:sz="4" w:space="0" w:color="0F7B7D"/>
          <w:left w:val="none" w:sz="0" w:space="0" w:color="auto"/>
          <w:bottom w:val="single" w:sz="4" w:space="0" w:color="0F7B7D"/>
          <w:right w:val="none" w:sz="0" w:space="0" w:color="auto"/>
          <w:insideH w:val="single" w:sz="4" w:space="0" w:color="0F7B7D"/>
          <w:insideV w:val="single" w:sz="4" w:space="0" w:color="0F7B7D"/>
        </w:tblBorders>
        <w:tblLayout w:type="fixed"/>
        <w:tblLook w:val="04A0" w:firstRow="1" w:lastRow="0" w:firstColumn="1" w:lastColumn="0" w:noHBand="0" w:noVBand="1"/>
      </w:tblPr>
      <w:tblGrid>
        <w:gridCol w:w="2093"/>
        <w:gridCol w:w="950"/>
        <w:gridCol w:w="1038"/>
        <w:gridCol w:w="1130"/>
        <w:gridCol w:w="946"/>
        <w:gridCol w:w="1038"/>
        <w:gridCol w:w="1418"/>
      </w:tblGrid>
      <w:tr w:rsidR="00DF551C" w:rsidRPr="005D6D89" w14:paraId="2C14D4B3" w14:textId="77777777" w:rsidTr="00095C79">
        <w:tc>
          <w:tcPr>
            <w:tcW w:w="8613" w:type="dxa"/>
            <w:gridSpan w:val="7"/>
            <w:shd w:val="clear" w:color="auto" w:fill="0F7B7D"/>
          </w:tcPr>
          <w:p w14:paraId="0684B4B2" w14:textId="77777777" w:rsidR="00AD4A03" w:rsidRPr="005D6D89" w:rsidRDefault="00AD4A03" w:rsidP="00AD4A03">
            <w:pPr>
              <w:pStyle w:val="TableTextBold0"/>
              <w:rPr>
                <w:color w:val="FFFFFF" w:themeColor="background1"/>
              </w:rPr>
            </w:pPr>
            <w:bookmarkStart w:id="421" w:name="_Hlk43311703"/>
            <w:r w:rsidRPr="005D6D89">
              <w:rPr>
                <w:color w:val="FFFFFF" w:themeColor="background1"/>
              </w:rPr>
              <w:t>B1 Risk to potable water supplies: Urgency profile</w:t>
            </w:r>
            <w:bookmarkEnd w:id="421"/>
          </w:p>
        </w:tc>
      </w:tr>
      <w:tr w:rsidR="001A1998" w:rsidRPr="005D6D89" w14:paraId="278CD8A3" w14:textId="77777777" w:rsidTr="00095C79">
        <w:tc>
          <w:tcPr>
            <w:tcW w:w="2093" w:type="dxa"/>
            <w:shd w:val="clear" w:color="auto" w:fill="FFFFFF" w:themeFill="background1"/>
          </w:tcPr>
          <w:p w14:paraId="3630AE2B" w14:textId="77777777" w:rsidR="00AD4A03" w:rsidRPr="0092652C" w:rsidRDefault="00AD4A03" w:rsidP="00AD4A03">
            <w:pPr>
              <w:pStyle w:val="TableTextBold0"/>
            </w:pPr>
            <w:r w:rsidRPr="0092652C">
              <w:t>Urgency category</w:t>
            </w:r>
          </w:p>
        </w:tc>
        <w:tc>
          <w:tcPr>
            <w:tcW w:w="1988" w:type="dxa"/>
            <w:gridSpan w:val="2"/>
            <w:shd w:val="clear" w:color="auto" w:fill="FFFFFF" w:themeFill="background1"/>
          </w:tcPr>
          <w:p w14:paraId="04968AFB" w14:textId="77777777" w:rsidR="00AD4A03" w:rsidRPr="005D6D89" w:rsidRDefault="00845880" w:rsidP="00AD4A03">
            <w:pPr>
              <w:pStyle w:val="TableTextBold0"/>
            </w:pPr>
            <w:r>
              <w:t>Proportion of urgency out of 100</w:t>
            </w:r>
          </w:p>
        </w:tc>
        <w:tc>
          <w:tcPr>
            <w:tcW w:w="4532" w:type="dxa"/>
            <w:gridSpan w:val="4"/>
            <w:shd w:val="clear" w:color="auto" w:fill="FFFFFF" w:themeFill="background1"/>
          </w:tcPr>
          <w:p w14:paraId="1E5E6D1E" w14:textId="77777777" w:rsidR="00AD4A03" w:rsidRPr="005D6D89" w:rsidRDefault="00AD4A03" w:rsidP="00AD4A03">
            <w:pPr>
              <w:pStyle w:val="TableTextBold0"/>
            </w:pPr>
            <w:r w:rsidRPr="005D6D89">
              <w:t>Description of actions</w:t>
            </w:r>
          </w:p>
        </w:tc>
      </w:tr>
      <w:tr w:rsidR="00AD4A03" w:rsidRPr="005D6D89" w14:paraId="414EE063" w14:textId="77777777" w:rsidTr="00095C79">
        <w:tc>
          <w:tcPr>
            <w:tcW w:w="2093" w:type="dxa"/>
            <w:shd w:val="clear" w:color="auto" w:fill="FFFFFF" w:themeFill="background1"/>
            <w:hideMark/>
          </w:tcPr>
          <w:p w14:paraId="615FBCA8" w14:textId="77777777" w:rsidR="00AD4A03" w:rsidRPr="007D0B70" w:rsidRDefault="00AD4A03" w:rsidP="00AD4A03">
            <w:pPr>
              <w:pStyle w:val="TableTextBold0"/>
              <w:rPr>
                <w:b w:val="0"/>
              </w:rPr>
            </w:pPr>
            <w:r w:rsidRPr="007D0B70">
              <w:rPr>
                <w:b w:val="0"/>
              </w:rPr>
              <w:t>More action needed</w:t>
            </w:r>
          </w:p>
        </w:tc>
        <w:tc>
          <w:tcPr>
            <w:tcW w:w="1988" w:type="dxa"/>
            <w:gridSpan w:val="2"/>
          </w:tcPr>
          <w:p w14:paraId="30D551E6" w14:textId="77777777" w:rsidR="00AD4A03" w:rsidRPr="005D6D89" w:rsidRDefault="00AD4A03" w:rsidP="00DF551C">
            <w:pPr>
              <w:pStyle w:val="TableText"/>
              <w:jc w:val="center"/>
            </w:pPr>
            <w:r w:rsidRPr="005D6D89">
              <w:t>70</w:t>
            </w:r>
          </w:p>
        </w:tc>
        <w:tc>
          <w:tcPr>
            <w:tcW w:w="4532" w:type="dxa"/>
            <w:gridSpan w:val="4"/>
          </w:tcPr>
          <w:p w14:paraId="02B3A85E" w14:textId="77777777" w:rsidR="00AD4A03" w:rsidRPr="005D6D89" w:rsidRDefault="00AD4A03" w:rsidP="001048C6">
            <w:pPr>
              <w:pStyle w:val="TableText"/>
            </w:pPr>
            <w:r w:rsidRPr="005D6D89">
              <w:t>Urgent action to best manage urban and rural water security now and in the near future, given this current and pressing risk.</w:t>
            </w:r>
          </w:p>
        </w:tc>
      </w:tr>
      <w:tr w:rsidR="00AD4A03" w:rsidRPr="005D6D89" w14:paraId="043B8A74" w14:textId="77777777" w:rsidTr="00095C79">
        <w:tc>
          <w:tcPr>
            <w:tcW w:w="2093" w:type="dxa"/>
            <w:shd w:val="clear" w:color="auto" w:fill="FFFFFF" w:themeFill="background1"/>
            <w:hideMark/>
          </w:tcPr>
          <w:p w14:paraId="0A02FF53" w14:textId="77777777" w:rsidR="00AD4A03" w:rsidRPr="007D0B70" w:rsidRDefault="00AD4A03" w:rsidP="00AD4A03">
            <w:pPr>
              <w:pStyle w:val="TableTextBold0"/>
              <w:rPr>
                <w:b w:val="0"/>
                <w:highlight w:val="yellow"/>
              </w:rPr>
            </w:pPr>
            <w:r w:rsidRPr="007D0B70">
              <w:rPr>
                <w:b w:val="0"/>
              </w:rPr>
              <w:t>Research priority</w:t>
            </w:r>
          </w:p>
        </w:tc>
        <w:tc>
          <w:tcPr>
            <w:tcW w:w="1988" w:type="dxa"/>
            <w:gridSpan w:val="2"/>
          </w:tcPr>
          <w:p w14:paraId="3009D6F7" w14:textId="77777777" w:rsidR="00AD4A03" w:rsidRPr="005D6D89" w:rsidRDefault="00AD4A03" w:rsidP="00DF551C">
            <w:pPr>
              <w:pStyle w:val="TableText"/>
              <w:jc w:val="center"/>
            </w:pPr>
            <w:r w:rsidRPr="005D6D89">
              <w:t>30</w:t>
            </w:r>
          </w:p>
        </w:tc>
        <w:tc>
          <w:tcPr>
            <w:tcW w:w="4532" w:type="dxa"/>
            <w:gridSpan w:val="4"/>
          </w:tcPr>
          <w:p w14:paraId="048883F9" w14:textId="77777777" w:rsidR="00AD4A03" w:rsidRPr="005D6D89" w:rsidRDefault="00C337A7" w:rsidP="00C337A7">
            <w:pPr>
              <w:pStyle w:val="TableText"/>
            </w:pPr>
            <w:r>
              <w:t>Urgent research to fill the c</w:t>
            </w:r>
            <w:r w:rsidR="00AD4A03" w:rsidRPr="005D6D89">
              <w:t>onsiderable knowledge gap on the impacts of drought on water supply, availability, quality and demand.</w:t>
            </w:r>
          </w:p>
        </w:tc>
      </w:tr>
      <w:tr w:rsidR="00AD4A03" w:rsidRPr="005D6D89" w14:paraId="1B7DBF83" w14:textId="77777777" w:rsidTr="00095C79">
        <w:tc>
          <w:tcPr>
            <w:tcW w:w="2093" w:type="dxa"/>
            <w:shd w:val="clear" w:color="auto" w:fill="FFFFFF" w:themeFill="background1"/>
            <w:hideMark/>
          </w:tcPr>
          <w:p w14:paraId="7B3B30F2" w14:textId="77777777" w:rsidR="00AD4A03" w:rsidRPr="007D0B70" w:rsidRDefault="00AD4A03" w:rsidP="00AD4A03">
            <w:pPr>
              <w:pStyle w:val="TableTextBold0"/>
              <w:rPr>
                <w:b w:val="0"/>
              </w:rPr>
            </w:pPr>
            <w:r w:rsidRPr="007D0B70">
              <w:rPr>
                <w:b w:val="0"/>
              </w:rPr>
              <w:t>Sustain current action</w:t>
            </w:r>
          </w:p>
        </w:tc>
        <w:tc>
          <w:tcPr>
            <w:tcW w:w="1988" w:type="dxa"/>
            <w:gridSpan w:val="2"/>
          </w:tcPr>
          <w:p w14:paraId="28D1A595" w14:textId="77777777" w:rsidR="00AD4A03" w:rsidRPr="005D6D89" w:rsidRDefault="00AD4A03" w:rsidP="00DF551C">
            <w:pPr>
              <w:pStyle w:val="TableText"/>
              <w:jc w:val="center"/>
            </w:pPr>
          </w:p>
        </w:tc>
        <w:tc>
          <w:tcPr>
            <w:tcW w:w="4532" w:type="dxa"/>
            <w:gridSpan w:val="4"/>
          </w:tcPr>
          <w:p w14:paraId="0DCA0DBD" w14:textId="77777777" w:rsidR="00AD4A03" w:rsidRPr="005D6D89" w:rsidRDefault="00AD4A03" w:rsidP="001048C6">
            <w:pPr>
              <w:pStyle w:val="TableText"/>
            </w:pPr>
          </w:p>
        </w:tc>
      </w:tr>
      <w:tr w:rsidR="00AD4A03" w:rsidRPr="005D6D89" w14:paraId="08E8A41F" w14:textId="77777777" w:rsidTr="00095C79">
        <w:tc>
          <w:tcPr>
            <w:tcW w:w="2093" w:type="dxa"/>
            <w:tcBorders>
              <w:bottom w:val="single" w:sz="8" w:space="0" w:color="0F7B7D"/>
            </w:tcBorders>
            <w:shd w:val="clear" w:color="auto" w:fill="FFFFFF" w:themeFill="background1"/>
            <w:hideMark/>
          </w:tcPr>
          <w:p w14:paraId="4228D2BE" w14:textId="77777777" w:rsidR="00AD4A03" w:rsidRPr="007D0B70" w:rsidRDefault="00AD4A03" w:rsidP="00AD4A03">
            <w:pPr>
              <w:pStyle w:val="TableTextBold0"/>
              <w:rPr>
                <w:b w:val="0"/>
              </w:rPr>
            </w:pPr>
            <w:r w:rsidRPr="007D0B70">
              <w:rPr>
                <w:b w:val="0"/>
              </w:rPr>
              <w:t xml:space="preserve">Watching brief </w:t>
            </w:r>
          </w:p>
        </w:tc>
        <w:tc>
          <w:tcPr>
            <w:tcW w:w="1988" w:type="dxa"/>
            <w:gridSpan w:val="2"/>
            <w:tcBorders>
              <w:bottom w:val="single" w:sz="8" w:space="0" w:color="0F7B7D"/>
            </w:tcBorders>
          </w:tcPr>
          <w:p w14:paraId="332987CF" w14:textId="77777777" w:rsidR="00AD4A03" w:rsidRPr="005D6D89" w:rsidRDefault="00AD4A03" w:rsidP="00DF551C">
            <w:pPr>
              <w:pStyle w:val="TableText"/>
              <w:jc w:val="center"/>
            </w:pPr>
          </w:p>
        </w:tc>
        <w:tc>
          <w:tcPr>
            <w:tcW w:w="4532" w:type="dxa"/>
            <w:gridSpan w:val="4"/>
            <w:tcBorders>
              <w:bottom w:val="single" w:sz="8" w:space="0" w:color="0F7B7D"/>
            </w:tcBorders>
          </w:tcPr>
          <w:p w14:paraId="5B4BE04C" w14:textId="77777777" w:rsidR="00AD4A03" w:rsidRPr="005D6D89" w:rsidRDefault="00AD4A03" w:rsidP="001048C6">
            <w:pPr>
              <w:pStyle w:val="TableText"/>
            </w:pPr>
          </w:p>
        </w:tc>
      </w:tr>
      <w:tr w:rsidR="00AD4A03" w:rsidRPr="005D6D89" w14:paraId="530D6F24" w14:textId="77777777" w:rsidTr="00095C79">
        <w:tc>
          <w:tcPr>
            <w:tcW w:w="2093" w:type="dxa"/>
            <w:tcBorders>
              <w:top w:val="single" w:sz="8" w:space="0" w:color="0F7B7D"/>
            </w:tcBorders>
            <w:shd w:val="clear" w:color="auto" w:fill="0F7B7D"/>
          </w:tcPr>
          <w:p w14:paraId="5FECEAF0" w14:textId="77777777" w:rsidR="00AD4A03" w:rsidRPr="005D6D89" w:rsidRDefault="00AD4A03" w:rsidP="00AD4A03">
            <w:pPr>
              <w:pStyle w:val="TableTextBold0"/>
              <w:rPr>
                <w:rFonts w:cstheme="minorHAnsi"/>
                <w:color w:val="FFFFFF" w:themeColor="background1"/>
              </w:rPr>
            </w:pPr>
            <w:r w:rsidRPr="005D6D89">
              <w:rPr>
                <w:rFonts w:cstheme="minorHAnsi"/>
                <w:color w:val="FFFFFF" w:themeColor="background1"/>
              </w:rPr>
              <w:t xml:space="preserve">Adaptation urgency </w:t>
            </w:r>
          </w:p>
        </w:tc>
        <w:tc>
          <w:tcPr>
            <w:tcW w:w="1988" w:type="dxa"/>
            <w:gridSpan w:val="2"/>
            <w:tcBorders>
              <w:top w:val="single" w:sz="8" w:space="0" w:color="0F7B7D"/>
            </w:tcBorders>
            <w:shd w:val="clear" w:color="auto" w:fill="auto"/>
          </w:tcPr>
          <w:p w14:paraId="1EFDE370" w14:textId="77777777" w:rsidR="00AD4A03" w:rsidRPr="005D6D89" w:rsidRDefault="00AD4A03" w:rsidP="00DF551C">
            <w:pPr>
              <w:pStyle w:val="TableText"/>
              <w:jc w:val="center"/>
              <w:rPr>
                <w:rFonts w:cstheme="minorHAnsi"/>
              </w:rPr>
            </w:pPr>
            <w:r w:rsidRPr="005D6D89">
              <w:rPr>
                <w:rFonts w:cstheme="minorHAnsi"/>
              </w:rPr>
              <w:t>93</w:t>
            </w:r>
          </w:p>
        </w:tc>
        <w:tc>
          <w:tcPr>
            <w:tcW w:w="1130" w:type="dxa"/>
            <w:tcBorders>
              <w:top w:val="single" w:sz="8" w:space="0" w:color="0F7B7D"/>
            </w:tcBorders>
            <w:shd w:val="clear" w:color="auto" w:fill="0F7B7D"/>
          </w:tcPr>
          <w:p w14:paraId="0D0B08E5" w14:textId="77777777" w:rsidR="00AD4A03" w:rsidRPr="005D6D89" w:rsidRDefault="00AD4A03" w:rsidP="00DF551C">
            <w:pPr>
              <w:pStyle w:val="TableTextBold0"/>
              <w:rPr>
                <w:color w:val="FFFFFF" w:themeColor="background1"/>
              </w:rPr>
            </w:pPr>
            <w:r w:rsidRPr="005D6D89">
              <w:rPr>
                <w:color w:val="FFFFFF" w:themeColor="background1"/>
              </w:rPr>
              <w:t>Confidence</w:t>
            </w:r>
            <w:r w:rsidR="00027F9F" w:rsidRPr="005D6D89">
              <w:rPr>
                <w:color w:val="FFFFFF" w:themeColor="background1"/>
              </w:rPr>
              <w:t xml:space="preserve"> </w:t>
            </w:r>
          </w:p>
        </w:tc>
        <w:tc>
          <w:tcPr>
            <w:tcW w:w="3402" w:type="dxa"/>
            <w:gridSpan w:val="3"/>
            <w:tcBorders>
              <w:top w:val="single" w:sz="8" w:space="0" w:color="0F7B7D"/>
            </w:tcBorders>
          </w:tcPr>
          <w:p w14:paraId="7B60FE6C" w14:textId="77777777" w:rsidR="00AD4A03" w:rsidRPr="005D6D89" w:rsidRDefault="00AD4A03" w:rsidP="001048C6">
            <w:pPr>
              <w:pStyle w:val="TableText"/>
              <w:rPr>
                <w:rFonts w:cstheme="minorHAnsi"/>
              </w:rPr>
            </w:pPr>
            <w:r w:rsidRPr="005D6D89">
              <w:rPr>
                <w:rFonts w:cstheme="minorHAnsi"/>
              </w:rPr>
              <w:t>High agreement, medium evidence</w:t>
            </w:r>
          </w:p>
        </w:tc>
      </w:tr>
      <w:tr w:rsidR="001A1998" w:rsidRPr="005D6D89" w14:paraId="351C65C5" w14:textId="77777777" w:rsidTr="00095C79">
        <w:tc>
          <w:tcPr>
            <w:tcW w:w="2093" w:type="dxa"/>
            <w:shd w:val="clear" w:color="auto" w:fill="0F7B7D"/>
          </w:tcPr>
          <w:p w14:paraId="456DA64C" w14:textId="77777777" w:rsidR="00AD4A03" w:rsidRPr="005D6D89" w:rsidRDefault="00AD4A03" w:rsidP="00AD4A03">
            <w:pPr>
              <w:pStyle w:val="TableTextBold0"/>
              <w:rPr>
                <w:rFonts w:cstheme="minorHAnsi"/>
                <w:color w:val="FFFFFF" w:themeColor="background1"/>
              </w:rPr>
            </w:pPr>
            <w:r w:rsidRPr="005D6D89">
              <w:rPr>
                <w:rFonts w:cstheme="minorHAnsi"/>
                <w:color w:val="FFFFFF" w:themeColor="background1"/>
              </w:rPr>
              <w:t xml:space="preserve">Consequence </w:t>
            </w:r>
          </w:p>
        </w:tc>
        <w:tc>
          <w:tcPr>
            <w:tcW w:w="950" w:type="dxa"/>
            <w:shd w:val="clear" w:color="auto" w:fill="0F7B7D"/>
          </w:tcPr>
          <w:p w14:paraId="1A9192DE" w14:textId="77777777" w:rsidR="00AD4A03" w:rsidRPr="005D6D89" w:rsidRDefault="00AD4A03" w:rsidP="00DF551C">
            <w:pPr>
              <w:pStyle w:val="TableText"/>
              <w:jc w:val="center"/>
              <w:rPr>
                <w:rFonts w:cstheme="minorHAnsi"/>
                <w:color w:val="FFFFFF" w:themeColor="background1"/>
              </w:rPr>
            </w:pPr>
            <w:r w:rsidRPr="005D6D89">
              <w:rPr>
                <w:rFonts w:cstheme="minorHAnsi"/>
                <w:color w:val="FFFFFF" w:themeColor="background1"/>
              </w:rPr>
              <w:t>Now</w:t>
            </w:r>
          </w:p>
        </w:tc>
        <w:tc>
          <w:tcPr>
            <w:tcW w:w="1038" w:type="dxa"/>
          </w:tcPr>
          <w:p w14:paraId="5DBC1FA5" w14:textId="77777777" w:rsidR="00AD4A03" w:rsidRPr="005D6D89" w:rsidRDefault="00AD4A03" w:rsidP="00DF551C">
            <w:pPr>
              <w:pStyle w:val="TableText"/>
              <w:jc w:val="center"/>
              <w:rPr>
                <w:rFonts w:cstheme="minorHAnsi"/>
              </w:rPr>
            </w:pPr>
            <w:r w:rsidRPr="005D6D89">
              <w:rPr>
                <w:rFonts w:cstheme="minorHAnsi"/>
              </w:rPr>
              <w:t>Major</w:t>
            </w:r>
          </w:p>
        </w:tc>
        <w:tc>
          <w:tcPr>
            <w:tcW w:w="1130" w:type="dxa"/>
            <w:shd w:val="clear" w:color="auto" w:fill="0F7B7D"/>
          </w:tcPr>
          <w:p w14:paraId="1516E458" w14:textId="77777777" w:rsidR="00AD4A03" w:rsidRPr="005D6D89" w:rsidRDefault="00AD4A03" w:rsidP="001048C6">
            <w:pPr>
              <w:pStyle w:val="TableText"/>
              <w:rPr>
                <w:rFonts w:cstheme="minorHAnsi"/>
                <w:color w:val="FFFFFF" w:themeColor="background1"/>
              </w:rPr>
            </w:pPr>
            <w:r w:rsidRPr="005D6D89">
              <w:rPr>
                <w:rFonts w:cstheme="minorHAnsi"/>
                <w:color w:val="FFFFFF" w:themeColor="background1"/>
              </w:rPr>
              <w:t>2050</w:t>
            </w:r>
          </w:p>
        </w:tc>
        <w:tc>
          <w:tcPr>
            <w:tcW w:w="946" w:type="dxa"/>
          </w:tcPr>
          <w:p w14:paraId="2A42D0EC" w14:textId="77777777" w:rsidR="00AD4A03" w:rsidRPr="005D6D89" w:rsidRDefault="00AD4A03" w:rsidP="001048C6">
            <w:pPr>
              <w:pStyle w:val="TableText"/>
              <w:rPr>
                <w:rFonts w:cstheme="minorHAnsi"/>
              </w:rPr>
            </w:pPr>
            <w:r w:rsidRPr="005D6D89">
              <w:rPr>
                <w:rFonts w:cstheme="minorHAnsi"/>
              </w:rPr>
              <w:t>Extreme</w:t>
            </w:r>
          </w:p>
        </w:tc>
        <w:tc>
          <w:tcPr>
            <w:tcW w:w="1038" w:type="dxa"/>
            <w:shd w:val="clear" w:color="auto" w:fill="0F7B7D"/>
          </w:tcPr>
          <w:p w14:paraId="6055B61D" w14:textId="77777777" w:rsidR="00AD4A03" w:rsidRPr="005D6D89" w:rsidRDefault="00AD4A03" w:rsidP="001048C6">
            <w:pPr>
              <w:pStyle w:val="TableText"/>
              <w:rPr>
                <w:rFonts w:cstheme="minorHAnsi"/>
                <w:color w:val="FFFFFF" w:themeColor="background1"/>
              </w:rPr>
            </w:pPr>
            <w:r w:rsidRPr="005D6D89">
              <w:rPr>
                <w:rFonts w:cstheme="minorHAnsi"/>
                <w:color w:val="FFFFFF" w:themeColor="background1"/>
              </w:rPr>
              <w:t>2100</w:t>
            </w:r>
          </w:p>
        </w:tc>
        <w:tc>
          <w:tcPr>
            <w:tcW w:w="1418" w:type="dxa"/>
          </w:tcPr>
          <w:p w14:paraId="53386235" w14:textId="77777777" w:rsidR="00AD4A03" w:rsidRPr="005D6D89" w:rsidRDefault="00AD4A03" w:rsidP="001048C6">
            <w:pPr>
              <w:pStyle w:val="TableText"/>
              <w:rPr>
                <w:rFonts w:cstheme="minorHAnsi"/>
              </w:rPr>
            </w:pPr>
            <w:r w:rsidRPr="005D6D89">
              <w:rPr>
                <w:rFonts w:cstheme="minorHAnsi"/>
              </w:rPr>
              <w:t>Extreme</w:t>
            </w:r>
          </w:p>
        </w:tc>
      </w:tr>
    </w:tbl>
    <w:p w14:paraId="1D78FA3B" w14:textId="77777777" w:rsidR="00AD4A03" w:rsidRPr="005D6D89" w:rsidRDefault="00AD4A03" w:rsidP="006A7C5F">
      <w:pPr>
        <w:pStyle w:val="Heading4"/>
        <w:spacing w:before="440"/>
      </w:pPr>
      <w:bookmarkStart w:id="422" w:name="_Toc37393686"/>
      <w:r w:rsidRPr="005D6D89">
        <w:t>B2 Risks to buildings due to extreme weather events, drought, increased fire weather</w:t>
      </w:r>
      <w:r w:rsidR="006A7C5F" w:rsidRPr="005D6D89">
        <w:t> </w:t>
      </w:r>
      <w:r w:rsidRPr="005D6D89">
        <w:t xml:space="preserve">and ongoing sea-level rise </w:t>
      </w:r>
      <w:bookmarkEnd w:id="422"/>
    </w:p>
    <w:p w14:paraId="45245DBC" w14:textId="77777777" w:rsidR="00AD4A03" w:rsidRPr="005D6D89" w:rsidRDefault="00AD4A03" w:rsidP="00E07461">
      <w:pPr>
        <w:pStyle w:val="Heading5"/>
        <w:spacing w:before="180"/>
      </w:pPr>
      <w:r w:rsidRPr="005D6D89">
        <w:t xml:space="preserve">Risk summary </w:t>
      </w:r>
      <w:bookmarkStart w:id="423" w:name="_Hlk35544575"/>
    </w:p>
    <w:p w14:paraId="1F2CC6E5" w14:textId="77777777" w:rsidR="00AD4A03" w:rsidRPr="005D6D89" w:rsidRDefault="00AD4A03" w:rsidP="00E07461">
      <w:pPr>
        <w:pStyle w:val="BodyText"/>
        <w:spacing w:before="100"/>
      </w:pPr>
      <w:bookmarkStart w:id="424" w:name="_Hlk40298426"/>
      <w:r w:rsidRPr="005D6D89">
        <w:t xml:space="preserve">Many buildings in New Zealand (both residential, non-residential and cultural heritage) are at risk from climate change, mainly from extreme weather events, drought, increased fire weather and rising sea levels. Buildings are also at risk from associated natural hazards </w:t>
      </w:r>
      <w:r w:rsidR="00C337A7">
        <w:t>like</w:t>
      </w:r>
      <w:r w:rsidRPr="005D6D89">
        <w:t xml:space="preserve"> inland and coastal flooding, landslides, groundwater rise and wildfire, all of which are projected to become more frequent and severe.</w:t>
      </w:r>
      <w:r w:rsidR="00027F9F" w:rsidRPr="005D6D89">
        <w:t xml:space="preserve"> </w:t>
      </w:r>
    </w:p>
    <w:p w14:paraId="13D7119E" w14:textId="77777777" w:rsidR="00AD4A03" w:rsidRPr="005D6D89" w:rsidRDefault="00AD4A03" w:rsidP="00E07461">
      <w:pPr>
        <w:pStyle w:val="BodyText"/>
        <w:spacing w:before="100"/>
      </w:pPr>
      <w:r w:rsidRPr="005D6D89">
        <w:t xml:space="preserve">These risks could cause temporary damage and destruction of buildings, and </w:t>
      </w:r>
      <w:r w:rsidR="00C337A7">
        <w:t xml:space="preserve">make it necessary for them to </w:t>
      </w:r>
      <w:proofErr w:type="gramStart"/>
      <w:r w:rsidR="00C337A7">
        <w:t>be relocated</w:t>
      </w:r>
      <w:proofErr w:type="gramEnd"/>
      <w:r w:rsidR="00C337A7">
        <w:t xml:space="preserve">. </w:t>
      </w:r>
      <w:r w:rsidRPr="005D6D89">
        <w:t xml:space="preserve">The failure of urban drainage systems (due to capacities being exceeded), as well as the potential overtopping and breach of stopbanks and other flood defences, could also result in significant impacts to buildings. The increased risk from flood defence </w:t>
      </w:r>
      <w:proofErr w:type="gramStart"/>
      <w:r w:rsidRPr="005D6D89">
        <w:t>is poorly understood</w:t>
      </w:r>
      <w:proofErr w:type="gramEnd"/>
      <w:r w:rsidRPr="005D6D89">
        <w:t xml:space="preserve">, but the consequences are likely to be significant. </w:t>
      </w:r>
    </w:p>
    <w:p w14:paraId="3CCB8662" w14:textId="77777777" w:rsidR="00AD4A03" w:rsidRPr="005D6D89" w:rsidRDefault="00AD4A03" w:rsidP="00E07461">
      <w:pPr>
        <w:pStyle w:val="BodyText"/>
        <w:spacing w:before="100"/>
      </w:pPr>
      <w:r w:rsidRPr="005D6D89">
        <w:t>The</w:t>
      </w:r>
      <w:r w:rsidR="00EB6E46">
        <w:t>re is limited</w:t>
      </w:r>
      <w:r w:rsidRPr="005D6D89">
        <w:t xml:space="preserve"> ability to adapt buildings in a cost-effective manner, given that buildings </w:t>
      </w:r>
      <w:proofErr w:type="gramStart"/>
      <w:r w:rsidRPr="005D6D89">
        <w:t>are generally designed</w:t>
      </w:r>
      <w:proofErr w:type="gramEnd"/>
      <w:r w:rsidRPr="005D6D89">
        <w:t xml:space="preserve"> as permanent structures, served by complex infrastructure. </w:t>
      </w:r>
      <w:proofErr w:type="gramStart"/>
      <w:r w:rsidRPr="005D6D89">
        <w:t>Buildings with</w:t>
      </w:r>
      <w:r w:rsidR="00007DA2" w:rsidRPr="005D6D89">
        <w:t> </w:t>
      </w:r>
      <w:r w:rsidRPr="005D6D89">
        <w:t>suspended timber floors are considered to have higher adaptive capacity than buildings with concrete floor slabs, as they can, in some cases, be relocated</w:t>
      </w:r>
      <w:proofErr w:type="gramEnd"/>
      <w:r w:rsidRPr="005D6D89">
        <w:t>. Similarly, new buildings can</w:t>
      </w:r>
      <w:r w:rsidR="00007DA2" w:rsidRPr="005D6D89">
        <w:t> </w:t>
      </w:r>
      <w:r w:rsidRPr="005D6D89">
        <w:t xml:space="preserve">be located away from risk areas or </w:t>
      </w:r>
      <w:proofErr w:type="gramStart"/>
      <w:r w:rsidRPr="005D6D89">
        <w:t>be designed</w:t>
      </w:r>
      <w:proofErr w:type="gramEnd"/>
      <w:r w:rsidRPr="005D6D89">
        <w:t xml:space="preserve"> to accommodate projected changes to</w:t>
      </w:r>
      <w:r w:rsidR="00007DA2" w:rsidRPr="005D6D89">
        <w:t> </w:t>
      </w:r>
      <w:r w:rsidRPr="005D6D89">
        <w:t>the</w:t>
      </w:r>
      <w:r w:rsidR="00007DA2" w:rsidRPr="005D6D89">
        <w:t> </w:t>
      </w:r>
      <w:r w:rsidRPr="005D6D89">
        <w:t xml:space="preserve">climate. </w:t>
      </w:r>
    </w:p>
    <w:bookmarkEnd w:id="423"/>
    <w:bookmarkEnd w:id="424"/>
    <w:p w14:paraId="66EF28FA" w14:textId="77777777" w:rsidR="00AD4A03" w:rsidRPr="005D6D89" w:rsidRDefault="00AD4A03" w:rsidP="00E07461">
      <w:pPr>
        <w:pStyle w:val="BodyText"/>
        <w:spacing w:before="100"/>
      </w:pPr>
      <w:r w:rsidRPr="00EB6E46">
        <w:t>For M</w:t>
      </w:r>
      <w:r w:rsidRPr="00EB6E46">
        <w:rPr>
          <w:rFonts w:cs="Arial"/>
        </w:rPr>
        <w:t>ā</w:t>
      </w:r>
      <w:r w:rsidRPr="00EB6E46">
        <w:t xml:space="preserve">ori, this risk may affect connectivity to </w:t>
      </w:r>
      <w:hyperlink w:anchor="whenua" w:history="1">
        <w:r w:rsidRPr="007D0B70">
          <w:rPr>
            <w:rStyle w:val="Hyperlink"/>
          </w:rPr>
          <w:t>whenua</w:t>
        </w:r>
      </w:hyperlink>
      <w:r w:rsidRPr="00EB6E46">
        <w:t xml:space="preserve">, the foundation of </w:t>
      </w:r>
      <w:hyperlink w:anchor="turangawaewae" w:history="1">
        <w:r w:rsidRPr="007D0B70">
          <w:rPr>
            <w:rStyle w:val="Hyperlink"/>
          </w:rPr>
          <w:t>tūrangawaewae</w:t>
        </w:r>
      </w:hyperlink>
      <w:r w:rsidRPr="00EB6E46">
        <w:t>. This</w:t>
      </w:r>
      <w:r w:rsidR="006A7C5F" w:rsidRPr="00EB6E46">
        <w:t> </w:t>
      </w:r>
      <w:r w:rsidRPr="00EB6E46">
        <w:t xml:space="preserve">includes direct impacts of climate hazards and natural hazards on Māori land, communities and cultural buildings (including marae), along with </w:t>
      </w:r>
      <w:proofErr w:type="gramStart"/>
      <w:r w:rsidRPr="00EB6E46">
        <w:t>impacts</w:t>
      </w:r>
      <w:proofErr w:type="gramEnd"/>
      <w:r w:rsidRPr="00EB6E46">
        <w:t xml:space="preserve"> from adaptation responses such </w:t>
      </w:r>
      <w:r w:rsidR="00EB6E46">
        <w:t xml:space="preserve">as </w:t>
      </w:r>
      <w:r w:rsidRPr="00EB6E46">
        <w:t>relocating buildings (King, Penny and Severne, 2010; Smith et al, 2014; Stephenson et al, 2018). This poses a risk to the cultural functioning capacity of Māori. See</w:t>
      </w:r>
      <w:r w:rsidR="00007DA2" w:rsidRPr="00EB6E46">
        <w:t> </w:t>
      </w:r>
      <w:r w:rsidR="00EB6E46">
        <w:t xml:space="preserve">risk H5 in </w:t>
      </w:r>
      <w:hyperlink w:anchor="_Other_priority_risks_1" w:history="1">
        <w:r w:rsidRPr="00EB6E46">
          <w:rPr>
            <w:rStyle w:val="Hyperlink"/>
          </w:rPr>
          <w:t xml:space="preserve">section </w:t>
        </w:r>
        <w:r w:rsidR="002C1B6E" w:rsidRPr="00EB6E46">
          <w:rPr>
            <w:rStyle w:val="Hyperlink"/>
          </w:rPr>
          <w:t>5.4.2</w:t>
        </w:r>
      </w:hyperlink>
      <w:r w:rsidR="00EB6E46">
        <w:t xml:space="preserve"> </w:t>
      </w:r>
      <w:r w:rsidRPr="00EB6E46">
        <w:t xml:space="preserve">for more </w:t>
      </w:r>
      <w:r w:rsidR="00EB6E46">
        <w:t>about</w:t>
      </w:r>
      <w:r w:rsidR="00EB6E46" w:rsidRPr="00EB6E46">
        <w:t xml:space="preserve"> </w:t>
      </w:r>
      <w:r w:rsidRPr="00EB6E46">
        <w:t>risk to cultural assets.</w:t>
      </w:r>
      <w:r w:rsidRPr="005D6D89">
        <w:t xml:space="preserve"> </w:t>
      </w:r>
    </w:p>
    <w:p w14:paraId="0003F4B0" w14:textId="77777777" w:rsidR="00AD4A03" w:rsidRPr="005D6D89" w:rsidRDefault="00AD4A03" w:rsidP="006A7C5F">
      <w:pPr>
        <w:pStyle w:val="Heading5"/>
      </w:pPr>
      <w:r w:rsidRPr="005D6D89">
        <w:t>Exposure</w:t>
      </w:r>
    </w:p>
    <w:p w14:paraId="32CEACB3" w14:textId="77777777" w:rsidR="00AD4A03" w:rsidRPr="005D6D89" w:rsidRDefault="00AD4A03" w:rsidP="006A7C5F">
      <w:pPr>
        <w:pStyle w:val="BodyText"/>
      </w:pPr>
      <w:bookmarkStart w:id="425" w:name="_Hlk40298453"/>
      <w:r w:rsidRPr="005D6D89">
        <w:t xml:space="preserve">Buildings are exposed to inland flooding, sea-level rise (and associated groundwater rise), coastal flooding, extreme weather events, wildfires and drought. These </w:t>
      </w:r>
      <w:r w:rsidR="00EB6E46">
        <w:t xml:space="preserve">events </w:t>
      </w:r>
      <w:r w:rsidRPr="005D6D89">
        <w:t xml:space="preserve">disrupt communities and temporarily or permanently damage buildings. The number of buildings exposed </w:t>
      </w:r>
      <w:proofErr w:type="gramStart"/>
      <w:r w:rsidRPr="005D6D89">
        <w:t>is projected</w:t>
      </w:r>
      <w:proofErr w:type="gramEnd"/>
      <w:r w:rsidRPr="005D6D89">
        <w:t xml:space="preserve"> to increase under RCP4.5 and RCP8.5 </w:t>
      </w:r>
      <w:r w:rsidRPr="009079BF">
        <w:t xml:space="preserve">(see </w:t>
      </w:r>
      <w:hyperlink w:anchor="box1" w:history="1">
        <w:r w:rsidRPr="009079BF">
          <w:rPr>
            <w:rStyle w:val="Hyperlink"/>
          </w:rPr>
          <w:t>Box 1</w:t>
        </w:r>
      </w:hyperlink>
      <w:r w:rsidRPr="009079BF">
        <w:t>)</w:t>
      </w:r>
      <w:r w:rsidRPr="005D6D89">
        <w:t xml:space="preserve"> with greater exposure under RCP8.5.</w:t>
      </w:r>
    </w:p>
    <w:p w14:paraId="3DC421AD" w14:textId="77777777" w:rsidR="00AD4A03" w:rsidRPr="005D6D89" w:rsidRDefault="00AD4A03" w:rsidP="006A7C5F">
      <w:pPr>
        <w:pStyle w:val="BodyText"/>
      </w:pPr>
      <w:r w:rsidRPr="005D6D89">
        <w:t>In New Zealand</w:t>
      </w:r>
      <w:r w:rsidR="00EB6E46">
        <w:t>,</w:t>
      </w:r>
      <w:r w:rsidRPr="005D6D89">
        <w:t xml:space="preserve"> many communities live on the coast where rising sea levels will exacerbate exposure of buildings to </w:t>
      </w:r>
      <w:r w:rsidRPr="009079BF">
        <w:t>coastal flooding and erosion</w:t>
      </w:r>
      <w:r w:rsidRPr="005D6D89">
        <w:t>. At present, there are over 72,000 people and 49,700 buildings exposed to coastal flooding (Paulik et al, 2019b).</w:t>
      </w:r>
      <w:r w:rsidRPr="005D6D89">
        <w:rPr>
          <w:rStyle w:val="FootnoteReference"/>
        </w:rPr>
        <w:footnoteReference w:id="8"/>
      </w:r>
      <w:r w:rsidRPr="005D6D89">
        <w:t xml:space="preserve"> For example, in</w:t>
      </w:r>
      <w:r w:rsidR="006A7C5F" w:rsidRPr="005D6D89">
        <w:t> </w:t>
      </w:r>
      <w:r w:rsidRPr="005D6D89">
        <w:t xml:space="preserve">2015, 800 homes were flooded in South Dunedin from a high tide </w:t>
      </w:r>
      <w:r w:rsidR="00EB6E46">
        <w:t>coinciding</w:t>
      </w:r>
      <w:r w:rsidRPr="005D6D89">
        <w:t xml:space="preserve"> with extreme rainfall. This gave rise to over $28 million in insurance claims (Insurance Council of New Zealand, 2017; Stephenson et al, 2018). Exposure of buildings to coastal flooding will increase this century under both RCP4.5 and RCP8.5. Under RCP8.5, at 2100, about 117,900 buildings </w:t>
      </w:r>
      <w:proofErr w:type="gramStart"/>
      <w:r w:rsidRPr="005D6D89">
        <w:t>would be exposed</w:t>
      </w:r>
      <w:proofErr w:type="gramEnd"/>
      <w:r w:rsidRPr="005D6D89">
        <w:t xml:space="preserve"> to coastal flooding (Paulik et al, 2019b). </w:t>
      </w:r>
    </w:p>
    <w:p w14:paraId="284CB890" w14:textId="77777777" w:rsidR="00AD4A03" w:rsidRPr="005D6D89" w:rsidRDefault="00AD4A03" w:rsidP="00DE61C2">
      <w:pPr>
        <w:pStyle w:val="BodyText"/>
      </w:pPr>
      <w:r w:rsidRPr="00505A1E">
        <w:t xml:space="preserve">Exposure to </w:t>
      </w:r>
      <w:r w:rsidRPr="009079BF">
        <w:t>inland floodin</w:t>
      </w:r>
      <w:r w:rsidRPr="00EB6E46">
        <w:rPr>
          <w:b/>
        </w:rPr>
        <w:t>g</w:t>
      </w:r>
      <w:r w:rsidRPr="005D6D89">
        <w:t xml:space="preserve"> is high at present, with about 675,000 people living in flood hazard</w:t>
      </w:r>
      <w:r w:rsidR="006A7C5F" w:rsidRPr="005D6D89">
        <w:t> </w:t>
      </w:r>
      <w:r w:rsidRPr="005D6D89">
        <w:t>areas and an estimated 411,500 buildings exposed (Paulik et al, 2019a).</w:t>
      </w:r>
      <w:r w:rsidRPr="005D6D89">
        <w:rPr>
          <w:rStyle w:val="FootnoteReference"/>
        </w:rPr>
        <w:footnoteReference w:id="9"/>
      </w:r>
      <w:r w:rsidRPr="005D6D89">
        <w:t xml:space="preserve"> Overtopping and breaching of stopbanks and flood defences, and failure of pumped stormwater systems</w:t>
      </w:r>
      <w:r w:rsidR="00EB6E46">
        <w:t>,</w:t>
      </w:r>
      <w:r w:rsidRPr="005D6D89">
        <w:t xml:space="preserve"> are already resulting in exposure. For example, in April 2017, Cyclone Debbie hit the Bay of Plenty coast bringing rainfall and flooding of the Rangitaiki River. The aging Rangitaiki stopbank </w:t>
      </w:r>
      <w:proofErr w:type="gramStart"/>
      <w:r w:rsidRPr="005D6D89">
        <w:t>was breached</w:t>
      </w:r>
      <w:proofErr w:type="gramEnd"/>
      <w:r w:rsidRPr="005D6D89">
        <w:t>, causing catastrophic flooding in Edgecumbe with $72 million in insurance claims from damaged and destroyed housing (Rangitaiki River Scheme Review Panel,</w:t>
      </w:r>
      <w:r w:rsidR="002436FF" w:rsidRPr="005D6D89">
        <w:t> </w:t>
      </w:r>
      <w:r w:rsidRPr="005D6D89">
        <w:t>2017; Stephenson et al, 2018). A full evacuation of Edgecumbe</w:t>
      </w:r>
      <w:r w:rsidR="001200EA">
        <w:t>’</w:t>
      </w:r>
      <w:r w:rsidRPr="005D6D89">
        <w:t xml:space="preserve">s 2000 residents </w:t>
      </w:r>
      <w:proofErr w:type="gramStart"/>
      <w:r w:rsidRPr="005D6D89">
        <w:t>was maintained</w:t>
      </w:r>
      <w:proofErr w:type="gramEnd"/>
      <w:r w:rsidRPr="005D6D89">
        <w:t xml:space="preserve"> for eight days (Stephenson et al, 2018). Communities protected by flood defences could be more exposed to </w:t>
      </w:r>
      <w:proofErr w:type="gramStart"/>
      <w:r w:rsidRPr="005D6D89">
        <w:t>increased</w:t>
      </w:r>
      <w:proofErr w:type="gramEnd"/>
      <w:r w:rsidRPr="005D6D89">
        <w:t xml:space="preserve"> flooding, as flood defence schemes have a finite design capacity and often no secondary stormwater systems. Future exposure of buildings is likely to increase under RCP4.5, with greater exposure projected under RCP8.5. </w:t>
      </w:r>
    </w:p>
    <w:p w14:paraId="22512BDB" w14:textId="77777777" w:rsidR="00AD4A03" w:rsidRPr="005D6D89" w:rsidRDefault="00AD4A03" w:rsidP="002436FF">
      <w:pPr>
        <w:pStyle w:val="BodyText"/>
      </w:pPr>
      <w:r w:rsidRPr="009079BF">
        <w:t>Extreme weather</w:t>
      </w:r>
      <w:r w:rsidRPr="00505A1E">
        <w:t xml:space="preserve"> events</w:t>
      </w:r>
      <w:r w:rsidRPr="005D6D89">
        <w:t xml:space="preserve"> (strong wind and heavy rainfall) currently affect buildings across New</w:t>
      </w:r>
      <w:r w:rsidR="002436FF" w:rsidRPr="005D6D89">
        <w:t> </w:t>
      </w:r>
      <w:r w:rsidRPr="005D6D89">
        <w:t>Zealand. The data on insurance payments shows the magnitude of loss from storms has increased over the past decade (Insurance Council of New Zealand, 2020). The future exposure of buildings and people is likely to increase under both RCP4.5 and RCP8.5 (Ministry</w:t>
      </w:r>
      <w:r w:rsidR="0034161A" w:rsidRPr="005D6D89">
        <w:t> </w:t>
      </w:r>
      <w:r w:rsidRPr="005D6D89">
        <w:t xml:space="preserve">for the Environment, 2018). </w:t>
      </w:r>
    </w:p>
    <w:p w14:paraId="1F0C253C" w14:textId="77777777" w:rsidR="00AD4A03" w:rsidRPr="005D6D89" w:rsidRDefault="00AD4A03" w:rsidP="00DE61C2">
      <w:pPr>
        <w:pStyle w:val="BodyText"/>
        <w:spacing w:after="140"/>
      </w:pPr>
      <w:r w:rsidRPr="009079BF">
        <w:t>Groundwater rise</w:t>
      </w:r>
      <w:r w:rsidRPr="005D6D89">
        <w:t xml:space="preserve"> </w:t>
      </w:r>
      <w:proofErr w:type="gramStart"/>
      <w:r w:rsidRPr="005D6D89">
        <w:t>is poorly understood</w:t>
      </w:r>
      <w:proofErr w:type="gramEnd"/>
      <w:r w:rsidRPr="005D6D89">
        <w:t xml:space="preserve"> in New Zealand. However, it </w:t>
      </w:r>
      <w:proofErr w:type="gramStart"/>
      <w:r w:rsidRPr="005D6D89">
        <w:t>is recognised</w:t>
      </w:r>
      <w:proofErr w:type="gramEnd"/>
      <w:r w:rsidRPr="005D6D89">
        <w:t xml:space="preserve"> as an emerging issue in many coastal communities. For example, the suburb of South Dunedin (about 4800 homes) </w:t>
      </w:r>
      <w:proofErr w:type="gramStart"/>
      <w:r w:rsidRPr="005D6D89">
        <w:t>is known</w:t>
      </w:r>
      <w:proofErr w:type="gramEnd"/>
      <w:r w:rsidRPr="005D6D89">
        <w:t xml:space="preserve"> to have high groundwater levels</w:t>
      </w:r>
      <w:r w:rsidR="00EB6E46">
        <w:t>,</w:t>
      </w:r>
      <w:r w:rsidRPr="005D6D89">
        <w:t xml:space="preserve"> which are tidally influenced. These contribute to surface flooding after heavy rain, especially in winter when groundwater is naturally closer to the surface (Otago Regional Council, 2016). </w:t>
      </w:r>
    </w:p>
    <w:p w14:paraId="2FFD3CE0" w14:textId="77777777" w:rsidR="00AD4A03" w:rsidRPr="005D6D89" w:rsidRDefault="00AD4A03" w:rsidP="00E76A46">
      <w:pPr>
        <w:pStyle w:val="BodyText"/>
        <w:spacing w:before="100" w:after="100"/>
      </w:pPr>
      <w:r w:rsidRPr="009079BF">
        <w:t>Erosion, including landslides</w:t>
      </w:r>
      <w:r w:rsidRPr="005D6D89">
        <w:t>, is frequent in New Zealand. Climate change may accelerate erosion, through extreme rainfall and sea-level rise, resulting in increased exposure of buildings (Rosser et al, 2017; Basher et al, 2012). Rising sea levels may also expose buildings to</w:t>
      </w:r>
      <w:r w:rsidR="00007DA2" w:rsidRPr="005D6D89">
        <w:t> </w:t>
      </w:r>
      <w:r w:rsidRPr="005D6D89">
        <w:t xml:space="preserve">soils with higher liquefaction susceptibility, due to rising groundwater in coastal plains and reclaimed areas (Ministry for the Environment, 2017c; Quilter et al, 2015). Drought may also increasingly affect expansive soils, which can dry and shrink (BRANZ, 2008). </w:t>
      </w:r>
    </w:p>
    <w:p w14:paraId="21151B31" w14:textId="77777777" w:rsidR="00AD4A03" w:rsidRPr="005D6D89" w:rsidRDefault="00AD4A03" w:rsidP="00E76A46">
      <w:pPr>
        <w:pStyle w:val="BodyText"/>
        <w:spacing w:before="100" w:after="100"/>
      </w:pPr>
      <w:r w:rsidRPr="005D6D89">
        <w:t xml:space="preserve">New Zealand has a history of </w:t>
      </w:r>
      <w:r w:rsidRPr="009079BF">
        <w:t>wildfires</w:t>
      </w:r>
      <w:r w:rsidRPr="00505A1E">
        <w:t>,</w:t>
      </w:r>
      <w:r w:rsidRPr="005D6D89">
        <w:t xml:space="preserve"> and exposure </w:t>
      </w:r>
      <w:proofErr w:type="gramStart"/>
      <w:r w:rsidRPr="005D6D89">
        <w:t>is projected</w:t>
      </w:r>
      <w:proofErr w:type="gramEnd"/>
      <w:r w:rsidRPr="005D6D89">
        <w:t xml:space="preserve"> to increase (Pearce et al, 2018). Buildings </w:t>
      </w:r>
      <w:proofErr w:type="gramStart"/>
      <w:r w:rsidRPr="005D6D89">
        <w:t>will be exposed</w:t>
      </w:r>
      <w:proofErr w:type="gramEnd"/>
      <w:r w:rsidRPr="005D6D89">
        <w:t xml:space="preserve"> to wildfire through direct impacts on structures, and the characteristics of vegetation surrounding buildings. Under RCP4.5 and RCP8.5</w:t>
      </w:r>
      <w:r w:rsidR="00EB6E46">
        <w:t>,</w:t>
      </w:r>
      <w:r w:rsidRPr="005D6D89">
        <w:t xml:space="preserve"> it is likely this exposure, particularly in rural areas, will increase throughout this century (Pearce et al, 2018).</w:t>
      </w:r>
      <w:bookmarkEnd w:id="425"/>
      <w:r w:rsidRPr="005D6D89">
        <w:t xml:space="preserve"> </w:t>
      </w:r>
    </w:p>
    <w:p w14:paraId="41C0FB05" w14:textId="77777777" w:rsidR="00AD4A03" w:rsidRPr="005D6D89" w:rsidRDefault="00AD4A03" w:rsidP="00DE61C2">
      <w:pPr>
        <w:pStyle w:val="Heading5"/>
        <w:spacing w:before="280"/>
      </w:pPr>
      <w:r w:rsidRPr="005D6D89">
        <w:t>Sensitivity</w:t>
      </w:r>
    </w:p>
    <w:p w14:paraId="236ACEF4" w14:textId="77777777" w:rsidR="00AD4A03" w:rsidRPr="005D6D89" w:rsidRDefault="00AD4A03" w:rsidP="00E76A46">
      <w:pPr>
        <w:pStyle w:val="BodyText"/>
        <w:spacing w:before="100" w:after="100"/>
      </w:pPr>
      <w:bookmarkStart w:id="426" w:name="_Hlk40298493"/>
      <w:r w:rsidRPr="005D6D89">
        <w:t>Buildings around New Zealand are currently sensitive to coastal inundation, flooding, extreme</w:t>
      </w:r>
      <w:r w:rsidR="002436FF" w:rsidRPr="005D6D89">
        <w:t> </w:t>
      </w:r>
      <w:r w:rsidRPr="005D6D89">
        <w:t xml:space="preserve">weather events, fire weather, and soil changes and movements, such as liquefaction, landslides and soil shrinkage and swelling. </w:t>
      </w:r>
      <w:proofErr w:type="gramStart"/>
      <w:r w:rsidRPr="005D6D89">
        <w:t>Sensitivity to climate and natural hazards is driven by a range of factors</w:t>
      </w:r>
      <w:r w:rsidR="00EB6E46">
        <w:t>,</w:t>
      </w:r>
      <w:r w:rsidRPr="005D6D89">
        <w:t xml:space="preserve"> including the design, age and condition of buildings</w:t>
      </w:r>
      <w:proofErr w:type="gramEnd"/>
      <w:r w:rsidRPr="005D6D89">
        <w:t>.</w:t>
      </w:r>
    </w:p>
    <w:p w14:paraId="53921BD7" w14:textId="77777777" w:rsidR="00AD4A03" w:rsidRPr="005D6D89" w:rsidRDefault="00AD4A03" w:rsidP="00E76A46">
      <w:pPr>
        <w:pStyle w:val="BodyText"/>
        <w:spacing w:before="100" w:after="100"/>
      </w:pPr>
      <w:r w:rsidRPr="005D6D89">
        <w:t xml:space="preserve">Our building stock is largely comprised of wooden and masonry houses, and houses with </w:t>
      </w:r>
      <w:proofErr w:type="gramStart"/>
      <w:r w:rsidRPr="005D6D89">
        <w:t>reinforced-concrete</w:t>
      </w:r>
      <w:proofErr w:type="gramEnd"/>
      <w:r w:rsidRPr="005D6D89">
        <w:t xml:space="preserve"> frames (Uma et al, 2008). The average age of residential dwellings is about</w:t>
      </w:r>
      <w:r w:rsidR="002436FF" w:rsidRPr="005D6D89">
        <w:t> </w:t>
      </w:r>
      <w:r w:rsidRPr="005D6D89">
        <w:t xml:space="preserve">50 years (Jaques et al, 2015). Dwelling condition </w:t>
      </w:r>
      <w:proofErr w:type="gramStart"/>
      <w:r w:rsidRPr="005D6D89">
        <w:t>is directly related</w:t>
      </w:r>
      <w:proofErr w:type="gramEnd"/>
      <w:r w:rsidRPr="005D6D89">
        <w:t xml:space="preserve"> to age and therefore informs sensitivity to damage. Older buildings (including cultural heritage buildings) are likely to be more badly damaged (Buckett et al, 2010). </w:t>
      </w:r>
    </w:p>
    <w:p w14:paraId="2742DF99" w14:textId="77777777" w:rsidR="00AD4A03" w:rsidRPr="005D6D89" w:rsidRDefault="00AD4A03" w:rsidP="00E76A46">
      <w:pPr>
        <w:pStyle w:val="BodyText"/>
        <w:spacing w:before="100" w:after="100"/>
      </w:pPr>
      <w:r w:rsidRPr="005D6D89">
        <w:t xml:space="preserve">Many buildings in New Zealand are sensitive to </w:t>
      </w:r>
      <w:r w:rsidRPr="009079BF">
        <w:t>floods</w:t>
      </w:r>
      <w:r w:rsidRPr="005D6D89">
        <w:t xml:space="preserve">, which can cause structural damage, particularly if </w:t>
      </w:r>
      <w:r w:rsidR="00505A1E">
        <w:t>the floods</w:t>
      </w:r>
      <w:r w:rsidR="00505A1E" w:rsidRPr="005D6D89">
        <w:t xml:space="preserve"> </w:t>
      </w:r>
      <w:r w:rsidRPr="005D6D89">
        <w:t>reach or exceed floor level (Reese and Ramsay, 2010). The degree of damage depends on various factors, the most important being the flood characteristics (depth,</w:t>
      </w:r>
      <w:r w:rsidR="002436FF" w:rsidRPr="005D6D89">
        <w:t> </w:t>
      </w:r>
      <w:r w:rsidRPr="005D6D89">
        <w:t>velocity, duration), and the type of building (including structure and material) (Reese</w:t>
      </w:r>
      <w:r w:rsidR="002436FF" w:rsidRPr="005D6D89">
        <w:t> </w:t>
      </w:r>
      <w:r w:rsidRPr="005D6D89">
        <w:t xml:space="preserve">and Ramsay, 2010). </w:t>
      </w:r>
    </w:p>
    <w:p w14:paraId="4B88B7EA" w14:textId="77777777" w:rsidR="00AD4A03" w:rsidRPr="005D6D89" w:rsidRDefault="00AD4A03" w:rsidP="00E76A46">
      <w:pPr>
        <w:pStyle w:val="BodyText"/>
        <w:spacing w:before="100" w:after="100"/>
      </w:pPr>
      <w:r w:rsidRPr="009079BF">
        <w:t>Rising groundwater</w:t>
      </w:r>
      <w:r w:rsidRPr="00505A1E">
        <w:t xml:space="preserve"> </w:t>
      </w:r>
      <w:r w:rsidRPr="005D6D89">
        <w:t xml:space="preserve">could also </w:t>
      </w:r>
      <w:proofErr w:type="gramStart"/>
      <w:r w:rsidRPr="005D6D89">
        <w:t>impact</w:t>
      </w:r>
      <w:proofErr w:type="gramEnd"/>
      <w:r w:rsidRPr="005D6D89">
        <w:t xml:space="preserve"> buildings, </w:t>
      </w:r>
      <w:r w:rsidR="00505A1E">
        <w:t>leading</w:t>
      </w:r>
      <w:r w:rsidRPr="005D6D89">
        <w:t xml:space="preserve"> to the risk of rising damp and impaired stormwater drainage (Tauranga City Council, 2019). Buildings in areas of high groundwater may experience prolonged exposure to floodwaters, with worse damage.</w:t>
      </w:r>
    </w:p>
    <w:p w14:paraId="570462D9" w14:textId="77777777" w:rsidR="00AD4A03" w:rsidRPr="005D6D89" w:rsidRDefault="00AD4A03" w:rsidP="00E76A46">
      <w:pPr>
        <w:pStyle w:val="BodyText"/>
        <w:spacing w:before="100" w:after="100"/>
      </w:pPr>
      <w:r w:rsidRPr="005D6D89">
        <w:t xml:space="preserve">Historically, </w:t>
      </w:r>
      <w:r w:rsidRPr="009079BF">
        <w:t>extreme weather events</w:t>
      </w:r>
      <w:r w:rsidRPr="005D6D89">
        <w:t xml:space="preserve"> have caused damage, disruption and financial cost throughout New Zealand (Cenek et al, 2019). While there is limited information in New Zealand on the sensitivity of buildings to wind and weather-related damages, a number of</w:t>
      </w:r>
      <w:r w:rsidR="00DE61C2" w:rsidRPr="005D6D89">
        <w:t> </w:t>
      </w:r>
      <w:r w:rsidRPr="005D6D89">
        <w:t>events have caused significant damage over the past decade (Cenek et al, 2019). For example,</w:t>
      </w:r>
      <w:r w:rsidR="002436FF" w:rsidRPr="005D6D89">
        <w:t> </w:t>
      </w:r>
      <w:r w:rsidRPr="005D6D89">
        <w:t>in April 2014, when ex</w:t>
      </w:r>
      <w:r w:rsidR="00505A1E">
        <w:t>-</w:t>
      </w:r>
      <w:r w:rsidRPr="005D6D89">
        <w:t xml:space="preserve">tropical cyclone </w:t>
      </w:r>
      <w:proofErr w:type="gramStart"/>
      <w:r w:rsidRPr="005D6D89">
        <w:t>Ita</w:t>
      </w:r>
      <w:proofErr w:type="gramEnd"/>
      <w:r w:rsidRPr="005D6D89">
        <w:t xml:space="preserve"> struck the West Coast of the South Island,</w:t>
      </w:r>
      <w:r w:rsidR="00725400" w:rsidRPr="005D6D89">
        <w:t> </w:t>
      </w:r>
      <w:r w:rsidRPr="005D6D89">
        <w:t xml:space="preserve">more than 60 houses in Greymouth lost </w:t>
      </w:r>
      <w:r w:rsidR="00505A1E">
        <w:t xml:space="preserve">their </w:t>
      </w:r>
      <w:r w:rsidRPr="005D6D89">
        <w:t>roofs (Cenek et al, 2019).</w:t>
      </w:r>
    </w:p>
    <w:p w14:paraId="5E510CAD" w14:textId="77777777" w:rsidR="00AD4A03" w:rsidRPr="005D6D89" w:rsidRDefault="00AD4A03" w:rsidP="00E76A46">
      <w:pPr>
        <w:pStyle w:val="BodyText"/>
        <w:spacing w:before="100" w:after="100"/>
      </w:pPr>
      <w:r w:rsidRPr="005D6D89">
        <w:t xml:space="preserve">Prolonged periods of </w:t>
      </w:r>
      <w:r w:rsidRPr="009079BF">
        <w:t>extreme rain</w:t>
      </w:r>
      <w:r w:rsidRPr="005D6D89">
        <w:t xml:space="preserve"> can also damage buildings through moisture penetration in</w:t>
      </w:r>
      <w:r w:rsidR="00725400" w:rsidRPr="005D6D89">
        <w:t> </w:t>
      </w:r>
      <w:r w:rsidRPr="005D6D89">
        <w:t>walls and damp conditions indoors, which can</w:t>
      </w:r>
      <w:r w:rsidR="00505A1E">
        <w:t>,</w:t>
      </w:r>
      <w:r w:rsidRPr="005D6D89">
        <w:t xml:space="preserve"> in turn</w:t>
      </w:r>
      <w:r w:rsidR="00505A1E">
        <w:t>,</w:t>
      </w:r>
      <w:r w:rsidRPr="005D6D89">
        <w:t xml:space="preserve"> degrade interiors (Department of Building and Housing, 2006). This </w:t>
      </w:r>
      <w:proofErr w:type="gramStart"/>
      <w:r w:rsidRPr="005D6D89">
        <w:t>has been linked</w:t>
      </w:r>
      <w:proofErr w:type="gramEnd"/>
      <w:r w:rsidRPr="005D6D89">
        <w:t xml:space="preserve"> to health consequences for occupants (Department of Building and Housing, 2006). Extreme wind can exacerbate the impact of rainfall on buildings by increasing moisture penetration and destroying buildings, including roofing </w:t>
      </w:r>
      <w:proofErr w:type="gramStart"/>
      <w:r w:rsidRPr="005D6D89">
        <w:t>being blown off</w:t>
      </w:r>
      <w:proofErr w:type="gramEnd"/>
      <w:r w:rsidRPr="005D6D89">
        <w:t>, broken windows, and other flying debris (Department of Building and</w:t>
      </w:r>
      <w:r w:rsidR="00DE61C2" w:rsidRPr="005D6D89">
        <w:t> </w:t>
      </w:r>
      <w:r w:rsidRPr="005D6D89">
        <w:t>Housing, 2006).</w:t>
      </w:r>
    </w:p>
    <w:p w14:paraId="66602DA0" w14:textId="77777777" w:rsidR="00AD4A03" w:rsidRPr="005D6D89" w:rsidRDefault="00AD4A03" w:rsidP="00E76A46">
      <w:pPr>
        <w:pStyle w:val="BodyText"/>
        <w:spacing w:before="100" w:after="100"/>
      </w:pPr>
      <w:r w:rsidRPr="005D6D89">
        <w:t xml:space="preserve">Knowledge of stopbank design, age and condition (which informs sensitivity to flood damage) remains sparse across New Zealand. This is exacerbated by inconsistency between formal and informal stopbanks (Crawford-Flett et al, 2018), which reduces the effectiveness of monitoring and maintenance. </w:t>
      </w:r>
    </w:p>
    <w:p w14:paraId="12C338BB" w14:textId="77777777" w:rsidR="00AD4A03" w:rsidRPr="005D6D89" w:rsidRDefault="00AD4A03" w:rsidP="00DE61C2">
      <w:pPr>
        <w:pStyle w:val="BodyText"/>
      </w:pPr>
      <w:r w:rsidRPr="005D6D89">
        <w:t xml:space="preserve">Many types of buildings are also sensitive to </w:t>
      </w:r>
      <w:r w:rsidRPr="009079BF">
        <w:t>wildfires</w:t>
      </w:r>
      <w:r w:rsidRPr="005D6D89">
        <w:t>. The level of sensitivity depends on a</w:t>
      </w:r>
      <w:r w:rsidR="00D05EB6">
        <w:t> </w:t>
      </w:r>
      <w:r w:rsidRPr="005D6D89">
        <w:t>number of factors, which include density per hectare of buildings, the size and shape of</w:t>
      </w:r>
      <w:r w:rsidR="00D05EB6">
        <w:t> </w:t>
      </w:r>
      <w:r w:rsidRPr="005D6D89">
        <w:t>groups</w:t>
      </w:r>
      <w:r w:rsidR="00DE61C2" w:rsidRPr="005D6D89">
        <w:t> </w:t>
      </w:r>
      <w:r w:rsidRPr="005D6D89">
        <w:t>of buildings, the type and amount of vegetation nearby, the distance between structures, the width and layout of roads and reserves, the climate zone, and the materials used (Opie et al, 2014).</w:t>
      </w:r>
    </w:p>
    <w:p w14:paraId="66641D19" w14:textId="77777777" w:rsidR="00AD4A03" w:rsidRPr="005D6D89" w:rsidRDefault="00AD4A03" w:rsidP="00DE61C2">
      <w:pPr>
        <w:pStyle w:val="BodyText"/>
      </w:pPr>
      <w:r w:rsidRPr="005D6D89">
        <w:t xml:space="preserve">Buildings in New Zealand can also be sensitive to </w:t>
      </w:r>
      <w:r w:rsidRPr="009079BF">
        <w:t>liquefaction</w:t>
      </w:r>
      <w:r w:rsidRPr="005D6D89">
        <w:t>, which, as shown by the</w:t>
      </w:r>
      <w:r w:rsidR="00D05EB6">
        <w:t> </w:t>
      </w:r>
      <w:r w:rsidRPr="005D6D89">
        <w:t xml:space="preserve">Christchurch earthquake sequence, </w:t>
      </w:r>
      <w:proofErr w:type="gramStart"/>
      <w:r w:rsidRPr="005D6D89">
        <w:t>is driven</w:t>
      </w:r>
      <w:proofErr w:type="gramEnd"/>
      <w:r w:rsidRPr="005D6D89">
        <w:t xml:space="preserve"> by a range of factors including land characteristics (soil type), groundwater levels and building design (MBIE, 2017). Buildings are</w:t>
      </w:r>
      <w:r w:rsidR="001307A0" w:rsidRPr="005D6D89">
        <w:t> </w:t>
      </w:r>
      <w:r w:rsidRPr="005D6D89">
        <w:t>sensitive to landslides, which are caused by factors including rainfall, soil stability, structural building type (including foundations), and intensity of land development (Guillard-Goncalves et al, 2016; Lin et al, 2017). Buildings are also sensitive to drought-induced soil movements, which can cause certain types of soil to dry and shrink (Corti et al, 2011). As buildings shift and subside, this can result in structural damages to foundations and cracked walls and ceilings (Kovats and Osborn, 2016).</w:t>
      </w:r>
    </w:p>
    <w:bookmarkEnd w:id="426"/>
    <w:p w14:paraId="29BD26A5" w14:textId="77777777" w:rsidR="00AD4A03" w:rsidRPr="005D6D89" w:rsidRDefault="00AD4A03" w:rsidP="00DE61C2">
      <w:pPr>
        <w:pStyle w:val="Heading5"/>
      </w:pPr>
      <w:r w:rsidRPr="005D6D89">
        <w:t xml:space="preserve">Adaptive capacity </w:t>
      </w:r>
    </w:p>
    <w:p w14:paraId="58804442" w14:textId="77777777" w:rsidR="00AD4A03" w:rsidRPr="005D6D89" w:rsidRDefault="00AD4A03" w:rsidP="00DE61C2">
      <w:pPr>
        <w:pStyle w:val="BodyText"/>
      </w:pPr>
      <w:bookmarkStart w:id="427" w:name="_Hlk40298598"/>
      <w:r w:rsidRPr="005D6D89">
        <w:t xml:space="preserve">Existing residential and commercial buildings inherently have low adaptive capacity. They </w:t>
      </w:r>
      <w:proofErr w:type="gramStart"/>
      <w:r w:rsidRPr="005D6D89">
        <w:t>are built</w:t>
      </w:r>
      <w:proofErr w:type="gramEnd"/>
      <w:r w:rsidRPr="005D6D89">
        <w:t xml:space="preserve"> as permanent structures</w:t>
      </w:r>
      <w:r w:rsidR="00505A1E">
        <w:t xml:space="preserve">, which are </w:t>
      </w:r>
      <w:r w:rsidRPr="005D6D89">
        <w:t>served by complex, centralised infrastructure that requires large</w:t>
      </w:r>
      <w:r w:rsidR="00DE61C2" w:rsidRPr="005D6D89">
        <w:t> </w:t>
      </w:r>
      <w:r w:rsidRPr="005D6D89">
        <w:t>capital and ongoing expenditure. Buildings with a concrete floor slab are harder to relocate and repair, and would have lower adaptive capacity than older buildings with a suspended timber floor.</w:t>
      </w:r>
    </w:p>
    <w:p w14:paraId="4BC77A48" w14:textId="77777777" w:rsidR="00AD4A03" w:rsidRPr="005D6D89" w:rsidRDefault="00AD4A03" w:rsidP="00DE61C2">
      <w:pPr>
        <w:pStyle w:val="BodyText"/>
      </w:pPr>
      <w:r w:rsidRPr="005D6D89">
        <w:t xml:space="preserve">New buildings and settlements </w:t>
      </w:r>
      <w:proofErr w:type="gramStart"/>
      <w:r w:rsidRPr="005D6D89">
        <w:t>can be built</w:t>
      </w:r>
      <w:proofErr w:type="gramEnd"/>
      <w:r w:rsidRPr="005D6D89">
        <w:t xml:space="preserve"> with a much higher adaptive capacity, tolerant of a wider range of climate and weather extremes; there are many good local and international examples of this. For example, the </w:t>
      </w:r>
      <w:bookmarkStart w:id="428" w:name="_Hlk40290542"/>
      <w:r w:rsidRPr="005D6D89">
        <w:t xml:space="preserve">Urban Growth Partnership </w:t>
      </w:r>
      <w:bookmarkEnd w:id="428"/>
      <w:r w:rsidRPr="005D6D89">
        <w:t>approach to spatial planning includes climate resilience</w:t>
      </w:r>
      <w:r w:rsidR="007B0FC9">
        <w:t>,</w:t>
      </w:r>
      <w:r w:rsidRPr="005D6D89">
        <w:t xml:space="preserve"> and protecting and enhancing the natural environment as a key objective. This is a partnership between central government agencies, local government and iwi and </w:t>
      </w:r>
      <w:proofErr w:type="gramStart"/>
      <w:r w:rsidRPr="005D6D89">
        <w:t>is focused</w:t>
      </w:r>
      <w:proofErr w:type="gramEnd"/>
      <w:r w:rsidRPr="005D6D89">
        <w:t xml:space="preserve"> on urban growth areas around New Zealand.</w:t>
      </w:r>
    </w:p>
    <w:p w14:paraId="3EAB01FC" w14:textId="77777777" w:rsidR="00AD4A03" w:rsidRPr="005D6D89" w:rsidRDefault="00AD4A03" w:rsidP="00DE61C2">
      <w:pPr>
        <w:pStyle w:val="BodyText"/>
      </w:pPr>
      <w:r w:rsidRPr="005D6D89">
        <w:t xml:space="preserve">Improving adaptive capacity would require funding, which has financial implications for households, communities, local and central government. Further research </w:t>
      </w:r>
      <w:proofErr w:type="gramStart"/>
      <w:r w:rsidRPr="005D6D89">
        <w:t>is needed</w:t>
      </w:r>
      <w:proofErr w:type="gramEnd"/>
      <w:r w:rsidRPr="005D6D89">
        <w:t xml:space="preserve"> to determine how financial institutions and government authorities can support the financing of</w:t>
      </w:r>
      <w:r w:rsidR="00DE61C2" w:rsidRPr="005D6D89">
        <w:t> </w:t>
      </w:r>
      <w:r w:rsidRPr="005D6D89">
        <w:t>adaptation measures. Ultimately, enhancing adaptive capacity will require strong leadership, governance, funding mechanisms and community engagement.</w:t>
      </w:r>
    </w:p>
    <w:bookmarkEnd w:id="427"/>
    <w:p w14:paraId="4177F49E" w14:textId="77777777" w:rsidR="00AD4A03" w:rsidRPr="005D6D89" w:rsidRDefault="00AD4A03" w:rsidP="00DE61C2">
      <w:pPr>
        <w:pStyle w:val="Heading5"/>
      </w:pPr>
      <w:r w:rsidRPr="005D6D89">
        <w:t>Consequence</w:t>
      </w:r>
    </w:p>
    <w:p w14:paraId="31F02399" w14:textId="77777777" w:rsidR="00AD4A03" w:rsidRPr="005D6D89" w:rsidRDefault="00AD4A03" w:rsidP="00DE61C2">
      <w:pPr>
        <w:pStyle w:val="BodyText"/>
      </w:pPr>
      <w:bookmarkStart w:id="429" w:name="_Hlk40298794"/>
      <w:r w:rsidRPr="005D6D89">
        <w:t xml:space="preserve">Climate change impacts on buildings will have economic, social, cultural and public health consequences. Major floods can put financial pressure on individuals and households, for instance by lowering house and land prices. This </w:t>
      </w:r>
      <w:proofErr w:type="gramStart"/>
      <w:r w:rsidRPr="005D6D89">
        <w:t>could be compounded</w:t>
      </w:r>
      <w:proofErr w:type="gramEnd"/>
      <w:r w:rsidRPr="005D6D89">
        <w:t xml:space="preserve"> by </w:t>
      </w:r>
      <w:r w:rsidR="00505A1E" w:rsidRPr="006944C4">
        <w:t>insurance retreat</w:t>
      </w:r>
      <w:r w:rsidRPr="005D6D89">
        <w:t xml:space="preserve"> from high-risk areas. </w:t>
      </w:r>
    </w:p>
    <w:p w14:paraId="64926205" w14:textId="77777777" w:rsidR="00AD4A03" w:rsidRPr="005D6D89" w:rsidRDefault="00AD4A03" w:rsidP="00DE61C2">
      <w:pPr>
        <w:pStyle w:val="BodyText"/>
      </w:pPr>
      <w:r w:rsidRPr="005D6D89">
        <w:t>For coastal communities</w:t>
      </w:r>
      <w:r w:rsidR="00505A1E">
        <w:t xml:space="preserve"> – </w:t>
      </w:r>
      <w:r w:rsidRPr="005D6D89">
        <w:t xml:space="preserve">such as Haumoana, Granity, Waitara and Urenui, where homes </w:t>
      </w:r>
      <w:proofErr w:type="gramStart"/>
      <w:r w:rsidRPr="005D6D89">
        <w:t>are</w:t>
      </w:r>
      <w:r w:rsidR="00D05EB6">
        <w:t> </w:t>
      </w:r>
      <w:r w:rsidRPr="005D6D89">
        <w:t>being undermined or swamped by wave action</w:t>
      </w:r>
      <w:proofErr w:type="gramEnd"/>
      <w:r w:rsidR="00505A1E">
        <w:t xml:space="preserve"> – </w:t>
      </w:r>
      <w:r w:rsidRPr="005D6D89">
        <w:t>the consequences will increase. Other low</w:t>
      </w:r>
      <w:r w:rsidR="00D05EB6">
        <w:noBreakHyphen/>
      </w:r>
      <w:r w:rsidRPr="005D6D89">
        <w:t xml:space="preserve">lying settlements could also face growing social and economic impacts, including South Dunedin, Edgecumbe, Lower Hutt and Petone, which are already prone to major flooding (Stephenson et al, 2018). These consequences are far reaching across all domains. </w:t>
      </w:r>
    </w:p>
    <w:p w14:paraId="5EC757EB" w14:textId="77777777" w:rsidR="00AD4A03" w:rsidRPr="005D6D89" w:rsidRDefault="00AD4A03" w:rsidP="00007DA2">
      <w:pPr>
        <w:pStyle w:val="BodyText"/>
        <w:spacing w:before="100" w:after="100"/>
      </w:pPr>
      <w:r w:rsidRPr="005D6D89">
        <w:t>The impact of flooding, sea-level rise and extreme weather on buildings could also result in loss of access to valued places, and in turn, impact physical and mental health, identity and sense of belonging (Stephenson et al, 2018). Many communities have social and economic vulnerabilities, including poor health, lack of social connections and financial distress. These</w:t>
      </w:r>
      <w:r w:rsidR="00D05EB6">
        <w:t> </w:t>
      </w:r>
      <w:r w:rsidRPr="005D6D89">
        <w:t>can reduce the capacity of people and communities to recover from shocks, such as</w:t>
      </w:r>
      <w:r w:rsidR="00D05EB6">
        <w:t> </w:t>
      </w:r>
      <w:r w:rsidRPr="005D6D89">
        <w:t>the</w:t>
      </w:r>
      <w:r w:rsidR="00D05EB6">
        <w:t> </w:t>
      </w:r>
      <w:r w:rsidRPr="005D6D89">
        <w:t>damage from floods and extreme weather events. The</w:t>
      </w:r>
      <w:r w:rsidR="00027F9F" w:rsidRPr="005D6D89">
        <w:t xml:space="preserve"> </w:t>
      </w:r>
      <w:r w:rsidRPr="005D6D89">
        <w:t>consequences may become more</w:t>
      </w:r>
      <w:r w:rsidR="00D05EB6">
        <w:t> </w:t>
      </w:r>
      <w:r w:rsidRPr="005D6D89">
        <w:t xml:space="preserve">severe over time (Stephenson et al, 2018). </w:t>
      </w:r>
    </w:p>
    <w:p w14:paraId="2084C71D" w14:textId="77777777" w:rsidR="00AD4A03" w:rsidRPr="005D6D89" w:rsidRDefault="00AD4A03" w:rsidP="00007DA2">
      <w:pPr>
        <w:pStyle w:val="BodyText"/>
        <w:spacing w:before="100" w:after="100"/>
      </w:pPr>
      <w:r w:rsidRPr="005D6D89">
        <w:t>Increased moisture in buildings due to extreme weather events and flooding could also lead to</w:t>
      </w:r>
      <w:r w:rsidR="00DE61C2" w:rsidRPr="005D6D89">
        <w:t> </w:t>
      </w:r>
      <w:r w:rsidRPr="005D6D89">
        <w:t>poor public health and a range of economic and social consequences. At present, mould is</w:t>
      </w:r>
      <w:r w:rsidR="00DE61C2" w:rsidRPr="005D6D89">
        <w:t> </w:t>
      </w:r>
      <w:r w:rsidRPr="005D6D89">
        <w:t>visible to some extent in an estimated half of all houses in New Zealand, with a slightly higher prevalence in rental properties (White et al, 2017a). Mould is a key indicator of indoor air quality and is potentially harmful to the health of household occupants (Chang-Richards et</w:t>
      </w:r>
      <w:r w:rsidR="00DE61C2" w:rsidRPr="005D6D89">
        <w:t> </w:t>
      </w:r>
      <w:r w:rsidRPr="005D6D89">
        <w:t xml:space="preserve">al, 2018). </w:t>
      </w:r>
    </w:p>
    <w:p w14:paraId="20D756DD" w14:textId="77777777" w:rsidR="00AD4A03" w:rsidRPr="005D6D89" w:rsidRDefault="00AD4A03" w:rsidP="00007DA2">
      <w:pPr>
        <w:pStyle w:val="BodyText"/>
        <w:spacing w:before="100" w:after="100"/>
      </w:pPr>
      <w:r w:rsidRPr="005D6D89">
        <w:t xml:space="preserve">The failure of flood management and protection schemes could also have extreme consequences, given the number of people living in areas with these schemes. </w:t>
      </w:r>
    </w:p>
    <w:bookmarkEnd w:id="429"/>
    <w:p w14:paraId="002C2006" w14:textId="77777777" w:rsidR="00AD4A03" w:rsidRPr="005D6D89" w:rsidRDefault="00AD4A03" w:rsidP="00DE61C2">
      <w:pPr>
        <w:pStyle w:val="Heading5"/>
      </w:pPr>
      <w:r w:rsidRPr="005D6D89">
        <w:t xml:space="preserve">Interacting risks </w:t>
      </w:r>
    </w:p>
    <w:p w14:paraId="37D54173" w14:textId="77777777" w:rsidR="00AD4A03" w:rsidRPr="005D6D89" w:rsidRDefault="00AD4A03" w:rsidP="00007DA2">
      <w:pPr>
        <w:pStyle w:val="BodyText"/>
        <w:spacing w:before="100" w:after="100"/>
      </w:pPr>
      <w:bookmarkStart w:id="430" w:name="_Hlk40298809"/>
      <w:r w:rsidRPr="005D6D89">
        <w:t>There are interacting risks to buildings due to transport connections (B6) and essential community infrastructure (B1, B4, B8). The climate change impacts on these supporting services could directly affect the utility of buildings and the viability of communities.</w:t>
      </w:r>
    </w:p>
    <w:p w14:paraId="0B3CA642" w14:textId="61F84EC8" w:rsidR="00AD4A03" w:rsidRPr="005D6D89" w:rsidRDefault="00AD4A03" w:rsidP="00007DA2">
      <w:pPr>
        <w:pStyle w:val="BodyText"/>
        <w:spacing w:before="100" w:after="100"/>
      </w:pPr>
      <w:r w:rsidRPr="005D6D89">
        <w:t>The risks to buildings will also flow on to people, the economy and governance. The risk to</w:t>
      </w:r>
      <w:r w:rsidR="00DE61C2" w:rsidRPr="005D6D89">
        <w:t> </w:t>
      </w:r>
      <w:r w:rsidRPr="005D6D89">
        <w:t>residential housing could exacerbate existing inequities (</w:t>
      </w:r>
      <w:r w:rsidR="00880A58" w:rsidRPr="005D6D89">
        <w:t>H</w:t>
      </w:r>
      <w:r w:rsidR="00880A58">
        <w:t>2</w:t>
      </w:r>
      <w:r w:rsidRPr="005D6D89">
        <w:t>) and result in impacts on social</w:t>
      </w:r>
      <w:r w:rsidR="00DE61C2" w:rsidRPr="005D6D89">
        <w:t> </w:t>
      </w:r>
      <w:r w:rsidRPr="005D6D89">
        <w:t>cohesion and community welfare (</w:t>
      </w:r>
      <w:r w:rsidR="00880A58" w:rsidRPr="005D6D89">
        <w:t>H</w:t>
      </w:r>
      <w:r w:rsidR="00880A58">
        <w:t>1</w:t>
      </w:r>
      <w:r w:rsidRPr="005D6D89">
        <w:t xml:space="preserve">). Risks to buildings (B2) may also affect cultural heritage sites (H8). </w:t>
      </w:r>
    </w:p>
    <w:p w14:paraId="30C2ECCC" w14:textId="77777777" w:rsidR="00AD4A03" w:rsidRPr="005D6D89" w:rsidRDefault="00AD4A03" w:rsidP="00007DA2">
      <w:pPr>
        <w:pStyle w:val="BodyText"/>
        <w:spacing w:before="100" w:after="100"/>
      </w:pPr>
      <w:r w:rsidRPr="005D6D89">
        <w:t xml:space="preserve">Impacts on residential and non-residential buildings may cascade into the economy, such as public sector fiscal risks from growing financial burdens and unfunded contingent liabilities (E1), risks to financial system stability and economic development (E2), and to the insurance sector (E6). The exposure and sensitivity of buildings to climate hazards </w:t>
      </w:r>
      <w:proofErr w:type="gramStart"/>
      <w:r w:rsidRPr="005D6D89">
        <w:t>could be compounded</w:t>
      </w:r>
      <w:proofErr w:type="gramEnd"/>
      <w:r w:rsidRPr="005D6D89">
        <w:t xml:space="preserve"> by uncoordinated and inconsistent governance between and within levels and agencies of government and private property owners (G2). There could also be maladaptive actions, such</w:t>
      </w:r>
      <w:r w:rsidR="00DE61C2" w:rsidRPr="005D6D89">
        <w:t> </w:t>
      </w:r>
      <w:r w:rsidRPr="005D6D89">
        <w:t>as supporting property owners with adaptation in high-risk locations that could create moral hazard problems (G1). Finally, hardening coastal environments (eg, sea walls) to defend</w:t>
      </w:r>
      <w:r w:rsidR="00DE61C2" w:rsidRPr="005D6D89">
        <w:t> </w:t>
      </w:r>
      <w:r w:rsidRPr="005D6D89">
        <w:t>settlements against erosion and flooding can lead to coastal squeeze and impacts on</w:t>
      </w:r>
      <w:r w:rsidR="00DE61C2" w:rsidRPr="005D6D89">
        <w:t> </w:t>
      </w:r>
      <w:r w:rsidRPr="005D6D89">
        <w:t xml:space="preserve">coastal ecosystems (N1). </w:t>
      </w:r>
    </w:p>
    <w:bookmarkEnd w:id="430"/>
    <w:p w14:paraId="41031824" w14:textId="77777777" w:rsidR="00AD4A03" w:rsidRPr="005D6D89" w:rsidRDefault="00AD4A03" w:rsidP="00DE61C2">
      <w:pPr>
        <w:pStyle w:val="Heading5"/>
      </w:pPr>
      <w:r w:rsidRPr="005D6D89">
        <w:t xml:space="preserve">Confidence: High agreement, medium evidence </w:t>
      </w:r>
    </w:p>
    <w:p w14:paraId="2EC1E23D" w14:textId="77777777" w:rsidR="00AD4A03" w:rsidRPr="005D6D89" w:rsidRDefault="00AD4A03" w:rsidP="00DE61C2">
      <w:pPr>
        <w:pStyle w:val="BodyText"/>
      </w:pPr>
      <w:r w:rsidRPr="005D6D89">
        <w:t>There is high agreement that buildings are exposed and sensitive to climate and natural hazards. Further research is required to understand the level of exposure of buildings, particularly those defended by flood schemes (including stopbanks). Overall, the research on</w:t>
      </w:r>
      <w:r w:rsidR="00D05EB6">
        <w:t> </w:t>
      </w:r>
      <w:r w:rsidRPr="005D6D89">
        <w:t xml:space="preserve">sensitivity is robust, with considerable evidence in New Zealand and globally. </w:t>
      </w:r>
    </w:p>
    <w:p w14:paraId="5F110ABC" w14:textId="77777777" w:rsidR="00AD4A03" w:rsidRPr="005D6D89" w:rsidRDefault="00AD4A03" w:rsidP="00DE61C2">
      <w:pPr>
        <w:pStyle w:val="Heading5"/>
      </w:pPr>
      <w:r w:rsidRPr="005D6D89">
        <w:t>Adaptation</w:t>
      </w:r>
    </w:p>
    <w:p w14:paraId="2BD5C090" w14:textId="77777777" w:rsidR="00AD4A03" w:rsidRPr="005D6D89" w:rsidRDefault="00AD4A03" w:rsidP="00DE61C2">
      <w:pPr>
        <w:pStyle w:val="BodyText"/>
      </w:pPr>
      <w:r w:rsidRPr="005D6D89">
        <w:t>A number of initiatives are under way at the community, local government and central government levels to progress adaptation for buildings and broader settlements. Community (council-funded) coastal restoration projects are under way through Coast Care and the Coastal Restoration Trust of New Zealand, and the Ministry for the Environment is setting up community resilience groups to build resilience to flood risk. Regional councils monitor and manage flood protection schemes (including stopbanks), and many are actively assessing these</w:t>
      </w:r>
      <w:r w:rsidR="00D05EB6">
        <w:t> </w:t>
      </w:r>
      <w:r w:rsidRPr="005D6D89">
        <w:t xml:space="preserve">in relation to climate change. </w:t>
      </w:r>
    </w:p>
    <w:p w14:paraId="42492E3A" w14:textId="77777777" w:rsidR="005038DA" w:rsidRDefault="00AD4A03" w:rsidP="00DD7F2C">
      <w:pPr>
        <w:pStyle w:val="BodyText"/>
      </w:pPr>
      <w:r w:rsidRPr="005D6D89">
        <w:t xml:space="preserve">More broadly, most regional and district councils regularly plan for hazards. This includes mapping and monitoring flood risk, improving consent requirements for river and coastal </w:t>
      </w:r>
      <w:proofErr w:type="gramStart"/>
      <w:r w:rsidRPr="005D6D89">
        <w:t>flooding,</w:t>
      </w:r>
      <w:proofErr w:type="gramEnd"/>
      <w:r w:rsidRPr="005D6D89">
        <w:t xml:space="preserve"> and in some cases setting rules to allow for relocatable houses. Central government also has a number of planned and ongoing initiatives, including </w:t>
      </w:r>
      <w:r w:rsidR="00DE7184">
        <w:t xml:space="preserve">a project led by the Ministry of Business, Innovation and Employment (MBIE) </w:t>
      </w:r>
      <w:r w:rsidRPr="005D6D89">
        <w:t xml:space="preserve">to review the evidence on how the building regulations could </w:t>
      </w:r>
      <w:r w:rsidRPr="00DD7F2C">
        <w:t>support</w:t>
      </w:r>
      <w:r w:rsidRPr="005D6D89">
        <w:t xml:space="preserve"> the Government</w:t>
      </w:r>
      <w:r w:rsidR="001200EA">
        <w:t>’</w:t>
      </w:r>
      <w:r w:rsidRPr="005D6D89">
        <w:t>s climate change objectives. Heritage New Zealand Pouhere Taonga is also supporting marae communities with advice and specialist services to manage their own buildings and cultural practice.</w:t>
      </w:r>
    </w:p>
    <w:p w14:paraId="0C7F3FB7" w14:textId="77777777" w:rsidR="00DD7F2C" w:rsidRPr="005D6D89" w:rsidRDefault="00DD7F2C" w:rsidP="00DD7F2C">
      <w:pPr>
        <w:pStyle w:val="Tableheading"/>
      </w:pPr>
      <w:bookmarkStart w:id="431" w:name="_Toc43312817"/>
      <w:r>
        <w:t>Table 23:</w:t>
      </w:r>
      <w:r>
        <w:tab/>
      </w:r>
      <w:r w:rsidRPr="005D6D89">
        <w:t>B2 Risks to buildings due to extreme weather events: Urgency profile</w:t>
      </w:r>
      <w:bookmarkEnd w:id="431"/>
    </w:p>
    <w:tbl>
      <w:tblPr>
        <w:tblStyle w:val="TableGrid"/>
        <w:tblW w:w="8613" w:type="dxa"/>
        <w:tblBorders>
          <w:top w:val="single" w:sz="4" w:space="0" w:color="0F7B7D"/>
          <w:left w:val="none" w:sz="0" w:space="0" w:color="auto"/>
          <w:bottom w:val="single" w:sz="4" w:space="0" w:color="0F7B7D"/>
          <w:right w:val="none" w:sz="0" w:space="0" w:color="auto"/>
          <w:insideH w:val="single" w:sz="4" w:space="0" w:color="0F7B7D"/>
          <w:insideV w:val="single" w:sz="4" w:space="0" w:color="0F7B7D"/>
        </w:tblBorders>
        <w:tblLayout w:type="fixed"/>
        <w:tblLook w:val="04A0" w:firstRow="1" w:lastRow="0" w:firstColumn="1" w:lastColumn="0" w:noHBand="0" w:noVBand="1"/>
      </w:tblPr>
      <w:tblGrid>
        <w:gridCol w:w="2278"/>
        <w:gridCol w:w="949"/>
        <w:gridCol w:w="992"/>
        <w:gridCol w:w="1134"/>
        <w:gridCol w:w="851"/>
        <w:gridCol w:w="850"/>
        <w:gridCol w:w="1559"/>
      </w:tblGrid>
      <w:tr w:rsidR="00EB05EE" w:rsidRPr="005D6D89" w14:paraId="2F1AEA91" w14:textId="77777777" w:rsidTr="00095C79">
        <w:tc>
          <w:tcPr>
            <w:tcW w:w="8613" w:type="dxa"/>
            <w:gridSpan w:val="7"/>
            <w:shd w:val="clear" w:color="auto" w:fill="0F7B7D"/>
          </w:tcPr>
          <w:p w14:paraId="08BBFE64" w14:textId="77777777" w:rsidR="00E87030" w:rsidRPr="005D6D89" w:rsidRDefault="00E87030" w:rsidP="008D652F">
            <w:pPr>
              <w:pStyle w:val="TableTextBold0"/>
              <w:spacing w:before="50" w:after="50"/>
              <w:rPr>
                <w:color w:val="FFFFFF" w:themeColor="background1"/>
              </w:rPr>
            </w:pPr>
            <w:bookmarkStart w:id="432" w:name="_Hlk35589700"/>
            <w:r w:rsidRPr="005D6D89">
              <w:rPr>
                <w:color w:val="FFFFFF" w:themeColor="background1"/>
              </w:rPr>
              <w:t>B2 Risks to buildings due to extreme weather events: Urgency profile</w:t>
            </w:r>
          </w:p>
        </w:tc>
      </w:tr>
      <w:tr w:rsidR="008D652F" w:rsidRPr="005D6D89" w14:paraId="7CBEAC86" w14:textId="77777777" w:rsidTr="00095C79">
        <w:tc>
          <w:tcPr>
            <w:tcW w:w="2278" w:type="dxa"/>
            <w:shd w:val="clear" w:color="auto" w:fill="FFFFFF" w:themeFill="background1"/>
          </w:tcPr>
          <w:p w14:paraId="36A584E8" w14:textId="77777777" w:rsidR="00E87030" w:rsidRPr="00F238DE" w:rsidRDefault="00E87030" w:rsidP="008D652F">
            <w:pPr>
              <w:pStyle w:val="TableTextBold0"/>
              <w:spacing w:before="50" w:after="50"/>
            </w:pPr>
            <w:r w:rsidRPr="00F238DE">
              <w:t>Urgency category</w:t>
            </w:r>
          </w:p>
        </w:tc>
        <w:tc>
          <w:tcPr>
            <w:tcW w:w="1941" w:type="dxa"/>
            <w:gridSpan w:val="2"/>
            <w:shd w:val="clear" w:color="auto" w:fill="FFFFFF" w:themeFill="background1"/>
          </w:tcPr>
          <w:p w14:paraId="06E89605" w14:textId="77777777" w:rsidR="00E87030" w:rsidRPr="005D6D89" w:rsidRDefault="00845880" w:rsidP="008D652F">
            <w:pPr>
              <w:pStyle w:val="TableTextBold0"/>
              <w:spacing w:before="50" w:after="50"/>
            </w:pPr>
            <w:r>
              <w:t>Proportion of urgency out of 100</w:t>
            </w:r>
          </w:p>
        </w:tc>
        <w:tc>
          <w:tcPr>
            <w:tcW w:w="4394" w:type="dxa"/>
            <w:gridSpan w:val="4"/>
            <w:shd w:val="clear" w:color="auto" w:fill="FFFFFF" w:themeFill="background1"/>
          </w:tcPr>
          <w:p w14:paraId="23CFFA36" w14:textId="77777777" w:rsidR="00E87030" w:rsidRPr="005D6D89" w:rsidRDefault="00E87030" w:rsidP="008D652F">
            <w:pPr>
              <w:pStyle w:val="TableTextBold0"/>
              <w:spacing w:before="50" w:after="50"/>
            </w:pPr>
            <w:r w:rsidRPr="005D6D89">
              <w:t>Description of actions</w:t>
            </w:r>
          </w:p>
        </w:tc>
      </w:tr>
      <w:tr w:rsidR="00E87030" w:rsidRPr="005D6D89" w14:paraId="6D948574" w14:textId="77777777" w:rsidTr="00095C79">
        <w:tc>
          <w:tcPr>
            <w:tcW w:w="2278" w:type="dxa"/>
            <w:shd w:val="clear" w:color="auto" w:fill="FFFFFF" w:themeFill="background1"/>
            <w:hideMark/>
          </w:tcPr>
          <w:p w14:paraId="39ED98C0" w14:textId="77777777" w:rsidR="00E87030" w:rsidRPr="009079BF" w:rsidRDefault="00E87030" w:rsidP="008D652F">
            <w:pPr>
              <w:pStyle w:val="TableTextBold0"/>
              <w:spacing w:before="50" w:after="50"/>
              <w:rPr>
                <w:b w:val="0"/>
              </w:rPr>
            </w:pPr>
            <w:r w:rsidRPr="009079BF">
              <w:rPr>
                <w:b w:val="0"/>
              </w:rPr>
              <w:t>More action needed</w:t>
            </w:r>
          </w:p>
        </w:tc>
        <w:tc>
          <w:tcPr>
            <w:tcW w:w="1941" w:type="dxa"/>
            <w:gridSpan w:val="2"/>
          </w:tcPr>
          <w:p w14:paraId="6B09D231" w14:textId="77777777" w:rsidR="00E87030" w:rsidRPr="005D6D89" w:rsidRDefault="00E87030" w:rsidP="008D652F">
            <w:pPr>
              <w:pStyle w:val="TableText"/>
              <w:spacing w:before="50" w:after="50"/>
              <w:jc w:val="center"/>
            </w:pPr>
            <w:r w:rsidRPr="005D6D89">
              <w:t>60</w:t>
            </w:r>
          </w:p>
        </w:tc>
        <w:tc>
          <w:tcPr>
            <w:tcW w:w="4394" w:type="dxa"/>
            <w:gridSpan w:val="4"/>
          </w:tcPr>
          <w:p w14:paraId="72D196D6" w14:textId="77777777" w:rsidR="00E87030" w:rsidRPr="005D6D89" w:rsidRDefault="00E87030" w:rsidP="008D652F">
            <w:pPr>
              <w:pStyle w:val="TableText"/>
              <w:spacing w:before="50" w:after="50"/>
            </w:pPr>
            <w:r w:rsidRPr="005D6D89">
              <w:t>This is a current and pressing risk, affecting buildings in coastal and flood prone areas. It will increase with time and requires an urgent, joined-up and effective response across all levels of government.</w:t>
            </w:r>
          </w:p>
        </w:tc>
      </w:tr>
      <w:tr w:rsidR="00E87030" w:rsidRPr="005D6D89" w14:paraId="55680392" w14:textId="77777777" w:rsidTr="00095C79">
        <w:tc>
          <w:tcPr>
            <w:tcW w:w="2278" w:type="dxa"/>
            <w:shd w:val="clear" w:color="auto" w:fill="FFFFFF" w:themeFill="background1"/>
            <w:hideMark/>
          </w:tcPr>
          <w:p w14:paraId="75D09AC3" w14:textId="77777777" w:rsidR="00E87030" w:rsidRPr="009079BF" w:rsidRDefault="00E87030" w:rsidP="008D652F">
            <w:pPr>
              <w:pStyle w:val="TableTextBold0"/>
              <w:spacing w:before="50" w:after="50"/>
              <w:rPr>
                <w:b w:val="0"/>
                <w:highlight w:val="yellow"/>
              </w:rPr>
            </w:pPr>
            <w:r w:rsidRPr="009079BF">
              <w:rPr>
                <w:b w:val="0"/>
              </w:rPr>
              <w:t>Research priority</w:t>
            </w:r>
          </w:p>
        </w:tc>
        <w:tc>
          <w:tcPr>
            <w:tcW w:w="1941" w:type="dxa"/>
            <w:gridSpan w:val="2"/>
          </w:tcPr>
          <w:p w14:paraId="5ECE3322" w14:textId="77777777" w:rsidR="00E87030" w:rsidRPr="005D6D89" w:rsidRDefault="00E87030" w:rsidP="008D652F">
            <w:pPr>
              <w:pStyle w:val="TableText"/>
              <w:spacing w:before="50" w:after="50"/>
              <w:jc w:val="center"/>
            </w:pPr>
            <w:r w:rsidRPr="005D6D89">
              <w:t>40</w:t>
            </w:r>
          </w:p>
        </w:tc>
        <w:tc>
          <w:tcPr>
            <w:tcW w:w="4394" w:type="dxa"/>
            <w:gridSpan w:val="4"/>
          </w:tcPr>
          <w:p w14:paraId="278C88C7" w14:textId="77777777" w:rsidR="00E87030" w:rsidRPr="005D6D89" w:rsidRDefault="00E87030" w:rsidP="008D652F">
            <w:pPr>
              <w:pStyle w:val="TableText"/>
              <w:spacing w:before="50" w:after="50"/>
            </w:pPr>
            <w:r w:rsidRPr="005D6D89">
              <w:t xml:space="preserve">Further knowledge is required on numerous hazards, including a nationally consistent approach to floods and associated exposure assessments. </w:t>
            </w:r>
          </w:p>
        </w:tc>
      </w:tr>
      <w:tr w:rsidR="00E87030" w:rsidRPr="005D6D89" w14:paraId="46CC7FE8" w14:textId="77777777" w:rsidTr="00095C79">
        <w:trPr>
          <w:trHeight w:val="77"/>
        </w:trPr>
        <w:tc>
          <w:tcPr>
            <w:tcW w:w="2278" w:type="dxa"/>
            <w:shd w:val="clear" w:color="auto" w:fill="FFFFFF" w:themeFill="background1"/>
            <w:hideMark/>
          </w:tcPr>
          <w:p w14:paraId="125DEA9C" w14:textId="77777777" w:rsidR="00E87030" w:rsidRPr="009079BF" w:rsidRDefault="00E87030" w:rsidP="008D652F">
            <w:pPr>
              <w:pStyle w:val="TableTextBold0"/>
              <w:spacing w:before="50" w:after="50"/>
              <w:rPr>
                <w:b w:val="0"/>
              </w:rPr>
            </w:pPr>
            <w:r w:rsidRPr="009079BF">
              <w:rPr>
                <w:b w:val="0"/>
              </w:rPr>
              <w:t>Sustain current action</w:t>
            </w:r>
          </w:p>
        </w:tc>
        <w:tc>
          <w:tcPr>
            <w:tcW w:w="1941" w:type="dxa"/>
            <w:gridSpan w:val="2"/>
          </w:tcPr>
          <w:p w14:paraId="37FE0BBC" w14:textId="77777777" w:rsidR="00E87030" w:rsidRPr="005D6D89" w:rsidRDefault="00E87030" w:rsidP="008D652F">
            <w:pPr>
              <w:pStyle w:val="TableText"/>
              <w:spacing w:before="50" w:after="50"/>
              <w:jc w:val="center"/>
            </w:pPr>
            <w:r w:rsidRPr="005D6D89">
              <w:t>0</w:t>
            </w:r>
          </w:p>
        </w:tc>
        <w:tc>
          <w:tcPr>
            <w:tcW w:w="4394" w:type="dxa"/>
            <w:gridSpan w:val="4"/>
          </w:tcPr>
          <w:p w14:paraId="2814F374" w14:textId="77777777" w:rsidR="00E87030" w:rsidRPr="005D6D89" w:rsidRDefault="00E87030" w:rsidP="008D652F">
            <w:pPr>
              <w:pStyle w:val="TableText"/>
              <w:spacing w:before="50" w:after="50"/>
            </w:pPr>
            <w:r w:rsidRPr="005D6D89">
              <w:t xml:space="preserve">Current actions </w:t>
            </w:r>
            <w:proofErr w:type="gramStart"/>
            <w:r w:rsidRPr="005D6D89">
              <w:t>are deemed</w:t>
            </w:r>
            <w:proofErr w:type="gramEnd"/>
            <w:r w:rsidRPr="005D6D89">
              <w:t xml:space="preserve"> adequate for a small subset of risks: fire weather and extreme weather events over the next five years.</w:t>
            </w:r>
          </w:p>
        </w:tc>
      </w:tr>
      <w:tr w:rsidR="00E87030" w:rsidRPr="005D6D89" w14:paraId="0B1BBC7E" w14:textId="77777777" w:rsidTr="00095C79">
        <w:tc>
          <w:tcPr>
            <w:tcW w:w="2278" w:type="dxa"/>
            <w:tcBorders>
              <w:bottom w:val="single" w:sz="8" w:space="0" w:color="0F7B7D"/>
            </w:tcBorders>
            <w:shd w:val="clear" w:color="auto" w:fill="FFFFFF" w:themeFill="background1"/>
            <w:hideMark/>
          </w:tcPr>
          <w:p w14:paraId="2E53CE29" w14:textId="77777777" w:rsidR="00E87030" w:rsidRPr="009079BF" w:rsidRDefault="00E87030" w:rsidP="008D652F">
            <w:pPr>
              <w:pStyle w:val="TableTextBold0"/>
              <w:spacing w:before="50" w:after="50"/>
              <w:rPr>
                <w:b w:val="0"/>
              </w:rPr>
            </w:pPr>
            <w:r w:rsidRPr="009079BF">
              <w:rPr>
                <w:b w:val="0"/>
              </w:rPr>
              <w:t xml:space="preserve">Watching brief </w:t>
            </w:r>
          </w:p>
        </w:tc>
        <w:tc>
          <w:tcPr>
            <w:tcW w:w="1941" w:type="dxa"/>
            <w:gridSpan w:val="2"/>
            <w:tcBorders>
              <w:bottom w:val="single" w:sz="8" w:space="0" w:color="0F7B7D"/>
            </w:tcBorders>
          </w:tcPr>
          <w:p w14:paraId="6018BD6E" w14:textId="77777777" w:rsidR="00E87030" w:rsidRPr="005D6D89" w:rsidRDefault="00E87030" w:rsidP="008D652F">
            <w:pPr>
              <w:pStyle w:val="TableText"/>
              <w:spacing w:before="50" w:after="50"/>
              <w:jc w:val="center"/>
            </w:pPr>
          </w:p>
        </w:tc>
        <w:tc>
          <w:tcPr>
            <w:tcW w:w="4394" w:type="dxa"/>
            <w:gridSpan w:val="4"/>
            <w:tcBorders>
              <w:bottom w:val="single" w:sz="8" w:space="0" w:color="0F7B7D"/>
            </w:tcBorders>
          </w:tcPr>
          <w:p w14:paraId="30280A31" w14:textId="77777777" w:rsidR="00E87030" w:rsidRPr="005D6D89" w:rsidRDefault="00E87030" w:rsidP="008D652F">
            <w:pPr>
              <w:pStyle w:val="TableText"/>
              <w:spacing w:before="50" w:after="50"/>
            </w:pPr>
          </w:p>
        </w:tc>
      </w:tr>
      <w:tr w:rsidR="00007DA2" w:rsidRPr="005D6D89" w14:paraId="2F9491E5" w14:textId="77777777" w:rsidTr="00095C79">
        <w:tc>
          <w:tcPr>
            <w:tcW w:w="2278" w:type="dxa"/>
            <w:tcBorders>
              <w:top w:val="single" w:sz="8" w:space="0" w:color="0F7B7D"/>
            </w:tcBorders>
            <w:shd w:val="clear" w:color="auto" w:fill="0F7B7D"/>
          </w:tcPr>
          <w:p w14:paraId="421AD436" w14:textId="77777777" w:rsidR="00E87030" w:rsidRPr="005D6D89" w:rsidRDefault="00E87030" w:rsidP="008D652F">
            <w:pPr>
              <w:pStyle w:val="TableTextBold0"/>
              <w:spacing w:before="50" w:after="5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Adaptation urgency </w:t>
            </w:r>
          </w:p>
        </w:tc>
        <w:tc>
          <w:tcPr>
            <w:tcW w:w="1941" w:type="dxa"/>
            <w:gridSpan w:val="2"/>
            <w:tcBorders>
              <w:top w:val="single" w:sz="8" w:space="0" w:color="0F7B7D"/>
            </w:tcBorders>
            <w:shd w:val="clear" w:color="auto" w:fill="auto"/>
          </w:tcPr>
          <w:p w14:paraId="1A4BFC6D" w14:textId="77777777" w:rsidR="00E87030" w:rsidRPr="005D6D89" w:rsidRDefault="00E87030" w:rsidP="008D652F">
            <w:pPr>
              <w:pStyle w:val="TableText"/>
              <w:spacing w:before="50" w:after="50"/>
              <w:jc w:val="center"/>
              <w:rPr>
                <w:rFonts w:asciiTheme="minorHAnsi" w:hAnsiTheme="minorHAnsi" w:cstheme="minorHAnsi"/>
              </w:rPr>
            </w:pPr>
            <w:r w:rsidRPr="005D6D89">
              <w:rPr>
                <w:rFonts w:asciiTheme="minorHAnsi" w:hAnsiTheme="minorHAnsi" w:cstheme="minorHAnsi"/>
              </w:rPr>
              <w:t>90</w:t>
            </w:r>
          </w:p>
        </w:tc>
        <w:tc>
          <w:tcPr>
            <w:tcW w:w="1134" w:type="dxa"/>
            <w:tcBorders>
              <w:top w:val="single" w:sz="8" w:space="0" w:color="0F7B7D"/>
            </w:tcBorders>
            <w:shd w:val="clear" w:color="auto" w:fill="0F7B7D"/>
          </w:tcPr>
          <w:p w14:paraId="701FAF25" w14:textId="77777777" w:rsidR="00E87030" w:rsidRPr="005D6D89" w:rsidRDefault="00E87030" w:rsidP="008D652F">
            <w:pPr>
              <w:pStyle w:val="TableTextBold0"/>
              <w:spacing w:before="50" w:after="50"/>
              <w:rPr>
                <w:color w:val="FFFFFF" w:themeColor="background1"/>
              </w:rPr>
            </w:pPr>
            <w:r w:rsidRPr="005D6D89">
              <w:rPr>
                <w:color w:val="FFFFFF" w:themeColor="background1"/>
              </w:rPr>
              <w:t>Confidence</w:t>
            </w:r>
          </w:p>
        </w:tc>
        <w:tc>
          <w:tcPr>
            <w:tcW w:w="3260" w:type="dxa"/>
            <w:gridSpan w:val="3"/>
            <w:tcBorders>
              <w:top w:val="single" w:sz="8" w:space="0" w:color="0F7B7D"/>
            </w:tcBorders>
          </w:tcPr>
          <w:p w14:paraId="0A8F1E93" w14:textId="77777777" w:rsidR="00E87030" w:rsidRPr="005D6D89" w:rsidRDefault="00E87030" w:rsidP="008D652F">
            <w:pPr>
              <w:pStyle w:val="TableText"/>
              <w:spacing w:before="50" w:after="50"/>
              <w:rPr>
                <w:rFonts w:asciiTheme="minorHAnsi" w:hAnsiTheme="minorHAnsi" w:cstheme="minorHAnsi"/>
              </w:rPr>
            </w:pPr>
            <w:r w:rsidRPr="005D6D89">
              <w:rPr>
                <w:rFonts w:asciiTheme="minorHAnsi" w:hAnsiTheme="minorHAnsi" w:cstheme="minorHAnsi"/>
              </w:rPr>
              <w:t>High agreement, medium evidence</w:t>
            </w:r>
          </w:p>
        </w:tc>
      </w:tr>
      <w:tr w:rsidR="00EB05EE" w:rsidRPr="005D6D89" w14:paraId="2F4D8545" w14:textId="77777777" w:rsidTr="00095C79">
        <w:tc>
          <w:tcPr>
            <w:tcW w:w="2278" w:type="dxa"/>
            <w:shd w:val="clear" w:color="auto" w:fill="0F7B7D"/>
          </w:tcPr>
          <w:p w14:paraId="71ADC346" w14:textId="77777777" w:rsidR="00E87030" w:rsidRPr="005D6D89" w:rsidRDefault="00E87030" w:rsidP="008D652F">
            <w:pPr>
              <w:pStyle w:val="TableTextBold0"/>
              <w:spacing w:before="50" w:after="50"/>
              <w:rPr>
                <w:rFonts w:asciiTheme="minorHAnsi" w:hAnsiTheme="minorHAnsi" w:cstheme="minorHAnsi"/>
                <w:color w:val="FFFFFF" w:themeColor="background1"/>
              </w:rPr>
            </w:pPr>
            <w:r w:rsidRPr="005D6D89">
              <w:rPr>
                <w:rFonts w:asciiTheme="minorHAnsi" w:hAnsiTheme="minorHAnsi" w:cstheme="minorHAnsi"/>
                <w:color w:val="FFFFFF" w:themeColor="background1"/>
              </w:rPr>
              <w:t xml:space="preserve">Consequence </w:t>
            </w:r>
          </w:p>
        </w:tc>
        <w:tc>
          <w:tcPr>
            <w:tcW w:w="949" w:type="dxa"/>
            <w:shd w:val="clear" w:color="auto" w:fill="0F7B7D"/>
          </w:tcPr>
          <w:p w14:paraId="32294067" w14:textId="77777777" w:rsidR="00E87030" w:rsidRPr="005D6D89" w:rsidRDefault="00E87030" w:rsidP="008D652F">
            <w:pPr>
              <w:pStyle w:val="TableText"/>
              <w:spacing w:before="50" w:after="50"/>
              <w:jc w:val="center"/>
              <w:rPr>
                <w:rFonts w:asciiTheme="minorHAnsi" w:hAnsiTheme="minorHAnsi" w:cstheme="minorHAnsi"/>
                <w:color w:val="FFFFFF" w:themeColor="background1"/>
              </w:rPr>
            </w:pPr>
            <w:r w:rsidRPr="005D6D89">
              <w:rPr>
                <w:rFonts w:asciiTheme="minorHAnsi" w:hAnsiTheme="minorHAnsi" w:cstheme="minorHAnsi"/>
                <w:color w:val="FFFFFF" w:themeColor="background1"/>
              </w:rPr>
              <w:t>Now</w:t>
            </w:r>
          </w:p>
        </w:tc>
        <w:tc>
          <w:tcPr>
            <w:tcW w:w="992" w:type="dxa"/>
          </w:tcPr>
          <w:p w14:paraId="73987F83" w14:textId="77777777" w:rsidR="00E87030" w:rsidRPr="005D6D89" w:rsidRDefault="00E87030" w:rsidP="008D652F">
            <w:pPr>
              <w:pStyle w:val="TableText"/>
              <w:spacing w:before="50" w:after="50"/>
              <w:jc w:val="center"/>
              <w:rPr>
                <w:rFonts w:asciiTheme="minorHAnsi" w:hAnsiTheme="minorHAnsi" w:cstheme="minorHAnsi"/>
              </w:rPr>
            </w:pPr>
            <w:r w:rsidRPr="005D6D89">
              <w:rPr>
                <w:rFonts w:asciiTheme="minorHAnsi" w:hAnsiTheme="minorHAnsi" w:cstheme="minorHAnsi"/>
              </w:rPr>
              <w:t>Major</w:t>
            </w:r>
          </w:p>
        </w:tc>
        <w:tc>
          <w:tcPr>
            <w:tcW w:w="1134" w:type="dxa"/>
            <w:shd w:val="clear" w:color="auto" w:fill="0F7B7D"/>
          </w:tcPr>
          <w:p w14:paraId="3C60CB76" w14:textId="77777777" w:rsidR="00E87030" w:rsidRPr="005D6D89" w:rsidRDefault="00E87030" w:rsidP="008D652F">
            <w:pPr>
              <w:pStyle w:val="TableText"/>
              <w:spacing w:before="50" w:after="50"/>
              <w:rPr>
                <w:rFonts w:asciiTheme="minorHAnsi" w:hAnsiTheme="minorHAnsi" w:cstheme="minorHAnsi"/>
                <w:color w:val="FFFFFF" w:themeColor="background1"/>
              </w:rPr>
            </w:pPr>
            <w:r w:rsidRPr="005D6D89">
              <w:rPr>
                <w:rFonts w:asciiTheme="minorHAnsi" w:hAnsiTheme="minorHAnsi" w:cstheme="minorHAnsi"/>
                <w:color w:val="FFFFFF" w:themeColor="background1"/>
              </w:rPr>
              <w:t>2050</w:t>
            </w:r>
          </w:p>
        </w:tc>
        <w:tc>
          <w:tcPr>
            <w:tcW w:w="851" w:type="dxa"/>
          </w:tcPr>
          <w:p w14:paraId="686A45E8" w14:textId="77777777" w:rsidR="00E87030" w:rsidRPr="005D6D89" w:rsidRDefault="00E87030" w:rsidP="008D652F">
            <w:pPr>
              <w:pStyle w:val="TableText"/>
              <w:spacing w:before="50" w:after="50"/>
              <w:rPr>
                <w:rFonts w:asciiTheme="minorHAnsi" w:hAnsiTheme="minorHAnsi" w:cstheme="minorHAnsi"/>
              </w:rPr>
            </w:pPr>
            <w:r w:rsidRPr="005D6D89">
              <w:rPr>
                <w:rFonts w:asciiTheme="minorHAnsi" w:hAnsiTheme="minorHAnsi" w:cstheme="minorHAnsi"/>
              </w:rPr>
              <w:t>Extreme</w:t>
            </w:r>
          </w:p>
        </w:tc>
        <w:tc>
          <w:tcPr>
            <w:tcW w:w="850" w:type="dxa"/>
            <w:shd w:val="clear" w:color="auto" w:fill="0F7B7D"/>
          </w:tcPr>
          <w:p w14:paraId="5008BF87" w14:textId="77777777" w:rsidR="00E87030" w:rsidRPr="005D6D89" w:rsidRDefault="00E87030" w:rsidP="008D652F">
            <w:pPr>
              <w:pStyle w:val="TableText"/>
              <w:spacing w:before="50" w:after="50"/>
              <w:rPr>
                <w:rFonts w:asciiTheme="minorHAnsi" w:hAnsiTheme="minorHAnsi" w:cstheme="minorHAnsi"/>
                <w:color w:val="FFFFFF" w:themeColor="background1"/>
              </w:rPr>
            </w:pPr>
            <w:r w:rsidRPr="005D6D89">
              <w:rPr>
                <w:rFonts w:asciiTheme="minorHAnsi" w:hAnsiTheme="minorHAnsi" w:cstheme="minorHAnsi"/>
                <w:color w:val="FFFFFF" w:themeColor="background1"/>
              </w:rPr>
              <w:t>2100</w:t>
            </w:r>
          </w:p>
        </w:tc>
        <w:tc>
          <w:tcPr>
            <w:tcW w:w="1559" w:type="dxa"/>
          </w:tcPr>
          <w:p w14:paraId="7AA88D9C" w14:textId="77777777" w:rsidR="00E87030" w:rsidRPr="005D6D89" w:rsidRDefault="00E87030" w:rsidP="008D652F">
            <w:pPr>
              <w:pStyle w:val="TableText"/>
              <w:spacing w:before="50" w:after="50"/>
              <w:rPr>
                <w:rFonts w:asciiTheme="minorHAnsi" w:hAnsiTheme="minorHAnsi" w:cstheme="minorHAnsi"/>
                <w:color w:val="FFFFFF" w:themeColor="background1"/>
              </w:rPr>
            </w:pPr>
            <w:r w:rsidRPr="005D6D89">
              <w:rPr>
                <w:rFonts w:asciiTheme="minorHAnsi" w:hAnsiTheme="minorHAnsi" w:cstheme="minorHAnsi"/>
              </w:rPr>
              <w:t>Extreme</w:t>
            </w:r>
            <w:r w:rsidRPr="005D6D89">
              <w:rPr>
                <w:rFonts w:asciiTheme="minorHAnsi" w:hAnsiTheme="minorHAnsi" w:cstheme="minorHAnsi"/>
                <w:color w:val="FFFFFF" w:themeColor="background1"/>
              </w:rPr>
              <w:t xml:space="preserve"> 2150 </w:t>
            </w:r>
          </w:p>
        </w:tc>
      </w:tr>
    </w:tbl>
    <w:p w14:paraId="4BFE7B9C" w14:textId="77777777" w:rsidR="00E87030" w:rsidRPr="005D6D89" w:rsidRDefault="00E87030" w:rsidP="00812D16">
      <w:pPr>
        <w:pStyle w:val="Heading3"/>
        <w:numPr>
          <w:ilvl w:val="0"/>
          <w:numId w:val="32"/>
        </w:numPr>
        <w:spacing w:before="440"/>
      </w:pPr>
      <w:bookmarkStart w:id="433" w:name="_Toc40286462"/>
      <w:bookmarkStart w:id="434" w:name="_Toc40699365"/>
      <w:bookmarkEnd w:id="432"/>
      <w:r w:rsidRPr="005D6D89">
        <w:t>Other priority risks for the built environment domain</w:t>
      </w:r>
      <w:bookmarkEnd w:id="433"/>
      <w:bookmarkEnd w:id="434"/>
      <w:r w:rsidRPr="005D6D89">
        <w:t xml:space="preserve"> </w:t>
      </w:r>
    </w:p>
    <w:p w14:paraId="7CD8FDD0" w14:textId="77777777" w:rsidR="00E87030" w:rsidRPr="005D6D89" w:rsidRDefault="00E87030" w:rsidP="008D652F">
      <w:pPr>
        <w:pStyle w:val="Heading4"/>
        <w:spacing w:before="160"/>
      </w:pPr>
      <w:r w:rsidRPr="005D6D89">
        <w:t>B3 Risks to landfills and contaminated sites</w:t>
      </w:r>
      <w:r w:rsidR="00DE7184">
        <w:t>,</w:t>
      </w:r>
      <w:r w:rsidRPr="005D6D89">
        <w:t xml:space="preserve"> due to extreme weather events and</w:t>
      </w:r>
      <w:r w:rsidR="00D135EC" w:rsidRPr="005D6D89">
        <w:t> </w:t>
      </w:r>
      <w:r w:rsidRPr="005D6D89">
        <w:t xml:space="preserve">ongoing sea-level rise </w:t>
      </w:r>
    </w:p>
    <w:p w14:paraId="2B8E1537" w14:textId="77777777" w:rsidR="00E87030" w:rsidRPr="005D6D89" w:rsidRDefault="00E87030" w:rsidP="00F53A57">
      <w:pPr>
        <w:pStyle w:val="BodyText"/>
        <w:spacing w:after="100"/>
      </w:pPr>
      <w:r w:rsidRPr="005D6D89">
        <w:t xml:space="preserve">Active and closed landfills and contaminated sites across New Zealand are currently at risk from extreme weather events and sea-level rise, as well as coastal and inland flooding, erosion and rising groundwater. </w:t>
      </w:r>
    </w:p>
    <w:p w14:paraId="04D0B42E" w14:textId="77777777" w:rsidR="00E87030" w:rsidRPr="005D6D89" w:rsidRDefault="00E87030" w:rsidP="00F53A57">
      <w:pPr>
        <w:pStyle w:val="BodyText"/>
        <w:spacing w:after="100"/>
      </w:pPr>
      <w:r w:rsidRPr="005D6D89">
        <w:t xml:space="preserve">Closed landfills are likely to be more exposed, as </w:t>
      </w:r>
      <w:proofErr w:type="gramStart"/>
      <w:r w:rsidRPr="005D6D89">
        <w:t>more recent landfills</w:t>
      </w:r>
      <w:proofErr w:type="gramEnd"/>
      <w:r w:rsidRPr="005D6D89">
        <w:t xml:space="preserve"> are sited in lower-risk areas (Ministry for the Environment, 2001). Landfills and contaminated sites can be sensitive to erosion, damage and contaminant washout from flooding and extreme weather events. Site</w:t>
      </w:r>
      <w:r w:rsidR="00D05EB6">
        <w:t> </w:t>
      </w:r>
      <w:r w:rsidRPr="005D6D89">
        <w:t xml:space="preserve">failure can cause pollutants to mobilise, with potentially cascading consequences for public health, ecosystems and the economy. </w:t>
      </w:r>
    </w:p>
    <w:p w14:paraId="559CE9FA" w14:textId="77777777" w:rsidR="00E87030" w:rsidRPr="005D6D89" w:rsidRDefault="00E87030" w:rsidP="00F53A57">
      <w:pPr>
        <w:pStyle w:val="BodyText"/>
        <w:spacing w:after="100"/>
      </w:pPr>
      <w:r w:rsidRPr="005D6D89">
        <w:t xml:space="preserve">Although modern landfills are subject to strict resource consent conditions and monitoring to reduce the risk of failures, there is a limited understanding of the location and characteristics (including design, extent, type of waste) of closed landfills. The adaptive capacity of landfills and contaminated sites are likely to vary around New Zealand due to gaps in the understanding of sites, and different regional funding availability. </w:t>
      </w:r>
    </w:p>
    <w:p w14:paraId="7FC90E88" w14:textId="77777777" w:rsidR="00E87030" w:rsidRPr="005D6D89" w:rsidRDefault="00E87030" w:rsidP="00F53A57">
      <w:pPr>
        <w:pStyle w:val="BodyText"/>
        <w:spacing w:after="100"/>
      </w:pPr>
      <w:r w:rsidRPr="005D6D89">
        <w:t>For M</w:t>
      </w:r>
      <w:r w:rsidRPr="005D6D89">
        <w:rPr>
          <w:rFonts w:cs="Arial"/>
        </w:rPr>
        <w:t>ā</w:t>
      </w:r>
      <w:r w:rsidRPr="005D6D89">
        <w:t xml:space="preserve">ori, the potential for landfill damage to contaminate mahinga kai (food-gathering areas) and affect taonga species is likely to have consequences for cultural practices. </w:t>
      </w:r>
    </w:p>
    <w:p w14:paraId="5F3F7B21" w14:textId="77777777" w:rsidR="00E87030" w:rsidRPr="005D6D89" w:rsidRDefault="00E87030" w:rsidP="00D135EC">
      <w:pPr>
        <w:pStyle w:val="BodyText"/>
      </w:pPr>
      <w:r w:rsidRPr="005D6D89">
        <w:t>Risks to landfills and contaminated sites are moderate at present and will likely increase.</w:t>
      </w:r>
    </w:p>
    <w:p w14:paraId="2163876B" w14:textId="77777777" w:rsidR="00E87030" w:rsidRPr="005D6D89" w:rsidRDefault="00E87030" w:rsidP="00D135EC">
      <w:pPr>
        <w:pStyle w:val="Heading4"/>
        <w:spacing w:before="240"/>
      </w:pPr>
      <w:r w:rsidRPr="005D6D89">
        <w:t>B4 Risk to wastewater and stormwater systems (and levels of service)</w:t>
      </w:r>
      <w:r w:rsidR="00DE7184">
        <w:t>,</w:t>
      </w:r>
      <w:r w:rsidRPr="005D6D89">
        <w:t xml:space="preserve"> due to extreme weather events and ongoing sea-level rise </w:t>
      </w:r>
    </w:p>
    <w:p w14:paraId="024ED2F7" w14:textId="77777777" w:rsidR="00E87030" w:rsidRPr="005D6D89" w:rsidRDefault="00E87030" w:rsidP="00D135EC">
      <w:pPr>
        <w:pStyle w:val="BodyText"/>
      </w:pPr>
      <w:r w:rsidRPr="005D6D89">
        <w:t xml:space="preserve">Wastewater and stormwater infrastructure is currently at risk from extreme weather events (including heavy rainfall), ongoing sea-level rise and drought. Other risks include inland and coastal flooding, coastal erosion and rising groundwater, all </w:t>
      </w:r>
      <w:r w:rsidR="00DE7184">
        <w:t xml:space="preserve">of which </w:t>
      </w:r>
      <w:proofErr w:type="gramStart"/>
      <w:r w:rsidR="00DE7184">
        <w:t xml:space="preserve">are </w:t>
      </w:r>
      <w:r w:rsidRPr="005D6D89">
        <w:t>projected</w:t>
      </w:r>
      <w:proofErr w:type="gramEnd"/>
      <w:r w:rsidRPr="005D6D89">
        <w:t xml:space="preserve"> to become more frequent and severe due to climate change. </w:t>
      </w:r>
    </w:p>
    <w:p w14:paraId="24FFFEF6" w14:textId="77777777" w:rsidR="00E87030" w:rsidRPr="005D6D89" w:rsidRDefault="00E87030" w:rsidP="00D135EC">
      <w:pPr>
        <w:pStyle w:val="BodyText"/>
      </w:pPr>
      <w:r w:rsidRPr="005D6D89">
        <w:t xml:space="preserve">Impacts could include more wastewater overflows to waterways and harbours, reduced service levels for stormwater networks due to higher rainfall, and urban pollutants entering downstream environments. Coastal flooding and erosion are a direct risk to nearby infrastructure, </w:t>
      </w:r>
      <w:bookmarkStart w:id="435" w:name="_Hlk40298989"/>
      <w:r w:rsidRPr="005D6D89">
        <w:t>such as low-gradient pipes and wastewater treatment plants</w:t>
      </w:r>
      <w:bookmarkEnd w:id="435"/>
      <w:r w:rsidRPr="005D6D89">
        <w:t>. These impacts</w:t>
      </w:r>
      <w:r w:rsidR="00D135EC" w:rsidRPr="005D6D89">
        <w:t> </w:t>
      </w:r>
      <w:r w:rsidRPr="005D6D89">
        <w:t>will</w:t>
      </w:r>
      <w:r w:rsidR="00D135EC" w:rsidRPr="005D6D89">
        <w:t> </w:t>
      </w:r>
      <w:r w:rsidRPr="005D6D89">
        <w:t xml:space="preserve">likely affect both urban and rural settlements throughout New Zealand. </w:t>
      </w:r>
    </w:p>
    <w:p w14:paraId="0BE4E3D0" w14:textId="77777777" w:rsidR="00E87030" w:rsidRPr="005D6D89" w:rsidRDefault="00E87030" w:rsidP="00D135EC">
      <w:pPr>
        <w:pStyle w:val="BodyText"/>
      </w:pPr>
      <w:r w:rsidRPr="005D6D89">
        <w:t>The adaptive capacity of wastewater and stormwater systems varies, based on factors such as</w:t>
      </w:r>
      <w:r w:rsidR="00D05EB6">
        <w:t> </w:t>
      </w:r>
      <w:r w:rsidRPr="005D6D89">
        <w:t>funding, age and the condition of infrastructure. Typically, for large wastewater treatment plants it is relatively low,</w:t>
      </w:r>
      <w:r w:rsidR="00027F9F" w:rsidRPr="005D6D89">
        <w:t xml:space="preserve"> </w:t>
      </w:r>
      <w:r w:rsidRPr="005D6D89">
        <w:t>whereas for networks it is higher. In New Zealand, a range of climate</w:t>
      </w:r>
      <w:r w:rsidR="00D05EB6">
        <w:noBreakHyphen/>
      </w:r>
      <w:r w:rsidRPr="005D6D89">
        <w:t xml:space="preserve">resilient approaches for networks </w:t>
      </w:r>
      <w:proofErr w:type="gramStart"/>
      <w:r w:rsidRPr="005D6D89">
        <w:t>are considered</w:t>
      </w:r>
      <w:proofErr w:type="gramEnd"/>
      <w:r w:rsidRPr="005D6D89">
        <w:t xml:space="preserve"> best practice. Many councils and water authorities are aware of these, and some have started using them. </w:t>
      </w:r>
    </w:p>
    <w:p w14:paraId="67044EC5" w14:textId="77777777" w:rsidR="00E87030" w:rsidRPr="005D6D89" w:rsidRDefault="00E87030" w:rsidP="00D135EC">
      <w:pPr>
        <w:pStyle w:val="BodyText"/>
      </w:pPr>
      <w:r w:rsidRPr="005D6D89">
        <w:t>For M</w:t>
      </w:r>
      <w:r w:rsidRPr="005D6D89">
        <w:rPr>
          <w:rFonts w:cs="Arial"/>
        </w:rPr>
        <w:t>ā</w:t>
      </w:r>
      <w:r w:rsidRPr="005D6D89">
        <w:t xml:space="preserve">ori, water </w:t>
      </w:r>
      <w:proofErr w:type="gramStart"/>
      <w:r w:rsidRPr="005D6D89">
        <w:t>is seen</w:t>
      </w:r>
      <w:proofErr w:type="gramEnd"/>
      <w:r w:rsidRPr="005D6D89">
        <w:t xml:space="preserve"> as the essence of all life, and the potential for these impacts (such as</w:t>
      </w:r>
      <w:r w:rsidR="00D05EB6">
        <w:t> </w:t>
      </w:r>
      <w:r w:rsidRPr="005D6D89">
        <w:t xml:space="preserve">contamination) to reduce mauri (life force) of waterbodies is likely to be of concern. </w:t>
      </w:r>
    </w:p>
    <w:p w14:paraId="2B4EBBDA" w14:textId="77777777" w:rsidR="00E87030" w:rsidRPr="005D6D89" w:rsidRDefault="00E87030" w:rsidP="00D135EC">
      <w:pPr>
        <w:pStyle w:val="Heading4"/>
        <w:spacing w:before="240"/>
      </w:pPr>
      <w:r w:rsidRPr="005D6D89">
        <w:t>B5 Risks to ports and associated infrastructure</w:t>
      </w:r>
      <w:r w:rsidR="00DE7184">
        <w:t>,</w:t>
      </w:r>
      <w:r w:rsidRPr="005D6D89">
        <w:t xml:space="preserve"> due to extreme weather events and</w:t>
      </w:r>
      <w:r w:rsidR="00D135EC" w:rsidRPr="005D6D89">
        <w:t> </w:t>
      </w:r>
      <w:r w:rsidRPr="005D6D89">
        <w:t xml:space="preserve">ongoing sea-level rise </w:t>
      </w:r>
    </w:p>
    <w:p w14:paraId="06895D56" w14:textId="77777777" w:rsidR="00E87030" w:rsidRPr="005D6D89" w:rsidRDefault="00E87030" w:rsidP="00D135EC">
      <w:pPr>
        <w:pStyle w:val="BodyText"/>
      </w:pPr>
      <w:r w:rsidRPr="005D6D89">
        <w:t>Our ports are currently at low risk from extreme weather events and ongoing sea-level rise. However, these risks are likely to increase –</w:t>
      </w:r>
      <w:r w:rsidR="00027F9F" w:rsidRPr="005D6D89">
        <w:t xml:space="preserve"> </w:t>
      </w:r>
      <w:r w:rsidRPr="005D6D89">
        <w:t xml:space="preserve">in particular, from coastal flooding, strong winds and extreme weather events, which could damage port infrastructure and </w:t>
      </w:r>
      <w:proofErr w:type="gramStart"/>
      <w:r w:rsidRPr="005D6D89">
        <w:t>impact</w:t>
      </w:r>
      <w:proofErr w:type="gramEnd"/>
      <w:r w:rsidRPr="005D6D89">
        <w:t xml:space="preserve"> the operational capability of ports. Associated infrastructure, such as petroleum storage in coastal</w:t>
      </w:r>
      <w:r w:rsidR="00D05EB6">
        <w:t> </w:t>
      </w:r>
      <w:r w:rsidRPr="005D6D89">
        <w:t xml:space="preserve">areas, could also be at risk. </w:t>
      </w:r>
    </w:p>
    <w:p w14:paraId="5ECE5620" w14:textId="77777777" w:rsidR="00E87030" w:rsidRPr="005D6D89" w:rsidRDefault="00E87030" w:rsidP="00D135EC">
      <w:pPr>
        <w:pStyle w:val="BodyText"/>
      </w:pPr>
      <w:r w:rsidRPr="005D6D89">
        <w:t xml:space="preserve">Exposure varies according to factors such as geographic setting, wharf heights, tidal ranges, channel depths, and operating ranges for cranes and machinery. Sensitivity </w:t>
      </w:r>
      <w:proofErr w:type="gramStart"/>
      <w:r w:rsidRPr="005D6D89">
        <w:t>is also driven</w:t>
      </w:r>
      <w:proofErr w:type="gramEnd"/>
      <w:r w:rsidRPr="005D6D89">
        <w:t xml:space="preserve"> by operational characteristics, and the design, condition and age of structures, buildings and equipment. Internationally, there is </w:t>
      </w:r>
      <w:r w:rsidR="00DE7184">
        <w:t xml:space="preserve">a </w:t>
      </w:r>
      <w:r w:rsidRPr="005D6D89">
        <w:t>good understanding of the general sensitivity of ports, but</w:t>
      </w:r>
      <w:r w:rsidR="00D05EB6">
        <w:t> </w:t>
      </w:r>
      <w:r w:rsidRPr="005D6D89">
        <w:t xml:space="preserve">there is limited detailed knowledge about New Zealand ports. Adaptive capacity will vary considerably, and depends on factors such as port design, road and rail access, management and governance, and funding for adaptation. </w:t>
      </w:r>
    </w:p>
    <w:p w14:paraId="2CCAF812" w14:textId="77777777" w:rsidR="00E87030" w:rsidRPr="005D6D89" w:rsidRDefault="00E87030" w:rsidP="00D135EC">
      <w:pPr>
        <w:pStyle w:val="Heading4"/>
        <w:spacing w:before="240"/>
      </w:pPr>
      <w:r w:rsidRPr="005D6D89">
        <w:t>B6 Risks to linear transport networks</w:t>
      </w:r>
      <w:r w:rsidR="00DE7184">
        <w:t>,</w:t>
      </w:r>
      <w:r w:rsidRPr="005D6D89">
        <w:t xml:space="preserve"> due to changes in temperature, extreme weather events and ongoing sea-level rise </w:t>
      </w:r>
    </w:p>
    <w:p w14:paraId="019B9A58" w14:textId="77777777" w:rsidR="00E87030" w:rsidRPr="005D6D89" w:rsidRDefault="00E87030" w:rsidP="00D135EC">
      <w:pPr>
        <w:pStyle w:val="BodyText"/>
        <w:spacing w:before="100"/>
      </w:pPr>
      <w:r w:rsidRPr="005D6D89">
        <w:t>New Zealand</w:t>
      </w:r>
      <w:r w:rsidR="001200EA">
        <w:t>’</w:t>
      </w:r>
      <w:r w:rsidRPr="005D6D89">
        <w:t xml:space="preserve">s road and rail networks, or </w:t>
      </w:r>
      <w:r w:rsidR="001200EA">
        <w:t>‘</w:t>
      </w:r>
      <w:r w:rsidRPr="005D6D89">
        <w:t>linear transport networks</w:t>
      </w:r>
      <w:r w:rsidR="001200EA">
        <w:t>’</w:t>
      </w:r>
      <w:r w:rsidRPr="005D6D89">
        <w:t xml:space="preserve">, are presently at risk from increases in temperature, extreme weather events, drought and </w:t>
      </w:r>
      <w:proofErr w:type="gramStart"/>
      <w:r w:rsidRPr="005D6D89">
        <w:t>sea-level</w:t>
      </w:r>
      <w:proofErr w:type="gramEnd"/>
      <w:r w:rsidRPr="005D6D89">
        <w:t xml:space="preserve"> rise. They are also at risk from inland and coastal flooding, coastal erosion, landslides and groundwater rise, all projected to become more frequent and severe. </w:t>
      </w:r>
    </w:p>
    <w:p w14:paraId="497CC03D" w14:textId="77777777" w:rsidR="00E87030" w:rsidRPr="005D6D89" w:rsidRDefault="00E87030" w:rsidP="00D135EC">
      <w:pPr>
        <w:pStyle w:val="BodyText"/>
        <w:spacing w:before="100"/>
      </w:pPr>
      <w:r w:rsidRPr="005D6D89">
        <w:t xml:space="preserve">Road and rail networks move people and goods across New Zealand, and provide access to critical (lifeline) utilities such as airports, ports, </w:t>
      </w:r>
      <w:r w:rsidR="00DE7184">
        <w:t xml:space="preserve">and </w:t>
      </w:r>
      <w:r w:rsidRPr="005D6D89">
        <w:t xml:space="preserve">power or water infrastructure. Climate change could cause temporary disruption, temporary or permanent damage, and necessitate relocation from at-risk locations. </w:t>
      </w:r>
    </w:p>
    <w:p w14:paraId="51E7CCAF" w14:textId="77777777" w:rsidR="00E87030" w:rsidRPr="005D6D89" w:rsidRDefault="00E87030" w:rsidP="00D135EC">
      <w:pPr>
        <w:pStyle w:val="BodyText"/>
        <w:spacing w:before="100"/>
      </w:pPr>
      <w:r w:rsidRPr="005D6D89">
        <w:t xml:space="preserve">Adapting infrastructure in a cost-effective manner </w:t>
      </w:r>
      <w:proofErr w:type="gramStart"/>
      <w:r w:rsidRPr="005D6D89">
        <w:t>is hampered</w:t>
      </w:r>
      <w:proofErr w:type="gramEnd"/>
      <w:r w:rsidRPr="005D6D89">
        <w:t xml:space="preserve"> by the design constraints of</w:t>
      </w:r>
      <w:r w:rsidR="00D05EB6">
        <w:t> </w:t>
      </w:r>
      <w:r w:rsidRPr="005D6D89">
        <w:t xml:space="preserve">roads and rail. </w:t>
      </w:r>
      <w:proofErr w:type="gramStart"/>
      <w:r w:rsidRPr="005D6D89">
        <w:t>For instance, they are generally fixed, have long design lives and provide essential services that are costly to interrupt.</w:t>
      </w:r>
      <w:proofErr w:type="gramEnd"/>
      <w:r w:rsidRPr="005D6D89">
        <w:t xml:space="preserve"> However, new infrastructure can be located away from risk areas or designed to accommodate projected changes to the climate. </w:t>
      </w:r>
    </w:p>
    <w:p w14:paraId="44A449CA" w14:textId="77777777" w:rsidR="00E87030" w:rsidRPr="005D6D89" w:rsidRDefault="00E87030" w:rsidP="00D135EC">
      <w:pPr>
        <w:pStyle w:val="BodyText"/>
        <w:spacing w:before="100"/>
      </w:pPr>
      <w:r w:rsidRPr="005D6D89">
        <w:t xml:space="preserve">Given the location of Māori communities in coastal regions and near rivers, access roads to marae </w:t>
      </w:r>
      <w:proofErr w:type="gramStart"/>
      <w:r w:rsidRPr="005D6D89">
        <w:t>are often exposed</w:t>
      </w:r>
      <w:proofErr w:type="gramEnd"/>
      <w:r w:rsidRPr="005D6D89">
        <w:t xml:space="preserve"> to flooding, coastal processes and landslides. There could be </w:t>
      </w:r>
      <w:proofErr w:type="gramStart"/>
      <w:r w:rsidRPr="005D6D89">
        <w:t>more frequent damage to the transport network, cutting off marae and wider Māori communities</w:t>
      </w:r>
      <w:proofErr w:type="gramEnd"/>
      <w:r w:rsidRPr="005D6D89">
        <w:t xml:space="preserve">. </w:t>
      </w:r>
    </w:p>
    <w:p w14:paraId="6DAF99A8" w14:textId="77777777" w:rsidR="00E87030" w:rsidRPr="005D6D89" w:rsidRDefault="00E87030" w:rsidP="00D135EC">
      <w:pPr>
        <w:pStyle w:val="Heading4"/>
        <w:spacing w:before="240"/>
      </w:pPr>
      <w:r w:rsidRPr="005D6D89">
        <w:t>B7 Risk to airports</w:t>
      </w:r>
      <w:r w:rsidR="00DE7184">
        <w:t>,</w:t>
      </w:r>
      <w:r w:rsidRPr="005D6D89">
        <w:t xml:space="preserve"> due to changes in temperature, wind, extreme weather events</w:t>
      </w:r>
      <w:r w:rsidR="00D135EC" w:rsidRPr="005D6D89">
        <w:t> </w:t>
      </w:r>
      <w:r w:rsidRPr="005D6D89">
        <w:t xml:space="preserve">and ongoing sea-level rise </w:t>
      </w:r>
    </w:p>
    <w:p w14:paraId="04A6A29E" w14:textId="77777777" w:rsidR="00E87030" w:rsidRPr="005D6D89" w:rsidRDefault="00E87030" w:rsidP="00D135EC">
      <w:pPr>
        <w:pStyle w:val="BodyText"/>
      </w:pPr>
      <w:r w:rsidRPr="005D6D89">
        <w:t xml:space="preserve">Our airports are at risk due to projected changes in temperature, wind, extreme weather events and sea levels. Other hazards include inland and coastal flooding, and coastal erosion. Airports are a vital link during business-as-usual and emergencies, and are defined and listed as lifeline utilities in Schedule 1 of the Civil Defence Emergency Management Act 2002. </w:t>
      </w:r>
    </w:p>
    <w:p w14:paraId="07B9401F" w14:textId="77777777" w:rsidR="00E87030" w:rsidRPr="005D6D89" w:rsidRDefault="00E87030" w:rsidP="00D135EC">
      <w:pPr>
        <w:pStyle w:val="BodyText"/>
      </w:pPr>
      <w:r w:rsidRPr="005D6D89">
        <w:t xml:space="preserve">Climate change could damage airport infrastructure and assets, and extreme weather and flooding could compromise their operation. Increased hot days could also affect aircraft take-off and damage runways. The networked nature of airports to surrounding infrastructure such as access roads and other airports, domestically and internationally, increases the potential for cascading impacts. This heightens the consequences for New Zealand. </w:t>
      </w:r>
    </w:p>
    <w:p w14:paraId="68DDABFE" w14:textId="77777777" w:rsidR="00E87030" w:rsidRPr="005D6D89" w:rsidRDefault="00E87030" w:rsidP="00D135EC">
      <w:pPr>
        <w:pStyle w:val="BodyText"/>
      </w:pPr>
      <w:r w:rsidRPr="005D6D89">
        <w:t xml:space="preserve">The adaptive capacity of airports varies – some have invested in plans to address key risks. </w:t>
      </w:r>
      <w:proofErr w:type="gramStart"/>
      <w:r w:rsidRPr="005D6D89">
        <w:t>For</w:t>
      </w:r>
      <w:r w:rsidR="00C32DB2" w:rsidRPr="005D6D89">
        <w:t> </w:t>
      </w:r>
      <w:r w:rsidRPr="005D6D89">
        <w:t>others, a lack of finance is a major hurdle and will limit adaptive capacity.</w:t>
      </w:r>
      <w:proofErr w:type="gramEnd"/>
    </w:p>
    <w:p w14:paraId="1B1C1B19" w14:textId="77777777" w:rsidR="00E87030" w:rsidRPr="005D6D89" w:rsidRDefault="00E87030" w:rsidP="00D135EC">
      <w:pPr>
        <w:pStyle w:val="Heading4"/>
        <w:spacing w:before="240"/>
      </w:pPr>
      <w:r w:rsidRPr="005D6D89">
        <w:t>B8 Risks to electricity infrastructure</w:t>
      </w:r>
      <w:r w:rsidR="00DE7184">
        <w:t>,</w:t>
      </w:r>
      <w:r w:rsidRPr="005D6D89">
        <w:t xml:space="preserve"> due to changes in temperature, rainfall, snow,</w:t>
      </w:r>
      <w:r w:rsidR="00D135EC" w:rsidRPr="005D6D89">
        <w:t> </w:t>
      </w:r>
      <w:r w:rsidRPr="005D6D89">
        <w:t xml:space="preserve">extreme weather events, wind and increased fire weather </w:t>
      </w:r>
    </w:p>
    <w:p w14:paraId="2048502C" w14:textId="77777777" w:rsidR="00E87030" w:rsidRPr="005D6D89" w:rsidRDefault="00E87030" w:rsidP="00D135EC">
      <w:pPr>
        <w:pStyle w:val="BodyText"/>
      </w:pPr>
      <w:r w:rsidRPr="005D6D89">
        <w:t>Climate change presents a range of risks for New Zealand</w:t>
      </w:r>
      <w:r w:rsidR="001200EA">
        <w:t>’</w:t>
      </w:r>
      <w:r w:rsidRPr="005D6D89">
        <w:t>s electricity infrastructure. These mainly relate to changes in temperature, rainfall, snow, extreme weather events, wind and fire</w:t>
      </w:r>
      <w:r w:rsidR="00D135EC" w:rsidRPr="005D6D89">
        <w:t> </w:t>
      </w:r>
      <w:r w:rsidRPr="005D6D89">
        <w:t xml:space="preserve">weather. Other hazards include inland and coastal flooding. For generation infrastructure, present-day risks are low, with limited changes projected. </w:t>
      </w:r>
    </w:p>
    <w:p w14:paraId="11386368" w14:textId="77777777" w:rsidR="00E87030" w:rsidRPr="005D6D89" w:rsidRDefault="00E87030" w:rsidP="00D135EC">
      <w:pPr>
        <w:pStyle w:val="BodyText"/>
      </w:pPr>
      <w:r w:rsidRPr="005D6D89">
        <w:t>Our heavy reliance on renewable electricity sources (particularly hydro-electric</w:t>
      </w:r>
      <w:r w:rsidR="00DE7184">
        <w:t>ity</w:t>
      </w:r>
      <w:r w:rsidRPr="005D6D89">
        <w:t xml:space="preserve"> and wind) exposes us to climate variability. Climate change could also affect demand for electricity due</w:t>
      </w:r>
      <w:r w:rsidR="00D135EC" w:rsidRPr="005D6D89">
        <w:t> </w:t>
      </w:r>
      <w:r w:rsidRPr="005D6D89">
        <w:t>to</w:t>
      </w:r>
      <w:r w:rsidR="00D135EC" w:rsidRPr="005D6D89">
        <w:t> </w:t>
      </w:r>
      <w:r w:rsidRPr="005D6D89">
        <w:t>higher cooling demand in summer, and lower heating demand in winter. Transmission and distribution infrastructure is currently at risk of disruption and damage from climate hazards, including extreme weather and fire weather, and this risk will increase. If not well managed, the risks to electricity transmission and distribution infrastructure could compromise energy security.</w:t>
      </w:r>
    </w:p>
    <w:p w14:paraId="3B4A41D5" w14:textId="77777777" w:rsidR="00E87030" w:rsidRPr="005D6D89" w:rsidRDefault="00E87030" w:rsidP="00D135EC">
      <w:pPr>
        <w:pStyle w:val="BodyText"/>
      </w:pPr>
      <w:r w:rsidRPr="005D6D89">
        <w:t>Electricity generation in New Zealand has moderate adaptive capacity, given that the national</w:t>
      </w:r>
      <w:r w:rsidR="00D135EC" w:rsidRPr="005D6D89">
        <w:t> </w:t>
      </w:r>
      <w:r w:rsidRPr="005D6D89">
        <w:t>grid has diverse sources. A number of electricity generation companies are actively assessing, modelling and planning for risks from climate change. Transmission and distribution infrastructure have lower adaptive capacity, given that many networks are already operating at capacity.</w:t>
      </w:r>
    </w:p>
    <w:p w14:paraId="2ACC52EF" w14:textId="77777777" w:rsidR="00412B19" w:rsidRDefault="00412B19" w:rsidP="00812D16">
      <w:pPr>
        <w:pStyle w:val="Heading2"/>
        <w:numPr>
          <w:ilvl w:val="0"/>
          <w:numId w:val="26"/>
        </w:numPr>
        <w:spacing w:before="320" w:after="120"/>
      </w:pPr>
      <w:bookmarkStart w:id="436" w:name="_Toc37255787"/>
      <w:bookmarkStart w:id="437" w:name="_Toc37393688"/>
      <w:bookmarkStart w:id="438" w:name="_Toc40699366"/>
      <w:bookmarkStart w:id="439" w:name="_Toc43064143"/>
      <w:r w:rsidRPr="005D6D89">
        <w:t>Governance domain | Rohe kāwanatanga</w:t>
      </w:r>
      <w:bookmarkEnd w:id="436"/>
      <w:bookmarkEnd w:id="437"/>
      <w:bookmarkEnd w:id="438"/>
      <w:bookmarkEnd w:id="439"/>
    </w:p>
    <w:p w14:paraId="7B966A65" w14:textId="77777777" w:rsidR="004A3A27" w:rsidRPr="004A3A27" w:rsidRDefault="004A3A27" w:rsidP="004A3A27">
      <w:pPr>
        <w:pStyle w:val="Tableheading"/>
      </w:pPr>
      <w:bookmarkStart w:id="440" w:name="_Toc43312818"/>
      <w:r>
        <w:t>Table 24:</w:t>
      </w:r>
      <w:r>
        <w:tab/>
        <w:t>Governance domain</w:t>
      </w:r>
      <w:bookmarkEnd w:id="440"/>
    </w:p>
    <w:tbl>
      <w:tblPr>
        <w:tblW w:w="8613" w:type="dxa"/>
        <w:tblBorders>
          <w:bottom w:val="single" w:sz="4" w:space="0" w:color="66D2EF"/>
          <w:insideH w:val="single" w:sz="4" w:space="0" w:color="6FC7B7"/>
          <w:insideV w:val="single" w:sz="4" w:space="0" w:color="6FC7B7"/>
        </w:tblBorders>
        <w:tblLook w:val="04A0" w:firstRow="1" w:lastRow="0" w:firstColumn="1" w:lastColumn="0" w:noHBand="0" w:noVBand="1"/>
      </w:tblPr>
      <w:tblGrid>
        <w:gridCol w:w="6486"/>
        <w:gridCol w:w="911"/>
        <w:gridCol w:w="1216"/>
      </w:tblGrid>
      <w:tr w:rsidR="00A854AB" w:rsidRPr="00A854AB" w14:paraId="4B8D1BD3" w14:textId="77777777" w:rsidTr="00095C79">
        <w:trPr>
          <w:tblHeader/>
        </w:trPr>
        <w:tc>
          <w:tcPr>
            <w:tcW w:w="3765" w:type="pct"/>
            <w:tcBorders>
              <w:top w:val="single" w:sz="4" w:space="0" w:color="6FC7B7"/>
              <w:bottom w:val="single" w:sz="4" w:space="0" w:color="6FC7B7"/>
            </w:tcBorders>
            <w:shd w:val="clear" w:color="auto" w:fill="6FC7B7"/>
            <w:hideMark/>
          </w:tcPr>
          <w:p w14:paraId="547CA125" w14:textId="77777777" w:rsidR="00F238DE" w:rsidRPr="00A854AB" w:rsidRDefault="00F238DE" w:rsidP="00514AC8">
            <w:pPr>
              <w:pStyle w:val="TableTextBold0"/>
              <w:keepNext/>
              <w:rPr>
                <w:color w:val="FFFFFF" w:themeColor="background1"/>
              </w:rPr>
            </w:pPr>
            <w:bookmarkStart w:id="441" w:name="_Hlk37675281"/>
            <w:r w:rsidRPr="00A854AB">
              <w:rPr>
                <w:color w:val="FFFFFF" w:themeColor="background1"/>
              </w:rPr>
              <w:t xml:space="preserve">Governance </w:t>
            </w:r>
          </w:p>
        </w:tc>
        <w:tc>
          <w:tcPr>
            <w:tcW w:w="529" w:type="pct"/>
            <w:tcBorders>
              <w:top w:val="single" w:sz="4" w:space="0" w:color="6FC7B7"/>
              <w:bottom w:val="single" w:sz="4" w:space="0" w:color="6FC7B7"/>
            </w:tcBorders>
            <w:shd w:val="clear" w:color="auto" w:fill="6FC7B7"/>
          </w:tcPr>
          <w:p w14:paraId="4C3EFD67" w14:textId="77777777" w:rsidR="00F238DE" w:rsidRPr="00A854AB" w:rsidRDefault="00F238DE" w:rsidP="00F238DE">
            <w:pPr>
              <w:pStyle w:val="TableTextBold0"/>
              <w:keepNext/>
              <w:rPr>
                <w:color w:val="FFFFFF" w:themeColor="background1"/>
              </w:rPr>
            </w:pPr>
          </w:p>
        </w:tc>
        <w:tc>
          <w:tcPr>
            <w:tcW w:w="705" w:type="pct"/>
            <w:tcBorders>
              <w:top w:val="single" w:sz="4" w:space="0" w:color="6FC7B7"/>
              <w:bottom w:val="single" w:sz="4" w:space="0" w:color="6FC7B7"/>
            </w:tcBorders>
            <w:shd w:val="clear" w:color="auto" w:fill="6FC7B7"/>
          </w:tcPr>
          <w:p w14:paraId="278C4704" w14:textId="77777777" w:rsidR="00F238DE" w:rsidRPr="00A854AB" w:rsidRDefault="00F238DE" w:rsidP="00514AC8">
            <w:pPr>
              <w:pStyle w:val="TableTextBold0"/>
              <w:keepNext/>
              <w:rPr>
                <w:color w:val="FFFFFF" w:themeColor="background1"/>
              </w:rPr>
            </w:pPr>
          </w:p>
        </w:tc>
      </w:tr>
      <w:tr w:rsidR="00F238DE" w:rsidRPr="005D6D89" w14:paraId="174AEDDF" w14:textId="77777777" w:rsidTr="00095C79">
        <w:trPr>
          <w:tblHeader/>
        </w:trPr>
        <w:tc>
          <w:tcPr>
            <w:tcW w:w="3765" w:type="pct"/>
            <w:tcBorders>
              <w:top w:val="single" w:sz="4" w:space="0" w:color="6FC7B7"/>
              <w:bottom w:val="nil"/>
              <w:right w:val="nil"/>
            </w:tcBorders>
            <w:shd w:val="clear" w:color="auto" w:fill="D2DDE2" w:themeFill="accent3"/>
          </w:tcPr>
          <w:p w14:paraId="7F715067" w14:textId="77777777" w:rsidR="00F238DE" w:rsidRPr="005D6D89" w:rsidRDefault="00F238DE" w:rsidP="00DE3B86">
            <w:pPr>
              <w:pStyle w:val="TableTextBold0"/>
              <w:keepNext/>
              <w:spacing w:after="0"/>
            </w:pPr>
          </w:p>
        </w:tc>
        <w:tc>
          <w:tcPr>
            <w:tcW w:w="1235" w:type="pct"/>
            <w:gridSpan w:val="2"/>
            <w:tcBorders>
              <w:top w:val="single" w:sz="4" w:space="0" w:color="6FC7B7"/>
              <w:left w:val="nil"/>
              <w:bottom w:val="nil"/>
            </w:tcBorders>
            <w:shd w:val="clear" w:color="auto" w:fill="D2DDE2" w:themeFill="accent3"/>
          </w:tcPr>
          <w:p w14:paraId="39268F0E" w14:textId="77777777" w:rsidR="00F238DE" w:rsidRPr="005D6D89" w:rsidRDefault="00DE3B86" w:rsidP="00DE3B86">
            <w:pPr>
              <w:pStyle w:val="TableTextBold0"/>
              <w:keepNext/>
              <w:spacing w:after="0"/>
              <w:jc w:val="center"/>
            </w:pPr>
            <w:r>
              <w:t>Ratings</w:t>
            </w:r>
          </w:p>
        </w:tc>
      </w:tr>
      <w:tr w:rsidR="009F2C2F" w:rsidRPr="005D6D89" w14:paraId="71B58D4C" w14:textId="77777777" w:rsidTr="00095C79">
        <w:tc>
          <w:tcPr>
            <w:tcW w:w="3765" w:type="pct"/>
            <w:tcBorders>
              <w:top w:val="nil"/>
              <w:bottom w:val="nil"/>
              <w:right w:val="nil"/>
            </w:tcBorders>
            <w:shd w:val="clear" w:color="auto" w:fill="D2DDE2" w:themeFill="accent3"/>
            <w:tcMar>
              <w:top w:w="0" w:type="dxa"/>
              <w:left w:w="108" w:type="dxa"/>
              <w:bottom w:w="0" w:type="dxa"/>
              <w:right w:w="108" w:type="dxa"/>
            </w:tcMar>
            <w:hideMark/>
          </w:tcPr>
          <w:p w14:paraId="30943910" w14:textId="77777777" w:rsidR="00741697" w:rsidRPr="005D6D89" w:rsidRDefault="00741697" w:rsidP="00DF6366">
            <w:pPr>
              <w:pStyle w:val="TableText"/>
              <w:spacing w:before="0"/>
              <w:rPr>
                <w:b/>
              </w:rPr>
            </w:pPr>
            <w:r w:rsidRPr="005D6D89">
              <w:rPr>
                <w:b/>
              </w:rPr>
              <w:t>Most significant risks</w:t>
            </w:r>
          </w:p>
        </w:tc>
        <w:tc>
          <w:tcPr>
            <w:tcW w:w="529" w:type="pct"/>
            <w:tcBorders>
              <w:top w:val="nil"/>
              <w:left w:val="nil"/>
              <w:bottom w:val="nil"/>
              <w:right w:val="nil"/>
            </w:tcBorders>
            <w:shd w:val="clear" w:color="auto" w:fill="D2DDE2" w:themeFill="accent3"/>
          </w:tcPr>
          <w:p w14:paraId="415DE55E" w14:textId="77777777" w:rsidR="00741697" w:rsidRPr="005D6D89" w:rsidRDefault="00741697" w:rsidP="00DF6366">
            <w:pPr>
              <w:pStyle w:val="TableText"/>
              <w:spacing w:before="0"/>
              <w:jc w:val="center"/>
              <w:rPr>
                <w:b/>
              </w:rPr>
            </w:pPr>
            <w:r w:rsidRPr="005D6D89">
              <w:rPr>
                <w:b/>
                <w:bCs/>
              </w:rPr>
              <w:t>Urgency</w:t>
            </w:r>
          </w:p>
        </w:tc>
        <w:tc>
          <w:tcPr>
            <w:tcW w:w="705" w:type="pct"/>
            <w:tcBorders>
              <w:top w:val="nil"/>
              <w:left w:val="nil"/>
              <w:bottom w:val="nil"/>
            </w:tcBorders>
            <w:shd w:val="clear" w:color="auto" w:fill="D2DDE2" w:themeFill="accent3"/>
          </w:tcPr>
          <w:p w14:paraId="4A3516B9" w14:textId="77777777" w:rsidR="00741697" w:rsidRPr="005D6D89" w:rsidRDefault="00741697" w:rsidP="00DF6366">
            <w:pPr>
              <w:pStyle w:val="TableText"/>
              <w:spacing w:before="0"/>
              <w:rPr>
                <w:b/>
              </w:rPr>
            </w:pPr>
            <w:r w:rsidRPr="005D6D89">
              <w:rPr>
                <w:b/>
                <w:bCs/>
              </w:rPr>
              <w:t>Consequence</w:t>
            </w:r>
          </w:p>
        </w:tc>
      </w:tr>
      <w:tr w:rsidR="00C32DB2" w:rsidRPr="005D6D89" w14:paraId="7F017D0B" w14:textId="77777777" w:rsidTr="00095C79">
        <w:tc>
          <w:tcPr>
            <w:tcW w:w="3765" w:type="pct"/>
            <w:tcBorders>
              <w:top w:val="nil"/>
            </w:tcBorders>
            <w:tcMar>
              <w:top w:w="0" w:type="dxa"/>
              <w:left w:w="108" w:type="dxa"/>
              <w:bottom w:w="0" w:type="dxa"/>
              <w:right w:w="108" w:type="dxa"/>
            </w:tcMar>
            <w:hideMark/>
          </w:tcPr>
          <w:p w14:paraId="5CFA917F" w14:textId="77777777" w:rsidR="0007444F" w:rsidRPr="005D6D89" w:rsidRDefault="0007444F" w:rsidP="0007444F">
            <w:pPr>
              <w:pStyle w:val="TableText"/>
            </w:pPr>
            <w:r w:rsidRPr="005D6D89">
              <w:t>G1 Risk of maladaptation across all domains due to the application of practices, processes and tools that do not account for uncertainty and change over long timeframes.</w:t>
            </w:r>
          </w:p>
        </w:tc>
        <w:tc>
          <w:tcPr>
            <w:tcW w:w="529" w:type="pct"/>
            <w:tcBorders>
              <w:top w:val="nil"/>
            </w:tcBorders>
          </w:tcPr>
          <w:p w14:paraId="13AC9CC4" w14:textId="77777777" w:rsidR="0007444F" w:rsidRPr="005D6D89" w:rsidRDefault="0007444F" w:rsidP="002219C2">
            <w:pPr>
              <w:pStyle w:val="TableText"/>
              <w:jc w:val="center"/>
            </w:pPr>
            <w:r w:rsidRPr="005D6D89">
              <w:t>83*</w:t>
            </w:r>
          </w:p>
        </w:tc>
        <w:tc>
          <w:tcPr>
            <w:tcW w:w="705" w:type="pct"/>
            <w:tcBorders>
              <w:top w:val="nil"/>
            </w:tcBorders>
            <w:shd w:val="clear" w:color="auto" w:fill="FFFFFF" w:themeFill="background1"/>
          </w:tcPr>
          <w:p w14:paraId="6006C6B2" w14:textId="77777777" w:rsidR="0007444F" w:rsidRPr="005D6D89" w:rsidRDefault="0007444F" w:rsidP="00741697">
            <w:pPr>
              <w:pStyle w:val="TableText"/>
            </w:pPr>
            <w:r w:rsidRPr="005D6D89">
              <w:t>Extreme</w:t>
            </w:r>
            <w:r w:rsidRPr="005D6D89">
              <w:rPr>
                <w:b/>
                <w:bCs/>
              </w:rPr>
              <w:t>**</w:t>
            </w:r>
          </w:p>
        </w:tc>
      </w:tr>
      <w:tr w:rsidR="00C32DB2" w:rsidRPr="005D6D89" w14:paraId="42A71AF3" w14:textId="77777777" w:rsidTr="00095C79">
        <w:tc>
          <w:tcPr>
            <w:tcW w:w="3765" w:type="pct"/>
            <w:tcBorders>
              <w:bottom w:val="nil"/>
            </w:tcBorders>
            <w:tcMar>
              <w:top w:w="0" w:type="dxa"/>
              <w:left w:w="108" w:type="dxa"/>
              <w:bottom w:w="0" w:type="dxa"/>
              <w:right w:w="108" w:type="dxa"/>
            </w:tcMar>
            <w:hideMark/>
          </w:tcPr>
          <w:p w14:paraId="7726FBCA" w14:textId="77777777" w:rsidR="0007444F" w:rsidRPr="005D6D89" w:rsidRDefault="0007444F" w:rsidP="0007444F">
            <w:pPr>
              <w:pStyle w:val="TableText"/>
            </w:pPr>
            <w:bookmarkStart w:id="442" w:name="_Hlk35602276"/>
            <w:r w:rsidRPr="005D6D89">
              <w:t xml:space="preserve">G2 Risk that climate change </w:t>
            </w:r>
            <w:proofErr w:type="gramStart"/>
            <w:r w:rsidRPr="005D6D89">
              <w:t>impacts</w:t>
            </w:r>
            <w:proofErr w:type="gramEnd"/>
            <w:r w:rsidRPr="005D6D89">
              <w:t xml:space="preserve"> across all domains will be exacerbated because current institutional arrangements are not fit for climate change adaptation. Institutional arrangements include legislative and decision-making frameworks, coordination within and across levels of government and funding mechanisms</w:t>
            </w:r>
            <w:r w:rsidR="00DE7184">
              <w:t>.</w:t>
            </w:r>
          </w:p>
        </w:tc>
        <w:tc>
          <w:tcPr>
            <w:tcW w:w="529" w:type="pct"/>
            <w:tcBorders>
              <w:bottom w:val="nil"/>
            </w:tcBorders>
          </w:tcPr>
          <w:p w14:paraId="2D966AB2" w14:textId="77777777" w:rsidR="0007444F" w:rsidRPr="005D6D89" w:rsidRDefault="0007444F" w:rsidP="002219C2">
            <w:pPr>
              <w:pStyle w:val="TableText"/>
              <w:jc w:val="center"/>
            </w:pPr>
            <w:r w:rsidRPr="005D6D89">
              <w:t>80</w:t>
            </w:r>
          </w:p>
        </w:tc>
        <w:tc>
          <w:tcPr>
            <w:tcW w:w="705" w:type="pct"/>
            <w:tcBorders>
              <w:bottom w:val="nil"/>
            </w:tcBorders>
            <w:shd w:val="clear" w:color="auto" w:fill="FFFFFF" w:themeFill="background1"/>
          </w:tcPr>
          <w:p w14:paraId="7E88014E" w14:textId="77777777" w:rsidR="0007444F" w:rsidRPr="005D6D89" w:rsidRDefault="0007444F" w:rsidP="00741697">
            <w:pPr>
              <w:pStyle w:val="TableText"/>
            </w:pPr>
            <w:r w:rsidRPr="005D6D89">
              <w:t>Extreme</w:t>
            </w:r>
          </w:p>
        </w:tc>
      </w:tr>
      <w:bookmarkEnd w:id="442"/>
      <w:tr w:rsidR="00741697" w:rsidRPr="005D6D89" w14:paraId="6734DA65" w14:textId="77777777" w:rsidTr="00095C79">
        <w:tc>
          <w:tcPr>
            <w:tcW w:w="5000" w:type="pct"/>
            <w:gridSpan w:val="3"/>
            <w:tcBorders>
              <w:top w:val="nil"/>
              <w:bottom w:val="nil"/>
            </w:tcBorders>
            <w:shd w:val="clear" w:color="auto" w:fill="D2DDE2" w:themeFill="accent3"/>
            <w:tcMar>
              <w:top w:w="0" w:type="dxa"/>
              <w:left w:w="108" w:type="dxa"/>
              <w:bottom w:w="0" w:type="dxa"/>
              <w:right w:w="108" w:type="dxa"/>
            </w:tcMar>
            <w:hideMark/>
          </w:tcPr>
          <w:p w14:paraId="1FC1C1CF" w14:textId="77777777" w:rsidR="00741697" w:rsidRPr="005D6D89" w:rsidRDefault="00741697" w:rsidP="00741697">
            <w:pPr>
              <w:pStyle w:val="TableTextBold0"/>
            </w:pPr>
            <w:r w:rsidRPr="005D6D89">
              <w:t>Other priority risks (Stage 2)</w:t>
            </w:r>
          </w:p>
        </w:tc>
      </w:tr>
      <w:tr w:rsidR="00C32DB2" w:rsidRPr="005D6D89" w14:paraId="0A245C30" w14:textId="77777777" w:rsidTr="00095C79">
        <w:tc>
          <w:tcPr>
            <w:tcW w:w="3765" w:type="pct"/>
            <w:tcBorders>
              <w:top w:val="nil"/>
            </w:tcBorders>
            <w:tcMar>
              <w:top w:w="0" w:type="dxa"/>
              <w:left w:w="108" w:type="dxa"/>
              <w:bottom w:w="0" w:type="dxa"/>
              <w:right w:w="108" w:type="dxa"/>
            </w:tcMar>
            <w:hideMark/>
          </w:tcPr>
          <w:p w14:paraId="71AB375F" w14:textId="77777777" w:rsidR="0007444F" w:rsidRPr="005D6D89" w:rsidRDefault="0007444F" w:rsidP="00741697">
            <w:pPr>
              <w:pStyle w:val="TableText"/>
              <w:rPr>
                <w:rFonts w:cs="Arial"/>
                <w:bCs/>
                <w:color w:val="000000"/>
              </w:rPr>
            </w:pPr>
            <w:bookmarkStart w:id="443" w:name="_Hlk35602286"/>
            <w:r w:rsidRPr="005D6D89">
              <w:rPr>
                <w:rFonts w:cs="Arial"/>
                <w:bCs/>
                <w:color w:val="000000"/>
              </w:rPr>
              <w:t>G3 Risks to governments and</w:t>
            </w:r>
            <w:r w:rsidR="00637285">
              <w:rPr>
                <w:rFonts w:cs="Arial"/>
                <w:bCs/>
                <w:color w:val="000000"/>
              </w:rPr>
              <w:t xml:space="preserve"> businesses from climate change-</w:t>
            </w:r>
            <w:r w:rsidRPr="005D6D89">
              <w:rPr>
                <w:rFonts w:cs="Arial"/>
                <w:bCs/>
                <w:color w:val="000000"/>
              </w:rPr>
              <w:t>related litigation, due to inadequate or mistimed climate change adaptation.</w:t>
            </w:r>
          </w:p>
        </w:tc>
        <w:tc>
          <w:tcPr>
            <w:tcW w:w="529" w:type="pct"/>
            <w:tcBorders>
              <w:top w:val="nil"/>
            </w:tcBorders>
          </w:tcPr>
          <w:p w14:paraId="507819D1" w14:textId="77777777" w:rsidR="0007444F" w:rsidRPr="005D6D89" w:rsidRDefault="0007444F" w:rsidP="002219C2">
            <w:pPr>
              <w:pStyle w:val="TableText"/>
              <w:jc w:val="center"/>
            </w:pPr>
            <w:r w:rsidRPr="005D6D89">
              <w:t>78</w:t>
            </w:r>
          </w:p>
        </w:tc>
        <w:tc>
          <w:tcPr>
            <w:tcW w:w="705" w:type="pct"/>
            <w:tcBorders>
              <w:top w:val="nil"/>
            </w:tcBorders>
            <w:shd w:val="clear" w:color="auto" w:fill="FFFFFF" w:themeFill="background1"/>
          </w:tcPr>
          <w:p w14:paraId="2A834CC1" w14:textId="77777777" w:rsidR="0007444F" w:rsidRPr="005D6D89" w:rsidRDefault="0007444F" w:rsidP="00741697">
            <w:pPr>
              <w:pStyle w:val="TableText"/>
            </w:pPr>
            <w:r w:rsidRPr="005D6D89">
              <w:t>Extreme</w:t>
            </w:r>
          </w:p>
        </w:tc>
      </w:tr>
      <w:bookmarkEnd w:id="443"/>
      <w:tr w:rsidR="00C32DB2" w:rsidRPr="005D6D89" w14:paraId="2590AB7D" w14:textId="77777777" w:rsidTr="00095C79">
        <w:tc>
          <w:tcPr>
            <w:tcW w:w="3765" w:type="pct"/>
            <w:tcMar>
              <w:left w:w="108" w:type="dxa"/>
              <w:right w:w="108" w:type="dxa"/>
            </w:tcMar>
          </w:tcPr>
          <w:p w14:paraId="2FF14946" w14:textId="77777777" w:rsidR="0007444F" w:rsidRPr="005D6D89" w:rsidRDefault="0007444F" w:rsidP="00741697">
            <w:pPr>
              <w:pStyle w:val="TableText"/>
              <w:rPr>
                <w:rFonts w:cs="Arial"/>
                <w:bCs/>
                <w:color w:val="000000"/>
              </w:rPr>
            </w:pPr>
            <w:r w:rsidRPr="005D6D89">
              <w:rPr>
                <w:rFonts w:cs="Arial"/>
                <w:bCs/>
                <w:color w:val="000000"/>
              </w:rPr>
              <w:t>G4 Risk of a breach of Treaty obligations from a failure to engage adequately with and protect current and future generations of Māori from the impacts of climate change.</w:t>
            </w:r>
          </w:p>
        </w:tc>
        <w:tc>
          <w:tcPr>
            <w:tcW w:w="529" w:type="pct"/>
          </w:tcPr>
          <w:p w14:paraId="5694BFDF" w14:textId="77777777" w:rsidR="0007444F" w:rsidRPr="005D6D89" w:rsidRDefault="0007444F" w:rsidP="002219C2">
            <w:pPr>
              <w:pStyle w:val="TableText"/>
              <w:jc w:val="center"/>
            </w:pPr>
            <w:r w:rsidRPr="005D6D89">
              <w:t>75</w:t>
            </w:r>
          </w:p>
        </w:tc>
        <w:tc>
          <w:tcPr>
            <w:tcW w:w="705" w:type="pct"/>
            <w:shd w:val="clear" w:color="auto" w:fill="FFFFFF" w:themeFill="background1"/>
          </w:tcPr>
          <w:p w14:paraId="2391A5C1" w14:textId="77777777" w:rsidR="0007444F" w:rsidRPr="005D6D89" w:rsidRDefault="0007444F" w:rsidP="00741697">
            <w:pPr>
              <w:pStyle w:val="TableText"/>
            </w:pPr>
            <w:r w:rsidRPr="005D6D89">
              <w:t>Major</w:t>
            </w:r>
          </w:p>
        </w:tc>
      </w:tr>
      <w:tr w:rsidR="00C32DB2" w:rsidRPr="005D6D89" w14:paraId="47752072" w14:textId="77777777" w:rsidTr="00095C79">
        <w:tc>
          <w:tcPr>
            <w:tcW w:w="3765" w:type="pct"/>
            <w:tcMar>
              <w:top w:w="0" w:type="dxa"/>
              <w:left w:w="108" w:type="dxa"/>
              <w:bottom w:w="0" w:type="dxa"/>
              <w:right w:w="108" w:type="dxa"/>
            </w:tcMar>
          </w:tcPr>
          <w:p w14:paraId="3A0FB41A" w14:textId="77777777" w:rsidR="0007444F" w:rsidRPr="005D6D89" w:rsidRDefault="0007444F" w:rsidP="00741697">
            <w:pPr>
              <w:pStyle w:val="TableText"/>
              <w:rPr>
                <w:rFonts w:cs="Arial"/>
                <w:bCs/>
                <w:color w:val="000000"/>
              </w:rPr>
            </w:pPr>
            <w:r w:rsidRPr="005D6D89">
              <w:rPr>
                <w:rFonts w:cs="Arial"/>
                <w:bCs/>
                <w:color w:val="000000"/>
              </w:rPr>
              <w:t>G5 Risk of delayed adaptation and maladaptation due to knowledge gaps resulting from under-investment in climate adaptation research and capacity building.</w:t>
            </w:r>
          </w:p>
        </w:tc>
        <w:tc>
          <w:tcPr>
            <w:tcW w:w="529" w:type="pct"/>
          </w:tcPr>
          <w:p w14:paraId="077D0D2F" w14:textId="77777777" w:rsidR="0007444F" w:rsidRPr="005D6D89" w:rsidRDefault="0007444F" w:rsidP="002219C2">
            <w:pPr>
              <w:pStyle w:val="TableText"/>
              <w:jc w:val="center"/>
            </w:pPr>
            <w:r w:rsidRPr="005D6D89">
              <w:t>75</w:t>
            </w:r>
          </w:p>
        </w:tc>
        <w:tc>
          <w:tcPr>
            <w:tcW w:w="705" w:type="pct"/>
            <w:shd w:val="clear" w:color="auto" w:fill="FFFFFF" w:themeFill="background1"/>
          </w:tcPr>
          <w:p w14:paraId="636F7F57" w14:textId="77777777" w:rsidR="0007444F" w:rsidRPr="005D6D89" w:rsidRDefault="0007444F" w:rsidP="00741697">
            <w:pPr>
              <w:pStyle w:val="TableText"/>
            </w:pPr>
            <w:r w:rsidRPr="005D6D89">
              <w:t>Major</w:t>
            </w:r>
          </w:p>
        </w:tc>
      </w:tr>
      <w:tr w:rsidR="00C32DB2" w:rsidRPr="005D6D89" w14:paraId="3FBA5CCF" w14:textId="77777777" w:rsidTr="00095C79">
        <w:tc>
          <w:tcPr>
            <w:tcW w:w="3765" w:type="pct"/>
            <w:tcMar>
              <w:top w:w="0" w:type="dxa"/>
              <w:left w:w="108" w:type="dxa"/>
              <w:bottom w:w="0" w:type="dxa"/>
              <w:right w:w="108" w:type="dxa"/>
            </w:tcMar>
            <w:hideMark/>
          </w:tcPr>
          <w:p w14:paraId="736A8835" w14:textId="633A6DB5" w:rsidR="0007444F" w:rsidRPr="005D6D89" w:rsidRDefault="0007444F" w:rsidP="00741697">
            <w:pPr>
              <w:pStyle w:val="TableText"/>
              <w:rPr>
                <w:rFonts w:cs="Arial"/>
                <w:bCs/>
                <w:color w:val="000000"/>
              </w:rPr>
            </w:pPr>
            <w:r w:rsidRPr="005D6D89">
              <w:rPr>
                <w:rFonts w:cs="Arial"/>
                <w:bCs/>
                <w:color w:val="000000"/>
              </w:rPr>
              <w:t>G6 Risk</w:t>
            </w:r>
            <w:r w:rsidR="00A94B7D">
              <w:rPr>
                <w:rFonts w:cs="Arial"/>
                <w:bCs/>
                <w:color w:val="000000"/>
              </w:rPr>
              <w:t>s</w:t>
            </w:r>
            <w:r w:rsidRPr="005D6D89">
              <w:rPr>
                <w:rFonts w:cs="Arial"/>
                <w:bCs/>
                <w:color w:val="000000"/>
              </w:rPr>
              <w:t xml:space="preserve"> to the ability of the emergency management system to respond to an increasing frequency and scale of compounding and cascading climate change impacts in New Zealand and the Pacific region.</w:t>
            </w:r>
          </w:p>
        </w:tc>
        <w:tc>
          <w:tcPr>
            <w:tcW w:w="529" w:type="pct"/>
          </w:tcPr>
          <w:p w14:paraId="58F84E71" w14:textId="77777777" w:rsidR="0007444F" w:rsidRPr="005D6D89" w:rsidRDefault="0007444F" w:rsidP="002219C2">
            <w:pPr>
              <w:pStyle w:val="TableText"/>
              <w:jc w:val="center"/>
            </w:pPr>
            <w:r w:rsidRPr="005D6D89">
              <w:t>70</w:t>
            </w:r>
          </w:p>
        </w:tc>
        <w:tc>
          <w:tcPr>
            <w:tcW w:w="705" w:type="pct"/>
            <w:shd w:val="clear" w:color="auto" w:fill="FFFFFF" w:themeFill="background1"/>
          </w:tcPr>
          <w:p w14:paraId="48E62230" w14:textId="77777777" w:rsidR="0007444F" w:rsidRPr="005D6D89" w:rsidRDefault="0007444F" w:rsidP="00741697">
            <w:pPr>
              <w:pStyle w:val="TableText"/>
            </w:pPr>
            <w:r w:rsidRPr="005D6D89">
              <w:t>Major</w:t>
            </w:r>
          </w:p>
        </w:tc>
      </w:tr>
      <w:tr w:rsidR="00C32DB2" w:rsidRPr="005D6D89" w14:paraId="2DA17DF8" w14:textId="77777777" w:rsidTr="00095C79">
        <w:tc>
          <w:tcPr>
            <w:tcW w:w="3765" w:type="pct"/>
            <w:tcMar>
              <w:left w:w="108" w:type="dxa"/>
              <w:right w:w="108" w:type="dxa"/>
            </w:tcMar>
          </w:tcPr>
          <w:p w14:paraId="6B875514" w14:textId="77777777" w:rsidR="0007444F" w:rsidRPr="005D6D89" w:rsidRDefault="0007444F" w:rsidP="00741697">
            <w:pPr>
              <w:pStyle w:val="TableText"/>
              <w:rPr>
                <w:rFonts w:cs="Arial"/>
                <w:bCs/>
                <w:color w:val="000000"/>
              </w:rPr>
            </w:pPr>
            <w:r w:rsidRPr="005D6D89">
              <w:rPr>
                <w:rFonts w:cs="Arial"/>
                <w:bCs/>
                <w:color w:val="000000"/>
              </w:rPr>
              <w:t xml:space="preserve">G7 Risk that effective </w:t>
            </w:r>
            <w:proofErr w:type="gramStart"/>
            <w:r w:rsidRPr="005D6D89">
              <w:rPr>
                <w:rFonts w:cs="Arial"/>
                <w:bCs/>
                <w:color w:val="000000"/>
              </w:rPr>
              <w:t>climate change adaptation policy</w:t>
            </w:r>
            <w:proofErr w:type="gramEnd"/>
            <w:r w:rsidRPr="005D6D89">
              <w:rPr>
                <w:rFonts w:cs="Arial"/>
                <w:bCs/>
                <w:color w:val="000000"/>
              </w:rPr>
              <w:t xml:space="preserve"> will not be implemented and sustained due to a failure to secure sufficient parliamentary agreement.</w:t>
            </w:r>
          </w:p>
        </w:tc>
        <w:tc>
          <w:tcPr>
            <w:tcW w:w="529" w:type="pct"/>
          </w:tcPr>
          <w:p w14:paraId="41D7BEFA" w14:textId="77777777" w:rsidR="0007444F" w:rsidRPr="005D6D89" w:rsidRDefault="0007444F" w:rsidP="002219C2">
            <w:pPr>
              <w:pStyle w:val="TableText"/>
              <w:jc w:val="center"/>
            </w:pPr>
            <w:r w:rsidRPr="005D6D89">
              <w:t>68</w:t>
            </w:r>
          </w:p>
        </w:tc>
        <w:tc>
          <w:tcPr>
            <w:tcW w:w="705" w:type="pct"/>
            <w:shd w:val="clear" w:color="auto" w:fill="FFFFFF" w:themeFill="background1"/>
          </w:tcPr>
          <w:p w14:paraId="0CC64714" w14:textId="77777777" w:rsidR="0007444F" w:rsidRPr="005D6D89" w:rsidRDefault="0007444F" w:rsidP="00741697">
            <w:pPr>
              <w:pStyle w:val="TableText"/>
            </w:pPr>
            <w:r w:rsidRPr="005D6D89">
              <w:t>Extreme</w:t>
            </w:r>
          </w:p>
        </w:tc>
      </w:tr>
      <w:tr w:rsidR="00C32DB2" w:rsidRPr="005D6D89" w14:paraId="5565EEEC" w14:textId="77777777" w:rsidTr="00095C79">
        <w:tc>
          <w:tcPr>
            <w:tcW w:w="3765" w:type="pct"/>
            <w:tcMar>
              <w:left w:w="108" w:type="dxa"/>
              <w:right w:w="108" w:type="dxa"/>
            </w:tcMar>
          </w:tcPr>
          <w:p w14:paraId="276A534F" w14:textId="77777777" w:rsidR="0007444F" w:rsidRPr="005D6D89" w:rsidRDefault="0007444F" w:rsidP="00741697">
            <w:pPr>
              <w:pStyle w:val="TableText"/>
              <w:rPr>
                <w:rFonts w:cs="Arial"/>
                <w:bCs/>
                <w:color w:val="000000"/>
              </w:rPr>
            </w:pPr>
            <w:r w:rsidRPr="005D6D89">
              <w:rPr>
                <w:rFonts w:cs="Arial"/>
                <w:bCs/>
                <w:color w:val="000000"/>
              </w:rPr>
              <w:t>G8 Risk to the ability of democratic institutions to follow due democratic decision-making processes under pressure from an increasing frequency and scale of compounding and cascading climate change impacts.</w:t>
            </w:r>
          </w:p>
        </w:tc>
        <w:tc>
          <w:tcPr>
            <w:tcW w:w="529" w:type="pct"/>
          </w:tcPr>
          <w:p w14:paraId="350ACABA" w14:textId="77777777" w:rsidR="0007444F" w:rsidRPr="005D6D89" w:rsidRDefault="0007444F" w:rsidP="002219C2">
            <w:pPr>
              <w:pStyle w:val="TableText"/>
              <w:jc w:val="center"/>
            </w:pPr>
            <w:r w:rsidRPr="005D6D89">
              <w:t>53</w:t>
            </w:r>
          </w:p>
        </w:tc>
        <w:tc>
          <w:tcPr>
            <w:tcW w:w="705" w:type="pct"/>
            <w:shd w:val="clear" w:color="auto" w:fill="FFFFFF" w:themeFill="background1"/>
          </w:tcPr>
          <w:p w14:paraId="7A1010EB" w14:textId="77777777" w:rsidR="0007444F" w:rsidRPr="005D6D89" w:rsidRDefault="0007444F" w:rsidP="00741697">
            <w:pPr>
              <w:pStyle w:val="TableText"/>
            </w:pPr>
            <w:r w:rsidRPr="005D6D89">
              <w:t>Major</w:t>
            </w:r>
          </w:p>
        </w:tc>
      </w:tr>
    </w:tbl>
    <w:bookmarkEnd w:id="441"/>
    <w:p w14:paraId="428BAEC6" w14:textId="77777777" w:rsidR="00412B19" w:rsidRPr="005D6D89" w:rsidRDefault="00412B19" w:rsidP="0007444F">
      <w:pPr>
        <w:pStyle w:val="Note"/>
        <w:spacing w:after="60"/>
      </w:pPr>
      <w:r w:rsidRPr="005D6D89">
        <w:t>* Urgency rating: the adaptation and decision urgency rating for this risk.</w:t>
      </w:r>
    </w:p>
    <w:p w14:paraId="03BCB002" w14:textId="31B584EC" w:rsidR="00412B19" w:rsidRPr="005D6D89" w:rsidRDefault="00412B19" w:rsidP="0007444F">
      <w:pPr>
        <w:pStyle w:val="Note"/>
        <w:spacing w:before="0"/>
      </w:pPr>
      <w:r w:rsidRPr="005D6D89">
        <w:t xml:space="preserve">**Consequence rating: the highest consequence rating for this risk out of all three periods (now, 2050, 2100). The </w:t>
      </w:r>
      <w:hyperlink r:id="rId60" w:history="1">
        <w:r w:rsidR="00E546F8" w:rsidRPr="00E546F8">
          <w:rPr>
            <w:rStyle w:val="Hyperlink"/>
          </w:rPr>
          <w:t>technical report</w:t>
        </w:r>
      </w:hyperlink>
      <w:r w:rsidRPr="005D6D89">
        <w:t xml:space="preserve"> provides the consequence rating for each risk and period.</w:t>
      </w:r>
    </w:p>
    <w:p w14:paraId="78B8FA8A" w14:textId="77777777" w:rsidR="00412B19" w:rsidRPr="005D6D89" w:rsidRDefault="00412B19" w:rsidP="00812D16">
      <w:pPr>
        <w:pStyle w:val="Heading3"/>
        <w:numPr>
          <w:ilvl w:val="0"/>
          <w:numId w:val="33"/>
        </w:numPr>
        <w:spacing w:before="440"/>
      </w:pPr>
      <w:bookmarkStart w:id="444" w:name="_Toc40699367"/>
      <w:bookmarkStart w:id="445" w:name="_Toc35805061"/>
      <w:bookmarkStart w:id="446" w:name="_Toc37255788"/>
      <w:bookmarkStart w:id="447" w:name="_Toc37393689"/>
      <w:r w:rsidRPr="005D6D89">
        <w:t>Most significant risks</w:t>
      </w:r>
      <w:bookmarkEnd w:id="444"/>
    </w:p>
    <w:bookmarkEnd w:id="445"/>
    <w:bookmarkEnd w:id="446"/>
    <w:p w14:paraId="6B707AB7" w14:textId="77777777" w:rsidR="00412B19" w:rsidRPr="005D6D89" w:rsidRDefault="00412B19" w:rsidP="00514AC8">
      <w:pPr>
        <w:pStyle w:val="Heading4"/>
        <w:spacing w:before="240"/>
      </w:pPr>
      <w:r w:rsidRPr="005D6D89">
        <w:t xml:space="preserve">G1 Risk of </w:t>
      </w:r>
      <w:r w:rsidRPr="00E80827">
        <w:t>maladaptation</w:t>
      </w:r>
      <w:r w:rsidRPr="005D6D89">
        <w:t xml:space="preserve"> across all domains</w:t>
      </w:r>
      <w:r w:rsidR="00DE7184">
        <w:t>,</w:t>
      </w:r>
      <w:r w:rsidRPr="005D6D89">
        <w:t xml:space="preserve"> due to the application of practices, processes and tools that do not account for uncertainty and change over long</w:t>
      </w:r>
      <w:r w:rsidR="00514AC8" w:rsidRPr="005D6D89">
        <w:t> </w:t>
      </w:r>
      <w:r w:rsidRPr="005D6D89">
        <w:t xml:space="preserve">timeframes </w:t>
      </w:r>
      <w:bookmarkEnd w:id="447"/>
    </w:p>
    <w:p w14:paraId="55209E9D" w14:textId="77777777" w:rsidR="00412B19" w:rsidRPr="005D6D89" w:rsidRDefault="00412B19" w:rsidP="00D60D35">
      <w:pPr>
        <w:pStyle w:val="Heading5"/>
      </w:pPr>
      <w:r w:rsidRPr="005D6D89">
        <w:t>Risk summary</w:t>
      </w:r>
    </w:p>
    <w:p w14:paraId="5F71C8AC" w14:textId="77777777" w:rsidR="00412B19" w:rsidRPr="005D6D89" w:rsidRDefault="00412B19" w:rsidP="00D60D35">
      <w:pPr>
        <w:pStyle w:val="BodyText"/>
      </w:pPr>
      <w:r w:rsidRPr="005D6D89">
        <w:t xml:space="preserve">Climate change adds to the uncertainties that decision-makers already face (Beck, 2009; Scoones, 2019; Weitzman, 2011). Reliance on practices </w:t>
      </w:r>
      <w:r w:rsidR="00DE7184">
        <w:t>that</w:t>
      </w:r>
      <w:r w:rsidR="00DE7184" w:rsidRPr="005D6D89">
        <w:t xml:space="preserve"> </w:t>
      </w:r>
      <w:r w:rsidRPr="005D6D89">
        <w:t>embed processes and tools</w:t>
      </w:r>
      <w:r w:rsidR="00DE7184">
        <w:t>,</w:t>
      </w:r>
      <w:r w:rsidRPr="005D6D89">
        <w:t xml:space="preserve"> </w:t>
      </w:r>
      <w:r w:rsidR="00DE7184">
        <w:t>which</w:t>
      </w:r>
      <w:r w:rsidR="00DE7184" w:rsidRPr="005D6D89">
        <w:t> </w:t>
      </w:r>
      <w:r w:rsidRPr="005D6D89">
        <w:t>do not account for long-term uncertainty and change</w:t>
      </w:r>
      <w:r w:rsidR="00DE7184">
        <w:t>,</w:t>
      </w:r>
      <w:r w:rsidRPr="005D6D89">
        <w:t xml:space="preserve"> will increase the likelihood of maladaptation across all domains. </w:t>
      </w:r>
    </w:p>
    <w:p w14:paraId="2B2C4DF2" w14:textId="77777777" w:rsidR="00412B19" w:rsidRPr="005D6D89" w:rsidRDefault="00412B19" w:rsidP="00D60D35">
      <w:pPr>
        <w:pStyle w:val="Heading5"/>
      </w:pPr>
      <w:r w:rsidRPr="005D6D89">
        <w:t>Risk description</w:t>
      </w:r>
    </w:p>
    <w:p w14:paraId="5DB70020" w14:textId="77777777" w:rsidR="00412B19" w:rsidRPr="005D6D89" w:rsidRDefault="00412B19" w:rsidP="00D60D35">
      <w:pPr>
        <w:pStyle w:val="BodyText"/>
      </w:pPr>
      <w:r w:rsidRPr="00E80827">
        <w:t>An action is maladaptive when it has a high opportunity cost, reduces incentives to adapt, disproportionality burdens the most vulnerable, forecloses other adaptation options in the future</w:t>
      </w:r>
      <w:r w:rsidRPr="00E80827">
        <w:rPr>
          <w:rStyle w:val="CommentReference"/>
          <w:rFonts w:cs="Arial"/>
          <w:lang w:eastAsia="en-US"/>
        </w:rPr>
        <w:t xml:space="preserve">, </w:t>
      </w:r>
      <w:r w:rsidRPr="00E80827">
        <w:t>or increases greenhouse gas emissions (Barnett and O</w:t>
      </w:r>
      <w:r w:rsidR="001200EA" w:rsidRPr="00E80827">
        <w:t>’</w:t>
      </w:r>
      <w:r w:rsidRPr="00E80827">
        <w:t>Neill, 2010).</w:t>
      </w:r>
      <w:r w:rsidR="00027F9F" w:rsidRPr="005D6D89">
        <w:t xml:space="preserve"> </w:t>
      </w:r>
    </w:p>
    <w:p w14:paraId="508CA2D7" w14:textId="77777777" w:rsidR="00412B19" w:rsidRPr="005D6D89" w:rsidRDefault="00412B19" w:rsidP="00D60D35">
      <w:pPr>
        <w:pStyle w:val="Heading5"/>
      </w:pPr>
      <w:r w:rsidRPr="005D6D89">
        <w:t>Accounting for uncertainty</w:t>
      </w:r>
    </w:p>
    <w:p w14:paraId="3E4FFC6E" w14:textId="77777777" w:rsidR="00412B19" w:rsidRPr="005D6D89" w:rsidRDefault="00412B19" w:rsidP="00D60D35">
      <w:pPr>
        <w:pStyle w:val="BodyText"/>
      </w:pPr>
      <w:r w:rsidRPr="005D6D89">
        <w:t>The future contains inherent uncertainty. Uncertainty, or a state of incomplete knowledge, arises from many sources, such as imprecise data, inexact methodology and conceptual ambiguity. Uncertainties about climate change stem from unknowable socio-demographic, technological and economic trends that will influence greenhouse gas concentrations</w:t>
      </w:r>
      <w:r w:rsidR="001373F6">
        <w:t xml:space="preserve"> in the future</w:t>
      </w:r>
      <w:r w:rsidRPr="005D6D89">
        <w:t>, and the sensitivity of climatic systems to these. Such uncertainties affect the rate and magnitude of the impacts of climate change that are knowable. Generally, the further we</w:t>
      </w:r>
      <w:r w:rsidR="001770E4">
        <w:t> </w:t>
      </w:r>
      <w:r w:rsidRPr="005D6D89">
        <w:t xml:space="preserve">project into the future, the greater that uncertainty will be. </w:t>
      </w:r>
    </w:p>
    <w:p w14:paraId="1D93D823" w14:textId="77777777" w:rsidR="00412B19" w:rsidRPr="005D6D89" w:rsidRDefault="00412B19" w:rsidP="00D60D35">
      <w:pPr>
        <w:pStyle w:val="BodyText"/>
      </w:pPr>
      <w:r w:rsidRPr="005D6D89">
        <w:t xml:space="preserve">Failure to account for uncertainty in decision-making increases the likelihood that an action will be maladaptive. </w:t>
      </w:r>
    </w:p>
    <w:p w14:paraId="4BD777D4" w14:textId="77777777" w:rsidR="00412B19" w:rsidRPr="005D6D89" w:rsidRDefault="00412B19" w:rsidP="00D60D35">
      <w:pPr>
        <w:pStyle w:val="BodyText"/>
      </w:pPr>
      <w:r w:rsidRPr="005D6D89">
        <w:t xml:space="preserve">Decision-makers need to act even when there is significant uncertainty. For example, we are confident the frequency and intensity of heavy rainfall events will increase, but we do not know how frequent or how intense they will be, or exactly when these conditions will occur. </w:t>
      </w:r>
    </w:p>
    <w:p w14:paraId="241CD3F0" w14:textId="77777777" w:rsidR="00412B19" w:rsidRPr="005D6D89" w:rsidRDefault="00412B19" w:rsidP="00D60D35">
      <w:pPr>
        <w:pStyle w:val="Heading5"/>
      </w:pPr>
      <w:r w:rsidRPr="005D6D89">
        <w:t>Flexible planning and design</w:t>
      </w:r>
    </w:p>
    <w:p w14:paraId="00FB6274" w14:textId="77777777" w:rsidR="00412B19" w:rsidRPr="005D6D89" w:rsidRDefault="00412B19" w:rsidP="00D60D35">
      <w:pPr>
        <w:pStyle w:val="BodyText"/>
      </w:pPr>
      <w:r w:rsidRPr="005D6D89">
        <w:t xml:space="preserve">We are also confident of the rate and magnitude of sea-level rise out to 2050 but, beyond that, the certainty range is wider (see </w:t>
      </w:r>
      <w:hyperlink w:anchor="_Climate_change_in" w:history="1">
        <w:r w:rsidRPr="00566D02">
          <w:rPr>
            <w:rStyle w:val="Hyperlink"/>
          </w:rPr>
          <w:t xml:space="preserve">section </w:t>
        </w:r>
        <w:r w:rsidR="00566D02" w:rsidRPr="00566D02">
          <w:rPr>
            <w:rStyle w:val="Hyperlink"/>
          </w:rPr>
          <w:t>4</w:t>
        </w:r>
      </w:hyperlink>
      <w:r w:rsidRPr="005D6D89">
        <w:t>). Planners and engineers are making decisions about</w:t>
      </w:r>
      <w:r w:rsidR="001770E4">
        <w:t> </w:t>
      </w:r>
      <w:r w:rsidRPr="005D6D89">
        <w:t>the location and design of infrastructure and housing that will be in place for more than 100</w:t>
      </w:r>
      <w:r w:rsidR="001770E4">
        <w:t> </w:t>
      </w:r>
      <w:r w:rsidRPr="005D6D89">
        <w:t>years, within which climate change impacts will worsen (Lawrence</w:t>
      </w:r>
      <w:r w:rsidR="00B61730">
        <w:t xml:space="preserve"> et al</w:t>
      </w:r>
      <w:r w:rsidRPr="005D6D89">
        <w:t xml:space="preserve">, 2016). If decision-makers do not provide for uncertainties when locating and designing such developments, these structures will be increasingly exposed to floods and incur high damage costs. On the other hand, if they plan and design for the most extreme events, they may incur the opportunity cost of not being able to use the land, or over-designed infrastructure that is costly and becomes redundant. Either way there can be maladaptation. This implies that tools and processes </w:t>
      </w:r>
      <w:proofErr w:type="gramStart"/>
      <w:r w:rsidRPr="005D6D89">
        <w:t>are needed</w:t>
      </w:r>
      <w:proofErr w:type="gramEnd"/>
      <w:r w:rsidRPr="005D6D89">
        <w:t xml:space="preserve"> to inform flexible planning and design of infrastructure that can be changed and shifted before there is any damage (Mastrandrea and Luers, 2012). </w:t>
      </w:r>
    </w:p>
    <w:p w14:paraId="46FC9B76" w14:textId="77777777" w:rsidR="00412B19" w:rsidRPr="005D6D89" w:rsidRDefault="00412B19" w:rsidP="00D60D35">
      <w:pPr>
        <w:pStyle w:val="Heading5"/>
      </w:pPr>
      <w:r w:rsidRPr="005D6D89">
        <w:t>Risks from using static measures</w:t>
      </w:r>
    </w:p>
    <w:p w14:paraId="63E4D4DC" w14:textId="77777777" w:rsidR="00412B19" w:rsidRPr="005D6D89" w:rsidRDefault="00412B19" w:rsidP="00D60D35">
      <w:pPr>
        <w:pStyle w:val="BodyText"/>
      </w:pPr>
      <w:r w:rsidRPr="005D6D89">
        <w:t>Government decision-making frameworks and well-established practices in disciplines including law, economics, engineering and planning continue to rely on static assumptions of</w:t>
      </w:r>
      <w:r w:rsidR="00EB7F42" w:rsidRPr="005D6D89">
        <w:t> </w:t>
      </w:r>
      <w:r w:rsidRPr="005D6D89">
        <w:t>risk and historical parameters of climatic conditions (Lawrence et al, 2013</w:t>
      </w:r>
      <w:r w:rsidR="001373F6">
        <w:t>;</w:t>
      </w:r>
      <w:r w:rsidRPr="005D6D89">
        <w:t xml:space="preserve"> Lawrence and</w:t>
      </w:r>
      <w:r w:rsidR="001770E4">
        <w:t> </w:t>
      </w:r>
      <w:r w:rsidRPr="005D6D89">
        <w:t>Manning, 2012; Lawrence, Bell and Stroombergen, 2019; Weitzman,</w:t>
      </w:r>
      <w:r w:rsidR="001373F6">
        <w:t xml:space="preserve"> </w:t>
      </w:r>
      <w:r w:rsidRPr="005D6D89">
        <w:t>2011). For example,</w:t>
      </w:r>
      <w:r w:rsidR="001770E4">
        <w:t> </w:t>
      </w:r>
      <w:r w:rsidRPr="005D6D89">
        <w:t>using</w:t>
      </w:r>
      <w:r w:rsidR="00EB7F42" w:rsidRPr="005D6D89">
        <w:t> </w:t>
      </w:r>
      <w:r w:rsidRPr="005D6D89">
        <w:t>single flood standards (eg, a 1 i</w:t>
      </w:r>
      <w:r w:rsidR="00E80827">
        <w:t>n 100-</w:t>
      </w:r>
      <w:r w:rsidRPr="005D6D89">
        <w:t>year event) to plan land use and design infrastructure results in decisions that are inflexible to changing flood risk (Lawrence et al, 2013). These measures can also create a false sense of security for those just outside the zones</w:t>
      </w:r>
      <w:r w:rsidR="00EB7F42" w:rsidRPr="005D6D89">
        <w:t> </w:t>
      </w:r>
      <w:r w:rsidRPr="005D6D89">
        <w:t xml:space="preserve">(Lawrence et al, 2013). </w:t>
      </w:r>
    </w:p>
    <w:p w14:paraId="5CC6DCCD" w14:textId="77777777" w:rsidR="00412B19" w:rsidRPr="005D6D89" w:rsidRDefault="00412B19" w:rsidP="00D60D35">
      <w:pPr>
        <w:pStyle w:val="BodyText"/>
      </w:pPr>
      <w:r w:rsidRPr="005D6D89">
        <w:t xml:space="preserve">Other static measures, such as minimum flood levels </w:t>
      </w:r>
      <w:r w:rsidR="00E80827">
        <w:t>that</w:t>
      </w:r>
      <w:r w:rsidRPr="005D6D89">
        <w:t xml:space="preserve"> </w:t>
      </w:r>
      <w:proofErr w:type="gramStart"/>
      <w:r w:rsidRPr="005D6D89">
        <w:t>are used</w:t>
      </w:r>
      <w:proofErr w:type="gramEnd"/>
      <w:r w:rsidRPr="005D6D89">
        <w:t xml:space="preserve"> routinely in planning, also</w:t>
      </w:r>
      <w:r w:rsidR="00EB7F42" w:rsidRPr="005D6D89">
        <w:t> </w:t>
      </w:r>
      <w:r w:rsidRPr="005D6D89">
        <w:t>create a false sense of security in the face of rising sea levels, increasing heavy rainfall and coastal storms. White (2019) argues dominant practices and cultures that overwhelmingly focus on data, modelling and certainty discourage new or alternative approaches to urban planning that may better support liveability or sustainability.</w:t>
      </w:r>
    </w:p>
    <w:p w14:paraId="54119F5B" w14:textId="77777777" w:rsidR="00412B19" w:rsidRPr="005D6D89" w:rsidRDefault="00412B19" w:rsidP="00EB7F42">
      <w:pPr>
        <w:pStyle w:val="Heading5"/>
      </w:pPr>
      <w:r w:rsidRPr="005D6D89">
        <w:t>Inflexible interventions</w:t>
      </w:r>
    </w:p>
    <w:p w14:paraId="431B3BB4" w14:textId="77777777" w:rsidR="00412B19" w:rsidRPr="005D6D89" w:rsidRDefault="00412B19" w:rsidP="00EB7F42">
      <w:pPr>
        <w:pStyle w:val="BodyText"/>
      </w:pPr>
      <w:r w:rsidRPr="005D6D89">
        <w:t>It is widely recognised decision-makers must move beyond such approaches, particularly for flood risk, drought and coastal management (Kundzewicz et al, 2008; CCATWG, 2017, 2018;</w:t>
      </w:r>
      <w:r w:rsidR="00EB7F42" w:rsidRPr="005D6D89">
        <w:t> </w:t>
      </w:r>
      <w:r w:rsidRPr="005D6D89">
        <w:t xml:space="preserve">Lawrence and Haasnoot, 2017; Lawrence et al, 2019; Gersonius et al, 2012). Zeitoun </w:t>
      </w:r>
      <w:r w:rsidR="00226961">
        <w:t>et al</w:t>
      </w:r>
      <w:r w:rsidRPr="005D6D89">
        <w:t xml:space="preserve"> (2016) similarly affirm that prevailing approaches to water security do not consider uncertainty, diversity and politics in society and therefore limit policymakers to rigid and inflexible interventions that may reproduce inequalities. In New Zealand, the use of cost-benefit analysis disproportionality burdens </w:t>
      </w:r>
      <w:proofErr w:type="gramStart"/>
      <w:r w:rsidRPr="005D6D89">
        <w:t>more vulnerable residents</w:t>
      </w:r>
      <w:proofErr w:type="gramEnd"/>
      <w:r w:rsidRPr="005D6D89">
        <w:t>. The reliance on this</w:t>
      </w:r>
      <w:r w:rsidR="00DB2B9B" w:rsidRPr="005D6D89">
        <w:t> </w:t>
      </w:r>
      <w:r w:rsidRPr="005D6D89">
        <w:t>method to prioritise flood protection has led to faster implementation in higher socio</w:t>
      </w:r>
      <w:r w:rsidR="00DB2B9B" w:rsidRPr="005D6D89">
        <w:noBreakHyphen/>
      </w:r>
      <w:r w:rsidRPr="005D6D89">
        <w:t>economic areas, as higher land and asset values generate higher benefit-cost ratios (Manning,</w:t>
      </w:r>
      <w:r w:rsidR="00DB2B9B" w:rsidRPr="005D6D89">
        <w:t> </w:t>
      </w:r>
      <w:r w:rsidRPr="005D6D89">
        <w:t xml:space="preserve">Lawrence, King and Chapman, 2015). </w:t>
      </w:r>
    </w:p>
    <w:p w14:paraId="06CE3379" w14:textId="77777777" w:rsidR="00412B19" w:rsidRPr="005D6D89" w:rsidRDefault="00412B19" w:rsidP="00DB2B9B">
      <w:pPr>
        <w:pStyle w:val="Heading5"/>
      </w:pPr>
      <w:r w:rsidRPr="005D6D89">
        <w:t>Decision-making tools</w:t>
      </w:r>
    </w:p>
    <w:p w14:paraId="2F995C95" w14:textId="77777777" w:rsidR="00412B19" w:rsidRPr="005D6D89" w:rsidRDefault="00412B19" w:rsidP="00DB2B9B">
      <w:pPr>
        <w:pStyle w:val="BodyText"/>
      </w:pPr>
      <w:r w:rsidRPr="005D6D89">
        <w:t>There are various processes and tools for adaptation decision-making under conditions of uncertainty. Examples include Robust Decision Making (Dittrich, Wreford and Moran, 2016), Real Options Analysis (Buurman and Babovic, 2016), and Dynamic Adaptive Pathways Planning (Haasnoot et al, 2013; Lawrence and Haasnoot, 2017; Lawrence et al, 2019). These are in use in a growing number of locations in New Zealand, including Hutt River (Greater Wellington Regional Council, 2015), Hawke</w:t>
      </w:r>
      <w:r w:rsidR="001373F6">
        <w:t>’</w:t>
      </w:r>
      <w:r w:rsidRPr="005D6D89">
        <w:t xml:space="preserve">s Bay (Daysh, 2018) and Petone (Kool, 2020) but wider uptake has generally been slow (Lawrence and Manning, 2012; Lawrence, Bell and Stroombergen, 2019). This is due to factors such as resourcing for capacity building and engagement, and caution about using new processes in settings that </w:t>
      </w:r>
      <w:r w:rsidR="001200EA">
        <w:t>‘</w:t>
      </w:r>
      <w:r w:rsidRPr="005D6D89">
        <w:t>demand</w:t>
      </w:r>
      <w:r w:rsidR="001200EA">
        <w:t>’</w:t>
      </w:r>
      <w:r w:rsidRPr="005D6D89">
        <w:t xml:space="preserve"> certainty (Lawrence and Haasnoot, 2017; White, 2019). </w:t>
      </w:r>
    </w:p>
    <w:p w14:paraId="29819FBD" w14:textId="77777777" w:rsidR="00412B19" w:rsidRPr="005D6D89" w:rsidRDefault="00412B19" w:rsidP="00DB2B9B">
      <w:pPr>
        <w:pStyle w:val="BodyText"/>
      </w:pPr>
      <w:r w:rsidRPr="005D6D89">
        <w:t xml:space="preserve">The national </w:t>
      </w:r>
      <w:r w:rsidRPr="005D6D89">
        <w:rPr>
          <w:i/>
        </w:rPr>
        <w:t>Coastal Hazards and Climate Change Guidance</w:t>
      </w:r>
      <w:r w:rsidRPr="005D6D89">
        <w:t xml:space="preserve"> (Ministry for the Environment, 2017b) sets out how to use some of these processes and tools, including Dynamic Adaptive Pathways Planning. Case studies such as Corbett and Bendall (2019) demonstrate practical application in New Zealand. A critique by Lawrence, Bell and Stroombergen (2019) and a practice brief (Lawrence et al, 2019) also share lessons for mainstreaming these processes and</w:t>
      </w:r>
      <w:r w:rsidR="00DB2B9B" w:rsidRPr="005D6D89">
        <w:t> </w:t>
      </w:r>
      <w:r w:rsidRPr="005D6D89">
        <w:t xml:space="preserve">tools. However, further guidance </w:t>
      </w:r>
      <w:proofErr w:type="gramStart"/>
      <w:r w:rsidRPr="005D6D89">
        <w:t>is needed</w:t>
      </w:r>
      <w:proofErr w:type="gramEnd"/>
      <w:r w:rsidRPr="005D6D89">
        <w:t xml:space="preserve"> to address the constraints of planning processes and improve understanding of the dynamic nature of climate change impacts (Lawrence</w:t>
      </w:r>
      <w:r w:rsidR="00B61730">
        <w:t xml:space="preserve"> et al</w:t>
      </w:r>
      <w:r w:rsidRPr="005D6D89">
        <w:t xml:space="preserve">, 2018). </w:t>
      </w:r>
    </w:p>
    <w:p w14:paraId="6CD9E6CE" w14:textId="77777777" w:rsidR="00412B19" w:rsidRPr="005D6D89" w:rsidRDefault="00412B19" w:rsidP="00DB2B9B">
      <w:pPr>
        <w:pStyle w:val="Heading5"/>
      </w:pPr>
      <w:r w:rsidRPr="005D6D89">
        <w:t>Consequence</w:t>
      </w:r>
    </w:p>
    <w:p w14:paraId="7E78622C" w14:textId="77777777" w:rsidR="00412B19" w:rsidRPr="005D6D89" w:rsidRDefault="00412B19" w:rsidP="00DB2B9B">
      <w:pPr>
        <w:pStyle w:val="BodyText"/>
      </w:pPr>
      <w:r w:rsidRPr="005D6D89">
        <w:t>Using processes and tools that characterise risks as static, and rely on historical parameters that do not account for uncertainty and changing risks, increases the risk of maladaptation. Maladaptation may limit the choices for future generations, increase the vulnerability of other</w:t>
      </w:r>
      <w:r w:rsidR="00514AC8" w:rsidRPr="005D6D89">
        <w:t> </w:t>
      </w:r>
      <w:r w:rsidRPr="005D6D89">
        <w:t>systems, sectors, or groups to climate change, and increase the costs of climate change. It may also disproportionately burden New Zealand</w:t>
      </w:r>
      <w:r w:rsidR="001200EA">
        <w:t>’</w:t>
      </w:r>
      <w:r w:rsidRPr="005D6D89">
        <w:t>s most vulnerable people and communities and entrench socio-economic inequity. The consequences are most likely to be borne by future</w:t>
      </w:r>
      <w:r w:rsidR="00514AC8" w:rsidRPr="005D6D89">
        <w:t> </w:t>
      </w:r>
      <w:r w:rsidRPr="005D6D89">
        <w:t xml:space="preserve">generations. </w:t>
      </w:r>
    </w:p>
    <w:p w14:paraId="6B5B1D34" w14:textId="77777777" w:rsidR="00412B19" w:rsidRPr="005D6D89" w:rsidRDefault="00412B19" w:rsidP="00DB2B9B">
      <w:pPr>
        <w:pStyle w:val="Heading5"/>
      </w:pPr>
      <w:r w:rsidRPr="005D6D89">
        <w:t>Confidence: High agreement, robust evidence</w:t>
      </w:r>
    </w:p>
    <w:p w14:paraId="217C5166" w14:textId="77777777" w:rsidR="00412B19" w:rsidRPr="005D6D89" w:rsidRDefault="00412B19" w:rsidP="00DB2B9B">
      <w:pPr>
        <w:pStyle w:val="BodyText"/>
      </w:pPr>
      <w:r w:rsidRPr="005D6D89">
        <w:t xml:space="preserve">There is a high degree of agreement and robust evidence that proactive, adaptation-orientated decision-making tools and processes </w:t>
      </w:r>
      <w:proofErr w:type="gramStart"/>
      <w:r w:rsidRPr="005D6D89">
        <w:t>that better</w:t>
      </w:r>
      <w:proofErr w:type="gramEnd"/>
      <w:r w:rsidRPr="005D6D89">
        <w:t xml:space="preserve"> account for uncertainty need to be mainstreamed, because of the ongoing, changing risks from climate change.</w:t>
      </w:r>
    </w:p>
    <w:p w14:paraId="394B731F" w14:textId="77777777" w:rsidR="00412B19" w:rsidRPr="005D6D89" w:rsidRDefault="00412B19" w:rsidP="00DB2B9B">
      <w:pPr>
        <w:pStyle w:val="Heading5"/>
      </w:pPr>
      <w:r w:rsidRPr="005D6D89">
        <w:t>Adaptation</w:t>
      </w:r>
    </w:p>
    <w:p w14:paraId="1E8C4787" w14:textId="33666C02" w:rsidR="00DE61C2" w:rsidRDefault="00412B19" w:rsidP="00FB6142">
      <w:pPr>
        <w:pStyle w:val="BodyText"/>
        <w:spacing w:after="100"/>
      </w:pPr>
      <w:r w:rsidRPr="005D6D89">
        <w:t>Efforts are occurring at the local government level with support from the Ministry for the Environment. These include National Science Challenges (Resilience to Nature</w:t>
      </w:r>
      <w:r w:rsidR="001200EA">
        <w:t>’</w:t>
      </w:r>
      <w:r w:rsidRPr="005D6D89">
        <w:t>s Challenges and</w:t>
      </w:r>
      <w:r w:rsidR="00DB2B9B" w:rsidRPr="005D6D89">
        <w:t> </w:t>
      </w:r>
      <w:r w:rsidRPr="005D6D89">
        <w:t>the Deep South National Science Challenge). Methods include Dynamic Adaptive Pathways Planning, coastal adaptation and associated vulnerability and economic assessment methodology and engagement, and local government pilot projects under the Government</w:t>
      </w:r>
      <w:r w:rsidR="001200EA">
        <w:t>’</w:t>
      </w:r>
      <w:r w:rsidRPr="005D6D89">
        <w:t xml:space="preserve">s Community Resilience Group. The planned </w:t>
      </w:r>
      <w:r w:rsidR="002B0472">
        <w:t>n</w:t>
      </w:r>
      <w:r w:rsidR="002B0472" w:rsidRPr="005D6D89">
        <w:t xml:space="preserve">ational </w:t>
      </w:r>
      <w:r w:rsidR="002B0472">
        <w:t>a</w:t>
      </w:r>
      <w:r w:rsidR="002B0472" w:rsidRPr="005D6D89">
        <w:t xml:space="preserve">daptation </w:t>
      </w:r>
      <w:r w:rsidR="002B0472">
        <w:t>p</w:t>
      </w:r>
      <w:r w:rsidR="002B0472" w:rsidRPr="005D6D89">
        <w:t xml:space="preserve">lan </w:t>
      </w:r>
      <w:r w:rsidRPr="005D6D89">
        <w:t>(NAP) will take a more comprehensive cross-government approach to climate risk.</w:t>
      </w:r>
    </w:p>
    <w:p w14:paraId="06A0C2AA" w14:textId="77777777" w:rsidR="00FB6142" w:rsidRPr="005D6D89" w:rsidRDefault="00FB6142" w:rsidP="00FB6142">
      <w:pPr>
        <w:pStyle w:val="Tableheading"/>
      </w:pPr>
      <w:bookmarkStart w:id="448" w:name="_Toc43312819"/>
      <w:r>
        <w:t>Table 25:</w:t>
      </w:r>
      <w:r>
        <w:tab/>
      </w:r>
      <w:r w:rsidRPr="00A854AB">
        <w:t xml:space="preserve">G1 Risk of </w:t>
      </w:r>
      <w:r w:rsidRPr="00E80827">
        <w:rPr>
          <w:color w:val="000000" w:themeColor="text1"/>
        </w:rPr>
        <w:t>maladaptation</w:t>
      </w:r>
      <w:r w:rsidRPr="00A854AB">
        <w:t xml:space="preserve"> across all domains: Urgency profile</w:t>
      </w:r>
      <w:bookmarkEnd w:id="448"/>
    </w:p>
    <w:tbl>
      <w:tblPr>
        <w:tblStyle w:val="TableGrid"/>
        <w:tblW w:w="8613" w:type="dxa"/>
        <w:tblBorders>
          <w:top w:val="single" w:sz="4" w:space="0" w:color="6FC7B7"/>
          <w:left w:val="none" w:sz="0" w:space="0" w:color="auto"/>
          <w:bottom w:val="single" w:sz="4" w:space="0" w:color="6FC7B7"/>
          <w:right w:val="none" w:sz="0" w:space="0" w:color="auto"/>
          <w:insideH w:val="single" w:sz="4" w:space="0" w:color="6FC7B7"/>
          <w:insideV w:val="single" w:sz="4" w:space="0" w:color="6FC7B7"/>
        </w:tblBorders>
        <w:tblLayout w:type="fixed"/>
        <w:tblLook w:val="04A0" w:firstRow="1" w:lastRow="0" w:firstColumn="1" w:lastColumn="0" w:noHBand="0" w:noVBand="1"/>
      </w:tblPr>
      <w:tblGrid>
        <w:gridCol w:w="2257"/>
        <w:gridCol w:w="970"/>
        <w:gridCol w:w="992"/>
        <w:gridCol w:w="1134"/>
        <w:gridCol w:w="992"/>
        <w:gridCol w:w="993"/>
        <w:gridCol w:w="1275"/>
      </w:tblGrid>
      <w:tr w:rsidR="00A854AB" w:rsidRPr="00A854AB" w14:paraId="43C6DDF6" w14:textId="77777777" w:rsidTr="00095C79">
        <w:tc>
          <w:tcPr>
            <w:tcW w:w="8613" w:type="dxa"/>
            <w:gridSpan w:val="7"/>
            <w:shd w:val="clear" w:color="auto" w:fill="6FC7B7"/>
          </w:tcPr>
          <w:p w14:paraId="6058A535" w14:textId="77777777" w:rsidR="00A5591B" w:rsidRPr="00A854AB" w:rsidRDefault="00A5591B" w:rsidP="00514AC8">
            <w:pPr>
              <w:pStyle w:val="TableTextBold0"/>
              <w:spacing w:before="40" w:after="40"/>
              <w:rPr>
                <w:color w:val="FFFFFF" w:themeColor="background1"/>
              </w:rPr>
            </w:pPr>
            <w:r w:rsidRPr="00A854AB">
              <w:rPr>
                <w:color w:val="FFFFFF" w:themeColor="background1"/>
              </w:rPr>
              <w:t xml:space="preserve">G1 Risk of </w:t>
            </w:r>
            <w:hyperlink w:anchor="maladaptation" w:history="1">
              <w:r w:rsidRPr="00E80827">
                <w:rPr>
                  <w:rStyle w:val="Hyperlink"/>
                  <w:color w:val="FFFFFF" w:themeColor="background1"/>
                </w:rPr>
                <w:t>maladaptation</w:t>
              </w:r>
            </w:hyperlink>
            <w:r w:rsidRPr="00A854AB">
              <w:rPr>
                <w:color w:val="FFFFFF" w:themeColor="background1"/>
              </w:rPr>
              <w:t xml:space="preserve"> across all domains: Urgency profile </w:t>
            </w:r>
          </w:p>
        </w:tc>
      </w:tr>
      <w:tr w:rsidR="00A5591B" w:rsidRPr="005D6D89" w14:paraId="6E3DC913" w14:textId="77777777" w:rsidTr="00095C79">
        <w:tc>
          <w:tcPr>
            <w:tcW w:w="2257" w:type="dxa"/>
            <w:shd w:val="clear" w:color="auto" w:fill="FFFFFF" w:themeFill="background1"/>
          </w:tcPr>
          <w:p w14:paraId="3F3DFBF0" w14:textId="77777777" w:rsidR="00A5591B" w:rsidRPr="005D6D89" w:rsidRDefault="00A5591B" w:rsidP="00514AC8">
            <w:pPr>
              <w:pStyle w:val="TableTextBold0"/>
              <w:spacing w:before="40" w:after="40"/>
            </w:pPr>
            <w:r w:rsidRPr="005D6D89">
              <w:t>Urgency category</w:t>
            </w:r>
          </w:p>
        </w:tc>
        <w:tc>
          <w:tcPr>
            <w:tcW w:w="1962" w:type="dxa"/>
            <w:gridSpan w:val="2"/>
          </w:tcPr>
          <w:p w14:paraId="47F6EA4C" w14:textId="77777777" w:rsidR="00A5591B" w:rsidRPr="005D6D89" w:rsidRDefault="00845880" w:rsidP="00514AC8">
            <w:pPr>
              <w:pStyle w:val="TableText"/>
              <w:spacing w:before="40" w:after="40"/>
              <w:rPr>
                <w:b/>
                <w:bCs/>
              </w:rPr>
            </w:pPr>
            <w:r>
              <w:rPr>
                <w:b/>
                <w:bCs/>
              </w:rPr>
              <w:t>Proportion of urgency out of 100</w:t>
            </w:r>
          </w:p>
        </w:tc>
        <w:tc>
          <w:tcPr>
            <w:tcW w:w="4394" w:type="dxa"/>
            <w:gridSpan w:val="4"/>
          </w:tcPr>
          <w:p w14:paraId="668743B8" w14:textId="77777777" w:rsidR="00A5591B" w:rsidRPr="005D6D89" w:rsidRDefault="00A5591B" w:rsidP="00514AC8">
            <w:pPr>
              <w:pStyle w:val="TableText"/>
              <w:spacing w:before="40" w:after="40"/>
              <w:rPr>
                <w:rFonts w:cs="Arial"/>
                <w:b/>
                <w:bCs/>
              </w:rPr>
            </w:pPr>
            <w:r w:rsidRPr="005D6D89">
              <w:rPr>
                <w:rFonts w:cs="Arial"/>
                <w:b/>
                <w:bCs/>
              </w:rPr>
              <w:t>Description of actions</w:t>
            </w:r>
          </w:p>
        </w:tc>
      </w:tr>
      <w:tr w:rsidR="00A5591B" w:rsidRPr="005D6D89" w14:paraId="69A5E011" w14:textId="77777777" w:rsidTr="00095C79">
        <w:tc>
          <w:tcPr>
            <w:tcW w:w="2257" w:type="dxa"/>
            <w:shd w:val="clear" w:color="auto" w:fill="FFFFFF" w:themeFill="background1"/>
            <w:hideMark/>
          </w:tcPr>
          <w:p w14:paraId="5357D8EF" w14:textId="77777777" w:rsidR="00A5591B" w:rsidRPr="009079BF" w:rsidRDefault="00A5591B" w:rsidP="00514AC8">
            <w:pPr>
              <w:pStyle w:val="TableTextBold0"/>
              <w:spacing w:before="40" w:after="40"/>
              <w:rPr>
                <w:b w:val="0"/>
              </w:rPr>
            </w:pPr>
            <w:r w:rsidRPr="009079BF">
              <w:rPr>
                <w:b w:val="0"/>
              </w:rPr>
              <w:t>More action needed</w:t>
            </w:r>
          </w:p>
        </w:tc>
        <w:tc>
          <w:tcPr>
            <w:tcW w:w="1962" w:type="dxa"/>
            <w:gridSpan w:val="2"/>
          </w:tcPr>
          <w:p w14:paraId="6C2A2C8D" w14:textId="77777777" w:rsidR="00A5591B" w:rsidRPr="005D6D89" w:rsidRDefault="00A5591B" w:rsidP="00514AC8">
            <w:pPr>
              <w:pStyle w:val="TableText"/>
              <w:spacing w:before="40" w:after="40"/>
              <w:jc w:val="center"/>
              <w:rPr>
                <w:i/>
              </w:rPr>
            </w:pPr>
            <w:r w:rsidRPr="005D6D89">
              <w:t>60</w:t>
            </w:r>
          </w:p>
        </w:tc>
        <w:tc>
          <w:tcPr>
            <w:tcW w:w="4394" w:type="dxa"/>
            <w:gridSpan w:val="4"/>
          </w:tcPr>
          <w:p w14:paraId="28FC145C" w14:textId="77777777" w:rsidR="00A5591B" w:rsidRPr="005D6D89" w:rsidRDefault="00A5591B" w:rsidP="00514AC8">
            <w:pPr>
              <w:pStyle w:val="TableText"/>
              <w:spacing w:before="40" w:after="40"/>
            </w:pPr>
            <w:r w:rsidRPr="005D6D89">
              <w:rPr>
                <w:rFonts w:cs="Arial"/>
              </w:rPr>
              <w:t xml:space="preserve">Urgent action to enable the uptake of proactive adaptation tools and processes to address changing climate risks across all domains. </w:t>
            </w:r>
          </w:p>
        </w:tc>
      </w:tr>
      <w:tr w:rsidR="00A5591B" w:rsidRPr="005D6D89" w14:paraId="76614DF8" w14:textId="77777777" w:rsidTr="00095C79">
        <w:tc>
          <w:tcPr>
            <w:tcW w:w="2257" w:type="dxa"/>
            <w:shd w:val="clear" w:color="auto" w:fill="FFFFFF" w:themeFill="background1"/>
            <w:hideMark/>
          </w:tcPr>
          <w:p w14:paraId="1B91D36E" w14:textId="77777777" w:rsidR="00A5591B" w:rsidRPr="009079BF" w:rsidRDefault="00A5591B" w:rsidP="00514AC8">
            <w:pPr>
              <w:pStyle w:val="TableTextBold0"/>
              <w:spacing w:before="40" w:after="40"/>
              <w:rPr>
                <w:b w:val="0"/>
              </w:rPr>
            </w:pPr>
            <w:r w:rsidRPr="009079BF">
              <w:rPr>
                <w:b w:val="0"/>
              </w:rPr>
              <w:t>Research priority</w:t>
            </w:r>
          </w:p>
        </w:tc>
        <w:tc>
          <w:tcPr>
            <w:tcW w:w="1962" w:type="dxa"/>
            <w:gridSpan w:val="2"/>
          </w:tcPr>
          <w:p w14:paraId="4468E1FA" w14:textId="77777777" w:rsidR="00A5591B" w:rsidRPr="005D6D89" w:rsidRDefault="00A5591B" w:rsidP="00514AC8">
            <w:pPr>
              <w:pStyle w:val="TableText"/>
              <w:spacing w:before="40" w:after="40"/>
              <w:jc w:val="center"/>
              <w:rPr>
                <w:i/>
              </w:rPr>
            </w:pPr>
            <w:r w:rsidRPr="005D6D89">
              <w:t>20</w:t>
            </w:r>
          </w:p>
        </w:tc>
        <w:tc>
          <w:tcPr>
            <w:tcW w:w="4394" w:type="dxa"/>
            <w:gridSpan w:val="4"/>
          </w:tcPr>
          <w:p w14:paraId="06B20472" w14:textId="77777777" w:rsidR="00A5591B" w:rsidRPr="005D6D89" w:rsidRDefault="00A5591B" w:rsidP="00514AC8">
            <w:pPr>
              <w:pStyle w:val="TableText"/>
              <w:spacing w:before="40" w:after="40"/>
              <w:rPr>
                <w:i/>
              </w:rPr>
            </w:pPr>
            <w:r w:rsidRPr="005D6D89">
              <w:rPr>
                <w:rFonts w:cs="Arial"/>
              </w:rPr>
              <w:t>Catalysing action requires understanding how tools are used (and misused), and the barriers to uptake.</w:t>
            </w:r>
          </w:p>
        </w:tc>
      </w:tr>
      <w:tr w:rsidR="00A5591B" w:rsidRPr="005D6D89" w14:paraId="178364C1" w14:textId="77777777" w:rsidTr="00095C79">
        <w:trPr>
          <w:trHeight w:val="77"/>
        </w:trPr>
        <w:tc>
          <w:tcPr>
            <w:tcW w:w="2257" w:type="dxa"/>
            <w:shd w:val="clear" w:color="auto" w:fill="FFFFFF" w:themeFill="background1"/>
            <w:hideMark/>
          </w:tcPr>
          <w:p w14:paraId="0DF92B04" w14:textId="77777777" w:rsidR="00A5591B" w:rsidRPr="009079BF" w:rsidRDefault="00A5591B" w:rsidP="00514AC8">
            <w:pPr>
              <w:pStyle w:val="TableTextBold0"/>
              <w:spacing w:before="40" w:after="40"/>
              <w:rPr>
                <w:b w:val="0"/>
              </w:rPr>
            </w:pPr>
            <w:r w:rsidRPr="009079BF">
              <w:rPr>
                <w:b w:val="0"/>
              </w:rPr>
              <w:t>Sustain current action</w:t>
            </w:r>
          </w:p>
        </w:tc>
        <w:tc>
          <w:tcPr>
            <w:tcW w:w="1962" w:type="dxa"/>
            <w:gridSpan w:val="2"/>
          </w:tcPr>
          <w:p w14:paraId="2AF3FF1D" w14:textId="77777777" w:rsidR="00A5591B" w:rsidRPr="005D6D89" w:rsidRDefault="00A5591B" w:rsidP="00514AC8">
            <w:pPr>
              <w:pStyle w:val="TableText"/>
              <w:spacing w:before="40" w:after="40"/>
              <w:jc w:val="center"/>
              <w:rPr>
                <w:i/>
              </w:rPr>
            </w:pPr>
            <w:r w:rsidRPr="005D6D89">
              <w:t>10</w:t>
            </w:r>
          </w:p>
        </w:tc>
        <w:tc>
          <w:tcPr>
            <w:tcW w:w="4394" w:type="dxa"/>
            <w:gridSpan w:val="4"/>
          </w:tcPr>
          <w:p w14:paraId="6D8EBA06" w14:textId="77777777" w:rsidR="00A5591B" w:rsidRPr="005D6D89" w:rsidRDefault="00A5591B" w:rsidP="00514AC8">
            <w:pPr>
              <w:pStyle w:val="TableText"/>
              <w:spacing w:before="40" w:after="40"/>
              <w:rPr>
                <w:i/>
              </w:rPr>
            </w:pPr>
            <w:r w:rsidRPr="005D6D89">
              <w:rPr>
                <w:rFonts w:cs="Arial"/>
              </w:rPr>
              <w:t xml:space="preserve">Appropriate tools are starting to </w:t>
            </w:r>
            <w:proofErr w:type="gramStart"/>
            <w:r w:rsidRPr="005D6D89">
              <w:rPr>
                <w:rFonts w:cs="Arial"/>
              </w:rPr>
              <w:t>be used</w:t>
            </w:r>
            <w:proofErr w:type="gramEnd"/>
            <w:r w:rsidRPr="005D6D89">
              <w:rPr>
                <w:rFonts w:cs="Arial"/>
              </w:rPr>
              <w:t xml:space="preserve">. This needs to </w:t>
            </w:r>
            <w:proofErr w:type="gramStart"/>
            <w:r w:rsidRPr="005D6D89">
              <w:rPr>
                <w:rFonts w:cs="Arial"/>
              </w:rPr>
              <w:t>be sustained</w:t>
            </w:r>
            <w:proofErr w:type="gramEnd"/>
            <w:r w:rsidRPr="005D6D89">
              <w:rPr>
                <w:rFonts w:cs="Arial"/>
              </w:rPr>
              <w:t xml:space="preserve"> to build critical mass across agencies.</w:t>
            </w:r>
          </w:p>
        </w:tc>
      </w:tr>
      <w:tr w:rsidR="00A5591B" w:rsidRPr="005D6D89" w14:paraId="6008EA3B" w14:textId="77777777" w:rsidTr="00095C79">
        <w:tc>
          <w:tcPr>
            <w:tcW w:w="2257" w:type="dxa"/>
            <w:tcBorders>
              <w:bottom w:val="single" w:sz="8" w:space="0" w:color="6FC7B7"/>
            </w:tcBorders>
            <w:shd w:val="clear" w:color="auto" w:fill="FFFFFF" w:themeFill="background1"/>
            <w:hideMark/>
          </w:tcPr>
          <w:p w14:paraId="26BCFB3C" w14:textId="77777777" w:rsidR="00A5591B" w:rsidRPr="009079BF" w:rsidRDefault="00A5591B" w:rsidP="00514AC8">
            <w:pPr>
              <w:pStyle w:val="TableTextBold0"/>
              <w:spacing w:before="40" w:after="40"/>
              <w:rPr>
                <w:b w:val="0"/>
              </w:rPr>
            </w:pPr>
            <w:r w:rsidRPr="009079BF">
              <w:rPr>
                <w:b w:val="0"/>
              </w:rPr>
              <w:t xml:space="preserve">Watching brief </w:t>
            </w:r>
          </w:p>
        </w:tc>
        <w:tc>
          <w:tcPr>
            <w:tcW w:w="1962" w:type="dxa"/>
            <w:gridSpan w:val="2"/>
            <w:tcBorders>
              <w:bottom w:val="single" w:sz="8" w:space="0" w:color="6FC7B7"/>
            </w:tcBorders>
          </w:tcPr>
          <w:p w14:paraId="3AFEEC56" w14:textId="77777777" w:rsidR="00A5591B" w:rsidRPr="005D6D89" w:rsidRDefault="00A5591B" w:rsidP="00514AC8">
            <w:pPr>
              <w:pStyle w:val="TableText"/>
              <w:spacing w:before="40" w:after="40"/>
              <w:jc w:val="center"/>
              <w:rPr>
                <w:i/>
              </w:rPr>
            </w:pPr>
            <w:r w:rsidRPr="005D6D89">
              <w:t>10</w:t>
            </w:r>
          </w:p>
        </w:tc>
        <w:tc>
          <w:tcPr>
            <w:tcW w:w="4394" w:type="dxa"/>
            <w:gridSpan w:val="4"/>
            <w:tcBorders>
              <w:bottom w:val="single" w:sz="8" w:space="0" w:color="6FC7B7"/>
            </w:tcBorders>
          </w:tcPr>
          <w:p w14:paraId="60BD7A47" w14:textId="77777777" w:rsidR="00A5591B" w:rsidRPr="005D6D89" w:rsidRDefault="00A5591B" w:rsidP="00514AC8">
            <w:pPr>
              <w:pStyle w:val="TableText"/>
              <w:spacing w:before="40" w:after="40"/>
              <w:rPr>
                <w:i/>
              </w:rPr>
            </w:pPr>
            <w:r w:rsidRPr="005D6D89">
              <w:rPr>
                <w:rFonts w:cs="Arial"/>
                <w:iCs/>
              </w:rPr>
              <w:t xml:space="preserve">Responsible agencies should monitor barriers to uptake, using nationally consistent criteria and principles. </w:t>
            </w:r>
          </w:p>
        </w:tc>
      </w:tr>
      <w:tr w:rsidR="00514AC8" w:rsidRPr="005D6D89" w14:paraId="65E9EDC4" w14:textId="77777777" w:rsidTr="00095C79">
        <w:tc>
          <w:tcPr>
            <w:tcW w:w="2257" w:type="dxa"/>
            <w:tcBorders>
              <w:top w:val="single" w:sz="8" w:space="0" w:color="6FC7B7"/>
            </w:tcBorders>
            <w:shd w:val="clear" w:color="auto" w:fill="6FC7B7"/>
          </w:tcPr>
          <w:p w14:paraId="510EBD9D" w14:textId="77777777" w:rsidR="00A5591B" w:rsidRPr="005D56F9" w:rsidRDefault="00A5591B" w:rsidP="00514AC8">
            <w:pPr>
              <w:pStyle w:val="TableTextBold0"/>
              <w:spacing w:before="40" w:after="40"/>
              <w:rPr>
                <w:rFonts w:asciiTheme="minorHAnsi" w:hAnsiTheme="minorHAnsi" w:cstheme="minorHAnsi"/>
                <w:color w:val="FFFFFF" w:themeColor="background1"/>
              </w:rPr>
            </w:pPr>
            <w:r w:rsidRPr="005D56F9">
              <w:rPr>
                <w:rFonts w:asciiTheme="minorHAnsi" w:hAnsiTheme="minorHAnsi" w:cstheme="minorHAnsi"/>
                <w:color w:val="FFFFFF" w:themeColor="background1"/>
              </w:rPr>
              <w:t xml:space="preserve">Adaptation urgency </w:t>
            </w:r>
          </w:p>
        </w:tc>
        <w:tc>
          <w:tcPr>
            <w:tcW w:w="1962" w:type="dxa"/>
            <w:gridSpan w:val="2"/>
            <w:tcBorders>
              <w:top w:val="single" w:sz="8" w:space="0" w:color="6FC7B7"/>
            </w:tcBorders>
            <w:shd w:val="clear" w:color="auto" w:fill="FFFFFF" w:themeFill="background1"/>
          </w:tcPr>
          <w:p w14:paraId="3D8D0441" w14:textId="77777777" w:rsidR="00A5591B" w:rsidRPr="005D6D89" w:rsidRDefault="00A5591B" w:rsidP="00514AC8">
            <w:pPr>
              <w:pStyle w:val="TableText"/>
              <w:spacing w:before="40" w:after="40"/>
              <w:jc w:val="center"/>
              <w:rPr>
                <w:rFonts w:asciiTheme="minorHAnsi" w:hAnsiTheme="minorHAnsi" w:cstheme="minorHAnsi"/>
              </w:rPr>
            </w:pPr>
            <w:r w:rsidRPr="005D6D89">
              <w:rPr>
                <w:rFonts w:asciiTheme="minorHAnsi" w:hAnsiTheme="minorHAnsi" w:cstheme="minorHAnsi"/>
              </w:rPr>
              <w:t>83</w:t>
            </w:r>
          </w:p>
        </w:tc>
        <w:tc>
          <w:tcPr>
            <w:tcW w:w="1134" w:type="dxa"/>
            <w:tcBorders>
              <w:top w:val="single" w:sz="8" w:space="0" w:color="6FC7B7"/>
            </w:tcBorders>
            <w:shd w:val="clear" w:color="auto" w:fill="6FC7B7"/>
          </w:tcPr>
          <w:p w14:paraId="65E911BF" w14:textId="77777777" w:rsidR="00A5591B" w:rsidRPr="005D56F9" w:rsidRDefault="00A5591B" w:rsidP="00514AC8">
            <w:pPr>
              <w:pStyle w:val="TableTextBold0"/>
              <w:spacing w:before="40" w:after="40"/>
              <w:rPr>
                <w:color w:val="FFFFFF" w:themeColor="background1"/>
              </w:rPr>
            </w:pPr>
            <w:r w:rsidRPr="005D56F9">
              <w:rPr>
                <w:color w:val="FFFFFF" w:themeColor="background1"/>
              </w:rPr>
              <w:t>Confidence</w:t>
            </w:r>
            <w:r w:rsidR="00027F9F" w:rsidRPr="005D56F9">
              <w:rPr>
                <w:color w:val="FFFFFF" w:themeColor="background1"/>
              </w:rPr>
              <w:t xml:space="preserve"> </w:t>
            </w:r>
          </w:p>
        </w:tc>
        <w:tc>
          <w:tcPr>
            <w:tcW w:w="3260" w:type="dxa"/>
            <w:gridSpan w:val="3"/>
            <w:tcBorders>
              <w:top w:val="single" w:sz="8" w:space="0" w:color="6FC7B7"/>
            </w:tcBorders>
          </w:tcPr>
          <w:p w14:paraId="395AA7F3" w14:textId="77777777" w:rsidR="00A5591B" w:rsidRPr="005D6D89" w:rsidRDefault="00A5591B" w:rsidP="00514AC8">
            <w:pPr>
              <w:pStyle w:val="TableText"/>
              <w:spacing w:before="40" w:after="40"/>
              <w:rPr>
                <w:rFonts w:asciiTheme="minorHAnsi" w:hAnsiTheme="minorHAnsi" w:cstheme="minorHAnsi"/>
              </w:rPr>
            </w:pPr>
            <w:r w:rsidRPr="005D6D89">
              <w:t>High agreement, robust evidence</w:t>
            </w:r>
          </w:p>
        </w:tc>
      </w:tr>
      <w:tr w:rsidR="00B04DFB" w:rsidRPr="005D6D89" w14:paraId="74D14DED" w14:textId="77777777" w:rsidTr="00095C79">
        <w:tc>
          <w:tcPr>
            <w:tcW w:w="2257" w:type="dxa"/>
            <w:shd w:val="clear" w:color="auto" w:fill="6FC7B7"/>
          </w:tcPr>
          <w:p w14:paraId="5A5365E6" w14:textId="77777777" w:rsidR="00A5591B" w:rsidRPr="005D56F9" w:rsidRDefault="00A5591B" w:rsidP="00514AC8">
            <w:pPr>
              <w:pStyle w:val="TableTextBold0"/>
              <w:spacing w:before="40" w:after="40"/>
              <w:rPr>
                <w:rFonts w:asciiTheme="minorHAnsi" w:hAnsiTheme="minorHAnsi" w:cstheme="minorHAnsi"/>
                <w:color w:val="FFFFFF" w:themeColor="background1"/>
              </w:rPr>
            </w:pPr>
            <w:r w:rsidRPr="005D56F9">
              <w:rPr>
                <w:rFonts w:asciiTheme="minorHAnsi" w:hAnsiTheme="minorHAnsi" w:cstheme="minorHAnsi"/>
                <w:color w:val="FFFFFF" w:themeColor="background1"/>
              </w:rPr>
              <w:t xml:space="preserve">Consequence </w:t>
            </w:r>
          </w:p>
        </w:tc>
        <w:tc>
          <w:tcPr>
            <w:tcW w:w="970" w:type="dxa"/>
            <w:shd w:val="clear" w:color="auto" w:fill="6FC7B7"/>
          </w:tcPr>
          <w:p w14:paraId="4C78FF65" w14:textId="77777777" w:rsidR="00A5591B" w:rsidRPr="005D56F9" w:rsidRDefault="00A5591B" w:rsidP="00514AC8">
            <w:pPr>
              <w:pStyle w:val="TableText"/>
              <w:spacing w:before="40" w:after="40"/>
              <w:jc w:val="center"/>
              <w:rPr>
                <w:color w:val="FFFFFF" w:themeColor="background1"/>
              </w:rPr>
            </w:pPr>
            <w:r w:rsidRPr="005D56F9">
              <w:rPr>
                <w:color w:val="FFFFFF" w:themeColor="background1"/>
              </w:rPr>
              <w:t>Now</w:t>
            </w:r>
          </w:p>
        </w:tc>
        <w:tc>
          <w:tcPr>
            <w:tcW w:w="992" w:type="dxa"/>
          </w:tcPr>
          <w:p w14:paraId="58EAB389" w14:textId="77777777" w:rsidR="00A5591B" w:rsidRPr="005D6D89" w:rsidRDefault="00A5591B" w:rsidP="00514AC8">
            <w:pPr>
              <w:pStyle w:val="TableText"/>
              <w:spacing w:before="40" w:after="40"/>
              <w:jc w:val="center"/>
            </w:pPr>
            <w:r w:rsidRPr="005D6D89">
              <w:t>Major</w:t>
            </w:r>
          </w:p>
        </w:tc>
        <w:tc>
          <w:tcPr>
            <w:tcW w:w="1134" w:type="dxa"/>
            <w:shd w:val="clear" w:color="auto" w:fill="6FC7B7"/>
          </w:tcPr>
          <w:p w14:paraId="3EF6738C" w14:textId="77777777" w:rsidR="00A5591B" w:rsidRPr="005D56F9" w:rsidRDefault="00A5591B" w:rsidP="00514AC8">
            <w:pPr>
              <w:pStyle w:val="TableText"/>
              <w:spacing w:before="40" w:after="40"/>
              <w:rPr>
                <w:color w:val="FFFFFF" w:themeColor="background1"/>
              </w:rPr>
            </w:pPr>
            <w:r w:rsidRPr="005D56F9">
              <w:rPr>
                <w:color w:val="FFFFFF" w:themeColor="background1"/>
              </w:rPr>
              <w:t>2050</w:t>
            </w:r>
          </w:p>
        </w:tc>
        <w:tc>
          <w:tcPr>
            <w:tcW w:w="992" w:type="dxa"/>
          </w:tcPr>
          <w:p w14:paraId="0FBBA777" w14:textId="77777777" w:rsidR="00A5591B" w:rsidRPr="005D6D89" w:rsidRDefault="00A5591B" w:rsidP="00514AC8">
            <w:pPr>
              <w:pStyle w:val="TableText"/>
              <w:spacing w:before="40" w:after="40"/>
            </w:pPr>
            <w:r w:rsidRPr="005D6D89">
              <w:t>Extreme</w:t>
            </w:r>
          </w:p>
        </w:tc>
        <w:tc>
          <w:tcPr>
            <w:tcW w:w="993" w:type="dxa"/>
            <w:shd w:val="clear" w:color="auto" w:fill="6FC7B7"/>
          </w:tcPr>
          <w:p w14:paraId="2D143F66" w14:textId="77777777" w:rsidR="00A5591B" w:rsidRPr="005D56F9" w:rsidRDefault="00A5591B" w:rsidP="00514AC8">
            <w:pPr>
              <w:pStyle w:val="TableText"/>
              <w:spacing w:before="40" w:after="40"/>
              <w:rPr>
                <w:color w:val="FFFFFF" w:themeColor="background1"/>
              </w:rPr>
            </w:pPr>
            <w:r w:rsidRPr="005D56F9">
              <w:rPr>
                <w:color w:val="FFFFFF" w:themeColor="background1"/>
              </w:rPr>
              <w:t>2100</w:t>
            </w:r>
          </w:p>
        </w:tc>
        <w:tc>
          <w:tcPr>
            <w:tcW w:w="1275" w:type="dxa"/>
          </w:tcPr>
          <w:p w14:paraId="7CD0E43F" w14:textId="77777777" w:rsidR="00A5591B" w:rsidRPr="005D6D89" w:rsidRDefault="00A5591B" w:rsidP="00514AC8">
            <w:pPr>
              <w:pStyle w:val="TableText"/>
              <w:spacing w:before="40" w:after="40"/>
            </w:pPr>
            <w:r w:rsidRPr="005D6D89">
              <w:t>Extreme</w:t>
            </w:r>
          </w:p>
        </w:tc>
      </w:tr>
    </w:tbl>
    <w:p w14:paraId="1CA785D8" w14:textId="77777777" w:rsidR="00A5591B" w:rsidRPr="005D6D89" w:rsidRDefault="00A5591B" w:rsidP="00E12918">
      <w:pPr>
        <w:pStyle w:val="Heading4"/>
        <w:spacing w:before="400"/>
      </w:pPr>
      <w:bookmarkStart w:id="449" w:name="_Toc37393690"/>
      <w:r w:rsidRPr="005D6D89">
        <w:t xml:space="preserve">G2 Risk that climate change </w:t>
      </w:r>
      <w:proofErr w:type="gramStart"/>
      <w:r w:rsidRPr="005D6D89">
        <w:t>impacts</w:t>
      </w:r>
      <w:proofErr w:type="gramEnd"/>
      <w:r w:rsidRPr="005D6D89">
        <w:t xml:space="preserve"> across all domains will be exacerbated because current institutional arrangements are not fit for climate change adaptation. Institutional arrangements include legislative and decision-making frameworks, coordination within and across levels of government and funding mechanisms </w:t>
      </w:r>
      <w:bookmarkEnd w:id="449"/>
    </w:p>
    <w:p w14:paraId="61C675F9" w14:textId="77777777" w:rsidR="00A5591B" w:rsidRPr="005D6D89" w:rsidRDefault="00A5591B" w:rsidP="00FB6142">
      <w:pPr>
        <w:pStyle w:val="Heading5"/>
        <w:spacing w:before="180"/>
      </w:pPr>
      <w:r w:rsidRPr="005D6D89">
        <w:t>Risk summary</w:t>
      </w:r>
    </w:p>
    <w:p w14:paraId="15A8CEBD" w14:textId="77777777" w:rsidR="00A5591B" w:rsidRPr="005D6D89" w:rsidRDefault="00A5591B" w:rsidP="00FB6142">
      <w:pPr>
        <w:pStyle w:val="BodyText"/>
        <w:spacing w:before="100" w:after="100"/>
      </w:pPr>
      <w:r w:rsidRPr="005D6D89">
        <w:t xml:space="preserve">Adapting to the diverse impacts of climate change at different scales requires statutory and policy alignment, coordination across levels of government and with sectors, and significant ongoing funding (CCATWG, 2018). The absence of these factors has repeatedly been identified as a barrier to effective adaptation (Boston and Lawrence, 2018; Hanna et al, 2018; Lawrence et al, 2015). </w:t>
      </w:r>
    </w:p>
    <w:p w14:paraId="080FF71D" w14:textId="77777777" w:rsidR="00A5591B" w:rsidRPr="005D6D89" w:rsidRDefault="00A5591B" w:rsidP="00FB6142">
      <w:pPr>
        <w:pStyle w:val="BodyText"/>
        <w:spacing w:before="100" w:after="100"/>
      </w:pPr>
      <w:r w:rsidRPr="005D6D89">
        <w:t xml:space="preserve">If national and </w:t>
      </w:r>
      <w:r w:rsidR="001373F6">
        <w:t>local</w:t>
      </w:r>
      <w:r w:rsidR="001373F6" w:rsidRPr="005D6D89">
        <w:t xml:space="preserve"> </w:t>
      </w:r>
      <w:r w:rsidRPr="005D6D89">
        <w:t xml:space="preserve">governments fail to plan and invest in risk reduction and effective adaptation initiatives, the economic, social and cultural costs of climate change will be higher (Boston and Lawrence, 2018). Adaptive capacity in all domains is likely to </w:t>
      </w:r>
      <w:proofErr w:type="gramStart"/>
      <w:r w:rsidRPr="005D6D89">
        <w:t>be challenged</w:t>
      </w:r>
      <w:proofErr w:type="gramEnd"/>
      <w:r w:rsidRPr="005D6D89">
        <w:t xml:space="preserve"> unless relevant statutes are strongly aligned, and actors and funding mechanisms are coordinated. </w:t>
      </w:r>
    </w:p>
    <w:p w14:paraId="6787CDD4" w14:textId="77777777" w:rsidR="00A5591B" w:rsidRPr="005D6D89" w:rsidRDefault="00A5591B" w:rsidP="00E12918">
      <w:pPr>
        <w:pStyle w:val="Heading5"/>
        <w:spacing w:before="180"/>
      </w:pPr>
      <w:r w:rsidRPr="005D6D89">
        <w:t>Risk description</w:t>
      </w:r>
    </w:p>
    <w:p w14:paraId="5FF023FE" w14:textId="77777777" w:rsidR="00A5591B" w:rsidRPr="005D6D89" w:rsidRDefault="00A5591B" w:rsidP="00FB6142">
      <w:pPr>
        <w:pStyle w:val="BodyText"/>
        <w:spacing w:before="100" w:after="80"/>
      </w:pPr>
      <w:r w:rsidRPr="005D6D89">
        <w:t>The Climate Change Adaptation Technical Working Group (2018) recommended several actions to the Government. These include:</w:t>
      </w:r>
    </w:p>
    <w:p w14:paraId="1AA1A948" w14:textId="77777777" w:rsidR="00A5591B" w:rsidRPr="005D6D89" w:rsidRDefault="00A5591B" w:rsidP="00FB6142">
      <w:pPr>
        <w:pStyle w:val="Bullet"/>
        <w:spacing w:after="80"/>
      </w:pPr>
      <w:r w:rsidRPr="005D6D89">
        <w:t>establishing governance arrangements that support long-term adaptation action (Action</w:t>
      </w:r>
      <w:r w:rsidR="00E55482" w:rsidRPr="005D6D89">
        <w:t> </w:t>
      </w:r>
      <w:r w:rsidRPr="005D6D89">
        <w:t>5)</w:t>
      </w:r>
    </w:p>
    <w:p w14:paraId="46E7F91C" w14:textId="77777777" w:rsidR="00A5591B" w:rsidRPr="005D6D89" w:rsidRDefault="00A5591B" w:rsidP="00FB6142">
      <w:pPr>
        <w:pStyle w:val="Bullet"/>
        <w:spacing w:after="80"/>
      </w:pPr>
      <w:r w:rsidRPr="005D6D89">
        <w:t>reviewing existing legislation and policy to integrate and align climate change adaptation considerations (Action 7)</w:t>
      </w:r>
    </w:p>
    <w:p w14:paraId="4C4C8BBA" w14:textId="77777777" w:rsidR="00A5591B" w:rsidRPr="005D6D89" w:rsidRDefault="00A5591B" w:rsidP="00E55482">
      <w:pPr>
        <w:pStyle w:val="Bullet"/>
      </w:pPr>
      <w:proofErr w:type="gramStart"/>
      <w:r w:rsidRPr="005D6D89">
        <w:t>defining</w:t>
      </w:r>
      <w:proofErr w:type="gramEnd"/>
      <w:r w:rsidRPr="005D6D89">
        <w:t xml:space="preserve"> funding arrangements for climate change adaptation (Action 16). </w:t>
      </w:r>
    </w:p>
    <w:p w14:paraId="2F992F45" w14:textId="77777777" w:rsidR="00A5591B" w:rsidRPr="005D6D89" w:rsidRDefault="00A5591B" w:rsidP="00E55482">
      <w:pPr>
        <w:pStyle w:val="BodyText"/>
      </w:pPr>
      <w:r w:rsidRPr="005D6D89">
        <w:t xml:space="preserve">Although Action 5 </w:t>
      </w:r>
      <w:proofErr w:type="gramStart"/>
      <w:r w:rsidRPr="005D6D89">
        <w:t>has been partially implemented</w:t>
      </w:r>
      <w:proofErr w:type="gramEnd"/>
      <w:r w:rsidRPr="005D6D89">
        <w:t xml:space="preserve"> through this NCCRA, local government mandates linked to the national governance arrangements and the other critical recommendations have yet to be actioned. In a review of the current arrangements for</w:t>
      </w:r>
      <w:r w:rsidR="00E55482" w:rsidRPr="005D6D89">
        <w:t> </w:t>
      </w:r>
      <w:r w:rsidRPr="005D6D89">
        <w:t>adaptation in New Zealand, Boston and Lawrence (2018) conclude existing institutional and funding arrangements are not fit for purpose, and cannot ensure sound anticipatory governance and equitable outcomes. The authors note that</w:t>
      </w:r>
      <w:r w:rsidR="001373F6">
        <w:t>:</w:t>
      </w:r>
      <w:r w:rsidRPr="005D6D89">
        <w:t xml:space="preserve"> “[w]ithout appropriate reforms, existing policy frameworks are destined to increase rather than reduce</w:t>
      </w:r>
      <w:r w:rsidR="00B62CB5" w:rsidRPr="005D6D89">
        <w:t> </w:t>
      </w:r>
      <w:r w:rsidRPr="005D6D89">
        <w:t>risk exposure, exacerbate future adaptation costs, and contribute to multiple inequities. In the</w:t>
      </w:r>
      <w:r w:rsidR="00E55482" w:rsidRPr="005D6D89">
        <w:t> </w:t>
      </w:r>
      <w:r w:rsidRPr="005D6D89">
        <w:t>interests of sound anticipatory governance, a better framework is required”</w:t>
      </w:r>
      <w:r w:rsidRPr="005D6D89">
        <w:rPr>
          <w:i/>
        </w:rPr>
        <w:t xml:space="preserve"> </w:t>
      </w:r>
      <w:r w:rsidRPr="005D6D89">
        <w:t>(Boston and</w:t>
      </w:r>
      <w:r w:rsidR="00E55482" w:rsidRPr="005D6D89">
        <w:t> </w:t>
      </w:r>
      <w:r w:rsidRPr="005D6D89">
        <w:t>Lawrence, 2018, p44).</w:t>
      </w:r>
    </w:p>
    <w:p w14:paraId="22B73599" w14:textId="77777777" w:rsidR="00A5591B" w:rsidRPr="005D6D89" w:rsidRDefault="00A5591B" w:rsidP="00E55482">
      <w:pPr>
        <w:pStyle w:val="Heading5"/>
      </w:pPr>
      <w:r w:rsidRPr="005D6D89">
        <w:t>Statutory and policy alignment</w:t>
      </w:r>
    </w:p>
    <w:p w14:paraId="698FE5A7" w14:textId="77777777" w:rsidR="00A5591B" w:rsidRPr="005D6D89" w:rsidRDefault="00A5591B" w:rsidP="00E55482">
      <w:pPr>
        <w:pStyle w:val="BodyText"/>
      </w:pPr>
      <w:r w:rsidRPr="005D6D89">
        <w:t>New Zealand</w:t>
      </w:r>
      <w:r w:rsidR="001200EA">
        <w:t>’</w:t>
      </w:r>
      <w:r w:rsidRPr="005D6D89">
        <w:t>s numerous laws and policies contain inconsistencies and competing objectives related to climate change adaptation (Blackett and Hume, 2011; Lawrence</w:t>
      </w:r>
      <w:r w:rsidR="00B61730">
        <w:t xml:space="preserve"> et al</w:t>
      </w:r>
      <w:r w:rsidRPr="005D6D89">
        <w:t xml:space="preserve">, 2018). For example, the Housing Accords and Special Housing Areas Act 2013 puts housing supply ahead of natural hazard provisions, increasing the risk of locating new housing in unsuitable areas. </w:t>
      </w:r>
      <w:proofErr w:type="gramStart"/>
      <w:r w:rsidR="00E80827">
        <w:t>Lawrence and Manning (2012)</w:t>
      </w:r>
      <w:r w:rsidRPr="005D6D89">
        <w:t xml:space="preserve"> also note misalignment between various acts</w:t>
      </w:r>
      <w:r w:rsidR="001373F6">
        <w:t>,</w:t>
      </w:r>
      <w:r w:rsidRPr="005D6D89">
        <w:t xml:space="preserve"> such as the </w:t>
      </w:r>
      <w:r w:rsidRPr="005D6D89">
        <w:rPr>
          <w:rFonts w:cs="Arial"/>
          <w:iCs/>
        </w:rPr>
        <w:t>Soil Conservation and Rivers Control Act</w:t>
      </w:r>
      <w:r w:rsidR="001373F6">
        <w:rPr>
          <w:rFonts w:cs="Arial"/>
        </w:rPr>
        <w:t xml:space="preserve"> (</w:t>
      </w:r>
      <w:r w:rsidRPr="005D6D89">
        <w:rPr>
          <w:rFonts w:cs="Arial"/>
        </w:rPr>
        <w:t>which has a focus on protection works that give rise to static responses</w:t>
      </w:r>
      <w:r w:rsidR="001373F6">
        <w:rPr>
          <w:rFonts w:cs="Arial"/>
        </w:rPr>
        <w:t>)</w:t>
      </w:r>
      <w:r w:rsidR="00AD45D6">
        <w:rPr>
          <w:rFonts w:cs="Arial"/>
        </w:rPr>
        <w:t>,</w:t>
      </w:r>
      <w:r w:rsidR="001373F6">
        <w:rPr>
          <w:rFonts w:cs="Arial"/>
        </w:rPr>
        <w:t xml:space="preserve"> and </w:t>
      </w:r>
      <w:r w:rsidRPr="005D6D89">
        <w:rPr>
          <w:rFonts w:cs="Arial"/>
        </w:rPr>
        <w:t xml:space="preserve">the </w:t>
      </w:r>
      <w:r w:rsidRPr="005D6D89">
        <w:t>Resource Management Act</w:t>
      </w:r>
      <w:r w:rsidRPr="005D6D89">
        <w:rPr>
          <w:rFonts w:cs="Arial"/>
        </w:rPr>
        <w:t xml:space="preserve"> 1991</w:t>
      </w:r>
      <w:r w:rsidR="001373F6">
        <w:rPr>
          <w:rFonts w:cs="Arial"/>
        </w:rPr>
        <w:t xml:space="preserve"> (</w:t>
      </w:r>
      <w:r w:rsidRPr="005D6D89">
        <w:rPr>
          <w:rFonts w:cs="Arial"/>
        </w:rPr>
        <w:t>which has a precautionary focus</w:t>
      </w:r>
      <w:r w:rsidR="001373F6">
        <w:rPr>
          <w:rFonts w:cs="Arial"/>
        </w:rPr>
        <w:t>)</w:t>
      </w:r>
      <w:r w:rsidRPr="005D6D89">
        <w:rPr>
          <w:rFonts w:cs="Arial"/>
        </w:rPr>
        <w:t xml:space="preserve">, and the default to the </w:t>
      </w:r>
      <w:r w:rsidRPr="005D6D89">
        <w:rPr>
          <w:rFonts w:cs="Arial"/>
          <w:iCs/>
        </w:rPr>
        <w:t>Buildings Act</w:t>
      </w:r>
      <w:r w:rsidRPr="005D6D89">
        <w:rPr>
          <w:rFonts w:cs="Arial"/>
        </w:rPr>
        <w:t xml:space="preserve"> in the absence of regional or district rules, can result in short-term decisions that exacerbate risk.</w:t>
      </w:r>
      <w:proofErr w:type="gramEnd"/>
    </w:p>
    <w:p w14:paraId="506A24EA" w14:textId="77777777" w:rsidR="00A5591B" w:rsidRPr="005D6D89" w:rsidRDefault="00A5591B" w:rsidP="00E55482">
      <w:pPr>
        <w:pStyle w:val="BodyText"/>
      </w:pPr>
      <w:r w:rsidRPr="005D6D89">
        <w:t xml:space="preserve">At the national level, many sectors operate within regulatory frameworks and policies </w:t>
      </w:r>
      <w:r w:rsidR="001373F6">
        <w:t>that</w:t>
      </w:r>
      <w:r w:rsidR="001373F6" w:rsidRPr="005D6D89">
        <w:t xml:space="preserve"> </w:t>
      </w:r>
      <w:proofErr w:type="gramStart"/>
      <w:r w:rsidRPr="005D6D89">
        <w:t>are not well aligned</w:t>
      </w:r>
      <w:proofErr w:type="gramEnd"/>
      <w:r w:rsidRPr="005D6D89">
        <w:t xml:space="preserve"> with climate change adaptation (CCATWG 2018). </w:t>
      </w:r>
      <w:r w:rsidR="007B0FC9" w:rsidRPr="005D6D89">
        <w:t>In addition</w:t>
      </w:r>
      <w:r w:rsidRPr="005D6D89">
        <w:t xml:space="preserve">, local council functions relating to climate change impacts </w:t>
      </w:r>
      <w:proofErr w:type="gramStart"/>
      <w:r w:rsidRPr="005D6D89">
        <w:t>are spread</w:t>
      </w:r>
      <w:proofErr w:type="gramEnd"/>
      <w:r w:rsidRPr="005D6D89">
        <w:t xml:space="preserve"> across different statutes. These functions include managing floods, water and stormwater, land use, emergencies and assets including infrastructure (Manning et al, 2015). </w:t>
      </w:r>
    </w:p>
    <w:p w14:paraId="1316F868" w14:textId="77777777" w:rsidR="00A5591B" w:rsidRPr="005D6D89" w:rsidRDefault="00A5591B" w:rsidP="00E55482">
      <w:pPr>
        <w:pStyle w:val="Heading5"/>
      </w:pPr>
      <w:r w:rsidRPr="005D6D89">
        <w:t>Coordination</w:t>
      </w:r>
    </w:p>
    <w:p w14:paraId="734467A0" w14:textId="77777777" w:rsidR="00A5591B" w:rsidRPr="005D6D89" w:rsidRDefault="00A5591B" w:rsidP="00E55482">
      <w:pPr>
        <w:pStyle w:val="BodyText"/>
      </w:pPr>
      <w:r w:rsidRPr="005D6D89">
        <w:t>To be effective, adaptation requires coordination across different levels of government, regions, technical and disciplinary areas, administrative boundaries, and between government and non-governmental institutions (Lawrence et al</w:t>
      </w:r>
      <w:r w:rsidR="0006783B">
        <w:t xml:space="preserve">, </w:t>
      </w:r>
      <w:r w:rsidRPr="005D6D89">
        <w:t xml:space="preserve">2018). </w:t>
      </w:r>
    </w:p>
    <w:p w14:paraId="224847A8" w14:textId="77777777" w:rsidR="00A5591B" w:rsidRPr="005D6D89" w:rsidRDefault="00A5591B" w:rsidP="00E55482">
      <w:pPr>
        <w:pStyle w:val="BodyText"/>
      </w:pPr>
      <w:r w:rsidRPr="005D6D89">
        <w:t>New Zealand</w:t>
      </w:r>
      <w:r w:rsidR="001200EA">
        <w:t>’</w:t>
      </w:r>
      <w:r w:rsidRPr="005D6D89">
        <w:t>s national institutional framework centres on the Resource Management Act, influences adaptation practice and, with the Local Government Act</w:t>
      </w:r>
      <w:r w:rsidRPr="005D6D89">
        <w:rPr>
          <w:i/>
        </w:rPr>
        <w:t>,</w:t>
      </w:r>
      <w:r w:rsidRPr="005D6D89">
        <w:t xml:space="preserve"> determines the relationships between national, regional and district government. However, these two statutes do not clearly mandate </w:t>
      </w:r>
      <w:proofErr w:type="gramStart"/>
      <w:r w:rsidRPr="005D6D89">
        <w:t>climate change risk management</w:t>
      </w:r>
      <w:proofErr w:type="gramEnd"/>
      <w:r w:rsidRPr="005D6D89">
        <w:t xml:space="preserve"> or adaptation, nor the coordination of roles, responsibilities and actions across levels of government. The </w:t>
      </w:r>
      <w:r w:rsidR="0006783B">
        <w:t xml:space="preserve">NCCRA </w:t>
      </w:r>
      <w:r w:rsidRPr="005D6D89">
        <w:t xml:space="preserve">framework empowers local government to make decisions on land use, natural hazard management, infrastructure and urban development (Lawrence et al, 2013) and allows for central government to provide consistent overarching directions and guidance through </w:t>
      </w:r>
      <w:r w:rsidR="0006783B">
        <w:t>n</w:t>
      </w:r>
      <w:r w:rsidRPr="005D6D89">
        <w:t xml:space="preserve">ational </w:t>
      </w:r>
      <w:r w:rsidR="0006783B">
        <w:t>p</w:t>
      </w:r>
      <w:r w:rsidRPr="005D6D89">
        <w:t xml:space="preserve">olicy </w:t>
      </w:r>
      <w:r w:rsidR="0006783B">
        <w:t>s</w:t>
      </w:r>
      <w:r w:rsidRPr="005D6D89">
        <w:t xml:space="preserve">tatements and </w:t>
      </w:r>
      <w:r w:rsidR="0006783B">
        <w:t>n</w:t>
      </w:r>
      <w:r w:rsidR="0006783B" w:rsidRPr="005D6D89">
        <w:t xml:space="preserve">ational </w:t>
      </w:r>
      <w:r w:rsidR="0006783B">
        <w:t>e</w:t>
      </w:r>
      <w:r w:rsidR="0006783B" w:rsidRPr="005D6D89">
        <w:t xml:space="preserve">nvironmental </w:t>
      </w:r>
      <w:r w:rsidR="0006783B">
        <w:t>s</w:t>
      </w:r>
      <w:r w:rsidR="0006783B" w:rsidRPr="005D6D89">
        <w:t xml:space="preserve">tandards </w:t>
      </w:r>
      <w:r w:rsidRPr="005D6D89">
        <w:t xml:space="preserve">(Lawrence et al, 2012). </w:t>
      </w:r>
    </w:p>
    <w:p w14:paraId="49F1CC7A" w14:textId="77777777" w:rsidR="00A5591B" w:rsidRPr="005D6D89" w:rsidRDefault="00A5591B" w:rsidP="00E55482">
      <w:pPr>
        <w:pStyle w:val="BodyText"/>
      </w:pPr>
      <w:r w:rsidRPr="005D6D89">
        <w:t xml:space="preserve">This coordination architecture is currently under-used due to lack of clarity (Lawrence et al, 2012; CCATWG, 2018), leaving each local council to design their responses. This increases the exposure of decisions to challenge in the courts, which may delay action (G3) (Lawrence et al, 2013). It also leads to inefficient resourcing and a poor understanding of climate change risks among decision-makers and community members (Lawrence et al, 2013). </w:t>
      </w:r>
    </w:p>
    <w:p w14:paraId="5C3E32FE" w14:textId="77777777" w:rsidR="00A5591B" w:rsidRPr="005D6D89" w:rsidRDefault="00A5591B" w:rsidP="00E55482">
      <w:pPr>
        <w:pStyle w:val="Heading5"/>
      </w:pPr>
      <w:r w:rsidRPr="005D6D89">
        <w:t>Funding</w:t>
      </w:r>
    </w:p>
    <w:p w14:paraId="59372FD6" w14:textId="77777777" w:rsidR="00A5591B" w:rsidRPr="005D6D89" w:rsidRDefault="00A5591B" w:rsidP="009361CD">
      <w:pPr>
        <w:pStyle w:val="BodyText"/>
        <w:spacing w:before="100" w:after="100"/>
      </w:pPr>
      <w:r w:rsidRPr="005D6D89">
        <w:t xml:space="preserve">There are currently no dedicated funds for adaptation to reduce exposure to climate change-related risks. However, there is funding for recovery from hazard events, including the Natural Disaster Fund and the Adverse Events Fund for the primary production sector (Boston and Lawrence, 2018). Re-allocating funding towards risk reduction </w:t>
      </w:r>
      <w:proofErr w:type="gramStart"/>
      <w:r w:rsidRPr="005D6D89">
        <w:t>would be more cost</w:t>
      </w:r>
      <w:proofErr w:type="gramEnd"/>
      <w:r w:rsidR="0006783B">
        <w:t xml:space="preserve"> </w:t>
      </w:r>
      <w:r w:rsidRPr="005D6D89">
        <w:t>efficient (Deloitte Access Economics, 2013).</w:t>
      </w:r>
    </w:p>
    <w:p w14:paraId="3532FE5B" w14:textId="77777777" w:rsidR="00A5591B" w:rsidRPr="005D6D89" w:rsidRDefault="00A5591B" w:rsidP="009361CD">
      <w:pPr>
        <w:pStyle w:val="BodyText"/>
        <w:spacing w:before="100" w:after="100"/>
      </w:pPr>
      <w:r w:rsidRPr="005D6D89">
        <w:t>Significant and ongoing funding is required to implement adaptation actions. Some of the most</w:t>
      </w:r>
      <w:r w:rsidR="00621ACE" w:rsidRPr="005D6D89">
        <w:t> </w:t>
      </w:r>
      <w:r w:rsidRPr="005D6D89">
        <w:t>pressing needs in New Zealand relate to the impacts of sea-level rise, which includes rising groundwater and salinisation, erosion and more damaging storm surges (B2). One metre</w:t>
      </w:r>
      <w:r w:rsidR="00621ACE" w:rsidRPr="005D6D89">
        <w:t> </w:t>
      </w:r>
      <w:r w:rsidRPr="005D6D89">
        <w:t xml:space="preserve">of </w:t>
      </w:r>
      <w:proofErr w:type="gramStart"/>
      <w:r w:rsidRPr="005D6D89">
        <w:t>sea-level</w:t>
      </w:r>
      <w:proofErr w:type="gramEnd"/>
      <w:r w:rsidRPr="005D6D89">
        <w:t xml:space="preserve"> rise from the present day, which may be experienced by 2100 under RCP8.5</w:t>
      </w:r>
      <w:r w:rsidR="00621ACE" w:rsidRPr="005D6D89">
        <w:t> </w:t>
      </w:r>
      <w:r w:rsidRPr="005D6D89">
        <w:t>H</w:t>
      </w:r>
      <w:r w:rsidRPr="005D6D89">
        <w:rPr>
          <w:vertAlign w:val="superscript"/>
        </w:rPr>
        <w:t>+</w:t>
      </w:r>
      <w:r w:rsidRPr="005D6D89">
        <w:t xml:space="preserve"> (see </w:t>
      </w:r>
      <w:hyperlink w:anchor="table7" w:history="1">
        <w:r w:rsidR="00621ACE" w:rsidRPr="005D6D89">
          <w:rPr>
            <w:rStyle w:val="Hyperlink"/>
          </w:rPr>
          <w:t>table 7</w:t>
        </w:r>
      </w:hyperlink>
      <w:r w:rsidRPr="005D6D89">
        <w:t>)</w:t>
      </w:r>
      <w:r w:rsidR="0006783B">
        <w:t>,</w:t>
      </w:r>
      <w:r w:rsidRPr="005D6D89">
        <w:t xml:space="preserve"> will expose more than 49,000 buildings to a 100-year</w:t>
      </w:r>
      <w:r w:rsidR="0006783B">
        <w:t>,</w:t>
      </w:r>
      <w:r w:rsidRPr="005D6D89">
        <w:t xml:space="preserve"> extreme sea-level flood. These buildings have a replacement value of about $12.4 billion (Paulik et al, 2020). Where managed retreat is the only option, significant investment will be required to support these communities. </w:t>
      </w:r>
    </w:p>
    <w:p w14:paraId="0054CC31" w14:textId="77777777" w:rsidR="00A5591B" w:rsidRPr="005D6D89" w:rsidRDefault="00A5591B" w:rsidP="009361CD">
      <w:pPr>
        <w:pStyle w:val="BodyText"/>
        <w:spacing w:before="100" w:after="100"/>
      </w:pPr>
      <w:r w:rsidRPr="005D6D89">
        <w:t xml:space="preserve">Other areas where adaptation funding is either limited or absent include: </w:t>
      </w:r>
    </w:p>
    <w:p w14:paraId="502A3331" w14:textId="77777777" w:rsidR="00A5591B" w:rsidRPr="005D6D89" w:rsidRDefault="00A5591B" w:rsidP="009361CD">
      <w:pPr>
        <w:pStyle w:val="Bullet"/>
        <w:spacing w:after="80"/>
      </w:pPr>
      <w:r w:rsidRPr="005D6D89">
        <w:rPr>
          <w:b/>
        </w:rPr>
        <w:t>Compensation:</w:t>
      </w:r>
      <w:r w:rsidRPr="005D6D89">
        <w:rPr>
          <w:i/>
        </w:rPr>
        <w:t xml:space="preserve"> </w:t>
      </w:r>
      <w:r w:rsidRPr="005D6D89">
        <w:rPr>
          <w:iCs/>
        </w:rPr>
        <w:t>Governments are likely to face l</w:t>
      </w:r>
      <w:r w:rsidRPr="005D6D89">
        <w:t>itigation (G3) seeking compensation for loss or damage due to climate change, or conversely due to the loss of existing use rights due to adaptation measures (Grace et al, 2019; Winkelmann et al, 2019).</w:t>
      </w:r>
    </w:p>
    <w:p w14:paraId="7DFAABE6" w14:textId="77777777" w:rsidR="00A5591B" w:rsidRPr="005D6D89" w:rsidRDefault="00A5591B" w:rsidP="009361CD">
      <w:pPr>
        <w:pStyle w:val="Bullet"/>
        <w:spacing w:after="80"/>
      </w:pPr>
      <w:r w:rsidRPr="005D6D89">
        <w:rPr>
          <w:b/>
        </w:rPr>
        <w:t>Research:</w:t>
      </w:r>
      <w:r w:rsidRPr="005D6D89">
        <w:rPr>
          <w:i/>
        </w:rPr>
        <w:t xml:space="preserve"> </w:t>
      </w:r>
      <w:r w:rsidRPr="005D6D89">
        <w:rPr>
          <w:iCs/>
        </w:rPr>
        <w:t>There is a critical under-investment</w:t>
      </w:r>
      <w:r w:rsidRPr="005D6D89">
        <w:t xml:space="preserve"> in research to support adaptation (G5) relating to biophysical and ecological changes, biosecurity, changes in the hydrological cycle influencing fluvial and pluvial flooding, and the implications of climate change on human systems such as the economy, health and health services (CCATWG, 2018).</w:t>
      </w:r>
    </w:p>
    <w:p w14:paraId="14A1A1A0" w14:textId="625DE43A" w:rsidR="00A5591B" w:rsidRPr="005D6D89" w:rsidRDefault="00A5591B" w:rsidP="009361CD">
      <w:pPr>
        <w:pStyle w:val="Bullet"/>
        <w:spacing w:after="80"/>
      </w:pPr>
      <w:r w:rsidRPr="005D6D89">
        <w:rPr>
          <w:b/>
        </w:rPr>
        <w:t>Developing new and future-proofing existing infrastructure:</w:t>
      </w:r>
      <w:r w:rsidRPr="005D6D89">
        <w:rPr>
          <w:i/>
        </w:rPr>
        <w:t xml:space="preserve"> </w:t>
      </w:r>
      <w:r w:rsidRPr="005D6D89">
        <w:t xml:space="preserve">Investment will be required to redesign, reposition and future-proof public infrastructure (B2), especially transport networks (B6) and </w:t>
      </w:r>
      <w:r w:rsidR="007766D2">
        <w:t>t</w:t>
      </w:r>
      <w:r w:rsidR="007766D2" w:rsidRPr="005D6D89">
        <w:t xml:space="preserve">hree </w:t>
      </w:r>
      <w:r w:rsidR="007766D2">
        <w:t>w</w:t>
      </w:r>
      <w:r w:rsidR="007766D2" w:rsidRPr="005D6D89">
        <w:t xml:space="preserve">aters </w:t>
      </w:r>
      <w:r w:rsidRPr="005D6D89">
        <w:t>services</w:t>
      </w:r>
      <w:r w:rsidR="007766D2">
        <w:t xml:space="preserve"> (B1, B4)</w:t>
      </w:r>
      <w:r w:rsidRPr="005D6D89">
        <w:t xml:space="preserve"> (Boston and Lawrence</w:t>
      </w:r>
      <w:r w:rsidR="00B61730">
        <w:t xml:space="preserve"> et al</w:t>
      </w:r>
      <w:r w:rsidRPr="005D6D89">
        <w:t xml:space="preserve">, 2018). </w:t>
      </w:r>
    </w:p>
    <w:p w14:paraId="17C22F66" w14:textId="77777777" w:rsidR="00A5591B" w:rsidRPr="005D6D89" w:rsidRDefault="00A5591B" w:rsidP="009361CD">
      <w:pPr>
        <w:pStyle w:val="Bullet"/>
        <w:spacing w:after="80"/>
      </w:pPr>
      <w:r w:rsidRPr="005D6D89">
        <w:rPr>
          <w:b/>
        </w:rPr>
        <w:t>Building capacity:</w:t>
      </w:r>
      <w:r w:rsidRPr="005D6D89">
        <w:rPr>
          <w:i/>
        </w:rPr>
        <w:t xml:space="preserve"> </w:t>
      </w:r>
      <w:r w:rsidRPr="005D6D89">
        <w:t>Adopting new tools and processes (G1) for decision-making in the context of uncertainty requires organisational change and capacity building at all levels of</w:t>
      </w:r>
      <w:r w:rsidR="00E55482" w:rsidRPr="005D6D89">
        <w:t> </w:t>
      </w:r>
      <w:r w:rsidRPr="005D6D89">
        <w:t xml:space="preserve">government. </w:t>
      </w:r>
    </w:p>
    <w:p w14:paraId="0FA11F58" w14:textId="77777777" w:rsidR="00A5591B" w:rsidRPr="005D6D89" w:rsidRDefault="00A5591B" w:rsidP="009361CD">
      <w:pPr>
        <w:pStyle w:val="Bullet"/>
        <w:spacing w:after="80"/>
      </w:pPr>
      <w:r w:rsidRPr="005D6D89">
        <w:rPr>
          <w:b/>
        </w:rPr>
        <w:t>Participation and engagement:</w:t>
      </w:r>
      <w:r w:rsidRPr="005D6D89">
        <w:rPr>
          <w:iCs/>
        </w:rPr>
        <w:t xml:space="preserve"> Extended</w:t>
      </w:r>
      <w:r w:rsidRPr="005D6D89">
        <w:t xml:space="preserve"> engagement is necessary to create a shared understanding of climate change risks, and to avoid breaching the Treaty of Waitangi obligations (G4). Engagement is currently constrained by lack of resourcing (Stephenson et</w:t>
      </w:r>
      <w:r w:rsidR="009A7F45" w:rsidRPr="005D6D89">
        <w:t> </w:t>
      </w:r>
      <w:r w:rsidRPr="005D6D89">
        <w:t xml:space="preserve">al, 2019). </w:t>
      </w:r>
    </w:p>
    <w:p w14:paraId="333C2ACB" w14:textId="77777777" w:rsidR="00A5591B" w:rsidRPr="005D6D89" w:rsidRDefault="00A5591B" w:rsidP="009361CD">
      <w:pPr>
        <w:pStyle w:val="Bullet"/>
        <w:spacing w:after="80"/>
      </w:pPr>
      <w:r w:rsidRPr="005D6D89">
        <w:rPr>
          <w:b/>
        </w:rPr>
        <w:t>Mātauranga Māori:</w:t>
      </w:r>
      <w:r w:rsidRPr="005D6D89">
        <w:rPr>
          <w:i/>
        </w:rPr>
        <w:t xml:space="preserve"> </w:t>
      </w:r>
      <w:bookmarkStart w:id="450" w:name="_Hlk40207071"/>
      <w:r w:rsidRPr="005D6D89">
        <w:rPr>
          <w:iCs/>
        </w:rPr>
        <w:t>I</w:t>
      </w:r>
      <w:r w:rsidRPr="005D6D89">
        <w:t xml:space="preserve">ndigenous knowledge is critical in developing culturally appropriate adaptation responses. Funding is required to make effective use of </w:t>
      </w:r>
      <w:hyperlink w:anchor="mataurangamaori" w:history="1">
        <w:r w:rsidRPr="00E80827">
          <w:rPr>
            <w:rStyle w:val="Hyperlink"/>
          </w:rPr>
          <w:t>mātauranga Māori</w:t>
        </w:r>
      </w:hyperlink>
      <w:r w:rsidRPr="005D6D89">
        <w:t xml:space="preserve"> in</w:t>
      </w:r>
      <w:r w:rsidR="00E55482" w:rsidRPr="005D6D89">
        <w:t> </w:t>
      </w:r>
      <w:r w:rsidRPr="005D6D89">
        <w:t>adaptation.</w:t>
      </w:r>
      <w:bookmarkEnd w:id="450"/>
    </w:p>
    <w:p w14:paraId="26426D96" w14:textId="77777777" w:rsidR="00A5591B" w:rsidRPr="005D6D89" w:rsidRDefault="00A5591B" w:rsidP="009361CD">
      <w:pPr>
        <w:pStyle w:val="Bullet"/>
        <w:spacing w:after="100"/>
      </w:pPr>
      <w:r w:rsidRPr="005D6D89">
        <w:rPr>
          <w:b/>
        </w:rPr>
        <w:t>Protecting taonga and the natural environment:</w:t>
      </w:r>
      <w:r w:rsidRPr="005D6D89">
        <w:rPr>
          <w:i/>
        </w:rPr>
        <w:t xml:space="preserve"> </w:t>
      </w:r>
      <w:r w:rsidRPr="005D6D89">
        <w:t>New Zealand</w:t>
      </w:r>
      <w:r w:rsidR="001200EA">
        <w:t>’</w:t>
      </w:r>
      <w:r w:rsidRPr="005D6D89">
        <w:t>s unique ecosystems and biodiversity are poorly understood (Reisinger, Kitching</w:t>
      </w:r>
      <w:r w:rsidR="00B61730">
        <w:t xml:space="preserve"> et al</w:t>
      </w:r>
      <w:r w:rsidRPr="005D6D89">
        <w:t>, 2014). They are under stress</w:t>
      </w:r>
      <w:r w:rsidR="00E55482" w:rsidRPr="005D6D89">
        <w:t> </w:t>
      </w:r>
      <w:r w:rsidRPr="005D6D89">
        <w:t xml:space="preserve">from changing and intensive land use, pollution and pressures from tourism. </w:t>
      </w:r>
    </w:p>
    <w:p w14:paraId="5D72E40A" w14:textId="77777777" w:rsidR="00A5591B" w:rsidRPr="005D6D89" w:rsidRDefault="00A5591B" w:rsidP="009361CD">
      <w:pPr>
        <w:pStyle w:val="BodyText"/>
        <w:spacing w:before="100" w:after="100"/>
      </w:pPr>
      <w:r w:rsidRPr="005D6D89">
        <w:t xml:space="preserve">Funding will depend in part on bipartisan political agreement on climate change adaptation (G7) </w:t>
      </w:r>
      <w:r w:rsidRPr="00E80827">
        <w:t>and will</w:t>
      </w:r>
      <w:r w:rsidRPr="005D6D89">
        <w:t xml:space="preserve"> drive New Zealand</w:t>
      </w:r>
      <w:r w:rsidR="001200EA">
        <w:t>’</w:t>
      </w:r>
      <w:r w:rsidRPr="005D6D89">
        <w:t>s fiscal capacity and economic position (E1).</w:t>
      </w:r>
    </w:p>
    <w:p w14:paraId="1BA33797" w14:textId="77777777" w:rsidR="00A5591B" w:rsidRPr="005D6D89" w:rsidRDefault="00A5591B" w:rsidP="009361CD">
      <w:pPr>
        <w:pStyle w:val="Heading5"/>
        <w:spacing w:before="180"/>
      </w:pPr>
      <w:r w:rsidRPr="005D6D89">
        <w:t>Consequence</w:t>
      </w:r>
    </w:p>
    <w:p w14:paraId="5F985B2B" w14:textId="77777777" w:rsidR="00A5591B" w:rsidRPr="005D6D89" w:rsidRDefault="00A5591B" w:rsidP="009361CD">
      <w:pPr>
        <w:pStyle w:val="BodyText"/>
        <w:spacing w:before="100" w:after="100"/>
      </w:pPr>
      <w:r w:rsidRPr="005D6D89">
        <w:t xml:space="preserve">The impacts of climate change will be greater if policy and legislation remain </w:t>
      </w:r>
      <w:proofErr w:type="gramStart"/>
      <w:r w:rsidRPr="005D6D89">
        <w:t>unaligned,</w:t>
      </w:r>
      <w:proofErr w:type="gramEnd"/>
      <w:r w:rsidRPr="005D6D89">
        <w:t xml:space="preserve"> </w:t>
      </w:r>
      <w:r w:rsidR="003F4926">
        <w:t>actors</w:t>
      </w:r>
      <w:r w:rsidR="003F4926" w:rsidRPr="005D6D89">
        <w:t> </w:t>
      </w:r>
      <w:r w:rsidRPr="005D6D89">
        <w:t>are not coordinated, and funding for adaptation remains limited. Failure to plan and</w:t>
      </w:r>
      <w:r w:rsidR="00C94815">
        <w:t> </w:t>
      </w:r>
      <w:r w:rsidRPr="005D6D89">
        <w:t>invest in anticipatory risk reduction and effective adaptation initiatives will increase the risk of</w:t>
      </w:r>
      <w:r w:rsidR="009A7F45" w:rsidRPr="005D6D89">
        <w:t> </w:t>
      </w:r>
      <w:r w:rsidRPr="005D6D89">
        <w:t>maladaptation, expose governments to litigation risk, decrease trust in government, and</w:t>
      </w:r>
      <w:r w:rsidR="00C94815">
        <w:t> </w:t>
      </w:r>
      <w:r w:rsidRPr="005D6D89">
        <w:t xml:space="preserve">increase the likelihood of inequitable distribution of harm. </w:t>
      </w:r>
    </w:p>
    <w:p w14:paraId="72EE6D1D" w14:textId="77777777" w:rsidR="00A5591B" w:rsidRPr="005D6D89" w:rsidRDefault="00A5591B" w:rsidP="009E5FC9">
      <w:pPr>
        <w:pStyle w:val="Heading5"/>
      </w:pPr>
      <w:r w:rsidRPr="005D6D89">
        <w:t>Confidence: High agreement, robust evidence</w:t>
      </w:r>
    </w:p>
    <w:p w14:paraId="3FDCF256" w14:textId="77777777" w:rsidR="00A5591B" w:rsidRPr="005D6D89" w:rsidRDefault="00A5591B" w:rsidP="00E92D0C">
      <w:pPr>
        <w:pStyle w:val="BodyText"/>
        <w:spacing w:before="100" w:after="100"/>
      </w:pPr>
      <w:r w:rsidRPr="005D6D89">
        <w:t>There is a high degree of agreement and robust evidence that New Zealand</w:t>
      </w:r>
      <w:r w:rsidR="001200EA">
        <w:t>’</w:t>
      </w:r>
      <w:r w:rsidRPr="005D6D89">
        <w:t>s current institutional framework hinders effective adaptation efforts.</w:t>
      </w:r>
    </w:p>
    <w:p w14:paraId="1A49B060" w14:textId="77777777" w:rsidR="00A5591B" w:rsidRPr="005D6D89" w:rsidRDefault="00A5591B" w:rsidP="009E5FC9">
      <w:pPr>
        <w:pStyle w:val="Heading5"/>
      </w:pPr>
      <w:r w:rsidRPr="005D6D89">
        <w:t>Adaptation</w:t>
      </w:r>
    </w:p>
    <w:p w14:paraId="18001244" w14:textId="77777777" w:rsidR="00DB2B9B" w:rsidRDefault="00A5591B" w:rsidP="009361CD">
      <w:pPr>
        <w:pStyle w:val="BodyText"/>
      </w:pPr>
      <w:r w:rsidRPr="005D6D89">
        <w:t>Adaptation efforts related to coordination within and across levels of government, alignment</w:t>
      </w:r>
      <w:r w:rsidR="009E5FC9" w:rsidRPr="005D6D89">
        <w:t> </w:t>
      </w:r>
      <w:r w:rsidRPr="005D6D89">
        <w:t xml:space="preserve">of statutes and adaptation finance </w:t>
      </w:r>
      <w:proofErr w:type="gramStart"/>
      <w:r w:rsidRPr="005D6D89">
        <w:t>are being partly addressed</w:t>
      </w:r>
      <w:proofErr w:type="gramEnd"/>
      <w:r w:rsidRPr="005D6D89">
        <w:t xml:space="preserve"> through the </w:t>
      </w:r>
      <w:r w:rsidRPr="005D6D89">
        <w:rPr>
          <w:iCs/>
        </w:rPr>
        <w:t>Climate</w:t>
      </w:r>
      <w:r w:rsidR="009E5FC9" w:rsidRPr="005D6D89">
        <w:rPr>
          <w:iCs/>
        </w:rPr>
        <w:t> </w:t>
      </w:r>
      <w:r w:rsidRPr="005D6D89">
        <w:rPr>
          <w:iCs/>
        </w:rPr>
        <w:t>Change (Zero Carbon) Response Act</w:t>
      </w:r>
      <w:r w:rsidRPr="005D6D89">
        <w:t xml:space="preserve">, the current review of the </w:t>
      </w:r>
      <w:r w:rsidRPr="00E80827">
        <w:rPr>
          <w:iCs/>
        </w:rPr>
        <w:t>R</w:t>
      </w:r>
      <w:r w:rsidR="00E80827" w:rsidRPr="00E80827">
        <w:rPr>
          <w:iCs/>
        </w:rPr>
        <w:t>esource Management Act</w:t>
      </w:r>
      <w:r w:rsidRPr="005D6D89">
        <w:t>, and the Government</w:t>
      </w:r>
      <w:r w:rsidR="001200EA">
        <w:t>’</w:t>
      </w:r>
      <w:r w:rsidRPr="005D6D89">
        <w:t>s Community Resilience Group work programme. Some local councils are developing adaptation plans and working together at a regional level to coordinate adaptation</w:t>
      </w:r>
      <w:r w:rsidR="009A7F45" w:rsidRPr="005D6D89">
        <w:t> </w:t>
      </w:r>
      <w:r w:rsidRPr="005D6D89">
        <w:t>efforts. The planned NAP will take a cross-government approach to address climate</w:t>
      </w:r>
      <w:r w:rsidR="009A7F45" w:rsidRPr="005D6D89">
        <w:t> </w:t>
      </w:r>
      <w:r w:rsidRPr="005D6D89">
        <w:t>risk in a comprehensive manner.</w:t>
      </w:r>
    </w:p>
    <w:p w14:paraId="55C987CE" w14:textId="77777777" w:rsidR="009361CD" w:rsidRPr="005D6D89" w:rsidRDefault="009361CD" w:rsidP="009361CD">
      <w:pPr>
        <w:pStyle w:val="Tableheading"/>
      </w:pPr>
      <w:bookmarkStart w:id="451" w:name="_Toc43312820"/>
      <w:r>
        <w:t>Table 26:</w:t>
      </w:r>
      <w:r>
        <w:tab/>
      </w:r>
      <w:r w:rsidRPr="009361CD">
        <w:t xml:space="preserve">G2 Risk that climate change </w:t>
      </w:r>
      <w:proofErr w:type="gramStart"/>
      <w:r w:rsidRPr="009361CD">
        <w:t>impacts</w:t>
      </w:r>
      <w:proofErr w:type="gramEnd"/>
      <w:r w:rsidRPr="009361CD">
        <w:t xml:space="preserve"> across all domains will be exacerbated: Urgency</w:t>
      </w:r>
      <w:r>
        <w:t> </w:t>
      </w:r>
      <w:r w:rsidRPr="009361CD">
        <w:t>profile</w:t>
      </w:r>
      <w:bookmarkEnd w:id="451"/>
    </w:p>
    <w:tbl>
      <w:tblPr>
        <w:tblStyle w:val="TableGrid"/>
        <w:tblW w:w="8613" w:type="dxa"/>
        <w:tblBorders>
          <w:top w:val="single" w:sz="4" w:space="0" w:color="6FC7B7"/>
          <w:left w:val="none" w:sz="0" w:space="0" w:color="auto"/>
          <w:bottom w:val="single" w:sz="4" w:space="0" w:color="6FC7B7"/>
          <w:right w:val="none" w:sz="0" w:space="0" w:color="auto"/>
          <w:insideH w:val="single" w:sz="4" w:space="0" w:color="6FC7B7"/>
          <w:insideV w:val="single" w:sz="4" w:space="0" w:color="6FC7B7"/>
        </w:tblBorders>
        <w:tblLayout w:type="fixed"/>
        <w:tblLook w:val="04A0" w:firstRow="1" w:lastRow="0" w:firstColumn="1" w:lastColumn="0" w:noHBand="0" w:noVBand="1"/>
      </w:tblPr>
      <w:tblGrid>
        <w:gridCol w:w="2093"/>
        <w:gridCol w:w="992"/>
        <w:gridCol w:w="992"/>
        <w:gridCol w:w="1276"/>
        <w:gridCol w:w="851"/>
        <w:gridCol w:w="708"/>
        <w:gridCol w:w="1701"/>
      </w:tblGrid>
      <w:tr w:rsidR="00980837" w:rsidRPr="00980837" w14:paraId="53B77B99" w14:textId="77777777" w:rsidTr="00095C79">
        <w:tc>
          <w:tcPr>
            <w:tcW w:w="8613" w:type="dxa"/>
            <w:gridSpan w:val="7"/>
            <w:shd w:val="clear" w:color="auto" w:fill="6FC7B7"/>
          </w:tcPr>
          <w:p w14:paraId="2F6BC028" w14:textId="77777777" w:rsidR="005F79F3" w:rsidRPr="00980837" w:rsidRDefault="005F79F3" w:rsidP="00E92D0C">
            <w:pPr>
              <w:pStyle w:val="TableTextBold0"/>
              <w:spacing w:before="50" w:after="50"/>
              <w:rPr>
                <w:color w:val="FFFFFF" w:themeColor="background1"/>
              </w:rPr>
            </w:pPr>
            <w:r w:rsidRPr="00980837">
              <w:rPr>
                <w:color w:val="FFFFFF" w:themeColor="background1"/>
              </w:rPr>
              <w:t xml:space="preserve">G2 Risk that climate change impacts across all domains will be exacerbated: Urgency profile </w:t>
            </w:r>
          </w:p>
        </w:tc>
      </w:tr>
      <w:tr w:rsidR="005F79F3" w:rsidRPr="005D6D89" w14:paraId="09A2DF91" w14:textId="77777777" w:rsidTr="00095C79">
        <w:tc>
          <w:tcPr>
            <w:tcW w:w="2093" w:type="dxa"/>
            <w:shd w:val="clear" w:color="auto" w:fill="FFFFFF" w:themeFill="background1"/>
          </w:tcPr>
          <w:p w14:paraId="410D77D8" w14:textId="77777777" w:rsidR="005F79F3" w:rsidRPr="005D6D89" w:rsidRDefault="005F79F3" w:rsidP="00E92D0C">
            <w:pPr>
              <w:pStyle w:val="TableTextBold0"/>
              <w:spacing w:before="50" w:after="50"/>
            </w:pPr>
            <w:r w:rsidRPr="005D6D89">
              <w:t>Urgency category</w:t>
            </w:r>
          </w:p>
        </w:tc>
        <w:tc>
          <w:tcPr>
            <w:tcW w:w="1984" w:type="dxa"/>
            <w:gridSpan w:val="2"/>
          </w:tcPr>
          <w:p w14:paraId="3CBB7C73" w14:textId="77777777" w:rsidR="005F79F3" w:rsidRPr="005D6D89" w:rsidRDefault="00845880" w:rsidP="00E92D0C">
            <w:pPr>
              <w:pStyle w:val="TableTextBold0"/>
              <w:spacing w:before="50" w:after="50"/>
            </w:pPr>
            <w:r>
              <w:t>Proportion of urgency out of 100</w:t>
            </w:r>
          </w:p>
        </w:tc>
        <w:tc>
          <w:tcPr>
            <w:tcW w:w="4536" w:type="dxa"/>
            <w:gridSpan w:val="4"/>
          </w:tcPr>
          <w:p w14:paraId="7FA21F97" w14:textId="77777777" w:rsidR="005F79F3" w:rsidRPr="005D6D89" w:rsidRDefault="005F79F3" w:rsidP="00E92D0C">
            <w:pPr>
              <w:pStyle w:val="TableTextBold0"/>
              <w:spacing w:before="50" w:after="50"/>
              <w:rPr>
                <w:rFonts w:cs="Arial"/>
              </w:rPr>
            </w:pPr>
            <w:r w:rsidRPr="005D6D89">
              <w:rPr>
                <w:rFonts w:cs="Arial"/>
              </w:rPr>
              <w:t>Description of actions</w:t>
            </w:r>
          </w:p>
        </w:tc>
      </w:tr>
      <w:tr w:rsidR="005F79F3" w:rsidRPr="005D6D89" w14:paraId="6F0C5E01" w14:textId="77777777" w:rsidTr="00095C79">
        <w:tc>
          <w:tcPr>
            <w:tcW w:w="2093" w:type="dxa"/>
            <w:shd w:val="clear" w:color="auto" w:fill="FFFFFF" w:themeFill="background1"/>
            <w:hideMark/>
          </w:tcPr>
          <w:p w14:paraId="48676CF5" w14:textId="77777777" w:rsidR="005F79F3" w:rsidRPr="009079BF" w:rsidRDefault="005F79F3" w:rsidP="00E92D0C">
            <w:pPr>
              <w:pStyle w:val="TableTextBold0"/>
              <w:spacing w:before="50" w:after="50"/>
              <w:rPr>
                <w:b w:val="0"/>
              </w:rPr>
            </w:pPr>
            <w:r w:rsidRPr="009079BF">
              <w:rPr>
                <w:b w:val="0"/>
              </w:rPr>
              <w:t>More action needed</w:t>
            </w:r>
          </w:p>
        </w:tc>
        <w:tc>
          <w:tcPr>
            <w:tcW w:w="1984" w:type="dxa"/>
            <w:gridSpan w:val="2"/>
          </w:tcPr>
          <w:p w14:paraId="42CBBE15" w14:textId="77777777" w:rsidR="005F79F3" w:rsidRPr="005D6D89" w:rsidRDefault="005F79F3" w:rsidP="00E92D0C">
            <w:pPr>
              <w:pStyle w:val="TableText"/>
              <w:spacing w:before="50" w:after="50"/>
              <w:jc w:val="center"/>
            </w:pPr>
            <w:r w:rsidRPr="005D6D89">
              <w:t>60</w:t>
            </w:r>
          </w:p>
        </w:tc>
        <w:tc>
          <w:tcPr>
            <w:tcW w:w="4536" w:type="dxa"/>
            <w:gridSpan w:val="4"/>
          </w:tcPr>
          <w:p w14:paraId="1D48059F" w14:textId="77777777" w:rsidR="005F79F3" w:rsidRPr="005D6D89" w:rsidRDefault="005F79F3" w:rsidP="00E92D0C">
            <w:pPr>
              <w:pStyle w:val="TableText"/>
              <w:spacing w:before="50" w:after="50"/>
              <w:rPr>
                <w:i/>
              </w:rPr>
            </w:pPr>
            <w:r w:rsidRPr="005D6D89">
              <w:rPr>
                <w:rFonts w:cs="Arial"/>
              </w:rPr>
              <w:t xml:space="preserve">Lack of coordination across levels of government raises the risk of maladaptation and inaction. Align statutes and funding arrangements to reduce risk and provide the mechanisms for all levels of government to adapt. </w:t>
            </w:r>
          </w:p>
        </w:tc>
      </w:tr>
      <w:tr w:rsidR="005F79F3" w:rsidRPr="005D6D89" w14:paraId="0BB014CE" w14:textId="77777777" w:rsidTr="00095C79">
        <w:tc>
          <w:tcPr>
            <w:tcW w:w="2093" w:type="dxa"/>
            <w:shd w:val="clear" w:color="auto" w:fill="FFFFFF" w:themeFill="background1"/>
            <w:hideMark/>
          </w:tcPr>
          <w:p w14:paraId="487F43E0" w14:textId="77777777" w:rsidR="005F79F3" w:rsidRPr="009079BF" w:rsidRDefault="005F79F3" w:rsidP="00E92D0C">
            <w:pPr>
              <w:pStyle w:val="TableTextBold0"/>
              <w:spacing w:before="50" w:after="50"/>
              <w:rPr>
                <w:b w:val="0"/>
                <w:highlight w:val="yellow"/>
              </w:rPr>
            </w:pPr>
            <w:r w:rsidRPr="009079BF">
              <w:rPr>
                <w:b w:val="0"/>
              </w:rPr>
              <w:t>Research priority</w:t>
            </w:r>
          </w:p>
        </w:tc>
        <w:tc>
          <w:tcPr>
            <w:tcW w:w="1984" w:type="dxa"/>
            <w:gridSpan w:val="2"/>
          </w:tcPr>
          <w:p w14:paraId="555BB76C" w14:textId="77777777" w:rsidR="005F79F3" w:rsidRPr="005D6D89" w:rsidRDefault="005F79F3" w:rsidP="00E92D0C">
            <w:pPr>
              <w:pStyle w:val="TableText"/>
              <w:spacing w:before="50" w:after="50"/>
              <w:jc w:val="center"/>
            </w:pPr>
            <w:r w:rsidRPr="005D6D89">
              <w:t>10</w:t>
            </w:r>
          </w:p>
        </w:tc>
        <w:tc>
          <w:tcPr>
            <w:tcW w:w="4536" w:type="dxa"/>
            <w:gridSpan w:val="4"/>
          </w:tcPr>
          <w:p w14:paraId="3A989C47" w14:textId="77777777" w:rsidR="005F79F3" w:rsidRPr="005D6D89" w:rsidRDefault="005F79F3" w:rsidP="0006783B">
            <w:pPr>
              <w:pStyle w:val="TableText"/>
              <w:spacing w:before="50" w:after="50"/>
              <w:rPr>
                <w:rFonts w:cs="Arial"/>
              </w:rPr>
            </w:pPr>
            <w:r w:rsidRPr="005D6D89">
              <w:rPr>
                <w:rFonts w:cs="Arial"/>
              </w:rPr>
              <w:t xml:space="preserve">Focused research </w:t>
            </w:r>
            <w:proofErr w:type="gramStart"/>
            <w:r w:rsidRPr="005D6D89">
              <w:rPr>
                <w:rFonts w:cs="Arial"/>
              </w:rPr>
              <w:t>is needed</w:t>
            </w:r>
            <w:proofErr w:type="gramEnd"/>
            <w:r w:rsidRPr="005D6D89">
              <w:rPr>
                <w:rFonts w:cs="Arial"/>
              </w:rPr>
              <w:t xml:space="preserve"> to inform adaptation action, including research into staged retreat, developing local decision triggers, and legal issues around compensation and existing use rights.</w:t>
            </w:r>
          </w:p>
        </w:tc>
      </w:tr>
      <w:tr w:rsidR="005F79F3" w:rsidRPr="005D6D89" w14:paraId="0E7F7940" w14:textId="77777777" w:rsidTr="00095C79">
        <w:trPr>
          <w:trHeight w:val="77"/>
        </w:trPr>
        <w:tc>
          <w:tcPr>
            <w:tcW w:w="2093" w:type="dxa"/>
            <w:shd w:val="clear" w:color="auto" w:fill="FFFFFF" w:themeFill="background1"/>
            <w:hideMark/>
          </w:tcPr>
          <w:p w14:paraId="7D1AE179" w14:textId="77777777" w:rsidR="005F79F3" w:rsidRPr="009079BF" w:rsidRDefault="005F79F3" w:rsidP="00E92D0C">
            <w:pPr>
              <w:pStyle w:val="TableTextBold0"/>
              <w:spacing w:before="50" w:after="50"/>
              <w:rPr>
                <w:b w:val="0"/>
              </w:rPr>
            </w:pPr>
            <w:r w:rsidRPr="009079BF">
              <w:rPr>
                <w:b w:val="0"/>
              </w:rPr>
              <w:t>Sustain current action</w:t>
            </w:r>
          </w:p>
        </w:tc>
        <w:tc>
          <w:tcPr>
            <w:tcW w:w="1984" w:type="dxa"/>
            <w:gridSpan w:val="2"/>
          </w:tcPr>
          <w:p w14:paraId="0B48D978" w14:textId="77777777" w:rsidR="005F79F3" w:rsidRPr="005D6D89" w:rsidRDefault="005F79F3" w:rsidP="00E92D0C">
            <w:pPr>
              <w:pStyle w:val="TableText"/>
              <w:spacing w:before="50" w:after="50"/>
              <w:jc w:val="center"/>
            </w:pPr>
            <w:r w:rsidRPr="005D6D89">
              <w:t>20</w:t>
            </w:r>
          </w:p>
        </w:tc>
        <w:tc>
          <w:tcPr>
            <w:tcW w:w="4536" w:type="dxa"/>
            <w:gridSpan w:val="4"/>
          </w:tcPr>
          <w:p w14:paraId="04CB8379" w14:textId="77777777" w:rsidR="005F79F3" w:rsidRPr="005D6D89" w:rsidRDefault="005F79F3" w:rsidP="00E92D0C">
            <w:pPr>
              <w:pStyle w:val="TableText"/>
              <w:spacing w:before="50" w:after="50"/>
              <w:rPr>
                <w:i/>
              </w:rPr>
            </w:pPr>
            <w:r w:rsidRPr="005D6D89">
              <w:rPr>
                <w:rFonts w:cs="Arial"/>
              </w:rPr>
              <w:t>Current and planned measures detailed above to continue and accelerate.</w:t>
            </w:r>
          </w:p>
        </w:tc>
      </w:tr>
      <w:tr w:rsidR="005F79F3" w:rsidRPr="005D6D89" w14:paraId="55CC5A6B" w14:textId="77777777" w:rsidTr="00095C79">
        <w:tc>
          <w:tcPr>
            <w:tcW w:w="2093" w:type="dxa"/>
            <w:tcBorders>
              <w:bottom w:val="single" w:sz="8" w:space="0" w:color="6FC7B7"/>
            </w:tcBorders>
            <w:shd w:val="clear" w:color="auto" w:fill="FFFFFF" w:themeFill="background1"/>
            <w:hideMark/>
          </w:tcPr>
          <w:p w14:paraId="4B5B39E2" w14:textId="77777777" w:rsidR="005F79F3" w:rsidRPr="009079BF" w:rsidRDefault="005F79F3" w:rsidP="00E92D0C">
            <w:pPr>
              <w:pStyle w:val="TableTextBold0"/>
              <w:spacing w:before="50" w:after="50"/>
              <w:rPr>
                <w:b w:val="0"/>
              </w:rPr>
            </w:pPr>
            <w:r w:rsidRPr="009079BF">
              <w:rPr>
                <w:b w:val="0"/>
              </w:rPr>
              <w:t xml:space="preserve">Watching brief </w:t>
            </w:r>
          </w:p>
        </w:tc>
        <w:tc>
          <w:tcPr>
            <w:tcW w:w="1984" w:type="dxa"/>
            <w:gridSpan w:val="2"/>
            <w:tcBorders>
              <w:bottom w:val="single" w:sz="8" w:space="0" w:color="6FC7B7"/>
            </w:tcBorders>
          </w:tcPr>
          <w:p w14:paraId="05C85E55" w14:textId="77777777" w:rsidR="005F79F3" w:rsidRPr="005D6D89" w:rsidRDefault="005F79F3" w:rsidP="00E92D0C">
            <w:pPr>
              <w:pStyle w:val="TableText"/>
              <w:spacing w:before="50" w:after="50"/>
              <w:jc w:val="center"/>
            </w:pPr>
            <w:r w:rsidRPr="005D6D89">
              <w:t>10</w:t>
            </w:r>
          </w:p>
        </w:tc>
        <w:tc>
          <w:tcPr>
            <w:tcW w:w="4536" w:type="dxa"/>
            <w:gridSpan w:val="4"/>
            <w:tcBorders>
              <w:bottom w:val="single" w:sz="8" w:space="0" w:color="6FC7B7"/>
            </w:tcBorders>
          </w:tcPr>
          <w:p w14:paraId="72D7A470" w14:textId="77777777" w:rsidR="005F79F3" w:rsidRPr="005D6D89" w:rsidRDefault="005F79F3" w:rsidP="00E92D0C">
            <w:pPr>
              <w:pStyle w:val="TableText"/>
              <w:spacing w:before="50" w:after="50"/>
              <w:rPr>
                <w:i/>
              </w:rPr>
            </w:pPr>
            <w:r w:rsidRPr="005D6D89">
              <w:rPr>
                <w:rFonts w:cs="Arial"/>
              </w:rPr>
              <w:t>Ongoing monitoring and evaluation of all levels of government to determine if institutional arrangements are improving.</w:t>
            </w:r>
          </w:p>
        </w:tc>
      </w:tr>
      <w:tr w:rsidR="00CF307C" w:rsidRPr="005D6D89" w14:paraId="1ED072E9" w14:textId="77777777" w:rsidTr="00095C79">
        <w:tc>
          <w:tcPr>
            <w:tcW w:w="2093" w:type="dxa"/>
            <w:tcBorders>
              <w:top w:val="single" w:sz="8" w:space="0" w:color="6FC7B7"/>
            </w:tcBorders>
            <w:shd w:val="clear" w:color="auto" w:fill="6FC7B7"/>
          </w:tcPr>
          <w:p w14:paraId="1BB58CEC" w14:textId="77777777" w:rsidR="005F79F3" w:rsidRPr="005D56F9" w:rsidRDefault="005F79F3" w:rsidP="00E92D0C">
            <w:pPr>
              <w:pStyle w:val="TableTextBold0"/>
              <w:spacing w:before="50" w:after="50"/>
              <w:rPr>
                <w:rFonts w:cs="Calibri"/>
                <w:color w:val="FFFFFF" w:themeColor="background1"/>
              </w:rPr>
            </w:pPr>
            <w:r w:rsidRPr="005D56F9">
              <w:rPr>
                <w:rFonts w:cs="Calibri"/>
                <w:color w:val="FFFFFF" w:themeColor="background1"/>
              </w:rPr>
              <w:t xml:space="preserve">Adaptation urgency </w:t>
            </w:r>
          </w:p>
        </w:tc>
        <w:tc>
          <w:tcPr>
            <w:tcW w:w="1984" w:type="dxa"/>
            <w:gridSpan w:val="2"/>
            <w:tcBorders>
              <w:top w:val="single" w:sz="8" w:space="0" w:color="6FC7B7"/>
            </w:tcBorders>
            <w:shd w:val="clear" w:color="auto" w:fill="FFFFFF" w:themeFill="background1"/>
          </w:tcPr>
          <w:p w14:paraId="1EEBE93E" w14:textId="77777777" w:rsidR="005F79F3" w:rsidRPr="005D6D89" w:rsidRDefault="005F79F3" w:rsidP="00E92D0C">
            <w:pPr>
              <w:pStyle w:val="TableText"/>
              <w:spacing w:before="50" w:after="50"/>
              <w:jc w:val="center"/>
              <w:rPr>
                <w:rFonts w:cs="Calibri"/>
              </w:rPr>
            </w:pPr>
            <w:r w:rsidRPr="005D6D89">
              <w:rPr>
                <w:rFonts w:cs="Calibri"/>
              </w:rPr>
              <w:t>80</w:t>
            </w:r>
          </w:p>
        </w:tc>
        <w:tc>
          <w:tcPr>
            <w:tcW w:w="1276" w:type="dxa"/>
            <w:tcBorders>
              <w:top w:val="single" w:sz="8" w:space="0" w:color="6FC7B7"/>
            </w:tcBorders>
            <w:shd w:val="clear" w:color="auto" w:fill="6FC7B7"/>
          </w:tcPr>
          <w:p w14:paraId="5B5FA924" w14:textId="77777777" w:rsidR="005F79F3" w:rsidRPr="005D56F9" w:rsidRDefault="005F79F3" w:rsidP="00E92D0C">
            <w:pPr>
              <w:pStyle w:val="TableText"/>
              <w:spacing w:before="50" w:after="50"/>
              <w:rPr>
                <w:rFonts w:cs="Calibri"/>
                <w:b/>
                <w:bCs/>
                <w:color w:val="FFFFFF" w:themeColor="background1"/>
              </w:rPr>
            </w:pPr>
            <w:r w:rsidRPr="005D56F9">
              <w:rPr>
                <w:rFonts w:cs="Calibri"/>
                <w:b/>
                <w:bCs/>
                <w:color w:val="FFFFFF" w:themeColor="background1"/>
              </w:rPr>
              <w:t>Confidence</w:t>
            </w:r>
            <w:r w:rsidR="00027F9F" w:rsidRPr="005D56F9">
              <w:rPr>
                <w:rFonts w:cs="Calibri"/>
                <w:b/>
                <w:bCs/>
                <w:color w:val="FFFFFF" w:themeColor="background1"/>
              </w:rPr>
              <w:t xml:space="preserve"> </w:t>
            </w:r>
          </w:p>
        </w:tc>
        <w:tc>
          <w:tcPr>
            <w:tcW w:w="3260" w:type="dxa"/>
            <w:gridSpan w:val="3"/>
            <w:tcBorders>
              <w:top w:val="single" w:sz="8" w:space="0" w:color="6FC7B7"/>
            </w:tcBorders>
          </w:tcPr>
          <w:p w14:paraId="7FE8BE10" w14:textId="77777777" w:rsidR="005F79F3" w:rsidRPr="005D6D89" w:rsidRDefault="005F79F3" w:rsidP="00E92D0C">
            <w:pPr>
              <w:pStyle w:val="TableText"/>
              <w:spacing w:before="50" w:after="50"/>
              <w:rPr>
                <w:rFonts w:cs="Calibri"/>
                <w:color w:val="000000" w:themeColor="text1"/>
              </w:rPr>
            </w:pPr>
            <w:r w:rsidRPr="005D6D89">
              <w:rPr>
                <w:rFonts w:cs="Calibri"/>
                <w:color w:val="000000" w:themeColor="text1"/>
              </w:rPr>
              <w:t>High agreement, robust evidence</w:t>
            </w:r>
          </w:p>
        </w:tc>
      </w:tr>
      <w:tr w:rsidR="00CF307C" w:rsidRPr="005D6D89" w14:paraId="2E619F07" w14:textId="77777777" w:rsidTr="00095C79">
        <w:tc>
          <w:tcPr>
            <w:tcW w:w="2093" w:type="dxa"/>
            <w:shd w:val="clear" w:color="auto" w:fill="6FC7B7"/>
          </w:tcPr>
          <w:p w14:paraId="3DD51B4D" w14:textId="77777777" w:rsidR="005F79F3" w:rsidRPr="005D56F9" w:rsidRDefault="005F79F3" w:rsidP="00E92D0C">
            <w:pPr>
              <w:pStyle w:val="TableTextBold0"/>
              <w:spacing w:before="50" w:after="50"/>
              <w:rPr>
                <w:rFonts w:cs="Calibri"/>
                <w:color w:val="FFFFFF" w:themeColor="background1"/>
              </w:rPr>
            </w:pPr>
            <w:r w:rsidRPr="005D56F9">
              <w:rPr>
                <w:rFonts w:cs="Calibri"/>
                <w:color w:val="FFFFFF" w:themeColor="background1"/>
              </w:rPr>
              <w:t xml:space="preserve">Consequence </w:t>
            </w:r>
          </w:p>
        </w:tc>
        <w:tc>
          <w:tcPr>
            <w:tcW w:w="992" w:type="dxa"/>
            <w:shd w:val="clear" w:color="auto" w:fill="6FC7B7"/>
          </w:tcPr>
          <w:p w14:paraId="33853DD4" w14:textId="77777777" w:rsidR="005F79F3" w:rsidRPr="005D56F9" w:rsidRDefault="005F79F3" w:rsidP="00E92D0C">
            <w:pPr>
              <w:pStyle w:val="TableText"/>
              <w:spacing w:before="50" w:after="50"/>
              <w:jc w:val="center"/>
              <w:rPr>
                <w:rFonts w:cs="Calibri"/>
                <w:color w:val="FFFFFF" w:themeColor="background1"/>
              </w:rPr>
            </w:pPr>
            <w:r w:rsidRPr="005D56F9">
              <w:rPr>
                <w:rFonts w:cs="Calibri"/>
                <w:color w:val="FFFFFF" w:themeColor="background1"/>
              </w:rPr>
              <w:t>Now</w:t>
            </w:r>
          </w:p>
        </w:tc>
        <w:tc>
          <w:tcPr>
            <w:tcW w:w="992" w:type="dxa"/>
          </w:tcPr>
          <w:p w14:paraId="19A1B43A" w14:textId="77777777" w:rsidR="005F79F3" w:rsidRPr="005D6D89" w:rsidRDefault="005F79F3" w:rsidP="00E92D0C">
            <w:pPr>
              <w:pStyle w:val="TableText"/>
              <w:spacing w:before="50" w:after="50"/>
              <w:jc w:val="center"/>
              <w:rPr>
                <w:rFonts w:cs="Calibri"/>
                <w:color w:val="FFFFFF" w:themeColor="background1"/>
              </w:rPr>
            </w:pPr>
            <w:r w:rsidRPr="005D6D89">
              <w:rPr>
                <w:rFonts w:cs="Calibri"/>
              </w:rPr>
              <w:t>Major</w:t>
            </w:r>
          </w:p>
        </w:tc>
        <w:tc>
          <w:tcPr>
            <w:tcW w:w="1276" w:type="dxa"/>
            <w:shd w:val="clear" w:color="auto" w:fill="6FC7B7"/>
          </w:tcPr>
          <w:p w14:paraId="6B8BD01D" w14:textId="77777777" w:rsidR="005F79F3" w:rsidRPr="005D56F9" w:rsidRDefault="005F79F3" w:rsidP="00E92D0C">
            <w:pPr>
              <w:pStyle w:val="TableText"/>
              <w:spacing w:before="50" w:after="50"/>
              <w:rPr>
                <w:rFonts w:cs="Calibri"/>
                <w:color w:val="FFFFFF" w:themeColor="background1"/>
              </w:rPr>
            </w:pPr>
            <w:r w:rsidRPr="005D56F9">
              <w:rPr>
                <w:rFonts w:cs="Calibri"/>
                <w:color w:val="FFFFFF" w:themeColor="background1"/>
              </w:rPr>
              <w:t>2050</w:t>
            </w:r>
          </w:p>
        </w:tc>
        <w:tc>
          <w:tcPr>
            <w:tcW w:w="851" w:type="dxa"/>
          </w:tcPr>
          <w:p w14:paraId="6DBBC778" w14:textId="77777777" w:rsidR="005F79F3" w:rsidRPr="005D6D89" w:rsidRDefault="005F79F3" w:rsidP="00E92D0C">
            <w:pPr>
              <w:pStyle w:val="TableText"/>
              <w:spacing w:before="50" w:after="50"/>
              <w:rPr>
                <w:rFonts w:cs="Calibri"/>
                <w:color w:val="000000" w:themeColor="text1"/>
              </w:rPr>
            </w:pPr>
            <w:r w:rsidRPr="005D6D89">
              <w:rPr>
                <w:rFonts w:cs="Calibri"/>
                <w:color w:val="000000" w:themeColor="text1"/>
              </w:rPr>
              <w:t>Extreme</w:t>
            </w:r>
          </w:p>
        </w:tc>
        <w:tc>
          <w:tcPr>
            <w:tcW w:w="708" w:type="dxa"/>
            <w:shd w:val="clear" w:color="auto" w:fill="6FC7B7"/>
          </w:tcPr>
          <w:p w14:paraId="57E025D4" w14:textId="77777777" w:rsidR="005F79F3" w:rsidRPr="005D56F9" w:rsidRDefault="005F79F3" w:rsidP="00E92D0C">
            <w:pPr>
              <w:pStyle w:val="TableText"/>
              <w:spacing w:before="50" w:after="50"/>
              <w:rPr>
                <w:rFonts w:cs="Calibri"/>
                <w:color w:val="FFFFFF" w:themeColor="background1"/>
              </w:rPr>
            </w:pPr>
            <w:r w:rsidRPr="005D56F9">
              <w:rPr>
                <w:rFonts w:cs="Calibri"/>
                <w:color w:val="FFFFFF" w:themeColor="background1"/>
              </w:rPr>
              <w:t>2100</w:t>
            </w:r>
          </w:p>
        </w:tc>
        <w:tc>
          <w:tcPr>
            <w:tcW w:w="1701" w:type="dxa"/>
          </w:tcPr>
          <w:p w14:paraId="4D180AC2" w14:textId="77777777" w:rsidR="005F79F3" w:rsidRPr="005D6D89" w:rsidRDefault="005F79F3" w:rsidP="00E92D0C">
            <w:pPr>
              <w:pStyle w:val="TableText"/>
              <w:spacing w:before="50" w:after="50"/>
              <w:rPr>
                <w:rFonts w:cs="Calibri"/>
                <w:color w:val="000000" w:themeColor="text1"/>
              </w:rPr>
            </w:pPr>
            <w:r w:rsidRPr="005D6D89">
              <w:rPr>
                <w:rFonts w:cs="Calibri"/>
                <w:color w:val="000000" w:themeColor="text1"/>
              </w:rPr>
              <w:t>Extreme</w:t>
            </w:r>
          </w:p>
        </w:tc>
      </w:tr>
    </w:tbl>
    <w:p w14:paraId="721E8E41" w14:textId="77777777" w:rsidR="005F79F3" w:rsidRPr="005D6D89" w:rsidRDefault="005F79F3" w:rsidP="00812D16">
      <w:pPr>
        <w:pStyle w:val="Heading3"/>
        <w:numPr>
          <w:ilvl w:val="0"/>
          <w:numId w:val="33"/>
        </w:numPr>
        <w:spacing w:before="440"/>
      </w:pPr>
      <w:bookmarkStart w:id="452" w:name="_Toc37393691"/>
      <w:bookmarkStart w:id="453" w:name="_Toc40699368"/>
      <w:r w:rsidRPr="005D6D89">
        <w:t>Other priority risks for the governance domain</w:t>
      </w:r>
      <w:bookmarkEnd w:id="452"/>
      <w:bookmarkEnd w:id="453"/>
    </w:p>
    <w:p w14:paraId="19445518" w14:textId="77777777" w:rsidR="005F79F3" w:rsidRPr="005D6D89" w:rsidRDefault="005F79F3" w:rsidP="00CF307C">
      <w:pPr>
        <w:pStyle w:val="Heading4"/>
        <w:spacing w:before="240"/>
      </w:pPr>
      <w:r w:rsidRPr="005D6D89">
        <w:t>G3 Risks to governments and</w:t>
      </w:r>
      <w:r w:rsidR="00637285">
        <w:t xml:space="preserve"> businesses from climate change-</w:t>
      </w:r>
      <w:r w:rsidRPr="005D6D89">
        <w:t>related litigation, due</w:t>
      </w:r>
      <w:r w:rsidR="00CF307C" w:rsidRPr="005D6D89">
        <w:t> </w:t>
      </w:r>
      <w:r w:rsidRPr="005D6D89">
        <w:t xml:space="preserve">to inadequate or mistimed climate change adaptation </w:t>
      </w:r>
    </w:p>
    <w:p w14:paraId="6D812866" w14:textId="77777777" w:rsidR="005F79F3" w:rsidRPr="005D6D89" w:rsidRDefault="005F79F3" w:rsidP="00CF307C">
      <w:pPr>
        <w:pStyle w:val="BodyText"/>
      </w:pPr>
      <w:r w:rsidRPr="005D6D89">
        <w:t>Governments and businesses face potential legal liability due to climate change. Plaintiffs may</w:t>
      </w:r>
      <w:r w:rsidR="00CF307C" w:rsidRPr="005D6D89">
        <w:t> </w:t>
      </w:r>
      <w:r w:rsidRPr="005D6D89">
        <w:t>turn to the courts to seek compensation for loss due to inadequate climate change action.</w:t>
      </w:r>
      <w:r w:rsidR="00CF307C" w:rsidRPr="005D6D89">
        <w:t> </w:t>
      </w:r>
      <w:r w:rsidRPr="005D6D89">
        <w:t>Governments could be liable for a range of matters including failing to adapt public infrastructure, planning decisions that increase exposure to coastal hazards, and failing to reduce greenhouse gas emissions (Iorns, 2019; Iorns, James and Stuart</w:t>
      </w:r>
      <w:r w:rsidR="00754A56">
        <w:t>,</w:t>
      </w:r>
      <w:r w:rsidRPr="005D6D89">
        <w:t xml:space="preserve"> 2017). </w:t>
      </w:r>
    </w:p>
    <w:p w14:paraId="0EF7B11E" w14:textId="77777777" w:rsidR="005F79F3" w:rsidRPr="005D6D89" w:rsidRDefault="005F79F3" w:rsidP="00CF307C">
      <w:pPr>
        <w:pStyle w:val="BodyText"/>
      </w:pPr>
      <w:r w:rsidRPr="005D6D89">
        <w:t>The private sector may face litigation for failing to take action and for damages from historical greenhouse gas emissions. The threat of litigation against governments who are taking actions to adapt is also, perversely, delaying adaptation (Manning et al, 2015</w:t>
      </w:r>
      <w:r w:rsidR="00754A56">
        <w:t>;</w:t>
      </w:r>
      <w:r w:rsidRPr="005D6D89">
        <w:t xml:space="preserve"> Lawrence</w:t>
      </w:r>
      <w:r w:rsidR="00B61730">
        <w:t xml:space="preserve"> et al</w:t>
      </w:r>
      <w:r w:rsidRPr="005D6D89">
        <w:t>, 2015). If</w:t>
      </w:r>
      <w:r w:rsidR="00CF307C" w:rsidRPr="005D6D89">
        <w:t> </w:t>
      </w:r>
      <w:r w:rsidRPr="005D6D89">
        <w:t>litigation results in delays to adaptation, it is likely to increase the costs of climate change, thereby exposing the Government and businesses to further liability.</w:t>
      </w:r>
      <w:r w:rsidR="00027F9F" w:rsidRPr="005D6D89">
        <w:t xml:space="preserve"> </w:t>
      </w:r>
    </w:p>
    <w:p w14:paraId="4F527A47" w14:textId="77777777" w:rsidR="005F79F3" w:rsidRPr="005D6D89" w:rsidRDefault="005F79F3" w:rsidP="00CF307C">
      <w:pPr>
        <w:pStyle w:val="Heading4"/>
      </w:pPr>
      <w:r w:rsidRPr="005D6D89">
        <w:t>G4 Risk of a breach of Treaty obligations from a failure to engage adequately with</w:t>
      </w:r>
      <w:r w:rsidR="00CF307C" w:rsidRPr="005D6D89">
        <w:t> </w:t>
      </w:r>
      <w:r w:rsidRPr="005D6D89">
        <w:t>and protect current and future generations of Māori from the impacts of</w:t>
      </w:r>
      <w:r w:rsidR="00891FC2">
        <w:t> </w:t>
      </w:r>
      <w:r w:rsidRPr="005D6D89">
        <w:t xml:space="preserve">climate change </w:t>
      </w:r>
    </w:p>
    <w:p w14:paraId="2A29E058" w14:textId="77777777" w:rsidR="005F79F3" w:rsidRPr="005D6D89" w:rsidRDefault="005F79F3" w:rsidP="00CF307C">
      <w:pPr>
        <w:pStyle w:val="BodyText"/>
      </w:pPr>
      <w:bookmarkStart w:id="454" w:name="_Hlk35776827"/>
      <w:r w:rsidRPr="005D6D89">
        <w:t xml:space="preserve">The principles of the Treaty of Waitangi, namely partnership, participation and protection, </w:t>
      </w:r>
      <w:proofErr w:type="gramStart"/>
      <w:r w:rsidRPr="005D6D89">
        <w:t>could be breached</w:t>
      </w:r>
      <w:proofErr w:type="gramEnd"/>
      <w:r w:rsidRPr="005D6D89">
        <w:t xml:space="preserve"> due to </w:t>
      </w:r>
      <w:bookmarkStart w:id="455" w:name="_Hlk36751415"/>
      <w:r w:rsidRPr="005D6D89">
        <w:t>failure to protect current and future generations of Māori from climate change impacts.</w:t>
      </w:r>
      <w:bookmarkEnd w:id="455"/>
      <w:r w:rsidRPr="005D6D89">
        <w:t xml:space="preserve"> Claims relating to climate change already sit with the Waitangi Tribunal, which has determined that climate change is a Treaty issue because of the need to prevent harm to Māori coastal property (Iorns, 2019).</w:t>
      </w:r>
      <w:r w:rsidRPr="005D6D89">
        <w:rPr>
          <w:rStyle w:val="FootnoteReference"/>
          <w:rFonts w:asciiTheme="minorHAnsi" w:hAnsiTheme="minorHAnsi" w:cstheme="minorHAnsi"/>
        </w:rPr>
        <w:t xml:space="preserve"> </w:t>
      </w:r>
      <w:r w:rsidRPr="005D6D89">
        <w:t xml:space="preserve">Treaty obligations </w:t>
      </w:r>
      <w:proofErr w:type="gramStart"/>
      <w:r w:rsidRPr="005D6D89">
        <w:t>may also be breached</w:t>
      </w:r>
      <w:proofErr w:type="gramEnd"/>
      <w:r w:rsidRPr="005D6D89">
        <w:t xml:space="preserve"> if specific consideration is not given to protecting Māori assets, meaningful engagement and involvement of Māori, and using </w:t>
      </w:r>
      <w:hyperlink w:anchor="mataurangamaori" w:history="1">
        <w:r w:rsidRPr="00E80827">
          <w:rPr>
            <w:rStyle w:val="Hyperlink"/>
          </w:rPr>
          <w:t>mātauranga Māori</w:t>
        </w:r>
      </w:hyperlink>
      <w:r w:rsidRPr="005D6D89">
        <w:t xml:space="preserve"> in adaptation (Iorns, 2019). </w:t>
      </w:r>
      <w:bookmarkEnd w:id="454"/>
    </w:p>
    <w:p w14:paraId="23904EB0" w14:textId="77777777" w:rsidR="005F79F3" w:rsidRPr="005D6D89" w:rsidRDefault="005F79F3" w:rsidP="00CF307C">
      <w:pPr>
        <w:pStyle w:val="Heading4"/>
      </w:pPr>
      <w:r w:rsidRPr="005D6D89">
        <w:t>G5 Risk of delayed adaptation and maladaptation</w:t>
      </w:r>
      <w:r w:rsidR="00754A56">
        <w:t>,</w:t>
      </w:r>
      <w:r w:rsidRPr="005D6D89">
        <w:t xml:space="preserve"> due to knowledge gaps resulting from under-investment in climate adaptation research and capacity building </w:t>
      </w:r>
    </w:p>
    <w:p w14:paraId="72276AAF" w14:textId="77777777" w:rsidR="005F79F3" w:rsidRPr="005D6D89" w:rsidRDefault="005F79F3" w:rsidP="00CF307C">
      <w:pPr>
        <w:pStyle w:val="BodyText"/>
      </w:pPr>
      <w:r w:rsidRPr="005D6D89">
        <w:t>Under-investment in research and capacity building to inform understanding of climate change risks and impacts is undermining New Zealand</w:t>
      </w:r>
      <w:r w:rsidR="001200EA">
        <w:t>’</w:t>
      </w:r>
      <w:r w:rsidRPr="005D6D89">
        <w:t>s ability to develop evidence-based adaptation policy. Critical research gaps relate to</w:t>
      </w:r>
      <w:r w:rsidR="00754A56">
        <w:t>:</w:t>
      </w:r>
      <w:r w:rsidRPr="005D6D89">
        <w:t xml:space="preserve"> atmospheric processes, hydrological cycle impacts, ecosystem responses, biodiversity and biosecurity, rural and urban communities, the economic costs of climate change, impacts on the primary sector</w:t>
      </w:r>
      <w:r w:rsidR="00754A56">
        <w:t xml:space="preserve"> and </w:t>
      </w:r>
      <w:r w:rsidRPr="005D6D89">
        <w:t xml:space="preserve">on heritage, effects on health and health services, use of </w:t>
      </w:r>
      <w:hyperlink w:anchor="mataurangamaori" w:history="1">
        <w:r w:rsidRPr="00E80827">
          <w:rPr>
            <w:rStyle w:val="Hyperlink"/>
          </w:rPr>
          <w:t>mātauranga Māori</w:t>
        </w:r>
      </w:hyperlink>
      <w:r w:rsidRPr="005D6D89">
        <w:t xml:space="preserve"> to inform adaptation, cascading impacts, and how to govern adaptation at multiple scales. These gaps are a critical barrier to informed decision-making and while they remain, maladaptive actions are a key risk.</w:t>
      </w:r>
    </w:p>
    <w:p w14:paraId="6D34B6FB" w14:textId="77777777" w:rsidR="005F79F3" w:rsidRPr="005D6D89" w:rsidRDefault="005F79F3" w:rsidP="00CF307C">
      <w:pPr>
        <w:pStyle w:val="Heading4"/>
      </w:pPr>
      <w:r w:rsidRPr="005D6D89">
        <w:t>G6 Risks to the ability of the emergency management system to respond to an</w:t>
      </w:r>
      <w:r w:rsidR="00891FC2">
        <w:t> </w:t>
      </w:r>
      <w:r w:rsidRPr="005D6D89">
        <w:t>increasing frequency and scale of compounding and cascading climate change</w:t>
      </w:r>
      <w:r w:rsidR="00891FC2">
        <w:t> </w:t>
      </w:r>
      <w:r w:rsidRPr="005D6D89">
        <w:t xml:space="preserve">impacts in New Zealand and the Pacific region </w:t>
      </w:r>
    </w:p>
    <w:p w14:paraId="1A5C9B52" w14:textId="77777777" w:rsidR="005F79F3" w:rsidRPr="005D6D89" w:rsidRDefault="005F79F3" w:rsidP="00CF307C">
      <w:pPr>
        <w:pStyle w:val="BodyText"/>
      </w:pPr>
      <w:r w:rsidRPr="005D6D89">
        <w:t xml:space="preserve">Climate change will increase the frequency, severity and spatial extent of natural hazard events and create new hazards needing emergency responses. This increased demand for emergency management services </w:t>
      </w:r>
      <w:proofErr w:type="gramStart"/>
      <w:r w:rsidRPr="005D6D89">
        <w:t>may be compounded</w:t>
      </w:r>
      <w:proofErr w:type="gramEnd"/>
      <w:r w:rsidRPr="005D6D89">
        <w:t xml:space="preserve"> by damaged infrastructure critical to</w:t>
      </w:r>
      <w:r w:rsidR="0010169F" w:rsidRPr="005D6D89">
        <w:t> </w:t>
      </w:r>
      <w:r w:rsidRPr="005D6D89">
        <w:t xml:space="preserve">the delivery of these services. Infrastructure </w:t>
      </w:r>
      <w:proofErr w:type="gramStart"/>
      <w:r w:rsidRPr="005D6D89">
        <w:t>can be affected</w:t>
      </w:r>
      <w:proofErr w:type="gramEnd"/>
      <w:r w:rsidRPr="005D6D89">
        <w:t xml:space="preserve"> by extreme events such as floods, fires or landslides as well as gradual, ongoing impacts </w:t>
      </w:r>
      <w:r w:rsidR="00BA4B0B">
        <w:t>like</w:t>
      </w:r>
      <w:r w:rsidRPr="005D6D89">
        <w:t xml:space="preserve"> sea-level rise and coastal</w:t>
      </w:r>
      <w:r w:rsidR="0010169F" w:rsidRPr="005D6D89">
        <w:t> </w:t>
      </w:r>
      <w:r w:rsidRPr="005D6D89">
        <w:t xml:space="preserve">inundation, which degrade infrastructure. The cascading effects could also lead to coordination challenges including lack of clarity about responsibility for risk management. </w:t>
      </w:r>
    </w:p>
    <w:p w14:paraId="6DBF4E10" w14:textId="77777777" w:rsidR="005F79F3" w:rsidRPr="005D6D89" w:rsidRDefault="005F79F3" w:rsidP="0010169F">
      <w:pPr>
        <w:pStyle w:val="Heading4"/>
      </w:pPr>
      <w:r w:rsidRPr="005D6D89">
        <w:t>G7 Risk that effective climate change adaptation policy will not be implemented and</w:t>
      </w:r>
      <w:r w:rsidR="00891FC2">
        <w:t> </w:t>
      </w:r>
      <w:r w:rsidRPr="005D6D89">
        <w:t>sustained</w:t>
      </w:r>
      <w:r w:rsidR="00BA4B0B">
        <w:t>,</w:t>
      </w:r>
      <w:r w:rsidRPr="005D6D89">
        <w:t xml:space="preserve"> due to a failure to secure sufficient parliamentary agreement </w:t>
      </w:r>
    </w:p>
    <w:p w14:paraId="5F229B45" w14:textId="77777777" w:rsidR="005F79F3" w:rsidRPr="005D6D89" w:rsidRDefault="005F79F3" w:rsidP="0010169F">
      <w:pPr>
        <w:pStyle w:val="BodyText"/>
      </w:pPr>
      <w:r w:rsidRPr="005D6D89">
        <w:t>To minimise future damages from climate change, the Government will need to take pre-emptive and sustained action. A strong political mandate and commitment by successive governments to adaptation is necessary. The structure of New Zealand</w:t>
      </w:r>
      <w:r w:rsidR="001200EA">
        <w:t>’</w:t>
      </w:r>
      <w:r w:rsidRPr="005D6D89">
        <w:t xml:space="preserve">s political system, together with an economy characterised by dominant sectors </w:t>
      </w:r>
      <w:r w:rsidR="00BA4B0B">
        <w:t>that</w:t>
      </w:r>
      <w:r w:rsidR="00BA4B0B" w:rsidRPr="005D6D89">
        <w:t xml:space="preserve"> </w:t>
      </w:r>
      <w:r w:rsidRPr="005D6D89">
        <w:t>have politicised climate change, have hindered meaningful action on both reducing emissions and adapting to climate</w:t>
      </w:r>
      <w:r w:rsidR="00891FC2">
        <w:t> </w:t>
      </w:r>
      <w:r w:rsidRPr="005D6D89">
        <w:t xml:space="preserve">change. The recent passing of the </w:t>
      </w:r>
      <w:r w:rsidRPr="005D6D89">
        <w:rPr>
          <w:iCs/>
        </w:rPr>
        <w:t>Climate Change Response (Zero Carbon) Act 2019</w:t>
      </w:r>
      <w:r w:rsidRPr="005D6D89">
        <w:t xml:space="preserve"> with bipartisan support is a positive development. An ongoing spirit of bipartisanship will be critical for necessary climate action.</w:t>
      </w:r>
    </w:p>
    <w:p w14:paraId="4DAB8FCA" w14:textId="77777777" w:rsidR="005F79F3" w:rsidRPr="005D6D89" w:rsidRDefault="005F79F3" w:rsidP="0010169F">
      <w:pPr>
        <w:pStyle w:val="Heading4"/>
      </w:pPr>
      <w:r w:rsidRPr="005D6D89">
        <w:t>G8 Risk to the ability of democratic institutions to follow due democratic decision</w:t>
      </w:r>
      <w:r w:rsidR="0010169F" w:rsidRPr="005D6D89">
        <w:noBreakHyphen/>
      </w:r>
      <w:r w:rsidRPr="005D6D89">
        <w:t>making processes under pressure from an increasing frequency</w:t>
      </w:r>
      <w:r w:rsidR="0010169F" w:rsidRPr="005D6D89">
        <w:br/>
      </w:r>
      <w:r w:rsidRPr="005D6D89">
        <w:t xml:space="preserve">and scale of compounding and cascading climate change impacts </w:t>
      </w:r>
    </w:p>
    <w:p w14:paraId="49B81D89" w14:textId="77777777" w:rsidR="005F79F3" w:rsidRPr="005D6D89" w:rsidRDefault="005F79F3" w:rsidP="0003194C">
      <w:pPr>
        <w:pStyle w:val="BodyText"/>
        <w:spacing w:before="100" w:after="100"/>
      </w:pPr>
      <w:r w:rsidRPr="005D6D89">
        <w:t>Much of the discourse about climate change has focused on the potential impacts on natural systems, physical infrastructure, human wellbeing and economies. However, it may also pose a risk to democratic decision-making, particularly after an intense, unanticipated extreme event. The risks to due process from urgent responses to extreme events are likely to increase as hazards increase in frequency, intensity and spatial scale.</w:t>
      </w:r>
    </w:p>
    <w:p w14:paraId="3751F2DA" w14:textId="77777777" w:rsidR="00EE716D" w:rsidRPr="005D6D89" w:rsidRDefault="00EE716D" w:rsidP="00812D16">
      <w:pPr>
        <w:pStyle w:val="Heading2"/>
        <w:numPr>
          <w:ilvl w:val="0"/>
          <w:numId w:val="26"/>
        </w:numPr>
        <w:tabs>
          <w:tab w:val="num" w:pos="992"/>
        </w:tabs>
        <w:spacing w:before="320"/>
      </w:pPr>
      <w:bookmarkStart w:id="456" w:name="_Opportunities"/>
      <w:bookmarkStart w:id="457" w:name="_Toc37255791"/>
      <w:bookmarkStart w:id="458" w:name="_Toc37393692"/>
      <w:bookmarkStart w:id="459" w:name="_Ref37666616"/>
      <w:bookmarkStart w:id="460" w:name="_Ref37667880"/>
      <w:bookmarkStart w:id="461" w:name="_Toc40699369"/>
      <w:bookmarkStart w:id="462" w:name="_Toc43064144"/>
      <w:bookmarkEnd w:id="456"/>
      <w:r w:rsidRPr="005D6D89">
        <w:t>Opportunities</w:t>
      </w:r>
      <w:bookmarkEnd w:id="457"/>
      <w:bookmarkEnd w:id="458"/>
      <w:bookmarkEnd w:id="459"/>
      <w:bookmarkEnd w:id="460"/>
      <w:bookmarkEnd w:id="461"/>
      <w:bookmarkEnd w:id="462"/>
    </w:p>
    <w:p w14:paraId="5DDE661E" w14:textId="77777777" w:rsidR="00EE716D" w:rsidRPr="005D6D89" w:rsidRDefault="00EE716D" w:rsidP="0003194C">
      <w:pPr>
        <w:pStyle w:val="BodyText"/>
        <w:spacing w:before="100" w:after="100"/>
      </w:pPr>
      <w:r w:rsidRPr="005D6D89">
        <w:t xml:space="preserve">The NCCRA defines climate change opportunities </w:t>
      </w:r>
      <w:bookmarkStart w:id="463" w:name="_Hlk31713335"/>
      <w:r w:rsidRPr="005D6D89">
        <w:t xml:space="preserve">as the potential for positive or beneficial consequences resulting from changes in climate. Some opportunities may arise in New Zealand, yet they are likely to come with risks as these </w:t>
      </w:r>
      <w:proofErr w:type="gramStart"/>
      <w:r w:rsidRPr="005D6D89">
        <w:t>are driven</w:t>
      </w:r>
      <w:proofErr w:type="gramEnd"/>
      <w:r w:rsidRPr="005D6D89">
        <w:t xml:space="preserve"> by the same climate variables. </w:t>
      </w:r>
      <w:bookmarkEnd w:id="463"/>
      <w:r w:rsidRPr="005D6D89">
        <w:t xml:space="preserve">Furthermore, acting on perceived opportunities without fully assessing all the associated risks could result in maladaptation. For example, there could be opportunities for tourism because of drier and warmer conditions. However, realising these opportunities may place greater pressure on ecosystems already stressed by climate change. This could inadvertently increase the vulnerability of both the natural environment and the tourism sector if not carefully </w:t>
      </w:r>
      <w:proofErr w:type="gramStart"/>
      <w:r w:rsidRPr="005D6D89">
        <w:t>considered</w:t>
      </w:r>
      <w:proofErr w:type="gramEnd"/>
      <w:r w:rsidRPr="005D6D89">
        <w:t xml:space="preserve"> and managed. </w:t>
      </w:r>
    </w:p>
    <w:p w14:paraId="38006D55" w14:textId="77777777" w:rsidR="00EE716D" w:rsidRPr="005D6D89" w:rsidRDefault="00EE716D" w:rsidP="0003194C">
      <w:pPr>
        <w:pStyle w:val="BodyText"/>
        <w:spacing w:before="100" w:after="100"/>
      </w:pPr>
      <w:r w:rsidRPr="005D6D89">
        <w:t xml:space="preserve">Few opportunities </w:t>
      </w:r>
      <w:proofErr w:type="gramStart"/>
      <w:r w:rsidRPr="005D6D89">
        <w:t>were identified</w:t>
      </w:r>
      <w:proofErr w:type="gramEnd"/>
      <w:r w:rsidRPr="005D6D89">
        <w:t xml:space="preserve"> through the research and consultation for this NCCRA. Given</w:t>
      </w:r>
      <w:r w:rsidR="00B71C2D" w:rsidRPr="005D6D89">
        <w:t> </w:t>
      </w:r>
      <w:r w:rsidRPr="005D6D89">
        <w:t>this, those outlined below do not include all opportunities arising from climate change in</w:t>
      </w:r>
      <w:r w:rsidR="002F5CDF">
        <w:t> </w:t>
      </w:r>
      <w:r w:rsidRPr="005D6D89">
        <w:t xml:space="preserve">New Zealand. Limitations to information and analysis of these opportunities in terms of risk indicate a potential research priority to inform future NCCRAs (see </w:t>
      </w:r>
      <w:hyperlink w:anchor="_Gaps_in_knowledge" w:history="1">
        <w:r w:rsidRPr="00566D02">
          <w:rPr>
            <w:rStyle w:val="Hyperlink"/>
          </w:rPr>
          <w:t xml:space="preserve">section </w:t>
        </w:r>
        <w:r w:rsidR="00566D02" w:rsidRPr="00566D02">
          <w:rPr>
            <w:rStyle w:val="Hyperlink"/>
          </w:rPr>
          <w:t>7.2</w:t>
        </w:r>
      </w:hyperlink>
      <w:r w:rsidRPr="005D6D89">
        <w:t xml:space="preserve">). Opportunities identified for New Zealand include those for the primary sector, businesses, health and household energy. </w:t>
      </w:r>
    </w:p>
    <w:p w14:paraId="036F26F5" w14:textId="77777777" w:rsidR="00EE716D" w:rsidRPr="005D6D89" w:rsidRDefault="0080544C" w:rsidP="00812D16">
      <w:pPr>
        <w:pStyle w:val="Heading3"/>
        <w:numPr>
          <w:ilvl w:val="0"/>
          <w:numId w:val="34"/>
        </w:numPr>
        <w:spacing w:before="280"/>
      </w:pPr>
      <w:bookmarkStart w:id="464" w:name="_Toc37177449"/>
      <w:bookmarkStart w:id="465" w:name="_Toc37255792"/>
      <w:bookmarkStart w:id="466" w:name="_Toc37393693"/>
      <w:bookmarkStart w:id="467" w:name="_Toc37784899"/>
      <w:bookmarkStart w:id="468" w:name="_Toc40699370"/>
      <w:bookmarkStart w:id="469" w:name="_Toc35517198"/>
      <w:r w:rsidRPr="00E80827">
        <w:t>EO1</w:t>
      </w:r>
      <w:r w:rsidR="00EE716D" w:rsidRPr="005D6D89">
        <w:t xml:space="preserve"> Increased primary sector productivity due to warmer</w:t>
      </w:r>
      <w:r w:rsidR="00B71C2D" w:rsidRPr="005D6D89">
        <w:t> </w:t>
      </w:r>
      <w:r w:rsidR="00EE716D" w:rsidRPr="005D6D89">
        <w:t xml:space="preserve">temperatures </w:t>
      </w:r>
      <w:bookmarkEnd w:id="464"/>
      <w:bookmarkEnd w:id="465"/>
      <w:bookmarkEnd w:id="466"/>
      <w:bookmarkEnd w:id="467"/>
      <w:bookmarkEnd w:id="468"/>
    </w:p>
    <w:p w14:paraId="5A3626A5" w14:textId="77777777" w:rsidR="00EE716D" w:rsidRPr="005D6D89" w:rsidRDefault="00EE716D" w:rsidP="0003194C">
      <w:pPr>
        <w:pStyle w:val="BodyText"/>
        <w:spacing w:after="100"/>
      </w:pPr>
      <w:r w:rsidRPr="005D6D89">
        <w:t xml:space="preserve">Initial benefits to agriculture and forestry </w:t>
      </w:r>
      <w:proofErr w:type="gramStart"/>
      <w:r w:rsidRPr="005D6D89">
        <w:t>are predicted</w:t>
      </w:r>
      <w:proofErr w:type="gramEnd"/>
      <w:r w:rsidRPr="005D6D89">
        <w:t xml:space="preserve"> in the western and southern part of New Zealand and close to major rivers, due to a longer growing season, less frost and higher rainfall. Opportunities identified by NIWA (2019) include: </w:t>
      </w:r>
    </w:p>
    <w:p w14:paraId="6A757722" w14:textId="77777777" w:rsidR="00EE716D" w:rsidRPr="005D6D89" w:rsidRDefault="00EE716D" w:rsidP="0003194C">
      <w:pPr>
        <w:pStyle w:val="Bullet"/>
        <w:spacing w:after="100"/>
      </w:pPr>
      <w:r w:rsidRPr="005D6D89">
        <w:t xml:space="preserve">Kiwifruit: Warmer summer temperatures are likely make more areas of the South Island suitable for cultivation. This is likely to </w:t>
      </w:r>
      <w:proofErr w:type="gramStart"/>
      <w:r w:rsidRPr="005D6D89">
        <w:t>be offset</w:t>
      </w:r>
      <w:proofErr w:type="gramEnd"/>
      <w:r w:rsidRPr="005D6D89">
        <w:t xml:space="preserve"> by some areas becoming less productive. </w:t>
      </w:r>
    </w:p>
    <w:p w14:paraId="37684279" w14:textId="77777777" w:rsidR="00EE716D" w:rsidRPr="005D6D89" w:rsidRDefault="00EE716D" w:rsidP="0003194C">
      <w:pPr>
        <w:pStyle w:val="Bullet"/>
        <w:spacing w:after="100"/>
      </w:pPr>
      <w:r w:rsidRPr="005D6D89">
        <w:t>Apples: likely to flower and reach maturity earlier, with increased size, especially after 2050.</w:t>
      </w:r>
    </w:p>
    <w:p w14:paraId="35CADDBF" w14:textId="77777777" w:rsidR="00EE716D" w:rsidRPr="005D6D89" w:rsidRDefault="00EE716D" w:rsidP="0003194C">
      <w:pPr>
        <w:pStyle w:val="Bullet"/>
        <w:spacing w:after="100"/>
      </w:pPr>
      <w:r w:rsidRPr="005D6D89">
        <w:t>Grapes: Central Otago is currently the southern margin for cool-climate wine production. Wine grapes in this region will benefit greatly from warmer, drier conditions (MPI, 2010).</w:t>
      </w:r>
    </w:p>
    <w:p w14:paraId="42A9AE4C" w14:textId="77777777" w:rsidR="00EE716D" w:rsidRPr="005D6D89" w:rsidRDefault="00EE716D" w:rsidP="0003194C">
      <w:pPr>
        <w:pStyle w:val="Bullet"/>
        <w:spacing w:after="100"/>
      </w:pPr>
      <w:r w:rsidRPr="005D6D89">
        <w:t>Horticulture: New species may become viable.</w:t>
      </w:r>
    </w:p>
    <w:p w14:paraId="02905F26" w14:textId="77777777" w:rsidR="00EE716D" w:rsidRPr="005D6D89" w:rsidRDefault="00EE716D" w:rsidP="0003194C">
      <w:pPr>
        <w:pStyle w:val="Bullet"/>
        <w:spacing w:after="100"/>
      </w:pPr>
      <w:r w:rsidRPr="005D6D89">
        <w:t xml:space="preserve">Plantation forestry: Growth rates (mainly </w:t>
      </w:r>
      <w:r w:rsidRPr="005D6D89">
        <w:rPr>
          <w:i/>
        </w:rPr>
        <w:t>Pinus radiata</w:t>
      </w:r>
      <w:r w:rsidRPr="005D6D89">
        <w:t>) are likely to increase due to higher CO</w:t>
      </w:r>
      <w:r w:rsidRPr="005D6D89">
        <w:rPr>
          <w:vertAlign w:val="subscript"/>
        </w:rPr>
        <w:t>2</w:t>
      </w:r>
      <w:r w:rsidRPr="005D6D89">
        <w:t xml:space="preserve"> levels and wetter conditions in the south and west of New Zealand. Warmer temperatures can also stimulate decomposition of soil organic matter and mineralise more nitrogen </w:t>
      </w:r>
      <w:proofErr w:type="gramStart"/>
      <w:r w:rsidRPr="005D6D89">
        <w:t>to further boost</w:t>
      </w:r>
      <w:proofErr w:type="gramEnd"/>
      <w:r w:rsidRPr="005D6D89">
        <w:t xml:space="preserve"> the nutritional status of trees (Watts et al, 2008). However, fast-growing timber can </w:t>
      </w:r>
      <w:r w:rsidRPr="00E80827">
        <w:t>reduce</w:t>
      </w:r>
      <w:r w:rsidRPr="005D6D89">
        <w:t xml:space="preserve"> timber strength. </w:t>
      </w:r>
    </w:p>
    <w:p w14:paraId="779ED77E" w14:textId="77777777" w:rsidR="00EE716D" w:rsidRPr="005D6D89" w:rsidRDefault="00EE716D" w:rsidP="0003194C">
      <w:pPr>
        <w:pStyle w:val="Bullet"/>
        <w:spacing w:after="100"/>
      </w:pPr>
      <w:r w:rsidRPr="005D6D89">
        <w:t>Pasture: Seasonal pasture growth may increase under some scenarios and in some areas. Seasonal average growth rates show consistent, large increases in winter and spring, as expected with warmer conditions and an extended growing season.</w:t>
      </w:r>
    </w:p>
    <w:p w14:paraId="23BE00CD" w14:textId="77777777" w:rsidR="00EE716D" w:rsidRPr="005D6D89" w:rsidRDefault="00EE716D" w:rsidP="00B71C2D">
      <w:pPr>
        <w:pStyle w:val="Bullet"/>
      </w:pPr>
      <w:r w:rsidRPr="005D6D89">
        <w:t>Fisheries: Increase in primary productivity in shallower surface layers is likely in southern New Zealand</w:t>
      </w:r>
      <w:r w:rsidRPr="005D6D89">
        <w:rPr>
          <w:color w:val="000000"/>
        </w:rPr>
        <w:t xml:space="preserve"> waters. </w:t>
      </w:r>
    </w:p>
    <w:p w14:paraId="4B3184F9" w14:textId="77777777" w:rsidR="00EE716D" w:rsidRPr="005D6D89" w:rsidRDefault="00EE716D" w:rsidP="00E87CCF">
      <w:pPr>
        <w:pStyle w:val="BodyText"/>
        <w:spacing w:before="100" w:after="100"/>
      </w:pPr>
      <w:bookmarkStart w:id="470" w:name="_Toc37177450"/>
      <w:bookmarkStart w:id="471" w:name="_Toc37255793"/>
      <w:bookmarkStart w:id="472" w:name="_Toc37393694"/>
      <w:r w:rsidRPr="005D6D89">
        <w:t>Productivity yields may increase for certain species due to more optimal growing environments. Higher average temperatures are associated with faster maturation, leading to</w:t>
      </w:r>
      <w:r w:rsidR="007B170C" w:rsidRPr="005D6D89">
        <w:t> </w:t>
      </w:r>
      <w:r w:rsidRPr="005D6D89">
        <w:t xml:space="preserve">an earlier harvest. Higher </w:t>
      </w:r>
      <w:r w:rsidRPr="005D6D89">
        <w:rPr>
          <w:color w:val="000000"/>
        </w:rPr>
        <w:t>CO</w:t>
      </w:r>
      <w:r w:rsidRPr="005D6D89">
        <w:rPr>
          <w:color w:val="000000"/>
          <w:sz w:val="18"/>
          <w:szCs w:val="18"/>
          <w:vertAlign w:val="subscript"/>
        </w:rPr>
        <w:t>2</w:t>
      </w:r>
      <w:r w:rsidRPr="005D6D89">
        <w:t xml:space="preserve"> concentrations will increase crop growth rates</w:t>
      </w:r>
      <w:r w:rsidR="00BA4B0B">
        <w:t xml:space="preserve"> (Reisinger, Mullan, Manning, Wratt and Nottage, 2010).</w:t>
      </w:r>
      <w:r w:rsidR="00A03FCC">
        <w:t xml:space="preserve"> </w:t>
      </w:r>
      <w:r w:rsidRPr="005D6D89">
        <w:t xml:space="preserve"> </w:t>
      </w:r>
    </w:p>
    <w:p w14:paraId="45C72FC1" w14:textId="77777777" w:rsidR="00EE716D" w:rsidRDefault="00EE716D" w:rsidP="00E87CCF">
      <w:pPr>
        <w:pStyle w:val="BodyText"/>
        <w:spacing w:before="100" w:after="100"/>
      </w:pPr>
      <w:r w:rsidRPr="005D6D89">
        <w:t xml:space="preserve">However, these scenarios assume a system where nutrients and water supply are not limited, and do not consider complicating factors such as pests, extreme events and competition for dwindling resources (Wreford, </w:t>
      </w:r>
      <w:r w:rsidRPr="002F5CDF">
        <w:t>Moran</w:t>
      </w:r>
      <w:r w:rsidRPr="005D6D89">
        <w:t xml:space="preserve"> and Adger, 2010). Increased crop yields would result in an increased demand for water, creating a greater reliance on irrigation systems. A change in mean average temperature may also allow for the extension of existing species range and the introduction of new types of crops</w:t>
      </w:r>
      <w:r w:rsidR="007B0FC9">
        <w:t>,</w:t>
      </w:r>
      <w:r w:rsidR="00BA4B0B">
        <w:t xml:space="preserve"> a</w:t>
      </w:r>
      <w:r w:rsidRPr="005D6D89">
        <w:t xml:space="preserve">lthough, as noted for kiwifruit, this </w:t>
      </w:r>
      <w:proofErr w:type="gramStart"/>
      <w:r w:rsidRPr="005D6D89">
        <w:t>may be offset</w:t>
      </w:r>
      <w:proofErr w:type="gramEnd"/>
      <w:r w:rsidRPr="005D6D89">
        <w:t xml:space="preserve"> by some areas becoming less productive. There may also be an opportunity for diversification into new areas</w:t>
      </w:r>
      <w:r w:rsidR="00BA4B0B">
        <w:t xml:space="preserve"> and/or </w:t>
      </w:r>
      <w:r w:rsidRPr="005D6D89">
        <w:t xml:space="preserve">species of mahinga kai (food provisioning). </w:t>
      </w:r>
    </w:p>
    <w:p w14:paraId="057FDD27" w14:textId="77777777" w:rsidR="002F5CDF" w:rsidRPr="005D6D89" w:rsidRDefault="002F5CDF" w:rsidP="002F5CDF">
      <w:pPr>
        <w:pStyle w:val="Tableheading"/>
      </w:pPr>
      <w:bookmarkStart w:id="473" w:name="_Toc43312821"/>
      <w:r>
        <w:t>Table 27:</w:t>
      </w:r>
      <w:r>
        <w:tab/>
      </w:r>
      <w:r w:rsidRPr="005D6D89">
        <w:t>EO1: Opportunity urgency profile</w:t>
      </w:r>
      <w:bookmarkEnd w:id="473"/>
    </w:p>
    <w:tbl>
      <w:tblPr>
        <w:tblStyle w:val="TableGrid"/>
        <w:tblW w:w="8613" w:type="dxa"/>
        <w:tblBorders>
          <w:top w:val="single" w:sz="4" w:space="0" w:color="32809C"/>
          <w:left w:val="none" w:sz="0" w:space="0" w:color="auto"/>
          <w:bottom w:val="single" w:sz="4" w:space="0" w:color="32809C"/>
          <w:right w:val="none" w:sz="0" w:space="0" w:color="auto"/>
          <w:insideH w:val="single" w:sz="4" w:space="0" w:color="32809C"/>
          <w:insideV w:val="single" w:sz="4" w:space="0" w:color="32809C"/>
        </w:tblBorders>
        <w:tblLayout w:type="fixed"/>
        <w:tblLook w:val="04A0" w:firstRow="1" w:lastRow="0" w:firstColumn="1" w:lastColumn="0" w:noHBand="0" w:noVBand="1"/>
      </w:tblPr>
      <w:tblGrid>
        <w:gridCol w:w="2093"/>
        <w:gridCol w:w="1984"/>
        <w:gridCol w:w="1276"/>
        <w:gridCol w:w="3260"/>
      </w:tblGrid>
      <w:tr w:rsidR="007B170C" w:rsidRPr="005D6D89" w14:paraId="4BD53254" w14:textId="77777777" w:rsidTr="00095C79">
        <w:tc>
          <w:tcPr>
            <w:tcW w:w="8613" w:type="dxa"/>
            <w:gridSpan w:val="4"/>
            <w:shd w:val="clear" w:color="auto" w:fill="32809C"/>
            <w:hideMark/>
          </w:tcPr>
          <w:p w14:paraId="1553D313" w14:textId="77777777" w:rsidR="00EE716D" w:rsidRPr="005D6D89" w:rsidRDefault="00EE716D" w:rsidP="00E87CCF">
            <w:pPr>
              <w:pStyle w:val="TableTextBold0"/>
              <w:spacing w:before="50" w:after="50"/>
              <w:rPr>
                <w:color w:val="FFFFFF" w:themeColor="background1"/>
              </w:rPr>
            </w:pPr>
            <w:r w:rsidRPr="005D6D89">
              <w:rPr>
                <w:color w:val="FFFFFF" w:themeColor="background1"/>
              </w:rPr>
              <w:t>EO1: Opportunity urgency profile</w:t>
            </w:r>
            <w:r w:rsidR="00027F9F" w:rsidRPr="005D6D89">
              <w:rPr>
                <w:color w:val="FFFFFF" w:themeColor="background1"/>
              </w:rPr>
              <w:t xml:space="preserve"> </w:t>
            </w:r>
          </w:p>
        </w:tc>
      </w:tr>
      <w:tr w:rsidR="00EE716D" w:rsidRPr="005D6D89" w14:paraId="28E380E0" w14:textId="77777777" w:rsidTr="00095C79">
        <w:tc>
          <w:tcPr>
            <w:tcW w:w="2093" w:type="dxa"/>
            <w:shd w:val="clear" w:color="auto" w:fill="FFFFFF" w:themeFill="background1"/>
          </w:tcPr>
          <w:p w14:paraId="4CF8A3B8" w14:textId="77777777" w:rsidR="00EE716D" w:rsidRPr="0043161B" w:rsidRDefault="00EE716D" w:rsidP="00E87CCF">
            <w:pPr>
              <w:pStyle w:val="TableTextBold0"/>
              <w:spacing w:before="50" w:after="50"/>
            </w:pPr>
            <w:r w:rsidRPr="0043161B">
              <w:t>Urgency category</w:t>
            </w:r>
          </w:p>
        </w:tc>
        <w:tc>
          <w:tcPr>
            <w:tcW w:w="1984" w:type="dxa"/>
          </w:tcPr>
          <w:p w14:paraId="79ADB690" w14:textId="77777777" w:rsidR="00EE716D" w:rsidRPr="005D6D89" w:rsidRDefault="00845880" w:rsidP="00E87CCF">
            <w:pPr>
              <w:pStyle w:val="TableTextBold0"/>
              <w:spacing w:before="50" w:after="50"/>
            </w:pPr>
            <w:r>
              <w:t>Proportion of urgency out of 100</w:t>
            </w:r>
          </w:p>
        </w:tc>
        <w:tc>
          <w:tcPr>
            <w:tcW w:w="4536" w:type="dxa"/>
            <w:gridSpan w:val="2"/>
          </w:tcPr>
          <w:p w14:paraId="1841A1A9" w14:textId="77777777" w:rsidR="00EE716D" w:rsidRPr="005D6D89" w:rsidRDefault="00EE716D" w:rsidP="00E87CCF">
            <w:pPr>
              <w:pStyle w:val="TableTextBold0"/>
              <w:spacing w:before="50" w:after="50"/>
            </w:pPr>
            <w:r w:rsidRPr="005D6D89">
              <w:t>Description of actions</w:t>
            </w:r>
          </w:p>
        </w:tc>
      </w:tr>
      <w:tr w:rsidR="00EE716D" w:rsidRPr="005D6D89" w14:paraId="566009FF" w14:textId="77777777" w:rsidTr="00095C79">
        <w:tc>
          <w:tcPr>
            <w:tcW w:w="2093" w:type="dxa"/>
            <w:shd w:val="clear" w:color="auto" w:fill="FFFFFF" w:themeFill="background1"/>
            <w:hideMark/>
          </w:tcPr>
          <w:p w14:paraId="3AD3D8DB" w14:textId="77777777" w:rsidR="00EE716D" w:rsidRPr="009079BF" w:rsidRDefault="00EE716D" w:rsidP="00E87CCF">
            <w:pPr>
              <w:pStyle w:val="TableTextBold0"/>
              <w:spacing w:before="50" w:after="50"/>
              <w:rPr>
                <w:b w:val="0"/>
              </w:rPr>
            </w:pPr>
            <w:r w:rsidRPr="009079BF">
              <w:rPr>
                <w:b w:val="0"/>
              </w:rPr>
              <w:t>More action needed</w:t>
            </w:r>
          </w:p>
        </w:tc>
        <w:tc>
          <w:tcPr>
            <w:tcW w:w="1984" w:type="dxa"/>
            <w:hideMark/>
          </w:tcPr>
          <w:p w14:paraId="6C332E56" w14:textId="77777777" w:rsidR="00EE716D" w:rsidRPr="005D6D89" w:rsidRDefault="00EE716D" w:rsidP="00E87CCF">
            <w:pPr>
              <w:pStyle w:val="TableText"/>
              <w:spacing w:before="50" w:after="50"/>
              <w:rPr>
                <w:i/>
              </w:rPr>
            </w:pPr>
            <w:r w:rsidRPr="005D6D89">
              <w:t>60</w:t>
            </w:r>
          </w:p>
        </w:tc>
        <w:tc>
          <w:tcPr>
            <w:tcW w:w="4536" w:type="dxa"/>
            <w:gridSpan w:val="2"/>
            <w:hideMark/>
          </w:tcPr>
          <w:p w14:paraId="02857ED9" w14:textId="77777777" w:rsidR="00EE716D" w:rsidRPr="005D6D89" w:rsidRDefault="00EE716D" w:rsidP="00E87CCF">
            <w:pPr>
              <w:pStyle w:val="TableText"/>
              <w:spacing w:before="50" w:after="50"/>
            </w:pPr>
            <w:r w:rsidRPr="005D6D89">
              <w:t xml:space="preserve">A regulatory framework and guidance will be required to ensure that autonomous adaptations are not maladaptive. </w:t>
            </w:r>
          </w:p>
        </w:tc>
      </w:tr>
      <w:tr w:rsidR="00EE716D" w:rsidRPr="005D6D89" w14:paraId="65D8F031" w14:textId="77777777" w:rsidTr="00095C79">
        <w:tc>
          <w:tcPr>
            <w:tcW w:w="2093" w:type="dxa"/>
            <w:shd w:val="clear" w:color="auto" w:fill="FFFFFF" w:themeFill="background1"/>
            <w:hideMark/>
          </w:tcPr>
          <w:p w14:paraId="3D6C5A33" w14:textId="77777777" w:rsidR="00EE716D" w:rsidRPr="009079BF" w:rsidRDefault="00EE716D" w:rsidP="00E87CCF">
            <w:pPr>
              <w:pStyle w:val="TableTextBold0"/>
              <w:spacing w:before="50" w:after="50"/>
              <w:rPr>
                <w:b w:val="0"/>
              </w:rPr>
            </w:pPr>
            <w:r w:rsidRPr="009079BF">
              <w:rPr>
                <w:b w:val="0"/>
              </w:rPr>
              <w:t>Research priority</w:t>
            </w:r>
          </w:p>
        </w:tc>
        <w:tc>
          <w:tcPr>
            <w:tcW w:w="1984" w:type="dxa"/>
            <w:hideMark/>
          </w:tcPr>
          <w:p w14:paraId="00CD29DA" w14:textId="77777777" w:rsidR="00EE716D" w:rsidRPr="005D6D89" w:rsidRDefault="00EE716D" w:rsidP="00E87CCF">
            <w:pPr>
              <w:pStyle w:val="TableText"/>
              <w:spacing w:before="50" w:after="50"/>
            </w:pPr>
            <w:r w:rsidRPr="005D6D89">
              <w:t>20</w:t>
            </w:r>
          </w:p>
        </w:tc>
        <w:tc>
          <w:tcPr>
            <w:tcW w:w="4536" w:type="dxa"/>
            <w:gridSpan w:val="2"/>
            <w:hideMark/>
          </w:tcPr>
          <w:p w14:paraId="59CB4312" w14:textId="77777777" w:rsidR="00EE716D" w:rsidRPr="005D6D89" w:rsidRDefault="00EE716D" w:rsidP="00E87CCF">
            <w:pPr>
              <w:pStyle w:val="TableText"/>
              <w:spacing w:before="50" w:after="50"/>
            </w:pPr>
            <w:r w:rsidRPr="005D6D89">
              <w:t xml:space="preserve">Support research on how to underpin private sector autonomous adaptation. </w:t>
            </w:r>
          </w:p>
        </w:tc>
      </w:tr>
      <w:tr w:rsidR="00EE716D" w:rsidRPr="005D6D89" w14:paraId="248DC303" w14:textId="77777777" w:rsidTr="00095C79">
        <w:tc>
          <w:tcPr>
            <w:tcW w:w="2093" w:type="dxa"/>
            <w:shd w:val="clear" w:color="auto" w:fill="FFFFFF" w:themeFill="background1"/>
            <w:hideMark/>
          </w:tcPr>
          <w:p w14:paraId="4E836742" w14:textId="77777777" w:rsidR="00EE716D" w:rsidRPr="009079BF" w:rsidRDefault="00EE716D" w:rsidP="00E87CCF">
            <w:pPr>
              <w:pStyle w:val="TableTextBold0"/>
              <w:spacing w:before="50" w:after="50"/>
              <w:rPr>
                <w:b w:val="0"/>
              </w:rPr>
            </w:pPr>
            <w:r w:rsidRPr="009079BF">
              <w:rPr>
                <w:b w:val="0"/>
              </w:rPr>
              <w:t>Sustain current action</w:t>
            </w:r>
          </w:p>
        </w:tc>
        <w:tc>
          <w:tcPr>
            <w:tcW w:w="1984" w:type="dxa"/>
            <w:hideMark/>
          </w:tcPr>
          <w:p w14:paraId="221D388D" w14:textId="77777777" w:rsidR="00EE716D" w:rsidRPr="005D6D89" w:rsidRDefault="00EE716D" w:rsidP="00E87CCF">
            <w:pPr>
              <w:pStyle w:val="TableText"/>
              <w:spacing w:before="50" w:after="50"/>
            </w:pPr>
            <w:r w:rsidRPr="005D6D89">
              <w:t>0</w:t>
            </w:r>
          </w:p>
        </w:tc>
        <w:tc>
          <w:tcPr>
            <w:tcW w:w="4536" w:type="dxa"/>
            <w:gridSpan w:val="2"/>
            <w:hideMark/>
          </w:tcPr>
          <w:p w14:paraId="560F5070" w14:textId="77777777" w:rsidR="00EE716D" w:rsidRPr="005D6D89" w:rsidRDefault="00EE716D" w:rsidP="00E87CCF">
            <w:pPr>
              <w:pStyle w:val="TableText"/>
              <w:spacing w:before="50" w:after="50"/>
            </w:pPr>
            <w:r w:rsidRPr="005D6D89">
              <w:t xml:space="preserve"> </w:t>
            </w:r>
          </w:p>
        </w:tc>
      </w:tr>
      <w:tr w:rsidR="00EE716D" w:rsidRPr="005D6D89" w14:paraId="697354F6" w14:textId="77777777" w:rsidTr="00095C79">
        <w:tc>
          <w:tcPr>
            <w:tcW w:w="2093" w:type="dxa"/>
            <w:tcBorders>
              <w:bottom w:val="single" w:sz="8" w:space="0" w:color="32809C"/>
            </w:tcBorders>
            <w:shd w:val="clear" w:color="auto" w:fill="FFFFFF" w:themeFill="background1"/>
            <w:hideMark/>
          </w:tcPr>
          <w:p w14:paraId="6D7F1A43" w14:textId="77777777" w:rsidR="00EE716D" w:rsidRPr="009079BF" w:rsidRDefault="00EE716D" w:rsidP="00E87CCF">
            <w:pPr>
              <w:pStyle w:val="TableTextBold0"/>
              <w:spacing w:before="50" w:after="50"/>
              <w:rPr>
                <w:b w:val="0"/>
              </w:rPr>
            </w:pPr>
            <w:r w:rsidRPr="009079BF">
              <w:rPr>
                <w:b w:val="0"/>
              </w:rPr>
              <w:t xml:space="preserve">Watching brief </w:t>
            </w:r>
          </w:p>
        </w:tc>
        <w:tc>
          <w:tcPr>
            <w:tcW w:w="1984" w:type="dxa"/>
            <w:tcBorders>
              <w:bottom w:val="single" w:sz="8" w:space="0" w:color="32809C"/>
            </w:tcBorders>
            <w:hideMark/>
          </w:tcPr>
          <w:p w14:paraId="401F63D1" w14:textId="77777777" w:rsidR="00EE716D" w:rsidRPr="005D6D89" w:rsidRDefault="00EE716D" w:rsidP="00E87CCF">
            <w:pPr>
              <w:pStyle w:val="TableText"/>
              <w:spacing w:before="50" w:after="50"/>
            </w:pPr>
            <w:r w:rsidRPr="005D6D89">
              <w:t>20</w:t>
            </w:r>
          </w:p>
        </w:tc>
        <w:tc>
          <w:tcPr>
            <w:tcW w:w="4536" w:type="dxa"/>
            <w:gridSpan w:val="2"/>
            <w:tcBorders>
              <w:bottom w:val="single" w:sz="8" w:space="0" w:color="32809C"/>
            </w:tcBorders>
            <w:hideMark/>
          </w:tcPr>
          <w:p w14:paraId="0F451CEC" w14:textId="77777777" w:rsidR="00EE716D" w:rsidRPr="005D6D89" w:rsidRDefault="00EE716D" w:rsidP="00E87CCF">
            <w:pPr>
              <w:pStyle w:val="TableText"/>
              <w:spacing w:before="50" w:after="50"/>
            </w:pPr>
            <w:r w:rsidRPr="005D6D89">
              <w:t xml:space="preserve">Watch and monitor. </w:t>
            </w:r>
          </w:p>
        </w:tc>
      </w:tr>
      <w:tr w:rsidR="007B170C" w:rsidRPr="005D6D89" w14:paraId="15570149" w14:textId="77777777" w:rsidTr="00095C79">
        <w:tc>
          <w:tcPr>
            <w:tcW w:w="2093" w:type="dxa"/>
            <w:tcBorders>
              <w:top w:val="single" w:sz="8" w:space="0" w:color="32809C"/>
            </w:tcBorders>
            <w:shd w:val="clear" w:color="auto" w:fill="32809C"/>
            <w:hideMark/>
          </w:tcPr>
          <w:p w14:paraId="088F494C" w14:textId="77777777" w:rsidR="00EE716D" w:rsidRPr="005D6D89" w:rsidRDefault="00EE716D" w:rsidP="00E87CCF">
            <w:pPr>
              <w:pStyle w:val="TableTextBold0"/>
              <w:spacing w:before="50" w:after="50"/>
              <w:rPr>
                <w:color w:val="FFFFFF" w:themeColor="background1"/>
              </w:rPr>
            </w:pPr>
            <w:r w:rsidRPr="005D6D89">
              <w:rPr>
                <w:color w:val="FFFFFF" w:themeColor="background1"/>
              </w:rPr>
              <w:t xml:space="preserve">Adaptation urgency </w:t>
            </w:r>
          </w:p>
        </w:tc>
        <w:tc>
          <w:tcPr>
            <w:tcW w:w="1984" w:type="dxa"/>
            <w:tcBorders>
              <w:top w:val="single" w:sz="8" w:space="0" w:color="32809C"/>
            </w:tcBorders>
            <w:hideMark/>
          </w:tcPr>
          <w:p w14:paraId="7BFB999C" w14:textId="77777777" w:rsidR="00EE716D" w:rsidRPr="005D6D89" w:rsidRDefault="00EE716D" w:rsidP="00E87CCF">
            <w:pPr>
              <w:pStyle w:val="TableText"/>
              <w:spacing w:before="50" w:after="50"/>
              <w:rPr>
                <w:rFonts w:cstheme="minorHAnsi"/>
              </w:rPr>
            </w:pPr>
            <w:r w:rsidRPr="005D6D89">
              <w:rPr>
                <w:rFonts w:cstheme="minorHAnsi"/>
              </w:rPr>
              <w:t>80</w:t>
            </w:r>
          </w:p>
        </w:tc>
        <w:tc>
          <w:tcPr>
            <w:tcW w:w="1276" w:type="dxa"/>
            <w:tcBorders>
              <w:top w:val="single" w:sz="8" w:space="0" w:color="32809C"/>
            </w:tcBorders>
            <w:shd w:val="clear" w:color="auto" w:fill="32809C"/>
            <w:hideMark/>
          </w:tcPr>
          <w:p w14:paraId="7E40EDEE" w14:textId="77777777" w:rsidR="00EE716D" w:rsidRPr="005D6D89" w:rsidRDefault="00EE716D" w:rsidP="00E87CCF">
            <w:pPr>
              <w:pStyle w:val="TableTextBold0"/>
              <w:spacing w:before="50" w:after="50"/>
              <w:rPr>
                <w:color w:val="FFFFFF" w:themeColor="background1"/>
              </w:rPr>
            </w:pPr>
            <w:r w:rsidRPr="005D6D89">
              <w:rPr>
                <w:color w:val="FFFFFF" w:themeColor="background1"/>
              </w:rPr>
              <w:t>Confidence</w:t>
            </w:r>
            <w:r w:rsidR="00027F9F" w:rsidRPr="005D6D89">
              <w:rPr>
                <w:color w:val="FFFFFF" w:themeColor="background1"/>
              </w:rPr>
              <w:t xml:space="preserve"> </w:t>
            </w:r>
          </w:p>
        </w:tc>
        <w:tc>
          <w:tcPr>
            <w:tcW w:w="3260" w:type="dxa"/>
            <w:tcBorders>
              <w:top w:val="single" w:sz="8" w:space="0" w:color="32809C"/>
            </w:tcBorders>
            <w:hideMark/>
          </w:tcPr>
          <w:p w14:paraId="1BF4B1D5" w14:textId="77777777" w:rsidR="00EE716D" w:rsidRPr="005D6D89" w:rsidRDefault="00EE716D" w:rsidP="00E87CCF">
            <w:pPr>
              <w:pStyle w:val="TableText"/>
              <w:spacing w:before="50" w:after="50"/>
              <w:rPr>
                <w:rFonts w:cstheme="minorHAnsi"/>
              </w:rPr>
            </w:pPr>
            <w:r w:rsidRPr="005D6D89">
              <w:rPr>
                <w:rFonts w:cstheme="minorHAnsi"/>
              </w:rPr>
              <w:t xml:space="preserve">Medium agreement, medium evidence </w:t>
            </w:r>
          </w:p>
        </w:tc>
      </w:tr>
    </w:tbl>
    <w:p w14:paraId="45D91D3E" w14:textId="77777777" w:rsidR="00EE716D" w:rsidRPr="005D6D89" w:rsidRDefault="0080544C" w:rsidP="00812D16">
      <w:pPr>
        <w:pStyle w:val="Heading3"/>
        <w:numPr>
          <w:ilvl w:val="0"/>
          <w:numId w:val="34"/>
        </w:numPr>
        <w:tabs>
          <w:tab w:val="num" w:pos="992"/>
        </w:tabs>
        <w:spacing w:before="400"/>
      </w:pPr>
      <w:bookmarkStart w:id="474" w:name="_Toc37784900"/>
      <w:bookmarkStart w:id="475" w:name="_Toc40699371"/>
      <w:r>
        <w:t>EO2</w:t>
      </w:r>
      <w:r w:rsidR="00EE716D" w:rsidRPr="005D6D89">
        <w:t xml:space="preserve"> Businesses providing adaptation-related goods and services</w:t>
      </w:r>
      <w:bookmarkEnd w:id="470"/>
      <w:bookmarkEnd w:id="471"/>
      <w:bookmarkEnd w:id="472"/>
      <w:bookmarkEnd w:id="474"/>
      <w:bookmarkEnd w:id="475"/>
      <w:r w:rsidR="00EE716D" w:rsidRPr="005D6D89">
        <w:t xml:space="preserve"> </w:t>
      </w:r>
    </w:p>
    <w:p w14:paraId="3543B78E" w14:textId="77777777" w:rsidR="00EE716D" w:rsidRDefault="00EE716D" w:rsidP="00E87CCF">
      <w:pPr>
        <w:pStyle w:val="BodyText"/>
        <w:spacing w:before="100" w:after="100"/>
      </w:pPr>
      <w:r w:rsidRPr="005D6D89">
        <w:t xml:space="preserve">Climate change is widely recognised as a significant risk to economic activity and businesses. As discussed in Risk E1, climate change could reduce global GDP by trillions of dollars and average global incomes by a quarter </w:t>
      </w:r>
      <w:r w:rsidRPr="005D6D89">
        <w:fldChar w:fldCharType="begin" w:fldLock="1"/>
      </w:r>
      <w:r w:rsidRPr="005D6D89">
        <w:instrText>ADDIN CSL_CITATION {"citationItems":[{"id":"ITEM-1","itemData":{"ISBN":"6128225489","author":[{"dropping-particle":"","family":"Channell","given":"Jason","non-dropping-particle":"","parse-names":false,"suffix":""},{"dropping-particle":"","family":"Channell","given":"Jason","non-dropping-particle":"","parse-names":false,"suffix":""},{"dropping-particle":"","family":"Prior","given":"Elaine","non-dropping-particle":"","parse-names":false,"suffix":""},{"dropping-particle":"","family":"Kruger","given":"Tim","non-dropping-particle":"","parse-names":false,"suffix":""},{"dropping-particle":"","family":"Fellow","given":"James Martin","non-dropping-particle":"","parse-names":false,"suffix":""},{"dropping-particle":"","family":"Geoengineering","given":"Oxford","non-dropping-particle":"","parse-names":false,"suffix":""}],"id":"ITEM-1","issue":"August","issued":{"date-parts":[["2015"]]},"title":"Why a Low Carbon Future Doesn’t Have to Cost the Earth","type":"report"},"uris":["http://www.mendeley.com/documents/?uuid=7e3b7fd9-f12f-4106-9a98-6e4870b17c19"]}],"mendeley":{"formattedCitation":"(Channell et al., 2015)","plainTextFormattedCitation":"(Channell et al., 2015)","previouslyFormattedCitation":"(Channell et al., 2015)"},"properties":{"noteIndex":0},"schema":"https://github.com/citation-style-language/schema/raw/master/csl-citation.json"}</w:instrText>
      </w:r>
      <w:r w:rsidRPr="005D6D89">
        <w:fldChar w:fldCharType="separate"/>
      </w:r>
      <w:r w:rsidRPr="005D6D89">
        <w:t>(Channell et al, 2015)</w:t>
      </w:r>
      <w:r w:rsidRPr="005D6D89">
        <w:fldChar w:fldCharType="end"/>
      </w:r>
      <w:r w:rsidRPr="005D6D89">
        <w:t xml:space="preserve">. However, as with any disruptive force, some businesses will benefit from new markets and opportunities. This includes opportunities to provide adaptation-related goods and services, known as </w:t>
      </w:r>
      <w:r w:rsidRPr="00E80827">
        <w:t>autonomous adaptations</w:t>
      </w:r>
      <w:r w:rsidR="00BA4B0B">
        <w:t xml:space="preserve">, </w:t>
      </w:r>
      <w:r w:rsidRPr="005D6D89">
        <w:t>for example</w:t>
      </w:r>
      <w:r w:rsidR="00BA4B0B">
        <w:t>,</w:t>
      </w:r>
      <w:r w:rsidRPr="005D6D89">
        <w:t xml:space="preserve"> insurance, adaptation finance, farming technologies, and consulting and engineering. The finance sector may also be able to develop new products and expand existing ones</w:t>
      </w:r>
      <w:r w:rsidR="00BA4B0B">
        <w:t>,</w:t>
      </w:r>
      <w:r w:rsidRPr="005D6D89">
        <w:t xml:space="preserve"> such as green bonds</w:t>
      </w:r>
      <w:r w:rsidR="00BA4B0B">
        <w:t>,</w:t>
      </w:r>
      <w:r w:rsidRPr="005D6D89">
        <w:t xml:space="preserve"> into the adaptation space. </w:t>
      </w:r>
    </w:p>
    <w:p w14:paraId="01E588DF" w14:textId="77777777" w:rsidR="00E87CCF" w:rsidRPr="005D6D89" w:rsidRDefault="00E87CCF" w:rsidP="00E87CCF">
      <w:pPr>
        <w:pStyle w:val="Tableheading"/>
      </w:pPr>
      <w:bookmarkStart w:id="476" w:name="_Toc43312822"/>
      <w:r>
        <w:t>Table 2</w:t>
      </w:r>
      <w:r w:rsidR="002A3EDB">
        <w:t>8</w:t>
      </w:r>
      <w:r>
        <w:t>:</w:t>
      </w:r>
      <w:r>
        <w:tab/>
      </w:r>
      <w:r w:rsidRPr="005D6D89">
        <w:t>EO</w:t>
      </w:r>
      <w:r w:rsidR="002A3EDB">
        <w:t>2</w:t>
      </w:r>
      <w:r w:rsidRPr="005D6D89">
        <w:t>: Opportunity urgency profile</w:t>
      </w:r>
      <w:bookmarkEnd w:id="476"/>
    </w:p>
    <w:tbl>
      <w:tblPr>
        <w:tblStyle w:val="TableGrid"/>
        <w:tblW w:w="8613" w:type="dxa"/>
        <w:tblBorders>
          <w:top w:val="single" w:sz="4" w:space="0" w:color="32809C"/>
          <w:left w:val="none" w:sz="0" w:space="0" w:color="auto"/>
          <w:bottom w:val="single" w:sz="4" w:space="0" w:color="32809C"/>
          <w:right w:val="none" w:sz="0" w:space="0" w:color="auto"/>
          <w:insideH w:val="single" w:sz="4" w:space="0" w:color="32809C"/>
          <w:insideV w:val="single" w:sz="4" w:space="0" w:color="32809C"/>
        </w:tblBorders>
        <w:tblLayout w:type="fixed"/>
        <w:tblLook w:val="04A0" w:firstRow="1" w:lastRow="0" w:firstColumn="1" w:lastColumn="0" w:noHBand="0" w:noVBand="1"/>
      </w:tblPr>
      <w:tblGrid>
        <w:gridCol w:w="108"/>
        <w:gridCol w:w="1985"/>
        <w:gridCol w:w="1984"/>
        <w:gridCol w:w="1134"/>
        <w:gridCol w:w="3402"/>
      </w:tblGrid>
      <w:tr w:rsidR="00C861B1" w:rsidRPr="005D6D89" w14:paraId="4021E1FF" w14:textId="77777777" w:rsidTr="00095C79">
        <w:trPr>
          <w:tblHeader/>
        </w:trPr>
        <w:tc>
          <w:tcPr>
            <w:tcW w:w="8613" w:type="dxa"/>
            <w:gridSpan w:val="5"/>
            <w:shd w:val="clear" w:color="auto" w:fill="32809C"/>
            <w:hideMark/>
          </w:tcPr>
          <w:p w14:paraId="5DC09506" w14:textId="77777777" w:rsidR="00EE716D" w:rsidRPr="005D6D89" w:rsidRDefault="00EE716D" w:rsidP="00E87CCF">
            <w:pPr>
              <w:pStyle w:val="TableTextBold0"/>
              <w:spacing w:before="50" w:after="50"/>
              <w:rPr>
                <w:color w:val="FFFFFF" w:themeColor="background1"/>
              </w:rPr>
            </w:pPr>
            <w:r w:rsidRPr="005D6D89">
              <w:rPr>
                <w:color w:val="FFFFFF" w:themeColor="background1"/>
              </w:rPr>
              <w:t xml:space="preserve">EO2: Opportunity urgency profile </w:t>
            </w:r>
          </w:p>
        </w:tc>
      </w:tr>
      <w:tr w:rsidR="00EE716D" w:rsidRPr="005D6D89" w14:paraId="035804B3" w14:textId="77777777" w:rsidTr="00095C79">
        <w:trPr>
          <w:gridBefore w:val="1"/>
          <w:wBefore w:w="108" w:type="dxa"/>
        </w:trPr>
        <w:tc>
          <w:tcPr>
            <w:tcW w:w="1985" w:type="dxa"/>
            <w:shd w:val="clear" w:color="auto" w:fill="FFFFFF" w:themeFill="background1"/>
          </w:tcPr>
          <w:p w14:paraId="6EE7C3CF" w14:textId="77777777" w:rsidR="00EE716D" w:rsidRPr="0043161B" w:rsidRDefault="00EE716D" w:rsidP="00E87CCF">
            <w:pPr>
              <w:pStyle w:val="TableTextBold0"/>
              <w:spacing w:before="50" w:after="50"/>
            </w:pPr>
            <w:r w:rsidRPr="0043161B">
              <w:t>Urgency category</w:t>
            </w:r>
          </w:p>
        </w:tc>
        <w:tc>
          <w:tcPr>
            <w:tcW w:w="1984" w:type="dxa"/>
          </w:tcPr>
          <w:p w14:paraId="4C4FC3AD" w14:textId="77777777" w:rsidR="00EE716D" w:rsidRPr="005D6D89" w:rsidRDefault="00845880" w:rsidP="00E87CCF">
            <w:pPr>
              <w:pStyle w:val="TableText"/>
              <w:spacing w:before="50" w:after="50"/>
              <w:rPr>
                <w:b/>
                <w:bCs/>
              </w:rPr>
            </w:pPr>
            <w:r>
              <w:rPr>
                <w:b/>
                <w:bCs/>
              </w:rPr>
              <w:t>Proportion of urgency out of 100</w:t>
            </w:r>
          </w:p>
        </w:tc>
        <w:tc>
          <w:tcPr>
            <w:tcW w:w="4536" w:type="dxa"/>
            <w:gridSpan w:val="2"/>
          </w:tcPr>
          <w:p w14:paraId="2B1297D8" w14:textId="77777777" w:rsidR="00EE716D" w:rsidRPr="005D6D89" w:rsidRDefault="00EE716D" w:rsidP="00E87CCF">
            <w:pPr>
              <w:pStyle w:val="TableText"/>
              <w:spacing w:before="50" w:after="50"/>
              <w:rPr>
                <w:b/>
                <w:bCs/>
              </w:rPr>
            </w:pPr>
            <w:r w:rsidRPr="005D6D89">
              <w:rPr>
                <w:b/>
                <w:bCs/>
              </w:rPr>
              <w:t>Description of actions</w:t>
            </w:r>
          </w:p>
        </w:tc>
      </w:tr>
      <w:tr w:rsidR="00EE716D" w:rsidRPr="005D6D89" w14:paraId="37DCCE51" w14:textId="77777777" w:rsidTr="00095C79">
        <w:trPr>
          <w:gridBefore w:val="1"/>
          <w:wBefore w:w="108" w:type="dxa"/>
        </w:trPr>
        <w:tc>
          <w:tcPr>
            <w:tcW w:w="1985" w:type="dxa"/>
            <w:shd w:val="clear" w:color="auto" w:fill="FFFFFF" w:themeFill="background1"/>
            <w:hideMark/>
          </w:tcPr>
          <w:p w14:paraId="62B90896" w14:textId="77777777" w:rsidR="00EE716D" w:rsidRPr="009079BF" w:rsidRDefault="00EE716D" w:rsidP="00E87CCF">
            <w:pPr>
              <w:pStyle w:val="TableTextBold0"/>
              <w:spacing w:before="50" w:after="50"/>
              <w:rPr>
                <w:b w:val="0"/>
              </w:rPr>
            </w:pPr>
            <w:r w:rsidRPr="009079BF">
              <w:rPr>
                <w:b w:val="0"/>
              </w:rPr>
              <w:t>More action needed</w:t>
            </w:r>
          </w:p>
        </w:tc>
        <w:tc>
          <w:tcPr>
            <w:tcW w:w="1984" w:type="dxa"/>
            <w:hideMark/>
          </w:tcPr>
          <w:p w14:paraId="6F8B6038" w14:textId="77777777" w:rsidR="00EE716D" w:rsidRPr="005D6D89" w:rsidRDefault="00EE716D" w:rsidP="00E87CCF">
            <w:pPr>
              <w:pStyle w:val="TableText"/>
              <w:spacing w:before="50" w:after="50"/>
              <w:jc w:val="center"/>
            </w:pPr>
            <w:r w:rsidRPr="005D6D89">
              <w:t>60</w:t>
            </w:r>
          </w:p>
        </w:tc>
        <w:tc>
          <w:tcPr>
            <w:tcW w:w="4536" w:type="dxa"/>
            <w:gridSpan w:val="2"/>
            <w:hideMark/>
          </w:tcPr>
          <w:p w14:paraId="50F73C9A" w14:textId="77777777" w:rsidR="00EE716D" w:rsidRPr="005D6D89" w:rsidRDefault="00EE716D" w:rsidP="00E87CCF">
            <w:pPr>
              <w:pStyle w:val="TableText"/>
              <w:spacing w:before="50" w:after="50"/>
            </w:pPr>
            <w:r w:rsidRPr="005D6D89">
              <w:t xml:space="preserve">A regulatory framework and guidance will be required to ensure that autonomous adaptations are not maladaptive. </w:t>
            </w:r>
          </w:p>
        </w:tc>
      </w:tr>
      <w:tr w:rsidR="00EE716D" w:rsidRPr="005D6D89" w14:paraId="180E5DE7" w14:textId="77777777" w:rsidTr="00095C79">
        <w:trPr>
          <w:gridBefore w:val="1"/>
          <w:wBefore w:w="108" w:type="dxa"/>
        </w:trPr>
        <w:tc>
          <w:tcPr>
            <w:tcW w:w="1985" w:type="dxa"/>
            <w:shd w:val="clear" w:color="auto" w:fill="FFFFFF" w:themeFill="background1"/>
            <w:hideMark/>
          </w:tcPr>
          <w:p w14:paraId="2CE3C242" w14:textId="77777777" w:rsidR="00EE716D" w:rsidRPr="009079BF" w:rsidRDefault="00EE716D" w:rsidP="00E87CCF">
            <w:pPr>
              <w:pStyle w:val="TableTextBold0"/>
              <w:spacing w:before="50" w:after="50"/>
              <w:rPr>
                <w:b w:val="0"/>
              </w:rPr>
            </w:pPr>
            <w:r w:rsidRPr="009079BF">
              <w:rPr>
                <w:b w:val="0"/>
              </w:rPr>
              <w:t>Research priority</w:t>
            </w:r>
          </w:p>
        </w:tc>
        <w:tc>
          <w:tcPr>
            <w:tcW w:w="1984" w:type="dxa"/>
            <w:hideMark/>
          </w:tcPr>
          <w:p w14:paraId="38A026BC" w14:textId="77777777" w:rsidR="00EE716D" w:rsidRPr="005D6D89" w:rsidRDefault="00EE716D" w:rsidP="00E87CCF">
            <w:pPr>
              <w:pStyle w:val="TableText"/>
              <w:spacing w:before="50" w:after="50"/>
              <w:jc w:val="center"/>
            </w:pPr>
            <w:r w:rsidRPr="005D6D89">
              <w:t>20</w:t>
            </w:r>
          </w:p>
        </w:tc>
        <w:tc>
          <w:tcPr>
            <w:tcW w:w="4536" w:type="dxa"/>
            <w:gridSpan w:val="2"/>
            <w:hideMark/>
          </w:tcPr>
          <w:p w14:paraId="72FABC15" w14:textId="77777777" w:rsidR="00EE716D" w:rsidRPr="005D6D89" w:rsidRDefault="00EE716D" w:rsidP="00E87CCF">
            <w:pPr>
              <w:pStyle w:val="TableText"/>
              <w:spacing w:before="50" w:after="50"/>
            </w:pPr>
            <w:r w:rsidRPr="005D6D89">
              <w:t xml:space="preserve">Support research that explores how autonomous adaptation can deliver co-benefits for emissions reduction. </w:t>
            </w:r>
          </w:p>
        </w:tc>
      </w:tr>
      <w:tr w:rsidR="00EE716D" w:rsidRPr="005D6D89" w14:paraId="513878A4" w14:textId="77777777" w:rsidTr="00095C79">
        <w:trPr>
          <w:gridBefore w:val="1"/>
          <w:wBefore w:w="108" w:type="dxa"/>
        </w:trPr>
        <w:tc>
          <w:tcPr>
            <w:tcW w:w="1985" w:type="dxa"/>
            <w:shd w:val="clear" w:color="auto" w:fill="FFFFFF" w:themeFill="background1"/>
            <w:hideMark/>
          </w:tcPr>
          <w:p w14:paraId="7A352C86" w14:textId="77777777" w:rsidR="00EE716D" w:rsidRPr="009079BF" w:rsidRDefault="00EE716D" w:rsidP="00E87CCF">
            <w:pPr>
              <w:pStyle w:val="TableTextBold0"/>
              <w:spacing w:before="50" w:after="50"/>
              <w:rPr>
                <w:b w:val="0"/>
              </w:rPr>
            </w:pPr>
            <w:r w:rsidRPr="009079BF">
              <w:rPr>
                <w:b w:val="0"/>
              </w:rPr>
              <w:t>Sustain current action</w:t>
            </w:r>
          </w:p>
        </w:tc>
        <w:tc>
          <w:tcPr>
            <w:tcW w:w="1984" w:type="dxa"/>
            <w:hideMark/>
          </w:tcPr>
          <w:p w14:paraId="64FA0711" w14:textId="77777777" w:rsidR="00EE716D" w:rsidRPr="005D6D89" w:rsidRDefault="00EE716D" w:rsidP="00E87CCF">
            <w:pPr>
              <w:pStyle w:val="TableText"/>
              <w:spacing w:before="50" w:after="50"/>
              <w:jc w:val="center"/>
            </w:pPr>
            <w:r w:rsidRPr="005D6D89">
              <w:t>0</w:t>
            </w:r>
          </w:p>
        </w:tc>
        <w:tc>
          <w:tcPr>
            <w:tcW w:w="4536" w:type="dxa"/>
            <w:gridSpan w:val="2"/>
          </w:tcPr>
          <w:p w14:paraId="66EDF0B7" w14:textId="77777777" w:rsidR="00EE716D" w:rsidRPr="005D6D89" w:rsidRDefault="00EE716D" w:rsidP="00E87CCF">
            <w:pPr>
              <w:pStyle w:val="TableText"/>
              <w:spacing w:before="50" w:after="50"/>
            </w:pPr>
          </w:p>
        </w:tc>
      </w:tr>
      <w:tr w:rsidR="00EE716D" w:rsidRPr="005D6D89" w14:paraId="17C1FA16" w14:textId="77777777" w:rsidTr="00095C79">
        <w:trPr>
          <w:gridBefore w:val="1"/>
          <w:wBefore w:w="108" w:type="dxa"/>
        </w:trPr>
        <w:tc>
          <w:tcPr>
            <w:tcW w:w="1985" w:type="dxa"/>
            <w:tcBorders>
              <w:bottom w:val="single" w:sz="8" w:space="0" w:color="32809C"/>
            </w:tcBorders>
            <w:shd w:val="clear" w:color="auto" w:fill="FFFFFF" w:themeFill="background1"/>
            <w:hideMark/>
          </w:tcPr>
          <w:p w14:paraId="7E791573" w14:textId="77777777" w:rsidR="00EE716D" w:rsidRPr="009079BF" w:rsidRDefault="00EE716D" w:rsidP="00E87CCF">
            <w:pPr>
              <w:pStyle w:val="TableTextBold0"/>
              <w:spacing w:before="50" w:after="50"/>
              <w:rPr>
                <w:b w:val="0"/>
              </w:rPr>
            </w:pPr>
            <w:r w:rsidRPr="009079BF">
              <w:rPr>
                <w:b w:val="0"/>
              </w:rPr>
              <w:t xml:space="preserve">Watching brief </w:t>
            </w:r>
          </w:p>
        </w:tc>
        <w:tc>
          <w:tcPr>
            <w:tcW w:w="1984" w:type="dxa"/>
            <w:tcBorders>
              <w:bottom w:val="single" w:sz="8" w:space="0" w:color="32809C"/>
            </w:tcBorders>
            <w:hideMark/>
          </w:tcPr>
          <w:p w14:paraId="0638CFDF" w14:textId="77777777" w:rsidR="00EE716D" w:rsidRPr="005D6D89" w:rsidRDefault="00EE716D" w:rsidP="00E87CCF">
            <w:pPr>
              <w:pStyle w:val="TableText"/>
              <w:spacing w:before="50" w:after="50"/>
              <w:jc w:val="center"/>
            </w:pPr>
            <w:r w:rsidRPr="005D6D89">
              <w:t>20</w:t>
            </w:r>
          </w:p>
        </w:tc>
        <w:tc>
          <w:tcPr>
            <w:tcW w:w="4536" w:type="dxa"/>
            <w:gridSpan w:val="2"/>
            <w:tcBorders>
              <w:bottom w:val="single" w:sz="8" w:space="0" w:color="32809C"/>
            </w:tcBorders>
            <w:hideMark/>
          </w:tcPr>
          <w:p w14:paraId="4C8B517D" w14:textId="77777777" w:rsidR="00EE716D" w:rsidRPr="005D6D89" w:rsidRDefault="00EE716D" w:rsidP="00E87CCF">
            <w:pPr>
              <w:pStyle w:val="TableText"/>
              <w:spacing w:before="50" w:after="50"/>
            </w:pPr>
            <w:r w:rsidRPr="005D6D89">
              <w:t>Watch and monitor</w:t>
            </w:r>
          </w:p>
        </w:tc>
      </w:tr>
      <w:tr w:rsidR="00DF6D57" w:rsidRPr="005D6D89" w14:paraId="49948D74" w14:textId="77777777" w:rsidTr="00095C79">
        <w:trPr>
          <w:gridBefore w:val="1"/>
          <w:wBefore w:w="108" w:type="dxa"/>
        </w:trPr>
        <w:tc>
          <w:tcPr>
            <w:tcW w:w="1985" w:type="dxa"/>
            <w:tcBorders>
              <w:top w:val="single" w:sz="8" w:space="0" w:color="32809C"/>
            </w:tcBorders>
            <w:shd w:val="clear" w:color="auto" w:fill="32809C"/>
            <w:hideMark/>
          </w:tcPr>
          <w:p w14:paraId="07A3D106" w14:textId="77777777" w:rsidR="00EE716D" w:rsidRPr="005D6D89" w:rsidRDefault="00EE716D" w:rsidP="00E87CCF">
            <w:pPr>
              <w:pStyle w:val="TableTextBold0"/>
              <w:spacing w:before="50" w:after="50"/>
              <w:rPr>
                <w:rFonts w:cstheme="minorHAnsi"/>
                <w:color w:val="FFFFFF" w:themeColor="background1"/>
              </w:rPr>
            </w:pPr>
            <w:r w:rsidRPr="005D6D89">
              <w:rPr>
                <w:rFonts w:cstheme="minorHAnsi"/>
                <w:color w:val="FFFFFF" w:themeColor="background1"/>
              </w:rPr>
              <w:t xml:space="preserve">Adaptation urgency </w:t>
            </w:r>
          </w:p>
        </w:tc>
        <w:tc>
          <w:tcPr>
            <w:tcW w:w="1984" w:type="dxa"/>
            <w:tcBorders>
              <w:top w:val="single" w:sz="8" w:space="0" w:color="32809C"/>
            </w:tcBorders>
            <w:hideMark/>
          </w:tcPr>
          <w:p w14:paraId="32967B0B" w14:textId="77777777" w:rsidR="00EE716D" w:rsidRPr="005D6D89" w:rsidRDefault="00EE716D" w:rsidP="00E87CCF">
            <w:pPr>
              <w:pStyle w:val="TableText"/>
              <w:spacing w:before="50" w:after="50"/>
              <w:jc w:val="center"/>
            </w:pPr>
            <w:r w:rsidRPr="005D6D89">
              <w:t>80</w:t>
            </w:r>
          </w:p>
        </w:tc>
        <w:tc>
          <w:tcPr>
            <w:tcW w:w="1134" w:type="dxa"/>
            <w:tcBorders>
              <w:top w:val="single" w:sz="8" w:space="0" w:color="32809C"/>
            </w:tcBorders>
            <w:shd w:val="clear" w:color="auto" w:fill="32809C"/>
            <w:hideMark/>
          </w:tcPr>
          <w:p w14:paraId="51FB20BF" w14:textId="77777777" w:rsidR="00EE716D" w:rsidRPr="005D6D89" w:rsidRDefault="00EE716D" w:rsidP="00E87CCF">
            <w:pPr>
              <w:pStyle w:val="TableTextBold0"/>
              <w:spacing w:before="50" w:after="50"/>
              <w:rPr>
                <w:color w:val="FFFFFF" w:themeColor="background1"/>
              </w:rPr>
            </w:pPr>
            <w:r w:rsidRPr="005D6D89">
              <w:rPr>
                <w:color w:val="FFFFFF" w:themeColor="background1"/>
              </w:rPr>
              <w:t>Confidence</w:t>
            </w:r>
            <w:r w:rsidR="00027F9F" w:rsidRPr="005D6D89">
              <w:rPr>
                <w:color w:val="FFFFFF" w:themeColor="background1"/>
              </w:rPr>
              <w:t xml:space="preserve"> </w:t>
            </w:r>
          </w:p>
        </w:tc>
        <w:tc>
          <w:tcPr>
            <w:tcW w:w="3402" w:type="dxa"/>
            <w:tcBorders>
              <w:top w:val="single" w:sz="8" w:space="0" w:color="32809C"/>
            </w:tcBorders>
            <w:hideMark/>
          </w:tcPr>
          <w:p w14:paraId="2A2431BB" w14:textId="77777777" w:rsidR="00EE716D" w:rsidRPr="005D6D89" w:rsidRDefault="00EE716D" w:rsidP="00E87CCF">
            <w:pPr>
              <w:pStyle w:val="TableText"/>
              <w:spacing w:before="50" w:after="50"/>
              <w:rPr>
                <w:rFonts w:cstheme="minorHAnsi"/>
              </w:rPr>
            </w:pPr>
            <w:r w:rsidRPr="005D6D89">
              <w:rPr>
                <w:rFonts w:cstheme="minorHAnsi"/>
              </w:rPr>
              <w:t xml:space="preserve">Medium agreement, medium evidence </w:t>
            </w:r>
          </w:p>
        </w:tc>
      </w:tr>
    </w:tbl>
    <w:p w14:paraId="63036FA8" w14:textId="77777777" w:rsidR="00EE716D" w:rsidRPr="005D6D89" w:rsidRDefault="0080544C" w:rsidP="00812D16">
      <w:pPr>
        <w:pStyle w:val="Heading3"/>
        <w:numPr>
          <w:ilvl w:val="0"/>
          <w:numId w:val="34"/>
        </w:numPr>
        <w:tabs>
          <w:tab w:val="num" w:pos="992"/>
        </w:tabs>
        <w:spacing w:before="440"/>
      </w:pPr>
      <w:bookmarkStart w:id="477" w:name="_Toc37177451"/>
      <w:bookmarkStart w:id="478" w:name="_Toc37255794"/>
      <w:bookmarkStart w:id="479" w:name="_Toc37393695"/>
      <w:bookmarkStart w:id="480" w:name="_Toc37784901"/>
      <w:bookmarkStart w:id="481" w:name="_Toc40699372"/>
      <w:r>
        <w:t>HO1</w:t>
      </w:r>
      <w:r w:rsidR="00EE716D" w:rsidRPr="005D6D89">
        <w:t xml:space="preserve"> Lower cold weather-related mortality</w:t>
      </w:r>
      <w:bookmarkEnd w:id="477"/>
      <w:bookmarkEnd w:id="478"/>
      <w:bookmarkEnd w:id="479"/>
      <w:bookmarkEnd w:id="480"/>
      <w:bookmarkEnd w:id="481"/>
      <w:r w:rsidR="00027F9F" w:rsidRPr="005D6D89">
        <w:t xml:space="preserve"> </w:t>
      </w:r>
    </w:p>
    <w:p w14:paraId="15DF7C0A" w14:textId="77777777" w:rsidR="00EE716D" w:rsidRDefault="00EE716D" w:rsidP="002A3EDB">
      <w:pPr>
        <w:pStyle w:val="BodyText"/>
      </w:pPr>
      <w:r w:rsidRPr="005D6D89">
        <w:t>In New Zealand</w:t>
      </w:r>
      <w:r w:rsidR="00BA4B0B">
        <w:t>,</w:t>
      </w:r>
      <w:r w:rsidRPr="005D6D89">
        <w:t xml:space="preserve"> about 1600 more deaths occur in winter than in summer (Davie et al, 2007). New Zealand homes are, on average, colder than the World Health Organization</w:t>
      </w:r>
      <w:r w:rsidR="001200EA">
        <w:t>’</w:t>
      </w:r>
      <w:r w:rsidRPr="005D6D89">
        <w:t>s recommended minimum of 18°C. Data for housing in Wellington in 2015</w:t>
      </w:r>
      <w:r w:rsidR="00BA4B0B">
        <w:t>,</w:t>
      </w:r>
      <w:r w:rsidRPr="005D6D89">
        <w:t xml:space="preserve"> for example, show the mean indoor temperature was around 15°C (Rangiwhetu et al, 2018). Many factors influence mortality rates, including temperature, influenza, household crowding, moisture levels and the thermal performance of buildings (Davie et al, 2007). Rising temperatures may reduce winter mortality rates due to the effect on indoor temperatures, crowding and moisture levels. However, they could affect health in other ways that offset this benefit. There</w:t>
      </w:r>
      <w:r w:rsidR="00DF6D57" w:rsidRPr="005D6D89">
        <w:t> </w:t>
      </w:r>
      <w:r w:rsidRPr="005D6D89">
        <w:t xml:space="preserve">is very little research available to </w:t>
      </w:r>
      <w:r w:rsidRPr="002A3EDB">
        <w:t>confirm</w:t>
      </w:r>
      <w:r w:rsidRPr="005D6D89">
        <w:t xml:space="preserve"> this opportunity. </w:t>
      </w:r>
    </w:p>
    <w:p w14:paraId="39A656B6" w14:textId="77777777" w:rsidR="002A3EDB" w:rsidRPr="002A3EDB" w:rsidRDefault="002A3EDB" w:rsidP="002A3EDB">
      <w:pPr>
        <w:pStyle w:val="Tableheading"/>
      </w:pPr>
      <w:bookmarkStart w:id="482" w:name="_Toc43312823"/>
      <w:r>
        <w:t>Table 29:</w:t>
      </w:r>
      <w:r>
        <w:tab/>
      </w:r>
      <w:r w:rsidRPr="005D6D89">
        <w:rPr>
          <w:color w:val="FFFFFF" w:themeColor="background1"/>
        </w:rPr>
        <w:t>HO1: Opportunity urgency profile</w:t>
      </w:r>
      <w:bookmarkEnd w:id="482"/>
    </w:p>
    <w:tbl>
      <w:tblPr>
        <w:tblStyle w:val="TableGrid"/>
        <w:tblW w:w="8613" w:type="dxa"/>
        <w:tblBorders>
          <w:top w:val="single" w:sz="4" w:space="0" w:color="DA5A28"/>
          <w:left w:val="none" w:sz="0" w:space="0" w:color="auto"/>
          <w:bottom w:val="single" w:sz="4" w:space="0" w:color="DA5A28"/>
          <w:right w:val="none" w:sz="0" w:space="0" w:color="auto"/>
          <w:insideH w:val="single" w:sz="4" w:space="0" w:color="DA5A28"/>
          <w:insideV w:val="single" w:sz="4" w:space="0" w:color="DA5A28"/>
        </w:tblBorders>
        <w:tblLayout w:type="fixed"/>
        <w:tblLook w:val="04A0" w:firstRow="1" w:lastRow="0" w:firstColumn="1" w:lastColumn="0" w:noHBand="0" w:noVBand="1"/>
      </w:tblPr>
      <w:tblGrid>
        <w:gridCol w:w="1951"/>
        <w:gridCol w:w="1911"/>
        <w:gridCol w:w="16"/>
        <w:gridCol w:w="1285"/>
        <w:gridCol w:w="3450"/>
      </w:tblGrid>
      <w:tr w:rsidR="00B51F01" w:rsidRPr="005D6D89" w14:paraId="287C116B" w14:textId="77777777" w:rsidTr="00095C79">
        <w:tc>
          <w:tcPr>
            <w:tcW w:w="8613" w:type="dxa"/>
            <w:gridSpan w:val="5"/>
            <w:shd w:val="clear" w:color="auto" w:fill="DA5A28"/>
            <w:hideMark/>
          </w:tcPr>
          <w:p w14:paraId="3D595E1B" w14:textId="77777777" w:rsidR="00EE716D" w:rsidRPr="005D6D89" w:rsidRDefault="00EE716D" w:rsidP="00DF6D57">
            <w:pPr>
              <w:pStyle w:val="TableTextBold0"/>
              <w:rPr>
                <w:color w:val="FFFFFF" w:themeColor="background1"/>
              </w:rPr>
            </w:pPr>
            <w:r w:rsidRPr="005D6D89">
              <w:rPr>
                <w:color w:val="FFFFFF" w:themeColor="background1"/>
              </w:rPr>
              <w:t xml:space="preserve">HO1: Opportunity urgency profile </w:t>
            </w:r>
          </w:p>
        </w:tc>
      </w:tr>
      <w:tr w:rsidR="00EE716D" w:rsidRPr="005D6D89" w14:paraId="6C6A62A2" w14:textId="77777777" w:rsidTr="00095C79">
        <w:tc>
          <w:tcPr>
            <w:tcW w:w="1951" w:type="dxa"/>
            <w:shd w:val="clear" w:color="auto" w:fill="FFFFFF" w:themeFill="background1"/>
          </w:tcPr>
          <w:p w14:paraId="3AB50705" w14:textId="77777777" w:rsidR="00EE716D" w:rsidRPr="0043161B" w:rsidRDefault="00EE716D" w:rsidP="00DF6D57">
            <w:pPr>
              <w:pStyle w:val="TableTextBold0"/>
            </w:pPr>
            <w:r w:rsidRPr="0043161B">
              <w:t>Urgency category</w:t>
            </w:r>
          </w:p>
        </w:tc>
        <w:tc>
          <w:tcPr>
            <w:tcW w:w="1911" w:type="dxa"/>
          </w:tcPr>
          <w:p w14:paraId="4DDB19CA" w14:textId="77777777" w:rsidR="00EE716D" w:rsidRPr="005D6D89" w:rsidRDefault="00845880" w:rsidP="001048C6">
            <w:pPr>
              <w:pStyle w:val="TableText"/>
              <w:rPr>
                <w:b/>
                <w:bCs/>
              </w:rPr>
            </w:pPr>
            <w:r>
              <w:rPr>
                <w:b/>
                <w:bCs/>
              </w:rPr>
              <w:t>Proportion of urgency out of 100</w:t>
            </w:r>
          </w:p>
        </w:tc>
        <w:tc>
          <w:tcPr>
            <w:tcW w:w="4751" w:type="dxa"/>
            <w:gridSpan w:val="3"/>
          </w:tcPr>
          <w:p w14:paraId="69794574" w14:textId="77777777" w:rsidR="00EE716D" w:rsidRPr="005D6D89" w:rsidRDefault="00EE716D" w:rsidP="001048C6">
            <w:pPr>
              <w:pStyle w:val="TableText"/>
              <w:rPr>
                <w:b/>
                <w:bCs/>
              </w:rPr>
            </w:pPr>
            <w:r w:rsidRPr="005D6D89">
              <w:rPr>
                <w:b/>
                <w:bCs/>
              </w:rPr>
              <w:t>Description of actions</w:t>
            </w:r>
          </w:p>
        </w:tc>
      </w:tr>
      <w:tr w:rsidR="00EE716D" w:rsidRPr="005D6D89" w14:paraId="76CFB025" w14:textId="77777777" w:rsidTr="00095C79">
        <w:tc>
          <w:tcPr>
            <w:tcW w:w="1951" w:type="dxa"/>
            <w:shd w:val="clear" w:color="auto" w:fill="FFFFFF" w:themeFill="background1"/>
            <w:hideMark/>
          </w:tcPr>
          <w:p w14:paraId="4856C57B" w14:textId="77777777" w:rsidR="00EE716D" w:rsidRPr="009079BF" w:rsidRDefault="00EE716D" w:rsidP="00DF6D57">
            <w:pPr>
              <w:pStyle w:val="TableTextBold0"/>
              <w:rPr>
                <w:b w:val="0"/>
              </w:rPr>
            </w:pPr>
            <w:r w:rsidRPr="009079BF">
              <w:rPr>
                <w:b w:val="0"/>
              </w:rPr>
              <w:t>More action needed</w:t>
            </w:r>
          </w:p>
        </w:tc>
        <w:tc>
          <w:tcPr>
            <w:tcW w:w="1911" w:type="dxa"/>
            <w:hideMark/>
          </w:tcPr>
          <w:p w14:paraId="43E2D76D" w14:textId="77777777" w:rsidR="00EE716D" w:rsidRPr="005D6D89" w:rsidRDefault="00EE716D" w:rsidP="00B51F01">
            <w:pPr>
              <w:pStyle w:val="TableText"/>
              <w:jc w:val="center"/>
            </w:pPr>
            <w:r w:rsidRPr="005D6D89">
              <w:t>0</w:t>
            </w:r>
          </w:p>
        </w:tc>
        <w:tc>
          <w:tcPr>
            <w:tcW w:w="4751" w:type="dxa"/>
            <w:gridSpan w:val="3"/>
          </w:tcPr>
          <w:p w14:paraId="706F3EF8" w14:textId="77777777" w:rsidR="00EE716D" w:rsidRPr="005D6D89" w:rsidRDefault="00EE716D" w:rsidP="00B51F01">
            <w:pPr>
              <w:pStyle w:val="TableText"/>
            </w:pPr>
          </w:p>
        </w:tc>
      </w:tr>
      <w:tr w:rsidR="00EE716D" w:rsidRPr="005D6D89" w14:paraId="63A2DC19" w14:textId="77777777" w:rsidTr="00095C79">
        <w:tc>
          <w:tcPr>
            <w:tcW w:w="1951" w:type="dxa"/>
            <w:shd w:val="clear" w:color="auto" w:fill="FFFFFF" w:themeFill="background1"/>
            <w:hideMark/>
          </w:tcPr>
          <w:p w14:paraId="18A5659E" w14:textId="77777777" w:rsidR="00EE716D" w:rsidRPr="009079BF" w:rsidRDefault="00EE716D" w:rsidP="00DF6D57">
            <w:pPr>
              <w:pStyle w:val="TableTextBold0"/>
              <w:rPr>
                <w:b w:val="0"/>
              </w:rPr>
            </w:pPr>
            <w:r w:rsidRPr="009079BF">
              <w:rPr>
                <w:b w:val="0"/>
              </w:rPr>
              <w:t>Research priority</w:t>
            </w:r>
          </w:p>
        </w:tc>
        <w:tc>
          <w:tcPr>
            <w:tcW w:w="1911" w:type="dxa"/>
            <w:hideMark/>
          </w:tcPr>
          <w:p w14:paraId="1C3820B6" w14:textId="77777777" w:rsidR="00EE716D" w:rsidRPr="005D6D89" w:rsidRDefault="00EE716D" w:rsidP="00B51F01">
            <w:pPr>
              <w:pStyle w:val="TableText"/>
              <w:jc w:val="center"/>
            </w:pPr>
            <w:r w:rsidRPr="005D6D89">
              <w:t>10</w:t>
            </w:r>
          </w:p>
        </w:tc>
        <w:tc>
          <w:tcPr>
            <w:tcW w:w="4751" w:type="dxa"/>
            <w:gridSpan w:val="3"/>
            <w:hideMark/>
          </w:tcPr>
          <w:p w14:paraId="304BB671" w14:textId="77777777" w:rsidR="00EE716D" w:rsidRPr="005D6D89" w:rsidRDefault="00EE716D" w:rsidP="00B51F01">
            <w:pPr>
              <w:pStyle w:val="TableText"/>
            </w:pPr>
            <w:r w:rsidRPr="005D6D89">
              <w:t>Understand how cold combines with and exacerbates other factors (eg, damp) to increase winter deaths, to identify how to reduce such incidents.</w:t>
            </w:r>
            <w:r w:rsidR="00027F9F" w:rsidRPr="005D6D89">
              <w:t xml:space="preserve"> </w:t>
            </w:r>
          </w:p>
        </w:tc>
      </w:tr>
      <w:tr w:rsidR="00EE716D" w:rsidRPr="005D6D89" w14:paraId="77424592" w14:textId="77777777" w:rsidTr="00095C79">
        <w:tc>
          <w:tcPr>
            <w:tcW w:w="1951" w:type="dxa"/>
            <w:shd w:val="clear" w:color="auto" w:fill="FFFFFF" w:themeFill="background1"/>
            <w:hideMark/>
          </w:tcPr>
          <w:p w14:paraId="79E29D1F" w14:textId="77777777" w:rsidR="00EE716D" w:rsidRPr="009079BF" w:rsidRDefault="00EE716D" w:rsidP="00DF6D57">
            <w:pPr>
              <w:pStyle w:val="TableTextBold0"/>
              <w:rPr>
                <w:b w:val="0"/>
              </w:rPr>
            </w:pPr>
            <w:r w:rsidRPr="009079BF">
              <w:rPr>
                <w:b w:val="0"/>
              </w:rPr>
              <w:t>Sustain current action</w:t>
            </w:r>
          </w:p>
        </w:tc>
        <w:tc>
          <w:tcPr>
            <w:tcW w:w="1911" w:type="dxa"/>
            <w:hideMark/>
          </w:tcPr>
          <w:p w14:paraId="05B299A3" w14:textId="77777777" w:rsidR="00EE716D" w:rsidRPr="005D6D89" w:rsidRDefault="00EE716D" w:rsidP="00B51F01">
            <w:pPr>
              <w:pStyle w:val="TableText"/>
              <w:jc w:val="center"/>
            </w:pPr>
            <w:r w:rsidRPr="005D6D89">
              <w:t>60</w:t>
            </w:r>
          </w:p>
        </w:tc>
        <w:tc>
          <w:tcPr>
            <w:tcW w:w="4751" w:type="dxa"/>
            <w:gridSpan w:val="3"/>
            <w:hideMark/>
          </w:tcPr>
          <w:p w14:paraId="2FBCC0EE" w14:textId="77777777" w:rsidR="00EE716D" w:rsidRPr="005D6D89" w:rsidRDefault="00EE716D" w:rsidP="00B51F01">
            <w:pPr>
              <w:pStyle w:val="TableText"/>
            </w:pPr>
            <w:r w:rsidRPr="005D6D89">
              <w:t xml:space="preserve">Sustain home insulation and heating subsidy programmes and minimum insulation standards in residential rental properties. </w:t>
            </w:r>
          </w:p>
        </w:tc>
      </w:tr>
      <w:tr w:rsidR="00EE716D" w:rsidRPr="005D6D89" w14:paraId="6DFDC3B9" w14:textId="77777777" w:rsidTr="00095C79">
        <w:tc>
          <w:tcPr>
            <w:tcW w:w="1951" w:type="dxa"/>
            <w:tcBorders>
              <w:bottom w:val="single" w:sz="8" w:space="0" w:color="DA5A28"/>
            </w:tcBorders>
            <w:shd w:val="clear" w:color="auto" w:fill="FFFFFF" w:themeFill="background1"/>
            <w:hideMark/>
          </w:tcPr>
          <w:p w14:paraId="4473ED72" w14:textId="77777777" w:rsidR="00EE716D" w:rsidRPr="009079BF" w:rsidRDefault="00EE716D" w:rsidP="00DF6D57">
            <w:pPr>
              <w:pStyle w:val="TableTextBold0"/>
              <w:rPr>
                <w:b w:val="0"/>
              </w:rPr>
            </w:pPr>
            <w:r w:rsidRPr="009079BF">
              <w:rPr>
                <w:b w:val="0"/>
              </w:rPr>
              <w:t xml:space="preserve">Watching brief </w:t>
            </w:r>
          </w:p>
        </w:tc>
        <w:tc>
          <w:tcPr>
            <w:tcW w:w="1911" w:type="dxa"/>
            <w:tcBorders>
              <w:bottom w:val="single" w:sz="8" w:space="0" w:color="DA5A28"/>
            </w:tcBorders>
            <w:hideMark/>
          </w:tcPr>
          <w:p w14:paraId="2E690E8C" w14:textId="77777777" w:rsidR="00EE716D" w:rsidRPr="005D6D89" w:rsidRDefault="00EE716D" w:rsidP="00B51F01">
            <w:pPr>
              <w:pStyle w:val="TableText"/>
              <w:jc w:val="center"/>
            </w:pPr>
            <w:r w:rsidRPr="005D6D89">
              <w:t>30</w:t>
            </w:r>
          </w:p>
        </w:tc>
        <w:tc>
          <w:tcPr>
            <w:tcW w:w="4751" w:type="dxa"/>
            <w:gridSpan w:val="3"/>
            <w:tcBorders>
              <w:bottom w:val="single" w:sz="8" w:space="0" w:color="DA5A28"/>
            </w:tcBorders>
            <w:hideMark/>
          </w:tcPr>
          <w:p w14:paraId="0F5FEC6D" w14:textId="77777777" w:rsidR="00EE716D" w:rsidRPr="005D6D89" w:rsidRDefault="00EE716D" w:rsidP="00B51F01">
            <w:pPr>
              <w:pStyle w:val="TableText"/>
            </w:pPr>
            <w:r w:rsidRPr="005D6D89">
              <w:t>Watch and monitor</w:t>
            </w:r>
          </w:p>
        </w:tc>
      </w:tr>
      <w:tr w:rsidR="00EE716D" w:rsidRPr="005D6D89" w14:paraId="3CBEA747" w14:textId="77777777" w:rsidTr="00095C79">
        <w:tc>
          <w:tcPr>
            <w:tcW w:w="1951" w:type="dxa"/>
            <w:tcBorders>
              <w:top w:val="single" w:sz="8" w:space="0" w:color="DA5A28"/>
            </w:tcBorders>
            <w:shd w:val="clear" w:color="auto" w:fill="DA5A28"/>
            <w:hideMark/>
          </w:tcPr>
          <w:p w14:paraId="3B4A7DE7" w14:textId="77777777" w:rsidR="00EE716D" w:rsidRPr="005D6D89" w:rsidRDefault="00EE716D" w:rsidP="00DF6D57">
            <w:pPr>
              <w:pStyle w:val="TableTextBold0"/>
              <w:rPr>
                <w:rFonts w:cstheme="minorHAnsi"/>
                <w:color w:val="FFFFFF" w:themeColor="background1"/>
              </w:rPr>
            </w:pPr>
            <w:r w:rsidRPr="005D6D89">
              <w:rPr>
                <w:rFonts w:cstheme="minorHAnsi"/>
                <w:color w:val="FFFFFF" w:themeColor="background1"/>
              </w:rPr>
              <w:t xml:space="preserve">Adaptation urgency </w:t>
            </w:r>
          </w:p>
        </w:tc>
        <w:tc>
          <w:tcPr>
            <w:tcW w:w="1927" w:type="dxa"/>
            <w:gridSpan w:val="2"/>
            <w:tcBorders>
              <w:top w:val="single" w:sz="8" w:space="0" w:color="DA5A28"/>
            </w:tcBorders>
            <w:hideMark/>
          </w:tcPr>
          <w:p w14:paraId="33CCDDC3" w14:textId="77777777" w:rsidR="00EE716D" w:rsidRPr="005D6D89" w:rsidRDefault="00EE716D" w:rsidP="00B51F01">
            <w:pPr>
              <w:pStyle w:val="TableText"/>
              <w:jc w:val="center"/>
            </w:pPr>
            <w:r w:rsidRPr="005D6D89">
              <w:t>45</w:t>
            </w:r>
          </w:p>
        </w:tc>
        <w:tc>
          <w:tcPr>
            <w:tcW w:w="1285" w:type="dxa"/>
            <w:tcBorders>
              <w:top w:val="single" w:sz="8" w:space="0" w:color="DA5A28"/>
            </w:tcBorders>
            <w:shd w:val="clear" w:color="auto" w:fill="DA5A28"/>
            <w:hideMark/>
          </w:tcPr>
          <w:p w14:paraId="55644952" w14:textId="77777777" w:rsidR="00EE716D" w:rsidRPr="005D6D89" w:rsidRDefault="00EE716D" w:rsidP="00B51F01">
            <w:pPr>
              <w:pStyle w:val="TableTextBold0"/>
              <w:rPr>
                <w:color w:val="FFFFFF" w:themeColor="background1"/>
              </w:rPr>
            </w:pPr>
            <w:r w:rsidRPr="005D6D89">
              <w:rPr>
                <w:color w:val="FFFFFF" w:themeColor="background1"/>
              </w:rPr>
              <w:t>Confidence</w:t>
            </w:r>
            <w:r w:rsidR="00027F9F" w:rsidRPr="005D6D89">
              <w:rPr>
                <w:color w:val="FFFFFF" w:themeColor="background1"/>
              </w:rPr>
              <w:t xml:space="preserve"> </w:t>
            </w:r>
          </w:p>
        </w:tc>
        <w:tc>
          <w:tcPr>
            <w:tcW w:w="3450" w:type="dxa"/>
            <w:tcBorders>
              <w:top w:val="single" w:sz="8" w:space="0" w:color="DA5A28"/>
            </w:tcBorders>
            <w:hideMark/>
          </w:tcPr>
          <w:p w14:paraId="035DB392" w14:textId="77777777" w:rsidR="00EE716D" w:rsidRPr="005D6D89" w:rsidRDefault="00EE716D" w:rsidP="001048C6">
            <w:pPr>
              <w:pStyle w:val="TableText"/>
              <w:rPr>
                <w:rFonts w:cstheme="minorHAnsi"/>
              </w:rPr>
            </w:pPr>
            <w:r w:rsidRPr="005D6D89">
              <w:rPr>
                <w:rFonts w:cstheme="minorHAnsi"/>
              </w:rPr>
              <w:t xml:space="preserve">Medium agreement, medium evidence </w:t>
            </w:r>
          </w:p>
        </w:tc>
      </w:tr>
    </w:tbl>
    <w:p w14:paraId="79243451" w14:textId="77777777" w:rsidR="00EE716D" w:rsidRPr="005D6D89" w:rsidRDefault="00EE716D" w:rsidP="00812D16">
      <w:pPr>
        <w:pStyle w:val="Heading3"/>
        <w:numPr>
          <w:ilvl w:val="0"/>
          <w:numId w:val="34"/>
        </w:numPr>
        <w:tabs>
          <w:tab w:val="num" w:pos="992"/>
        </w:tabs>
        <w:spacing w:before="440"/>
      </w:pPr>
      <w:bookmarkStart w:id="483" w:name="_Toc37255795"/>
      <w:bookmarkStart w:id="484" w:name="_Toc37393696"/>
      <w:bookmarkStart w:id="485" w:name="_Toc37784902"/>
      <w:bookmarkStart w:id="486" w:name="_Toc40699373"/>
      <w:bookmarkEnd w:id="469"/>
      <w:r w:rsidRPr="005D6D89">
        <w:t xml:space="preserve">BO1 Lower winter heating demand </w:t>
      </w:r>
      <w:bookmarkEnd w:id="483"/>
      <w:bookmarkEnd w:id="484"/>
      <w:bookmarkEnd w:id="485"/>
      <w:bookmarkEnd w:id="486"/>
    </w:p>
    <w:p w14:paraId="7CF80C58" w14:textId="77777777" w:rsidR="00EE716D" w:rsidRPr="005D6D89" w:rsidRDefault="00EE716D" w:rsidP="00B51F01">
      <w:pPr>
        <w:pStyle w:val="BodyText"/>
      </w:pPr>
      <w:r w:rsidRPr="005D6D89">
        <w:t>Households in New Zealand typically use about 15 per cent of their energy on space heating and 27 per cent on water heating (Electricity Authority 2018). Energy use in New Zealand is</w:t>
      </w:r>
      <w:r w:rsidR="00075DEC" w:rsidRPr="005D6D89">
        <w:t> </w:t>
      </w:r>
      <w:r w:rsidRPr="005D6D89">
        <w:t>significantly higher in winter (June to August) (Electricity Authority 2018). About a quarter of</w:t>
      </w:r>
      <w:r w:rsidR="00075DEC" w:rsidRPr="005D6D89">
        <w:t> </w:t>
      </w:r>
      <w:r w:rsidRPr="005D6D89">
        <w:t xml:space="preserve">New </w:t>
      </w:r>
      <w:proofErr w:type="gramStart"/>
      <w:r w:rsidRPr="005D6D89">
        <w:t>Zealand</w:t>
      </w:r>
      <w:proofErr w:type="gramEnd"/>
      <w:r w:rsidRPr="005D6D89">
        <w:t xml:space="preserve"> households are estimated to be in fuel poverty (Howden-Chapman et al, 2012). Average indoor temperatures are cold by international standards and occupants regularly report that they are cold because they cannot afford to heat their houses </w:t>
      </w:r>
      <w:r w:rsidRPr="00A375E3">
        <w:t>(Howden</w:t>
      </w:r>
      <w:r w:rsidR="00075DEC" w:rsidRPr="00A375E3">
        <w:noBreakHyphen/>
      </w:r>
      <w:r w:rsidRPr="00A375E3">
        <w:t>Chapman et al, 2012).</w:t>
      </w:r>
      <w:r w:rsidRPr="005D6D89">
        <w:t xml:space="preserve"> </w:t>
      </w:r>
    </w:p>
    <w:p w14:paraId="52FE9529" w14:textId="77777777" w:rsidR="00EE716D" w:rsidRPr="00996A2F" w:rsidRDefault="00EE716D" w:rsidP="00996A2F">
      <w:pPr>
        <w:pStyle w:val="BodyText"/>
      </w:pPr>
      <w:r w:rsidRPr="005D6D89">
        <w:t>Fuel poverty is a factor in our higher winter rates of mortality (16 per cent) and hospitalisation (8 per cent). Warmer winters and fewer frosts could reduce demand for winter heating. This lowers costs and stress for those who cannot afford electricity (Ministry for the Environment, 2017c). However, these effects are complex to predict because non-climatic factors, such as future energy policy, energy prices and housing quality</w:t>
      </w:r>
      <w:r w:rsidR="00A375E3">
        <w:t>,</w:t>
      </w:r>
      <w:r w:rsidRPr="005D6D89">
        <w:t xml:space="preserve"> are also important. Further, gains in </w:t>
      </w:r>
      <w:r w:rsidRPr="005D6D89">
        <w:rPr>
          <w:color w:val="000000"/>
          <w:lang w:eastAsia="en-AU"/>
        </w:rPr>
        <w:t xml:space="preserve">energy efficiency and positive impacts on household incomes may be short-lived and </w:t>
      </w:r>
      <w:proofErr w:type="gramStart"/>
      <w:r w:rsidRPr="005D6D89">
        <w:rPr>
          <w:color w:val="000000"/>
          <w:lang w:eastAsia="en-AU"/>
        </w:rPr>
        <w:t>could be offset</w:t>
      </w:r>
      <w:proofErr w:type="gramEnd"/>
      <w:r w:rsidRPr="005D6D89">
        <w:rPr>
          <w:color w:val="000000"/>
          <w:lang w:eastAsia="en-AU"/>
        </w:rPr>
        <w:t xml:space="preserve"> by increased demand for air conditioning in summer. </w:t>
      </w:r>
      <w:r w:rsidRPr="005D6D89">
        <w:t xml:space="preserve">There is very little research available to confirm this </w:t>
      </w:r>
      <w:r w:rsidRPr="00996A2F">
        <w:t>opportunity</w:t>
      </w:r>
      <w:r w:rsidRPr="005D6D89">
        <w:t xml:space="preserve">. </w:t>
      </w:r>
    </w:p>
    <w:p w14:paraId="0BAD3637" w14:textId="77777777" w:rsidR="00996A2F" w:rsidRPr="005D6D89" w:rsidRDefault="00996A2F" w:rsidP="00996A2F">
      <w:pPr>
        <w:pStyle w:val="Tableheading"/>
      </w:pPr>
      <w:bookmarkStart w:id="487" w:name="_Toc43312824"/>
      <w:r>
        <w:t>Table 30:</w:t>
      </w:r>
      <w:r>
        <w:tab/>
      </w:r>
      <w:r w:rsidRPr="005D6D89">
        <w:t>BO1: Opportunity urgency profile</w:t>
      </w:r>
      <w:bookmarkEnd w:id="487"/>
    </w:p>
    <w:tbl>
      <w:tblPr>
        <w:tblStyle w:val="TableGrid"/>
        <w:tblW w:w="8613" w:type="dxa"/>
        <w:tblBorders>
          <w:top w:val="single" w:sz="4" w:space="0" w:color="0F7B7D"/>
          <w:left w:val="none" w:sz="0" w:space="0" w:color="auto"/>
          <w:bottom w:val="single" w:sz="4" w:space="0" w:color="0F7B7D"/>
          <w:right w:val="none" w:sz="0" w:space="0" w:color="auto"/>
          <w:insideH w:val="single" w:sz="4" w:space="0" w:color="0F7B7D"/>
          <w:insideV w:val="single" w:sz="4" w:space="0" w:color="0F7B7D"/>
        </w:tblBorders>
        <w:tblLayout w:type="fixed"/>
        <w:tblLook w:val="04A0" w:firstRow="1" w:lastRow="0" w:firstColumn="1" w:lastColumn="0" w:noHBand="0" w:noVBand="1"/>
      </w:tblPr>
      <w:tblGrid>
        <w:gridCol w:w="2093"/>
        <w:gridCol w:w="1984"/>
        <w:gridCol w:w="1276"/>
        <w:gridCol w:w="3260"/>
      </w:tblGrid>
      <w:tr w:rsidR="0022583C" w:rsidRPr="005D6D89" w14:paraId="64F85AAE" w14:textId="77777777" w:rsidTr="00095C79">
        <w:trPr>
          <w:tblHeader/>
        </w:trPr>
        <w:tc>
          <w:tcPr>
            <w:tcW w:w="8613" w:type="dxa"/>
            <w:gridSpan w:val="4"/>
            <w:shd w:val="clear" w:color="auto" w:fill="0F7B7D"/>
            <w:hideMark/>
          </w:tcPr>
          <w:p w14:paraId="0F059A2D" w14:textId="77777777" w:rsidR="00EE716D" w:rsidRPr="005D6D89" w:rsidRDefault="00EE716D" w:rsidP="0022583C">
            <w:pPr>
              <w:pStyle w:val="TableTextBold0"/>
              <w:keepNext/>
              <w:rPr>
                <w:color w:val="FFFFFF" w:themeColor="background1"/>
              </w:rPr>
            </w:pPr>
            <w:r w:rsidRPr="005D6D89">
              <w:rPr>
                <w:color w:val="FFFFFF" w:themeColor="background1"/>
              </w:rPr>
              <w:t>BO1: Opportunity urgency profile</w:t>
            </w:r>
          </w:p>
        </w:tc>
      </w:tr>
      <w:tr w:rsidR="00EE716D" w:rsidRPr="005D6D89" w14:paraId="02810FF2" w14:textId="77777777" w:rsidTr="00095C79">
        <w:trPr>
          <w:tblHeader/>
        </w:trPr>
        <w:tc>
          <w:tcPr>
            <w:tcW w:w="2093" w:type="dxa"/>
            <w:shd w:val="clear" w:color="auto" w:fill="FFFFFF" w:themeFill="background1"/>
          </w:tcPr>
          <w:p w14:paraId="26BBB71B" w14:textId="77777777" w:rsidR="00EE716D" w:rsidRPr="0043161B" w:rsidRDefault="00EE716D" w:rsidP="00075DEC">
            <w:pPr>
              <w:pStyle w:val="TableTextBold0"/>
              <w:keepNext/>
            </w:pPr>
            <w:r w:rsidRPr="0043161B">
              <w:t>Urgency category</w:t>
            </w:r>
          </w:p>
        </w:tc>
        <w:tc>
          <w:tcPr>
            <w:tcW w:w="1984" w:type="dxa"/>
          </w:tcPr>
          <w:p w14:paraId="0A6C3DE2" w14:textId="77777777" w:rsidR="00EE716D" w:rsidRPr="005D6D89" w:rsidRDefault="00845880" w:rsidP="00075DEC">
            <w:pPr>
              <w:pStyle w:val="TableTextBold0"/>
              <w:keepNext/>
            </w:pPr>
            <w:r>
              <w:t>Proportion of urgency out of 100</w:t>
            </w:r>
          </w:p>
        </w:tc>
        <w:tc>
          <w:tcPr>
            <w:tcW w:w="4536" w:type="dxa"/>
            <w:gridSpan w:val="2"/>
          </w:tcPr>
          <w:p w14:paraId="758ECDFB" w14:textId="77777777" w:rsidR="00EE716D" w:rsidRPr="005D6D89" w:rsidRDefault="00EE716D" w:rsidP="00075DEC">
            <w:pPr>
              <w:pStyle w:val="TableTextBold0"/>
              <w:keepNext/>
            </w:pPr>
            <w:r w:rsidRPr="005D6D89">
              <w:t>Description of actions</w:t>
            </w:r>
          </w:p>
        </w:tc>
      </w:tr>
      <w:tr w:rsidR="00EE716D" w:rsidRPr="005D6D89" w14:paraId="2E4FD94A" w14:textId="77777777" w:rsidTr="00095C79">
        <w:tc>
          <w:tcPr>
            <w:tcW w:w="2093" w:type="dxa"/>
            <w:shd w:val="clear" w:color="auto" w:fill="FFFFFF" w:themeFill="background1"/>
            <w:hideMark/>
          </w:tcPr>
          <w:p w14:paraId="2C4D70D6" w14:textId="77777777" w:rsidR="00EE716D" w:rsidRPr="009079BF" w:rsidRDefault="00EE716D" w:rsidP="00075DEC">
            <w:pPr>
              <w:pStyle w:val="TableTextBold0"/>
              <w:keepNext/>
              <w:rPr>
                <w:b w:val="0"/>
              </w:rPr>
            </w:pPr>
            <w:r w:rsidRPr="009079BF">
              <w:rPr>
                <w:b w:val="0"/>
              </w:rPr>
              <w:t>More action needed</w:t>
            </w:r>
          </w:p>
        </w:tc>
        <w:tc>
          <w:tcPr>
            <w:tcW w:w="1984" w:type="dxa"/>
            <w:hideMark/>
          </w:tcPr>
          <w:p w14:paraId="31EE84E2" w14:textId="77777777" w:rsidR="00EE716D" w:rsidRPr="005D6D89" w:rsidRDefault="00EE716D" w:rsidP="00075DEC">
            <w:pPr>
              <w:pStyle w:val="TableText"/>
              <w:keepNext/>
              <w:jc w:val="center"/>
            </w:pPr>
            <w:r w:rsidRPr="005D6D89">
              <w:t>40</w:t>
            </w:r>
          </w:p>
        </w:tc>
        <w:tc>
          <w:tcPr>
            <w:tcW w:w="4536" w:type="dxa"/>
            <w:gridSpan w:val="2"/>
            <w:hideMark/>
          </w:tcPr>
          <w:p w14:paraId="266C92FE" w14:textId="77777777" w:rsidR="00EE716D" w:rsidRPr="005D6D89" w:rsidRDefault="00EE716D" w:rsidP="00075DEC">
            <w:pPr>
              <w:pStyle w:val="TableText"/>
              <w:keepNext/>
              <w:rPr>
                <w:rFonts w:cs="Arial"/>
              </w:rPr>
            </w:pPr>
            <w:proofErr w:type="gramStart"/>
            <w:r w:rsidRPr="005D6D89">
              <w:rPr>
                <w:rFonts w:cs="Arial"/>
              </w:rPr>
              <w:t>Improve housing quality for better public health and potential reductions in heating cost – eg, insulation could have dual benefits for winter heating and summer cooling.</w:t>
            </w:r>
            <w:proofErr w:type="gramEnd"/>
            <w:r w:rsidRPr="005D6D89">
              <w:rPr>
                <w:rFonts w:cs="Arial"/>
              </w:rPr>
              <w:t xml:space="preserve"> </w:t>
            </w:r>
          </w:p>
        </w:tc>
      </w:tr>
      <w:tr w:rsidR="00EE716D" w:rsidRPr="005D6D89" w14:paraId="20051747" w14:textId="77777777" w:rsidTr="00095C79">
        <w:tc>
          <w:tcPr>
            <w:tcW w:w="2093" w:type="dxa"/>
            <w:shd w:val="clear" w:color="auto" w:fill="FFFFFF" w:themeFill="background1"/>
            <w:hideMark/>
          </w:tcPr>
          <w:p w14:paraId="484FBC81" w14:textId="77777777" w:rsidR="00EE716D" w:rsidRPr="009079BF" w:rsidRDefault="00EE716D" w:rsidP="00075DEC">
            <w:pPr>
              <w:pStyle w:val="TableTextBold0"/>
              <w:keepNext/>
              <w:rPr>
                <w:b w:val="0"/>
              </w:rPr>
            </w:pPr>
            <w:r w:rsidRPr="009079BF">
              <w:rPr>
                <w:b w:val="0"/>
              </w:rPr>
              <w:t>Research priority</w:t>
            </w:r>
          </w:p>
        </w:tc>
        <w:tc>
          <w:tcPr>
            <w:tcW w:w="1984" w:type="dxa"/>
            <w:hideMark/>
          </w:tcPr>
          <w:p w14:paraId="35FF8BC9" w14:textId="77777777" w:rsidR="00EE716D" w:rsidRPr="005D6D89" w:rsidRDefault="00EE716D" w:rsidP="00075DEC">
            <w:pPr>
              <w:pStyle w:val="TableText"/>
              <w:keepNext/>
              <w:jc w:val="center"/>
            </w:pPr>
            <w:r w:rsidRPr="005D6D89">
              <w:t>20</w:t>
            </w:r>
          </w:p>
        </w:tc>
        <w:tc>
          <w:tcPr>
            <w:tcW w:w="4536" w:type="dxa"/>
            <w:gridSpan w:val="2"/>
            <w:hideMark/>
          </w:tcPr>
          <w:p w14:paraId="27A27F94" w14:textId="77777777" w:rsidR="00EE716D" w:rsidRPr="005D6D89" w:rsidRDefault="00EE716D" w:rsidP="00075DEC">
            <w:pPr>
              <w:pStyle w:val="TableText"/>
              <w:keepNext/>
              <w:rPr>
                <w:rFonts w:cs="Arial"/>
              </w:rPr>
            </w:pPr>
            <w:r w:rsidRPr="005D6D89">
              <w:rPr>
                <w:rFonts w:cs="Arial"/>
              </w:rPr>
              <w:t xml:space="preserve">Research is required to understand the potential benefits from warmer winters, risks from overheating in </w:t>
            </w:r>
            <w:proofErr w:type="gramStart"/>
            <w:r w:rsidRPr="005D6D89">
              <w:rPr>
                <w:rFonts w:cs="Arial"/>
              </w:rPr>
              <w:t>summer, and how to adapt housing stock</w:t>
            </w:r>
            <w:proofErr w:type="gramEnd"/>
            <w:r w:rsidRPr="005D6D89">
              <w:rPr>
                <w:rFonts w:cs="Arial"/>
              </w:rPr>
              <w:t xml:space="preserve">. </w:t>
            </w:r>
          </w:p>
        </w:tc>
      </w:tr>
      <w:tr w:rsidR="00EE716D" w:rsidRPr="005D6D89" w14:paraId="537A46FC" w14:textId="77777777" w:rsidTr="00095C79">
        <w:tc>
          <w:tcPr>
            <w:tcW w:w="2093" w:type="dxa"/>
            <w:shd w:val="clear" w:color="auto" w:fill="FFFFFF" w:themeFill="background1"/>
            <w:hideMark/>
          </w:tcPr>
          <w:p w14:paraId="7E5AAF58" w14:textId="77777777" w:rsidR="00EE716D" w:rsidRPr="009079BF" w:rsidRDefault="00EE716D" w:rsidP="0022583C">
            <w:pPr>
              <w:pStyle w:val="TableTextBold0"/>
              <w:rPr>
                <w:b w:val="0"/>
              </w:rPr>
            </w:pPr>
            <w:r w:rsidRPr="009079BF">
              <w:rPr>
                <w:b w:val="0"/>
              </w:rPr>
              <w:t>Sustain current action</w:t>
            </w:r>
          </w:p>
        </w:tc>
        <w:tc>
          <w:tcPr>
            <w:tcW w:w="1984" w:type="dxa"/>
            <w:hideMark/>
          </w:tcPr>
          <w:p w14:paraId="7805B7C7" w14:textId="77777777" w:rsidR="00EE716D" w:rsidRPr="005D6D89" w:rsidRDefault="00EE716D" w:rsidP="0022583C">
            <w:pPr>
              <w:pStyle w:val="TableText"/>
              <w:jc w:val="center"/>
            </w:pPr>
            <w:r w:rsidRPr="005D6D89">
              <w:t>0</w:t>
            </w:r>
          </w:p>
        </w:tc>
        <w:tc>
          <w:tcPr>
            <w:tcW w:w="4536" w:type="dxa"/>
            <w:gridSpan w:val="2"/>
            <w:hideMark/>
          </w:tcPr>
          <w:p w14:paraId="0E685464" w14:textId="77777777" w:rsidR="00EE716D" w:rsidRPr="005D6D89" w:rsidRDefault="00EE716D" w:rsidP="001048C6">
            <w:pPr>
              <w:pStyle w:val="TableText"/>
              <w:rPr>
                <w:rFonts w:cs="Arial"/>
              </w:rPr>
            </w:pPr>
            <w:r w:rsidRPr="005D6D89">
              <w:rPr>
                <w:rFonts w:cs="Arial"/>
              </w:rPr>
              <w:t xml:space="preserve"> </w:t>
            </w:r>
          </w:p>
        </w:tc>
      </w:tr>
      <w:tr w:rsidR="00EE716D" w:rsidRPr="005D6D89" w14:paraId="4387DA57" w14:textId="77777777" w:rsidTr="00095C79">
        <w:tc>
          <w:tcPr>
            <w:tcW w:w="2093" w:type="dxa"/>
            <w:tcBorders>
              <w:bottom w:val="single" w:sz="8" w:space="0" w:color="0F7B7D"/>
            </w:tcBorders>
            <w:shd w:val="clear" w:color="auto" w:fill="FFFFFF" w:themeFill="background1"/>
            <w:hideMark/>
          </w:tcPr>
          <w:p w14:paraId="15021667" w14:textId="77777777" w:rsidR="00EE716D" w:rsidRPr="009079BF" w:rsidRDefault="00EE716D" w:rsidP="0022583C">
            <w:pPr>
              <w:pStyle w:val="TableTextBold0"/>
              <w:rPr>
                <w:b w:val="0"/>
              </w:rPr>
            </w:pPr>
            <w:r w:rsidRPr="009079BF">
              <w:rPr>
                <w:b w:val="0"/>
              </w:rPr>
              <w:t xml:space="preserve">Watching brief </w:t>
            </w:r>
          </w:p>
        </w:tc>
        <w:tc>
          <w:tcPr>
            <w:tcW w:w="1984" w:type="dxa"/>
            <w:tcBorders>
              <w:bottom w:val="single" w:sz="8" w:space="0" w:color="0F7B7D"/>
            </w:tcBorders>
            <w:hideMark/>
          </w:tcPr>
          <w:p w14:paraId="0C2233A1" w14:textId="77777777" w:rsidR="00EE716D" w:rsidRPr="005D6D89" w:rsidRDefault="00EE716D" w:rsidP="0022583C">
            <w:pPr>
              <w:pStyle w:val="TableText"/>
              <w:jc w:val="center"/>
            </w:pPr>
            <w:r w:rsidRPr="005D6D89">
              <w:t>40</w:t>
            </w:r>
          </w:p>
        </w:tc>
        <w:tc>
          <w:tcPr>
            <w:tcW w:w="4536" w:type="dxa"/>
            <w:gridSpan w:val="2"/>
            <w:tcBorders>
              <w:bottom w:val="single" w:sz="8" w:space="0" w:color="0F7B7D"/>
            </w:tcBorders>
            <w:hideMark/>
          </w:tcPr>
          <w:p w14:paraId="17236289" w14:textId="77777777" w:rsidR="00EE716D" w:rsidRPr="005D6D89" w:rsidRDefault="00EE716D" w:rsidP="001048C6">
            <w:pPr>
              <w:pStyle w:val="TableText"/>
              <w:rPr>
                <w:rFonts w:cs="Arial"/>
              </w:rPr>
            </w:pPr>
            <w:r w:rsidRPr="005D6D89">
              <w:rPr>
                <w:rFonts w:cs="Arial"/>
              </w:rPr>
              <w:t xml:space="preserve">Watch and monitor </w:t>
            </w:r>
          </w:p>
        </w:tc>
      </w:tr>
      <w:tr w:rsidR="00EE716D" w:rsidRPr="005D6D89" w14:paraId="4DB269F7" w14:textId="77777777" w:rsidTr="00095C79">
        <w:tc>
          <w:tcPr>
            <w:tcW w:w="2093" w:type="dxa"/>
            <w:tcBorders>
              <w:top w:val="single" w:sz="8" w:space="0" w:color="0F7B7D"/>
            </w:tcBorders>
            <w:shd w:val="clear" w:color="auto" w:fill="0F7B7D"/>
            <w:hideMark/>
          </w:tcPr>
          <w:p w14:paraId="4DD01AC4" w14:textId="77777777" w:rsidR="00EE716D" w:rsidRPr="005D6D89" w:rsidRDefault="00EE716D" w:rsidP="0022583C">
            <w:pPr>
              <w:pStyle w:val="TableTextBold0"/>
              <w:rPr>
                <w:color w:val="FFFFFF" w:themeColor="background1"/>
              </w:rPr>
            </w:pPr>
            <w:r w:rsidRPr="005D6D89">
              <w:rPr>
                <w:color w:val="FFFFFF" w:themeColor="background1"/>
              </w:rPr>
              <w:t xml:space="preserve">Adaptation urgency </w:t>
            </w:r>
          </w:p>
        </w:tc>
        <w:tc>
          <w:tcPr>
            <w:tcW w:w="1984" w:type="dxa"/>
            <w:tcBorders>
              <w:top w:val="single" w:sz="8" w:space="0" w:color="0F7B7D"/>
            </w:tcBorders>
            <w:hideMark/>
          </w:tcPr>
          <w:p w14:paraId="439F9EE7" w14:textId="77777777" w:rsidR="00EE716D" w:rsidRPr="005D6D89" w:rsidRDefault="00EE716D" w:rsidP="0022583C">
            <w:pPr>
              <w:pStyle w:val="TableText"/>
              <w:jc w:val="center"/>
            </w:pPr>
            <w:r w:rsidRPr="005D6D89">
              <w:t>65</w:t>
            </w:r>
          </w:p>
        </w:tc>
        <w:tc>
          <w:tcPr>
            <w:tcW w:w="1276" w:type="dxa"/>
            <w:tcBorders>
              <w:top w:val="single" w:sz="8" w:space="0" w:color="0F7B7D"/>
            </w:tcBorders>
            <w:shd w:val="clear" w:color="auto" w:fill="0F7B7D"/>
            <w:hideMark/>
          </w:tcPr>
          <w:p w14:paraId="5D9FEB9E" w14:textId="77777777" w:rsidR="00EE716D" w:rsidRPr="005D6D89" w:rsidRDefault="00EE716D" w:rsidP="0022583C">
            <w:pPr>
              <w:pStyle w:val="TableTextBold0"/>
              <w:rPr>
                <w:color w:val="FFFFFF" w:themeColor="background1"/>
              </w:rPr>
            </w:pPr>
            <w:r w:rsidRPr="005D6D89">
              <w:rPr>
                <w:color w:val="FFFFFF" w:themeColor="background1"/>
              </w:rPr>
              <w:t>Confidence</w:t>
            </w:r>
            <w:r w:rsidR="00027F9F" w:rsidRPr="005D6D89">
              <w:rPr>
                <w:color w:val="FFFFFF" w:themeColor="background1"/>
              </w:rPr>
              <w:t xml:space="preserve"> </w:t>
            </w:r>
          </w:p>
        </w:tc>
        <w:tc>
          <w:tcPr>
            <w:tcW w:w="3260" w:type="dxa"/>
            <w:tcBorders>
              <w:top w:val="single" w:sz="8" w:space="0" w:color="0F7B7D"/>
            </w:tcBorders>
            <w:hideMark/>
          </w:tcPr>
          <w:p w14:paraId="5B1EF539" w14:textId="77777777" w:rsidR="00EE716D" w:rsidRPr="005D6D89" w:rsidRDefault="00EE716D" w:rsidP="001048C6">
            <w:pPr>
              <w:pStyle w:val="TableText"/>
              <w:rPr>
                <w:rFonts w:cs="Arial"/>
              </w:rPr>
            </w:pPr>
            <w:r w:rsidRPr="005D6D89">
              <w:rPr>
                <w:rFonts w:cs="Arial"/>
              </w:rPr>
              <w:t xml:space="preserve">Medium agreement, low evidence </w:t>
            </w:r>
          </w:p>
        </w:tc>
      </w:tr>
    </w:tbl>
    <w:p w14:paraId="509815E6" w14:textId="77777777" w:rsidR="00EE716D" w:rsidRPr="005D6D89" w:rsidRDefault="00EE716D" w:rsidP="00EE716D"/>
    <w:p w14:paraId="758D0B58" w14:textId="77777777" w:rsidR="007D6DC7" w:rsidRPr="005D6D89" w:rsidRDefault="007D6DC7">
      <w:pPr>
        <w:spacing w:before="0" w:after="200" w:line="276" w:lineRule="auto"/>
        <w:jc w:val="left"/>
      </w:pPr>
      <w:r w:rsidRPr="005D6D89">
        <w:br w:type="page"/>
      </w:r>
    </w:p>
    <w:p w14:paraId="3EF9134C" w14:textId="77777777" w:rsidR="007D6DC7" w:rsidRPr="005D6D89" w:rsidRDefault="007D6DC7" w:rsidP="007D6DC7">
      <w:pPr>
        <w:pStyle w:val="Heading1"/>
        <w:numPr>
          <w:ilvl w:val="0"/>
          <w:numId w:val="17"/>
        </w:numPr>
      </w:pPr>
      <w:bookmarkStart w:id="488" w:name="_Case_studies:_cascading"/>
      <w:bookmarkStart w:id="489" w:name="_Toc37255796"/>
      <w:bookmarkStart w:id="490" w:name="_Toc37393697"/>
      <w:bookmarkStart w:id="491" w:name="_Ref37492021"/>
      <w:bookmarkStart w:id="492" w:name="_Ref37492059"/>
      <w:bookmarkStart w:id="493" w:name="_Ref37666528"/>
      <w:bookmarkStart w:id="494" w:name="_Ref37667953"/>
      <w:bookmarkStart w:id="495" w:name="_Ref40346369"/>
      <w:bookmarkStart w:id="496" w:name="_Ref40346466"/>
      <w:bookmarkStart w:id="497" w:name="_Ref40346523"/>
      <w:bookmarkStart w:id="498" w:name="_Ref40347020"/>
      <w:bookmarkStart w:id="499" w:name="_Toc40699374"/>
      <w:bookmarkStart w:id="500" w:name="_Toc43064145"/>
      <w:bookmarkEnd w:id="488"/>
      <w:r w:rsidRPr="005D6D89">
        <w:t>Case studies: cascading impacts and</w:t>
      </w:r>
      <w:r w:rsidR="006B77B7">
        <w:t> </w:t>
      </w:r>
      <w:r w:rsidRPr="005D6D89">
        <w:t>socio-economic projections</w:t>
      </w:r>
      <w:bookmarkEnd w:id="489"/>
      <w:bookmarkEnd w:id="490"/>
      <w:bookmarkEnd w:id="491"/>
      <w:bookmarkEnd w:id="492"/>
      <w:bookmarkEnd w:id="493"/>
      <w:bookmarkEnd w:id="494"/>
      <w:bookmarkEnd w:id="495"/>
      <w:bookmarkEnd w:id="496"/>
      <w:bookmarkEnd w:id="497"/>
      <w:bookmarkEnd w:id="498"/>
      <w:bookmarkEnd w:id="499"/>
      <w:bookmarkEnd w:id="500"/>
    </w:p>
    <w:p w14:paraId="74662CD6" w14:textId="77777777" w:rsidR="007D6DC7" w:rsidRPr="005D6D89" w:rsidRDefault="007D6DC7" w:rsidP="007D6DC7">
      <w:pPr>
        <w:pStyle w:val="BodyText"/>
        <w:rPr>
          <w:rFonts w:cs="Arial"/>
        </w:rPr>
      </w:pPr>
      <w:bookmarkStart w:id="501" w:name="_Hlk40430238"/>
      <w:r w:rsidRPr="005D6D89">
        <w:t>Although the NCCRA provides a national overview of the risks and opportunities from climate change, it does not robustly consider</w:t>
      </w:r>
      <w:r w:rsidRPr="005D6D89">
        <w:rPr>
          <w:rFonts w:cs="Arial"/>
        </w:rPr>
        <w:t xml:space="preserve"> cascading </w:t>
      </w:r>
      <w:proofErr w:type="gramStart"/>
      <w:r w:rsidRPr="005D6D89">
        <w:rPr>
          <w:rFonts w:cs="Arial"/>
        </w:rPr>
        <w:t>impacts,</w:t>
      </w:r>
      <w:proofErr w:type="gramEnd"/>
      <w:r w:rsidRPr="005D6D89">
        <w:rPr>
          <w:rFonts w:cs="Arial"/>
        </w:rPr>
        <w:t xml:space="preserve"> interdependencies and future socio-economic projections </w:t>
      </w:r>
      <w:bookmarkEnd w:id="501"/>
      <w:r w:rsidRPr="005D6D89">
        <w:rPr>
          <w:rFonts w:cs="Arial"/>
        </w:rPr>
        <w:t xml:space="preserve">(see </w:t>
      </w:r>
      <w:hyperlink w:anchor="_Interdependencies,_direct_indirect" w:history="1">
        <w:r w:rsidRPr="005C2010">
          <w:rPr>
            <w:rStyle w:val="Hyperlink"/>
            <w:rFonts w:cs="Arial"/>
          </w:rPr>
          <w:t>section</w:t>
        </w:r>
        <w:r w:rsidR="00B866D5" w:rsidRPr="005C2010">
          <w:rPr>
            <w:rStyle w:val="Hyperlink"/>
            <w:rFonts w:cs="Arial"/>
          </w:rPr>
          <w:t xml:space="preserve"> 2.3.2</w:t>
        </w:r>
      </w:hyperlink>
      <w:r w:rsidRPr="005D6D89">
        <w:rPr>
          <w:rFonts w:cs="Arial"/>
        </w:rPr>
        <w:t xml:space="preserve">). However, the two case studies </w:t>
      </w:r>
      <w:r w:rsidR="00A375E3">
        <w:rPr>
          <w:rFonts w:cs="Arial"/>
        </w:rPr>
        <w:t>in this section</w:t>
      </w:r>
      <w:r w:rsidR="00A375E3" w:rsidRPr="005D6D89">
        <w:rPr>
          <w:rFonts w:cs="Arial"/>
        </w:rPr>
        <w:t xml:space="preserve"> </w:t>
      </w:r>
      <w:r w:rsidRPr="005D6D89">
        <w:rPr>
          <w:rFonts w:cs="Arial"/>
        </w:rPr>
        <w:t xml:space="preserve">illustrate the importance of these matters for subsequent assessments. Each study focuses on one risk identified in the NCCRA: </w:t>
      </w:r>
    </w:p>
    <w:p w14:paraId="0ED312F8" w14:textId="77777777" w:rsidR="007D6DC7" w:rsidRPr="005D6D89" w:rsidRDefault="007D6DC7" w:rsidP="007D6DC7">
      <w:pPr>
        <w:pStyle w:val="Bullet"/>
      </w:pPr>
      <w:r w:rsidRPr="005D6D89">
        <w:t>Cascading impacts and interdependencies</w:t>
      </w:r>
      <w:r w:rsidR="00A375E3">
        <w:t xml:space="preserve"> f</w:t>
      </w:r>
      <w:r w:rsidRPr="005D6D89">
        <w:t>ocuses on Priority Risk B4: Risk to wastewater and stormwater systems (and levels of service)</w:t>
      </w:r>
      <w:r w:rsidR="00A375E3">
        <w:t>,</w:t>
      </w:r>
      <w:r w:rsidRPr="005D6D89">
        <w:t xml:space="preserve"> due to extreme weather events and ongoing sea-level rise</w:t>
      </w:r>
      <w:r w:rsidRPr="005D6D89" w:rsidDel="00044AF9">
        <w:t xml:space="preserve"> </w:t>
      </w:r>
      <w:r w:rsidRPr="005D6D89">
        <w:t>(</w:t>
      </w:r>
      <w:hyperlink w:anchor="box4" w:history="1">
        <w:r w:rsidRPr="00A375E3">
          <w:rPr>
            <w:rStyle w:val="Hyperlink"/>
          </w:rPr>
          <w:t xml:space="preserve">Box </w:t>
        </w:r>
        <w:r w:rsidR="005C2010" w:rsidRPr="00A375E3">
          <w:rPr>
            <w:rStyle w:val="Hyperlink"/>
          </w:rPr>
          <w:t>4</w:t>
        </w:r>
      </w:hyperlink>
      <w:r w:rsidRPr="005D6D89">
        <w:t xml:space="preserve">). </w:t>
      </w:r>
    </w:p>
    <w:p w14:paraId="528B6612" w14:textId="77777777" w:rsidR="007D6DC7" w:rsidRPr="005D6D89" w:rsidRDefault="007D6DC7" w:rsidP="007D6DC7">
      <w:pPr>
        <w:pStyle w:val="Bullet"/>
      </w:pPr>
      <w:r w:rsidRPr="005D6D89">
        <w:t>Socio-economic factors</w:t>
      </w:r>
      <w:r w:rsidR="00A375E3">
        <w:t xml:space="preserve"> f</w:t>
      </w:r>
      <w:r w:rsidRPr="005D6D89">
        <w:t>ocuses on Priority Risk H2: Risks of exacerbating existing inequities and creating new and additional inequities</w:t>
      </w:r>
      <w:r w:rsidR="00A375E3">
        <w:t>,</w:t>
      </w:r>
      <w:r w:rsidRPr="005D6D89">
        <w:t xml:space="preserve"> due to differential distribution of climate change impacts (</w:t>
      </w:r>
      <w:hyperlink w:anchor="box5" w:history="1">
        <w:r w:rsidRPr="005C2010">
          <w:rPr>
            <w:rStyle w:val="Hyperlink"/>
          </w:rPr>
          <w:t xml:space="preserve">Box </w:t>
        </w:r>
        <w:r w:rsidR="005C2010" w:rsidRPr="005C2010">
          <w:rPr>
            <w:rStyle w:val="Hyperlink"/>
          </w:rPr>
          <w:t>5</w:t>
        </w:r>
      </w:hyperlink>
      <w:r w:rsidRPr="005D6D89">
        <w:t>).</w:t>
      </w:r>
    </w:p>
    <w:p w14:paraId="48D7A04C" w14:textId="77777777" w:rsidR="00060EF6" w:rsidRPr="005D6D89" w:rsidRDefault="007D6DC7" w:rsidP="00A92FC7">
      <w:pPr>
        <w:pStyle w:val="Boxheadings"/>
        <w:spacing w:after="200"/>
      </w:pPr>
      <w:bookmarkStart w:id="502" w:name="box4"/>
      <w:bookmarkStart w:id="503" w:name="_Toc34392478"/>
      <w:bookmarkStart w:id="504" w:name="_Toc43201227"/>
      <w:r w:rsidRPr="005D6D89">
        <w:t>Box</w:t>
      </w:r>
      <w:bookmarkEnd w:id="502"/>
      <w:r w:rsidRPr="005D6D89">
        <w:t xml:space="preserve"> </w:t>
      </w:r>
      <w:r w:rsidR="00363E66" w:rsidRPr="005D6D89">
        <w:t>4</w:t>
      </w:r>
      <w:r w:rsidRPr="005D6D89">
        <w:t>:</w:t>
      </w:r>
      <w:r w:rsidRPr="005D6D89">
        <w:tab/>
        <w:t>Case study: Cascading impacts and interdependencies</w:t>
      </w:r>
      <w:bookmarkEnd w:id="503"/>
      <w:bookmarkEnd w:id="504"/>
    </w:p>
    <w:tbl>
      <w:tblPr>
        <w:tblStyle w:val="TableGrid"/>
        <w:tblW w:w="8613" w:type="dxa"/>
        <w:tblInd w:w="108"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613"/>
      </w:tblGrid>
      <w:tr w:rsidR="008C2073" w:rsidRPr="005D6D89" w14:paraId="4157AF3E" w14:textId="77777777" w:rsidTr="00A92FC7">
        <w:tc>
          <w:tcPr>
            <w:tcW w:w="8613" w:type="dxa"/>
            <w:shd w:val="clear" w:color="auto" w:fill="D2DDE2"/>
          </w:tcPr>
          <w:p w14:paraId="132D62B2" w14:textId="77777777" w:rsidR="008C2073" w:rsidRPr="005D6D89" w:rsidRDefault="008C2073" w:rsidP="009E586B">
            <w:pPr>
              <w:pStyle w:val="Blueboxheading"/>
              <w:keepNext w:val="0"/>
            </w:pPr>
            <w:r w:rsidRPr="005D6D89">
              <w:t xml:space="preserve">What is a cascading impact? </w:t>
            </w:r>
          </w:p>
          <w:p w14:paraId="4F300D65" w14:textId="77777777" w:rsidR="008C2073" w:rsidRPr="005D6D89" w:rsidRDefault="008C2073" w:rsidP="009518ED">
            <w:pPr>
              <w:pStyle w:val="Blueboxtext"/>
              <w:spacing w:after="0"/>
            </w:pPr>
            <w:r w:rsidRPr="005D6D89">
              <w:t>The NCCRA framework describes cascading impacts as a chain of events “where a primary threat is followed by a dynamic sequence of secondary hazards”. For example, floods can badly damage roads</w:t>
            </w:r>
            <w:r w:rsidR="00A375E3">
              <w:t>,</w:t>
            </w:r>
            <w:r w:rsidRPr="005D6D89">
              <w:t xml:space="preserve"> and compromise electricity grids and potable water supply. Damage could disrupt tourism and supply chains, with flow-on to other </w:t>
            </w:r>
            <w:hyperlink w:anchor="valuedomain" w:history="1">
              <w:r w:rsidRPr="00E80827">
                <w:rPr>
                  <w:rStyle w:val="Hyperlink"/>
                </w:rPr>
                <w:t>value domains</w:t>
              </w:r>
            </w:hyperlink>
            <w:r w:rsidRPr="00E80827">
              <w:t>.</w:t>
            </w:r>
            <w:r w:rsidRPr="005D6D89">
              <w:t xml:space="preserve"> Similarly, a rise in groundwater levels can cause household dampness and mould, unstable road foundations and increased liquefaction potential, with a cumulative effect on many domains and sectors (Ministry for the Environment, 2017c). </w:t>
            </w:r>
          </w:p>
          <w:p w14:paraId="017EC784" w14:textId="77777777" w:rsidR="008C2073" w:rsidRPr="005D6D89" w:rsidRDefault="008C2073" w:rsidP="00ED3640">
            <w:pPr>
              <w:pStyle w:val="Blueboxheading"/>
            </w:pPr>
            <w:r w:rsidRPr="005D6D89">
              <w:t>Why are cascading impacts relevant to the NCCRA?</w:t>
            </w:r>
          </w:p>
          <w:p w14:paraId="77B8D509" w14:textId="77777777" w:rsidR="008C2073" w:rsidRPr="005D6D89" w:rsidRDefault="008C2073" w:rsidP="009518ED">
            <w:pPr>
              <w:pStyle w:val="Blueboxtext"/>
              <w:spacing w:after="0"/>
            </w:pPr>
            <w:r w:rsidRPr="005D6D89">
              <w:t xml:space="preserve">Applying the concept of cascading impacts to climate change is still in its infancy. So too is the understanding of how impacts will cascade through domains and subsystems (Adger et al, 2009; Eakin et al,2009; Lawrence et al, 2016). </w:t>
            </w:r>
          </w:p>
          <w:p w14:paraId="08D1C26B" w14:textId="77777777" w:rsidR="008C2073" w:rsidRPr="005D6D89" w:rsidRDefault="008C2073" w:rsidP="009518ED">
            <w:pPr>
              <w:pStyle w:val="Blueboxtext"/>
              <w:spacing w:after="0"/>
            </w:pPr>
            <w:r w:rsidRPr="005D6D89">
              <w:t>Cascading impacts challenge traditional risk assessment, which tends to consider each risk in</w:t>
            </w:r>
            <w:r w:rsidR="000B1D3A" w:rsidRPr="005D6D89">
              <w:t> </w:t>
            </w:r>
            <w:r w:rsidRPr="005D6D89">
              <w:t>isolation. However, the NCCRA value domains are interlinked – impacts on one could flow on</w:t>
            </w:r>
            <w:r w:rsidR="000B1D3A" w:rsidRPr="005D6D89">
              <w:t> </w:t>
            </w:r>
            <w:r w:rsidRPr="005D6D89">
              <w:t>to</w:t>
            </w:r>
            <w:r w:rsidR="000B1D3A" w:rsidRPr="005D6D89">
              <w:t> </w:t>
            </w:r>
            <w:r w:rsidRPr="005D6D89">
              <w:t xml:space="preserve">others. </w:t>
            </w:r>
          </w:p>
          <w:p w14:paraId="721C4388" w14:textId="77777777" w:rsidR="008C2073" w:rsidRPr="005D6D89" w:rsidRDefault="008C2073" w:rsidP="00A375E3">
            <w:pPr>
              <w:pStyle w:val="Blueboxtext"/>
              <w:spacing w:after="240"/>
            </w:pPr>
            <w:r w:rsidRPr="005D6D89">
              <w:t xml:space="preserve">Cascades may create feedback loops </w:t>
            </w:r>
            <w:r w:rsidR="00A375E3">
              <w:t>that</w:t>
            </w:r>
            <w:r w:rsidR="00A375E3" w:rsidRPr="005D6D89">
              <w:t xml:space="preserve"> </w:t>
            </w:r>
            <w:r w:rsidRPr="005D6D89">
              <w:t xml:space="preserve">compound the impacts over time. This raises the prospect of catastrophic risks (Clarke et al, 2018), with implications for adaptation planning and preparedness. Framing risks as cascading can help clarify and address these feedback loops. Literature on teleconnections, where impacts in one location affect another at some distance, shows that impacts will be wider than expected (Adger et al, 2009; Eakin et al, 2009; Liu et al, 2013; Moser and Hart, 2015). </w:t>
            </w:r>
          </w:p>
        </w:tc>
      </w:tr>
      <w:tr w:rsidR="00BA53CF" w:rsidRPr="005D6D89" w14:paraId="0FC84157" w14:textId="77777777" w:rsidTr="00BA53CF">
        <w:trPr>
          <w:trHeight w:val="1380"/>
        </w:trPr>
        <w:tc>
          <w:tcPr>
            <w:tcW w:w="8613" w:type="dxa"/>
            <w:shd w:val="clear" w:color="auto" w:fill="D2DDE2"/>
          </w:tcPr>
          <w:p w14:paraId="5BEABAA8" w14:textId="77777777" w:rsidR="00BA53CF" w:rsidRPr="005D6D89" w:rsidRDefault="00BA53CF" w:rsidP="00BA53CF">
            <w:pPr>
              <w:pStyle w:val="Blueboxheading"/>
            </w:pPr>
            <w:r w:rsidRPr="005D6D89">
              <w:t>Cascading impacts from risks to wastewater and stormwater systems (Risk B4)</w:t>
            </w:r>
          </w:p>
          <w:p w14:paraId="5707B6C4" w14:textId="77777777" w:rsidR="00BA53CF" w:rsidRPr="005D6D89" w:rsidRDefault="00BA53CF" w:rsidP="00BA53CF">
            <w:pPr>
              <w:pStyle w:val="Figureheading"/>
              <w:ind w:left="1418" w:right="284"/>
              <w:rPr>
                <w:color w:val="1C556C" w:themeColor="accent1"/>
              </w:rPr>
            </w:pPr>
            <w:bookmarkStart w:id="505" w:name="_Toc43312901"/>
            <w:r w:rsidRPr="005D6D89">
              <w:rPr>
                <w:color w:val="1C556C" w:themeColor="accent1"/>
              </w:rPr>
              <w:t xml:space="preserve">Figure </w:t>
            </w:r>
            <w:r w:rsidR="001C372B" w:rsidRPr="005D6D89">
              <w:rPr>
                <w:color w:val="1C556C" w:themeColor="accent1"/>
              </w:rPr>
              <w:t>10</w:t>
            </w:r>
            <w:r w:rsidRPr="005D6D89">
              <w:rPr>
                <w:color w:val="1C556C" w:themeColor="accent1"/>
              </w:rPr>
              <w:t>:</w:t>
            </w:r>
            <w:r w:rsidRPr="005D6D89">
              <w:rPr>
                <w:color w:val="1C556C" w:themeColor="accent1"/>
              </w:rPr>
              <w:tab/>
              <w:t>Cascading systems loop – Risks to wastewater and stormwater systems (rainfall</w:t>
            </w:r>
            <w:r w:rsidR="006B77B7">
              <w:rPr>
                <w:color w:val="1C556C" w:themeColor="accent1"/>
              </w:rPr>
              <w:t> </w:t>
            </w:r>
            <w:r w:rsidRPr="005D6D89">
              <w:rPr>
                <w:color w:val="1C556C" w:themeColor="accent1"/>
              </w:rPr>
              <w:t>only) (</w:t>
            </w:r>
            <w:r w:rsidRPr="009079BF">
              <w:rPr>
                <w:color w:val="1C556C" w:themeColor="accent1"/>
              </w:rPr>
              <w:t>Risk B4</w:t>
            </w:r>
            <w:r w:rsidRPr="005D6D89">
              <w:rPr>
                <w:color w:val="1C556C" w:themeColor="accent1"/>
              </w:rPr>
              <w:t>)</w:t>
            </w:r>
            <w:bookmarkEnd w:id="505"/>
          </w:p>
          <w:p w14:paraId="5DFB6115" w14:textId="77777777" w:rsidR="00BA53CF" w:rsidRPr="005D6D89" w:rsidRDefault="00BA53CF" w:rsidP="00BA53CF">
            <w:pPr>
              <w:pStyle w:val="Blueboxtext"/>
            </w:pPr>
            <w:r w:rsidRPr="005D6D89">
              <w:rPr>
                <w:noProof/>
              </w:rPr>
              <w:drawing>
                <wp:inline distT="0" distB="0" distL="0" distR="0" wp14:anchorId="1685C63A" wp14:editId="25126A3A">
                  <wp:extent cx="4938508" cy="3164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duotone>
                              <a:schemeClr val="accent2">
                                <a:shade val="45000"/>
                                <a:satMod val="135000"/>
                              </a:schemeClr>
                              <a:prstClr val="white"/>
                            </a:duotone>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4963386" cy="3180783"/>
                          </a:xfrm>
                          <a:prstGeom prst="rect">
                            <a:avLst/>
                          </a:prstGeom>
                        </pic:spPr>
                      </pic:pic>
                    </a:graphicData>
                  </a:graphic>
                </wp:inline>
              </w:drawing>
            </w:r>
          </w:p>
        </w:tc>
      </w:tr>
      <w:tr w:rsidR="00BA53CF" w:rsidRPr="005D6D89" w14:paraId="1111F99B" w14:textId="77777777" w:rsidTr="009E586B">
        <w:trPr>
          <w:trHeight w:val="396"/>
        </w:trPr>
        <w:tc>
          <w:tcPr>
            <w:tcW w:w="8613" w:type="dxa"/>
            <w:shd w:val="clear" w:color="auto" w:fill="D2DDE2"/>
          </w:tcPr>
          <w:p w14:paraId="107F70DD" w14:textId="77777777" w:rsidR="00BA53CF" w:rsidRPr="005D6D89" w:rsidRDefault="00BA53CF" w:rsidP="009518ED">
            <w:pPr>
              <w:pStyle w:val="Blueboxtext"/>
              <w:spacing w:after="0"/>
            </w:pPr>
            <w:r w:rsidRPr="005D6D89">
              <w:t xml:space="preserve">Figure </w:t>
            </w:r>
            <w:r w:rsidR="001C372B" w:rsidRPr="005D6D89">
              <w:t>10</w:t>
            </w:r>
            <w:r w:rsidRPr="005D6D89">
              <w:t xml:space="preserve"> shows the flow-on effects when extreme rainfall overwhelms stormwater systems. It </w:t>
            </w:r>
            <w:proofErr w:type="gramStart"/>
            <w:r w:rsidRPr="005D6D89">
              <w:t>is based</w:t>
            </w:r>
            <w:proofErr w:type="gramEnd"/>
            <w:r w:rsidRPr="005D6D89">
              <w:t xml:space="preserve"> on </w:t>
            </w:r>
            <w:r w:rsidR="00CD04EF">
              <w:t>cascading system diagrams</w:t>
            </w:r>
            <w:r w:rsidR="00CD04EF" w:rsidRPr="005D6D89">
              <w:t xml:space="preserve"> </w:t>
            </w:r>
            <w:r w:rsidRPr="005D6D89">
              <w:t xml:space="preserve">developed by Lawrence et al (2018). </w:t>
            </w:r>
          </w:p>
          <w:p w14:paraId="041981FD" w14:textId="77777777" w:rsidR="00BA53CF" w:rsidRPr="005D6D89" w:rsidRDefault="00BA53CF" w:rsidP="009518ED">
            <w:pPr>
              <w:pStyle w:val="Blueboxtext"/>
              <w:spacing w:after="0"/>
            </w:pPr>
            <w:r w:rsidRPr="005D6D89">
              <w:t xml:space="preserve">Cascading effects could include frustration in the community from repeat flooding, the disruption and cost of evacuations, and increased pressure to take adaptation action. Appropriate and timely action depends on adequate local government funding, which might include </w:t>
            </w:r>
            <w:r w:rsidR="007B0FC9" w:rsidRPr="005D6D89">
              <w:t>cost sharing</w:t>
            </w:r>
            <w:r w:rsidRPr="005D6D89">
              <w:t xml:space="preserve"> with communities, the Government and the private sector. </w:t>
            </w:r>
          </w:p>
          <w:p w14:paraId="619C871F" w14:textId="77777777" w:rsidR="00BA53CF" w:rsidRPr="005D6D89" w:rsidRDefault="00BA53CF" w:rsidP="009518ED">
            <w:pPr>
              <w:pStyle w:val="Blueboxtext"/>
              <w:spacing w:after="0"/>
            </w:pPr>
            <w:r w:rsidRPr="005D6D89">
              <w:t>The cascade is not likely to end with a single circuit, because of the increasing frequency of extreme rainfall events. Rather, each event will trigger the same set of impacts until either an adaptive action occurs, and a new system emerges, or the community has to live with a stormwater system that is overwhelmed more often. Over time, the more frequent the failure, the greater the impacts on the community. The impacts and implications cascade across different domains and intensify over time.</w:t>
            </w:r>
            <w:r w:rsidR="00027F9F" w:rsidRPr="005D6D89">
              <w:t xml:space="preserve"> </w:t>
            </w:r>
          </w:p>
          <w:p w14:paraId="4CF8A3A7" w14:textId="77777777" w:rsidR="00BA53CF" w:rsidRPr="005D6D89" w:rsidRDefault="00BA53CF" w:rsidP="009518ED">
            <w:pPr>
              <w:pStyle w:val="Blueboxheading"/>
            </w:pPr>
            <w:r w:rsidRPr="005D6D89">
              <w:t>Implications for future NCCRAs</w:t>
            </w:r>
          </w:p>
          <w:p w14:paraId="79AB0D04" w14:textId="77777777" w:rsidR="00BA53CF" w:rsidRPr="005D6D89" w:rsidRDefault="00BA53CF" w:rsidP="00BA53CF">
            <w:pPr>
              <w:pStyle w:val="Blueboxtext"/>
            </w:pPr>
            <w:r w:rsidRPr="005D6D89">
              <w:t xml:space="preserve">Using cascades as scenarios can support a more holistic understanding of the consequences of climate risks, for example through: </w:t>
            </w:r>
          </w:p>
          <w:p w14:paraId="321F3A01" w14:textId="77777777" w:rsidR="00BA53CF" w:rsidRPr="005D6D89" w:rsidRDefault="00BA53CF" w:rsidP="00BA53CF">
            <w:pPr>
              <w:pStyle w:val="Blue-boxbullet"/>
            </w:pPr>
            <w:r w:rsidRPr="005D6D89">
              <w:t>identifying the links between domains, and between climate change variables and hazards</w:t>
            </w:r>
          </w:p>
          <w:p w14:paraId="73011366" w14:textId="77777777" w:rsidR="00BA53CF" w:rsidRPr="005D6D89" w:rsidRDefault="00BA53CF" w:rsidP="00BA53CF">
            <w:pPr>
              <w:pStyle w:val="Blue-boxbullet"/>
            </w:pPr>
            <w:r w:rsidRPr="005D6D89">
              <w:t>a richer assessment of the risks than via traditional methods</w:t>
            </w:r>
          </w:p>
          <w:p w14:paraId="0B52247F" w14:textId="77777777" w:rsidR="00BA53CF" w:rsidRPr="005D6D89" w:rsidRDefault="001200EA" w:rsidP="009518ED">
            <w:pPr>
              <w:pStyle w:val="Blue-boxbullet"/>
              <w:spacing w:after="0"/>
            </w:pPr>
            <w:r>
              <w:t>‘</w:t>
            </w:r>
            <w:proofErr w:type="gramStart"/>
            <w:r w:rsidR="00BA53CF" w:rsidRPr="005D6D89">
              <w:t>stress-testing</w:t>
            </w:r>
            <w:proofErr w:type="gramEnd"/>
            <w:r>
              <w:t>’</w:t>
            </w:r>
            <w:r w:rsidR="00BA53CF" w:rsidRPr="005D6D89">
              <w:t xml:space="preserve"> of risk assumptions. </w:t>
            </w:r>
          </w:p>
          <w:p w14:paraId="694EDA1A" w14:textId="77777777" w:rsidR="00BA53CF" w:rsidRPr="005D6D89" w:rsidRDefault="00BA53CF" w:rsidP="009518ED">
            <w:pPr>
              <w:pStyle w:val="Blueboxtext"/>
              <w:spacing w:after="240"/>
            </w:pPr>
            <w:r w:rsidRPr="005D6D89">
              <w:t xml:space="preserve">This will foster the design of adaptation responses that are flexible yet robust under different future conditions. The challenge of assessing cascading risks </w:t>
            </w:r>
            <w:proofErr w:type="gramStart"/>
            <w:r w:rsidRPr="005D6D89">
              <w:t>has been acknowledged</w:t>
            </w:r>
            <w:proofErr w:type="gramEnd"/>
            <w:r w:rsidRPr="005D6D89">
              <w:t xml:space="preserve"> by other NCCRAs, including the </w:t>
            </w:r>
            <w:r w:rsidRPr="005D6D89">
              <w:rPr>
                <w:i/>
              </w:rPr>
              <w:t>United States Fourth National Climate Change Risk Assessment</w:t>
            </w:r>
            <w:r w:rsidRPr="005D6D89">
              <w:t xml:space="preserve">, which concludes that “characterizing the nature of such interactions and building the capacity to model them are important research challenges” (Clarke </w:t>
            </w:r>
            <w:r w:rsidR="00226961">
              <w:t>et al</w:t>
            </w:r>
            <w:r w:rsidRPr="005D6D89">
              <w:t xml:space="preserve"> 2018). Future NCCRAs could consider new approaches that facilitate this. </w:t>
            </w:r>
          </w:p>
        </w:tc>
      </w:tr>
    </w:tbl>
    <w:p w14:paraId="79A160D5" w14:textId="77777777" w:rsidR="008C2073" w:rsidRPr="005D6D89" w:rsidRDefault="00C132A7" w:rsidP="00A92FC7">
      <w:pPr>
        <w:pStyle w:val="Boxheadings"/>
        <w:spacing w:after="160"/>
      </w:pPr>
      <w:bookmarkStart w:id="506" w:name="box5"/>
      <w:bookmarkStart w:id="507" w:name="_Toc43201228"/>
      <w:r w:rsidRPr="005D6D89">
        <w:t xml:space="preserve">Box </w:t>
      </w:r>
      <w:r w:rsidR="007E5614" w:rsidRPr="005D6D89">
        <w:t>5</w:t>
      </w:r>
      <w:bookmarkEnd w:id="506"/>
      <w:r w:rsidR="007E5614" w:rsidRPr="005D6D89">
        <w:t>:</w:t>
      </w:r>
      <w:r w:rsidRPr="005D6D89">
        <w:tab/>
        <w:t>Case study: Socio-economic trends and projections</w:t>
      </w:r>
      <w:bookmarkEnd w:id="507"/>
    </w:p>
    <w:tbl>
      <w:tblPr>
        <w:tblStyle w:val="TableGrid"/>
        <w:tblW w:w="0" w:type="auto"/>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495"/>
      </w:tblGrid>
      <w:tr w:rsidR="00A92FC7" w:rsidRPr="005D6D89" w14:paraId="165A1113" w14:textId="77777777" w:rsidTr="008F7E88">
        <w:tc>
          <w:tcPr>
            <w:tcW w:w="8721" w:type="dxa"/>
            <w:shd w:val="clear" w:color="auto" w:fill="D2DDE2"/>
            <w:hideMark/>
          </w:tcPr>
          <w:p w14:paraId="3F0CCE0E" w14:textId="77777777" w:rsidR="00A92FC7" w:rsidRPr="005D6D89" w:rsidRDefault="00A92FC7" w:rsidP="00EE7EFE">
            <w:pPr>
              <w:pStyle w:val="Blueboxheading"/>
            </w:pPr>
            <w:r w:rsidRPr="005D6D89">
              <w:t>Why are socio-economic factors relevant to the NCCRA?</w:t>
            </w:r>
            <w:r w:rsidR="00027F9F" w:rsidRPr="005D6D89">
              <w:t xml:space="preserve"> </w:t>
            </w:r>
          </w:p>
          <w:p w14:paraId="6949C088" w14:textId="77777777" w:rsidR="00A92FC7" w:rsidRPr="005D6D89" w:rsidRDefault="00A92FC7" w:rsidP="00EE7EFE">
            <w:pPr>
              <w:pStyle w:val="Blueboxtext"/>
              <w:spacing w:after="0"/>
            </w:pPr>
            <w:r w:rsidRPr="005D6D89">
              <w:t>Socio-economic factors, such as economic growth, population and demographics, could influence</w:t>
            </w:r>
            <w:r w:rsidR="00BE0C04">
              <w:t> </w:t>
            </w:r>
            <w:r w:rsidRPr="005D6D89">
              <w:t>future vulnerability. Even in the absence of climate change, they could alter levels of risk to many</w:t>
            </w:r>
            <w:r w:rsidR="00EE7EFE" w:rsidRPr="005D6D89">
              <w:t> </w:t>
            </w:r>
            <w:r w:rsidRPr="005D6D89">
              <w:t xml:space="preserve">of the hazards in this NCCRA. For example, changing land use has increased flood risk (Warren et al, 2016). </w:t>
            </w:r>
          </w:p>
          <w:p w14:paraId="4D6C0C41" w14:textId="77777777" w:rsidR="00A92FC7" w:rsidRPr="005D6D89" w:rsidRDefault="00A92FC7" w:rsidP="00EE7EFE">
            <w:pPr>
              <w:pStyle w:val="Blueboxtext"/>
              <w:spacing w:after="0"/>
            </w:pPr>
            <w:r w:rsidRPr="005D6D89">
              <w:t xml:space="preserve">Since the exact future socio-economic pathway </w:t>
            </w:r>
            <w:proofErr w:type="gramStart"/>
            <w:r w:rsidRPr="005D6D89">
              <w:t>cannot be known</w:t>
            </w:r>
            <w:proofErr w:type="gramEnd"/>
            <w:r w:rsidRPr="005D6D89">
              <w:t>, it is necessary to use scenarios</w:t>
            </w:r>
            <w:r w:rsidR="00EE7EFE" w:rsidRPr="005D6D89">
              <w:t> </w:t>
            </w:r>
            <w:r w:rsidRPr="005D6D89">
              <w:t>of plausible futures. The socio-economic variables typically considered in other NCCRAs</w:t>
            </w:r>
            <w:r w:rsidR="00EE7EFE" w:rsidRPr="005D6D89">
              <w:t> </w:t>
            </w:r>
            <w:r w:rsidRPr="005D6D89">
              <w:t>are population, GDP and land-use change. There is currently limited experience applying</w:t>
            </w:r>
            <w:r w:rsidR="00EE7EFE" w:rsidRPr="005D6D89">
              <w:t> </w:t>
            </w:r>
            <w:r w:rsidRPr="005D6D89">
              <w:t>socio-economic scenarios to understand climate change impacts in New Zealand (Warren et al,</w:t>
            </w:r>
            <w:r w:rsidR="00EE7EFE" w:rsidRPr="005D6D89">
              <w:t> </w:t>
            </w:r>
            <w:r w:rsidRPr="005D6D89">
              <w:t>2016)</w:t>
            </w:r>
            <w:r w:rsidR="00A375E3">
              <w:t>.</w:t>
            </w:r>
          </w:p>
          <w:p w14:paraId="451EF434" w14:textId="77777777" w:rsidR="00A92FC7" w:rsidRPr="005D6D89" w:rsidRDefault="00A92FC7" w:rsidP="00EE7EFE">
            <w:pPr>
              <w:pStyle w:val="Blueboxheading"/>
            </w:pPr>
            <w:r w:rsidRPr="005D6D89">
              <w:t xml:space="preserve">Socio-economic factors in </w:t>
            </w:r>
            <w:r w:rsidRPr="009079BF">
              <w:t>Risk H2</w:t>
            </w:r>
            <w:r w:rsidR="00530DB8" w:rsidRPr="009079BF">
              <w:t xml:space="preserve"> (page 60)</w:t>
            </w:r>
            <w:r w:rsidRPr="005D6D89">
              <w:t xml:space="preserve">: Exacerbating inequities and creating new ones </w:t>
            </w:r>
          </w:p>
          <w:p w14:paraId="4F8B3985" w14:textId="77777777" w:rsidR="00AF21B8" w:rsidRDefault="00A92FC7" w:rsidP="00EE7EFE">
            <w:pPr>
              <w:pStyle w:val="Blueboxtext"/>
              <w:spacing w:after="0"/>
            </w:pPr>
            <w:r w:rsidRPr="005D6D89">
              <w:t xml:space="preserve">The effects of climate change </w:t>
            </w:r>
            <w:proofErr w:type="gramStart"/>
            <w:r w:rsidR="00AF21B8">
              <w:t xml:space="preserve">are </w:t>
            </w:r>
            <w:r w:rsidRPr="005D6D89">
              <w:t>not spread</w:t>
            </w:r>
            <w:proofErr w:type="gramEnd"/>
            <w:r w:rsidRPr="005D6D89">
              <w:t xml:space="preserve"> evenly across the population. Access to resources </w:t>
            </w:r>
            <w:r w:rsidR="00A375E3">
              <w:t xml:space="preserve">to meet </w:t>
            </w:r>
            <w:r w:rsidRPr="005D6D89">
              <w:t xml:space="preserve">individual, family and community wants and needs is already unequal. Some groups are marginalised, with poorer social outcomes (eg, in health, employment, </w:t>
            </w:r>
            <w:r w:rsidR="00A375E3">
              <w:t xml:space="preserve">and </w:t>
            </w:r>
            <w:r w:rsidRPr="005D6D89">
              <w:t xml:space="preserve">access to education or welfare and support services). Climate change is likely to exacerbate these inequities, and generate new ones. </w:t>
            </w:r>
          </w:p>
          <w:p w14:paraId="2B2A79DC" w14:textId="77777777" w:rsidR="00A92FC7" w:rsidRPr="005D6D89" w:rsidRDefault="00A92FC7" w:rsidP="00EE7EFE">
            <w:pPr>
              <w:pStyle w:val="Blueboxtext"/>
              <w:spacing w:after="0"/>
            </w:pPr>
            <w:r w:rsidRPr="005D6D89">
              <w:t>Islam and Winkel (2017) identify three channels for the higher impact of climate change on the disadvantaged: greater exposure to the adverse effects; higher sensitivity to damage</w:t>
            </w:r>
            <w:proofErr w:type="gramStart"/>
            <w:r w:rsidRPr="005D6D89">
              <w:t>;</w:t>
            </w:r>
            <w:proofErr w:type="gramEnd"/>
            <w:r w:rsidRPr="005D6D89">
              <w:t xml:space="preserve"> </w:t>
            </w:r>
            <w:r w:rsidR="00AF21B8">
              <w:t xml:space="preserve">and </w:t>
            </w:r>
            <w:r w:rsidRPr="005D6D89">
              <w:t xml:space="preserve">less ability to cope and recover. Each channel </w:t>
            </w:r>
            <w:proofErr w:type="gramStart"/>
            <w:r w:rsidRPr="005D6D89">
              <w:t>is influenced</w:t>
            </w:r>
            <w:proofErr w:type="gramEnd"/>
            <w:r w:rsidRPr="005D6D89">
              <w:t xml:space="preserve"> by socio-economic factors.</w:t>
            </w:r>
            <w:r w:rsidR="00027F9F" w:rsidRPr="005D6D89">
              <w:t xml:space="preserve"> </w:t>
            </w:r>
          </w:p>
          <w:p w14:paraId="1791BEE5" w14:textId="77777777" w:rsidR="00A92FC7" w:rsidRPr="005D6D89" w:rsidRDefault="00A92FC7" w:rsidP="00EE7EFE">
            <w:pPr>
              <w:pStyle w:val="Blueboxheading"/>
              <w:rPr>
                <w:b w:val="0"/>
                <w:bCs/>
                <w:i/>
                <w:iCs/>
              </w:rPr>
            </w:pPr>
            <w:r w:rsidRPr="005D6D89">
              <w:rPr>
                <w:b w:val="0"/>
                <w:bCs/>
                <w:i/>
                <w:iCs/>
              </w:rPr>
              <w:t xml:space="preserve">Exposure of disadvantaged groups to adverse effects </w:t>
            </w:r>
          </w:p>
          <w:p w14:paraId="4D552617" w14:textId="77777777" w:rsidR="00A92FC7" w:rsidRPr="005D6D89" w:rsidRDefault="00A92FC7" w:rsidP="00EE7EFE">
            <w:pPr>
              <w:pStyle w:val="Blueboxtext"/>
              <w:spacing w:after="0"/>
            </w:pPr>
            <w:r w:rsidRPr="005D6D89">
              <w:t>Most of New Zealand</w:t>
            </w:r>
            <w:r w:rsidR="001200EA">
              <w:t>’</w:t>
            </w:r>
            <w:r w:rsidRPr="005D6D89">
              <w:t xml:space="preserve">s main centres are on the coast or on the floodplains of major rivers. The population </w:t>
            </w:r>
            <w:proofErr w:type="gramStart"/>
            <w:r w:rsidRPr="005D6D89">
              <w:t>is expected</w:t>
            </w:r>
            <w:proofErr w:type="gramEnd"/>
            <w:r w:rsidRPr="005D6D89">
              <w:t xml:space="preserve"> to further concentrate in cities. By 2050, 40 per cent of people will live in Auckland (30 per cent currently). Other cities</w:t>
            </w:r>
            <w:r w:rsidR="00AF21B8">
              <w:t>,</w:t>
            </w:r>
            <w:r w:rsidRPr="005D6D89">
              <w:t xml:space="preserve"> including Wellington</w:t>
            </w:r>
            <w:r w:rsidR="00AF21B8">
              <w:t>,</w:t>
            </w:r>
            <w:r w:rsidRPr="005D6D89">
              <w:t xml:space="preserve"> </w:t>
            </w:r>
            <w:proofErr w:type="gramStart"/>
            <w:r w:rsidRPr="005D6D89">
              <w:t>are also expected</w:t>
            </w:r>
            <w:proofErr w:type="gramEnd"/>
            <w:r w:rsidRPr="005D6D89">
              <w:t xml:space="preserve"> to grow. Forecast population growth for Wellington in the next 25 years is 1.9 per cent per annum (Wellington City Council, 2016). By 2050, the working age population will need to support almost double the number of people aged over 65 (LGNZ, 2016). The aging population in main centres is likely to increase significantly over the next few decades, increasing their exposure to impacts such as sea-level rise and coastal flooding (Royal Society of New Zealand</w:t>
            </w:r>
            <w:r w:rsidR="00AF21B8">
              <w:t>,</w:t>
            </w:r>
            <w:r w:rsidRPr="005D6D89">
              <w:t xml:space="preserve"> 2014). </w:t>
            </w:r>
          </w:p>
          <w:p w14:paraId="56A32475" w14:textId="77777777" w:rsidR="00A92FC7" w:rsidRPr="005D6D89" w:rsidRDefault="00A92FC7" w:rsidP="00EE7EFE">
            <w:pPr>
              <w:pStyle w:val="Blueboxheading"/>
              <w:rPr>
                <w:b w:val="0"/>
                <w:bCs/>
                <w:i/>
                <w:iCs/>
              </w:rPr>
            </w:pPr>
            <w:r w:rsidRPr="005D6D89">
              <w:rPr>
                <w:b w:val="0"/>
                <w:bCs/>
                <w:i/>
                <w:iCs/>
              </w:rPr>
              <w:t xml:space="preserve">Increase in </w:t>
            </w:r>
            <w:r w:rsidR="00AF21B8">
              <w:rPr>
                <w:b w:val="0"/>
                <w:bCs/>
                <w:i/>
                <w:iCs/>
              </w:rPr>
              <w:t>disadvantaged groups’</w:t>
            </w:r>
            <w:r w:rsidR="00AF21B8" w:rsidRPr="005D6D89">
              <w:rPr>
                <w:b w:val="0"/>
                <w:bCs/>
                <w:i/>
                <w:iCs/>
              </w:rPr>
              <w:t xml:space="preserve"> </w:t>
            </w:r>
            <w:r w:rsidRPr="005D6D89">
              <w:rPr>
                <w:b w:val="0"/>
                <w:bCs/>
                <w:i/>
                <w:iCs/>
              </w:rPr>
              <w:t xml:space="preserve">sensitivity to damage </w:t>
            </w:r>
          </w:p>
          <w:p w14:paraId="4BBA901E" w14:textId="77777777" w:rsidR="00A92FC7" w:rsidRPr="005D6D89" w:rsidRDefault="00A92FC7" w:rsidP="00EE7EFE">
            <w:pPr>
              <w:pStyle w:val="Blueboxtext"/>
              <w:spacing w:after="0"/>
            </w:pPr>
            <w:r w:rsidRPr="005D6D89">
              <w:t>Given the same level of exposure, disadvantaged groups are generally more sensitive to damage</w:t>
            </w:r>
            <w:r w:rsidR="00EE7EFE" w:rsidRPr="005D6D89">
              <w:t> </w:t>
            </w:r>
            <w:r w:rsidRPr="005D6D89">
              <w:t>from climate hazards (Islam and Winkel, 2017). Unsurprisingly, both the young and elderly are more sensitive. New Zealand</w:t>
            </w:r>
            <w:r w:rsidR="001200EA">
              <w:t>’</w:t>
            </w:r>
            <w:r w:rsidRPr="005D6D89">
              <w:t xml:space="preserve">s population is ageing and the ethnic composition </w:t>
            </w:r>
            <w:proofErr w:type="gramStart"/>
            <w:r w:rsidRPr="005D6D89">
              <w:t>is also</w:t>
            </w:r>
            <w:proofErr w:type="gramEnd"/>
            <w:r w:rsidR="00EE7EFE" w:rsidRPr="005D6D89">
              <w:t> </w:t>
            </w:r>
            <w:r w:rsidRPr="005D6D89">
              <w:t>changing, with an increase in the proportion of Māori, Pacific and Asian ethnic groups (Smeith and Dunstan, 2004). Māori are among the most vulnerable to climate change, given their</w:t>
            </w:r>
            <w:r w:rsidR="00EE7EFE" w:rsidRPr="005D6D89">
              <w:t> </w:t>
            </w:r>
            <w:r w:rsidRPr="005D6D89">
              <w:t>particular reliance on the environment as a cultural, social and economic resource (Ministry</w:t>
            </w:r>
            <w:r w:rsidR="00EE7EFE" w:rsidRPr="005D6D89">
              <w:t> </w:t>
            </w:r>
            <w:r w:rsidRPr="005D6D89">
              <w:t xml:space="preserve">for the Environment, 2018). </w:t>
            </w:r>
          </w:p>
          <w:p w14:paraId="4F37B327" w14:textId="77777777" w:rsidR="00A92FC7" w:rsidRPr="005D6D89" w:rsidRDefault="00A92FC7" w:rsidP="00EE7EFE">
            <w:pPr>
              <w:pStyle w:val="Blueboxheading"/>
              <w:rPr>
                <w:b w:val="0"/>
                <w:bCs/>
                <w:i/>
                <w:iCs/>
              </w:rPr>
            </w:pPr>
            <w:r w:rsidRPr="005D6D89">
              <w:rPr>
                <w:b w:val="0"/>
                <w:bCs/>
                <w:i/>
                <w:iCs/>
              </w:rPr>
              <w:t xml:space="preserve">Decrease in </w:t>
            </w:r>
            <w:r w:rsidR="00AF21B8">
              <w:rPr>
                <w:b w:val="0"/>
                <w:bCs/>
                <w:i/>
                <w:iCs/>
              </w:rPr>
              <w:t>disadvantaged groups’</w:t>
            </w:r>
            <w:r w:rsidR="00AF21B8" w:rsidRPr="005D6D89">
              <w:rPr>
                <w:b w:val="0"/>
                <w:bCs/>
                <w:i/>
                <w:iCs/>
              </w:rPr>
              <w:t xml:space="preserve"> </w:t>
            </w:r>
            <w:r w:rsidRPr="005D6D89">
              <w:rPr>
                <w:b w:val="0"/>
                <w:bCs/>
                <w:i/>
                <w:iCs/>
              </w:rPr>
              <w:t xml:space="preserve">ability to cope and recover </w:t>
            </w:r>
          </w:p>
          <w:p w14:paraId="26E0BA5C" w14:textId="77777777" w:rsidR="008F7E88" w:rsidRPr="005D6D89" w:rsidRDefault="00A92FC7" w:rsidP="00FC5054">
            <w:pPr>
              <w:pStyle w:val="Blueboxtext"/>
              <w:spacing w:after="240"/>
            </w:pPr>
            <w:r w:rsidRPr="005D6D89">
              <w:t xml:space="preserve">Inequality implies fewer resources for disadvantaged groups to undertake coping and recovery measures. New Zealand is moving away from </w:t>
            </w:r>
            <w:r w:rsidR="001200EA">
              <w:t>‘</w:t>
            </w:r>
            <w:r w:rsidRPr="005D6D89">
              <w:t>9 to 5</w:t>
            </w:r>
            <w:r w:rsidR="001200EA">
              <w:t>’</w:t>
            </w:r>
            <w:r w:rsidRPr="005D6D89">
              <w:t xml:space="preserve"> permanent employment. One-third of workers are not in salaried, full-time jobs. This includes part-time, contracting and multiple jobs. One benefit is that jobs are more flexible (for example</w:t>
            </w:r>
            <w:r w:rsidR="00AF21B8">
              <w:t>,</w:t>
            </w:r>
            <w:r w:rsidRPr="005D6D89">
              <w:t xml:space="preserve"> for those raising children). However, research suggests around half of those in temporary work are not doing so out of choice (LGNZ,</w:t>
            </w:r>
            <w:r w:rsidR="00EE7EFE" w:rsidRPr="005D6D89">
              <w:t> </w:t>
            </w:r>
            <w:r w:rsidRPr="005D6D89">
              <w:t xml:space="preserve">2016). The impact of the Covid-19 pandemic on casual workers reflects the heightened exposure and risk. </w:t>
            </w:r>
          </w:p>
        </w:tc>
      </w:tr>
    </w:tbl>
    <w:p w14:paraId="184DBB7B" w14:textId="77777777" w:rsidR="00FC5054" w:rsidRPr="005D6D89" w:rsidRDefault="00FC5054" w:rsidP="00FC5054">
      <w:pPr>
        <w:spacing w:before="0" w:after="0"/>
      </w:pPr>
    </w:p>
    <w:tbl>
      <w:tblPr>
        <w:tblStyle w:val="TableGrid"/>
        <w:tblW w:w="0" w:type="auto"/>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495"/>
      </w:tblGrid>
      <w:tr w:rsidR="00EE7EFE" w:rsidRPr="005D6D89" w14:paraId="10CA4BFA" w14:textId="77777777" w:rsidTr="008F7E88">
        <w:tc>
          <w:tcPr>
            <w:tcW w:w="8721" w:type="dxa"/>
            <w:shd w:val="clear" w:color="auto" w:fill="D2DDE2"/>
          </w:tcPr>
          <w:p w14:paraId="791E0C49" w14:textId="77777777" w:rsidR="00EE7EFE" w:rsidRPr="005D6D89" w:rsidRDefault="00EE7EFE" w:rsidP="006D617B">
            <w:pPr>
              <w:pStyle w:val="Blueboxheading"/>
              <w:spacing w:before="120"/>
              <w:rPr>
                <w:b w:val="0"/>
                <w:bCs/>
              </w:rPr>
            </w:pPr>
            <w:proofErr w:type="gramStart"/>
            <w:r w:rsidRPr="005D6D89">
              <w:rPr>
                <w:b w:val="0"/>
                <w:bCs/>
              </w:rPr>
              <w:t>Automation is also changing the nature of work and could lead to structural changes in employment.</w:t>
            </w:r>
            <w:proofErr w:type="gramEnd"/>
            <w:r w:rsidRPr="005D6D89">
              <w:rPr>
                <w:b w:val="0"/>
                <w:bCs/>
              </w:rPr>
              <w:t xml:space="preserve"> It </w:t>
            </w:r>
            <w:proofErr w:type="gramStart"/>
            <w:r w:rsidRPr="005D6D89">
              <w:rPr>
                <w:b w:val="0"/>
                <w:bCs/>
              </w:rPr>
              <w:t>has been suggested</w:t>
            </w:r>
            <w:proofErr w:type="gramEnd"/>
            <w:r w:rsidRPr="005D6D89">
              <w:rPr>
                <w:b w:val="0"/>
                <w:bCs/>
              </w:rPr>
              <w:t xml:space="preserve"> that 46 per cent of New Zealand jobs are at high risk of automation before 2050 (LGNZ, 2016). The jobs of the future do not appear to be like many of the jobs of the past. Such trends could </w:t>
            </w:r>
            <w:r w:rsidRPr="00530DB8">
              <w:rPr>
                <w:b w:val="0"/>
                <w:bCs/>
              </w:rPr>
              <w:t>reduce</w:t>
            </w:r>
            <w:r w:rsidRPr="005D6D89">
              <w:rPr>
                <w:b w:val="0"/>
                <w:bCs/>
              </w:rPr>
              <w:t xml:space="preserve"> resources for households and communities, in turn reducing their ability to cope and recover from damage. This broadens the inequalities New Zealand could face, compounded by climate impacts. </w:t>
            </w:r>
          </w:p>
        </w:tc>
      </w:tr>
      <w:tr w:rsidR="005B237C" w:rsidRPr="005D6D89" w14:paraId="5DE7E16F" w14:textId="77777777" w:rsidTr="008F7E88">
        <w:tc>
          <w:tcPr>
            <w:tcW w:w="8721" w:type="dxa"/>
            <w:shd w:val="clear" w:color="auto" w:fill="D2DDE2"/>
          </w:tcPr>
          <w:p w14:paraId="3BD1683F" w14:textId="77777777" w:rsidR="005B237C" w:rsidRPr="005D6D89" w:rsidRDefault="005B237C" w:rsidP="006D617B">
            <w:pPr>
              <w:pStyle w:val="Blueboxheading"/>
            </w:pPr>
            <w:r w:rsidRPr="005D6D89">
              <w:t>Implications of socio-economic factors</w:t>
            </w:r>
          </w:p>
          <w:p w14:paraId="6B991C17" w14:textId="77777777" w:rsidR="005B237C" w:rsidRPr="005D6D89" w:rsidRDefault="005B237C" w:rsidP="005B237C">
            <w:pPr>
              <w:pStyle w:val="Blueboxtext"/>
              <w:keepNext/>
              <w:spacing w:after="0"/>
            </w:pPr>
            <w:r w:rsidRPr="005D6D89">
              <w:t>Interactions between climate, socio-economic drivers and other environmental pressures are likely to shift the vulnerability landscape. For some groups, vulnerability may continue and they are likely to form a larger part of the population, such as the elderly. Much of our knowledge originates from research on events (eg, storms or floods) where risk factors have already shaped property values, exposing those with fewer economic means to greater hazards. However, ongoing change and cascading impacts are very likely to create new groups of vulnerable people.</w:t>
            </w:r>
            <w:r w:rsidR="00027F9F" w:rsidRPr="005D6D89">
              <w:t xml:space="preserve"> </w:t>
            </w:r>
          </w:p>
          <w:p w14:paraId="6BD78B13" w14:textId="77777777" w:rsidR="005B237C" w:rsidRPr="005D6D89" w:rsidRDefault="005B237C" w:rsidP="005B237C">
            <w:pPr>
              <w:pStyle w:val="Blueboxheading"/>
            </w:pPr>
            <w:r w:rsidRPr="005D6D89">
              <w:t>Implications for future NCCRAs</w:t>
            </w:r>
          </w:p>
          <w:p w14:paraId="46FF4752" w14:textId="77777777" w:rsidR="005B237C" w:rsidRPr="005D6D89" w:rsidRDefault="005B237C" w:rsidP="005B237C">
            <w:pPr>
              <w:pStyle w:val="Blueboxtext"/>
              <w:keepNext/>
              <w:spacing w:after="0"/>
            </w:pPr>
            <w:r w:rsidRPr="005D6D89">
              <w:t xml:space="preserve">Future NCCRAs should consider how socio-economic factors might influence climate change risk. This could include identifying trends that could affect risks, and comparing the contribution of socio-economic projections with other factors. As socio-economic change is uncertain, the literature and other NCCRAs commonly use scenarios to explore how these trends influence risks. </w:t>
            </w:r>
          </w:p>
          <w:p w14:paraId="4A5FF286" w14:textId="77777777" w:rsidR="005B237C" w:rsidRPr="005D6D89" w:rsidRDefault="005B237C" w:rsidP="00AF21B8">
            <w:pPr>
              <w:pStyle w:val="Blueboxtext"/>
              <w:keepNext/>
              <w:spacing w:after="240"/>
            </w:pPr>
            <w:r w:rsidRPr="005D6D89">
              <w:t>Shared Socio-economic Pathways (SSPs) have been developed globally (eg, Arnell and Lloyd-Hughes 2014; Hasegawa</w:t>
            </w:r>
            <w:r w:rsidR="00B61730">
              <w:t xml:space="preserve"> et al</w:t>
            </w:r>
            <w:r w:rsidRPr="005D6D89">
              <w:t>, 2015; O</w:t>
            </w:r>
            <w:r w:rsidR="001200EA">
              <w:t>’</w:t>
            </w:r>
            <w:r w:rsidRPr="005D6D89">
              <w:t>Neill</w:t>
            </w:r>
            <w:r w:rsidR="00B61730">
              <w:t xml:space="preserve"> et al</w:t>
            </w:r>
            <w:r w:rsidRPr="005D6D89">
              <w:t>, 2015), and for New Zealand (Frame and Reisinger</w:t>
            </w:r>
            <w:r w:rsidR="00AF21B8">
              <w:t>,</w:t>
            </w:r>
            <w:r w:rsidRPr="005D6D89">
              <w:t xml:space="preserve"> 2016). </w:t>
            </w:r>
            <w:r w:rsidR="00AF21B8">
              <w:t>SSPs</w:t>
            </w:r>
            <w:r w:rsidR="00AF21B8" w:rsidRPr="005D6D89">
              <w:t xml:space="preserve"> </w:t>
            </w:r>
            <w:r w:rsidRPr="005D6D89">
              <w:t>have been applied in New Zealand (Frame</w:t>
            </w:r>
            <w:r w:rsidR="00B61730">
              <w:t xml:space="preserve"> et al</w:t>
            </w:r>
            <w:r w:rsidRPr="005D6D89">
              <w:t>, 2018; Lawrence</w:t>
            </w:r>
            <w:r w:rsidR="00B61730">
              <w:t xml:space="preserve"> et al</w:t>
            </w:r>
            <w:r w:rsidRPr="005D6D89">
              <w:t>, 2018; Cradock-Henry et al</w:t>
            </w:r>
            <w:r w:rsidR="00AF21B8">
              <w:t>,</w:t>
            </w:r>
            <w:r w:rsidRPr="005D6D89">
              <w:t xml:space="preserve"> 2018) and used to develop and test adaptive tools (Lawrence</w:t>
            </w:r>
            <w:r w:rsidR="00B61730">
              <w:t xml:space="preserve"> et al</w:t>
            </w:r>
            <w:r w:rsidRPr="005D6D89">
              <w:t>, 2018). SSPs </w:t>
            </w:r>
            <w:proofErr w:type="gramStart"/>
            <w:r w:rsidRPr="005D6D89">
              <w:t>were found</w:t>
            </w:r>
            <w:proofErr w:type="gramEnd"/>
            <w:r w:rsidRPr="005D6D89">
              <w:t xml:space="preserve"> to be a practical tool for impact and vulnerability assessments because they include assumptions about how socio-economic change may help or hinder the ability to mitigate or adapt to climate change.</w:t>
            </w:r>
          </w:p>
        </w:tc>
      </w:tr>
    </w:tbl>
    <w:p w14:paraId="23C0489A" w14:textId="77777777" w:rsidR="007D6DC7" w:rsidRPr="005D6D89" w:rsidRDefault="007D6DC7" w:rsidP="007D6DC7">
      <w:pPr>
        <w:pStyle w:val="BodyText"/>
      </w:pPr>
    </w:p>
    <w:p w14:paraId="22ADF74A" w14:textId="77777777" w:rsidR="005B237C" w:rsidRPr="005D6D89" w:rsidRDefault="005B237C">
      <w:pPr>
        <w:spacing w:before="0" w:after="200" w:line="276" w:lineRule="auto"/>
        <w:jc w:val="left"/>
      </w:pPr>
      <w:r w:rsidRPr="005D6D89">
        <w:br w:type="page"/>
      </w:r>
    </w:p>
    <w:p w14:paraId="06F4A655" w14:textId="77777777" w:rsidR="005B237C" w:rsidRPr="005D6D89" w:rsidRDefault="005B237C" w:rsidP="00FC5054">
      <w:pPr>
        <w:pStyle w:val="Heading1"/>
        <w:numPr>
          <w:ilvl w:val="0"/>
          <w:numId w:val="17"/>
        </w:numPr>
        <w:tabs>
          <w:tab w:val="num" w:pos="992"/>
        </w:tabs>
      </w:pPr>
      <w:bookmarkStart w:id="508" w:name="_Toc37255797"/>
      <w:bookmarkStart w:id="509" w:name="_Toc37393698"/>
      <w:bookmarkStart w:id="510" w:name="_Toc40699375"/>
      <w:bookmarkStart w:id="511" w:name="_Toc43064146"/>
      <w:r w:rsidRPr="005D6D89">
        <w:t>Uncertainty and gaps</w:t>
      </w:r>
      <w:bookmarkEnd w:id="508"/>
      <w:bookmarkEnd w:id="509"/>
      <w:bookmarkEnd w:id="510"/>
      <w:bookmarkEnd w:id="511"/>
    </w:p>
    <w:p w14:paraId="729DB330" w14:textId="77777777" w:rsidR="005B237C" w:rsidRPr="005D6D89" w:rsidRDefault="005B237C" w:rsidP="00812D16">
      <w:pPr>
        <w:pStyle w:val="Heading2"/>
        <w:numPr>
          <w:ilvl w:val="0"/>
          <w:numId w:val="35"/>
        </w:numPr>
        <w:spacing w:before="240"/>
      </w:pPr>
      <w:bookmarkStart w:id="512" w:name="_Toc37393699"/>
      <w:bookmarkStart w:id="513" w:name="_Toc37255798"/>
      <w:bookmarkStart w:id="514" w:name="_Toc37784905"/>
      <w:bookmarkStart w:id="515" w:name="_Toc40699376"/>
      <w:bookmarkStart w:id="516" w:name="_Toc43064147"/>
      <w:r w:rsidRPr="005D6D89">
        <w:t xml:space="preserve">Risk and </w:t>
      </w:r>
      <w:bookmarkEnd w:id="512"/>
      <w:bookmarkEnd w:id="513"/>
      <w:r w:rsidRPr="005D6D89">
        <w:t>uncertainty</w:t>
      </w:r>
      <w:bookmarkEnd w:id="514"/>
      <w:bookmarkEnd w:id="515"/>
      <w:bookmarkEnd w:id="516"/>
      <w:r w:rsidRPr="005D6D89">
        <w:t xml:space="preserve"> </w:t>
      </w:r>
    </w:p>
    <w:p w14:paraId="26F02E00" w14:textId="77777777" w:rsidR="005B237C" w:rsidRPr="005D6D89" w:rsidRDefault="005B237C" w:rsidP="009D45AD">
      <w:pPr>
        <w:pStyle w:val="BodyText"/>
      </w:pPr>
      <w:r w:rsidRPr="005D6D89">
        <w:t>The future climate is inherently uncertain, with the level of uncertainty increasing further into</w:t>
      </w:r>
      <w:r w:rsidR="009D45AD" w:rsidRPr="005D6D89">
        <w:t> </w:t>
      </w:r>
      <w:r w:rsidRPr="005D6D89">
        <w:t>the future. Uncertainty, or a state of incomplete knowledge, arises from many sources</w:t>
      </w:r>
      <w:r w:rsidR="00A03FCC">
        <w:t xml:space="preserve"> </w:t>
      </w:r>
      <w:r w:rsidRPr="005D6D89">
        <w:t>including data, methodology, conceptual ambiguity, and the unknowable physical processes</w:t>
      </w:r>
      <w:r w:rsidR="00AF21B8">
        <w:t>;</w:t>
      </w:r>
      <w:r w:rsidRPr="005D6D89">
        <w:t xml:space="preserve"> </w:t>
      </w:r>
      <w:r w:rsidR="00AF21B8">
        <w:t xml:space="preserve">and </w:t>
      </w:r>
      <w:r w:rsidRPr="005D6D89">
        <w:t xml:space="preserve">socio-demographic, technological and economic trends that influence future greenhouse gas concentrations, and the sensitivity of climatic systems to these concentrations. </w:t>
      </w:r>
    </w:p>
    <w:p w14:paraId="67218FB0" w14:textId="77777777" w:rsidR="005B237C" w:rsidRPr="005D6D89" w:rsidRDefault="005B237C" w:rsidP="009D45AD">
      <w:pPr>
        <w:pStyle w:val="BodyText"/>
      </w:pPr>
      <w:r w:rsidRPr="005D6D89">
        <w:t>Uncertainty in the results of this risk assessment does not mean that impacts are less likely to</w:t>
      </w:r>
      <w:r w:rsidR="009D45AD" w:rsidRPr="005D6D89">
        <w:t> </w:t>
      </w:r>
      <w:r w:rsidRPr="005D6D89">
        <w:t xml:space="preserve">occur, but rather that understanding of their timing, extent or consequences is imprecise. There are likely to be additional risks we are not yet aware of due to limitations in our knowledge and understanding (see </w:t>
      </w:r>
      <w:hyperlink w:anchor="_Gaps_in_knowledge" w:history="1">
        <w:r w:rsidRPr="005C2010">
          <w:rPr>
            <w:rStyle w:val="Hyperlink"/>
          </w:rPr>
          <w:t>section</w:t>
        </w:r>
        <w:r w:rsidR="005C2010" w:rsidRPr="005C2010">
          <w:rPr>
            <w:rStyle w:val="Hyperlink"/>
          </w:rPr>
          <w:t xml:space="preserve"> 7.2</w:t>
        </w:r>
      </w:hyperlink>
      <w:r w:rsidRPr="005D6D89">
        <w:t xml:space="preserve">). </w:t>
      </w:r>
    </w:p>
    <w:p w14:paraId="0D923D0A" w14:textId="77777777" w:rsidR="005B237C" w:rsidRPr="005D6D89" w:rsidRDefault="005B237C" w:rsidP="009D45AD">
      <w:pPr>
        <w:pStyle w:val="BodyText"/>
      </w:pPr>
      <w:r w:rsidRPr="005D6D89">
        <w:t xml:space="preserve">More is known about some risks than </w:t>
      </w:r>
      <w:proofErr w:type="gramStart"/>
      <w:r w:rsidRPr="005D6D89">
        <w:t>others</w:t>
      </w:r>
      <w:proofErr w:type="gramEnd"/>
      <w:r w:rsidRPr="005D6D89">
        <w:t xml:space="preserve">. For example, based on scientific and geospatial information, reasonably robust predictions </w:t>
      </w:r>
      <w:proofErr w:type="gramStart"/>
      <w:r w:rsidRPr="005D6D89">
        <w:t>can be made</w:t>
      </w:r>
      <w:proofErr w:type="gramEnd"/>
      <w:r w:rsidRPr="005D6D89">
        <w:t xml:space="preserve"> about the impacts of rising sea levels</w:t>
      </w:r>
      <w:r w:rsidR="009D45AD" w:rsidRPr="005D6D89">
        <w:t> </w:t>
      </w:r>
      <w:r w:rsidRPr="005D6D89">
        <w:t xml:space="preserve">on coastal assets. Much less </w:t>
      </w:r>
      <w:proofErr w:type="gramStart"/>
      <w:r w:rsidRPr="005D6D89">
        <w:t>is known</w:t>
      </w:r>
      <w:proofErr w:type="gramEnd"/>
      <w:r w:rsidRPr="005D6D89">
        <w:t xml:space="preserve"> about the response of species or ecosystems to pronounced changes in climatic conditions. Similarly, the complexity of social-ecological systems, including the thresholds at which they fundamentally change or cease to function, makes it difficult to predict how climate change risks will flow and change across domains, geographies and time periods. </w:t>
      </w:r>
    </w:p>
    <w:p w14:paraId="3E3C63E7" w14:textId="77777777" w:rsidR="005B237C" w:rsidRPr="005D6D89" w:rsidRDefault="005B237C" w:rsidP="009D45AD">
      <w:pPr>
        <w:pStyle w:val="BodyText"/>
      </w:pPr>
      <w:r w:rsidRPr="005D6D89">
        <w:t xml:space="preserve">The NCCRA process </w:t>
      </w:r>
      <w:proofErr w:type="gramStart"/>
      <w:r w:rsidRPr="005D6D89">
        <w:t>was designed</w:t>
      </w:r>
      <w:proofErr w:type="gramEnd"/>
      <w:r w:rsidRPr="005D6D89">
        <w:t xml:space="preserve"> to gather a wide range of information on climate risks and opportunities for New Zealand. Although constrained by time, the NCCRA </w:t>
      </w:r>
      <w:proofErr w:type="gramStart"/>
      <w:r w:rsidRPr="005D6D89">
        <w:t>is based</w:t>
      </w:r>
      <w:proofErr w:type="gramEnd"/>
      <w:r w:rsidRPr="005D6D89">
        <w:t xml:space="preserve"> on an extensive review of the literature and expert judgements by many subject matter specialists, engaging broadly with stakeholders and </w:t>
      </w:r>
      <w:r w:rsidRPr="005D6D89">
        <w:rPr>
          <w:rFonts w:cstheme="minorHAnsi"/>
        </w:rPr>
        <w:t>Māori</w:t>
      </w:r>
      <w:r w:rsidRPr="005D6D89">
        <w:t xml:space="preserve">/iwi. However, as with all assessments, there is potential for findings to be weighted towards the knowledge and expertise of those involved. </w:t>
      </w:r>
    </w:p>
    <w:p w14:paraId="2DD16265" w14:textId="77777777" w:rsidR="005B237C" w:rsidRPr="005D6D89" w:rsidRDefault="005B237C" w:rsidP="009D45AD">
      <w:pPr>
        <w:pStyle w:val="BodyText"/>
      </w:pPr>
      <w:r w:rsidRPr="005D6D89">
        <w:t xml:space="preserve">It is also not possible to assess </w:t>
      </w:r>
      <w:r w:rsidR="00AF21B8">
        <w:t xml:space="preserve">accurately </w:t>
      </w:r>
      <w:r w:rsidRPr="005D6D89">
        <w:t>how uncertainty has propagated through the NCCRA</w:t>
      </w:r>
      <w:r w:rsidR="009D45AD" w:rsidRPr="005D6D89">
        <w:t> </w:t>
      </w:r>
      <w:r w:rsidRPr="005D6D89">
        <w:t>analysis. The uncertainties could compound in unexpected ways. For example, there is</w:t>
      </w:r>
      <w:r w:rsidR="009D45AD" w:rsidRPr="005D6D89">
        <w:t> </w:t>
      </w:r>
      <w:r w:rsidRPr="005D6D89">
        <w:t>uncertainty about the climate science, future socio-economic scenarios, global and national policy settings</w:t>
      </w:r>
      <w:r w:rsidR="00AF21B8">
        <w:t xml:space="preserve"> – </w:t>
      </w:r>
      <w:r w:rsidRPr="005D6D89">
        <w:t>such as those that govern emissions reduction</w:t>
      </w:r>
      <w:r w:rsidR="00AF21B8">
        <w:t xml:space="preserve"> –</w:t>
      </w:r>
      <w:r w:rsidRPr="005D6D89">
        <w:t xml:space="preserve"> and the exposure, sensitivity and adaptive capacity of elements at risk. Each of these will propagate through the analysis in complex ways that </w:t>
      </w:r>
      <w:proofErr w:type="gramStart"/>
      <w:r w:rsidRPr="005D6D89">
        <w:t>cannot be identified</w:t>
      </w:r>
      <w:proofErr w:type="gramEnd"/>
      <w:r w:rsidRPr="005D6D89">
        <w:t xml:space="preserve"> in this first NCCRA. </w:t>
      </w:r>
    </w:p>
    <w:p w14:paraId="54B88F7C" w14:textId="464B6B0C" w:rsidR="005B237C" w:rsidRPr="005D6D89" w:rsidRDefault="005B237C" w:rsidP="009D45AD">
      <w:pPr>
        <w:pStyle w:val="BodyText"/>
      </w:pPr>
      <w:r w:rsidRPr="005D6D89">
        <w:t xml:space="preserve">A confidence rating </w:t>
      </w:r>
      <w:proofErr w:type="gramStart"/>
      <w:r w:rsidRPr="005D6D89">
        <w:t>is provided</w:t>
      </w:r>
      <w:proofErr w:type="gramEnd"/>
      <w:r w:rsidRPr="005D6D89">
        <w:t xml:space="preserve"> for all risks assessed. The rating follows the </w:t>
      </w:r>
      <w:r w:rsidRPr="005D6D89">
        <w:rPr>
          <w:i/>
        </w:rPr>
        <w:t>Guidance Note</w:t>
      </w:r>
      <w:r w:rsidR="009D45AD" w:rsidRPr="005D6D89">
        <w:rPr>
          <w:i/>
        </w:rPr>
        <w:t> </w:t>
      </w:r>
      <w:r w:rsidRPr="005D6D89">
        <w:rPr>
          <w:i/>
        </w:rPr>
        <w:t>for</w:t>
      </w:r>
      <w:r w:rsidR="009D45AD" w:rsidRPr="005D6D89">
        <w:rPr>
          <w:i/>
        </w:rPr>
        <w:t> </w:t>
      </w:r>
      <w:r w:rsidRPr="005D6D89">
        <w:rPr>
          <w:i/>
        </w:rPr>
        <w:t>Lead Authors of the IPCC Fifth Assessment Report on Consistent Treatment of Uncertainties</w:t>
      </w:r>
      <w:r w:rsidRPr="005D6D89">
        <w:t xml:space="preserve"> (Mastrandrea et al, 2010). Based on this guidance, the NCCRA uses two metrics for communicating the degree of certainty in key findings: confidence in the validity of a finding based on available literature, and on</w:t>
      </w:r>
      <w:r w:rsidR="00027F9F" w:rsidRPr="005D6D89">
        <w:t xml:space="preserve"> </w:t>
      </w:r>
      <w:r w:rsidRPr="005D6D89">
        <w:t>expert agreement. For more on this rating, see</w:t>
      </w:r>
      <w:r w:rsidR="009D45AD" w:rsidRPr="005D6D89">
        <w:t> </w:t>
      </w:r>
      <w:r w:rsidRPr="005D6D89">
        <w:t xml:space="preserve">the </w:t>
      </w:r>
      <w:hyperlink r:id="rId63" w:history="1">
        <w:r w:rsidR="00E546F8" w:rsidRPr="005F460B">
          <w:rPr>
            <w:rStyle w:val="Hyperlink"/>
          </w:rPr>
          <w:t>method report</w:t>
        </w:r>
      </w:hyperlink>
      <w:r w:rsidRPr="005D6D89">
        <w:t xml:space="preserve">. </w:t>
      </w:r>
    </w:p>
    <w:p w14:paraId="47657D3C" w14:textId="77777777" w:rsidR="005B237C" w:rsidRPr="005D6D89" w:rsidRDefault="005B237C" w:rsidP="00812D16">
      <w:pPr>
        <w:pStyle w:val="Heading2"/>
        <w:numPr>
          <w:ilvl w:val="0"/>
          <w:numId w:val="35"/>
        </w:numPr>
        <w:tabs>
          <w:tab w:val="num" w:pos="2269"/>
        </w:tabs>
      </w:pPr>
      <w:bookmarkStart w:id="517" w:name="_Gaps_in_knowledge"/>
      <w:bookmarkStart w:id="518" w:name="_Toc37255799"/>
      <w:bookmarkStart w:id="519" w:name="_Ref37667764"/>
      <w:bookmarkStart w:id="520" w:name="_Ref37667860"/>
      <w:bookmarkStart w:id="521" w:name="_Toc37784906"/>
      <w:bookmarkStart w:id="522" w:name="_Toc40699377"/>
      <w:bookmarkStart w:id="523" w:name="_Toc43064148"/>
      <w:bookmarkEnd w:id="517"/>
      <w:r w:rsidRPr="005D6D89">
        <w:t>Gaps in knowledge</w:t>
      </w:r>
      <w:bookmarkEnd w:id="518"/>
      <w:bookmarkEnd w:id="519"/>
      <w:bookmarkEnd w:id="520"/>
      <w:bookmarkEnd w:id="521"/>
      <w:bookmarkEnd w:id="522"/>
      <w:bookmarkEnd w:id="523"/>
    </w:p>
    <w:p w14:paraId="1B8243EF" w14:textId="77777777" w:rsidR="005B237C" w:rsidRPr="005D6D89" w:rsidRDefault="005B237C" w:rsidP="009D45AD">
      <w:pPr>
        <w:pStyle w:val="BodyText"/>
      </w:pPr>
      <w:r w:rsidRPr="005D6D89">
        <w:t xml:space="preserve">The NCCRA has identified a number of knowledge, information and data gaps that </w:t>
      </w:r>
      <w:proofErr w:type="gramStart"/>
      <w:r w:rsidRPr="005D6D89">
        <w:t>should be</w:t>
      </w:r>
      <w:r w:rsidR="009D45AD" w:rsidRPr="005D6D89">
        <w:t> </w:t>
      </w:r>
      <w:r w:rsidRPr="005D6D89">
        <w:t>examined</w:t>
      </w:r>
      <w:proofErr w:type="gramEnd"/>
      <w:r w:rsidRPr="005D6D89">
        <w:t xml:space="preserve"> to better understand and address the priority risks and opportunities. </w:t>
      </w:r>
      <w:r w:rsidRPr="005D6D89">
        <w:rPr>
          <w:rFonts w:cstheme="minorHAnsi"/>
        </w:rPr>
        <w:t xml:space="preserve">The sections below outline these critical gaps, which will need to </w:t>
      </w:r>
      <w:proofErr w:type="gramStart"/>
      <w:r w:rsidRPr="005D6D89">
        <w:rPr>
          <w:rFonts w:cstheme="minorHAnsi"/>
        </w:rPr>
        <w:t>be</w:t>
      </w:r>
      <w:r w:rsidRPr="005D6D89">
        <w:t xml:space="preserve"> addressed</w:t>
      </w:r>
      <w:proofErr w:type="gramEnd"/>
      <w:r w:rsidRPr="005D6D89">
        <w:t xml:space="preserve"> to inform the next</w:t>
      </w:r>
      <w:r w:rsidR="009D45AD" w:rsidRPr="005D6D89">
        <w:t> </w:t>
      </w:r>
      <w:r w:rsidRPr="005D6D89">
        <w:t>NCCRA in 2024.</w:t>
      </w:r>
    </w:p>
    <w:p w14:paraId="6F74F932" w14:textId="77777777" w:rsidR="005B237C" w:rsidRPr="005D6D89" w:rsidRDefault="005B237C" w:rsidP="00812D16">
      <w:pPr>
        <w:pStyle w:val="Heading3"/>
        <w:numPr>
          <w:ilvl w:val="0"/>
          <w:numId w:val="36"/>
        </w:numPr>
      </w:pPr>
      <w:bookmarkStart w:id="524" w:name="_Toc37255800"/>
      <w:bookmarkStart w:id="525" w:name="_Toc37784907"/>
      <w:bookmarkStart w:id="526" w:name="_Toc40699378"/>
      <w:r w:rsidRPr="005D6D89">
        <w:t>Opportunity-based gaps</w:t>
      </w:r>
      <w:bookmarkEnd w:id="524"/>
      <w:bookmarkEnd w:id="525"/>
      <w:bookmarkEnd w:id="526"/>
    </w:p>
    <w:p w14:paraId="7588D70A" w14:textId="77777777" w:rsidR="005B237C" w:rsidRPr="005D6D89" w:rsidRDefault="005B237C" w:rsidP="009D45AD">
      <w:pPr>
        <w:pStyle w:val="BodyText"/>
      </w:pPr>
      <w:r w:rsidRPr="005D6D89">
        <w:t xml:space="preserve">As noted in </w:t>
      </w:r>
      <w:hyperlink w:anchor="_Opportunities" w:history="1">
        <w:r w:rsidRPr="0057038A">
          <w:rPr>
            <w:rStyle w:val="Hyperlink"/>
          </w:rPr>
          <w:t xml:space="preserve">section </w:t>
        </w:r>
        <w:r w:rsidR="0057038A" w:rsidRPr="0057038A">
          <w:rPr>
            <w:rStyle w:val="Hyperlink"/>
          </w:rPr>
          <w:t>5.8</w:t>
        </w:r>
      </w:hyperlink>
      <w:r w:rsidRPr="005D6D89">
        <w:t xml:space="preserve">, very few opportunities were identified through the research and consultation for this </w:t>
      </w:r>
      <w:proofErr w:type="gramStart"/>
      <w:r w:rsidRPr="005D6D89">
        <w:t>NCCRA,</w:t>
      </w:r>
      <w:proofErr w:type="gramEnd"/>
      <w:r w:rsidRPr="005D6D89">
        <w:t xml:space="preserve"> and they are not well researched or understood. Acting on these perceived opportunities without fully assessing the implications could result in maladaptation. Further research into the opportunities is a clear priority.</w:t>
      </w:r>
    </w:p>
    <w:p w14:paraId="1DAE9FC8" w14:textId="77777777" w:rsidR="005B237C" w:rsidRPr="005D6D89" w:rsidRDefault="005B237C" w:rsidP="00812D16">
      <w:pPr>
        <w:pStyle w:val="Heading3"/>
        <w:numPr>
          <w:ilvl w:val="0"/>
          <w:numId w:val="36"/>
        </w:numPr>
        <w:tabs>
          <w:tab w:val="num" w:pos="992"/>
        </w:tabs>
      </w:pPr>
      <w:bookmarkStart w:id="527" w:name="_Toc37255801"/>
      <w:bookmarkStart w:id="528" w:name="_Toc37784908"/>
      <w:bookmarkStart w:id="529" w:name="_Toc40699379"/>
      <w:r w:rsidRPr="005D6D89">
        <w:t>Domain-based gaps</w:t>
      </w:r>
      <w:bookmarkEnd w:id="527"/>
      <w:bookmarkEnd w:id="528"/>
      <w:bookmarkEnd w:id="529"/>
    </w:p>
    <w:p w14:paraId="4F348CF4" w14:textId="37CC8DAE" w:rsidR="005B237C" w:rsidRPr="005D6D89" w:rsidRDefault="005B237C" w:rsidP="009D45AD">
      <w:pPr>
        <w:pStyle w:val="BodyText"/>
      </w:pPr>
      <w:r w:rsidRPr="005D6D89">
        <w:t xml:space="preserve">Gaps </w:t>
      </w:r>
      <w:proofErr w:type="gramStart"/>
      <w:r w:rsidRPr="005D6D89">
        <w:t>were identified</w:t>
      </w:r>
      <w:proofErr w:type="gramEnd"/>
      <w:r w:rsidRPr="005D6D89">
        <w:t xml:space="preserve"> as part of the literature reviews for </w:t>
      </w:r>
      <w:r w:rsidR="00AF21B8">
        <w:t>S</w:t>
      </w:r>
      <w:r w:rsidRPr="005D6D89">
        <w:t>tages 1 and 2 of the assessment, and through engagement to support these stages. Specific gaps were identified in each domain as part of the detailed risk and opportunity assessment –</w:t>
      </w:r>
      <w:r w:rsidR="00027F9F" w:rsidRPr="005D6D89">
        <w:t xml:space="preserve"> </w:t>
      </w:r>
      <w:r w:rsidRPr="005D6D89">
        <w:t xml:space="preserve">see </w:t>
      </w:r>
      <w:r w:rsidR="00BE0C04">
        <w:t>t</w:t>
      </w:r>
      <w:r w:rsidR="00B95879">
        <w:t xml:space="preserve">able </w:t>
      </w:r>
      <w:r w:rsidR="005B10A3">
        <w:t>31</w:t>
      </w:r>
      <w:r w:rsidR="00AF21B8">
        <w:t xml:space="preserve"> below</w:t>
      </w:r>
      <w:r w:rsidRPr="005D6D89">
        <w:t xml:space="preserve">, grouped by domain but not prioritised. Figure </w:t>
      </w:r>
      <w:r w:rsidR="004C388B" w:rsidRPr="005D6D89">
        <w:t>8</w:t>
      </w:r>
      <w:r w:rsidRPr="005D6D89">
        <w:t xml:space="preserve"> also indicates specific risks with the highest research needs to support adaptation. Further information on such gaps is in the </w:t>
      </w:r>
      <w:hyperlink r:id="rId64" w:history="1">
        <w:r w:rsidRPr="00E546F8">
          <w:rPr>
            <w:rStyle w:val="Hyperlink"/>
          </w:rPr>
          <w:t>technical report</w:t>
        </w:r>
      </w:hyperlink>
      <w:r w:rsidRPr="005D6D89">
        <w:rPr>
          <w:i/>
        </w:rPr>
        <w:t>.</w:t>
      </w:r>
      <w:r w:rsidRPr="005D6D89">
        <w:t xml:space="preserve"> </w:t>
      </w:r>
    </w:p>
    <w:p w14:paraId="2E10498E" w14:textId="77777777" w:rsidR="005B237C" w:rsidRPr="005D6D89" w:rsidRDefault="005B237C" w:rsidP="009D45AD">
      <w:pPr>
        <w:pStyle w:val="Tableheading"/>
      </w:pPr>
      <w:bookmarkStart w:id="530" w:name="_Ref37667902"/>
      <w:bookmarkStart w:id="531" w:name="_Toc40699404"/>
      <w:bookmarkStart w:id="532" w:name="_Toc43312825"/>
      <w:r w:rsidRPr="005D6D89">
        <w:t xml:space="preserve">Table </w:t>
      </w:r>
      <w:bookmarkEnd w:id="530"/>
      <w:r w:rsidR="005B10A3">
        <w:t>31</w:t>
      </w:r>
      <w:r w:rsidR="009D45AD" w:rsidRPr="005D6D89">
        <w:t>:</w:t>
      </w:r>
      <w:r w:rsidRPr="005D6D89">
        <w:tab/>
        <w:t>Domain-based knowledge gaps</w:t>
      </w:r>
      <w:bookmarkEnd w:id="531"/>
      <w:bookmarkEnd w:id="532"/>
    </w:p>
    <w:tbl>
      <w:tblPr>
        <w:tblW w:w="8613"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1433"/>
        <w:gridCol w:w="7180"/>
      </w:tblGrid>
      <w:tr w:rsidR="009D45AD" w:rsidRPr="005D6D89" w14:paraId="56288C51" w14:textId="77777777" w:rsidTr="00095C79">
        <w:trPr>
          <w:tblHeader/>
        </w:trPr>
        <w:tc>
          <w:tcPr>
            <w:tcW w:w="832" w:type="pct"/>
            <w:shd w:val="clear" w:color="auto" w:fill="1C556C" w:themeFill="accent1"/>
            <w:tcMar>
              <w:top w:w="0" w:type="dxa"/>
            </w:tcMar>
            <w:vAlign w:val="center"/>
          </w:tcPr>
          <w:p w14:paraId="41E2890E" w14:textId="77777777" w:rsidR="005B237C" w:rsidRPr="005D6D89" w:rsidRDefault="005B237C" w:rsidP="009D45AD">
            <w:pPr>
              <w:pStyle w:val="TableTextBold0"/>
              <w:rPr>
                <w:color w:val="FFFFFF" w:themeColor="background1"/>
              </w:rPr>
            </w:pPr>
            <w:r w:rsidRPr="005D6D89">
              <w:rPr>
                <w:color w:val="FFFFFF" w:themeColor="background1"/>
              </w:rPr>
              <w:t xml:space="preserve">Domain </w:t>
            </w:r>
          </w:p>
        </w:tc>
        <w:tc>
          <w:tcPr>
            <w:tcW w:w="4168" w:type="pct"/>
            <w:shd w:val="clear" w:color="auto" w:fill="1C556C" w:themeFill="accent1"/>
            <w:tcMar>
              <w:top w:w="0" w:type="dxa"/>
            </w:tcMar>
            <w:vAlign w:val="center"/>
          </w:tcPr>
          <w:p w14:paraId="2AB0A7F8" w14:textId="77777777" w:rsidR="005B237C" w:rsidRPr="005D6D89" w:rsidRDefault="005B237C" w:rsidP="009D45AD">
            <w:pPr>
              <w:pStyle w:val="TableTextBold0"/>
              <w:rPr>
                <w:color w:val="FFFFFF" w:themeColor="background1"/>
              </w:rPr>
            </w:pPr>
            <w:r w:rsidRPr="005D6D89">
              <w:rPr>
                <w:color w:val="FFFFFF" w:themeColor="background1"/>
              </w:rPr>
              <w:t xml:space="preserve">Gaps </w:t>
            </w:r>
          </w:p>
        </w:tc>
      </w:tr>
      <w:tr w:rsidR="005B237C" w:rsidRPr="005D6D89" w14:paraId="5DF2D66D" w14:textId="77777777" w:rsidTr="00095C79">
        <w:tc>
          <w:tcPr>
            <w:tcW w:w="832" w:type="pct"/>
            <w:shd w:val="clear" w:color="auto" w:fill="auto"/>
            <w:tcMar>
              <w:top w:w="57" w:type="dxa"/>
            </w:tcMar>
          </w:tcPr>
          <w:p w14:paraId="6C9BD43E" w14:textId="77777777" w:rsidR="005B237C" w:rsidRPr="005D6D89" w:rsidRDefault="005B237C" w:rsidP="009D45AD">
            <w:pPr>
              <w:pStyle w:val="TableText"/>
            </w:pPr>
            <w:r w:rsidRPr="005D6D89">
              <w:t xml:space="preserve">Natural environment </w:t>
            </w:r>
          </w:p>
        </w:tc>
        <w:tc>
          <w:tcPr>
            <w:tcW w:w="4168" w:type="pct"/>
            <w:shd w:val="clear" w:color="auto" w:fill="auto"/>
            <w:tcMar>
              <w:top w:w="57" w:type="dxa"/>
            </w:tcMar>
          </w:tcPr>
          <w:p w14:paraId="312A400B" w14:textId="77777777" w:rsidR="005B237C" w:rsidRPr="005D6D89" w:rsidRDefault="005B237C" w:rsidP="009D45AD">
            <w:pPr>
              <w:pStyle w:val="TableBullet"/>
            </w:pPr>
            <w:r w:rsidRPr="005D6D89">
              <w:t>Current understanding of how New Zealand</w:t>
            </w:r>
            <w:r w:rsidR="001200EA">
              <w:t>’</w:t>
            </w:r>
            <w:r w:rsidRPr="005D6D89">
              <w:t xml:space="preserve">s indigenous ecosystems and species will respond to climate change is very limited, reflecting a long-standing shortfall in research funding for understanding or predicting climate change impacts. The potential for interactions between the effects of climate change and other human-induced pressures </w:t>
            </w:r>
            <w:proofErr w:type="gramStart"/>
            <w:r w:rsidRPr="005D6D89">
              <w:t>has been explored</w:t>
            </w:r>
            <w:proofErr w:type="gramEnd"/>
            <w:r w:rsidRPr="005D6D89">
              <w:t xml:space="preserve"> in recent workshops and review articles (Macinnis-Ng</w:t>
            </w:r>
            <w:r w:rsidR="00B61730">
              <w:t xml:space="preserve"> et al</w:t>
            </w:r>
            <w:r w:rsidRPr="005D6D89">
              <w:t xml:space="preserve">, </w:t>
            </w:r>
            <w:r w:rsidR="00B61730">
              <w:t>nd</w:t>
            </w:r>
            <w:r w:rsidRPr="005D6D89">
              <w:t xml:space="preserve">). </w:t>
            </w:r>
          </w:p>
          <w:p w14:paraId="3CE7A0AA" w14:textId="77777777" w:rsidR="005B237C" w:rsidRPr="005D6D89" w:rsidRDefault="005B237C" w:rsidP="009D45AD">
            <w:pPr>
              <w:pStyle w:val="TableBullet"/>
            </w:pPr>
            <w:r w:rsidRPr="005D6D89">
              <w:t>Monitoring and detecting change in the distributions of indigenous species in response to climate change is frequently constrained by New Zealand</w:t>
            </w:r>
            <w:r w:rsidR="001200EA">
              <w:t>’</w:t>
            </w:r>
            <w:r w:rsidRPr="005D6D89">
              <w:t xml:space="preserve">s lack of a single, easily accessible repository for distribution data (eg, as in </w:t>
            </w:r>
            <w:hyperlink r:id="rId65" w:history="1">
              <w:r w:rsidRPr="00AF21B8">
                <w:rPr>
                  <w:rStyle w:val="Hyperlink"/>
                </w:rPr>
                <w:t>the Atlas of Living Australia</w:t>
              </w:r>
            </w:hyperlink>
            <w:r w:rsidRPr="005D6D89">
              <w:t>). Storage of critical data is uncoordinated, with access often constrained by the competitive model under which New Zealand</w:t>
            </w:r>
            <w:r w:rsidR="001200EA">
              <w:t>’</w:t>
            </w:r>
            <w:r w:rsidRPr="005D6D89">
              <w:t xml:space="preserve">s research organisations </w:t>
            </w:r>
            <w:proofErr w:type="gramStart"/>
            <w:r w:rsidRPr="005D6D89">
              <w:t>are funded and run</w:t>
            </w:r>
            <w:proofErr w:type="gramEnd"/>
            <w:r w:rsidRPr="005D6D89">
              <w:t>.</w:t>
            </w:r>
          </w:p>
          <w:p w14:paraId="1D0B7C37" w14:textId="77777777" w:rsidR="005B237C" w:rsidRPr="005D6D89" w:rsidRDefault="005B237C" w:rsidP="009D45AD">
            <w:pPr>
              <w:pStyle w:val="TableBullet"/>
            </w:pPr>
            <w:r w:rsidRPr="005D6D89">
              <w:t xml:space="preserve">Research is required into the distributions and resilience of carbonate-dependent species, including those important for aquaculture or ecosystems. </w:t>
            </w:r>
          </w:p>
          <w:p w14:paraId="5CA91761" w14:textId="77777777" w:rsidR="005B237C" w:rsidRPr="005D6D89" w:rsidRDefault="005B237C" w:rsidP="009D45AD">
            <w:pPr>
              <w:pStyle w:val="TableBullet"/>
            </w:pPr>
            <w:r w:rsidRPr="005D6D89">
              <w:t xml:space="preserve">Research is required to develop understanding of the effects of climate change on ocean dynamics and productivity, and flow-on effects on ecosystem composition and species distributions. </w:t>
            </w:r>
          </w:p>
        </w:tc>
      </w:tr>
      <w:tr w:rsidR="005B237C" w:rsidRPr="005D6D89" w14:paraId="04B3CA67" w14:textId="77777777" w:rsidTr="00095C79">
        <w:tc>
          <w:tcPr>
            <w:tcW w:w="832" w:type="pct"/>
            <w:tcBorders>
              <w:bottom w:val="single" w:sz="4" w:space="0" w:color="1C556C" w:themeColor="accent1"/>
            </w:tcBorders>
            <w:shd w:val="clear" w:color="auto" w:fill="auto"/>
            <w:tcMar>
              <w:top w:w="57" w:type="dxa"/>
            </w:tcMar>
          </w:tcPr>
          <w:p w14:paraId="48190CE8" w14:textId="77777777" w:rsidR="005B237C" w:rsidRPr="005D6D89" w:rsidRDefault="005B237C" w:rsidP="009D45AD">
            <w:pPr>
              <w:pStyle w:val="TableText"/>
            </w:pPr>
            <w:r w:rsidRPr="005D6D89">
              <w:t xml:space="preserve">Human </w:t>
            </w:r>
          </w:p>
        </w:tc>
        <w:tc>
          <w:tcPr>
            <w:tcW w:w="4168" w:type="pct"/>
            <w:tcBorders>
              <w:bottom w:val="single" w:sz="4" w:space="0" w:color="1C556C" w:themeColor="accent1"/>
            </w:tcBorders>
            <w:shd w:val="clear" w:color="auto" w:fill="auto"/>
            <w:tcMar>
              <w:top w:w="57" w:type="dxa"/>
            </w:tcMar>
          </w:tcPr>
          <w:p w14:paraId="0410FD0C" w14:textId="77777777" w:rsidR="005B237C" w:rsidRPr="005D6D89" w:rsidRDefault="005B237C" w:rsidP="009D45AD">
            <w:pPr>
              <w:pStyle w:val="TableBullet"/>
              <w:rPr>
                <w:rFonts w:eastAsiaTheme="minorHAnsi"/>
              </w:rPr>
            </w:pPr>
            <w:r w:rsidRPr="005D6D89">
              <w:rPr>
                <w:rFonts w:eastAsiaTheme="minorHAnsi"/>
              </w:rPr>
              <w:t>Associated processes such as the spread of diseases, and how quality and access to resources will affect people</w:t>
            </w:r>
            <w:r w:rsidR="001200EA">
              <w:rPr>
                <w:rFonts w:eastAsiaTheme="minorHAnsi"/>
              </w:rPr>
              <w:t>’</w:t>
            </w:r>
            <w:r w:rsidRPr="005D6D89">
              <w:rPr>
                <w:rFonts w:eastAsiaTheme="minorHAnsi"/>
              </w:rPr>
              <w:t xml:space="preserve">s physical health, </w:t>
            </w:r>
            <w:proofErr w:type="gramStart"/>
            <w:r w:rsidRPr="005D6D89">
              <w:rPr>
                <w:rFonts w:eastAsiaTheme="minorHAnsi"/>
              </w:rPr>
              <w:t>is poorly understood</w:t>
            </w:r>
            <w:proofErr w:type="gramEnd"/>
            <w:r w:rsidRPr="005D6D89">
              <w:rPr>
                <w:rFonts w:eastAsiaTheme="minorHAnsi"/>
              </w:rPr>
              <w:t xml:space="preserve"> across New Zealand. </w:t>
            </w:r>
          </w:p>
          <w:p w14:paraId="1AC863E4" w14:textId="77777777" w:rsidR="005B237C" w:rsidRPr="005D6D89" w:rsidRDefault="005B237C" w:rsidP="009D45AD">
            <w:pPr>
              <w:pStyle w:val="TableBullet"/>
              <w:rPr>
                <w:rFonts w:eastAsiaTheme="minorHAnsi"/>
              </w:rPr>
            </w:pPr>
            <w:r w:rsidRPr="005D6D89">
              <w:rPr>
                <w:rFonts w:eastAsiaTheme="minorHAnsi"/>
              </w:rPr>
              <w:t>Social vulnerabilities and their relationship with climate change impacts require further exploration. There are two aspects. First</w:t>
            </w:r>
            <w:r w:rsidR="00AF21B8">
              <w:rPr>
                <w:rFonts w:eastAsiaTheme="minorHAnsi"/>
              </w:rPr>
              <w:t xml:space="preserve">, </w:t>
            </w:r>
            <w:r w:rsidRPr="005D6D89">
              <w:rPr>
                <w:rFonts w:eastAsiaTheme="minorHAnsi"/>
              </w:rPr>
              <w:t>how climate hazards will affect already vulnerable groups, such as Māori. Specific risks to Māori social, cultural, spiritual and economic wellbeing from the loss and degradation of lands and waters, and loss and degradation of species and biodiversity</w:t>
            </w:r>
            <w:r w:rsidR="00AF21B8">
              <w:rPr>
                <w:rFonts w:eastAsiaTheme="minorHAnsi"/>
              </w:rPr>
              <w:t>,</w:t>
            </w:r>
            <w:r w:rsidRPr="005D6D89">
              <w:rPr>
                <w:rFonts w:eastAsiaTheme="minorHAnsi"/>
              </w:rPr>
              <w:t xml:space="preserve"> are relatively unknown. Second</w:t>
            </w:r>
            <w:r w:rsidR="00AF21B8">
              <w:rPr>
                <w:rFonts w:eastAsiaTheme="minorHAnsi"/>
              </w:rPr>
              <w:t xml:space="preserve">, </w:t>
            </w:r>
            <w:r w:rsidRPr="005D6D89">
              <w:rPr>
                <w:rFonts w:eastAsiaTheme="minorHAnsi"/>
              </w:rPr>
              <w:t xml:space="preserve">what new vulnerabilities and inequities could </w:t>
            </w:r>
            <w:proofErr w:type="gramStart"/>
            <w:r w:rsidRPr="005D6D89">
              <w:rPr>
                <w:rFonts w:eastAsiaTheme="minorHAnsi"/>
              </w:rPr>
              <w:t>emerge.</w:t>
            </w:r>
            <w:proofErr w:type="gramEnd"/>
            <w:r w:rsidRPr="005D6D89">
              <w:rPr>
                <w:rFonts w:eastAsiaTheme="minorHAnsi"/>
              </w:rPr>
              <w:t xml:space="preserve"> </w:t>
            </w:r>
          </w:p>
          <w:p w14:paraId="14ACF3F4" w14:textId="77777777" w:rsidR="005B237C" w:rsidRPr="005D6D89" w:rsidRDefault="005B237C" w:rsidP="009D45AD">
            <w:pPr>
              <w:pStyle w:val="TableBullet"/>
              <w:rPr>
                <w:rFonts w:eastAsiaTheme="minorHAnsi"/>
              </w:rPr>
            </w:pPr>
            <w:r w:rsidRPr="005D6D89">
              <w:rPr>
                <w:rFonts w:eastAsiaTheme="minorHAnsi"/>
              </w:rPr>
              <w:t xml:space="preserve">There has been limited exploration of how climate change could affect social cohesion and community connectedness, place attachment and self-identify. </w:t>
            </w:r>
          </w:p>
          <w:p w14:paraId="4A178E1D" w14:textId="77777777" w:rsidR="005B237C" w:rsidRPr="005D6D89" w:rsidRDefault="005B237C" w:rsidP="009D45AD">
            <w:pPr>
              <w:pStyle w:val="TableBullet"/>
            </w:pPr>
            <w:r w:rsidRPr="005D6D89">
              <w:rPr>
                <w:rFonts w:eastAsia="Arial Unicode MS"/>
              </w:rPr>
              <w:t xml:space="preserve">There is very limited research on the sensitivity of cultural heritage sites, including </w:t>
            </w:r>
            <w:r w:rsidRPr="005D6D89">
              <w:rPr>
                <w:rFonts w:eastAsiaTheme="minorHAnsi"/>
              </w:rPr>
              <w:t>Māori cultural heritage,</w:t>
            </w:r>
            <w:r w:rsidRPr="005D6D89">
              <w:rPr>
                <w:rFonts w:eastAsia="Arial Unicode MS"/>
              </w:rPr>
              <w:t xml:space="preserve"> to climate change</w:t>
            </w:r>
            <w:r w:rsidRPr="005D6D89">
              <w:t xml:space="preserve">. Further research is required to understand where sites are and how they </w:t>
            </w:r>
            <w:proofErr w:type="gramStart"/>
            <w:r w:rsidRPr="005D6D89">
              <w:t>could be affected</w:t>
            </w:r>
            <w:proofErr w:type="gramEnd"/>
            <w:r w:rsidRPr="005D6D89">
              <w:t>.</w:t>
            </w:r>
          </w:p>
        </w:tc>
      </w:tr>
      <w:tr w:rsidR="005B237C" w:rsidRPr="005D6D89" w14:paraId="3BB04A6C" w14:textId="77777777" w:rsidTr="00095C79">
        <w:tc>
          <w:tcPr>
            <w:tcW w:w="832" w:type="pct"/>
            <w:tcBorders>
              <w:bottom w:val="single" w:sz="4" w:space="0" w:color="1C556C" w:themeColor="accent1"/>
            </w:tcBorders>
            <w:shd w:val="clear" w:color="auto" w:fill="auto"/>
            <w:tcMar>
              <w:top w:w="57" w:type="dxa"/>
            </w:tcMar>
          </w:tcPr>
          <w:p w14:paraId="0068790F" w14:textId="77777777" w:rsidR="005B237C" w:rsidRPr="005D6D89" w:rsidRDefault="005B237C" w:rsidP="009D45AD">
            <w:pPr>
              <w:pStyle w:val="TableText"/>
            </w:pPr>
            <w:r w:rsidRPr="005D6D89">
              <w:t xml:space="preserve">Economy </w:t>
            </w:r>
          </w:p>
        </w:tc>
        <w:tc>
          <w:tcPr>
            <w:tcW w:w="4168" w:type="pct"/>
            <w:tcBorders>
              <w:bottom w:val="single" w:sz="4" w:space="0" w:color="1C556C" w:themeColor="accent1"/>
            </w:tcBorders>
            <w:shd w:val="clear" w:color="auto" w:fill="auto"/>
            <w:tcMar>
              <w:top w:w="57" w:type="dxa"/>
            </w:tcMar>
          </w:tcPr>
          <w:p w14:paraId="42F8EB4C" w14:textId="77777777" w:rsidR="005B237C" w:rsidRPr="005D6D89" w:rsidRDefault="005B237C" w:rsidP="009D45AD">
            <w:pPr>
              <w:pStyle w:val="TableBullet"/>
              <w:rPr>
                <w:rFonts w:eastAsiaTheme="minorHAnsi"/>
              </w:rPr>
            </w:pPr>
            <w:r w:rsidRPr="005D6D89">
              <w:rPr>
                <w:rFonts w:eastAsiaTheme="minorHAnsi"/>
              </w:rPr>
              <w:t>It is unclear how climate change may flow into and through New Zealand</w:t>
            </w:r>
            <w:r w:rsidR="001200EA">
              <w:rPr>
                <w:rFonts w:eastAsiaTheme="minorHAnsi"/>
              </w:rPr>
              <w:t>’</w:t>
            </w:r>
            <w:r w:rsidRPr="005D6D89">
              <w:rPr>
                <w:rFonts w:eastAsiaTheme="minorHAnsi"/>
              </w:rPr>
              <w:t xml:space="preserve">s financial system. In particular, the economic costs of inaction at the national and regional scales, and across sectors are unquantified </w:t>
            </w:r>
            <w:r w:rsidRPr="005D6D89">
              <w:rPr>
                <w:rFonts w:eastAsiaTheme="minorHAnsi"/>
              </w:rPr>
              <w:fldChar w:fldCharType="begin" w:fldLock="1"/>
            </w:r>
            <w:r w:rsidRPr="005D6D89">
              <w:rPr>
                <w:rFonts w:eastAsiaTheme="minorHAnsi"/>
              </w:rPr>
              <w:instrText>ADDIN CSL_CITATION {"citationItems":[{"id":"ITEM-1","itemData":{"ISBN":"9781988525471","PMID":"11230","author":[{"dropping-particle":"","family":"Climate Change Adaptation Technical Working Group","given":"","non-dropping-particle":"","parse-names":false,"suffix":""}],"id":"ITEM-1","issued":{"date-parts":[["2018"]]},"number-of-pages":"60","title":"Adapting to Climate Change in New Zealand: Recommendations from the Climate Change Adaptation Technical Working Group","type":"report"},"uris":["http://www.mendeley.com/documents/?uuid=63b8d021-0672-41f4-a466-515367b1cc38"]}],"mendeley":{"formattedCitation":"(Climate Change Adaptation Technical Working Group, 2018)","plainTextFormattedCitation":"(Climate Change Adaptation Technical Working Group, 2018)","previouslyFormattedCitation":"(Climate Change Adaptation Technical Working Group, 2018)"},"properties":{"noteIndex":0},"schema":"https://github.com/citation-style-language/schema/raw/master/csl-citation.json"}</w:instrText>
            </w:r>
            <w:r w:rsidRPr="005D6D89">
              <w:rPr>
                <w:rFonts w:eastAsiaTheme="minorHAnsi"/>
              </w:rPr>
              <w:fldChar w:fldCharType="separate"/>
            </w:r>
            <w:r w:rsidRPr="005D6D89">
              <w:rPr>
                <w:rFonts w:eastAsiaTheme="minorHAnsi"/>
              </w:rPr>
              <w:t>(Climate Change Adaptation Technical Working Group,</w:t>
            </w:r>
            <w:r w:rsidR="00BD302B" w:rsidRPr="005D6D89">
              <w:rPr>
                <w:rFonts w:eastAsiaTheme="minorHAnsi"/>
              </w:rPr>
              <w:t> </w:t>
            </w:r>
            <w:r w:rsidRPr="005D6D89">
              <w:rPr>
                <w:rFonts w:eastAsiaTheme="minorHAnsi"/>
              </w:rPr>
              <w:t>2018)</w:t>
            </w:r>
            <w:r w:rsidRPr="005D6D89">
              <w:rPr>
                <w:rFonts w:eastAsiaTheme="minorHAnsi"/>
              </w:rPr>
              <w:fldChar w:fldCharType="end"/>
            </w:r>
            <w:r w:rsidRPr="005D6D89">
              <w:t>.</w:t>
            </w:r>
          </w:p>
          <w:p w14:paraId="62679AF3" w14:textId="77777777" w:rsidR="005B237C" w:rsidRPr="005D6D89" w:rsidRDefault="005B237C" w:rsidP="006F1BCA">
            <w:pPr>
              <w:pStyle w:val="TableBullet"/>
              <w:rPr>
                <w:color w:val="0A0A0A"/>
              </w:rPr>
            </w:pPr>
            <w:r w:rsidRPr="005D6D89">
              <w:rPr>
                <w:rFonts w:eastAsiaTheme="minorHAnsi"/>
              </w:rPr>
              <w:t>There is limited research into supply chain disruption due to climate change in a New Zealand context.</w:t>
            </w:r>
          </w:p>
        </w:tc>
      </w:tr>
      <w:tr w:rsidR="006F1BCA" w:rsidRPr="005D6D89" w14:paraId="67FA8C43" w14:textId="77777777" w:rsidTr="00095C79">
        <w:tc>
          <w:tcPr>
            <w:tcW w:w="832" w:type="pct"/>
            <w:tcBorders>
              <w:top w:val="single" w:sz="4" w:space="0" w:color="1C556C" w:themeColor="accent1"/>
            </w:tcBorders>
            <w:shd w:val="clear" w:color="auto" w:fill="auto"/>
            <w:tcMar>
              <w:top w:w="57" w:type="dxa"/>
            </w:tcMar>
          </w:tcPr>
          <w:p w14:paraId="7523EB85" w14:textId="77777777" w:rsidR="006F1BCA" w:rsidRPr="005D6D89" w:rsidRDefault="006F1BCA" w:rsidP="006F1BCA">
            <w:pPr>
              <w:pStyle w:val="TableText"/>
              <w:keepNext/>
            </w:pPr>
          </w:p>
        </w:tc>
        <w:tc>
          <w:tcPr>
            <w:tcW w:w="4168" w:type="pct"/>
            <w:tcBorders>
              <w:top w:val="single" w:sz="4" w:space="0" w:color="1C556C" w:themeColor="accent1"/>
            </w:tcBorders>
            <w:shd w:val="clear" w:color="auto" w:fill="auto"/>
            <w:tcMar>
              <w:top w:w="57" w:type="dxa"/>
            </w:tcMar>
          </w:tcPr>
          <w:p w14:paraId="7E0F48CB" w14:textId="77777777" w:rsidR="006F1BCA" w:rsidRPr="005D6D89" w:rsidRDefault="006F1BCA" w:rsidP="006F1BCA">
            <w:pPr>
              <w:pStyle w:val="TableBullet"/>
              <w:keepNext/>
              <w:rPr>
                <w:rFonts w:eastAsiaTheme="minorHAnsi"/>
              </w:rPr>
            </w:pPr>
            <w:r w:rsidRPr="005D6D89">
              <w:rPr>
                <w:rFonts w:eastAsiaTheme="minorHAnsi"/>
              </w:rPr>
              <w:t xml:space="preserve">There is limited evidence of how climate change will </w:t>
            </w:r>
            <w:proofErr w:type="gramStart"/>
            <w:r w:rsidRPr="005D6D89">
              <w:rPr>
                <w:rFonts w:eastAsiaTheme="minorHAnsi"/>
              </w:rPr>
              <w:t>impact on</w:t>
            </w:r>
            <w:proofErr w:type="gramEnd"/>
            <w:r w:rsidRPr="005D6D89">
              <w:rPr>
                <w:rFonts w:eastAsiaTheme="minorHAnsi"/>
              </w:rPr>
              <w:t xml:space="preserve"> the banking and insurance sectors. There is a research gap around the quality of housing stock and its exposure to </w:t>
            </w:r>
            <w:r w:rsidRPr="00530DB8">
              <w:rPr>
                <w:rFonts w:eastAsiaTheme="minorHAnsi"/>
              </w:rPr>
              <w:t>insurance sector retreat.</w:t>
            </w:r>
            <w:r w:rsidRPr="005D6D89">
              <w:rPr>
                <w:rFonts w:eastAsiaTheme="minorHAnsi"/>
              </w:rPr>
              <w:t xml:space="preserve"> There is no consistent data collection system across New Zealand on this retreat. </w:t>
            </w:r>
          </w:p>
          <w:p w14:paraId="2B68A123" w14:textId="77777777" w:rsidR="006F1BCA" w:rsidRPr="005D6D89" w:rsidRDefault="006F1BCA" w:rsidP="006F1BCA">
            <w:pPr>
              <w:pStyle w:val="TableBullet"/>
              <w:keepNext/>
              <w:rPr>
                <w:rFonts w:eastAsiaTheme="minorHAnsi"/>
              </w:rPr>
            </w:pPr>
            <w:r w:rsidRPr="005D6D89">
              <w:rPr>
                <w:rFonts w:eastAsiaTheme="minorHAnsi"/>
              </w:rPr>
              <w:t>The fisheries sector suffers from a lack of research, particularly into vulnerability of whole ecosystems and taxa-specific species.</w:t>
            </w:r>
          </w:p>
        </w:tc>
      </w:tr>
      <w:tr w:rsidR="005B237C" w:rsidRPr="005D6D89" w14:paraId="298ACFD5" w14:textId="77777777" w:rsidTr="00095C79">
        <w:tc>
          <w:tcPr>
            <w:tcW w:w="832" w:type="pct"/>
            <w:shd w:val="clear" w:color="auto" w:fill="auto"/>
            <w:tcMar>
              <w:top w:w="57" w:type="dxa"/>
            </w:tcMar>
          </w:tcPr>
          <w:p w14:paraId="11E3CA4C" w14:textId="77777777" w:rsidR="005B237C" w:rsidRPr="005D6D89" w:rsidRDefault="005B237C" w:rsidP="009D45AD">
            <w:pPr>
              <w:pStyle w:val="TableText"/>
            </w:pPr>
            <w:r w:rsidRPr="005D6D89">
              <w:t>Built environment</w:t>
            </w:r>
          </w:p>
        </w:tc>
        <w:tc>
          <w:tcPr>
            <w:tcW w:w="4168" w:type="pct"/>
            <w:shd w:val="clear" w:color="auto" w:fill="auto"/>
            <w:tcMar>
              <w:top w:w="57" w:type="dxa"/>
            </w:tcMar>
          </w:tcPr>
          <w:p w14:paraId="6AD484EC" w14:textId="77777777" w:rsidR="005B237C" w:rsidRPr="005D6D89" w:rsidRDefault="005B237C" w:rsidP="009D45AD">
            <w:pPr>
              <w:pStyle w:val="TableBullet"/>
              <w:rPr>
                <w:rFonts w:eastAsiaTheme="minorHAnsi"/>
              </w:rPr>
            </w:pPr>
            <w:r w:rsidRPr="005D6D89">
              <w:rPr>
                <w:rFonts w:eastAsiaTheme="minorHAnsi"/>
              </w:rPr>
              <w:t>A lack of consistent hazard information at a national scale, such as flooding from rivers and surface water, results in a knowledge gap for hazard exposure. This is particularly prevalent when looking to understand scenarios and timeframes.</w:t>
            </w:r>
          </w:p>
          <w:p w14:paraId="75FC3E3A" w14:textId="77777777" w:rsidR="005B237C" w:rsidRPr="005D6D89" w:rsidRDefault="005B237C" w:rsidP="009D45AD">
            <w:pPr>
              <w:pStyle w:val="TableBullet"/>
            </w:pPr>
            <w:r w:rsidRPr="005D6D89">
              <w:rPr>
                <w:rFonts w:eastAsiaTheme="minorHAnsi"/>
              </w:rPr>
              <w:t>Further understanding of interdependencies and interactions between infrastructure sectors and shared risk appreciation across sectors would strengthen risk management and adaptation.</w:t>
            </w:r>
            <w:r w:rsidRPr="005D6D89">
              <w:t xml:space="preserve"> </w:t>
            </w:r>
          </w:p>
          <w:p w14:paraId="68EC37DF" w14:textId="77777777" w:rsidR="005B237C" w:rsidRPr="005D6D89" w:rsidRDefault="005B237C" w:rsidP="009D45AD">
            <w:pPr>
              <w:pStyle w:val="TableBullet"/>
            </w:pPr>
            <w:r w:rsidRPr="005D6D89">
              <w:t>Research is required to understand the locations of landfills and the associated risk across New Zealand.</w:t>
            </w:r>
          </w:p>
          <w:p w14:paraId="49284924" w14:textId="77777777" w:rsidR="005B237C" w:rsidRPr="005D6D89" w:rsidRDefault="005B237C" w:rsidP="009D45AD">
            <w:pPr>
              <w:pStyle w:val="TableBullet"/>
            </w:pPr>
            <w:r w:rsidRPr="005D6D89">
              <w:t xml:space="preserve">Little </w:t>
            </w:r>
            <w:proofErr w:type="gramStart"/>
            <w:r w:rsidRPr="005D6D89">
              <w:t>is known</w:t>
            </w:r>
            <w:proofErr w:type="gramEnd"/>
            <w:r w:rsidRPr="005D6D89">
              <w:t xml:space="preserve"> about climate change risks, including interdependencies and cascading impacts, to our ports. </w:t>
            </w:r>
          </w:p>
        </w:tc>
      </w:tr>
      <w:tr w:rsidR="005B237C" w:rsidRPr="005D6D89" w14:paraId="454A66F6" w14:textId="77777777" w:rsidTr="00095C79">
        <w:tc>
          <w:tcPr>
            <w:tcW w:w="832" w:type="pct"/>
            <w:shd w:val="clear" w:color="auto" w:fill="auto"/>
            <w:tcMar>
              <w:top w:w="57" w:type="dxa"/>
            </w:tcMar>
          </w:tcPr>
          <w:p w14:paraId="4D53EB7B" w14:textId="77777777" w:rsidR="005B237C" w:rsidRPr="005D6D89" w:rsidRDefault="005B237C" w:rsidP="009D45AD">
            <w:pPr>
              <w:pStyle w:val="TableText"/>
            </w:pPr>
            <w:r w:rsidRPr="005D6D89">
              <w:t xml:space="preserve">Governance </w:t>
            </w:r>
          </w:p>
        </w:tc>
        <w:tc>
          <w:tcPr>
            <w:tcW w:w="4168" w:type="pct"/>
            <w:shd w:val="clear" w:color="auto" w:fill="auto"/>
            <w:tcMar>
              <w:top w:w="57" w:type="dxa"/>
            </w:tcMar>
          </w:tcPr>
          <w:p w14:paraId="277DA401" w14:textId="77777777" w:rsidR="005B237C" w:rsidRPr="005D6D89" w:rsidRDefault="005B237C" w:rsidP="009D45AD">
            <w:pPr>
              <w:pStyle w:val="TableBullet"/>
              <w:rPr>
                <w:rFonts w:eastAsiaTheme="minorHAnsi"/>
              </w:rPr>
            </w:pPr>
            <w:r w:rsidRPr="005D6D89">
              <w:rPr>
                <w:rFonts w:eastAsiaTheme="minorHAnsi"/>
              </w:rPr>
              <w:t xml:space="preserve">Understanding how decision-support tools </w:t>
            </w:r>
            <w:proofErr w:type="gramStart"/>
            <w:r w:rsidRPr="005D6D89">
              <w:rPr>
                <w:rFonts w:eastAsiaTheme="minorHAnsi"/>
              </w:rPr>
              <w:t>are used (and misused)</w:t>
            </w:r>
            <w:proofErr w:type="gramEnd"/>
            <w:r w:rsidRPr="005D6D89">
              <w:rPr>
                <w:rFonts w:eastAsiaTheme="minorHAnsi"/>
              </w:rPr>
              <w:t xml:space="preserve"> and barriers to best practice uptake requires more research to ensure high-quality, coordinated decision-making across New Zealand. </w:t>
            </w:r>
          </w:p>
          <w:p w14:paraId="1A09776F" w14:textId="77777777" w:rsidR="005B237C" w:rsidRPr="005D6D89" w:rsidRDefault="005B237C" w:rsidP="009D45AD">
            <w:pPr>
              <w:pStyle w:val="TableBullet"/>
              <w:rPr>
                <w:rFonts w:eastAsiaTheme="minorHAnsi"/>
              </w:rPr>
            </w:pPr>
            <w:r w:rsidRPr="005D6D89">
              <w:rPr>
                <w:rFonts w:eastAsiaTheme="minorHAnsi"/>
              </w:rPr>
              <w:t xml:space="preserve">A coordinated, comprehensive research platform to inform effective adaptation is missing and needs to </w:t>
            </w:r>
            <w:proofErr w:type="gramStart"/>
            <w:r w:rsidRPr="005D6D89">
              <w:rPr>
                <w:rFonts w:eastAsiaTheme="minorHAnsi"/>
              </w:rPr>
              <w:t>be prioritised</w:t>
            </w:r>
            <w:proofErr w:type="gramEnd"/>
            <w:r w:rsidRPr="005D6D89">
              <w:rPr>
                <w:rFonts w:eastAsiaTheme="minorHAnsi"/>
              </w:rPr>
              <w:t xml:space="preserve"> to ensure research is accessible.</w:t>
            </w:r>
          </w:p>
          <w:p w14:paraId="78379238" w14:textId="77777777" w:rsidR="005B237C" w:rsidRPr="005D6D89" w:rsidRDefault="005B237C" w:rsidP="009D45AD">
            <w:pPr>
              <w:pStyle w:val="TableBullet"/>
              <w:rPr>
                <w:rFonts w:eastAsiaTheme="minorHAnsi"/>
              </w:rPr>
            </w:pPr>
            <w:r w:rsidRPr="005D6D89">
              <w:rPr>
                <w:rFonts w:eastAsiaTheme="minorHAnsi"/>
              </w:rPr>
              <w:t xml:space="preserve">An understanding of the dependencies and feedback loops across all domains, locations and timescales would benefit climate risk management adaptation </w:t>
            </w:r>
            <w:r w:rsidRPr="005D6D89">
              <w:rPr>
                <w:rFonts w:eastAsiaTheme="minorHAnsi"/>
              </w:rPr>
              <w:fldChar w:fldCharType="begin" w:fldLock="1"/>
            </w:r>
            <w:r w:rsidRPr="005D6D89">
              <w:rPr>
                <w:rFonts w:eastAsiaTheme="minorHAnsi"/>
              </w:rPr>
              <w:instrText>ADDIN CSL_CITATION {"citationItems":[{"id":"ITEM-1","itemData":{"author":[{"dropping-particle":"","family":"Lawrence","given":"Judy","non-dropping-particle":"","parse-names":false,"suffix":""},{"dropping-particle":"","family":"Blackett","given":"Paula","non-dropping-particle":"","parse-names":false,"suffix":""},{"dropping-particle":"","family":"Cradock-henry","given":"Nicholas","non-dropping-particle":"","parse-names":false,"suffix":""},{"dropping-particle":"","family":"Nistor","given":"Benjamin J","non-dropping-particle":"","parse-names":false,"suffix":""}],"id":"ITEM-1","issued":{"date-parts":[["2018"]]},"page":"1-55","title":"Climate Change : The Cascade Effect Cascading impacts and implications for Aotearoa New Zealand","type":"article-journal"},"uris":["http://www.mendeley.com/documents/?uuid=d5733d7c-1753-4f31-85de-4258256e8d95"]}],"mendeley":{"formattedCitation":"(Lawrence, Blackett, et al., 2018)","plainTextFormattedCitation":"(Lawrence, Blackett, et al., 2018)","previouslyFormattedCitation":"(Lawrence, Blackett, et al., 2018)"},"properties":{"noteIndex":0},"schema":"https://github.com/citation-style-language/schema/raw/master/csl-citation.json"}</w:instrText>
            </w:r>
            <w:r w:rsidRPr="005D6D89">
              <w:rPr>
                <w:rFonts w:eastAsiaTheme="minorHAnsi"/>
              </w:rPr>
              <w:fldChar w:fldCharType="separate"/>
            </w:r>
            <w:r w:rsidRPr="005D6D89">
              <w:rPr>
                <w:rFonts w:eastAsiaTheme="minorHAnsi"/>
              </w:rPr>
              <w:t>(Lawrence, Blackett</w:t>
            </w:r>
            <w:r w:rsidR="00B61730">
              <w:rPr>
                <w:rFonts w:eastAsiaTheme="minorHAnsi"/>
              </w:rPr>
              <w:t xml:space="preserve"> et al</w:t>
            </w:r>
            <w:r w:rsidRPr="005D6D89">
              <w:rPr>
                <w:rFonts w:eastAsiaTheme="minorHAnsi"/>
              </w:rPr>
              <w:t>, 2018; Lawrence, Blackett and Cradock-Henry, 2020)</w:t>
            </w:r>
            <w:r w:rsidRPr="005D6D89">
              <w:rPr>
                <w:rFonts w:eastAsiaTheme="minorHAnsi"/>
              </w:rPr>
              <w:fldChar w:fldCharType="end"/>
            </w:r>
            <w:r w:rsidRPr="005D6D89">
              <w:rPr>
                <w:rFonts w:eastAsiaTheme="minorHAnsi"/>
              </w:rPr>
              <w:t xml:space="preserve">. </w:t>
            </w:r>
          </w:p>
          <w:p w14:paraId="06F177B1" w14:textId="77777777" w:rsidR="005B237C" w:rsidRPr="005D6D89" w:rsidRDefault="005B237C" w:rsidP="009D45AD">
            <w:pPr>
              <w:pStyle w:val="TableBullet"/>
              <w:rPr>
                <w:rFonts w:eastAsiaTheme="minorHAnsi"/>
              </w:rPr>
            </w:pPr>
            <w:r w:rsidRPr="005D6D89">
              <w:rPr>
                <w:rFonts w:eastAsiaTheme="minorHAnsi"/>
              </w:rPr>
              <w:t xml:space="preserve">Investigating socio-cultural, technological and disciplinary barriers to transformational adaptation across multiple scales would facilitate faster, system-wide change </w:t>
            </w:r>
            <w:r w:rsidRPr="005D6D89">
              <w:rPr>
                <w:rFonts w:eastAsiaTheme="minorHAnsi"/>
              </w:rPr>
              <w:fldChar w:fldCharType="begin" w:fldLock="1"/>
            </w:r>
            <w:r w:rsidRPr="005D6D89">
              <w:rPr>
                <w:rFonts w:eastAsiaTheme="minorHAnsi"/>
              </w:rPr>
              <w:instrText>ADDIN CSL_CITATION {"citationItems":[{"id":"ITEM-1","itemData":{"DOI":"10.1016/B978-0-444-53643-3.00185-0","ISBN":"9780444536433","abstract":"Summary diagrams of ten pollen and charcoal records extending through the whole or a large part of the late Pleistocene interval and covering a substantial proportion of vegetation and environmental variation within Australasia, apart from the arid interior of Australia, are presented and discussed. They demonstrate marked regional variation superimposed on a basic pattern of reduced rainfall as well as temperatures during glacial periods. The records from Australia also generally show a trend toward more open canopied vegetation and an increase in charcoal that may relate to burning activities of people and/or to progressively drier or more variable climatic conditions.","author":[{"dropping-particle":"","family":"Reisinger","given":"Andy","non-dropping-particle":"","parse-names":false,"suffix":""},{"dropping-particle":"","family":"Kitching","given":"R L","non-dropping-particle":"","parse-names":false,"suffix":""},{"dropping-particle":"","family":"Chiew","given":"F","non-dropping-particle":"","parse-names":false,"suffix":""},{"dropping-particle":"","family":"Hughes","given":"L","non-dropping-particle":"","parse-names":false,"suffix":""},{"dropping-particle":"","family":"Newton","given":"P C D","non-dropping-particle":"","parse-names":false,"suffix":""},{"dropping-particle":"","family":"Schuster","given":"S S","non-dropping-particle":"","parse-names":false,"suffix":""},{"dropping-particle":"","family":"Tait","given":"Andrew","non-dropping-particle":"","parse-names":false,"suffix":""},{"dropping-particle":"","family":"Whetton","given":"P","non-dropping-particle":"","parse-names":false,"suffix":""}],"chapter-number":"25","container-title":"Climate Change 2014: Impacts, Adaptation, and Vulnerability. Part B: Regional Aspects. Contribution of Working Group II to the Fifth Assessment Report of the Intergovernmental Panel on Climate Change","editor":[{"dropping-particle":"","family":"Barros","given":"V.R","non-dropping-particle":"","parse-names":false,"suffix":""},{"dropping-particle":"","family":"Field","given":"C B","non-dropping-particle":"","parse-names":false,"suffix":""},{"dropping-particle":"","family":"Dokken","given":"D J","non-dropping-particle":"","parse-names":false,"suffix":""},{"dropping-particle":"","family":"Mastrandrea","given":"M D","non-dropping-particle":"","parse-names":false,"suffix":""},{"dropping-particle":"","family":"Mach","given":"K J","non-dropping-particle":"","parse-names":false,"suffix":""},{"dropping-particle":"","family":"Bilir","given":"T E","non-dropping-particle":"","parse-names":false,"suffix":""},{"dropping-particle":"","family":"M","given":"Chatterjee","non-dropping-particle":"","parse-names":false,"suffix":""},{"dropping-particle":"","family":"Ebi","given":"K L","non-dropping-particle":"","parse-names":false,"suffix":""},{"dropping-particle":"","family":"Estrada","given":"Y O","non-dropping-particle":"","parse-names":false,"suffix":""},{"dropping-particle":"","family":"Genova","given":"R C","non-dropping-particle":"","parse-names":false,"suffix":""},{"dropping-particle":"","family":"Girma","given":"B","non-dropping-particle":"","parse-names":false,"suffix":""},{"dropping-particle":"","family":"Kissel","given":"E S","non-dropping-particle":"","parse-names":false,"suffix":""},{"dropping-particle":"","family":"Levy","given":"A N","non-dropping-particle":"","parse-names":false,"suffix":""},{"dropping-particle":"","family":"MacCracken","given":"S","non-dropping-particle":"","parse-names":false,"suffix":""},{"dropping-particle":"","family":"R","given":"Mastrandrea P","non-dropping-particle":"","parse-names":false,"suffix":""},{"dropping-particle":"","family":"White","given":"L L","non-dropping-particle":"","parse-names":false,"suffix":""}],"id":"ITEM-1","issued":{"date-parts":[["2014"]]},"page":"18-26","publisher":"Cambridge University Press","publisher-place":"Cambridge, United Kingdom, New York","title":"Australasia","type":"chapter"},"uris":["http://www.mendeley.com/documents/?uuid=acf2a24e-361d-46f0-a0d2-ecd4b4747a27"]}],"mendeley":{"formattedCitation":"(Reisinger, Kitching, et al., 2014)","plainTextFormattedCitation":"(Reisinger, Kitching, et al., 2014)","previouslyFormattedCitation":"(Reisinger, Kitching, et al., 2014)"},"properties":{"noteIndex":0},"schema":"https://github.com/citation-style-language/schema/raw/master/csl-citation.json"}</w:instrText>
            </w:r>
            <w:r w:rsidRPr="005D6D89">
              <w:rPr>
                <w:rFonts w:eastAsiaTheme="minorHAnsi"/>
              </w:rPr>
              <w:fldChar w:fldCharType="separate"/>
            </w:r>
            <w:r w:rsidRPr="005D6D89">
              <w:rPr>
                <w:rFonts w:eastAsiaTheme="minorHAnsi"/>
              </w:rPr>
              <w:t>(Reisinger, Kitching</w:t>
            </w:r>
            <w:r w:rsidR="00B61730">
              <w:rPr>
                <w:rFonts w:eastAsiaTheme="minorHAnsi"/>
              </w:rPr>
              <w:t xml:space="preserve"> et al</w:t>
            </w:r>
            <w:r w:rsidRPr="005D6D89">
              <w:rPr>
                <w:rFonts w:eastAsiaTheme="minorHAnsi"/>
              </w:rPr>
              <w:t>, 2014)</w:t>
            </w:r>
            <w:r w:rsidRPr="005D6D89">
              <w:rPr>
                <w:rFonts w:eastAsiaTheme="minorHAnsi"/>
              </w:rPr>
              <w:fldChar w:fldCharType="end"/>
            </w:r>
            <w:r w:rsidRPr="005D6D89">
              <w:rPr>
                <w:rFonts w:eastAsiaTheme="minorHAnsi"/>
              </w:rPr>
              <w:t xml:space="preserve">. </w:t>
            </w:r>
          </w:p>
          <w:p w14:paraId="788972D3" w14:textId="77777777" w:rsidR="005B237C" w:rsidRPr="005D6D89" w:rsidRDefault="005B237C" w:rsidP="009D45AD">
            <w:pPr>
              <w:pStyle w:val="TableBullet"/>
              <w:rPr>
                <w:rFonts w:eastAsiaTheme="minorHAnsi"/>
              </w:rPr>
            </w:pPr>
            <w:r w:rsidRPr="005D6D89">
              <w:rPr>
                <w:rFonts w:eastAsiaTheme="minorHAnsi"/>
              </w:rPr>
              <w:t xml:space="preserve">As outlined in the case study in </w:t>
            </w:r>
            <w:hyperlink w:anchor="_Case_studies:_cascading" w:history="1">
              <w:r w:rsidRPr="000239A1">
                <w:rPr>
                  <w:rStyle w:val="Hyperlink"/>
                  <w:rFonts w:eastAsiaTheme="minorHAnsi"/>
                </w:rPr>
                <w:t xml:space="preserve">section </w:t>
              </w:r>
              <w:r w:rsidR="000239A1" w:rsidRPr="000239A1">
                <w:rPr>
                  <w:rStyle w:val="Hyperlink"/>
                  <w:rFonts w:eastAsiaTheme="minorHAnsi"/>
                </w:rPr>
                <w:t>6</w:t>
              </w:r>
            </w:hyperlink>
            <w:r w:rsidRPr="005D6D89">
              <w:rPr>
                <w:rFonts w:eastAsiaTheme="minorHAnsi"/>
              </w:rPr>
              <w:t xml:space="preserve">, it is unclear how cascading consequences will affect governance, social and ecological systems </w:t>
            </w:r>
            <w:r w:rsidRPr="005D6D89">
              <w:rPr>
                <w:rFonts w:eastAsiaTheme="minorHAnsi"/>
              </w:rPr>
              <w:fldChar w:fldCharType="begin" w:fldLock="1"/>
            </w:r>
            <w:r w:rsidRPr="005D6D89">
              <w:rPr>
                <w:rFonts w:eastAsiaTheme="minorHAnsi"/>
              </w:rPr>
              <w:instrText>ADDIN CSL_CITATION {"citationItems":[{"id":"ITEM-1","itemData":{"author":[{"dropping-particle":"","family":"Lawrence","given":"Judy","non-dropping-particle":"","parse-names":false,"suffix":""},{"dropping-particle":"","family":"Blackett","given":"Paula","non-dropping-particle":"","parse-names":false,"suffix":""},{"dropping-particle":"","family":"Cradock-henry","given":"Nicholas","non-dropping-particle":"","parse-names":false,"suffix":""},{"dropping-particle":"","family":"Nistor","given":"Benjamin J","non-dropping-particle":"","parse-names":false,"suffix":""}],"id":"ITEM-1","issued":{"date-parts":[["2018"]]},"page":"1-55","title":"Climate Change : The Cascade Effect Cascading impacts and implications for Aotearoa New Zealand","type":"article-journal"},"uris":["http://www.mendeley.com/documents/?uuid=d5733d7c-1753-4f31-85de-4258256e8d95"]}],"mendeley":{"formattedCitation":"(Lawrence, Blackett, et al., 2018)","plainTextFormattedCitation":"(Lawrence, Blackett, et al., 2018)","previouslyFormattedCitation":"(Lawrence, Blackett, et al., 2018)"},"properties":{"noteIndex":0},"schema":"https://github.com/citation-style-language/schema/raw/master/csl-citation.json"}</w:instrText>
            </w:r>
            <w:r w:rsidRPr="005D6D89">
              <w:rPr>
                <w:rFonts w:eastAsiaTheme="minorHAnsi"/>
              </w:rPr>
              <w:fldChar w:fldCharType="separate"/>
            </w:r>
            <w:r w:rsidRPr="005D6D89">
              <w:rPr>
                <w:rFonts w:eastAsiaTheme="minorHAnsi"/>
              </w:rPr>
              <w:t>(Lawrence, Blackett</w:t>
            </w:r>
            <w:r w:rsidR="00B61730">
              <w:rPr>
                <w:rFonts w:eastAsiaTheme="minorHAnsi"/>
              </w:rPr>
              <w:t xml:space="preserve"> et al</w:t>
            </w:r>
            <w:r w:rsidRPr="005D6D89">
              <w:rPr>
                <w:rFonts w:eastAsiaTheme="minorHAnsi"/>
              </w:rPr>
              <w:t>, 2018; Lawrence, Blackett and Cradock-Henry, 2020)</w:t>
            </w:r>
            <w:r w:rsidRPr="005D6D89">
              <w:rPr>
                <w:rFonts w:eastAsiaTheme="minorHAnsi"/>
              </w:rPr>
              <w:fldChar w:fldCharType="end"/>
            </w:r>
            <w:r w:rsidRPr="005D6D89">
              <w:rPr>
                <w:rFonts w:eastAsiaTheme="minorHAnsi"/>
              </w:rPr>
              <w:t>.</w:t>
            </w:r>
          </w:p>
          <w:p w14:paraId="4C070B54" w14:textId="77777777" w:rsidR="005B237C" w:rsidRPr="005D6D89" w:rsidRDefault="005B237C" w:rsidP="009D45AD">
            <w:pPr>
              <w:pStyle w:val="TableBullet"/>
            </w:pPr>
            <w:r w:rsidRPr="005D6D89">
              <w:rPr>
                <w:rFonts w:eastAsiaTheme="minorHAnsi"/>
              </w:rPr>
              <w:t xml:space="preserve">Further clarification is needed on how land and water users will be affected by compounding risks, for more effective policy </w:t>
            </w:r>
            <w:r w:rsidRPr="005D6D89">
              <w:rPr>
                <w:rFonts w:eastAsiaTheme="minorHAnsi"/>
              </w:rPr>
              <w:fldChar w:fldCharType="begin" w:fldLock="1"/>
            </w:r>
            <w:r w:rsidRPr="005D6D89">
              <w:rPr>
                <w:rFonts w:eastAsiaTheme="minorHAnsi"/>
              </w:rPr>
              <w:instrText>ADDIN CSL_CITATION {"citationItems":[{"id":"ITEM-1","itemData":{"ISBN":"9781988525471","PMID":"11230","author":[{"dropping-particle":"","family":"Climate Change Adaptation Technical Working Group","given":"","non-dropping-particle":"","parse-names":false,"suffix":""}],"id":"ITEM-1","issued":{"date-parts":[["2018"]]},"number-of-pages":"60","title":"Adapting to Climate Change in New Zealand: Recommendations from the Climate Change Adaptation Technical Working Group","type":"report"},"uris":["http://www.mendeley.com/documents/?uuid=63b8d021-0672-41f4-a466-515367b1cc38"]}],"mendeley":{"formattedCitation":"(Climate Change Adaptation Technical Working Group, 2018)","plainTextFormattedCitation":"(Climate Change Adaptation Technical Working Group, 2018)","previouslyFormattedCitation":"(Climate Change Adaptation Technical Working Group, 2018)"},"properties":{"noteIndex":0},"schema":"https://github.com/citation-style-language/schema/raw/master/csl-citation.json"}</w:instrText>
            </w:r>
            <w:r w:rsidRPr="005D6D89">
              <w:rPr>
                <w:rFonts w:eastAsiaTheme="minorHAnsi"/>
              </w:rPr>
              <w:fldChar w:fldCharType="separate"/>
            </w:r>
            <w:r w:rsidRPr="005D6D89">
              <w:rPr>
                <w:rFonts w:eastAsiaTheme="minorHAnsi"/>
              </w:rPr>
              <w:t>(Climate Change Adaptation Technical Working Group, 2018)</w:t>
            </w:r>
            <w:r w:rsidRPr="005D6D89">
              <w:rPr>
                <w:rFonts w:eastAsiaTheme="minorHAnsi"/>
              </w:rPr>
              <w:fldChar w:fldCharType="end"/>
            </w:r>
            <w:r w:rsidRPr="005D6D89">
              <w:rPr>
                <w:rFonts w:eastAsiaTheme="minorHAnsi"/>
              </w:rPr>
              <w:t>. If the exposure of these users is misunderstood, this will reduce the</w:t>
            </w:r>
            <w:r w:rsidR="00BD302B" w:rsidRPr="005D6D89">
              <w:rPr>
                <w:rFonts w:eastAsiaTheme="minorHAnsi"/>
              </w:rPr>
              <w:t> </w:t>
            </w:r>
            <w:r w:rsidRPr="005D6D89">
              <w:rPr>
                <w:rFonts w:eastAsiaTheme="minorHAnsi"/>
              </w:rPr>
              <w:t>effectiveness of any policy.</w:t>
            </w:r>
            <w:r w:rsidRPr="005D6D89">
              <w:t xml:space="preserve"> </w:t>
            </w:r>
          </w:p>
        </w:tc>
      </w:tr>
    </w:tbl>
    <w:p w14:paraId="525CD637" w14:textId="77777777" w:rsidR="00CA4D0D" w:rsidRPr="005D6D89" w:rsidRDefault="00CA4D0D" w:rsidP="00812D16">
      <w:pPr>
        <w:pStyle w:val="Heading3"/>
        <w:numPr>
          <w:ilvl w:val="0"/>
          <w:numId w:val="36"/>
        </w:numPr>
        <w:tabs>
          <w:tab w:val="num" w:pos="992"/>
        </w:tabs>
        <w:spacing w:before="440"/>
      </w:pPr>
      <w:bookmarkStart w:id="533" w:name="_Mātauranga_Māori-based_gaps"/>
      <w:bookmarkStart w:id="534" w:name="_Toc35812381"/>
      <w:bookmarkStart w:id="535" w:name="_Toc37090537"/>
      <w:bookmarkStart w:id="536" w:name="_Toc37255802"/>
      <w:bookmarkStart w:id="537" w:name="_Ref37666005"/>
      <w:bookmarkStart w:id="538" w:name="_Toc40699380"/>
      <w:bookmarkStart w:id="539" w:name="_Hlk36903585"/>
      <w:bookmarkEnd w:id="533"/>
      <w:r w:rsidRPr="005D6D89">
        <w:t>Mātauranga Māori</w:t>
      </w:r>
      <w:bookmarkEnd w:id="534"/>
      <w:r w:rsidRPr="005D6D89">
        <w:t>-based gaps</w:t>
      </w:r>
      <w:bookmarkEnd w:id="535"/>
      <w:bookmarkEnd w:id="536"/>
      <w:bookmarkEnd w:id="537"/>
      <w:bookmarkEnd w:id="538"/>
    </w:p>
    <w:bookmarkStart w:id="540" w:name="_Hlk38277883"/>
    <w:bookmarkStart w:id="541" w:name="_Hlk36902672"/>
    <w:p w14:paraId="4E92D691" w14:textId="77777777" w:rsidR="00CA4D0D" w:rsidRPr="005D6D89" w:rsidRDefault="00EA7A56" w:rsidP="006F1BCA">
      <w:pPr>
        <w:pStyle w:val="BodyText"/>
      </w:pPr>
      <w:r w:rsidRPr="00530DB8">
        <w:rPr>
          <w:u w:val="single"/>
        </w:rPr>
        <w:fldChar w:fldCharType="begin"/>
      </w:r>
      <w:r w:rsidRPr="00530DB8">
        <w:rPr>
          <w:u w:val="single"/>
        </w:rPr>
        <w:instrText xml:space="preserve"> HYPERLINK  \l "mataurangamaori" </w:instrText>
      </w:r>
      <w:r w:rsidRPr="00530DB8">
        <w:rPr>
          <w:u w:val="single"/>
        </w:rPr>
        <w:fldChar w:fldCharType="separate"/>
      </w:r>
      <w:r w:rsidR="00CA4D0D" w:rsidRPr="00530DB8">
        <w:rPr>
          <w:rStyle w:val="Hyperlink"/>
        </w:rPr>
        <w:t>Mātauranga Māori</w:t>
      </w:r>
      <w:r w:rsidRPr="00530DB8">
        <w:rPr>
          <w:u w:val="single"/>
        </w:rPr>
        <w:fldChar w:fldCharType="end"/>
      </w:r>
      <w:r w:rsidR="00CA4D0D" w:rsidRPr="005D6D89">
        <w:t xml:space="preserve"> plays an important role in informing risk assessments, adaptation and adaptive capacity, not just for climate-sensitive Māori communities </w:t>
      </w:r>
      <w:proofErr w:type="gramStart"/>
      <w:r w:rsidR="00CA4D0D" w:rsidRPr="005D6D89">
        <w:t>but</w:t>
      </w:r>
      <w:proofErr w:type="gramEnd"/>
      <w:r w:rsidR="00CA4D0D" w:rsidRPr="005D6D89">
        <w:t xml:space="preserve"> for all of New Zealand. </w:t>
      </w:r>
      <w:bookmarkEnd w:id="540"/>
      <w:r w:rsidR="00CA4D0D" w:rsidRPr="005D6D89">
        <w:t xml:space="preserve">New Zealand has many diverse groups and communities, each with their own values, beliefs and priorities. When assessing risk, this presents a challenge to integrate the complexities and uncertainties of all groups. </w:t>
      </w:r>
      <w:bookmarkStart w:id="542" w:name="_Hlk38278111"/>
    </w:p>
    <w:p w14:paraId="723E69AA" w14:textId="77777777" w:rsidR="00CA4D0D" w:rsidRPr="005D6D89" w:rsidRDefault="00CA4D0D" w:rsidP="006F1BCA">
      <w:pPr>
        <w:pStyle w:val="BodyText"/>
      </w:pPr>
      <w:r w:rsidRPr="005D6D89">
        <w:t xml:space="preserve">As a knowledge system, mātauranga Māori provides a framework for an integrated, holistic approach to understanding the impacts of climate change. </w:t>
      </w:r>
      <w:bookmarkEnd w:id="542"/>
      <w:r w:rsidRPr="005D6D89">
        <w:t xml:space="preserve">Importantly, it identifies ways to adapt and prepare for change, and to change practices to reduce negative impacts. </w:t>
      </w:r>
    </w:p>
    <w:p w14:paraId="5F689BA9" w14:textId="77777777" w:rsidR="00CA4D0D" w:rsidRPr="005D6D89" w:rsidRDefault="00CA4D0D" w:rsidP="006F1BCA">
      <w:pPr>
        <w:pStyle w:val="BodyText"/>
        <w:rPr>
          <w:rFonts w:cs="Arial"/>
          <w:color w:val="000000"/>
        </w:rPr>
      </w:pPr>
      <w:r w:rsidRPr="005D6D89">
        <w:t xml:space="preserve">Mātauranga Māori has a regenerative philosophy, one that presents a greater opportunity for long-term responses to engage meaningfully with iwi and hapū. A suite of literature supports this philosophy. These explore ways in which incorporating an </w:t>
      </w:r>
      <w:r w:rsidRPr="005D6D89">
        <w:rPr>
          <w:rFonts w:cs="Arial"/>
          <w:color w:val="000000"/>
        </w:rPr>
        <w:t xml:space="preserve">indigenous cultural perspective into scientific methodologies can inform risk assessment. The </w:t>
      </w:r>
      <w:r w:rsidRPr="009079BF">
        <w:rPr>
          <w:rFonts w:cs="Arial"/>
          <w:color w:val="000000"/>
        </w:rPr>
        <w:t>NAP</w:t>
      </w:r>
      <w:r w:rsidRPr="005D6D89">
        <w:rPr>
          <w:rFonts w:cs="Arial"/>
          <w:color w:val="000000"/>
        </w:rPr>
        <w:t xml:space="preserve"> could capture this. </w:t>
      </w:r>
    </w:p>
    <w:p w14:paraId="4B289ACE" w14:textId="77777777" w:rsidR="00CA4D0D" w:rsidRPr="005D6D89" w:rsidRDefault="00CA4D0D" w:rsidP="006F1BCA">
      <w:pPr>
        <w:pStyle w:val="BodyText"/>
      </w:pPr>
      <w:r w:rsidRPr="005D6D89">
        <w:t>Mātauranga Māori encompasses all aspects of knowledge, including philosophy, beliefs, language, methods, technology and practice (Harmsworth and Awatere</w:t>
      </w:r>
      <w:r w:rsidR="0077343F">
        <w:t>,</w:t>
      </w:r>
      <w:r w:rsidRPr="005D6D89">
        <w:t xml:space="preserve"> 2014). While mātauranga can be widely held, </w:t>
      </w:r>
      <w:bookmarkStart w:id="543" w:name="_Hlk35793139"/>
      <w:r w:rsidRPr="005D6D89">
        <w:t xml:space="preserve">mātauranga Māori </w:t>
      </w:r>
      <w:bookmarkEnd w:id="543"/>
      <w:proofErr w:type="gramStart"/>
      <w:r w:rsidRPr="005D6D89">
        <w:t>is often held</w:t>
      </w:r>
      <w:proofErr w:type="gramEnd"/>
      <w:r w:rsidRPr="005D6D89">
        <w:t xml:space="preserve"> at a local level and can be</w:t>
      </w:r>
      <w:r w:rsidR="00D07D72" w:rsidRPr="005D6D89">
        <w:t> </w:t>
      </w:r>
      <w:r w:rsidRPr="005D6D89">
        <w:t>considered sacred or specific to an iwi, hapū or whānau. Such knowledge can be gifted or</w:t>
      </w:r>
      <w:r w:rsidR="00D07D72" w:rsidRPr="005D6D89">
        <w:t> </w:t>
      </w:r>
      <w:r w:rsidRPr="005D6D89">
        <w:t>shared and must be treated with the same level of respect by those who receive it. Mātauranga Māori has also evolved from being wisdom not only of the past, but also of contemporary forms (new approaches using traditional knowledge)</w:t>
      </w:r>
      <w:r w:rsidR="0077343F">
        <w:t>,</w:t>
      </w:r>
      <w:r w:rsidRPr="005D6D89">
        <w:t xml:space="preserve"> representing the dynamic</w:t>
      </w:r>
      <w:r w:rsidR="003F20BF" w:rsidRPr="005D6D89">
        <w:t> </w:t>
      </w:r>
      <w:r w:rsidRPr="005D6D89">
        <w:t>and evolving nature of Māori worldviews and culture.</w:t>
      </w:r>
    </w:p>
    <w:p w14:paraId="6FC7A6B3" w14:textId="77777777" w:rsidR="00CA4D0D" w:rsidRPr="005D6D89" w:rsidRDefault="00CA4D0D" w:rsidP="006F1BCA">
      <w:pPr>
        <w:pStyle w:val="BodyText"/>
      </w:pPr>
      <w:r w:rsidRPr="005D6D89">
        <w:t xml:space="preserve">Matters for consideration and concern raised at the </w:t>
      </w:r>
      <w:proofErr w:type="gramStart"/>
      <w:r w:rsidRPr="005D6D89">
        <w:t>hui</w:t>
      </w:r>
      <w:proofErr w:type="gramEnd"/>
      <w:r w:rsidRPr="005D6D89">
        <w:t xml:space="preserve"> during the NCCRA</w:t>
      </w:r>
      <w:r w:rsidR="001200EA">
        <w:t>’</w:t>
      </w:r>
      <w:r w:rsidRPr="005D6D89">
        <w:t>s engagement included:</w:t>
      </w:r>
    </w:p>
    <w:p w14:paraId="5953275F" w14:textId="77777777" w:rsidR="00CA4D0D" w:rsidRPr="005D6D89" w:rsidRDefault="00CA4D0D" w:rsidP="00CA4D0D">
      <w:pPr>
        <w:pStyle w:val="Bullet"/>
      </w:pPr>
      <w:r w:rsidRPr="005D6D89">
        <w:t xml:space="preserve">The current NCCRA framework, which </w:t>
      </w:r>
      <w:proofErr w:type="gramStart"/>
      <w:r w:rsidRPr="005D6D89">
        <w:t>was developed</w:t>
      </w:r>
      <w:proofErr w:type="gramEnd"/>
      <w:r w:rsidRPr="005D6D89">
        <w:t xml:space="preserve"> by the Ministry for the Environment, is not part of a Māori framework and therefore the relationship between the domains, their risks, and mātauranga Māori is unclear. Mātauranga Māori provides a holistic framework for viewing the world. The linear and reductive framework required by risk assessment methodology </w:t>
      </w:r>
      <w:r w:rsidR="0077343F">
        <w:t>makes</w:t>
      </w:r>
      <w:r w:rsidR="0077343F" w:rsidRPr="005D6D89">
        <w:t xml:space="preserve"> </w:t>
      </w:r>
      <w:r w:rsidRPr="005D6D89">
        <w:t xml:space="preserve">it difficult to bring these two frameworks together. In some instances, this restricted the ability for participants to frame Māori risks for integration into the wider framework. </w:t>
      </w:r>
    </w:p>
    <w:p w14:paraId="661A5B93" w14:textId="77777777" w:rsidR="00CA4D0D" w:rsidRPr="005D6D89" w:rsidRDefault="00CA4D0D" w:rsidP="00CA4D0D">
      <w:pPr>
        <w:pStyle w:val="Bullet"/>
      </w:pPr>
      <w:r w:rsidRPr="005D6D89">
        <w:t xml:space="preserve">Mātauranga Māori (or more specifically the knowledge held by a particular Māori group) includes information held sacred to a particular iwi/hapū, as well as information that </w:t>
      </w:r>
      <w:proofErr w:type="gramStart"/>
      <w:r w:rsidRPr="005D6D89">
        <w:t>could be made</w:t>
      </w:r>
      <w:proofErr w:type="gramEnd"/>
      <w:r w:rsidRPr="005D6D89">
        <w:t xml:space="preserve"> available by an iwi/hapū to others. However, </w:t>
      </w:r>
      <w:bookmarkStart w:id="544" w:name="_Hlk38277949"/>
      <w:r w:rsidRPr="005D6D89">
        <w:t xml:space="preserve">the appropriate timing for sharing this information, who should share it (eg, the </w:t>
      </w:r>
      <w:hyperlink w:anchor="kaumatua" w:history="1">
        <w:r w:rsidRPr="00530DB8">
          <w:rPr>
            <w:rStyle w:val="Hyperlink"/>
          </w:rPr>
          <w:t>kaum</w:t>
        </w:r>
        <w:r w:rsidR="00DA0803" w:rsidRPr="00530DB8">
          <w:rPr>
            <w:rStyle w:val="Hyperlink"/>
          </w:rPr>
          <w:t>ā</w:t>
        </w:r>
        <w:r w:rsidRPr="00530DB8">
          <w:rPr>
            <w:rStyle w:val="Hyperlink"/>
          </w:rPr>
          <w:t>tua</w:t>
        </w:r>
      </w:hyperlink>
      <w:r w:rsidRPr="00530DB8">
        <w:t xml:space="preserve">, </w:t>
      </w:r>
      <w:hyperlink w:anchor="pakeke" w:history="1">
        <w:r w:rsidRPr="00530DB8">
          <w:rPr>
            <w:rStyle w:val="Hyperlink"/>
          </w:rPr>
          <w:t>pākeke</w:t>
        </w:r>
      </w:hyperlink>
      <w:r w:rsidRPr="00530DB8">
        <w:t xml:space="preserve">, </w:t>
      </w:r>
      <w:hyperlink w:anchor="rangatahi" w:history="1">
        <w:r w:rsidRPr="00530DB8">
          <w:rPr>
            <w:rStyle w:val="Hyperlink"/>
          </w:rPr>
          <w:t>rangatahi</w:t>
        </w:r>
      </w:hyperlink>
      <w:r w:rsidRPr="005D6D89">
        <w:t xml:space="preserve"> or those with mandate), and how to share it (ie, the appropriate forum) is not always clear. </w:t>
      </w:r>
      <w:bookmarkEnd w:id="544"/>
      <w:r w:rsidRPr="005D6D89">
        <w:t xml:space="preserve">There were differing views at the </w:t>
      </w:r>
      <w:proofErr w:type="gramStart"/>
      <w:r w:rsidRPr="005D6D89">
        <w:t>hui</w:t>
      </w:r>
      <w:proofErr w:type="gramEnd"/>
      <w:r w:rsidRPr="005D6D89">
        <w:t xml:space="preserve"> in this regard.</w:t>
      </w:r>
    </w:p>
    <w:p w14:paraId="1C37FE1B" w14:textId="77777777" w:rsidR="00CA4D0D" w:rsidRPr="005D6D89" w:rsidRDefault="00CA4D0D" w:rsidP="00CA4D0D">
      <w:pPr>
        <w:pStyle w:val="Bullet"/>
      </w:pPr>
      <w:r w:rsidRPr="005D6D89">
        <w:t xml:space="preserve">Some participants noted that mātauranga Māori should form the basis of understanding </w:t>
      </w:r>
      <w:proofErr w:type="gramStart"/>
      <w:r w:rsidR="0077343F">
        <w:t>t</w:t>
      </w:r>
      <w:r w:rsidRPr="005D6D89">
        <w:t>e</w:t>
      </w:r>
      <w:proofErr w:type="gramEnd"/>
      <w:r w:rsidRPr="005D6D89">
        <w:t xml:space="preserve"> </w:t>
      </w:r>
      <w:r w:rsidR="0077343F">
        <w:t>a</w:t>
      </w:r>
      <w:r w:rsidRPr="005D6D89">
        <w:t>o Māori (the Māori worldview), specifically at a local iwi/hapū level. This raised the tension between achieving a pan-Māori perspective on national risks for New Zealand, versus regional and local perspectives on more local climate risks and opportunities.</w:t>
      </w:r>
    </w:p>
    <w:p w14:paraId="2B1C1446" w14:textId="77777777" w:rsidR="00CA4D0D" w:rsidRPr="005D6D89" w:rsidRDefault="00CA4D0D" w:rsidP="00CA4D0D">
      <w:pPr>
        <w:pStyle w:val="Bullet"/>
      </w:pPr>
      <w:r w:rsidRPr="005D6D89">
        <w:t xml:space="preserve">There was </w:t>
      </w:r>
      <w:proofErr w:type="gramStart"/>
      <w:r w:rsidRPr="005D6D89">
        <w:t>general consensus</w:t>
      </w:r>
      <w:proofErr w:type="gramEnd"/>
      <w:r w:rsidRPr="005D6D89">
        <w:t xml:space="preserve"> that investment in more discussion about Māori concepts could unlock a way forward for Māori on climate change, and that mātauranga Māori is a key component that would drive such an approach. </w:t>
      </w:r>
      <w:proofErr w:type="gramStart"/>
      <w:r w:rsidRPr="005D6D89">
        <w:t xml:space="preserve">This discussion should be led by Māori at the iwi/hapū level, with </w:t>
      </w:r>
      <w:r w:rsidRPr="00BF1E9C">
        <w:t>the</w:t>
      </w:r>
      <w:r w:rsidR="00BF1E9C">
        <w:t xml:space="preserve"> </w:t>
      </w:r>
      <w:r w:rsidRPr="00530DB8">
        <w:t>Crown</w:t>
      </w:r>
      <w:r w:rsidRPr="005D6D89">
        <w:t xml:space="preserve"> as a partner</w:t>
      </w:r>
      <w:proofErr w:type="gramEnd"/>
      <w:r w:rsidRPr="005D6D89">
        <w:t>.</w:t>
      </w:r>
    </w:p>
    <w:p w14:paraId="6F427953" w14:textId="77777777" w:rsidR="00CA4D0D" w:rsidRPr="005D6D89" w:rsidRDefault="00CA4D0D" w:rsidP="006F1BCA">
      <w:pPr>
        <w:pStyle w:val="BodyText"/>
      </w:pPr>
      <w:bookmarkStart w:id="545" w:name="_Hlk38278050"/>
      <w:r w:rsidRPr="005D6D89">
        <w:t>It was widely acknowledged a longer timeframe would be required to bring mātauranga Māori into future NCCRAs and to inform the NAP.</w:t>
      </w:r>
      <w:bookmarkEnd w:id="545"/>
    </w:p>
    <w:bookmarkEnd w:id="539"/>
    <w:bookmarkEnd w:id="541"/>
    <w:p w14:paraId="64355252" w14:textId="77777777" w:rsidR="006F1BCA" w:rsidRPr="005D6D89" w:rsidRDefault="006F1BCA">
      <w:pPr>
        <w:spacing w:before="0" w:after="200" w:line="276" w:lineRule="auto"/>
        <w:jc w:val="left"/>
      </w:pPr>
      <w:r w:rsidRPr="005D6D89">
        <w:br w:type="page"/>
      </w:r>
    </w:p>
    <w:p w14:paraId="6CA406A7" w14:textId="77777777" w:rsidR="00920731" w:rsidRPr="005D6D89" w:rsidRDefault="00920731" w:rsidP="00920731">
      <w:pPr>
        <w:pStyle w:val="Heading1"/>
        <w:numPr>
          <w:ilvl w:val="0"/>
          <w:numId w:val="17"/>
        </w:numPr>
        <w:tabs>
          <w:tab w:val="num" w:pos="992"/>
        </w:tabs>
      </w:pPr>
      <w:bookmarkStart w:id="546" w:name="_Toc40699381"/>
      <w:bookmarkStart w:id="547" w:name="_Toc43064149"/>
      <w:r w:rsidRPr="005D6D89">
        <w:t>Next steps</w:t>
      </w:r>
      <w:bookmarkEnd w:id="546"/>
      <w:bookmarkEnd w:id="547"/>
    </w:p>
    <w:p w14:paraId="6BA01FF7" w14:textId="77777777" w:rsidR="00920731" w:rsidRPr="005D6D89" w:rsidRDefault="00920731" w:rsidP="00920731">
      <w:pPr>
        <w:pStyle w:val="BodyText"/>
      </w:pPr>
      <w:r w:rsidRPr="005D6D89">
        <w:t>The Climate Change Response (Zero Carbon) Amendment Act 2019</w:t>
      </w:r>
      <w:r w:rsidRPr="005D6D89">
        <w:rPr>
          <w:i/>
        </w:rPr>
        <w:t xml:space="preserve"> </w:t>
      </w:r>
      <w:r w:rsidRPr="005D6D89">
        <w:t>(the Act) required preparation of</w:t>
      </w:r>
      <w:r w:rsidRPr="005D6D89">
        <w:rPr>
          <w:i/>
        </w:rPr>
        <w:t xml:space="preserve"> </w:t>
      </w:r>
      <w:r w:rsidRPr="005D6D89">
        <w:t xml:space="preserve">this NCCRA no later than one year after the </w:t>
      </w:r>
      <w:r w:rsidR="0077343F">
        <w:t>start</w:t>
      </w:r>
      <w:r w:rsidR="0077343F" w:rsidRPr="005D6D89">
        <w:t xml:space="preserve"> </w:t>
      </w:r>
      <w:r w:rsidRPr="005D6D89">
        <w:t>of the Act (November 2019). The NCCRA has a critical role to play in providing the best available evidence</w:t>
      </w:r>
      <w:r w:rsidR="003F20BF" w:rsidRPr="005D6D89">
        <w:t> </w:t>
      </w:r>
      <w:r w:rsidRPr="005D6D89">
        <w:t>and assessment to decision-makers, to support a planned approach to climate change risks and opportunities.</w:t>
      </w:r>
    </w:p>
    <w:p w14:paraId="78F724C3" w14:textId="77777777" w:rsidR="00920731" w:rsidRPr="005D6D89" w:rsidRDefault="00920731" w:rsidP="00920731">
      <w:pPr>
        <w:pStyle w:val="BodyText"/>
        <w:rPr>
          <w:highlight w:val="yellow"/>
        </w:rPr>
      </w:pPr>
      <w:r w:rsidRPr="005D6D89">
        <w:t xml:space="preserve">The Act requires the preparation of a risk assessment at least every six years. </w:t>
      </w:r>
      <w:proofErr w:type="gramStart"/>
      <w:r w:rsidRPr="005D6D89">
        <w:t>Future NCCRAs will be carried out by the Climate Change Commission</w:t>
      </w:r>
      <w:proofErr w:type="gramEnd"/>
      <w:r w:rsidRPr="005D6D89">
        <w:t xml:space="preserve">. This assessment lays the groundwork for the next by documenting the assessment and engagement method in detail, and providing the Government with the tools (spreadsheets and engagement materials) as well as raw data and records of engagement. The Government and the </w:t>
      </w:r>
      <w:r w:rsidR="0077343F">
        <w:t>C</w:t>
      </w:r>
      <w:r w:rsidRPr="005D6D89">
        <w:t xml:space="preserve">ommission have the option of building on this information and consultation. The research priorities and other information/data gaps highlighted here will need to </w:t>
      </w:r>
      <w:proofErr w:type="gramStart"/>
      <w:r w:rsidRPr="005D6D89">
        <w:t>be addressed</w:t>
      </w:r>
      <w:proofErr w:type="gramEnd"/>
      <w:r w:rsidRPr="005D6D89">
        <w:t xml:space="preserve"> as soon as possible if they are to inform the next NCCRA in 2024. </w:t>
      </w:r>
    </w:p>
    <w:p w14:paraId="3C4A4B8B" w14:textId="10E939BB" w:rsidR="00920731" w:rsidRPr="005D6D89" w:rsidRDefault="00920731" w:rsidP="00920731">
      <w:pPr>
        <w:pStyle w:val="BodyText"/>
      </w:pPr>
      <w:r w:rsidRPr="005D6D89">
        <w:t xml:space="preserve">The Act requires the Minister for Climate Change to prepare a </w:t>
      </w:r>
      <w:r w:rsidR="002B0472">
        <w:t>n</w:t>
      </w:r>
      <w:r w:rsidR="002B0472" w:rsidRPr="005D6D89">
        <w:t xml:space="preserve">ational </w:t>
      </w:r>
      <w:r w:rsidR="002B0472">
        <w:t>a</w:t>
      </w:r>
      <w:r w:rsidR="002B0472" w:rsidRPr="005D6D89">
        <w:t xml:space="preserve">daptation </w:t>
      </w:r>
      <w:r w:rsidR="002B0472">
        <w:t>p</w:t>
      </w:r>
      <w:r w:rsidR="002B0472" w:rsidRPr="005D6D89">
        <w:t xml:space="preserve">lan </w:t>
      </w:r>
      <w:r w:rsidRPr="005D6D89">
        <w:t xml:space="preserve">(NAP) in response to this NCCRA. The plan will be prepared by the Minister with input from Māori/iwi, local government, key stakeholders and the </w:t>
      </w:r>
      <w:proofErr w:type="gramStart"/>
      <w:r w:rsidRPr="005D6D89">
        <w:t>general public</w:t>
      </w:r>
      <w:proofErr w:type="gramEnd"/>
      <w:r w:rsidRPr="005D6D89">
        <w:t>. It will:</w:t>
      </w:r>
    </w:p>
    <w:p w14:paraId="0940F355" w14:textId="77777777" w:rsidR="00920731" w:rsidRPr="005D6D89" w:rsidRDefault="00920731" w:rsidP="00920731">
      <w:pPr>
        <w:pStyle w:val="Bullet"/>
      </w:pPr>
      <w:r w:rsidRPr="005D6D89">
        <w:t>define the Government</w:t>
      </w:r>
      <w:r w:rsidR="001200EA">
        <w:t>’</w:t>
      </w:r>
      <w:r w:rsidRPr="005D6D89">
        <w:t>s objectives for adapting to climate change, and how it will meet</w:t>
      </w:r>
      <w:r w:rsidR="003F20BF" w:rsidRPr="005D6D89">
        <w:t> </w:t>
      </w:r>
      <w:r w:rsidRPr="005D6D89">
        <w:t>these</w:t>
      </w:r>
    </w:p>
    <w:p w14:paraId="1BC3C392" w14:textId="77777777" w:rsidR="00920731" w:rsidRPr="005D6D89" w:rsidRDefault="00920731" w:rsidP="00920731">
      <w:pPr>
        <w:pStyle w:val="Bullet"/>
      </w:pPr>
      <w:proofErr w:type="gramStart"/>
      <w:r w:rsidRPr="005D6D89">
        <w:t>respond</w:t>
      </w:r>
      <w:proofErr w:type="gramEnd"/>
      <w:r w:rsidRPr="005D6D89">
        <w:t xml:space="preserve"> to the priority risks, opportunities and gaps set out in this risk assessment.</w:t>
      </w:r>
      <w:r w:rsidR="00027F9F" w:rsidRPr="005D6D89">
        <w:t xml:space="preserve"> </w:t>
      </w:r>
    </w:p>
    <w:p w14:paraId="40327AA7" w14:textId="77777777" w:rsidR="00920731" w:rsidRPr="005D6D89" w:rsidRDefault="00920731" w:rsidP="00920731">
      <w:pPr>
        <w:pStyle w:val="BodyText"/>
      </w:pPr>
      <w:r w:rsidRPr="005D6D89">
        <w:t xml:space="preserve">Work is already under way to prepare for the NAP, which </w:t>
      </w:r>
      <w:proofErr w:type="gramStart"/>
      <w:r w:rsidRPr="005D6D89">
        <w:t>will be published</w:t>
      </w:r>
      <w:proofErr w:type="gramEnd"/>
      <w:r w:rsidRPr="005D6D89">
        <w:t xml:space="preserve"> before mid-2022. The Climate Change Commission will monitor its implementation, and report to the Minister every two years on its effectiveness.</w:t>
      </w:r>
    </w:p>
    <w:p w14:paraId="6B981E80" w14:textId="77777777" w:rsidR="005B237C" w:rsidRPr="005D6D89" w:rsidRDefault="005B237C" w:rsidP="006F1BCA">
      <w:pPr>
        <w:pStyle w:val="BodyText"/>
      </w:pPr>
    </w:p>
    <w:p w14:paraId="45D6F96E" w14:textId="77777777" w:rsidR="00525D30" w:rsidRPr="005D6D89" w:rsidRDefault="00525D30">
      <w:pPr>
        <w:spacing w:before="0" w:after="200" w:line="276" w:lineRule="auto"/>
        <w:jc w:val="left"/>
      </w:pPr>
      <w:r w:rsidRPr="005D6D89">
        <w:br w:type="page"/>
      </w:r>
    </w:p>
    <w:p w14:paraId="632BBE36" w14:textId="77777777" w:rsidR="00525D30" w:rsidRPr="005D6D89" w:rsidRDefault="00525D30" w:rsidP="00525D30">
      <w:pPr>
        <w:pStyle w:val="Heading1"/>
      </w:pPr>
      <w:bookmarkStart w:id="548" w:name="_Toc40699382"/>
      <w:bookmarkStart w:id="549" w:name="_Toc43064150"/>
      <w:r w:rsidRPr="005D6D89">
        <w:t>References</w:t>
      </w:r>
      <w:bookmarkEnd w:id="548"/>
      <w:bookmarkEnd w:id="549"/>
    </w:p>
    <w:p w14:paraId="202D01E0" w14:textId="77777777" w:rsidR="007D0B70" w:rsidRPr="005D6D89" w:rsidRDefault="007D0B70" w:rsidP="007D0B70">
      <w:pPr>
        <w:pStyle w:val="References"/>
      </w:pPr>
      <w:r w:rsidRPr="005D6D89">
        <w:t>Adger W N, Brooks N</w:t>
      </w:r>
      <w:r>
        <w:t>,</w:t>
      </w:r>
      <w:r w:rsidRPr="005D6D89">
        <w:t xml:space="preserve"> Bentham G and Agnew M. (2004). </w:t>
      </w:r>
      <w:r w:rsidRPr="005D6D89">
        <w:rPr>
          <w:i/>
          <w:iCs/>
        </w:rPr>
        <w:t>New indicators of vulnerability and adaptive capacity. Final Project Report</w:t>
      </w:r>
      <w:r w:rsidRPr="005D6D89">
        <w:t>. Tindall Centre for Climate Change, Research University of East Anglia, Norwich</w:t>
      </w:r>
      <w:r>
        <w:t>,</w:t>
      </w:r>
      <w:r w:rsidRPr="005D6D89">
        <w:t xml:space="preserve"> January.</w:t>
      </w:r>
    </w:p>
    <w:p w14:paraId="79ADA332" w14:textId="77777777" w:rsidR="007D0B70" w:rsidRPr="005D6D89" w:rsidRDefault="007D0B70" w:rsidP="007D0B70">
      <w:pPr>
        <w:pStyle w:val="References"/>
      </w:pPr>
      <w:r w:rsidRPr="005D6D89">
        <w:t>Adger</w:t>
      </w:r>
      <w:r>
        <w:t xml:space="preserve"> N</w:t>
      </w:r>
      <w:r w:rsidRPr="005D6D89">
        <w:t xml:space="preserve"> W</w:t>
      </w:r>
      <w:r>
        <w:t>, Dessai</w:t>
      </w:r>
      <w:r w:rsidRPr="005D6D89">
        <w:t xml:space="preserve"> S</w:t>
      </w:r>
      <w:r>
        <w:t xml:space="preserve">, Goulden </w:t>
      </w:r>
      <w:r w:rsidRPr="005D6D89">
        <w:t>M</w:t>
      </w:r>
      <w:r>
        <w:t>, Hulme</w:t>
      </w:r>
      <w:r w:rsidRPr="005D6D89">
        <w:t xml:space="preserve"> M</w:t>
      </w:r>
      <w:r>
        <w:t>, Lorenzoni</w:t>
      </w:r>
      <w:r w:rsidRPr="005D6D89">
        <w:t xml:space="preserve"> I</w:t>
      </w:r>
      <w:r>
        <w:t xml:space="preserve">, Nelson D </w:t>
      </w:r>
      <w:r w:rsidRPr="005D6D89">
        <w:t>R</w:t>
      </w:r>
      <w:r>
        <w:t xml:space="preserve"> … Wreford</w:t>
      </w:r>
      <w:r w:rsidRPr="005D6D89">
        <w:t xml:space="preserve"> A. (2009). Are there social limits to adaptation to climate change? </w:t>
      </w:r>
      <w:r w:rsidRPr="005D6D89">
        <w:rPr>
          <w:i/>
          <w:iCs/>
        </w:rPr>
        <w:t>Climatic Change</w:t>
      </w:r>
      <w:r w:rsidRPr="005D6D89">
        <w:t>, 93, 335–354.</w:t>
      </w:r>
    </w:p>
    <w:p w14:paraId="155AB78B" w14:textId="77777777" w:rsidR="007D0B70" w:rsidRPr="005D6D89" w:rsidRDefault="007D0B70" w:rsidP="007D0B70">
      <w:pPr>
        <w:pStyle w:val="References"/>
      </w:pPr>
      <w:r>
        <w:t>Aglietta</w:t>
      </w:r>
      <w:r w:rsidRPr="005D6D89">
        <w:t xml:space="preserve"> M</w:t>
      </w:r>
      <w:r>
        <w:t xml:space="preserve"> and Espange</w:t>
      </w:r>
      <w:r w:rsidRPr="005D6D89">
        <w:t xml:space="preserve"> E. (2016). </w:t>
      </w:r>
      <w:r>
        <w:rPr>
          <w:i/>
          <w:iCs/>
        </w:rPr>
        <w:t>Climate and finance systemic risks, more than an analogy? The Climate fragility h</w:t>
      </w:r>
      <w:r w:rsidRPr="005D6D89">
        <w:rPr>
          <w:i/>
          <w:iCs/>
        </w:rPr>
        <w:t>ypothesis</w:t>
      </w:r>
      <w:r w:rsidRPr="005D6D89">
        <w:t xml:space="preserve">. CEPII Working Paper. </w:t>
      </w:r>
    </w:p>
    <w:p w14:paraId="54400512" w14:textId="77777777" w:rsidR="007D0B70" w:rsidRPr="005D6D89" w:rsidRDefault="007D0B70" w:rsidP="007D0B70">
      <w:pPr>
        <w:pStyle w:val="References"/>
      </w:pPr>
      <w:r>
        <w:t>Aikman</w:t>
      </w:r>
      <w:r w:rsidRPr="005D6D89">
        <w:t xml:space="preserve"> H</w:t>
      </w:r>
      <w:r>
        <w:t xml:space="preserve">, Davis </w:t>
      </w:r>
      <w:r w:rsidRPr="005D6D89">
        <w:t>A</w:t>
      </w:r>
      <w:r>
        <w:t>, Miskelly</w:t>
      </w:r>
      <w:r w:rsidRPr="005D6D89">
        <w:t xml:space="preserve"> C</w:t>
      </w:r>
      <w:r>
        <w:t>,</w:t>
      </w:r>
      <w:r w:rsidRPr="005D6D89">
        <w:t xml:space="preserve"> O</w:t>
      </w:r>
      <w:r>
        <w:t>’Connor</w:t>
      </w:r>
      <w:r w:rsidRPr="005D6D89">
        <w:t xml:space="preserve"> S</w:t>
      </w:r>
      <w:r>
        <w:t xml:space="preserve"> and Taylor</w:t>
      </w:r>
      <w:r w:rsidRPr="005D6D89">
        <w:t xml:space="preserve"> G. (2001). </w:t>
      </w:r>
      <w:r w:rsidRPr="005D6D89">
        <w:rPr>
          <w:i/>
          <w:iCs/>
        </w:rPr>
        <w:t>Chatham Islands threatened birds: recovery and management plans</w:t>
      </w:r>
      <w:r w:rsidRPr="005D6D89">
        <w:t>. Department of Conservation.</w:t>
      </w:r>
    </w:p>
    <w:p w14:paraId="370F5882" w14:textId="77777777" w:rsidR="007D0B70" w:rsidRPr="005D6D89" w:rsidRDefault="007D0B70" w:rsidP="007D0B70">
      <w:pPr>
        <w:pStyle w:val="References"/>
      </w:pPr>
      <w:r>
        <w:t xml:space="preserve">Arnell N </w:t>
      </w:r>
      <w:r w:rsidRPr="005D6D89">
        <w:t>W</w:t>
      </w:r>
      <w:r>
        <w:t xml:space="preserve">, Lloyd-Hughes </w:t>
      </w:r>
      <w:r w:rsidRPr="005D6D89">
        <w:t xml:space="preserve">B. (2014) </w:t>
      </w:r>
      <w:proofErr w:type="gramStart"/>
      <w:r w:rsidRPr="005D6D89">
        <w:t>The</w:t>
      </w:r>
      <w:proofErr w:type="gramEnd"/>
      <w:r w:rsidRPr="005D6D89">
        <w:t xml:space="preserve"> global-scale impacts of climate change on water resources and flooding under new climate and socio-economic scenarios. </w:t>
      </w:r>
      <w:r w:rsidRPr="005D6D89">
        <w:rPr>
          <w:i/>
          <w:iCs/>
        </w:rPr>
        <w:t>Climatic Change</w:t>
      </w:r>
      <w:r w:rsidRPr="005D6D89">
        <w:t xml:space="preserve"> 122, 127–140.</w:t>
      </w:r>
    </w:p>
    <w:p w14:paraId="62C34C51" w14:textId="77777777" w:rsidR="007D0B70" w:rsidRPr="005D6D89" w:rsidRDefault="007D0B70" w:rsidP="007D0B70">
      <w:pPr>
        <w:pStyle w:val="References"/>
      </w:pPr>
      <w:r w:rsidRPr="005D6D89">
        <w:t xml:space="preserve">Auckland Council. (2019). </w:t>
      </w:r>
      <w:r w:rsidRPr="005D6D89">
        <w:rPr>
          <w:i/>
          <w:iCs/>
        </w:rPr>
        <w:t>Auckland Regional Pest Management Plan 2019</w:t>
      </w:r>
      <w:r>
        <w:rPr>
          <w:i/>
          <w:iCs/>
        </w:rPr>
        <w:t>–</w:t>
      </w:r>
      <w:r w:rsidRPr="005D6D89">
        <w:rPr>
          <w:i/>
          <w:iCs/>
        </w:rPr>
        <w:t>2020.</w:t>
      </w:r>
      <w:r>
        <w:t xml:space="preserve"> Auckland Council</w:t>
      </w:r>
      <w:r w:rsidRPr="005D6D89">
        <w:t xml:space="preserve">. Retrieved from </w:t>
      </w:r>
      <w:hyperlink r:id="rId66" w:history="1">
        <w:r w:rsidRPr="005D6D89">
          <w:rPr>
            <w:rStyle w:val="Hyperlink"/>
          </w:rPr>
          <w:t>https://www.aucklandcouncil.govt.nz/have-your-say/topics-you-can-have-your-say-on/regional-pest-management-plan/Documents/auckland-regional-pest-management-plan-2019-2029.pdf</w:t>
        </w:r>
      </w:hyperlink>
    </w:p>
    <w:p w14:paraId="79539823" w14:textId="77777777" w:rsidR="007D0B70" w:rsidRPr="005D6D89" w:rsidRDefault="007D0B70" w:rsidP="007D0B70">
      <w:pPr>
        <w:pStyle w:val="References"/>
      </w:pPr>
      <w:r>
        <w:t>Ausseil A G</w:t>
      </w:r>
      <w:r w:rsidRPr="005D6D89">
        <w:t xml:space="preserve"> E</w:t>
      </w:r>
      <w:r>
        <w:t xml:space="preserve">, Van der Weerden T </w:t>
      </w:r>
      <w:r w:rsidRPr="005D6D89">
        <w:t>J</w:t>
      </w:r>
      <w:r>
        <w:t xml:space="preserve">, Beare M </w:t>
      </w:r>
      <w:r w:rsidRPr="005D6D89">
        <w:t>H</w:t>
      </w:r>
      <w:r>
        <w:t xml:space="preserve">, Texeira </w:t>
      </w:r>
      <w:r w:rsidRPr="005D6D89">
        <w:t>E</w:t>
      </w:r>
      <w:r>
        <w:t>,</w:t>
      </w:r>
      <w:r w:rsidRPr="005D6D89">
        <w:t xml:space="preserve"> Baisde</w:t>
      </w:r>
      <w:r>
        <w:t>n</w:t>
      </w:r>
      <w:r w:rsidRPr="005D6D89">
        <w:t xml:space="preserve"> T</w:t>
      </w:r>
      <w:r>
        <w:t>, Lieffering</w:t>
      </w:r>
      <w:r w:rsidRPr="005D6D89">
        <w:t xml:space="preserve"> M</w:t>
      </w:r>
      <w:r>
        <w:t>, Guo</w:t>
      </w:r>
      <w:r w:rsidRPr="005D6D89">
        <w:t xml:space="preserve"> J</w:t>
      </w:r>
      <w:r>
        <w:t>, Keller</w:t>
      </w:r>
      <w:r w:rsidRPr="005D6D89">
        <w:t xml:space="preserve"> E</w:t>
      </w:r>
      <w:r>
        <w:t>, Law</w:t>
      </w:r>
      <w:r w:rsidRPr="005D6D89">
        <w:t xml:space="preserve"> R</w:t>
      </w:r>
      <w:r>
        <w:t xml:space="preserve"> and Noble A. (2019). </w:t>
      </w:r>
      <w:r w:rsidRPr="00C31FFF">
        <w:rPr>
          <w:i/>
        </w:rPr>
        <w:t>Climate impacts on land use suitability.</w:t>
      </w:r>
      <w:r w:rsidRPr="005D6D89">
        <w:t xml:space="preserve"> Report produced for Deep South National Science Challenge Contract Report LC3573. Manaaki Whenua </w:t>
      </w:r>
      <w:r>
        <w:t>–</w:t>
      </w:r>
      <w:r w:rsidRPr="005D6D89">
        <w:t xml:space="preserve"> Landcare Research.</w:t>
      </w:r>
    </w:p>
    <w:p w14:paraId="17007951" w14:textId="77777777" w:rsidR="007D0B70" w:rsidRPr="005D6D89" w:rsidRDefault="007D0B70" w:rsidP="007D0B70">
      <w:pPr>
        <w:pStyle w:val="References"/>
      </w:pPr>
      <w:r>
        <w:rPr>
          <w:lang w:eastAsia="en-AU"/>
        </w:rPr>
        <w:t xml:space="preserve">Barnett J and </w:t>
      </w:r>
      <w:r w:rsidRPr="005D6D89">
        <w:rPr>
          <w:lang w:eastAsia="en-AU"/>
        </w:rPr>
        <w:t>O</w:t>
      </w:r>
      <w:r>
        <w:rPr>
          <w:lang w:eastAsia="en-AU"/>
        </w:rPr>
        <w:t>’</w:t>
      </w:r>
      <w:r w:rsidRPr="005D6D89">
        <w:rPr>
          <w:lang w:eastAsia="en-AU"/>
        </w:rPr>
        <w:t>Neill</w:t>
      </w:r>
      <w:r>
        <w:rPr>
          <w:lang w:eastAsia="en-AU"/>
        </w:rPr>
        <w:t xml:space="preserve"> S</w:t>
      </w:r>
      <w:r w:rsidRPr="005D6D89">
        <w:rPr>
          <w:lang w:eastAsia="en-AU"/>
        </w:rPr>
        <w:t xml:space="preserve"> (2010). Maladaptation. </w:t>
      </w:r>
      <w:r>
        <w:rPr>
          <w:i/>
          <w:iCs/>
          <w:lang w:eastAsia="en-AU"/>
        </w:rPr>
        <w:t>Global environmental change—Human and policy d</w:t>
      </w:r>
      <w:r w:rsidRPr="005D6D89">
        <w:rPr>
          <w:i/>
          <w:iCs/>
          <w:lang w:eastAsia="en-AU"/>
        </w:rPr>
        <w:t>imensions</w:t>
      </w:r>
      <w:r w:rsidRPr="005D6D89">
        <w:rPr>
          <w:lang w:eastAsia="en-AU"/>
        </w:rPr>
        <w:t>, 20, 211–213.</w:t>
      </w:r>
    </w:p>
    <w:p w14:paraId="083AE2FC" w14:textId="77777777" w:rsidR="007D0B70" w:rsidRDefault="007D0B70" w:rsidP="007D0B70">
      <w:pPr>
        <w:pStyle w:val="References"/>
      </w:pPr>
      <w:r>
        <w:t>Basher</w:t>
      </w:r>
      <w:r w:rsidRPr="005D6D89">
        <w:t xml:space="preserve"> L</w:t>
      </w:r>
      <w:r>
        <w:t>, Elliot</w:t>
      </w:r>
      <w:r w:rsidRPr="005D6D89">
        <w:t xml:space="preserve"> S</w:t>
      </w:r>
      <w:r>
        <w:t>, Hughes</w:t>
      </w:r>
      <w:r w:rsidRPr="005D6D89">
        <w:t xml:space="preserve"> A</w:t>
      </w:r>
      <w:r>
        <w:t>, Tait</w:t>
      </w:r>
      <w:r w:rsidRPr="005D6D89">
        <w:t xml:space="preserve"> A</w:t>
      </w:r>
      <w:r>
        <w:t>, Page</w:t>
      </w:r>
      <w:r w:rsidRPr="005D6D89">
        <w:t xml:space="preserve"> M</w:t>
      </w:r>
      <w:r>
        <w:t>, Rosser</w:t>
      </w:r>
      <w:r w:rsidRPr="005D6D89">
        <w:t xml:space="preserve"> B</w:t>
      </w:r>
      <w:r>
        <w:t>, Jones</w:t>
      </w:r>
      <w:r w:rsidRPr="005D6D89">
        <w:t xml:space="preserve"> H. (2012). </w:t>
      </w:r>
      <w:r w:rsidRPr="005D6D89">
        <w:rPr>
          <w:i/>
          <w:iCs/>
        </w:rPr>
        <w:t>Impacts of climate change on erosion and erosion control methods – A critical review</w:t>
      </w:r>
      <w:r w:rsidRPr="005D6D89">
        <w:t xml:space="preserve">. </w:t>
      </w:r>
      <w:r>
        <w:t>Ministry of Primary Industries</w:t>
      </w:r>
      <w:r w:rsidRPr="005D6D89">
        <w:t xml:space="preserve">. Retrieved from </w:t>
      </w:r>
      <w:hyperlink r:id="rId67" w:history="1">
        <w:r w:rsidRPr="00E50FE1">
          <w:rPr>
            <w:rStyle w:val="Hyperlink"/>
          </w:rPr>
          <w:t>https://www.mpi.govt.nz/dmsdocument/4074-impacts-of-climate-change-on-erosion-and-erosion-control-methods-a-critical-review-final-report</w:t>
        </w:r>
      </w:hyperlink>
    </w:p>
    <w:p w14:paraId="562286C2" w14:textId="77777777" w:rsidR="007D0B70" w:rsidRPr="005D6D89" w:rsidRDefault="007D0B70" w:rsidP="007D0B70">
      <w:pPr>
        <w:pStyle w:val="References"/>
      </w:pPr>
      <w:r>
        <w:t>Basnet</w:t>
      </w:r>
      <w:r w:rsidRPr="005D6D89">
        <w:t xml:space="preserve"> C</w:t>
      </w:r>
      <w:r>
        <w:t>,</w:t>
      </w:r>
      <w:r w:rsidRPr="005D6D89">
        <w:t xml:space="preserve"> Childerhouse P</w:t>
      </w:r>
      <w:r>
        <w:t>, Foulds L R and Martin V. (2006). Sustaining supply chain m</w:t>
      </w:r>
      <w:r w:rsidRPr="005D6D89">
        <w:t xml:space="preserve">anagement in New Zealand. </w:t>
      </w:r>
      <w:r w:rsidRPr="005D6D89">
        <w:rPr>
          <w:i/>
          <w:iCs/>
        </w:rPr>
        <w:t>International Journal of Logistics Systems and Management</w:t>
      </w:r>
      <w:r w:rsidRPr="005D6D89">
        <w:t xml:space="preserve"> 2(3): 217–229.</w:t>
      </w:r>
    </w:p>
    <w:p w14:paraId="05989693" w14:textId="77777777" w:rsidR="007D0B70" w:rsidRPr="005D6D89" w:rsidRDefault="007D0B70" w:rsidP="007D0B70">
      <w:pPr>
        <w:pStyle w:val="References"/>
      </w:pPr>
      <w:r>
        <w:t>Batten</w:t>
      </w:r>
      <w:r w:rsidRPr="005D6D89">
        <w:t xml:space="preserve"> S</w:t>
      </w:r>
      <w:r>
        <w:t>, Sowerbutts</w:t>
      </w:r>
      <w:r w:rsidRPr="005D6D89">
        <w:t xml:space="preserve"> R</w:t>
      </w:r>
      <w:r>
        <w:t>, Tanaka</w:t>
      </w:r>
      <w:r w:rsidRPr="005D6D89">
        <w:t xml:space="preserve"> M</w:t>
      </w:r>
      <w:r>
        <w:t xml:space="preserve"> </w:t>
      </w:r>
      <w:r w:rsidRPr="005D6D89">
        <w:t xml:space="preserve">(2016). </w:t>
      </w:r>
      <w:proofErr w:type="gramStart"/>
      <w:r w:rsidRPr="005D6D89">
        <w:rPr>
          <w:i/>
          <w:iCs/>
        </w:rPr>
        <w:t>Let</w:t>
      </w:r>
      <w:r>
        <w:rPr>
          <w:i/>
          <w:iCs/>
        </w:rPr>
        <w:t>’s</w:t>
      </w:r>
      <w:proofErr w:type="gramEnd"/>
      <w:r>
        <w:rPr>
          <w:i/>
          <w:iCs/>
        </w:rPr>
        <w:t xml:space="preserve"> talk about the weather: The i</w:t>
      </w:r>
      <w:r w:rsidRPr="005D6D89">
        <w:rPr>
          <w:i/>
          <w:iCs/>
        </w:rPr>
        <w:t xml:space="preserve">mpact of </w:t>
      </w:r>
      <w:r>
        <w:rPr>
          <w:i/>
          <w:iCs/>
        </w:rPr>
        <w:t>climate change on c</w:t>
      </w:r>
      <w:r w:rsidRPr="005D6D89">
        <w:rPr>
          <w:i/>
          <w:iCs/>
        </w:rPr>
        <w:t>entra</w:t>
      </w:r>
      <w:r>
        <w:rPr>
          <w:i/>
          <w:iCs/>
        </w:rPr>
        <w:t>l b</w:t>
      </w:r>
      <w:r w:rsidRPr="005D6D89">
        <w:rPr>
          <w:i/>
          <w:iCs/>
        </w:rPr>
        <w:t>anks</w:t>
      </w:r>
      <w:r w:rsidRPr="005D6D89">
        <w:t>. Bank of England Staff Working Paper 603.</w:t>
      </w:r>
    </w:p>
    <w:p w14:paraId="49D52D90" w14:textId="77777777" w:rsidR="007D0B70" w:rsidRPr="005D6D89" w:rsidRDefault="007D0B70" w:rsidP="007D0B70">
      <w:pPr>
        <w:pStyle w:val="References"/>
      </w:pPr>
      <w:r w:rsidRPr="005D6D89">
        <w:t xml:space="preserve">BECA. (2019). </w:t>
      </w:r>
      <w:r w:rsidRPr="005D6D89">
        <w:rPr>
          <w:i/>
          <w:iCs/>
        </w:rPr>
        <w:t>Additional analysis for drinking water costs for compliance</w:t>
      </w:r>
      <w:r w:rsidRPr="005D6D89">
        <w:t>.</w:t>
      </w:r>
    </w:p>
    <w:p w14:paraId="1241D4F1" w14:textId="77777777" w:rsidR="007D0B70" w:rsidRPr="005D6D89" w:rsidRDefault="007D0B70" w:rsidP="007D0B70">
      <w:pPr>
        <w:pStyle w:val="References"/>
      </w:pPr>
      <w:r w:rsidRPr="005D6D89">
        <w:rPr>
          <w:lang w:eastAsia="en-AU"/>
        </w:rPr>
        <w:t>Beck</w:t>
      </w:r>
      <w:r>
        <w:rPr>
          <w:lang w:eastAsia="en-AU"/>
        </w:rPr>
        <w:t xml:space="preserve"> </w:t>
      </w:r>
      <w:r w:rsidRPr="005D6D89">
        <w:rPr>
          <w:lang w:eastAsia="en-AU"/>
        </w:rPr>
        <w:t xml:space="preserve">U. (2009). </w:t>
      </w:r>
      <w:r w:rsidRPr="005D6D89">
        <w:rPr>
          <w:i/>
          <w:iCs/>
          <w:lang w:eastAsia="en-AU"/>
        </w:rPr>
        <w:t>World Risk Society and Manufactured Uncertainties</w:t>
      </w:r>
      <w:r w:rsidRPr="005D6D89">
        <w:rPr>
          <w:lang w:eastAsia="en-AU"/>
        </w:rPr>
        <w:t>. Firenze University Press.</w:t>
      </w:r>
    </w:p>
    <w:p w14:paraId="0292DD0C" w14:textId="77777777" w:rsidR="007D0B70" w:rsidRPr="005D6D89" w:rsidRDefault="007D0B70" w:rsidP="007D0B70">
      <w:pPr>
        <w:pStyle w:val="References"/>
      </w:pPr>
      <w:r w:rsidRPr="005D6D89">
        <w:t>Bellingham</w:t>
      </w:r>
      <w:r>
        <w:t xml:space="preserve"> P </w:t>
      </w:r>
      <w:r w:rsidRPr="005D6D89">
        <w:t>J</w:t>
      </w:r>
      <w:r>
        <w:t>,</w:t>
      </w:r>
      <w:r w:rsidRPr="005D6D89">
        <w:t xml:space="preserve"> Towns</w:t>
      </w:r>
      <w:r>
        <w:t xml:space="preserve"> D</w:t>
      </w:r>
      <w:r w:rsidRPr="005D6D89">
        <w:t xml:space="preserve"> R</w:t>
      </w:r>
      <w:r>
        <w:t>,</w:t>
      </w:r>
      <w:r w:rsidRPr="005D6D89">
        <w:t xml:space="preserve"> Cameron</w:t>
      </w:r>
      <w:r>
        <w:t xml:space="preserve"> </w:t>
      </w:r>
      <w:r w:rsidRPr="005D6D89">
        <w:t>E K</w:t>
      </w:r>
      <w:r>
        <w:t>,</w:t>
      </w:r>
      <w:r w:rsidRPr="005D6D89">
        <w:t xml:space="preserve"> Davis</w:t>
      </w:r>
      <w:r>
        <w:t xml:space="preserve"> J</w:t>
      </w:r>
      <w:r w:rsidRPr="005D6D89">
        <w:t xml:space="preserve"> J</w:t>
      </w:r>
      <w:r>
        <w:t>,</w:t>
      </w:r>
      <w:r w:rsidRPr="005D6D89">
        <w:t xml:space="preserve"> Wardle</w:t>
      </w:r>
      <w:r>
        <w:t xml:space="preserve"> D</w:t>
      </w:r>
      <w:r w:rsidRPr="005D6D89">
        <w:t xml:space="preserve"> A</w:t>
      </w:r>
      <w:r>
        <w:t>,</w:t>
      </w:r>
      <w:r w:rsidRPr="005D6D89">
        <w:t xml:space="preserve"> Wilmshurst</w:t>
      </w:r>
      <w:r>
        <w:t xml:space="preserve"> J</w:t>
      </w:r>
      <w:r w:rsidRPr="005D6D89">
        <w:t xml:space="preserve"> M</w:t>
      </w:r>
      <w:r>
        <w:t xml:space="preserve"> and Mulder C</w:t>
      </w:r>
      <w:r w:rsidRPr="005D6D89">
        <w:t xml:space="preserve"> P. (2010). New Zealand island restoration: seabirds, predators</w:t>
      </w:r>
      <w:r>
        <w:t xml:space="preserve"> and</w:t>
      </w:r>
      <w:r w:rsidRPr="005D6D89">
        <w:t xml:space="preserve"> the importance of history. </w:t>
      </w:r>
      <w:r w:rsidRPr="005D6D89">
        <w:rPr>
          <w:i/>
          <w:iCs/>
        </w:rPr>
        <w:t>New Zealand Journal of Ecology</w:t>
      </w:r>
      <w:r w:rsidRPr="005D6D89">
        <w:t>, 34(1), 115–136.</w:t>
      </w:r>
    </w:p>
    <w:p w14:paraId="5736D160" w14:textId="77777777" w:rsidR="007D0B70" w:rsidRPr="005D6D89" w:rsidRDefault="007D0B70" w:rsidP="007D0B70">
      <w:pPr>
        <w:pStyle w:val="References"/>
      </w:pPr>
      <w:r w:rsidRPr="005D6D89">
        <w:t>Bendall</w:t>
      </w:r>
      <w:r>
        <w:t xml:space="preserve"> </w:t>
      </w:r>
      <w:r w:rsidRPr="005D6D89">
        <w:t xml:space="preserve">S. (2018). </w:t>
      </w:r>
      <w:r w:rsidRPr="005D6D89">
        <w:rPr>
          <w:i/>
          <w:iCs/>
        </w:rPr>
        <w:t>Report of the Northern and Southern Cell Assessment Panels.</w:t>
      </w:r>
      <w:r w:rsidRPr="005D6D89">
        <w:t xml:space="preserve"> Hawke</w:t>
      </w:r>
      <w:r>
        <w:t>’s Bay Regional Council</w:t>
      </w:r>
      <w:r w:rsidRPr="005D6D89">
        <w:t>. Retrieved from</w:t>
      </w:r>
      <w:r w:rsidRPr="005D6D89">
        <w:rPr>
          <w:color w:val="000000" w:themeColor="text1"/>
        </w:rPr>
        <w:t xml:space="preserve"> </w:t>
      </w:r>
      <w:hyperlink r:id="rId68" w:history="1">
        <w:r w:rsidRPr="005D6D89">
          <w:rPr>
            <w:rStyle w:val="Hyperlink"/>
          </w:rPr>
          <w:t>https://www.hbcoast.co.nz/assets/Document-Library/Assessment-Panel-Report-FINAL-28.2.18-reduced-size.pdf</w:t>
        </w:r>
      </w:hyperlink>
    </w:p>
    <w:p w14:paraId="6D0B3CAC" w14:textId="77777777" w:rsidR="007D0B70" w:rsidRPr="005D6D89" w:rsidRDefault="007D0B70" w:rsidP="007D0B70">
      <w:pPr>
        <w:pStyle w:val="References"/>
      </w:pPr>
      <w:r w:rsidRPr="005D6D89">
        <w:t>Berry</w:t>
      </w:r>
      <w:r>
        <w:t xml:space="preserve"> H</w:t>
      </w:r>
      <w:r w:rsidRPr="005D6D89">
        <w:t xml:space="preserve"> L</w:t>
      </w:r>
      <w:r>
        <w:t>,</w:t>
      </w:r>
      <w:r w:rsidRPr="005D6D89">
        <w:t xml:space="preserve"> Bowen</w:t>
      </w:r>
      <w:r>
        <w:t xml:space="preserve"> </w:t>
      </w:r>
      <w:r w:rsidRPr="005D6D89">
        <w:t>K</w:t>
      </w:r>
      <w:r>
        <w:t xml:space="preserve"> and</w:t>
      </w:r>
      <w:r w:rsidRPr="005D6D89">
        <w:t xml:space="preserve"> Kjellstrom</w:t>
      </w:r>
      <w:r>
        <w:t xml:space="preserve"> </w:t>
      </w:r>
      <w:r w:rsidRPr="005D6D89">
        <w:t xml:space="preserve">T. (2010). Climate change and mental health: A causal pathways framework. </w:t>
      </w:r>
      <w:r w:rsidRPr="005D6D89">
        <w:rPr>
          <w:i/>
          <w:iCs/>
        </w:rPr>
        <w:t>International Journal of Public Health</w:t>
      </w:r>
      <w:r w:rsidRPr="005D6D89">
        <w:t xml:space="preserve">, 55(2), 123–132. </w:t>
      </w:r>
    </w:p>
    <w:p w14:paraId="6323796F" w14:textId="77777777" w:rsidR="007D0B70" w:rsidRPr="005D6D89" w:rsidRDefault="007D0B70" w:rsidP="007D0B70">
      <w:pPr>
        <w:pStyle w:val="References"/>
      </w:pPr>
      <w:r w:rsidRPr="005D6D89">
        <w:t>Berry</w:t>
      </w:r>
      <w:r>
        <w:t xml:space="preserve"> H</w:t>
      </w:r>
      <w:r w:rsidRPr="005D6D89">
        <w:t xml:space="preserve"> L</w:t>
      </w:r>
      <w:r>
        <w:t xml:space="preserve"> and</w:t>
      </w:r>
      <w:r w:rsidRPr="005D6D89">
        <w:t xml:space="preserve"> Welsh</w:t>
      </w:r>
      <w:r>
        <w:t xml:space="preserve"> J</w:t>
      </w:r>
      <w:r w:rsidRPr="005D6D89">
        <w:t xml:space="preserve"> A. (2010). Social capital and health in Australia: An overview from the household, income and labour dynamics in Australia survey. </w:t>
      </w:r>
      <w:r w:rsidRPr="005D6D89">
        <w:rPr>
          <w:i/>
          <w:iCs/>
        </w:rPr>
        <w:t>Social Science and Medicine</w:t>
      </w:r>
      <w:r w:rsidRPr="005D6D89">
        <w:t xml:space="preserve">, 70(4), 588–596. </w:t>
      </w:r>
    </w:p>
    <w:p w14:paraId="62F68757" w14:textId="77777777" w:rsidR="007D0B70" w:rsidRPr="005D6D89" w:rsidRDefault="007D0B70" w:rsidP="007D0B70">
      <w:pPr>
        <w:pStyle w:val="References"/>
      </w:pPr>
      <w:r w:rsidRPr="005D6D89">
        <w:t>Blackett</w:t>
      </w:r>
      <w:r>
        <w:t xml:space="preserve"> </w:t>
      </w:r>
      <w:r w:rsidRPr="005D6D89">
        <w:t>P</w:t>
      </w:r>
      <w:r>
        <w:t xml:space="preserve"> and</w:t>
      </w:r>
      <w:r w:rsidRPr="005D6D89">
        <w:t xml:space="preserve"> Hume</w:t>
      </w:r>
      <w:r>
        <w:t xml:space="preserve"> T</w:t>
      </w:r>
      <w:r w:rsidRPr="005D6D89">
        <w:t xml:space="preserve"> M. (2011). </w:t>
      </w:r>
      <w:r w:rsidRPr="005D6D89">
        <w:rPr>
          <w:i/>
          <w:iCs/>
        </w:rPr>
        <w:t>Governance issues with respect to coastal erosion management in New Zealand</w:t>
      </w:r>
      <w:r w:rsidRPr="005D6D89">
        <w:t xml:space="preserve"> (Issue November).</w:t>
      </w:r>
    </w:p>
    <w:p w14:paraId="26B303A7" w14:textId="77777777" w:rsidR="007D0B70" w:rsidRPr="005D6D89" w:rsidRDefault="007D0B70" w:rsidP="007D0B70">
      <w:pPr>
        <w:pStyle w:val="References"/>
      </w:pPr>
      <w:r w:rsidRPr="005D6D89">
        <w:t>Boege</w:t>
      </w:r>
      <w:r>
        <w:t xml:space="preserve"> </w:t>
      </w:r>
      <w:r w:rsidRPr="005D6D89">
        <w:t xml:space="preserve">V. (2018). </w:t>
      </w:r>
      <w:r>
        <w:rPr>
          <w:i/>
          <w:iCs/>
        </w:rPr>
        <w:t xml:space="preserve">Climate change and conflict in </w:t>
      </w:r>
      <w:proofErr w:type="gramStart"/>
      <w:r>
        <w:rPr>
          <w:i/>
          <w:iCs/>
        </w:rPr>
        <w:t>oceania</w:t>
      </w:r>
      <w:proofErr w:type="gramEnd"/>
      <w:r>
        <w:rPr>
          <w:i/>
          <w:iCs/>
        </w:rPr>
        <w:t>: Challenges, r</w:t>
      </w:r>
      <w:r w:rsidRPr="005D6D89">
        <w:rPr>
          <w:i/>
          <w:iCs/>
        </w:rPr>
        <w:t>esponses</w:t>
      </w:r>
      <w:r>
        <w:rPr>
          <w:i/>
          <w:iCs/>
        </w:rPr>
        <w:t xml:space="preserve"> and suggestions for a policy-relevant research a</w:t>
      </w:r>
      <w:r w:rsidRPr="005D6D89">
        <w:rPr>
          <w:i/>
          <w:iCs/>
        </w:rPr>
        <w:t>genda</w:t>
      </w:r>
      <w:r w:rsidRPr="005D6D89">
        <w:t>. Toda Peace Institute.</w:t>
      </w:r>
    </w:p>
    <w:p w14:paraId="3C9FD87D" w14:textId="77777777" w:rsidR="007D0B70" w:rsidRPr="005D6D89" w:rsidRDefault="007D0B70" w:rsidP="007D0B70">
      <w:pPr>
        <w:pStyle w:val="References"/>
      </w:pPr>
      <w:r w:rsidRPr="005D6D89">
        <w:t>Boston</w:t>
      </w:r>
      <w:r>
        <w:t xml:space="preserve"> </w:t>
      </w:r>
      <w:r w:rsidRPr="005D6D89">
        <w:t>J. (2016). Anticipatory Governance</w:t>
      </w:r>
      <w:r>
        <w:t>:</w:t>
      </w:r>
      <w:r w:rsidRPr="005D6D89">
        <w:t xml:space="preserve"> how well is New Zealand safeguarding the future? </w:t>
      </w:r>
      <w:r w:rsidRPr="005D6D89">
        <w:rPr>
          <w:i/>
          <w:iCs/>
        </w:rPr>
        <w:t>Policy Quarterly</w:t>
      </w:r>
      <w:r w:rsidRPr="005D6D89">
        <w:t>, 12(3), 11–24.</w:t>
      </w:r>
    </w:p>
    <w:p w14:paraId="5B40FD70" w14:textId="77777777" w:rsidR="007D0B70" w:rsidRPr="005D6D89" w:rsidRDefault="007D0B70" w:rsidP="007D0B70">
      <w:pPr>
        <w:pStyle w:val="References"/>
      </w:pPr>
      <w:r w:rsidRPr="005D6D89">
        <w:t>Boston</w:t>
      </w:r>
      <w:r>
        <w:t xml:space="preserve"> </w:t>
      </w:r>
      <w:r w:rsidRPr="005D6D89">
        <w:t>J</w:t>
      </w:r>
      <w:r>
        <w:t xml:space="preserve"> and</w:t>
      </w:r>
      <w:r w:rsidRPr="005D6D89">
        <w:t xml:space="preserve"> Lawrence</w:t>
      </w:r>
      <w:r>
        <w:t xml:space="preserve"> </w:t>
      </w:r>
      <w:r w:rsidRPr="005D6D89">
        <w:t xml:space="preserve">J. (2018). Funding Climate Change Adaptation: the case for a new policy framework. </w:t>
      </w:r>
      <w:r w:rsidRPr="005D6D89">
        <w:rPr>
          <w:i/>
          <w:iCs/>
        </w:rPr>
        <w:t>Policy Quarterly</w:t>
      </w:r>
      <w:r w:rsidRPr="005D6D89">
        <w:t xml:space="preserve">, 14(2), 40–49. </w:t>
      </w:r>
    </w:p>
    <w:p w14:paraId="67479D35" w14:textId="77777777" w:rsidR="007D0B70" w:rsidRPr="005D6D89" w:rsidRDefault="007D0B70" w:rsidP="007D0B70">
      <w:pPr>
        <w:pStyle w:val="References"/>
      </w:pPr>
      <w:r w:rsidRPr="005D6D89">
        <w:t>Boyd</w:t>
      </w:r>
      <w:r>
        <w:t xml:space="preserve"> P</w:t>
      </w:r>
      <w:r w:rsidRPr="005D6D89">
        <w:t xml:space="preserve"> W</w:t>
      </w:r>
      <w:r>
        <w:t xml:space="preserve"> and</w:t>
      </w:r>
      <w:r w:rsidRPr="005D6D89">
        <w:t xml:space="preserve"> Law</w:t>
      </w:r>
      <w:r>
        <w:t xml:space="preserve"> C</w:t>
      </w:r>
      <w:r w:rsidRPr="005D6D89">
        <w:t xml:space="preserve"> S. (2011). </w:t>
      </w:r>
      <w:r>
        <w:rPr>
          <w:i/>
          <w:iCs/>
        </w:rPr>
        <w:t>An ocean climate change a</w:t>
      </w:r>
      <w:r w:rsidRPr="005D6D89">
        <w:rPr>
          <w:i/>
          <w:iCs/>
        </w:rPr>
        <w:t>tlas for New Zealand water</w:t>
      </w:r>
      <w:r w:rsidRPr="005D6D89">
        <w:t>. NIWA.</w:t>
      </w:r>
    </w:p>
    <w:p w14:paraId="4166ED32" w14:textId="77777777" w:rsidR="007D0B70" w:rsidRPr="005D6D89" w:rsidRDefault="007D0B70" w:rsidP="007D0B70">
      <w:pPr>
        <w:pStyle w:val="References"/>
      </w:pPr>
      <w:r w:rsidRPr="005D6D89">
        <w:rPr>
          <w:color w:val="000000"/>
          <w:lang w:eastAsia="en-AU"/>
        </w:rPr>
        <w:t>Brander</w:t>
      </w:r>
      <w:r>
        <w:rPr>
          <w:color w:val="000000"/>
          <w:lang w:eastAsia="en-AU"/>
        </w:rPr>
        <w:t xml:space="preserve"> </w:t>
      </w:r>
      <w:r w:rsidRPr="005D6D89">
        <w:rPr>
          <w:color w:val="000000"/>
          <w:lang w:eastAsia="en-AU"/>
        </w:rPr>
        <w:t xml:space="preserve">K. (2010). Impacts of climate change on fisheries. </w:t>
      </w:r>
      <w:r w:rsidRPr="005D6D89">
        <w:rPr>
          <w:i/>
          <w:iCs/>
          <w:color w:val="000000"/>
          <w:lang w:eastAsia="en-AU"/>
        </w:rPr>
        <w:t>Journal of Marine Systems</w:t>
      </w:r>
      <w:r w:rsidRPr="005D6D89">
        <w:rPr>
          <w:color w:val="000000"/>
          <w:lang w:eastAsia="en-AU"/>
        </w:rPr>
        <w:t xml:space="preserve">. </w:t>
      </w:r>
    </w:p>
    <w:p w14:paraId="24A66312" w14:textId="77777777" w:rsidR="007D0B70" w:rsidRPr="005D6D89" w:rsidRDefault="007D0B70" w:rsidP="007D0B70">
      <w:pPr>
        <w:pStyle w:val="References"/>
      </w:pPr>
      <w:r w:rsidRPr="005D6D89">
        <w:t xml:space="preserve">BRANZ. (2008). </w:t>
      </w:r>
      <w:r w:rsidRPr="005D6D89">
        <w:rPr>
          <w:i/>
          <w:iCs/>
        </w:rPr>
        <w:t>Soil expansivity in the Auckland Region</w:t>
      </w:r>
      <w:r>
        <w:t>. Addendum study report No</w:t>
      </w:r>
      <w:r w:rsidRPr="005D6D89">
        <w:t xml:space="preserve"> 120A.</w:t>
      </w:r>
    </w:p>
    <w:p w14:paraId="1E335D18" w14:textId="77777777" w:rsidR="007D0B70" w:rsidRPr="005D6D89" w:rsidRDefault="007D0B70" w:rsidP="007D0B70">
      <w:pPr>
        <w:pStyle w:val="References"/>
      </w:pPr>
      <w:r w:rsidRPr="005D6D89">
        <w:t>Buckett</w:t>
      </w:r>
      <w:r>
        <w:t xml:space="preserve"> N</w:t>
      </w:r>
      <w:r w:rsidRPr="005D6D89">
        <w:t xml:space="preserve"> R</w:t>
      </w:r>
      <w:r>
        <w:t>,</w:t>
      </w:r>
      <w:r w:rsidRPr="005D6D89">
        <w:t xml:space="preserve"> Jones</w:t>
      </w:r>
      <w:r>
        <w:t xml:space="preserve"> M</w:t>
      </w:r>
      <w:r w:rsidRPr="005D6D89">
        <w:t xml:space="preserve"> S</w:t>
      </w:r>
      <w:r>
        <w:t xml:space="preserve"> and</w:t>
      </w:r>
      <w:r w:rsidRPr="005D6D89">
        <w:t xml:space="preserve"> Marston</w:t>
      </w:r>
      <w:r>
        <w:t xml:space="preserve"> </w:t>
      </w:r>
      <w:r w:rsidRPr="005D6D89">
        <w:t xml:space="preserve">N. (2010). </w:t>
      </w:r>
      <w:r w:rsidRPr="005D6D89">
        <w:rPr>
          <w:i/>
          <w:iCs/>
        </w:rPr>
        <w:t>House condition survey report – Condition comparison by tenure</w:t>
      </w:r>
      <w:r w:rsidRPr="005D6D89">
        <w:t>. BRANZ Study Report 264.</w:t>
      </w:r>
    </w:p>
    <w:p w14:paraId="338713FF" w14:textId="77777777" w:rsidR="007D0B70" w:rsidRPr="005D6D89" w:rsidRDefault="007D0B70" w:rsidP="007D0B70">
      <w:pPr>
        <w:pStyle w:val="References"/>
        <w:rPr>
          <w:rStyle w:val="Hyperlink"/>
          <w:rFonts w:cs="Arial"/>
          <w:color w:val="000000" w:themeColor="text1"/>
        </w:rPr>
      </w:pPr>
      <w:r w:rsidRPr="005D6D89">
        <w:t xml:space="preserve">Business Continuity Institute. (2019). </w:t>
      </w:r>
      <w:r w:rsidRPr="005D6D89">
        <w:rPr>
          <w:i/>
          <w:iCs/>
        </w:rPr>
        <w:t>BCI supply chain resilience report 2018</w:t>
      </w:r>
      <w:r w:rsidRPr="005D6D89">
        <w:t xml:space="preserve">. </w:t>
      </w:r>
      <w:r w:rsidRPr="005D6D89">
        <w:rPr>
          <w:color w:val="000000" w:themeColor="text1"/>
        </w:rPr>
        <w:t xml:space="preserve">Retrieved from: </w:t>
      </w:r>
      <w:hyperlink r:id="rId69" w:history="1">
        <w:r w:rsidRPr="005D6D89">
          <w:rPr>
            <w:rStyle w:val="Hyperlink"/>
          </w:rPr>
          <w:t>https://www.thebci.org/uploads/assets/uploaded/c50072bf-df5c-4c98-a5e1876aafb15bd0.pdf</w:t>
        </w:r>
      </w:hyperlink>
    </w:p>
    <w:p w14:paraId="6016F2E7" w14:textId="77777777" w:rsidR="007D0B70" w:rsidRPr="005D6D89" w:rsidRDefault="007D0B70" w:rsidP="007D0B70">
      <w:pPr>
        <w:pStyle w:val="References"/>
      </w:pPr>
      <w:r w:rsidRPr="005D6D89">
        <w:rPr>
          <w:lang w:eastAsia="en-AU"/>
        </w:rPr>
        <w:t>Buurman</w:t>
      </w:r>
      <w:r>
        <w:rPr>
          <w:lang w:eastAsia="en-AU"/>
        </w:rPr>
        <w:t xml:space="preserve"> </w:t>
      </w:r>
      <w:r w:rsidRPr="005D6D89">
        <w:rPr>
          <w:lang w:eastAsia="en-AU"/>
        </w:rPr>
        <w:t>J</w:t>
      </w:r>
      <w:r>
        <w:rPr>
          <w:lang w:eastAsia="en-AU"/>
        </w:rPr>
        <w:t xml:space="preserve"> and Babovic</w:t>
      </w:r>
      <w:r w:rsidRPr="005D6D89">
        <w:rPr>
          <w:lang w:eastAsia="en-AU"/>
        </w:rPr>
        <w:t xml:space="preserve"> V. (2016). Adaptation Pathways and Real Options Analysis: An approach to deep uncertainty in </w:t>
      </w:r>
      <w:proofErr w:type="gramStart"/>
      <w:r w:rsidRPr="005D6D89">
        <w:rPr>
          <w:lang w:eastAsia="en-AU"/>
        </w:rPr>
        <w:t>climate change adaptation policies</w:t>
      </w:r>
      <w:proofErr w:type="gramEnd"/>
      <w:r w:rsidRPr="005D6D89">
        <w:rPr>
          <w:lang w:eastAsia="en-AU"/>
        </w:rPr>
        <w:t xml:space="preserve">. </w:t>
      </w:r>
      <w:r w:rsidRPr="005D6D89">
        <w:rPr>
          <w:i/>
          <w:iCs/>
          <w:lang w:eastAsia="en-AU"/>
        </w:rPr>
        <w:t>Policy and Society</w:t>
      </w:r>
      <w:r w:rsidRPr="005D6D89">
        <w:rPr>
          <w:lang w:eastAsia="en-AU"/>
        </w:rPr>
        <w:t>, 35(2), 137–150.</w:t>
      </w:r>
    </w:p>
    <w:p w14:paraId="6B717CE1" w14:textId="77777777" w:rsidR="007D0B70" w:rsidRPr="005D6D89" w:rsidRDefault="007D0B70" w:rsidP="007D0B70">
      <w:pPr>
        <w:pStyle w:val="References"/>
      </w:pPr>
      <w:r w:rsidRPr="005D6D89">
        <w:t>Campbell</w:t>
      </w:r>
      <w:r>
        <w:t xml:space="preserve"> J</w:t>
      </w:r>
      <w:r w:rsidRPr="005D6D89">
        <w:t xml:space="preserve"> R. (2019). </w:t>
      </w:r>
      <w:r>
        <w:rPr>
          <w:i/>
          <w:iCs/>
        </w:rPr>
        <w:t>Climate Change, m</w:t>
      </w:r>
      <w:r w:rsidRPr="005D6D89">
        <w:rPr>
          <w:i/>
          <w:iCs/>
        </w:rPr>
        <w:t xml:space="preserve">igration and </w:t>
      </w:r>
      <w:r>
        <w:rPr>
          <w:i/>
          <w:iCs/>
        </w:rPr>
        <w:t>l</w:t>
      </w:r>
      <w:r w:rsidRPr="005D6D89">
        <w:rPr>
          <w:i/>
          <w:iCs/>
        </w:rPr>
        <w:t>and in Oceania</w:t>
      </w:r>
      <w:r w:rsidRPr="005D6D89">
        <w:t>. Toda Peace Institute.</w:t>
      </w:r>
    </w:p>
    <w:p w14:paraId="7BD0B254" w14:textId="77777777" w:rsidR="007D0B70" w:rsidRPr="005D6D89" w:rsidRDefault="007D0B70" w:rsidP="007D0B70">
      <w:pPr>
        <w:pStyle w:val="References"/>
      </w:pPr>
      <w:r w:rsidRPr="005D6D89">
        <w:t>Campiglio</w:t>
      </w:r>
      <w:r>
        <w:t xml:space="preserve"> </w:t>
      </w:r>
      <w:r w:rsidRPr="005D6D89">
        <w:t>E</w:t>
      </w:r>
      <w:r>
        <w:t>,</w:t>
      </w:r>
      <w:r w:rsidRPr="005D6D89">
        <w:t xml:space="preserve"> Dafermos</w:t>
      </w:r>
      <w:r>
        <w:t xml:space="preserve"> </w:t>
      </w:r>
      <w:r w:rsidRPr="005D6D89">
        <w:t>Y</w:t>
      </w:r>
      <w:r>
        <w:t>,</w:t>
      </w:r>
      <w:r w:rsidRPr="005D6D89">
        <w:t xml:space="preserve"> Monnin</w:t>
      </w:r>
      <w:r>
        <w:t xml:space="preserve"> </w:t>
      </w:r>
      <w:r w:rsidRPr="005D6D89">
        <w:t>P</w:t>
      </w:r>
      <w:r>
        <w:t>,</w:t>
      </w:r>
      <w:r w:rsidRPr="005D6D89">
        <w:t xml:space="preserve"> Ryan-Collins</w:t>
      </w:r>
      <w:r>
        <w:t xml:space="preserve"> </w:t>
      </w:r>
      <w:r w:rsidRPr="005D6D89">
        <w:t>J</w:t>
      </w:r>
      <w:r>
        <w:t>,</w:t>
      </w:r>
      <w:r w:rsidRPr="005D6D89">
        <w:t xml:space="preserve"> Schotten</w:t>
      </w:r>
      <w:r>
        <w:t xml:space="preserve"> </w:t>
      </w:r>
      <w:r w:rsidRPr="005D6D89">
        <w:t>G</w:t>
      </w:r>
      <w:r>
        <w:t xml:space="preserve"> and</w:t>
      </w:r>
      <w:r w:rsidRPr="005D6D89">
        <w:t xml:space="preserve"> Tanaka</w:t>
      </w:r>
      <w:r>
        <w:t xml:space="preserve"> </w:t>
      </w:r>
      <w:r w:rsidRPr="005D6D89">
        <w:t xml:space="preserve">M. (2018). </w:t>
      </w:r>
      <w:r w:rsidRPr="00313052">
        <w:rPr>
          <w:i/>
        </w:rPr>
        <w:t>Climate change challenges for central banks and financial regulators.</w:t>
      </w:r>
      <w:r w:rsidRPr="005D6D89">
        <w:t xml:space="preserve"> Nature Climate Change, 8, 462–468.</w:t>
      </w:r>
    </w:p>
    <w:p w14:paraId="1056449E" w14:textId="77777777" w:rsidR="007D0B70" w:rsidRPr="005D6D89" w:rsidRDefault="007D0B70" w:rsidP="007D0B70">
      <w:pPr>
        <w:pStyle w:val="References"/>
      </w:pPr>
      <w:r w:rsidRPr="005D6D89">
        <w:t>Cann</w:t>
      </w:r>
      <w:r>
        <w:t xml:space="preserve"> </w:t>
      </w:r>
      <w:r w:rsidRPr="005D6D89">
        <w:t>K F</w:t>
      </w:r>
      <w:r>
        <w:t>,</w:t>
      </w:r>
      <w:r w:rsidRPr="005D6D89">
        <w:t xml:space="preserve"> Thomas</w:t>
      </w:r>
      <w:r>
        <w:t xml:space="preserve"> D</w:t>
      </w:r>
      <w:r w:rsidRPr="005D6D89">
        <w:t xml:space="preserve"> R</w:t>
      </w:r>
      <w:r>
        <w:t>,</w:t>
      </w:r>
      <w:r w:rsidRPr="005D6D89">
        <w:t xml:space="preserve"> Salmon</w:t>
      </w:r>
      <w:r>
        <w:t xml:space="preserve"> R</w:t>
      </w:r>
      <w:r w:rsidRPr="005D6D89">
        <w:t xml:space="preserve"> L</w:t>
      </w:r>
      <w:r>
        <w:t>,</w:t>
      </w:r>
      <w:r w:rsidRPr="005D6D89">
        <w:t xml:space="preserve"> Wyn-Jones</w:t>
      </w:r>
      <w:r>
        <w:t xml:space="preserve"> A</w:t>
      </w:r>
      <w:r w:rsidRPr="005D6D89">
        <w:t xml:space="preserve"> P</w:t>
      </w:r>
      <w:r>
        <w:t xml:space="preserve"> and</w:t>
      </w:r>
      <w:r w:rsidRPr="005D6D89">
        <w:t xml:space="preserve"> Kay</w:t>
      </w:r>
      <w:r>
        <w:t xml:space="preserve"> </w:t>
      </w:r>
      <w:r w:rsidRPr="005D6D89">
        <w:t xml:space="preserve">D. (2013). Extreme water-related weather events and waterborne disease. </w:t>
      </w:r>
      <w:r w:rsidRPr="005D6D89">
        <w:rPr>
          <w:i/>
          <w:iCs/>
        </w:rPr>
        <w:t>Epidemiology and Infection</w:t>
      </w:r>
      <w:r w:rsidRPr="005D6D89">
        <w:t xml:space="preserve">, 141(4), 671–686. </w:t>
      </w:r>
    </w:p>
    <w:p w14:paraId="58931DDD" w14:textId="77777777" w:rsidR="007D0B70" w:rsidRPr="005D6D89" w:rsidRDefault="007D0B70" w:rsidP="007D0B70">
      <w:pPr>
        <w:pStyle w:val="References"/>
        <w:rPr>
          <w:lang w:eastAsia="en-AU"/>
        </w:rPr>
      </w:pPr>
      <w:r w:rsidRPr="005D6D89">
        <w:rPr>
          <w:lang w:eastAsia="en-AU"/>
        </w:rPr>
        <w:t>Carlman</w:t>
      </w:r>
      <w:r>
        <w:rPr>
          <w:lang w:eastAsia="en-AU"/>
        </w:rPr>
        <w:t xml:space="preserve"> </w:t>
      </w:r>
      <w:r w:rsidRPr="005D6D89">
        <w:rPr>
          <w:lang w:eastAsia="en-AU"/>
        </w:rPr>
        <w:t xml:space="preserve">I. (2005). The rule of sustainability and planning adaptivity. </w:t>
      </w:r>
      <w:r w:rsidRPr="005D6D89">
        <w:rPr>
          <w:i/>
          <w:iCs/>
          <w:lang w:eastAsia="en-AU"/>
        </w:rPr>
        <w:t>Ambio</w:t>
      </w:r>
      <w:r w:rsidRPr="005D6D89">
        <w:rPr>
          <w:lang w:eastAsia="en-AU"/>
        </w:rPr>
        <w:t>, 34.</w:t>
      </w:r>
    </w:p>
    <w:p w14:paraId="1EED9788" w14:textId="77777777" w:rsidR="007D0B70" w:rsidRPr="005D6D89" w:rsidRDefault="007D0B70" w:rsidP="007D0B70">
      <w:pPr>
        <w:pStyle w:val="References"/>
      </w:pPr>
      <w:r w:rsidRPr="005D6D89">
        <w:t>Cenek</w:t>
      </w:r>
      <w:r>
        <w:t xml:space="preserve"> </w:t>
      </w:r>
      <w:r w:rsidRPr="005D6D89">
        <w:t>P</w:t>
      </w:r>
      <w:r>
        <w:t>,</w:t>
      </w:r>
      <w:r w:rsidRPr="005D6D89">
        <w:t xml:space="preserve"> Turner</w:t>
      </w:r>
      <w:r>
        <w:t xml:space="preserve"> </w:t>
      </w:r>
      <w:r w:rsidRPr="005D6D89">
        <w:t>R</w:t>
      </w:r>
      <w:r>
        <w:t>,</w:t>
      </w:r>
      <w:r w:rsidRPr="005D6D89">
        <w:t xml:space="preserve"> Flay</w:t>
      </w:r>
      <w:r>
        <w:t xml:space="preserve"> </w:t>
      </w:r>
      <w:r w:rsidRPr="005D6D89">
        <w:t>R</w:t>
      </w:r>
      <w:r>
        <w:t>,</w:t>
      </w:r>
      <w:r w:rsidRPr="005D6D89">
        <w:t xml:space="preserve"> Pirooz</w:t>
      </w:r>
      <w:r>
        <w:t xml:space="preserve"> A</w:t>
      </w:r>
      <w:r w:rsidRPr="005D6D89">
        <w:t xml:space="preserve"> S</w:t>
      </w:r>
      <w:r>
        <w:t>,</w:t>
      </w:r>
      <w:r w:rsidRPr="005D6D89">
        <w:t xml:space="preserve"> Jamieson</w:t>
      </w:r>
      <w:r>
        <w:t xml:space="preserve"> </w:t>
      </w:r>
      <w:r w:rsidRPr="005D6D89">
        <w:t>N</w:t>
      </w:r>
      <w:r>
        <w:t xml:space="preserve"> and</w:t>
      </w:r>
      <w:r w:rsidRPr="005D6D89">
        <w:t xml:space="preserve"> Carpenter</w:t>
      </w:r>
      <w:r>
        <w:t xml:space="preserve"> </w:t>
      </w:r>
      <w:r w:rsidRPr="005D6D89">
        <w:t xml:space="preserve">P. (2019). </w:t>
      </w:r>
      <w:r w:rsidRPr="005D6D89">
        <w:rPr>
          <w:i/>
          <w:iCs/>
        </w:rPr>
        <w:t>Tools and knowledge to improve New Zealand</w:t>
      </w:r>
      <w:r>
        <w:rPr>
          <w:i/>
          <w:iCs/>
        </w:rPr>
        <w:t>’s long-</w:t>
      </w:r>
      <w:r w:rsidRPr="005D6D89">
        <w:rPr>
          <w:i/>
          <w:iCs/>
        </w:rPr>
        <w:t>term resilience to wind storms: final research report</w:t>
      </w:r>
      <w:r w:rsidRPr="005D6D89">
        <w:t>. WSP OPUS.</w:t>
      </w:r>
    </w:p>
    <w:p w14:paraId="1BDAF3A2" w14:textId="77777777" w:rsidR="007D0B70" w:rsidRPr="005D6D89" w:rsidRDefault="007D0B70" w:rsidP="007D0B70">
      <w:pPr>
        <w:pStyle w:val="References"/>
      </w:pPr>
      <w:r w:rsidRPr="005D6D89">
        <w:t>Champion</w:t>
      </w:r>
      <w:r>
        <w:t xml:space="preserve"> P</w:t>
      </w:r>
      <w:r w:rsidRPr="005D6D89">
        <w:t xml:space="preserve"> D. (2018). Knowledge to action on aquatic invasive species: Island biosecurity – the New Zealand and South Pacific story. </w:t>
      </w:r>
      <w:r w:rsidRPr="005D6D89">
        <w:rPr>
          <w:i/>
          <w:iCs/>
        </w:rPr>
        <w:t>Management of Biological Invasions, 9</w:t>
      </w:r>
      <w:r w:rsidRPr="005D6D89">
        <w:t>(4), 383–394.</w:t>
      </w:r>
    </w:p>
    <w:p w14:paraId="39C13C4F" w14:textId="77777777" w:rsidR="007D0B70" w:rsidRPr="005D6D89" w:rsidRDefault="007D0B70" w:rsidP="007D0B70">
      <w:pPr>
        <w:pStyle w:val="References"/>
      </w:pPr>
      <w:r w:rsidRPr="005D6D89">
        <w:t>Chan</w:t>
      </w:r>
      <w:r>
        <w:t xml:space="preserve"> K</w:t>
      </w:r>
      <w:r w:rsidRPr="005D6D89">
        <w:t xml:space="preserve"> K</w:t>
      </w:r>
      <w:r>
        <w:t>,</w:t>
      </w:r>
      <w:r w:rsidRPr="005D6D89">
        <w:t xml:space="preserve"> Grunbaum</w:t>
      </w:r>
      <w:r>
        <w:t xml:space="preserve"> </w:t>
      </w:r>
      <w:r w:rsidRPr="005D6D89">
        <w:t>D</w:t>
      </w:r>
      <w:r>
        <w:t>,</w:t>
      </w:r>
      <w:r w:rsidRPr="005D6D89">
        <w:t xml:space="preserve"> Arnberg</w:t>
      </w:r>
      <w:r>
        <w:t xml:space="preserve"> </w:t>
      </w:r>
      <w:r w:rsidRPr="005D6D89">
        <w:t>M</w:t>
      </w:r>
      <w:r>
        <w:t xml:space="preserve"> and</w:t>
      </w:r>
      <w:r w:rsidRPr="005D6D89">
        <w:t xml:space="preserve"> Dupont</w:t>
      </w:r>
      <w:r>
        <w:t xml:space="preserve"> </w:t>
      </w:r>
      <w:r w:rsidRPr="005D6D89">
        <w:t>S. (2016). Impacts of ocean acidification on survival, growth</w:t>
      </w:r>
      <w:r>
        <w:t xml:space="preserve"> and</w:t>
      </w:r>
      <w:r w:rsidRPr="005D6D89">
        <w:t xml:space="preserve"> swimming behaviours differ between larval urchins and brittlestars. </w:t>
      </w:r>
      <w:r w:rsidRPr="005D6D89">
        <w:rPr>
          <w:i/>
          <w:iCs/>
        </w:rPr>
        <w:t>ICES Journal of Marine Science, 73</w:t>
      </w:r>
      <w:r w:rsidRPr="005D6D89">
        <w:t>(3), 951–961.</w:t>
      </w:r>
      <w:r w:rsidRPr="005D6D89">
        <w:rPr>
          <w:rStyle w:val="CommentReference"/>
          <w:rFonts w:asciiTheme="minorHAnsi" w:eastAsiaTheme="minorHAnsi" w:hAnsiTheme="minorHAnsi"/>
          <w:lang w:eastAsia="en-US"/>
        </w:rPr>
        <w:t xml:space="preserve"> </w:t>
      </w:r>
    </w:p>
    <w:p w14:paraId="45336DDA" w14:textId="77777777" w:rsidR="007D0B70" w:rsidRPr="005D6D89" w:rsidRDefault="007D0B70" w:rsidP="007D0B70">
      <w:pPr>
        <w:pStyle w:val="References"/>
        <w:rPr>
          <w:color w:val="000000" w:themeColor="text1"/>
        </w:rPr>
      </w:pPr>
      <w:r w:rsidRPr="005D6D89">
        <w:t>Chang-Richards</w:t>
      </w:r>
      <w:r>
        <w:t xml:space="preserve"> </w:t>
      </w:r>
      <w:r w:rsidRPr="005D6D89">
        <w:t>A</w:t>
      </w:r>
      <w:r>
        <w:t>,</w:t>
      </w:r>
      <w:r w:rsidRPr="005D6D89">
        <w:t xml:space="preserve"> I-Kai Wang</w:t>
      </w:r>
      <w:r>
        <w:t xml:space="preserve"> </w:t>
      </w:r>
      <w:r w:rsidRPr="005D6D89">
        <w:t>K</w:t>
      </w:r>
      <w:r>
        <w:t xml:space="preserve"> and</w:t>
      </w:r>
      <w:r w:rsidRPr="005D6D89">
        <w:t xml:space="preserve"> Fakhruddin</w:t>
      </w:r>
      <w:r>
        <w:t xml:space="preserve"> </w:t>
      </w:r>
      <w:r w:rsidRPr="005D6D89">
        <w:t xml:space="preserve">B. (2018). </w:t>
      </w:r>
      <w:r>
        <w:rPr>
          <w:i/>
          <w:iCs/>
        </w:rPr>
        <w:t>Climate, housing and h</w:t>
      </w:r>
      <w:r w:rsidRPr="005D6D89">
        <w:rPr>
          <w:i/>
          <w:iCs/>
        </w:rPr>
        <w:t>ealt</w:t>
      </w:r>
      <w:r>
        <w:rPr>
          <w:i/>
          <w:iCs/>
        </w:rPr>
        <w:t>h p</w:t>
      </w:r>
      <w:r w:rsidRPr="005D6D89">
        <w:rPr>
          <w:i/>
          <w:iCs/>
        </w:rPr>
        <w:t>rofiling: Promoting housing quality to improve health and wellbeing</w:t>
      </w:r>
      <w:r w:rsidRPr="005D6D89">
        <w:t xml:space="preserve">. University of Auckland. Retrieved from </w:t>
      </w:r>
      <w:hyperlink r:id="rId70" w:history="1">
        <w:r w:rsidRPr="005D6D89">
          <w:rPr>
            <w:rStyle w:val="Hyperlink"/>
          </w:rPr>
          <w:t>https://cdn.auckland.ac.nz/assets/auckland/arts/our-research/research-institutes-centres-groups/ppi/policy-briefings/climate-housing-and-health-profiling.pdf</w:t>
        </w:r>
      </w:hyperlink>
    </w:p>
    <w:p w14:paraId="610A2527" w14:textId="77777777" w:rsidR="007D0B70" w:rsidRPr="005D6D89" w:rsidRDefault="007D0B70" w:rsidP="007D0B70">
      <w:pPr>
        <w:pStyle w:val="References"/>
      </w:pPr>
      <w:r>
        <w:t>Channell</w:t>
      </w:r>
      <w:r w:rsidRPr="005D6D89">
        <w:t xml:space="preserve"> J</w:t>
      </w:r>
      <w:r>
        <w:t>,</w:t>
      </w:r>
      <w:r w:rsidRPr="005D6D89">
        <w:t xml:space="preserve"> Curmi</w:t>
      </w:r>
      <w:r>
        <w:t xml:space="preserve"> </w:t>
      </w:r>
      <w:r w:rsidRPr="005D6D89">
        <w:t>E</w:t>
      </w:r>
      <w:r>
        <w:t>,</w:t>
      </w:r>
      <w:r w:rsidRPr="005D6D89">
        <w:t xml:space="preserve"> Nguyen</w:t>
      </w:r>
      <w:r>
        <w:t xml:space="preserve"> </w:t>
      </w:r>
      <w:r w:rsidRPr="005D6D89">
        <w:t>P</w:t>
      </w:r>
      <w:r>
        <w:t>,</w:t>
      </w:r>
      <w:r w:rsidRPr="005D6D89">
        <w:t xml:space="preserve"> Prior</w:t>
      </w:r>
      <w:r>
        <w:t xml:space="preserve"> </w:t>
      </w:r>
      <w:r w:rsidRPr="005D6D89">
        <w:t>E</w:t>
      </w:r>
      <w:r>
        <w:t>,</w:t>
      </w:r>
      <w:r w:rsidRPr="005D6D89">
        <w:t xml:space="preserve"> Syme</w:t>
      </w:r>
      <w:r>
        <w:t xml:space="preserve"> </w:t>
      </w:r>
      <w:r w:rsidRPr="005D6D89">
        <w:t>A</w:t>
      </w:r>
      <w:r>
        <w:t xml:space="preserve"> </w:t>
      </w:r>
      <w:r w:rsidRPr="005D6D89">
        <w:t>R</w:t>
      </w:r>
      <w:r>
        <w:t>,</w:t>
      </w:r>
      <w:r w:rsidRPr="005D6D89">
        <w:t xml:space="preserve"> Jansen</w:t>
      </w:r>
      <w:r>
        <w:t xml:space="preserve"> </w:t>
      </w:r>
      <w:r w:rsidRPr="005D6D89">
        <w:t>H</w:t>
      </w:r>
      <w:r>
        <w:t xml:space="preserve"> </w:t>
      </w:r>
      <w:r w:rsidRPr="005D6D89">
        <w:t>R</w:t>
      </w:r>
      <w:r>
        <w:t>,</w:t>
      </w:r>
      <w:r w:rsidRPr="005D6D89">
        <w:t xml:space="preserve"> Rahbari</w:t>
      </w:r>
      <w:r>
        <w:t xml:space="preserve"> </w:t>
      </w:r>
      <w:r w:rsidRPr="005D6D89">
        <w:t>E</w:t>
      </w:r>
      <w:r>
        <w:t>,</w:t>
      </w:r>
      <w:r w:rsidRPr="005D6D89">
        <w:t xml:space="preserve"> Morse</w:t>
      </w:r>
      <w:r>
        <w:t xml:space="preserve"> </w:t>
      </w:r>
      <w:r w:rsidRPr="005D6D89">
        <w:t>E</w:t>
      </w:r>
      <w:r>
        <w:t xml:space="preserve"> </w:t>
      </w:r>
      <w:r w:rsidRPr="005D6D89">
        <w:t>L</w:t>
      </w:r>
      <w:r>
        <w:t>,</w:t>
      </w:r>
      <w:r w:rsidRPr="005D6D89">
        <w:t xml:space="preserve"> Kleinman</w:t>
      </w:r>
      <w:r>
        <w:t xml:space="preserve"> </w:t>
      </w:r>
      <w:r w:rsidRPr="005D6D89">
        <w:t>S</w:t>
      </w:r>
      <w:r>
        <w:t xml:space="preserve"> </w:t>
      </w:r>
      <w:r w:rsidRPr="005D6D89">
        <w:t>M</w:t>
      </w:r>
      <w:r>
        <w:t xml:space="preserve"> and Kruger</w:t>
      </w:r>
      <w:r w:rsidRPr="005D6D89">
        <w:t xml:space="preserve"> T. (2015). </w:t>
      </w:r>
      <w:r>
        <w:rPr>
          <w:i/>
          <w:iCs/>
        </w:rPr>
        <w:t xml:space="preserve">Energy Darwinism II: Why a low carbon future </w:t>
      </w:r>
      <w:proofErr w:type="gramStart"/>
      <w:r>
        <w:rPr>
          <w:i/>
          <w:iCs/>
        </w:rPr>
        <w:t>d</w:t>
      </w:r>
      <w:r w:rsidRPr="005D6D89">
        <w:rPr>
          <w:i/>
          <w:iCs/>
        </w:rPr>
        <w:t>oesn</w:t>
      </w:r>
      <w:r>
        <w:rPr>
          <w:i/>
          <w:iCs/>
        </w:rPr>
        <w:t>’</w:t>
      </w:r>
      <w:r w:rsidRPr="005D6D89">
        <w:rPr>
          <w:i/>
          <w:iCs/>
        </w:rPr>
        <w:t>t</w:t>
      </w:r>
      <w:proofErr w:type="gramEnd"/>
      <w:r w:rsidRPr="005D6D89">
        <w:rPr>
          <w:i/>
          <w:iCs/>
        </w:rPr>
        <w:t xml:space="preserve"> </w:t>
      </w:r>
      <w:r>
        <w:rPr>
          <w:i/>
          <w:iCs/>
        </w:rPr>
        <w:t>have to c</w:t>
      </w:r>
      <w:r w:rsidRPr="005D6D89">
        <w:rPr>
          <w:i/>
          <w:iCs/>
        </w:rPr>
        <w:t>ost the Earth</w:t>
      </w:r>
      <w:r w:rsidRPr="005D6D89">
        <w:t>. Citi GPS: Global Perspectives and Solutions August 2015.</w:t>
      </w:r>
    </w:p>
    <w:p w14:paraId="5D4024A7" w14:textId="77777777" w:rsidR="007D0B70" w:rsidRPr="005D6D89" w:rsidRDefault="007D0B70" w:rsidP="007D0B70">
      <w:pPr>
        <w:pStyle w:val="References"/>
        <w:rPr>
          <w:rStyle w:val="Hyperlink"/>
          <w:rFonts w:cs="Arial"/>
        </w:rPr>
      </w:pPr>
      <w:r w:rsidRPr="005D6D89">
        <w:t>Chapman</w:t>
      </w:r>
      <w:r>
        <w:t xml:space="preserve"> </w:t>
      </w:r>
      <w:r w:rsidRPr="005D6D89">
        <w:t xml:space="preserve">R. (2015). </w:t>
      </w:r>
      <w:r>
        <w:rPr>
          <w:i/>
          <w:iCs/>
        </w:rPr>
        <w:t>Time of useful consciousness: Acting u</w:t>
      </w:r>
      <w:r w:rsidRPr="005D6D89">
        <w:rPr>
          <w:i/>
          <w:iCs/>
        </w:rPr>
        <w:t xml:space="preserve">rgently on </w:t>
      </w:r>
      <w:r>
        <w:rPr>
          <w:i/>
          <w:iCs/>
        </w:rPr>
        <w:t>climate change. In t</w:t>
      </w:r>
      <w:r w:rsidRPr="005D6D89">
        <w:rPr>
          <w:i/>
          <w:iCs/>
        </w:rPr>
        <w:t>ime o</w:t>
      </w:r>
      <w:r>
        <w:rPr>
          <w:i/>
          <w:iCs/>
        </w:rPr>
        <w:t>f useful consciousness: Acting urgently on climate c</w:t>
      </w:r>
      <w:r w:rsidRPr="005D6D89">
        <w:rPr>
          <w:i/>
          <w:iCs/>
        </w:rPr>
        <w:t>hange</w:t>
      </w:r>
      <w:r w:rsidRPr="005D6D89">
        <w:t xml:space="preserve">. Bridget Williams Books. </w:t>
      </w:r>
    </w:p>
    <w:p w14:paraId="00CB128F" w14:textId="77777777" w:rsidR="007D0B70" w:rsidRPr="005D6D89" w:rsidRDefault="007D0B70" w:rsidP="007D0B70">
      <w:pPr>
        <w:pStyle w:val="References"/>
        <w:rPr>
          <w:shd w:val="clear" w:color="auto" w:fill="FFFFFF"/>
        </w:rPr>
      </w:pPr>
      <w:r w:rsidRPr="005D6D89">
        <w:rPr>
          <w:shd w:val="clear" w:color="auto" w:fill="FFFFFF"/>
        </w:rPr>
        <w:t>Clarke</w:t>
      </w:r>
      <w:r>
        <w:rPr>
          <w:shd w:val="clear" w:color="auto" w:fill="FFFFFF"/>
        </w:rPr>
        <w:t xml:space="preserve"> </w:t>
      </w:r>
      <w:r w:rsidRPr="005D6D89">
        <w:rPr>
          <w:shd w:val="clear" w:color="auto" w:fill="FFFFFF"/>
        </w:rPr>
        <w:t>L L</w:t>
      </w:r>
      <w:r>
        <w:rPr>
          <w:shd w:val="clear" w:color="auto" w:fill="FFFFFF"/>
        </w:rPr>
        <w:t>,</w:t>
      </w:r>
      <w:r w:rsidRPr="005D6D89">
        <w:rPr>
          <w:shd w:val="clear" w:color="auto" w:fill="FFFFFF"/>
        </w:rPr>
        <w:t xml:space="preserve"> Nichols</w:t>
      </w:r>
      <w:r>
        <w:rPr>
          <w:shd w:val="clear" w:color="auto" w:fill="FFFFFF"/>
        </w:rPr>
        <w:t xml:space="preserve"> </w:t>
      </w:r>
      <w:r w:rsidRPr="005D6D89">
        <w:rPr>
          <w:shd w:val="clear" w:color="auto" w:fill="FFFFFF"/>
        </w:rPr>
        <w:t>R</w:t>
      </w:r>
      <w:r>
        <w:rPr>
          <w:shd w:val="clear" w:color="auto" w:fill="FFFFFF"/>
        </w:rPr>
        <w:t>,</w:t>
      </w:r>
      <w:r w:rsidRPr="005D6D89">
        <w:rPr>
          <w:shd w:val="clear" w:color="auto" w:fill="FFFFFF"/>
        </w:rPr>
        <w:t xml:space="preserve"> Vallario</w:t>
      </w:r>
      <w:r>
        <w:rPr>
          <w:shd w:val="clear" w:color="auto" w:fill="FFFFFF"/>
        </w:rPr>
        <w:t xml:space="preserve"> </w:t>
      </w:r>
      <w:r w:rsidRPr="005D6D89">
        <w:rPr>
          <w:shd w:val="clear" w:color="auto" w:fill="FFFFFF"/>
        </w:rPr>
        <w:t>M</w:t>
      </w:r>
      <w:r>
        <w:rPr>
          <w:shd w:val="clear" w:color="auto" w:fill="FFFFFF"/>
        </w:rPr>
        <w:t>,</w:t>
      </w:r>
      <w:r w:rsidRPr="005D6D89">
        <w:rPr>
          <w:shd w:val="clear" w:color="auto" w:fill="FFFFFF"/>
        </w:rPr>
        <w:t xml:space="preserve"> Hejazi</w:t>
      </w:r>
      <w:r>
        <w:rPr>
          <w:shd w:val="clear" w:color="auto" w:fill="FFFFFF"/>
        </w:rPr>
        <w:t xml:space="preserve"> </w:t>
      </w:r>
      <w:r w:rsidRPr="005D6D89">
        <w:rPr>
          <w:shd w:val="clear" w:color="auto" w:fill="FFFFFF"/>
        </w:rPr>
        <w:t>J</w:t>
      </w:r>
      <w:r>
        <w:rPr>
          <w:shd w:val="clear" w:color="auto" w:fill="FFFFFF"/>
        </w:rPr>
        <w:t>,</w:t>
      </w:r>
      <w:r w:rsidRPr="005D6D89">
        <w:rPr>
          <w:shd w:val="clear" w:color="auto" w:fill="FFFFFF"/>
        </w:rPr>
        <w:t xml:space="preserve"> Horing</w:t>
      </w:r>
      <w:r>
        <w:rPr>
          <w:shd w:val="clear" w:color="auto" w:fill="FFFFFF"/>
        </w:rPr>
        <w:t xml:space="preserve"> </w:t>
      </w:r>
      <w:r w:rsidRPr="005D6D89">
        <w:rPr>
          <w:shd w:val="clear" w:color="auto" w:fill="FFFFFF"/>
        </w:rPr>
        <w:t>A</w:t>
      </w:r>
      <w:r>
        <w:rPr>
          <w:shd w:val="clear" w:color="auto" w:fill="FFFFFF"/>
        </w:rPr>
        <w:t xml:space="preserve"> </w:t>
      </w:r>
      <w:r w:rsidRPr="005D6D89">
        <w:rPr>
          <w:shd w:val="clear" w:color="auto" w:fill="FFFFFF"/>
        </w:rPr>
        <w:t>C</w:t>
      </w:r>
      <w:r>
        <w:rPr>
          <w:shd w:val="clear" w:color="auto" w:fill="FFFFFF"/>
        </w:rPr>
        <w:t>,</w:t>
      </w:r>
      <w:r w:rsidRPr="005D6D89">
        <w:rPr>
          <w:shd w:val="clear" w:color="auto" w:fill="FFFFFF"/>
        </w:rPr>
        <w:t xml:space="preserve"> Janetos</w:t>
      </w:r>
      <w:r>
        <w:rPr>
          <w:shd w:val="clear" w:color="auto" w:fill="FFFFFF"/>
        </w:rPr>
        <w:t xml:space="preserve"> </w:t>
      </w:r>
      <w:r w:rsidRPr="005D6D89">
        <w:rPr>
          <w:shd w:val="clear" w:color="auto" w:fill="FFFFFF"/>
        </w:rPr>
        <w:t>K</w:t>
      </w:r>
      <w:r>
        <w:rPr>
          <w:shd w:val="clear" w:color="auto" w:fill="FFFFFF"/>
        </w:rPr>
        <w:t>,</w:t>
      </w:r>
      <w:r w:rsidRPr="005D6D89">
        <w:rPr>
          <w:shd w:val="clear" w:color="auto" w:fill="FFFFFF"/>
        </w:rPr>
        <w:t xml:space="preserve"> Mach</w:t>
      </w:r>
      <w:r>
        <w:rPr>
          <w:shd w:val="clear" w:color="auto" w:fill="FFFFFF"/>
        </w:rPr>
        <w:t xml:space="preserve"> </w:t>
      </w:r>
      <w:r w:rsidRPr="005D6D89">
        <w:rPr>
          <w:shd w:val="clear" w:color="auto" w:fill="FFFFFF"/>
        </w:rPr>
        <w:t>M</w:t>
      </w:r>
      <w:r>
        <w:rPr>
          <w:shd w:val="clear" w:color="auto" w:fill="FFFFFF"/>
        </w:rPr>
        <w:t>,</w:t>
      </w:r>
      <w:r w:rsidRPr="005D6D89">
        <w:rPr>
          <w:shd w:val="clear" w:color="auto" w:fill="FFFFFF"/>
        </w:rPr>
        <w:t xml:space="preserve"> Mastrandrea</w:t>
      </w:r>
      <w:r>
        <w:rPr>
          <w:shd w:val="clear" w:color="auto" w:fill="FFFFFF"/>
        </w:rPr>
        <w:t xml:space="preserve"> </w:t>
      </w:r>
      <w:r w:rsidRPr="005D6D89">
        <w:rPr>
          <w:shd w:val="clear" w:color="auto" w:fill="FFFFFF"/>
        </w:rPr>
        <w:t>M</w:t>
      </w:r>
      <w:r>
        <w:rPr>
          <w:shd w:val="clear" w:color="auto" w:fill="FFFFFF"/>
        </w:rPr>
        <w:t>,</w:t>
      </w:r>
      <w:r w:rsidRPr="005D6D89">
        <w:rPr>
          <w:shd w:val="clear" w:color="auto" w:fill="FFFFFF"/>
        </w:rPr>
        <w:t xml:space="preserve"> Orr</w:t>
      </w:r>
      <w:r>
        <w:rPr>
          <w:shd w:val="clear" w:color="auto" w:fill="FFFFFF"/>
        </w:rPr>
        <w:t xml:space="preserve"> </w:t>
      </w:r>
      <w:r w:rsidRPr="005D6D89">
        <w:rPr>
          <w:shd w:val="clear" w:color="auto" w:fill="FFFFFF"/>
        </w:rPr>
        <w:t>B</w:t>
      </w:r>
      <w:r>
        <w:rPr>
          <w:shd w:val="clear" w:color="auto" w:fill="FFFFFF"/>
        </w:rPr>
        <w:t xml:space="preserve"> </w:t>
      </w:r>
      <w:r w:rsidRPr="005D6D89">
        <w:rPr>
          <w:shd w:val="clear" w:color="auto" w:fill="FFFFFF"/>
        </w:rPr>
        <w:t>L</w:t>
      </w:r>
      <w:r>
        <w:rPr>
          <w:shd w:val="clear" w:color="auto" w:fill="FFFFFF"/>
        </w:rPr>
        <w:t>,</w:t>
      </w:r>
      <w:r w:rsidRPr="005D6D89">
        <w:rPr>
          <w:shd w:val="clear" w:color="auto" w:fill="FFFFFF"/>
        </w:rPr>
        <w:t xml:space="preserve"> Preston</w:t>
      </w:r>
      <w:r>
        <w:rPr>
          <w:shd w:val="clear" w:color="auto" w:fill="FFFFFF"/>
        </w:rPr>
        <w:t xml:space="preserve"> </w:t>
      </w:r>
      <w:r w:rsidRPr="005D6D89">
        <w:rPr>
          <w:shd w:val="clear" w:color="auto" w:fill="FFFFFF"/>
        </w:rPr>
        <w:t>P</w:t>
      </w:r>
      <w:r>
        <w:rPr>
          <w:shd w:val="clear" w:color="auto" w:fill="FFFFFF"/>
        </w:rPr>
        <w:t>,</w:t>
      </w:r>
      <w:r w:rsidRPr="005D6D89">
        <w:rPr>
          <w:shd w:val="clear" w:color="auto" w:fill="FFFFFF"/>
        </w:rPr>
        <w:t xml:space="preserve"> Reed</w:t>
      </w:r>
      <w:r>
        <w:rPr>
          <w:shd w:val="clear" w:color="auto" w:fill="FFFFFF"/>
        </w:rPr>
        <w:t xml:space="preserve"> </w:t>
      </w:r>
      <w:r w:rsidRPr="005D6D89">
        <w:rPr>
          <w:shd w:val="clear" w:color="auto" w:fill="FFFFFF"/>
        </w:rPr>
        <w:t>R</w:t>
      </w:r>
      <w:r>
        <w:rPr>
          <w:shd w:val="clear" w:color="auto" w:fill="FFFFFF"/>
        </w:rPr>
        <w:t xml:space="preserve"> </w:t>
      </w:r>
      <w:r w:rsidRPr="005D6D89">
        <w:rPr>
          <w:shd w:val="clear" w:color="auto" w:fill="FFFFFF"/>
        </w:rPr>
        <w:t>D</w:t>
      </w:r>
      <w:r>
        <w:rPr>
          <w:shd w:val="clear" w:color="auto" w:fill="FFFFFF"/>
        </w:rPr>
        <w:t>,</w:t>
      </w:r>
      <w:r w:rsidRPr="005D6D89">
        <w:rPr>
          <w:shd w:val="clear" w:color="auto" w:fill="FFFFFF"/>
        </w:rPr>
        <w:t xml:space="preserve"> Sands</w:t>
      </w:r>
      <w:r>
        <w:rPr>
          <w:shd w:val="clear" w:color="auto" w:fill="FFFFFF"/>
        </w:rPr>
        <w:t xml:space="preserve"> and</w:t>
      </w:r>
      <w:r w:rsidRPr="005D6D89">
        <w:rPr>
          <w:shd w:val="clear" w:color="auto" w:fill="FFFFFF"/>
        </w:rPr>
        <w:t xml:space="preserve"> White</w:t>
      </w:r>
      <w:r>
        <w:rPr>
          <w:shd w:val="clear" w:color="auto" w:fill="FFFFFF"/>
        </w:rPr>
        <w:t xml:space="preserve"> D D. </w:t>
      </w:r>
      <w:r w:rsidRPr="005D6D89">
        <w:rPr>
          <w:shd w:val="clear" w:color="auto" w:fill="FFFFFF"/>
        </w:rPr>
        <w:t>(2018) Sector Interactions, Multiple Stressors</w:t>
      </w:r>
      <w:r>
        <w:rPr>
          <w:shd w:val="clear" w:color="auto" w:fill="FFFFFF"/>
        </w:rPr>
        <w:t xml:space="preserve"> and</w:t>
      </w:r>
      <w:r w:rsidRPr="005D6D89">
        <w:rPr>
          <w:shd w:val="clear" w:color="auto" w:fill="FFFFFF"/>
        </w:rPr>
        <w:t xml:space="preserve"> Complex Systems. In </w:t>
      </w:r>
      <w:r>
        <w:rPr>
          <w:i/>
          <w:iCs/>
          <w:shd w:val="clear" w:color="auto" w:fill="FFFFFF"/>
        </w:rPr>
        <w:t>Impacts, r</w:t>
      </w:r>
      <w:r w:rsidRPr="005D6D89">
        <w:rPr>
          <w:i/>
          <w:iCs/>
          <w:shd w:val="clear" w:color="auto" w:fill="FFFFFF"/>
        </w:rPr>
        <w:t>isks</w:t>
      </w:r>
      <w:r>
        <w:rPr>
          <w:i/>
          <w:iCs/>
          <w:shd w:val="clear" w:color="auto" w:fill="FFFFFF"/>
        </w:rPr>
        <w:t xml:space="preserve"> and a</w:t>
      </w:r>
      <w:r w:rsidRPr="005D6D89">
        <w:rPr>
          <w:i/>
          <w:iCs/>
          <w:shd w:val="clear" w:color="auto" w:fill="FFFFFF"/>
        </w:rPr>
        <w:t>daptation in the United States: Fourth National Climate Assessment, Volume II</w:t>
      </w:r>
      <w:r>
        <w:rPr>
          <w:shd w:val="clear" w:color="auto" w:fill="FFFFFF"/>
        </w:rPr>
        <w:t xml:space="preserve"> [D R Reidmiller, C W Avery, D R </w:t>
      </w:r>
      <w:r w:rsidRPr="005D6D89">
        <w:rPr>
          <w:shd w:val="clear" w:color="auto" w:fill="FFFFFF"/>
        </w:rPr>
        <w:t>Easterlin</w:t>
      </w:r>
      <w:r>
        <w:rPr>
          <w:shd w:val="clear" w:color="auto" w:fill="FFFFFF"/>
        </w:rPr>
        <w:t>g, K E Kunkel, K L M Lewis, T K</w:t>
      </w:r>
      <w:r w:rsidRPr="005D6D89">
        <w:rPr>
          <w:shd w:val="clear" w:color="auto" w:fill="FFFFFF"/>
        </w:rPr>
        <w:t xml:space="preserve"> Maycock</w:t>
      </w:r>
      <w:r>
        <w:rPr>
          <w:shd w:val="clear" w:color="auto" w:fill="FFFFFF"/>
        </w:rPr>
        <w:t xml:space="preserve"> and B C Stewart (eds)]. US</w:t>
      </w:r>
      <w:r w:rsidRPr="005D6D89">
        <w:rPr>
          <w:shd w:val="clear" w:color="auto" w:fill="FFFFFF"/>
        </w:rPr>
        <w:t xml:space="preserve"> Global Change Research Program, Washington, DC, USA.</w:t>
      </w:r>
    </w:p>
    <w:p w14:paraId="09939D0B" w14:textId="77777777" w:rsidR="007D0B70" w:rsidRPr="005D6D89" w:rsidRDefault="007D0B70" w:rsidP="007D0B70">
      <w:pPr>
        <w:pStyle w:val="References"/>
      </w:pPr>
      <w:r w:rsidRPr="005D6D89">
        <w:rPr>
          <w:rFonts w:eastAsiaTheme="minorHAnsi"/>
          <w:color w:val="000000"/>
          <w:lang w:eastAsia="en-US"/>
        </w:rPr>
        <w:t xml:space="preserve">Climate Change Adaptation Technical Working Group [CCATWG]. (2017, December). </w:t>
      </w:r>
      <w:r w:rsidRPr="005D6D89">
        <w:rPr>
          <w:rFonts w:eastAsiaTheme="minorHAnsi"/>
          <w:i/>
          <w:iCs/>
          <w:color w:val="000000"/>
          <w:lang w:eastAsia="en-US"/>
        </w:rPr>
        <w:t>Adapting to Climate Change in New Zealand: Stocktake Report from the Climate Change Adaptation Technical</w:t>
      </w:r>
      <w:r w:rsidRPr="005D6D89">
        <w:t xml:space="preserve"> </w:t>
      </w:r>
      <w:r w:rsidRPr="005D6D89">
        <w:rPr>
          <w:rFonts w:eastAsiaTheme="minorHAnsi"/>
          <w:i/>
          <w:iCs/>
          <w:color w:val="000000"/>
          <w:lang w:eastAsia="en-US"/>
        </w:rPr>
        <w:t xml:space="preserve">Working Group. </w:t>
      </w:r>
      <w:r w:rsidRPr="005D6D89">
        <w:rPr>
          <w:rFonts w:eastAsiaTheme="minorHAnsi"/>
          <w:color w:val="000000"/>
          <w:lang w:eastAsia="en-US"/>
        </w:rPr>
        <w:t xml:space="preserve">Ministry for the Environment. </w:t>
      </w:r>
      <w:hyperlink r:id="rId71" w:history="1">
        <w:r>
          <w:rPr>
            <w:rStyle w:val="Hyperlink"/>
          </w:rPr>
          <w:t>https://www.mfe.govt.nz/publications/climate-change/adapting-climate-change-new-zealand-stocktake-report-climate-change</w:t>
        </w:r>
      </w:hyperlink>
    </w:p>
    <w:p w14:paraId="7EFC5F19" w14:textId="77777777" w:rsidR="007D0B70" w:rsidRPr="005D6D89" w:rsidRDefault="007D0B70" w:rsidP="007D0B70">
      <w:pPr>
        <w:pStyle w:val="References"/>
        <w:rPr>
          <w:rFonts w:cs="Arial"/>
        </w:rPr>
      </w:pPr>
      <w:r w:rsidRPr="005D6D89">
        <w:rPr>
          <w:rFonts w:cs="Arial"/>
        </w:rPr>
        <w:t xml:space="preserve">Climate Change Adaptation Technical Working Group [CCATWG]. (2018). </w:t>
      </w:r>
      <w:r w:rsidRPr="005D6D89">
        <w:rPr>
          <w:rFonts w:cs="Arial"/>
          <w:i/>
          <w:iCs/>
        </w:rPr>
        <w:t>Adapting to Climate Change in New Zealand: Recommendations from the Climate Change Adaptation Technical Working Group</w:t>
      </w:r>
      <w:r w:rsidRPr="005D6D89">
        <w:rPr>
          <w:rFonts w:cs="Arial"/>
        </w:rPr>
        <w:t>.</w:t>
      </w:r>
    </w:p>
    <w:p w14:paraId="32D93EF3" w14:textId="77777777" w:rsidR="007D0B70" w:rsidRPr="005D6D89" w:rsidRDefault="007D0B70" w:rsidP="007D0B70">
      <w:pPr>
        <w:pStyle w:val="References"/>
        <w:rPr>
          <w:rFonts w:cs="Arial"/>
        </w:rPr>
      </w:pPr>
      <w:r>
        <w:rPr>
          <w:rFonts w:cs="Arial"/>
        </w:rPr>
        <w:t>Cohen</w:t>
      </w:r>
      <w:r w:rsidRPr="005D6D89">
        <w:rPr>
          <w:rFonts w:cs="Arial"/>
        </w:rPr>
        <w:t xml:space="preserve"> L</w:t>
      </w:r>
      <w:r>
        <w:rPr>
          <w:rFonts w:cs="Arial"/>
        </w:rPr>
        <w:t xml:space="preserve"> and Frazzini</w:t>
      </w:r>
      <w:r w:rsidRPr="005D6D89">
        <w:rPr>
          <w:rFonts w:cs="Arial"/>
        </w:rPr>
        <w:t xml:space="preserve"> A. (2008). Economic links and predictable returns, </w:t>
      </w:r>
      <w:r w:rsidRPr="005D6D89">
        <w:rPr>
          <w:rFonts w:cs="Arial"/>
          <w:i/>
          <w:iCs/>
        </w:rPr>
        <w:t>Journal of Finance</w:t>
      </w:r>
      <w:r w:rsidRPr="005D6D89">
        <w:rPr>
          <w:rFonts w:cs="Arial"/>
        </w:rPr>
        <w:t>, 63(4), 1977–2011.</w:t>
      </w:r>
    </w:p>
    <w:p w14:paraId="5350D20F" w14:textId="77777777" w:rsidR="007D0B70" w:rsidRPr="005D6D89" w:rsidRDefault="007D0B70" w:rsidP="007D0B70">
      <w:pPr>
        <w:pStyle w:val="References"/>
        <w:rPr>
          <w:rFonts w:cs="Arial"/>
          <w:color w:val="000000" w:themeColor="text1"/>
        </w:rPr>
      </w:pPr>
      <w:r w:rsidRPr="005D6D89">
        <w:rPr>
          <w:color w:val="000000"/>
        </w:rPr>
        <w:t>Committee on Climate Change (2016)</w:t>
      </w:r>
      <w:r>
        <w:rPr>
          <w:color w:val="000000"/>
        </w:rPr>
        <w:t>.</w:t>
      </w:r>
      <w:r w:rsidRPr="005D6D89">
        <w:rPr>
          <w:color w:val="000000"/>
        </w:rPr>
        <w:t xml:space="preserve"> </w:t>
      </w:r>
      <w:r w:rsidRPr="005D6D89">
        <w:rPr>
          <w:i/>
          <w:iCs/>
          <w:color w:val="000000"/>
        </w:rPr>
        <w:t>UK Climate Change Risk Assessment 2017 Synthesis Report</w:t>
      </w:r>
      <w:r w:rsidRPr="005D6D89">
        <w:rPr>
          <w:color w:val="000000"/>
        </w:rPr>
        <w:t xml:space="preserve">. </w:t>
      </w:r>
      <w:hyperlink r:id="rId72" w:history="1">
        <w:r w:rsidRPr="005D6D89">
          <w:rPr>
            <w:rStyle w:val="Hyperlink"/>
          </w:rPr>
          <w:t>www.theccc.org.uk/uk-climate-change-risk-assessment-2017/synthesis-report/</w:t>
        </w:r>
      </w:hyperlink>
    </w:p>
    <w:p w14:paraId="5E9764DC" w14:textId="77777777" w:rsidR="007D0B70" w:rsidRPr="005D6D89" w:rsidRDefault="007D0B70" w:rsidP="007D0B70">
      <w:pPr>
        <w:pStyle w:val="References"/>
        <w:rPr>
          <w:rFonts w:cs="Arial"/>
        </w:rPr>
      </w:pPr>
      <w:r>
        <w:rPr>
          <w:rFonts w:cs="Arial"/>
        </w:rPr>
        <w:t xml:space="preserve">Corbett E and Bendall </w:t>
      </w:r>
      <w:r w:rsidRPr="005D6D89">
        <w:rPr>
          <w:rFonts w:cs="Arial"/>
        </w:rPr>
        <w:t>S. (2019). Clifton to Tangoio Coastal Hazards Strategy 2120, Hawke</w:t>
      </w:r>
      <w:r>
        <w:rPr>
          <w:rFonts w:cs="Arial"/>
        </w:rPr>
        <w:t>’</w:t>
      </w:r>
      <w:r w:rsidRPr="005D6D89">
        <w:rPr>
          <w:rFonts w:cs="Arial"/>
        </w:rPr>
        <w:t xml:space="preserve">s Bay, New Zealand. In: </w:t>
      </w:r>
      <w:r w:rsidRPr="005D6D89">
        <w:rPr>
          <w:rFonts w:cs="Arial"/>
          <w:i/>
          <w:iCs/>
        </w:rPr>
        <w:t>Responding to rising seas: OECD country approaches to tackling coastal risks</w:t>
      </w:r>
      <w:r>
        <w:rPr>
          <w:rFonts w:cs="Arial"/>
        </w:rPr>
        <w:t>, Chapter 6, p</w:t>
      </w:r>
      <w:r w:rsidRPr="005D6D89">
        <w:rPr>
          <w:rFonts w:cs="Arial"/>
        </w:rPr>
        <w:t xml:space="preserve">137–154, OECD Publishing, Paris. </w:t>
      </w:r>
    </w:p>
    <w:p w14:paraId="71053CD6" w14:textId="77777777" w:rsidR="007D0B70" w:rsidRPr="005D6D89" w:rsidRDefault="007D0B70" w:rsidP="007D0B70">
      <w:pPr>
        <w:pStyle w:val="References"/>
        <w:rPr>
          <w:rFonts w:cs="Arial"/>
        </w:rPr>
      </w:pPr>
      <w:r>
        <w:rPr>
          <w:rFonts w:cs="Arial"/>
        </w:rPr>
        <w:t xml:space="preserve">Cornwall C </w:t>
      </w:r>
      <w:r w:rsidRPr="005D6D89">
        <w:rPr>
          <w:rFonts w:cs="Arial"/>
        </w:rPr>
        <w:t>E</w:t>
      </w:r>
      <w:r>
        <w:rPr>
          <w:rFonts w:cs="Arial"/>
        </w:rPr>
        <w:t xml:space="preserve"> and Hurd C</w:t>
      </w:r>
      <w:r w:rsidRPr="005D6D89">
        <w:rPr>
          <w:rFonts w:cs="Arial"/>
        </w:rPr>
        <w:t xml:space="preserve"> L. (2016). Experimental design in ocean acidification research: problems and solutions. </w:t>
      </w:r>
      <w:r w:rsidRPr="005D6D89">
        <w:rPr>
          <w:rFonts w:cs="Arial"/>
          <w:i/>
          <w:iCs/>
        </w:rPr>
        <w:t>ICES Journal of Marine Science, 73</w:t>
      </w:r>
      <w:r w:rsidRPr="005D6D89">
        <w:rPr>
          <w:rFonts w:cs="Arial"/>
        </w:rPr>
        <w:t xml:space="preserve">(3), 572–581. </w:t>
      </w:r>
    </w:p>
    <w:p w14:paraId="70FBD3AD" w14:textId="77777777" w:rsidR="007D0B70" w:rsidRPr="005D6D89" w:rsidRDefault="007D0B70" w:rsidP="007D0B70">
      <w:pPr>
        <w:pStyle w:val="References"/>
        <w:rPr>
          <w:rFonts w:cs="Arial"/>
        </w:rPr>
      </w:pPr>
      <w:r>
        <w:rPr>
          <w:rFonts w:cs="Arial"/>
        </w:rPr>
        <w:t xml:space="preserve">Corti </w:t>
      </w:r>
      <w:r w:rsidRPr="005D6D89">
        <w:rPr>
          <w:rFonts w:cs="Arial"/>
        </w:rPr>
        <w:t>T</w:t>
      </w:r>
      <w:r>
        <w:rPr>
          <w:rFonts w:cs="Arial"/>
        </w:rPr>
        <w:t xml:space="preserve">, Wüest </w:t>
      </w:r>
      <w:r w:rsidRPr="005D6D89">
        <w:rPr>
          <w:rFonts w:cs="Arial"/>
        </w:rPr>
        <w:t>M</w:t>
      </w:r>
      <w:r>
        <w:rPr>
          <w:rFonts w:cs="Arial"/>
        </w:rPr>
        <w:t xml:space="preserve">, Bresch </w:t>
      </w:r>
      <w:r w:rsidRPr="005D6D89">
        <w:rPr>
          <w:rFonts w:cs="Arial"/>
        </w:rPr>
        <w:t>D</w:t>
      </w:r>
      <w:r>
        <w:rPr>
          <w:rFonts w:cs="Arial"/>
        </w:rPr>
        <w:t xml:space="preserve"> and Seneviratne</w:t>
      </w:r>
      <w:r w:rsidRPr="005D6D89">
        <w:rPr>
          <w:rFonts w:cs="Arial"/>
        </w:rPr>
        <w:t xml:space="preserve"> S. (2011). Drought-induced building damages from simulations at regional scale. </w:t>
      </w:r>
      <w:r w:rsidRPr="005D6D89">
        <w:rPr>
          <w:rFonts w:cs="Arial"/>
          <w:i/>
          <w:iCs/>
        </w:rPr>
        <w:t>Natural Hazards and Earth System Sciences</w:t>
      </w:r>
      <w:r w:rsidRPr="005D6D89">
        <w:rPr>
          <w:rFonts w:cs="Arial"/>
        </w:rPr>
        <w:t>, 11, 3335–3342.</w:t>
      </w:r>
    </w:p>
    <w:sdt>
      <w:sdtPr>
        <w:rPr>
          <w:rFonts w:cs="Arial"/>
        </w:rPr>
        <w:id w:val="-98570388"/>
        <w:bibliography/>
      </w:sdtPr>
      <w:sdtEndPr/>
      <w:sdtContent>
        <w:p w14:paraId="07F49075" w14:textId="77777777" w:rsidR="007D0B70" w:rsidRPr="005D6D89" w:rsidRDefault="007D0B70" w:rsidP="007D0B70">
          <w:pPr>
            <w:pStyle w:val="References"/>
            <w:rPr>
              <w:rFonts w:cs="Arial"/>
            </w:rPr>
          </w:pPr>
          <w:r>
            <w:rPr>
              <w:rFonts w:cs="Arial"/>
            </w:rPr>
            <w:t xml:space="preserve">Cradock-Henry N </w:t>
          </w:r>
          <w:r w:rsidRPr="005D6D89">
            <w:rPr>
              <w:rFonts w:cs="Arial"/>
            </w:rPr>
            <w:t>A. (2017). New Zealand kiwifruit growers</w:t>
          </w:r>
          <w:r>
            <w:rPr>
              <w:rFonts w:cs="Arial"/>
            </w:rPr>
            <w:t>’</w:t>
          </w:r>
          <w:r w:rsidRPr="005D6D89">
            <w:rPr>
              <w:rFonts w:cs="Arial"/>
            </w:rPr>
            <w:t xml:space="preserve"> vulnerability to climate and other stressors. </w:t>
          </w:r>
          <w:r w:rsidRPr="005D6D89">
            <w:rPr>
              <w:rFonts w:cs="Arial"/>
              <w:i/>
              <w:iCs/>
            </w:rPr>
            <w:t>Reg Environ Change, 17</w:t>
          </w:r>
          <w:r w:rsidRPr="005D6D89">
            <w:rPr>
              <w:rFonts w:cs="Arial"/>
            </w:rPr>
            <w:t>, 245–259.</w:t>
          </w:r>
        </w:p>
        <w:p w14:paraId="4C568EAD" w14:textId="77777777" w:rsidR="007D0B70" w:rsidRPr="005D6D89" w:rsidRDefault="007D0B70" w:rsidP="007D0B70">
          <w:pPr>
            <w:pStyle w:val="References"/>
            <w:rPr>
              <w:rFonts w:cs="Arial"/>
            </w:rPr>
          </w:pPr>
          <w:r>
            <w:rPr>
              <w:rFonts w:cs="Arial"/>
            </w:rPr>
            <w:t>Cram</w:t>
          </w:r>
          <w:r w:rsidRPr="005D6D89">
            <w:rPr>
              <w:rFonts w:cs="Arial"/>
            </w:rPr>
            <w:t xml:space="preserve"> F. (2017). Kaupa</w:t>
          </w:r>
          <w:r>
            <w:rPr>
              <w:rFonts w:cs="Arial"/>
            </w:rPr>
            <w:t xml:space="preserve">pa Māori health research. In P </w:t>
          </w:r>
          <w:r w:rsidRPr="005D6D89">
            <w:rPr>
              <w:rFonts w:cs="Arial"/>
            </w:rPr>
            <w:t>Liamputtong (Ed.), </w:t>
          </w:r>
          <w:r w:rsidRPr="005D6D89">
            <w:rPr>
              <w:rFonts w:cs="Arial"/>
              <w:i/>
              <w:iCs/>
            </w:rPr>
            <w:t>Handbook of research methods in health and social sciences</w:t>
          </w:r>
          <w:r w:rsidRPr="005D6D89">
            <w:rPr>
              <w:rFonts w:cs="Arial"/>
            </w:rPr>
            <w:t>. Singapore: Springer.</w:t>
          </w:r>
        </w:p>
      </w:sdtContent>
    </w:sdt>
    <w:p w14:paraId="2FAC6933" w14:textId="77777777" w:rsidR="007D0B70" w:rsidRPr="005D6D89" w:rsidRDefault="007D0B70" w:rsidP="007D0B70">
      <w:pPr>
        <w:pStyle w:val="References"/>
        <w:rPr>
          <w:rFonts w:cs="Arial"/>
          <w:color w:val="000000" w:themeColor="text1"/>
        </w:rPr>
      </w:pPr>
      <w:r>
        <w:rPr>
          <w:rFonts w:cs="Arial"/>
        </w:rPr>
        <w:t>Crawford-Flett</w:t>
      </w:r>
      <w:r w:rsidRPr="005D6D89">
        <w:rPr>
          <w:rFonts w:cs="Arial"/>
        </w:rPr>
        <w:t xml:space="preserve"> K</w:t>
      </w:r>
      <w:r>
        <w:rPr>
          <w:rFonts w:cs="Arial"/>
        </w:rPr>
        <w:t xml:space="preserve">, Blake </w:t>
      </w:r>
      <w:r w:rsidRPr="005D6D89">
        <w:rPr>
          <w:rFonts w:cs="Arial"/>
        </w:rPr>
        <w:t>D</w:t>
      </w:r>
      <w:r>
        <w:rPr>
          <w:rFonts w:cs="Arial"/>
        </w:rPr>
        <w:t xml:space="preserve">, Pascoal </w:t>
      </w:r>
      <w:r w:rsidRPr="005D6D89">
        <w:rPr>
          <w:rFonts w:cs="Arial"/>
        </w:rPr>
        <w:t>E</w:t>
      </w:r>
      <w:r>
        <w:rPr>
          <w:rFonts w:cs="Arial"/>
        </w:rPr>
        <w:t xml:space="preserve"> and Wallace </w:t>
      </w:r>
      <w:r w:rsidRPr="005D6D89">
        <w:rPr>
          <w:rFonts w:cs="Arial"/>
        </w:rPr>
        <w:t xml:space="preserve">T. (2018). </w:t>
      </w:r>
      <w:r w:rsidRPr="005D6D89">
        <w:rPr>
          <w:rFonts w:cs="Arial"/>
          <w:i/>
          <w:iCs/>
        </w:rPr>
        <w:t>New Zealand Stopbank Networks: Understanding Resiliency Challenges</w:t>
      </w:r>
      <w:r w:rsidRPr="005D6D89">
        <w:rPr>
          <w:rFonts w:cs="Arial"/>
        </w:rPr>
        <w:t xml:space="preserve">. Retrieved from </w:t>
      </w:r>
      <w:hyperlink r:id="rId73" w:history="1">
        <w:r w:rsidRPr="005D6D89">
          <w:rPr>
            <w:rStyle w:val="Hyperlink"/>
          </w:rPr>
          <w:t>https://ir.canterbury.ac.nz/handle/10092/15991</w:t>
        </w:r>
      </w:hyperlink>
    </w:p>
    <w:p w14:paraId="044CA804" w14:textId="77777777" w:rsidR="007D0B70" w:rsidRPr="005D6D89" w:rsidRDefault="007D0B70" w:rsidP="007D0B70">
      <w:pPr>
        <w:pStyle w:val="References"/>
        <w:rPr>
          <w:rFonts w:cs="Arial"/>
          <w:color w:val="000000" w:themeColor="text1"/>
        </w:rPr>
      </w:pPr>
      <w:r>
        <w:rPr>
          <w:rFonts w:cs="Arial"/>
          <w:color w:val="000000" w:themeColor="text1"/>
        </w:rPr>
        <w:t xml:space="preserve">Cross E </w:t>
      </w:r>
      <w:r w:rsidRPr="005D6D89">
        <w:rPr>
          <w:rFonts w:cs="Arial"/>
          <w:color w:val="000000" w:themeColor="text1"/>
        </w:rPr>
        <w:t>L</w:t>
      </w:r>
      <w:r>
        <w:rPr>
          <w:rFonts w:cs="Arial"/>
          <w:color w:val="000000" w:themeColor="text1"/>
        </w:rPr>
        <w:t xml:space="preserve">, Peck L </w:t>
      </w:r>
      <w:r w:rsidRPr="005D6D89">
        <w:rPr>
          <w:rFonts w:cs="Arial"/>
          <w:color w:val="000000" w:themeColor="text1"/>
        </w:rPr>
        <w:t>S</w:t>
      </w:r>
      <w:r>
        <w:rPr>
          <w:rFonts w:cs="Arial"/>
          <w:color w:val="000000" w:themeColor="text1"/>
        </w:rPr>
        <w:t>, Lamare</w:t>
      </w:r>
      <w:r w:rsidRPr="005D6D89">
        <w:rPr>
          <w:rFonts w:cs="Arial"/>
          <w:color w:val="000000" w:themeColor="text1"/>
        </w:rPr>
        <w:t xml:space="preserve"> M D</w:t>
      </w:r>
      <w:r>
        <w:rPr>
          <w:rFonts w:cs="Arial"/>
          <w:color w:val="000000" w:themeColor="text1"/>
        </w:rPr>
        <w:t xml:space="preserve"> and</w:t>
      </w:r>
      <w:r w:rsidRPr="005D6D89">
        <w:rPr>
          <w:rFonts w:cs="Arial"/>
          <w:color w:val="000000" w:themeColor="text1"/>
        </w:rPr>
        <w:t xml:space="preserve"> Harper E M. (2016). </w:t>
      </w:r>
      <w:proofErr w:type="gramStart"/>
      <w:r w:rsidRPr="005D6D89">
        <w:rPr>
          <w:rFonts w:cs="Arial"/>
          <w:color w:val="000000" w:themeColor="text1"/>
        </w:rPr>
        <w:t>No ocean acidification effects</w:t>
      </w:r>
      <w:proofErr w:type="gramEnd"/>
      <w:r w:rsidRPr="005D6D89">
        <w:rPr>
          <w:rFonts w:cs="Arial"/>
          <w:color w:val="000000" w:themeColor="text1"/>
        </w:rPr>
        <w:t xml:space="preserve"> on shell growth and repair in the New Zealand brachiopod </w:t>
      </w:r>
      <w:r w:rsidRPr="00275498">
        <w:rPr>
          <w:rFonts w:cs="Arial"/>
          <w:i/>
          <w:color w:val="000000" w:themeColor="text1"/>
        </w:rPr>
        <w:t>Calloria inconspicua</w:t>
      </w:r>
      <w:r w:rsidRPr="005D6D89">
        <w:rPr>
          <w:rFonts w:cs="Arial"/>
          <w:color w:val="000000" w:themeColor="text1"/>
        </w:rPr>
        <w:t xml:space="preserve">. </w:t>
      </w:r>
      <w:r w:rsidRPr="005D6D89">
        <w:rPr>
          <w:rFonts w:cs="Arial"/>
          <w:i/>
          <w:iCs/>
          <w:color w:val="000000" w:themeColor="text1"/>
        </w:rPr>
        <w:t>ICES Journal of Marine Science, 73</w:t>
      </w:r>
      <w:r w:rsidRPr="005D6D89">
        <w:rPr>
          <w:rFonts w:cs="Arial"/>
          <w:color w:val="000000" w:themeColor="text1"/>
        </w:rPr>
        <w:t xml:space="preserve">(3), 920–926. </w:t>
      </w:r>
      <w:hyperlink r:id="rId74" w:history="1">
        <w:r w:rsidRPr="005D6D89">
          <w:rPr>
            <w:rStyle w:val="Hyperlink"/>
          </w:rPr>
          <w:t>https://doi.org./10.1093/icesjms/fsv031</w:t>
        </w:r>
      </w:hyperlink>
      <w:r w:rsidRPr="005D6D89">
        <w:rPr>
          <w:rFonts w:cs="Arial"/>
          <w:color w:val="000000" w:themeColor="text1"/>
        </w:rPr>
        <w:t xml:space="preserve"> </w:t>
      </w:r>
    </w:p>
    <w:p w14:paraId="0BD656CE" w14:textId="77777777" w:rsidR="007D0B70" w:rsidRPr="005D6D89" w:rsidRDefault="007D0B70" w:rsidP="007D0B70">
      <w:pPr>
        <w:pStyle w:val="References"/>
        <w:rPr>
          <w:rFonts w:cs="Arial"/>
          <w:color w:val="000000" w:themeColor="text1"/>
        </w:rPr>
      </w:pPr>
      <w:r>
        <w:rPr>
          <w:rFonts w:cs="Arial"/>
          <w:color w:val="000000" w:themeColor="text1"/>
          <w:lang w:eastAsia="en-AU"/>
        </w:rPr>
        <w:t>Cunsolo</w:t>
      </w:r>
      <w:r w:rsidRPr="005D6D89">
        <w:rPr>
          <w:rFonts w:cs="Arial"/>
          <w:color w:val="000000" w:themeColor="text1"/>
          <w:lang w:eastAsia="en-AU"/>
        </w:rPr>
        <w:t xml:space="preserve"> A</w:t>
      </w:r>
      <w:r>
        <w:rPr>
          <w:rFonts w:cs="Arial"/>
          <w:color w:val="000000" w:themeColor="text1"/>
          <w:lang w:eastAsia="en-AU"/>
        </w:rPr>
        <w:t xml:space="preserve"> and Ellis</w:t>
      </w:r>
      <w:r w:rsidRPr="005D6D89">
        <w:rPr>
          <w:rFonts w:cs="Arial"/>
          <w:color w:val="000000" w:themeColor="text1"/>
          <w:lang w:eastAsia="en-AU"/>
        </w:rPr>
        <w:t xml:space="preserve"> N. (2018). Ecological grief as a mental health response to climate change-related loss. </w:t>
      </w:r>
      <w:r w:rsidRPr="005D6D89">
        <w:rPr>
          <w:rFonts w:cs="Arial"/>
          <w:i/>
          <w:iCs/>
          <w:color w:val="000000" w:themeColor="text1"/>
          <w:lang w:eastAsia="en-AU"/>
        </w:rPr>
        <w:t>Nature Climate Change</w:t>
      </w:r>
      <w:r w:rsidRPr="005D6D89">
        <w:rPr>
          <w:rFonts w:cs="Arial"/>
          <w:color w:val="000000" w:themeColor="text1"/>
          <w:lang w:eastAsia="en-AU"/>
        </w:rPr>
        <w:t>, 8.</w:t>
      </w:r>
    </w:p>
    <w:p w14:paraId="38CCDCE7" w14:textId="77777777" w:rsidR="007D0B70" w:rsidRPr="005D6D89" w:rsidRDefault="007D0B70" w:rsidP="007D0B70">
      <w:pPr>
        <w:pStyle w:val="References"/>
        <w:rPr>
          <w:rFonts w:cs="Arial"/>
          <w:color w:val="000000" w:themeColor="text1"/>
        </w:rPr>
      </w:pPr>
      <w:r w:rsidRPr="005D6D89">
        <w:rPr>
          <w:rFonts w:cs="Arial"/>
          <w:color w:val="000000" w:themeColor="text1"/>
        </w:rPr>
        <w:t>Cutter S</w:t>
      </w:r>
      <w:r>
        <w:rPr>
          <w:rFonts w:cs="Arial"/>
          <w:color w:val="000000" w:themeColor="text1"/>
        </w:rPr>
        <w:t xml:space="preserve"> L and</w:t>
      </w:r>
      <w:r w:rsidRPr="005D6D89">
        <w:rPr>
          <w:rFonts w:cs="Arial"/>
          <w:color w:val="000000" w:themeColor="text1"/>
        </w:rPr>
        <w:t xml:space="preserve"> Finch C</w:t>
      </w:r>
      <w:r>
        <w:rPr>
          <w:rFonts w:cs="Arial"/>
          <w:color w:val="000000" w:themeColor="text1"/>
        </w:rPr>
        <w:t>.</w:t>
      </w:r>
      <w:r w:rsidRPr="005D6D89">
        <w:rPr>
          <w:rFonts w:cs="Arial"/>
          <w:color w:val="000000" w:themeColor="text1"/>
        </w:rPr>
        <w:t xml:space="preserve"> (2008) Temporal and spatial changes in social vulnerability to natural hazards. </w:t>
      </w:r>
      <w:r w:rsidRPr="005D6D89">
        <w:rPr>
          <w:rFonts w:cs="Arial"/>
          <w:i/>
          <w:iCs/>
          <w:color w:val="000000" w:themeColor="text1"/>
        </w:rPr>
        <w:t>PNAS</w:t>
      </w:r>
      <w:r w:rsidRPr="005D6D89">
        <w:rPr>
          <w:rFonts w:cs="Arial"/>
          <w:color w:val="000000" w:themeColor="text1"/>
        </w:rPr>
        <w:t xml:space="preserve"> 7(105): 2301–2306. </w:t>
      </w:r>
      <w:hyperlink r:id="rId75" w:history="1">
        <w:r w:rsidRPr="005D6D89">
          <w:rPr>
            <w:rStyle w:val="Hyperlink"/>
          </w:rPr>
          <w:t>https://doi:10.1073/pnas.0710375105</w:t>
        </w:r>
      </w:hyperlink>
    </w:p>
    <w:p w14:paraId="26434902" w14:textId="77777777" w:rsidR="007D0B70" w:rsidRPr="005D6D89" w:rsidRDefault="007D0B70" w:rsidP="007D0B70">
      <w:pPr>
        <w:pStyle w:val="References"/>
        <w:rPr>
          <w:rFonts w:cs="Arial"/>
          <w:color w:val="000000" w:themeColor="text1"/>
        </w:rPr>
      </w:pPr>
      <w:r>
        <w:rPr>
          <w:rFonts w:cs="Arial"/>
          <w:color w:val="000000" w:themeColor="text1"/>
        </w:rPr>
        <w:t xml:space="preserve">Dafermos </w:t>
      </w:r>
      <w:r w:rsidRPr="005D6D89">
        <w:rPr>
          <w:rFonts w:cs="Arial"/>
          <w:color w:val="000000" w:themeColor="text1"/>
        </w:rPr>
        <w:t>Y</w:t>
      </w:r>
      <w:r>
        <w:rPr>
          <w:rFonts w:cs="Arial"/>
          <w:color w:val="000000" w:themeColor="text1"/>
        </w:rPr>
        <w:t>, Nikolaidi</w:t>
      </w:r>
      <w:r w:rsidRPr="005D6D89">
        <w:rPr>
          <w:rFonts w:cs="Arial"/>
          <w:color w:val="000000" w:themeColor="text1"/>
        </w:rPr>
        <w:t xml:space="preserve"> M</w:t>
      </w:r>
      <w:r>
        <w:rPr>
          <w:rFonts w:cs="Arial"/>
          <w:color w:val="000000" w:themeColor="text1"/>
        </w:rPr>
        <w:t xml:space="preserve"> and Galanis</w:t>
      </w:r>
      <w:r w:rsidRPr="005D6D89">
        <w:rPr>
          <w:rFonts w:cs="Arial"/>
          <w:color w:val="000000" w:themeColor="text1"/>
        </w:rPr>
        <w:t xml:space="preserve"> G. (2018). Climate Change, Financial Stability and Monetary Policy, </w:t>
      </w:r>
      <w:r w:rsidRPr="005D6D89">
        <w:rPr>
          <w:rFonts w:cs="Arial"/>
          <w:i/>
          <w:iCs/>
          <w:color w:val="000000" w:themeColor="text1"/>
        </w:rPr>
        <w:t>Ecological Economics</w:t>
      </w:r>
      <w:r w:rsidRPr="005D6D89">
        <w:rPr>
          <w:rFonts w:cs="Arial"/>
          <w:color w:val="000000" w:themeColor="text1"/>
        </w:rPr>
        <w:t>, 152, 219–234.</w:t>
      </w:r>
    </w:p>
    <w:p w14:paraId="7E54A950" w14:textId="77777777" w:rsidR="007D0B70" w:rsidRPr="005D6D89" w:rsidRDefault="007D0B70" w:rsidP="007D0B70">
      <w:pPr>
        <w:pStyle w:val="References"/>
        <w:rPr>
          <w:rFonts w:cs="Arial"/>
          <w:color w:val="000000" w:themeColor="text1"/>
          <w:lang w:eastAsia="en-AU"/>
        </w:rPr>
      </w:pPr>
      <w:r>
        <w:rPr>
          <w:rFonts w:cs="Arial"/>
          <w:color w:val="000000" w:themeColor="text1"/>
          <w:lang w:eastAsia="en-AU"/>
        </w:rPr>
        <w:t>Daysh</w:t>
      </w:r>
      <w:r w:rsidRPr="005D6D89">
        <w:rPr>
          <w:rFonts w:cs="Arial"/>
          <w:color w:val="000000" w:themeColor="text1"/>
          <w:lang w:eastAsia="en-AU"/>
        </w:rPr>
        <w:t xml:space="preserve"> M. (2018). </w:t>
      </w:r>
      <w:r w:rsidRPr="005D6D89">
        <w:rPr>
          <w:rFonts w:cs="Arial"/>
          <w:i/>
          <w:iCs/>
          <w:color w:val="000000" w:themeColor="text1"/>
          <w:lang w:eastAsia="en-AU"/>
        </w:rPr>
        <w:t>Report of the northern a</w:t>
      </w:r>
      <w:r>
        <w:rPr>
          <w:rFonts w:cs="Arial"/>
          <w:i/>
          <w:iCs/>
          <w:color w:val="000000" w:themeColor="text1"/>
          <w:lang w:eastAsia="en-AU"/>
        </w:rPr>
        <w:t>nd southern cell assessment p</w:t>
      </w:r>
      <w:r w:rsidRPr="005D6D89">
        <w:rPr>
          <w:rFonts w:cs="Arial"/>
          <w:i/>
          <w:iCs/>
          <w:color w:val="000000" w:themeColor="text1"/>
          <w:lang w:eastAsia="en-AU"/>
        </w:rPr>
        <w:t>anels. Final Report, Clifton to Tangoio Coastal Hazards Strategy 2120</w:t>
      </w:r>
      <w:r w:rsidRPr="005D6D89">
        <w:rPr>
          <w:rFonts w:cs="Arial"/>
          <w:color w:val="000000" w:themeColor="text1"/>
          <w:lang w:eastAsia="en-AU"/>
        </w:rPr>
        <w:t>.</w:t>
      </w:r>
    </w:p>
    <w:p w14:paraId="10F06F3B" w14:textId="77777777" w:rsidR="007D0B70" w:rsidRPr="005D6D89" w:rsidRDefault="007D0B70" w:rsidP="007D0B70">
      <w:pPr>
        <w:pStyle w:val="References"/>
        <w:rPr>
          <w:rFonts w:cs="Arial"/>
          <w:color w:val="000000" w:themeColor="text1"/>
        </w:rPr>
      </w:pPr>
      <w:r>
        <w:rPr>
          <w:rFonts w:cs="Arial"/>
          <w:color w:val="000000" w:themeColor="text1"/>
        </w:rPr>
        <w:t xml:space="preserve">Davie G </w:t>
      </w:r>
      <w:r w:rsidRPr="005D6D89">
        <w:rPr>
          <w:rFonts w:cs="Arial"/>
          <w:color w:val="000000" w:themeColor="text1"/>
        </w:rPr>
        <w:t>S</w:t>
      </w:r>
      <w:r>
        <w:rPr>
          <w:rFonts w:cs="Arial"/>
          <w:color w:val="000000" w:themeColor="text1"/>
        </w:rPr>
        <w:t xml:space="preserve">, Baker M </w:t>
      </w:r>
      <w:r w:rsidRPr="005D6D89">
        <w:rPr>
          <w:rFonts w:cs="Arial"/>
          <w:color w:val="000000" w:themeColor="text1"/>
        </w:rPr>
        <w:t>G</w:t>
      </w:r>
      <w:r>
        <w:rPr>
          <w:rFonts w:cs="Arial"/>
          <w:color w:val="000000" w:themeColor="text1"/>
        </w:rPr>
        <w:t>, Hales</w:t>
      </w:r>
      <w:r w:rsidRPr="005D6D89">
        <w:rPr>
          <w:rFonts w:cs="Arial"/>
          <w:color w:val="000000" w:themeColor="text1"/>
        </w:rPr>
        <w:t xml:space="preserve"> S</w:t>
      </w:r>
      <w:r>
        <w:rPr>
          <w:rFonts w:cs="Arial"/>
          <w:color w:val="000000" w:themeColor="text1"/>
        </w:rPr>
        <w:t xml:space="preserve"> and Carlin J </w:t>
      </w:r>
      <w:r w:rsidRPr="005D6D89">
        <w:rPr>
          <w:rFonts w:cs="Arial"/>
          <w:color w:val="000000" w:themeColor="text1"/>
        </w:rPr>
        <w:t xml:space="preserve">B. (2007). Trends and determinants of excess winter mortality in New Zealand: 1980 to 2000. </w:t>
      </w:r>
      <w:r w:rsidRPr="005D6D89">
        <w:rPr>
          <w:rFonts w:cs="Arial"/>
          <w:i/>
          <w:iCs/>
          <w:color w:val="000000" w:themeColor="text1"/>
        </w:rPr>
        <w:t>BMC Public Health, 7</w:t>
      </w:r>
      <w:r w:rsidRPr="005D6D89">
        <w:rPr>
          <w:rFonts w:cs="Arial"/>
          <w:color w:val="000000" w:themeColor="text1"/>
        </w:rPr>
        <w:t>(263).</w:t>
      </w:r>
    </w:p>
    <w:p w14:paraId="72E7E600" w14:textId="77777777" w:rsidR="007D0B70" w:rsidRPr="005D6D89" w:rsidRDefault="007D0B70" w:rsidP="007D0B70">
      <w:pPr>
        <w:pStyle w:val="References"/>
        <w:rPr>
          <w:rFonts w:cs="Arial"/>
          <w:color w:val="000000" w:themeColor="text1"/>
        </w:rPr>
      </w:pPr>
      <w:r w:rsidRPr="005D6D89">
        <w:rPr>
          <w:rFonts w:cs="Arial"/>
          <w:color w:val="000000" w:themeColor="text1"/>
        </w:rPr>
        <w:t xml:space="preserve">Deep South Challenge. (2017, October). </w:t>
      </w:r>
      <w:r w:rsidRPr="005D6D89">
        <w:rPr>
          <w:rFonts w:cs="Arial"/>
          <w:i/>
          <w:iCs/>
          <w:color w:val="000000" w:themeColor="text1"/>
        </w:rPr>
        <w:t>New Zealand</w:t>
      </w:r>
      <w:r>
        <w:rPr>
          <w:rFonts w:cs="Arial"/>
          <w:i/>
          <w:iCs/>
          <w:color w:val="000000" w:themeColor="text1"/>
        </w:rPr>
        <w:t>’</w:t>
      </w:r>
      <w:r w:rsidRPr="005D6D89">
        <w:rPr>
          <w:rFonts w:cs="Arial"/>
          <w:i/>
          <w:iCs/>
          <w:color w:val="000000" w:themeColor="text1"/>
        </w:rPr>
        <w:t>s water systems particularly vulnerable to climate change</w:t>
      </w:r>
      <w:r w:rsidRPr="005D6D89">
        <w:rPr>
          <w:rFonts w:cs="Arial"/>
          <w:color w:val="000000" w:themeColor="text1"/>
        </w:rPr>
        <w:t xml:space="preserve">. Retrieved from Deep South National Science Challenge: </w:t>
      </w:r>
      <w:hyperlink r:id="rId76" w:history="1">
        <w:r w:rsidRPr="005D6D89">
          <w:rPr>
            <w:rStyle w:val="Hyperlink"/>
          </w:rPr>
          <w:t>https://www.deepsouthchallenge.co.nz/news-updates/new-zealands-water-systems-particularly-vulnerable-climate-change</w:t>
        </w:r>
      </w:hyperlink>
      <w:r w:rsidRPr="005D6D89">
        <w:rPr>
          <w:rFonts w:cs="Arial"/>
          <w:color w:val="000000" w:themeColor="text1"/>
        </w:rPr>
        <w:t xml:space="preserve"> </w:t>
      </w:r>
    </w:p>
    <w:p w14:paraId="456F7759" w14:textId="77777777" w:rsidR="007D0B70" w:rsidRPr="005D6D89" w:rsidRDefault="007D0B70" w:rsidP="007D0B70">
      <w:pPr>
        <w:pStyle w:val="References"/>
        <w:rPr>
          <w:rFonts w:cs="Arial"/>
        </w:rPr>
      </w:pPr>
      <w:r w:rsidRPr="005D6D89">
        <w:rPr>
          <w:rFonts w:cs="Arial"/>
        </w:rPr>
        <w:t xml:space="preserve">Deloitte Access Economics. (2013). </w:t>
      </w:r>
      <w:r w:rsidRPr="005D6D89">
        <w:rPr>
          <w:rFonts w:cs="Arial"/>
          <w:i/>
          <w:iCs/>
        </w:rPr>
        <w:t>Building our nation</w:t>
      </w:r>
      <w:r>
        <w:rPr>
          <w:rFonts w:cs="Arial"/>
          <w:i/>
          <w:iCs/>
        </w:rPr>
        <w:t>’</w:t>
      </w:r>
      <w:r w:rsidRPr="005D6D89">
        <w:rPr>
          <w:rFonts w:cs="Arial"/>
          <w:i/>
          <w:iCs/>
        </w:rPr>
        <w:t>s resilience to natural disasters</w:t>
      </w:r>
      <w:r w:rsidRPr="005D6D89">
        <w:rPr>
          <w:rFonts w:cs="Arial"/>
        </w:rPr>
        <w:t>.</w:t>
      </w:r>
    </w:p>
    <w:p w14:paraId="60427A28" w14:textId="77777777" w:rsidR="007D0B70" w:rsidRPr="005D6D89" w:rsidRDefault="007D0B70" w:rsidP="007D0B70">
      <w:pPr>
        <w:pStyle w:val="References"/>
        <w:rPr>
          <w:rFonts w:cs="Arial"/>
        </w:rPr>
      </w:pPr>
      <w:r w:rsidRPr="005D6D89">
        <w:rPr>
          <w:rFonts w:cs="Arial"/>
        </w:rPr>
        <w:t xml:space="preserve">Department of Building and Housing. (2006). </w:t>
      </w:r>
      <w:r w:rsidRPr="005D6D89">
        <w:rPr>
          <w:rFonts w:cs="Arial"/>
          <w:i/>
          <w:iCs/>
        </w:rPr>
        <w:t>External moisture – An introduction to weathertightness design principles</w:t>
      </w:r>
      <w:r w:rsidRPr="005D6D89">
        <w:rPr>
          <w:rFonts w:cs="Arial"/>
        </w:rPr>
        <w:t>. Wellington: Department of Building and Housing.</w:t>
      </w:r>
    </w:p>
    <w:p w14:paraId="71552ECA" w14:textId="77777777" w:rsidR="007D0B70" w:rsidRPr="005D6D89" w:rsidRDefault="007D0B70" w:rsidP="007D0B70">
      <w:pPr>
        <w:pStyle w:val="References"/>
        <w:rPr>
          <w:rFonts w:cs="Arial"/>
          <w:color w:val="000000" w:themeColor="text1"/>
        </w:rPr>
      </w:pPr>
      <w:r w:rsidRPr="005D6D89">
        <w:rPr>
          <w:rFonts w:cs="Arial"/>
        </w:rPr>
        <w:t xml:space="preserve">Department of Conservation. (2019). </w:t>
      </w:r>
      <w:r>
        <w:rPr>
          <w:rFonts w:cs="Arial"/>
          <w:i/>
          <w:iCs/>
        </w:rPr>
        <w:t>Protecting taonga s</w:t>
      </w:r>
      <w:r w:rsidRPr="005D6D89">
        <w:rPr>
          <w:rFonts w:cs="Arial"/>
          <w:i/>
          <w:iCs/>
        </w:rPr>
        <w:t>pecies</w:t>
      </w:r>
      <w:r w:rsidRPr="005D6D89">
        <w:rPr>
          <w:rFonts w:cs="Arial"/>
        </w:rPr>
        <w:t>. Retrieved from Department of Conservation</w:t>
      </w:r>
      <w:r>
        <w:rPr>
          <w:rFonts w:cs="Arial"/>
        </w:rPr>
        <w:t>.</w:t>
      </w:r>
    </w:p>
    <w:p w14:paraId="6BF0E88D" w14:textId="77777777" w:rsidR="007D0B70" w:rsidRPr="005D6D89" w:rsidRDefault="007D0B70" w:rsidP="007D0B70">
      <w:pPr>
        <w:pStyle w:val="References"/>
        <w:rPr>
          <w:rStyle w:val="Hyperlink"/>
          <w:rFonts w:cs="Arial"/>
          <w:color w:val="000000" w:themeColor="text1"/>
        </w:rPr>
      </w:pPr>
      <w:r w:rsidRPr="005D6D89">
        <w:rPr>
          <w:rFonts w:cs="Arial"/>
        </w:rPr>
        <w:t xml:space="preserve">Department of Conservation. (2020). </w:t>
      </w:r>
      <w:r w:rsidRPr="005D6D89">
        <w:rPr>
          <w:rFonts w:cs="Arial"/>
          <w:i/>
          <w:iCs/>
        </w:rPr>
        <w:t>New Zealand biodiversity – a hotspot</w:t>
      </w:r>
      <w:r w:rsidRPr="005D6D89">
        <w:rPr>
          <w:rFonts w:cs="Arial"/>
        </w:rPr>
        <w:t xml:space="preserve">. Retrieved from Department of Conservation: </w:t>
      </w:r>
      <w:hyperlink r:id="rId77" w:history="1">
        <w:r w:rsidRPr="005D6D89">
          <w:rPr>
            <w:rStyle w:val="Hyperlink"/>
          </w:rPr>
          <w:t>https://www.doc.govt.nz/nature/biodiversity/nz-biodiversity-strategy-and-action-plan/new-zealand-biodiversity-action-plan/new-zealand--a-biodiversity-hotspot/</w:t>
        </w:r>
      </w:hyperlink>
    </w:p>
    <w:p w14:paraId="14165C17" w14:textId="77777777" w:rsidR="007D0B70" w:rsidRPr="005D6D89" w:rsidRDefault="007D0B70" w:rsidP="007D0B70">
      <w:pPr>
        <w:pStyle w:val="References"/>
        <w:rPr>
          <w:rStyle w:val="Hyperlink"/>
          <w:rFonts w:cs="Arial"/>
          <w:color w:val="000000" w:themeColor="text1"/>
        </w:rPr>
      </w:pPr>
      <w:r w:rsidRPr="005D6D89">
        <w:rPr>
          <w:color w:val="000000" w:themeColor="text1"/>
        </w:rPr>
        <w:t>Department of Conservation. (</w:t>
      </w:r>
      <w:proofErr w:type="gramStart"/>
      <w:r>
        <w:rPr>
          <w:color w:val="000000" w:themeColor="text1"/>
        </w:rPr>
        <w:t>nd</w:t>
      </w:r>
      <w:proofErr w:type="gramEnd"/>
      <w:r w:rsidRPr="005D6D89">
        <w:rPr>
          <w:color w:val="000000" w:themeColor="text1"/>
        </w:rPr>
        <w:t xml:space="preserve">). </w:t>
      </w:r>
      <w:r>
        <w:rPr>
          <w:i/>
          <w:iCs/>
          <w:color w:val="000000" w:themeColor="text1"/>
        </w:rPr>
        <w:t>Pests and t</w:t>
      </w:r>
      <w:r w:rsidRPr="005D6D89">
        <w:rPr>
          <w:i/>
          <w:iCs/>
          <w:color w:val="000000" w:themeColor="text1"/>
        </w:rPr>
        <w:t>hreats</w:t>
      </w:r>
      <w:r w:rsidRPr="005D6D89">
        <w:rPr>
          <w:color w:val="000000" w:themeColor="text1"/>
        </w:rPr>
        <w:t xml:space="preserve">. Retrieved March 25, 2020, from Department of Conservation | Te Papa Atawhai: </w:t>
      </w:r>
      <w:hyperlink r:id="rId78" w:history="1">
        <w:r w:rsidRPr="005D6D89">
          <w:rPr>
            <w:rStyle w:val="Hyperlink"/>
          </w:rPr>
          <w:t>https://www.doc.govt.nz/nature/pests-and-threats/</w:t>
        </w:r>
      </w:hyperlink>
      <w:r w:rsidRPr="005D6D89">
        <w:rPr>
          <w:color w:val="000000" w:themeColor="text1"/>
        </w:rPr>
        <w:t xml:space="preserve"> </w:t>
      </w:r>
    </w:p>
    <w:p w14:paraId="38D7A35D" w14:textId="77777777" w:rsidR="007D0B70" w:rsidRPr="005D6D89" w:rsidRDefault="007D0B70" w:rsidP="007D0B70">
      <w:pPr>
        <w:pStyle w:val="References"/>
        <w:rPr>
          <w:rFonts w:cs="Arial"/>
        </w:rPr>
      </w:pPr>
      <w:r w:rsidRPr="005D6D89">
        <w:rPr>
          <w:rFonts w:cs="Arial"/>
        </w:rPr>
        <w:t xml:space="preserve">Department of Internal Affairs [DIA.] (2017). </w:t>
      </w:r>
      <w:r w:rsidRPr="005D6D89">
        <w:rPr>
          <w:rFonts w:cs="Arial"/>
          <w:i/>
          <w:iCs/>
        </w:rPr>
        <w:t>Report of the Havelock North Drinking Water Enquiry: Phase 2</w:t>
      </w:r>
      <w:r w:rsidRPr="005D6D89">
        <w:rPr>
          <w:rFonts w:cs="Arial"/>
        </w:rPr>
        <w:t xml:space="preserve">. Department of Internal </w:t>
      </w:r>
      <w:r w:rsidRPr="00EA68DC">
        <w:rPr>
          <w:rFonts w:cs="Arial"/>
        </w:rPr>
        <w:t>Affairs</w:t>
      </w:r>
      <w:r w:rsidRPr="005D6D89">
        <w:rPr>
          <w:rFonts w:cs="Arial"/>
        </w:rPr>
        <w:t>.</w:t>
      </w:r>
    </w:p>
    <w:p w14:paraId="43A30BCA" w14:textId="77777777" w:rsidR="007D0B70" w:rsidRPr="005D6D89" w:rsidRDefault="007D0B70" w:rsidP="007D0B70">
      <w:pPr>
        <w:pStyle w:val="References"/>
      </w:pPr>
      <w:r w:rsidRPr="005D6D89">
        <w:rPr>
          <w:rFonts w:cs="Arial"/>
        </w:rPr>
        <w:t xml:space="preserve">Department of Internal Affairs [DIA.] (2018). </w:t>
      </w:r>
      <w:r w:rsidRPr="005D6D89">
        <w:rPr>
          <w:rFonts w:cs="Arial"/>
          <w:i/>
          <w:iCs/>
        </w:rPr>
        <w:t>Three Waters Review</w:t>
      </w:r>
      <w:r w:rsidRPr="005D6D89">
        <w:rPr>
          <w:rFonts w:cs="Arial"/>
        </w:rPr>
        <w:t>.</w:t>
      </w:r>
    </w:p>
    <w:p w14:paraId="61081887" w14:textId="77777777" w:rsidR="007D0B70" w:rsidRPr="005D6D89" w:rsidRDefault="007D0B70" w:rsidP="007D0B70">
      <w:pPr>
        <w:pStyle w:val="References"/>
        <w:rPr>
          <w:rFonts w:cs="Arial"/>
        </w:rPr>
      </w:pPr>
      <w:r>
        <w:rPr>
          <w:rFonts w:cs="Arial"/>
        </w:rPr>
        <w:t xml:space="preserve">Derraik J G </w:t>
      </w:r>
      <w:r w:rsidRPr="005D6D89">
        <w:rPr>
          <w:rFonts w:cs="Arial"/>
        </w:rPr>
        <w:t>B</w:t>
      </w:r>
      <w:r>
        <w:rPr>
          <w:rFonts w:cs="Arial"/>
        </w:rPr>
        <w:t xml:space="preserve"> and Slaney </w:t>
      </w:r>
      <w:r w:rsidRPr="005D6D89">
        <w:rPr>
          <w:rFonts w:cs="Arial"/>
        </w:rPr>
        <w:t xml:space="preserve">D. (2007). Anthropogenic environmental change, mosquito-borne diseases and human health in New Zealand. </w:t>
      </w:r>
      <w:r w:rsidRPr="005D6D89">
        <w:rPr>
          <w:rFonts w:cs="Arial"/>
          <w:i/>
          <w:iCs/>
        </w:rPr>
        <w:t>EcoHealth</w:t>
      </w:r>
      <w:r w:rsidRPr="005D6D89">
        <w:rPr>
          <w:rFonts w:cs="Arial"/>
        </w:rPr>
        <w:t xml:space="preserve">, 4(1), 72–81. </w:t>
      </w:r>
    </w:p>
    <w:p w14:paraId="0EA1CC36" w14:textId="77777777" w:rsidR="007D0B70" w:rsidRPr="005D6D89" w:rsidRDefault="007D0B70" w:rsidP="007D0B70">
      <w:pPr>
        <w:pStyle w:val="References"/>
        <w:rPr>
          <w:rFonts w:cs="Arial"/>
        </w:rPr>
      </w:pPr>
      <w:r w:rsidRPr="005D6D89">
        <w:rPr>
          <w:rFonts w:cs="Arial"/>
          <w:lang w:eastAsia="en-AU"/>
        </w:rPr>
        <w:t>Dittrich R</w:t>
      </w:r>
      <w:r>
        <w:rPr>
          <w:rFonts w:cs="Arial"/>
          <w:lang w:eastAsia="en-AU"/>
        </w:rPr>
        <w:t xml:space="preserve">, Wreford A and Moran </w:t>
      </w:r>
      <w:r w:rsidRPr="005D6D89">
        <w:rPr>
          <w:rFonts w:cs="Arial"/>
          <w:lang w:eastAsia="en-AU"/>
        </w:rPr>
        <w:t xml:space="preserve">D. (2016). A survey of decision-making approaches for climate change adaptation: Are robust methods the way forward? </w:t>
      </w:r>
      <w:r w:rsidRPr="005D6D89">
        <w:rPr>
          <w:rFonts w:cs="Arial"/>
          <w:i/>
          <w:iCs/>
          <w:lang w:eastAsia="en-AU"/>
        </w:rPr>
        <w:t>Ecological Economics</w:t>
      </w:r>
      <w:r w:rsidRPr="005D6D89">
        <w:rPr>
          <w:rFonts w:cs="Arial"/>
          <w:lang w:eastAsia="en-AU"/>
        </w:rPr>
        <w:t>, 122, 79–89.</w:t>
      </w:r>
    </w:p>
    <w:p w14:paraId="7023ECEF" w14:textId="77777777" w:rsidR="007D0B70" w:rsidRPr="005D6D89" w:rsidRDefault="007D0B70" w:rsidP="007D0B70">
      <w:pPr>
        <w:pStyle w:val="References"/>
        <w:rPr>
          <w:rFonts w:cs="Arial"/>
        </w:rPr>
      </w:pPr>
      <w:r w:rsidRPr="005D6D89">
        <w:rPr>
          <w:rFonts w:cs="Arial"/>
        </w:rPr>
        <w:t>Doman</w:t>
      </w:r>
      <w:r>
        <w:rPr>
          <w:rFonts w:cs="Arial"/>
        </w:rPr>
        <w:t>ski</w:t>
      </w:r>
      <w:r w:rsidRPr="005D6D89">
        <w:rPr>
          <w:rFonts w:cs="Arial"/>
        </w:rPr>
        <w:t xml:space="preserve"> D</w:t>
      </w:r>
      <w:r>
        <w:rPr>
          <w:rFonts w:cs="Arial"/>
        </w:rPr>
        <w:t xml:space="preserve"> and</w:t>
      </w:r>
      <w:r w:rsidRPr="005D6D89">
        <w:rPr>
          <w:rFonts w:cs="Arial"/>
        </w:rPr>
        <w:t xml:space="preserve"> Zabai A. (2016). Wealth inequality and monetary policy. </w:t>
      </w:r>
      <w:r w:rsidRPr="005D6D89">
        <w:rPr>
          <w:rFonts w:cs="Arial"/>
          <w:i/>
          <w:iCs/>
        </w:rPr>
        <w:t>BIS Quarterly Review</w:t>
      </w:r>
      <w:r w:rsidRPr="005D6D89">
        <w:rPr>
          <w:rFonts w:cs="Arial"/>
        </w:rPr>
        <w:t>, March, 45–64.</w:t>
      </w:r>
    </w:p>
    <w:p w14:paraId="2D458B4E" w14:textId="77777777" w:rsidR="007D0B70" w:rsidRPr="005D6D89" w:rsidRDefault="007D0B70" w:rsidP="007D0B70">
      <w:pPr>
        <w:pStyle w:val="References"/>
        <w:rPr>
          <w:rFonts w:cs="Arial"/>
        </w:rPr>
      </w:pPr>
      <w:r w:rsidRPr="005D6D89">
        <w:rPr>
          <w:rFonts w:cs="Arial"/>
        </w:rPr>
        <w:t>Eakin H</w:t>
      </w:r>
      <w:r>
        <w:rPr>
          <w:rFonts w:cs="Arial"/>
        </w:rPr>
        <w:t>, Winkels A and Sendzimir</w:t>
      </w:r>
      <w:r w:rsidRPr="005D6D89">
        <w:rPr>
          <w:rFonts w:cs="Arial"/>
        </w:rPr>
        <w:t xml:space="preserve"> J. (2009). Nested vulnerability: exploring cross-scale linkages and vulnerability teleconnections in Mexican and Vietnamese coffee systems. </w:t>
      </w:r>
      <w:r w:rsidRPr="005D6D89">
        <w:rPr>
          <w:rFonts w:cs="Arial"/>
          <w:i/>
          <w:iCs/>
        </w:rPr>
        <w:t>Environmental Science and Policy</w:t>
      </w:r>
      <w:r w:rsidRPr="005D6D89">
        <w:rPr>
          <w:rFonts w:cs="Arial"/>
        </w:rPr>
        <w:t>, 12, 398–412.</w:t>
      </w:r>
    </w:p>
    <w:p w14:paraId="5FFDFA30" w14:textId="77777777" w:rsidR="007D0B70" w:rsidRPr="005D6D89" w:rsidRDefault="007D0B70" w:rsidP="007D0B70">
      <w:pPr>
        <w:pStyle w:val="References"/>
        <w:rPr>
          <w:rFonts w:cs="Arial"/>
        </w:rPr>
      </w:pPr>
      <w:r w:rsidRPr="005D6D89">
        <w:rPr>
          <w:rFonts w:cs="Arial"/>
        </w:rPr>
        <w:t xml:space="preserve">Electricity Authority. (2018). </w:t>
      </w:r>
      <w:r>
        <w:rPr>
          <w:rFonts w:cs="Arial"/>
          <w:i/>
          <w:iCs/>
        </w:rPr>
        <w:t>High-level implications of climate change on electricity security of s</w:t>
      </w:r>
      <w:r w:rsidRPr="005D6D89">
        <w:rPr>
          <w:rFonts w:cs="Arial"/>
          <w:i/>
          <w:iCs/>
        </w:rPr>
        <w:t>upply</w:t>
      </w:r>
      <w:r w:rsidRPr="005D6D89">
        <w:rPr>
          <w:rFonts w:cs="Arial"/>
        </w:rPr>
        <w:t xml:space="preserve">. </w:t>
      </w:r>
    </w:p>
    <w:p w14:paraId="2D73EEE3" w14:textId="77777777" w:rsidR="007D0B70" w:rsidRPr="005D6D89" w:rsidRDefault="007D0B70" w:rsidP="007D0B70">
      <w:pPr>
        <w:pStyle w:val="References"/>
        <w:rPr>
          <w:rFonts w:cs="Arial"/>
        </w:rPr>
      </w:pPr>
      <w:r>
        <w:rPr>
          <w:rFonts w:cstheme="minorHAnsi"/>
          <w:color w:val="1A1A1A"/>
        </w:rPr>
        <w:t>Ellis</w:t>
      </w:r>
      <w:r w:rsidRPr="005D6D89">
        <w:rPr>
          <w:rFonts w:cstheme="minorHAnsi"/>
          <w:color w:val="1A1A1A"/>
        </w:rPr>
        <w:t xml:space="preserve"> L. (2018). </w:t>
      </w:r>
      <w:r>
        <w:rPr>
          <w:rFonts w:cstheme="minorHAnsi"/>
          <w:i/>
          <w:iCs/>
          <w:color w:val="1A1A1A"/>
        </w:rPr>
        <w:t>H</w:t>
      </w:r>
      <w:r w:rsidRPr="005D6D89">
        <w:rPr>
          <w:rFonts w:cstheme="minorHAnsi"/>
          <w:i/>
          <w:iCs/>
          <w:color w:val="1A1A1A"/>
        </w:rPr>
        <w:t xml:space="preserve">ow </w:t>
      </w:r>
      <w:proofErr w:type="gramStart"/>
      <w:r w:rsidRPr="005D6D89">
        <w:rPr>
          <w:rFonts w:cstheme="minorHAnsi"/>
          <w:i/>
          <w:iCs/>
          <w:color w:val="1A1A1A"/>
        </w:rPr>
        <w:t>should the risks of sea-level rise be shared</w:t>
      </w:r>
      <w:proofErr w:type="gramEnd"/>
      <w:r w:rsidRPr="005D6D89">
        <w:rPr>
          <w:rFonts w:cstheme="minorHAnsi"/>
          <w:i/>
          <w:iCs/>
          <w:color w:val="1A1A1A"/>
        </w:rPr>
        <w:t>?</w:t>
      </w:r>
      <w:r w:rsidRPr="005D6D89">
        <w:rPr>
          <w:rFonts w:cstheme="minorHAnsi"/>
          <w:color w:val="1A1A1A"/>
        </w:rPr>
        <w:t xml:space="preserve"> Discussion document for Deep South National Science Challenge, NIWA, Wellington.</w:t>
      </w:r>
    </w:p>
    <w:p w14:paraId="53A04013" w14:textId="77777777" w:rsidR="007D0B70" w:rsidRPr="005D6D89" w:rsidRDefault="007D0B70" w:rsidP="007D0B70">
      <w:pPr>
        <w:pStyle w:val="References"/>
        <w:rPr>
          <w:rFonts w:cs="Arial"/>
        </w:rPr>
      </w:pPr>
      <w:r w:rsidRPr="005D6D89">
        <w:rPr>
          <w:rFonts w:cs="Arial"/>
        </w:rPr>
        <w:t>Enarson</w:t>
      </w:r>
      <w:r>
        <w:rPr>
          <w:rFonts w:cs="Arial"/>
        </w:rPr>
        <w:t xml:space="preserve"> E. (2007). </w:t>
      </w:r>
      <w:r w:rsidRPr="005D6D89">
        <w:rPr>
          <w:rFonts w:cs="Arial"/>
        </w:rPr>
        <w:t>Chapter 13: Identifying and add</w:t>
      </w:r>
      <w:r>
        <w:rPr>
          <w:rFonts w:cs="Arial"/>
        </w:rPr>
        <w:t>ressing social vulnerabilities.</w:t>
      </w:r>
      <w:r w:rsidRPr="005D6D89">
        <w:rPr>
          <w:rFonts w:cs="Arial"/>
        </w:rPr>
        <w:t xml:space="preserve"> In W</w:t>
      </w:r>
      <w:r>
        <w:rPr>
          <w:rFonts w:cs="Arial"/>
        </w:rPr>
        <w:t xml:space="preserve"> </w:t>
      </w:r>
      <w:r w:rsidRPr="005D6D89">
        <w:rPr>
          <w:rFonts w:cs="Arial"/>
        </w:rPr>
        <w:t>L</w:t>
      </w:r>
      <w:r>
        <w:rPr>
          <w:rFonts w:cs="Arial"/>
        </w:rPr>
        <w:t xml:space="preserve"> </w:t>
      </w:r>
      <w:r w:rsidRPr="005D6D89">
        <w:rPr>
          <w:rFonts w:cs="Arial"/>
        </w:rPr>
        <w:t>Waugh and K Tierney (</w:t>
      </w:r>
      <w:proofErr w:type="gramStart"/>
      <w:r w:rsidRPr="005D6D89">
        <w:rPr>
          <w:rFonts w:cs="Arial"/>
        </w:rPr>
        <w:t>eds</w:t>
      </w:r>
      <w:proofErr w:type="gramEnd"/>
      <w:r w:rsidRPr="005D6D89">
        <w:rPr>
          <w:rFonts w:cs="Arial"/>
        </w:rPr>
        <w:t xml:space="preserve">), </w:t>
      </w:r>
      <w:r w:rsidRPr="005D6D89">
        <w:rPr>
          <w:rFonts w:cs="Arial"/>
          <w:i/>
          <w:iCs/>
        </w:rPr>
        <w:t>Emerge</w:t>
      </w:r>
      <w:r>
        <w:rPr>
          <w:rFonts w:cs="Arial"/>
          <w:i/>
          <w:iCs/>
        </w:rPr>
        <w:t>ncy Management: Principles and practices for local g</w:t>
      </w:r>
      <w:r w:rsidRPr="005D6D89">
        <w:rPr>
          <w:rFonts w:cs="Arial"/>
          <w:i/>
          <w:iCs/>
        </w:rPr>
        <w:t>overnment</w:t>
      </w:r>
      <w:r>
        <w:rPr>
          <w:rFonts w:cs="Arial"/>
        </w:rPr>
        <w:t xml:space="preserve"> (2nd Ed). Washington D</w:t>
      </w:r>
      <w:r w:rsidRPr="005D6D89">
        <w:rPr>
          <w:rFonts w:cs="Arial"/>
        </w:rPr>
        <w:t xml:space="preserve">C: ICMA </w:t>
      </w:r>
      <w:r w:rsidRPr="002D2F0A">
        <w:rPr>
          <w:rFonts w:cs="Arial"/>
        </w:rPr>
        <w:t>Press, pp 257–278.</w:t>
      </w:r>
    </w:p>
    <w:p w14:paraId="45C6E8ED" w14:textId="77777777" w:rsidR="007D0B70" w:rsidRPr="005D6D89" w:rsidRDefault="007D0B70" w:rsidP="007D0B70">
      <w:pPr>
        <w:pStyle w:val="References"/>
        <w:rPr>
          <w:rFonts w:cs="Arial"/>
        </w:rPr>
      </w:pPr>
      <w:r>
        <w:rPr>
          <w:rFonts w:cs="Arial"/>
        </w:rPr>
        <w:t>Espiner</w:t>
      </w:r>
      <w:r w:rsidRPr="005D6D89">
        <w:rPr>
          <w:rFonts w:cs="Arial"/>
        </w:rPr>
        <w:t xml:space="preserve"> S</w:t>
      </w:r>
      <w:r>
        <w:rPr>
          <w:rFonts w:cs="Arial"/>
        </w:rPr>
        <w:t xml:space="preserve"> and</w:t>
      </w:r>
      <w:r w:rsidRPr="005D6D89">
        <w:rPr>
          <w:rFonts w:cs="Arial"/>
        </w:rPr>
        <w:t xml:space="preserve"> Bec</w:t>
      </w:r>
      <w:r>
        <w:rPr>
          <w:rFonts w:cs="Arial"/>
        </w:rPr>
        <w:t>ken</w:t>
      </w:r>
      <w:r w:rsidRPr="005D6D89">
        <w:rPr>
          <w:rFonts w:cs="Arial"/>
        </w:rPr>
        <w:t xml:space="preserve"> S. (2014). Tourist towns on the edge: conceptualising vulnerability and resilience in a protected area tourism system. </w:t>
      </w:r>
      <w:r w:rsidRPr="005D6D89">
        <w:rPr>
          <w:rFonts w:cs="Arial"/>
          <w:i/>
          <w:iCs/>
        </w:rPr>
        <w:t>Journal of Sustainable Tourism</w:t>
      </w:r>
      <w:r w:rsidRPr="005D6D89">
        <w:rPr>
          <w:rFonts w:cs="Arial"/>
        </w:rPr>
        <w:t xml:space="preserve">, 22(4), 646–665. </w:t>
      </w:r>
    </w:p>
    <w:p w14:paraId="7AE2A5A2" w14:textId="77777777" w:rsidR="007D0B70" w:rsidRPr="005D6D89" w:rsidRDefault="007D0B70" w:rsidP="007D0B70">
      <w:pPr>
        <w:pStyle w:val="References"/>
        <w:rPr>
          <w:rFonts w:cs="Arial"/>
        </w:rPr>
      </w:pPr>
      <w:r>
        <w:rPr>
          <w:rFonts w:cs="Arial"/>
        </w:rPr>
        <w:t>Fankhauser S and Tol</w:t>
      </w:r>
      <w:r w:rsidRPr="005D6D89">
        <w:rPr>
          <w:rFonts w:cs="Arial"/>
        </w:rPr>
        <w:t xml:space="preserve"> R S J (2005). On climate change and economic growth, </w:t>
      </w:r>
      <w:r w:rsidRPr="005D6D89">
        <w:rPr>
          <w:rFonts w:cs="Arial"/>
          <w:i/>
          <w:iCs/>
        </w:rPr>
        <w:t>Resource and Energy Economics</w:t>
      </w:r>
      <w:r w:rsidRPr="005D6D89">
        <w:rPr>
          <w:rFonts w:cs="Arial"/>
        </w:rPr>
        <w:t xml:space="preserve"> 27:1–17.</w:t>
      </w:r>
    </w:p>
    <w:p w14:paraId="63F93A60" w14:textId="77777777" w:rsidR="007D0B70" w:rsidRPr="005D6D89" w:rsidRDefault="007D0B70" w:rsidP="007D0B70">
      <w:pPr>
        <w:pStyle w:val="References"/>
        <w:rPr>
          <w:rFonts w:cs="Arial"/>
        </w:rPr>
      </w:pPr>
      <w:r w:rsidRPr="005D6D89">
        <w:rPr>
          <w:rFonts w:cs="Arial"/>
        </w:rPr>
        <w:t xml:space="preserve">Fisher, B. (2011). Climate change and human security in Tuvalu. </w:t>
      </w:r>
      <w:r w:rsidRPr="005D6D89">
        <w:rPr>
          <w:rFonts w:cs="Arial"/>
          <w:i/>
          <w:iCs/>
        </w:rPr>
        <w:t>Global Change, Peace and Security</w:t>
      </w:r>
      <w:r w:rsidRPr="005D6D89">
        <w:rPr>
          <w:rFonts w:cs="Arial"/>
        </w:rPr>
        <w:t>, 23(3), 293–313.</w:t>
      </w:r>
    </w:p>
    <w:p w14:paraId="6B415EE5" w14:textId="77777777" w:rsidR="007D0B70" w:rsidRPr="005D6D89" w:rsidRDefault="007D0B70" w:rsidP="007D0B70">
      <w:pPr>
        <w:pStyle w:val="References"/>
      </w:pPr>
      <w:r w:rsidRPr="005D6D89">
        <w:rPr>
          <w:rFonts w:cs="Arial"/>
        </w:rPr>
        <w:t xml:space="preserve">Forestry New Zealand. (2020). </w:t>
      </w:r>
      <w:r w:rsidRPr="005D6D89">
        <w:rPr>
          <w:rFonts w:cs="Arial"/>
          <w:i/>
          <w:iCs/>
        </w:rPr>
        <w:t>Indigenous (native) forestry</w:t>
      </w:r>
      <w:r w:rsidRPr="005D6D89">
        <w:rPr>
          <w:rFonts w:cs="Arial"/>
        </w:rPr>
        <w:t xml:space="preserve">. Retrieved from Ministry for Primary </w:t>
      </w:r>
      <w:r w:rsidRPr="005D6D89">
        <w:rPr>
          <w:rFonts w:cs="Arial"/>
          <w:color w:val="000000" w:themeColor="text1"/>
        </w:rPr>
        <w:t xml:space="preserve">Industries: </w:t>
      </w:r>
      <w:hyperlink r:id="rId79" w:history="1">
        <w:r w:rsidRPr="005D6D89">
          <w:rPr>
            <w:rStyle w:val="Hyperlink"/>
          </w:rPr>
          <w:t>https://www.mpi.govt.nz/growing-and-harvesting/forestry/indigenous-forestry/</w:t>
        </w:r>
      </w:hyperlink>
    </w:p>
    <w:p w14:paraId="45E27838" w14:textId="77777777" w:rsidR="007D0B70" w:rsidRPr="005D6D89" w:rsidRDefault="007D0B70" w:rsidP="007D0B70">
      <w:pPr>
        <w:pStyle w:val="References"/>
      </w:pPr>
      <w:r>
        <w:rPr>
          <w:rFonts w:cs="Arial"/>
        </w:rPr>
        <w:t>Fothergill</w:t>
      </w:r>
      <w:r w:rsidRPr="005D6D89">
        <w:rPr>
          <w:rFonts w:cs="Arial"/>
        </w:rPr>
        <w:t xml:space="preserve"> A</w:t>
      </w:r>
      <w:r>
        <w:rPr>
          <w:rFonts w:cs="Arial"/>
        </w:rPr>
        <w:t>,</w:t>
      </w:r>
      <w:r w:rsidRPr="005D6D89">
        <w:rPr>
          <w:rFonts w:cs="Arial"/>
        </w:rPr>
        <w:t xml:space="preserve"> Maestras E</w:t>
      </w:r>
      <w:r>
        <w:rPr>
          <w:rFonts w:cs="Arial"/>
        </w:rPr>
        <w:t xml:space="preserve"> and</w:t>
      </w:r>
      <w:r w:rsidRPr="005D6D89">
        <w:rPr>
          <w:rFonts w:cs="Arial"/>
        </w:rPr>
        <w:t xml:space="preserve"> Darlington J. (1999). Race, ethnicity</w:t>
      </w:r>
      <w:r>
        <w:rPr>
          <w:rFonts w:cs="Arial"/>
        </w:rPr>
        <w:t xml:space="preserve"> and</w:t>
      </w:r>
      <w:r w:rsidRPr="005D6D89">
        <w:rPr>
          <w:rFonts w:cs="Arial"/>
        </w:rPr>
        <w:t xml:space="preserve"> disasters in the United States: A review of the literature. </w:t>
      </w:r>
      <w:r w:rsidRPr="005D6D89">
        <w:rPr>
          <w:rFonts w:cs="Arial"/>
          <w:i/>
          <w:iCs/>
        </w:rPr>
        <w:t>Disasters</w:t>
      </w:r>
      <w:r w:rsidRPr="005D6D89">
        <w:rPr>
          <w:rFonts w:cs="Arial"/>
        </w:rPr>
        <w:t xml:space="preserve"> 23(2): 156–173.</w:t>
      </w:r>
    </w:p>
    <w:p w14:paraId="1C2ACE18" w14:textId="77777777" w:rsidR="007D0B70" w:rsidRPr="005D6D89" w:rsidRDefault="007D0B70" w:rsidP="007D0B70">
      <w:pPr>
        <w:pStyle w:val="References"/>
        <w:rPr>
          <w:rFonts w:cs="Arial"/>
        </w:rPr>
      </w:pPr>
      <w:r>
        <w:rPr>
          <w:rFonts w:cs="Arial"/>
        </w:rPr>
        <w:t>Fothergill</w:t>
      </w:r>
      <w:r w:rsidRPr="005D6D89">
        <w:rPr>
          <w:rFonts w:cs="Arial"/>
        </w:rPr>
        <w:t xml:space="preserve"> A</w:t>
      </w:r>
      <w:r>
        <w:rPr>
          <w:rFonts w:cs="Arial"/>
        </w:rPr>
        <w:t xml:space="preserve"> and Peek</w:t>
      </w:r>
      <w:r w:rsidRPr="005D6D89">
        <w:rPr>
          <w:rFonts w:cs="Arial"/>
        </w:rPr>
        <w:t xml:space="preserve"> L. (2004). Poverty and disasters in the United States: A review of recent sociological findings. </w:t>
      </w:r>
      <w:r w:rsidRPr="005D6D89">
        <w:rPr>
          <w:rFonts w:cs="Arial"/>
          <w:i/>
          <w:iCs/>
        </w:rPr>
        <w:t>Natural Hazards</w:t>
      </w:r>
      <w:r w:rsidRPr="005D6D89">
        <w:rPr>
          <w:rFonts w:cs="Arial"/>
        </w:rPr>
        <w:t xml:space="preserve"> 32(1): 89–110.</w:t>
      </w:r>
    </w:p>
    <w:p w14:paraId="313128B7" w14:textId="77777777" w:rsidR="007D0B70" w:rsidRPr="005D6D89" w:rsidRDefault="007D0B70" w:rsidP="007D0B70">
      <w:pPr>
        <w:pStyle w:val="References"/>
        <w:rPr>
          <w:rFonts w:cs="Arial"/>
        </w:rPr>
      </w:pPr>
      <w:r>
        <w:rPr>
          <w:rFonts w:cs="Arial"/>
        </w:rPr>
        <w:t>Frame</w:t>
      </w:r>
      <w:r w:rsidRPr="005D6D89">
        <w:rPr>
          <w:rFonts w:cs="Arial"/>
        </w:rPr>
        <w:t xml:space="preserve"> D</w:t>
      </w:r>
      <w:r>
        <w:rPr>
          <w:rFonts w:cs="Arial"/>
        </w:rPr>
        <w:t xml:space="preserve"> </w:t>
      </w:r>
      <w:r w:rsidRPr="005D6D89">
        <w:rPr>
          <w:rFonts w:cs="Arial"/>
        </w:rPr>
        <w:t>J</w:t>
      </w:r>
      <w:r>
        <w:rPr>
          <w:rFonts w:cs="Arial"/>
        </w:rPr>
        <w:t>,</w:t>
      </w:r>
      <w:r w:rsidRPr="005D6D89">
        <w:rPr>
          <w:rFonts w:cs="Arial"/>
        </w:rPr>
        <w:t xml:space="preserve"> Rosier S</w:t>
      </w:r>
      <w:r>
        <w:rPr>
          <w:rFonts w:cs="Arial"/>
        </w:rPr>
        <w:t xml:space="preserve"> </w:t>
      </w:r>
      <w:r w:rsidRPr="005D6D89">
        <w:rPr>
          <w:rFonts w:cs="Arial"/>
        </w:rPr>
        <w:t>M</w:t>
      </w:r>
      <w:r>
        <w:rPr>
          <w:rFonts w:cs="Arial"/>
        </w:rPr>
        <w:t>,</w:t>
      </w:r>
      <w:r w:rsidRPr="005D6D89">
        <w:rPr>
          <w:rFonts w:cs="Arial"/>
        </w:rPr>
        <w:t xml:space="preserve"> No</w:t>
      </w:r>
      <w:r>
        <w:rPr>
          <w:rFonts w:cs="Arial"/>
        </w:rPr>
        <w:t>y</w:t>
      </w:r>
      <w:r w:rsidRPr="005D6D89">
        <w:rPr>
          <w:rFonts w:cs="Arial"/>
        </w:rPr>
        <w:t xml:space="preserve"> I</w:t>
      </w:r>
      <w:r>
        <w:rPr>
          <w:rFonts w:cs="Arial"/>
        </w:rPr>
        <w:t>, Harrington</w:t>
      </w:r>
      <w:r w:rsidRPr="005D6D89">
        <w:rPr>
          <w:rFonts w:cs="Arial"/>
        </w:rPr>
        <w:t xml:space="preserve"> L</w:t>
      </w:r>
      <w:r>
        <w:rPr>
          <w:rFonts w:cs="Arial"/>
        </w:rPr>
        <w:t xml:space="preserve"> </w:t>
      </w:r>
      <w:r w:rsidRPr="005D6D89">
        <w:rPr>
          <w:rFonts w:cs="Arial"/>
        </w:rPr>
        <w:t>J</w:t>
      </w:r>
      <w:r>
        <w:rPr>
          <w:rFonts w:cs="Arial"/>
        </w:rPr>
        <w:t>, Carey-Smith</w:t>
      </w:r>
      <w:r w:rsidRPr="005D6D89">
        <w:rPr>
          <w:rFonts w:cs="Arial"/>
        </w:rPr>
        <w:t xml:space="preserve"> T</w:t>
      </w:r>
      <w:r>
        <w:rPr>
          <w:rFonts w:cs="Arial"/>
        </w:rPr>
        <w:t>, Sparrow</w:t>
      </w:r>
      <w:r w:rsidRPr="005D6D89">
        <w:rPr>
          <w:rFonts w:cs="Arial"/>
        </w:rPr>
        <w:t xml:space="preserve"> S</w:t>
      </w:r>
      <w:r>
        <w:rPr>
          <w:rFonts w:cs="Arial"/>
        </w:rPr>
        <w:t xml:space="preserve"> </w:t>
      </w:r>
      <w:r w:rsidRPr="005D6D89">
        <w:rPr>
          <w:rFonts w:cs="Arial"/>
        </w:rPr>
        <w:t>N</w:t>
      </w:r>
      <w:r>
        <w:rPr>
          <w:rFonts w:cs="Arial"/>
        </w:rPr>
        <w:t>, Stone</w:t>
      </w:r>
      <w:r w:rsidRPr="005D6D89">
        <w:rPr>
          <w:rFonts w:cs="Arial"/>
        </w:rPr>
        <w:t xml:space="preserve"> D</w:t>
      </w:r>
      <w:r>
        <w:rPr>
          <w:rFonts w:cs="Arial"/>
        </w:rPr>
        <w:t xml:space="preserve"> </w:t>
      </w:r>
      <w:r w:rsidRPr="005D6D89">
        <w:rPr>
          <w:rFonts w:cs="Arial"/>
        </w:rPr>
        <w:t>A</w:t>
      </w:r>
      <w:r>
        <w:rPr>
          <w:rFonts w:cs="Arial"/>
        </w:rPr>
        <w:t>, Dean</w:t>
      </w:r>
      <w:r w:rsidRPr="005D6D89">
        <w:rPr>
          <w:rFonts w:cs="Arial"/>
        </w:rPr>
        <w:t xml:space="preserve"> S</w:t>
      </w:r>
      <w:r>
        <w:rPr>
          <w:rFonts w:cs="Arial"/>
        </w:rPr>
        <w:t xml:space="preserve"> </w:t>
      </w:r>
      <w:r w:rsidRPr="005D6D89">
        <w:rPr>
          <w:rFonts w:cs="Arial"/>
        </w:rPr>
        <w:t>M (in press)</w:t>
      </w:r>
      <w:r>
        <w:rPr>
          <w:rFonts w:cs="Arial"/>
        </w:rPr>
        <w:t>. Climate change attribution and the economic costs of extreme weather e</w:t>
      </w:r>
      <w:r w:rsidRPr="005D6D89">
        <w:rPr>
          <w:rFonts w:cs="Arial"/>
        </w:rPr>
        <w:t>vents</w:t>
      </w:r>
      <w:r>
        <w:rPr>
          <w:rFonts w:cs="Arial"/>
        </w:rPr>
        <w:t xml:space="preserve">. </w:t>
      </w:r>
    </w:p>
    <w:p w14:paraId="45F3BE96" w14:textId="77777777" w:rsidR="007D0B70" w:rsidRPr="005D6D89" w:rsidRDefault="007D0B70" w:rsidP="007D0B70">
      <w:pPr>
        <w:pStyle w:val="References"/>
      </w:pPr>
      <w:r>
        <w:t>Frame</w:t>
      </w:r>
      <w:r w:rsidRPr="005D6D89">
        <w:t xml:space="preserve"> D</w:t>
      </w:r>
      <w:r>
        <w:t>, Rosier</w:t>
      </w:r>
      <w:r w:rsidRPr="005D6D89">
        <w:t xml:space="preserve"> S</w:t>
      </w:r>
      <w:r>
        <w:t>, Carey-smith</w:t>
      </w:r>
      <w:r w:rsidRPr="005D6D89">
        <w:t xml:space="preserve"> T</w:t>
      </w:r>
      <w:r>
        <w:t>, Harrington</w:t>
      </w:r>
      <w:r w:rsidRPr="005D6D89">
        <w:t xml:space="preserve"> L</w:t>
      </w:r>
      <w:r>
        <w:t xml:space="preserve"> and Dean</w:t>
      </w:r>
      <w:r w:rsidRPr="005D6D89">
        <w:t xml:space="preserve"> S. (2018). </w:t>
      </w:r>
      <w:r w:rsidRPr="005D6D89">
        <w:rPr>
          <w:i/>
          <w:iCs/>
        </w:rPr>
        <w:t>Estimating financial costs of climate change in New Zealand</w:t>
      </w:r>
      <w:r w:rsidRPr="005D6D89">
        <w:t>. New Zealand Climate Change Research Institute</w:t>
      </w:r>
      <w:r>
        <w:t xml:space="preserve"> and</w:t>
      </w:r>
      <w:r w:rsidRPr="005D6D89">
        <w:t xml:space="preserve"> NIWA.</w:t>
      </w:r>
    </w:p>
    <w:p w14:paraId="32E34C9F" w14:textId="77777777" w:rsidR="007D0B70" w:rsidRPr="005D6D89" w:rsidRDefault="007D0B70" w:rsidP="007D0B70">
      <w:pPr>
        <w:pStyle w:val="References"/>
      </w:pPr>
      <w:r>
        <w:t>Frame</w:t>
      </w:r>
      <w:r w:rsidRPr="005D6D89">
        <w:t xml:space="preserve"> B</w:t>
      </w:r>
      <w:r>
        <w:t xml:space="preserve"> and Reisinger</w:t>
      </w:r>
      <w:r w:rsidRPr="005D6D89">
        <w:t xml:space="preserve"> A</w:t>
      </w:r>
      <w:r>
        <w:t>.</w:t>
      </w:r>
      <w:r w:rsidRPr="005D6D89">
        <w:t xml:space="preserve"> (2016). Climate change impacts and implications: exploring options for New Zealand under different global climates.</w:t>
      </w:r>
      <w:r>
        <w:t xml:space="preserve"> Synthesis r</w:t>
      </w:r>
      <w:r w:rsidRPr="005D6D89">
        <w:t xml:space="preserve">eport RA5. In: </w:t>
      </w:r>
      <w:r>
        <w:rPr>
          <w:i/>
          <w:iCs/>
        </w:rPr>
        <w:t>Climate change impacts and i</w:t>
      </w:r>
      <w:r w:rsidRPr="005D6D89">
        <w:rPr>
          <w:i/>
          <w:iCs/>
        </w:rPr>
        <w:t>mplications for New Zealand to 2100</w:t>
      </w:r>
      <w:r w:rsidRPr="005D6D89">
        <w:t>.</w:t>
      </w:r>
    </w:p>
    <w:p w14:paraId="54FF3837" w14:textId="77777777" w:rsidR="007D0B70" w:rsidRPr="005D6D89" w:rsidRDefault="007D0B70" w:rsidP="007D0B70">
      <w:pPr>
        <w:pStyle w:val="References"/>
        <w:rPr>
          <w:rFonts w:cs="Arial"/>
        </w:rPr>
      </w:pPr>
      <w:r>
        <w:rPr>
          <w:rFonts w:cs="Arial"/>
        </w:rPr>
        <w:t>Francis</w:t>
      </w:r>
      <w:r w:rsidRPr="005D6D89">
        <w:rPr>
          <w:rFonts w:cs="Arial"/>
        </w:rPr>
        <w:t xml:space="preserve"> </w:t>
      </w:r>
      <w:r>
        <w:rPr>
          <w:rFonts w:cs="Arial"/>
        </w:rPr>
        <w:t>M, Morrison</w:t>
      </w:r>
      <w:r w:rsidRPr="005D6D89">
        <w:rPr>
          <w:rFonts w:cs="Arial"/>
        </w:rPr>
        <w:t xml:space="preserve"> </w:t>
      </w:r>
      <w:r>
        <w:rPr>
          <w:rFonts w:cs="Arial"/>
        </w:rPr>
        <w:t>M, Leathwick</w:t>
      </w:r>
      <w:r w:rsidRPr="005D6D89">
        <w:rPr>
          <w:rFonts w:cs="Arial"/>
        </w:rPr>
        <w:t xml:space="preserve"> </w:t>
      </w:r>
      <w:r>
        <w:rPr>
          <w:rFonts w:cs="Arial"/>
        </w:rPr>
        <w:t>J and Walsh</w:t>
      </w:r>
      <w:r w:rsidRPr="005D6D89">
        <w:rPr>
          <w:rFonts w:cs="Arial"/>
        </w:rPr>
        <w:t xml:space="preserve"> </w:t>
      </w:r>
      <w:r>
        <w:rPr>
          <w:rFonts w:cs="Arial"/>
        </w:rPr>
        <w:t>C</w:t>
      </w:r>
      <w:r w:rsidRPr="005D6D89">
        <w:rPr>
          <w:rFonts w:cs="Arial"/>
        </w:rPr>
        <w:t xml:space="preserve">. (2011). Predicting patterns of richness, occurrence and abundance of small fish in New Zealand estuaries. </w:t>
      </w:r>
      <w:r>
        <w:rPr>
          <w:rFonts w:cs="Arial"/>
          <w:i/>
          <w:iCs/>
        </w:rPr>
        <w:t>Marine and freshwater r</w:t>
      </w:r>
      <w:r w:rsidRPr="005D6D89">
        <w:rPr>
          <w:rFonts w:cs="Arial"/>
          <w:i/>
          <w:iCs/>
        </w:rPr>
        <w:t>esearch</w:t>
      </w:r>
      <w:r w:rsidRPr="005D6D89">
        <w:rPr>
          <w:rFonts w:cs="Arial"/>
        </w:rPr>
        <w:t>. 62. 1327–1341. 10.1071/MF11067.</w:t>
      </w:r>
    </w:p>
    <w:p w14:paraId="5E1C889F" w14:textId="77777777" w:rsidR="007D0B70" w:rsidRPr="005D6D89" w:rsidRDefault="007D0B70" w:rsidP="007D0B70">
      <w:pPr>
        <w:pStyle w:val="References"/>
        <w:rPr>
          <w:rFonts w:cs="Arial"/>
        </w:rPr>
      </w:pPr>
      <w:r>
        <w:rPr>
          <w:rFonts w:cs="Arial"/>
        </w:rPr>
        <w:t>Frankham</w:t>
      </w:r>
      <w:r w:rsidRPr="005D6D89">
        <w:rPr>
          <w:rFonts w:cs="Arial"/>
        </w:rPr>
        <w:t xml:space="preserve"> R. (1997). Do island populations have less genetic variation than mainland populations? </w:t>
      </w:r>
      <w:r w:rsidRPr="005D6D89">
        <w:rPr>
          <w:rFonts w:cs="Arial"/>
          <w:i/>
          <w:iCs/>
        </w:rPr>
        <w:t>Heredity</w:t>
      </w:r>
      <w:r w:rsidRPr="005D6D89">
        <w:rPr>
          <w:rFonts w:cs="Arial"/>
        </w:rPr>
        <w:t>, 78, 311–327.</w:t>
      </w:r>
    </w:p>
    <w:p w14:paraId="07B21228" w14:textId="77777777" w:rsidR="007D0B70" w:rsidRPr="005D6D89" w:rsidRDefault="007D0B70" w:rsidP="007D0B70">
      <w:pPr>
        <w:pStyle w:val="References"/>
        <w:rPr>
          <w:rFonts w:cs="Arial"/>
        </w:rPr>
      </w:pPr>
      <w:r>
        <w:rPr>
          <w:rFonts w:cs="Arial"/>
        </w:rPr>
        <w:t>French</w:t>
      </w:r>
      <w:r w:rsidRPr="005D6D89">
        <w:rPr>
          <w:rFonts w:cs="Arial"/>
        </w:rPr>
        <w:t xml:space="preserve"> A</w:t>
      </w:r>
      <w:r>
        <w:rPr>
          <w:rFonts w:cs="Arial"/>
        </w:rPr>
        <w:t>, Vital</w:t>
      </w:r>
      <w:r w:rsidRPr="005D6D89">
        <w:rPr>
          <w:rFonts w:cs="Arial"/>
        </w:rPr>
        <w:t xml:space="preserve"> M</w:t>
      </w:r>
      <w:r>
        <w:rPr>
          <w:rFonts w:cs="Arial"/>
        </w:rPr>
        <w:t xml:space="preserve"> and Minot</w:t>
      </w:r>
      <w:r w:rsidRPr="005D6D89">
        <w:rPr>
          <w:rFonts w:cs="Arial"/>
        </w:rPr>
        <w:t xml:space="preserve"> D. (2015). Bank of England Quarterly Bulletin 2013</w:t>
      </w:r>
      <w:r>
        <w:rPr>
          <w:rFonts w:cs="Arial"/>
        </w:rPr>
        <w:t>,</w:t>
      </w:r>
      <w:r w:rsidRPr="005D6D89">
        <w:rPr>
          <w:rFonts w:cs="Arial"/>
        </w:rPr>
        <w:t xml:space="preserve"> Q1. </w:t>
      </w:r>
      <w:r w:rsidRPr="005D6D89">
        <w:rPr>
          <w:rFonts w:cs="Arial"/>
          <w:i/>
          <w:iCs/>
        </w:rPr>
        <w:t>Bank of England Quarterly Bulletin</w:t>
      </w:r>
      <w:r w:rsidRPr="005D6D89">
        <w:rPr>
          <w:rFonts w:cs="Arial"/>
        </w:rPr>
        <w:t>, Q3, 242–258.</w:t>
      </w:r>
    </w:p>
    <w:p w14:paraId="556F4C91" w14:textId="77777777" w:rsidR="007D0B70" w:rsidRPr="005D6D89" w:rsidRDefault="007D0B70" w:rsidP="007D0B70">
      <w:pPr>
        <w:pStyle w:val="References"/>
        <w:rPr>
          <w:rFonts w:cs="Arial"/>
        </w:rPr>
      </w:pPr>
      <w:r>
        <w:rPr>
          <w:rFonts w:cs="Arial"/>
        </w:rPr>
        <w:t>Freudenburg</w:t>
      </w:r>
      <w:r w:rsidRPr="005D6D89">
        <w:rPr>
          <w:rFonts w:cs="Arial"/>
        </w:rPr>
        <w:t xml:space="preserve"> W</w:t>
      </w:r>
      <w:r>
        <w:rPr>
          <w:rFonts w:cs="Arial"/>
        </w:rPr>
        <w:t>, Gramling</w:t>
      </w:r>
      <w:r w:rsidRPr="005D6D89">
        <w:rPr>
          <w:rFonts w:cs="Arial"/>
        </w:rPr>
        <w:t xml:space="preserve"> R</w:t>
      </w:r>
      <w:r>
        <w:rPr>
          <w:rFonts w:cs="Arial"/>
        </w:rPr>
        <w:t xml:space="preserve">, Laska </w:t>
      </w:r>
      <w:r w:rsidRPr="005D6D89">
        <w:rPr>
          <w:rFonts w:cs="Arial"/>
        </w:rPr>
        <w:t>S</w:t>
      </w:r>
      <w:r>
        <w:rPr>
          <w:rFonts w:cs="Arial"/>
        </w:rPr>
        <w:t xml:space="preserve"> and Erikson</w:t>
      </w:r>
      <w:r w:rsidRPr="005D6D89">
        <w:rPr>
          <w:rFonts w:cs="Arial"/>
        </w:rPr>
        <w:t xml:space="preserve"> K</w:t>
      </w:r>
      <w:r>
        <w:rPr>
          <w:rFonts w:cs="Arial"/>
        </w:rPr>
        <w:t xml:space="preserve"> T. (2008). </w:t>
      </w:r>
      <w:proofErr w:type="gramStart"/>
      <w:r>
        <w:rPr>
          <w:rFonts w:cs="Arial"/>
        </w:rPr>
        <w:t>Organising hazards, engineering disasters?</w:t>
      </w:r>
      <w:proofErr w:type="gramEnd"/>
      <w:r>
        <w:rPr>
          <w:rFonts w:cs="Arial"/>
        </w:rPr>
        <w:t xml:space="preserve"> Improving the recognition of political-economic factors in the c</w:t>
      </w:r>
      <w:r w:rsidRPr="005D6D89">
        <w:rPr>
          <w:rFonts w:cs="Arial"/>
        </w:rPr>
        <w:t>rea</w:t>
      </w:r>
      <w:r>
        <w:rPr>
          <w:rFonts w:cs="Arial"/>
        </w:rPr>
        <w:t>tion of d</w:t>
      </w:r>
      <w:r w:rsidRPr="005D6D89">
        <w:rPr>
          <w:rFonts w:cs="Arial"/>
        </w:rPr>
        <w:t xml:space="preserve">isasters. </w:t>
      </w:r>
      <w:r>
        <w:rPr>
          <w:rFonts w:cs="Arial"/>
          <w:i/>
          <w:iCs/>
        </w:rPr>
        <w:t>Social f</w:t>
      </w:r>
      <w:r w:rsidRPr="005D6D89">
        <w:rPr>
          <w:rFonts w:cs="Arial"/>
          <w:i/>
          <w:iCs/>
        </w:rPr>
        <w:t>orces</w:t>
      </w:r>
      <w:r w:rsidRPr="005D6D89">
        <w:rPr>
          <w:rFonts w:cs="Arial"/>
        </w:rPr>
        <w:t>, 87(2), 1015–</w:t>
      </w:r>
      <w:r w:rsidRPr="00543823">
        <w:rPr>
          <w:rFonts w:cs="Arial"/>
        </w:rPr>
        <w:t>1038.</w:t>
      </w:r>
    </w:p>
    <w:p w14:paraId="29D92DD2" w14:textId="77777777" w:rsidR="007D0B70" w:rsidRPr="005D6D89" w:rsidRDefault="007D0B70" w:rsidP="007D0B70">
      <w:pPr>
        <w:pStyle w:val="References"/>
        <w:rPr>
          <w:rStyle w:val="Hyperlink"/>
          <w:rFonts w:cs="Arial"/>
          <w:color w:val="000000" w:themeColor="text1"/>
        </w:rPr>
      </w:pPr>
      <w:r>
        <w:rPr>
          <w:rFonts w:cs="Arial"/>
        </w:rPr>
        <w:t>Fyers A. (2016, Dec 7). Blowing b</w:t>
      </w:r>
      <w:r w:rsidRPr="005D6D89">
        <w:rPr>
          <w:rFonts w:cs="Arial"/>
        </w:rPr>
        <w:t xml:space="preserve">ubbles: Who loses the most when a housing bubble </w:t>
      </w:r>
      <w:proofErr w:type="gramStart"/>
      <w:r w:rsidRPr="005D6D89">
        <w:rPr>
          <w:rFonts w:cs="Arial"/>
        </w:rPr>
        <w:t>bursts.</w:t>
      </w:r>
      <w:proofErr w:type="gramEnd"/>
      <w:r w:rsidRPr="005D6D89">
        <w:rPr>
          <w:rFonts w:cs="Arial"/>
        </w:rPr>
        <w:t xml:space="preserve"> </w:t>
      </w:r>
      <w:r w:rsidRPr="005D6D89">
        <w:rPr>
          <w:rFonts w:cs="Arial"/>
          <w:i/>
        </w:rPr>
        <w:t xml:space="preserve">Stuff. </w:t>
      </w:r>
      <w:hyperlink r:id="rId80" w:history="1">
        <w:r w:rsidRPr="005D6D89">
          <w:rPr>
            <w:rStyle w:val="Hyperlink"/>
          </w:rPr>
          <w:t>https://www.stuff.co.nz/business/property/86784216/blowing-bubbles-who-loses-the-most-when-a-housing-bubble-bursts</w:t>
        </w:r>
      </w:hyperlink>
    </w:p>
    <w:p w14:paraId="0BBF8E49" w14:textId="77777777" w:rsidR="007D0B70" w:rsidRPr="005D6D89" w:rsidRDefault="007D0B70" w:rsidP="007D0B70">
      <w:pPr>
        <w:pStyle w:val="References"/>
        <w:rPr>
          <w:rFonts w:cs="Arial"/>
        </w:rPr>
      </w:pPr>
      <w:r>
        <w:rPr>
          <w:rFonts w:cs="Arial"/>
          <w:color w:val="000000"/>
          <w:lang w:eastAsia="en-AU"/>
        </w:rPr>
        <w:t xml:space="preserve">Gallic </w:t>
      </w:r>
      <w:r w:rsidRPr="005D6D89">
        <w:rPr>
          <w:rFonts w:cs="Arial"/>
          <w:color w:val="000000"/>
          <w:lang w:eastAsia="en-AU"/>
        </w:rPr>
        <w:t>E</w:t>
      </w:r>
      <w:r>
        <w:rPr>
          <w:rFonts w:cs="Arial"/>
          <w:color w:val="000000"/>
          <w:lang w:eastAsia="en-AU"/>
        </w:rPr>
        <w:t xml:space="preserve"> and Vermandel</w:t>
      </w:r>
      <w:r w:rsidRPr="005D6D89">
        <w:rPr>
          <w:rFonts w:cs="Arial"/>
          <w:color w:val="000000"/>
          <w:lang w:eastAsia="en-AU"/>
        </w:rPr>
        <w:t xml:space="preserve"> G. (2020). Weather shocks. </w:t>
      </w:r>
      <w:r w:rsidRPr="005D6D89">
        <w:rPr>
          <w:rFonts w:cs="Arial"/>
          <w:i/>
          <w:iCs/>
          <w:color w:val="000000"/>
          <w:lang w:eastAsia="en-AU"/>
        </w:rPr>
        <w:t>European Economic Review</w:t>
      </w:r>
      <w:r w:rsidRPr="005D6D89">
        <w:rPr>
          <w:rFonts w:cs="Arial"/>
          <w:color w:val="000000"/>
          <w:lang w:eastAsia="en-AU"/>
        </w:rPr>
        <w:t>, 124.</w:t>
      </w:r>
    </w:p>
    <w:p w14:paraId="4EC23473" w14:textId="77777777" w:rsidR="007D0B70" w:rsidRPr="005D6D89" w:rsidRDefault="007D0B70" w:rsidP="007D0B70">
      <w:pPr>
        <w:pStyle w:val="References"/>
        <w:rPr>
          <w:rFonts w:cs="Arial"/>
        </w:rPr>
      </w:pPr>
      <w:r>
        <w:rPr>
          <w:rFonts w:cs="Arial"/>
        </w:rPr>
        <w:t>Gassenher</w:t>
      </w:r>
      <w:r w:rsidRPr="005D6D89">
        <w:rPr>
          <w:rFonts w:cs="Arial"/>
        </w:rPr>
        <w:t xml:space="preserve"> M</w:t>
      </w:r>
      <w:r>
        <w:rPr>
          <w:rFonts w:cs="Arial"/>
        </w:rPr>
        <w:t xml:space="preserve">, Keck </w:t>
      </w:r>
      <w:r w:rsidRPr="005D6D89">
        <w:rPr>
          <w:rFonts w:cs="Arial"/>
        </w:rPr>
        <w:t>A</w:t>
      </w:r>
      <w:r>
        <w:rPr>
          <w:rFonts w:cs="Arial"/>
        </w:rPr>
        <w:t xml:space="preserve"> and </w:t>
      </w:r>
      <w:proofErr w:type="gramStart"/>
      <w:r>
        <w:rPr>
          <w:rFonts w:cs="Arial"/>
        </w:rPr>
        <w:t>The</w:t>
      </w:r>
      <w:proofErr w:type="gramEnd"/>
      <w:r w:rsidRPr="005D6D89">
        <w:rPr>
          <w:rFonts w:cs="Arial"/>
        </w:rPr>
        <w:t xml:space="preserve"> R. (2010). Shaken, not stirred: the impact of disasters on international trade, </w:t>
      </w:r>
      <w:r w:rsidRPr="005D6D89">
        <w:rPr>
          <w:rFonts w:cs="Arial"/>
          <w:i/>
          <w:iCs/>
        </w:rPr>
        <w:t>Review of International Economics</w:t>
      </w:r>
      <w:r w:rsidRPr="005D6D89">
        <w:rPr>
          <w:rFonts w:cs="Arial"/>
        </w:rPr>
        <w:t>, 18 (2): 351–368.</w:t>
      </w:r>
    </w:p>
    <w:p w14:paraId="0B6306E2" w14:textId="77777777" w:rsidR="007D0B70" w:rsidRPr="005D6D89" w:rsidRDefault="007D0B70" w:rsidP="007D0B70">
      <w:pPr>
        <w:pStyle w:val="References"/>
      </w:pPr>
      <w:r>
        <w:t>Gazeau</w:t>
      </w:r>
      <w:r w:rsidRPr="005D6D89">
        <w:t xml:space="preserve"> F</w:t>
      </w:r>
      <w:r>
        <w:t>, Parker</w:t>
      </w:r>
      <w:r w:rsidRPr="005D6D89">
        <w:t xml:space="preserve"> L</w:t>
      </w:r>
      <w:r>
        <w:t xml:space="preserve"> </w:t>
      </w:r>
      <w:r w:rsidRPr="005D6D89">
        <w:t>M</w:t>
      </w:r>
      <w:r>
        <w:t>, Comeau</w:t>
      </w:r>
      <w:r w:rsidRPr="005D6D89">
        <w:t xml:space="preserve"> S</w:t>
      </w:r>
      <w:r>
        <w:t>, Gattuso</w:t>
      </w:r>
      <w:r w:rsidRPr="005D6D89">
        <w:t xml:space="preserve"> J</w:t>
      </w:r>
      <w:r>
        <w:t xml:space="preserve"> </w:t>
      </w:r>
      <w:r w:rsidRPr="005D6D89">
        <w:t>P</w:t>
      </w:r>
      <w:r>
        <w:t>,</w:t>
      </w:r>
      <w:r w:rsidRPr="005D6D89">
        <w:t xml:space="preserve"> O</w:t>
      </w:r>
      <w:r>
        <w:t>’Connor</w:t>
      </w:r>
      <w:r w:rsidRPr="005D6D89">
        <w:t xml:space="preserve"> W A</w:t>
      </w:r>
      <w:r>
        <w:t>, Martin</w:t>
      </w:r>
      <w:r w:rsidRPr="005D6D89">
        <w:t xml:space="preserve"> S</w:t>
      </w:r>
      <w:r>
        <w:t>, Ross</w:t>
      </w:r>
      <w:r w:rsidRPr="005D6D89">
        <w:t xml:space="preserve"> P M. (2013). Impacts of ocean acidification on marine shelled molluscs. </w:t>
      </w:r>
      <w:r w:rsidRPr="005D6D89">
        <w:rPr>
          <w:i/>
          <w:iCs/>
        </w:rPr>
        <w:t>Marine Biology</w:t>
      </w:r>
      <w:r w:rsidRPr="005D6D89">
        <w:t>, 160, 2207–2245.</w:t>
      </w:r>
    </w:p>
    <w:p w14:paraId="710BBD2D" w14:textId="77777777" w:rsidR="007D0B70" w:rsidRPr="005D6D89" w:rsidRDefault="007D0B70" w:rsidP="007D0B70">
      <w:pPr>
        <w:pStyle w:val="References"/>
        <w:rPr>
          <w:rFonts w:cs="Arial"/>
        </w:rPr>
      </w:pPr>
      <w:r>
        <w:rPr>
          <w:rFonts w:cs="Arial"/>
        </w:rPr>
        <w:t>Gerard</w:t>
      </w:r>
      <w:r w:rsidRPr="005D6D89">
        <w:rPr>
          <w:rFonts w:cs="Arial"/>
        </w:rPr>
        <w:t xml:space="preserve"> P J</w:t>
      </w:r>
      <w:r>
        <w:rPr>
          <w:rFonts w:cs="Arial"/>
        </w:rPr>
        <w:t xml:space="preserve">, Barringer </w:t>
      </w:r>
      <w:r w:rsidRPr="005D6D89">
        <w:rPr>
          <w:rFonts w:cs="Arial"/>
        </w:rPr>
        <w:t>J R</w:t>
      </w:r>
      <w:r>
        <w:rPr>
          <w:rFonts w:cs="Arial"/>
        </w:rPr>
        <w:t>, Charles</w:t>
      </w:r>
      <w:r w:rsidRPr="005D6D89">
        <w:rPr>
          <w:rFonts w:cs="Arial"/>
        </w:rPr>
        <w:t xml:space="preserve"> J G</w:t>
      </w:r>
      <w:r>
        <w:rPr>
          <w:rFonts w:cs="Arial"/>
        </w:rPr>
        <w:t>, Fowler</w:t>
      </w:r>
      <w:r w:rsidRPr="005D6D89">
        <w:rPr>
          <w:rFonts w:cs="Arial"/>
        </w:rPr>
        <w:t xml:space="preserve"> S V</w:t>
      </w:r>
      <w:r>
        <w:rPr>
          <w:rFonts w:cs="Arial"/>
        </w:rPr>
        <w:t>, Kean</w:t>
      </w:r>
      <w:r w:rsidRPr="005D6D89">
        <w:rPr>
          <w:rFonts w:cs="Arial"/>
        </w:rPr>
        <w:t xml:space="preserve"> J M</w:t>
      </w:r>
      <w:r>
        <w:rPr>
          <w:rFonts w:cs="Arial"/>
        </w:rPr>
        <w:t>, Phillips</w:t>
      </w:r>
      <w:r w:rsidRPr="005D6D89">
        <w:rPr>
          <w:rFonts w:cs="Arial"/>
        </w:rPr>
        <w:t xml:space="preserve"> C B</w:t>
      </w:r>
      <w:r>
        <w:rPr>
          <w:rFonts w:cs="Arial"/>
        </w:rPr>
        <w:t xml:space="preserve"> ... Walker </w:t>
      </w:r>
      <w:r w:rsidRPr="005D6D89">
        <w:rPr>
          <w:rFonts w:cs="Arial"/>
        </w:rPr>
        <w:t xml:space="preserve">G P. (2013). Potential effects of climate change </w:t>
      </w:r>
      <w:r>
        <w:rPr>
          <w:rFonts w:cs="Arial"/>
        </w:rPr>
        <w:t>on biological control systems: C</w:t>
      </w:r>
      <w:r w:rsidRPr="005D6D89">
        <w:rPr>
          <w:rFonts w:cs="Arial"/>
        </w:rPr>
        <w:t xml:space="preserve">ase studies from New Zealand. </w:t>
      </w:r>
      <w:r w:rsidRPr="005D6D89">
        <w:rPr>
          <w:rFonts w:cs="Arial"/>
          <w:i/>
          <w:iCs/>
        </w:rPr>
        <w:t>BioControl, 58</w:t>
      </w:r>
      <w:r w:rsidRPr="005D6D89">
        <w:rPr>
          <w:rFonts w:cs="Arial"/>
        </w:rPr>
        <w:t>(149), 149–162.</w:t>
      </w:r>
    </w:p>
    <w:p w14:paraId="6A656693" w14:textId="77777777" w:rsidR="007D0B70" w:rsidRPr="005D6D89" w:rsidRDefault="007D0B70" w:rsidP="007D0B70">
      <w:pPr>
        <w:pStyle w:val="References"/>
        <w:rPr>
          <w:rFonts w:cs="Arial"/>
          <w:lang w:eastAsia="en-AU"/>
        </w:rPr>
      </w:pPr>
      <w:r>
        <w:rPr>
          <w:rFonts w:cs="Arial"/>
          <w:lang w:eastAsia="en-AU"/>
        </w:rPr>
        <w:t>Gersonius</w:t>
      </w:r>
      <w:r w:rsidRPr="005D6D89">
        <w:rPr>
          <w:rFonts w:cs="Arial"/>
          <w:lang w:eastAsia="en-AU"/>
        </w:rPr>
        <w:t xml:space="preserve"> B</w:t>
      </w:r>
      <w:r>
        <w:rPr>
          <w:rFonts w:cs="Arial"/>
          <w:lang w:eastAsia="en-AU"/>
        </w:rPr>
        <w:t>, Morselt</w:t>
      </w:r>
      <w:r w:rsidRPr="005D6D89">
        <w:rPr>
          <w:rFonts w:cs="Arial"/>
          <w:lang w:eastAsia="en-AU"/>
        </w:rPr>
        <w:t xml:space="preserve"> T</w:t>
      </w:r>
      <w:r>
        <w:rPr>
          <w:rFonts w:cs="Arial"/>
          <w:lang w:eastAsia="en-AU"/>
        </w:rPr>
        <w:t>, van Nieuwenhuijzen</w:t>
      </w:r>
      <w:r w:rsidRPr="005D6D89">
        <w:rPr>
          <w:rFonts w:cs="Arial"/>
          <w:lang w:eastAsia="en-AU"/>
        </w:rPr>
        <w:t xml:space="preserve"> L</w:t>
      </w:r>
      <w:r>
        <w:rPr>
          <w:rFonts w:cs="Arial"/>
          <w:lang w:eastAsia="en-AU"/>
        </w:rPr>
        <w:t>, Ashley</w:t>
      </w:r>
      <w:r w:rsidRPr="005D6D89">
        <w:rPr>
          <w:rFonts w:cs="Arial"/>
          <w:lang w:eastAsia="en-AU"/>
        </w:rPr>
        <w:t xml:space="preserve"> R</w:t>
      </w:r>
      <w:r>
        <w:rPr>
          <w:rFonts w:cs="Arial"/>
          <w:lang w:eastAsia="en-AU"/>
        </w:rPr>
        <w:t xml:space="preserve"> and</w:t>
      </w:r>
      <w:r w:rsidRPr="005D6D89">
        <w:rPr>
          <w:rFonts w:cs="Arial"/>
          <w:lang w:eastAsia="en-AU"/>
        </w:rPr>
        <w:t xml:space="preserve"> Zevenbergen C. (2012). How the failure to account for flexibility in the economic analysis of flood risk and coastal management strategies can result in maladaptive decisions. </w:t>
      </w:r>
      <w:r>
        <w:rPr>
          <w:rFonts w:cs="Arial"/>
          <w:i/>
          <w:iCs/>
          <w:lang w:eastAsia="en-AU"/>
        </w:rPr>
        <w:t>Journal of waterway, port, c</w:t>
      </w:r>
      <w:r w:rsidRPr="005D6D89">
        <w:rPr>
          <w:rFonts w:cs="Arial"/>
          <w:i/>
          <w:iCs/>
          <w:lang w:eastAsia="en-AU"/>
        </w:rPr>
        <w:t>oastal</w:t>
      </w:r>
      <w:r>
        <w:rPr>
          <w:rFonts w:cs="Arial"/>
          <w:i/>
          <w:iCs/>
          <w:lang w:eastAsia="en-AU"/>
        </w:rPr>
        <w:t xml:space="preserve"> and ocean e</w:t>
      </w:r>
      <w:r w:rsidRPr="005D6D89">
        <w:rPr>
          <w:rFonts w:cs="Arial"/>
          <w:i/>
          <w:iCs/>
          <w:lang w:eastAsia="en-AU"/>
        </w:rPr>
        <w:t>ngineering</w:t>
      </w:r>
      <w:r w:rsidRPr="005D6D89">
        <w:rPr>
          <w:rFonts w:cs="Arial"/>
          <w:lang w:eastAsia="en-AU"/>
        </w:rPr>
        <w:t xml:space="preserve">, 138(5). </w:t>
      </w:r>
    </w:p>
    <w:p w14:paraId="4F1CFFBA" w14:textId="77777777" w:rsidR="007D0B70" w:rsidRPr="005D6D89" w:rsidRDefault="007D0B70" w:rsidP="007D0B70">
      <w:pPr>
        <w:pStyle w:val="References"/>
        <w:rPr>
          <w:rFonts w:cs="Arial"/>
        </w:rPr>
      </w:pPr>
      <w:r w:rsidRPr="005D6D89">
        <w:rPr>
          <w:rFonts w:cs="Arial"/>
        </w:rPr>
        <w:t>GHD, Boffa Miskell</w:t>
      </w:r>
      <w:r>
        <w:rPr>
          <w:rFonts w:cs="Arial"/>
        </w:rPr>
        <w:t xml:space="preserve"> and</w:t>
      </w:r>
      <w:r w:rsidRPr="005D6D89">
        <w:rPr>
          <w:rFonts w:cs="Arial"/>
        </w:rPr>
        <w:t xml:space="preserve"> </w:t>
      </w:r>
      <w:proofErr w:type="gramStart"/>
      <w:r w:rsidRPr="005D6D89">
        <w:rPr>
          <w:rFonts w:cs="Arial"/>
        </w:rPr>
        <w:t>The</w:t>
      </w:r>
      <w:proofErr w:type="gramEnd"/>
      <w:r w:rsidRPr="005D6D89">
        <w:rPr>
          <w:rFonts w:cs="Arial"/>
        </w:rPr>
        <w:t xml:space="preserve"> Wastewater Specialists. (2019). </w:t>
      </w:r>
      <w:r w:rsidRPr="005D6D89">
        <w:rPr>
          <w:rFonts w:cs="Arial"/>
          <w:i/>
          <w:iCs/>
        </w:rPr>
        <w:t>Addendum cost estimates for upgrading wastewater treatment plants</w:t>
      </w:r>
      <w:r w:rsidRPr="005D6D89">
        <w:rPr>
          <w:rFonts w:cs="Arial"/>
        </w:rPr>
        <w:t>.</w:t>
      </w:r>
    </w:p>
    <w:p w14:paraId="268B52BF" w14:textId="77777777" w:rsidR="007D0B70" w:rsidRPr="005D6D89" w:rsidRDefault="007D0B70" w:rsidP="007D0B70">
      <w:pPr>
        <w:pStyle w:val="References"/>
        <w:rPr>
          <w:rFonts w:cs="Arial"/>
        </w:rPr>
      </w:pPr>
      <w:r>
        <w:rPr>
          <w:rFonts w:cs="Arial"/>
        </w:rPr>
        <w:t>Giejsztowt</w:t>
      </w:r>
      <w:r w:rsidRPr="005D6D89">
        <w:rPr>
          <w:rFonts w:cs="Arial"/>
        </w:rPr>
        <w:t xml:space="preserve"> J</w:t>
      </w:r>
      <w:r>
        <w:rPr>
          <w:rFonts w:cs="Arial"/>
        </w:rPr>
        <w:t>, Classen</w:t>
      </w:r>
      <w:r w:rsidRPr="005D6D89">
        <w:rPr>
          <w:rFonts w:cs="Arial"/>
        </w:rPr>
        <w:t xml:space="preserve"> A T</w:t>
      </w:r>
      <w:r>
        <w:rPr>
          <w:rFonts w:cs="Arial"/>
        </w:rPr>
        <w:t xml:space="preserve"> and Deslippe </w:t>
      </w:r>
      <w:r w:rsidRPr="005D6D89">
        <w:rPr>
          <w:rFonts w:cs="Arial"/>
        </w:rPr>
        <w:t xml:space="preserve">J R. (2019). Climate change and invasion may synergistically affect native plant reproduction. </w:t>
      </w:r>
      <w:r w:rsidRPr="005D6D89">
        <w:rPr>
          <w:rFonts w:cs="Arial"/>
          <w:i/>
          <w:iCs/>
        </w:rPr>
        <w:t>Ecology</w:t>
      </w:r>
      <w:r w:rsidRPr="005D6D89">
        <w:rPr>
          <w:rFonts w:cs="Arial"/>
        </w:rPr>
        <w:t>.</w:t>
      </w:r>
    </w:p>
    <w:p w14:paraId="49F22A80" w14:textId="77777777" w:rsidR="007D0B70" w:rsidRPr="005D6D89" w:rsidRDefault="007D0B70" w:rsidP="007D0B70">
      <w:pPr>
        <w:pStyle w:val="References"/>
        <w:rPr>
          <w:rFonts w:cs="Arial"/>
        </w:rPr>
      </w:pPr>
      <w:r w:rsidRPr="005D6D89">
        <w:rPr>
          <w:rFonts w:cs="Arial"/>
        </w:rPr>
        <w:t>Glavovi</w:t>
      </w:r>
      <w:r>
        <w:rPr>
          <w:rFonts w:cs="Arial"/>
        </w:rPr>
        <w:t>c</w:t>
      </w:r>
      <w:r w:rsidRPr="005D6D89">
        <w:rPr>
          <w:rFonts w:cs="Arial"/>
        </w:rPr>
        <w:t xml:space="preserve"> B C</w:t>
      </w:r>
      <w:r>
        <w:rPr>
          <w:rFonts w:cs="Arial"/>
        </w:rPr>
        <w:t>, Saunders</w:t>
      </w:r>
      <w:r w:rsidRPr="005D6D89">
        <w:rPr>
          <w:rFonts w:cs="Arial"/>
        </w:rPr>
        <w:t xml:space="preserve"> W S</w:t>
      </w:r>
      <w:r>
        <w:rPr>
          <w:rFonts w:cs="Arial"/>
        </w:rPr>
        <w:t xml:space="preserve"> and Becker</w:t>
      </w:r>
      <w:r w:rsidRPr="005D6D89">
        <w:rPr>
          <w:rFonts w:cs="Arial"/>
        </w:rPr>
        <w:t xml:space="preserve"> J S. (2010). Land-use planning for natural hazards in New Zealand: the setting, barriers, </w:t>
      </w:r>
      <w:r>
        <w:rPr>
          <w:rFonts w:cs="Arial"/>
        </w:rPr>
        <w:t>‘</w:t>
      </w:r>
      <w:r w:rsidRPr="005D6D89">
        <w:rPr>
          <w:rFonts w:cs="Arial"/>
        </w:rPr>
        <w:t>burning issues</w:t>
      </w:r>
      <w:r>
        <w:rPr>
          <w:rFonts w:cs="Arial"/>
        </w:rPr>
        <w:t>’</w:t>
      </w:r>
      <w:r w:rsidRPr="005D6D89">
        <w:rPr>
          <w:rFonts w:cs="Arial"/>
        </w:rPr>
        <w:t xml:space="preserve"> and priority actions. </w:t>
      </w:r>
      <w:r w:rsidRPr="005D6D89">
        <w:rPr>
          <w:rFonts w:cs="Arial"/>
          <w:i/>
          <w:iCs/>
        </w:rPr>
        <w:t>Nat Hazards</w:t>
      </w:r>
      <w:r w:rsidRPr="005D6D89">
        <w:rPr>
          <w:rFonts w:cs="Arial"/>
        </w:rPr>
        <w:t>, 54, 679–706.</w:t>
      </w:r>
    </w:p>
    <w:p w14:paraId="6A55446B" w14:textId="77777777" w:rsidR="007D0B70" w:rsidRPr="005D6D89" w:rsidRDefault="007D0B70" w:rsidP="007D0B70">
      <w:pPr>
        <w:pStyle w:val="References"/>
        <w:rPr>
          <w:rFonts w:cs="Arial"/>
        </w:rPr>
      </w:pPr>
      <w:r>
        <w:rPr>
          <w:rFonts w:cs="Arial"/>
          <w:lang w:eastAsia="en-AU"/>
        </w:rPr>
        <w:t>Grace</w:t>
      </w:r>
      <w:r w:rsidRPr="005D6D89">
        <w:rPr>
          <w:rFonts w:cs="Arial"/>
          <w:lang w:eastAsia="en-AU"/>
        </w:rPr>
        <w:t xml:space="preserve"> E S</w:t>
      </w:r>
      <w:r>
        <w:rPr>
          <w:rFonts w:cs="Arial"/>
          <w:lang w:eastAsia="en-AU"/>
        </w:rPr>
        <w:t>, France-Hudson</w:t>
      </w:r>
      <w:r w:rsidRPr="005D6D89">
        <w:rPr>
          <w:rFonts w:cs="Arial"/>
          <w:lang w:eastAsia="en-AU"/>
        </w:rPr>
        <w:t xml:space="preserve"> B</w:t>
      </w:r>
      <w:r>
        <w:rPr>
          <w:rFonts w:cs="Arial"/>
          <w:lang w:eastAsia="en-AU"/>
        </w:rPr>
        <w:t xml:space="preserve"> </w:t>
      </w:r>
      <w:r w:rsidRPr="005D6D89">
        <w:rPr>
          <w:rFonts w:cs="Arial"/>
          <w:lang w:eastAsia="en-AU"/>
        </w:rPr>
        <w:t>T</w:t>
      </w:r>
      <w:r>
        <w:rPr>
          <w:rFonts w:cs="Arial"/>
          <w:lang w:eastAsia="en-AU"/>
        </w:rPr>
        <w:t xml:space="preserve"> and Klivington</w:t>
      </w:r>
      <w:r w:rsidRPr="005D6D89">
        <w:rPr>
          <w:rFonts w:cs="Arial"/>
          <w:lang w:eastAsia="en-AU"/>
        </w:rPr>
        <w:t xml:space="preserve"> M</w:t>
      </w:r>
      <w:r>
        <w:rPr>
          <w:rFonts w:cs="Arial"/>
          <w:lang w:eastAsia="en-AU"/>
        </w:rPr>
        <w:t xml:space="preserve"> </w:t>
      </w:r>
      <w:r w:rsidRPr="005D6D89">
        <w:rPr>
          <w:rFonts w:cs="Arial"/>
          <w:lang w:eastAsia="en-AU"/>
        </w:rPr>
        <w:t>J</w:t>
      </w:r>
      <w:r>
        <w:rPr>
          <w:rFonts w:cs="Arial"/>
          <w:lang w:eastAsia="en-AU"/>
        </w:rPr>
        <w:t>.</w:t>
      </w:r>
      <w:r w:rsidRPr="005D6D89">
        <w:rPr>
          <w:rFonts w:cs="Arial"/>
          <w:lang w:eastAsia="en-AU"/>
        </w:rPr>
        <w:t xml:space="preserve"> (2019). </w:t>
      </w:r>
      <w:r w:rsidRPr="005D6D89">
        <w:rPr>
          <w:rFonts w:cs="Arial"/>
          <w:i/>
          <w:iCs/>
          <w:lang w:eastAsia="en-AU"/>
        </w:rPr>
        <w:t>Reducing risk through the management of existing uses: tensions under the RMA</w:t>
      </w:r>
      <w:r w:rsidRPr="005D6D89">
        <w:rPr>
          <w:rFonts w:cs="Arial"/>
          <w:lang w:eastAsia="en-AU"/>
        </w:rPr>
        <w:t xml:space="preserve">. Lower Hutt (NZ): GNS Science. </w:t>
      </w:r>
      <w:r>
        <w:rPr>
          <w:rFonts w:cs="Arial"/>
          <w:lang w:eastAsia="en-AU"/>
        </w:rPr>
        <w:t>p131</w:t>
      </w:r>
      <w:r w:rsidRPr="005D6D89">
        <w:rPr>
          <w:rFonts w:cs="Arial"/>
          <w:lang w:eastAsia="en-AU"/>
        </w:rPr>
        <w:t xml:space="preserve">. (GNS Science report; 2019/55). </w:t>
      </w:r>
    </w:p>
    <w:p w14:paraId="642EA77E" w14:textId="77777777" w:rsidR="007D0B70" w:rsidRPr="005D6D89" w:rsidRDefault="007D0B70" w:rsidP="007D0B70">
      <w:pPr>
        <w:pStyle w:val="References"/>
        <w:rPr>
          <w:rFonts w:cs="Arial"/>
        </w:rPr>
      </w:pPr>
      <w:r w:rsidRPr="005D6D89">
        <w:rPr>
          <w:rFonts w:cs="Arial"/>
          <w:lang w:eastAsia="en-AU"/>
        </w:rPr>
        <w:t xml:space="preserve">Greater Wellington Regional Council. (2015). </w:t>
      </w:r>
      <w:r w:rsidRPr="005D6D89">
        <w:rPr>
          <w:rFonts w:cs="Arial"/>
          <w:i/>
          <w:iCs/>
          <w:lang w:eastAsia="en-AU"/>
        </w:rPr>
        <w:t>Flood protection: Option flexibility and its value Hutt River City Centre Upgrade River Corridor Options Report</w:t>
      </w:r>
      <w:r w:rsidRPr="005D6D89">
        <w:rPr>
          <w:rFonts w:cs="Arial"/>
          <w:lang w:eastAsia="en-AU"/>
        </w:rPr>
        <w:t>. Prepared for GWRC by Infometrics and PS Consulting Ltd. Greater Wellington Regional Council, Wellington.</w:t>
      </w:r>
    </w:p>
    <w:p w14:paraId="6CDC78D1" w14:textId="77777777" w:rsidR="007D0B70" w:rsidRPr="005D6D89" w:rsidRDefault="007D0B70" w:rsidP="007D0B70">
      <w:pPr>
        <w:pStyle w:val="References"/>
        <w:rPr>
          <w:rFonts w:cs="Arial"/>
        </w:rPr>
      </w:pPr>
      <w:r>
        <w:rPr>
          <w:rFonts w:cs="Arial"/>
        </w:rPr>
        <w:t>Guerin</w:t>
      </w:r>
      <w:r w:rsidRPr="005D6D89">
        <w:rPr>
          <w:rFonts w:cs="Arial"/>
        </w:rPr>
        <w:t xml:space="preserve"> K. (2007). </w:t>
      </w:r>
      <w:r>
        <w:rPr>
          <w:rFonts w:cs="Arial"/>
          <w:i/>
          <w:iCs/>
        </w:rPr>
        <w:t>Adaptive governance and evolving solutions to natural resource c</w:t>
      </w:r>
      <w:r w:rsidRPr="005D6D89">
        <w:rPr>
          <w:rFonts w:cs="Arial"/>
          <w:i/>
          <w:iCs/>
        </w:rPr>
        <w:t>onflicts. New Zealand Government</w:t>
      </w:r>
      <w:r w:rsidRPr="005D6D89">
        <w:rPr>
          <w:rFonts w:cs="Arial"/>
        </w:rPr>
        <w:t>. Wellington: The Treasury.</w:t>
      </w:r>
    </w:p>
    <w:p w14:paraId="6113E747" w14:textId="77777777" w:rsidR="007D0B70" w:rsidRPr="005D6D89" w:rsidRDefault="007D0B70" w:rsidP="007D0B70">
      <w:pPr>
        <w:pStyle w:val="References"/>
        <w:rPr>
          <w:rFonts w:cs="Arial"/>
        </w:rPr>
      </w:pPr>
      <w:r>
        <w:rPr>
          <w:rFonts w:cs="Arial"/>
        </w:rPr>
        <w:t>Guillard-Goncalves</w:t>
      </w:r>
      <w:r w:rsidRPr="005D6D89">
        <w:rPr>
          <w:rFonts w:cs="Arial"/>
        </w:rPr>
        <w:t xml:space="preserve"> C</w:t>
      </w:r>
      <w:r>
        <w:rPr>
          <w:rFonts w:cs="Arial"/>
        </w:rPr>
        <w:t>, Pereira</w:t>
      </w:r>
      <w:r w:rsidRPr="005D6D89">
        <w:rPr>
          <w:rFonts w:cs="Arial"/>
        </w:rPr>
        <w:t xml:space="preserve"> S</w:t>
      </w:r>
      <w:r>
        <w:rPr>
          <w:rFonts w:cs="Arial"/>
        </w:rPr>
        <w:t>, Garcia</w:t>
      </w:r>
      <w:r w:rsidRPr="005D6D89">
        <w:rPr>
          <w:rFonts w:cs="Arial"/>
        </w:rPr>
        <w:t xml:space="preserve"> R</w:t>
      </w:r>
      <w:r>
        <w:rPr>
          <w:rFonts w:cs="Arial"/>
        </w:rPr>
        <w:t xml:space="preserve"> and Zezere</w:t>
      </w:r>
      <w:r w:rsidRPr="005D6D89">
        <w:rPr>
          <w:rFonts w:cs="Arial"/>
        </w:rPr>
        <w:t xml:space="preserve"> J. (2016). Assessment of physical vulnerability of buildings and analysis of landslide risk at the municipal scale: Application to the Loures municipality, Portugal. </w:t>
      </w:r>
      <w:r w:rsidRPr="005D6D89">
        <w:rPr>
          <w:rFonts w:cs="Arial"/>
          <w:i/>
          <w:iCs/>
        </w:rPr>
        <w:t>Natural Hazards and Earth Systems</w:t>
      </w:r>
      <w:r w:rsidRPr="005D6D89">
        <w:rPr>
          <w:rFonts w:cs="Arial"/>
        </w:rPr>
        <w:t>, 16.</w:t>
      </w:r>
    </w:p>
    <w:p w14:paraId="539C8AA6" w14:textId="77777777" w:rsidR="007D0B70" w:rsidRPr="005D6D89" w:rsidRDefault="007D0B70" w:rsidP="007D0B70">
      <w:pPr>
        <w:pStyle w:val="References"/>
        <w:rPr>
          <w:rFonts w:cs="Arial"/>
        </w:rPr>
      </w:pPr>
      <w:r>
        <w:rPr>
          <w:rFonts w:cs="Arial"/>
        </w:rPr>
        <w:t>Halloy</w:t>
      </w:r>
      <w:r w:rsidRPr="005D6D89">
        <w:rPr>
          <w:rFonts w:cs="Arial"/>
        </w:rPr>
        <w:t xml:space="preserve"> S R</w:t>
      </w:r>
      <w:r>
        <w:rPr>
          <w:rFonts w:cs="Arial"/>
        </w:rPr>
        <w:t xml:space="preserve"> and Mark A F. (2003). Climate-change effects on alpine plant biodiversity: A New Zealand perspective on quantifying the t</w:t>
      </w:r>
      <w:r w:rsidRPr="005D6D89">
        <w:rPr>
          <w:rFonts w:cs="Arial"/>
        </w:rPr>
        <w:t xml:space="preserve">hreat. </w:t>
      </w:r>
      <w:r w:rsidRPr="005D6D89">
        <w:rPr>
          <w:rFonts w:cs="Arial"/>
          <w:i/>
          <w:iCs/>
        </w:rPr>
        <w:t>Arctic, Antarctic</w:t>
      </w:r>
      <w:r>
        <w:rPr>
          <w:rFonts w:cs="Arial"/>
          <w:i/>
          <w:iCs/>
        </w:rPr>
        <w:t xml:space="preserve"> and</w:t>
      </w:r>
      <w:r w:rsidRPr="005D6D89">
        <w:rPr>
          <w:rFonts w:cs="Arial"/>
          <w:i/>
          <w:iCs/>
        </w:rPr>
        <w:t xml:space="preserve"> Alpine Research</w:t>
      </w:r>
      <w:r w:rsidRPr="005D6D89">
        <w:rPr>
          <w:rFonts w:cs="Arial"/>
        </w:rPr>
        <w:t>, 35(2), 248–254.</w:t>
      </w:r>
    </w:p>
    <w:p w14:paraId="377FE5CF" w14:textId="77777777" w:rsidR="007D0B70" w:rsidRPr="005D6D89" w:rsidRDefault="007D0B70" w:rsidP="007D0B70">
      <w:pPr>
        <w:pStyle w:val="References"/>
        <w:rPr>
          <w:rFonts w:cs="Arial"/>
        </w:rPr>
      </w:pPr>
      <w:r>
        <w:rPr>
          <w:rFonts w:cs="Arial"/>
        </w:rPr>
        <w:t>Hamilton</w:t>
      </w:r>
      <w:r w:rsidRPr="005D6D89">
        <w:rPr>
          <w:rFonts w:cs="Arial"/>
        </w:rPr>
        <w:t xml:space="preserve"> D P</w:t>
      </w:r>
      <w:r>
        <w:rPr>
          <w:rFonts w:cs="Arial"/>
        </w:rPr>
        <w:t>,</w:t>
      </w:r>
      <w:r w:rsidRPr="005D6D89">
        <w:rPr>
          <w:rFonts w:cs="Arial"/>
        </w:rPr>
        <w:t xml:space="preserve"> McBri</w:t>
      </w:r>
      <w:r>
        <w:rPr>
          <w:rFonts w:cs="Arial"/>
        </w:rPr>
        <w:t>de</w:t>
      </w:r>
      <w:r w:rsidRPr="005D6D89">
        <w:rPr>
          <w:rFonts w:cs="Arial"/>
        </w:rPr>
        <w:t xml:space="preserve"> C</w:t>
      </w:r>
      <w:r>
        <w:rPr>
          <w:rFonts w:cs="Arial"/>
        </w:rPr>
        <w:t>, Ozkundakci</w:t>
      </w:r>
      <w:r w:rsidRPr="005D6D89">
        <w:rPr>
          <w:rFonts w:cs="Arial"/>
        </w:rPr>
        <w:t xml:space="preserve"> D</w:t>
      </w:r>
      <w:r>
        <w:rPr>
          <w:rFonts w:cs="Arial"/>
        </w:rPr>
        <w:t>, Schallenberg</w:t>
      </w:r>
      <w:r w:rsidRPr="005D6D89">
        <w:rPr>
          <w:rFonts w:cs="Arial"/>
        </w:rPr>
        <w:t xml:space="preserve"> M</w:t>
      </w:r>
      <w:r>
        <w:rPr>
          <w:rFonts w:cs="Arial"/>
        </w:rPr>
        <w:t>, Verburg</w:t>
      </w:r>
      <w:r w:rsidRPr="005D6D89">
        <w:rPr>
          <w:rFonts w:cs="Arial"/>
        </w:rPr>
        <w:t xml:space="preserve"> P</w:t>
      </w:r>
      <w:r>
        <w:rPr>
          <w:rFonts w:cs="Arial"/>
        </w:rPr>
        <w:t>, de Winton</w:t>
      </w:r>
      <w:r w:rsidRPr="005D6D89">
        <w:rPr>
          <w:rFonts w:cs="Arial"/>
        </w:rPr>
        <w:t xml:space="preserve"> M</w:t>
      </w:r>
      <w:r>
        <w:rPr>
          <w:rFonts w:cs="Arial"/>
        </w:rPr>
        <w:t xml:space="preserve"> ... Ye W. (2013). Effects of climate change on New Zealand l</w:t>
      </w:r>
      <w:r w:rsidRPr="005D6D89">
        <w:rPr>
          <w:rFonts w:cs="Arial"/>
        </w:rPr>
        <w:t>akes. In C R Goldman, M Kumagai</w:t>
      </w:r>
      <w:r>
        <w:rPr>
          <w:rFonts w:cs="Arial"/>
        </w:rPr>
        <w:t xml:space="preserve"> and</w:t>
      </w:r>
      <w:r w:rsidRPr="005D6D89">
        <w:rPr>
          <w:rFonts w:cs="Arial"/>
        </w:rPr>
        <w:t xml:space="preserve"> R D Robarts, </w:t>
      </w:r>
      <w:r>
        <w:rPr>
          <w:rFonts w:cs="Arial"/>
          <w:i/>
          <w:iCs/>
        </w:rPr>
        <w:t>Climatic change and global warming of inland waters: Impacts and m</w:t>
      </w:r>
      <w:r w:rsidRPr="005D6D89">
        <w:rPr>
          <w:rFonts w:cs="Arial"/>
          <w:i/>
          <w:iCs/>
        </w:rPr>
        <w:t>itigation for</w:t>
      </w:r>
      <w:r>
        <w:rPr>
          <w:rFonts w:cs="Arial"/>
          <w:i/>
          <w:iCs/>
        </w:rPr>
        <w:t xml:space="preserve"> ecosystems and s</w:t>
      </w:r>
      <w:r w:rsidRPr="005D6D89">
        <w:rPr>
          <w:rFonts w:cs="Arial"/>
          <w:i/>
          <w:iCs/>
        </w:rPr>
        <w:t>ocieties</w:t>
      </w:r>
      <w:r w:rsidRPr="005D6D89">
        <w:rPr>
          <w:rFonts w:cs="Arial"/>
        </w:rPr>
        <w:t xml:space="preserve"> (pp 337–366). John Wiley and Sons, Ltd.</w:t>
      </w:r>
    </w:p>
    <w:p w14:paraId="40A0186E" w14:textId="77777777" w:rsidR="007D0B70" w:rsidRPr="005D6D89" w:rsidRDefault="007D0B70" w:rsidP="007D0B70">
      <w:pPr>
        <w:pStyle w:val="References"/>
        <w:rPr>
          <w:rFonts w:cs="Arial"/>
        </w:rPr>
      </w:pPr>
      <w:r>
        <w:rPr>
          <w:rFonts w:cs="Arial"/>
        </w:rPr>
        <w:t>Hanna</w:t>
      </w:r>
      <w:r w:rsidRPr="005D6D89">
        <w:rPr>
          <w:rFonts w:cs="Arial"/>
        </w:rPr>
        <w:t xml:space="preserve"> C</w:t>
      </w:r>
      <w:r>
        <w:rPr>
          <w:rFonts w:cs="Arial"/>
        </w:rPr>
        <w:t>, White</w:t>
      </w:r>
      <w:r w:rsidRPr="005D6D89">
        <w:rPr>
          <w:rFonts w:cs="Arial"/>
        </w:rPr>
        <w:t xml:space="preserve"> I</w:t>
      </w:r>
      <w:r>
        <w:rPr>
          <w:rFonts w:cs="Arial"/>
        </w:rPr>
        <w:t xml:space="preserve"> and Glavovic</w:t>
      </w:r>
      <w:r w:rsidRPr="005D6D89">
        <w:rPr>
          <w:rFonts w:cs="Arial"/>
        </w:rPr>
        <w:t xml:space="preserve"> B. (2018). </w:t>
      </w:r>
      <w:r w:rsidRPr="005D6D89">
        <w:rPr>
          <w:rFonts w:cs="Arial"/>
          <w:i/>
          <w:iCs/>
        </w:rPr>
        <w:t>Managed retreat governance: Insights from Matatā, New Zealand</w:t>
      </w:r>
      <w:r w:rsidRPr="005D6D89">
        <w:rPr>
          <w:rFonts w:cs="Arial"/>
        </w:rPr>
        <w:t xml:space="preserve"> (Issue August).</w:t>
      </w:r>
    </w:p>
    <w:p w14:paraId="58D612D2" w14:textId="77777777" w:rsidR="007D0B70" w:rsidRPr="005D6D89" w:rsidRDefault="007D0B70" w:rsidP="007D0B70">
      <w:pPr>
        <w:pStyle w:val="References"/>
        <w:rPr>
          <w:rFonts w:cs="Arial"/>
        </w:rPr>
      </w:pPr>
      <w:r>
        <w:rPr>
          <w:rFonts w:cs="Arial"/>
        </w:rPr>
        <w:t>Harmsworth</w:t>
      </w:r>
      <w:r w:rsidRPr="005D6D89">
        <w:rPr>
          <w:rFonts w:cs="Arial"/>
        </w:rPr>
        <w:t xml:space="preserve"> G R</w:t>
      </w:r>
      <w:r>
        <w:rPr>
          <w:rFonts w:cs="Arial"/>
        </w:rPr>
        <w:t xml:space="preserve"> and Awatere S. (2013). Indigenous Māori k</w:t>
      </w:r>
      <w:r w:rsidRPr="005D6D89">
        <w:rPr>
          <w:rFonts w:cs="Arial"/>
        </w:rPr>
        <w:t>nowledge a</w:t>
      </w:r>
      <w:r>
        <w:rPr>
          <w:rFonts w:cs="Arial"/>
        </w:rPr>
        <w:t>nd perspectives of e</w:t>
      </w:r>
      <w:r w:rsidRPr="005D6D89">
        <w:rPr>
          <w:rFonts w:cs="Arial"/>
        </w:rPr>
        <w:t xml:space="preserve">cosystems. </w:t>
      </w:r>
      <w:r>
        <w:rPr>
          <w:rFonts w:cs="Arial"/>
          <w:i/>
          <w:iCs/>
        </w:rPr>
        <w:t>Ecosystem s</w:t>
      </w:r>
      <w:r w:rsidRPr="005D6D89">
        <w:rPr>
          <w:rFonts w:cs="Arial"/>
          <w:i/>
          <w:iCs/>
        </w:rPr>
        <w:t>ervices i</w:t>
      </w:r>
      <w:r>
        <w:rPr>
          <w:rFonts w:cs="Arial"/>
          <w:i/>
          <w:iCs/>
        </w:rPr>
        <w:t>n New Zealand – Conditions and t</w:t>
      </w:r>
      <w:r w:rsidRPr="005D6D89">
        <w:rPr>
          <w:rFonts w:cs="Arial"/>
          <w:i/>
          <w:iCs/>
        </w:rPr>
        <w:t>rends</w:t>
      </w:r>
      <w:r w:rsidRPr="005D6D89">
        <w:rPr>
          <w:rFonts w:cs="Arial"/>
        </w:rPr>
        <w:t>.</w:t>
      </w:r>
    </w:p>
    <w:p w14:paraId="279CDA7B" w14:textId="77777777" w:rsidR="007D0B70" w:rsidRPr="005D6D89" w:rsidRDefault="007D0B70" w:rsidP="007D0B70">
      <w:pPr>
        <w:pStyle w:val="References"/>
        <w:rPr>
          <w:rFonts w:cs="Arial"/>
        </w:rPr>
      </w:pPr>
      <w:r>
        <w:rPr>
          <w:rFonts w:cs="Arial"/>
        </w:rPr>
        <w:t>Harrington</w:t>
      </w:r>
      <w:r w:rsidRPr="005D6D89">
        <w:rPr>
          <w:rFonts w:cs="Arial"/>
        </w:rPr>
        <w:t xml:space="preserve"> L J</w:t>
      </w:r>
      <w:r>
        <w:rPr>
          <w:rFonts w:cs="Arial"/>
        </w:rPr>
        <w:t>, Gibson</w:t>
      </w:r>
      <w:r w:rsidRPr="005D6D89">
        <w:rPr>
          <w:rFonts w:cs="Arial"/>
        </w:rPr>
        <w:t xml:space="preserve"> P B</w:t>
      </w:r>
      <w:r>
        <w:rPr>
          <w:rFonts w:cs="Arial"/>
        </w:rPr>
        <w:t>, Dean</w:t>
      </w:r>
      <w:r w:rsidRPr="005D6D89">
        <w:rPr>
          <w:rFonts w:cs="Arial"/>
        </w:rPr>
        <w:t xml:space="preserve"> S M</w:t>
      </w:r>
      <w:r>
        <w:rPr>
          <w:rFonts w:cs="Arial"/>
        </w:rPr>
        <w:t>, Mitchell</w:t>
      </w:r>
      <w:r w:rsidRPr="005D6D89">
        <w:rPr>
          <w:rFonts w:cs="Arial"/>
        </w:rPr>
        <w:t xml:space="preserve"> D</w:t>
      </w:r>
      <w:r>
        <w:rPr>
          <w:rFonts w:cs="Arial"/>
        </w:rPr>
        <w:t>, Rosier</w:t>
      </w:r>
      <w:r w:rsidRPr="005D6D89">
        <w:rPr>
          <w:rFonts w:cs="Arial"/>
        </w:rPr>
        <w:t xml:space="preserve"> S M</w:t>
      </w:r>
      <w:r>
        <w:rPr>
          <w:rFonts w:cs="Arial"/>
        </w:rPr>
        <w:t xml:space="preserve"> and Frame</w:t>
      </w:r>
      <w:r w:rsidRPr="005D6D89">
        <w:rPr>
          <w:rFonts w:cs="Arial"/>
        </w:rPr>
        <w:t xml:space="preserve"> D J. (2016). Investigating event-specific drought attribution using self-organizing maps. </w:t>
      </w:r>
      <w:r w:rsidRPr="005D6D89">
        <w:rPr>
          <w:rFonts w:cs="Arial"/>
          <w:i/>
          <w:iCs/>
        </w:rPr>
        <w:t>Geophysical Research: Atmospheres</w:t>
      </w:r>
      <w:r w:rsidRPr="005D6D89">
        <w:rPr>
          <w:rFonts w:cs="Arial"/>
        </w:rPr>
        <w:t>, 121(21).</w:t>
      </w:r>
    </w:p>
    <w:p w14:paraId="47767281" w14:textId="77777777" w:rsidR="007D0B70" w:rsidRPr="005D6D89" w:rsidRDefault="007D0B70" w:rsidP="007D0B70">
      <w:pPr>
        <w:pStyle w:val="References"/>
        <w:rPr>
          <w:rFonts w:cs="Arial"/>
          <w:color w:val="000000" w:themeColor="text1"/>
        </w:rPr>
      </w:pPr>
      <w:r w:rsidRPr="005D6D89">
        <w:t>Hawke</w:t>
      </w:r>
      <w:r>
        <w:t>’</w:t>
      </w:r>
      <w:r w:rsidRPr="005D6D89">
        <w:t xml:space="preserve">s Bay Regional Council. (2016). </w:t>
      </w:r>
      <w:r w:rsidRPr="005D6D89">
        <w:rPr>
          <w:i/>
          <w:iCs/>
        </w:rPr>
        <w:t>Clifton to Tangoio Coastal Hazards Strategy 2120.</w:t>
      </w:r>
      <w:r w:rsidRPr="005D6D89">
        <w:t xml:space="preserve"> Retrieved from </w:t>
      </w:r>
      <w:hyperlink r:id="rId81" w:history="1">
        <w:r w:rsidRPr="005D6D89">
          <w:rPr>
            <w:rStyle w:val="Hyperlink"/>
          </w:rPr>
          <w:t>https://ref.coastalrestorationtrust.org.nz/site/assets/files/8306/clifton-to-tangoio-coastal-hazard-strategy-2120-draft-aug-2016.pdf</w:t>
        </w:r>
      </w:hyperlink>
    </w:p>
    <w:p w14:paraId="2613A631" w14:textId="77777777" w:rsidR="007D0B70" w:rsidRPr="005D6D89" w:rsidRDefault="007D0B70" w:rsidP="007D0B70">
      <w:pPr>
        <w:pStyle w:val="References"/>
        <w:rPr>
          <w:rFonts w:cs="Arial"/>
          <w:color w:val="000000" w:themeColor="text1"/>
        </w:rPr>
      </w:pPr>
      <w:r>
        <w:rPr>
          <w:rFonts w:cs="Arial"/>
          <w:color w:val="000000" w:themeColor="text1"/>
        </w:rPr>
        <w:t>Hayward</w:t>
      </w:r>
      <w:r w:rsidRPr="005D6D89">
        <w:rPr>
          <w:rFonts w:cs="Arial"/>
          <w:color w:val="000000" w:themeColor="text1"/>
        </w:rPr>
        <w:t xml:space="preserve"> B. (2008a). </w:t>
      </w:r>
      <w:proofErr w:type="gramStart"/>
      <w:r w:rsidRPr="005D6D89">
        <w:rPr>
          <w:rFonts w:cs="Arial"/>
          <w:color w:val="000000" w:themeColor="text1"/>
        </w:rPr>
        <w:t>Let</w:t>
      </w:r>
      <w:r>
        <w:rPr>
          <w:rFonts w:cs="Arial"/>
          <w:color w:val="000000" w:themeColor="text1"/>
        </w:rPr>
        <w:t>’s</w:t>
      </w:r>
      <w:proofErr w:type="gramEnd"/>
      <w:r>
        <w:rPr>
          <w:rFonts w:cs="Arial"/>
          <w:color w:val="000000" w:themeColor="text1"/>
        </w:rPr>
        <w:t xml:space="preserve"> talk about the w</w:t>
      </w:r>
      <w:r w:rsidRPr="005D6D89">
        <w:rPr>
          <w:rFonts w:cs="Arial"/>
          <w:color w:val="000000" w:themeColor="text1"/>
        </w:rPr>
        <w:t xml:space="preserve">eather: Decentering democratic debate about climate change. </w:t>
      </w:r>
      <w:r w:rsidRPr="005D6D89">
        <w:rPr>
          <w:rFonts w:cs="Arial"/>
          <w:i/>
          <w:iCs/>
          <w:color w:val="000000" w:themeColor="text1"/>
        </w:rPr>
        <w:t>Hypatia</w:t>
      </w:r>
      <w:r w:rsidRPr="005D6D89">
        <w:rPr>
          <w:rFonts w:cs="Arial"/>
          <w:color w:val="000000" w:themeColor="text1"/>
        </w:rPr>
        <w:t xml:space="preserve">, </w:t>
      </w:r>
      <w:r w:rsidRPr="005D6D89">
        <w:rPr>
          <w:rFonts w:cs="Arial"/>
          <w:i/>
          <w:iCs/>
          <w:color w:val="000000" w:themeColor="text1"/>
        </w:rPr>
        <w:t>23</w:t>
      </w:r>
      <w:r w:rsidRPr="005D6D89">
        <w:rPr>
          <w:rFonts w:cs="Arial"/>
          <w:color w:val="000000" w:themeColor="text1"/>
        </w:rPr>
        <w:t xml:space="preserve">(3), 79–98. </w:t>
      </w:r>
      <w:hyperlink r:id="rId82" w:history="1">
        <w:r w:rsidRPr="005D6D89">
          <w:rPr>
            <w:rStyle w:val="Hyperlink"/>
          </w:rPr>
          <w:t>https://doi.org/10.1111/j.1527-2001.2008.tb01206.x</w:t>
        </w:r>
      </w:hyperlink>
    </w:p>
    <w:p w14:paraId="5ADB6BC8" w14:textId="77777777" w:rsidR="007D0B70" w:rsidRPr="005D6D89" w:rsidRDefault="007D0B70" w:rsidP="007D0B70">
      <w:pPr>
        <w:pStyle w:val="References"/>
        <w:rPr>
          <w:rFonts w:cs="Arial"/>
        </w:rPr>
      </w:pPr>
      <w:r>
        <w:rPr>
          <w:rFonts w:cs="Arial"/>
        </w:rPr>
        <w:t>Hayward</w:t>
      </w:r>
      <w:r w:rsidRPr="005D6D89">
        <w:rPr>
          <w:rFonts w:cs="Arial"/>
        </w:rPr>
        <w:t xml:space="preserve"> B. </w:t>
      </w:r>
      <w:r>
        <w:rPr>
          <w:rFonts w:cs="Arial"/>
        </w:rPr>
        <w:t>(2008b). Nowhere far from the sea</w:t>
      </w:r>
      <w:r w:rsidRPr="005D6D89">
        <w:rPr>
          <w:rFonts w:cs="Arial"/>
        </w:rPr>
        <w:t xml:space="preserve">: Political challenges of coastal adaptation to climate change in New Zealand. </w:t>
      </w:r>
      <w:r w:rsidRPr="005D6D89">
        <w:rPr>
          <w:rFonts w:cs="Arial"/>
          <w:i/>
          <w:iCs/>
        </w:rPr>
        <w:t>Political Science</w:t>
      </w:r>
      <w:r w:rsidRPr="005D6D89">
        <w:rPr>
          <w:rFonts w:cs="Arial"/>
        </w:rPr>
        <w:t xml:space="preserve">, </w:t>
      </w:r>
      <w:r w:rsidRPr="005D6D89">
        <w:rPr>
          <w:rFonts w:cs="Arial"/>
          <w:i/>
          <w:iCs/>
        </w:rPr>
        <w:t>60</w:t>
      </w:r>
      <w:r w:rsidRPr="005D6D89">
        <w:rPr>
          <w:rFonts w:cs="Arial"/>
        </w:rPr>
        <w:t xml:space="preserve">(1), 47–59. </w:t>
      </w:r>
    </w:p>
    <w:p w14:paraId="2EC2CA86" w14:textId="77777777" w:rsidR="007D0B70" w:rsidRPr="005D6D89" w:rsidRDefault="007D0B70" w:rsidP="007D0B70">
      <w:pPr>
        <w:pStyle w:val="References"/>
        <w:rPr>
          <w:rFonts w:cs="Arial"/>
        </w:rPr>
      </w:pPr>
      <w:r>
        <w:rPr>
          <w:rFonts w:cs="Arial"/>
        </w:rPr>
        <w:t>Hendy</w:t>
      </w:r>
      <w:r w:rsidRPr="005D6D89">
        <w:rPr>
          <w:rFonts w:cs="Arial"/>
        </w:rPr>
        <w:t xml:space="preserve"> J</w:t>
      </w:r>
      <w:r>
        <w:rPr>
          <w:rFonts w:cs="Arial"/>
        </w:rPr>
        <w:t>, Halliday</w:t>
      </w:r>
      <w:r w:rsidRPr="005D6D89">
        <w:rPr>
          <w:rFonts w:cs="Arial"/>
        </w:rPr>
        <w:t xml:space="preserve"> A</w:t>
      </w:r>
      <w:r>
        <w:rPr>
          <w:rFonts w:cs="Arial"/>
        </w:rPr>
        <w:t>, Ausseil</w:t>
      </w:r>
      <w:r w:rsidRPr="005D6D89">
        <w:rPr>
          <w:rFonts w:cs="Arial"/>
        </w:rPr>
        <w:t xml:space="preserve"> A</w:t>
      </w:r>
      <w:r>
        <w:rPr>
          <w:rFonts w:cs="Arial"/>
        </w:rPr>
        <w:t>, Burton</w:t>
      </w:r>
      <w:r w:rsidRPr="005D6D89">
        <w:rPr>
          <w:rFonts w:cs="Arial"/>
        </w:rPr>
        <w:t xml:space="preserve"> R</w:t>
      </w:r>
      <w:r>
        <w:rPr>
          <w:rFonts w:cs="Arial"/>
        </w:rPr>
        <w:t>, Bell</w:t>
      </w:r>
      <w:r w:rsidRPr="005D6D89">
        <w:rPr>
          <w:rFonts w:cs="Arial"/>
        </w:rPr>
        <w:t xml:space="preserve"> K</w:t>
      </w:r>
      <w:r>
        <w:rPr>
          <w:rFonts w:cs="Arial"/>
        </w:rPr>
        <w:t>, Deans</w:t>
      </w:r>
      <w:r w:rsidRPr="005D6D89">
        <w:rPr>
          <w:rFonts w:cs="Arial"/>
        </w:rPr>
        <w:t xml:space="preserve"> N</w:t>
      </w:r>
      <w:r>
        <w:rPr>
          <w:rFonts w:cs="Arial"/>
        </w:rPr>
        <w:t xml:space="preserve"> ... Zammit</w:t>
      </w:r>
      <w:r w:rsidRPr="005D6D89">
        <w:rPr>
          <w:rFonts w:cs="Arial"/>
        </w:rPr>
        <w:t xml:space="preserve"> C. (2018). </w:t>
      </w:r>
      <w:r>
        <w:rPr>
          <w:rFonts w:cs="Arial"/>
          <w:i/>
          <w:iCs/>
        </w:rPr>
        <w:t>D</w:t>
      </w:r>
      <w:r w:rsidRPr="005D6D89">
        <w:rPr>
          <w:rFonts w:cs="Arial"/>
          <w:i/>
          <w:iCs/>
        </w:rPr>
        <w:t>rought and climate change adaptation: impacts and projections</w:t>
      </w:r>
      <w:r w:rsidRPr="005D6D89">
        <w:rPr>
          <w:rFonts w:cs="Arial"/>
        </w:rPr>
        <w:t>. Motu, Deep South Science Challenge.</w:t>
      </w:r>
    </w:p>
    <w:p w14:paraId="01E03B9E" w14:textId="77777777" w:rsidR="007D0B70" w:rsidRPr="005D6D89" w:rsidRDefault="007D0B70" w:rsidP="007D0B70">
      <w:pPr>
        <w:pStyle w:val="References"/>
        <w:rPr>
          <w:rFonts w:cs="Arial"/>
        </w:rPr>
      </w:pPr>
      <w:r>
        <w:rPr>
          <w:rFonts w:cs="Arial"/>
        </w:rPr>
        <w:t>Hennessy</w:t>
      </w:r>
      <w:r w:rsidRPr="005D6D89">
        <w:rPr>
          <w:rFonts w:cs="Arial"/>
        </w:rPr>
        <w:t xml:space="preserve"> K</w:t>
      </w:r>
      <w:r>
        <w:rPr>
          <w:rFonts w:cs="Arial"/>
        </w:rPr>
        <w:t>, Fitzharris</w:t>
      </w:r>
      <w:r w:rsidRPr="005D6D89">
        <w:rPr>
          <w:rFonts w:cs="Arial"/>
        </w:rPr>
        <w:t xml:space="preserve"> B</w:t>
      </w:r>
      <w:r>
        <w:rPr>
          <w:rFonts w:cs="Arial"/>
        </w:rPr>
        <w:t>,</w:t>
      </w:r>
      <w:r w:rsidRPr="005D6D89">
        <w:rPr>
          <w:rFonts w:cs="Arial"/>
        </w:rPr>
        <w:t xml:space="preserve"> Bates B</w:t>
      </w:r>
      <w:r>
        <w:rPr>
          <w:rFonts w:cs="Arial"/>
        </w:rPr>
        <w:t>,</w:t>
      </w:r>
      <w:r w:rsidRPr="005D6D89">
        <w:rPr>
          <w:rFonts w:cs="Arial"/>
        </w:rPr>
        <w:t xml:space="preserve"> Harvey N</w:t>
      </w:r>
      <w:r>
        <w:rPr>
          <w:rFonts w:cs="Arial"/>
        </w:rPr>
        <w:t>,</w:t>
      </w:r>
      <w:r w:rsidRPr="005D6D89">
        <w:rPr>
          <w:rFonts w:cs="Arial"/>
        </w:rPr>
        <w:t xml:space="preserve"> Howden M</w:t>
      </w:r>
      <w:r>
        <w:rPr>
          <w:rFonts w:cs="Arial"/>
        </w:rPr>
        <w:t>,</w:t>
      </w:r>
      <w:r w:rsidRPr="005D6D89">
        <w:rPr>
          <w:rFonts w:cs="Arial"/>
        </w:rPr>
        <w:t xml:space="preserve"> Hughes L</w:t>
      </w:r>
      <w:r>
        <w:rPr>
          <w:rFonts w:cs="Arial"/>
        </w:rPr>
        <w:t>,</w:t>
      </w:r>
      <w:r w:rsidRPr="005D6D89">
        <w:rPr>
          <w:rFonts w:cs="Arial"/>
        </w:rPr>
        <w:t xml:space="preserve"> Warrick R. (2007). Australian and New Zealand. In </w:t>
      </w:r>
      <w:r w:rsidRPr="005D6D89">
        <w:rPr>
          <w:rFonts w:cs="Arial"/>
          <w:i/>
          <w:iCs/>
        </w:rPr>
        <w:t>Clima</w:t>
      </w:r>
      <w:r>
        <w:rPr>
          <w:rFonts w:cs="Arial"/>
          <w:i/>
          <w:iCs/>
        </w:rPr>
        <w:t>te Change 2007: Impacts, adaptation and v</w:t>
      </w:r>
      <w:r w:rsidRPr="005D6D89">
        <w:rPr>
          <w:rFonts w:cs="Arial"/>
          <w:i/>
          <w:iCs/>
        </w:rPr>
        <w:t>ulnerability</w:t>
      </w:r>
      <w:r w:rsidRPr="005D6D89">
        <w:rPr>
          <w:rFonts w:cs="Arial"/>
        </w:rPr>
        <w:t xml:space="preserve"> (</w:t>
      </w:r>
      <w:r>
        <w:rPr>
          <w:rFonts w:cs="Arial"/>
        </w:rPr>
        <w:t>pp</w:t>
      </w:r>
      <w:r w:rsidRPr="005D6D89">
        <w:rPr>
          <w:rFonts w:cs="Arial"/>
        </w:rPr>
        <w:t xml:space="preserve"> 507-540). Cambridge: Cambridge University Press.</w:t>
      </w:r>
    </w:p>
    <w:p w14:paraId="125BD413" w14:textId="77777777" w:rsidR="007D0B70" w:rsidRPr="005D6D89" w:rsidRDefault="007D0B70" w:rsidP="007D0B70">
      <w:pPr>
        <w:pStyle w:val="References"/>
        <w:rPr>
          <w:rFonts w:cs="Arial"/>
        </w:rPr>
      </w:pPr>
      <w:r>
        <w:t>Hinkel</w:t>
      </w:r>
      <w:r w:rsidRPr="005D6D89">
        <w:t xml:space="preserve"> J</w:t>
      </w:r>
      <w:r>
        <w:t>, Lincke</w:t>
      </w:r>
      <w:r w:rsidRPr="005D6D89">
        <w:t> D</w:t>
      </w:r>
      <w:r>
        <w:t>, Vafeidis</w:t>
      </w:r>
      <w:r w:rsidRPr="005D6D89">
        <w:t xml:space="preserve"> A</w:t>
      </w:r>
      <w:r>
        <w:t>, Perrette</w:t>
      </w:r>
      <w:r w:rsidRPr="005D6D89">
        <w:t xml:space="preserve"> M</w:t>
      </w:r>
      <w:r>
        <w:t>,</w:t>
      </w:r>
      <w:r w:rsidRPr="005D6D89">
        <w:t xml:space="preserve"> Nicholls R</w:t>
      </w:r>
      <w:r>
        <w:t xml:space="preserve"> </w:t>
      </w:r>
      <w:r w:rsidRPr="005D6D89">
        <w:t>J</w:t>
      </w:r>
      <w:r>
        <w:t>, Tol</w:t>
      </w:r>
      <w:r w:rsidRPr="005D6D89">
        <w:t xml:space="preserve"> R</w:t>
      </w:r>
      <w:r>
        <w:t xml:space="preserve"> </w:t>
      </w:r>
      <w:r w:rsidRPr="005D6D89">
        <w:t>S</w:t>
      </w:r>
      <w:r>
        <w:t xml:space="preserve"> </w:t>
      </w:r>
      <w:r w:rsidRPr="005D6D89">
        <w:t>J</w:t>
      </w:r>
      <w:r>
        <w:t>, Marzeion</w:t>
      </w:r>
      <w:r w:rsidRPr="005D6D89">
        <w:t> B</w:t>
      </w:r>
      <w:r>
        <w:t>, Fettweis</w:t>
      </w:r>
      <w:r w:rsidRPr="005D6D89">
        <w:t xml:space="preserve"> X</w:t>
      </w:r>
      <w:r>
        <w:t>, Ionescu</w:t>
      </w:r>
      <w:r w:rsidRPr="005D6D89">
        <w:t> C</w:t>
      </w:r>
      <w:r>
        <w:t xml:space="preserve"> and Levermann</w:t>
      </w:r>
      <w:r w:rsidRPr="005D6D89">
        <w:t xml:space="preserve"> A. (2014). Future coastal flood damage and adaptation costs. </w:t>
      </w:r>
      <w:r w:rsidRPr="005D6D89">
        <w:rPr>
          <w:i/>
          <w:iCs/>
        </w:rPr>
        <w:t>Proceedings of the National Academy of Sciences</w:t>
      </w:r>
      <w:r w:rsidRPr="005D6D89">
        <w:t>, 111(9).</w:t>
      </w:r>
    </w:p>
    <w:p w14:paraId="67E38ECE" w14:textId="77777777" w:rsidR="007D0B70" w:rsidRPr="005D6D89" w:rsidRDefault="007D0B70" w:rsidP="007D0B70">
      <w:pPr>
        <w:pStyle w:val="References"/>
        <w:rPr>
          <w:rFonts w:cs="Arial"/>
        </w:rPr>
      </w:pPr>
      <w:r w:rsidRPr="005D6D89">
        <w:rPr>
          <w:rFonts w:cs="Arial"/>
        </w:rPr>
        <w:t>Holdaway R J</w:t>
      </w:r>
      <w:r>
        <w:rPr>
          <w:rFonts w:cs="Arial"/>
        </w:rPr>
        <w:t>,</w:t>
      </w:r>
      <w:r w:rsidRPr="005D6D89">
        <w:rPr>
          <w:rFonts w:cs="Arial"/>
        </w:rPr>
        <w:t xml:space="preserve"> Wiser S K</w:t>
      </w:r>
      <w:r>
        <w:rPr>
          <w:rFonts w:cs="Arial"/>
        </w:rPr>
        <w:t xml:space="preserve"> and</w:t>
      </w:r>
      <w:r w:rsidRPr="005D6D89">
        <w:rPr>
          <w:rFonts w:cs="Arial"/>
        </w:rPr>
        <w:t xml:space="preserve"> Williams</w:t>
      </w:r>
      <w:r>
        <w:rPr>
          <w:rFonts w:cs="Arial"/>
        </w:rPr>
        <w:t xml:space="preserve"> P A. (2012). Status a</w:t>
      </w:r>
      <w:r w:rsidRPr="005D6D89">
        <w:rPr>
          <w:rFonts w:cs="Arial"/>
        </w:rPr>
        <w:t>ssessment of New Zealand</w:t>
      </w:r>
      <w:r>
        <w:rPr>
          <w:rFonts w:cs="Arial"/>
        </w:rPr>
        <w:t>’s naturally uncommon e</w:t>
      </w:r>
      <w:r w:rsidRPr="005D6D89">
        <w:rPr>
          <w:rFonts w:cs="Arial"/>
        </w:rPr>
        <w:t xml:space="preserve">cosystems. </w:t>
      </w:r>
      <w:r w:rsidRPr="005D6D89">
        <w:rPr>
          <w:rFonts w:cs="Arial"/>
          <w:i/>
          <w:iCs/>
        </w:rPr>
        <w:t>Conservation Biology</w:t>
      </w:r>
      <w:r w:rsidRPr="005D6D89">
        <w:rPr>
          <w:rFonts w:cs="Arial"/>
        </w:rPr>
        <w:t>, 26(4), 619–629.</w:t>
      </w:r>
    </w:p>
    <w:p w14:paraId="1FEA64A2" w14:textId="77777777" w:rsidR="007D0B70" w:rsidRPr="005D6D89" w:rsidRDefault="007D0B70" w:rsidP="007D0B70">
      <w:pPr>
        <w:pStyle w:val="References"/>
      </w:pPr>
      <w:r>
        <w:rPr>
          <w:rFonts w:cs="Arial"/>
        </w:rPr>
        <w:t>Hong</w:t>
      </w:r>
      <w:r w:rsidRPr="005D6D89">
        <w:rPr>
          <w:rFonts w:cs="Arial"/>
        </w:rPr>
        <w:t xml:space="preserve"> H</w:t>
      </w:r>
      <w:r>
        <w:rPr>
          <w:rFonts w:cs="Arial"/>
        </w:rPr>
        <w:t>, Li</w:t>
      </w:r>
      <w:r w:rsidRPr="005D6D89">
        <w:rPr>
          <w:rFonts w:cs="Arial"/>
        </w:rPr>
        <w:t xml:space="preserve"> F W</w:t>
      </w:r>
      <w:r>
        <w:rPr>
          <w:rFonts w:cs="Arial"/>
        </w:rPr>
        <w:t xml:space="preserve"> and Xu</w:t>
      </w:r>
      <w:r w:rsidRPr="005D6D89">
        <w:rPr>
          <w:rFonts w:cs="Arial"/>
        </w:rPr>
        <w:t xml:space="preserve"> J. (2019). Climate risks and market efficiency. </w:t>
      </w:r>
      <w:r w:rsidRPr="005D6D89">
        <w:rPr>
          <w:rFonts w:cs="Arial"/>
          <w:i/>
          <w:iCs/>
        </w:rPr>
        <w:t>Journal of Econometrics</w:t>
      </w:r>
      <w:r w:rsidRPr="005D6D89">
        <w:rPr>
          <w:rFonts w:cs="Arial"/>
        </w:rPr>
        <w:t xml:space="preserve">, 208(1), 265–281. </w:t>
      </w:r>
    </w:p>
    <w:p w14:paraId="7E234EA0" w14:textId="77777777" w:rsidR="007D0B70" w:rsidRPr="005D6D89" w:rsidRDefault="007D0B70" w:rsidP="007D0B70">
      <w:pPr>
        <w:pStyle w:val="References"/>
      </w:pPr>
      <w:r>
        <w:rPr>
          <w:rFonts w:cs="Arial"/>
        </w:rPr>
        <w:t>Hopkins</w:t>
      </w:r>
      <w:r w:rsidRPr="005D6D89">
        <w:rPr>
          <w:rFonts w:cs="Arial"/>
        </w:rPr>
        <w:t xml:space="preserve"> D. (2013). The social phenomenon of climate change: contextual vulnerability, risk perception and ada</w:t>
      </w:r>
      <w:r>
        <w:rPr>
          <w:rFonts w:cs="Arial"/>
        </w:rPr>
        <w:t>ptation in the ski industry of Q</w:t>
      </w:r>
      <w:r w:rsidRPr="005D6D89">
        <w:rPr>
          <w:rFonts w:cs="Arial"/>
        </w:rPr>
        <w:t>ueenstown, New Zealand. 1–396.</w:t>
      </w:r>
    </w:p>
    <w:p w14:paraId="2B8C3DAC" w14:textId="77777777" w:rsidR="007D0B70" w:rsidRPr="005D6D89" w:rsidRDefault="007D0B70" w:rsidP="007D0B70">
      <w:pPr>
        <w:pStyle w:val="References"/>
        <w:rPr>
          <w:rFonts w:cs="Arial"/>
        </w:rPr>
      </w:pPr>
      <w:r>
        <w:rPr>
          <w:rFonts w:cs="Arial"/>
        </w:rPr>
        <w:t>Howden-Chapman</w:t>
      </w:r>
      <w:r w:rsidRPr="005D6D89">
        <w:rPr>
          <w:rFonts w:cs="Arial"/>
        </w:rPr>
        <w:t xml:space="preserve"> P</w:t>
      </w:r>
      <w:r>
        <w:rPr>
          <w:rFonts w:cs="Arial"/>
        </w:rPr>
        <w:t>, Chapman</w:t>
      </w:r>
      <w:r w:rsidRPr="005D6D89">
        <w:rPr>
          <w:rFonts w:cs="Arial"/>
        </w:rPr>
        <w:t xml:space="preserve"> R</w:t>
      </w:r>
      <w:r>
        <w:rPr>
          <w:rFonts w:cs="Arial"/>
        </w:rPr>
        <w:t>, Hales</w:t>
      </w:r>
      <w:r w:rsidRPr="005D6D89">
        <w:rPr>
          <w:rFonts w:cs="Arial"/>
        </w:rPr>
        <w:t xml:space="preserve"> S</w:t>
      </w:r>
      <w:r>
        <w:rPr>
          <w:rFonts w:cs="Arial"/>
        </w:rPr>
        <w:t>, Britton</w:t>
      </w:r>
      <w:r w:rsidRPr="005D6D89">
        <w:rPr>
          <w:rFonts w:cs="Arial"/>
        </w:rPr>
        <w:t xml:space="preserve"> E</w:t>
      </w:r>
      <w:r>
        <w:rPr>
          <w:rFonts w:cs="Arial"/>
        </w:rPr>
        <w:t xml:space="preserve"> and Wilson</w:t>
      </w:r>
      <w:r w:rsidRPr="005D6D89">
        <w:rPr>
          <w:rFonts w:cs="Arial"/>
        </w:rPr>
        <w:t xml:space="preserve"> N. (2010). Climate change and human health: Impact and adaptation issu</w:t>
      </w:r>
      <w:r>
        <w:rPr>
          <w:rFonts w:cs="Arial"/>
        </w:rPr>
        <w:t>es for New Zealand. In: Nottage</w:t>
      </w:r>
      <w:r w:rsidRPr="005D6D89">
        <w:rPr>
          <w:rFonts w:cs="Arial"/>
        </w:rPr>
        <w:t xml:space="preserve"> R</w:t>
      </w:r>
      <w:r>
        <w:rPr>
          <w:rFonts w:cs="Arial"/>
        </w:rPr>
        <w:t xml:space="preserve"> </w:t>
      </w:r>
      <w:r w:rsidRPr="005D6D89">
        <w:rPr>
          <w:rFonts w:cs="Arial"/>
        </w:rPr>
        <w:t>A</w:t>
      </w:r>
      <w:r>
        <w:rPr>
          <w:rFonts w:cs="Arial"/>
        </w:rPr>
        <w:t xml:space="preserve"> </w:t>
      </w:r>
      <w:r w:rsidRPr="005D6D89">
        <w:rPr>
          <w:rFonts w:cs="Arial"/>
        </w:rPr>
        <w:t>C</w:t>
      </w:r>
      <w:r>
        <w:rPr>
          <w:rFonts w:cs="Arial"/>
        </w:rPr>
        <w:t>, Wratt</w:t>
      </w:r>
      <w:r w:rsidRPr="005D6D89">
        <w:rPr>
          <w:rFonts w:cs="Arial"/>
        </w:rPr>
        <w:t xml:space="preserve"> D</w:t>
      </w:r>
      <w:r>
        <w:rPr>
          <w:rFonts w:cs="Arial"/>
        </w:rPr>
        <w:t xml:space="preserve"> </w:t>
      </w:r>
      <w:r w:rsidRPr="005D6D89">
        <w:rPr>
          <w:rFonts w:cs="Arial"/>
        </w:rPr>
        <w:t>S</w:t>
      </w:r>
      <w:r>
        <w:rPr>
          <w:rFonts w:cs="Arial"/>
        </w:rPr>
        <w:t>, Bornman</w:t>
      </w:r>
      <w:r w:rsidRPr="005D6D89">
        <w:rPr>
          <w:rFonts w:cs="Arial"/>
        </w:rPr>
        <w:t xml:space="preserve"> J</w:t>
      </w:r>
      <w:r>
        <w:rPr>
          <w:rFonts w:cs="Arial"/>
        </w:rPr>
        <w:t xml:space="preserve"> </w:t>
      </w:r>
      <w:r w:rsidRPr="005D6D89">
        <w:rPr>
          <w:rFonts w:cs="Arial"/>
        </w:rPr>
        <w:t>F</w:t>
      </w:r>
      <w:r>
        <w:rPr>
          <w:rFonts w:cs="Arial"/>
        </w:rPr>
        <w:t xml:space="preserve"> and Jones</w:t>
      </w:r>
      <w:r w:rsidRPr="005D6D89">
        <w:rPr>
          <w:rFonts w:cs="Arial"/>
        </w:rPr>
        <w:t xml:space="preserve"> K. (Eds), </w:t>
      </w:r>
      <w:r w:rsidRPr="005D6D89">
        <w:rPr>
          <w:rFonts w:cs="Arial"/>
          <w:i/>
          <w:iCs/>
        </w:rPr>
        <w:t>Climate change adaptation in New Zealand: Future scenarios and some sectoral perspectives</w:t>
      </w:r>
      <w:r>
        <w:rPr>
          <w:rFonts w:cs="Arial"/>
        </w:rPr>
        <w:t xml:space="preserve"> (pp 112–</w:t>
      </w:r>
      <w:r w:rsidRPr="005D6D89">
        <w:rPr>
          <w:rFonts w:cs="Arial"/>
        </w:rPr>
        <w:t>121)</w:t>
      </w:r>
      <w:r w:rsidRPr="005D6D89">
        <w:rPr>
          <w:rFonts w:cs="Arial"/>
          <w:i/>
          <w:iCs/>
        </w:rPr>
        <w:t>.</w:t>
      </w:r>
      <w:r w:rsidRPr="005D6D89">
        <w:rPr>
          <w:rFonts w:cs="Arial"/>
        </w:rPr>
        <w:t xml:space="preserve"> New Zealand Climate Change Centre, Wellington.</w:t>
      </w:r>
    </w:p>
    <w:p w14:paraId="3E26B88A" w14:textId="77777777" w:rsidR="007D0B70" w:rsidRPr="005D6D89" w:rsidRDefault="007D0B70" w:rsidP="007D0B70">
      <w:pPr>
        <w:pStyle w:val="References"/>
      </w:pPr>
      <w:r w:rsidRPr="005D6D89">
        <w:rPr>
          <w:rFonts w:cs="Arial"/>
        </w:rPr>
        <w:t>Howden-Chapman P, Viggers H, Chapman R, O</w:t>
      </w:r>
      <w:r>
        <w:rPr>
          <w:rFonts w:cs="Arial"/>
        </w:rPr>
        <w:t>’</w:t>
      </w:r>
      <w:r w:rsidRPr="005D6D89">
        <w:rPr>
          <w:rFonts w:cs="Arial"/>
        </w:rPr>
        <w:t>Sullivan K, Telfar Barnard L, Lloyd B. (2012). Tackling cold housing and fuel poverty in New Zealand: a review of policies, research</w:t>
      </w:r>
      <w:r>
        <w:rPr>
          <w:rFonts w:cs="Arial"/>
        </w:rPr>
        <w:t xml:space="preserve"> and</w:t>
      </w:r>
      <w:r w:rsidRPr="005D6D89">
        <w:rPr>
          <w:rFonts w:cs="Arial"/>
        </w:rPr>
        <w:t xml:space="preserve"> health impacts. Energy Policy. </w:t>
      </w:r>
      <w:proofErr w:type="gramStart"/>
      <w:r w:rsidRPr="005D6D89">
        <w:rPr>
          <w:rFonts w:cs="Arial"/>
        </w:rPr>
        <w:t>49</w:t>
      </w:r>
      <w:proofErr w:type="gramEnd"/>
      <w:r w:rsidRPr="005D6D89">
        <w:rPr>
          <w:rFonts w:cs="Arial"/>
        </w:rPr>
        <w:t>:134–42.</w:t>
      </w:r>
    </w:p>
    <w:p w14:paraId="6E8263CA" w14:textId="77777777" w:rsidR="007D0B70" w:rsidRPr="005D6D89" w:rsidRDefault="007D0B70" w:rsidP="007D0B70">
      <w:pPr>
        <w:pStyle w:val="References"/>
        <w:rPr>
          <w:rFonts w:cs="Arial"/>
        </w:rPr>
      </w:pPr>
      <w:r>
        <w:rPr>
          <w:rFonts w:cs="Arial"/>
        </w:rPr>
        <w:t>Innes</w:t>
      </w:r>
      <w:r w:rsidRPr="005D6D89">
        <w:rPr>
          <w:rFonts w:cs="Arial"/>
        </w:rPr>
        <w:t xml:space="preserve"> J</w:t>
      </w:r>
      <w:r>
        <w:rPr>
          <w:rFonts w:cs="Arial"/>
        </w:rPr>
        <w:t xml:space="preserve"> </w:t>
      </w:r>
      <w:r w:rsidRPr="005D6D89">
        <w:rPr>
          <w:rFonts w:cs="Arial"/>
        </w:rPr>
        <w:t>I</w:t>
      </w:r>
      <w:r>
        <w:rPr>
          <w:rFonts w:cs="Arial"/>
        </w:rPr>
        <w:t>, Kelly D, Overton</w:t>
      </w:r>
      <w:r w:rsidRPr="005D6D89">
        <w:rPr>
          <w:rFonts w:cs="Arial"/>
        </w:rPr>
        <w:t xml:space="preserve"> J</w:t>
      </w:r>
      <w:r>
        <w:rPr>
          <w:rFonts w:cs="Arial"/>
        </w:rPr>
        <w:t xml:space="preserve"> M C, and Gillies C</w:t>
      </w:r>
      <w:r w:rsidRPr="005D6D89">
        <w:rPr>
          <w:rFonts w:cs="Arial"/>
        </w:rPr>
        <w:t>. (2010). Predation and other factors currently limiting</w:t>
      </w:r>
      <w:r>
        <w:rPr>
          <w:rFonts w:cs="Arial"/>
        </w:rPr>
        <w:t xml:space="preserve"> New Zealand forest b</w:t>
      </w:r>
      <w:r w:rsidRPr="005D6D89">
        <w:rPr>
          <w:rFonts w:cs="Arial"/>
        </w:rPr>
        <w:t xml:space="preserve">irds. </w:t>
      </w:r>
      <w:r w:rsidRPr="005D6D89">
        <w:rPr>
          <w:rFonts w:cs="Arial"/>
          <w:i/>
          <w:iCs/>
        </w:rPr>
        <w:t>New Zealand Journal of Ecology</w:t>
      </w:r>
      <w:r w:rsidRPr="005D6D89">
        <w:rPr>
          <w:rFonts w:cs="Arial"/>
        </w:rPr>
        <w:t>. 34. 86–114.</w:t>
      </w:r>
    </w:p>
    <w:p w14:paraId="1B3B3E89" w14:textId="77777777" w:rsidR="007D0B70" w:rsidRPr="005D6D89" w:rsidRDefault="007D0B70" w:rsidP="007D0B70">
      <w:pPr>
        <w:pStyle w:val="References"/>
        <w:rPr>
          <w:rFonts w:cs="Arial"/>
          <w:color w:val="000000" w:themeColor="text1"/>
        </w:rPr>
      </w:pPr>
      <w:r w:rsidRPr="005D6D89">
        <w:rPr>
          <w:rFonts w:cs="Arial"/>
        </w:rPr>
        <w:t xml:space="preserve">Insurance Council of New Zealand. (2017). </w:t>
      </w:r>
      <w:r w:rsidRPr="005D6D89">
        <w:rPr>
          <w:rFonts w:cs="Arial"/>
          <w:i/>
          <w:iCs/>
        </w:rPr>
        <w:t>Cost of natural disasters</w:t>
      </w:r>
      <w:r w:rsidRPr="005D6D89">
        <w:rPr>
          <w:rFonts w:cs="Arial"/>
        </w:rPr>
        <w:t xml:space="preserve">. Retrieved 2020, from </w:t>
      </w:r>
      <w:hyperlink r:id="rId83" w:history="1">
        <w:r w:rsidRPr="005D6D89">
          <w:rPr>
            <w:rStyle w:val="Hyperlink"/>
            <w:rFonts w:cs="Arial"/>
          </w:rPr>
          <w:t>https://www.icnz.org.nz/natural-disasters/cost-of-natural-disasters/</w:t>
        </w:r>
      </w:hyperlink>
      <w:r w:rsidRPr="005D6D89">
        <w:rPr>
          <w:rFonts w:cs="Arial"/>
          <w:color w:val="000000" w:themeColor="text1"/>
        </w:rPr>
        <w:t xml:space="preserve"> </w:t>
      </w:r>
    </w:p>
    <w:p w14:paraId="4ADAD4E0" w14:textId="77777777" w:rsidR="007D0B70" w:rsidRPr="005D6D89" w:rsidRDefault="007D0B70" w:rsidP="007D0B70">
      <w:pPr>
        <w:pStyle w:val="References"/>
        <w:rPr>
          <w:rStyle w:val="Hyperlink"/>
          <w:rFonts w:cs="Arial"/>
          <w:color w:val="000000" w:themeColor="text1"/>
        </w:rPr>
      </w:pPr>
      <w:r w:rsidRPr="005D6D89">
        <w:rPr>
          <w:rFonts w:cs="Arial"/>
          <w:color w:val="000000" w:themeColor="text1"/>
        </w:rPr>
        <w:t>Insurance Council of New Zealand. (202</w:t>
      </w:r>
      <w:r>
        <w:rPr>
          <w:rFonts w:cs="Arial"/>
          <w:color w:val="000000" w:themeColor="text1"/>
        </w:rPr>
        <w:t>0). Media Release: 2019 weather-</w:t>
      </w:r>
      <w:r w:rsidRPr="005D6D89">
        <w:rPr>
          <w:rFonts w:cs="Arial"/>
          <w:color w:val="000000" w:themeColor="text1"/>
        </w:rPr>
        <w:t>related los</w:t>
      </w:r>
      <w:r>
        <w:rPr>
          <w:rFonts w:cs="Arial"/>
          <w:color w:val="000000" w:themeColor="text1"/>
        </w:rPr>
        <w:t>s</w:t>
      </w:r>
      <w:r w:rsidRPr="005D6D89">
        <w:rPr>
          <w:rFonts w:cs="Arial"/>
          <w:color w:val="000000" w:themeColor="text1"/>
        </w:rPr>
        <w:t xml:space="preserve">es reach $118.8 m. Retrieved from </w:t>
      </w:r>
      <w:hyperlink r:id="rId84" w:history="1">
        <w:r w:rsidRPr="005D6D89">
          <w:rPr>
            <w:rStyle w:val="Hyperlink"/>
          </w:rPr>
          <w:t>https://www.icnz.org.nz/media-resources/media-releases/single/item/2019-weather-related-loses-reach-1188-m/</w:t>
        </w:r>
      </w:hyperlink>
    </w:p>
    <w:p w14:paraId="48257DAD" w14:textId="77777777" w:rsidR="007D0B70" w:rsidRPr="005D6D89" w:rsidRDefault="007D0B70" w:rsidP="007D0B70">
      <w:pPr>
        <w:pStyle w:val="References"/>
      </w:pPr>
      <w:r>
        <w:t>Iorns</w:t>
      </w:r>
      <w:r w:rsidRPr="005D6D89">
        <w:t xml:space="preserve"> C. (2019). </w:t>
      </w:r>
      <w:r w:rsidRPr="005D6D89">
        <w:rPr>
          <w:i/>
          <w:iCs/>
        </w:rPr>
        <w:t>Treaty of Waitangi duties relevant to adaptation to coastal hazards from sea-level rise</w:t>
      </w:r>
      <w:r w:rsidRPr="005D6D89">
        <w:t xml:space="preserve">. </w:t>
      </w:r>
      <w:proofErr w:type="gramStart"/>
      <w:r w:rsidRPr="005D6D89">
        <w:t>June,</w:t>
      </w:r>
      <w:proofErr w:type="gramEnd"/>
      <w:r w:rsidRPr="005D6D89">
        <w:t xml:space="preserve"> 190 pp.</w:t>
      </w:r>
    </w:p>
    <w:p w14:paraId="615329B1" w14:textId="77777777" w:rsidR="007D0B70" w:rsidRPr="005D6D89" w:rsidRDefault="007D0B70" w:rsidP="007D0B70">
      <w:pPr>
        <w:pStyle w:val="References"/>
        <w:rPr>
          <w:rFonts w:cs="Arial"/>
        </w:rPr>
      </w:pPr>
      <w:r>
        <w:rPr>
          <w:rFonts w:cs="Arial"/>
          <w:lang w:eastAsia="en-AU"/>
        </w:rPr>
        <w:t>Iorns</w:t>
      </w:r>
      <w:r w:rsidRPr="005D6D89">
        <w:rPr>
          <w:rFonts w:cs="Arial"/>
          <w:lang w:eastAsia="en-AU"/>
        </w:rPr>
        <w:t xml:space="preserve"> C</w:t>
      </w:r>
      <w:r>
        <w:rPr>
          <w:rFonts w:cs="Arial"/>
          <w:lang w:eastAsia="en-AU"/>
        </w:rPr>
        <w:t>, James</w:t>
      </w:r>
      <w:r w:rsidRPr="005D6D89">
        <w:rPr>
          <w:rFonts w:cs="Arial"/>
          <w:lang w:eastAsia="en-AU"/>
        </w:rPr>
        <w:t xml:space="preserve"> V</w:t>
      </w:r>
      <w:r>
        <w:rPr>
          <w:rFonts w:cs="Arial"/>
          <w:lang w:eastAsia="en-AU"/>
        </w:rPr>
        <w:t xml:space="preserve"> and</w:t>
      </w:r>
      <w:r w:rsidRPr="005D6D89">
        <w:rPr>
          <w:rFonts w:cs="Arial"/>
          <w:lang w:eastAsia="en-AU"/>
        </w:rPr>
        <w:t xml:space="preserve"> Stuar</w:t>
      </w:r>
      <w:r>
        <w:rPr>
          <w:rFonts w:cs="Arial"/>
          <w:lang w:eastAsia="en-AU"/>
        </w:rPr>
        <w:t>t T. (2017). Courts as decision-makers on sea-level rise adaptation m</w:t>
      </w:r>
      <w:r w:rsidRPr="005D6D89">
        <w:rPr>
          <w:rFonts w:cs="Arial"/>
          <w:lang w:eastAsia="en-AU"/>
        </w:rPr>
        <w:t>easures: Lessons from New Zealand, in W Leal Filho (</w:t>
      </w:r>
      <w:proofErr w:type="gramStart"/>
      <w:r w:rsidRPr="005D6D89">
        <w:rPr>
          <w:rFonts w:cs="Arial"/>
          <w:lang w:eastAsia="en-AU"/>
        </w:rPr>
        <w:t>ed</w:t>
      </w:r>
      <w:proofErr w:type="gramEnd"/>
      <w:r w:rsidRPr="005D6D89">
        <w:rPr>
          <w:rFonts w:cs="Arial"/>
          <w:lang w:eastAsia="en-AU"/>
        </w:rPr>
        <w:t>) </w:t>
      </w:r>
      <w:r w:rsidRPr="005D6D89">
        <w:rPr>
          <w:rFonts w:cs="Arial"/>
          <w:i/>
          <w:iCs/>
          <w:lang w:eastAsia="en-AU"/>
        </w:rPr>
        <w:t>Climate change impacts and adaptation strategies for coastal communities</w:t>
      </w:r>
      <w:r w:rsidRPr="005D6D89">
        <w:rPr>
          <w:rFonts w:cs="Arial"/>
          <w:lang w:eastAsia="en-AU"/>
        </w:rPr>
        <w:t>. Springer International Publishing.</w:t>
      </w:r>
    </w:p>
    <w:p w14:paraId="4E734EF4" w14:textId="77777777" w:rsidR="007D0B70" w:rsidRPr="005D6D89" w:rsidRDefault="007D0B70" w:rsidP="007D0B70">
      <w:pPr>
        <w:pStyle w:val="References"/>
        <w:rPr>
          <w:rFonts w:cs="Arial"/>
        </w:rPr>
      </w:pPr>
      <w:r w:rsidRPr="005D6D89">
        <w:rPr>
          <w:rFonts w:cs="Arial"/>
        </w:rPr>
        <w:t xml:space="preserve">Interim Climate Change Committee. (2019). </w:t>
      </w:r>
      <w:r>
        <w:rPr>
          <w:rFonts w:cs="Arial"/>
          <w:i/>
          <w:iCs/>
        </w:rPr>
        <w:t>Accelerated e</w:t>
      </w:r>
      <w:r w:rsidRPr="005D6D89">
        <w:rPr>
          <w:rFonts w:cs="Arial"/>
          <w:i/>
          <w:iCs/>
        </w:rPr>
        <w:t>lectrification</w:t>
      </w:r>
      <w:r w:rsidRPr="005D6D89">
        <w:rPr>
          <w:rFonts w:cs="Arial"/>
        </w:rPr>
        <w:t xml:space="preserve">. </w:t>
      </w:r>
    </w:p>
    <w:p w14:paraId="38A8D6CF" w14:textId="77777777" w:rsidR="007D0B70" w:rsidRPr="005D6D89" w:rsidRDefault="007D0B70" w:rsidP="007D0B70">
      <w:pPr>
        <w:pStyle w:val="References"/>
        <w:keepLines/>
        <w:rPr>
          <w:rFonts w:cs="Arial"/>
        </w:rPr>
      </w:pPr>
      <w:r>
        <w:rPr>
          <w:rFonts w:cs="Arial"/>
          <w:lang w:eastAsia="en-AU"/>
        </w:rPr>
        <w:t>IPCC. (2007). Climate c</w:t>
      </w:r>
      <w:r w:rsidRPr="005D6D89">
        <w:rPr>
          <w:rFonts w:cs="Arial"/>
          <w:lang w:eastAsia="en-AU"/>
        </w:rPr>
        <w:t xml:space="preserve">hange 2007: </w:t>
      </w:r>
      <w:r>
        <w:rPr>
          <w:rFonts w:cs="Arial"/>
          <w:i/>
          <w:iCs/>
          <w:lang w:eastAsia="en-AU"/>
        </w:rPr>
        <w:t>Impacts, adaptation and v</w:t>
      </w:r>
      <w:r w:rsidRPr="005D6D89">
        <w:rPr>
          <w:rFonts w:cs="Arial"/>
          <w:i/>
          <w:iCs/>
          <w:lang w:eastAsia="en-AU"/>
        </w:rPr>
        <w:t>ulnerability. Contribution of Working Group II to the Fourth Assessment Report of the Intergovernmental Panel on Climate Change</w:t>
      </w:r>
      <w:r w:rsidRPr="005D6D89">
        <w:rPr>
          <w:rFonts w:cs="Arial"/>
          <w:lang w:eastAsia="en-AU"/>
        </w:rPr>
        <w:t>, M</w:t>
      </w:r>
      <w:r>
        <w:rPr>
          <w:rFonts w:cs="Arial"/>
          <w:lang w:eastAsia="en-AU"/>
        </w:rPr>
        <w:t xml:space="preserve"> </w:t>
      </w:r>
      <w:r w:rsidRPr="005D6D89">
        <w:rPr>
          <w:rFonts w:cs="Arial"/>
          <w:lang w:eastAsia="en-AU"/>
        </w:rPr>
        <w:t>L Parry, O</w:t>
      </w:r>
      <w:r>
        <w:rPr>
          <w:rFonts w:cs="Arial"/>
          <w:lang w:eastAsia="en-AU"/>
        </w:rPr>
        <w:t xml:space="preserve"> </w:t>
      </w:r>
      <w:r w:rsidRPr="005D6D89">
        <w:rPr>
          <w:rFonts w:cs="Arial"/>
          <w:lang w:eastAsia="en-AU"/>
        </w:rPr>
        <w:t>F Canziani, J</w:t>
      </w:r>
      <w:r>
        <w:rPr>
          <w:rFonts w:cs="Arial"/>
          <w:lang w:eastAsia="en-AU"/>
        </w:rPr>
        <w:t xml:space="preserve"> </w:t>
      </w:r>
      <w:r w:rsidRPr="005D6D89">
        <w:rPr>
          <w:rFonts w:cs="Arial"/>
          <w:lang w:eastAsia="en-AU"/>
        </w:rPr>
        <w:t>P Palutikof, P</w:t>
      </w:r>
      <w:r>
        <w:rPr>
          <w:rFonts w:cs="Arial"/>
          <w:lang w:eastAsia="en-AU"/>
        </w:rPr>
        <w:t xml:space="preserve"> </w:t>
      </w:r>
      <w:r w:rsidRPr="005D6D89">
        <w:rPr>
          <w:rFonts w:cs="Arial"/>
          <w:lang w:eastAsia="en-AU"/>
        </w:rPr>
        <w:t>J van der Linden and C</w:t>
      </w:r>
      <w:r>
        <w:rPr>
          <w:rFonts w:cs="Arial"/>
          <w:lang w:eastAsia="en-AU"/>
        </w:rPr>
        <w:t xml:space="preserve"> E Hanson</w:t>
      </w:r>
      <w:r w:rsidRPr="005D6D89">
        <w:rPr>
          <w:rFonts w:cs="Arial"/>
          <w:lang w:eastAsia="en-AU"/>
        </w:rPr>
        <w:t xml:space="preserve"> </w:t>
      </w:r>
      <w:r>
        <w:rPr>
          <w:rFonts w:cs="Arial"/>
          <w:lang w:eastAsia="en-AU"/>
        </w:rPr>
        <w:t>(</w:t>
      </w:r>
      <w:r w:rsidRPr="005D6D89">
        <w:rPr>
          <w:rFonts w:cs="Arial"/>
          <w:lang w:eastAsia="en-AU"/>
        </w:rPr>
        <w:t>Eds</w:t>
      </w:r>
      <w:r>
        <w:rPr>
          <w:rFonts w:cs="Arial"/>
          <w:lang w:eastAsia="en-AU"/>
        </w:rPr>
        <w:t>).</w:t>
      </w:r>
      <w:r w:rsidRPr="005D6D89">
        <w:rPr>
          <w:rFonts w:cs="Arial"/>
          <w:lang w:eastAsia="en-AU"/>
        </w:rPr>
        <w:t xml:space="preserve"> Cambridge University Press, Cambridge, UK.</w:t>
      </w:r>
    </w:p>
    <w:p w14:paraId="404599D1" w14:textId="77777777" w:rsidR="007D0B70" w:rsidRPr="005D6D89" w:rsidRDefault="007D0B70" w:rsidP="007D0B70">
      <w:pPr>
        <w:pStyle w:val="References"/>
        <w:rPr>
          <w:rFonts w:cs="Arial"/>
        </w:rPr>
      </w:pPr>
      <w:r w:rsidRPr="005D6D89">
        <w:rPr>
          <w:rFonts w:cs="Arial"/>
        </w:rPr>
        <w:t>IPCC</w:t>
      </w:r>
      <w:r>
        <w:rPr>
          <w:rFonts w:cs="Arial"/>
        </w:rPr>
        <w:t>.</w:t>
      </w:r>
      <w:r w:rsidRPr="005D6D89">
        <w:rPr>
          <w:rFonts w:cs="Arial"/>
        </w:rPr>
        <w:t xml:space="preserve"> (2013). </w:t>
      </w:r>
      <w:r w:rsidRPr="005D6D89">
        <w:rPr>
          <w:rFonts w:cs="Arial"/>
          <w:i/>
          <w:iCs/>
        </w:rPr>
        <w:t>Climate Change 2013: The Physical Science Basis. Contribution of Working Group I to the Fifth Assessment Report of the Intergovernmental Panel on Climate Change</w:t>
      </w:r>
      <w:r>
        <w:rPr>
          <w:rFonts w:cs="Arial"/>
        </w:rPr>
        <w:t xml:space="preserve"> [T F Stocker,</w:t>
      </w:r>
      <w:r w:rsidRPr="005D6D89">
        <w:rPr>
          <w:rFonts w:cs="Arial"/>
        </w:rPr>
        <w:t xml:space="preserve"> D</w:t>
      </w:r>
      <w:r>
        <w:rPr>
          <w:rFonts w:cs="Arial"/>
        </w:rPr>
        <w:t xml:space="preserve"> </w:t>
      </w:r>
      <w:r w:rsidRPr="005D6D89">
        <w:rPr>
          <w:rFonts w:cs="Arial"/>
        </w:rPr>
        <w:t>Qin, G</w:t>
      </w:r>
      <w:r>
        <w:rPr>
          <w:rFonts w:cs="Arial"/>
        </w:rPr>
        <w:t xml:space="preserve"> </w:t>
      </w:r>
      <w:r w:rsidRPr="005D6D89">
        <w:rPr>
          <w:rFonts w:cs="Arial"/>
        </w:rPr>
        <w:t>K</w:t>
      </w:r>
      <w:r>
        <w:rPr>
          <w:rFonts w:cs="Arial"/>
        </w:rPr>
        <w:t xml:space="preserve"> </w:t>
      </w:r>
      <w:r w:rsidRPr="005D6D89">
        <w:rPr>
          <w:rFonts w:cs="Arial"/>
        </w:rPr>
        <w:t>Plattner, M</w:t>
      </w:r>
      <w:r>
        <w:rPr>
          <w:rFonts w:cs="Arial"/>
        </w:rPr>
        <w:t xml:space="preserve"> </w:t>
      </w:r>
      <w:r w:rsidRPr="005D6D89">
        <w:rPr>
          <w:rFonts w:cs="Arial"/>
        </w:rPr>
        <w:t>Tignor, S</w:t>
      </w:r>
      <w:r>
        <w:rPr>
          <w:rFonts w:cs="Arial"/>
        </w:rPr>
        <w:t xml:space="preserve"> </w:t>
      </w:r>
      <w:r w:rsidRPr="005D6D89">
        <w:rPr>
          <w:rFonts w:cs="Arial"/>
        </w:rPr>
        <w:t>K</w:t>
      </w:r>
      <w:r>
        <w:rPr>
          <w:rFonts w:cs="Arial"/>
        </w:rPr>
        <w:t xml:space="preserve"> </w:t>
      </w:r>
      <w:r w:rsidRPr="005D6D89">
        <w:rPr>
          <w:rFonts w:cs="Arial"/>
        </w:rPr>
        <w:t>Allen, J</w:t>
      </w:r>
      <w:r>
        <w:rPr>
          <w:rFonts w:cs="Arial"/>
        </w:rPr>
        <w:t xml:space="preserve"> </w:t>
      </w:r>
      <w:r w:rsidRPr="005D6D89">
        <w:rPr>
          <w:rFonts w:cs="Arial"/>
        </w:rPr>
        <w:t>Boschung, A</w:t>
      </w:r>
      <w:r>
        <w:rPr>
          <w:rFonts w:cs="Arial"/>
        </w:rPr>
        <w:t xml:space="preserve"> </w:t>
      </w:r>
      <w:r w:rsidRPr="005D6D89">
        <w:rPr>
          <w:rFonts w:cs="Arial"/>
        </w:rPr>
        <w:t>Nauels, Y</w:t>
      </w:r>
      <w:r>
        <w:rPr>
          <w:rFonts w:cs="Arial"/>
        </w:rPr>
        <w:t xml:space="preserve"> </w:t>
      </w:r>
      <w:r w:rsidRPr="005D6D89">
        <w:rPr>
          <w:rFonts w:cs="Arial"/>
        </w:rPr>
        <w:t>Xia, V</w:t>
      </w:r>
      <w:r>
        <w:rPr>
          <w:rFonts w:cs="Arial"/>
        </w:rPr>
        <w:t xml:space="preserve"> </w:t>
      </w:r>
      <w:r w:rsidRPr="005D6D89">
        <w:rPr>
          <w:rFonts w:cs="Arial"/>
        </w:rPr>
        <w:t>Bex and P</w:t>
      </w:r>
      <w:r>
        <w:rPr>
          <w:rFonts w:cs="Arial"/>
        </w:rPr>
        <w:t xml:space="preserve"> </w:t>
      </w:r>
      <w:r w:rsidRPr="005D6D89">
        <w:rPr>
          <w:rFonts w:cs="Arial"/>
        </w:rPr>
        <w:t>M</w:t>
      </w:r>
      <w:r>
        <w:rPr>
          <w:rFonts w:cs="Arial"/>
        </w:rPr>
        <w:t xml:space="preserve"> Midgley (</w:t>
      </w:r>
      <w:proofErr w:type="gramStart"/>
      <w:r>
        <w:rPr>
          <w:rFonts w:cs="Arial"/>
        </w:rPr>
        <w:t>E</w:t>
      </w:r>
      <w:r w:rsidRPr="005D6D89">
        <w:rPr>
          <w:rFonts w:cs="Arial"/>
        </w:rPr>
        <w:t>ds</w:t>
      </w:r>
      <w:r>
        <w:rPr>
          <w:rFonts w:cs="Arial"/>
        </w:rPr>
        <w:t xml:space="preserve"> </w:t>
      </w:r>
      <w:r w:rsidRPr="005D6D89">
        <w:rPr>
          <w:rFonts w:cs="Arial"/>
        </w:rPr>
        <w:t>)</w:t>
      </w:r>
      <w:proofErr w:type="gramEnd"/>
      <w:r w:rsidRPr="005D6D89">
        <w:rPr>
          <w:rFonts w:cs="Arial"/>
        </w:rPr>
        <w:t>]. Cambridge University Press, Cambridge, United Kingdom and New York, NY, USA, 1535 pp10.</w:t>
      </w:r>
    </w:p>
    <w:p w14:paraId="492ABFDE" w14:textId="77777777" w:rsidR="007D0B70" w:rsidRPr="005D6D89" w:rsidRDefault="007D0B70" w:rsidP="007D0B70">
      <w:pPr>
        <w:pStyle w:val="References"/>
        <w:rPr>
          <w:rFonts w:asciiTheme="minorHAnsi" w:hAnsiTheme="minorHAnsi" w:cstheme="minorHAnsi"/>
        </w:rPr>
      </w:pPr>
      <w:r>
        <w:rPr>
          <w:rFonts w:asciiTheme="minorHAnsi" w:hAnsiTheme="minorHAnsi" w:cstheme="minorHAnsi"/>
          <w:shd w:val="clear" w:color="auto" w:fill="FFFFFF"/>
        </w:rPr>
        <w:t>IPCC.</w:t>
      </w:r>
      <w:r w:rsidRPr="005D6D89">
        <w:rPr>
          <w:rFonts w:asciiTheme="minorHAnsi" w:hAnsiTheme="minorHAnsi" w:cstheme="minorHAnsi"/>
          <w:shd w:val="clear" w:color="auto" w:fill="FFFFFF"/>
        </w:rPr>
        <w:t xml:space="preserve"> </w:t>
      </w:r>
      <w:r>
        <w:rPr>
          <w:rFonts w:asciiTheme="minorHAnsi" w:hAnsiTheme="minorHAnsi" w:cstheme="minorHAnsi"/>
          <w:shd w:val="clear" w:color="auto" w:fill="FFFFFF"/>
        </w:rPr>
        <w:t>(</w:t>
      </w:r>
      <w:r w:rsidRPr="005D6D89">
        <w:rPr>
          <w:rFonts w:asciiTheme="minorHAnsi" w:hAnsiTheme="minorHAnsi" w:cstheme="minorHAnsi"/>
          <w:shd w:val="clear" w:color="auto" w:fill="FFFFFF"/>
        </w:rPr>
        <w:t>2018</w:t>
      </w:r>
      <w:r>
        <w:rPr>
          <w:rFonts w:asciiTheme="minorHAnsi" w:hAnsiTheme="minorHAnsi" w:cstheme="minorHAnsi"/>
          <w:shd w:val="clear" w:color="auto" w:fill="FFFFFF"/>
        </w:rPr>
        <w:t>) Annex I: Glossary [Matthews, J B R. (E</w:t>
      </w:r>
      <w:r w:rsidRPr="005D6D89">
        <w:rPr>
          <w:rFonts w:asciiTheme="minorHAnsi" w:hAnsiTheme="minorHAnsi" w:cstheme="minorHAnsi"/>
          <w:shd w:val="clear" w:color="auto" w:fill="FFFFFF"/>
        </w:rPr>
        <w:t>d)]. In: </w:t>
      </w:r>
      <w:r w:rsidRPr="005D6D89">
        <w:rPr>
          <w:rStyle w:val="Emphasis"/>
          <w:rFonts w:asciiTheme="minorHAnsi" w:hAnsiTheme="minorHAnsi" w:cstheme="minorHAnsi"/>
          <w:shd w:val="clear" w:color="auto" w:fill="FFFFFF"/>
        </w:rPr>
        <w:t>Gl</w:t>
      </w:r>
      <w:r>
        <w:rPr>
          <w:rStyle w:val="Emphasis"/>
          <w:rFonts w:asciiTheme="minorHAnsi" w:hAnsiTheme="minorHAnsi" w:cstheme="minorHAnsi"/>
          <w:shd w:val="clear" w:color="auto" w:fill="FFFFFF"/>
        </w:rPr>
        <w:t>obal Warming of 1.5°C. An IPCC special r</w:t>
      </w:r>
      <w:r w:rsidRPr="005D6D89">
        <w:rPr>
          <w:rStyle w:val="Emphasis"/>
          <w:rFonts w:asciiTheme="minorHAnsi" w:hAnsiTheme="minorHAnsi" w:cstheme="minorHAnsi"/>
          <w:shd w:val="clear" w:color="auto" w:fill="FFFFFF"/>
        </w:rPr>
        <w:t>eport on the impacts of global warming of 1.5°C above pre-industrial levels and related global greenhouse gas emission pathways, in the context of strengthening the global response to the threat of climate change, sustainable development</w:t>
      </w:r>
      <w:r>
        <w:rPr>
          <w:rStyle w:val="Emphasis"/>
          <w:rFonts w:asciiTheme="minorHAnsi" w:hAnsiTheme="minorHAnsi" w:cstheme="minorHAnsi"/>
          <w:shd w:val="clear" w:color="auto" w:fill="FFFFFF"/>
        </w:rPr>
        <w:t xml:space="preserve"> and</w:t>
      </w:r>
      <w:r w:rsidRPr="005D6D89">
        <w:rPr>
          <w:rStyle w:val="Emphasis"/>
          <w:rFonts w:asciiTheme="minorHAnsi" w:hAnsiTheme="minorHAnsi" w:cstheme="minorHAnsi"/>
          <w:shd w:val="clear" w:color="auto" w:fill="FFFFFF"/>
        </w:rPr>
        <w:t xml:space="preserve"> efforts to eradicate poverty</w:t>
      </w:r>
      <w:r>
        <w:rPr>
          <w:rStyle w:val="Emphasis"/>
          <w:rFonts w:asciiTheme="minorHAnsi" w:hAnsiTheme="minorHAnsi" w:cstheme="minorHAnsi"/>
          <w:shd w:val="clear" w:color="auto" w:fill="FFFFFF"/>
        </w:rPr>
        <w:t>.</w:t>
      </w:r>
      <w:r>
        <w:rPr>
          <w:rFonts w:asciiTheme="minorHAnsi" w:hAnsiTheme="minorHAnsi" w:cstheme="minorHAnsi"/>
          <w:shd w:val="clear" w:color="auto" w:fill="FFFFFF"/>
        </w:rPr>
        <w:t> [V Masson-Delmotte,</w:t>
      </w:r>
      <w:r w:rsidRPr="005D6D89">
        <w:rPr>
          <w:rFonts w:asciiTheme="minorHAnsi" w:hAnsiTheme="minorHAnsi" w:cstheme="minorHAnsi"/>
          <w:shd w:val="clear" w:color="auto" w:fill="FFFFFF"/>
        </w:rPr>
        <w:t xml:space="preserve"> P</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Zhai, H</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O</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Pörtner, D</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Roberts, J</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Skea, P</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R</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Shukla, A</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Pirani, W</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Moufouma-Okia, C</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Péan, R</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Pidcock, S</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Connors, J</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B</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R</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Matthews, Y</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Chen, X</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Zhou, M</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I</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Gomis, E</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Lonnoy, T</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Maycock, M</w:t>
      </w:r>
      <w:r>
        <w:rPr>
          <w:rFonts w:asciiTheme="minorHAnsi" w:hAnsiTheme="minorHAnsi" w:cstheme="minorHAnsi"/>
          <w:shd w:val="clear" w:color="auto" w:fill="FFFFFF"/>
        </w:rPr>
        <w:t xml:space="preserve"> </w:t>
      </w:r>
      <w:r w:rsidRPr="005D6D89">
        <w:rPr>
          <w:rFonts w:asciiTheme="minorHAnsi" w:hAnsiTheme="minorHAnsi" w:cstheme="minorHAnsi"/>
          <w:shd w:val="clear" w:color="auto" w:fill="FFFFFF"/>
        </w:rPr>
        <w:t>Tignor</w:t>
      </w:r>
      <w:r>
        <w:rPr>
          <w:rFonts w:asciiTheme="minorHAnsi" w:hAnsiTheme="minorHAnsi" w:cstheme="minorHAnsi"/>
          <w:shd w:val="clear" w:color="auto" w:fill="FFFFFF"/>
        </w:rPr>
        <w:t xml:space="preserve"> and</w:t>
      </w:r>
      <w:r w:rsidRPr="005D6D89">
        <w:rPr>
          <w:rFonts w:asciiTheme="minorHAnsi" w:hAnsiTheme="minorHAnsi" w:cstheme="minorHAnsi"/>
          <w:shd w:val="clear" w:color="auto" w:fill="FFFFFF"/>
        </w:rPr>
        <w:t xml:space="preserve"> T</w:t>
      </w:r>
      <w:r>
        <w:rPr>
          <w:rFonts w:asciiTheme="minorHAnsi" w:hAnsiTheme="minorHAnsi" w:cstheme="minorHAnsi"/>
          <w:shd w:val="clear" w:color="auto" w:fill="FFFFFF"/>
        </w:rPr>
        <w:t xml:space="preserve"> Waterfield (E</w:t>
      </w:r>
      <w:r w:rsidRPr="005D6D89">
        <w:rPr>
          <w:rFonts w:asciiTheme="minorHAnsi" w:hAnsiTheme="minorHAnsi" w:cstheme="minorHAnsi"/>
          <w:shd w:val="clear" w:color="auto" w:fill="FFFFFF"/>
        </w:rPr>
        <w:t>ds</w:t>
      </w:r>
      <w:r>
        <w:rPr>
          <w:rFonts w:asciiTheme="minorHAnsi" w:hAnsiTheme="minorHAnsi" w:cstheme="minorHAnsi"/>
          <w:shd w:val="clear" w:color="auto" w:fill="FFFFFF"/>
        </w:rPr>
        <w:t xml:space="preserve"> )]. In p</w:t>
      </w:r>
      <w:r w:rsidRPr="005D6D89">
        <w:rPr>
          <w:rFonts w:asciiTheme="minorHAnsi" w:hAnsiTheme="minorHAnsi" w:cstheme="minorHAnsi"/>
          <w:shd w:val="clear" w:color="auto" w:fill="FFFFFF"/>
        </w:rPr>
        <w:t>ress.</w:t>
      </w:r>
    </w:p>
    <w:p w14:paraId="080F726E" w14:textId="77777777" w:rsidR="007D0B70" w:rsidRPr="005D6D89" w:rsidRDefault="007D0B70" w:rsidP="007D0B70">
      <w:pPr>
        <w:pStyle w:val="References"/>
        <w:rPr>
          <w:rFonts w:cs="Arial"/>
        </w:rPr>
      </w:pPr>
      <w:r>
        <w:rPr>
          <w:color w:val="000000"/>
        </w:rPr>
        <w:t>IPCC.</w:t>
      </w:r>
      <w:r w:rsidRPr="000C3DB3">
        <w:rPr>
          <w:color w:val="000000"/>
        </w:rPr>
        <w:t xml:space="preserve"> (2014) </w:t>
      </w:r>
      <w:r w:rsidRPr="000C3DB3">
        <w:rPr>
          <w:i/>
          <w:iCs/>
          <w:color w:val="000000"/>
        </w:rPr>
        <w:t>Summary</w:t>
      </w:r>
      <w:r>
        <w:rPr>
          <w:i/>
          <w:iCs/>
          <w:color w:val="000000"/>
        </w:rPr>
        <w:t xml:space="preserve"> for policymakers. In: Climate change 2014: Impacts, adaptation and v</w:t>
      </w:r>
      <w:r w:rsidRPr="000C3DB3">
        <w:rPr>
          <w:i/>
          <w:iCs/>
          <w:color w:val="000000"/>
        </w:rPr>
        <w:t>ul</w:t>
      </w:r>
      <w:r>
        <w:rPr>
          <w:i/>
          <w:iCs/>
          <w:color w:val="000000"/>
        </w:rPr>
        <w:t>nerability. Part A: Global and sectoral a</w:t>
      </w:r>
      <w:r w:rsidRPr="000C3DB3">
        <w:rPr>
          <w:i/>
          <w:iCs/>
          <w:color w:val="000000"/>
        </w:rPr>
        <w:t xml:space="preserve">spects. </w:t>
      </w:r>
      <w:proofErr w:type="gramStart"/>
      <w:r w:rsidRPr="000C3DB3">
        <w:rPr>
          <w:i/>
          <w:iCs/>
          <w:color w:val="000000"/>
        </w:rPr>
        <w:t>Contribution of Working Group II to the Fifth Assessment Report of the Intergovernmental Panel on Climate Change</w:t>
      </w:r>
      <w:r w:rsidRPr="000C3DB3">
        <w:rPr>
          <w:color w:val="000000"/>
        </w:rPr>
        <w:t xml:space="preserve"> [C B Field, V R Barros, D J Dokken, K J</w:t>
      </w:r>
      <w:r w:rsidR="00A03FCC">
        <w:rPr>
          <w:color w:val="000000"/>
        </w:rPr>
        <w:t xml:space="preserve"> </w:t>
      </w:r>
      <w:r w:rsidRPr="000C3DB3">
        <w:rPr>
          <w:color w:val="000000"/>
        </w:rPr>
        <w:t>Mach, M D Mastrandrea, T E</w:t>
      </w:r>
      <w:r w:rsidR="00A03FCC">
        <w:rPr>
          <w:color w:val="000000"/>
        </w:rPr>
        <w:t xml:space="preserve"> </w:t>
      </w:r>
      <w:r w:rsidRPr="000C3DB3">
        <w:rPr>
          <w:color w:val="000000"/>
        </w:rPr>
        <w:t>Bilir, M Chatterjee, K L Ebi, Y O Estrada, R C</w:t>
      </w:r>
      <w:r w:rsidR="00A03FCC">
        <w:rPr>
          <w:color w:val="000000"/>
        </w:rPr>
        <w:t xml:space="preserve"> </w:t>
      </w:r>
      <w:r w:rsidRPr="000C3DB3">
        <w:rPr>
          <w:color w:val="000000"/>
        </w:rPr>
        <w:t>Genova, B Girma, E S Kissel, A N</w:t>
      </w:r>
      <w:r w:rsidR="00A03FCC">
        <w:rPr>
          <w:color w:val="000000"/>
        </w:rPr>
        <w:t xml:space="preserve"> </w:t>
      </w:r>
      <w:r w:rsidRPr="000C3DB3">
        <w:rPr>
          <w:color w:val="000000"/>
        </w:rPr>
        <w:t>Levy, S MacCracken, P R</w:t>
      </w:r>
      <w:r w:rsidR="00A03FCC">
        <w:rPr>
          <w:color w:val="000000"/>
        </w:rPr>
        <w:t xml:space="preserve"> </w:t>
      </w:r>
      <w:r w:rsidRPr="000C3DB3">
        <w:rPr>
          <w:color w:val="000000"/>
        </w:rPr>
        <w:t xml:space="preserve">Mastrandrea and L L </w:t>
      </w:r>
      <w:r>
        <w:rPr>
          <w:color w:val="000000"/>
        </w:rPr>
        <w:t>White (E</w:t>
      </w:r>
      <w:r w:rsidRPr="000C3DB3">
        <w:rPr>
          <w:color w:val="000000"/>
        </w:rPr>
        <w:t>ds)].</w:t>
      </w:r>
      <w:proofErr w:type="gramEnd"/>
      <w:r w:rsidRPr="000C3DB3">
        <w:rPr>
          <w:color w:val="000000"/>
        </w:rPr>
        <w:t xml:space="preserve"> Cambridge University Press, Cambridge, United Kingdom and New York, NY, USA, pp 1</w:t>
      </w:r>
      <w:r>
        <w:rPr>
          <w:color w:val="000000"/>
        </w:rPr>
        <w:t>–</w:t>
      </w:r>
      <w:r w:rsidRPr="000C3DB3">
        <w:rPr>
          <w:color w:val="000000"/>
        </w:rPr>
        <w:t>32.</w:t>
      </w:r>
      <w:r w:rsidRPr="005D6D89">
        <w:rPr>
          <w:color w:val="000000"/>
        </w:rPr>
        <w:t xml:space="preserve"> </w:t>
      </w:r>
    </w:p>
    <w:p w14:paraId="53A5A413" w14:textId="77777777" w:rsidR="007D0B70" w:rsidRPr="005D6D89" w:rsidRDefault="007D0B70" w:rsidP="007D0B70">
      <w:pPr>
        <w:pStyle w:val="References"/>
        <w:rPr>
          <w:rFonts w:cs="Arial"/>
        </w:rPr>
      </w:pPr>
      <w:r w:rsidRPr="005D6D89">
        <w:rPr>
          <w:color w:val="000000"/>
        </w:rPr>
        <w:t>IPCC</w:t>
      </w:r>
      <w:r>
        <w:rPr>
          <w:color w:val="000000"/>
        </w:rPr>
        <w:t>.</w:t>
      </w:r>
      <w:r w:rsidRPr="005D6D89">
        <w:rPr>
          <w:color w:val="000000"/>
        </w:rPr>
        <w:t xml:space="preserve"> (2019) </w:t>
      </w:r>
      <w:r>
        <w:rPr>
          <w:i/>
          <w:iCs/>
          <w:color w:val="000000"/>
        </w:rPr>
        <w:t>Summary for policymakers. In: IPCC special report on the ocean and cryosphere in a changing c</w:t>
      </w:r>
      <w:r w:rsidRPr="005D6D89">
        <w:rPr>
          <w:i/>
          <w:iCs/>
          <w:color w:val="000000"/>
        </w:rPr>
        <w:t>limate</w:t>
      </w:r>
      <w:r>
        <w:rPr>
          <w:i/>
          <w:iCs/>
          <w:color w:val="000000"/>
        </w:rPr>
        <w:t>.</w:t>
      </w:r>
      <w:r>
        <w:rPr>
          <w:color w:val="000000"/>
        </w:rPr>
        <w:t xml:space="preserve"> [H </w:t>
      </w:r>
      <w:r w:rsidRPr="005D6D89">
        <w:rPr>
          <w:color w:val="000000"/>
        </w:rPr>
        <w:t>O</w:t>
      </w:r>
      <w:r w:rsidR="00A03FCC">
        <w:rPr>
          <w:color w:val="000000"/>
        </w:rPr>
        <w:t xml:space="preserve"> </w:t>
      </w:r>
      <w:r w:rsidRPr="005D6D89">
        <w:rPr>
          <w:color w:val="000000"/>
        </w:rPr>
        <w:t>Pörtner, D</w:t>
      </w:r>
      <w:r>
        <w:rPr>
          <w:color w:val="000000"/>
        </w:rPr>
        <w:t xml:space="preserve"> </w:t>
      </w:r>
      <w:r w:rsidRPr="005D6D89">
        <w:rPr>
          <w:color w:val="000000"/>
        </w:rPr>
        <w:t>C</w:t>
      </w:r>
      <w:r w:rsidR="00A03FCC">
        <w:rPr>
          <w:color w:val="000000"/>
        </w:rPr>
        <w:t xml:space="preserve"> </w:t>
      </w:r>
      <w:r w:rsidRPr="005D6D89">
        <w:rPr>
          <w:color w:val="000000"/>
        </w:rPr>
        <w:t>Roberts, V</w:t>
      </w:r>
      <w:r>
        <w:rPr>
          <w:color w:val="000000"/>
        </w:rPr>
        <w:t xml:space="preserve"> </w:t>
      </w:r>
      <w:r w:rsidRPr="005D6D89">
        <w:rPr>
          <w:color w:val="000000"/>
        </w:rPr>
        <w:t>Masson-Delmotte, P</w:t>
      </w:r>
      <w:r>
        <w:rPr>
          <w:color w:val="000000"/>
        </w:rPr>
        <w:t xml:space="preserve"> </w:t>
      </w:r>
      <w:r w:rsidRPr="005D6D89">
        <w:rPr>
          <w:color w:val="000000"/>
        </w:rPr>
        <w:t>Zhai, M</w:t>
      </w:r>
      <w:r>
        <w:rPr>
          <w:color w:val="000000"/>
        </w:rPr>
        <w:t xml:space="preserve"> </w:t>
      </w:r>
      <w:r w:rsidRPr="005D6D89">
        <w:rPr>
          <w:color w:val="000000"/>
        </w:rPr>
        <w:t>Tignor, E</w:t>
      </w:r>
      <w:r>
        <w:rPr>
          <w:color w:val="000000"/>
        </w:rPr>
        <w:t xml:space="preserve"> </w:t>
      </w:r>
      <w:r w:rsidRPr="005D6D89">
        <w:rPr>
          <w:color w:val="000000"/>
        </w:rPr>
        <w:t>Poloczanska, K</w:t>
      </w:r>
      <w:r>
        <w:rPr>
          <w:color w:val="000000"/>
        </w:rPr>
        <w:t xml:space="preserve"> </w:t>
      </w:r>
      <w:r w:rsidRPr="005D6D89">
        <w:rPr>
          <w:color w:val="000000"/>
        </w:rPr>
        <w:t>Mintenbeck, A</w:t>
      </w:r>
      <w:r w:rsidR="00A03FCC">
        <w:rPr>
          <w:color w:val="000000"/>
        </w:rPr>
        <w:t xml:space="preserve"> </w:t>
      </w:r>
      <w:r w:rsidRPr="005D6D89">
        <w:rPr>
          <w:color w:val="000000"/>
        </w:rPr>
        <w:t>Alegría, M</w:t>
      </w:r>
      <w:r>
        <w:rPr>
          <w:color w:val="000000"/>
        </w:rPr>
        <w:t xml:space="preserve"> </w:t>
      </w:r>
      <w:r w:rsidRPr="005D6D89">
        <w:rPr>
          <w:color w:val="000000"/>
        </w:rPr>
        <w:t>Nicolai, A</w:t>
      </w:r>
      <w:r>
        <w:rPr>
          <w:color w:val="000000"/>
        </w:rPr>
        <w:t xml:space="preserve"> </w:t>
      </w:r>
      <w:r w:rsidRPr="005D6D89">
        <w:rPr>
          <w:color w:val="000000"/>
        </w:rPr>
        <w:t>Okem, J</w:t>
      </w:r>
      <w:r>
        <w:rPr>
          <w:color w:val="000000"/>
        </w:rPr>
        <w:t xml:space="preserve"> </w:t>
      </w:r>
      <w:r w:rsidRPr="005D6D89">
        <w:rPr>
          <w:color w:val="000000"/>
        </w:rPr>
        <w:t>Petzold, B</w:t>
      </w:r>
      <w:r>
        <w:rPr>
          <w:color w:val="000000"/>
        </w:rPr>
        <w:t xml:space="preserve"> </w:t>
      </w:r>
      <w:r w:rsidRPr="005D6D89">
        <w:rPr>
          <w:color w:val="000000"/>
        </w:rPr>
        <w:t>Rama, N</w:t>
      </w:r>
      <w:r>
        <w:rPr>
          <w:color w:val="000000"/>
        </w:rPr>
        <w:t xml:space="preserve"> </w:t>
      </w:r>
      <w:r w:rsidRPr="005D6D89">
        <w:rPr>
          <w:color w:val="000000"/>
        </w:rPr>
        <w:t>M</w:t>
      </w:r>
      <w:r>
        <w:rPr>
          <w:color w:val="000000"/>
        </w:rPr>
        <w:t xml:space="preserve"> Weyer (E</w:t>
      </w:r>
      <w:r w:rsidRPr="005D6D89">
        <w:rPr>
          <w:color w:val="000000"/>
        </w:rPr>
        <w:t>ds)]. In press.</w:t>
      </w:r>
    </w:p>
    <w:p w14:paraId="14945CFF" w14:textId="77777777" w:rsidR="007D0B70" w:rsidRPr="005D6D89" w:rsidRDefault="007D0B70" w:rsidP="007D0B70">
      <w:pPr>
        <w:pStyle w:val="References"/>
        <w:rPr>
          <w:color w:val="000000" w:themeColor="text1"/>
        </w:rPr>
      </w:pPr>
      <w:r>
        <w:t xml:space="preserve">Islam </w:t>
      </w:r>
      <w:r w:rsidRPr="005D6D89">
        <w:t>N</w:t>
      </w:r>
      <w:r>
        <w:t xml:space="preserve"> and Winkel</w:t>
      </w:r>
      <w:r w:rsidRPr="005D6D89">
        <w:t xml:space="preserve"> J</w:t>
      </w:r>
      <w:r>
        <w:t>.</w:t>
      </w:r>
      <w:r w:rsidRPr="005D6D89">
        <w:t xml:space="preserve"> (2017). </w:t>
      </w:r>
      <w:r>
        <w:rPr>
          <w:i/>
          <w:iCs/>
        </w:rPr>
        <w:t>Climate change and social i</w:t>
      </w:r>
      <w:r w:rsidRPr="005D6D89">
        <w:rPr>
          <w:i/>
          <w:iCs/>
        </w:rPr>
        <w:t>nequality</w:t>
      </w:r>
      <w:r w:rsidRPr="005D6D89">
        <w:t>. Department of Economic and Social Affairs. Wo</w:t>
      </w:r>
      <w:r>
        <w:t xml:space="preserve">rking Paper No </w:t>
      </w:r>
      <w:r w:rsidRPr="005D6D89">
        <w:t xml:space="preserve">152. </w:t>
      </w:r>
      <w:hyperlink r:id="rId85" w:history="1">
        <w:r w:rsidRPr="005D6D89">
          <w:rPr>
            <w:rStyle w:val="Hyperlink"/>
          </w:rPr>
          <w:t>https://www.un.org/esa/desa/papers/2017/wp152_2017.pdf</w:t>
        </w:r>
      </w:hyperlink>
    </w:p>
    <w:p w14:paraId="1AC0724A" w14:textId="77777777" w:rsidR="007D0B70" w:rsidRPr="005D6D89" w:rsidRDefault="007D0B70" w:rsidP="007D0B70">
      <w:pPr>
        <w:pStyle w:val="References"/>
        <w:rPr>
          <w:color w:val="000000" w:themeColor="text1"/>
        </w:rPr>
      </w:pPr>
      <w:r>
        <w:rPr>
          <w:rFonts w:cs="Arial"/>
          <w:color w:val="000000" w:themeColor="text1"/>
        </w:rPr>
        <w:t xml:space="preserve">Jakes P </w:t>
      </w:r>
      <w:r w:rsidRPr="005D6D89">
        <w:rPr>
          <w:rFonts w:cs="Arial"/>
          <w:color w:val="000000" w:themeColor="text1"/>
        </w:rPr>
        <w:t>J</w:t>
      </w:r>
      <w:r>
        <w:rPr>
          <w:rFonts w:cs="Arial"/>
          <w:color w:val="000000" w:themeColor="text1"/>
        </w:rPr>
        <w:t xml:space="preserve"> and Langer L</w:t>
      </w:r>
      <w:r w:rsidRPr="005D6D89">
        <w:rPr>
          <w:rFonts w:cs="Arial"/>
          <w:color w:val="000000" w:themeColor="text1"/>
        </w:rPr>
        <w:t xml:space="preserve"> E. (2012). The adaptive capacity of New Zealand communities to wildfire. </w:t>
      </w:r>
      <w:r w:rsidRPr="005D6D89">
        <w:rPr>
          <w:rFonts w:cs="Arial"/>
          <w:i/>
          <w:iCs/>
          <w:color w:val="000000" w:themeColor="text1"/>
        </w:rPr>
        <w:t>International Journal of Wildland Fire</w:t>
      </w:r>
      <w:r w:rsidRPr="005D6D89">
        <w:rPr>
          <w:rFonts w:cs="Arial"/>
          <w:color w:val="000000" w:themeColor="text1"/>
        </w:rPr>
        <w:t>, 21, 764–772.</w:t>
      </w:r>
    </w:p>
    <w:p w14:paraId="63ED3794" w14:textId="77777777" w:rsidR="007D0B70" w:rsidRPr="005D6D89" w:rsidRDefault="007D0B70" w:rsidP="007D0B70">
      <w:pPr>
        <w:pStyle w:val="References"/>
        <w:rPr>
          <w:rFonts w:cs="Arial"/>
          <w:color w:val="000000" w:themeColor="text1"/>
        </w:rPr>
      </w:pPr>
      <w:r>
        <w:rPr>
          <w:rFonts w:cs="Arial"/>
          <w:color w:val="000000" w:themeColor="text1"/>
        </w:rPr>
        <w:t>James</w:t>
      </w:r>
      <w:r w:rsidRPr="005D6D89">
        <w:rPr>
          <w:rFonts w:cs="Arial"/>
          <w:color w:val="000000" w:themeColor="text1"/>
        </w:rPr>
        <w:t xml:space="preserve"> V</w:t>
      </w:r>
      <w:r>
        <w:rPr>
          <w:rFonts w:cs="Arial"/>
          <w:color w:val="000000" w:themeColor="text1"/>
        </w:rPr>
        <w:t>, Gerard</w:t>
      </w:r>
      <w:r w:rsidRPr="005D6D89">
        <w:rPr>
          <w:rFonts w:cs="Arial"/>
          <w:color w:val="000000" w:themeColor="text1"/>
        </w:rPr>
        <w:t xml:space="preserve"> P</w:t>
      </w:r>
      <w:r>
        <w:rPr>
          <w:rFonts w:cs="Arial"/>
          <w:color w:val="000000" w:themeColor="text1"/>
        </w:rPr>
        <w:t xml:space="preserve"> and Iorns</w:t>
      </w:r>
      <w:r w:rsidRPr="005D6D89">
        <w:rPr>
          <w:rFonts w:cs="Arial"/>
          <w:color w:val="000000" w:themeColor="text1"/>
        </w:rPr>
        <w:t xml:space="preserve"> C. (2019). </w:t>
      </w:r>
      <w:r w:rsidRPr="005D6D89">
        <w:rPr>
          <w:rFonts w:cs="Arial"/>
          <w:i/>
          <w:iCs/>
          <w:color w:val="000000" w:themeColor="text1"/>
        </w:rPr>
        <w:t>Sea-level rise and local government: Policy gaps and opportunities (Deep South National Science Challenge)</w:t>
      </w:r>
      <w:r w:rsidRPr="005D6D89">
        <w:rPr>
          <w:rFonts w:cs="Arial"/>
          <w:color w:val="000000" w:themeColor="text1"/>
        </w:rPr>
        <w:t xml:space="preserve"> (Issue July).</w:t>
      </w:r>
    </w:p>
    <w:p w14:paraId="1E7A1989" w14:textId="77777777" w:rsidR="007D0B70" w:rsidRPr="005D6D89" w:rsidRDefault="007D0B70" w:rsidP="007D0B70">
      <w:pPr>
        <w:pStyle w:val="References"/>
        <w:rPr>
          <w:rFonts w:cs="Arial"/>
          <w:color w:val="000000" w:themeColor="text1"/>
        </w:rPr>
      </w:pPr>
      <w:r>
        <w:rPr>
          <w:rFonts w:cs="Arial"/>
          <w:color w:val="000000" w:themeColor="text1"/>
        </w:rPr>
        <w:t xml:space="preserve">Jaques </w:t>
      </w:r>
      <w:r w:rsidRPr="005D6D89">
        <w:rPr>
          <w:rFonts w:cs="Arial"/>
          <w:color w:val="000000" w:themeColor="text1"/>
        </w:rPr>
        <w:t>R</w:t>
      </w:r>
      <w:r>
        <w:rPr>
          <w:rFonts w:cs="Arial"/>
          <w:color w:val="000000" w:themeColor="text1"/>
        </w:rPr>
        <w:t xml:space="preserve">, Jones </w:t>
      </w:r>
      <w:r w:rsidRPr="005D6D89">
        <w:rPr>
          <w:rFonts w:cs="Arial"/>
          <w:color w:val="000000" w:themeColor="text1"/>
        </w:rPr>
        <w:t>M</w:t>
      </w:r>
      <w:r>
        <w:rPr>
          <w:rFonts w:cs="Arial"/>
          <w:color w:val="000000" w:themeColor="text1"/>
        </w:rPr>
        <w:t xml:space="preserve">, Marston </w:t>
      </w:r>
      <w:r w:rsidRPr="005D6D89">
        <w:rPr>
          <w:rFonts w:cs="Arial"/>
          <w:color w:val="000000" w:themeColor="text1"/>
        </w:rPr>
        <w:t>N</w:t>
      </w:r>
      <w:r>
        <w:rPr>
          <w:rFonts w:cs="Arial"/>
          <w:color w:val="000000" w:themeColor="text1"/>
        </w:rPr>
        <w:t>,</w:t>
      </w:r>
      <w:r w:rsidRPr="005D6D89">
        <w:rPr>
          <w:rFonts w:cs="Arial"/>
          <w:color w:val="000000" w:themeColor="text1"/>
        </w:rPr>
        <w:t xml:space="preserve"> Saville-Smit</w:t>
      </w:r>
      <w:r>
        <w:rPr>
          <w:rFonts w:cs="Arial"/>
          <w:color w:val="000000" w:themeColor="text1"/>
        </w:rPr>
        <w:t xml:space="preserve">h </w:t>
      </w:r>
      <w:r w:rsidRPr="005D6D89">
        <w:rPr>
          <w:rFonts w:cs="Arial"/>
          <w:color w:val="000000" w:themeColor="text1"/>
        </w:rPr>
        <w:t>K</w:t>
      </w:r>
      <w:r>
        <w:rPr>
          <w:rFonts w:cs="Arial"/>
          <w:color w:val="000000" w:themeColor="text1"/>
        </w:rPr>
        <w:t xml:space="preserve"> and Shaw </w:t>
      </w:r>
      <w:r w:rsidRPr="005D6D89">
        <w:rPr>
          <w:rFonts w:cs="Arial"/>
          <w:color w:val="000000" w:themeColor="text1"/>
        </w:rPr>
        <w:t>P</w:t>
      </w:r>
      <w:r>
        <w:rPr>
          <w:rFonts w:cs="Arial"/>
          <w:color w:val="000000" w:themeColor="text1"/>
        </w:rPr>
        <w:t>. (2015). Storm resilience of New Zealand housing and the implication for older p</w:t>
      </w:r>
      <w:r w:rsidRPr="005D6D89">
        <w:rPr>
          <w:rFonts w:cs="Arial"/>
          <w:color w:val="000000" w:themeColor="text1"/>
        </w:rPr>
        <w:t xml:space="preserve">eople </w:t>
      </w:r>
      <w:r>
        <w:rPr>
          <w:rFonts w:cs="Arial"/>
          <w:color w:val="000000" w:themeColor="text1"/>
        </w:rPr>
        <w:t>– Preliminary s</w:t>
      </w:r>
      <w:r w:rsidRPr="005D6D89">
        <w:rPr>
          <w:rFonts w:cs="Arial"/>
          <w:color w:val="000000" w:themeColor="text1"/>
        </w:rPr>
        <w:t xml:space="preserve">tudy. </w:t>
      </w:r>
      <w:r w:rsidRPr="005D6D89">
        <w:rPr>
          <w:rFonts w:cs="Arial"/>
          <w:i/>
          <w:iCs/>
          <w:color w:val="000000" w:themeColor="text1"/>
        </w:rPr>
        <w:t>International Journal of Sustainable Built Environment</w:t>
      </w:r>
      <w:r w:rsidRPr="005D6D89">
        <w:rPr>
          <w:rFonts w:cs="Arial"/>
          <w:color w:val="000000" w:themeColor="text1"/>
        </w:rPr>
        <w:t>, 4(2), 341–347.</w:t>
      </w:r>
    </w:p>
    <w:p w14:paraId="4D325E68" w14:textId="77777777" w:rsidR="007D0B70" w:rsidRPr="005D6D89" w:rsidRDefault="007D0B70" w:rsidP="007D0B70">
      <w:pPr>
        <w:pStyle w:val="References"/>
        <w:rPr>
          <w:rFonts w:cs="Arial"/>
          <w:color w:val="000000" w:themeColor="text1"/>
        </w:rPr>
      </w:pPr>
      <w:r>
        <w:rPr>
          <w:rFonts w:cs="Arial"/>
          <w:color w:val="000000" w:themeColor="text1"/>
        </w:rPr>
        <w:t>Jentsch</w:t>
      </w:r>
      <w:r w:rsidRPr="005D6D89">
        <w:rPr>
          <w:rFonts w:cs="Arial"/>
          <w:color w:val="000000" w:themeColor="text1"/>
        </w:rPr>
        <w:t xml:space="preserve"> A</w:t>
      </w:r>
      <w:r>
        <w:rPr>
          <w:rFonts w:cs="Arial"/>
          <w:color w:val="000000" w:themeColor="text1"/>
        </w:rPr>
        <w:t xml:space="preserve"> and</w:t>
      </w:r>
      <w:r w:rsidRPr="005D6D89">
        <w:rPr>
          <w:rFonts w:cs="Arial"/>
          <w:color w:val="000000" w:themeColor="text1"/>
        </w:rPr>
        <w:t xml:space="preserve"> Beierkuhnlein. (2008). Research frontiers in climate change: Effects of extreme meteorological events on ecosystems. </w:t>
      </w:r>
      <w:r>
        <w:rPr>
          <w:rFonts w:cs="Arial"/>
          <w:i/>
          <w:iCs/>
          <w:color w:val="000000" w:themeColor="text1"/>
        </w:rPr>
        <w:t xml:space="preserve">C </w:t>
      </w:r>
      <w:r w:rsidRPr="005D6D89">
        <w:rPr>
          <w:rFonts w:cs="Arial"/>
          <w:i/>
          <w:iCs/>
          <w:color w:val="000000" w:themeColor="text1"/>
        </w:rPr>
        <w:t>R Geoscience</w:t>
      </w:r>
      <w:r w:rsidRPr="005D6D89">
        <w:rPr>
          <w:rFonts w:cs="Arial"/>
          <w:color w:val="000000" w:themeColor="text1"/>
        </w:rPr>
        <w:t>, 340, 621–628.</w:t>
      </w:r>
    </w:p>
    <w:p w14:paraId="205C9A1E" w14:textId="77777777" w:rsidR="007D0B70" w:rsidRPr="005D6D89" w:rsidRDefault="007D0B70" w:rsidP="007D0B70">
      <w:pPr>
        <w:pStyle w:val="References"/>
        <w:rPr>
          <w:rFonts w:cs="Arial"/>
          <w:color w:val="000000" w:themeColor="text1"/>
        </w:rPr>
      </w:pPr>
      <w:r>
        <w:rPr>
          <w:rFonts w:cs="Arial"/>
          <w:color w:val="000000" w:themeColor="text1"/>
        </w:rPr>
        <w:t xml:space="preserve">Johnson </w:t>
      </w:r>
      <w:r w:rsidRPr="005D6D89">
        <w:rPr>
          <w:rFonts w:cs="Arial"/>
          <w:color w:val="000000" w:themeColor="text1"/>
        </w:rPr>
        <w:t>P</w:t>
      </w:r>
      <w:r>
        <w:rPr>
          <w:rFonts w:cs="Arial"/>
          <w:color w:val="000000" w:themeColor="text1"/>
        </w:rPr>
        <w:t xml:space="preserve"> and Rogers</w:t>
      </w:r>
      <w:r w:rsidRPr="005D6D89">
        <w:rPr>
          <w:rFonts w:cs="Arial"/>
          <w:color w:val="000000" w:themeColor="text1"/>
        </w:rPr>
        <w:t xml:space="preserve"> G. (2003). Ephemeral wetlands and their turfs in New Zealand. </w:t>
      </w:r>
      <w:r w:rsidRPr="005D6D89">
        <w:rPr>
          <w:rFonts w:cs="Arial"/>
          <w:i/>
          <w:iCs/>
          <w:color w:val="000000" w:themeColor="text1"/>
        </w:rPr>
        <w:t>Science for Conservation</w:t>
      </w:r>
      <w:r w:rsidRPr="005D6D89">
        <w:rPr>
          <w:rFonts w:cs="Arial"/>
          <w:color w:val="000000" w:themeColor="text1"/>
        </w:rPr>
        <w:t>, 230, 109.</w:t>
      </w:r>
    </w:p>
    <w:p w14:paraId="1B913EAD" w14:textId="77777777" w:rsidR="007D0B70" w:rsidRPr="005D6D89" w:rsidRDefault="007D0B70" w:rsidP="007D0B70">
      <w:pPr>
        <w:pStyle w:val="References"/>
        <w:rPr>
          <w:rFonts w:cs="Arial"/>
          <w:color w:val="000000" w:themeColor="text1"/>
        </w:rPr>
      </w:pPr>
      <w:r>
        <w:rPr>
          <w:rFonts w:cs="Arial"/>
          <w:color w:val="000000" w:themeColor="text1"/>
        </w:rPr>
        <w:t>Jones</w:t>
      </w:r>
      <w:r w:rsidRPr="005D6D89">
        <w:rPr>
          <w:rFonts w:cs="Arial"/>
          <w:color w:val="000000" w:themeColor="text1"/>
        </w:rPr>
        <w:t xml:space="preserve"> R</w:t>
      </w:r>
      <w:r>
        <w:rPr>
          <w:rFonts w:cs="Arial"/>
          <w:color w:val="000000" w:themeColor="text1"/>
        </w:rPr>
        <w:t xml:space="preserve">, Bennett </w:t>
      </w:r>
      <w:r w:rsidRPr="005D6D89">
        <w:rPr>
          <w:rFonts w:cs="Arial"/>
          <w:color w:val="000000" w:themeColor="text1"/>
        </w:rPr>
        <w:t>H</w:t>
      </w:r>
      <w:r>
        <w:rPr>
          <w:rFonts w:cs="Arial"/>
          <w:color w:val="000000" w:themeColor="text1"/>
        </w:rPr>
        <w:t xml:space="preserve">, Keating </w:t>
      </w:r>
      <w:r w:rsidRPr="005D6D89">
        <w:rPr>
          <w:rFonts w:cs="Arial"/>
          <w:color w:val="000000" w:themeColor="text1"/>
        </w:rPr>
        <w:t>G</w:t>
      </w:r>
      <w:r>
        <w:rPr>
          <w:rFonts w:cs="Arial"/>
          <w:color w:val="000000" w:themeColor="text1"/>
        </w:rPr>
        <w:t xml:space="preserve"> and Blaiklock</w:t>
      </w:r>
      <w:r w:rsidRPr="005D6D89">
        <w:rPr>
          <w:rFonts w:cs="Arial"/>
          <w:color w:val="000000" w:themeColor="text1"/>
        </w:rPr>
        <w:t xml:space="preserve"> A. (2014). Climate change and the right to health for Māori in Aotearoa/New Zealand. </w:t>
      </w:r>
      <w:r w:rsidRPr="005D6D89">
        <w:rPr>
          <w:rFonts w:cs="Arial"/>
          <w:i/>
          <w:iCs/>
          <w:color w:val="000000" w:themeColor="text1"/>
        </w:rPr>
        <w:t>Health and Human Rights</w:t>
      </w:r>
      <w:r w:rsidRPr="005D6D89">
        <w:rPr>
          <w:rFonts w:cs="Arial"/>
          <w:color w:val="000000" w:themeColor="text1"/>
        </w:rPr>
        <w:t>, 16(1), 54–68.</w:t>
      </w:r>
    </w:p>
    <w:p w14:paraId="2E1E3B28" w14:textId="77777777" w:rsidR="007D0B70" w:rsidRPr="005D6D89" w:rsidRDefault="007D0B70" w:rsidP="007D0B70">
      <w:pPr>
        <w:pStyle w:val="References"/>
        <w:rPr>
          <w:rFonts w:cs="Arial"/>
          <w:color w:val="000000" w:themeColor="text1"/>
        </w:rPr>
      </w:pPr>
      <w:r>
        <w:rPr>
          <w:rFonts w:cs="Arial"/>
          <w:color w:val="000000" w:themeColor="text1"/>
        </w:rPr>
        <w:t>Jones</w:t>
      </w:r>
      <w:r w:rsidRPr="005D6D89">
        <w:rPr>
          <w:rFonts w:cs="Arial"/>
          <w:color w:val="000000" w:themeColor="text1"/>
        </w:rPr>
        <w:t xml:space="preserve"> R</w:t>
      </w:r>
      <w:r>
        <w:rPr>
          <w:rFonts w:cs="Arial"/>
          <w:color w:val="000000" w:themeColor="text1"/>
        </w:rPr>
        <w:t>, Keating</w:t>
      </w:r>
      <w:r w:rsidRPr="005D6D89">
        <w:rPr>
          <w:rFonts w:cs="Arial"/>
          <w:color w:val="000000" w:themeColor="text1"/>
        </w:rPr>
        <w:t xml:space="preserve"> G</w:t>
      </w:r>
      <w:r>
        <w:rPr>
          <w:rFonts w:cs="Arial"/>
          <w:color w:val="000000" w:themeColor="text1"/>
        </w:rPr>
        <w:t xml:space="preserve"> and Hales</w:t>
      </w:r>
      <w:r w:rsidRPr="005D6D89">
        <w:rPr>
          <w:rFonts w:cs="Arial"/>
          <w:color w:val="000000" w:themeColor="text1"/>
        </w:rPr>
        <w:t xml:space="preserve"> S. (2014). Health and equity impacts of climate change in Aotearoa-New Zealand</w:t>
      </w:r>
      <w:r>
        <w:rPr>
          <w:rFonts w:cs="Arial"/>
          <w:color w:val="000000" w:themeColor="text1"/>
        </w:rPr>
        <w:t xml:space="preserve"> and</w:t>
      </w:r>
      <w:r w:rsidRPr="005D6D89">
        <w:rPr>
          <w:rFonts w:cs="Arial"/>
          <w:color w:val="000000" w:themeColor="text1"/>
        </w:rPr>
        <w:t xml:space="preserve"> health gains from climate action. </w:t>
      </w:r>
      <w:r w:rsidRPr="005D6D89">
        <w:rPr>
          <w:rFonts w:cs="Arial"/>
          <w:i/>
          <w:iCs/>
          <w:color w:val="000000" w:themeColor="text1"/>
        </w:rPr>
        <w:t>The New Zealand Medical Journal</w:t>
      </w:r>
      <w:r w:rsidRPr="005D6D89">
        <w:rPr>
          <w:rFonts w:cs="Arial"/>
          <w:color w:val="000000" w:themeColor="text1"/>
        </w:rPr>
        <w:t xml:space="preserve">, 127(1406), 16–31. </w:t>
      </w:r>
      <w:hyperlink r:id="rId86" w:history="1">
        <w:r w:rsidRPr="00026A18">
          <w:rPr>
            <w:rStyle w:val="Hyperlink"/>
          </w:rPr>
          <w:t>http://www.nzma.org.nz/journal/subscribe</w:t>
        </w:r>
      </w:hyperlink>
    </w:p>
    <w:p w14:paraId="58D02BDF" w14:textId="77777777" w:rsidR="007D0B70" w:rsidRPr="005D6D89" w:rsidRDefault="007D0B70" w:rsidP="007D0B70">
      <w:pPr>
        <w:pStyle w:val="References"/>
        <w:rPr>
          <w:rFonts w:cs="Arial"/>
        </w:rPr>
      </w:pPr>
      <w:r>
        <w:rPr>
          <w:rFonts w:cs="Arial"/>
        </w:rPr>
        <w:t>King</w:t>
      </w:r>
      <w:r w:rsidRPr="005D6D89">
        <w:rPr>
          <w:rFonts w:cs="Arial"/>
        </w:rPr>
        <w:t xml:space="preserve"> D</w:t>
      </w:r>
      <w:r>
        <w:rPr>
          <w:rFonts w:cs="Arial"/>
        </w:rPr>
        <w:t xml:space="preserve">, Penny </w:t>
      </w:r>
      <w:r w:rsidRPr="005D6D89">
        <w:rPr>
          <w:rFonts w:cs="Arial"/>
        </w:rPr>
        <w:t>G</w:t>
      </w:r>
      <w:r>
        <w:rPr>
          <w:rFonts w:cs="Arial"/>
        </w:rPr>
        <w:t xml:space="preserve"> and Severne</w:t>
      </w:r>
      <w:r w:rsidRPr="005D6D89">
        <w:rPr>
          <w:rFonts w:cs="Arial"/>
        </w:rPr>
        <w:t xml:space="preserve"> C. (2010). The climate change matrix facing</w:t>
      </w:r>
      <w:r>
        <w:rPr>
          <w:rFonts w:cs="Arial"/>
        </w:rPr>
        <w:t xml:space="preserve"> Māori society. In W D Nottage R A C. (Ed</w:t>
      </w:r>
      <w:r w:rsidRPr="005D6D89">
        <w:rPr>
          <w:rFonts w:cs="Arial"/>
        </w:rPr>
        <w:t xml:space="preserve">), </w:t>
      </w:r>
      <w:r w:rsidRPr="005D6D89">
        <w:rPr>
          <w:rFonts w:cs="Arial"/>
          <w:i/>
          <w:iCs/>
        </w:rPr>
        <w:t>Climate change adaptation in New Zealand: future scenarios and some sectoral perspectives</w:t>
      </w:r>
      <w:r>
        <w:rPr>
          <w:rFonts w:cs="Arial"/>
        </w:rPr>
        <w:t xml:space="preserve"> (pp</w:t>
      </w:r>
      <w:r w:rsidRPr="005D6D89">
        <w:rPr>
          <w:rFonts w:cs="Arial"/>
        </w:rPr>
        <w:t xml:space="preserve"> 100</w:t>
      </w:r>
      <w:r>
        <w:rPr>
          <w:rFonts w:cs="Arial"/>
        </w:rPr>
        <w:t>–</w:t>
      </w:r>
      <w:r w:rsidRPr="005D6D89">
        <w:rPr>
          <w:rFonts w:cs="Arial"/>
        </w:rPr>
        <w:t>111). Wellington: New Zealand Climate Change Centre.</w:t>
      </w:r>
    </w:p>
    <w:p w14:paraId="452FE8A5" w14:textId="77777777" w:rsidR="007D0B70" w:rsidRPr="005D6D89" w:rsidRDefault="007D0B70" w:rsidP="007D0B70">
      <w:pPr>
        <w:pStyle w:val="References"/>
        <w:rPr>
          <w:rFonts w:cs="Arial"/>
        </w:rPr>
      </w:pPr>
      <w:r>
        <w:rPr>
          <w:rFonts w:cs="Arial"/>
          <w:lang w:eastAsia="en-AU"/>
        </w:rPr>
        <w:t xml:space="preserve">Kool R. (2020) </w:t>
      </w:r>
      <w:proofErr w:type="gramStart"/>
      <w:r>
        <w:rPr>
          <w:rFonts w:cs="Arial"/>
          <w:lang w:eastAsia="en-AU"/>
        </w:rPr>
        <w:t>Preparing</w:t>
      </w:r>
      <w:proofErr w:type="gramEnd"/>
      <w:r>
        <w:rPr>
          <w:rFonts w:cs="Arial"/>
          <w:lang w:eastAsia="en-AU"/>
        </w:rPr>
        <w:t xml:space="preserve"> for s</w:t>
      </w:r>
      <w:r w:rsidRPr="005D6D89">
        <w:rPr>
          <w:rFonts w:cs="Arial"/>
          <w:lang w:eastAsia="en-AU"/>
        </w:rPr>
        <w:t>ea-level rise: An adaptive managed retreat case study. In part fulfilment of a Masters of Engineering, Danish Technical Institute and Victoria University of Wellington.</w:t>
      </w:r>
    </w:p>
    <w:p w14:paraId="59FCEB97" w14:textId="77777777" w:rsidR="007D0B70" w:rsidRPr="005D6D89" w:rsidRDefault="007D0B70" w:rsidP="007D0B70">
      <w:pPr>
        <w:pStyle w:val="References"/>
        <w:rPr>
          <w:rFonts w:cs="Arial"/>
        </w:rPr>
      </w:pPr>
      <w:r>
        <w:rPr>
          <w:rFonts w:cs="Arial"/>
        </w:rPr>
        <w:t xml:space="preserve">Kovats </w:t>
      </w:r>
      <w:r w:rsidRPr="005D6D89">
        <w:rPr>
          <w:rFonts w:cs="Arial"/>
        </w:rPr>
        <w:t>S</w:t>
      </w:r>
      <w:r>
        <w:rPr>
          <w:rFonts w:cs="Arial"/>
        </w:rPr>
        <w:t xml:space="preserve"> and Osborn </w:t>
      </w:r>
      <w:r w:rsidRPr="005D6D89">
        <w:rPr>
          <w:rFonts w:cs="Arial"/>
        </w:rPr>
        <w:t xml:space="preserve">D. (2016). Chapter 5: People and the built environment. In </w:t>
      </w:r>
      <w:r w:rsidRPr="005D6D89">
        <w:rPr>
          <w:rFonts w:cs="Arial"/>
          <w:i/>
          <w:iCs/>
        </w:rPr>
        <w:t>UK Climate Change Risk Assessment</w:t>
      </w:r>
      <w:r w:rsidRPr="005D6D89">
        <w:rPr>
          <w:rFonts w:cs="Arial"/>
        </w:rPr>
        <w:t xml:space="preserve">. </w:t>
      </w:r>
    </w:p>
    <w:p w14:paraId="56E6DE0A" w14:textId="77777777" w:rsidR="007D0B70" w:rsidRPr="005D6D89" w:rsidRDefault="007D0B70" w:rsidP="007D0B70">
      <w:pPr>
        <w:pStyle w:val="References"/>
        <w:rPr>
          <w:rFonts w:cs="Arial"/>
        </w:rPr>
      </w:pPr>
      <w:r>
        <w:rPr>
          <w:rFonts w:cs="Arial"/>
        </w:rPr>
        <w:t xml:space="preserve">Krishnamurthy P </w:t>
      </w:r>
      <w:r w:rsidRPr="005D6D89">
        <w:rPr>
          <w:rFonts w:cs="Arial"/>
        </w:rPr>
        <w:t xml:space="preserve">K. (2012). Disaster-induced migration: Assessing the impact of extreme weather events on livelihoods. </w:t>
      </w:r>
      <w:r w:rsidRPr="005D6D89">
        <w:rPr>
          <w:rFonts w:cs="Arial"/>
          <w:i/>
          <w:iCs/>
        </w:rPr>
        <w:t>Environmental Hazards</w:t>
      </w:r>
      <w:r w:rsidRPr="005D6D89">
        <w:rPr>
          <w:rFonts w:cs="Arial"/>
        </w:rPr>
        <w:t>, 11(2), 96–111.</w:t>
      </w:r>
    </w:p>
    <w:p w14:paraId="71E10BD5" w14:textId="77777777" w:rsidR="007D0B70" w:rsidRPr="005D6D89" w:rsidRDefault="007D0B70" w:rsidP="007D0B70">
      <w:pPr>
        <w:pStyle w:val="References"/>
        <w:rPr>
          <w:rFonts w:cs="Arial"/>
        </w:rPr>
      </w:pPr>
      <w:r>
        <w:rPr>
          <w:rFonts w:cs="Arial"/>
          <w:lang w:eastAsia="en-AU"/>
        </w:rPr>
        <w:t>Kundzewicz</w:t>
      </w:r>
      <w:r w:rsidRPr="005D6D89">
        <w:rPr>
          <w:rFonts w:cs="Arial"/>
          <w:lang w:eastAsia="en-AU"/>
        </w:rPr>
        <w:t xml:space="preserve"> Z</w:t>
      </w:r>
      <w:r>
        <w:rPr>
          <w:rFonts w:cs="Arial"/>
          <w:lang w:eastAsia="en-AU"/>
        </w:rPr>
        <w:t>,</w:t>
      </w:r>
      <w:r w:rsidRPr="005D6D89">
        <w:rPr>
          <w:rFonts w:cs="Arial"/>
          <w:lang w:eastAsia="en-AU"/>
        </w:rPr>
        <w:t xml:space="preserve"> Mata</w:t>
      </w:r>
      <w:r>
        <w:rPr>
          <w:rFonts w:cs="Arial"/>
          <w:lang w:eastAsia="en-AU"/>
        </w:rPr>
        <w:t xml:space="preserve"> </w:t>
      </w:r>
      <w:r w:rsidRPr="005D6D89">
        <w:rPr>
          <w:rFonts w:cs="Arial"/>
          <w:lang w:eastAsia="en-AU"/>
        </w:rPr>
        <w:t>L</w:t>
      </w:r>
      <w:r>
        <w:rPr>
          <w:rFonts w:cs="Arial"/>
          <w:lang w:eastAsia="en-AU"/>
        </w:rPr>
        <w:t>, Arnell</w:t>
      </w:r>
      <w:r w:rsidRPr="005D6D89">
        <w:rPr>
          <w:rFonts w:cs="Arial"/>
          <w:lang w:eastAsia="en-AU"/>
        </w:rPr>
        <w:t xml:space="preserve"> N</w:t>
      </w:r>
      <w:r>
        <w:rPr>
          <w:rFonts w:cs="Arial"/>
          <w:lang w:eastAsia="en-AU"/>
        </w:rPr>
        <w:t>, Doll</w:t>
      </w:r>
      <w:r w:rsidRPr="005D6D89">
        <w:rPr>
          <w:rFonts w:cs="Arial"/>
          <w:lang w:eastAsia="en-AU"/>
        </w:rPr>
        <w:t xml:space="preserve"> P</w:t>
      </w:r>
      <w:r>
        <w:rPr>
          <w:rFonts w:cs="Arial"/>
          <w:lang w:eastAsia="en-AU"/>
        </w:rPr>
        <w:t>, Jimenez</w:t>
      </w:r>
      <w:r w:rsidRPr="005D6D89">
        <w:rPr>
          <w:rFonts w:cs="Arial"/>
          <w:lang w:eastAsia="en-AU"/>
        </w:rPr>
        <w:t xml:space="preserve"> B</w:t>
      </w:r>
      <w:r>
        <w:rPr>
          <w:rFonts w:cs="Arial"/>
          <w:lang w:eastAsia="en-AU"/>
        </w:rPr>
        <w:t xml:space="preserve">, Miller </w:t>
      </w:r>
      <w:r w:rsidRPr="005D6D89">
        <w:rPr>
          <w:rFonts w:cs="Arial"/>
          <w:lang w:eastAsia="en-AU"/>
        </w:rPr>
        <w:t>K</w:t>
      </w:r>
      <w:r>
        <w:rPr>
          <w:rFonts w:cs="Arial"/>
          <w:lang w:eastAsia="en-AU"/>
        </w:rPr>
        <w:t>, Oki</w:t>
      </w:r>
      <w:r w:rsidRPr="005D6D89">
        <w:rPr>
          <w:rFonts w:cs="Arial"/>
          <w:lang w:eastAsia="en-AU"/>
        </w:rPr>
        <w:t xml:space="preserve"> T</w:t>
      </w:r>
      <w:r>
        <w:rPr>
          <w:rFonts w:cs="Arial"/>
          <w:lang w:eastAsia="en-AU"/>
        </w:rPr>
        <w:t>, Sen</w:t>
      </w:r>
      <w:r w:rsidRPr="005D6D89">
        <w:rPr>
          <w:rFonts w:cs="Arial"/>
          <w:lang w:eastAsia="en-AU"/>
        </w:rPr>
        <w:t xml:space="preserve"> Z</w:t>
      </w:r>
      <w:r>
        <w:rPr>
          <w:rFonts w:cs="Arial"/>
          <w:lang w:eastAsia="en-AU"/>
        </w:rPr>
        <w:t xml:space="preserve"> and</w:t>
      </w:r>
      <w:r w:rsidRPr="005D6D89">
        <w:rPr>
          <w:rFonts w:cs="Arial"/>
          <w:lang w:eastAsia="en-AU"/>
        </w:rPr>
        <w:t xml:space="preserve"> Shikloma</w:t>
      </w:r>
      <w:r>
        <w:rPr>
          <w:rFonts w:cs="Arial"/>
          <w:lang w:eastAsia="en-AU"/>
        </w:rPr>
        <w:t>nov</w:t>
      </w:r>
      <w:r w:rsidRPr="005D6D89">
        <w:rPr>
          <w:rFonts w:cs="Arial"/>
          <w:lang w:eastAsia="en-AU"/>
        </w:rPr>
        <w:t xml:space="preserve"> I. (2008). The implications of projected climate change for freshwater resources and their management. </w:t>
      </w:r>
      <w:r w:rsidRPr="005D6D89">
        <w:rPr>
          <w:rFonts w:cs="Arial"/>
          <w:i/>
          <w:iCs/>
          <w:lang w:eastAsia="en-AU"/>
        </w:rPr>
        <w:t>Hydrological Sciences Journal/Journal des Sciences Hydrologiques</w:t>
      </w:r>
      <w:r w:rsidRPr="005D6D89">
        <w:rPr>
          <w:rFonts w:cs="Arial"/>
          <w:lang w:eastAsia="en-AU"/>
        </w:rPr>
        <w:t>, 53(1), 3–10.</w:t>
      </w:r>
    </w:p>
    <w:p w14:paraId="618FE14A" w14:textId="77777777" w:rsidR="007D0B70" w:rsidRPr="005D6D89" w:rsidRDefault="007D0B70" w:rsidP="007D0B70">
      <w:pPr>
        <w:pStyle w:val="References"/>
        <w:rPr>
          <w:rFonts w:cs="Arial"/>
        </w:rPr>
      </w:pPr>
      <w:r>
        <w:rPr>
          <w:rFonts w:cs="Arial"/>
        </w:rPr>
        <w:t>Kutzner</w:t>
      </w:r>
      <w:r w:rsidRPr="005D6D89">
        <w:rPr>
          <w:rFonts w:cs="Arial"/>
        </w:rPr>
        <w:t xml:space="preserve"> D. (2019). Environmental change, resilience</w:t>
      </w:r>
      <w:r>
        <w:rPr>
          <w:rFonts w:cs="Arial"/>
        </w:rPr>
        <w:t xml:space="preserve"> and</w:t>
      </w:r>
      <w:r w:rsidRPr="005D6D89">
        <w:rPr>
          <w:rFonts w:cs="Arial"/>
        </w:rPr>
        <w:t xml:space="preserve"> adaptation in nature-based tourism: conceptualising the social-ecological resilience of birdwatching tour operations. </w:t>
      </w:r>
      <w:r w:rsidRPr="005D6D89">
        <w:rPr>
          <w:rFonts w:cs="Arial"/>
          <w:i/>
          <w:iCs/>
        </w:rPr>
        <w:t>Journal of Sustainable Tourism</w:t>
      </w:r>
      <w:r w:rsidRPr="005D6D89">
        <w:rPr>
          <w:rFonts w:cs="Arial"/>
        </w:rPr>
        <w:t xml:space="preserve">, 27(8), 1142–1166. </w:t>
      </w:r>
    </w:p>
    <w:p w14:paraId="67C2B7E9" w14:textId="77777777" w:rsidR="007D0B70" w:rsidRPr="005D6D89" w:rsidRDefault="007D0B70" w:rsidP="007D0B70">
      <w:pPr>
        <w:pStyle w:val="References"/>
        <w:rPr>
          <w:rFonts w:cs="Arial"/>
        </w:rPr>
      </w:pPr>
      <w:r>
        <w:rPr>
          <w:rFonts w:cs="Arial"/>
        </w:rPr>
        <w:t>Lake</w:t>
      </w:r>
      <w:r w:rsidRPr="005D6D89">
        <w:rPr>
          <w:rFonts w:cs="Arial"/>
        </w:rPr>
        <w:t xml:space="preserve"> R</w:t>
      </w:r>
      <w:r>
        <w:rPr>
          <w:rFonts w:cs="Arial"/>
        </w:rPr>
        <w:t>, Bolton</w:t>
      </w:r>
      <w:r w:rsidRPr="005D6D89">
        <w:rPr>
          <w:rFonts w:cs="Arial"/>
        </w:rPr>
        <w:t xml:space="preserve"> A</w:t>
      </w:r>
      <w:r>
        <w:rPr>
          <w:rFonts w:cs="Arial"/>
        </w:rPr>
        <w:t>, Brightwell</w:t>
      </w:r>
      <w:r w:rsidRPr="005D6D89">
        <w:rPr>
          <w:rFonts w:cs="Arial"/>
        </w:rPr>
        <w:t xml:space="preserve"> G</w:t>
      </w:r>
      <w:r>
        <w:rPr>
          <w:rFonts w:cs="Arial"/>
        </w:rPr>
        <w:t>, Cookson</w:t>
      </w:r>
      <w:r w:rsidRPr="005D6D89">
        <w:rPr>
          <w:rFonts w:cs="Arial"/>
        </w:rPr>
        <w:t xml:space="preserve"> A</w:t>
      </w:r>
      <w:r>
        <w:rPr>
          <w:rFonts w:cs="Arial"/>
        </w:rPr>
        <w:t>, Benschop</w:t>
      </w:r>
      <w:r w:rsidRPr="005D6D89">
        <w:rPr>
          <w:rFonts w:cs="Arial"/>
        </w:rPr>
        <w:t xml:space="preserve"> J</w:t>
      </w:r>
      <w:r>
        <w:rPr>
          <w:rFonts w:cs="Arial"/>
        </w:rPr>
        <w:t>, Burgess</w:t>
      </w:r>
      <w:r w:rsidRPr="005D6D89">
        <w:rPr>
          <w:rFonts w:cs="Arial"/>
        </w:rPr>
        <w:t xml:space="preserve"> S</w:t>
      </w:r>
      <w:r>
        <w:rPr>
          <w:rFonts w:cs="Arial"/>
        </w:rPr>
        <w:t xml:space="preserve"> and Tait</w:t>
      </w:r>
      <w:r w:rsidRPr="005D6D89">
        <w:rPr>
          <w:rFonts w:cs="Arial"/>
        </w:rPr>
        <w:t xml:space="preserve"> A. (</w:t>
      </w:r>
      <w:r>
        <w:rPr>
          <w:rFonts w:cs="Arial"/>
        </w:rPr>
        <w:t>nd</w:t>
      </w:r>
      <w:r w:rsidRPr="005D6D89">
        <w:rPr>
          <w:rFonts w:cs="Arial"/>
        </w:rPr>
        <w:t xml:space="preserve">). </w:t>
      </w:r>
      <w:r w:rsidRPr="005D6D89">
        <w:rPr>
          <w:rFonts w:cs="Arial"/>
          <w:i/>
          <w:iCs/>
        </w:rPr>
        <w:t>Adapting to climate change: Information for the New Zealand food system.</w:t>
      </w:r>
      <w:r w:rsidRPr="005D6D89">
        <w:rPr>
          <w:rFonts w:cs="Arial"/>
        </w:rPr>
        <w:t xml:space="preserve"> </w:t>
      </w:r>
    </w:p>
    <w:p w14:paraId="3416524B" w14:textId="77777777" w:rsidR="007D0B70" w:rsidRPr="005D6D89" w:rsidRDefault="007D0B70" w:rsidP="007D0B70">
      <w:pPr>
        <w:pStyle w:val="References"/>
        <w:rPr>
          <w:rFonts w:cs="Arial"/>
        </w:rPr>
      </w:pPr>
      <w:r>
        <w:rPr>
          <w:rFonts w:cs="Arial"/>
          <w:lang w:eastAsia="en-AU"/>
        </w:rPr>
        <w:t>Laurence</w:t>
      </w:r>
      <w:r w:rsidRPr="005D6D89">
        <w:rPr>
          <w:rFonts w:cs="Arial"/>
          <w:lang w:eastAsia="en-AU"/>
        </w:rPr>
        <w:t xml:space="preserve"> J</w:t>
      </w:r>
      <w:r>
        <w:rPr>
          <w:rFonts w:cs="Arial"/>
          <w:lang w:eastAsia="en-AU"/>
        </w:rPr>
        <w:t xml:space="preserve"> and Bentley</w:t>
      </w:r>
      <w:r w:rsidRPr="005D6D89">
        <w:rPr>
          <w:rFonts w:cs="Arial"/>
          <w:lang w:eastAsia="en-AU"/>
        </w:rPr>
        <w:t xml:space="preserve"> L. (2016). Does ethnic diversity have a negative effect on at</w:t>
      </w:r>
      <w:r>
        <w:rPr>
          <w:rFonts w:cs="Arial"/>
          <w:lang w:eastAsia="en-AU"/>
        </w:rPr>
        <w:t>titudes towards the community? A</w:t>
      </w:r>
      <w:r w:rsidRPr="005D6D89">
        <w:rPr>
          <w:rFonts w:cs="Arial"/>
          <w:lang w:eastAsia="en-AU"/>
        </w:rPr>
        <w:t xml:space="preserve"> longitudinal analysis of the causal claims within the ethnic diversity and social cohesion debate. </w:t>
      </w:r>
      <w:r w:rsidRPr="005D6D89">
        <w:rPr>
          <w:rFonts w:cs="Arial"/>
          <w:i/>
          <w:iCs/>
          <w:lang w:eastAsia="en-AU"/>
        </w:rPr>
        <w:t>European Sociological Review</w:t>
      </w:r>
      <w:r w:rsidRPr="005D6D89">
        <w:rPr>
          <w:rFonts w:cs="Arial"/>
          <w:lang w:eastAsia="en-AU"/>
        </w:rPr>
        <w:t>, 32(1), 54–67.</w:t>
      </w:r>
    </w:p>
    <w:p w14:paraId="575FC942" w14:textId="77777777" w:rsidR="007D0B70" w:rsidRPr="005D6D89" w:rsidRDefault="007D0B70" w:rsidP="007D0B70">
      <w:pPr>
        <w:pStyle w:val="References"/>
        <w:rPr>
          <w:rFonts w:cs="Arial"/>
        </w:rPr>
      </w:pPr>
      <w:r>
        <w:rPr>
          <w:rFonts w:cs="Arial"/>
        </w:rPr>
        <w:t>Law C</w:t>
      </w:r>
      <w:r w:rsidRPr="005D6D89">
        <w:rPr>
          <w:rFonts w:cs="Arial"/>
        </w:rPr>
        <w:t xml:space="preserve"> S</w:t>
      </w:r>
      <w:r>
        <w:rPr>
          <w:rFonts w:cs="Arial"/>
        </w:rPr>
        <w:t>, Bell J</w:t>
      </w:r>
      <w:r w:rsidRPr="005D6D89">
        <w:rPr>
          <w:rFonts w:cs="Arial"/>
        </w:rPr>
        <w:t xml:space="preserve"> J</w:t>
      </w:r>
      <w:r>
        <w:rPr>
          <w:rFonts w:cs="Arial"/>
        </w:rPr>
        <w:t xml:space="preserve">, Bostock H </w:t>
      </w:r>
      <w:r w:rsidRPr="005D6D89">
        <w:rPr>
          <w:rFonts w:cs="Arial"/>
        </w:rPr>
        <w:t>C</w:t>
      </w:r>
      <w:r>
        <w:rPr>
          <w:rFonts w:cs="Arial"/>
        </w:rPr>
        <w:t>, Cornwall C</w:t>
      </w:r>
      <w:r w:rsidRPr="005D6D89">
        <w:rPr>
          <w:rFonts w:cs="Arial"/>
        </w:rPr>
        <w:t xml:space="preserve"> E</w:t>
      </w:r>
      <w:r>
        <w:rPr>
          <w:rFonts w:cs="Arial"/>
        </w:rPr>
        <w:t>, Cummings V</w:t>
      </w:r>
      <w:r w:rsidRPr="005D6D89">
        <w:rPr>
          <w:rFonts w:cs="Arial"/>
        </w:rPr>
        <w:t xml:space="preserve"> J</w:t>
      </w:r>
      <w:r>
        <w:rPr>
          <w:rFonts w:cs="Arial"/>
        </w:rPr>
        <w:t>, Currie</w:t>
      </w:r>
      <w:r w:rsidRPr="005D6D89">
        <w:rPr>
          <w:rFonts w:cs="Arial"/>
        </w:rPr>
        <w:t xml:space="preserve"> K</w:t>
      </w:r>
      <w:r>
        <w:rPr>
          <w:rFonts w:cs="Arial"/>
        </w:rPr>
        <w:t>, Tracey D M. (2017). Ocean a</w:t>
      </w:r>
      <w:r w:rsidRPr="005D6D89">
        <w:rPr>
          <w:rFonts w:cs="Arial"/>
        </w:rPr>
        <w:t xml:space="preserve">cidification in New Zealand waters: trends and impacts. </w:t>
      </w:r>
      <w:r w:rsidRPr="005D6D89">
        <w:rPr>
          <w:rFonts w:cs="Arial"/>
          <w:i/>
          <w:iCs/>
        </w:rPr>
        <w:t>New Zealand Journal of Marine and Freshwater Research</w:t>
      </w:r>
      <w:r w:rsidRPr="005D6D89">
        <w:rPr>
          <w:rFonts w:cs="Arial"/>
        </w:rPr>
        <w:t>.</w:t>
      </w:r>
    </w:p>
    <w:p w14:paraId="10B8C3CB" w14:textId="77777777" w:rsidR="007D0B70" w:rsidRPr="005D6D89" w:rsidRDefault="007D0B70" w:rsidP="007D0B70">
      <w:pPr>
        <w:pStyle w:val="References"/>
        <w:rPr>
          <w:rFonts w:cs="Arial"/>
        </w:rPr>
      </w:pPr>
      <w:r>
        <w:rPr>
          <w:rFonts w:cs="Arial"/>
        </w:rPr>
        <w:t>Law</w:t>
      </w:r>
      <w:r w:rsidRPr="005D6D89">
        <w:rPr>
          <w:rFonts w:cs="Arial"/>
        </w:rPr>
        <w:t xml:space="preserve"> C S</w:t>
      </w:r>
      <w:r>
        <w:rPr>
          <w:rFonts w:cs="Arial"/>
        </w:rPr>
        <w:t>, Rickard G</w:t>
      </w:r>
      <w:r w:rsidRPr="005D6D89">
        <w:rPr>
          <w:rFonts w:cs="Arial"/>
        </w:rPr>
        <w:t xml:space="preserve"> J</w:t>
      </w:r>
      <w:r>
        <w:rPr>
          <w:rFonts w:cs="Arial"/>
        </w:rPr>
        <w:t xml:space="preserve">, Mikaloff-Fletcher S </w:t>
      </w:r>
      <w:r w:rsidRPr="005D6D89">
        <w:rPr>
          <w:rFonts w:cs="Arial"/>
        </w:rPr>
        <w:t>E</w:t>
      </w:r>
      <w:r>
        <w:rPr>
          <w:rFonts w:cs="Arial"/>
        </w:rPr>
        <w:t xml:space="preserve">, Pinkerton, M </w:t>
      </w:r>
      <w:r w:rsidRPr="005D6D89">
        <w:rPr>
          <w:rFonts w:cs="Arial"/>
        </w:rPr>
        <w:t>H</w:t>
      </w:r>
      <w:r>
        <w:rPr>
          <w:rFonts w:cs="Arial"/>
        </w:rPr>
        <w:t xml:space="preserve">, Behrens </w:t>
      </w:r>
      <w:r w:rsidRPr="005D6D89">
        <w:rPr>
          <w:rFonts w:cs="Arial"/>
        </w:rPr>
        <w:t>E</w:t>
      </w:r>
      <w:r>
        <w:rPr>
          <w:rFonts w:cs="Arial"/>
        </w:rPr>
        <w:t>, Chiswell, S</w:t>
      </w:r>
      <w:r w:rsidRPr="005D6D89">
        <w:rPr>
          <w:rFonts w:cs="Arial"/>
        </w:rPr>
        <w:t xml:space="preserve"> M</w:t>
      </w:r>
      <w:r>
        <w:rPr>
          <w:rFonts w:cs="Arial"/>
        </w:rPr>
        <w:t xml:space="preserve"> and Currie</w:t>
      </w:r>
      <w:r w:rsidRPr="005D6D89">
        <w:rPr>
          <w:rFonts w:cs="Arial"/>
        </w:rPr>
        <w:t xml:space="preserve"> K. (2018). Climate change projections for the surface ocean around New Zealand. </w:t>
      </w:r>
      <w:r w:rsidRPr="005D6D89">
        <w:rPr>
          <w:rFonts w:cs="Arial"/>
          <w:i/>
          <w:iCs/>
        </w:rPr>
        <w:t>New Zealand Journal of Marine and Freshwater Research</w:t>
      </w:r>
      <w:r w:rsidRPr="005D6D89">
        <w:rPr>
          <w:rFonts w:cs="Arial"/>
        </w:rPr>
        <w:t>, 52(3), 309–335.</w:t>
      </w:r>
    </w:p>
    <w:p w14:paraId="1B3BFBEB" w14:textId="77777777" w:rsidR="007D0B70" w:rsidRPr="005D6D89" w:rsidRDefault="007D0B70" w:rsidP="007D0B70">
      <w:pPr>
        <w:pStyle w:val="References"/>
        <w:rPr>
          <w:rFonts w:cs="Arial"/>
        </w:rPr>
      </w:pPr>
      <w:r>
        <w:rPr>
          <w:color w:val="000000"/>
        </w:rPr>
        <w:t xml:space="preserve">Law C </w:t>
      </w:r>
      <w:r w:rsidRPr="005D6D89">
        <w:rPr>
          <w:color w:val="000000"/>
        </w:rPr>
        <w:t>S</w:t>
      </w:r>
      <w:r>
        <w:rPr>
          <w:color w:val="000000"/>
        </w:rPr>
        <w:t xml:space="preserve">, Rickard G </w:t>
      </w:r>
      <w:r w:rsidRPr="005D6D89">
        <w:rPr>
          <w:color w:val="000000"/>
        </w:rPr>
        <w:t>J</w:t>
      </w:r>
      <w:r>
        <w:rPr>
          <w:color w:val="000000"/>
        </w:rPr>
        <w:t xml:space="preserve">, Mikaloff-Fletcher S </w:t>
      </w:r>
      <w:r w:rsidRPr="005D6D89">
        <w:rPr>
          <w:color w:val="000000"/>
        </w:rPr>
        <w:t>E</w:t>
      </w:r>
      <w:r>
        <w:rPr>
          <w:color w:val="000000"/>
        </w:rPr>
        <w:t xml:space="preserve">, Pinkerton M </w:t>
      </w:r>
      <w:r w:rsidRPr="005D6D89">
        <w:rPr>
          <w:color w:val="000000"/>
        </w:rPr>
        <w:t>H</w:t>
      </w:r>
      <w:r>
        <w:rPr>
          <w:color w:val="000000"/>
        </w:rPr>
        <w:t>, Gorman</w:t>
      </w:r>
      <w:r w:rsidRPr="005D6D89">
        <w:rPr>
          <w:color w:val="000000"/>
        </w:rPr>
        <w:t xml:space="preserve"> R</w:t>
      </w:r>
      <w:r>
        <w:rPr>
          <w:color w:val="000000"/>
        </w:rPr>
        <w:t>, Behrens</w:t>
      </w:r>
      <w:r w:rsidRPr="005D6D89">
        <w:rPr>
          <w:color w:val="000000"/>
        </w:rPr>
        <w:t xml:space="preserve"> E</w:t>
      </w:r>
      <w:r>
        <w:rPr>
          <w:color w:val="000000"/>
        </w:rPr>
        <w:t xml:space="preserve">, Chiswell S </w:t>
      </w:r>
      <w:r w:rsidRPr="005D6D89">
        <w:rPr>
          <w:color w:val="000000"/>
        </w:rPr>
        <w:t>M</w:t>
      </w:r>
      <w:r>
        <w:rPr>
          <w:color w:val="000000"/>
        </w:rPr>
        <w:t xml:space="preserve">, Bostock H </w:t>
      </w:r>
      <w:r w:rsidRPr="005D6D89">
        <w:rPr>
          <w:color w:val="000000"/>
        </w:rPr>
        <w:t>C</w:t>
      </w:r>
      <w:r>
        <w:rPr>
          <w:color w:val="000000"/>
        </w:rPr>
        <w:t xml:space="preserve"> Anderson</w:t>
      </w:r>
      <w:r w:rsidRPr="005D6D89">
        <w:rPr>
          <w:color w:val="000000"/>
        </w:rPr>
        <w:t xml:space="preserve"> O</w:t>
      </w:r>
      <w:r>
        <w:rPr>
          <w:color w:val="000000"/>
        </w:rPr>
        <w:t xml:space="preserve"> and Currie</w:t>
      </w:r>
      <w:r w:rsidRPr="005D6D89">
        <w:rPr>
          <w:color w:val="000000"/>
        </w:rPr>
        <w:t xml:space="preserve"> K. (2016) </w:t>
      </w:r>
      <w:r w:rsidRPr="005D6D89">
        <w:rPr>
          <w:i/>
          <w:iCs/>
          <w:color w:val="000000"/>
        </w:rPr>
        <w:t>The New Zealand EEZ and South West Pacific. Synthesis Report RA2, Marine Case Study</w:t>
      </w:r>
      <w:r w:rsidRPr="005D6D89">
        <w:rPr>
          <w:color w:val="000000"/>
        </w:rPr>
        <w:t>. Climate Changes, Impacts and Implications (CCII) for New Zealand to 2100. MBIE contract C01X1225. 41pp.</w:t>
      </w:r>
    </w:p>
    <w:p w14:paraId="673C308C" w14:textId="77777777" w:rsidR="007D0B70" w:rsidRPr="005D6D89" w:rsidRDefault="007D0B70" w:rsidP="007D0B70">
      <w:pPr>
        <w:pStyle w:val="References"/>
      </w:pPr>
      <w:r w:rsidRPr="000D4E02">
        <w:rPr>
          <w:rFonts w:cs="Arial"/>
        </w:rPr>
        <w:t>Lawrence</w:t>
      </w:r>
      <w:r>
        <w:rPr>
          <w:rFonts w:cs="Arial"/>
        </w:rPr>
        <w:t xml:space="preserve"> J, Bell R, Blackett</w:t>
      </w:r>
      <w:r w:rsidRPr="000D4E02">
        <w:rPr>
          <w:rFonts w:cs="Arial"/>
        </w:rPr>
        <w:t xml:space="preserve"> P, S</w:t>
      </w:r>
      <w:r>
        <w:rPr>
          <w:rFonts w:cs="Arial"/>
        </w:rPr>
        <w:t>tephens</w:t>
      </w:r>
      <w:r w:rsidRPr="005D6D89">
        <w:rPr>
          <w:rFonts w:cs="Arial"/>
        </w:rPr>
        <w:t xml:space="preserve"> S</w:t>
      </w:r>
      <w:r>
        <w:rPr>
          <w:rFonts w:cs="Arial"/>
        </w:rPr>
        <w:t xml:space="preserve"> and Allan</w:t>
      </w:r>
      <w:r w:rsidRPr="005D6D89">
        <w:rPr>
          <w:rFonts w:cs="Arial"/>
        </w:rPr>
        <w:t xml:space="preserve"> S. (2018). National guidance for adapting to coastal hazards and sea-level rise: Anticipating change, when and how to change pathway. </w:t>
      </w:r>
      <w:r w:rsidRPr="005D6D89">
        <w:rPr>
          <w:rFonts w:cs="Arial"/>
          <w:i/>
          <w:iCs/>
        </w:rPr>
        <w:t>Environmental Science and Policy</w:t>
      </w:r>
      <w:r w:rsidRPr="005D6D89">
        <w:rPr>
          <w:rFonts w:cs="Arial"/>
        </w:rPr>
        <w:t xml:space="preserve">, 82(June 2017), 100–107. </w:t>
      </w:r>
    </w:p>
    <w:p w14:paraId="0B1F6452" w14:textId="77777777" w:rsidR="007D0B70" w:rsidRPr="005D6D89" w:rsidRDefault="007D0B70" w:rsidP="007D0B70">
      <w:pPr>
        <w:pStyle w:val="References"/>
      </w:pPr>
      <w:r>
        <w:t>Lawrence</w:t>
      </w:r>
      <w:r w:rsidRPr="005D6D89">
        <w:t xml:space="preserve"> J</w:t>
      </w:r>
      <w:r>
        <w:t>, Bell</w:t>
      </w:r>
      <w:r w:rsidRPr="005D6D89">
        <w:t xml:space="preserve"> R</w:t>
      </w:r>
      <w:r>
        <w:t xml:space="preserve"> and Stroombergen</w:t>
      </w:r>
      <w:r w:rsidRPr="005D6D89">
        <w:t xml:space="preserve"> A. (2019). A hybrid process to address uncertainty and changing clima</w:t>
      </w:r>
      <w:r>
        <w:t>te risk in coastal areas using d</w:t>
      </w:r>
      <w:r w:rsidRPr="005D6D89">
        <w:t>ynamic adaptive pathways planning, multi-</w:t>
      </w:r>
      <w:r>
        <w:t>criteria decision analysis and r</w:t>
      </w:r>
      <w:r w:rsidRPr="005D6D89">
        <w:t xml:space="preserve">eal options analysis: A New Zealand application. </w:t>
      </w:r>
      <w:r w:rsidRPr="005D6D89">
        <w:rPr>
          <w:i/>
          <w:iCs/>
        </w:rPr>
        <w:t>Sustainability</w:t>
      </w:r>
      <w:r w:rsidRPr="005D6D89">
        <w:t>, 11(2), 1–18.</w:t>
      </w:r>
    </w:p>
    <w:p w14:paraId="4E586220" w14:textId="77777777" w:rsidR="007D0B70" w:rsidRPr="005D6D89" w:rsidRDefault="007D0B70" w:rsidP="007D0B70">
      <w:pPr>
        <w:pStyle w:val="References"/>
        <w:rPr>
          <w:rFonts w:cs="Arial"/>
        </w:rPr>
      </w:pPr>
      <w:r>
        <w:rPr>
          <w:rFonts w:cs="Arial"/>
        </w:rPr>
        <w:t>Lawrence</w:t>
      </w:r>
      <w:r w:rsidRPr="005D6D89">
        <w:rPr>
          <w:rFonts w:cs="Arial"/>
        </w:rPr>
        <w:t xml:space="preserve"> J</w:t>
      </w:r>
      <w:r>
        <w:rPr>
          <w:rFonts w:cs="Arial"/>
        </w:rPr>
        <w:t>, Blackett</w:t>
      </w:r>
      <w:r w:rsidRPr="005D6D89">
        <w:rPr>
          <w:rFonts w:cs="Arial"/>
        </w:rPr>
        <w:t xml:space="preserve"> P</w:t>
      </w:r>
      <w:r>
        <w:rPr>
          <w:rFonts w:cs="Arial"/>
        </w:rPr>
        <w:t>, Cradock-Henry N</w:t>
      </w:r>
      <w:r w:rsidRPr="005D6D89">
        <w:rPr>
          <w:rFonts w:cs="Arial"/>
        </w:rPr>
        <w:t xml:space="preserve"> A</w:t>
      </w:r>
      <w:r>
        <w:rPr>
          <w:rFonts w:cs="Arial"/>
        </w:rPr>
        <w:t>, Flood</w:t>
      </w:r>
      <w:r w:rsidRPr="005D6D89">
        <w:rPr>
          <w:rFonts w:cs="Arial"/>
        </w:rPr>
        <w:t xml:space="preserve"> S</w:t>
      </w:r>
      <w:r>
        <w:rPr>
          <w:rFonts w:cs="Arial"/>
        </w:rPr>
        <w:t>, Greenaway</w:t>
      </w:r>
      <w:r w:rsidRPr="005D6D89">
        <w:rPr>
          <w:rFonts w:cs="Arial"/>
        </w:rPr>
        <w:t xml:space="preserve"> A</w:t>
      </w:r>
      <w:r>
        <w:rPr>
          <w:rFonts w:cs="Arial"/>
        </w:rPr>
        <w:t xml:space="preserve"> and Dunningham</w:t>
      </w:r>
      <w:r w:rsidRPr="005D6D89">
        <w:rPr>
          <w:rFonts w:cs="Arial"/>
        </w:rPr>
        <w:t xml:space="preserve"> A. (2016). </w:t>
      </w:r>
      <w:r>
        <w:rPr>
          <w:rFonts w:cs="Arial"/>
          <w:i/>
          <w:iCs/>
        </w:rPr>
        <w:t>Climate change impacts and i</w:t>
      </w:r>
      <w:r w:rsidRPr="005D6D89">
        <w:rPr>
          <w:rFonts w:cs="Arial"/>
          <w:i/>
          <w:iCs/>
        </w:rPr>
        <w:t>mplic</w:t>
      </w:r>
      <w:r>
        <w:rPr>
          <w:rFonts w:cs="Arial"/>
          <w:i/>
          <w:iCs/>
        </w:rPr>
        <w:t>ations for New Zealand to 2100 synthesis r</w:t>
      </w:r>
      <w:r w:rsidRPr="005D6D89">
        <w:rPr>
          <w:rFonts w:cs="Arial"/>
          <w:i/>
          <w:iCs/>
        </w:rPr>
        <w:t xml:space="preserve">eport: RA4 Enhancing capacity and increasing coordination to support </w:t>
      </w:r>
      <w:proofErr w:type="gramStart"/>
      <w:r w:rsidRPr="005D6D89">
        <w:rPr>
          <w:rFonts w:cs="Arial"/>
          <w:i/>
          <w:iCs/>
        </w:rPr>
        <w:t>decision making</w:t>
      </w:r>
      <w:proofErr w:type="gramEnd"/>
      <w:r w:rsidRPr="005D6D89">
        <w:rPr>
          <w:rFonts w:cs="Arial"/>
        </w:rPr>
        <w:t xml:space="preserve">. December 2016, 77. </w:t>
      </w:r>
    </w:p>
    <w:p w14:paraId="2FB93247" w14:textId="77777777" w:rsidR="007D0B70" w:rsidRPr="005D6D89" w:rsidRDefault="007D0B70" w:rsidP="007D0B70">
      <w:pPr>
        <w:pStyle w:val="References"/>
        <w:rPr>
          <w:rFonts w:cs="Arial"/>
          <w:lang w:eastAsia="en-AU"/>
        </w:rPr>
      </w:pPr>
      <w:r>
        <w:rPr>
          <w:rFonts w:cs="Arial"/>
          <w:lang w:eastAsia="en-AU"/>
        </w:rPr>
        <w:t>Lawrence</w:t>
      </w:r>
      <w:r w:rsidRPr="005D6D89">
        <w:rPr>
          <w:rFonts w:cs="Arial"/>
          <w:lang w:eastAsia="en-AU"/>
        </w:rPr>
        <w:t xml:space="preserve"> J</w:t>
      </w:r>
      <w:r>
        <w:rPr>
          <w:rFonts w:cs="Arial"/>
          <w:lang w:eastAsia="en-AU"/>
        </w:rPr>
        <w:t>, Blackett</w:t>
      </w:r>
      <w:r w:rsidRPr="005D6D89">
        <w:rPr>
          <w:rFonts w:cs="Arial"/>
          <w:lang w:eastAsia="en-AU"/>
        </w:rPr>
        <w:t xml:space="preserve"> P</w:t>
      </w:r>
      <w:r>
        <w:rPr>
          <w:rFonts w:cs="Arial"/>
          <w:lang w:eastAsia="en-AU"/>
        </w:rPr>
        <w:t>, Cradock-Henry N</w:t>
      </w:r>
      <w:r w:rsidRPr="005D6D89">
        <w:rPr>
          <w:rFonts w:cs="Arial"/>
          <w:lang w:eastAsia="en-AU"/>
        </w:rPr>
        <w:t xml:space="preserve"> A</w:t>
      </w:r>
      <w:r>
        <w:rPr>
          <w:rFonts w:cs="Arial"/>
          <w:lang w:eastAsia="en-AU"/>
        </w:rPr>
        <w:t xml:space="preserve"> and Nistor B </w:t>
      </w:r>
      <w:r w:rsidRPr="005D6D89">
        <w:rPr>
          <w:rFonts w:cs="Arial"/>
          <w:lang w:eastAsia="en-AU"/>
        </w:rPr>
        <w:t xml:space="preserve">J. (2018). </w:t>
      </w:r>
      <w:r>
        <w:rPr>
          <w:rFonts w:cs="Arial"/>
          <w:i/>
          <w:iCs/>
          <w:lang w:eastAsia="en-AU"/>
        </w:rPr>
        <w:t>Climate change: The cascade e</w:t>
      </w:r>
      <w:r w:rsidRPr="005D6D89">
        <w:rPr>
          <w:rFonts w:cs="Arial"/>
          <w:i/>
          <w:iCs/>
          <w:lang w:eastAsia="en-AU"/>
        </w:rPr>
        <w:t>ffect. Cascading impacts and implications for Aotearoa New Zealand</w:t>
      </w:r>
      <w:r w:rsidRPr="005D6D89">
        <w:rPr>
          <w:rFonts w:cs="Arial"/>
          <w:lang w:eastAsia="en-AU"/>
        </w:rPr>
        <w:t>. Wellington: Deep South Challenge.</w:t>
      </w:r>
    </w:p>
    <w:p w14:paraId="6ECAA0A9" w14:textId="77777777" w:rsidR="007D0B70" w:rsidRPr="005D6D89" w:rsidRDefault="007D0B70" w:rsidP="007D0B70">
      <w:pPr>
        <w:pStyle w:val="References"/>
        <w:rPr>
          <w:rFonts w:cs="Arial"/>
        </w:rPr>
      </w:pPr>
      <w:r>
        <w:rPr>
          <w:rFonts w:cs="Arial"/>
          <w:color w:val="000000"/>
          <w:lang w:eastAsia="en-AU"/>
        </w:rPr>
        <w:t>Lawrence</w:t>
      </w:r>
      <w:r w:rsidRPr="005D6D89">
        <w:rPr>
          <w:rFonts w:cs="Arial"/>
          <w:color w:val="000000"/>
          <w:lang w:eastAsia="en-AU"/>
        </w:rPr>
        <w:t xml:space="preserve"> J</w:t>
      </w:r>
      <w:r>
        <w:rPr>
          <w:rFonts w:cs="Arial"/>
          <w:color w:val="000000"/>
          <w:lang w:eastAsia="en-AU"/>
        </w:rPr>
        <w:t>, Blackett</w:t>
      </w:r>
      <w:r w:rsidRPr="005D6D89">
        <w:rPr>
          <w:rFonts w:cs="Arial"/>
          <w:color w:val="000000"/>
          <w:lang w:eastAsia="en-AU"/>
        </w:rPr>
        <w:t xml:space="preserve"> P</w:t>
      </w:r>
      <w:r>
        <w:rPr>
          <w:rFonts w:cs="Arial"/>
          <w:color w:val="000000"/>
          <w:lang w:eastAsia="en-AU"/>
        </w:rPr>
        <w:t xml:space="preserve"> and</w:t>
      </w:r>
      <w:r w:rsidRPr="005D6D89">
        <w:rPr>
          <w:rFonts w:cs="Arial"/>
          <w:color w:val="000000"/>
          <w:lang w:eastAsia="en-AU"/>
        </w:rPr>
        <w:t xml:space="preserve"> Cradock-Henry. (2020). </w:t>
      </w:r>
      <w:r w:rsidRPr="005D6D89">
        <w:rPr>
          <w:rFonts w:cs="Arial"/>
          <w:i/>
          <w:iCs/>
          <w:color w:val="000000"/>
          <w:lang w:eastAsia="en-AU"/>
        </w:rPr>
        <w:t>Cascading climate change impacts and implications. Climate Risk Management</w:t>
      </w:r>
      <w:r w:rsidRPr="005D6D89">
        <w:rPr>
          <w:rFonts w:cs="Arial"/>
          <w:color w:val="000000"/>
          <w:lang w:eastAsia="en-AU"/>
        </w:rPr>
        <w:t>.</w:t>
      </w:r>
    </w:p>
    <w:p w14:paraId="6E826F8C" w14:textId="77777777" w:rsidR="007D0B70" w:rsidRPr="005D6D89" w:rsidRDefault="007D0B70" w:rsidP="007D0B70">
      <w:pPr>
        <w:pStyle w:val="References"/>
      </w:pPr>
      <w:r>
        <w:t>Lawrence</w:t>
      </w:r>
      <w:r w:rsidRPr="005D6D89">
        <w:t xml:space="preserve"> J</w:t>
      </w:r>
      <w:r>
        <w:t xml:space="preserve"> and Haasnoot</w:t>
      </w:r>
      <w:r w:rsidRPr="005D6D89">
        <w:t xml:space="preserve"> M. (2017). What it took to catalyse uptake of dynamic adaptive pathways planning to address climate change uncertainty. </w:t>
      </w:r>
      <w:r w:rsidRPr="005D6D89">
        <w:rPr>
          <w:i/>
          <w:iCs/>
        </w:rPr>
        <w:t>Environmental Science and Policy</w:t>
      </w:r>
      <w:r w:rsidRPr="005D6D89">
        <w:t>, 68, 47–57</w:t>
      </w:r>
    </w:p>
    <w:p w14:paraId="1CFE4D51" w14:textId="77777777" w:rsidR="007D0B70" w:rsidRPr="005D6D89" w:rsidRDefault="007D0B70" w:rsidP="007D0B70">
      <w:pPr>
        <w:pStyle w:val="References"/>
        <w:rPr>
          <w:rFonts w:cs="Arial"/>
          <w:lang w:eastAsia="en-AU"/>
        </w:rPr>
      </w:pPr>
      <w:r w:rsidRPr="005D6D89">
        <w:rPr>
          <w:rFonts w:cs="Arial"/>
          <w:lang w:eastAsia="en-AU"/>
        </w:rPr>
        <w:t>Lawrence J</w:t>
      </w:r>
      <w:r>
        <w:rPr>
          <w:rFonts w:cs="Arial"/>
          <w:lang w:eastAsia="en-AU"/>
        </w:rPr>
        <w:t>, Haasnoot</w:t>
      </w:r>
      <w:r w:rsidRPr="005D6D89">
        <w:rPr>
          <w:rFonts w:cs="Arial"/>
          <w:lang w:eastAsia="en-AU"/>
        </w:rPr>
        <w:t xml:space="preserve"> M</w:t>
      </w:r>
      <w:r>
        <w:rPr>
          <w:rFonts w:cs="Arial"/>
          <w:lang w:eastAsia="en-AU"/>
        </w:rPr>
        <w:t>, McKim</w:t>
      </w:r>
      <w:r w:rsidRPr="005D6D89">
        <w:rPr>
          <w:rFonts w:cs="Arial"/>
          <w:lang w:eastAsia="en-AU"/>
        </w:rPr>
        <w:t xml:space="preserve"> L</w:t>
      </w:r>
      <w:r>
        <w:rPr>
          <w:rFonts w:cs="Arial"/>
          <w:lang w:eastAsia="en-AU"/>
        </w:rPr>
        <w:t>, Atapattu</w:t>
      </w:r>
      <w:r w:rsidRPr="005D6D89">
        <w:rPr>
          <w:rFonts w:cs="Arial"/>
          <w:lang w:eastAsia="en-AU"/>
        </w:rPr>
        <w:t xml:space="preserve"> D</w:t>
      </w:r>
      <w:r>
        <w:rPr>
          <w:rFonts w:cs="Arial"/>
          <w:lang w:eastAsia="en-AU"/>
        </w:rPr>
        <w:t>, Campbell</w:t>
      </w:r>
      <w:r w:rsidRPr="005D6D89">
        <w:rPr>
          <w:rFonts w:cs="Arial"/>
          <w:lang w:eastAsia="en-AU"/>
        </w:rPr>
        <w:t xml:space="preserve"> G</w:t>
      </w:r>
      <w:r>
        <w:rPr>
          <w:rFonts w:cs="Arial"/>
          <w:lang w:eastAsia="en-AU"/>
        </w:rPr>
        <w:t xml:space="preserve">, Stroombergen </w:t>
      </w:r>
      <w:r w:rsidRPr="005D6D89">
        <w:rPr>
          <w:rFonts w:cs="Arial"/>
          <w:lang w:eastAsia="en-AU"/>
        </w:rPr>
        <w:t>A. (2019). From theory to practice: a timeline of interventions by a change agent with the developers and users of Dynamic Adaptive Pol</w:t>
      </w:r>
      <w:r>
        <w:rPr>
          <w:rFonts w:cs="Arial"/>
          <w:lang w:eastAsia="en-AU"/>
        </w:rPr>
        <w:t>icy Pathways (DAPP). In Marchau</w:t>
      </w:r>
      <w:r w:rsidRPr="005D6D89">
        <w:rPr>
          <w:rFonts w:cs="Arial"/>
          <w:lang w:eastAsia="en-AU"/>
        </w:rPr>
        <w:t xml:space="preserve"> V</w:t>
      </w:r>
      <w:r>
        <w:rPr>
          <w:rFonts w:cs="Arial"/>
          <w:lang w:eastAsia="en-AU"/>
        </w:rPr>
        <w:t>, Walker</w:t>
      </w:r>
      <w:r w:rsidRPr="005D6D89">
        <w:rPr>
          <w:rFonts w:cs="Arial"/>
          <w:lang w:eastAsia="en-AU"/>
        </w:rPr>
        <w:t xml:space="preserve"> W</w:t>
      </w:r>
      <w:r>
        <w:rPr>
          <w:rFonts w:cs="Arial"/>
          <w:lang w:eastAsia="en-AU"/>
        </w:rPr>
        <w:t>, Bloeman</w:t>
      </w:r>
      <w:r w:rsidRPr="005D6D89">
        <w:rPr>
          <w:rFonts w:cs="Arial"/>
          <w:lang w:eastAsia="en-AU"/>
        </w:rPr>
        <w:t xml:space="preserve"> P. </w:t>
      </w:r>
      <w:r w:rsidRPr="005D6D89">
        <w:rPr>
          <w:rFonts w:cs="Arial"/>
          <w:i/>
          <w:iCs/>
          <w:lang w:eastAsia="en-AU"/>
        </w:rPr>
        <w:t>Decision</w:t>
      </w:r>
      <w:r>
        <w:rPr>
          <w:rFonts w:cs="Arial"/>
          <w:i/>
          <w:iCs/>
          <w:lang w:eastAsia="en-AU"/>
        </w:rPr>
        <w:t>-</w:t>
      </w:r>
      <w:r w:rsidRPr="005D6D89">
        <w:rPr>
          <w:rFonts w:cs="Arial"/>
          <w:i/>
          <w:iCs/>
          <w:lang w:eastAsia="en-AU"/>
        </w:rPr>
        <w:t>making under deep uncertainty: From theory to practice</w:t>
      </w:r>
      <w:r w:rsidRPr="005D6D89">
        <w:rPr>
          <w:rFonts w:cs="Arial"/>
          <w:lang w:eastAsia="en-AU"/>
        </w:rPr>
        <w:t xml:space="preserve">. Springer International Publishing. </w:t>
      </w:r>
    </w:p>
    <w:p w14:paraId="62E8CEDA" w14:textId="77777777" w:rsidR="007D0B70" w:rsidRPr="005D6D89" w:rsidRDefault="007D0B70" w:rsidP="007D0B70">
      <w:pPr>
        <w:pStyle w:val="References"/>
        <w:rPr>
          <w:rFonts w:cs="Arial"/>
          <w:lang w:eastAsia="en-AU"/>
        </w:rPr>
      </w:pPr>
      <w:r>
        <w:t>Lawrence</w:t>
      </w:r>
      <w:r w:rsidRPr="005D6D89">
        <w:t xml:space="preserve"> J</w:t>
      </w:r>
      <w:r>
        <w:t xml:space="preserve"> and </w:t>
      </w:r>
      <w:proofErr w:type="gramStart"/>
      <w:r>
        <w:t>Manning</w:t>
      </w:r>
      <w:proofErr w:type="gramEnd"/>
      <w:r w:rsidRPr="005D6D89">
        <w:t xml:space="preserve"> M. (2012). </w:t>
      </w:r>
      <w:r w:rsidRPr="005D6D89">
        <w:rPr>
          <w:i/>
          <w:iCs/>
        </w:rPr>
        <w:t>Developing adaptive risk mana</w:t>
      </w:r>
      <w:r>
        <w:rPr>
          <w:i/>
          <w:iCs/>
        </w:rPr>
        <w:t>gement for our changing climate.</w:t>
      </w:r>
      <w:r w:rsidRPr="005D6D89">
        <w:rPr>
          <w:i/>
          <w:iCs/>
        </w:rPr>
        <w:t xml:space="preserve"> A report of workshop outcomes under an Envirolink Grant.</w:t>
      </w:r>
    </w:p>
    <w:p w14:paraId="18546467" w14:textId="77777777" w:rsidR="007D0B70" w:rsidRPr="005D6D89" w:rsidRDefault="007D0B70" w:rsidP="007D0B70">
      <w:pPr>
        <w:pStyle w:val="References"/>
        <w:rPr>
          <w:rStyle w:val="Hyperlink"/>
          <w:rFonts w:cs="Arial"/>
          <w:color w:val="000000" w:themeColor="text1"/>
        </w:rPr>
      </w:pPr>
      <w:r>
        <w:rPr>
          <w:rFonts w:cs="Arial"/>
        </w:rPr>
        <w:t>Lawrence</w:t>
      </w:r>
      <w:r w:rsidRPr="005D6D89">
        <w:rPr>
          <w:rFonts w:cs="Arial"/>
        </w:rPr>
        <w:t xml:space="preserve"> J</w:t>
      </w:r>
      <w:r>
        <w:rPr>
          <w:rFonts w:cs="Arial"/>
        </w:rPr>
        <w:t>, Sullivan</w:t>
      </w:r>
      <w:r w:rsidRPr="005D6D89">
        <w:rPr>
          <w:rFonts w:cs="Arial"/>
        </w:rPr>
        <w:t xml:space="preserve"> F</w:t>
      </w:r>
      <w:r>
        <w:rPr>
          <w:rFonts w:cs="Arial"/>
        </w:rPr>
        <w:t>,</w:t>
      </w:r>
      <w:r w:rsidRPr="005D6D89">
        <w:rPr>
          <w:rFonts w:cs="Arial"/>
        </w:rPr>
        <w:t xml:space="preserve"> Lash A</w:t>
      </w:r>
      <w:r>
        <w:rPr>
          <w:rFonts w:cs="Arial"/>
        </w:rPr>
        <w:t>,</w:t>
      </w:r>
      <w:r w:rsidRPr="005D6D89">
        <w:rPr>
          <w:rFonts w:cs="Arial"/>
        </w:rPr>
        <w:t xml:space="preserve"> Ide G</w:t>
      </w:r>
      <w:r>
        <w:rPr>
          <w:rFonts w:cs="Arial"/>
        </w:rPr>
        <w:t>,</w:t>
      </w:r>
      <w:r w:rsidRPr="005D6D89">
        <w:rPr>
          <w:rFonts w:cs="Arial"/>
        </w:rPr>
        <w:t xml:space="preserve"> Cameron C</w:t>
      </w:r>
      <w:r>
        <w:rPr>
          <w:rFonts w:cs="Arial"/>
        </w:rPr>
        <w:t xml:space="preserve"> and</w:t>
      </w:r>
      <w:r w:rsidRPr="005D6D89">
        <w:rPr>
          <w:rFonts w:cs="Arial"/>
        </w:rPr>
        <w:t xml:space="preserve"> McGlinchey L. (2015). Adapting to changing climate risk by local government in New Zealand: institutional practice barriers and enablers. </w:t>
      </w:r>
      <w:r w:rsidRPr="005D6D89">
        <w:rPr>
          <w:rFonts w:cs="Arial"/>
          <w:i/>
          <w:iCs/>
        </w:rPr>
        <w:t>Local Environment</w:t>
      </w:r>
      <w:r w:rsidRPr="005D6D89">
        <w:rPr>
          <w:rFonts w:cs="Arial"/>
        </w:rPr>
        <w:t xml:space="preserve">, 20(3), 298–320. </w:t>
      </w:r>
      <w:hyperlink r:id="rId87" w:history="1">
        <w:r w:rsidRPr="005D6D89">
          <w:rPr>
            <w:rStyle w:val="Hyperlink"/>
          </w:rPr>
          <w:t>https://doi.org/10.1080/13549839.2013.839643</w:t>
        </w:r>
      </w:hyperlink>
    </w:p>
    <w:p w14:paraId="789C89C6" w14:textId="77777777" w:rsidR="007D0B70" w:rsidRPr="005D6D89" w:rsidRDefault="007D0B70" w:rsidP="007D0B70">
      <w:pPr>
        <w:pStyle w:val="References"/>
        <w:rPr>
          <w:rFonts w:cs="Arial"/>
          <w:color w:val="000000" w:themeColor="text1"/>
        </w:rPr>
      </w:pPr>
      <w:r>
        <w:rPr>
          <w:rFonts w:cs="Arial"/>
          <w:color w:val="000000" w:themeColor="text1"/>
        </w:rPr>
        <w:t>Lawrence</w:t>
      </w:r>
      <w:r w:rsidRPr="005D6D89">
        <w:rPr>
          <w:rFonts w:cs="Arial"/>
          <w:color w:val="000000" w:themeColor="text1"/>
        </w:rPr>
        <w:t xml:space="preserve"> J</w:t>
      </w:r>
      <w:r>
        <w:rPr>
          <w:rFonts w:cs="Arial"/>
          <w:color w:val="000000" w:themeColor="text1"/>
        </w:rPr>
        <w:t>, Wolf</w:t>
      </w:r>
      <w:r w:rsidRPr="005D6D89">
        <w:rPr>
          <w:rFonts w:cs="Arial"/>
          <w:color w:val="000000" w:themeColor="text1"/>
        </w:rPr>
        <w:t xml:space="preserve"> A</w:t>
      </w:r>
      <w:r>
        <w:rPr>
          <w:rFonts w:cs="Arial"/>
          <w:color w:val="000000" w:themeColor="text1"/>
        </w:rPr>
        <w:t xml:space="preserve"> and Reisinger</w:t>
      </w:r>
      <w:r w:rsidRPr="005D6D89">
        <w:rPr>
          <w:rFonts w:cs="Arial"/>
          <w:color w:val="000000" w:themeColor="text1"/>
        </w:rPr>
        <w:t xml:space="preserve"> A. (2012). </w:t>
      </w:r>
      <w:r>
        <w:rPr>
          <w:rFonts w:cs="Arial"/>
          <w:i/>
          <w:iCs/>
          <w:color w:val="000000" w:themeColor="text1"/>
        </w:rPr>
        <w:t>Institutional t</w:t>
      </w:r>
      <w:r w:rsidRPr="005D6D89">
        <w:rPr>
          <w:rFonts w:cs="Arial"/>
          <w:i/>
          <w:iCs/>
          <w:color w:val="000000" w:themeColor="text1"/>
        </w:rPr>
        <w:t>ransform</w:t>
      </w:r>
      <w:r>
        <w:rPr>
          <w:rFonts w:cs="Arial"/>
          <w:i/>
          <w:iCs/>
          <w:color w:val="000000" w:themeColor="text1"/>
        </w:rPr>
        <w:t>ation in a devolved governance system: possibilities and l</w:t>
      </w:r>
      <w:r w:rsidRPr="005D6D89">
        <w:rPr>
          <w:rFonts w:cs="Arial"/>
          <w:i/>
          <w:iCs/>
          <w:color w:val="000000" w:themeColor="text1"/>
        </w:rPr>
        <w:t>imits</w:t>
      </w:r>
      <w:r w:rsidRPr="005D6D89">
        <w:rPr>
          <w:rFonts w:cs="Arial"/>
          <w:color w:val="000000" w:themeColor="text1"/>
        </w:rPr>
        <w:t>.</w:t>
      </w:r>
    </w:p>
    <w:p w14:paraId="285E6046" w14:textId="77777777" w:rsidR="007D0B70" w:rsidRPr="005D6D89" w:rsidRDefault="007D0B70" w:rsidP="007D0B70">
      <w:pPr>
        <w:pStyle w:val="References"/>
        <w:rPr>
          <w:rFonts w:cs="Arial"/>
          <w:color w:val="000000" w:themeColor="text1"/>
        </w:rPr>
      </w:pPr>
      <w:r w:rsidRPr="005D6D89">
        <w:rPr>
          <w:rFonts w:cs="Arial"/>
          <w:color w:val="000000" w:themeColor="text1"/>
        </w:rPr>
        <w:t>Leathwick</w:t>
      </w:r>
      <w:r>
        <w:rPr>
          <w:rFonts w:cs="Arial"/>
          <w:color w:val="000000" w:themeColor="text1"/>
        </w:rPr>
        <w:t xml:space="preserve"> J </w:t>
      </w:r>
      <w:r w:rsidRPr="005D6D89">
        <w:rPr>
          <w:rFonts w:cs="Arial"/>
          <w:color w:val="000000" w:themeColor="text1"/>
        </w:rPr>
        <w:t xml:space="preserve">R. (1995). Climatic relationships of some New Zealand, forest tree species. </w:t>
      </w:r>
      <w:r>
        <w:rPr>
          <w:rFonts w:cs="Arial"/>
          <w:i/>
          <w:iCs/>
          <w:color w:val="000000" w:themeColor="text1"/>
        </w:rPr>
        <w:t>Journal of vegetation s</w:t>
      </w:r>
      <w:r w:rsidRPr="005D6D89">
        <w:rPr>
          <w:rFonts w:cs="Arial"/>
          <w:i/>
          <w:iCs/>
          <w:color w:val="000000" w:themeColor="text1"/>
        </w:rPr>
        <w:t>cience</w:t>
      </w:r>
      <w:r w:rsidRPr="005D6D89">
        <w:rPr>
          <w:rFonts w:cs="Arial"/>
          <w:color w:val="000000" w:themeColor="text1"/>
        </w:rPr>
        <w:t>, 6, 237–246.</w:t>
      </w:r>
    </w:p>
    <w:p w14:paraId="47A03445" w14:textId="77777777" w:rsidR="007D0B70" w:rsidRPr="005D6D89" w:rsidRDefault="007D0B70" w:rsidP="007D0B70">
      <w:pPr>
        <w:pStyle w:val="References"/>
        <w:rPr>
          <w:rStyle w:val="Hyperlink"/>
          <w:rFonts w:cs="Arial"/>
          <w:color w:val="000000" w:themeColor="text1"/>
        </w:rPr>
      </w:pPr>
      <w:r>
        <w:rPr>
          <w:rFonts w:cs="Arial"/>
          <w:color w:val="000000" w:themeColor="text1"/>
        </w:rPr>
        <w:t>Levin</w:t>
      </w:r>
      <w:r w:rsidRPr="005D6D89">
        <w:rPr>
          <w:rFonts w:cs="Arial"/>
          <w:color w:val="000000" w:themeColor="text1"/>
        </w:rPr>
        <w:t xml:space="preserve"> K</w:t>
      </w:r>
      <w:r>
        <w:rPr>
          <w:rFonts w:cs="Arial"/>
          <w:color w:val="000000" w:themeColor="text1"/>
        </w:rPr>
        <w:t>, Cashore</w:t>
      </w:r>
      <w:r w:rsidRPr="005D6D89">
        <w:rPr>
          <w:rFonts w:cs="Arial"/>
          <w:color w:val="000000" w:themeColor="text1"/>
        </w:rPr>
        <w:t xml:space="preserve"> B</w:t>
      </w:r>
      <w:r>
        <w:rPr>
          <w:rFonts w:cs="Arial"/>
          <w:color w:val="000000" w:themeColor="text1"/>
        </w:rPr>
        <w:t>, Bernstein</w:t>
      </w:r>
      <w:r w:rsidRPr="005D6D89">
        <w:rPr>
          <w:rFonts w:cs="Arial"/>
          <w:color w:val="000000" w:themeColor="text1"/>
        </w:rPr>
        <w:t xml:space="preserve"> S</w:t>
      </w:r>
      <w:r>
        <w:rPr>
          <w:rFonts w:cs="Arial"/>
          <w:color w:val="000000" w:themeColor="text1"/>
        </w:rPr>
        <w:t xml:space="preserve"> and Auld</w:t>
      </w:r>
      <w:r w:rsidRPr="005D6D89">
        <w:rPr>
          <w:rFonts w:cs="Arial"/>
          <w:color w:val="000000" w:themeColor="text1"/>
        </w:rPr>
        <w:t xml:space="preserve"> G. (2012). Overcoming the tragedy of super wicked problems: Constraining our future selves to ameliorate global climate change. </w:t>
      </w:r>
      <w:r w:rsidRPr="005D6D89">
        <w:rPr>
          <w:rFonts w:cs="Arial"/>
          <w:i/>
          <w:iCs/>
          <w:color w:val="000000" w:themeColor="text1"/>
        </w:rPr>
        <w:t>Policy Sciences</w:t>
      </w:r>
      <w:r w:rsidRPr="005D6D89">
        <w:rPr>
          <w:rFonts w:cs="Arial"/>
          <w:color w:val="000000" w:themeColor="text1"/>
        </w:rPr>
        <w:t xml:space="preserve">, 45, </w:t>
      </w:r>
      <w:r w:rsidRPr="005D6D89">
        <w:rPr>
          <w:rFonts w:cs="Arial"/>
          <w:color w:val="000000" w:themeColor="text1"/>
        </w:rPr>
        <w:br/>
        <w:t xml:space="preserve">123–152. </w:t>
      </w:r>
    </w:p>
    <w:p w14:paraId="680228E9" w14:textId="77777777" w:rsidR="007D0B70" w:rsidRPr="005D6D89" w:rsidRDefault="007D0B70" w:rsidP="007D0B70">
      <w:pPr>
        <w:pStyle w:val="References"/>
        <w:rPr>
          <w:rFonts w:cs="Arial"/>
          <w:color w:val="000000" w:themeColor="text1"/>
          <w:u w:val="single"/>
        </w:rPr>
      </w:pPr>
      <w:r w:rsidRPr="005D6D89">
        <w:rPr>
          <w:color w:val="000000" w:themeColor="text1"/>
        </w:rPr>
        <w:t xml:space="preserve">LGNZ (2016). </w:t>
      </w:r>
      <w:r w:rsidRPr="005D6D89">
        <w:rPr>
          <w:i/>
          <w:iCs/>
          <w:color w:val="000000" w:themeColor="text1"/>
        </w:rPr>
        <w:t>The 2050 challenge: future proofing our communities: A discussion paper</w:t>
      </w:r>
      <w:r w:rsidRPr="005D6D89">
        <w:rPr>
          <w:color w:val="000000" w:themeColor="text1"/>
        </w:rPr>
        <w:t xml:space="preserve">. </w:t>
      </w:r>
      <w:hyperlink r:id="rId88" w:history="1">
        <w:r w:rsidRPr="005D6D89">
          <w:rPr>
            <w:rStyle w:val="Hyperlink"/>
          </w:rPr>
          <w:t>https://www.lgnz.co.nz/assets/e1a77509ff/42597-LGNZ-2050-Challenge-Final-WEB-small.pdf</w:t>
        </w:r>
      </w:hyperlink>
    </w:p>
    <w:p w14:paraId="35E8576D" w14:textId="77777777" w:rsidR="007D0B70" w:rsidRPr="000D4E02" w:rsidRDefault="007D0B70" w:rsidP="007D0B70">
      <w:pPr>
        <w:pStyle w:val="References"/>
        <w:rPr>
          <w:rFonts w:cs="Arial"/>
          <w:color w:val="000000" w:themeColor="text1"/>
        </w:rPr>
      </w:pPr>
      <w:r w:rsidRPr="005D6D89">
        <w:rPr>
          <w:rFonts w:cs="Arial"/>
          <w:color w:val="000000" w:themeColor="text1"/>
        </w:rPr>
        <w:t xml:space="preserve">LGNZ. (2019). </w:t>
      </w:r>
      <w:proofErr w:type="gramStart"/>
      <w:r w:rsidRPr="005D6D89">
        <w:rPr>
          <w:rFonts w:cs="Arial"/>
          <w:i/>
          <w:iCs/>
          <w:color w:val="000000" w:themeColor="text1"/>
        </w:rPr>
        <w:t>Vulnerable</w:t>
      </w:r>
      <w:proofErr w:type="gramEnd"/>
      <w:r w:rsidRPr="005D6D89">
        <w:rPr>
          <w:rFonts w:cs="Arial"/>
          <w:i/>
          <w:iCs/>
          <w:color w:val="000000" w:themeColor="text1"/>
        </w:rPr>
        <w:t>: the quantum of local government infrastructure exposed to sea-level rise</w:t>
      </w:r>
      <w:r>
        <w:rPr>
          <w:rFonts w:cs="Arial"/>
          <w:color w:val="000000" w:themeColor="text1"/>
        </w:rPr>
        <w:t xml:space="preserve">. LGNZ. </w:t>
      </w:r>
      <w:r w:rsidRPr="005D6D89">
        <w:t>Liu</w:t>
      </w:r>
      <w:r w:rsidR="00A03FCC">
        <w:t xml:space="preserve"> </w:t>
      </w:r>
      <w:r w:rsidRPr="005D6D89">
        <w:t>J</w:t>
      </w:r>
      <w:r>
        <w:t>,</w:t>
      </w:r>
      <w:r w:rsidRPr="005D6D89">
        <w:t xml:space="preserve"> Hull</w:t>
      </w:r>
      <w:r w:rsidR="00A03FCC">
        <w:t xml:space="preserve"> </w:t>
      </w:r>
      <w:r w:rsidRPr="005D6D89">
        <w:t>V</w:t>
      </w:r>
      <w:r>
        <w:t>,</w:t>
      </w:r>
      <w:r w:rsidRPr="005D6D89">
        <w:t xml:space="preserve"> Batistella M</w:t>
      </w:r>
      <w:r>
        <w:t>,</w:t>
      </w:r>
      <w:r w:rsidRPr="005D6D89">
        <w:t xml:space="preserve"> DeFries R</w:t>
      </w:r>
      <w:r>
        <w:t>,</w:t>
      </w:r>
      <w:r w:rsidRPr="005D6D89">
        <w:t xml:space="preserve"> Dietz T</w:t>
      </w:r>
      <w:r>
        <w:t>,</w:t>
      </w:r>
      <w:r w:rsidRPr="005D6D89">
        <w:t xml:space="preserve"> Fu F</w:t>
      </w:r>
      <w:r>
        <w:t>,</w:t>
      </w:r>
      <w:r w:rsidRPr="005D6D89">
        <w:t xml:space="preserve"> Hertel T</w:t>
      </w:r>
      <w:r>
        <w:t>,</w:t>
      </w:r>
      <w:r w:rsidRPr="005D6D89">
        <w:t xml:space="preserve"> Izaurralde</w:t>
      </w:r>
      <w:r>
        <w:t xml:space="preserve"> R </w:t>
      </w:r>
      <w:r w:rsidRPr="005D6D89">
        <w:t>C</w:t>
      </w:r>
      <w:r>
        <w:t>,</w:t>
      </w:r>
      <w:r w:rsidRPr="005D6D89">
        <w:t xml:space="preserve"> Lambin E</w:t>
      </w:r>
      <w:r>
        <w:t xml:space="preserve">, </w:t>
      </w:r>
      <w:r w:rsidRPr="005D6D89">
        <w:t>Li S</w:t>
      </w:r>
      <w:r>
        <w:t>,</w:t>
      </w:r>
      <w:r w:rsidRPr="005D6D89">
        <w:t xml:space="preserve"> Martinelli L</w:t>
      </w:r>
      <w:r>
        <w:t>,</w:t>
      </w:r>
      <w:r w:rsidRPr="005D6D89">
        <w:t xml:space="preserve"> McConnell W</w:t>
      </w:r>
      <w:r>
        <w:t>,</w:t>
      </w:r>
      <w:r w:rsidRPr="005D6D89">
        <w:t xml:space="preserve"> Moran E</w:t>
      </w:r>
      <w:r>
        <w:t>,</w:t>
      </w:r>
      <w:r w:rsidRPr="005D6D89">
        <w:t xml:space="preserve"> Naylor R</w:t>
      </w:r>
      <w:r>
        <w:t>,</w:t>
      </w:r>
      <w:r w:rsidRPr="005D6D89">
        <w:t xml:space="preserve"> Ouyang Z</w:t>
      </w:r>
      <w:r>
        <w:t>,</w:t>
      </w:r>
      <w:r w:rsidRPr="005D6D89">
        <w:t xml:space="preserve"> Polenske K</w:t>
      </w:r>
      <w:r>
        <w:t>,</w:t>
      </w:r>
      <w:r w:rsidRPr="005D6D89">
        <w:t xml:space="preserve"> Reenberg A</w:t>
      </w:r>
      <w:r>
        <w:t>,</w:t>
      </w:r>
      <w:r w:rsidRPr="005D6D89">
        <w:t xml:space="preserve"> de Miranda Rocha G</w:t>
      </w:r>
      <w:r>
        <w:t>,</w:t>
      </w:r>
      <w:r w:rsidRPr="005D6D89">
        <w:t xml:space="preserve"> Simmons C</w:t>
      </w:r>
      <w:r>
        <w:t>,</w:t>
      </w:r>
      <w:r w:rsidRPr="005D6D89">
        <w:t xml:space="preserve"> Verburg P</w:t>
      </w:r>
      <w:r>
        <w:t>,</w:t>
      </w:r>
      <w:r w:rsidRPr="005D6D89">
        <w:t xml:space="preserve"> Vitousek P</w:t>
      </w:r>
      <w:r>
        <w:t>,</w:t>
      </w:r>
      <w:r w:rsidRPr="005D6D89">
        <w:t xml:space="preserve"> Zhang F</w:t>
      </w:r>
      <w:r>
        <w:t xml:space="preserve"> and Zhu</w:t>
      </w:r>
      <w:r w:rsidRPr="005D6D89">
        <w:t xml:space="preserve"> C. (2013). Framing sustainability in a telecoupled world. </w:t>
      </w:r>
      <w:r w:rsidRPr="005D6D89">
        <w:rPr>
          <w:i/>
          <w:iCs/>
        </w:rPr>
        <w:t>Ecology and Society</w:t>
      </w:r>
      <w:r w:rsidRPr="005D6D89">
        <w:t>, 18, 2: 26.</w:t>
      </w:r>
    </w:p>
    <w:p w14:paraId="2D6EAFD7" w14:textId="77777777" w:rsidR="007D0B70" w:rsidRPr="005D6D89" w:rsidRDefault="007D0B70" w:rsidP="007D0B70">
      <w:pPr>
        <w:pStyle w:val="References"/>
        <w:rPr>
          <w:rFonts w:cs="Arial"/>
          <w:color w:val="000000" w:themeColor="text1"/>
        </w:rPr>
      </w:pPr>
      <w:r w:rsidRPr="005D6D89">
        <w:rPr>
          <w:rFonts w:cs="Arial"/>
          <w:color w:val="000000" w:themeColor="text1"/>
          <w:lang w:eastAsia="en-AU"/>
        </w:rPr>
        <w:t>Lim-Camacho L</w:t>
      </w:r>
      <w:r>
        <w:rPr>
          <w:rFonts w:cs="Arial"/>
          <w:color w:val="000000" w:themeColor="text1"/>
          <w:lang w:eastAsia="en-AU"/>
        </w:rPr>
        <w:t>,</w:t>
      </w:r>
      <w:r w:rsidRPr="005D6D89">
        <w:rPr>
          <w:rFonts w:cs="Arial"/>
          <w:color w:val="000000" w:themeColor="text1"/>
          <w:lang w:eastAsia="en-AU"/>
        </w:rPr>
        <w:t xml:space="preserve"> Plagányi</w:t>
      </w:r>
      <w:r>
        <w:rPr>
          <w:rFonts w:cs="Arial"/>
          <w:color w:val="000000" w:themeColor="text1"/>
          <w:lang w:eastAsia="en-AU"/>
        </w:rPr>
        <w:t xml:space="preserve"> É</w:t>
      </w:r>
      <w:r w:rsidRPr="005D6D89">
        <w:rPr>
          <w:rFonts w:cs="Arial"/>
          <w:color w:val="000000" w:themeColor="text1"/>
          <w:lang w:eastAsia="en-AU"/>
        </w:rPr>
        <w:t xml:space="preserve"> E</w:t>
      </w:r>
      <w:r>
        <w:rPr>
          <w:rFonts w:cs="Arial"/>
          <w:color w:val="000000" w:themeColor="text1"/>
          <w:lang w:eastAsia="en-AU"/>
        </w:rPr>
        <w:t>,</w:t>
      </w:r>
      <w:r w:rsidRPr="005D6D89">
        <w:rPr>
          <w:rFonts w:cs="Arial"/>
          <w:color w:val="000000" w:themeColor="text1"/>
          <w:lang w:eastAsia="en-AU"/>
        </w:rPr>
        <w:t xml:space="preserve"> Crimp S</w:t>
      </w:r>
      <w:r>
        <w:rPr>
          <w:rFonts w:cs="Arial"/>
          <w:color w:val="000000" w:themeColor="text1"/>
          <w:lang w:eastAsia="en-AU"/>
        </w:rPr>
        <w:t>,</w:t>
      </w:r>
      <w:r w:rsidRPr="005D6D89">
        <w:rPr>
          <w:rFonts w:cs="Arial"/>
          <w:color w:val="000000" w:themeColor="text1"/>
          <w:lang w:eastAsia="en-AU"/>
        </w:rPr>
        <w:t xml:space="preserve"> Hodgkinson</w:t>
      </w:r>
      <w:r>
        <w:rPr>
          <w:rFonts w:cs="Arial"/>
          <w:color w:val="000000" w:themeColor="text1"/>
          <w:lang w:eastAsia="en-AU"/>
        </w:rPr>
        <w:t xml:space="preserve"> J</w:t>
      </w:r>
      <w:r w:rsidRPr="005D6D89">
        <w:rPr>
          <w:rFonts w:cs="Arial"/>
          <w:color w:val="000000" w:themeColor="text1"/>
          <w:lang w:eastAsia="en-AU"/>
        </w:rPr>
        <w:t xml:space="preserve"> H</w:t>
      </w:r>
      <w:r>
        <w:rPr>
          <w:rFonts w:cs="Arial"/>
          <w:color w:val="000000" w:themeColor="text1"/>
          <w:lang w:eastAsia="en-AU"/>
        </w:rPr>
        <w:t>,</w:t>
      </w:r>
      <w:r w:rsidRPr="005D6D89">
        <w:rPr>
          <w:rFonts w:cs="Arial"/>
          <w:color w:val="000000" w:themeColor="text1"/>
          <w:lang w:eastAsia="en-AU"/>
        </w:rPr>
        <w:t xml:space="preserve"> Hobday</w:t>
      </w:r>
      <w:r>
        <w:rPr>
          <w:rFonts w:cs="Arial"/>
          <w:color w:val="000000" w:themeColor="text1"/>
          <w:lang w:eastAsia="en-AU"/>
        </w:rPr>
        <w:t xml:space="preserve"> A</w:t>
      </w:r>
      <w:r w:rsidRPr="005D6D89">
        <w:rPr>
          <w:rFonts w:cs="Arial"/>
          <w:color w:val="000000" w:themeColor="text1"/>
          <w:lang w:eastAsia="en-AU"/>
        </w:rPr>
        <w:t xml:space="preserve"> J</w:t>
      </w:r>
      <w:r>
        <w:rPr>
          <w:rFonts w:cs="Arial"/>
          <w:color w:val="000000" w:themeColor="text1"/>
          <w:lang w:eastAsia="en-AU"/>
        </w:rPr>
        <w:t>,</w:t>
      </w:r>
      <w:r w:rsidRPr="005D6D89">
        <w:rPr>
          <w:rFonts w:cs="Arial"/>
          <w:color w:val="000000" w:themeColor="text1"/>
          <w:lang w:eastAsia="en-AU"/>
        </w:rPr>
        <w:t xml:space="preserve"> Howden</w:t>
      </w:r>
      <w:r>
        <w:rPr>
          <w:rFonts w:cs="Arial"/>
          <w:color w:val="000000" w:themeColor="text1"/>
          <w:lang w:eastAsia="en-AU"/>
        </w:rPr>
        <w:t xml:space="preserve"> S</w:t>
      </w:r>
      <w:r w:rsidRPr="005D6D89">
        <w:rPr>
          <w:rFonts w:cs="Arial"/>
          <w:color w:val="000000" w:themeColor="text1"/>
          <w:lang w:eastAsia="en-AU"/>
        </w:rPr>
        <w:t xml:space="preserve"> M</w:t>
      </w:r>
      <w:r>
        <w:rPr>
          <w:rFonts w:cs="Arial"/>
          <w:color w:val="000000" w:themeColor="text1"/>
          <w:lang w:eastAsia="en-AU"/>
        </w:rPr>
        <w:t xml:space="preserve"> and</w:t>
      </w:r>
      <w:r w:rsidRPr="005D6D89">
        <w:rPr>
          <w:rFonts w:cs="Arial"/>
          <w:color w:val="000000" w:themeColor="text1"/>
          <w:lang w:eastAsia="en-AU"/>
        </w:rPr>
        <w:t xml:space="preserve"> Loechel B. (2017). </w:t>
      </w:r>
      <w:proofErr w:type="gramStart"/>
      <w:r w:rsidRPr="005D6D89">
        <w:rPr>
          <w:rFonts w:cs="Arial"/>
          <w:color w:val="000000" w:themeColor="text1"/>
          <w:lang w:eastAsia="en-AU"/>
        </w:rPr>
        <w:t>Complex resource supply chains</w:t>
      </w:r>
      <w:proofErr w:type="gramEnd"/>
      <w:r w:rsidRPr="005D6D89">
        <w:rPr>
          <w:rFonts w:cs="Arial"/>
          <w:color w:val="000000" w:themeColor="text1"/>
          <w:lang w:eastAsia="en-AU"/>
        </w:rPr>
        <w:t xml:space="preserve"> display higher resilience to simulated climate shocks. </w:t>
      </w:r>
      <w:r w:rsidRPr="005D6D89">
        <w:rPr>
          <w:rFonts w:cs="Arial"/>
          <w:i/>
          <w:iCs/>
          <w:color w:val="000000" w:themeColor="text1"/>
          <w:lang w:eastAsia="en-AU"/>
        </w:rPr>
        <w:t>Global Environmental Change</w:t>
      </w:r>
      <w:r w:rsidRPr="005D6D89">
        <w:rPr>
          <w:rFonts w:cs="Arial"/>
          <w:color w:val="000000" w:themeColor="text1"/>
          <w:lang w:eastAsia="en-AU"/>
        </w:rPr>
        <w:t xml:space="preserve">, 46, 126–138. </w:t>
      </w:r>
    </w:p>
    <w:p w14:paraId="0A5C8A46" w14:textId="77777777" w:rsidR="007D0B70" w:rsidRPr="005D6D89" w:rsidRDefault="007D0B70" w:rsidP="007D0B70">
      <w:pPr>
        <w:pStyle w:val="References"/>
        <w:rPr>
          <w:rFonts w:cs="Arial"/>
          <w:color w:val="000000" w:themeColor="text1"/>
        </w:rPr>
      </w:pPr>
      <w:r w:rsidRPr="005D6D89">
        <w:rPr>
          <w:rFonts w:cs="Arial"/>
          <w:color w:val="000000" w:themeColor="text1"/>
        </w:rPr>
        <w:t>Lin Q</w:t>
      </w:r>
      <w:r>
        <w:rPr>
          <w:rFonts w:cs="Arial"/>
          <w:color w:val="000000" w:themeColor="text1"/>
        </w:rPr>
        <w:t>,</w:t>
      </w:r>
      <w:r w:rsidRPr="005D6D89">
        <w:rPr>
          <w:rFonts w:cs="Arial"/>
          <w:color w:val="000000" w:themeColor="text1"/>
        </w:rPr>
        <w:t xml:space="preserve"> Wang Y</w:t>
      </w:r>
      <w:r>
        <w:rPr>
          <w:rFonts w:cs="Arial"/>
          <w:color w:val="000000" w:themeColor="text1"/>
        </w:rPr>
        <w:t>,</w:t>
      </w:r>
      <w:r w:rsidRPr="005D6D89">
        <w:rPr>
          <w:rFonts w:cs="Arial"/>
          <w:color w:val="000000" w:themeColor="text1"/>
        </w:rPr>
        <w:t xml:space="preserve"> Liu T</w:t>
      </w:r>
      <w:r>
        <w:rPr>
          <w:rFonts w:cs="Arial"/>
          <w:color w:val="000000" w:themeColor="text1"/>
        </w:rPr>
        <w:t>,</w:t>
      </w:r>
      <w:r w:rsidRPr="005D6D89">
        <w:rPr>
          <w:rFonts w:cs="Arial"/>
          <w:color w:val="000000" w:themeColor="text1"/>
        </w:rPr>
        <w:t xml:space="preserve"> Zhu Y</w:t>
      </w:r>
      <w:r>
        <w:rPr>
          <w:rFonts w:cs="Arial"/>
          <w:color w:val="000000" w:themeColor="text1"/>
        </w:rPr>
        <w:t xml:space="preserve"> and Sui</w:t>
      </w:r>
      <w:r w:rsidRPr="005D6D89">
        <w:rPr>
          <w:rFonts w:cs="Arial"/>
          <w:color w:val="000000" w:themeColor="text1"/>
        </w:rPr>
        <w:t xml:space="preserve"> Q. (2017). The vulnerability of people to landslides: A Case </w:t>
      </w:r>
      <w:r>
        <w:rPr>
          <w:rFonts w:cs="Arial"/>
          <w:color w:val="000000" w:themeColor="text1"/>
        </w:rPr>
        <w:t>s</w:t>
      </w:r>
      <w:r w:rsidRPr="005D6D89">
        <w:rPr>
          <w:rFonts w:cs="Arial"/>
          <w:color w:val="000000" w:themeColor="text1"/>
        </w:rPr>
        <w:t xml:space="preserve">tudy on the relationship between the casualties and volume of landslides in China. International </w:t>
      </w:r>
      <w:r w:rsidRPr="005D6D89">
        <w:rPr>
          <w:rFonts w:cs="Arial"/>
          <w:i/>
          <w:iCs/>
          <w:color w:val="000000" w:themeColor="text1"/>
        </w:rPr>
        <w:t>Journal of Environmental Research and Public Health</w:t>
      </w:r>
      <w:r w:rsidRPr="005D6D89">
        <w:rPr>
          <w:rFonts w:cs="Arial"/>
          <w:color w:val="000000" w:themeColor="text1"/>
        </w:rPr>
        <w:t>, 14(2).</w:t>
      </w:r>
    </w:p>
    <w:p w14:paraId="1B3157A1" w14:textId="77777777" w:rsidR="007D0B70" w:rsidRPr="005D6D89" w:rsidRDefault="007D0B70" w:rsidP="007D0B70">
      <w:pPr>
        <w:pStyle w:val="References"/>
        <w:rPr>
          <w:rFonts w:cs="Arial"/>
          <w:color w:val="000000" w:themeColor="text1"/>
        </w:rPr>
      </w:pPr>
      <w:proofErr w:type="gramStart"/>
      <w:r w:rsidRPr="005D6D89">
        <w:rPr>
          <w:rFonts w:cs="Arial"/>
          <w:color w:val="000000" w:themeColor="text1"/>
        </w:rPr>
        <w:t>Lloyd</w:t>
      </w:r>
      <w:r>
        <w:rPr>
          <w:rFonts w:cs="Arial"/>
          <w:color w:val="000000" w:themeColor="text1"/>
        </w:rPr>
        <w:t>’</w:t>
      </w:r>
      <w:r w:rsidRPr="005D6D89">
        <w:rPr>
          <w:rFonts w:cs="Arial"/>
          <w:color w:val="000000" w:themeColor="text1"/>
        </w:rPr>
        <w:t>s</w:t>
      </w:r>
      <w:proofErr w:type="gramEnd"/>
      <w:r w:rsidRPr="005D6D89">
        <w:rPr>
          <w:rFonts w:cs="Arial"/>
          <w:color w:val="000000" w:themeColor="text1"/>
        </w:rPr>
        <w:t xml:space="preserve">. (2014). </w:t>
      </w:r>
      <w:r w:rsidRPr="005D6D89">
        <w:rPr>
          <w:rFonts w:cs="Arial"/>
          <w:i/>
          <w:iCs/>
          <w:color w:val="000000" w:themeColor="text1"/>
        </w:rPr>
        <w:t>Catastrophe modelling and climate chan</w:t>
      </w:r>
      <w:r w:rsidRPr="005D6D89">
        <w:rPr>
          <w:rFonts w:cs="Arial"/>
          <w:i/>
          <w:iCs/>
        </w:rPr>
        <w:t>ge</w:t>
      </w:r>
      <w:r w:rsidRPr="005D6D89">
        <w:rPr>
          <w:rFonts w:cs="Arial"/>
        </w:rPr>
        <w:t xml:space="preserve">. Accessed 3 March 2020, from </w:t>
      </w:r>
      <w:hyperlink r:id="rId89" w:history="1">
        <w:r w:rsidRPr="005D6D89">
          <w:rPr>
            <w:rStyle w:val="Hyperlink"/>
          </w:rPr>
          <w:t>https://www.lloyds.com/~/media/lloyds/reports/emerging-risk-reports/cc-and-modelling-template-v6.pdf</w:t>
        </w:r>
      </w:hyperlink>
    </w:p>
    <w:p w14:paraId="4EFB77CE" w14:textId="77777777" w:rsidR="007D0B70" w:rsidRPr="005D6D89" w:rsidRDefault="007D0B70" w:rsidP="007D0B70">
      <w:pPr>
        <w:pStyle w:val="References"/>
        <w:rPr>
          <w:rFonts w:cs="Arial"/>
        </w:rPr>
      </w:pPr>
      <w:r w:rsidRPr="005D6D89">
        <w:rPr>
          <w:rFonts w:cs="Arial"/>
        </w:rPr>
        <w:t>Macinnis-Ng C</w:t>
      </w:r>
      <w:r>
        <w:rPr>
          <w:rFonts w:cs="Arial"/>
        </w:rPr>
        <w:t>,</w:t>
      </w:r>
      <w:r w:rsidRPr="005D6D89">
        <w:rPr>
          <w:rFonts w:cs="Arial"/>
        </w:rPr>
        <w:t xml:space="preserve"> McIntosh A</w:t>
      </w:r>
      <w:r>
        <w:rPr>
          <w:rFonts w:cs="Arial"/>
        </w:rPr>
        <w:t>,</w:t>
      </w:r>
      <w:r w:rsidRPr="005D6D89">
        <w:rPr>
          <w:rFonts w:cs="Arial"/>
        </w:rPr>
        <w:t xml:space="preserve"> Monks J</w:t>
      </w:r>
      <w:r>
        <w:rPr>
          <w:rFonts w:cs="Arial"/>
        </w:rPr>
        <w:t>,</w:t>
      </w:r>
      <w:r w:rsidRPr="005D6D89">
        <w:rPr>
          <w:rFonts w:cs="Arial"/>
        </w:rPr>
        <w:t xml:space="preserve"> White R</w:t>
      </w:r>
      <w:r>
        <w:rPr>
          <w:rFonts w:cs="Arial"/>
        </w:rPr>
        <w:t>,</w:t>
      </w:r>
      <w:r w:rsidRPr="005D6D89">
        <w:rPr>
          <w:rFonts w:cs="Arial"/>
        </w:rPr>
        <w:t xml:space="preserve"> Waipara N</w:t>
      </w:r>
      <w:r>
        <w:rPr>
          <w:rFonts w:cs="Arial"/>
        </w:rPr>
        <w:t>,</w:t>
      </w:r>
      <w:r w:rsidRPr="005D6D89">
        <w:rPr>
          <w:rFonts w:cs="Arial"/>
        </w:rPr>
        <w:t xml:space="preserve"> Boudjelas S</w:t>
      </w:r>
      <w:r>
        <w:rPr>
          <w:rFonts w:cs="Arial"/>
        </w:rPr>
        <w:t xml:space="preserve"> ..</w:t>
      </w:r>
      <w:r w:rsidRPr="005D6D89">
        <w:rPr>
          <w:rFonts w:cs="Arial"/>
        </w:rPr>
        <w:t>. Peltzer D. (</w:t>
      </w:r>
      <w:r>
        <w:rPr>
          <w:rFonts w:cs="Arial"/>
        </w:rPr>
        <w:t>nd</w:t>
      </w:r>
      <w:r w:rsidRPr="005D6D89">
        <w:rPr>
          <w:rFonts w:cs="Arial"/>
        </w:rPr>
        <w:t xml:space="preserve">). Climate change impacts exacerbate conservation threats in island systems: a New Zealand case study. </w:t>
      </w:r>
      <w:r w:rsidRPr="005D6D89">
        <w:rPr>
          <w:rFonts w:cs="Arial"/>
          <w:i/>
          <w:iCs/>
        </w:rPr>
        <w:t>Frontiers in Ecology and the Environment</w:t>
      </w:r>
      <w:r w:rsidRPr="005D6D89">
        <w:rPr>
          <w:rFonts w:cs="Arial"/>
        </w:rPr>
        <w:t>.</w:t>
      </w:r>
    </w:p>
    <w:p w14:paraId="202FFC25" w14:textId="77777777" w:rsidR="007D0B70" w:rsidRPr="005D6D89" w:rsidRDefault="007D0B70" w:rsidP="007D0B70">
      <w:pPr>
        <w:pStyle w:val="References"/>
        <w:rPr>
          <w:rFonts w:cs="Arial"/>
        </w:rPr>
      </w:pPr>
      <w:proofErr w:type="gramStart"/>
      <w:r w:rsidRPr="005D6D89">
        <w:rPr>
          <w:rFonts w:cs="Arial"/>
        </w:rPr>
        <w:t>Manning</w:t>
      </w:r>
      <w:proofErr w:type="gramEnd"/>
      <w:r w:rsidRPr="005D6D89">
        <w:rPr>
          <w:rFonts w:cs="Arial"/>
        </w:rPr>
        <w:t xml:space="preserve"> M</w:t>
      </w:r>
      <w:r>
        <w:rPr>
          <w:rFonts w:cs="Arial"/>
        </w:rPr>
        <w:t>,</w:t>
      </w:r>
      <w:r w:rsidRPr="005D6D89">
        <w:rPr>
          <w:rFonts w:cs="Arial"/>
        </w:rPr>
        <w:t xml:space="preserve"> Lawrence J</w:t>
      </w:r>
      <w:r>
        <w:rPr>
          <w:rFonts w:cs="Arial"/>
        </w:rPr>
        <w:t>,</w:t>
      </w:r>
      <w:r w:rsidRPr="005D6D89">
        <w:rPr>
          <w:rFonts w:cs="Arial"/>
        </w:rPr>
        <w:t xml:space="preserve"> King</w:t>
      </w:r>
      <w:r>
        <w:rPr>
          <w:rFonts w:cs="Arial"/>
        </w:rPr>
        <w:t xml:space="preserve"> D</w:t>
      </w:r>
      <w:r w:rsidRPr="005D6D89">
        <w:rPr>
          <w:rFonts w:cs="Arial"/>
        </w:rPr>
        <w:t xml:space="preserve"> N</w:t>
      </w:r>
      <w:r>
        <w:rPr>
          <w:rFonts w:cs="Arial"/>
        </w:rPr>
        <w:t xml:space="preserve"> and</w:t>
      </w:r>
      <w:r w:rsidRPr="005D6D89">
        <w:rPr>
          <w:rFonts w:cs="Arial"/>
        </w:rPr>
        <w:t xml:space="preserve"> Chapman R. (2015). Dealing with changing risks: a New Zealand perspective on climate change adaptation. </w:t>
      </w:r>
      <w:r w:rsidRPr="005D6D89">
        <w:rPr>
          <w:rFonts w:cs="Arial"/>
          <w:i/>
          <w:iCs/>
        </w:rPr>
        <w:t>Regional Environmental Change</w:t>
      </w:r>
      <w:r w:rsidRPr="005D6D89">
        <w:rPr>
          <w:rFonts w:cs="Arial"/>
        </w:rPr>
        <w:t xml:space="preserve"> 15(4), 581–594. </w:t>
      </w:r>
    </w:p>
    <w:p w14:paraId="6BE8D6E7" w14:textId="77777777" w:rsidR="007D0B70" w:rsidRPr="005D6D89" w:rsidRDefault="007D0B70" w:rsidP="007D0B70">
      <w:pPr>
        <w:pStyle w:val="References"/>
        <w:rPr>
          <w:rFonts w:cs="Arial"/>
        </w:rPr>
      </w:pPr>
      <w:r>
        <w:rPr>
          <w:rFonts w:cs="Arial"/>
          <w:lang w:eastAsia="en-AU"/>
        </w:rPr>
        <w:t>Mastrandrea</w:t>
      </w:r>
      <w:r w:rsidRPr="005D6D89">
        <w:rPr>
          <w:rFonts w:cs="Arial"/>
          <w:lang w:eastAsia="en-AU"/>
        </w:rPr>
        <w:t xml:space="preserve"> M</w:t>
      </w:r>
      <w:r>
        <w:rPr>
          <w:rFonts w:cs="Arial"/>
          <w:lang w:eastAsia="en-AU"/>
        </w:rPr>
        <w:t xml:space="preserve"> and Luers</w:t>
      </w:r>
      <w:r w:rsidRPr="005D6D89">
        <w:rPr>
          <w:rFonts w:cs="Arial"/>
          <w:lang w:eastAsia="en-AU"/>
        </w:rPr>
        <w:t xml:space="preserve"> A. (2012). Climate change in California: scenarios and approaches for adaptation. </w:t>
      </w:r>
      <w:r w:rsidRPr="005D6D89">
        <w:rPr>
          <w:rFonts w:cs="Arial"/>
          <w:i/>
          <w:iCs/>
          <w:lang w:eastAsia="en-AU"/>
        </w:rPr>
        <w:t>Climate Change</w:t>
      </w:r>
      <w:r w:rsidRPr="005D6D89">
        <w:rPr>
          <w:rFonts w:cs="Arial"/>
          <w:lang w:eastAsia="en-AU"/>
        </w:rPr>
        <w:t>, 111.</w:t>
      </w:r>
    </w:p>
    <w:p w14:paraId="5E895659" w14:textId="77777777" w:rsidR="007D0B70" w:rsidRPr="005D6D89" w:rsidRDefault="007D0B70" w:rsidP="007D0B70">
      <w:pPr>
        <w:pStyle w:val="References"/>
        <w:rPr>
          <w:rFonts w:cs="Arial"/>
        </w:rPr>
      </w:pPr>
      <w:r>
        <w:rPr>
          <w:rFonts w:cs="Arial"/>
        </w:rPr>
        <w:t>Ministry of Business, Innovation and Employment (MBIE)</w:t>
      </w:r>
      <w:r w:rsidRPr="005D6D89">
        <w:rPr>
          <w:rFonts w:cs="Arial"/>
        </w:rPr>
        <w:t xml:space="preserve">. (2017). </w:t>
      </w:r>
      <w:r w:rsidRPr="005D6D89">
        <w:rPr>
          <w:rFonts w:cs="Arial"/>
          <w:i/>
          <w:iCs/>
        </w:rPr>
        <w:t>Planning and engineering guidance for potentially liquefaction-prone land</w:t>
      </w:r>
      <w:r w:rsidRPr="005D6D89">
        <w:rPr>
          <w:rFonts w:cs="Arial"/>
        </w:rPr>
        <w:t>. Wellington: MBIE.</w:t>
      </w:r>
    </w:p>
    <w:p w14:paraId="55C28D0A" w14:textId="77777777" w:rsidR="007D0B70" w:rsidRPr="005D6D89" w:rsidRDefault="007D0B70" w:rsidP="007D0B70">
      <w:pPr>
        <w:pStyle w:val="References"/>
        <w:rPr>
          <w:rFonts w:cs="Arial"/>
        </w:rPr>
      </w:pPr>
      <w:r>
        <w:rPr>
          <w:rFonts w:cs="Arial"/>
        </w:rPr>
        <w:t>McBride</w:t>
      </w:r>
      <w:r w:rsidRPr="005D6D89">
        <w:rPr>
          <w:rFonts w:cs="Arial"/>
        </w:rPr>
        <w:t xml:space="preserve"> G</w:t>
      </w:r>
      <w:r>
        <w:rPr>
          <w:rFonts w:cs="Arial"/>
        </w:rPr>
        <w:t xml:space="preserve">, Reeve </w:t>
      </w:r>
      <w:r w:rsidRPr="005D6D89">
        <w:rPr>
          <w:rFonts w:cs="Arial"/>
        </w:rPr>
        <w:t>G</w:t>
      </w:r>
      <w:r>
        <w:rPr>
          <w:rFonts w:cs="Arial"/>
        </w:rPr>
        <w:t>, Pritchard</w:t>
      </w:r>
      <w:r w:rsidRPr="005D6D89">
        <w:rPr>
          <w:rFonts w:cs="Arial"/>
        </w:rPr>
        <w:t xml:space="preserve"> M</w:t>
      </w:r>
      <w:r>
        <w:rPr>
          <w:rFonts w:cs="Arial"/>
        </w:rPr>
        <w:t>, Lundquist</w:t>
      </w:r>
      <w:r w:rsidRPr="005D6D89">
        <w:rPr>
          <w:rFonts w:cs="Arial"/>
        </w:rPr>
        <w:t xml:space="preserve"> C</w:t>
      </w:r>
      <w:r>
        <w:rPr>
          <w:rFonts w:cs="Arial"/>
        </w:rPr>
        <w:t>,</w:t>
      </w:r>
      <w:r w:rsidRPr="005D6D89">
        <w:rPr>
          <w:rFonts w:cs="Arial"/>
        </w:rPr>
        <w:t xml:space="preserve"> Daigneault A</w:t>
      </w:r>
      <w:r>
        <w:rPr>
          <w:rFonts w:cs="Arial"/>
        </w:rPr>
        <w:t>, Bell</w:t>
      </w:r>
      <w:r w:rsidRPr="005D6D89">
        <w:rPr>
          <w:rFonts w:cs="Arial"/>
        </w:rPr>
        <w:t xml:space="preserve"> R</w:t>
      </w:r>
      <w:r>
        <w:rPr>
          <w:rFonts w:cs="Arial"/>
        </w:rPr>
        <w:t xml:space="preserve"> ... Zammit</w:t>
      </w:r>
      <w:r w:rsidRPr="005D6D89">
        <w:rPr>
          <w:rFonts w:cs="Arial"/>
        </w:rPr>
        <w:t xml:space="preserve"> C. (2016). </w:t>
      </w:r>
      <w:r w:rsidRPr="005D6D89">
        <w:rPr>
          <w:rFonts w:cs="Arial"/>
          <w:i/>
          <w:iCs/>
        </w:rPr>
        <w:t>The Firth of Thames and Lower Waihou River. Synthesis Report RA2, Coastal Case Study</w:t>
      </w:r>
      <w:r w:rsidRPr="005D6D89">
        <w:rPr>
          <w:rFonts w:cs="Arial"/>
        </w:rPr>
        <w:t xml:space="preserve">. Climate Changes, Impacts and Implications (CCII) for New Zealand to 2100. </w:t>
      </w:r>
    </w:p>
    <w:p w14:paraId="23A9AA60" w14:textId="77777777" w:rsidR="007D0B70" w:rsidRPr="005D6D89" w:rsidRDefault="007D0B70" w:rsidP="007D0B70">
      <w:pPr>
        <w:pStyle w:val="References"/>
        <w:rPr>
          <w:rFonts w:cs="Arial"/>
        </w:rPr>
      </w:pPr>
      <w:r>
        <w:rPr>
          <w:rFonts w:cs="Arial"/>
        </w:rPr>
        <w:t>McBride</w:t>
      </w:r>
      <w:r w:rsidRPr="005D6D89">
        <w:rPr>
          <w:rFonts w:cs="Arial"/>
        </w:rPr>
        <w:t xml:space="preserve"> G</w:t>
      </w:r>
      <w:r>
        <w:rPr>
          <w:rFonts w:cs="Arial"/>
        </w:rPr>
        <w:t>, Tait</w:t>
      </w:r>
      <w:r w:rsidRPr="005D6D89">
        <w:rPr>
          <w:rFonts w:cs="Arial"/>
        </w:rPr>
        <w:t xml:space="preserve"> A</w:t>
      </w:r>
      <w:r>
        <w:rPr>
          <w:rFonts w:cs="Arial"/>
        </w:rPr>
        <w:t xml:space="preserve"> and Slaney</w:t>
      </w:r>
      <w:r w:rsidRPr="005D6D89">
        <w:rPr>
          <w:rFonts w:cs="Arial"/>
        </w:rPr>
        <w:t xml:space="preserve"> D. (2014). Projected changes in reported campylobacteriosis and cryptosporidiosis rates as a function of climate change: A New Zealand study. </w:t>
      </w:r>
      <w:r w:rsidRPr="005D6D89">
        <w:rPr>
          <w:rFonts w:cs="Arial"/>
          <w:i/>
          <w:iCs/>
        </w:rPr>
        <w:t>Stochastic environmental research and risk assessment</w:t>
      </w:r>
      <w:r w:rsidRPr="005D6D89">
        <w:rPr>
          <w:rFonts w:cs="Arial"/>
        </w:rPr>
        <w:t>, 28(8), 2133–2147.</w:t>
      </w:r>
    </w:p>
    <w:p w14:paraId="3EF9F460" w14:textId="77777777" w:rsidR="007D0B70" w:rsidRPr="005D6D89" w:rsidRDefault="007D0B70" w:rsidP="007D0B70">
      <w:pPr>
        <w:pStyle w:val="References"/>
        <w:rPr>
          <w:rFonts w:cs="Arial"/>
        </w:rPr>
      </w:pPr>
      <w:r>
        <w:rPr>
          <w:rFonts w:cs="Arial"/>
          <w:shd w:val="clear" w:color="auto" w:fill="FFFFFF"/>
        </w:rPr>
        <w:t xml:space="preserve">McDowall R </w:t>
      </w:r>
      <w:r w:rsidRPr="005D6D89">
        <w:rPr>
          <w:rFonts w:cs="Arial"/>
          <w:shd w:val="clear" w:color="auto" w:fill="FFFFFF"/>
        </w:rPr>
        <w:t>M</w:t>
      </w:r>
      <w:r>
        <w:rPr>
          <w:rFonts w:cs="Arial"/>
          <w:shd w:val="clear" w:color="auto" w:fill="FFFFFF"/>
        </w:rPr>
        <w:t>.</w:t>
      </w:r>
      <w:r w:rsidRPr="005D6D89">
        <w:rPr>
          <w:rFonts w:cs="Arial"/>
          <w:shd w:val="clear" w:color="auto" w:fill="FFFFFF"/>
        </w:rPr>
        <w:t xml:space="preserve"> (2003) Impacts of introduced salmonids on native </w:t>
      </w:r>
      <w:r>
        <w:rPr>
          <w:rFonts w:cs="Arial"/>
          <w:shd w:val="clear" w:color="auto" w:fill="FFFFFF"/>
        </w:rPr>
        <w:t>galaxiids in New Zealand upland s</w:t>
      </w:r>
      <w:r w:rsidRPr="005D6D89">
        <w:rPr>
          <w:rFonts w:cs="Arial"/>
          <w:shd w:val="clear" w:color="auto" w:fill="FFFFFF"/>
        </w:rPr>
        <w:t>treams: A new look at an old problem, </w:t>
      </w:r>
      <w:r w:rsidRPr="005D6D89">
        <w:rPr>
          <w:rFonts w:cs="Arial"/>
          <w:i/>
          <w:iCs/>
          <w:shd w:val="clear" w:color="auto" w:fill="FFFFFF"/>
        </w:rPr>
        <w:t>Transactions of the American Fisheries Society</w:t>
      </w:r>
      <w:r w:rsidRPr="005D6D89">
        <w:rPr>
          <w:rFonts w:cs="Arial"/>
          <w:shd w:val="clear" w:color="auto" w:fill="FFFFFF"/>
        </w:rPr>
        <w:t>, 132:2, 229–238.</w:t>
      </w:r>
    </w:p>
    <w:p w14:paraId="1620D601" w14:textId="77777777" w:rsidR="007D0B70" w:rsidRPr="005D6D89" w:rsidRDefault="007D0B70" w:rsidP="007D0B70">
      <w:pPr>
        <w:pStyle w:val="References"/>
        <w:rPr>
          <w:rFonts w:cs="Arial"/>
        </w:rPr>
      </w:pPr>
      <w:r w:rsidRPr="005D6D89">
        <w:rPr>
          <w:rFonts w:cs="Arial"/>
        </w:rPr>
        <w:t>M</w:t>
      </w:r>
      <w:r>
        <w:rPr>
          <w:rFonts w:cs="Arial"/>
        </w:rPr>
        <w:t xml:space="preserve">cGlone M </w:t>
      </w:r>
      <w:r w:rsidRPr="005D6D89">
        <w:rPr>
          <w:rFonts w:cs="Arial"/>
        </w:rPr>
        <w:t>S</w:t>
      </w:r>
      <w:r>
        <w:rPr>
          <w:rFonts w:cs="Arial"/>
        </w:rPr>
        <w:t>,</w:t>
      </w:r>
      <w:r w:rsidRPr="005D6D89">
        <w:rPr>
          <w:rFonts w:cs="Arial"/>
        </w:rPr>
        <w:t xml:space="preserve"> </w:t>
      </w:r>
      <w:r>
        <w:rPr>
          <w:rFonts w:cs="Arial"/>
        </w:rPr>
        <w:t xml:space="preserve">Salinger M </w:t>
      </w:r>
      <w:r w:rsidRPr="005D6D89">
        <w:rPr>
          <w:rFonts w:cs="Arial"/>
        </w:rPr>
        <w:t>J</w:t>
      </w:r>
      <w:r>
        <w:rPr>
          <w:rFonts w:cs="Arial"/>
        </w:rPr>
        <w:t xml:space="preserve"> and </w:t>
      </w:r>
      <w:r w:rsidRPr="005D6D89">
        <w:rPr>
          <w:rFonts w:cs="Arial"/>
        </w:rPr>
        <w:t>Moar</w:t>
      </w:r>
      <w:r>
        <w:rPr>
          <w:rFonts w:cs="Arial"/>
        </w:rPr>
        <w:t xml:space="preserve"> N T.</w:t>
      </w:r>
      <w:r w:rsidRPr="005D6D89">
        <w:rPr>
          <w:rFonts w:cs="Arial"/>
        </w:rPr>
        <w:t xml:space="preserve"> (1993). Palaeovegetation studies of New Zealand</w:t>
      </w:r>
      <w:r>
        <w:rPr>
          <w:rFonts w:cs="Arial"/>
        </w:rPr>
        <w:t>’s climate since the last glacial maximum. In H E Wright, J E Kutzbach, T Webb III, W F Ruddiman, F A Street-Perrrott and P J Bartlein (E</w:t>
      </w:r>
      <w:r w:rsidRPr="005D6D89">
        <w:rPr>
          <w:rFonts w:cs="Arial"/>
        </w:rPr>
        <w:t>ds)</w:t>
      </w:r>
      <w:r>
        <w:rPr>
          <w:rFonts w:cs="Arial"/>
        </w:rPr>
        <w:t>.</w:t>
      </w:r>
      <w:r w:rsidRPr="005D6D89">
        <w:rPr>
          <w:rFonts w:cs="Arial"/>
        </w:rPr>
        <w:t xml:space="preserve"> </w:t>
      </w:r>
      <w:r>
        <w:rPr>
          <w:rFonts w:cs="Arial"/>
          <w:i/>
          <w:iCs/>
        </w:rPr>
        <w:t>Global c</w:t>
      </w:r>
      <w:r w:rsidRPr="005D6D89">
        <w:rPr>
          <w:rFonts w:cs="Arial"/>
          <w:i/>
          <w:iCs/>
        </w:rPr>
        <w:t>limates s</w:t>
      </w:r>
      <w:r>
        <w:rPr>
          <w:rFonts w:cs="Arial"/>
          <w:i/>
          <w:iCs/>
        </w:rPr>
        <w:t>ince the last glacial m</w:t>
      </w:r>
      <w:r w:rsidRPr="005D6D89">
        <w:rPr>
          <w:rFonts w:cs="Arial"/>
          <w:i/>
          <w:iCs/>
        </w:rPr>
        <w:t>aximum</w:t>
      </w:r>
      <w:r w:rsidRPr="005D6D89">
        <w:rPr>
          <w:rFonts w:cs="Arial"/>
        </w:rPr>
        <w:t>, pp 294–317. Minneapolis: University of Minnesota Press.</w:t>
      </w:r>
    </w:p>
    <w:p w14:paraId="04BE90A6" w14:textId="77777777" w:rsidR="007D0B70" w:rsidRPr="005D6D89" w:rsidRDefault="007D0B70" w:rsidP="007D0B70">
      <w:pPr>
        <w:pStyle w:val="References"/>
        <w:rPr>
          <w:rFonts w:cs="Arial"/>
        </w:rPr>
      </w:pPr>
      <w:r>
        <w:rPr>
          <w:rFonts w:cs="Arial"/>
        </w:rPr>
        <w:t>McGlone</w:t>
      </w:r>
      <w:r w:rsidRPr="005D6D89">
        <w:rPr>
          <w:rFonts w:cs="Arial"/>
        </w:rPr>
        <w:t xml:space="preserve"> M</w:t>
      </w:r>
      <w:r>
        <w:rPr>
          <w:rFonts w:cs="Arial"/>
        </w:rPr>
        <w:t xml:space="preserve"> and Walker</w:t>
      </w:r>
      <w:r w:rsidRPr="005D6D89">
        <w:rPr>
          <w:rFonts w:cs="Arial"/>
        </w:rPr>
        <w:t xml:space="preserve"> S. (2011). Potential effects of climate change on New Zealand</w:t>
      </w:r>
      <w:r>
        <w:rPr>
          <w:rFonts w:cs="Arial"/>
        </w:rPr>
        <w:t>’</w:t>
      </w:r>
      <w:r w:rsidRPr="005D6D89">
        <w:rPr>
          <w:rFonts w:cs="Arial"/>
        </w:rPr>
        <w:t xml:space="preserve">s terrestrial biodiversity and policy recommendations for mitigation, adaptation and research. </w:t>
      </w:r>
      <w:r w:rsidRPr="005D6D89">
        <w:rPr>
          <w:rFonts w:cs="Arial"/>
          <w:i/>
          <w:iCs/>
        </w:rPr>
        <w:t>Science for Conservation</w:t>
      </w:r>
      <w:r w:rsidRPr="005D6D89">
        <w:rPr>
          <w:rFonts w:cs="Arial"/>
        </w:rPr>
        <w:t>, 1–77.</w:t>
      </w:r>
    </w:p>
    <w:p w14:paraId="1DBFF132" w14:textId="77777777" w:rsidR="007D0B70" w:rsidRPr="005D6D89" w:rsidRDefault="007D0B70" w:rsidP="007D0B70">
      <w:pPr>
        <w:pStyle w:val="References"/>
        <w:rPr>
          <w:rFonts w:cs="Arial"/>
        </w:rPr>
      </w:pPr>
      <w:r>
        <w:rPr>
          <w:rFonts w:cs="Arial"/>
        </w:rPr>
        <w:t>McGuire</w:t>
      </w:r>
      <w:r w:rsidRPr="005D6D89">
        <w:rPr>
          <w:rFonts w:cs="Arial"/>
        </w:rPr>
        <w:t xml:space="preserve"> L</w:t>
      </w:r>
      <w:r>
        <w:rPr>
          <w:rFonts w:cs="Arial"/>
        </w:rPr>
        <w:t>, Ford E and Okoro</w:t>
      </w:r>
      <w:r w:rsidRPr="005D6D89">
        <w:rPr>
          <w:rFonts w:cs="Arial"/>
        </w:rPr>
        <w:t xml:space="preserve"> C. (2007). Natural disasters and older US adults with disabilities: implications for evacuation. </w:t>
      </w:r>
      <w:r w:rsidRPr="005D6D89">
        <w:rPr>
          <w:rFonts w:cs="Arial"/>
          <w:i/>
          <w:iCs/>
        </w:rPr>
        <w:t>Disasters</w:t>
      </w:r>
      <w:r w:rsidRPr="005D6D89">
        <w:rPr>
          <w:rFonts w:cs="Arial"/>
        </w:rPr>
        <w:t xml:space="preserve"> 31(1): 49–56.</w:t>
      </w:r>
    </w:p>
    <w:p w14:paraId="6794CA2D" w14:textId="77777777" w:rsidR="007D0B70" w:rsidRPr="005D6D89" w:rsidRDefault="007D0B70" w:rsidP="007D0B70">
      <w:pPr>
        <w:pStyle w:val="References"/>
        <w:rPr>
          <w:rFonts w:cs="Arial"/>
        </w:rPr>
      </w:pPr>
      <w:r w:rsidRPr="005D6D89">
        <w:rPr>
          <w:rFonts w:cs="Arial"/>
        </w:rPr>
        <w:t xml:space="preserve">McIntosh </w:t>
      </w:r>
      <w:r>
        <w:rPr>
          <w:rFonts w:cs="Arial"/>
        </w:rPr>
        <w:t>A,</w:t>
      </w:r>
      <w:r w:rsidRPr="005D6D89">
        <w:rPr>
          <w:rFonts w:cs="Arial"/>
        </w:rPr>
        <w:t xml:space="preserve"> McHugh </w:t>
      </w:r>
      <w:r>
        <w:rPr>
          <w:rFonts w:cs="Arial"/>
        </w:rPr>
        <w:t>P, Dunn</w:t>
      </w:r>
      <w:r w:rsidRPr="005D6D89">
        <w:rPr>
          <w:rFonts w:cs="Arial"/>
        </w:rPr>
        <w:t xml:space="preserve"> </w:t>
      </w:r>
      <w:r>
        <w:rPr>
          <w:rFonts w:cs="Arial"/>
        </w:rPr>
        <w:t xml:space="preserve">N, </w:t>
      </w:r>
      <w:r w:rsidRPr="005D6D89">
        <w:rPr>
          <w:rFonts w:cs="Arial"/>
        </w:rPr>
        <w:t>Good</w:t>
      </w:r>
      <w:r>
        <w:rPr>
          <w:rFonts w:cs="Arial"/>
        </w:rPr>
        <w:t>man</w:t>
      </w:r>
      <w:r w:rsidRPr="005D6D89">
        <w:rPr>
          <w:rFonts w:cs="Arial"/>
        </w:rPr>
        <w:t xml:space="preserve"> </w:t>
      </w:r>
      <w:r>
        <w:rPr>
          <w:rFonts w:cs="Arial"/>
        </w:rPr>
        <w:t>J,</w:t>
      </w:r>
      <w:r w:rsidRPr="005D6D89">
        <w:rPr>
          <w:rFonts w:cs="Arial"/>
        </w:rPr>
        <w:t xml:space="preserve"> </w:t>
      </w:r>
      <w:r>
        <w:rPr>
          <w:rFonts w:cs="Arial"/>
        </w:rPr>
        <w:t>Howard</w:t>
      </w:r>
      <w:r w:rsidRPr="005D6D89">
        <w:rPr>
          <w:rFonts w:cs="Arial"/>
        </w:rPr>
        <w:t xml:space="preserve"> </w:t>
      </w:r>
      <w:r>
        <w:rPr>
          <w:rFonts w:cs="Arial"/>
        </w:rPr>
        <w:t>S, Jellyman</w:t>
      </w:r>
      <w:r w:rsidRPr="005D6D89">
        <w:rPr>
          <w:rFonts w:cs="Arial"/>
        </w:rPr>
        <w:t xml:space="preserve"> </w:t>
      </w:r>
      <w:r>
        <w:rPr>
          <w:rFonts w:cs="Arial"/>
        </w:rPr>
        <w:t xml:space="preserve">P, </w:t>
      </w:r>
      <w:r w:rsidRPr="005D6D89">
        <w:rPr>
          <w:rFonts w:cs="Arial"/>
        </w:rPr>
        <w:t>O</w:t>
      </w:r>
      <w:r>
        <w:rPr>
          <w:rFonts w:cs="Arial"/>
        </w:rPr>
        <w:t>’Brien L, Nyström</w:t>
      </w:r>
      <w:r w:rsidRPr="005D6D89">
        <w:rPr>
          <w:rFonts w:cs="Arial"/>
        </w:rPr>
        <w:t xml:space="preserve"> </w:t>
      </w:r>
      <w:r>
        <w:rPr>
          <w:rFonts w:cs="Arial"/>
        </w:rPr>
        <w:t>P and Woodford</w:t>
      </w:r>
      <w:r w:rsidRPr="005D6D89">
        <w:rPr>
          <w:rFonts w:cs="Arial"/>
        </w:rPr>
        <w:t xml:space="preserve"> </w:t>
      </w:r>
      <w:r>
        <w:rPr>
          <w:rFonts w:cs="Arial"/>
        </w:rPr>
        <w:t>D</w:t>
      </w:r>
      <w:r w:rsidRPr="005D6D89">
        <w:rPr>
          <w:rFonts w:cs="Arial"/>
        </w:rPr>
        <w:t xml:space="preserve">. (2010). The impact of trout on galaxiid fishes in New Zealand. </w:t>
      </w:r>
      <w:r w:rsidRPr="005D6D89">
        <w:rPr>
          <w:rFonts w:cs="Arial"/>
          <w:i/>
          <w:iCs/>
        </w:rPr>
        <w:t>New Zealand Journal of Ecology</w:t>
      </w:r>
      <w:r w:rsidRPr="005D6D89">
        <w:rPr>
          <w:rFonts w:cs="Arial"/>
        </w:rPr>
        <w:t>. 34. 195–206.</w:t>
      </w:r>
    </w:p>
    <w:p w14:paraId="521D1755" w14:textId="77777777" w:rsidR="007D0B70" w:rsidRPr="005D6D89" w:rsidRDefault="007D0B70" w:rsidP="007D0B70">
      <w:pPr>
        <w:pStyle w:val="References"/>
        <w:rPr>
          <w:rFonts w:cs="Arial"/>
        </w:rPr>
      </w:pPr>
      <w:r>
        <w:rPr>
          <w:rFonts w:cs="Arial"/>
        </w:rPr>
        <w:t>McKim</w:t>
      </w:r>
      <w:r w:rsidRPr="005D6D89">
        <w:rPr>
          <w:rFonts w:cs="Arial"/>
        </w:rPr>
        <w:t xml:space="preserve"> L. (2016). </w:t>
      </w:r>
      <w:r w:rsidRPr="005D6D89">
        <w:rPr>
          <w:rFonts w:cs="Arial"/>
          <w:i/>
          <w:iCs/>
        </w:rPr>
        <w:t xml:space="preserve">A systematic review of recent research: Implications for </w:t>
      </w:r>
      <w:proofErr w:type="gramStart"/>
      <w:r w:rsidRPr="005D6D89">
        <w:rPr>
          <w:rFonts w:cs="Arial"/>
          <w:i/>
          <w:iCs/>
        </w:rPr>
        <w:t>policy and management</w:t>
      </w:r>
      <w:proofErr w:type="gramEnd"/>
      <w:r>
        <w:rPr>
          <w:rFonts w:cs="Arial"/>
          <w:i/>
          <w:iCs/>
        </w:rPr>
        <w:t xml:space="preserve"> and</w:t>
      </w:r>
      <w:r w:rsidRPr="005D6D89">
        <w:rPr>
          <w:rFonts w:cs="Arial"/>
          <w:i/>
          <w:iCs/>
        </w:rPr>
        <w:t xml:space="preserve"> tools</w:t>
      </w:r>
      <w:r>
        <w:rPr>
          <w:rFonts w:cs="Arial"/>
          <w:i/>
          <w:iCs/>
        </w:rPr>
        <w:t xml:space="preserve"> to support adaptation decision-</w:t>
      </w:r>
      <w:r w:rsidRPr="005D6D89">
        <w:rPr>
          <w:rFonts w:cs="Arial"/>
          <w:i/>
          <w:iCs/>
        </w:rPr>
        <w:t>making in New Zealand</w:t>
      </w:r>
      <w:r w:rsidRPr="005D6D89">
        <w:rPr>
          <w:rFonts w:cs="Arial"/>
        </w:rPr>
        <w:t>. New Zealand Climate Change Research Institute.</w:t>
      </w:r>
    </w:p>
    <w:p w14:paraId="411502CD" w14:textId="77777777" w:rsidR="007D0B70" w:rsidRPr="005D6D89" w:rsidRDefault="007D0B70" w:rsidP="007D0B70">
      <w:pPr>
        <w:pStyle w:val="References"/>
        <w:rPr>
          <w:rFonts w:cs="Arial"/>
        </w:rPr>
      </w:pPr>
      <w:r w:rsidRPr="005D6D89">
        <w:rPr>
          <w:rFonts w:cs="Arial"/>
        </w:rPr>
        <w:t xml:space="preserve">Met Office (2015) </w:t>
      </w:r>
      <w:hyperlink r:id="rId90" w:history="1">
        <w:r w:rsidRPr="005D6D89">
          <w:rPr>
            <w:rStyle w:val="Hyperlink"/>
            <w:rFonts w:cs="Arial"/>
          </w:rPr>
          <w:t>http://www.metoffice.gov.uk/news/release/archive/2015/ one-degree</w:t>
        </w:r>
      </w:hyperlink>
    </w:p>
    <w:p w14:paraId="5E195407" w14:textId="77777777" w:rsidR="007D0B70" w:rsidRPr="005D6D89" w:rsidRDefault="007D0B70" w:rsidP="007D0B70">
      <w:pPr>
        <w:pStyle w:val="References"/>
        <w:rPr>
          <w:rFonts w:cs="Arial"/>
          <w:color w:val="000000" w:themeColor="text1"/>
        </w:rPr>
      </w:pPr>
      <w:r w:rsidRPr="005D6D89">
        <w:rPr>
          <w:rFonts w:cs="Arial"/>
        </w:rPr>
        <w:t xml:space="preserve">Ministry for the Environment. (2001). </w:t>
      </w:r>
      <w:r w:rsidRPr="005D6D89">
        <w:rPr>
          <w:rFonts w:cs="Arial"/>
          <w:i/>
          <w:iCs/>
        </w:rPr>
        <w:t>A guide for the management of closing and closed landfills in New Zealand</w:t>
      </w:r>
      <w:r w:rsidRPr="005D6D89">
        <w:rPr>
          <w:rFonts w:cs="Arial"/>
        </w:rPr>
        <w:t xml:space="preserve">. Retrieved from </w:t>
      </w:r>
      <w:hyperlink r:id="rId91" w:history="1">
        <w:r w:rsidRPr="005D6D89">
          <w:rPr>
            <w:rStyle w:val="Hyperlink"/>
          </w:rPr>
          <w:t>https://www.mfe.govt.nz/sites/default/files/closed-landfills-guide-may01_0.pdf</w:t>
        </w:r>
      </w:hyperlink>
    </w:p>
    <w:p w14:paraId="0CB97D6B" w14:textId="77777777" w:rsidR="007D0B70" w:rsidRPr="005D6D89" w:rsidRDefault="007D0B70" w:rsidP="007D0B70">
      <w:pPr>
        <w:pStyle w:val="References"/>
        <w:rPr>
          <w:rFonts w:cs="Arial"/>
          <w:color w:val="000000" w:themeColor="text1"/>
        </w:rPr>
      </w:pPr>
      <w:r w:rsidRPr="005D6D89">
        <w:rPr>
          <w:rFonts w:cs="Arial"/>
          <w:color w:val="000000" w:themeColor="text1"/>
        </w:rPr>
        <w:t xml:space="preserve">Ministry for the Environment. (2017a) Adapting to sea-level rise. </w:t>
      </w:r>
      <w:hyperlink r:id="rId92" w:history="1">
        <w:r w:rsidRPr="005D6D89">
          <w:rPr>
            <w:rStyle w:val="Hyperlink"/>
          </w:rPr>
          <w:t>https://www.mfe.govt.nz/climate-change/climate-change-and-government/adapting-climate-change/adapting-sea-level-rise</w:t>
        </w:r>
      </w:hyperlink>
      <w:r w:rsidRPr="005D6D89">
        <w:rPr>
          <w:rFonts w:cs="Arial"/>
          <w:color w:val="000000" w:themeColor="text1"/>
        </w:rPr>
        <w:t xml:space="preserve"> </w:t>
      </w:r>
    </w:p>
    <w:p w14:paraId="430D226D" w14:textId="77777777" w:rsidR="007D0B70" w:rsidRPr="005D6D89" w:rsidRDefault="007D0B70" w:rsidP="007D0B70">
      <w:pPr>
        <w:pStyle w:val="References"/>
        <w:rPr>
          <w:rFonts w:cs="Arial"/>
          <w:color w:val="000000" w:themeColor="text1"/>
        </w:rPr>
      </w:pPr>
      <w:r w:rsidRPr="005D6D89">
        <w:rPr>
          <w:rFonts w:eastAsiaTheme="minorHAnsi" w:cs="Arial"/>
          <w:color w:val="000000" w:themeColor="text1"/>
          <w:lang w:eastAsia="en-US"/>
        </w:rPr>
        <w:t xml:space="preserve">Ministry for the Environment. (2017b, December) </w:t>
      </w:r>
      <w:r w:rsidRPr="005D6D89">
        <w:rPr>
          <w:rFonts w:eastAsiaTheme="minorHAnsi" w:cs="Arial"/>
          <w:i/>
          <w:iCs/>
          <w:color w:val="000000" w:themeColor="text1"/>
          <w:lang w:eastAsia="en-US"/>
        </w:rPr>
        <w:t>Coastal hazards and climate change guidance for local government</w:t>
      </w:r>
      <w:r w:rsidRPr="005D6D89">
        <w:rPr>
          <w:rFonts w:eastAsiaTheme="minorHAnsi" w:cs="Arial"/>
          <w:color w:val="000000" w:themeColor="text1"/>
          <w:lang w:eastAsia="en-US"/>
        </w:rPr>
        <w:t>, Ministry for the Environment.</w:t>
      </w:r>
      <w:r w:rsidRPr="005D6D89">
        <w:rPr>
          <w:rFonts w:cs="Arial"/>
          <w:color w:val="000000" w:themeColor="text1"/>
        </w:rPr>
        <w:t xml:space="preserve"> </w:t>
      </w:r>
      <w:hyperlink r:id="rId93" w:history="1">
        <w:r w:rsidRPr="005D6D89">
          <w:rPr>
            <w:rStyle w:val="Hyperlink"/>
          </w:rPr>
          <w:t>https://www.mfe.govt.nz/sites/default/files/media/Climate%20Change/coastal-hazards-guide-final.pdf</w:t>
        </w:r>
      </w:hyperlink>
      <w:r w:rsidRPr="005D6D89">
        <w:rPr>
          <w:rFonts w:eastAsiaTheme="minorHAnsi" w:cs="Arial"/>
          <w:color w:val="000000" w:themeColor="text1"/>
          <w:lang w:eastAsia="en-US"/>
        </w:rPr>
        <w:t xml:space="preserve"> </w:t>
      </w:r>
    </w:p>
    <w:p w14:paraId="69EE7E0C" w14:textId="77777777" w:rsidR="007D0B70" w:rsidRPr="005D6D89" w:rsidRDefault="007D0B70" w:rsidP="007D0B70">
      <w:pPr>
        <w:pStyle w:val="References"/>
        <w:rPr>
          <w:rFonts w:cs="Arial"/>
          <w:color w:val="000000" w:themeColor="text1"/>
        </w:rPr>
      </w:pPr>
      <w:r w:rsidRPr="005D6D89">
        <w:rPr>
          <w:rFonts w:eastAsiaTheme="minorHAnsi" w:cs="Arial"/>
          <w:color w:val="000000" w:themeColor="text1"/>
          <w:lang w:eastAsia="en-US"/>
        </w:rPr>
        <w:t xml:space="preserve">Ministry for the Environment. (2017c, December). </w:t>
      </w:r>
      <w:r>
        <w:rPr>
          <w:rFonts w:eastAsiaTheme="minorHAnsi" w:cs="Arial"/>
          <w:i/>
          <w:iCs/>
          <w:color w:val="000000" w:themeColor="text1"/>
          <w:lang w:eastAsia="en-US"/>
        </w:rPr>
        <w:t>Adapting to climate change: Stocktake r</w:t>
      </w:r>
      <w:r w:rsidRPr="005D6D89">
        <w:rPr>
          <w:rFonts w:eastAsiaTheme="minorHAnsi" w:cs="Arial"/>
          <w:i/>
          <w:iCs/>
          <w:color w:val="000000" w:themeColor="text1"/>
          <w:lang w:eastAsia="en-US"/>
        </w:rPr>
        <w:t>eport from the Climate Change Adaptation Technical Working Group</w:t>
      </w:r>
      <w:r w:rsidRPr="005D6D89">
        <w:rPr>
          <w:rFonts w:eastAsiaTheme="minorHAnsi" w:cs="Arial"/>
          <w:color w:val="000000" w:themeColor="text1"/>
          <w:lang w:eastAsia="en-US"/>
        </w:rPr>
        <w:t>. Ministry for the Environment.</w:t>
      </w:r>
      <w:r w:rsidRPr="005D6D89">
        <w:rPr>
          <w:rFonts w:cs="Arial"/>
          <w:color w:val="000000" w:themeColor="text1"/>
        </w:rPr>
        <w:t xml:space="preserve"> </w:t>
      </w:r>
      <w:hyperlink r:id="rId94" w:history="1">
        <w:r w:rsidRPr="005D6D89">
          <w:rPr>
            <w:rStyle w:val="Hyperlink"/>
          </w:rPr>
          <w:t>https://www.mfe.govt.nz/publications/climate-change/adapting-climate-change-new-zealand-stocktake-report-climate-change</w:t>
        </w:r>
      </w:hyperlink>
      <w:r w:rsidRPr="005D6D89">
        <w:rPr>
          <w:rFonts w:eastAsiaTheme="minorHAnsi" w:cs="Arial"/>
          <w:color w:val="000000" w:themeColor="text1"/>
          <w:lang w:eastAsia="en-US"/>
        </w:rPr>
        <w:t xml:space="preserve"> </w:t>
      </w:r>
    </w:p>
    <w:p w14:paraId="7D667303" w14:textId="77777777" w:rsidR="007D0B70" w:rsidRPr="005D6D89" w:rsidRDefault="007D0B70" w:rsidP="007D0B70">
      <w:pPr>
        <w:pStyle w:val="References"/>
        <w:rPr>
          <w:rFonts w:eastAsiaTheme="minorHAnsi" w:cs="Arial"/>
          <w:color w:val="000000" w:themeColor="text1"/>
          <w:lang w:eastAsia="en-US"/>
        </w:rPr>
      </w:pPr>
      <w:r w:rsidRPr="005D6D89">
        <w:rPr>
          <w:rFonts w:eastAsiaTheme="minorHAnsi" w:cs="Arial"/>
          <w:color w:val="000000" w:themeColor="text1"/>
          <w:lang w:eastAsia="en-US"/>
        </w:rPr>
        <w:t xml:space="preserve">Ministry for the Environment. (2018, September). </w:t>
      </w:r>
      <w:r>
        <w:rPr>
          <w:rFonts w:eastAsiaTheme="minorHAnsi" w:cs="Arial"/>
          <w:i/>
          <w:iCs/>
          <w:color w:val="000000" w:themeColor="text1"/>
          <w:lang w:eastAsia="en-US"/>
        </w:rPr>
        <w:t>Climate change p</w:t>
      </w:r>
      <w:r w:rsidRPr="005D6D89">
        <w:rPr>
          <w:rFonts w:eastAsiaTheme="minorHAnsi" w:cs="Arial"/>
          <w:i/>
          <w:iCs/>
          <w:color w:val="000000" w:themeColor="text1"/>
          <w:lang w:eastAsia="en-US"/>
        </w:rPr>
        <w:t xml:space="preserve">rojections for New Zealand: Atmosphere projections based on simulations from the IPCC Fifth Assessments, 2nd Edition. </w:t>
      </w:r>
      <w:r w:rsidRPr="005D6D89">
        <w:rPr>
          <w:rFonts w:eastAsiaTheme="minorHAnsi" w:cs="Arial"/>
          <w:color w:val="000000" w:themeColor="text1"/>
          <w:lang w:eastAsia="en-US"/>
        </w:rPr>
        <w:t xml:space="preserve">Ministry for the Environment. </w:t>
      </w:r>
      <w:hyperlink r:id="rId95" w:history="1">
        <w:r w:rsidRPr="005D6D89">
          <w:rPr>
            <w:rStyle w:val="Hyperlink"/>
          </w:rPr>
          <w:t>https://www.mfe.govt.nz/publications/climate-change/climate-change-projections-new-zealand</w:t>
        </w:r>
      </w:hyperlink>
    </w:p>
    <w:p w14:paraId="5E57466E" w14:textId="77777777" w:rsidR="007D0B70" w:rsidRPr="005D6D89" w:rsidRDefault="007D0B70" w:rsidP="007D0B70">
      <w:pPr>
        <w:pStyle w:val="References"/>
        <w:rPr>
          <w:rFonts w:eastAsiaTheme="minorHAnsi" w:cs="Arial"/>
          <w:color w:val="000000" w:themeColor="text1"/>
          <w:lang w:eastAsia="en-US"/>
        </w:rPr>
      </w:pPr>
      <w:r w:rsidRPr="005D6D89">
        <w:rPr>
          <w:color w:val="000000" w:themeColor="text1"/>
        </w:rPr>
        <w:t xml:space="preserve">Ministry for the Environment. (2019). </w:t>
      </w:r>
      <w:r w:rsidRPr="005D6D89">
        <w:rPr>
          <w:i/>
          <w:iCs/>
          <w:color w:val="000000" w:themeColor="text1"/>
        </w:rPr>
        <w:t>A</w:t>
      </w:r>
      <w:r>
        <w:rPr>
          <w:i/>
          <w:iCs/>
          <w:color w:val="000000" w:themeColor="text1"/>
        </w:rPr>
        <w:t>rotakenga Huringa Ahuarangi: A f</w:t>
      </w:r>
      <w:r w:rsidRPr="005D6D89">
        <w:rPr>
          <w:i/>
          <w:iCs/>
          <w:color w:val="000000" w:themeColor="text1"/>
        </w:rPr>
        <w:t>ramework for the National Climate Change Risk Assessment for Aotearoa New Zealand</w:t>
      </w:r>
      <w:r w:rsidRPr="005D6D89">
        <w:rPr>
          <w:color w:val="000000" w:themeColor="text1"/>
        </w:rPr>
        <w:t xml:space="preserve">, Wellington, </w:t>
      </w:r>
      <w:proofErr w:type="gramStart"/>
      <w:r w:rsidRPr="005D6D89">
        <w:rPr>
          <w:color w:val="000000" w:themeColor="text1"/>
        </w:rPr>
        <w:t>Ministry</w:t>
      </w:r>
      <w:proofErr w:type="gramEnd"/>
      <w:r w:rsidRPr="005D6D89">
        <w:rPr>
          <w:color w:val="000000" w:themeColor="text1"/>
        </w:rPr>
        <w:t xml:space="preserve"> for the Environment. </w:t>
      </w:r>
    </w:p>
    <w:p w14:paraId="5535CC0B" w14:textId="77777777" w:rsidR="007D0B70" w:rsidRPr="005D6D89" w:rsidRDefault="007D0B70" w:rsidP="007D0B70">
      <w:pPr>
        <w:pStyle w:val="References"/>
        <w:rPr>
          <w:rFonts w:cs="Arial"/>
          <w:color w:val="000000" w:themeColor="text1"/>
          <w:u w:val="single"/>
        </w:rPr>
      </w:pPr>
      <w:r w:rsidRPr="005D6D89">
        <w:rPr>
          <w:rFonts w:cs="Arial"/>
          <w:color w:val="000000" w:themeColor="text1"/>
        </w:rPr>
        <w:t xml:space="preserve">Ministry for the Environment and Stats NZ. (2020). </w:t>
      </w:r>
      <w:r w:rsidRPr="005D6D89">
        <w:rPr>
          <w:rFonts w:cs="Arial"/>
          <w:i/>
          <w:iCs/>
          <w:color w:val="000000" w:themeColor="text1"/>
        </w:rPr>
        <w:t>New Zealand</w:t>
      </w:r>
      <w:r>
        <w:rPr>
          <w:rFonts w:cs="Arial"/>
          <w:i/>
          <w:iCs/>
          <w:color w:val="000000" w:themeColor="text1"/>
        </w:rPr>
        <w:t>’</w:t>
      </w:r>
      <w:r w:rsidRPr="005D6D89">
        <w:rPr>
          <w:rFonts w:cs="Arial"/>
          <w:i/>
          <w:iCs/>
          <w:color w:val="000000" w:themeColor="text1"/>
        </w:rPr>
        <w:t>s Environmental Reporting Series: Our freshwater 2020</w:t>
      </w:r>
      <w:r w:rsidRPr="005D6D89">
        <w:rPr>
          <w:rFonts w:cs="Arial"/>
          <w:color w:val="000000" w:themeColor="text1"/>
        </w:rPr>
        <w:t xml:space="preserve">. Available from www.mfe.govt.nz and </w:t>
      </w:r>
      <w:hyperlink r:id="rId96" w:history="1">
        <w:r w:rsidRPr="005D6D89">
          <w:rPr>
            <w:rStyle w:val="Hyperlink"/>
            <w:rFonts w:cs="Arial"/>
            <w:color w:val="000000" w:themeColor="text1"/>
          </w:rPr>
          <w:t>www.stats.govt.nz</w:t>
        </w:r>
      </w:hyperlink>
      <w:r w:rsidRPr="005D6D89">
        <w:rPr>
          <w:rFonts w:cs="Arial"/>
          <w:color w:val="000000" w:themeColor="text1"/>
        </w:rPr>
        <w:t>.</w:t>
      </w:r>
    </w:p>
    <w:p w14:paraId="0BE192EC" w14:textId="77777777" w:rsidR="007D0B70" w:rsidRPr="005D6D89" w:rsidRDefault="007D0B70" w:rsidP="007D0B70">
      <w:pPr>
        <w:pStyle w:val="References"/>
        <w:rPr>
          <w:rFonts w:cs="Arial"/>
          <w:color w:val="000000" w:themeColor="text1"/>
        </w:rPr>
      </w:pPr>
      <w:r w:rsidRPr="005D6D89">
        <w:rPr>
          <w:rFonts w:cs="Arial"/>
          <w:color w:val="000000" w:themeColor="text1"/>
        </w:rPr>
        <w:t xml:space="preserve">Ministry of Civil Defence and Emergency Management (MCDEM). (2019) </w:t>
      </w:r>
      <w:r w:rsidRPr="005D6D89">
        <w:rPr>
          <w:rFonts w:cs="Arial"/>
          <w:i/>
          <w:iCs/>
          <w:color w:val="000000" w:themeColor="text1"/>
        </w:rPr>
        <w:t xml:space="preserve">National </w:t>
      </w:r>
      <w:r w:rsidRPr="005D6D89">
        <w:rPr>
          <w:rFonts w:cs="Arial"/>
          <w:i/>
          <w:iCs/>
        </w:rPr>
        <w:t>Disaster Resilience Strategy</w:t>
      </w:r>
      <w:r w:rsidRPr="005D6D89">
        <w:rPr>
          <w:rFonts w:cs="Arial"/>
        </w:rPr>
        <w:t xml:space="preserve">. </w:t>
      </w:r>
      <w:hyperlink r:id="rId97" w:history="1">
        <w:r w:rsidRPr="005D6D89">
          <w:rPr>
            <w:rStyle w:val="Hyperlink"/>
          </w:rPr>
          <w:t>https://www.civildefence.govt.nz/assets/Uploads/publications/National-Disaster-Resilience-Strategy/National-Disaster-Resilience-Strategy-10-April-2019.pdf</w:t>
        </w:r>
      </w:hyperlink>
      <w:r w:rsidRPr="005D6D89">
        <w:rPr>
          <w:rFonts w:cs="Arial"/>
          <w:color w:val="000000" w:themeColor="text1"/>
        </w:rPr>
        <w:t xml:space="preserve"> </w:t>
      </w:r>
    </w:p>
    <w:p w14:paraId="67CE21CD" w14:textId="77777777" w:rsidR="007D0B70" w:rsidRPr="005D6D89" w:rsidRDefault="007D0B70" w:rsidP="007D0B70">
      <w:pPr>
        <w:pStyle w:val="References"/>
        <w:rPr>
          <w:rFonts w:cs="Arial"/>
        </w:rPr>
      </w:pPr>
      <w:r>
        <w:rPr>
          <w:rFonts w:cs="Arial"/>
        </w:rPr>
        <w:t>Mooney H</w:t>
      </w:r>
      <w:r w:rsidRPr="005D6D89">
        <w:rPr>
          <w:rFonts w:cs="Arial"/>
        </w:rPr>
        <w:t xml:space="preserve"> A</w:t>
      </w:r>
      <w:r>
        <w:rPr>
          <w:rFonts w:cs="Arial"/>
        </w:rPr>
        <w:t xml:space="preserve"> and Hobbs R </w:t>
      </w:r>
      <w:r w:rsidRPr="005D6D89">
        <w:rPr>
          <w:rFonts w:cs="Arial"/>
        </w:rPr>
        <w:t xml:space="preserve">J. (2000). </w:t>
      </w:r>
      <w:r w:rsidRPr="005D6D89">
        <w:rPr>
          <w:rFonts w:cs="Arial"/>
          <w:i/>
          <w:iCs/>
        </w:rPr>
        <w:t>Invasive species in a changing world</w:t>
      </w:r>
      <w:r w:rsidRPr="005D6D89">
        <w:rPr>
          <w:rFonts w:cs="Arial"/>
        </w:rPr>
        <w:t>. Washington DC: Island Press.</w:t>
      </w:r>
    </w:p>
    <w:p w14:paraId="69F3ACE8" w14:textId="77777777" w:rsidR="007D0B70" w:rsidRPr="005D6D89" w:rsidRDefault="007D0B70" w:rsidP="007D0B70">
      <w:pPr>
        <w:pStyle w:val="References"/>
        <w:rPr>
          <w:rFonts w:cs="Arial"/>
        </w:rPr>
      </w:pPr>
      <w:r>
        <w:rPr>
          <w:rFonts w:cs="Arial"/>
        </w:rPr>
        <w:t>Mortimer</w:t>
      </w:r>
      <w:r w:rsidRPr="005D6D89">
        <w:rPr>
          <w:rFonts w:cs="Arial"/>
        </w:rPr>
        <w:t xml:space="preserve"> R</w:t>
      </w:r>
      <w:r>
        <w:rPr>
          <w:rFonts w:cs="Arial"/>
        </w:rPr>
        <w:t>, Sharp</w:t>
      </w:r>
      <w:r w:rsidRPr="005D6D89">
        <w:rPr>
          <w:rFonts w:cs="Arial"/>
        </w:rPr>
        <w:t xml:space="preserve"> B</w:t>
      </w:r>
      <w:r>
        <w:rPr>
          <w:rFonts w:cs="Arial"/>
        </w:rPr>
        <w:t xml:space="preserve"> and Craig J. (1996). Assessing the conservation v</w:t>
      </w:r>
      <w:r w:rsidRPr="005D6D89">
        <w:rPr>
          <w:rFonts w:cs="Arial"/>
        </w:rPr>
        <w:t>alue of New Zealand</w:t>
      </w:r>
      <w:r>
        <w:rPr>
          <w:rFonts w:cs="Arial"/>
        </w:rPr>
        <w:t>’s offshore i</w:t>
      </w:r>
      <w:r w:rsidRPr="005D6D89">
        <w:rPr>
          <w:rFonts w:cs="Arial"/>
        </w:rPr>
        <w:t xml:space="preserve">slands. </w:t>
      </w:r>
      <w:r w:rsidRPr="005D6D89">
        <w:rPr>
          <w:rFonts w:cs="Arial"/>
          <w:i/>
          <w:iCs/>
        </w:rPr>
        <w:t>Conservation Biology</w:t>
      </w:r>
      <w:r w:rsidRPr="005D6D89">
        <w:rPr>
          <w:rFonts w:cs="Arial"/>
        </w:rPr>
        <w:t>, 10(1), 25–29.</w:t>
      </w:r>
    </w:p>
    <w:p w14:paraId="443D2EA7" w14:textId="77777777" w:rsidR="007D0B70" w:rsidRPr="005D6D89" w:rsidRDefault="007D0B70" w:rsidP="007D0B70">
      <w:pPr>
        <w:pStyle w:val="References"/>
      </w:pPr>
      <w:r>
        <w:t xml:space="preserve">Moser S </w:t>
      </w:r>
      <w:r w:rsidRPr="005D6D89">
        <w:t>C</w:t>
      </w:r>
      <w:r>
        <w:t xml:space="preserve">, Hart J A </w:t>
      </w:r>
      <w:r w:rsidRPr="005D6D89">
        <w:t>F</w:t>
      </w:r>
      <w:r>
        <w:t>.</w:t>
      </w:r>
      <w:r w:rsidRPr="005D6D89">
        <w:t xml:space="preserve"> (2015). The long arm of climate change: societal teleconnections and the future of climate change impacts studies. </w:t>
      </w:r>
      <w:r w:rsidRPr="005D6D89">
        <w:rPr>
          <w:i/>
          <w:iCs/>
        </w:rPr>
        <w:t>Climatic Change</w:t>
      </w:r>
      <w:r w:rsidRPr="005D6D89">
        <w:t xml:space="preserve"> 129, 13–26.</w:t>
      </w:r>
    </w:p>
    <w:p w14:paraId="7A33857F" w14:textId="77777777" w:rsidR="007D0B70" w:rsidRPr="005D6D89" w:rsidRDefault="007D0B70" w:rsidP="007D0B70">
      <w:pPr>
        <w:pStyle w:val="References"/>
        <w:rPr>
          <w:color w:val="000000" w:themeColor="text1"/>
        </w:rPr>
      </w:pPr>
      <w:r w:rsidRPr="005D6D89">
        <w:t xml:space="preserve">Ministry for Primary Industries [MPI]. (2010, November). </w:t>
      </w:r>
      <w:r>
        <w:rPr>
          <w:i/>
          <w:iCs/>
        </w:rPr>
        <w:t>Introduction to climate c</w:t>
      </w:r>
      <w:r w:rsidRPr="005D6D89">
        <w:rPr>
          <w:i/>
          <w:iCs/>
        </w:rPr>
        <w:t>hange 13: Effects and impacts: Otago and Southland</w:t>
      </w:r>
      <w:r w:rsidRPr="005D6D89">
        <w:t xml:space="preserve">. Ministry for Primary Industries. </w:t>
      </w:r>
      <w:hyperlink r:id="rId98" w:history="1">
        <w:r w:rsidRPr="005D6D89">
          <w:rPr>
            <w:rStyle w:val="Hyperlink"/>
          </w:rPr>
          <w:t>https://www.mpi.govt.nz/dmsdocument/26992-effects-and-impacts-otago-and-southland</w:t>
        </w:r>
      </w:hyperlink>
    </w:p>
    <w:p w14:paraId="25954842" w14:textId="77777777" w:rsidR="007D0B70" w:rsidRPr="005D6D89" w:rsidRDefault="007D0B70" w:rsidP="007D0B70">
      <w:pPr>
        <w:pStyle w:val="References"/>
        <w:rPr>
          <w:rFonts w:cs="Arial"/>
          <w:color w:val="000000" w:themeColor="text1"/>
          <w:lang w:eastAsia="en-AU"/>
        </w:rPr>
      </w:pPr>
      <w:r w:rsidRPr="005D6D89">
        <w:rPr>
          <w:rFonts w:cs="Arial"/>
          <w:color w:val="000000" w:themeColor="text1"/>
          <w:lang w:eastAsia="en-AU"/>
        </w:rPr>
        <w:t xml:space="preserve">Ngāi Tahu. (2008). Te tāhū o </w:t>
      </w:r>
      <w:proofErr w:type="gramStart"/>
      <w:r w:rsidRPr="005D6D89">
        <w:rPr>
          <w:rFonts w:cs="Arial"/>
          <w:color w:val="000000" w:themeColor="text1"/>
          <w:lang w:eastAsia="en-AU"/>
        </w:rPr>
        <w:t>te</w:t>
      </w:r>
      <w:proofErr w:type="gramEnd"/>
      <w:r w:rsidRPr="005D6D89">
        <w:rPr>
          <w:rFonts w:cs="Arial"/>
          <w:color w:val="000000" w:themeColor="text1"/>
          <w:lang w:eastAsia="en-AU"/>
        </w:rPr>
        <w:t xml:space="preserve"> whāriki | Anchoring the foundation.</w:t>
      </w:r>
    </w:p>
    <w:p w14:paraId="6B01CDD6" w14:textId="77777777" w:rsidR="007D0B70" w:rsidRPr="005D6D89" w:rsidRDefault="007D0B70" w:rsidP="007D0B70">
      <w:pPr>
        <w:pStyle w:val="References"/>
        <w:keepLines/>
        <w:rPr>
          <w:rFonts w:cs="Arial"/>
          <w:color w:val="000000" w:themeColor="text1"/>
          <w:lang w:eastAsia="en-AU"/>
        </w:rPr>
      </w:pPr>
      <w:r w:rsidRPr="005D6D89">
        <w:rPr>
          <w:color w:val="000000" w:themeColor="text1"/>
        </w:rPr>
        <w:t xml:space="preserve">National Institute of Water and Atmospheric Research [NIWA]. (2016, November 7). </w:t>
      </w:r>
      <w:r w:rsidRPr="005D6D89">
        <w:rPr>
          <w:i/>
          <w:iCs/>
          <w:color w:val="000000" w:themeColor="text1"/>
        </w:rPr>
        <w:t>Implications of climate change for New Zealand</w:t>
      </w:r>
      <w:r>
        <w:rPr>
          <w:i/>
          <w:iCs/>
          <w:color w:val="000000" w:themeColor="text1"/>
        </w:rPr>
        <w:t>’</w:t>
      </w:r>
      <w:r w:rsidRPr="005D6D89">
        <w:rPr>
          <w:i/>
          <w:iCs/>
          <w:color w:val="000000" w:themeColor="text1"/>
        </w:rPr>
        <w:t>s freshwaters.</w:t>
      </w:r>
      <w:r w:rsidRPr="005D6D89">
        <w:rPr>
          <w:color w:val="000000" w:themeColor="text1"/>
        </w:rPr>
        <w:t xml:space="preserve"> National Institute of Water and Atmospheric Research. Retrieved December 15, 2019, from </w:t>
      </w:r>
      <w:hyperlink r:id="rId99" w:history="1">
        <w:r w:rsidRPr="005D6D89">
          <w:rPr>
            <w:rStyle w:val="Hyperlink"/>
          </w:rPr>
          <w:t>https://niwa.co.nz/freshwater-and-estuaries/freshwater-and-estuaries-update/freshwater-update-71-november-2016/implications-of-climate-change-for</w:t>
        </w:r>
      </w:hyperlink>
    </w:p>
    <w:p w14:paraId="3F427DFB" w14:textId="77777777" w:rsidR="007D0B70" w:rsidRPr="005D6D89" w:rsidRDefault="007D0B70" w:rsidP="007D0B70">
      <w:pPr>
        <w:pStyle w:val="References"/>
        <w:rPr>
          <w:rFonts w:cs="Arial"/>
          <w:color w:val="000000" w:themeColor="text1"/>
        </w:rPr>
      </w:pPr>
      <w:r w:rsidRPr="005D6D89">
        <w:rPr>
          <w:rStyle w:val="Hyperlink"/>
          <w:rFonts w:cs="Arial"/>
          <w:color w:val="000000" w:themeColor="text1"/>
        </w:rPr>
        <w:t>National Institute of Water and Atmospheric Research [NIWA]</w:t>
      </w:r>
      <w:r>
        <w:rPr>
          <w:rStyle w:val="Hyperlink"/>
          <w:rFonts w:cs="Arial"/>
          <w:color w:val="000000" w:themeColor="text1"/>
        </w:rPr>
        <w:t>.</w:t>
      </w:r>
      <w:r w:rsidRPr="005D6D89">
        <w:rPr>
          <w:rStyle w:val="Hyperlink"/>
          <w:rFonts w:cs="Arial"/>
          <w:color w:val="000000" w:themeColor="text1"/>
        </w:rPr>
        <w:t xml:space="preserve"> (2019) </w:t>
      </w:r>
      <w:r w:rsidRPr="005D6D89">
        <w:rPr>
          <w:rStyle w:val="Hyperlink"/>
          <w:rFonts w:cs="Arial"/>
          <w:i/>
          <w:iCs/>
          <w:color w:val="000000" w:themeColor="text1"/>
        </w:rPr>
        <w:t>Seven station series temperature data</w:t>
      </w:r>
      <w:r w:rsidRPr="005D6D89">
        <w:rPr>
          <w:rStyle w:val="Hyperlink"/>
          <w:rFonts w:cs="Arial"/>
          <w:color w:val="000000" w:themeColor="text1"/>
        </w:rPr>
        <w:t xml:space="preserve">. </w:t>
      </w:r>
      <w:hyperlink r:id="rId100" w:history="1">
        <w:r w:rsidRPr="005D6D89">
          <w:rPr>
            <w:rStyle w:val="Hyperlink"/>
          </w:rPr>
          <w:t>https://niwa.co.nz/our-science/climate/information-and-resources/nz-temp-record/seven-station-series-temperature-data</w:t>
        </w:r>
      </w:hyperlink>
    </w:p>
    <w:p w14:paraId="74E7EE1B" w14:textId="77777777" w:rsidR="007D0B70" w:rsidRPr="005D6D89" w:rsidRDefault="007D0B70" w:rsidP="007D0B70">
      <w:pPr>
        <w:pStyle w:val="References"/>
        <w:rPr>
          <w:rStyle w:val="Hyperlink"/>
          <w:rFonts w:cs="Arial"/>
          <w:color w:val="000000" w:themeColor="text1"/>
        </w:rPr>
      </w:pPr>
      <w:r w:rsidRPr="005D6D89">
        <w:rPr>
          <w:rFonts w:cs="Arial"/>
          <w:color w:val="000000" w:themeColor="text1"/>
        </w:rPr>
        <w:t>National Institute of Water and Atmospheric Research [NIWA]</w:t>
      </w:r>
      <w:r>
        <w:rPr>
          <w:rFonts w:cs="Arial"/>
          <w:color w:val="000000" w:themeColor="text1"/>
        </w:rPr>
        <w:t>.</w:t>
      </w:r>
      <w:r w:rsidRPr="005D6D89">
        <w:rPr>
          <w:rFonts w:cs="Arial"/>
          <w:color w:val="000000" w:themeColor="text1"/>
        </w:rPr>
        <w:t xml:space="preserve"> (2019) </w:t>
      </w:r>
      <w:r w:rsidRPr="005D6D89">
        <w:rPr>
          <w:rFonts w:cs="Arial"/>
          <w:i/>
          <w:iCs/>
          <w:color w:val="000000" w:themeColor="text1"/>
        </w:rPr>
        <w:t xml:space="preserve">Sea levels and </w:t>
      </w:r>
      <w:proofErr w:type="gramStart"/>
      <w:r w:rsidRPr="005D6D89">
        <w:rPr>
          <w:rFonts w:cs="Arial"/>
          <w:i/>
          <w:iCs/>
          <w:color w:val="000000" w:themeColor="text1"/>
        </w:rPr>
        <w:t>sea-level</w:t>
      </w:r>
      <w:proofErr w:type="gramEnd"/>
      <w:r w:rsidRPr="005D6D89">
        <w:rPr>
          <w:rFonts w:cs="Arial"/>
          <w:i/>
          <w:iCs/>
          <w:color w:val="000000" w:themeColor="text1"/>
        </w:rPr>
        <w:t xml:space="preserve"> rise</w:t>
      </w:r>
      <w:r w:rsidRPr="005D6D89">
        <w:rPr>
          <w:rFonts w:cs="Arial"/>
          <w:color w:val="000000" w:themeColor="text1"/>
        </w:rPr>
        <w:t xml:space="preserve"> </w:t>
      </w:r>
      <w:hyperlink r:id="rId101" w:anchor="c1" w:history="1">
        <w:r w:rsidRPr="005D6D89">
          <w:rPr>
            <w:rStyle w:val="Hyperlink"/>
          </w:rPr>
          <w:t>https://niwa.co.nz/natural-hazards/hazards/sea-levels-and-sea-level-rise#c1</w:t>
        </w:r>
      </w:hyperlink>
    </w:p>
    <w:p w14:paraId="00A67F8B" w14:textId="77777777" w:rsidR="007D0B70" w:rsidRPr="005D6D89" w:rsidRDefault="007D0B70" w:rsidP="007D0B70">
      <w:pPr>
        <w:pStyle w:val="References"/>
        <w:rPr>
          <w:rStyle w:val="Hyperlink"/>
          <w:rFonts w:cs="Arial"/>
          <w:color w:val="000000" w:themeColor="text1"/>
        </w:rPr>
      </w:pPr>
      <w:r w:rsidRPr="005D6D89">
        <w:rPr>
          <w:rFonts w:cs="Arial"/>
          <w:color w:val="000000" w:themeColor="text1"/>
          <w:lang w:eastAsia="en-AU"/>
        </w:rPr>
        <w:t>New Zealan</w:t>
      </w:r>
      <w:r>
        <w:rPr>
          <w:rFonts w:cs="Arial"/>
          <w:color w:val="000000" w:themeColor="text1"/>
          <w:lang w:eastAsia="en-AU"/>
        </w:rPr>
        <w:t>d Foreign Affairs and Trade. (</w:t>
      </w:r>
      <w:proofErr w:type="gramStart"/>
      <w:r>
        <w:rPr>
          <w:rFonts w:cs="Arial"/>
          <w:color w:val="000000" w:themeColor="text1"/>
          <w:lang w:eastAsia="en-AU"/>
        </w:rPr>
        <w:t>n</w:t>
      </w:r>
      <w:r w:rsidRPr="005D6D89">
        <w:rPr>
          <w:rFonts w:cs="Arial"/>
          <w:color w:val="000000" w:themeColor="text1"/>
          <w:lang w:eastAsia="en-AU"/>
        </w:rPr>
        <w:t>d</w:t>
      </w:r>
      <w:proofErr w:type="gramEnd"/>
      <w:r w:rsidRPr="005D6D89">
        <w:rPr>
          <w:rFonts w:cs="Arial"/>
          <w:color w:val="000000" w:themeColor="text1"/>
          <w:lang w:eastAsia="en-AU"/>
        </w:rPr>
        <w:t xml:space="preserve">). </w:t>
      </w:r>
      <w:r w:rsidRPr="005D6D89">
        <w:rPr>
          <w:rFonts w:cs="Arial"/>
          <w:i/>
          <w:iCs/>
          <w:color w:val="000000" w:themeColor="text1"/>
          <w:lang w:eastAsia="en-AU"/>
        </w:rPr>
        <w:t>Supporting SMEs</w:t>
      </w:r>
      <w:r w:rsidRPr="005D6D89">
        <w:rPr>
          <w:rFonts w:cs="Arial"/>
          <w:color w:val="000000" w:themeColor="text1"/>
          <w:lang w:eastAsia="en-AU"/>
        </w:rPr>
        <w:t xml:space="preserve">. </w:t>
      </w:r>
      <w:hyperlink r:id="rId102" w:history="1">
        <w:r w:rsidRPr="005D6D89">
          <w:rPr>
            <w:rStyle w:val="Hyperlink"/>
          </w:rPr>
          <w:t>https://www.mfat.govt.nz/en/trade/free-trade-agreements/free-trade-agreements-in-force/cptpp/supporting-smes/</w:t>
        </w:r>
      </w:hyperlink>
    </w:p>
    <w:p w14:paraId="0E77A32F" w14:textId="77777777" w:rsidR="007D0B70" w:rsidRPr="005D6D89" w:rsidRDefault="007D0B70" w:rsidP="007D0B70">
      <w:pPr>
        <w:pStyle w:val="References"/>
        <w:rPr>
          <w:rFonts w:cs="Arial"/>
        </w:rPr>
      </w:pPr>
      <w:r w:rsidRPr="005D6D89">
        <w:rPr>
          <w:rFonts w:cs="Arial"/>
          <w:color w:val="000000" w:themeColor="text1"/>
        </w:rPr>
        <w:t xml:space="preserve">Northland Regional Council. (2011). </w:t>
      </w:r>
      <w:r w:rsidRPr="005D6D89">
        <w:rPr>
          <w:rFonts w:cs="Arial"/>
          <w:i/>
          <w:iCs/>
          <w:color w:val="000000" w:themeColor="text1"/>
        </w:rPr>
        <w:t>Drought 2010/2011</w:t>
      </w:r>
      <w:r w:rsidRPr="005D6D89">
        <w:rPr>
          <w:rFonts w:cs="Arial"/>
          <w:color w:val="000000" w:themeColor="text1"/>
        </w:rPr>
        <w:t xml:space="preserve">. Retrieved from </w:t>
      </w:r>
      <w:hyperlink r:id="rId103" w:history="1">
        <w:r w:rsidRPr="005D6D89">
          <w:rPr>
            <w:rStyle w:val="Hyperlink"/>
          </w:rPr>
          <w:t>https://www.nrc.govt.nz/resource-library-archive/environmental-monitoring-archive2/annual-environmental-monitoring-archive/2011/2010-2011-annual-environmental-monitoring-report/hydrology-case-study/drought-20102011</w:t>
        </w:r>
      </w:hyperlink>
    </w:p>
    <w:p w14:paraId="1EBBF195" w14:textId="77777777" w:rsidR="007D0B70" w:rsidRPr="005D6D89" w:rsidRDefault="007D0B70" w:rsidP="007D0B70">
      <w:pPr>
        <w:pStyle w:val="References"/>
        <w:rPr>
          <w:rFonts w:cs="Arial"/>
        </w:rPr>
      </w:pPr>
      <w:r w:rsidRPr="005D6D89">
        <w:rPr>
          <w:rFonts w:cs="Arial"/>
        </w:rPr>
        <w:t>O</w:t>
      </w:r>
      <w:r>
        <w:rPr>
          <w:rFonts w:cs="Arial"/>
        </w:rPr>
        <w:t>’</w:t>
      </w:r>
      <w:r w:rsidRPr="005D6D89">
        <w:rPr>
          <w:rFonts w:cs="Arial"/>
        </w:rPr>
        <w:t xml:space="preserve">Connell E, Greenaway T, Moeke T, McKeeking S. </w:t>
      </w:r>
      <w:r>
        <w:rPr>
          <w:rFonts w:cs="Arial"/>
        </w:rPr>
        <w:t>(2018).</w:t>
      </w:r>
      <w:r w:rsidRPr="005D6D89">
        <w:rPr>
          <w:rFonts w:cs="Arial"/>
        </w:rPr>
        <w:t xml:space="preserve"> </w:t>
      </w:r>
      <w:r w:rsidRPr="005D6D89">
        <w:rPr>
          <w:rFonts w:cs="Arial"/>
          <w:i/>
          <w:iCs/>
        </w:rPr>
        <w:t>He A</w:t>
      </w:r>
      <w:r>
        <w:rPr>
          <w:rFonts w:cs="Arial"/>
          <w:i/>
          <w:iCs/>
        </w:rPr>
        <w:t xml:space="preserve">ra Waiora: A pathway towards wellbeing – Exploring </w:t>
      </w:r>
      <w:proofErr w:type="gramStart"/>
      <w:r>
        <w:rPr>
          <w:rFonts w:cs="Arial"/>
          <w:i/>
          <w:iCs/>
        </w:rPr>
        <w:t>te</w:t>
      </w:r>
      <w:proofErr w:type="gramEnd"/>
      <w:r>
        <w:rPr>
          <w:rFonts w:cs="Arial"/>
          <w:i/>
          <w:iCs/>
        </w:rPr>
        <w:t xml:space="preserve"> ao Māori perspectives on the L</w:t>
      </w:r>
      <w:r w:rsidRPr="005D6D89">
        <w:rPr>
          <w:rFonts w:cs="Arial"/>
          <w:i/>
          <w:iCs/>
        </w:rPr>
        <w:t>iving Standards Framework for the Tax Working Group</w:t>
      </w:r>
      <w:r w:rsidRPr="005D6D89">
        <w:rPr>
          <w:rFonts w:cs="Arial"/>
        </w:rPr>
        <w:t xml:space="preserve">. New Zealand Treasury Discussion Paper 18/11. Wellington: Treasury. Retrieved from </w:t>
      </w:r>
      <w:hyperlink r:id="rId104" w:history="1">
        <w:r w:rsidRPr="005D6D89">
          <w:rPr>
            <w:rStyle w:val="Hyperlink"/>
            <w:rFonts w:cs="Arial"/>
          </w:rPr>
          <w:t>https://treasury.govt.nz/sites/default/files/2018-09/dp18-11.pdf</w:t>
        </w:r>
      </w:hyperlink>
      <w:r>
        <w:rPr>
          <w:rFonts w:cs="Arial"/>
        </w:rPr>
        <w:t xml:space="preserve"> (19 July 2019)</w:t>
      </w:r>
    </w:p>
    <w:p w14:paraId="2B2FA640" w14:textId="77777777" w:rsidR="007D0B70" w:rsidRPr="005D6D89" w:rsidRDefault="007D0B70" w:rsidP="007D0B70">
      <w:pPr>
        <w:pStyle w:val="References"/>
        <w:rPr>
          <w:rFonts w:cs="Arial"/>
        </w:rPr>
      </w:pPr>
      <w:r>
        <w:rPr>
          <w:rFonts w:cs="Arial"/>
        </w:rPr>
        <w:t>Ogden</w:t>
      </w:r>
      <w:r w:rsidRPr="005D6D89">
        <w:rPr>
          <w:rFonts w:cs="Arial"/>
        </w:rPr>
        <w:t xml:space="preserve"> J</w:t>
      </w:r>
      <w:r>
        <w:rPr>
          <w:rFonts w:cs="Arial"/>
        </w:rPr>
        <w:t>, Stewart</w:t>
      </w:r>
      <w:r w:rsidRPr="005D6D89">
        <w:rPr>
          <w:rFonts w:cs="Arial"/>
        </w:rPr>
        <w:t xml:space="preserve"> G</w:t>
      </w:r>
      <w:r>
        <w:rPr>
          <w:rFonts w:cs="Arial"/>
        </w:rPr>
        <w:t xml:space="preserve"> and</w:t>
      </w:r>
      <w:r w:rsidRPr="005D6D89">
        <w:rPr>
          <w:rFonts w:cs="Arial"/>
        </w:rPr>
        <w:t xml:space="preserve"> Allen R. (1996). Ecology of New Z</w:t>
      </w:r>
      <w:r>
        <w:rPr>
          <w:rFonts w:cs="Arial"/>
        </w:rPr>
        <w:t>ealand Nothofagus forests. In T Veblen, R</w:t>
      </w:r>
      <w:r w:rsidRPr="005D6D89">
        <w:rPr>
          <w:rFonts w:cs="Arial"/>
        </w:rPr>
        <w:t xml:space="preserve"> Hill</w:t>
      </w:r>
      <w:r>
        <w:rPr>
          <w:rFonts w:cs="Arial"/>
        </w:rPr>
        <w:t xml:space="preserve"> and J</w:t>
      </w:r>
      <w:r w:rsidR="00A03FCC">
        <w:rPr>
          <w:rFonts w:cs="Arial"/>
        </w:rPr>
        <w:t xml:space="preserve"> </w:t>
      </w:r>
      <w:r w:rsidRPr="005D6D89">
        <w:rPr>
          <w:rFonts w:cs="Arial"/>
        </w:rPr>
        <w:t xml:space="preserve">Read, </w:t>
      </w:r>
      <w:r w:rsidRPr="005D6D89">
        <w:rPr>
          <w:rFonts w:cs="Arial"/>
          <w:i/>
          <w:iCs/>
        </w:rPr>
        <w:t>The ecology and biogeography of Nothofagus forests</w:t>
      </w:r>
      <w:r w:rsidRPr="005D6D89">
        <w:rPr>
          <w:rFonts w:cs="Arial"/>
        </w:rPr>
        <w:t xml:space="preserve"> (</w:t>
      </w:r>
      <w:r>
        <w:rPr>
          <w:rFonts w:cs="Arial"/>
        </w:rPr>
        <w:t>pp</w:t>
      </w:r>
      <w:r w:rsidRPr="005D6D89">
        <w:rPr>
          <w:rFonts w:cs="Arial"/>
        </w:rPr>
        <w:t xml:space="preserve"> 25-82).</w:t>
      </w:r>
    </w:p>
    <w:p w14:paraId="5E09C186" w14:textId="77777777" w:rsidR="007D0B70" w:rsidRPr="005D6D89" w:rsidRDefault="007D0B70" w:rsidP="007D0B70">
      <w:pPr>
        <w:pStyle w:val="References"/>
        <w:rPr>
          <w:rFonts w:cs="Arial"/>
        </w:rPr>
      </w:pPr>
      <w:r>
        <w:rPr>
          <w:rFonts w:cs="Arial"/>
        </w:rPr>
        <w:t>Oh</w:t>
      </w:r>
      <w:r w:rsidRPr="005D6D89">
        <w:rPr>
          <w:rFonts w:cs="Arial"/>
        </w:rPr>
        <w:t xml:space="preserve"> C</w:t>
      </w:r>
      <w:r>
        <w:rPr>
          <w:rFonts w:cs="Arial"/>
        </w:rPr>
        <w:t xml:space="preserve"> and Reuveny</w:t>
      </w:r>
      <w:r w:rsidRPr="005D6D89">
        <w:rPr>
          <w:rFonts w:cs="Arial"/>
        </w:rPr>
        <w:t xml:space="preserve"> R. (2010) Climatic natural disasters, political risk</w:t>
      </w:r>
      <w:r>
        <w:rPr>
          <w:rFonts w:cs="Arial"/>
        </w:rPr>
        <w:t xml:space="preserve"> and</w:t>
      </w:r>
      <w:r w:rsidRPr="005D6D89">
        <w:rPr>
          <w:rFonts w:cs="Arial"/>
        </w:rPr>
        <w:t xml:space="preserve"> international trade, </w:t>
      </w:r>
      <w:r w:rsidRPr="005D6D89">
        <w:rPr>
          <w:rFonts w:cs="Arial"/>
          <w:i/>
          <w:iCs/>
        </w:rPr>
        <w:t>Global Environmental Change</w:t>
      </w:r>
      <w:r w:rsidRPr="005D6D89">
        <w:rPr>
          <w:rFonts w:cs="Arial"/>
        </w:rPr>
        <w:t>, 20 (2): 243–254.</w:t>
      </w:r>
    </w:p>
    <w:p w14:paraId="375212D3" w14:textId="77777777" w:rsidR="007D0B70" w:rsidRPr="005D6D89" w:rsidRDefault="007D0B70" w:rsidP="007D0B70">
      <w:pPr>
        <w:pStyle w:val="References"/>
        <w:rPr>
          <w:rFonts w:cs="Arial"/>
        </w:rPr>
      </w:pPr>
      <w:r w:rsidRPr="005D6D89">
        <w:rPr>
          <w:rFonts w:cs="Arial"/>
        </w:rPr>
        <w:t>O</w:t>
      </w:r>
      <w:r>
        <w:rPr>
          <w:rFonts w:cs="Arial"/>
        </w:rPr>
        <w:t>’Meara</w:t>
      </w:r>
      <w:r w:rsidRPr="005D6D89">
        <w:rPr>
          <w:rFonts w:cs="Arial"/>
        </w:rPr>
        <w:t xml:space="preserve"> T A</w:t>
      </w:r>
      <w:r>
        <w:rPr>
          <w:rFonts w:cs="Arial"/>
        </w:rPr>
        <w:t>,</w:t>
      </w:r>
      <w:r w:rsidRPr="005D6D89">
        <w:rPr>
          <w:rFonts w:cs="Arial"/>
        </w:rPr>
        <w:t xml:space="preserve"> Hillman J R</w:t>
      </w:r>
      <w:r>
        <w:rPr>
          <w:rFonts w:cs="Arial"/>
        </w:rPr>
        <w:t xml:space="preserve"> and</w:t>
      </w:r>
      <w:r w:rsidRPr="005D6D89">
        <w:rPr>
          <w:rFonts w:cs="Arial"/>
        </w:rPr>
        <w:t xml:space="preserve"> Thrush S F. (2017). Riding tides, cumulative impacts and cascading changes to estuarine ecosystem functions. </w:t>
      </w:r>
      <w:r w:rsidRPr="005D6D89">
        <w:rPr>
          <w:rFonts w:cs="Arial"/>
          <w:i/>
          <w:iCs/>
        </w:rPr>
        <w:t>Scientific Report</w:t>
      </w:r>
      <w:r w:rsidRPr="005D6D89">
        <w:rPr>
          <w:rFonts w:cs="Arial"/>
        </w:rPr>
        <w:t>, 7.</w:t>
      </w:r>
    </w:p>
    <w:p w14:paraId="62A9026A" w14:textId="77777777" w:rsidR="007D0B70" w:rsidRPr="005D6D89" w:rsidRDefault="007D0B70" w:rsidP="007D0B70">
      <w:pPr>
        <w:pStyle w:val="References"/>
        <w:rPr>
          <w:rFonts w:cs="Arial"/>
        </w:rPr>
      </w:pPr>
      <w:r w:rsidRPr="005D6D89">
        <w:rPr>
          <w:rFonts w:cs="Arial"/>
        </w:rPr>
        <w:t>Opie K</w:t>
      </w:r>
      <w:r>
        <w:rPr>
          <w:rFonts w:cs="Arial"/>
        </w:rPr>
        <w:t>,</w:t>
      </w:r>
      <w:r w:rsidRPr="005D6D89">
        <w:rPr>
          <w:rFonts w:cs="Arial"/>
        </w:rPr>
        <w:t xml:space="preserve"> March A</w:t>
      </w:r>
      <w:r>
        <w:rPr>
          <w:rFonts w:cs="Arial"/>
        </w:rPr>
        <w:t>,</w:t>
      </w:r>
      <w:r w:rsidRPr="005D6D89">
        <w:rPr>
          <w:rFonts w:cs="Arial"/>
        </w:rPr>
        <w:t xml:space="preserve"> Leonard J</w:t>
      </w:r>
      <w:r>
        <w:rPr>
          <w:rFonts w:cs="Arial"/>
        </w:rPr>
        <w:t xml:space="preserve"> and</w:t>
      </w:r>
      <w:r w:rsidRPr="005D6D89">
        <w:rPr>
          <w:rFonts w:cs="Arial"/>
        </w:rPr>
        <w:t xml:space="preserve"> Newnham G. (2014). </w:t>
      </w:r>
      <w:r>
        <w:rPr>
          <w:rFonts w:cs="Arial"/>
          <w:i/>
          <w:iCs/>
        </w:rPr>
        <w:t>Indicators of fire vulnerability: Risk factors in Victorian set</w:t>
      </w:r>
      <w:r w:rsidRPr="005D6D89">
        <w:rPr>
          <w:rFonts w:cs="Arial"/>
          <w:i/>
          <w:iCs/>
        </w:rPr>
        <w:t>tlements</w:t>
      </w:r>
      <w:r w:rsidRPr="005D6D89">
        <w:rPr>
          <w:rFonts w:cs="Arial"/>
        </w:rPr>
        <w:t>. CSIRO.</w:t>
      </w:r>
    </w:p>
    <w:p w14:paraId="08CE8D94" w14:textId="77777777" w:rsidR="007D0B70" w:rsidRPr="005D6D89" w:rsidRDefault="007D0B70" w:rsidP="007D0B70">
      <w:pPr>
        <w:pStyle w:val="References"/>
        <w:rPr>
          <w:rFonts w:cs="Arial"/>
        </w:rPr>
      </w:pPr>
      <w:r w:rsidRPr="005D6D89">
        <w:rPr>
          <w:rFonts w:cs="Arial"/>
        </w:rPr>
        <w:t>Oppenheimer M, Campos M, Warren R, Birkmann J, Luber G, O</w:t>
      </w:r>
      <w:r>
        <w:rPr>
          <w:rFonts w:cs="Arial"/>
        </w:rPr>
        <w:t>’Neil B</w:t>
      </w:r>
      <w:r w:rsidR="00A03FCC">
        <w:rPr>
          <w:rFonts w:cs="Arial"/>
        </w:rPr>
        <w:t xml:space="preserve"> </w:t>
      </w:r>
      <w:r>
        <w:rPr>
          <w:rFonts w:cs="Arial"/>
        </w:rPr>
        <w:t>… v</w:t>
      </w:r>
      <w:r w:rsidRPr="005D6D89">
        <w:rPr>
          <w:rFonts w:cs="Arial"/>
        </w:rPr>
        <w:t>an Vurren D</w:t>
      </w:r>
      <w:r>
        <w:rPr>
          <w:rFonts w:cs="Arial"/>
        </w:rPr>
        <w:t>.</w:t>
      </w:r>
      <w:r w:rsidRPr="005D6D89">
        <w:rPr>
          <w:rFonts w:cs="Arial"/>
        </w:rPr>
        <w:t xml:space="preserve"> (2014)</w:t>
      </w:r>
      <w:r>
        <w:rPr>
          <w:rFonts w:cs="Arial"/>
        </w:rPr>
        <w:t>.</w:t>
      </w:r>
      <w:r w:rsidRPr="005D6D89">
        <w:rPr>
          <w:rFonts w:cs="Arial"/>
        </w:rPr>
        <w:t xml:space="preserve"> Emergent risks and key vulnerabilities. In: Field CB, Barros VR, Dokken DJ </w:t>
      </w:r>
      <w:r>
        <w:rPr>
          <w:rFonts w:cs="Arial"/>
        </w:rPr>
        <w:t>et al (E</w:t>
      </w:r>
      <w:r w:rsidRPr="005D6D89">
        <w:rPr>
          <w:rFonts w:cs="Arial"/>
        </w:rPr>
        <w:t>ds)</w:t>
      </w:r>
      <w:r>
        <w:rPr>
          <w:rFonts w:cs="Arial"/>
        </w:rPr>
        <w:t>.</w:t>
      </w:r>
      <w:r w:rsidRPr="005D6D89">
        <w:rPr>
          <w:rFonts w:cs="Arial"/>
        </w:rPr>
        <w:t xml:space="preserve"> </w:t>
      </w:r>
      <w:r w:rsidRPr="005D6D89">
        <w:rPr>
          <w:rFonts w:cs="Arial"/>
          <w:i/>
          <w:iCs/>
        </w:rPr>
        <w:t>Climate change 2014: impacts, adaptation</w:t>
      </w:r>
      <w:r>
        <w:rPr>
          <w:rFonts w:cs="Arial"/>
          <w:i/>
          <w:iCs/>
        </w:rPr>
        <w:t xml:space="preserve"> and</w:t>
      </w:r>
      <w:r w:rsidRPr="005D6D89">
        <w:rPr>
          <w:rFonts w:cs="Arial"/>
          <w:i/>
          <w:iCs/>
        </w:rPr>
        <w:t xml:space="preserve"> vulnerability. Part A: global and sectoral aspects. Contribution of Working Group II to the Fifth Assessment Report of the Intergovernmental Panel on Climate Change</w:t>
      </w:r>
      <w:r w:rsidRPr="005D6D89">
        <w:rPr>
          <w:rFonts w:cs="Arial"/>
        </w:rPr>
        <w:t>. Cambridge UK</w:t>
      </w:r>
      <w:r>
        <w:rPr>
          <w:rFonts w:cs="Arial"/>
        </w:rPr>
        <w:t xml:space="preserve"> and</w:t>
      </w:r>
      <w:r w:rsidRPr="005D6D89">
        <w:rPr>
          <w:rFonts w:cs="Arial"/>
        </w:rPr>
        <w:t xml:space="preserve"> New York.</w:t>
      </w:r>
    </w:p>
    <w:p w14:paraId="771A1DE9" w14:textId="77777777" w:rsidR="007D0B70" w:rsidRPr="005D6D89" w:rsidRDefault="007D0B70" w:rsidP="007D0B70">
      <w:pPr>
        <w:pStyle w:val="References"/>
        <w:rPr>
          <w:rFonts w:cs="Arial"/>
        </w:rPr>
      </w:pPr>
      <w:r w:rsidRPr="005D6D89">
        <w:rPr>
          <w:rFonts w:cs="Arial"/>
        </w:rPr>
        <w:t xml:space="preserve">Otago Regional Council. (2016). </w:t>
      </w:r>
      <w:proofErr w:type="gramStart"/>
      <w:r w:rsidRPr="005D6D89">
        <w:rPr>
          <w:rFonts w:cs="Arial"/>
          <w:i/>
          <w:iCs/>
        </w:rPr>
        <w:t>The</w:t>
      </w:r>
      <w:proofErr w:type="gramEnd"/>
      <w:r w:rsidRPr="005D6D89">
        <w:rPr>
          <w:rFonts w:cs="Arial"/>
          <w:i/>
          <w:iCs/>
        </w:rPr>
        <w:t xml:space="preserve"> Natural Hazards of South Dunedin</w:t>
      </w:r>
      <w:r w:rsidRPr="005D6D89">
        <w:rPr>
          <w:rFonts w:cs="Arial"/>
        </w:rPr>
        <w:t>. Dunedin.</w:t>
      </w:r>
    </w:p>
    <w:p w14:paraId="3FFA67DC" w14:textId="77777777" w:rsidR="007D0B70" w:rsidRPr="005D6D89" w:rsidRDefault="007D0B70" w:rsidP="007D0B70">
      <w:pPr>
        <w:pStyle w:val="References"/>
        <w:rPr>
          <w:rFonts w:cs="Arial"/>
        </w:rPr>
      </w:pPr>
      <w:r>
        <w:rPr>
          <w:rFonts w:cs="Arial"/>
        </w:rPr>
        <w:t>Parkinson</w:t>
      </w:r>
      <w:r w:rsidRPr="005D6D89">
        <w:rPr>
          <w:rFonts w:cs="Arial"/>
        </w:rPr>
        <w:t xml:space="preserve"> D</w:t>
      </w:r>
      <w:r>
        <w:rPr>
          <w:rFonts w:cs="Arial"/>
        </w:rPr>
        <w:t xml:space="preserve"> and Zara</w:t>
      </w:r>
      <w:r w:rsidRPr="005D6D89">
        <w:rPr>
          <w:rFonts w:cs="Arial"/>
        </w:rPr>
        <w:t xml:space="preserve"> C. (2013). The hidden disaster: domestic violence in the aftermath of natural disaster, </w:t>
      </w:r>
      <w:r w:rsidRPr="005D6D89">
        <w:rPr>
          <w:rFonts w:cs="Arial"/>
          <w:i/>
          <w:iCs/>
        </w:rPr>
        <w:t>Australian Journal of Emergency Management</w:t>
      </w:r>
      <w:r w:rsidRPr="005D6D89">
        <w:rPr>
          <w:rFonts w:cs="Arial"/>
        </w:rPr>
        <w:t xml:space="preserve"> 28(2).</w:t>
      </w:r>
    </w:p>
    <w:p w14:paraId="046F3246" w14:textId="77777777" w:rsidR="007D0B70" w:rsidRPr="005D6D89" w:rsidRDefault="007D0B70" w:rsidP="007D0B70">
      <w:pPr>
        <w:pStyle w:val="References"/>
        <w:rPr>
          <w:rFonts w:cs="Arial"/>
          <w:color w:val="000000" w:themeColor="text1"/>
        </w:rPr>
      </w:pPr>
      <w:r w:rsidRPr="005D6D89">
        <w:rPr>
          <w:rFonts w:cs="Arial"/>
        </w:rPr>
        <w:t xml:space="preserve">Parliamentary Commissioner for the Environment. (1996). </w:t>
      </w:r>
      <w:r>
        <w:rPr>
          <w:rFonts w:cs="Arial"/>
          <w:i/>
          <w:iCs/>
        </w:rPr>
        <w:t>Historic and cultural heritage m</w:t>
      </w:r>
      <w:r w:rsidRPr="005D6D89">
        <w:rPr>
          <w:rFonts w:cs="Arial"/>
          <w:i/>
          <w:iCs/>
        </w:rPr>
        <w:t>anagement in New Zealand</w:t>
      </w:r>
      <w:r w:rsidRPr="005D6D89">
        <w:rPr>
          <w:rFonts w:cs="Arial"/>
        </w:rPr>
        <w:t xml:space="preserve">. Accessed 12 February 2020, from </w:t>
      </w:r>
      <w:hyperlink r:id="rId105" w:history="1">
        <w:r w:rsidRPr="005D6D89">
          <w:rPr>
            <w:rStyle w:val="Hyperlink"/>
          </w:rPr>
          <w:t>https://www.pce.parliament.nz/media/1526/historic-and-cultural-heritage-management-in-new-zealand-june-1996-small.pdf</w:t>
        </w:r>
      </w:hyperlink>
      <w:r w:rsidRPr="005D6D89">
        <w:rPr>
          <w:rFonts w:cs="Arial"/>
          <w:color w:val="000000" w:themeColor="text1"/>
        </w:rPr>
        <w:t xml:space="preserve"> </w:t>
      </w:r>
    </w:p>
    <w:p w14:paraId="38E8689E" w14:textId="77777777" w:rsidR="007D0B70" w:rsidRPr="005D6D89" w:rsidRDefault="007D0B70" w:rsidP="007D0B70">
      <w:pPr>
        <w:pStyle w:val="References"/>
        <w:rPr>
          <w:rFonts w:cs="Arial"/>
          <w:color w:val="000000" w:themeColor="text1"/>
        </w:rPr>
      </w:pPr>
      <w:r>
        <w:rPr>
          <w:rFonts w:cs="Arial"/>
          <w:color w:val="000000" w:themeColor="text1"/>
        </w:rPr>
        <w:t xml:space="preserve">Parsons D </w:t>
      </w:r>
      <w:r w:rsidRPr="005D6D89">
        <w:rPr>
          <w:rFonts w:cs="Arial"/>
          <w:color w:val="000000" w:themeColor="text1"/>
        </w:rPr>
        <w:t>M</w:t>
      </w:r>
      <w:r>
        <w:rPr>
          <w:rFonts w:cs="Arial"/>
          <w:color w:val="000000" w:themeColor="text1"/>
        </w:rPr>
        <w:t>, Sim-Smith C</w:t>
      </w:r>
      <w:r w:rsidRPr="005D6D89">
        <w:rPr>
          <w:rFonts w:cs="Arial"/>
          <w:color w:val="000000" w:themeColor="text1"/>
        </w:rPr>
        <w:t xml:space="preserve"> J</w:t>
      </w:r>
      <w:r>
        <w:rPr>
          <w:rFonts w:cs="Arial"/>
          <w:color w:val="000000" w:themeColor="text1"/>
        </w:rPr>
        <w:t>, Cryer</w:t>
      </w:r>
      <w:r w:rsidRPr="005D6D89">
        <w:rPr>
          <w:rFonts w:cs="Arial"/>
          <w:color w:val="000000" w:themeColor="text1"/>
        </w:rPr>
        <w:t xml:space="preserve"> M</w:t>
      </w:r>
      <w:r>
        <w:rPr>
          <w:rFonts w:cs="Arial"/>
          <w:color w:val="000000" w:themeColor="text1"/>
        </w:rPr>
        <w:t xml:space="preserve">, Francis M </w:t>
      </w:r>
      <w:r w:rsidRPr="005D6D89">
        <w:rPr>
          <w:rFonts w:cs="Arial"/>
          <w:color w:val="000000" w:themeColor="text1"/>
        </w:rPr>
        <w:t>P</w:t>
      </w:r>
      <w:r>
        <w:rPr>
          <w:rFonts w:cs="Arial"/>
          <w:color w:val="000000" w:themeColor="text1"/>
        </w:rPr>
        <w:t>, Hartill</w:t>
      </w:r>
      <w:r w:rsidRPr="005D6D89">
        <w:rPr>
          <w:rFonts w:cs="Arial"/>
          <w:color w:val="000000" w:themeColor="text1"/>
        </w:rPr>
        <w:t xml:space="preserve"> B</w:t>
      </w:r>
      <w:r>
        <w:rPr>
          <w:rFonts w:cs="Arial"/>
          <w:color w:val="000000" w:themeColor="text1"/>
        </w:rPr>
        <w:t>,</w:t>
      </w:r>
      <w:r w:rsidRPr="005D6D89">
        <w:rPr>
          <w:rFonts w:cs="Arial"/>
          <w:color w:val="000000" w:themeColor="text1"/>
        </w:rPr>
        <w:t xml:space="preserve"> Jon</w:t>
      </w:r>
      <w:r>
        <w:rPr>
          <w:rFonts w:cs="Arial"/>
          <w:color w:val="000000" w:themeColor="text1"/>
        </w:rPr>
        <w:t>es E</w:t>
      </w:r>
      <w:r w:rsidRPr="005D6D89">
        <w:rPr>
          <w:rFonts w:cs="Arial"/>
          <w:color w:val="000000" w:themeColor="text1"/>
        </w:rPr>
        <w:t xml:space="preserve"> G</w:t>
      </w:r>
      <w:r>
        <w:rPr>
          <w:rFonts w:cs="Arial"/>
          <w:color w:val="000000" w:themeColor="text1"/>
        </w:rPr>
        <w:t xml:space="preserve"> ... Zeldis</w:t>
      </w:r>
      <w:r w:rsidRPr="005D6D89">
        <w:rPr>
          <w:rFonts w:cs="Arial"/>
          <w:color w:val="000000" w:themeColor="text1"/>
        </w:rPr>
        <w:t xml:space="preserve"> J. (2014). Snapper (Chrysophrys auratus): a review of life history and key vulnerabilities in New Zealand. </w:t>
      </w:r>
      <w:r w:rsidRPr="005D6D89">
        <w:rPr>
          <w:rFonts w:cs="Arial"/>
          <w:i/>
          <w:iCs/>
          <w:color w:val="000000" w:themeColor="text1"/>
        </w:rPr>
        <w:t>New Zealand Journal of</w:t>
      </w:r>
      <w:r>
        <w:rPr>
          <w:rFonts w:cs="Arial"/>
          <w:i/>
          <w:iCs/>
          <w:color w:val="000000" w:themeColor="text1"/>
        </w:rPr>
        <w:t xml:space="preserve"> Marine and Freshwater Research</w:t>
      </w:r>
      <w:r w:rsidRPr="005D6D89">
        <w:rPr>
          <w:rFonts w:cs="Arial"/>
          <w:i/>
          <w:iCs/>
          <w:color w:val="000000" w:themeColor="text1"/>
        </w:rPr>
        <w:t>, 48</w:t>
      </w:r>
      <w:r w:rsidRPr="005D6D89">
        <w:rPr>
          <w:rFonts w:cs="Arial"/>
          <w:color w:val="000000" w:themeColor="text1"/>
        </w:rPr>
        <w:t>(2), 256–283.</w:t>
      </w:r>
    </w:p>
    <w:p w14:paraId="47025049" w14:textId="77777777" w:rsidR="007D0B70" w:rsidRPr="005D6D89" w:rsidRDefault="007D0B70" w:rsidP="007D0B70">
      <w:pPr>
        <w:pStyle w:val="References"/>
        <w:rPr>
          <w:rFonts w:cs="Arial"/>
          <w:color w:val="000000" w:themeColor="text1"/>
        </w:rPr>
      </w:pPr>
      <w:r w:rsidRPr="005D6D89">
        <w:rPr>
          <w:rFonts w:cs="Arial"/>
          <w:color w:val="000000" w:themeColor="text1"/>
        </w:rPr>
        <w:t xml:space="preserve">Pattle Delamore Partners Ltd. (2011). </w:t>
      </w:r>
      <w:r>
        <w:rPr>
          <w:rFonts w:cs="Arial"/>
          <w:i/>
          <w:iCs/>
          <w:color w:val="000000" w:themeColor="text1"/>
        </w:rPr>
        <w:t>New Zealand g</w:t>
      </w:r>
      <w:r w:rsidRPr="005D6D89">
        <w:rPr>
          <w:rFonts w:cs="Arial"/>
          <w:i/>
          <w:iCs/>
          <w:color w:val="000000" w:themeColor="text1"/>
        </w:rPr>
        <w:t>ui</w:t>
      </w:r>
      <w:r>
        <w:rPr>
          <w:rFonts w:cs="Arial"/>
          <w:i/>
          <w:iCs/>
          <w:color w:val="000000" w:themeColor="text1"/>
        </w:rPr>
        <w:t>delines for the monitoring and management of sea water intrusion risks on g</w:t>
      </w:r>
      <w:r w:rsidRPr="005D6D89">
        <w:rPr>
          <w:rFonts w:cs="Arial"/>
          <w:i/>
          <w:iCs/>
          <w:color w:val="000000" w:themeColor="text1"/>
        </w:rPr>
        <w:t>roundwater</w:t>
      </w:r>
      <w:r w:rsidRPr="005D6D89">
        <w:rPr>
          <w:rFonts w:cs="Arial"/>
          <w:color w:val="000000" w:themeColor="text1"/>
        </w:rPr>
        <w:t xml:space="preserve">. </w:t>
      </w:r>
    </w:p>
    <w:p w14:paraId="3ECEE706" w14:textId="77777777" w:rsidR="007D0B70" w:rsidRPr="005D6D89" w:rsidRDefault="007D0B70" w:rsidP="007D0B70">
      <w:pPr>
        <w:pStyle w:val="References"/>
        <w:rPr>
          <w:rFonts w:cs="Arial"/>
          <w:color w:val="000000" w:themeColor="text1"/>
        </w:rPr>
      </w:pPr>
      <w:r w:rsidRPr="005D6D89">
        <w:rPr>
          <w:rFonts w:cs="Arial"/>
          <w:color w:val="000000" w:themeColor="text1"/>
        </w:rPr>
        <w:t>Paulik, R</w:t>
      </w:r>
      <w:r>
        <w:rPr>
          <w:rFonts w:cs="Arial"/>
          <w:color w:val="000000" w:themeColor="text1"/>
        </w:rPr>
        <w:t>,</w:t>
      </w:r>
      <w:r w:rsidRPr="005D6D89">
        <w:rPr>
          <w:rFonts w:cs="Arial"/>
          <w:color w:val="000000" w:themeColor="text1"/>
        </w:rPr>
        <w:t xml:space="preserve"> Craig, H</w:t>
      </w:r>
      <w:r>
        <w:rPr>
          <w:rFonts w:cs="Arial"/>
          <w:color w:val="000000" w:themeColor="text1"/>
        </w:rPr>
        <w:t xml:space="preserve"> and</w:t>
      </w:r>
      <w:r w:rsidRPr="005D6D89">
        <w:rPr>
          <w:rFonts w:cs="Arial"/>
          <w:color w:val="000000" w:themeColor="text1"/>
        </w:rPr>
        <w:t xml:space="preserve"> Collins, D. (2019a). </w:t>
      </w:r>
      <w:r w:rsidRPr="005D6D89">
        <w:rPr>
          <w:rFonts w:cs="Arial"/>
          <w:i/>
          <w:iCs/>
          <w:color w:val="000000" w:themeColor="text1"/>
        </w:rPr>
        <w:t>New Zealand Fluvial and Pluvial Flood Exposure</w:t>
      </w:r>
      <w:r w:rsidRPr="005D6D89">
        <w:rPr>
          <w:rFonts w:cs="Arial"/>
          <w:color w:val="000000" w:themeColor="text1"/>
        </w:rPr>
        <w:t>. Wellington: NIWA.</w:t>
      </w:r>
    </w:p>
    <w:p w14:paraId="2281973D" w14:textId="77777777" w:rsidR="007D0B70" w:rsidRPr="005D6D89" w:rsidRDefault="007D0B70" w:rsidP="007D0B70">
      <w:pPr>
        <w:pStyle w:val="References"/>
        <w:rPr>
          <w:rFonts w:cs="Arial"/>
        </w:rPr>
      </w:pPr>
      <w:r>
        <w:rPr>
          <w:rFonts w:cs="Arial"/>
          <w:color w:val="000000" w:themeColor="text1"/>
        </w:rPr>
        <w:t>Paulik</w:t>
      </w:r>
      <w:r w:rsidRPr="005D6D89">
        <w:rPr>
          <w:rFonts w:cs="Arial"/>
          <w:color w:val="000000" w:themeColor="text1"/>
        </w:rPr>
        <w:t xml:space="preserve"> R</w:t>
      </w:r>
      <w:r>
        <w:rPr>
          <w:rFonts w:cs="Arial"/>
          <w:color w:val="000000" w:themeColor="text1"/>
        </w:rPr>
        <w:t>, Stephens</w:t>
      </w:r>
      <w:r w:rsidRPr="005D6D89">
        <w:rPr>
          <w:rFonts w:cs="Arial"/>
          <w:color w:val="000000" w:themeColor="text1"/>
        </w:rPr>
        <w:t xml:space="preserve"> S</w:t>
      </w:r>
      <w:r>
        <w:rPr>
          <w:rFonts w:cs="Arial"/>
          <w:color w:val="000000" w:themeColor="text1"/>
        </w:rPr>
        <w:t>, Wadhwa</w:t>
      </w:r>
      <w:r w:rsidRPr="005D6D89">
        <w:rPr>
          <w:rFonts w:cs="Arial"/>
          <w:color w:val="000000" w:themeColor="text1"/>
        </w:rPr>
        <w:t xml:space="preserve"> S</w:t>
      </w:r>
      <w:r>
        <w:rPr>
          <w:rFonts w:cs="Arial"/>
          <w:color w:val="000000" w:themeColor="text1"/>
        </w:rPr>
        <w:t xml:space="preserve">, Bell </w:t>
      </w:r>
      <w:r w:rsidRPr="005D6D89">
        <w:rPr>
          <w:rFonts w:cs="Arial"/>
          <w:color w:val="000000" w:themeColor="text1"/>
        </w:rPr>
        <w:t>R</w:t>
      </w:r>
      <w:r>
        <w:rPr>
          <w:rFonts w:cs="Arial"/>
          <w:color w:val="000000" w:themeColor="text1"/>
        </w:rPr>
        <w:t>, Popovich</w:t>
      </w:r>
      <w:r w:rsidRPr="005D6D89">
        <w:rPr>
          <w:rFonts w:cs="Arial"/>
          <w:color w:val="000000" w:themeColor="text1"/>
        </w:rPr>
        <w:t xml:space="preserve"> B</w:t>
      </w:r>
      <w:r>
        <w:rPr>
          <w:rFonts w:cs="Arial"/>
          <w:color w:val="000000" w:themeColor="text1"/>
        </w:rPr>
        <w:t xml:space="preserve"> and Robinson</w:t>
      </w:r>
      <w:r w:rsidRPr="005D6D89">
        <w:rPr>
          <w:rFonts w:cs="Arial"/>
          <w:color w:val="000000" w:themeColor="text1"/>
        </w:rPr>
        <w:t xml:space="preserve"> B. (2019b). </w:t>
      </w:r>
      <w:r w:rsidRPr="005D6D89">
        <w:rPr>
          <w:rFonts w:cs="Arial"/>
          <w:i/>
          <w:iCs/>
          <w:color w:val="000000" w:themeColor="text1"/>
        </w:rPr>
        <w:t>Coastal flooding exposure under future sea-level rise for New Zealand</w:t>
      </w:r>
      <w:r w:rsidRPr="005D6D89">
        <w:rPr>
          <w:rFonts w:cs="Arial"/>
          <w:color w:val="000000" w:themeColor="text1"/>
        </w:rPr>
        <w:t xml:space="preserve">. New Zealand: The Deep South Challenge. Retrieved from </w:t>
      </w:r>
      <w:hyperlink r:id="rId106" w:history="1">
        <w:r w:rsidRPr="005D6D89">
          <w:rPr>
            <w:rStyle w:val="Hyperlink"/>
          </w:rPr>
          <w:t>https://www.deepsouthchallenge.co.nz/sites/default/files/2019-08/2019119WN_DEPSI18301_Coast_Flood_Exp_under_Fut_Sealevel_rise_FINALper cent20(1)_0.pdf</w:t>
        </w:r>
      </w:hyperlink>
    </w:p>
    <w:p w14:paraId="6093D2A1" w14:textId="77777777" w:rsidR="007D0B70" w:rsidRPr="005D6D89" w:rsidRDefault="007D0B70" w:rsidP="007D0B70">
      <w:pPr>
        <w:pStyle w:val="References"/>
        <w:rPr>
          <w:rFonts w:cs="Arial"/>
        </w:rPr>
      </w:pPr>
      <w:r>
        <w:rPr>
          <w:rFonts w:cs="Arial"/>
        </w:rPr>
        <w:t>Pearce</w:t>
      </w:r>
      <w:r w:rsidRPr="005D6D89">
        <w:rPr>
          <w:rFonts w:cs="Arial"/>
        </w:rPr>
        <w:t xml:space="preserve"> P</w:t>
      </w:r>
      <w:r>
        <w:rPr>
          <w:rFonts w:cs="Arial"/>
        </w:rPr>
        <w:t>,</w:t>
      </w:r>
      <w:r w:rsidRPr="005D6D89">
        <w:rPr>
          <w:rFonts w:cs="Arial"/>
        </w:rPr>
        <w:t xml:space="preserve"> Bell R</w:t>
      </w:r>
      <w:r>
        <w:rPr>
          <w:rFonts w:cs="Arial"/>
        </w:rPr>
        <w:t>,</w:t>
      </w:r>
      <w:r w:rsidRPr="005D6D89">
        <w:rPr>
          <w:rFonts w:cs="Arial"/>
        </w:rPr>
        <w:t xml:space="preserve"> Bostock H</w:t>
      </w:r>
      <w:r>
        <w:rPr>
          <w:rFonts w:cs="Arial"/>
        </w:rPr>
        <w:t>,</w:t>
      </w:r>
      <w:r w:rsidRPr="005D6D89">
        <w:rPr>
          <w:rFonts w:cs="Arial"/>
        </w:rPr>
        <w:t xml:space="preserve"> Carey-Smith T</w:t>
      </w:r>
      <w:r>
        <w:rPr>
          <w:rFonts w:cs="Arial"/>
        </w:rPr>
        <w:t>,</w:t>
      </w:r>
      <w:r w:rsidRPr="005D6D89">
        <w:rPr>
          <w:rFonts w:cs="Arial"/>
        </w:rPr>
        <w:t xml:space="preserve"> Collins D</w:t>
      </w:r>
      <w:r>
        <w:rPr>
          <w:rFonts w:cs="Arial"/>
        </w:rPr>
        <w:t>,</w:t>
      </w:r>
      <w:r w:rsidRPr="005D6D89">
        <w:rPr>
          <w:rFonts w:cs="Arial"/>
        </w:rPr>
        <w:t xml:space="preserve"> Fedaff N</w:t>
      </w:r>
      <w:r>
        <w:rPr>
          <w:rFonts w:cs="Arial"/>
        </w:rPr>
        <w:t>,</w:t>
      </w:r>
      <w:r w:rsidRPr="005D6D89">
        <w:rPr>
          <w:rFonts w:cs="Arial"/>
        </w:rPr>
        <w:t xml:space="preserve"> Woolley J. (2018). </w:t>
      </w:r>
      <w:r>
        <w:rPr>
          <w:rFonts w:cs="Arial"/>
          <w:i/>
          <w:iCs/>
        </w:rPr>
        <w:t>Auckland r</w:t>
      </w:r>
      <w:r w:rsidRPr="005D6D89">
        <w:rPr>
          <w:rFonts w:cs="Arial"/>
          <w:i/>
          <w:iCs/>
        </w:rPr>
        <w:t>egion climate change projections and impacts</w:t>
      </w:r>
      <w:r w:rsidRPr="005D6D89">
        <w:rPr>
          <w:rFonts w:cs="Arial"/>
        </w:rPr>
        <w:t>. Auckland: National Institute of Water and Atmospheric Research.</w:t>
      </w:r>
    </w:p>
    <w:p w14:paraId="220451AB" w14:textId="77777777" w:rsidR="007D0B70" w:rsidRPr="005D6D89" w:rsidRDefault="007D0B70" w:rsidP="007D0B70">
      <w:pPr>
        <w:pStyle w:val="References"/>
        <w:rPr>
          <w:rFonts w:cs="Arial"/>
        </w:rPr>
      </w:pPr>
      <w:r>
        <w:rPr>
          <w:rFonts w:cs="Arial"/>
        </w:rPr>
        <w:t>Pryde P</w:t>
      </w:r>
      <w:r w:rsidRPr="005D6D89">
        <w:rPr>
          <w:rFonts w:cs="Arial"/>
        </w:rPr>
        <w:t xml:space="preserve"> R. (1997). Creating offshore island sanctuaries for endangered species: The New Zealand </w:t>
      </w:r>
      <w:r>
        <w:rPr>
          <w:rFonts w:cs="Arial"/>
        </w:rPr>
        <w:t>p</w:t>
      </w:r>
      <w:r w:rsidRPr="005D6D89">
        <w:rPr>
          <w:rFonts w:cs="Arial"/>
        </w:rPr>
        <w:t xml:space="preserve">erspective. </w:t>
      </w:r>
      <w:r w:rsidRPr="005D6D89">
        <w:rPr>
          <w:rFonts w:cs="Arial"/>
          <w:i/>
          <w:iCs/>
        </w:rPr>
        <w:t>Natural Areas Journal</w:t>
      </w:r>
      <w:r w:rsidRPr="005D6D89">
        <w:rPr>
          <w:rFonts w:cs="Arial"/>
        </w:rPr>
        <w:t>, 17(3), 7.</w:t>
      </w:r>
    </w:p>
    <w:p w14:paraId="1ABDC52C" w14:textId="77777777" w:rsidR="007D0B70" w:rsidRPr="005D6D89" w:rsidRDefault="007D0B70" w:rsidP="007D0B70">
      <w:pPr>
        <w:pStyle w:val="References"/>
        <w:rPr>
          <w:rFonts w:cs="Arial"/>
        </w:rPr>
      </w:pPr>
      <w:r w:rsidRPr="005D6D89">
        <w:rPr>
          <w:rFonts w:cs="Arial"/>
        </w:rPr>
        <w:t>Quilter P</w:t>
      </w:r>
      <w:r>
        <w:rPr>
          <w:rFonts w:cs="Arial"/>
        </w:rPr>
        <w:t>,</w:t>
      </w:r>
      <w:r w:rsidRPr="005D6D89">
        <w:rPr>
          <w:rFonts w:cs="Arial"/>
        </w:rPr>
        <w:t xml:space="preserve"> van Ballegooy S</w:t>
      </w:r>
      <w:r>
        <w:rPr>
          <w:rFonts w:cs="Arial"/>
        </w:rPr>
        <w:t xml:space="preserve"> and Reinen-Hamill</w:t>
      </w:r>
      <w:r w:rsidRPr="005D6D89">
        <w:rPr>
          <w:rFonts w:cs="Arial"/>
        </w:rPr>
        <w:t xml:space="preserve"> R. (2015). The effect of sea-level rise on liquefaction vulnerability: A case study for consideration of development on coastal plains and reclamations. In: </w:t>
      </w:r>
      <w:r w:rsidRPr="005D6D89">
        <w:rPr>
          <w:rFonts w:cs="Arial"/>
          <w:i/>
          <w:iCs/>
        </w:rPr>
        <w:t>Proceedings of the Australasian Coasts and Ports Conference 2015</w:t>
      </w:r>
      <w:r w:rsidRPr="005D6D89">
        <w:rPr>
          <w:rFonts w:cs="Arial"/>
        </w:rPr>
        <w:t>. Auckland.</w:t>
      </w:r>
    </w:p>
    <w:p w14:paraId="7D41D75D" w14:textId="77777777" w:rsidR="007D0B70" w:rsidRPr="005D6D89" w:rsidRDefault="007D0B70" w:rsidP="007D0B70">
      <w:pPr>
        <w:pStyle w:val="References"/>
        <w:rPr>
          <w:rFonts w:cs="Arial"/>
        </w:rPr>
      </w:pPr>
      <w:r>
        <w:rPr>
          <w:rFonts w:cs="Arial"/>
        </w:rPr>
        <w:t>Rahel F</w:t>
      </w:r>
      <w:r w:rsidRPr="005D6D89">
        <w:rPr>
          <w:rFonts w:cs="Arial"/>
        </w:rPr>
        <w:t xml:space="preserve"> J</w:t>
      </w:r>
      <w:r>
        <w:rPr>
          <w:rFonts w:cs="Arial"/>
        </w:rPr>
        <w:t xml:space="preserve"> and Olden J</w:t>
      </w:r>
      <w:r w:rsidRPr="005D6D89">
        <w:rPr>
          <w:rFonts w:cs="Arial"/>
        </w:rPr>
        <w:t xml:space="preserve"> D. (2008). Assessing the effects of climate change on aquatic invasive species. </w:t>
      </w:r>
      <w:r w:rsidRPr="005D6D89">
        <w:rPr>
          <w:rFonts w:cs="Arial"/>
          <w:i/>
          <w:iCs/>
        </w:rPr>
        <w:t>Conservation Biology</w:t>
      </w:r>
      <w:r w:rsidRPr="005D6D89">
        <w:rPr>
          <w:rFonts w:cs="Arial"/>
        </w:rPr>
        <w:t>, 22(3), 521–533.</w:t>
      </w:r>
    </w:p>
    <w:p w14:paraId="61EFF555" w14:textId="77777777" w:rsidR="007D0B70" w:rsidRPr="005D6D89" w:rsidRDefault="007D0B70" w:rsidP="007D0B70">
      <w:pPr>
        <w:pStyle w:val="References"/>
        <w:rPr>
          <w:rFonts w:cs="Arial"/>
        </w:rPr>
      </w:pPr>
      <w:r w:rsidRPr="005D6D89">
        <w:rPr>
          <w:rFonts w:cs="Arial"/>
        </w:rPr>
        <w:t>Rangitaiki River Scheme Review Panel. (2017</w:t>
      </w:r>
      <w:r w:rsidRPr="005D6D89">
        <w:rPr>
          <w:rFonts w:cs="Arial"/>
          <w:i/>
          <w:iCs/>
        </w:rPr>
        <w:t>). Rangitāiki River Scheme Review – April 2017 Flood Event</w:t>
      </w:r>
      <w:r w:rsidRPr="005D6D89">
        <w:rPr>
          <w:rFonts w:cs="Arial"/>
        </w:rPr>
        <w:t>. Bay of Plenty Regional Council.</w:t>
      </w:r>
    </w:p>
    <w:p w14:paraId="4DA3A31B" w14:textId="77777777" w:rsidR="007D0B70" w:rsidRPr="005D6D89" w:rsidRDefault="007D0B70" w:rsidP="007D0B70">
      <w:pPr>
        <w:pStyle w:val="References"/>
        <w:rPr>
          <w:rFonts w:cs="Arial"/>
        </w:rPr>
      </w:pPr>
      <w:r>
        <w:rPr>
          <w:rFonts w:cs="Arial"/>
        </w:rPr>
        <w:t>Rangiwhetu</w:t>
      </w:r>
      <w:r w:rsidRPr="005D6D89">
        <w:rPr>
          <w:rFonts w:cs="Arial"/>
        </w:rPr>
        <w:t xml:space="preserve"> L</w:t>
      </w:r>
      <w:r>
        <w:rPr>
          <w:rFonts w:cs="Arial"/>
        </w:rPr>
        <w:t>, Pierse</w:t>
      </w:r>
      <w:r w:rsidRPr="005D6D89">
        <w:rPr>
          <w:rFonts w:cs="Arial"/>
        </w:rPr>
        <w:t xml:space="preserve"> N</w:t>
      </w:r>
      <w:r>
        <w:rPr>
          <w:rFonts w:cs="Arial"/>
        </w:rPr>
        <w:t>, Viggers</w:t>
      </w:r>
      <w:r w:rsidRPr="005D6D89">
        <w:rPr>
          <w:rFonts w:cs="Arial"/>
        </w:rPr>
        <w:t xml:space="preserve"> H</w:t>
      </w:r>
      <w:r>
        <w:rPr>
          <w:rFonts w:cs="Arial"/>
        </w:rPr>
        <w:t xml:space="preserve"> and Howden-Chapman P. (2018). Cold New Zealand council housing: Getting an u</w:t>
      </w:r>
      <w:r w:rsidRPr="005D6D89">
        <w:rPr>
          <w:rFonts w:cs="Arial"/>
        </w:rPr>
        <w:t xml:space="preserve">pgrade. </w:t>
      </w:r>
      <w:r w:rsidRPr="005D6D89">
        <w:rPr>
          <w:rFonts w:cs="Arial"/>
          <w:i/>
          <w:iCs/>
        </w:rPr>
        <w:t>Policy Quarterly</w:t>
      </w:r>
      <w:r w:rsidRPr="005D6D89">
        <w:rPr>
          <w:rFonts w:cs="Arial"/>
        </w:rPr>
        <w:t xml:space="preserve">, </w:t>
      </w:r>
      <w:r w:rsidRPr="005D6D89">
        <w:rPr>
          <w:rFonts w:cs="Arial"/>
          <w:i/>
          <w:iCs/>
        </w:rPr>
        <w:t>14</w:t>
      </w:r>
      <w:r w:rsidRPr="005D6D89">
        <w:rPr>
          <w:rFonts w:cs="Arial"/>
        </w:rPr>
        <w:t>(2), 65–73.</w:t>
      </w:r>
    </w:p>
    <w:p w14:paraId="19B52BDC" w14:textId="77777777" w:rsidR="007D0B70" w:rsidRPr="005D6D89" w:rsidRDefault="007D0B70" w:rsidP="007D0B70">
      <w:pPr>
        <w:pStyle w:val="References"/>
        <w:rPr>
          <w:rFonts w:cs="Arial"/>
        </w:rPr>
      </w:pPr>
      <w:r>
        <w:rPr>
          <w:rFonts w:cs="Arial"/>
        </w:rPr>
        <w:t>Reese</w:t>
      </w:r>
      <w:r w:rsidRPr="005D6D89">
        <w:rPr>
          <w:rFonts w:cs="Arial"/>
        </w:rPr>
        <w:t xml:space="preserve"> S</w:t>
      </w:r>
      <w:r>
        <w:rPr>
          <w:rFonts w:cs="Arial"/>
        </w:rPr>
        <w:t xml:space="preserve"> and Ramsay</w:t>
      </w:r>
      <w:r w:rsidRPr="005D6D89">
        <w:rPr>
          <w:rFonts w:cs="Arial"/>
        </w:rPr>
        <w:t xml:space="preserve"> D. (2010). </w:t>
      </w:r>
      <w:r w:rsidRPr="005D6D89">
        <w:rPr>
          <w:rFonts w:cs="Arial"/>
          <w:i/>
          <w:iCs/>
        </w:rPr>
        <w:t>RiskScape: Flood fragility methodology</w:t>
      </w:r>
      <w:r w:rsidRPr="005D6D89">
        <w:rPr>
          <w:rFonts w:cs="Arial"/>
        </w:rPr>
        <w:t>. Wellington: NIWA.</w:t>
      </w:r>
    </w:p>
    <w:p w14:paraId="566063B9" w14:textId="77777777" w:rsidR="007D0B70" w:rsidRPr="005D6D89" w:rsidRDefault="007D0B70" w:rsidP="007D0B70">
      <w:pPr>
        <w:pStyle w:val="References"/>
        <w:rPr>
          <w:rFonts w:cs="Arial"/>
        </w:rPr>
      </w:pPr>
      <w:r>
        <w:t>Reisinger</w:t>
      </w:r>
      <w:r w:rsidRPr="005D6D89">
        <w:t xml:space="preserve"> A</w:t>
      </w:r>
      <w:r>
        <w:t>, Mullan A</w:t>
      </w:r>
      <w:r w:rsidRPr="005D6D89">
        <w:t xml:space="preserve"> B</w:t>
      </w:r>
      <w:r>
        <w:t>, Manning</w:t>
      </w:r>
      <w:r w:rsidRPr="005D6D89">
        <w:t xml:space="preserve"> M</w:t>
      </w:r>
      <w:r>
        <w:t>, Wratt D</w:t>
      </w:r>
      <w:r w:rsidRPr="005D6D89">
        <w:t xml:space="preserve"> W</w:t>
      </w:r>
      <w:r>
        <w:t xml:space="preserve"> and Nottage R</w:t>
      </w:r>
      <w:r w:rsidRPr="005D6D89">
        <w:t xml:space="preserve"> A. (2010). Global and local climate change scenarios to support a</w:t>
      </w:r>
      <w:r>
        <w:t>daptation in New Zealand. In R A</w:t>
      </w:r>
      <w:r w:rsidRPr="005D6D89">
        <w:t xml:space="preserve"> Nottage,</w:t>
      </w:r>
      <w:r>
        <w:t xml:space="preserve"> D</w:t>
      </w:r>
      <w:r w:rsidRPr="005D6D89">
        <w:t xml:space="preserve"> S.</w:t>
      </w:r>
    </w:p>
    <w:p w14:paraId="4ADE9104" w14:textId="77777777" w:rsidR="007D0B70" w:rsidRPr="005D6D89" w:rsidRDefault="007D0B70" w:rsidP="007D0B70">
      <w:pPr>
        <w:pStyle w:val="References"/>
        <w:rPr>
          <w:rFonts w:cs="Arial"/>
        </w:rPr>
      </w:pPr>
      <w:r>
        <w:rPr>
          <w:rFonts w:cs="Arial"/>
        </w:rPr>
        <w:t>Reisinger</w:t>
      </w:r>
      <w:r w:rsidRPr="005D6D89">
        <w:rPr>
          <w:rFonts w:cs="Arial"/>
        </w:rPr>
        <w:t xml:space="preserve"> A</w:t>
      </w:r>
      <w:r>
        <w:rPr>
          <w:rFonts w:cs="Arial"/>
        </w:rPr>
        <w:t>, Kitching R</w:t>
      </w:r>
      <w:r w:rsidRPr="005D6D89">
        <w:rPr>
          <w:rFonts w:cs="Arial"/>
        </w:rPr>
        <w:t xml:space="preserve"> L</w:t>
      </w:r>
      <w:r>
        <w:rPr>
          <w:rFonts w:cs="Arial"/>
        </w:rPr>
        <w:t>, Chiew</w:t>
      </w:r>
      <w:r w:rsidRPr="005D6D89">
        <w:rPr>
          <w:rFonts w:cs="Arial"/>
        </w:rPr>
        <w:t xml:space="preserve"> F</w:t>
      </w:r>
      <w:r>
        <w:rPr>
          <w:rFonts w:cs="Arial"/>
        </w:rPr>
        <w:t>, Hughes</w:t>
      </w:r>
      <w:r w:rsidRPr="005D6D89">
        <w:rPr>
          <w:rFonts w:cs="Arial"/>
        </w:rPr>
        <w:t xml:space="preserve"> L</w:t>
      </w:r>
      <w:r>
        <w:rPr>
          <w:rFonts w:cs="Arial"/>
        </w:rPr>
        <w:t>, Newton P C</w:t>
      </w:r>
      <w:r w:rsidRPr="005D6D89">
        <w:rPr>
          <w:rFonts w:cs="Arial"/>
        </w:rPr>
        <w:t xml:space="preserve"> D</w:t>
      </w:r>
      <w:r>
        <w:rPr>
          <w:rFonts w:cs="Arial"/>
        </w:rPr>
        <w:t>, Schuster S</w:t>
      </w:r>
      <w:r w:rsidRPr="005D6D89">
        <w:rPr>
          <w:rFonts w:cs="Arial"/>
        </w:rPr>
        <w:t xml:space="preserve"> S</w:t>
      </w:r>
      <w:r>
        <w:rPr>
          <w:rFonts w:cs="Arial"/>
        </w:rPr>
        <w:t>,</w:t>
      </w:r>
      <w:r w:rsidRPr="005D6D89">
        <w:rPr>
          <w:rFonts w:cs="Arial"/>
        </w:rPr>
        <w:t xml:space="preserve"> Tait A</w:t>
      </w:r>
      <w:r>
        <w:rPr>
          <w:rFonts w:cs="Arial"/>
        </w:rPr>
        <w:t xml:space="preserve"> and</w:t>
      </w:r>
      <w:r w:rsidRPr="005D6D89">
        <w:rPr>
          <w:rFonts w:cs="Arial"/>
        </w:rPr>
        <w:t xml:space="preserve"> Whetton</w:t>
      </w:r>
      <w:r>
        <w:rPr>
          <w:rFonts w:cs="Arial"/>
        </w:rPr>
        <w:t xml:space="preserve"> P. (2014). Australasia. In V Barros, C B Field, D J Dokken, M D Mastrandrea, K J Mach, T E Bilir, C M K L Ebi, Y O Estrada, R</w:t>
      </w:r>
      <w:r w:rsidRPr="005D6D89">
        <w:rPr>
          <w:rFonts w:cs="Arial"/>
        </w:rPr>
        <w:t xml:space="preserve"> </w:t>
      </w:r>
      <w:r>
        <w:rPr>
          <w:rFonts w:cs="Arial"/>
        </w:rPr>
        <w:t>C Genova, B Girma, E S Kissel, A N Levy, S MacCracken, M P</w:t>
      </w:r>
      <w:r w:rsidRPr="005D6D89">
        <w:rPr>
          <w:rFonts w:cs="Arial"/>
        </w:rPr>
        <w:t xml:space="preserve"> R</w:t>
      </w:r>
      <w:r>
        <w:rPr>
          <w:rFonts w:cs="Arial"/>
        </w:rPr>
        <w:t xml:space="preserve"> and L L</w:t>
      </w:r>
      <w:r w:rsidRPr="005D6D89">
        <w:rPr>
          <w:rFonts w:cs="Arial"/>
        </w:rPr>
        <w:t xml:space="preserve"> White (Eds.), </w:t>
      </w:r>
      <w:r>
        <w:rPr>
          <w:rFonts w:cs="Arial"/>
          <w:i/>
          <w:iCs/>
        </w:rPr>
        <w:t>Climate Change 2014: Impacts, a</w:t>
      </w:r>
      <w:r w:rsidRPr="005D6D89">
        <w:rPr>
          <w:rFonts w:cs="Arial"/>
          <w:i/>
          <w:iCs/>
        </w:rPr>
        <w:t>daptation</w:t>
      </w:r>
      <w:r>
        <w:rPr>
          <w:rFonts w:cs="Arial"/>
          <w:i/>
          <w:iCs/>
        </w:rPr>
        <w:t xml:space="preserve"> and vulnerability. Part B: Regional a</w:t>
      </w:r>
      <w:r w:rsidRPr="005D6D89">
        <w:rPr>
          <w:rFonts w:cs="Arial"/>
          <w:i/>
          <w:iCs/>
        </w:rPr>
        <w:t>spects. Contribution of Working Group II to the Fifth Assessment Report of the Intergovernmental Panel on Climate Change</w:t>
      </w:r>
      <w:r w:rsidRPr="005D6D89">
        <w:rPr>
          <w:rFonts w:cs="Arial"/>
        </w:rPr>
        <w:t xml:space="preserve"> (</w:t>
      </w:r>
      <w:r>
        <w:rPr>
          <w:rFonts w:cs="Arial"/>
        </w:rPr>
        <w:t>pp</w:t>
      </w:r>
      <w:r w:rsidRPr="005D6D89">
        <w:rPr>
          <w:rFonts w:cs="Arial"/>
        </w:rPr>
        <w:t xml:space="preserve"> 18–26). Cambridge University Press. </w:t>
      </w:r>
      <w:hyperlink r:id="rId107" w:history="1">
        <w:r w:rsidRPr="005D6D89">
          <w:rPr>
            <w:rStyle w:val="Hyperlink"/>
            <w:rFonts w:cs="Arial"/>
          </w:rPr>
          <w:t>https://doi.org/10.1016/B978-0-444-53643-3.00185-0</w:t>
        </w:r>
      </w:hyperlink>
    </w:p>
    <w:p w14:paraId="576E1401" w14:textId="77777777" w:rsidR="007D0B70" w:rsidRPr="005D6D89" w:rsidRDefault="007D0B70" w:rsidP="007D0B70">
      <w:pPr>
        <w:pStyle w:val="References"/>
        <w:rPr>
          <w:rStyle w:val="Hyperlink"/>
          <w:rFonts w:cs="Arial"/>
          <w:color w:val="000000" w:themeColor="text1"/>
        </w:rPr>
      </w:pPr>
      <w:r>
        <w:rPr>
          <w:rFonts w:cs="Arial"/>
        </w:rPr>
        <w:t>Reisinger</w:t>
      </w:r>
      <w:r w:rsidRPr="005D6D89">
        <w:rPr>
          <w:rFonts w:cs="Arial"/>
        </w:rPr>
        <w:t xml:space="preserve"> A</w:t>
      </w:r>
      <w:r>
        <w:rPr>
          <w:rFonts w:cs="Arial"/>
        </w:rPr>
        <w:t>, Lawrence</w:t>
      </w:r>
      <w:r w:rsidRPr="005D6D89">
        <w:rPr>
          <w:rFonts w:cs="Arial"/>
        </w:rPr>
        <w:t xml:space="preserve"> J</w:t>
      </w:r>
      <w:r>
        <w:rPr>
          <w:rFonts w:cs="Arial"/>
        </w:rPr>
        <w:t>, Hart</w:t>
      </w:r>
      <w:r w:rsidRPr="005D6D89">
        <w:rPr>
          <w:rFonts w:cs="Arial"/>
        </w:rPr>
        <w:t xml:space="preserve"> G</w:t>
      </w:r>
      <w:r>
        <w:rPr>
          <w:rFonts w:cs="Arial"/>
        </w:rPr>
        <w:t xml:space="preserve"> and Chapman</w:t>
      </w:r>
      <w:r w:rsidRPr="005D6D89">
        <w:rPr>
          <w:rFonts w:cs="Arial"/>
        </w:rPr>
        <w:t xml:space="preserve"> R. (2014). From coping to resilience: The role of managed retreat in highly developed coastal r</w:t>
      </w:r>
      <w:r>
        <w:rPr>
          <w:rFonts w:cs="Arial"/>
        </w:rPr>
        <w:t>egions of New Zealand. Climate change and the c</w:t>
      </w:r>
      <w:r w:rsidRPr="005D6D89">
        <w:rPr>
          <w:rFonts w:cs="Arial"/>
        </w:rPr>
        <w:t xml:space="preserve">oast: </w:t>
      </w:r>
      <w:r>
        <w:rPr>
          <w:rFonts w:cs="Arial"/>
          <w:i/>
          <w:iCs/>
        </w:rPr>
        <w:t>Building resilient c</w:t>
      </w:r>
      <w:r w:rsidRPr="005D6D89">
        <w:rPr>
          <w:rFonts w:cs="Arial"/>
          <w:i/>
          <w:iCs/>
        </w:rPr>
        <w:t>ommunities</w:t>
      </w:r>
      <w:r w:rsidRPr="005D6D89">
        <w:rPr>
          <w:rFonts w:cs="Arial"/>
        </w:rPr>
        <w:t>, 285–310.</w:t>
      </w:r>
      <w:r w:rsidRPr="005D6D89">
        <w:rPr>
          <w:rFonts w:cs="Arial"/>
          <w:color w:val="000000" w:themeColor="text1"/>
        </w:rPr>
        <w:t xml:space="preserve"> </w:t>
      </w:r>
      <w:hyperlink r:id="rId108" w:history="1">
        <w:r w:rsidRPr="005D6D89">
          <w:rPr>
            <w:rStyle w:val="Hyperlink"/>
          </w:rPr>
          <w:t>https://doi.org/10.1201/b18053</w:t>
        </w:r>
      </w:hyperlink>
    </w:p>
    <w:p w14:paraId="35024421" w14:textId="77777777" w:rsidR="007D0B70" w:rsidRPr="005D6D89" w:rsidRDefault="007D0B70" w:rsidP="007D0B70">
      <w:pPr>
        <w:pStyle w:val="References"/>
        <w:rPr>
          <w:rFonts w:cs="Arial"/>
          <w:color w:val="000000" w:themeColor="text1"/>
        </w:rPr>
      </w:pPr>
      <w:r w:rsidRPr="005D6D89">
        <w:rPr>
          <w:rFonts w:cs="Arial"/>
          <w:color w:val="000000" w:themeColor="text1"/>
        </w:rPr>
        <w:t xml:space="preserve">Reserve Bank of New Zealand. (2019). </w:t>
      </w:r>
      <w:r w:rsidRPr="005D6D89">
        <w:rPr>
          <w:rFonts w:cs="Arial"/>
          <w:i/>
          <w:iCs/>
          <w:color w:val="000000" w:themeColor="text1"/>
        </w:rPr>
        <w:t>Financial Stability Report May 2019</w:t>
      </w:r>
      <w:r w:rsidRPr="005D6D89">
        <w:rPr>
          <w:rFonts w:cs="Arial"/>
          <w:color w:val="000000" w:themeColor="text1"/>
        </w:rPr>
        <w:t>.</w:t>
      </w:r>
    </w:p>
    <w:p w14:paraId="32FC70B1" w14:textId="77777777" w:rsidR="007D0B70" w:rsidRPr="005D6D89" w:rsidRDefault="007D0B70" w:rsidP="007D0B70">
      <w:pPr>
        <w:pStyle w:val="References"/>
        <w:rPr>
          <w:rFonts w:cs="Arial"/>
          <w:color w:val="000000" w:themeColor="text1"/>
        </w:rPr>
      </w:pPr>
      <w:r w:rsidRPr="005D6D89">
        <w:rPr>
          <w:rFonts w:cs="Arial"/>
          <w:color w:val="000000" w:themeColor="text1"/>
        </w:rPr>
        <w:t xml:space="preserve">Reserve Bank of New Zealand. (2020). </w:t>
      </w:r>
      <w:r w:rsidRPr="005D6D89">
        <w:rPr>
          <w:rFonts w:cs="Arial"/>
          <w:i/>
          <w:iCs/>
          <w:color w:val="000000" w:themeColor="text1"/>
        </w:rPr>
        <w:t>Reserve Bank Climate Change Strategy</w:t>
      </w:r>
      <w:r w:rsidRPr="005D6D89">
        <w:rPr>
          <w:rFonts w:cs="Arial"/>
          <w:color w:val="000000" w:themeColor="text1"/>
        </w:rPr>
        <w:t xml:space="preserve">. Accessed 3 March 2020, from </w:t>
      </w:r>
      <w:hyperlink r:id="rId109" w:history="1">
        <w:r w:rsidRPr="005D6D89">
          <w:rPr>
            <w:rStyle w:val="Hyperlink"/>
          </w:rPr>
          <w:t>https://www.rbnz.govt.nz/financial-stability/climate-change/strategy</w:t>
        </w:r>
      </w:hyperlink>
    </w:p>
    <w:p w14:paraId="197C13D0" w14:textId="77777777" w:rsidR="007D0B70" w:rsidRPr="005D6D89" w:rsidRDefault="007D0B70" w:rsidP="007D0B70">
      <w:pPr>
        <w:pStyle w:val="References"/>
        <w:rPr>
          <w:rFonts w:cs="Arial"/>
          <w:color w:val="000000" w:themeColor="text1"/>
        </w:rPr>
      </w:pPr>
      <w:r w:rsidRPr="005D6D89">
        <w:rPr>
          <w:rFonts w:cs="Arial"/>
          <w:color w:val="000000" w:themeColor="text1"/>
        </w:rPr>
        <w:t xml:space="preserve">RNZ. (2020). </w:t>
      </w:r>
      <w:r w:rsidRPr="005D6D89">
        <w:rPr>
          <w:rFonts w:cs="Arial"/>
          <w:i/>
          <w:iCs/>
          <w:color w:val="000000" w:themeColor="text1"/>
        </w:rPr>
        <w:t>Auckland water shortages causing logistics nightmare</w:t>
      </w:r>
      <w:r w:rsidRPr="005D6D89">
        <w:rPr>
          <w:rFonts w:cs="Arial"/>
          <w:color w:val="000000" w:themeColor="text1"/>
        </w:rPr>
        <w:t>. RNZ.</w:t>
      </w:r>
    </w:p>
    <w:p w14:paraId="4810E06A" w14:textId="77777777" w:rsidR="007D0B70" w:rsidRPr="005D6D89" w:rsidRDefault="007D0B70" w:rsidP="007D0B70">
      <w:pPr>
        <w:pStyle w:val="References"/>
        <w:rPr>
          <w:rFonts w:cs="Arial"/>
          <w:color w:val="000000" w:themeColor="text1"/>
        </w:rPr>
      </w:pPr>
      <w:r w:rsidRPr="005D6D89">
        <w:rPr>
          <w:color w:val="000000" w:themeColor="text1"/>
        </w:rPr>
        <w:t xml:space="preserve">Roberts L, Brower A, Kerr G, Lambert S, McWilliam W, Moore K, Quinn J, Simmons D, Thrush S, Townsend M, Blaschke P, Costanza R, Cullen R, Hughey K, Wratten S. (2015). </w:t>
      </w:r>
      <w:r w:rsidRPr="005D6D89">
        <w:rPr>
          <w:i/>
          <w:iCs/>
          <w:color w:val="000000" w:themeColor="text1"/>
        </w:rPr>
        <w:t>The nature of wellbeing: how nature</w:t>
      </w:r>
      <w:r>
        <w:rPr>
          <w:i/>
          <w:iCs/>
          <w:color w:val="000000" w:themeColor="text1"/>
        </w:rPr>
        <w:t>’</w:t>
      </w:r>
      <w:r w:rsidRPr="005D6D89">
        <w:rPr>
          <w:i/>
          <w:iCs/>
          <w:color w:val="000000" w:themeColor="text1"/>
        </w:rPr>
        <w:t>s ecosystem services contribute to the wellbeing of New Zealand and New Zealanders.</w:t>
      </w:r>
      <w:r w:rsidRPr="005D6D89">
        <w:rPr>
          <w:color w:val="000000" w:themeColor="text1"/>
        </w:rPr>
        <w:t xml:space="preserve"> Wellington: Department of Conservation. </w:t>
      </w:r>
    </w:p>
    <w:p w14:paraId="4A7E11C8" w14:textId="77777777" w:rsidR="007D0B70" w:rsidRPr="005D6D89" w:rsidRDefault="007D0B70" w:rsidP="007D0B70">
      <w:pPr>
        <w:pStyle w:val="References"/>
        <w:rPr>
          <w:rFonts w:cs="Arial"/>
        </w:rPr>
      </w:pPr>
      <w:r>
        <w:rPr>
          <w:rFonts w:cs="Arial"/>
        </w:rPr>
        <w:t>Robertson H</w:t>
      </w:r>
      <w:r w:rsidRPr="005D6D89">
        <w:rPr>
          <w:rFonts w:cs="Arial"/>
        </w:rPr>
        <w:t xml:space="preserve"> A</w:t>
      </w:r>
      <w:r>
        <w:rPr>
          <w:rFonts w:cs="Arial"/>
        </w:rPr>
        <w:t xml:space="preserve">, Ausseil A </w:t>
      </w:r>
      <w:r w:rsidRPr="005D6D89">
        <w:rPr>
          <w:rFonts w:cs="Arial"/>
        </w:rPr>
        <w:t>G</w:t>
      </w:r>
      <w:r>
        <w:rPr>
          <w:rFonts w:cs="Arial"/>
        </w:rPr>
        <w:t>,</w:t>
      </w:r>
      <w:r w:rsidRPr="005D6D89">
        <w:rPr>
          <w:rFonts w:cs="Arial"/>
        </w:rPr>
        <w:t xml:space="preserve"> Ranc</w:t>
      </w:r>
      <w:r>
        <w:rPr>
          <w:rFonts w:cs="Arial"/>
        </w:rPr>
        <w:t>e</w:t>
      </w:r>
      <w:r w:rsidRPr="005D6D89">
        <w:rPr>
          <w:rFonts w:cs="Arial"/>
        </w:rPr>
        <w:t xml:space="preserve"> B</w:t>
      </w:r>
      <w:r>
        <w:rPr>
          <w:rFonts w:cs="Arial"/>
        </w:rPr>
        <w:t>, Betts</w:t>
      </w:r>
      <w:r w:rsidRPr="005D6D89">
        <w:rPr>
          <w:rFonts w:cs="Arial"/>
        </w:rPr>
        <w:t xml:space="preserve"> H</w:t>
      </w:r>
      <w:r>
        <w:rPr>
          <w:rFonts w:cs="Arial"/>
        </w:rPr>
        <w:t xml:space="preserve"> and Pomeroy</w:t>
      </w:r>
      <w:r w:rsidRPr="005D6D89">
        <w:rPr>
          <w:rFonts w:cs="Arial"/>
        </w:rPr>
        <w:t xml:space="preserve"> E. (2019). Loss of wetlands since 1990 in Southland, New Zealand. </w:t>
      </w:r>
      <w:r w:rsidRPr="005D6D89">
        <w:rPr>
          <w:i/>
          <w:iCs/>
        </w:rPr>
        <w:t>New Zealand Journal of Ecology</w:t>
      </w:r>
      <w:r w:rsidRPr="005D6D89">
        <w:rPr>
          <w:rFonts w:cs="Arial"/>
        </w:rPr>
        <w:t>, 43(1), 1–9.</w:t>
      </w:r>
    </w:p>
    <w:p w14:paraId="617D063D" w14:textId="77777777" w:rsidR="007D0B70" w:rsidRPr="005D6D89" w:rsidRDefault="007D0B70" w:rsidP="007D0B70">
      <w:pPr>
        <w:pStyle w:val="References"/>
        <w:rPr>
          <w:rFonts w:cs="Arial"/>
        </w:rPr>
      </w:pPr>
      <w:r>
        <w:rPr>
          <w:rFonts w:cs="Arial"/>
        </w:rPr>
        <w:t>Robertson</w:t>
      </w:r>
      <w:r w:rsidRPr="005D6D89">
        <w:rPr>
          <w:rFonts w:cs="Arial"/>
        </w:rPr>
        <w:t xml:space="preserve"> H</w:t>
      </w:r>
      <w:r>
        <w:rPr>
          <w:rFonts w:cs="Arial"/>
        </w:rPr>
        <w:t>, Bowie</w:t>
      </w:r>
      <w:r w:rsidRPr="005D6D89">
        <w:rPr>
          <w:rFonts w:cs="Arial"/>
        </w:rPr>
        <w:t xml:space="preserve"> S</w:t>
      </w:r>
      <w:r>
        <w:rPr>
          <w:rFonts w:cs="Arial"/>
        </w:rPr>
        <w:t>, Death</w:t>
      </w:r>
      <w:r w:rsidRPr="005D6D89">
        <w:rPr>
          <w:rFonts w:cs="Arial"/>
        </w:rPr>
        <w:t xml:space="preserve"> R</w:t>
      </w:r>
      <w:r>
        <w:rPr>
          <w:rFonts w:cs="Arial"/>
        </w:rPr>
        <w:t xml:space="preserve"> and Collins</w:t>
      </w:r>
      <w:r w:rsidRPr="005D6D89">
        <w:rPr>
          <w:rFonts w:cs="Arial"/>
        </w:rPr>
        <w:t xml:space="preserve"> D. (2016). </w:t>
      </w:r>
      <w:r w:rsidRPr="005D6D89">
        <w:rPr>
          <w:rFonts w:cs="Arial"/>
          <w:i/>
          <w:iCs/>
        </w:rPr>
        <w:t>Freshwater conserva</w:t>
      </w:r>
      <w:r>
        <w:rPr>
          <w:rFonts w:cs="Arial"/>
          <w:i/>
          <w:iCs/>
        </w:rPr>
        <w:t>tion under a changing climate. P</w:t>
      </w:r>
      <w:r w:rsidRPr="005D6D89">
        <w:rPr>
          <w:rFonts w:cs="Arial"/>
          <w:i/>
          <w:iCs/>
        </w:rPr>
        <w:t>roceeding of a workshop hosted by the Department of Conservation</w:t>
      </w:r>
      <w:r>
        <w:rPr>
          <w:rFonts w:cs="Arial"/>
        </w:rPr>
        <w:t>. (p</w:t>
      </w:r>
      <w:r w:rsidRPr="005D6D89">
        <w:rPr>
          <w:rFonts w:cs="Arial"/>
        </w:rPr>
        <w:t xml:space="preserve"> 87). Wellington: Department of Conservation. </w:t>
      </w:r>
    </w:p>
    <w:p w14:paraId="1465312C" w14:textId="77777777" w:rsidR="007D0B70" w:rsidRPr="005D6D89" w:rsidRDefault="007D0B70" w:rsidP="007D0B70">
      <w:pPr>
        <w:pStyle w:val="References"/>
        <w:rPr>
          <w:rFonts w:cs="Arial"/>
        </w:rPr>
      </w:pPr>
      <w:r>
        <w:rPr>
          <w:rFonts w:cs="Arial"/>
        </w:rPr>
        <w:t>Rosser</w:t>
      </w:r>
      <w:r w:rsidRPr="005D6D89">
        <w:rPr>
          <w:rFonts w:cs="Arial"/>
        </w:rPr>
        <w:t xml:space="preserve"> B</w:t>
      </w:r>
      <w:r>
        <w:rPr>
          <w:rFonts w:cs="Arial"/>
        </w:rPr>
        <w:t>, Dellow</w:t>
      </w:r>
      <w:r w:rsidRPr="005D6D89">
        <w:rPr>
          <w:rFonts w:cs="Arial"/>
        </w:rPr>
        <w:t xml:space="preserve"> S</w:t>
      </w:r>
      <w:r>
        <w:rPr>
          <w:rFonts w:cs="Arial"/>
        </w:rPr>
        <w:t>, Haubrock</w:t>
      </w:r>
      <w:r w:rsidRPr="005D6D89">
        <w:rPr>
          <w:rFonts w:cs="Arial"/>
        </w:rPr>
        <w:t xml:space="preserve"> S</w:t>
      </w:r>
      <w:r>
        <w:rPr>
          <w:rFonts w:cs="Arial"/>
        </w:rPr>
        <w:t xml:space="preserve"> and Glassey</w:t>
      </w:r>
      <w:r w:rsidRPr="005D6D89">
        <w:rPr>
          <w:rFonts w:cs="Arial"/>
        </w:rPr>
        <w:t xml:space="preserve"> P. (2017). New Zealand</w:t>
      </w:r>
      <w:r>
        <w:rPr>
          <w:rFonts w:cs="Arial"/>
        </w:rPr>
        <w:t>’</w:t>
      </w:r>
      <w:r w:rsidRPr="005D6D89">
        <w:rPr>
          <w:rFonts w:cs="Arial"/>
        </w:rPr>
        <w:t xml:space="preserve">s national landslide database. </w:t>
      </w:r>
      <w:r w:rsidRPr="005D6D89">
        <w:rPr>
          <w:rFonts w:cs="Arial"/>
          <w:i/>
          <w:iCs/>
        </w:rPr>
        <w:t>Landslides</w:t>
      </w:r>
      <w:r w:rsidRPr="005D6D89">
        <w:rPr>
          <w:rFonts w:cs="Arial"/>
        </w:rPr>
        <w:t>, 1–11.</w:t>
      </w:r>
    </w:p>
    <w:p w14:paraId="091C24C1" w14:textId="77777777" w:rsidR="007D0B70" w:rsidRPr="005D6D89" w:rsidRDefault="007D0B70" w:rsidP="007D0B70">
      <w:pPr>
        <w:pStyle w:val="References"/>
        <w:rPr>
          <w:rFonts w:cs="Arial"/>
        </w:rPr>
      </w:pPr>
      <w:r>
        <w:rPr>
          <w:rFonts w:cs="Arial"/>
        </w:rPr>
        <w:t>Rouse</w:t>
      </w:r>
      <w:r w:rsidRPr="005D6D89">
        <w:rPr>
          <w:rFonts w:cs="Arial"/>
        </w:rPr>
        <w:t xml:space="preserve"> H</w:t>
      </w:r>
      <w:r>
        <w:rPr>
          <w:rFonts w:cs="Arial"/>
        </w:rPr>
        <w:t>, Bell</w:t>
      </w:r>
      <w:r w:rsidRPr="005D6D89">
        <w:rPr>
          <w:rFonts w:cs="Arial"/>
        </w:rPr>
        <w:t xml:space="preserve"> R</w:t>
      </w:r>
      <w:r>
        <w:rPr>
          <w:rFonts w:cs="Arial"/>
        </w:rPr>
        <w:t>, Lundquist</w:t>
      </w:r>
      <w:r w:rsidRPr="005D6D89">
        <w:rPr>
          <w:rFonts w:cs="Arial"/>
        </w:rPr>
        <w:t xml:space="preserve"> C J</w:t>
      </w:r>
      <w:r>
        <w:rPr>
          <w:rFonts w:cs="Arial"/>
        </w:rPr>
        <w:t>, Blackett</w:t>
      </w:r>
      <w:r w:rsidRPr="005D6D89">
        <w:rPr>
          <w:rFonts w:cs="Arial"/>
        </w:rPr>
        <w:t xml:space="preserve"> P</w:t>
      </w:r>
      <w:r>
        <w:rPr>
          <w:rFonts w:cs="Arial"/>
        </w:rPr>
        <w:t>, Hicks D</w:t>
      </w:r>
      <w:r w:rsidRPr="005D6D89">
        <w:rPr>
          <w:rFonts w:cs="Arial"/>
        </w:rPr>
        <w:t xml:space="preserve"> M</w:t>
      </w:r>
      <w:r>
        <w:rPr>
          <w:rFonts w:cs="Arial"/>
        </w:rPr>
        <w:t xml:space="preserve"> and King D </w:t>
      </w:r>
      <w:r w:rsidRPr="005D6D89">
        <w:rPr>
          <w:rFonts w:cs="Arial"/>
        </w:rPr>
        <w:t xml:space="preserve">N. (2017). Coastal adaptation to climate change in Aotearoa-New Zealand. </w:t>
      </w:r>
      <w:r w:rsidRPr="005D6D89">
        <w:rPr>
          <w:rFonts w:cs="Arial"/>
          <w:i/>
          <w:iCs/>
        </w:rPr>
        <w:t>New Zealand Journal of Marine and Freshwater Research</w:t>
      </w:r>
      <w:r w:rsidRPr="005D6D89">
        <w:rPr>
          <w:rFonts w:cs="Arial"/>
        </w:rPr>
        <w:t>, 51(2), 183–222.</w:t>
      </w:r>
    </w:p>
    <w:p w14:paraId="17BAA355" w14:textId="77777777" w:rsidR="007D0B70" w:rsidRPr="005D6D89" w:rsidRDefault="007D0B70" w:rsidP="007D0B70">
      <w:pPr>
        <w:pStyle w:val="References"/>
        <w:rPr>
          <w:rFonts w:cs="Arial"/>
        </w:rPr>
      </w:pPr>
      <w:r w:rsidRPr="005D6D89">
        <w:rPr>
          <w:rFonts w:cs="Arial"/>
        </w:rPr>
        <w:t xml:space="preserve">Royal Society | Te Apārangi. (2017). </w:t>
      </w:r>
      <w:r>
        <w:rPr>
          <w:rFonts w:cs="Arial"/>
          <w:i/>
          <w:iCs/>
        </w:rPr>
        <w:t>Human health i</w:t>
      </w:r>
      <w:r w:rsidRPr="005D6D89">
        <w:rPr>
          <w:rFonts w:cs="Arial"/>
          <w:i/>
          <w:iCs/>
        </w:rPr>
        <w:t xml:space="preserve">mpacts of climate human health change for new impacts of climate </w:t>
      </w:r>
      <w:r>
        <w:rPr>
          <w:rFonts w:cs="Arial"/>
          <w:i/>
          <w:iCs/>
        </w:rPr>
        <w:t>c</w:t>
      </w:r>
      <w:r w:rsidRPr="005D6D89">
        <w:rPr>
          <w:rFonts w:cs="Arial"/>
          <w:i/>
          <w:iCs/>
        </w:rPr>
        <w:t>hange for New Zealand</w:t>
      </w:r>
      <w:r w:rsidRPr="005D6D89">
        <w:rPr>
          <w:rFonts w:cs="Arial"/>
        </w:rPr>
        <w:t>. April, 1–18.</w:t>
      </w:r>
    </w:p>
    <w:p w14:paraId="6E18B597" w14:textId="77777777" w:rsidR="007D0B70" w:rsidRPr="005D6D89" w:rsidRDefault="007D0B70" w:rsidP="007D0B70">
      <w:pPr>
        <w:pStyle w:val="References"/>
        <w:rPr>
          <w:rFonts w:cs="Arial"/>
        </w:rPr>
      </w:pPr>
      <w:r>
        <w:rPr>
          <w:rFonts w:cs="Arial"/>
        </w:rPr>
        <w:t>Salinger M</w:t>
      </w:r>
      <w:r w:rsidRPr="005D6D89">
        <w:rPr>
          <w:rFonts w:cs="Arial"/>
        </w:rPr>
        <w:t xml:space="preserve"> J. (1987). Impact of climatic warming on</w:t>
      </w:r>
      <w:r>
        <w:rPr>
          <w:rFonts w:cs="Arial"/>
        </w:rPr>
        <w:t xml:space="preserve"> the New Zealand growing season</w:t>
      </w:r>
      <w:r w:rsidRPr="005D6D89">
        <w:rPr>
          <w:rFonts w:cs="Arial"/>
        </w:rPr>
        <w:t xml:space="preserve">. </w:t>
      </w:r>
      <w:r w:rsidRPr="005D6D89">
        <w:rPr>
          <w:rFonts w:cs="Arial"/>
          <w:i/>
          <w:iCs/>
        </w:rPr>
        <w:t>Journal of the Royal Society of New Zealand, 17</w:t>
      </w:r>
      <w:r w:rsidRPr="005D6D89">
        <w:rPr>
          <w:rFonts w:cs="Arial"/>
        </w:rPr>
        <w:t>(4), 363–371.</w:t>
      </w:r>
    </w:p>
    <w:p w14:paraId="44FB4729" w14:textId="77777777" w:rsidR="007D0B70" w:rsidRPr="005D6D89" w:rsidRDefault="007D0B70" w:rsidP="007D0B70">
      <w:pPr>
        <w:pStyle w:val="References"/>
        <w:rPr>
          <w:rFonts w:cs="Arial"/>
        </w:rPr>
      </w:pPr>
      <w:r>
        <w:rPr>
          <w:rFonts w:cs="Arial"/>
        </w:rPr>
        <w:t>Salinger J</w:t>
      </w:r>
      <w:r w:rsidRPr="005D6D89">
        <w:rPr>
          <w:rFonts w:cs="Arial"/>
        </w:rPr>
        <w:t xml:space="preserve"> M</w:t>
      </w:r>
      <w:r>
        <w:rPr>
          <w:rFonts w:cs="Arial"/>
        </w:rPr>
        <w:t>,</w:t>
      </w:r>
      <w:r w:rsidRPr="005D6D89">
        <w:rPr>
          <w:rFonts w:cs="Arial"/>
        </w:rPr>
        <w:t xml:space="preserve"> </w:t>
      </w:r>
      <w:r>
        <w:rPr>
          <w:rFonts w:cs="Arial"/>
        </w:rPr>
        <w:t>Renwick</w:t>
      </w:r>
      <w:r w:rsidRPr="005D6D89">
        <w:rPr>
          <w:rFonts w:cs="Arial"/>
        </w:rPr>
        <w:t xml:space="preserve"> J</w:t>
      </w:r>
      <w:r>
        <w:rPr>
          <w:rFonts w:cs="Arial"/>
        </w:rPr>
        <w:t>, Behrens</w:t>
      </w:r>
      <w:r w:rsidRPr="005D6D89">
        <w:rPr>
          <w:rFonts w:cs="Arial"/>
        </w:rPr>
        <w:t xml:space="preserve"> E</w:t>
      </w:r>
      <w:r>
        <w:rPr>
          <w:rFonts w:cs="Arial"/>
        </w:rPr>
        <w:t>, Mullan B</w:t>
      </w:r>
      <w:r w:rsidRPr="005D6D89">
        <w:rPr>
          <w:rFonts w:cs="Arial"/>
        </w:rPr>
        <w:t xml:space="preserve"> A</w:t>
      </w:r>
      <w:r>
        <w:rPr>
          <w:rFonts w:cs="Arial"/>
        </w:rPr>
        <w:t>, Diamond H</w:t>
      </w:r>
      <w:r w:rsidRPr="005D6D89">
        <w:rPr>
          <w:rFonts w:cs="Arial"/>
        </w:rPr>
        <w:t xml:space="preserve"> J</w:t>
      </w:r>
      <w:r>
        <w:rPr>
          <w:rFonts w:cs="Arial"/>
        </w:rPr>
        <w:t>, Sirguey</w:t>
      </w:r>
      <w:r w:rsidRPr="005D6D89">
        <w:rPr>
          <w:rFonts w:cs="Arial"/>
        </w:rPr>
        <w:t xml:space="preserve"> P</w:t>
      </w:r>
      <w:r>
        <w:rPr>
          <w:rFonts w:cs="Arial"/>
        </w:rPr>
        <w:t>, Cullen N</w:t>
      </w:r>
      <w:r w:rsidRPr="005D6D89">
        <w:rPr>
          <w:rFonts w:cs="Arial"/>
        </w:rPr>
        <w:t xml:space="preserve"> J. (2019). The unprecedented coupled ocean-atmosphere summer heatwave in the New Zealand region 2017/18: drivers, mechanisms and impacts. </w:t>
      </w:r>
      <w:r w:rsidRPr="005D6D89">
        <w:rPr>
          <w:rFonts w:cs="Arial"/>
          <w:i/>
          <w:iCs/>
        </w:rPr>
        <w:t>Environmental Research Letters, 14</w:t>
      </w:r>
      <w:r w:rsidRPr="005D6D89">
        <w:rPr>
          <w:rFonts w:cs="Arial"/>
        </w:rPr>
        <w:t>(4).</w:t>
      </w:r>
    </w:p>
    <w:p w14:paraId="76E5B98C" w14:textId="77777777" w:rsidR="007D0B70" w:rsidRPr="005D6D89" w:rsidRDefault="007D0B70" w:rsidP="007D0B70">
      <w:pPr>
        <w:pStyle w:val="References"/>
        <w:rPr>
          <w:rFonts w:cs="Arial"/>
        </w:rPr>
      </w:pPr>
      <w:r w:rsidRPr="005D6D89">
        <w:rPr>
          <w:rFonts w:cs="Arial"/>
        </w:rPr>
        <w:t>Sch</w:t>
      </w:r>
      <w:r>
        <w:rPr>
          <w:rFonts w:cs="Arial"/>
        </w:rPr>
        <w:t>allenberg</w:t>
      </w:r>
      <w:r w:rsidRPr="005D6D89">
        <w:rPr>
          <w:rFonts w:cs="Arial"/>
        </w:rPr>
        <w:t xml:space="preserve"> M</w:t>
      </w:r>
      <w:r>
        <w:rPr>
          <w:rFonts w:cs="Arial"/>
        </w:rPr>
        <w:t xml:space="preserve">, Hall C </w:t>
      </w:r>
      <w:r w:rsidRPr="005D6D89">
        <w:rPr>
          <w:rFonts w:cs="Arial"/>
        </w:rPr>
        <w:t>J</w:t>
      </w:r>
      <w:r>
        <w:rPr>
          <w:rFonts w:cs="Arial"/>
        </w:rPr>
        <w:t xml:space="preserve"> and Burns C</w:t>
      </w:r>
      <w:r w:rsidRPr="005D6D89">
        <w:rPr>
          <w:rFonts w:cs="Arial"/>
        </w:rPr>
        <w:t xml:space="preserve"> W. (2003). Consequences of climate-induced salinity increases on zooplankton abundance and diversity in coastal lakes. </w:t>
      </w:r>
      <w:r w:rsidRPr="005D6D89">
        <w:rPr>
          <w:rFonts w:cs="Arial"/>
          <w:i/>
          <w:iCs/>
        </w:rPr>
        <w:t>Marine Ecology Progress Series</w:t>
      </w:r>
      <w:r w:rsidRPr="005D6D89">
        <w:rPr>
          <w:rFonts w:cs="Arial"/>
        </w:rPr>
        <w:t>, 251, 181–189.</w:t>
      </w:r>
    </w:p>
    <w:p w14:paraId="660C1EE7" w14:textId="77777777" w:rsidR="007D0B70" w:rsidRPr="005D6D89" w:rsidRDefault="007D0B70" w:rsidP="007D0B70">
      <w:pPr>
        <w:pStyle w:val="References"/>
        <w:rPr>
          <w:rFonts w:cs="Arial"/>
        </w:rPr>
      </w:pPr>
      <w:r>
        <w:rPr>
          <w:rFonts w:cs="Arial"/>
          <w:lang w:eastAsia="en-AU"/>
        </w:rPr>
        <w:t>Scoones</w:t>
      </w:r>
      <w:r w:rsidRPr="005D6D89">
        <w:rPr>
          <w:rFonts w:cs="Arial"/>
          <w:lang w:eastAsia="en-AU"/>
        </w:rPr>
        <w:t xml:space="preserve"> I. (2019). </w:t>
      </w:r>
      <w:r>
        <w:rPr>
          <w:rFonts w:cs="Arial"/>
          <w:i/>
          <w:iCs/>
          <w:lang w:eastAsia="en-AU"/>
        </w:rPr>
        <w:t>What is uncertainty and why d</w:t>
      </w:r>
      <w:r w:rsidRPr="005D6D89">
        <w:rPr>
          <w:rFonts w:cs="Arial"/>
          <w:i/>
          <w:iCs/>
          <w:lang w:eastAsia="en-AU"/>
        </w:rPr>
        <w:t>oes</w:t>
      </w:r>
      <w:r>
        <w:rPr>
          <w:rFonts w:cs="Arial"/>
          <w:i/>
          <w:iCs/>
          <w:lang w:eastAsia="en-AU"/>
        </w:rPr>
        <w:t xml:space="preserve"> it m</w:t>
      </w:r>
      <w:r w:rsidRPr="005D6D89">
        <w:rPr>
          <w:rFonts w:cs="Arial"/>
          <w:i/>
          <w:iCs/>
          <w:lang w:eastAsia="en-AU"/>
        </w:rPr>
        <w:t>atter</w:t>
      </w:r>
      <w:proofErr w:type="gramStart"/>
      <w:r w:rsidRPr="005D6D89">
        <w:rPr>
          <w:rFonts w:cs="Arial"/>
          <w:i/>
          <w:iCs/>
          <w:lang w:eastAsia="en-AU"/>
        </w:rPr>
        <w:t>?</w:t>
      </w:r>
      <w:r w:rsidRPr="005D6D89">
        <w:rPr>
          <w:rFonts w:cs="Arial"/>
          <w:lang w:eastAsia="en-AU"/>
        </w:rPr>
        <w:t>,</w:t>
      </w:r>
      <w:proofErr w:type="gramEnd"/>
      <w:r w:rsidRPr="005D6D89">
        <w:rPr>
          <w:rFonts w:cs="Arial"/>
          <w:lang w:eastAsia="en-AU"/>
        </w:rPr>
        <w:t xml:space="preserve"> STEPS Working Paper 105, Brighton: STEPS Centre. </w:t>
      </w:r>
    </w:p>
    <w:p w14:paraId="7A0A653F" w14:textId="77777777" w:rsidR="007D0B70" w:rsidRPr="005D6D89" w:rsidRDefault="007D0B70" w:rsidP="007D0B70">
      <w:pPr>
        <w:pStyle w:val="References"/>
        <w:rPr>
          <w:rFonts w:cs="Arial"/>
        </w:rPr>
      </w:pPr>
      <w:r>
        <w:rPr>
          <w:rFonts w:cs="Arial"/>
        </w:rPr>
        <w:t>Scott</w:t>
      </w:r>
      <w:r w:rsidRPr="005D6D89">
        <w:rPr>
          <w:rFonts w:cs="Arial"/>
        </w:rPr>
        <w:t xml:space="preserve"> H</w:t>
      </w:r>
      <w:r>
        <w:rPr>
          <w:rFonts w:cs="Arial"/>
        </w:rPr>
        <w:t>, McEvoy</w:t>
      </w:r>
      <w:r w:rsidRPr="005D6D89">
        <w:rPr>
          <w:rFonts w:cs="Arial"/>
        </w:rPr>
        <w:t xml:space="preserve"> D</w:t>
      </w:r>
      <w:r>
        <w:rPr>
          <w:rFonts w:cs="Arial"/>
        </w:rPr>
        <w:t>, Chhetri</w:t>
      </w:r>
      <w:r w:rsidRPr="005D6D89">
        <w:rPr>
          <w:rFonts w:cs="Arial"/>
        </w:rPr>
        <w:t xml:space="preserve"> P</w:t>
      </w:r>
      <w:r>
        <w:rPr>
          <w:rFonts w:cs="Arial"/>
        </w:rPr>
        <w:t>, Basic</w:t>
      </w:r>
      <w:r w:rsidRPr="005D6D89">
        <w:rPr>
          <w:rFonts w:cs="Arial"/>
        </w:rPr>
        <w:t xml:space="preserve"> F</w:t>
      </w:r>
      <w:r>
        <w:rPr>
          <w:rFonts w:cs="Arial"/>
        </w:rPr>
        <w:t xml:space="preserve"> and Mullett</w:t>
      </w:r>
      <w:r w:rsidRPr="005D6D89">
        <w:rPr>
          <w:rFonts w:cs="Arial"/>
        </w:rPr>
        <w:t xml:space="preserve"> J. (2013). </w:t>
      </w:r>
      <w:proofErr w:type="gramStart"/>
      <w:r w:rsidRPr="005D6D89">
        <w:rPr>
          <w:rFonts w:cs="Arial"/>
          <w:i/>
          <w:iCs/>
        </w:rPr>
        <w:t>Climate change adaptation guidelines</w:t>
      </w:r>
      <w:proofErr w:type="gramEnd"/>
      <w:r w:rsidRPr="005D6D89">
        <w:rPr>
          <w:rFonts w:cs="Arial"/>
          <w:i/>
          <w:iCs/>
        </w:rPr>
        <w:t xml:space="preserve"> for ports </w:t>
      </w:r>
      <w:r>
        <w:rPr>
          <w:rFonts w:cs="Arial"/>
          <w:i/>
          <w:iCs/>
        </w:rPr>
        <w:t>–</w:t>
      </w:r>
      <w:r w:rsidRPr="005D6D89">
        <w:rPr>
          <w:rFonts w:cs="Arial"/>
          <w:i/>
          <w:iCs/>
        </w:rPr>
        <w:t xml:space="preserve"> Enhancing the resilience of seaports to a changing climate report series</w:t>
      </w:r>
      <w:r w:rsidRPr="005D6D89">
        <w:rPr>
          <w:rFonts w:cs="Arial"/>
        </w:rPr>
        <w:t>. Gold Coast: National Climate Change Adaptation Research Facility.</w:t>
      </w:r>
    </w:p>
    <w:p w14:paraId="7BDB2036" w14:textId="77777777" w:rsidR="007D0B70" w:rsidRPr="005D6D89" w:rsidRDefault="007D0B70" w:rsidP="007D0B70">
      <w:pPr>
        <w:pStyle w:val="References"/>
        <w:rPr>
          <w:rFonts w:cs="Arial"/>
          <w:color w:val="000000" w:themeColor="text1"/>
        </w:rPr>
      </w:pPr>
      <w:r w:rsidRPr="005D6D89">
        <w:t>Smeith and Dunstan</w:t>
      </w:r>
      <w:r w:rsidR="007B0FC9">
        <w:t>.</w:t>
      </w:r>
      <w:r w:rsidRPr="005D6D89">
        <w:t xml:space="preserve"> (2004) </w:t>
      </w:r>
      <w:r w:rsidRPr="005D6D89">
        <w:rPr>
          <w:i/>
          <w:iCs/>
        </w:rPr>
        <w:t>Ethnic population projections: issues and trends</w:t>
      </w:r>
      <w:r w:rsidRPr="005D6D89">
        <w:t xml:space="preserve"> </w:t>
      </w:r>
      <w:hyperlink r:id="rId110" w:history="1">
        <w:r w:rsidRPr="005D6D89">
          <w:rPr>
            <w:rStyle w:val="Hyperlink"/>
          </w:rPr>
          <w:t>http://archive.stats.govt.nz/browse_for_stats/population/estimates_and_projections/ethnic-pop-projections-issues-and-trends.aspx</w:t>
        </w:r>
      </w:hyperlink>
      <w:r w:rsidRPr="005D6D89">
        <w:rPr>
          <w:color w:val="000000" w:themeColor="text1"/>
        </w:rPr>
        <w:t xml:space="preserve"> </w:t>
      </w:r>
    </w:p>
    <w:p w14:paraId="206FC16A" w14:textId="77777777" w:rsidR="007D0B70" w:rsidRPr="005D6D89" w:rsidRDefault="007D0B70" w:rsidP="007D0B70">
      <w:pPr>
        <w:pStyle w:val="References"/>
        <w:rPr>
          <w:rFonts w:cs="Arial"/>
        </w:rPr>
      </w:pPr>
      <w:r>
        <w:rPr>
          <w:rFonts w:cs="Arial"/>
        </w:rPr>
        <w:t xml:space="preserve">Smith L </w:t>
      </w:r>
      <w:r w:rsidRPr="005D6D89">
        <w:rPr>
          <w:rFonts w:cs="Arial"/>
        </w:rPr>
        <w:t xml:space="preserve">T. </w:t>
      </w:r>
      <w:r>
        <w:rPr>
          <w:rFonts w:cs="Arial"/>
        </w:rPr>
        <w:t>(</w:t>
      </w:r>
      <w:r w:rsidRPr="005D6D89">
        <w:rPr>
          <w:rFonts w:cs="Arial"/>
        </w:rPr>
        <w:t>2005</w:t>
      </w:r>
      <w:r>
        <w:rPr>
          <w:rFonts w:cs="Arial"/>
        </w:rPr>
        <w:t>)</w:t>
      </w:r>
      <w:r w:rsidRPr="005D6D89">
        <w:rPr>
          <w:rFonts w:cs="Arial"/>
        </w:rPr>
        <w:t xml:space="preserve">. On tricky ground </w:t>
      </w:r>
      <w:r>
        <w:rPr>
          <w:rFonts w:cs="Arial"/>
        </w:rPr>
        <w:t>–</w:t>
      </w:r>
      <w:r w:rsidRPr="005D6D89">
        <w:rPr>
          <w:rFonts w:cs="Arial"/>
        </w:rPr>
        <w:t xml:space="preserve"> Researching the native </w:t>
      </w:r>
      <w:r>
        <w:rPr>
          <w:rFonts w:cs="Arial"/>
        </w:rPr>
        <w:t>in the age of uncertainty. In N K</w:t>
      </w:r>
      <w:r w:rsidRPr="005D6D89">
        <w:rPr>
          <w:rFonts w:cs="Arial"/>
        </w:rPr>
        <w:t xml:space="preserve"> Denzin</w:t>
      </w:r>
      <w:r>
        <w:rPr>
          <w:rFonts w:cs="Arial"/>
        </w:rPr>
        <w:t xml:space="preserve"> and Y S Lincoln (Eds</w:t>
      </w:r>
      <w:r w:rsidRPr="005D6D89">
        <w:rPr>
          <w:rFonts w:cs="Arial"/>
        </w:rPr>
        <w:t xml:space="preserve">), </w:t>
      </w:r>
      <w:r w:rsidRPr="005D6D89">
        <w:rPr>
          <w:rFonts w:cs="Arial"/>
          <w:i/>
          <w:iCs/>
        </w:rPr>
        <w:t>The Sage handbook of qualitative research</w:t>
      </w:r>
      <w:r w:rsidRPr="005D6D89">
        <w:rPr>
          <w:rFonts w:cs="Arial"/>
        </w:rPr>
        <w:t xml:space="preserve"> (</w:t>
      </w:r>
      <w:r>
        <w:rPr>
          <w:rFonts w:cs="Arial"/>
        </w:rPr>
        <w:t>pp</w:t>
      </w:r>
      <w:r w:rsidRPr="005D6D89">
        <w:rPr>
          <w:rFonts w:cs="Arial"/>
        </w:rPr>
        <w:t xml:space="preserve"> 1–12). Thousand Oaks, California.</w:t>
      </w:r>
    </w:p>
    <w:p w14:paraId="7A5BB47B" w14:textId="77777777" w:rsidR="007D0B70" w:rsidRPr="005D6D89" w:rsidRDefault="007D0B70" w:rsidP="007D0B70">
      <w:pPr>
        <w:pStyle w:val="References"/>
        <w:rPr>
          <w:rFonts w:cs="Arial"/>
        </w:rPr>
      </w:pPr>
      <w:r>
        <w:rPr>
          <w:rFonts w:cs="Arial"/>
        </w:rPr>
        <w:t>Smith K</w:t>
      </w:r>
      <w:r w:rsidRPr="005D6D89">
        <w:rPr>
          <w:rFonts w:cs="Arial"/>
        </w:rPr>
        <w:t xml:space="preserve"> R</w:t>
      </w:r>
      <w:r>
        <w:rPr>
          <w:rFonts w:cs="Arial"/>
        </w:rPr>
        <w:t>, Woodward</w:t>
      </w:r>
      <w:r w:rsidRPr="005D6D89">
        <w:rPr>
          <w:rFonts w:cs="Arial"/>
        </w:rPr>
        <w:t xml:space="preserve"> A</w:t>
      </w:r>
      <w:r>
        <w:rPr>
          <w:rFonts w:cs="Arial"/>
        </w:rPr>
        <w:t>, Campbell-Lendrum</w:t>
      </w:r>
      <w:r w:rsidRPr="005D6D89">
        <w:rPr>
          <w:rFonts w:cs="Arial"/>
        </w:rPr>
        <w:t xml:space="preserve"> D</w:t>
      </w:r>
      <w:r>
        <w:rPr>
          <w:rFonts w:cs="Arial"/>
        </w:rPr>
        <w:t>, Chadee</w:t>
      </w:r>
      <w:r w:rsidRPr="005D6D89">
        <w:rPr>
          <w:rFonts w:cs="Arial"/>
        </w:rPr>
        <w:t xml:space="preserve"> D</w:t>
      </w:r>
      <w:r>
        <w:rPr>
          <w:rFonts w:cs="Arial"/>
        </w:rPr>
        <w:t>, Honda</w:t>
      </w:r>
      <w:r w:rsidRPr="005D6D89">
        <w:rPr>
          <w:rFonts w:cs="Arial"/>
        </w:rPr>
        <w:t xml:space="preserve"> Y</w:t>
      </w:r>
      <w:r>
        <w:rPr>
          <w:rFonts w:cs="Arial"/>
        </w:rPr>
        <w:t>, Liu</w:t>
      </w:r>
      <w:r w:rsidRPr="005D6D89">
        <w:rPr>
          <w:rFonts w:cs="Arial"/>
        </w:rPr>
        <w:t xml:space="preserve"> Q</w:t>
      </w:r>
      <w:r>
        <w:rPr>
          <w:rFonts w:cs="Arial"/>
        </w:rPr>
        <w:t xml:space="preserve"> ... Sauerborn</w:t>
      </w:r>
      <w:r w:rsidRPr="005D6D89">
        <w:rPr>
          <w:rFonts w:cs="Arial"/>
        </w:rPr>
        <w:t xml:space="preserve"> R. (2014). Human health: impacts, adaptation</w:t>
      </w:r>
      <w:r>
        <w:rPr>
          <w:rFonts w:cs="Arial"/>
        </w:rPr>
        <w:t xml:space="preserve"> and</w:t>
      </w:r>
      <w:r w:rsidRPr="005D6D89">
        <w:rPr>
          <w:rFonts w:cs="Arial"/>
        </w:rPr>
        <w:t xml:space="preserve"> co-be</w:t>
      </w:r>
      <w:r>
        <w:rPr>
          <w:rFonts w:cs="Arial"/>
        </w:rPr>
        <w:t xml:space="preserve">nefits. In </w:t>
      </w:r>
      <w:proofErr w:type="gramStart"/>
      <w:r>
        <w:rPr>
          <w:rFonts w:cs="Arial"/>
        </w:rPr>
        <w:t>Climate</w:t>
      </w:r>
      <w:proofErr w:type="gramEnd"/>
      <w:r>
        <w:rPr>
          <w:rFonts w:cs="Arial"/>
        </w:rPr>
        <w:t xml:space="preserve"> c</w:t>
      </w:r>
      <w:r w:rsidRPr="005D6D89">
        <w:rPr>
          <w:rFonts w:cs="Arial"/>
        </w:rPr>
        <w:t xml:space="preserve">hange 2014: </w:t>
      </w:r>
      <w:r>
        <w:rPr>
          <w:rFonts w:cs="Arial"/>
          <w:i/>
          <w:iCs/>
        </w:rPr>
        <w:t>Impacts, a</w:t>
      </w:r>
      <w:r w:rsidRPr="005D6D89">
        <w:rPr>
          <w:rFonts w:cs="Arial"/>
          <w:i/>
          <w:iCs/>
        </w:rPr>
        <w:t>daptation</w:t>
      </w:r>
      <w:r>
        <w:rPr>
          <w:rFonts w:cs="Arial"/>
          <w:i/>
          <w:iCs/>
        </w:rPr>
        <w:t xml:space="preserve"> and v</w:t>
      </w:r>
      <w:r w:rsidRPr="005D6D89">
        <w:rPr>
          <w:rFonts w:cs="Arial"/>
          <w:i/>
          <w:iCs/>
        </w:rPr>
        <w:t>ul</w:t>
      </w:r>
      <w:r>
        <w:rPr>
          <w:rFonts w:cs="Arial"/>
          <w:i/>
          <w:iCs/>
        </w:rPr>
        <w:t>nerability. Part A: Global and sectoral a</w:t>
      </w:r>
      <w:r w:rsidRPr="005D6D89">
        <w:rPr>
          <w:rFonts w:cs="Arial"/>
          <w:i/>
          <w:iCs/>
        </w:rPr>
        <w:t>spects, Contribution of Working Group II to the Fifth Assessment Report of the IPCC</w:t>
      </w:r>
      <w:r w:rsidRPr="005D6D89">
        <w:rPr>
          <w:rFonts w:cs="Arial"/>
        </w:rPr>
        <w:t xml:space="preserve"> (</w:t>
      </w:r>
      <w:r>
        <w:rPr>
          <w:rFonts w:cs="Arial"/>
        </w:rPr>
        <w:t>pp</w:t>
      </w:r>
      <w:r w:rsidRPr="005D6D89">
        <w:rPr>
          <w:rFonts w:cs="Arial"/>
        </w:rPr>
        <w:t xml:space="preserve"> 709–754). United Kingdom and New York: Cambridge University Press.</w:t>
      </w:r>
    </w:p>
    <w:p w14:paraId="2B27BCA2" w14:textId="77777777" w:rsidR="007D0B70" w:rsidRPr="005D6D89" w:rsidRDefault="007D0B70" w:rsidP="007D0B70">
      <w:pPr>
        <w:pStyle w:val="References"/>
        <w:rPr>
          <w:rFonts w:cs="Arial"/>
        </w:rPr>
      </w:pPr>
      <w:r w:rsidRPr="005D6D89">
        <w:rPr>
          <w:rFonts w:cs="Arial"/>
          <w:lang w:eastAsia="en-AU"/>
        </w:rPr>
        <w:t>S</w:t>
      </w:r>
      <w:r>
        <w:rPr>
          <w:rFonts w:cs="Arial"/>
          <w:lang w:eastAsia="en-AU"/>
        </w:rPr>
        <w:t>tephenson</w:t>
      </w:r>
      <w:r w:rsidRPr="005D6D89">
        <w:rPr>
          <w:rFonts w:cs="Arial"/>
          <w:lang w:eastAsia="en-AU"/>
        </w:rPr>
        <w:t xml:space="preserve"> J</w:t>
      </w:r>
      <w:r>
        <w:rPr>
          <w:rFonts w:cs="Arial"/>
          <w:lang w:eastAsia="en-AU"/>
        </w:rPr>
        <w:t>, Barber</w:t>
      </w:r>
      <w:r w:rsidRPr="005D6D89">
        <w:rPr>
          <w:rFonts w:cs="Arial"/>
          <w:lang w:eastAsia="en-AU"/>
        </w:rPr>
        <w:t xml:space="preserve"> J</w:t>
      </w:r>
      <w:r>
        <w:rPr>
          <w:rFonts w:cs="Arial"/>
          <w:lang w:eastAsia="en-AU"/>
        </w:rPr>
        <w:t>, Barth</w:t>
      </w:r>
      <w:r w:rsidRPr="005D6D89">
        <w:rPr>
          <w:rFonts w:cs="Arial"/>
          <w:lang w:eastAsia="en-AU"/>
        </w:rPr>
        <w:t xml:space="preserve"> J</w:t>
      </w:r>
      <w:r>
        <w:rPr>
          <w:rFonts w:cs="Arial"/>
          <w:lang w:eastAsia="en-AU"/>
        </w:rPr>
        <w:t>, Bond</w:t>
      </w:r>
      <w:r w:rsidRPr="005D6D89">
        <w:rPr>
          <w:rFonts w:cs="Arial"/>
          <w:lang w:eastAsia="en-AU"/>
        </w:rPr>
        <w:t xml:space="preserve"> S</w:t>
      </w:r>
      <w:r>
        <w:rPr>
          <w:rFonts w:cs="Arial"/>
          <w:lang w:eastAsia="en-AU"/>
        </w:rPr>
        <w:t>, Diprose</w:t>
      </w:r>
      <w:r w:rsidRPr="005D6D89">
        <w:rPr>
          <w:rFonts w:cs="Arial"/>
          <w:lang w:eastAsia="en-AU"/>
        </w:rPr>
        <w:t xml:space="preserve"> G</w:t>
      </w:r>
      <w:r>
        <w:rPr>
          <w:rFonts w:cs="Arial"/>
          <w:lang w:eastAsia="en-AU"/>
        </w:rPr>
        <w:t>, Heyd</w:t>
      </w:r>
      <w:r w:rsidRPr="005D6D89">
        <w:rPr>
          <w:rFonts w:cs="Arial"/>
          <w:lang w:eastAsia="en-AU"/>
        </w:rPr>
        <w:t xml:space="preserve"> C</w:t>
      </w:r>
      <w:r>
        <w:rPr>
          <w:rFonts w:cs="Arial"/>
          <w:lang w:eastAsia="en-AU"/>
        </w:rPr>
        <w:t>, Kirk</w:t>
      </w:r>
      <w:r w:rsidRPr="005D6D89">
        <w:rPr>
          <w:rFonts w:cs="Arial"/>
          <w:lang w:eastAsia="en-AU"/>
        </w:rPr>
        <w:t xml:space="preserve"> N</w:t>
      </w:r>
      <w:r>
        <w:rPr>
          <w:rFonts w:cs="Arial"/>
          <w:lang w:eastAsia="en-AU"/>
        </w:rPr>
        <w:t>, Laurie-Fendall</w:t>
      </w:r>
      <w:r w:rsidRPr="005D6D89">
        <w:rPr>
          <w:rFonts w:cs="Arial"/>
          <w:lang w:eastAsia="en-AU"/>
        </w:rPr>
        <w:t xml:space="preserve"> R</w:t>
      </w:r>
      <w:r>
        <w:rPr>
          <w:rFonts w:cs="Arial"/>
          <w:lang w:eastAsia="en-AU"/>
        </w:rPr>
        <w:t>, Orchiston C, Saunders</w:t>
      </w:r>
      <w:r w:rsidRPr="005D6D89">
        <w:rPr>
          <w:rFonts w:cs="Arial"/>
          <w:lang w:eastAsia="en-AU"/>
        </w:rPr>
        <w:t xml:space="preserve"> W</w:t>
      </w:r>
      <w:r>
        <w:rPr>
          <w:rFonts w:cs="Arial"/>
          <w:lang w:eastAsia="en-AU"/>
        </w:rPr>
        <w:t>, Simon</w:t>
      </w:r>
      <w:r w:rsidRPr="005D6D89">
        <w:rPr>
          <w:rFonts w:cs="Arial"/>
          <w:lang w:eastAsia="en-AU"/>
        </w:rPr>
        <w:t xml:space="preserve"> K</w:t>
      </w:r>
      <w:r>
        <w:rPr>
          <w:rFonts w:cs="Arial"/>
          <w:lang w:eastAsia="en-AU"/>
        </w:rPr>
        <w:t>, Thomas</w:t>
      </w:r>
      <w:r w:rsidRPr="005D6D89">
        <w:rPr>
          <w:rFonts w:cs="Arial"/>
          <w:lang w:eastAsia="en-AU"/>
        </w:rPr>
        <w:t xml:space="preserve"> A</w:t>
      </w:r>
      <w:r>
        <w:rPr>
          <w:rFonts w:cs="Arial"/>
          <w:lang w:eastAsia="en-AU"/>
        </w:rPr>
        <w:t xml:space="preserve"> and Vincent</w:t>
      </w:r>
      <w:r w:rsidRPr="005D6D89">
        <w:rPr>
          <w:rFonts w:cs="Arial"/>
          <w:lang w:eastAsia="en-AU"/>
        </w:rPr>
        <w:t xml:space="preserve"> N. (2019). </w:t>
      </w:r>
      <w:r>
        <w:rPr>
          <w:rFonts w:cs="Arial"/>
          <w:i/>
          <w:iCs/>
          <w:lang w:eastAsia="en-AU"/>
        </w:rPr>
        <w:t>Community development for a</w:t>
      </w:r>
      <w:r w:rsidRPr="005D6D89">
        <w:rPr>
          <w:rFonts w:cs="Arial"/>
          <w:i/>
          <w:iCs/>
          <w:lang w:eastAsia="en-AU"/>
        </w:rPr>
        <w:t>daptation (CD4A): Council-community engagement for a climate-impacted future</w:t>
      </w:r>
      <w:r w:rsidRPr="005D6D89">
        <w:rPr>
          <w:rFonts w:cs="Arial"/>
          <w:lang w:eastAsia="en-AU"/>
        </w:rPr>
        <w:t>.</w:t>
      </w:r>
    </w:p>
    <w:p w14:paraId="2E7C66B3" w14:textId="77777777" w:rsidR="007D0B70" w:rsidRPr="005D6D89" w:rsidRDefault="007D0B70" w:rsidP="007D0B70">
      <w:pPr>
        <w:pStyle w:val="References"/>
        <w:rPr>
          <w:rFonts w:cs="Arial"/>
        </w:rPr>
      </w:pPr>
      <w:r>
        <w:rPr>
          <w:rFonts w:cs="Arial"/>
        </w:rPr>
        <w:t>Stephenson</w:t>
      </w:r>
      <w:r w:rsidRPr="005D6D89">
        <w:rPr>
          <w:rFonts w:cs="Arial"/>
        </w:rPr>
        <w:t xml:space="preserve"> J</w:t>
      </w:r>
      <w:r>
        <w:rPr>
          <w:rFonts w:cs="Arial"/>
        </w:rPr>
        <w:t>, Barth</w:t>
      </w:r>
      <w:r w:rsidRPr="005D6D89">
        <w:rPr>
          <w:rFonts w:cs="Arial"/>
        </w:rPr>
        <w:t xml:space="preserve"> J</w:t>
      </w:r>
      <w:r>
        <w:rPr>
          <w:rFonts w:cs="Arial"/>
        </w:rPr>
        <w:t>, Bond</w:t>
      </w:r>
      <w:r w:rsidRPr="005D6D89">
        <w:rPr>
          <w:rFonts w:cs="Arial"/>
        </w:rPr>
        <w:t xml:space="preserve"> S</w:t>
      </w:r>
      <w:r>
        <w:rPr>
          <w:rFonts w:cs="Arial"/>
        </w:rPr>
        <w:t>, Diprose</w:t>
      </w:r>
      <w:r w:rsidRPr="005D6D89">
        <w:rPr>
          <w:rFonts w:cs="Arial"/>
        </w:rPr>
        <w:t xml:space="preserve"> G</w:t>
      </w:r>
      <w:r>
        <w:rPr>
          <w:rFonts w:cs="Arial"/>
        </w:rPr>
        <w:t>, Orchiston</w:t>
      </w:r>
      <w:r w:rsidRPr="005D6D89">
        <w:rPr>
          <w:rFonts w:cs="Arial"/>
        </w:rPr>
        <w:t xml:space="preserve"> C</w:t>
      </w:r>
      <w:r>
        <w:rPr>
          <w:rFonts w:cs="Arial"/>
        </w:rPr>
        <w:t>, Simon</w:t>
      </w:r>
      <w:r w:rsidRPr="005D6D89">
        <w:rPr>
          <w:rFonts w:cs="Arial"/>
        </w:rPr>
        <w:t xml:space="preserve"> K</w:t>
      </w:r>
      <w:r>
        <w:rPr>
          <w:rFonts w:cs="Arial"/>
        </w:rPr>
        <w:t xml:space="preserve"> and Thomas</w:t>
      </w:r>
      <w:r w:rsidRPr="005D6D89">
        <w:rPr>
          <w:rFonts w:cs="Arial"/>
        </w:rPr>
        <w:t xml:space="preserve"> A. (2019). Engaging with communities for climate change adaptation: introducing community development for adaptation. </w:t>
      </w:r>
      <w:r w:rsidRPr="005D6D89">
        <w:rPr>
          <w:rFonts w:cs="Arial"/>
          <w:i/>
          <w:iCs/>
        </w:rPr>
        <w:t>Proceedings of the Rodney Davies Research Symposium, NZPI Conference 2019</w:t>
      </w:r>
      <w:r w:rsidRPr="005D6D89">
        <w:rPr>
          <w:rFonts w:cs="Arial"/>
        </w:rPr>
        <w:t>.</w:t>
      </w:r>
    </w:p>
    <w:p w14:paraId="757C9E51" w14:textId="77777777" w:rsidR="007D0B70" w:rsidRPr="005D6D89" w:rsidRDefault="007D0B70" w:rsidP="007D0B70">
      <w:pPr>
        <w:pStyle w:val="References"/>
        <w:rPr>
          <w:rFonts w:cs="Arial"/>
        </w:rPr>
      </w:pPr>
      <w:r>
        <w:rPr>
          <w:rFonts w:cs="Arial"/>
        </w:rPr>
        <w:t>Stephenson</w:t>
      </w:r>
      <w:r w:rsidRPr="005D6D89">
        <w:rPr>
          <w:rFonts w:cs="Arial"/>
        </w:rPr>
        <w:t xml:space="preserve"> J</w:t>
      </w:r>
      <w:r>
        <w:rPr>
          <w:rFonts w:cs="Arial"/>
        </w:rPr>
        <w:t xml:space="preserve">, Orchiston </w:t>
      </w:r>
      <w:r w:rsidRPr="005D6D89">
        <w:rPr>
          <w:rFonts w:cs="Arial"/>
        </w:rPr>
        <w:t>C</w:t>
      </w:r>
      <w:r>
        <w:rPr>
          <w:rFonts w:cs="Arial"/>
        </w:rPr>
        <w:t>, Saunders</w:t>
      </w:r>
      <w:r w:rsidRPr="005D6D89">
        <w:rPr>
          <w:rFonts w:cs="Arial"/>
        </w:rPr>
        <w:t xml:space="preserve"> W</w:t>
      </w:r>
      <w:r>
        <w:rPr>
          <w:rFonts w:cs="Arial"/>
        </w:rPr>
        <w:t xml:space="preserve">, Kerr </w:t>
      </w:r>
      <w:r w:rsidRPr="005D6D89">
        <w:rPr>
          <w:rFonts w:cs="Arial"/>
        </w:rPr>
        <w:t>S</w:t>
      </w:r>
      <w:r>
        <w:rPr>
          <w:rFonts w:cs="Arial"/>
        </w:rPr>
        <w:t>, MacMillan</w:t>
      </w:r>
      <w:r w:rsidRPr="005D6D89">
        <w:rPr>
          <w:rFonts w:cs="Arial"/>
        </w:rPr>
        <w:t xml:space="preserve"> A</w:t>
      </w:r>
      <w:r>
        <w:rPr>
          <w:rFonts w:cs="Arial"/>
        </w:rPr>
        <w:t>, McKenzie</w:t>
      </w:r>
      <w:r w:rsidRPr="005D6D89">
        <w:rPr>
          <w:rFonts w:cs="Arial"/>
        </w:rPr>
        <w:t xml:space="preserve"> L</w:t>
      </w:r>
      <w:r>
        <w:rPr>
          <w:rFonts w:cs="Arial"/>
        </w:rPr>
        <w:t>, Willis</w:t>
      </w:r>
      <w:r w:rsidRPr="005D6D89">
        <w:rPr>
          <w:rFonts w:cs="Arial"/>
        </w:rPr>
        <w:t xml:space="preserve"> S. (2018). </w:t>
      </w:r>
      <w:r w:rsidRPr="005D6D89">
        <w:rPr>
          <w:rFonts w:cs="Arial"/>
          <w:i/>
          <w:iCs/>
        </w:rPr>
        <w:t>Communities and Cl</w:t>
      </w:r>
      <w:r>
        <w:rPr>
          <w:rFonts w:cs="Arial"/>
          <w:i/>
          <w:iCs/>
        </w:rPr>
        <w:t>imate change: Vulnerability to rising s</w:t>
      </w:r>
      <w:r w:rsidRPr="005D6D89">
        <w:rPr>
          <w:rFonts w:cs="Arial"/>
          <w:i/>
          <w:iCs/>
        </w:rPr>
        <w:t>ea and more frequent flooding</w:t>
      </w:r>
      <w:r w:rsidRPr="005D6D89">
        <w:rPr>
          <w:rFonts w:cs="Arial"/>
        </w:rPr>
        <w:t>. Motu: Economic and Public Policy Research.</w:t>
      </w:r>
    </w:p>
    <w:p w14:paraId="48D27998" w14:textId="77777777" w:rsidR="007D0B70" w:rsidRPr="005D6D89" w:rsidRDefault="007D0B70" w:rsidP="007D0B70">
      <w:pPr>
        <w:pStyle w:val="References"/>
        <w:rPr>
          <w:rFonts w:cs="Arial"/>
        </w:rPr>
      </w:pPr>
      <w:r>
        <w:t>Stern</w:t>
      </w:r>
      <w:r w:rsidRPr="005D6D89">
        <w:t xml:space="preserve"> N. (2006). </w:t>
      </w:r>
      <w:r>
        <w:rPr>
          <w:i/>
          <w:iCs/>
        </w:rPr>
        <w:t>The e</w:t>
      </w:r>
      <w:r w:rsidRPr="005D6D89">
        <w:rPr>
          <w:i/>
          <w:iCs/>
        </w:rPr>
        <w:t xml:space="preserve">conomics of </w:t>
      </w:r>
      <w:r>
        <w:rPr>
          <w:i/>
          <w:iCs/>
        </w:rPr>
        <w:t>climate change: The Stern r</w:t>
      </w:r>
      <w:r w:rsidRPr="005D6D89">
        <w:rPr>
          <w:i/>
          <w:iCs/>
        </w:rPr>
        <w:t>eview</w:t>
      </w:r>
      <w:r w:rsidRPr="005D6D89">
        <w:t>. Cambridge: Cambridge University Press.</w:t>
      </w:r>
    </w:p>
    <w:p w14:paraId="4D8F92E9" w14:textId="77777777" w:rsidR="007D0B70" w:rsidRPr="005D6D89" w:rsidRDefault="007D0B70" w:rsidP="007D0B70">
      <w:pPr>
        <w:pStyle w:val="References"/>
        <w:rPr>
          <w:rFonts w:cs="Arial"/>
        </w:rPr>
      </w:pPr>
      <w:r>
        <w:rPr>
          <w:rFonts w:cs="Arial"/>
        </w:rPr>
        <w:t>Sweet M</w:t>
      </w:r>
      <w:r w:rsidRPr="005D6D89">
        <w:rPr>
          <w:rFonts w:cs="Arial"/>
        </w:rPr>
        <w:t xml:space="preserve"> J</w:t>
      </w:r>
      <w:r>
        <w:rPr>
          <w:rFonts w:cs="Arial"/>
        </w:rPr>
        <w:t>, Bulling M</w:t>
      </w:r>
      <w:r w:rsidRPr="005D6D89">
        <w:rPr>
          <w:rFonts w:cs="Arial"/>
        </w:rPr>
        <w:t xml:space="preserve"> J</w:t>
      </w:r>
      <w:r>
        <w:rPr>
          <w:rFonts w:cs="Arial"/>
        </w:rPr>
        <w:t xml:space="preserve"> and Williamson J </w:t>
      </w:r>
      <w:r w:rsidRPr="005D6D89">
        <w:rPr>
          <w:rFonts w:cs="Arial"/>
        </w:rPr>
        <w:t xml:space="preserve">E. (2016). New disease outbreak affects two dominant sea urchin species associated with Australian temperate reefs. </w:t>
      </w:r>
      <w:r w:rsidRPr="005D6D89">
        <w:rPr>
          <w:rFonts w:cs="Arial"/>
          <w:i/>
        </w:rPr>
        <w:t>Marine Ecology Progress Series</w:t>
      </w:r>
      <w:r w:rsidRPr="005D6D89">
        <w:rPr>
          <w:rFonts w:cs="Arial"/>
          <w:i/>
          <w:iCs/>
        </w:rPr>
        <w:t xml:space="preserve">, </w:t>
      </w:r>
      <w:r w:rsidRPr="005D6D89">
        <w:rPr>
          <w:rFonts w:cs="Arial"/>
          <w:iCs/>
        </w:rPr>
        <w:t>551</w:t>
      </w:r>
      <w:r w:rsidRPr="005D6D89">
        <w:rPr>
          <w:rFonts w:cs="Arial"/>
        </w:rPr>
        <w:t>, 171–183.</w:t>
      </w:r>
    </w:p>
    <w:p w14:paraId="1803D48E" w14:textId="77777777" w:rsidR="007D0B70" w:rsidRPr="005D6D89" w:rsidRDefault="007D0B70" w:rsidP="007D0B70">
      <w:pPr>
        <w:pStyle w:val="References"/>
        <w:rPr>
          <w:rStyle w:val="Hyperlink"/>
          <w:rFonts w:cs="Arial"/>
          <w:color w:val="000000" w:themeColor="text1"/>
        </w:rPr>
      </w:pPr>
      <w:r w:rsidRPr="005D6D89">
        <w:rPr>
          <w:rFonts w:cs="Arial"/>
        </w:rPr>
        <w:t xml:space="preserve">Task Force on Climate-related Financial Disclosures [TCFD] (2017). </w:t>
      </w:r>
      <w:r w:rsidRPr="005D6D89">
        <w:rPr>
          <w:rFonts w:cs="Arial"/>
          <w:i/>
          <w:iCs/>
        </w:rPr>
        <w:t>Recommendations of the Task Force on Climate-related Financial Disclosures – Final Report</w:t>
      </w:r>
      <w:r w:rsidRPr="005D6D89">
        <w:rPr>
          <w:rFonts w:cs="Arial"/>
        </w:rPr>
        <w:t xml:space="preserve">. Available at </w:t>
      </w:r>
      <w:hyperlink r:id="rId111" w:history="1">
        <w:r w:rsidRPr="005D6D89">
          <w:rPr>
            <w:rStyle w:val="Hyperlink"/>
          </w:rPr>
          <w:t>https://www.fsb-tcfd.org/wp-content/uploads/2017/06/FINAL-2017-TCFD-Report-11052018.pdf</w:t>
        </w:r>
      </w:hyperlink>
      <w:r w:rsidRPr="005D6D89">
        <w:rPr>
          <w:rStyle w:val="Hyperlink"/>
          <w:rFonts w:cs="Arial"/>
          <w:color w:val="000000" w:themeColor="text1"/>
        </w:rPr>
        <w:t xml:space="preserve"> </w:t>
      </w:r>
    </w:p>
    <w:p w14:paraId="65FE123E" w14:textId="77777777" w:rsidR="007D0B70" w:rsidRPr="005D6D89" w:rsidRDefault="007D0B70" w:rsidP="007D0B70">
      <w:pPr>
        <w:pStyle w:val="References"/>
        <w:rPr>
          <w:rFonts w:cs="Arial"/>
          <w:color w:val="000000" w:themeColor="text1"/>
          <w:u w:val="single"/>
        </w:rPr>
      </w:pPr>
      <w:r w:rsidRPr="005D6D89">
        <w:rPr>
          <w:rFonts w:cs="Arial"/>
          <w:color w:val="000000" w:themeColor="text1"/>
        </w:rPr>
        <w:t xml:space="preserve">Tauranga City Council. (2019, May 1). </w:t>
      </w:r>
      <w:r w:rsidRPr="005D6D89">
        <w:rPr>
          <w:rFonts w:cs="Arial"/>
          <w:i/>
          <w:iCs/>
          <w:color w:val="000000" w:themeColor="text1"/>
        </w:rPr>
        <w:t>Flooding from rising groundwater</w:t>
      </w:r>
      <w:r w:rsidRPr="005D6D89">
        <w:rPr>
          <w:rFonts w:cs="Arial"/>
          <w:color w:val="000000" w:themeColor="text1"/>
        </w:rPr>
        <w:t xml:space="preserve">. Retrieved from Tauranga City Council: </w:t>
      </w:r>
      <w:hyperlink r:id="rId112" w:history="1">
        <w:r w:rsidRPr="005D6D89">
          <w:rPr>
            <w:rStyle w:val="Hyperlink"/>
          </w:rPr>
          <w:t>https://www.tauranga.govt.nz/living/natural-hazards/understanding-our-hazards-studies-maps-and-data/flooding/flooding-from-rising-groundwater</w:t>
        </w:r>
      </w:hyperlink>
    </w:p>
    <w:p w14:paraId="5F0EB960" w14:textId="77777777" w:rsidR="007D0B70" w:rsidRPr="005D6D89" w:rsidRDefault="007D0B70" w:rsidP="007D0B70">
      <w:pPr>
        <w:pStyle w:val="References"/>
        <w:rPr>
          <w:rFonts w:cs="Arial"/>
          <w:color w:val="000000" w:themeColor="text1"/>
        </w:rPr>
      </w:pPr>
      <w:r w:rsidRPr="005D6D89">
        <w:rPr>
          <w:color w:val="000000" w:themeColor="text1"/>
        </w:rPr>
        <w:t>The Makara Beach Project. (</w:t>
      </w:r>
      <w:proofErr w:type="gramStart"/>
      <w:r>
        <w:rPr>
          <w:color w:val="000000" w:themeColor="text1"/>
        </w:rPr>
        <w:t>nd</w:t>
      </w:r>
      <w:proofErr w:type="gramEnd"/>
      <w:r w:rsidRPr="005D6D89">
        <w:rPr>
          <w:color w:val="000000" w:themeColor="text1"/>
        </w:rPr>
        <w:t xml:space="preserve">). </w:t>
      </w:r>
      <w:r w:rsidRPr="005D6D89">
        <w:rPr>
          <w:i/>
          <w:iCs/>
          <w:color w:val="000000" w:themeColor="text1"/>
        </w:rPr>
        <w:t>The Makara Beach Project</w:t>
      </w:r>
      <w:r w:rsidRPr="005D6D89">
        <w:rPr>
          <w:color w:val="000000" w:themeColor="text1"/>
        </w:rPr>
        <w:t xml:space="preserve">. Retrieved March 26, 2020, from </w:t>
      </w:r>
      <w:hyperlink r:id="rId113" w:history="1">
        <w:r w:rsidRPr="005D6D89">
          <w:rPr>
            <w:rStyle w:val="Hyperlink"/>
          </w:rPr>
          <w:t>wcc.maps.arcgis.com/apps/MapSeries/index.html?appid=57e797777a96430c8074182984622a6a</w:t>
        </w:r>
      </w:hyperlink>
      <w:r w:rsidRPr="005D6D89">
        <w:rPr>
          <w:color w:val="000000" w:themeColor="text1"/>
        </w:rPr>
        <w:t xml:space="preserve"> </w:t>
      </w:r>
    </w:p>
    <w:p w14:paraId="52EA8472" w14:textId="77777777" w:rsidR="007D0B70" w:rsidRPr="005D6D89" w:rsidRDefault="007D0B70" w:rsidP="007D0B70">
      <w:pPr>
        <w:pStyle w:val="References"/>
        <w:rPr>
          <w:rFonts w:cs="Arial"/>
          <w:color w:val="000000" w:themeColor="text1"/>
        </w:rPr>
      </w:pPr>
      <w:r w:rsidRPr="005D6D89">
        <w:rPr>
          <w:rFonts w:cs="Arial"/>
          <w:color w:val="000000" w:themeColor="text1"/>
        </w:rPr>
        <w:t xml:space="preserve">The Royal Society of New Zealand. (2016). </w:t>
      </w:r>
      <w:r w:rsidRPr="005D6D89">
        <w:rPr>
          <w:rFonts w:cs="Arial"/>
          <w:i/>
          <w:iCs/>
          <w:color w:val="000000" w:themeColor="text1"/>
        </w:rPr>
        <w:t>Climate change implications for New Zealand.</w:t>
      </w:r>
      <w:r w:rsidRPr="005D6D89">
        <w:rPr>
          <w:rFonts w:cs="Arial"/>
          <w:color w:val="000000" w:themeColor="text1"/>
        </w:rPr>
        <w:t xml:space="preserve"> </w:t>
      </w:r>
    </w:p>
    <w:p w14:paraId="09E7EAD3" w14:textId="77777777" w:rsidR="007D0B70" w:rsidRPr="005D6D89" w:rsidRDefault="007D0B70" w:rsidP="007D0B70">
      <w:pPr>
        <w:pStyle w:val="References"/>
        <w:rPr>
          <w:rFonts w:cs="Arial"/>
          <w:color w:val="000000" w:themeColor="text1"/>
        </w:rPr>
      </w:pPr>
      <w:r w:rsidRPr="005D6D89">
        <w:rPr>
          <w:color w:val="000000" w:themeColor="text1"/>
        </w:rPr>
        <w:t xml:space="preserve">The Treasury. (2018). </w:t>
      </w:r>
      <w:r w:rsidRPr="005D6D89">
        <w:rPr>
          <w:i/>
          <w:iCs/>
          <w:color w:val="000000" w:themeColor="text1"/>
        </w:rPr>
        <w:t>Our Living Standards Framework</w:t>
      </w:r>
      <w:r w:rsidRPr="005D6D89">
        <w:rPr>
          <w:color w:val="000000" w:themeColor="text1"/>
        </w:rPr>
        <w:t xml:space="preserve">. Retrieved from </w:t>
      </w:r>
      <w:hyperlink r:id="rId114" w:history="1">
        <w:r w:rsidRPr="005D6D89">
          <w:rPr>
            <w:rStyle w:val="Hyperlink"/>
          </w:rPr>
          <w:t>https://treasury.govt.nz/information-and-services/nz-economy/living-standards/our-living-standards-framework</w:t>
        </w:r>
      </w:hyperlink>
      <w:r>
        <w:rPr>
          <w:color w:val="000000" w:themeColor="text1"/>
        </w:rPr>
        <w:t xml:space="preserve"> (19 July 2019)</w:t>
      </w:r>
    </w:p>
    <w:p w14:paraId="2128593A" w14:textId="77777777" w:rsidR="007D0B70" w:rsidRPr="005D6D89" w:rsidRDefault="007D0B70" w:rsidP="007D0B70">
      <w:pPr>
        <w:pStyle w:val="References"/>
        <w:rPr>
          <w:rFonts w:cs="Arial"/>
          <w:color w:val="000000" w:themeColor="text1"/>
        </w:rPr>
      </w:pPr>
      <w:r w:rsidRPr="005D6D89">
        <w:rPr>
          <w:rFonts w:cs="Arial"/>
          <w:color w:val="000000" w:themeColor="text1"/>
        </w:rPr>
        <w:t>The Treasury (2019a)</w:t>
      </w:r>
      <w:r>
        <w:rPr>
          <w:rFonts w:cs="Arial"/>
          <w:color w:val="000000" w:themeColor="text1"/>
        </w:rPr>
        <w:t>.</w:t>
      </w:r>
      <w:r w:rsidRPr="005D6D89">
        <w:rPr>
          <w:rFonts w:cs="Arial"/>
          <w:color w:val="000000" w:themeColor="text1"/>
        </w:rPr>
        <w:t xml:space="preserve"> </w:t>
      </w:r>
      <w:r w:rsidRPr="005D6D89">
        <w:rPr>
          <w:rFonts w:cs="Arial"/>
          <w:i/>
          <w:iCs/>
          <w:color w:val="000000" w:themeColor="text1"/>
        </w:rPr>
        <w:t>The Wellbeing Budget 2019</w:t>
      </w:r>
      <w:r>
        <w:rPr>
          <w:rFonts w:cs="Arial"/>
          <w:i/>
          <w:iCs/>
          <w:color w:val="000000" w:themeColor="text1"/>
        </w:rPr>
        <w:t>.</w:t>
      </w:r>
      <w:r w:rsidRPr="005D6D89">
        <w:rPr>
          <w:rFonts w:cs="Arial"/>
          <w:color w:val="000000" w:themeColor="text1"/>
        </w:rPr>
        <w:t xml:space="preserve"> </w:t>
      </w:r>
      <w:hyperlink r:id="rId115" w:history="1">
        <w:r w:rsidRPr="005D6D89">
          <w:rPr>
            <w:rStyle w:val="Hyperlink"/>
          </w:rPr>
          <w:t>https://treasury.govt.nz/sites/default/files/2019-05/b19-wellbeing-budget.pdf</w:t>
        </w:r>
      </w:hyperlink>
      <w:r w:rsidRPr="005D6D89">
        <w:rPr>
          <w:rFonts w:cs="Arial"/>
          <w:color w:val="000000" w:themeColor="text1"/>
        </w:rPr>
        <w:t xml:space="preserve"> </w:t>
      </w:r>
    </w:p>
    <w:p w14:paraId="23F3BEDE" w14:textId="77777777" w:rsidR="007D0B70" w:rsidRPr="005D6D89" w:rsidRDefault="007D0B70" w:rsidP="007D0B70">
      <w:pPr>
        <w:pStyle w:val="References"/>
        <w:rPr>
          <w:rFonts w:cs="Arial"/>
          <w:color w:val="000000" w:themeColor="text1"/>
          <w:lang w:eastAsia="en-AU"/>
        </w:rPr>
      </w:pPr>
      <w:r w:rsidRPr="005D6D89">
        <w:rPr>
          <w:rFonts w:cs="Arial"/>
          <w:color w:val="000000" w:themeColor="text1"/>
          <w:lang w:eastAsia="en-AU"/>
        </w:rPr>
        <w:t>The Treasury (2019b)</w:t>
      </w:r>
      <w:r>
        <w:rPr>
          <w:rFonts w:cs="Arial"/>
          <w:color w:val="000000" w:themeColor="text1"/>
          <w:lang w:eastAsia="en-AU"/>
        </w:rPr>
        <w:t>.</w:t>
      </w:r>
      <w:r w:rsidRPr="005D6D89">
        <w:rPr>
          <w:rFonts w:cs="Arial"/>
          <w:color w:val="000000" w:themeColor="text1"/>
          <w:lang w:eastAsia="en-AU"/>
        </w:rPr>
        <w:t xml:space="preserve"> </w:t>
      </w:r>
      <w:r w:rsidRPr="005D6D89">
        <w:rPr>
          <w:rFonts w:cs="Arial"/>
          <w:i/>
          <w:iCs/>
          <w:color w:val="000000" w:themeColor="text1"/>
          <w:lang w:eastAsia="en-AU"/>
        </w:rPr>
        <w:t>An Indigenous Approach to the Living Standards Framework</w:t>
      </w:r>
      <w:r>
        <w:rPr>
          <w:rFonts w:cs="Arial"/>
          <w:i/>
          <w:iCs/>
          <w:color w:val="000000" w:themeColor="text1"/>
          <w:lang w:eastAsia="en-AU"/>
        </w:rPr>
        <w:t>.</w:t>
      </w:r>
      <w:r w:rsidRPr="005D6D89">
        <w:rPr>
          <w:rFonts w:cs="Arial"/>
          <w:color w:val="000000" w:themeColor="text1"/>
          <w:lang w:eastAsia="en-AU"/>
        </w:rPr>
        <w:t xml:space="preserve"> </w:t>
      </w:r>
      <w:hyperlink r:id="rId116" w:history="1">
        <w:r w:rsidRPr="005D6D89">
          <w:rPr>
            <w:rStyle w:val="Hyperlink"/>
          </w:rPr>
          <w:t>https://treasury.govt.nz/sites/default/files/2019-01/dp19-01.pdf</w:t>
        </w:r>
      </w:hyperlink>
      <w:r w:rsidRPr="005D6D89">
        <w:rPr>
          <w:color w:val="000000" w:themeColor="text1"/>
        </w:rPr>
        <w:t xml:space="preserve"> </w:t>
      </w:r>
    </w:p>
    <w:p w14:paraId="58EE1859" w14:textId="77777777" w:rsidR="007D0B70" w:rsidRPr="005D6D89" w:rsidRDefault="007D0B70" w:rsidP="007D0B70">
      <w:pPr>
        <w:pStyle w:val="References"/>
        <w:rPr>
          <w:rFonts w:cs="Arial"/>
        </w:rPr>
      </w:pPr>
      <w:r>
        <w:rPr>
          <w:rFonts w:cs="Arial"/>
        </w:rPr>
        <w:t>Thomsen M</w:t>
      </w:r>
      <w:r w:rsidRPr="005D6D89">
        <w:rPr>
          <w:rFonts w:cs="Arial"/>
        </w:rPr>
        <w:t xml:space="preserve"> S</w:t>
      </w:r>
      <w:r>
        <w:rPr>
          <w:rFonts w:cs="Arial"/>
        </w:rPr>
        <w:t>, Mondardini</w:t>
      </w:r>
      <w:r w:rsidRPr="005D6D89">
        <w:rPr>
          <w:rFonts w:cs="Arial"/>
        </w:rPr>
        <w:t xml:space="preserve"> L</w:t>
      </w:r>
      <w:r>
        <w:rPr>
          <w:rFonts w:cs="Arial"/>
        </w:rPr>
        <w:t>, Alestra</w:t>
      </w:r>
      <w:r w:rsidRPr="005D6D89">
        <w:rPr>
          <w:rFonts w:cs="Arial"/>
        </w:rPr>
        <w:t xml:space="preserve"> T</w:t>
      </w:r>
      <w:r>
        <w:rPr>
          <w:rFonts w:cs="Arial"/>
        </w:rPr>
        <w:t>, Gerrity</w:t>
      </w:r>
      <w:r w:rsidRPr="005D6D89">
        <w:rPr>
          <w:rFonts w:cs="Arial"/>
        </w:rPr>
        <w:t xml:space="preserve"> S</w:t>
      </w:r>
      <w:r>
        <w:rPr>
          <w:rFonts w:cs="Arial"/>
        </w:rPr>
        <w:t>, Tait</w:t>
      </w:r>
      <w:r w:rsidRPr="005D6D89">
        <w:rPr>
          <w:rFonts w:cs="Arial"/>
        </w:rPr>
        <w:t xml:space="preserve"> L</w:t>
      </w:r>
      <w:r>
        <w:rPr>
          <w:rFonts w:cs="Arial"/>
        </w:rPr>
        <w:t xml:space="preserve">, South P </w:t>
      </w:r>
      <w:r w:rsidRPr="005D6D89">
        <w:rPr>
          <w:rFonts w:cs="Arial"/>
        </w:rPr>
        <w:t>M</w:t>
      </w:r>
      <w:r>
        <w:rPr>
          <w:rFonts w:cs="Arial"/>
        </w:rPr>
        <w:t>, Schiel D R. (2019). Local e</w:t>
      </w:r>
      <w:r w:rsidRPr="005D6D89">
        <w:rPr>
          <w:rFonts w:cs="Arial"/>
        </w:rPr>
        <w:t>xtincti</w:t>
      </w:r>
      <w:r>
        <w:rPr>
          <w:rFonts w:cs="Arial"/>
        </w:rPr>
        <w:t>on of bull kelp (Durvillaea spp</w:t>
      </w:r>
      <w:r w:rsidRPr="005D6D89">
        <w:rPr>
          <w:rFonts w:cs="Arial"/>
        </w:rPr>
        <w:t xml:space="preserve">) due to a marine heatwave. </w:t>
      </w:r>
      <w:r w:rsidRPr="005D6D89">
        <w:rPr>
          <w:rFonts w:cs="Arial"/>
          <w:i/>
          <w:iCs/>
        </w:rPr>
        <w:t>Frontiers in Marine Science</w:t>
      </w:r>
      <w:r w:rsidRPr="005D6D89">
        <w:rPr>
          <w:rFonts w:cs="Arial"/>
        </w:rPr>
        <w:t xml:space="preserve">, </w:t>
      </w:r>
      <w:r w:rsidRPr="005D6D89">
        <w:rPr>
          <w:rFonts w:cs="Arial"/>
          <w:i/>
          <w:iCs/>
        </w:rPr>
        <w:t>6</w:t>
      </w:r>
      <w:r>
        <w:rPr>
          <w:rFonts w:cs="Arial"/>
          <w:i/>
          <w:iCs/>
        </w:rPr>
        <w:t xml:space="preserve"> </w:t>
      </w:r>
      <w:r w:rsidRPr="005D6D89">
        <w:rPr>
          <w:rFonts w:cs="Arial"/>
        </w:rPr>
        <w:t>(</w:t>
      </w:r>
      <w:proofErr w:type="gramStart"/>
      <w:r w:rsidRPr="005D6D89">
        <w:rPr>
          <w:rFonts w:cs="Arial"/>
        </w:rPr>
        <w:t>MAR),</w:t>
      </w:r>
      <w:proofErr w:type="gramEnd"/>
      <w:r w:rsidRPr="005D6D89">
        <w:rPr>
          <w:rFonts w:cs="Arial"/>
        </w:rPr>
        <w:t xml:space="preserve"> 1–10.</w:t>
      </w:r>
    </w:p>
    <w:p w14:paraId="4128F608" w14:textId="77777777" w:rsidR="007D0B70" w:rsidRPr="005D6D89" w:rsidRDefault="007D0B70" w:rsidP="007D0B70">
      <w:pPr>
        <w:pStyle w:val="References"/>
        <w:rPr>
          <w:rFonts w:cs="Arial"/>
        </w:rPr>
      </w:pPr>
      <w:r>
        <w:rPr>
          <w:rFonts w:cs="Arial"/>
        </w:rPr>
        <w:t xml:space="preserve">Thorburn P </w:t>
      </w:r>
      <w:r w:rsidRPr="005D6D89">
        <w:rPr>
          <w:rFonts w:cs="Arial"/>
        </w:rPr>
        <w:t>J</w:t>
      </w:r>
      <w:r>
        <w:rPr>
          <w:rFonts w:cs="Arial"/>
        </w:rPr>
        <w:t>, Wilkinson S</w:t>
      </w:r>
      <w:r w:rsidRPr="005D6D89">
        <w:rPr>
          <w:rFonts w:cs="Arial"/>
        </w:rPr>
        <w:t xml:space="preserve"> N</w:t>
      </w:r>
      <w:r>
        <w:rPr>
          <w:rFonts w:cs="Arial"/>
        </w:rPr>
        <w:t xml:space="preserve"> and Silburn D</w:t>
      </w:r>
      <w:r w:rsidRPr="005D6D89">
        <w:rPr>
          <w:rFonts w:cs="Arial"/>
        </w:rPr>
        <w:t xml:space="preserve"> M. (2013). Water quality in agricultural lands draining to the Great Barrier Reef: Causes, management and priorities. </w:t>
      </w:r>
      <w:r w:rsidRPr="005D6D89">
        <w:rPr>
          <w:rFonts w:cs="Arial"/>
          <w:i/>
          <w:iCs/>
        </w:rPr>
        <w:t>Agriculture Ecosystems and Environment</w:t>
      </w:r>
      <w:r w:rsidRPr="005D6D89">
        <w:rPr>
          <w:rFonts w:cs="Arial"/>
        </w:rPr>
        <w:t>, 180, 4–20.</w:t>
      </w:r>
    </w:p>
    <w:p w14:paraId="5B7379BB" w14:textId="77777777" w:rsidR="007D0B70" w:rsidRPr="005D6D89" w:rsidRDefault="007D0B70" w:rsidP="007D0B70">
      <w:pPr>
        <w:pStyle w:val="References"/>
        <w:rPr>
          <w:rFonts w:cs="Arial"/>
        </w:rPr>
      </w:pPr>
      <w:r>
        <w:rPr>
          <w:rFonts w:cs="Arial"/>
        </w:rPr>
        <w:t>Thrush</w:t>
      </w:r>
      <w:r w:rsidRPr="005D6D89">
        <w:rPr>
          <w:rFonts w:cs="Arial"/>
        </w:rPr>
        <w:t xml:space="preserve"> S F</w:t>
      </w:r>
      <w:r>
        <w:rPr>
          <w:rFonts w:cs="Arial"/>
        </w:rPr>
        <w:t>, Hewitt J</w:t>
      </w:r>
      <w:r w:rsidRPr="005D6D89">
        <w:rPr>
          <w:rFonts w:cs="Arial"/>
        </w:rPr>
        <w:t xml:space="preserve"> E</w:t>
      </w:r>
      <w:r>
        <w:rPr>
          <w:rFonts w:cs="Arial"/>
        </w:rPr>
        <w:t>, Cummings V</w:t>
      </w:r>
      <w:r w:rsidRPr="005D6D89">
        <w:rPr>
          <w:rFonts w:cs="Arial"/>
        </w:rPr>
        <w:t xml:space="preserve"> J</w:t>
      </w:r>
      <w:r>
        <w:rPr>
          <w:rFonts w:cs="Arial"/>
        </w:rPr>
        <w:t>, Ellis J</w:t>
      </w:r>
      <w:r w:rsidRPr="005D6D89">
        <w:rPr>
          <w:rFonts w:cs="Arial"/>
        </w:rPr>
        <w:t xml:space="preserve"> I</w:t>
      </w:r>
      <w:r>
        <w:rPr>
          <w:rFonts w:cs="Arial"/>
        </w:rPr>
        <w:t>, Hatton</w:t>
      </w:r>
      <w:r w:rsidRPr="005D6D89">
        <w:rPr>
          <w:rFonts w:cs="Arial"/>
        </w:rPr>
        <w:t xml:space="preserve"> C</w:t>
      </w:r>
      <w:r>
        <w:rPr>
          <w:rFonts w:cs="Arial"/>
        </w:rPr>
        <w:t>, Lohrer</w:t>
      </w:r>
      <w:r w:rsidRPr="005D6D89">
        <w:rPr>
          <w:rFonts w:cs="Arial"/>
        </w:rPr>
        <w:t xml:space="preserve"> A</w:t>
      </w:r>
      <w:r>
        <w:rPr>
          <w:rFonts w:cs="Arial"/>
        </w:rPr>
        <w:t xml:space="preserve"> and Norkko</w:t>
      </w:r>
      <w:r w:rsidRPr="005D6D89">
        <w:rPr>
          <w:rFonts w:cs="Arial"/>
        </w:rPr>
        <w:t xml:space="preserve"> A. (2004). Muddy waters: elevating sediment input to coastal and estuarine habitats. </w:t>
      </w:r>
      <w:r w:rsidRPr="005D6D89">
        <w:rPr>
          <w:rFonts w:cs="Arial"/>
          <w:i/>
          <w:iCs/>
        </w:rPr>
        <w:t>Frontiers in Ecology and the Environment</w:t>
      </w:r>
      <w:r w:rsidRPr="005D6D89">
        <w:rPr>
          <w:rFonts w:cs="Arial"/>
        </w:rPr>
        <w:t>, 2, 299–306.</w:t>
      </w:r>
    </w:p>
    <w:p w14:paraId="7811D931" w14:textId="77777777" w:rsidR="007D0B70" w:rsidRPr="005D6D89" w:rsidRDefault="007D0B70" w:rsidP="007D0B70">
      <w:pPr>
        <w:pStyle w:val="References"/>
        <w:rPr>
          <w:rFonts w:cs="Arial"/>
        </w:rPr>
      </w:pPr>
      <w:r>
        <w:rPr>
          <w:rFonts w:cs="Arial"/>
        </w:rPr>
        <w:t>Thuiller</w:t>
      </w:r>
      <w:r w:rsidRPr="005D6D89">
        <w:rPr>
          <w:rFonts w:cs="Arial"/>
        </w:rPr>
        <w:t xml:space="preserve"> W</w:t>
      </w:r>
      <w:r>
        <w:rPr>
          <w:rFonts w:cs="Arial"/>
        </w:rPr>
        <w:t>, Richardson D</w:t>
      </w:r>
      <w:r w:rsidRPr="005D6D89">
        <w:rPr>
          <w:rFonts w:cs="Arial"/>
        </w:rPr>
        <w:t xml:space="preserve"> M</w:t>
      </w:r>
      <w:r>
        <w:rPr>
          <w:rFonts w:cs="Arial"/>
        </w:rPr>
        <w:t xml:space="preserve"> and Midgley G</w:t>
      </w:r>
      <w:r w:rsidRPr="005D6D89">
        <w:rPr>
          <w:rFonts w:cs="Arial"/>
        </w:rPr>
        <w:t xml:space="preserve"> F. (2007). Will climate change promote alien plant invasions? </w:t>
      </w:r>
      <w:r w:rsidRPr="005D6D89">
        <w:rPr>
          <w:rFonts w:cs="Arial"/>
          <w:i/>
          <w:iCs/>
        </w:rPr>
        <w:t>Ecological Studies</w:t>
      </w:r>
      <w:r w:rsidRPr="005D6D89">
        <w:rPr>
          <w:rFonts w:cs="Arial"/>
        </w:rPr>
        <w:t>, 193, 197–211.</w:t>
      </w:r>
    </w:p>
    <w:p w14:paraId="5FC619F8" w14:textId="77777777" w:rsidR="007D0B70" w:rsidRPr="005D6D89" w:rsidRDefault="007D0B70" w:rsidP="007D0B70">
      <w:pPr>
        <w:pStyle w:val="References"/>
        <w:rPr>
          <w:rFonts w:cs="Arial"/>
        </w:rPr>
      </w:pPr>
      <w:r>
        <w:t>Timmins</w:t>
      </w:r>
      <w:r w:rsidRPr="005D6D89">
        <w:t xml:space="preserve"> S</w:t>
      </w:r>
      <w:r>
        <w:t xml:space="preserve"> </w:t>
      </w:r>
      <w:r w:rsidRPr="005D6D89">
        <w:t>M</w:t>
      </w:r>
      <w:r>
        <w:t xml:space="preserve">, Williams P </w:t>
      </w:r>
      <w:r w:rsidRPr="005D6D89">
        <w:t>A. 1991. Weed numbers in New Zealand</w:t>
      </w:r>
      <w:r>
        <w:t>’</w:t>
      </w:r>
      <w:r w:rsidRPr="005D6D89">
        <w:t xml:space="preserve">s forest and scrub reserves. </w:t>
      </w:r>
      <w:r w:rsidRPr="005D6D89">
        <w:rPr>
          <w:i/>
          <w:iCs/>
        </w:rPr>
        <w:t>New Zealand Journal of Ecology</w:t>
      </w:r>
      <w:r w:rsidRPr="005D6D89">
        <w:t xml:space="preserve"> 15: 153–162.</w:t>
      </w:r>
    </w:p>
    <w:p w14:paraId="4DDF31F5" w14:textId="77777777" w:rsidR="007D0B70" w:rsidRPr="005D6D89" w:rsidRDefault="007D0B70" w:rsidP="007D0B70">
      <w:pPr>
        <w:pStyle w:val="References"/>
        <w:rPr>
          <w:rFonts w:cs="Arial"/>
        </w:rPr>
      </w:pPr>
      <w:r>
        <w:rPr>
          <w:rFonts w:cs="Arial"/>
        </w:rPr>
        <w:t>Tomiolo</w:t>
      </w:r>
      <w:r w:rsidRPr="005D6D89">
        <w:rPr>
          <w:rFonts w:cs="Arial"/>
        </w:rPr>
        <w:t xml:space="preserve"> S</w:t>
      </w:r>
      <w:r>
        <w:rPr>
          <w:rFonts w:cs="Arial"/>
        </w:rPr>
        <w:t>, Harsch M</w:t>
      </w:r>
      <w:r w:rsidRPr="005D6D89">
        <w:rPr>
          <w:rFonts w:cs="Arial"/>
        </w:rPr>
        <w:t xml:space="preserve"> A</w:t>
      </w:r>
      <w:r>
        <w:rPr>
          <w:rFonts w:cs="Arial"/>
        </w:rPr>
        <w:t>, Duncan R</w:t>
      </w:r>
      <w:r w:rsidRPr="005D6D89">
        <w:rPr>
          <w:rFonts w:cs="Arial"/>
        </w:rPr>
        <w:t xml:space="preserve"> P</w:t>
      </w:r>
      <w:r>
        <w:rPr>
          <w:rFonts w:cs="Arial"/>
        </w:rPr>
        <w:t xml:space="preserve"> and Hulme P</w:t>
      </w:r>
      <w:r w:rsidRPr="005D6D89">
        <w:rPr>
          <w:rFonts w:cs="Arial"/>
        </w:rPr>
        <w:t xml:space="preserve"> E. (2016). Influence of climate and regeneration microsites on Pinus contorta invasion into an alpine ecosystem in New Zealand. </w:t>
      </w:r>
      <w:r w:rsidRPr="005D6D89">
        <w:rPr>
          <w:rFonts w:cs="Arial"/>
          <w:i/>
          <w:iCs/>
        </w:rPr>
        <w:t>AIMS Environmental Science</w:t>
      </w:r>
      <w:r w:rsidRPr="005D6D89">
        <w:rPr>
          <w:rFonts w:cs="Arial"/>
        </w:rPr>
        <w:t>, 3(3), 525–540.</w:t>
      </w:r>
    </w:p>
    <w:p w14:paraId="068C6F4E" w14:textId="77777777" w:rsidR="007D0B70" w:rsidRPr="005D6D89" w:rsidRDefault="007D0B70" w:rsidP="007D0B70">
      <w:pPr>
        <w:pStyle w:val="References"/>
        <w:rPr>
          <w:rFonts w:cs="Arial"/>
        </w:rPr>
      </w:pPr>
      <w:r>
        <w:rPr>
          <w:rFonts w:cs="Arial"/>
        </w:rPr>
        <w:t xml:space="preserve">Tompkins </w:t>
      </w:r>
      <w:r w:rsidRPr="005D6D89">
        <w:rPr>
          <w:rFonts w:cs="Arial"/>
        </w:rPr>
        <w:t>E</w:t>
      </w:r>
      <w:r>
        <w:rPr>
          <w:rFonts w:cs="Arial"/>
        </w:rPr>
        <w:t xml:space="preserve"> and Adger</w:t>
      </w:r>
      <w:r w:rsidRPr="005D6D89">
        <w:rPr>
          <w:rFonts w:cs="Arial"/>
        </w:rPr>
        <w:t xml:space="preserve"> N. (2004). Does adaptive management of natural resources enhance resilience to climate change? </w:t>
      </w:r>
      <w:r w:rsidRPr="005D6D89">
        <w:rPr>
          <w:rFonts w:cs="Arial"/>
          <w:i/>
          <w:iCs/>
        </w:rPr>
        <w:t>Resilience Alliance Inc</w:t>
      </w:r>
      <w:r>
        <w:rPr>
          <w:rFonts w:cs="Arial"/>
        </w:rPr>
        <w:t>,</w:t>
      </w:r>
      <w:r w:rsidRPr="005D6D89">
        <w:rPr>
          <w:rFonts w:cs="Arial"/>
        </w:rPr>
        <w:t xml:space="preserve"> 9(2).</w:t>
      </w:r>
    </w:p>
    <w:p w14:paraId="5496BB02" w14:textId="77777777" w:rsidR="007D0B70" w:rsidRPr="005D6D89" w:rsidRDefault="007D0B70" w:rsidP="007D0B70">
      <w:pPr>
        <w:pStyle w:val="References"/>
        <w:rPr>
          <w:rFonts w:cs="Arial"/>
        </w:rPr>
      </w:pPr>
      <w:r>
        <w:rPr>
          <w:rFonts w:cs="Arial"/>
        </w:rPr>
        <w:t>Tompkins D</w:t>
      </w:r>
      <w:r w:rsidRPr="005D6D89">
        <w:rPr>
          <w:rFonts w:cs="Arial"/>
        </w:rPr>
        <w:t xml:space="preserve"> M</w:t>
      </w:r>
      <w:r>
        <w:rPr>
          <w:rFonts w:cs="Arial"/>
        </w:rPr>
        <w:t xml:space="preserve">, Byrom </w:t>
      </w:r>
      <w:proofErr w:type="gramStart"/>
      <w:r>
        <w:rPr>
          <w:rFonts w:cs="Arial"/>
        </w:rPr>
        <w:t>A</w:t>
      </w:r>
      <w:proofErr w:type="gramEnd"/>
      <w:r w:rsidRPr="005D6D89">
        <w:rPr>
          <w:rFonts w:cs="Arial"/>
        </w:rPr>
        <w:t xml:space="preserve"> E</w:t>
      </w:r>
      <w:r>
        <w:rPr>
          <w:rFonts w:cs="Arial"/>
        </w:rPr>
        <w:t xml:space="preserve"> and Pech R</w:t>
      </w:r>
      <w:r w:rsidRPr="005D6D89">
        <w:rPr>
          <w:rFonts w:cs="Arial"/>
        </w:rPr>
        <w:t xml:space="preserve"> P. (2013). Predicted responses of invasive mammal communities to climate-related changes in mast frequency in forest ecosystems. </w:t>
      </w:r>
      <w:r w:rsidRPr="005D6D89">
        <w:rPr>
          <w:rFonts w:cs="Arial"/>
          <w:i/>
          <w:iCs/>
        </w:rPr>
        <w:t>Ecological Society of America</w:t>
      </w:r>
      <w:r w:rsidRPr="005D6D89">
        <w:rPr>
          <w:rFonts w:cs="Arial"/>
        </w:rPr>
        <w:t>, 23(5), 1075–1085.</w:t>
      </w:r>
    </w:p>
    <w:p w14:paraId="359113FE" w14:textId="77777777" w:rsidR="007D0B70" w:rsidRPr="005D6D89" w:rsidRDefault="007D0B70" w:rsidP="007D0B70">
      <w:pPr>
        <w:pStyle w:val="References"/>
        <w:rPr>
          <w:rFonts w:cs="Arial"/>
        </w:rPr>
      </w:pPr>
      <w:r w:rsidRPr="005D6D89">
        <w:rPr>
          <w:rFonts w:cs="Arial"/>
        </w:rPr>
        <w:t>Ton</w:t>
      </w:r>
      <w:r>
        <w:rPr>
          <w:rFonts w:cs="Arial"/>
        </w:rPr>
        <w:t xml:space="preserve"> K</w:t>
      </w:r>
      <w:r w:rsidRPr="005D6D89">
        <w:rPr>
          <w:rFonts w:cs="Arial"/>
        </w:rPr>
        <w:t xml:space="preserve"> T</w:t>
      </w:r>
      <w:r>
        <w:rPr>
          <w:rFonts w:cs="Arial"/>
        </w:rPr>
        <w:t>, Gaillard J</w:t>
      </w:r>
      <w:r w:rsidRPr="005D6D89">
        <w:rPr>
          <w:rFonts w:cs="Arial"/>
        </w:rPr>
        <w:t xml:space="preserve"> C</w:t>
      </w:r>
      <w:r>
        <w:rPr>
          <w:rFonts w:cs="Arial"/>
        </w:rPr>
        <w:t>, Adamason C</w:t>
      </w:r>
      <w:r w:rsidRPr="005D6D89">
        <w:rPr>
          <w:rFonts w:cs="Arial"/>
        </w:rPr>
        <w:t xml:space="preserve"> E</w:t>
      </w:r>
      <w:r>
        <w:rPr>
          <w:rFonts w:cs="Arial"/>
        </w:rPr>
        <w:t>, Akgungor</w:t>
      </w:r>
      <w:r w:rsidRPr="005D6D89">
        <w:rPr>
          <w:rFonts w:cs="Arial"/>
        </w:rPr>
        <w:t xml:space="preserve"> C</w:t>
      </w:r>
      <w:r>
        <w:rPr>
          <w:rFonts w:cs="Arial"/>
        </w:rPr>
        <w:t xml:space="preserve"> and Ho H</w:t>
      </w:r>
      <w:r w:rsidRPr="005D6D89">
        <w:rPr>
          <w:rFonts w:cs="Arial"/>
        </w:rPr>
        <w:t xml:space="preserve"> T. (2019). Expanding the capabilities of people with disabilities in disaster risk reduction. </w:t>
      </w:r>
      <w:r w:rsidRPr="005D6D89">
        <w:rPr>
          <w:rFonts w:cs="Arial"/>
          <w:i/>
          <w:iCs/>
        </w:rPr>
        <w:t>International Journal of Disaster Risk Reduction</w:t>
      </w:r>
      <w:r w:rsidRPr="005D6D89">
        <w:rPr>
          <w:rFonts w:cs="Arial"/>
        </w:rPr>
        <w:t>, 34, 11–17.</w:t>
      </w:r>
    </w:p>
    <w:p w14:paraId="19B8D011" w14:textId="77777777" w:rsidR="007D0B70" w:rsidRPr="005D6D89" w:rsidRDefault="007D0B70" w:rsidP="007D0B70">
      <w:pPr>
        <w:pStyle w:val="References"/>
        <w:rPr>
          <w:rFonts w:cs="Arial"/>
        </w:rPr>
      </w:pPr>
      <w:r>
        <w:rPr>
          <w:rFonts w:cs="Arial"/>
        </w:rPr>
        <w:t>Tortajada</w:t>
      </w:r>
      <w:r w:rsidRPr="005D6D89">
        <w:rPr>
          <w:rFonts w:cs="Arial"/>
        </w:rPr>
        <w:t xml:space="preserve"> C</w:t>
      </w:r>
      <w:r>
        <w:rPr>
          <w:rFonts w:cs="Arial"/>
        </w:rPr>
        <w:t xml:space="preserve"> and Joshi</w:t>
      </w:r>
      <w:r w:rsidRPr="005D6D89">
        <w:rPr>
          <w:rFonts w:cs="Arial"/>
        </w:rPr>
        <w:t xml:space="preserve"> Y. (2013). Water demand management in Singapore: Involving the </w:t>
      </w:r>
      <w:r>
        <w:rPr>
          <w:rFonts w:cs="Arial"/>
        </w:rPr>
        <w:t>p</w:t>
      </w:r>
      <w:r w:rsidRPr="005D6D89">
        <w:rPr>
          <w:rFonts w:cs="Arial"/>
        </w:rPr>
        <w:t xml:space="preserve">ublic. </w:t>
      </w:r>
      <w:r w:rsidRPr="005D6D89">
        <w:rPr>
          <w:rFonts w:cs="Arial"/>
          <w:i/>
          <w:iCs/>
        </w:rPr>
        <w:t>Water Resources Management</w:t>
      </w:r>
      <w:r w:rsidRPr="005D6D89">
        <w:rPr>
          <w:rFonts w:cs="Arial"/>
        </w:rPr>
        <w:t>: An International Journal, Published for the European Water Resources Association (EWRA), 27(8). 2729–2746.</w:t>
      </w:r>
    </w:p>
    <w:p w14:paraId="6212D904" w14:textId="77777777" w:rsidR="007D0B70" w:rsidRPr="005D6D89" w:rsidRDefault="007D0B70" w:rsidP="007D0B70">
      <w:pPr>
        <w:pStyle w:val="References"/>
        <w:rPr>
          <w:rFonts w:cs="Arial"/>
        </w:rPr>
      </w:pPr>
      <w:r>
        <w:rPr>
          <w:rFonts w:cs="Arial"/>
        </w:rPr>
        <w:t>Trujillo-Pagan</w:t>
      </w:r>
      <w:r w:rsidRPr="005D6D89">
        <w:rPr>
          <w:rFonts w:cs="Arial"/>
        </w:rPr>
        <w:t xml:space="preserve"> N. (2007). “Katrina</w:t>
      </w:r>
      <w:r>
        <w:rPr>
          <w:rFonts w:cs="Arial"/>
        </w:rPr>
        <w:t>’</w:t>
      </w:r>
      <w:r w:rsidRPr="005D6D89">
        <w:rPr>
          <w:rFonts w:cs="Arial"/>
        </w:rPr>
        <w:t>s Latinos: vulnerability and disaster</w:t>
      </w:r>
      <w:r>
        <w:rPr>
          <w:rFonts w:cs="Arial"/>
        </w:rPr>
        <w:t>s in relief and recovery”. In K A Bates and R S Swan (Eds).</w:t>
      </w:r>
      <w:r w:rsidRPr="005D6D89">
        <w:rPr>
          <w:rFonts w:cs="Arial"/>
        </w:rPr>
        <w:t xml:space="preserve"> </w:t>
      </w:r>
      <w:r w:rsidRPr="005D6D89">
        <w:rPr>
          <w:rFonts w:cs="Arial"/>
          <w:i/>
          <w:iCs/>
        </w:rPr>
        <w:t>Thro</w:t>
      </w:r>
      <w:r>
        <w:rPr>
          <w:rFonts w:cs="Arial"/>
          <w:i/>
          <w:iCs/>
        </w:rPr>
        <w:t>ugh the eye of Katrina: Social j</w:t>
      </w:r>
      <w:r w:rsidRPr="005D6D89">
        <w:rPr>
          <w:rFonts w:cs="Arial"/>
          <w:i/>
          <w:iCs/>
        </w:rPr>
        <w:t>ustice in the United States</w:t>
      </w:r>
      <w:r w:rsidRPr="005D6D89">
        <w:rPr>
          <w:rFonts w:cs="Arial"/>
        </w:rPr>
        <w:t xml:space="preserve">. Durham, NC: Carolina Academic Press, </w:t>
      </w:r>
      <w:r>
        <w:rPr>
          <w:rFonts w:cs="Arial"/>
        </w:rPr>
        <w:t>pp</w:t>
      </w:r>
      <w:r w:rsidRPr="005D6D89">
        <w:rPr>
          <w:rFonts w:cs="Arial"/>
        </w:rPr>
        <w:t xml:space="preserve"> 147–168.</w:t>
      </w:r>
    </w:p>
    <w:p w14:paraId="081C5B2E" w14:textId="77777777" w:rsidR="007D0B70" w:rsidRPr="005D6D89" w:rsidRDefault="007D0B70" w:rsidP="007D0B70">
      <w:pPr>
        <w:pStyle w:val="References"/>
        <w:rPr>
          <w:rFonts w:cs="Arial"/>
          <w:color w:val="000000" w:themeColor="text1"/>
        </w:rPr>
      </w:pPr>
      <w:r w:rsidRPr="005D6D89">
        <w:rPr>
          <w:rFonts w:cs="Arial"/>
        </w:rPr>
        <w:t xml:space="preserve">UK Government Office for Science. (2011). </w:t>
      </w:r>
      <w:r>
        <w:rPr>
          <w:rFonts w:cs="Arial"/>
          <w:i/>
          <w:iCs/>
        </w:rPr>
        <w:t>Foresight: Migration and global environmental c</w:t>
      </w:r>
      <w:r w:rsidRPr="005D6D89">
        <w:rPr>
          <w:rFonts w:cs="Arial"/>
          <w:i/>
          <w:iCs/>
        </w:rPr>
        <w:t>hange</w:t>
      </w:r>
      <w:r w:rsidRPr="005D6D89">
        <w:rPr>
          <w:rFonts w:cs="Arial"/>
        </w:rPr>
        <w:t xml:space="preserve">. </w:t>
      </w:r>
      <w:hyperlink r:id="rId117" w:history="1">
        <w:r w:rsidRPr="005D6D89">
          <w:rPr>
            <w:rStyle w:val="Hyperlink"/>
          </w:rPr>
          <w:t>https://go.nature.com/31A0Xmr</w:t>
        </w:r>
      </w:hyperlink>
    </w:p>
    <w:p w14:paraId="42E29654" w14:textId="77777777" w:rsidR="007D0B70" w:rsidRPr="005D6D89" w:rsidRDefault="007D0B70" w:rsidP="007D0B70">
      <w:pPr>
        <w:pStyle w:val="References"/>
        <w:rPr>
          <w:rFonts w:cs="Arial"/>
          <w:color w:val="000000" w:themeColor="text1"/>
        </w:rPr>
      </w:pPr>
      <w:r>
        <w:rPr>
          <w:rFonts w:cs="Arial"/>
          <w:color w:val="000000" w:themeColor="text1"/>
        </w:rPr>
        <w:t>Uma S</w:t>
      </w:r>
      <w:r w:rsidRPr="005D6D89">
        <w:rPr>
          <w:rFonts w:cs="Arial"/>
          <w:color w:val="000000" w:themeColor="text1"/>
        </w:rPr>
        <w:t xml:space="preserve"> R</w:t>
      </w:r>
      <w:r>
        <w:rPr>
          <w:rFonts w:cs="Arial"/>
          <w:color w:val="000000" w:themeColor="text1"/>
        </w:rPr>
        <w:t>, Bothara</w:t>
      </w:r>
      <w:r w:rsidRPr="005D6D89">
        <w:rPr>
          <w:rFonts w:cs="Arial"/>
          <w:color w:val="000000" w:themeColor="text1"/>
        </w:rPr>
        <w:t xml:space="preserve"> J</w:t>
      </w:r>
      <w:r>
        <w:rPr>
          <w:rFonts w:cs="Arial"/>
          <w:color w:val="000000" w:themeColor="text1"/>
        </w:rPr>
        <w:t>, Jury</w:t>
      </w:r>
      <w:r w:rsidRPr="005D6D89">
        <w:rPr>
          <w:rFonts w:cs="Arial"/>
          <w:color w:val="000000" w:themeColor="text1"/>
        </w:rPr>
        <w:t xml:space="preserve"> R</w:t>
      </w:r>
      <w:r>
        <w:rPr>
          <w:rFonts w:cs="Arial"/>
          <w:color w:val="000000" w:themeColor="text1"/>
        </w:rPr>
        <w:t xml:space="preserve"> and King</w:t>
      </w:r>
      <w:r w:rsidRPr="005D6D89">
        <w:rPr>
          <w:rFonts w:cs="Arial"/>
          <w:color w:val="000000" w:themeColor="text1"/>
        </w:rPr>
        <w:t xml:space="preserve"> A. (2008</w:t>
      </w:r>
      <w:r w:rsidRPr="005D6D89">
        <w:rPr>
          <w:rFonts w:cs="Arial"/>
          <w:i/>
          <w:iCs/>
          <w:color w:val="000000" w:themeColor="text1"/>
        </w:rPr>
        <w:t>). Performance assessment of existing buildings in New Zealand</w:t>
      </w:r>
      <w:r w:rsidRPr="005D6D89">
        <w:rPr>
          <w:rFonts w:cs="Arial"/>
          <w:color w:val="000000" w:themeColor="text1"/>
        </w:rPr>
        <w:t>. 2008 NZSEE Conference.</w:t>
      </w:r>
    </w:p>
    <w:p w14:paraId="09ADEB36" w14:textId="77777777" w:rsidR="007D0B70" w:rsidRPr="005D6D89" w:rsidRDefault="007D0B70" w:rsidP="007D0B70">
      <w:pPr>
        <w:pStyle w:val="References"/>
        <w:rPr>
          <w:rFonts w:cs="Arial"/>
          <w:color w:val="000000" w:themeColor="text1"/>
        </w:rPr>
      </w:pPr>
      <w:r w:rsidRPr="005D6D89">
        <w:rPr>
          <w:rFonts w:cs="Arial"/>
          <w:color w:val="000000" w:themeColor="text1"/>
        </w:rPr>
        <w:t>UNEP Emissions Gap report</w:t>
      </w:r>
      <w:r>
        <w:rPr>
          <w:rFonts w:cs="Arial"/>
          <w:color w:val="000000" w:themeColor="text1"/>
        </w:rPr>
        <w:t>.</w:t>
      </w:r>
      <w:r w:rsidRPr="005D6D89">
        <w:rPr>
          <w:rFonts w:cs="Arial"/>
          <w:color w:val="000000" w:themeColor="text1"/>
        </w:rPr>
        <w:t xml:space="preserve"> (2019). </w:t>
      </w:r>
      <w:hyperlink r:id="rId118" w:history="1">
        <w:r w:rsidRPr="005D6D89">
          <w:rPr>
            <w:rStyle w:val="Hyperlink"/>
          </w:rPr>
          <w:t>https://www.unenvironment.org/resources/emissions-gap-report-2019</w:t>
        </w:r>
      </w:hyperlink>
    </w:p>
    <w:p w14:paraId="70253029" w14:textId="77777777" w:rsidR="007D0B70" w:rsidRPr="005D6D89" w:rsidRDefault="007D0B70" w:rsidP="007D0B70">
      <w:pPr>
        <w:pStyle w:val="References"/>
        <w:rPr>
          <w:rFonts w:cs="Arial"/>
          <w:color w:val="000000" w:themeColor="text1"/>
        </w:rPr>
      </w:pPr>
      <w:r>
        <w:rPr>
          <w:rFonts w:cs="Arial"/>
          <w:color w:val="000000" w:themeColor="text1"/>
        </w:rPr>
        <w:t>Urich</w:t>
      </w:r>
      <w:r w:rsidRPr="005D6D89">
        <w:rPr>
          <w:rFonts w:cs="Arial"/>
          <w:color w:val="000000" w:themeColor="text1"/>
        </w:rPr>
        <w:t xml:space="preserve"> P</w:t>
      </w:r>
      <w:r>
        <w:rPr>
          <w:rFonts w:cs="Arial"/>
          <w:color w:val="000000" w:themeColor="text1"/>
        </w:rPr>
        <w:t>,</w:t>
      </w:r>
      <w:r w:rsidRPr="005D6D89">
        <w:rPr>
          <w:rFonts w:cs="Arial"/>
          <w:color w:val="000000" w:themeColor="text1"/>
        </w:rPr>
        <w:t xml:space="preserve"> Li Y</w:t>
      </w:r>
      <w:r>
        <w:rPr>
          <w:rFonts w:cs="Arial"/>
          <w:color w:val="000000" w:themeColor="text1"/>
        </w:rPr>
        <w:t xml:space="preserve"> and Burton</w:t>
      </w:r>
      <w:r w:rsidRPr="005D6D89">
        <w:rPr>
          <w:rFonts w:cs="Arial"/>
          <w:color w:val="000000" w:themeColor="text1"/>
        </w:rPr>
        <w:t xml:space="preserve"> D. (2017). </w:t>
      </w:r>
      <w:r w:rsidRPr="005D6D89">
        <w:rPr>
          <w:rFonts w:cs="Arial"/>
          <w:i/>
          <w:iCs/>
          <w:color w:val="000000" w:themeColor="text1"/>
        </w:rPr>
        <w:t xml:space="preserve">When extreme rainfall disrupts a water supply – The </w:t>
      </w:r>
      <w:r>
        <w:rPr>
          <w:rFonts w:cs="Arial"/>
          <w:i/>
          <w:iCs/>
          <w:color w:val="000000" w:themeColor="text1"/>
        </w:rPr>
        <w:t>c</w:t>
      </w:r>
      <w:r w:rsidRPr="005D6D89">
        <w:rPr>
          <w:rFonts w:cs="Arial"/>
          <w:i/>
          <w:iCs/>
          <w:color w:val="000000" w:themeColor="text1"/>
        </w:rPr>
        <w:t>ase of Auckland City, New Zealand</w:t>
      </w:r>
      <w:r>
        <w:rPr>
          <w:rFonts w:cs="Arial"/>
          <w:i/>
          <w:iCs/>
          <w:color w:val="000000" w:themeColor="text1"/>
        </w:rPr>
        <w:t xml:space="preserve"> –</w:t>
      </w:r>
      <w:r w:rsidRPr="005D6D89">
        <w:rPr>
          <w:rFonts w:cs="Arial"/>
          <w:i/>
          <w:iCs/>
          <w:color w:val="000000" w:themeColor="text1"/>
        </w:rPr>
        <w:t xml:space="preserve"> March 2017</w:t>
      </w:r>
      <w:r w:rsidRPr="005D6D89">
        <w:rPr>
          <w:rFonts w:cs="Arial"/>
          <w:color w:val="000000" w:themeColor="text1"/>
        </w:rPr>
        <w:t xml:space="preserve">. Retrieved from </w:t>
      </w:r>
      <w:hyperlink r:id="rId119" w:history="1">
        <w:r w:rsidRPr="005D6D89">
          <w:rPr>
            <w:rStyle w:val="Hyperlink"/>
          </w:rPr>
          <w:t>https://www.climsystems.com/blog/post/when-extreme-rainfall-disrupts-a-water-supply-the-case-of-auckland-city-new-zealand</w:t>
        </w:r>
      </w:hyperlink>
    </w:p>
    <w:p w14:paraId="5DB581EA" w14:textId="77777777" w:rsidR="007D0B70" w:rsidRPr="005D6D89" w:rsidRDefault="007D0B70" w:rsidP="007D0B70">
      <w:pPr>
        <w:pStyle w:val="References"/>
        <w:rPr>
          <w:rFonts w:cs="Arial"/>
        </w:rPr>
      </w:pPr>
      <w:r>
        <w:rPr>
          <w:rFonts w:cs="Arial"/>
        </w:rPr>
        <w:t>V</w:t>
      </w:r>
      <w:r w:rsidRPr="005D6D89">
        <w:rPr>
          <w:rFonts w:cs="Arial"/>
        </w:rPr>
        <w:t>an Vl</w:t>
      </w:r>
      <w:r>
        <w:rPr>
          <w:rFonts w:cs="Arial"/>
        </w:rPr>
        <w:t>iet M</w:t>
      </w:r>
      <w:r w:rsidRPr="005D6D89">
        <w:rPr>
          <w:rFonts w:cs="Arial"/>
        </w:rPr>
        <w:t xml:space="preserve"> T</w:t>
      </w:r>
      <w:r>
        <w:rPr>
          <w:rFonts w:cs="Arial"/>
        </w:rPr>
        <w:t xml:space="preserve"> and Zwolsman J</w:t>
      </w:r>
      <w:r w:rsidRPr="005D6D89">
        <w:rPr>
          <w:rFonts w:cs="Arial"/>
        </w:rPr>
        <w:t xml:space="preserve"> J. (2008). Impact of summer droughts on the water quality of the Meuse </w:t>
      </w:r>
      <w:proofErr w:type="gramStart"/>
      <w:r w:rsidRPr="005D6D89">
        <w:rPr>
          <w:rFonts w:cs="Arial"/>
        </w:rPr>
        <w:t>river</w:t>
      </w:r>
      <w:proofErr w:type="gramEnd"/>
      <w:r w:rsidRPr="005D6D89">
        <w:rPr>
          <w:rFonts w:cs="Arial"/>
        </w:rPr>
        <w:t xml:space="preserve">. </w:t>
      </w:r>
      <w:r w:rsidRPr="005D6D89">
        <w:rPr>
          <w:rFonts w:cs="Arial"/>
          <w:i/>
          <w:iCs/>
        </w:rPr>
        <w:t>Journal of Hydrology</w:t>
      </w:r>
      <w:r w:rsidRPr="005D6D89">
        <w:rPr>
          <w:rFonts w:cs="Arial"/>
        </w:rPr>
        <w:t>, 353, 1–17.</w:t>
      </w:r>
    </w:p>
    <w:p w14:paraId="1745D2F0" w14:textId="77777777" w:rsidR="007D0B70" w:rsidRPr="005D6D89" w:rsidRDefault="007D0B70" w:rsidP="007D0B70">
      <w:pPr>
        <w:pStyle w:val="References"/>
        <w:rPr>
          <w:rFonts w:cs="Arial"/>
        </w:rPr>
      </w:pPr>
      <w:r>
        <w:rPr>
          <w:rFonts w:cs="Arial"/>
        </w:rPr>
        <w:t>Wakelin</w:t>
      </w:r>
      <w:r w:rsidRPr="005D6D89">
        <w:rPr>
          <w:rFonts w:cs="Arial"/>
        </w:rPr>
        <w:t xml:space="preserve"> A</w:t>
      </w:r>
      <w:r>
        <w:rPr>
          <w:rFonts w:cs="Arial"/>
        </w:rPr>
        <w:t>, Gomez-Gallego</w:t>
      </w:r>
      <w:r w:rsidRPr="005D6D89">
        <w:rPr>
          <w:rFonts w:cs="Arial"/>
        </w:rPr>
        <w:t xml:space="preserve"> M</w:t>
      </w:r>
      <w:r>
        <w:rPr>
          <w:rFonts w:cs="Arial"/>
        </w:rPr>
        <w:t>, Jones</w:t>
      </w:r>
      <w:r w:rsidRPr="005D6D89">
        <w:rPr>
          <w:rFonts w:cs="Arial"/>
        </w:rPr>
        <w:t xml:space="preserve"> E</w:t>
      </w:r>
      <w:r>
        <w:rPr>
          <w:rFonts w:cs="Arial"/>
        </w:rPr>
        <w:t>, Smaill</w:t>
      </w:r>
      <w:r w:rsidRPr="005D6D89">
        <w:rPr>
          <w:rFonts w:cs="Arial"/>
        </w:rPr>
        <w:t xml:space="preserve"> S</w:t>
      </w:r>
      <w:r>
        <w:rPr>
          <w:rFonts w:cs="Arial"/>
        </w:rPr>
        <w:t>, Lear</w:t>
      </w:r>
      <w:r w:rsidRPr="005D6D89">
        <w:rPr>
          <w:rFonts w:cs="Arial"/>
        </w:rPr>
        <w:t xml:space="preserve"> G</w:t>
      </w:r>
      <w:r>
        <w:rPr>
          <w:rFonts w:cs="Arial"/>
        </w:rPr>
        <w:t xml:space="preserve"> and Lambie</w:t>
      </w:r>
      <w:r w:rsidRPr="005D6D89">
        <w:rPr>
          <w:rFonts w:cs="Arial"/>
        </w:rPr>
        <w:t xml:space="preserve"> S. (2018). Climate change induced drought impacts o</w:t>
      </w:r>
      <w:r>
        <w:rPr>
          <w:rFonts w:cs="Arial"/>
        </w:rPr>
        <w:t>n plant diseases in New Zealand</w:t>
      </w:r>
      <w:r w:rsidRPr="005D6D89">
        <w:rPr>
          <w:rFonts w:cs="Arial"/>
        </w:rPr>
        <w:t xml:space="preserve">. </w:t>
      </w:r>
      <w:r>
        <w:rPr>
          <w:rFonts w:cs="Arial"/>
          <w:i/>
          <w:iCs/>
        </w:rPr>
        <w:t>Australasian Plant Pathology</w:t>
      </w:r>
      <w:r w:rsidRPr="005D6D89">
        <w:rPr>
          <w:rFonts w:cs="Arial"/>
          <w:i/>
          <w:iCs/>
        </w:rPr>
        <w:t>, 47</w:t>
      </w:r>
      <w:r w:rsidRPr="005D6D89">
        <w:rPr>
          <w:rFonts w:cs="Arial"/>
        </w:rPr>
        <w:t>(101), 101–114.</w:t>
      </w:r>
    </w:p>
    <w:p w14:paraId="6CBA0E5C" w14:textId="77777777" w:rsidR="007D0B70" w:rsidRPr="005D6D89" w:rsidRDefault="007D0B70" w:rsidP="007D0B70">
      <w:pPr>
        <w:pStyle w:val="References"/>
        <w:rPr>
          <w:rFonts w:cs="Arial"/>
        </w:rPr>
      </w:pPr>
      <w:r>
        <w:rPr>
          <w:rFonts w:cs="Arial"/>
        </w:rPr>
        <w:t>Wardle A, Barker G, Yeates G, Bonner</w:t>
      </w:r>
      <w:r w:rsidRPr="005D6D89">
        <w:rPr>
          <w:rFonts w:cs="Arial"/>
        </w:rPr>
        <w:t xml:space="preserve"> K</w:t>
      </w:r>
      <w:r>
        <w:rPr>
          <w:rFonts w:cs="Arial"/>
        </w:rPr>
        <w:t xml:space="preserve"> and Ghani</w:t>
      </w:r>
      <w:r w:rsidRPr="005D6D89">
        <w:rPr>
          <w:rFonts w:cs="Arial"/>
        </w:rPr>
        <w:t xml:space="preserve"> A</w:t>
      </w:r>
      <w:r>
        <w:rPr>
          <w:rFonts w:cs="Arial"/>
        </w:rPr>
        <w:t>.</w:t>
      </w:r>
      <w:r w:rsidRPr="005D6D89">
        <w:rPr>
          <w:rFonts w:cs="Arial"/>
        </w:rPr>
        <w:t xml:space="preserve"> (2001). </w:t>
      </w:r>
      <w:r w:rsidRPr="005D6D89">
        <w:rPr>
          <w:rFonts w:cs="Arial"/>
          <w:i/>
          <w:iCs/>
        </w:rPr>
        <w:t>Ecological Monographs</w:t>
      </w:r>
      <w:r w:rsidRPr="005D6D89">
        <w:rPr>
          <w:rFonts w:cs="Arial"/>
        </w:rPr>
        <w:t>, 71, 587–614.</w:t>
      </w:r>
    </w:p>
    <w:p w14:paraId="38C5E312" w14:textId="77777777" w:rsidR="007D0B70" w:rsidRPr="005D6D89" w:rsidRDefault="007D0B70" w:rsidP="007D0B70">
      <w:pPr>
        <w:pStyle w:val="References"/>
        <w:rPr>
          <w:rFonts w:cs="Arial"/>
        </w:rPr>
      </w:pPr>
      <w:r>
        <w:t>Warren</w:t>
      </w:r>
      <w:r w:rsidRPr="005D6D89">
        <w:t xml:space="preserve"> R</w:t>
      </w:r>
      <w:r>
        <w:t>, Watkiss</w:t>
      </w:r>
      <w:r w:rsidRPr="005D6D89">
        <w:t xml:space="preserve"> P</w:t>
      </w:r>
      <w:r>
        <w:t>, Wilby</w:t>
      </w:r>
      <w:r w:rsidRPr="005D6D89">
        <w:t xml:space="preserve"> R</w:t>
      </w:r>
      <w:r>
        <w:t xml:space="preserve"> </w:t>
      </w:r>
      <w:r w:rsidRPr="005D6D89">
        <w:t>L</w:t>
      </w:r>
      <w:r>
        <w:t>, Humphrey</w:t>
      </w:r>
      <w:r w:rsidRPr="005D6D89">
        <w:t xml:space="preserve"> K</w:t>
      </w:r>
      <w:r>
        <w:t>, Ranger</w:t>
      </w:r>
      <w:r w:rsidRPr="005D6D89">
        <w:t xml:space="preserve"> N</w:t>
      </w:r>
      <w:r>
        <w:t>, Betts</w:t>
      </w:r>
      <w:r w:rsidRPr="005D6D89">
        <w:t xml:space="preserve"> R</w:t>
      </w:r>
      <w:r>
        <w:t>, Lowe</w:t>
      </w:r>
      <w:r w:rsidRPr="005D6D89">
        <w:t xml:space="preserve"> J</w:t>
      </w:r>
      <w:r>
        <w:t xml:space="preserve"> and Watts</w:t>
      </w:r>
      <w:r w:rsidRPr="005D6D89">
        <w:t xml:space="preserve"> G. (2016)</w:t>
      </w:r>
      <w:r>
        <w:t>.</w:t>
      </w:r>
      <w:r w:rsidRPr="005D6D89">
        <w:t xml:space="preserve"> </w:t>
      </w:r>
      <w:r w:rsidRPr="005D6D89">
        <w:rPr>
          <w:i/>
          <w:iCs/>
        </w:rPr>
        <w:t xml:space="preserve">UK Climate </w:t>
      </w:r>
      <w:proofErr w:type="gramStart"/>
      <w:r>
        <w:rPr>
          <w:i/>
          <w:iCs/>
        </w:rPr>
        <w:t>c</w:t>
      </w:r>
      <w:r w:rsidRPr="005D6D89">
        <w:rPr>
          <w:i/>
          <w:iCs/>
        </w:rPr>
        <w:t xml:space="preserve">hange </w:t>
      </w:r>
      <w:r>
        <w:rPr>
          <w:i/>
          <w:iCs/>
        </w:rPr>
        <w:t>risk assessment e</w:t>
      </w:r>
      <w:r w:rsidRPr="005D6D89">
        <w:rPr>
          <w:i/>
          <w:iCs/>
        </w:rPr>
        <w:t xml:space="preserve">vidence </w:t>
      </w:r>
      <w:r>
        <w:rPr>
          <w:i/>
          <w:iCs/>
        </w:rPr>
        <w:t>r</w:t>
      </w:r>
      <w:r w:rsidRPr="005D6D89">
        <w:rPr>
          <w:i/>
          <w:iCs/>
        </w:rPr>
        <w:t>eport</w:t>
      </w:r>
      <w:proofErr w:type="gramEnd"/>
      <w:r>
        <w:t>: Chapter 2, approach and c</w:t>
      </w:r>
      <w:r w:rsidRPr="005D6D89">
        <w:t>ontext. Report prepared for the Adaptation Sub-Committee of the Committee on Climate Change, London.</w:t>
      </w:r>
    </w:p>
    <w:p w14:paraId="1AA508ED" w14:textId="77777777" w:rsidR="007D0B70" w:rsidRPr="005D6D89" w:rsidRDefault="007D0B70" w:rsidP="007D0B70">
      <w:pPr>
        <w:pStyle w:val="References"/>
        <w:rPr>
          <w:rFonts w:cs="Arial"/>
        </w:rPr>
      </w:pPr>
      <w:r>
        <w:rPr>
          <w:rFonts w:cs="Arial"/>
        </w:rPr>
        <w:t>Warren M. (2018). Trust and democracy. In E</w:t>
      </w:r>
      <w:r w:rsidRPr="005D6D89">
        <w:rPr>
          <w:rFonts w:cs="Arial"/>
        </w:rPr>
        <w:t xml:space="preserve"> Usl</w:t>
      </w:r>
      <w:r>
        <w:rPr>
          <w:rFonts w:cs="Arial"/>
        </w:rPr>
        <w:t xml:space="preserve">aner (Ed). </w:t>
      </w:r>
      <w:r w:rsidRPr="005D6D89">
        <w:rPr>
          <w:rFonts w:cs="Arial"/>
          <w:i/>
          <w:iCs/>
        </w:rPr>
        <w:t>The</w:t>
      </w:r>
      <w:r>
        <w:rPr>
          <w:rFonts w:cs="Arial"/>
          <w:i/>
          <w:iCs/>
        </w:rPr>
        <w:t xml:space="preserve"> Oxford handbook of social and political t</w:t>
      </w:r>
      <w:r w:rsidRPr="005D6D89">
        <w:rPr>
          <w:rFonts w:cs="Arial"/>
          <w:i/>
          <w:iCs/>
        </w:rPr>
        <w:t>rust</w:t>
      </w:r>
      <w:r w:rsidRPr="005D6D89">
        <w:rPr>
          <w:rFonts w:cs="Arial"/>
        </w:rPr>
        <w:t>. Oxford University Press.</w:t>
      </w:r>
    </w:p>
    <w:p w14:paraId="48542857" w14:textId="77777777" w:rsidR="007D0B70" w:rsidRPr="005D6D89" w:rsidRDefault="007D0B70" w:rsidP="007D0B70">
      <w:pPr>
        <w:pStyle w:val="References"/>
        <w:rPr>
          <w:rFonts w:cs="Arial"/>
          <w:color w:val="000000" w:themeColor="text1"/>
        </w:rPr>
      </w:pPr>
      <w:r w:rsidRPr="005D6D89">
        <w:rPr>
          <w:rFonts w:cs="Arial"/>
        </w:rPr>
        <w:t xml:space="preserve">WasteMINZ. (2018). </w:t>
      </w:r>
      <w:r>
        <w:rPr>
          <w:rFonts w:cs="Arial"/>
          <w:i/>
          <w:iCs/>
        </w:rPr>
        <w:t>Technical guidelines for disposal to l</w:t>
      </w:r>
      <w:r w:rsidRPr="005D6D89">
        <w:rPr>
          <w:rFonts w:cs="Arial"/>
          <w:i/>
          <w:iCs/>
        </w:rPr>
        <w:t>and</w:t>
      </w:r>
      <w:r w:rsidRPr="005D6D89">
        <w:rPr>
          <w:rFonts w:cs="Arial"/>
        </w:rPr>
        <w:t xml:space="preserve">. Retrieved from </w:t>
      </w:r>
      <w:hyperlink r:id="rId120" w:history="1">
        <w:r w:rsidRPr="005D6D89">
          <w:rPr>
            <w:rStyle w:val="Hyperlink"/>
          </w:rPr>
          <w:t>https://www.wasteminz.org.nz/wp-content/uploads/2016/04/Technical-Guidelines-for-Disposal-to-Land-9Aug18-FINAL.pdf</w:t>
        </w:r>
      </w:hyperlink>
      <w:r w:rsidRPr="005D6D89">
        <w:rPr>
          <w:rFonts w:cs="Arial"/>
          <w:color w:val="000000" w:themeColor="text1"/>
        </w:rPr>
        <w:t xml:space="preserve"> </w:t>
      </w:r>
    </w:p>
    <w:p w14:paraId="5F9C6CF1" w14:textId="77777777" w:rsidR="007D0B70" w:rsidRPr="005D6D89" w:rsidRDefault="007D0B70" w:rsidP="007D0B70">
      <w:pPr>
        <w:pStyle w:val="References"/>
        <w:rPr>
          <w:color w:val="000000" w:themeColor="text1"/>
        </w:rPr>
      </w:pPr>
      <w:r>
        <w:rPr>
          <w:color w:val="000000" w:themeColor="text1"/>
        </w:rPr>
        <w:t>Watercare.</w:t>
      </w:r>
      <w:r w:rsidRPr="005D6D89">
        <w:rPr>
          <w:color w:val="000000" w:themeColor="text1"/>
        </w:rPr>
        <w:t xml:space="preserve"> (</w:t>
      </w:r>
      <w:proofErr w:type="gramStart"/>
      <w:r>
        <w:rPr>
          <w:color w:val="000000" w:themeColor="text1"/>
        </w:rPr>
        <w:t>nd</w:t>
      </w:r>
      <w:proofErr w:type="gramEnd"/>
      <w:r w:rsidRPr="005D6D89">
        <w:rPr>
          <w:color w:val="000000" w:themeColor="text1"/>
        </w:rPr>
        <w:t xml:space="preserve">) </w:t>
      </w:r>
      <w:r w:rsidRPr="005D6D89">
        <w:rPr>
          <w:i/>
          <w:iCs/>
          <w:color w:val="000000" w:themeColor="text1"/>
        </w:rPr>
        <w:t>Where your water comes from</w:t>
      </w:r>
      <w:r w:rsidRPr="005D6D89">
        <w:rPr>
          <w:color w:val="000000" w:themeColor="text1"/>
        </w:rPr>
        <w:t>. Retrieved from </w:t>
      </w:r>
      <w:hyperlink r:id="rId121" w:history="1">
        <w:r w:rsidRPr="005D6D89">
          <w:rPr>
            <w:rStyle w:val="Hyperlink"/>
          </w:rPr>
          <w:t>https://www.watercare.co.nz/Water-and-wastewater/Where-your-water-comes-from</w:t>
        </w:r>
      </w:hyperlink>
    </w:p>
    <w:p w14:paraId="0F0C4381" w14:textId="77777777" w:rsidR="007D0B70" w:rsidRPr="005D6D89" w:rsidRDefault="007D0B70" w:rsidP="007D0B70">
      <w:pPr>
        <w:pStyle w:val="References"/>
        <w:rPr>
          <w:rFonts w:cs="Arial"/>
        </w:rPr>
      </w:pPr>
      <w:r w:rsidRPr="005D6D89">
        <w:rPr>
          <w:rFonts w:cs="Arial"/>
        </w:rPr>
        <w:t xml:space="preserve">WaterNZ. (2015). </w:t>
      </w:r>
      <w:r w:rsidRPr="005D6D89">
        <w:rPr>
          <w:rFonts w:cs="Arial"/>
          <w:i/>
          <w:iCs/>
        </w:rPr>
        <w:t>National Performance Review 2014–2015</w:t>
      </w:r>
      <w:r w:rsidRPr="005D6D89">
        <w:rPr>
          <w:rFonts w:cs="Arial"/>
        </w:rPr>
        <w:t xml:space="preserve">. </w:t>
      </w:r>
    </w:p>
    <w:p w14:paraId="64865931" w14:textId="77777777" w:rsidR="007D0B70" w:rsidRPr="005D6D89" w:rsidRDefault="007D0B70" w:rsidP="007D0B70">
      <w:pPr>
        <w:pStyle w:val="References"/>
        <w:rPr>
          <w:rFonts w:cs="Arial"/>
        </w:rPr>
      </w:pPr>
      <w:r w:rsidRPr="005D6D89">
        <w:rPr>
          <w:rFonts w:cs="Arial"/>
        </w:rPr>
        <w:t xml:space="preserve">WaterNZ. (2016). </w:t>
      </w:r>
      <w:r w:rsidRPr="005D6D89">
        <w:rPr>
          <w:rFonts w:cs="Arial"/>
          <w:i/>
          <w:iCs/>
        </w:rPr>
        <w:t>National Performance Review 2015–2016</w:t>
      </w:r>
      <w:r w:rsidRPr="005D6D89">
        <w:rPr>
          <w:rFonts w:cs="Arial"/>
        </w:rPr>
        <w:t xml:space="preserve">. </w:t>
      </w:r>
    </w:p>
    <w:p w14:paraId="1118A8E3" w14:textId="77777777" w:rsidR="007D0B70" w:rsidRPr="005D6D89" w:rsidRDefault="007D0B70" w:rsidP="007D0B70">
      <w:pPr>
        <w:pStyle w:val="References"/>
        <w:rPr>
          <w:rFonts w:cs="Arial"/>
        </w:rPr>
      </w:pPr>
      <w:r w:rsidRPr="005D6D89">
        <w:rPr>
          <w:rFonts w:cs="Arial"/>
        </w:rPr>
        <w:t xml:space="preserve">WaterNZ. (2017). </w:t>
      </w:r>
      <w:r w:rsidRPr="005D6D89">
        <w:rPr>
          <w:rFonts w:cs="Arial"/>
          <w:i/>
          <w:iCs/>
        </w:rPr>
        <w:t>National Performance Review 2016–2017</w:t>
      </w:r>
      <w:r w:rsidRPr="005D6D89">
        <w:rPr>
          <w:rFonts w:cs="Arial"/>
        </w:rPr>
        <w:t>.</w:t>
      </w:r>
    </w:p>
    <w:p w14:paraId="7A13B825" w14:textId="77777777" w:rsidR="007D0B70" w:rsidRPr="005D6D89" w:rsidRDefault="007D0B70" w:rsidP="007D0B70">
      <w:pPr>
        <w:pStyle w:val="References"/>
        <w:rPr>
          <w:rFonts w:cs="Arial"/>
        </w:rPr>
      </w:pPr>
      <w:r w:rsidRPr="005D6D89">
        <w:rPr>
          <w:rFonts w:cs="Arial"/>
        </w:rPr>
        <w:t xml:space="preserve">WaterNZ. (2018). </w:t>
      </w:r>
      <w:r w:rsidRPr="005D6D89">
        <w:rPr>
          <w:rFonts w:cs="Arial"/>
          <w:i/>
          <w:iCs/>
        </w:rPr>
        <w:t>National Performance Review 2017–2018</w:t>
      </w:r>
      <w:r w:rsidRPr="005D6D89">
        <w:rPr>
          <w:rFonts w:cs="Arial"/>
        </w:rPr>
        <w:t xml:space="preserve">. </w:t>
      </w:r>
    </w:p>
    <w:p w14:paraId="618C5FAC" w14:textId="77777777" w:rsidR="007D0B70" w:rsidRPr="005D6D89" w:rsidRDefault="007D0B70" w:rsidP="007D0B70">
      <w:pPr>
        <w:pStyle w:val="References"/>
        <w:rPr>
          <w:rFonts w:cs="Arial"/>
        </w:rPr>
      </w:pPr>
      <w:r>
        <w:rPr>
          <w:rFonts w:cs="Arial"/>
        </w:rPr>
        <w:t xml:space="preserve">Watt M S et al. </w:t>
      </w:r>
      <w:r w:rsidRPr="005D6D89">
        <w:rPr>
          <w:rFonts w:cs="Arial"/>
        </w:rPr>
        <w:t xml:space="preserve">(2019). Assessment of multiple climate change effects on plantation forests in New Zealand. </w:t>
      </w:r>
      <w:r w:rsidRPr="005D6D89">
        <w:rPr>
          <w:rFonts w:cs="Arial"/>
          <w:i/>
          <w:iCs/>
        </w:rPr>
        <w:t>Forestry: An International Journal of Forest Research</w:t>
      </w:r>
      <w:r w:rsidRPr="005D6D89">
        <w:rPr>
          <w:rFonts w:cs="Arial"/>
        </w:rPr>
        <w:t xml:space="preserve"> 92(1): 1–15.</w:t>
      </w:r>
    </w:p>
    <w:p w14:paraId="613F299E" w14:textId="77777777" w:rsidR="007D0B70" w:rsidRPr="005D6D89" w:rsidRDefault="007D0B70" w:rsidP="007D0B70">
      <w:pPr>
        <w:pStyle w:val="References"/>
        <w:rPr>
          <w:rFonts w:cs="Arial"/>
          <w:color w:val="000000" w:themeColor="text1"/>
        </w:rPr>
      </w:pPr>
      <w:r w:rsidRPr="005D6D89">
        <w:rPr>
          <w:rFonts w:eastAsiaTheme="minorHAnsi" w:cs="Arial"/>
          <w:color w:val="000000"/>
          <w:lang w:eastAsia="en-US"/>
        </w:rPr>
        <w:t>Watts</w:t>
      </w:r>
      <w:r>
        <w:rPr>
          <w:rFonts w:eastAsiaTheme="minorHAnsi" w:cs="Arial"/>
          <w:color w:val="000000"/>
          <w:lang w:eastAsia="en-US"/>
        </w:rPr>
        <w:t xml:space="preserve"> M </w:t>
      </w:r>
      <w:r w:rsidRPr="005D6D89">
        <w:rPr>
          <w:rFonts w:eastAsiaTheme="minorHAnsi" w:cs="Arial"/>
          <w:color w:val="000000"/>
          <w:lang w:eastAsia="en-US"/>
        </w:rPr>
        <w:t>S</w:t>
      </w:r>
      <w:r>
        <w:rPr>
          <w:rFonts w:eastAsiaTheme="minorHAnsi" w:cs="Arial"/>
          <w:color w:val="000000"/>
          <w:lang w:eastAsia="en-US"/>
        </w:rPr>
        <w:t>,</w:t>
      </w:r>
      <w:r w:rsidRPr="005D6D89">
        <w:rPr>
          <w:rFonts w:eastAsiaTheme="minorHAnsi" w:cs="Arial"/>
          <w:color w:val="000000"/>
          <w:lang w:eastAsia="en-US"/>
        </w:rPr>
        <w:t xml:space="preserve"> Kirschbaum</w:t>
      </w:r>
      <w:r>
        <w:rPr>
          <w:rFonts w:eastAsiaTheme="minorHAnsi" w:cs="Arial"/>
          <w:color w:val="000000"/>
          <w:lang w:eastAsia="en-US"/>
        </w:rPr>
        <w:t xml:space="preserve"> M U </w:t>
      </w:r>
      <w:r w:rsidRPr="005D6D89">
        <w:rPr>
          <w:rFonts w:eastAsiaTheme="minorHAnsi" w:cs="Arial"/>
          <w:color w:val="000000"/>
          <w:lang w:eastAsia="en-US"/>
        </w:rPr>
        <w:t>F</w:t>
      </w:r>
      <w:r>
        <w:rPr>
          <w:rFonts w:eastAsiaTheme="minorHAnsi" w:cs="Arial"/>
          <w:color w:val="000000"/>
          <w:lang w:eastAsia="en-US"/>
        </w:rPr>
        <w:t xml:space="preserve">, Paul T S </w:t>
      </w:r>
      <w:r w:rsidRPr="005D6D89">
        <w:rPr>
          <w:rFonts w:eastAsiaTheme="minorHAnsi" w:cs="Arial"/>
          <w:color w:val="000000"/>
          <w:lang w:eastAsia="en-US"/>
        </w:rPr>
        <w:t>H</w:t>
      </w:r>
      <w:r>
        <w:rPr>
          <w:rFonts w:eastAsiaTheme="minorHAnsi" w:cs="Arial"/>
          <w:color w:val="000000"/>
          <w:lang w:eastAsia="en-US"/>
        </w:rPr>
        <w:t>, Tait</w:t>
      </w:r>
      <w:r w:rsidRPr="005D6D89">
        <w:rPr>
          <w:rFonts w:eastAsiaTheme="minorHAnsi" w:cs="Arial"/>
          <w:color w:val="000000"/>
          <w:lang w:eastAsia="en-US"/>
        </w:rPr>
        <w:t xml:space="preserve"> A</w:t>
      </w:r>
      <w:r>
        <w:rPr>
          <w:rFonts w:eastAsiaTheme="minorHAnsi" w:cs="Arial"/>
          <w:color w:val="000000"/>
          <w:lang w:eastAsia="en-US"/>
        </w:rPr>
        <w:t xml:space="preserve">, Pearce H </w:t>
      </w:r>
      <w:r w:rsidRPr="005D6D89">
        <w:rPr>
          <w:rFonts w:eastAsiaTheme="minorHAnsi" w:cs="Arial"/>
          <w:color w:val="000000"/>
          <w:lang w:eastAsia="en-US"/>
        </w:rPr>
        <w:t>G</w:t>
      </w:r>
      <w:r>
        <w:rPr>
          <w:rFonts w:eastAsiaTheme="minorHAnsi" w:cs="Arial"/>
          <w:color w:val="000000"/>
          <w:lang w:eastAsia="en-US"/>
        </w:rPr>
        <w:t>, Brockerhoff E</w:t>
      </w:r>
      <w:r w:rsidR="00A03FCC">
        <w:rPr>
          <w:rFonts w:eastAsiaTheme="minorHAnsi" w:cs="Arial"/>
          <w:color w:val="000000"/>
          <w:lang w:eastAsia="en-US"/>
        </w:rPr>
        <w:t xml:space="preserve"> </w:t>
      </w:r>
      <w:r w:rsidRPr="005D6D89">
        <w:rPr>
          <w:rFonts w:eastAsiaTheme="minorHAnsi" w:cs="Arial"/>
          <w:color w:val="000000"/>
          <w:lang w:eastAsia="en-US"/>
        </w:rPr>
        <w:t>G</w:t>
      </w:r>
      <w:r>
        <w:rPr>
          <w:rFonts w:eastAsiaTheme="minorHAnsi" w:cs="Arial"/>
          <w:color w:val="000000"/>
          <w:lang w:eastAsia="en-US"/>
        </w:rPr>
        <w:t>, Moore J</w:t>
      </w:r>
      <w:r w:rsidRPr="005D6D89">
        <w:rPr>
          <w:rFonts w:eastAsiaTheme="minorHAnsi" w:cs="Arial"/>
          <w:color w:val="000000"/>
          <w:lang w:eastAsia="en-US"/>
        </w:rPr>
        <w:t>R</w:t>
      </w:r>
      <w:r>
        <w:rPr>
          <w:rFonts w:eastAsiaTheme="minorHAnsi" w:cs="Arial"/>
          <w:color w:val="000000"/>
          <w:lang w:eastAsia="en-US"/>
        </w:rPr>
        <w:t xml:space="preserve">, Bulman L </w:t>
      </w:r>
      <w:r w:rsidRPr="005D6D89">
        <w:rPr>
          <w:rFonts w:eastAsiaTheme="minorHAnsi" w:cs="Arial"/>
          <w:color w:val="000000"/>
          <w:lang w:eastAsia="en-US"/>
        </w:rPr>
        <w:t>S</w:t>
      </w:r>
      <w:r>
        <w:rPr>
          <w:rFonts w:eastAsiaTheme="minorHAnsi" w:cs="Arial"/>
          <w:color w:val="000000"/>
          <w:lang w:eastAsia="en-US"/>
        </w:rPr>
        <w:t xml:space="preserve"> and Kriticos D </w:t>
      </w:r>
      <w:r w:rsidRPr="005D6D89">
        <w:rPr>
          <w:rFonts w:eastAsiaTheme="minorHAnsi" w:cs="Arial"/>
          <w:color w:val="000000"/>
          <w:lang w:eastAsia="en-US"/>
        </w:rPr>
        <w:t xml:space="preserve">J. (2008). </w:t>
      </w:r>
      <w:r w:rsidRPr="005D6D89">
        <w:rPr>
          <w:rFonts w:eastAsiaTheme="minorHAnsi" w:cs="Arial"/>
          <w:i/>
          <w:iCs/>
          <w:color w:val="000000"/>
          <w:lang w:eastAsia="en-US"/>
        </w:rPr>
        <w:t>The effect of climate change on New Zealand</w:t>
      </w:r>
      <w:r>
        <w:rPr>
          <w:rFonts w:eastAsiaTheme="minorHAnsi" w:cs="Arial"/>
          <w:i/>
          <w:iCs/>
          <w:color w:val="000000"/>
          <w:lang w:eastAsia="en-US"/>
        </w:rPr>
        <w:t>’</w:t>
      </w:r>
      <w:r w:rsidRPr="005D6D89">
        <w:rPr>
          <w:rFonts w:eastAsiaTheme="minorHAnsi" w:cs="Arial"/>
          <w:i/>
          <w:iCs/>
          <w:color w:val="000000"/>
          <w:lang w:eastAsia="en-US"/>
        </w:rPr>
        <w:t>s planted</w:t>
      </w:r>
      <w:r w:rsidRPr="005D6D89">
        <w:rPr>
          <w:rFonts w:cs="Arial"/>
        </w:rPr>
        <w:t xml:space="preserve"> </w:t>
      </w:r>
      <w:r w:rsidRPr="005D6D89">
        <w:rPr>
          <w:rFonts w:eastAsiaTheme="minorHAnsi" w:cs="Arial"/>
          <w:i/>
          <w:iCs/>
          <w:color w:val="000000"/>
          <w:lang w:eastAsia="en-US"/>
        </w:rPr>
        <w:t>forests: Impacts, Risks and Opportunities, Prepared for the Ministry of Agriculture and Forestry</w:t>
      </w:r>
      <w:r w:rsidRPr="005D6D89">
        <w:rPr>
          <w:rFonts w:eastAsiaTheme="minorHAnsi" w:cs="Arial"/>
          <w:color w:val="000000"/>
          <w:lang w:eastAsia="en-US"/>
        </w:rPr>
        <w:t xml:space="preserve">. Climacloud. </w:t>
      </w:r>
      <w:hyperlink r:id="rId122" w:history="1">
        <w:r w:rsidRPr="005D6D89">
          <w:rPr>
            <w:rStyle w:val="Hyperlink"/>
          </w:rPr>
          <w:t>http://climatecloud.co.nz/CloudLibrary/2008-07-effect-of-climate-change-on-nz-planted-forests[1].pdf</w:t>
        </w:r>
      </w:hyperlink>
      <w:r w:rsidRPr="005D6D89">
        <w:rPr>
          <w:rFonts w:eastAsiaTheme="minorHAnsi" w:cs="Arial"/>
          <w:color w:val="000000" w:themeColor="text1"/>
          <w:lang w:eastAsia="en-US"/>
        </w:rPr>
        <w:t xml:space="preserve"> </w:t>
      </w:r>
    </w:p>
    <w:p w14:paraId="4F2C6DF6" w14:textId="77777777" w:rsidR="007D0B70" w:rsidRPr="005D6D89" w:rsidRDefault="007D0B70" w:rsidP="007D0B70">
      <w:pPr>
        <w:pStyle w:val="References"/>
        <w:rPr>
          <w:rFonts w:cs="Arial"/>
        </w:rPr>
      </w:pPr>
      <w:r>
        <w:rPr>
          <w:rFonts w:cs="Arial"/>
        </w:rPr>
        <w:t>Weeks E</w:t>
      </w:r>
      <w:r w:rsidRPr="005D6D89">
        <w:rPr>
          <w:rFonts w:cs="Arial"/>
        </w:rPr>
        <w:t xml:space="preserve"> S</w:t>
      </w:r>
      <w:r>
        <w:rPr>
          <w:rFonts w:cs="Arial"/>
        </w:rPr>
        <w:t>, Death R</w:t>
      </w:r>
      <w:r w:rsidRPr="005D6D89">
        <w:rPr>
          <w:rFonts w:cs="Arial"/>
        </w:rPr>
        <w:t xml:space="preserve"> G</w:t>
      </w:r>
      <w:r>
        <w:rPr>
          <w:rFonts w:cs="Arial"/>
        </w:rPr>
        <w:t>, Foote</w:t>
      </w:r>
      <w:r w:rsidRPr="005D6D89">
        <w:rPr>
          <w:rFonts w:cs="Arial"/>
        </w:rPr>
        <w:t xml:space="preserve"> K</w:t>
      </w:r>
      <w:r>
        <w:rPr>
          <w:rFonts w:cs="Arial"/>
        </w:rPr>
        <w:t>, Anderson-Lederer</w:t>
      </w:r>
      <w:r w:rsidRPr="005D6D89">
        <w:rPr>
          <w:rFonts w:cs="Arial"/>
        </w:rPr>
        <w:t xml:space="preserve"> R</w:t>
      </w:r>
      <w:r>
        <w:rPr>
          <w:rFonts w:cs="Arial"/>
        </w:rPr>
        <w:t>, Joy M</w:t>
      </w:r>
      <w:r w:rsidRPr="005D6D89">
        <w:rPr>
          <w:rFonts w:cs="Arial"/>
        </w:rPr>
        <w:t xml:space="preserve"> K</w:t>
      </w:r>
      <w:r>
        <w:rPr>
          <w:rFonts w:cs="Arial"/>
        </w:rPr>
        <w:t xml:space="preserve"> and Boyce</w:t>
      </w:r>
      <w:r w:rsidRPr="005D6D89">
        <w:rPr>
          <w:rFonts w:cs="Arial"/>
        </w:rPr>
        <w:t xml:space="preserve"> P. (2016). Conservation Science Statement 1. The demise of New Zealand</w:t>
      </w:r>
      <w:r>
        <w:rPr>
          <w:rFonts w:cs="Arial"/>
        </w:rPr>
        <w:t>’</w:t>
      </w:r>
      <w:r w:rsidRPr="005D6D89">
        <w:rPr>
          <w:rFonts w:cs="Arial"/>
        </w:rPr>
        <w:t xml:space="preserve">s freshwater flora and fauna: a forgotten treasure. </w:t>
      </w:r>
      <w:r w:rsidRPr="005D6D89">
        <w:rPr>
          <w:rFonts w:cs="Arial"/>
          <w:i/>
          <w:iCs/>
        </w:rPr>
        <w:t>Pacific Conservation Biology</w:t>
      </w:r>
      <w:r w:rsidRPr="005D6D89">
        <w:rPr>
          <w:rFonts w:cs="Arial"/>
        </w:rPr>
        <w:t>, 22(2), 110–115.</w:t>
      </w:r>
    </w:p>
    <w:p w14:paraId="76834EDB" w14:textId="77777777" w:rsidR="007D0B70" w:rsidRPr="005D6D89" w:rsidRDefault="007D0B70" w:rsidP="007D0B70">
      <w:pPr>
        <w:pStyle w:val="References"/>
        <w:rPr>
          <w:rFonts w:cs="Arial"/>
        </w:rPr>
      </w:pPr>
      <w:r>
        <w:rPr>
          <w:rFonts w:cs="Arial"/>
        </w:rPr>
        <w:t>Weir</w:t>
      </w:r>
      <w:r w:rsidRPr="005D6D89">
        <w:rPr>
          <w:rFonts w:cs="Arial"/>
        </w:rPr>
        <w:t xml:space="preserve"> T</w:t>
      </w:r>
      <w:r>
        <w:rPr>
          <w:rFonts w:cs="Arial"/>
        </w:rPr>
        <w:t xml:space="preserve"> and Virani</w:t>
      </w:r>
      <w:r w:rsidRPr="005D6D89">
        <w:rPr>
          <w:rFonts w:cs="Arial"/>
        </w:rPr>
        <w:t xml:space="preserve"> Z. (2011). Three linked risks for development in the Pacific Islands: Climate change, disasters and conflict. </w:t>
      </w:r>
      <w:r w:rsidRPr="005D6D89">
        <w:rPr>
          <w:rFonts w:cs="Arial"/>
          <w:i/>
          <w:iCs/>
        </w:rPr>
        <w:t>Climate and Development</w:t>
      </w:r>
      <w:r w:rsidRPr="005D6D89">
        <w:rPr>
          <w:rFonts w:cs="Arial"/>
        </w:rPr>
        <w:t>, 3(3), 193–208.</w:t>
      </w:r>
    </w:p>
    <w:p w14:paraId="26751541" w14:textId="77777777" w:rsidR="007D0B70" w:rsidRPr="005D6D89" w:rsidRDefault="007D0B70" w:rsidP="007D0B70">
      <w:pPr>
        <w:pStyle w:val="References"/>
        <w:rPr>
          <w:rFonts w:cs="Arial"/>
        </w:rPr>
      </w:pPr>
      <w:r>
        <w:rPr>
          <w:rFonts w:cs="Arial"/>
        </w:rPr>
        <w:t>Weitzman M</w:t>
      </w:r>
      <w:r w:rsidRPr="005D6D89">
        <w:rPr>
          <w:rFonts w:cs="Arial"/>
        </w:rPr>
        <w:t xml:space="preserve"> L. (2009). On modelling and interpreting the economics of catastrophic climate change. </w:t>
      </w:r>
      <w:r w:rsidRPr="005D6D89">
        <w:rPr>
          <w:rFonts w:cs="Arial"/>
          <w:i/>
          <w:iCs/>
        </w:rPr>
        <w:t>The Review of Economics and Statistics</w:t>
      </w:r>
      <w:r w:rsidRPr="005D6D89">
        <w:rPr>
          <w:rFonts w:cs="Arial"/>
        </w:rPr>
        <w:t>, 91(1), 1–19.</w:t>
      </w:r>
    </w:p>
    <w:p w14:paraId="74BD3574" w14:textId="77777777" w:rsidR="007D0B70" w:rsidRPr="005D6D89" w:rsidRDefault="007D0B70" w:rsidP="007D0B70">
      <w:pPr>
        <w:pStyle w:val="References"/>
        <w:rPr>
          <w:rFonts w:cs="Arial"/>
          <w:lang w:eastAsia="en-AU"/>
        </w:rPr>
      </w:pPr>
      <w:r>
        <w:rPr>
          <w:rFonts w:cs="Arial"/>
          <w:lang w:eastAsia="en-AU"/>
        </w:rPr>
        <w:t>Weitzman</w:t>
      </w:r>
      <w:r w:rsidRPr="005D6D89">
        <w:rPr>
          <w:rFonts w:cs="Arial"/>
          <w:lang w:eastAsia="en-AU"/>
        </w:rPr>
        <w:t xml:space="preserve"> M. (2011). Fat-tailed uncertainty in the economics of catastrophic climate change. </w:t>
      </w:r>
      <w:r w:rsidRPr="005D6D89">
        <w:rPr>
          <w:rFonts w:cs="Arial"/>
          <w:i/>
          <w:iCs/>
          <w:lang w:eastAsia="en-AU"/>
        </w:rPr>
        <w:t>Review of Environmental Economics and Policy</w:t>
      </w:r>
      <w:r w:rsidRPr="005D6D89">
        <w:rPr>
          <w:rFonts w:cs="Arial"/>
          <w:lang w:eastAsia="en-AU"/>
        </w:rPr>
        <w:t>, 5(2).</w:t>
      </w:r>
    </w:p>
    <w:p w14:paraId="19B890FD" w14:textId="77777777" w:rsidR="007D0B70" w:rsidRPr="005D6D89" w:rsidRDefault="007D0B70" w:rsidP="007D0B70">
      <w:pPr>
        <w:pStyle w:val="References"/>
        <w:rPr>
          <w:rFonts w:cs="Arial"/>
          <w:lang w:eastAsia="en-AU"/>
        </w:rPr>
      </w:pPr>
      <w:r w:rsidRPr="005D6D89">
        <w:rPr>
          <w:lang w:eastAsia="en-AU"/>
        </w:rPr>
        <w:t>Wellington City Council</w:t>
      </w:r>
      <w:r>
        <w:rPr>
          <w:lang w:eastAsia="en-AU"/>
        </w:rPr>
        <w:t>.</w:t>
      </w:r>
      <w:r w:rsidRPr="005D6D89">
        <w:rPr>
          <w:lang w:eastAsia="en-AU"/>
        </w:rPr>
        <w:t xml:space="preserve"> (2016)</w:t>
      </w:r>
      <w:r>
        <w:rPr>
          <w:lang w:eastAsia="en-AU"/>
        </w:rPr>
        <w:t>.</w:t>
      </w:r>
      <w:r w:rsidRPr="005D6D89">
        <w:rPr>
          <w:lang w:eastAsia="en-AU"/>
        </w:rPr>
        <w:t xml:space="preserve"> </w:t>
      </w:r>
      <w:r w:rsidRPr="005D6D89">
        <w:rPr>
          <w:i/>
          <w:iCs/>
          <w:lang w:eastAsia="en-AU"/>
        </w:rPr>
        <w:t>Wellington City Profile: Facts about the City</w:t>
      </w:r>
      <w:r w:rsidRPr="005D6D89">
        <w:rPr>
          <w:lang w:eastAsia="en-AU"/>
        </w:rPr>
        <w:t xml:space="preserve"> </w:t>
      </w:r>
      <w:hyperlink r:id="rId123" w:history="1">
        <w:r w:rsidRPr="005D6D89">
          <w:rPr>
            <w:rStyle w:val="Hyperlink"/>
          </w:rPr>
          <w:t>https://wellington.govt.nz/~/media/about-wellington/profile/files/wellington-city-profile.pdf</w:t>
        </w:r>
      </w:hyperlink>
      <w:r w:rsidRPr="005D6D89">
        <w:rPr>
          <w:color w:val="000000" w:themeColor="text1"/>
        </w:rPr>
        <w:t xml:space="preserve"> </w:t>
      </w:r>
    </w:p>
    <w:p w14:paraId="589EF879" w14:textId="77777777" w:rsidR="007D0B70" w:rsidRPr="005D6D89" w:rsidRDefault="007D0B70" w:rsidP="007D0B70">
      <w:pPr>
        <w:pStyle w:val="References"/>
        <w:rPr>
          <w:rFonts w:cs="Arial"/>
        </w:rPr>
      </w:pPr>
      <w:r>
        <w:rPr>
          <w:rFonts w:cs="Arial"/>
        </w:rPr>
        <w:t>White</w:t>
      </w:r>
      <w:r w:rsidRPr="005D6D89">
        <w:rPr>
          <w:rFonts w:cs="Arial"/>
        </w:rPr>
        <w:t xml:space="preserve"> V</w:t>
      </w:r>
      <w:r>
        <w:rPr>
          <w:rFonts w:cs="Arial"/>
        </w:rPr>
        <w:t>, Jones</w:t>
      </w:r>
      <w:r w:rsidRPr="005D6D89">
        <w:rPr>
          <w:rFonts w:cs="Arial"/>
        </w:rPr>
        <w:t xml:space="preserve"> M</w:t>
      </w:r>
      <w:r>
        <w:rPr>
          <w:rFonts w:cs="Arial"/>
        </w:rPr>
        <w:t>, Cowan</w:t>
      </w:r>
      <w:r w:rsidRPr="005D6D89">
        <w:rPr>
          <w:rFonts w:cs="Arial"/>
        </w:rPr>
        <w:t xml:space="preserve"> V</w:t>
      </w:r>
      <w:r>
        <w:rPr>
          <w:rFonts w:cs="Arial"/>
        </w:rPr>
        <w:t xml:space="preserve"> and Chun</w:t>
      </w:r>
      <w:r w:rsidRPr="005D6D89">
        <w:rPr>
          <w:rFonts w:cs="Arial"/>
        </w:rPr>
        <w:t xml:space="preserve"> S. (2017a). </w:t>
      </w:r>
      <w:r>
        <w:rPr>
          <w:rFonts w:cs="Arial"/>
          <w:i/>
          <w:iCs/>
        </w:rPr>
        <w:t>BRANZ 2015: House c</w:t>
      </w:r>
      <w:r w:rsidRPr="005D6D89">
        <w:rPr>
          <w:rFonts w:cs="Arial"/>
          <w:i/>
          <w:iCs/>
        </w:rPr>
        <w:t xml:space="preserve">ondition </w:t>
      </w:r>
      <w:r>
        <w:rPr>
          <w:rFonts w:cs="Arial"/>
          <w:i/>
          <w:iCs/>
        </w:rPr>
        <w:t>s</w:t>
      </w:r>
      <w:r w:rsidRPr="005D6D89">
        <w:rPr>
          <w:rFonts w:cs="Arial"/>
          <w:i/>
          <w:iCs/>
        </w:rPr>
        <w:t>urvey: Comparison of house condition by tenure</w:t>
      </w:r>
      <w:r w:rsidRPr="005D6D89">
        <w:rPr>
          <w:rFonts w:cs="Arial"/>
        </w:rPr>
        <w:t>. BRANZ.</w:t>
      </w:r>
    </w:p>
    <w:p w14:paraId="65AF2D7F" w14:textId="77777777" w:rsidR="007D0B70" w:rsidRPr="005D6D89" w:rsidRDefault="007D0B70" w:rsidP="007D0B70">
      <w:pPr>
        <w:pStyle w:val="References"/>
        <w:rPr>
          <w:rFonts w:asciiTheme="minorHAnsi" w:hAnsiTheme="minorHAnsi" w:cstheme="minorHAnsi"/>
          <w:u w:val="single"/>
        </w:rPr>
      </w:pPr>
      <w:r>
        <w:rPr>
          <w:rFonts w:asciiTheme="minorHAnsi" w:hAnsiTheme="minorHAnsi" w:cstheme="minorHAnsi"/>
          <w:shd w:val="clear" w:color="auto" w:fill="FCFCFC"/>
        </w:rPr>
        <w:t xml:space="preserve">Wilcock R </w:t>
      </w:r>
      <w:r w:rsidRPr="005D6D89">
        <w:rPr>
          <w:rFonts w:asciiTheme="minorHAnsi" w:hAnsiTheme="minorHAnsi" w:cstheme="minorHAnsi"/>
          <w:shd w:val="clear" w:color="auto" w:fill="FCFCFC"/>
        </w:rPr>
        <w:t>J</w:t>
      </w:r>
      <w:r>
        <w:rPr>
          <w:rFonts w:asciiTheme="minorHAnsi" w:hAnsiTheme="minorHAnsi" w:cstheme="minorHAnsi"/>
          <w:shd w:val="clear" w:color="auto" w:fill="FCFCFC"/>
        </w:rPr>
        <w:t>, Nash</w:t>
      </w:r>
      <w:r w:rsidRPr="005D6D89">
        <w:rPr>
          <w:rFonts w:asciiTheme="minorHAnsi" w:hAnsiTheme="minorHAnsi" w:cstheme="minorHAnsi"/>
          <w:shd w:val="clear" w:color="auto" w:fill="FCFCFC"/>
        </w:rPr>
        <w:t xml:space="preserve"> D</w:t>
      </w:r>
      <w:r>
        <w:rPr>
          <w:rFonts w:asciiTheme="minorHAnsi" w:hAnsiTheme="minorHAnsi" w:cstheme="minorHAnsi"/>
          <w:shd w:val="clear" w:color="auto" w:fill="FCFCFC"/>
        </w:rPr>
        <w:t>, Schmidt</w:t>
      </w:r>
      <w:r w:rsidRPr="005D6D89">
        <w:rPr>
          <w:rFonts w:asciiTheme="minorHAnsi" w:hAnsiTheme="minorHAnsi" w:cstheme="minorHAnsi"/>
          <w:shd w:val="clear" w:color="auto" w:fill="FCFCFC"/>
        </w:rPr>
        <w:t xml:space="preserve"> J</w:t>
      </w:r>
      <w:r>
        <w:rPr>
          <w:rFonts w:asciiTheme="minorHAnsi" w:hAnsiTheme="minorHAnsi" w:cstheme="minorHAnsi"/>
          <w:shd w:val="clear" w:color="auto" w:fill="FCFCFC"/>
        </w:rPr>
        <w:t>, Larned S</w:t>
      </w:r>
      <w:r w:rsidRPr="005D6D89">
        <w:rPr>
          <w:rFonts w:asciiTheme="minorHAnsi" w:hAnsiTheme="minorHAnsi" w:cstheme="minorHAnsi"/>
          <w:shd w:val="clear" w:color="auto" w:fill="FCFCFC"/>
        </w:rPr>
        <w:t xml:space="preserve"> T</w:t>
      </w:r>
      <w:r>
        <w:rPr>
          <w:rFonts w:asciiTheme="minorHAnsi" w:hAnsiTheme="minorHAnsi" w:cstheme="minorHAnsi"/>
          <w:shd w:val="clear" w:color="auto" w:fill="FCFCFC"/>
        </w:rPr>
        <w:t>, Rivers M</w:t>
      </w:r>
      <w:r w:rsidRPr="005D6D89">
        <w:rPr>
          <w:rFonts w:asciiTheme="minorHAnsi" w:hAnsiTheme="minorHAnsi" w:cstheme="minorHAnsi"/>
          <w:shd w:val="clear" w:color="auto" w:fill="FCFCFC"/>
        </w:rPr>
        <w:t xml:space="preserve"> R</w:t>
      </w:r>
      <w:r>
        <w:rPr>
          <w:rFonts w:asciiTheme="minorHAnsi" w:hAnsiTheme="minorHAnsi" w:cstheme="minorHAnsi"/>
          <w:shd w:val="clear" w:color="auto" w:fill="FCFCFC"/>
        </w:rPr>
        <w:t xml:space="preserve"> and</w:t>
      </w:r>
      <w:r w:rsidRPr="005D6D89">
        <w:rPr>
          <w:rFonts w:asciiTheme="minorHAnsi" w:hAnsiTheme="minorHAnsi" w:cstheme="minorHAnsi"/>
          <w:shd w:val="clear" w:color="auto" w:fill="FCFCFC"/>
        </w:rPr>
        <w:t xml:space="preserve"> Feehan P</w:t>
      </w:r>
      <w:r>
        <w:rPr>
          <w:rFonts w:asciiTheme="minorHAnsi" w:hAnsiTheme="minorHAnsi" w:cstheme="minorHAnsi"/>
          <w:shd w:val="clear" w:color="auto" w:fill="FCFCFC"/>
        </w:rPr>
        <w:t>.</w:t>
      </w:r>
      <w:r w:rsidRPr="005D6D89">
        <w:rPr>
          <w:rFonts w:asciiTheme="minorHAnsi" w:hAnsiTheme="minorHAnsi" w:cstheme="minorHAnsi"/>
          <w:shd w:val="clear" w:color="auto" w:fill="FCFCFC"/>
        </w:rPr>
        <w:t xml:space="preserve"> (2011). Inputs of nutrients and fecal bacteria to freshwaters from irrigated agriculture: Case </w:t>
      </w:r>
      <w:r>
        <w:rPr>
          <w:rFonts w:asciiTheme="minorHAnsi" w:hAnsiTheme="minorHAnsi" w:cstheme="minorHAnsi"/>
          <w:shd w:val="clear" w:color="auto" w:fill="FCFCFC"/>
        </w:rPr>
        <w:t>s</w:t>
      </w:r>
      <w:r w:rsidRPr="005D6D89">
        <w:rPr>
          <w:rFonts w:asciiTheme="minorHAnsi" w:hAnsiTheme="minorHAnsi" w:cstheme="minorHAnsi"/>
          <w:shd w:val="clear" w:color="auto" w:fill="FCFCFC"/>
        </w:rPr>
        <w:t>tudies in Australia and New Zealand. </w:t>
      </w:r>
      <w:r w:rsidRPr="005D6D89">
        <w:rPr>
          <w:rFonts w:asciiTheme="minorHAnsi" w:hAnsiTheme="minorHAnsi" w:cstheme="minorHAnsi"/>
          <w:i/>
          <w:iCs/>
          <w:shd w:val="clear" w:color="auto" w:fill="FCFCFC"/>
        </w:rPr>
        <w:t>Environmental Management</w:t>
      </w:r>
      <w:r w:rsidRPr="005D6D89">
        <w:rPr>
          <w:rFonts w:asciiTheme="minorHAnsi" w:hAnsiTheme="minorHAnsi" w:cstheme="minorHAnsi"/>
          <w:shd w:val="clear" w:color="auto" w:fill="FCFCFC"/>
        </w:rPr>
        <w:t> 48</w:t>
      </w:r>
      <w:r w:rsidRPr="005D6D89">
        <w:rPr>
          <w:rFonts w:asciiTheme="minorHAnsi" w:hAnsiTheme="minorHAnsi" w:cstheme="minorHAnsi"/>
          <w:b/>
          <w:bCs/>
          <w:shd w:val="clear" w:color="auto" w:fill="FCFCFC"/>
        </w:rPr>
        <w:t>, </w:t>
      </w:r>
      <w:r w:rsidRPr="005D6D89">
        <w:rPr>
          <w:rFonts w:asciiTheme="minorHAnsi" w:hAnsiTheme="minorHAnsi" w:cstheme="minorHAnsi"/>
          <w:shd w:val="clear" w:color="auto" w:fill="FCFCFC"/>
        </w:rPr>
        <w:t xml:space="preserve">198–211. </w:t>
      </w:r>
      <w:hyperlink r:id="rId124" w:history="1">
        <w:r w:rsidRPr="005D6D89">
          <w:rPr>
            <w:rStyle w:val="Hyperlink"/>
            <w:rFonts w:asciiTheme="minorHAnsi" w:hAnsiTheme="minorHAnsi" w:cstheme="minorHAnsi"/>
            <w:shd w:val="clear" w:color="auto" w:fill="FCFCFC"/>
          </w:rPr>
          <w:t>https://doi.org/10.1007/s00267-011-9644-1</w:t>
        </w:r>
      </w:hyperlink>
    </w:p>
    <w:p w14:paraId="0C713E6D" w14:textId="77777777" w:rsidR="007D0B70" w:rsidRPr="005D6D89" w:rsidRDefault="007D0B70" w:rsidP="007D0B70">
      <w:pPr>
        <w:pStyle w:val="References"/>
        <w:rPr>
          <w:rFonts w:cs="Arial"/>
        </w:rPr>
      </w:pPr>
      <w:r>
        <w:rPr>
          <w:rFonts w:cs="Arial"/>
        </w:rPr>
        <w:t>Williams S</w:t>
      </w:r>
      <w:r w:rsidRPr="005D6D89">
        <w:rPr>
          <w:rFonts w:cs="Arial"/>
        </w:rPr>
        <w:t xml:space="preserve"> E</w:t>
      </w:r>
      <w:r>
        <w:rPr>
          <w:rFonts w:cs="Arial"/>
        </w:rPr>
        <w:t>, Shoo L</w:t>
      </w:r>
      <w:r w:rsidRPr="005D6D89">
        <w:rPr>
          <w:rFonts w:cs="Arial"/>
        </w:rPr>
        <w:t xml:space="preserve"> P</w:t>
      </w:r>
      <w:r>
        <w:rPr>
          <w:rFonts w:cs="Arial"/>
        </w:rPr>
        <w:t>, Isaac J</w:t>
      </w:r>
      <w:r w:rsidRPr="005D6D89">
        <w:rPr>
          <w:rFonts w:cs="Arial"/>
        </w:rPr>
        <w:t xml:space="preserve"> L</w:t>
      </w:r>
      <w:r>
        <w:rPr>
          <w:rFonts w:cs="Arial"/>
        </w:rPr>
        <w:t xml:space="preserve">, Hoffmann </w:t>
      </w:r>
      <w:proofErr w:type="gramStart"/>
      <w:r>
        <w:rPr>
          <w:rFonts w:cs="Arial"/>
        </w:rPr>
        <w:t>A</w:t>
      </w:r>
      <w:proofErr w:type="gramEnd"/>
      <w:r w:rsidRPr="005D6D89">
        <w:rPr>
          <w:rFonts w:cs="Arial"/>
        </w:rPr>
        <w:t xml:space="preserve"> A</w:t>
      </w:r>
      <w:r>
        <w:rPr>
          <w:rFonts w:cs="Arial"/>
        </w:rPr>
        <w:t xml:space="preserve"> and Langham</w:t>
      </w:r>
      <w:r w:rsidRPr="005D6D89">
        <w:rPr>
          <w:rFonts w:cs="Arial"/>
        </w:rPr>
        <w:t xml:space="preserve"> G. (2008). Towards an integrated framework for assessing the vulnerability of species to climate change. </w:t>
      </w:r>
      <w:r w:rsidRPr="005D6D89">
        <w:rPr>
          <w:rFonts w:cs="Arial"/>
          <w:i/>
          <w:iCs/>
        </w:rPr>
        <w:t>PLoS Biology</w:t>
      </w:r>
      <w:r w:rsidRPr="005D6D89">
        <w:rPr>
          <w:rFonts w:cs="Arial"/>
        </w:rPr>
        <w:t>, 6(12), 2621–2626.</w:t>
      </w:r>
    </w:p>
    <w:p w14:paraId="6F74948A" w14:textId="77777777" w:rsidR="007D0B70" w:rsidRPr="005D6D89" w:rsidRDefault="007D0B70" w:rsidP="007D0B70">
      <w:pPr>
        <w:pStyle w:val="References"/>
        <w:rPr>
          <w:rFonts w:cs="Arial"/>
        </w:rPr>
      </w:pPr>
      <w:r>
        <w:rPr>
          <w:rFonts w:cs="Arial"/>
        </w:rPr>
        <w:t xml:space="preserve">Wilson K </w:t>
      </w:r>
      <w:r w:rsidRPr="005D6D89">
        <w:rPr>
          <w:rFonts w:cs="Arial"/>
        </w:rPr>
        <w:t xml:space="preserve">J. (2009). </w:t>
      </w:r>
      <w:r w:rsidRPr="005D6D89">
        <w:rPr>
          <w:rFonts w:cs="Arial"/>
          <w:i/>
          <w:iCs/>
        </w:rPr>
        <w:t xml:space="preserve">The </w:t>
      </w:r>
      <w:r>
        <w:rPr>
          <w:rFonts w:cs="Arial"/>
          <w:i/>
          <w:iCs/>
        </w:rPr>
        <w:t>s</w:t>
      </w:r>
      <w:r w:rsidRPr="005D6D89">
        <w:rPr>
          <w:rFonts w:cs="Arial"/>
          <w:i/>
          <w:iCs/>
        </w:rPr>
        <w:t>tate of New Zealand</w:t>
      </w:r>
      <w:r>
        <w:rPr>
          <w:rFonts w:cs="Arial"/>
          <w:i/>
          <w:iCs/>
        </w:rPr>
        <w:t>’</w:t>
      </w:r>
      <w:r w:rsidRPr="005D6D89">
        <w:rPr>
          <w:rFonts w:cs="Arial"/>
          <w:i/>
          <w:iCs/>
        </w:rPr>
        <w:t xml:space="preserve">s </w:t>
      </w:r>
      <w:r>
        <w:rPr>
          <w:rFonts w:cs="Arial"/>
          <w:i/>
          <w:iCs/>
        </w:rPr>
        <w:t>b</w:t>
      </w:r>
      <w:r w:rsidRPr="005D6D89">
        <w:rPr>
          <w:rFonts w:cs="Arial"/>
          <w:i/>
          <w:iCs/>
        </w:rPr>
        <w:t>irds 2009: Conservation of migratory birds</w:t>
      </w:r>
      <w:r w:rsidRPr="005D6D89">
        <w:rPr>
          <w:rFonts w:cs="Arial"/>
        </w:rPr>
        <w:t xml:space="preserve">. </w:t>
      </w:r>
    </w:p>
    <w:p w14:paraId="66737422" w14:textId="77777777" w:rsidR="007D0B70" w:rsidRPr="005D6D89" w:rsidRDefault="007D0B70" w:rsidP="007D0B70">
      <w:pPr>
        <w:pStyle w:val="References"/>
        <w:rPr>
          <w:rFonts w:cs="Arial"/>
        </w:rPr>
      </w:pPr>
      <w:r>
        <w:rPr>
          <w:rFonts w:cs="Arial"/>
        </w:rPr>
        <w:t>Wistow</w:t>
      </w:r>
      <w:r w:rsidRPr="005D6D89">
        <w:rPr>
          <w:rFonts w:cs="Arial"/>
        </w:rPr>
        <w:t xml:space="preserve"> J</w:t>
      </w:r>
      <w:r>
        <w:rPr>
          <w:rFonts w:cs="Arial"/>
        </w:rPr>
        <w:t>, Dominelli</w:t>
      </w:r>
      <w:r w:rsidRPr="005D6D89">
        <w:rPr>
          <w:rFonts w:cs="Arial"/>
        </w:rPr>
        <w:t xml:space="preserve"> L</w:t>
      </w:r>
      <w:r>
        <w:rPr>
          <w:rFonts w:cs="Arial"/>
        </w:rPr>
        <w:t>, Oven</w:t>
      </w:r>
      <w:r w:rsidRPr="005D6D89">
        <w:rPr>
          <w:rFonts w:cs="Arial"/>
        </w:rPr>
        <w:t xml:space="preserve"> K</w:t>
      </w:r>
      <w:r>
        <w:rPr>
          <w:rFonts w:cs="Arial"/>
        </w:rPr>
        <w:t>, Dunn</w:t>
      </w:r>
      <w:r w:rsidRPr="005D6D89">
        <w:rPr>
          <w:rFonts w:cs="Arial"/>
        </w:rPr>
        <w:t xml:space="preserve"> C</w:t>
      </w:r>
      <w:r>
        <w:rPr>
          <w:rFonts w:cs="Arial"/>
        </w:rPr>
        <w:t xml:space="preserve"> and Curtis</w:t>
      </w:r>
      <w:r w:rsidRPr="005D6D89">
        <w:rPr>
          <w:rFonts w:cs="Arial"/>
        </w:rPr>
        <w:t xml:space="preserve"> S. (2015). The role of formal and informal networks in supporting older people</w:t>
      </w:r>
      <w:r>
        <w:rPr>
          <w:rFonts w:cs="Arial"/>
        </w:rPr>
        <w:t>’</w:t>
      </w:r>
      <w:r w:rsidRPr="005D6D89">
        <w:rPr>
          <w:rFonts w:cs="Arial"/>
        </w:rPr>
        <w:t xml:space="preserve">s care during extreme weather events. </w:t>
      </w:r>
      <w:r w:rsidRPr="005D6D89">
        <w:rPr>
          <w:rFonts w:cs="Arial"/>
          <w:i/>
          <w:iCs/>
        </w:rPr>
        <w:t>Policy and Politics</w:t>
      </w:r>
      <w:r w:rsidRPr="005D6D89">
        <w:rPr>
          <w:rFonts w:cs="Arial"/>
        </w:rPr>
        <w:t>, 43(1), 119–135.</w:t>
      </w:r>
    </w:p>
    <w:p w14:paraId="763B1BE2" w14:textId="77777777" w:rsidR="007D0B70" w:rsidRPr="005D6D89" w:rsidRDefault="007D0B70" w:rsidP="007D0B70">
      <w:pPr>
        <w:pStyle w:val="References"/>
        <w:rPr>
          <w:rFonts w:cs="Arial"/>
        </w:rPr>
      </w:pPr>
      <w:r>
        <w:rPr>
          <w:rFonts w:cs="Arial"/>
        </w:rPr>
        <w:t>Winkelmann</w:t>
      </w:r>
      <w:r w:rsidRPr="005D6D89">
        <w:rPr>
          <w:rFonts w:cs="Arial"/>
        </w:rPr>
        <w:t xml:space="preserve"> H</w:t>
      </w:r>
      <w:r>
        <w:rPr>
          <w:rFonts w:cs="Arial"/>
        </w:rPr>
        <w:t>,</w:t>
      </w:r>
      <w:r w:rsidRPr="005D6D89">
        <w:rPr>
          <w:rFonts w:cs="Arial"/>
        </w:rPr>
        <w:t xml:space="preserve"> Glazebr</w:t>
      </w:r>
      <w:r>
        <w:rPr>
          <w:rFonts w:cs="Arial"/>
        </w:rPr>
        <w:t>ook</w:t>
      </w:r>
      <w:r w:rsidRPr="005D6D89">
        <w:rPr>
          <w:rFonts w:cs="Arial"/>
        </w:rPr>
        <w:t xml:space="preserve"> S</w:t>
      </w:r>
      <w:r>
        <w:rPr>
          <w:rFonts w:cs="Arial"/>
        </w:rPr>
        <w:t xml:space="preserve"> and France </w:t>
      </w:r>
      <w:r w:rsidRPr="005D6D89">
        <w:rPr>
          <w:rFonts w:cs="Arial"/>
        </w:rPr>
        <w:t xml:space="preserve">E. (2019). </w:t>
      </w:r>
      <w:r>
        <w:rPr>
          <w:rFonts w:cs="Arial"/>
          <w:i/>
          <w:iCs/>
        </w:rPr>
        <w:t>Climate change and the l</w:t>
      </w:r>
      <w:r w:rsidRPr="005D6D89">
        <w:rPr>
          <w:rFonts w:cs="Arial"/>
          <w:i/>
          <w:iCs/>
        </w:rPr>
        <w:t>aw</w:t>
      </w:r>
      <w:r w:rsidRPr="005D6D89">
        <w:rPr>
          <w:rFonts w:cs="Arial"/>
        </w:rPr>
        <w:t>.</w:t>
      </w:r>
    </w:p>
    <w:p w14:paraId="54A99DA5" w14:textId="77777777" w:rsidR="007D0B70" w:rsidRPr="005D6D89" w:rsidRDefault="007D0B70" w:rsidP="007D0B70">
      <w:pPr>
        <w:pStyle w:val="References"/>
        <w:rPr>
          <w:rFonts w:cs="Arial"/>
        </w:rPr>
      </w:pPr>
      <w:r>
        <w:rPr>
          <w:rFonts w:cs="Arial"/>
        </w:rPr>
        <w:t>Woodward</w:t>
      </w:r>
      <w:r w:rsidRPr="005D6D89">
        <w:rPr>
          <w:rFonts w:cs="Arial"/>
        </w:rPr>
        <w:t xml:space="preserve"> A</w:t>
      </w:r>
      <w:r>
        <w:rPr>
          <w:rFonts w:cs="Arial"/>
        </w:rPr>
        <w:t>, Hales</w:t>
      </w:r>
      <w:r w:rsidRPr="005D6D89">
        <w:rPr>
          <w:rFonts w:cs="Arial"/>
        </w:rPr>
        <w:t xml:space="preserve"> S</w:t>
      </w:r>
      <w:r>
        <w:rPr>
          <w:rFonts w:cs="Arial"/>
        </w:rPr>
        <w:t xml:space="preserve"> and de Wet</w:t>
      </w:r>
      <w:r w:rsidRPr="005D6D89">
        <w:rPr>
          <w:rFonts w:cs="Arial"/>
        </w:rPr>
        <w:t xml:space="preserve"> N. (2001). </w:t>
      </w:r>
      <w:r w:rsidRPr="005D6D89">
        <w:rPr>
          <w:rFonts w:cs="Arial"/>
          <w:i/>
          <w:iCs/>
        </w:rPr>
        <w:t>Climate change: Potential effects on human health in New Zealand</w:t>
      </w:r>
      <w:r w:rsidRPr="005D6D89">
        <w:rPr>
          <w:rFonts w:cs="Arial"/>
        </w:rPr>
        <w:t xml:space="preserve">. 27. </w:t>
      </w:r>
      <w:hyperlink r:id="rId125" w:history="1">
        <w:r w:rsidRPr="005D6D89">
          <w:rPr>
            <w:rStyle w:val="Hyperlink"/>
            <w:rFonts w:cs="Arial"/>
          </w:rPr>
          <w:t>https://www.mfe.govt.nz/sites/default/files/Climate change potential effects on human health in New Zealand.pdf</w:t>
        </w:r>
      </w:hyperlink>
      <w:r w:rsidRPr="005D6D89">
        <w:rPr>
          <w:rFonts w:cs="Arial"/>
        </w:rPr>
        <w:t xml:space="preserve"> </w:t>
      </w:r>
    </w:p>
    <w:p w14:paraId="0A119631" w14:textId="77777777" w:rsidR="007D0B70" w:rsidRPr="005D6D89" w:rsidRDefault="007D0B70" w:rsidP="007D0B70">
      <w:pPr>
        <w:pStyle w:val="References"/>
        <w:rPr>
          <w:rFonts w:cs="Arial"/>
        </w:rPr>
      </w:pPr>
      <w:r>
        <w:rPr>
          <w:rFonts w:cs="Arial"/>
        </w:rPr>
        <w:t>Wreford</w:t>
      </w:r>
      <w:r w:rsidRPr="005D6D89">
        <w:rPr>
          <w:rFonts w:cs="Arial"/>
        </w:rPr>
        <w:t xml:space="preserve"> A</w:t>
      </w:r>
      <w:r>
        <w:rPr>
          <w:rFonts w:cs="Arial"/>
        </w:rPr>
        <w:t>, Moran</w:t>
      </w:r>
      <w:r w:rsidRPr="005D6D89">
        <w:rPr>
          <w:rFonts w:cs="Arial"/>
        </w:rPr>
        <w:t xml:space="preserve"> D</w:t>
      </w:r>
      <w:r>
        <w:rPr>
          <w:rFonts w:cs="Arial"/>
        </w:rPr>
        <w:t>, Adger</w:t>
      </w:r>
      <w:r w:rsidRPr="005D6D89">
        <w:rPr>
          <w:rFonts w:cs="Arial"/>
        </w:rPr>
        <w:t xml:space="preserve"> N</w:t>
      </w:r>
      <w:r>
        <w:rPr>
          <w:rFonts w:cs="Arial"/>
        </w:rPr>
        <w:t>.</w:t>
      </w:r>
      <w:r w:rsidRPr="005D6D89">
        <w:rPr>
          <w:rFonts w:cs="Arial"/>
        </w:rPr>
        <w:t xml:space="preserve"> (2010). </w:t>
      </w:r>
      <w:r w:rsidRPr="005D6D89">
        <w:rPr>
          <w:rFonts w:cs="Arial"/>
          <w:i/>
          <w:iCs/>
        </w:rPr>
        <w:t>Climate change and agriculture: Impacts, adaptation and mitigation</w:t>
      </w:r>
      <w:r w:rsidRPr="005D6D89">
        <w:rPr>
          <w:rFonts w:cs="Arial"/>
        </w:rPr>
        <w:t>. Paris, OECD.</w:t>
      </w:r>
    </w:p>
    <w:p w14:paraId="5FBB81B5" w14:textId="77777777" w:rsidR="00B702BF" w:rsidRPr="005D6D89" w:rsidRDefault="007D0B70" w:rsidP="007D0B70">
      <w:pPr>
        <w:pStyle w:val="References"/>
      </w:pPr>
      <w:r>
        <w:rPr>
          <w:rFonts w:cs="Arial"/>
          <w:lang w:eastAsia="en-AU"/>
        </w:rPr>
        <w:t>Zeitoun</w:t>
      </w:r>
      <w:r w:rsidRPr="005D6D89">
        <w:rPr>
          <w:rFonts w:cs="Arial"/>
          <w:lang w:eastAsia="en-AU"/>
        </w:rPr>
        <w:t xml:space="preserve"> M</w:t>
      </w:r>
      <w:r>
        <w:rPr>
          <w:rFonts w:cs="Arial"/>
          <w:lang w:eastAsia="en-AU"/>
        </w:rPr>
        <w:t>, Lankford</w:t>
      </w:r>
      <w:r w:rsidRPr="005D6D89">
        <w:rPr>
          <w:rFonts w:cs="Arial"/>
          <w:lang w:eastAsia="en-AU"/>
        </w:rPr>
        <w:t xml:space="preserve"> B</w:t>
      </w:r>
      <w:r>
        <w:rPr>
          <w:rFonts w:cs="Arial"/>
          <w:lang w:eastAsia="en-AU"/>
        </w:rPr>
        <w:t>, Krueger</w:t>
      </w:r>
      <w:r w:rsidRPr="005D6D89">
        <w:rPr>
          <w:rFonts w:cs="Arial"/>
          <w:lang w:eastAsia="en-AU"/>
        </w:rPr>
        <w:t xml:space="preserve"> T</w:t>
      </w:r>
      <w:r>
        <w:rPr>
          <w:rFonts w:cs="Arial"/>
          <w:lang w:eastAsia="en-AU"/>
        </w:rPr>
        <w:t>, Forsyth</w:t>
      </w:r>
      <w:r w:rsidRPr="005D6D89">
        <w:rPr>
          <w:rFonts w:cs="Arial"/>
          <w:lang w:eastAsia="en-AU"/>
        </w:rPr>
        <w:t xml:space="preserve"> T</w:t>
      </w:r>
      <w:r>
        <w:rPr>
          <w:rFonts w:cs="Arial"/>
          <w:lang w:eastAsia="en-AU"/>
        </w:rPr>
        <w:t>, Carter</w:t>
      </w:r>
      <w:r w:rsidRPr="005D6D89">
        <w:rPr>
          <w:rFonts w:cs="Arial"/>
          <w:lang w:eastAsia="en-AU"/>
        </w:rPr>
        <w:t xml:space="preserve"> R</w:t>
      </w:r>
      <w:r>
        <w:rPr>
          <w:rFonts w:cs="Arial"/>
          <w:lang w:eastAsia="en-AU"/>
        </w:rPr>
        <w:t>, Hoekstra A</w:t>
      </w:r>
      <w:r w:rsidRPr="005D6D89">
        <w:rPr>
          <w:rFonts w:cs="Arial"/>
          <w:lang w:eastAsia="en-AU"/>
        </w:rPr>
        <w:t xml:space="preserve"> Y</w:t>
      </w:r>
      <w:r>
        <w:rPr>
          <w:rFonts w:cs="Arial"/>
          <w:lang w:eastAsia="en-AU"/>
        </w:rPr>
        <w:t xml:space="preserve"> … Matthews</w:t>
      </w:r>
      <w:r w:rsidRPr="005D6D89">
        <w:rPr>
          <w:rFonts w:cs="Arial"/>
          <w:lang w:eastAsia="en-AU"/>
        </w:rPr>
        <w:t xml:space="preserve"> N. (2016). Reductionist and integrative research approaches to </w:t>
      </w:r>
      <w:proofErr w:type="gramStart"/>
      <w:r w:rsidRPr="005D6D89">
        <w:rPr>
          <w:rFonts w:cs="Arial"/>
          <w:lang w:eastAsia="en-AU"/>
        </w:rPr>
        <w:t>complex water security policy</w:t>
      </w:r>
      <w:proofErr w:type="gramEnd"/>
      <w:r w:rsidRPr="005D6D89">
        <w:rPr>
          <w:rFonts w:cs="Arial"/>
          <w:lang w:eastAsia="en-AU"/>
        </w:rPr>
        <w:t xml:space="preserve"> challenges. </w:t>
      </w:r>
      <w:r w:rsidRPr="005D6D89">
        <w:rPr>
          <w:rFonts w:cs="Arial"/>
          <w:i/>
          <w:iCs/>
          <w:lang w:eastAsia="en-AU"/>
        </w:rPr>
        <w:t>Global Environmental Change</w:t>
      </w:r>
      <w:r w:rsidRPr="005D6D89">
        <w:rPr>
          <w:rFonts w:cs="Arial"/>
          <w:lang w:eastAsia="en-AU"/>
        </w:rPr>
        <w:t xml:space="preserve">, 39. </w:t>
      </w:r>
      <w:r w:rsidR="00B702BF" w:rsidRPr="005D6D89">
        <w:br w:type="page"/>
      </w:r>
    </w:p>
    <w:p w14:paraId="376BE787" w14:textId="77777777" w:rsidR="00B702BF" w:rsidRPr="005D6D89" w:rsidRDefault="00A278FF" w:rsidP="00A278FF">
      <w:pPr>
        <w:pStyle w:val="Heading1"/>
      </w:pPr>
      <w:bookmarkStart w:id="550" w:name="_Toc43064151"/>
      <w:r w:rsidRPr="005D6D89">
        <w:t>Appendix A: Glossary</w:t>
      </w:r>
      <w:bookmarkEnd w:id="550"/>
    </w:p>
    <w:tbl>
      <w:tblPr>
        <w:tblW w:w="8618"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000" w:firstRow="0" w:lastRow="0" w:firstColumn="0" w:lastColumn="0" w:noHBand="0" w:noVBand="0"/>
      </w:tblPr>
      <w:tblGrid>
        <w:gridCol w:w="2377"/>
        <w:gridCol w:w="6241"/>
      </w:tblGrid>
      <w:tr w:rsidR="00B0564B" w:rsidRPr="005D6D89" w14:paraId="1395FA66" w14:textId="77777777" w:rsidTr="008C2D0E">
        <w:trPr>
          <w:tblHeader/>
        </w:trPr>
        <w:tc>
          <w:tcPr>
            <w:tcW w:w="1379" w:type="pct"/>
            <w:shd w:val="clear" w:color="auto" w:fill="1C556C" w:themeFill="accent1"/>
            <w:tcMar>
              <w:top w:w="0" w:type="dxa"/>
            </w:tcMar>
          </w:tcPr>
          <w:p w14:paraId="419DF9AA" w14:textId="77777777" w:rsidR="00005F79" w:rsidRPr="005D6D89" w:rsidRDefault="00005F79" w:rsidP="00D15DD9">
            <w:pPr>
              <w:pStyle w:val="BodyText"/>
              <w:spacing w:before="60" w:after="60" w:line="260" w:lineRule="atLeast"/>
              <w:rPr>
                <w:b/>
                <w:bCs/>
                <w:color w:val="FFFFFF" w:themeColor="background1"/>
                <w:sz w:val="20"/>
                <w:szCs w:val="20"/>
              </w:rPr>
            </w:pPr>
            <w:r w:rsidRPr="005D6D89">
              <w:rPr>
                <w:b/>
                <w:bCs/>
                <w:color w:val="FFFFFF" w:themeColor="background1"/>
                <w:sz w:val="20"/>
                <w:szCs w:val="20"/>
              </w:rPr>
              <w:t xml:space="preserve">Key term </w:t>
            </w:r>
          </w:p>
        </w:tc>
        <w:tc>
          <w:tcPr>
            <w:tcW w:w="3621" w:type="pct"/>
            <w:shd w:val="clear" w:color="auto" w:fill="1C556C" w:themeFill="accent1"/>
            <w:tcMar>
              <w:top w:w="0" w:type="dxa"/>
            </w:tcMar>
          </w:tcPr>
          <w:p w14:paraId="647FBD81" w14:textId="77777777" w:rsidR="00005F79" w:rsidRPr="005D6D89" w:rsidRDefault="00005F79" w:rsidP="00D15DD9">
            <w:pPr>
              <w:pStyle w:val="BodyText"/>
              <w:spacing w:before="60" w:after="60" w:line="260" w:lineRule="atLeast"/>
              <w:rPr>
                <w:b/>
                <w:bCs/>
                <w:color w:val="FFFFFF" w:themeColor="background1"/>
                <w:sz w:val="20"/>
                <w:szCs w:val="20"/>
              </w:rPr>
            </w:pPr>
            <w:r w:rsidRPr="005D6D89">
              <w:rPr>
                <w:b/>
                <w:bCs/>
                <w:color w:val="FFFFFF" w:themeColor="background1"/>
                <w:sz w:val="20"/>
                <w:szCs w:val="20"/>
              </w:rPr>
              <w:t>Definition</w:t>
            </w:r>
          </w:p>
        </w:tc>
      </w:tr>
      <w:tr w:rsidR="00603377" w:rsidRPr="005D6D89" w14:paraId="79001FFE" w14:textId="77777777" w:rsidTr="008C2D0E">
        <w:tc>
          <w:tcPr>
            <w:tcW w:w="1379" w:type="pct"/>
            <w:shd w:val="clear" w:color="auto" w:fill="auto"/>
            <w:tcMar>
              <w:top w:w="0" w:type="dxa"/>
            </w:tcMar>
          </w:tcPr>
          <w:p w14:paraId="7BB3CA2E" w14:textId="77777777" w:rsidR="00005F79" w:rsidRPr="005D6D89" w:rsidRDefault="00005F79" w:rsidP="00D15DD9">
            <w:pPr>
              <w:pStyle w:val="BodyText"/>
              <w:spacing w:before="60" w:after="60" w:line="260" w:lineRule="atLeast"/>
              <w:rPr>
                <w:b/>
                <w:bCs/>
                <w:sz w:val="20"/>
                <w:szCs w:val="20"/>
              </w:rPr>
            </w:pPr>
            <w:r w:rsidRPr="005D6D89">
              <w:rPr>
                <w:b/>
                <w:bCs/>
                <w:sz w:val="20"/>
                <w:szCs w:val="20"/>
              </w:rPr>
              <w:t>Adaptation</w:t>
            </w:r>
          </w:p>
        </w:tc>
        <w:tc>
          <w:tcPr>
            <w:tcW w:w="3621" w:type="pct"/>
            <w:shd w:val="clear" w:color="auto" w:fill="auto"/>
            <w:tcMar>
              <w:top w:w="0" w:type="dxa"/>
            </w:tcMar>
          </w:tcPr>
          <w:p w14:paraId="3B605094" w14:textId="77777777" w:rsidR="00005F79" w:rsidRPr="005D6D89" w:rsidRDefault="00005F79" w:rsidP="00E80827">
            <w:pPr>
              <w:pStyle w:val="BodyText"/>
              <w:spacing w:before="60" w:after="60" w:line="260" w:lineRule="atLeast"/>
              <w:rPr>
                <w:sz w:val="20"/>
                <w:szCs w:val="20"/>
              </w:rPr>
            </w:pPr>
            <w:r w:rsidRPr="005D6D89">
              <w:rPr>
                <w:sz w:val="20"/>
                <w:szCs w:val="20"/>
              </w:rPr>
              <w:t>Adjustment to actual or expected climate change and its effects. In human</w:t>
            </w:r>
            <w:r w:rsidR="00603377" w:rsidRPr="005D6D89">
              <w:rPr>
                <w:sz w:val="20"/>
                <w:szCs w:val="20"/>
              </w:rPr>
              <w:t> </w:t>
            </w:r>
            <w:r w:rsidRPr="005D6D89">
              <w:rPr>
                <w:sz w:val="20"/>
                <w:szCs w:val="20"/>
              </w:rPr>
              <w:t xml:space="preserve">systems, adaptation seeks to moderate or avoid harm, or to take opportunities. Intervention may facilitate adjustment (IPCC, 2014). </w:t>
            </w:r>
          </w:p>
        </w:tc>
      </w:tr>
      <w:tr w:rsidR="00603377" w:rsidRPr="005D6D89" w14:paraId="6FC8A013" w14:textId="77777777" w:rsidTr="008C2D0E">
        <w:tc>
          <w:tcPr>
            <w:tcW w:w="1379" w:type="pct"/>
            <w:shd w:val="clear" w:color="auto" w:fill="auto"/>
            <w:tcMar>
              <w:top w:w="0" w:type="dxa"/>
            </w:tcMar>
          </w:tcPr>
          <w:p w14:paraId="14D85880" w14:textId="77777777" w:rsidR="00005F79" w:rsidRPr="005D6D89" w:rsidRDefault="00005F79" w:rsidP="00D15DD9">
            <w:pPr>
              <w:pStyle w:val="BodyText"/>
              <w:spacing w:before="60" w:after="60" w:line="260" w:lineRule="atLeast"/>
              <w:rPr>
                <w:b/>
                <w:bCs/>
                <w:sz w:val="20"/>
                <w:szCs w:val="20"/>
              </w:rPr>
            </w:pPr>
            <w:r w:rsidRPr="005D6D89">
              <w:rPr>
                <w:b/>
                <w:bCs/>
                <w:sz w:val="20"/>
                <w:szCs w:val="20"/>
              </w:rPr>
              <w:t>Adaptive capacity</w:t>
            </w:r>
          </w:p>
        </w:tc>
        <w:tc>
          <w:tcPr>
            <w:tcW w:w="3621" w:type="pct"/>
            <w:shd w:val="clear" w:color="auto" w:fill="auto"/>
            <w:tcMar>
              <w:top w:w="0" w:type="dxa"/>
            </w:tcMar>
          </w:tcPr>
          <w:p w14:paraId="4AC7D87A" w14:textId="77777777" w:rsidR="00005F79" w:rsidRPr="005D6D89" w:rsidRDefault="00005F79" w:rsidP="00D15DD9">
            <w:pPr>
              <w:pStyle w:val="BodyText"/>
              <w:spacing w:before="60" w:after="60" w:line="260" w:lineRule="atLeast"/>
              <w:rPr>
                <w:sz w:val="20"/>
                <w:szCs w:val="20"/>
              </w:rPr>
            </w:pPr>
            <w:r w:rsidRPr="005D6D89">
              <w:rPr>
                <w:sz w:val="20"/>
                <w:szCs w:val="20"/>
              </w:rPr>
              <w:t>The ability of systems, institutions, humans and other organisms to adjust to potential damage, to take advantage of opportunities, or to respond to consequences (IPCC, 2014).</w:t>
            </w:r>
          </w:p>
        </w:tc>
      </w:tr>
      <w:tr w:rsidR="00603377" w:rsidRPr="005D6D89" w14:paraId="3DE2E65E" w14:textId="77777777" w:rsidTr="008C2D0E">
        <w:tc>
          <w:tcPr>
            <w:tcW w:w="1379" w:type="pct"/>
            <w:shd w:val="clear" w:color="auto" w:fill="auto"/>
            <w:tcMar>
              <w:top w:w="0" w:type="dxa"/>
            </w:tcMar>
          </w:tcPr>
          <w:p w14:paraId="7EB1FE59" w14:textId="77777777" w:rsidR="00005F79" w:rsidRPr="005D6D89" w:rsidRDefault="00005F79" w:rsidP="00D15DD9">
            <w:pPr>
              <w:pStyle w:val="BodyText"/>
              <w:spacing w:before="60" w:after="60" w:line="260" w:lineRule="atLeast"/>
              <w:rPr>
                <w:b/>
                <w:bCs/>
                <w:sz w:val="20"/>
                <w:szCs w:val="20"/>
              </w:rPr>
            </w:pPr>
            <w:r w:rsidRPr="005D6D89">
              <w:rPr>
                <w:b/>
                <w:bCs/>
                <w:sz w:val="20"/>
                <w:szCs w:val="20"/>
              </w:rPr>
              <w:t>Assets</w:t>
            </w:r>
          </w:p>
        </w:tc>
        <w:tc>
          <w:tcPr>
            <w:tcW w:w="3621" w:type="pct"/>
            <w:shd w:val="clear" w:color="auto" w:fill="auto"/>
            <w:tcMar>
              <w:top w:w="0" w:type="dxa"/>
            </w:tcMar>
          </w:tcPr>
          <w:p w14:paraId="0D778982" w14:textId="77777777" w:rsidR="00005F79" w:rsidRPr="005D6D89" w:rsidRDefault="00005F79" w:rsidP="00D15DD9">
            <w:pPr>
              <w:pStyle w:val="BodyText"/>
              <w:spacing w:before="60" w:after="60" w:line="260" w:lineRule="atLeast"/>
              <w:rPr>
                <w:sz w:val="20"/>
                <w:szCs w:val="20"/>
              </w:rPr>
            </w:pPr>
            <w:r w:rsidRPr="005D6D89">
              <w:rPr>
                <w:sz w:val="20"/>
                <w:szCs w:val="20"/>
              </w:rPr>
              <w:t>Things of value, which may be exposed or vulnerable to a hazard or risk. Physical, environmental, cultural or financial/economic element that has</w:t>
            </w:r>
            <w:r w:rsidR="00603377" w:rsidRPr="005D6D89">
              <w:rPr>
                <w:sz w:val="20"/>
                <w:szCs w:val="20"/>
              </w:rPr>
              <w:t> </w:t>
            </w:r>
            <w:r w:rsidRPr="005D6D89">
              <w:rPr>
                <w:sz w:val="20"/>
                <w:szCs w:val="20"/>
              </w:rPr>
              <w:t xml:space="preserve">tangible, intrinsic or spiritual value (see </w:t>
            </w:r>
            <w:r w:rsidR="00FA150C">
              <w:rPr>
                <w:sz w:val="20"/>
                <w:szCs w:val="20"/>
              </w:rPr>
              <w:t>t</w:t>
            </w:r>
            <w:r w:rsidRPr="005D6D89">
              <w:rPr>
                <w:sz w:val="20"/>
                <w:szCs w:val="20"/>
              </w:rPr>
              <w:t>aonga) (Ministry for the Environment, 2019).</w:t>
            </w:r>
          </w:p>
        </w:tc>
      </w:tr>
      <w:tr w:rsidR="00603377" w:rsidRPr="005D6D89" w14:paraId="5C4CDA06" w14:textId="77777777" w:rsidTr="008C2D0E">
        <w:tc>
          <w:tcPr>
            <w:tcW w:w="1379" w:type="pct"/>
            <w:shd w:val="clear" w:color="auto" w:fill="auto"/>
            <w:tcMar>
              <w:top w:w="0" w:type="dxa"/>
            </w:tcMar>
          </w:tcPr>
          <w:p w14:paraId="44AC6915"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Baseline </w:t>
            </w:r>
          </w:p>
        </w:tc>
        <w:tc>
          <w:tcPr>
            <w:tcW w:w="3621" w:type="pct"/>
            <w:shd w:val="clear" w:color="auto" w:fill="auto"/>
            <w:tcMar>
              <w:top w:w="0" w:type="dxa"/>
            </w:tcMar>
          </w:tcPr>
          <w:p w14:paraId="254828AA" w14:textId="77777777" w:rsidR="00005F79" w:rsidRPr="005D6D89" w:rsidRDefault="00005F79" w:rsidP="00D15DD9">
            <w:pPr>
              <w:pStyle w:val="BodyText"/>
              <w:spacing w:before="60" w:after="60" w:line="260" w:lineRule="atLeast"/>
              <w:rPr>
                <w:sz w:val="20"/>
                <w:szCs w:val="20"/>
              </w:rPr>
            </w:pPr>
            <w:r w:rsidRPr="005D6D89">
              <w:rPr>
                <w:sz w:val="20"/>
                <w:szCs w:val="20"/>
                <w:shd w:val="clear" w:color="auto" w:fill="FFFFFF"/>
              </w:rPr>
              <w:t xml:space="preserve">The baseline (or reference) is any datum against which change is </w:t>
            </w:r>
            <w:r w:rsidRPr="005D6D89">
              <w:rPr>
                <w:sz w:val="20"/>
                <w:szCs w:val="20"/>
              </w:rPr>
              <w:t>measured</w:t>
            </w:r>
            <w:r w:rsidRPr="005D6D89">
              <w:rPr>
                <w:sz w:val="20"/>
                <w:szCs w:val="20"/>
                <w:shd w:val="clear" w:color="auto" w:fill="FFFFFF"/>
              </w:rPr>
              <w:t>.</w:t>
            </w:r>
          </w:p>
        </w:tc>
      </w:tr>
      <w:tr w:rsidR="00603377" w:rsidRPr="005D6D89" w14:paraId="15157955" w14:textId="77777777" w:rsidTr="008C2D0E">
        <w:tc>
          <w:tcPr>
            <w:tcW w:w="1379" w:type="pct"/>
            <w:shd w:val="clear" w:color="auto" w:fill="auto"/>
            <w:tcMar>
              <w:top w:w="0" w:type="dxa"/>
            </w:tcMar>
          </w:tcPr>
          <w:p w14:paraId="0B54F0F9"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Biodiversity </w:t>
            </w:r>
          </w:p>
        </w:tc>
        <w:tc>
          <w:tcPr>
            <w:tcW w:w="3621" w:type="pct"/>
            <w:shd w:val="clear" w:color="auto" w:fill="auto"/>
            <w:tcMar>
              <w:top w:w="0" w:type="dxa"/>
            </w:tcMar>
          </w:tcPr>
          <w:p w14:paraId="54AD3D4C" w14:textId="77777777" w:rsidR="00005F79" w:rsidRPr="005D6D89" w:rsidRDefault="00005F79" w:rsidP="00D15DD9">
            <w:pPr>
              <w:pStyle w:val="BodyText"/>
              <w:spacing w:before="60" w:after="60" w:line="260" w:lineRule="atLeast"/>
              <w:rPr>
                <w:sz w:val="20"/>
                <w:szCs w:val="20"/>
              </w:rPr>
            </w:pPr>
            <w:r w:rsidRPr="005D6D89">
              <w:rPr>
                <w:sz w:val="20"/>
                <w:szCs w:val="20"/>
              </w:rPr>
              <w:t>The variability among living organisms from terrestrial, marine and other ecosystems. Biodiversity includes variability at the genetic, species and ecosystem levels (IPCC, 2014).</w:t>
            </w:r>
          </w:p>
        </w:tc>
      </w:tr>
      <w:tr w:rsidR="00603377" w:rsidRPr="005D6D89" w14:paraId="0B8A0706" w14:textId="77777777" w:rsidTr="008C2D0E">
        <w:tc>
          <w:tcPr>
            <w:tcW w:w="1379" w:type="pct"/>
            <w:shd w:val="clear" w:color="auto" w:fill="auto"/>
            <w:tcMar>
              <w:top w:w="0" w:type="dxa"/>
            </w:tcMar>
          </w:tcPr>
          <w:p w14:paraId="73DC7ADB" w14:textId="77777777" w:rsidR="00005F79" w:rsidRPr="005D6D89" w:rsidRDefault="00005F79" w:rsidP="00D15DD9">
            <w:pPr>
              <w:pStyle w:val="BodyText"/>
              <w:spacing w:before="60" w:after="60" w:line="260" w:lineRule="atLeast"/>
              <w:rPr>
                <w:b/>
                <w:bCs/>
                <w:sz w:val="20"/>
                <w:szCs w:val="20"/>
              </w:rPr>
            </w:pPr>
            <w:r w:rsidRPr="005D6D89">
              <w:rPr>
                <w:b/>
                <w:bCs/>
                <w:sz w:val="20"/>
                <w:szCs w:val="20"/>
              </w:rPr>
              <w:t>Cascading effects (of</w:t>
            </w:r>
            <w:r w:rsidR="00E944A7" w:rsidRPr="005D6D89">
              <w:rPr>
                <w:b/>
                <w:bCs/>
                <w:sz w:val="20"/>
                <w:szCs w:val="20"/>
              </w:rPr>
              <w:t> </w:t>
            </w:r>
            <w:r w:rsidRPr="005D6D89">
              <w:rPr>
                <w:b/>
                <w:bCs/>
                <w:sz w:val="20"/>
                <w:szCs w:val="20"/>
              </w:rPr>
              <w:t xml:space="preserve">climate change) </w:t>
            </w:r>
          </w:p>
        </w:tc>
        <w:tc>
          <w:tcPr>
            <w:tcW w:w="3621" w:type="pct"/>
            <w:shd w:val="clear" w:color="auto" w:fill="auto"/>
            <w:tcMar>
              <w:top w:w="0" w:type="dxa"/>
            </w:tcMar>
          </w:tcPr>
          <w:p w14:paraId="6C62209D" w14:textId="77777777" w:rsidR="00005F79" w:rsidRPr="005D6D89" w:rsidRDefault="00005F79" w:rsidP="00D15DD9">
            <w:pPr>
              <w:pStyle w:val="BodyText"/>
              <w:spacing w:before="60" w:after="60" w:line="260" w:lineRule="atLeast"/>
              <w:rPr>
                <w:sz w:val="20"/>
                <w:szCs w:val="20"/>
              </w:rPr>
            </w:pPr>
            <w:r w:rsidRPr="005D6D89">
              <w:rPr>
                <w:sz w:val="20"/>
                <w:szCs w:val="20"/>
              </w:rPr>
              <w:t>Effects that flow on from a primary hazard to compound and affect other systems in a dynamic sequence.</w:t>
            </w:r>
          </w:p>
        </w:tc>
      </w:tr>
      <w:tr w:rsidR="00603377" w:rsidRPr="005D6D89" w14:paraId="15E65A7F" w14:textId="77777777" w:rsidTr="008C2D0E">
        <w:tc>
          <w:tcPr>
            <w:tcW w:w="1379" w:type="pct"/>
            <w:shd w:val="clear" w:color="auto" w:fill="auto"/>
            <w:tcMar>
              <w:top w:w="0" w:type="dxa"/>
            </w:tcMar>
          </w:tcPr>
          <w:p w14:paraId="493C1884" w14:textId="77777777" w:rsidR="00005F79" w:rsidRPr="005D6D89" w:rsidRDefault="00005F79" w:rsidP="00D15DD9">
            <w:pPr>
              <w:pStyle w:val="BodyText"/>
              <w:spacing w:before="60" w:after="60" w:line="260" w:lineRule="atLeast"/>
              <w:rPr>
                <w:b/>
                <w:bCs/>
                <w:sz w:val="20"/>
                <w:szCs w:val="20"/>
              </w:rPr>
            </w:pPr>
            <w:r w:rsidRPr="005D6D89">
              <w:rPr>
                <w:b/>
                <w:bCs/>
                <w:sz w:val="20"/>
                <w:szCs w:val="20"/>
              </w:rPr>
              <w:t>Climate</w:t>
            </w:r>
          </w:p>
        </w:tc>
        <w:tc>
          <w:tcPr>
            <w:tcW w:w="3621" w:type="pct"/>
            <w:shd w:val="clear" w:color="auto" w:fill="auto"/>
            <w:tcMar>
              <w:top w:w="0" w:type="dxa"/>
            </w:tcMar>
          </w:tcPr>
          <w:p w14:paraId="218567A8"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The narrow definition is the average weather. More rigorously, the statistical description of the mean and variability of quantities over months to thousands or millions of years. The classical period for averaging these variables is 30 years, as defined by the World Meteorological Organization. The quantities are most </w:t>
            </w:r>
            <w:proofErr w:type="gramStart"/>
            <w:r w:rsidRPr="005D6D89">
              <w:rPr>
                <w:sz w:val="20"/>
                <w:szCs w:val="20"/>
              </w:rPr>
              <w:t>often surface</w:t>
            </w:r>
            <w:proofErr w:type="gramEnd"/>
            <w:r w:rsidRPr="005D6D89">
              <w:rPr>
                <w:sz w:val="20"/>
                <w:szCs w:val="20"/>
              </w:rPr>
              <w:t xml:space="preserve"> variables such as temperature, precipitation and wind. Climate in a wider</w:t>
            </w:r>
            <w:r w:rsidR="00E944A7" w:rsidRPr="005D6D89">
              <w:rPr>
                <w:sz w:val="20"/>
                <w:szCs w:val="20"/>
              </w:rPr>
              <w:t> </w:t>
            </w:r>
            <w:r w:rsidRPr="005D6D89">
              <w:rPr>
                <w:sz w:val="20"/>
                <w:szCs w:val="20"/>
              </w:rPr>
              <w:t>sense is the state, including a statistical description, of the climate</w:t>
            </w:r>
            <w:r w:rsidR="00E944A7" w:rsidRPr="005D6D89">
              <w:rPr>
                <w:sz w:val="20"/>
                <w:szCs w:val="20"/>
              </w:rPr>
              <w:t> </w:t>
            </w:r>
            <w:r w:rsidRPr="005D6D89">
              <w:rPr>
                <w:sz w:val="20"/>
                <w:szCs w:val="20"/>
              </w:rPr>
              <w:t>system (IPCC, 2014).</w:t>
            </w:r>
          </w:p>
        </w:tc>
      </w:tr>
      <w:tr w:rsidR="00603377" w:rsidRPr="005D6D89" w14:paraId="166EEDB2" w14:textId="77777777" w:rsidTr="008C2D0E">
        <w:tc>
          <w:tcPr>
            <w:tcW w:w="1379" w:type="pct"/>
            <w:shd w:val="clear" w:color="auto" w:fill="auto"/>
            <w:tcMar>
              <w:top w:w="0" w:type="dxa"/>
            </w:tcMar>
          </w:tcPr>
          <w:p w14:paraId="412A7209" w14:textId="77777777" w:rsidR="00005F79" w:rsidRPr="005D6D89" w:rsidRDefault="00005F79" w:rsidP="00D15DD9">
            <w:pPr>
              <w:pStyle w:val="BodyText"/>
              <w:spacing w:before="60" w:after="60" w:line="260" w:lineRule="atLeast"/>
              <w:rPr>
                <w:b/>
                <w:bCs/>
                <w:sz w:val="20"/>
                <w:szCs w:val="20"/>
              </w:rPr>
            </w:pPr>
            <w:r w:rsidRPr="005D6D89">
              <w:rPr>
                <w:b/>
                <w:bCs/>
                <w:sz w:val="20"/>
                <w:szCs w:val="20"/>
              </w:rPr>
              <w:t>Climate change</w:t>
            </w:r>
          </w:p>
        </w:tc>
        <w:tc>
          <w:tcPr>
            <w:tcW w:w="3621" w:type="pct"/>
            <w:shd w:val="clear" w:color="auto" w:fill="auto"/>
            <w:tcMar>
              <w:top w:w="0" w:type="dxa"/>
            </w:tcMar>
          </w:tcPr>
          <w:p w14:paraId="14658A14"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A change in the state of the climate identified (eg, through statistical tests) by changes or trends in the mean and/or the variability of its properties, and that persists for an extended period, typically decades to centuries. Includes natural internal climate processes or external climate forcings such as variations in solar cycles, volcanic eruptions and persistent </w:t>
            </w:r>
            <w:r w:rsidRPr="00E80827">
              <w:rPr>
                <w:sz w:val="20"/>
                <w:szCs w:val="20"/>
              </w:rPr>
              <w:t>anthropogenic</w:t>
            </w:r>
            <w:r w:rsidRPr="005D6D89">
              <w:rPr>
                <w:sz w:val="20"/>
                <w:szCs w:val="20"/>
              </w:rPr>
              <w:t xml:space="preserve"> changes in the atmosphere or in land use (IPCC,</w:t>
            </w:r>
            <w:r w:rsidR="00E944A7" w:rsidRPr="005D6D89">
              <w:rPr>
                <w:sz w:val="20"/>
                <w:szCs w:val="20"/>
              </w:rPr>
              <w:t> </w:t>
            </w:r>
            <w:r w:rsidRPr="005D6D89">
              <w:rPr>
                <w:sz w:val="20"/>
                <w:szCs w:val="20"/>
              </w:rPr>
              <w:t>2014).</w:t>
            </w:r>
          </w:p>
        </w:tc>
      </w:tr>
      <w:tr w:rsidR="00603377" w:rsidRPr="005D6D89" w14:paraId="676A26D5" w14:textId="77777777" w:rsidTr="008C2D0E">
        <w:tc>
          <w:tcPr>
            <w:tcW w:w="1379" w:type="pct"/>
            <w:shd w:val="clear" w:color="auto" w:fill="auto"/>
            <w:tcMar>
              <w:top w:w="0" w:type="dxa"/>
            </w:tcMar>
          </w:tcPr>
          <w:p w14:paraId="38A183A1" w14:textId="77777777" w:rsidR="00005F79" w:rsidRPr="005D6D89" w:rsidRDefault="00005F79" w:rsidP="00D15DD9">
            <w:pPr>
              <w:pStyle w:val="BodyText"/>
              <w:spacing w:before="60" w:after="60" w:line="260" w:lineRule="atLeast"/>
              <w:rPr>
                <w:b/>
                <w:bCs/>
                <w:sz w:val="20"/>
                <w:szCs w:val="20"/>
              </w:rPr>
            </w:pPr>
            <w:r w:rsidRPr="005D6D89">
              <w:rPr>
                <w:b/>
                <w:bCs/>
                <w:sz w:val="20"/>
                <w:szCs w:val="20"/>
              </w:rPr>
              <w:t>Climate projection</w:t>
            </w:r>
          </w:p>
        </w:tc>
        <w:tc>
          <w:tcPr>
            <w:tcW w:w="3621" w:type="pct"/>
            <w:shd w:val="clear" w:color="auto" w:fill="auto"/>
            <w:tcMar>
              <w:top w:w="0" w:type="dxa"/>
            </w:tcMar>
          </w:tcPr>
          <w:p w14:paraId="274399A5"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The simulated response of the climate system to a scenario of future emission or concentration of greenhouse gases (GHGs) and </w:t>
            </w:r>
            <w:proofErr w:type="gramStart"/>
            <w:r w:rsidRPr="005D6D89">
              <w:rPr>
                <w:sz w:val="20"/>
                <w:szCs w:val="20"/>
              </w:rPr>
              <w:t>aerosols,</w:t>
            </w:r>
            <w:proofErr w:type="gramEnd"/>
            <w:r w:rsidRPr="005D6D89">
              <w:rPr>
                <w:sz w:val="20"/>
                <w:szCs w:val="20"/>
              </w:rPr>
              <w:t xml:space="preserve"> generally derived using climate models. Climate projections are distinguished from climate predictions by their dependence on the emission/concentration/radiative forcing scenario, which is in turn based on assumptions about, for example, socio-economic and technological developments that may or may not be realised (IPCC, 2014).</w:t>
            </w:r>
          </w:p>
        </w:tc>
      </w:tr>
      <w:tr w:rsidR="00603377" w:rsidRPr="005D6D89" w14:paraId="7234224F" w14:textId="77777777" w:rsidTr="008C2D0E">
        <w:tc>
          <w:tcPr>
            <w:tcW w:w="1379" w:type="pct"/>
            <w:shd w:val="clear" w:color="auto" w:fill="auto"/>
            <w:tcMar>
              <w:top w:w="0" w:type="dxa"/>
            </w:tcMar>
          </w:tcPr>
          <w:p w14:paraId="6E6095B0" w14:textId="77777777" w:rsidR="00005F79" w:rsidRPr="005D6D89" w:rsidRDefault="00005F79" w:rsidP="00D15DD9">
            <w:pPr>
              <w:pStyle w:val="BodyText"/>
              <w:spacing w:before="60" w:after="60" w:line="260" w:lineRule="atLeast"/>
              <w:rPr>
                <w:b/>
                <w:bCs/>
                <w:sz w:val="20"/>
                <w:szCs w:val="20"/>
              </w:rPr>
            </w:pPr>
            <w:r w:rsidRPr="005D6D89">
              <w:rPr>
                <w:b/>
                <w:bCs/>
                <w:sz w:val="20"/>
                <w:szCs w:val="20"/>
              </w:rPr>
              <w:t>Co-benefits</w:t>
            </w:r>
          </w:p>
        </w:tc>
        <w:tc>
          <w:tcPr>
            <w:tcW w:w="3621" w:type="pct"/>
            <w:shd w:val="clear" w:color="auto" w:fill="auto"/>
            <w:tcMar>
              <w:top w:w="0" w:type="dxa"/>
            </w:tcMar>
          </w:tcPr>
          <w:p w14:paraId="0A5B78C0" w14:textId="77777777" w:rsidR="00005F79" w:rsidRPr="005D6D89" w:rsidRDefault="00005F79" w:rsidP="00D15DD9">
            <w:pPr>
              <w:pStyle w:val="BodyText"/>
              <w:spacing w:before="60" w:after="60" w:line="260" w:lineRule="atLeast"/>
              <w:rPr>
                <w:sz w:val="20"/>
                <w:szCs w:val="20"/>
              </w:rPr>
            </w:pPr>
            <w:r w:rsidRPr="005D6D89">
              <w:rPr>
                <w:sz w:val="20"/>
                <w:szCs w:val="20"/>
              </w:rPr>
              <w:t>The positive effects a policy or measure for one objective might have on other objectives, irrespective of the net effect on overall social welfare. Often subject</w:t>
            </w:r>
            <w:r w:rsidR="00912902" w:rsidRPr="005D6D89">
              <w:rPr>
                <w:sz w:val="20"/>
                <w:szCs w:val="20"/>
              </w:rPr>
              <w:t> </w:t>
            </w:r>
            <w:r w:rsidRPr="005D6D89">
              <w:rPr>
                <w:sz w:val="20"/>
                <w:szCs w:val="20"/>
              </w:rPr>
              <w:t>to uncertainty and depend on circumstances and implementation, among other factors. Also known as ancillary benefits (Ministry for the Environment, 2019).</w:t>
            </w:r>
          </w:p>
        </w:tc>
      </w:tr>
      <w:tr w:rsidR="00603377" w:rsidRPr="005D6D89" w14:paraId="19720FB5" w14:textId="77777777" w:rsidTr="008C2D0E">
        <w:tc>
          <w:tcPr>
            <w:tcW w:w="1379" w:type="pct"/>
            <w:shd w:val="clear" w:color="auto" w:fill="auto"/>
            <w:tcMar>
              <w:top w:w="0" w:type="dxa"/>
            </w:tcMar>
          </w:tcPr>
          <w:p w14:paraId="55151241" w14:textId="77777777" w:rsidR="00005F79" w:rsidRPr="005D6D89" w:rsidRDefault="00005F79" w:rsidP="00D15DD9">
            <w:pPr>
              <w:pStyle w:val="BodyText"/>
              <w:spacing w:before="60" w:after="60" w:line="260" w:lineRule="atLeast"/>
              <w:rPr>
                <w:b/>
                <w:bCs/>
                <w:sz w:val="20"/>
                <w:szCs w:val="20"/>
              </w:rPr>
            </w:pPr>
            <w:r w:rsidRPr="005D6D89">
              <w:rPr>
                <w:b/>
                <w:bCs/>
                <w:sz w:val="20"/>
                <w:szCs w:val="20"/>
              </w:rPr>
              <w:t>Community</w:t>
            </w:r>
          </w:p>
        </w:tc>
        <w:tc>
          <w:tcPr>
            <w:tcW w:w="3621" w:type="pct"/>
            <w:shd w:val="clear" w:color="auto" w:fill="auto"/>
            <w:tcMar>
              <w:top w:w="0" w:type="dxa"/>
            </w:tcMar>
          </w:tcPr>
          <w:p w14:paraId="246A34A3" w14:textId="77777777" w:rsidR="00005F79" w:rsidRPr="005D6D89" w:rsidRDefault="00005F79" w:rsidP="00D15DD9">
            <w:pPr>
              <w:pStyle w:val="BodyText"/>
              <w:spacing w:before="60" w:after="60" w:line="260" w:lineRule="atLeast"/>
              <w:rPr>
                <w:sz w:val="20"/>
                <w:szCs w:val="20"/>
              </w:rPr>
            </w:pPr>
            <w:r w:rsidRPr="005D6D89">
              <w:rPr>
                <w:sz w:val="20"/>
                <w:szCs w:val="20"/>
              </w:rPr>
              <w:t>A geographic location (community of place), a community of similar interest (community of practice), or a community of affiliation or identity (such as industry) (Ministry for the Environment, 2019).</w:t>
            </w:r>
          </w:p>
        </w:tc>
      </w:tr>
      <w:tr w:rsidR="00603377" w:rsidRPr="005D6D89" w14:paraId="77C6A8DC" w14:textId="77777777" w:rsidTr="008C2D0E">
        <w:tc>
          <w:tcPr>
            <w:tcW w:w="1379" w:type="pct"/>
            <w:shd w:val="clear" w:color="auto" w:fill="auto"/>
            <w:tcMar>
              <w:top w:w="0" w:type="dxa"/>
            </w:tcMar>
          </w:tcPr>
          <w:p w14:paraId="47D158F6" w14:textId="77777777" w:rsidR="00005F79" w:rsidRPr="005D6D89" w:rsidRDefault="00005F79" w:rsidP="00D15DD9">
            <w:pPr>
              <w:pStyle w:val="BodyText"/>
              <w:spacing w:before="60" w:after="60" w:line="260" w:lineRule="atLeast"/>
              <w:rPr>
                <w:b/>
                <w:bCs/>
                <w:sz w:val="20"/>
                <w:szCs w:val="20"/>
              </w:rPr>
            </w:pPr>
            <w:r w:rsidRPr="005D6D89">
              <w:rPr>
                <w:b/>
                <w:bCs/>
                <w:sz w:val="20"/>
                <w:szCs w:val="20"/>
              </w:rPr>
              <w:t>Compound hazards and stressors</w:t>
            </w:r>
          </w:p>
        </w:tc>
        <w:tc>
          <w:tcPr>
            <w:tcW w:w="3621" w:type="pct"/>
            <w:shd w:val="clear" w:color="auto" w:fill="auto"/>
            <w:tcMar>
              <w:top w:w="0" w:type="dxa"/>
            </w:tcMar>
          </w:tcPr>
          <w:p w14:paraId="454EB6C6" w14:textId="77777777" w:rsidR="00005F79" w:rsidRPr="005D6D89" w:rsidRDefault="00005F79" w:rsidP="00D15DD9">
            <w:pPr>
              <w:pStyle w:val="BodyText"/>
              <w:spacing w:before="60" w:after="60" w:line="260" w:lineRule="atLeast"/>
              <w:rPr>
                <w:sz w:val="20"/>
                <w:szCs w:val="20"/>
              </w:rPr>
            </w:pPr>
            <w:r w:rsidRPr="005D6D89">
              <w:rPr>
                <w:sz w:val="20"/>
                <w:szCs w:val="20"/>
              </w:rPr>
              <w:t>Cumulative hazards which will become more significant as adaptation thresholds are reached, eg, for a coastal area, a persistent wet season (high groundwater, lower field capacity) is followed by a coastal storm on the back of sea-level rise coincident with intense rainfall, leading to compound flooding (Ministry for the Environment, 2019).</w:t>
            </w:r>
          </w:p>
        </w:tc>
      </w:tr>
      <w:tr w:rsidR="00603377" w:rsidRPr="005D6D89" w14:paraId="74AA63F9" w14:textId="77777777" w:rsidTr="008C2D0E">
        <w:tc>
          <w:tcPr>
            <w:tcW w:w="1379" w:type="pct"/>
            <w:shd w:val="clear" w:color="auto" w:fill="auto"/>
            <w:tcMar>
              <w:top w:w="0" w:type="dxa"/>
            </w:tcMar>
          </w:tcPr>
          <w:p w14:paraId="1B490572" w14:textId="77777777" w:rsidR="00005F79" w:rsidRPr="005D6D89" w:rsidRDefault="00005F79" w:rsidP="00D15DD9">
            <w:pPr>
              <w:pStyle w:val="BodyText"/>
              <w:spacing w:before="60" w:after="60" w:line="260" w:lineRule="atLeast"/>
              <w:rPr>
                <w:b/>
                <w:bCs/>
                <w:sz w:val="20"/>
                <w:szCs w:val="20"/>
              </w:rPr>
            </w:pPr>
            <w:r w:rsidRPr="005D6D89">
              <w:rPr>
                <w:b/>
                <w:bCs/>
                <w:sz w:val="20"/>
                <w:szCs w:val="20"/>
              </w:rPr>
              <w:t>Confidence</w:t>
            </w:r>
          </w:p>
        </w:tc>
        <w:tc>
          <w:tcPr>
            <w:tcW w:w="3621" w:type="pct"/>
            <w:shd w:val="clear" w:color="auto" w:fill="auto"/>
            <w:tcMar>
              <w:top w:w="0" w:type="dxa"/>
            </w:tcMar>
          </w:tcPr>
          <w:p w14:paraId="5B62B443" w14:textId="77777777" w:rsidR="00005F79" w:rsidRPr="005D6D89" w:rsidRDefault="00005F79" w:rsidP="00D15DD9">
            <w:pPr>
              <w:pStyle w:val="BodyText"/>
              <w:spacing w:before="60" w:after="60" w:line="260" w:lineRule="atLeast"/>
              <w:rPr>
                <w:sz w:val="20"/>
                <w:szCs w:val="20"/>
              </w:rPr>
            </w:pPr>
            <w:r w:rsidRPr="005D6D89">
              <w:rPr>
                <w:sz w:val="20"/>
                <w:szCs w:val="20"/>
              </w:rPr>
              <w:t>A qualitative measure of the validity of a finding, based on the type, amount, quality and consistency of evidence (eg, data, mechanistic understanding, theory, models, expert judgement) and the degree of agreement (Ministry for the Environment, 2019).</w:t>
            </w:r>
          </w:p>
        </w:tc>
      </w:tr>
      <w:tr w:rsidR="00603377" w:rsidRPr="005D6D89" w14:paraId="1369AF99" w14:textId="77777777" w:rsidTr="008C2D0E">
        <w:tc>
          <w:tcPr>
            <w:tcW w:w="1379" w:type="pct"/>
            <w:shd w:val="clear" w:color="auto" w:fill="auto"/>
            <w:tcMar>
              <w:top w:w="0" w:type="dxa"/>
            </w:tcMar>
          </w:tcPr>
          <w:p w14:paraId="47CA4E67" w14:textId="77777777" w:rsidR="00005F79" w:rsidRPr="005D6D89" w:rsidRDefault="00005F79" w:rsidP="00D15DD9">
            <w:pPr>
              <w:pStyle w:val="BodyText"/>
              <w:spacing w:before="60" w:after="60" w:line="260" w:lineRule="atLeast"/>
              <w:rPr>
                <w:b/>
                <w:bCs/>
                <w:sz w:val="20"/>
                <w:szCs w:val="20"/>
              </w:rPr>
            </w:pPr>
            <w:r w:rsidRPr="005D6D89">
              <w:rPr>
                <w:b/>
                <w:bCs/>
                <w:sz w:val="20"/>
                <w:szCs w:val="20"/>
              </w:rPr>
              <w:t>Consequence</w:t>
            </w:r>
          </w:p>
        </w:tc>
        <w:tc>
          <w:tcPr>
            <w:tcW w:w="3621" w:type="pct"/>
            <w:shd w:val="clear" w:color="auto" w:fill="auto"/>
            <w:tcMar>
              <w:top w:w="0" w:type="dxa"/>
            </w:tcMar>
          </w:tcPr>
          <w:p w14:paraId="372EA481" w14:textId="77777777" w:rsidR="00005F79" w:rsidRPr="005D6D89" w:rsidRDefault="00005F79" w:rsidP="00D15DD9">
            <w:pPr>
              <w:pStyle w:val="BodyText"/>
              <w:spacing w:before="60" w:after="60" w:line="260" w:lineRule="atLeast"/>
              <w:rPr>
                <w:sz w:val="20"/>
                <w:szCs w:val="20"/>
              </w:rPr>
            </w:pPr>
            <w:r w:rsidRPr="005D6D89">
              <w:rPr>
                <w:sz w:val="20"/>
                <w:szCs w:val="20"/>
              </w:rPr>
              <w:t>The outcome of an event that may result from a hazard. It can be expressed quantitatively (</w:t>
            </w:r>
            <w:r w:rsidR="0080544C">
              <w:rPr>
                <w:sz w:val="20"/>
                <w:szCs w:val="20"/>
              </w:rPr>
              <w:t>eg,</w:t>
            </w:r>
            <w:r w:rsidRPr="005D6D89">
              <w:rPr>
                <w:sz w:val="20"/>
                <w:szCs w:val="20"/>
              </w:rPr>
              <w:t xml:space="preserve"> units of damage or loss, disruption period, monetary value of impacts or environmental effect), semi-quantitatively by category (</w:t>
            </w:r>
            <w:r w:rsidR="0080544C">
              <w:rPr>
                <w:sz w:val="20"/>
                <w:szCs w:val="20"/>
              </w:rPr>
              <w:t>eg,</w:t>
            </w:r>
            <w:r w:rsidRPr="005D6D89">
              <w:rPr>
                <w:sz w:val="20"/>
                <w:szCs w:val="20"/>
              </w:rPr>
              <w:t xml:space="preserve"> high, medium, low level of impact) or qualitatively (a description of the impacts) (adapted from Ministry of Civil Defence and Emergency Management [MCDEM], 2019). It </w:t>
            </w:r>
            <w:proofErr w:type="gramStart"/>
            <w:r w:rsidRPr="005D6D89">
              <w:rPr>
                <w:sz w:val="20"/>
                <w:szCs w:val="20"/>
              </w:rPr>
              <w:t>is also defined</w:t>
            </w:r>
            <w:proofErr w:type="gramEnd"/>
            <w:r w:rsidRPr="005D6D89">
              <w:rPr>
                <w:sz w:val="20"/>
                <w:szCs w:val="20"/>
              </w:rPr>
              <w:t xml:space="preserve"> as the outcome of an event affecting objectives (ISO/IEC 27000:2014 and ISO 31000: 2009) (Ministry for the Environment, 2019).</w:t>
            </w:r>
          </w:p>
        </w:tc>
      </w:tr>
      <w:tr w:rsidR="00603377" w:rsidRPr="005D6D89" w14:paraId="78B2C568" w14:textId="77777777" w:rsidTr="008C2D0E">
        <w:tc>
          <w:tcPr>
            <w:tcW w:w="1379" w:type="pct"/>
            <w:shd w:val="clear" w:color="auto" w:fill="auto"/>
            <w:tcMar>
              <w:top w:w="0" w:type="dxa"/>
            </w:tcMar>
          </w:tcPr>
          <w:p w14:paraId="5882460A"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Disaster </w:t>
            </w:r>
          </w:p>
        </w:tc>
        <w:tc>
          <w:tcPr>
            <w:tcW w:w="3621" w:type="pct"/>
            <w:shd w:val="clear" w:color="auto" w:fill="auto"/>
            <w:tcMar>
              <w:top w:w="0" w:type="dxa"/>
            </w:tcMar>
          </w:tcPr>
          <w:p w14:paraId="18C5D616" w14:textId="77777777" w:rsidR="00005F79" w:rsidRPr="005D6D89" w:rsidRDefault="00005F79" w:rsidP="00D15DD9">
            <w:pPr>
              <w:pStyle w:val="BodyText"/>
              <w:spacing w:before="60" w:after="60" w:line="260" w:lineRule="atLeast"/>
              <w:rPr>
                <w:sz w:val="20"/>
                <w:szCs w:val="20"/>
              </w:rPr>
            </w:pPr>
            <w:r w:rsidRPr="005D6D89">
              <w:rPr>
                <w:sz w:val="20"/>
                <w:szCs w:val="20"/>
              </w:rPr>
              <w:t>Severe alterations in the normal functioning of a community or a society due to hazardous physical events interacting with vulnerable social conditions, leading to widespread adverse human, material, economic or environmental effects that require immediate emergency response to satisfy critical human needs and that may require external support for recovery (IPCC, 2014).</w:t>
            </w:r>
          </w:p>
        </w:tc>
      </w:tr>
      <w:tr w:rsidR="00603377" w:rsidRPr="005D6D89" w14:paraId="7D31E482" w14:textId="77777777" w:rsidTr="008C2D0E">
        <w:tc>
          <w:tcPr>
            <w:tcW w:w="1379" w:type="pct"/>
            <w:shd w:val="clear" w:color="auto" w:fill="auto"/>
            <w:tcMar>
              <w:top w:w="0" w:type="dxa"/>
            </w:tcMar>
          </w:tcPr>
          <w:p w14:paraId="7D4C288E" w14:textId="77777777" w:rsidR="00005F79" w:rsidRPr="005D6D89" w:rsidRDefault="00005F79" w:rsidP="00D15DD9">
            <w:pPr>
              <w:pStyle w:val="BodyText"/>
              <w:spacing w:before="60" w:after="60" w:line="260" w:lineRule="atLeast"/>
              <w:rPr>
                <w:b/>
                <w:bCs/>
                <w:sz w:val="20"/>
                <w:szCs w:val="20"/>
              </w:rPr>
            </w:pPr>
            <w:r w:rsidRPr="005D6D89">
              <w:rPr>
                <w:b/>
                <w:bCs/>
                <w:sz w:val="20"/>
                <w:szCs w:val="20"/>
              </w:rPr>
              <w:t>Driver</w:t>
            </w:r>
          </w:p>
        </w:tc>
        <w:tc>
          <w:tcPr>
            <w:tcW w:w="3621" w:type="pct"/>
            <w:shd w:val="clear" w:color="auto" w:fill="auto"/>
            <w:tcMar>
              <w:top w:w="0" w:type="dxa"/>
            </w:tcMar>
          </w:tcPr>
          <w:p w14:paraId="6DBCC080" w14:textId="77777777" w:rsidR="00005F79" w:rsidRPr="005D6D89" w:rsidRDefault="00005F79" w:rsidP="00D15DD9">
            <w:pPr>
              <w:pStyle w:val="BodyText"/>
              <w:spacing w:before="60" w:after="60" w:line="260" w:lineRule="atLeast"/>
              <w:rPr>
                <w:sz w:val="20"/>
                <w:szCs w:val="20"/>
              </w:rPr>
            </w:pPr>
            <w:r w:rsidRPr="005D6D89">
              <w:rPr>
                <w:sz w:val="20"/>
                <w:szCs w:val="20"/>
              </w:rPr>
              <w:t>An aspect that changes a given system. Drivers can be short term but are mainly long term in their effects. Changes in both the climate system and socioeconomic processes including adaptation and mitigation are drivers of hazards, exposure, and vulnerability. Drivers can, thus, be climatic or non-climatic (Ministry for the Environment, 2019).</w:t>
            </w:r>
          </w:p>
        </w:tc>
      </w:tr>
      <w:tr w:rsidR="00603377" w:rsidRPr="005D6D89" w14:paraId="26BE3361" w14:textId="77777777" w:rsidTr="008C2D0E">
        <w:tc>
          <w:tcPr>
            <w:tcW w:w="1379" w:type="pct"/>
            <w:shd w:val="clear" w:color="auto" w:fill="auto"/>
            <w:tcMar>
              <w:top w:w="0" w:type="dxa"/>
            </w:tcMar>
          </w:tcPr>
          <w:p w14:paraId="7E1852B9" w14:textId="77777777" w:rsidR="00005F79" w:rsidRPr="005D6D89" w:rsidRDefault="00005F79" w:rsidP="00D15DD9">
            <w:pPr>
              <w:pStyle w:val="BodyText"/>
              <w:spacing w:before="60" w:after="60" w:line="260" w:lineRule="atLeast"/>
              <w:rPr>
                <w:b/>
                <w:bCs/>
                <w:sz w:val="20"/>
                <w:szCs w:val="20"/>
              </w:rPr>
            </w:pPr>
            <w:r w:rsidRPr="005D6D89">
              <w:rPr>
                <w:b/>
                <w:bCs/>
                <w:sz w:val="20"/>
                <w:szCs w:val="20"/>
              </w:rPr>
              <w:t>Emissions</w:t>
            </w:r>
          </w:p>
        </w:tc>
        <w:tc>
          <w:tcPr>
            <w:tcW w:w="3621" w:type="pct"/>
            <w:shd w:val="clear" w:color="auto" w:fill="auto"/>
            <w:tcMar>
              <w:top w:w="0" w:type="dxa"/>
            </w:tcMar>
          </w:tcPr>
          <w:p w14:paraId="062A7B05" w14:textId="77777777" w:rsidR="00005F79" w:rsidRPr="005D6D89" w:rsidRDefault="00005F79" w:rsidP="00D15DD9">
            <w:pPr>
              <w:pStyle w:val="BodyText"/>
              <w:spacing w:before="60" w:after="60" w:line="260" w:lineRule="atLeast"/>
              <w:rPr>
                <w:sz w:val="20"/>
                <w:szCs w:val="20"/>
              </w:rPr>
            </w:pPr>
            <w:r w:rsidRPr="005D6D89">
              <w:rPr>
                <w:sz w:val="20"/>
                <w:szCs w:val="20"/>
              </w:rPr>
              <w:t>The production and discharge of substances that are potentially radiatively active (ie, absorb and emit radiant energy) in the atmosphere (eg, greenhouse gases, aerosols) (Ministry for the Environment, 2019).</w:t>
            </w:r>
          </w:p>
        </w:tc>
      </w:tr>
      <w:tr w:rsidR="00603377" w:rsidRPr="005D6D89" w14:paraId="5A76ED4B" w14:textId="77777777" w:rsidTr="008C2D0E">
        <w:tc>
          <w:tcPr>
            <w:tcW w:w="1379" w:type="pct"/>
            <w:shd w:val="clear" w:color="auto" w:fill="auto"/>
            <w:tcMar>
              <w:top w:w="0" w:type="dxa"/>
            </w:tcMar>
          </w:tcPr>
          <w:p w14:paraId="69C5CB6E"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Exposure </w:t>
            </w:r>
          </w:p>
        </w:tc>
        <w:tc>
          <w:tcPr>
            <w:tcW w:w="3621" w:type="pct"/>
            <w:shd w:val="clear" w:color="auto" w:fill="auto"/>
            <w:tcMar>
              <w:top w:w="0" w:type="dxa"/>
            </w:tcMar>
          </w:tcPr>
          <w:p w14:paraId="641A27D4" w14:textId="77777777" w:rsidR="00005F79" w:rsidRPr="005D6D89" w:rsidRDefault="00005F79" w:rsidP="00C96E9B">
            <w:pPr>
              <w:pStyle w:val="BodyText"/>
              <w:spacing w:before="60" w:after="60" w:line="260" w:lineRule="atLeast"/>
              <w:rPr>
                <w:sz w:val="20"/>
                <w:szCs w:val="20"/>
              </w:rPr>
            </w:pPr>
            <w:r w:rsidRPr="005D6D89">
              <w:rPr>
                <w:sz w:val="20"/>
                <w:szCs w:val="20"/>
              </w:rPr>
              <w:t xml:space="preserve">Lack of protection, where people, livelihoods, species or ecosystems, environmental functions, services, and resources, infrastructure, or economic, social, or cultural assets in places and settings </w:t>
            </w:r>
            <w:proofErr w:type="gramStart"/>
            <w:r w:rsidRPr="005D6D89">
              <w:rPr>
                <w:sz w:val="20"/>
                <w:szCs w:val="20"/>
              </w:rPr>
              <w:t>could be adversely affected</w:t>
            </w:r>
            <w:proofErr w:type="gramEnd"/>
            <w:r w:rsidRPr="005D6D89">
              <w:rPr>
                <w:sz w:val="20"/>
                <w:szCs w:val="20"/>
              </w:rPr>
              <w:t xml:space="preserve"> by a change in external stresses that a system is exposed to. In the context of climate change</w:t>
            </w:r>
            <w:r w:rsidR="00FA150C">
              <w:rPr>
                <w:sz w:val="20"/>
                <w:szCs w:val="20"/>
              </w:rPr>
              <w:t>,</w:t>
            </w:r>
            <w:r w:rsidRPr="005D6D89">
              <w:rPr>
                <w:sz w:val="20"/>
                <w:szCs w:val="20"/>
              </w:rPr>
              <w:t xml:space="preserve"> these are normally specific climate and other biophysical variables (IPCC, 2007).</w:t>
            </w:r>
            <w:r w:rsidR="00C96E9B" w:rsidRPr="005D6D89">
              <w:rPr>
                <w:sz w:val="20"/>
                <w:szCs w:val="20"/>
              </w:rPr>
              <w:t xml:space="preserve"> </w:t>
            </w:r>
            <w:r w:rsidRPr="005D6D89">
              <w:rPr>
                <w:sz w:val="20"/>
                <w:szCs w:val="20"/>
              </w:rPr>
              <w:t xml:space="preserve">Lack of protection against loss or harm in a hazard zone, affecting the number, density or value of people, property, services, or other things we value (taonga) (MCDEM, 2019). </w:t>
            </w:r>
          </w:p>
        </w:tc>
      </w:tr>
      <w:tr w:rsidR="00603377" w:rsidRPr="005D6D89" w14:paraId="23B374CA" w14:textId="77777777" w:rsidTr="008C2D0E">
        <w:tc>
          <w:tcPr>
            <w:tcW w:w="1379" w:type="pct"/>
            <w:shd w:val="clear" w:color="auto" w:fill="auto"/>
            <w:tcMar>
              <w:top w:w="0" w:type="dxa"/>
            </w:tcMar>
          </w:tcPr>
          <w:p w14:paraId="1F7A4B10"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Extreme weather event </w:t>
            </w:r>
          </w:p>
        </w:tc>
        <w:tc>
          <w:tcPr>
            <w:tcW w:w="3621" w:type="pct"/>
            <w:shd w:val="clear" w:color="auto" w:fill="auto"/>
            <w:tcMar>
              <w:top w:w="0" w:type="dxa"/>
            </w:tcMar>
          </w:tcPr>
          <w:p w14:paraId="319E5F1C"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An event that is rare at a particular place and time of year. Rare </w:t>
            </w:r>
            <w:proofErr w:type="gramStart"/>
            <w:r w:rsidRPr="005D6D89">
              <w:rPr>
                <w:sz w:val="20"/>
                <w:szCs w:val="20"/>
              </w:rPr>
              <w:t>is normally defined</w:t>
            </w:r>
            <w:proofErr w:type="gramEnd"/>
            <w:r w:rsidRPr="005D6D89">
              <w:rPr>
                <w:sz w:val="20"/>
                <w:szCs w:val="20"/>
              </w:rPr>
              <w:t xml:space="preserve"> as </w:t>
            </w:r>
            <w:r w:rsidR="001200EA">
              <w:rPr>
                <w:sz w:val="20"/>
                <w:szCs w:val="20"/>
              </w:rPr>
              <w:t>‘</w:t>
            </w:r>
            <w:r w:rsidRPr="005D6D89">
              <w:rPr>
                <w:sz w:val="20"/>
                <w:szCs w:val="20"/>
              </w:rPr>
              <w:t>as rare as or rarer than the 10th or 90th percentile of</w:t>
            </w:r>
            <w:r w:rsidR="00603377" w:rsidRPr="005D6D89">
              <w:rPr>
                <w:sz w:val="20"/>
                <w:szCs w:val="20"/>
              </w:rPr>
              <w:t> </w:t>
            </w:r>
            <w:r w:rsidRPr="005D6D89">
              <w:rPr>
                <w:sz w:val="20"/>
                <w:szCs w:val="20"/>
              </w:rPr>
              <w:t>a probability density function estimated from observations</w:t>
            </w:r>
            <w:r w:rsidR="001200EA">
              <w:rPr>
                <w:sz w:val="20"/>
                <w:szCs w:val="20"/>
              </w:rPr>
              <w:t>’</w:t>
            </w:r>
            <w:r w:rsidRPr="005D6D89">
              <w:rPr>
                <w:sz w:val="20"/>
                <w:szCs w:val="20"/>
              </w:rPr>
              <w:t>. The characteristics of extreme weather will vary from place to place. When a</w:t>
            </w:r>
            <w:r w:rsidR="00603377" w:rsidRPr="005D6D89">
              <w:rPr>
                <w:sz w:val="20"/>
                <w:szCs w:val="20"/>
              </w:rPr>
              <w:t> </w:t>
            </w:r>
            <w:r w:rsidRPr="005D6D89">
              <w:rPr>
                <w:sz w:val="20"/>
                <w:szCs w:val="20"/>
              </w:rPr>
              <w:t xml:space="preserve">pattern persists, such as a season, it </w:t>
            </w:r>
            <w:proofErr w:type="gramStart"/>
            <w:r w:rsidRPr="005D6D89">
              <w:rPr>
                <w:sz w:val="20"/>
                <w:szCs w:val="20"/>
              </w:rPr>
              <w:t>may be classed</w:t>
            </w:r>
            <w:proofErr w:type="gramEnd"/>
            <w:r w:rsidRPr="005D6D89">
              <w:rPr>
                <w:sz w:val="20"/>
                <w:szCs w:val="20"/>
              </w:rPr>
              <w:t xml:space="preserve"> as an extreme climate event, especially if it yields an average or total that is itself extreme (eg, a season of drought or heavy rainfall) (IPCC, 2014).</w:t>
            </w:r>
          </w:p>
        </w:tc>
      </w:tr>
      <w:tr w:rsidR="00603377" w:rsidRPr="005D6D89" w14:paraId="518CB7B1" w14:textId="77777777" w:rsidTr="008C2D0E">
        <w:tc>
          <w:tcPr>
            <w:tcW w:w="1379" w:type="pct"/>
            <w:shd w:val="clear" w:color="auto" w:fill="auto"/>
            <w:tcMar>
              <w:top w:w="0" w:type="dxa"/>
            </w:tcMar>
          </w:tcPr>
          <w:p w14:paraId="36942507" w14:textId="77777777" w:rsidR="00005F79" w:rsidRPr="005D6D89" w:rsidRDefault="00005F79" w:rsidP="00D15DD9">
            <w:pPr>
              <w:pStyle w:val="BodyText"/>
              <w:spacing w:before="60" w:after="60" w:line="260" w:lineRule="atLeast"/>
              <w:rPr>
                <w:b/>
                <w:bCs/>
                <w:sz w:val="20"/>
                <w:szCs w:val="20"/>
              </w:rPr>
            </w:pPr>
            <w:r w:rsidRPr="005D6D89">
              <w:rPr>
                <w:b/>
                <w:bCs/>
                <w:sz w:val="20"/>
                <w:szCs w:val="20"/>
              </w:rPr>
              <w:t>Financial risk</w:t>
            </w:r>
          </w:p>
        </w:tc>
        <w:tc>
          <w:tcPr>
            <w:tcW w:w="3621" w:type="pct"/>
            <w:shd w:val="clear" w:color="auto" w:fill="auto"/>
            <w:tcMar>
              <w:top w:w="0" w:type="dxa"/>
            </w:tcMar>
          </w:tcPr>
          <w:p w14:paraId="6C5D477F"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Risks involving financial loss to firms. Generally relate to markets, credit, liquidity and operations. </w:t>
            </w:r>
          </w:p>
        </w:tc>
      </w:tr>
      <w:tr w:rsidR="00603377" w:rsidRPr="005D6D89" w14:paraId="534B8D42" w14:textId="77777777" w:rsidTr="008C2D0E">
        <w:tc>
          <w:tcPr>
            <w:tcW w:w="1379" w:type="pct"/>
            <w:shd w:val="clear" w:color="auto" w:fill="auto"/>
            <w:tcMar>
              <w:top w:w="0" w:type="dxa"/>
            </w:tcMar>
          </w:tcPr>
          <w:p w14:paraId="1E6FD227" w14:textId="77777777" w:rsidR="00005F79" w:rsidRPr="005D6D89" w:rsidRDefault="00005F79" w:rsidP="00D15DD9">
            <w:pPr>
              <w:pStyle w:val="BodyText"/>
              <w:spacing w:before="60" w:after="60" w:line="260" w:lineRule="atLeast"/>
              <w:rPr>
                <w:b/>
                <w:bCs/>
                <w:sz w:val="20"/>
                <w:szCs w:val="20"/>
              </w:rPr>
            </w:pPr>
            <w:r w:rsidRPr="005D6D89">
              <w:rPr>
                <w:b/>
                <w:bCs/>
                <w:sz w:val="20"/>
                <w:szCs w:val="20"/>
              </w:rPr>
              <w:t>Frequency</w:t>
            </w:r>
          </w:p>
        </w:tc>
        <w:tc>
          <w:tcPr>
            <w:tcW w:w="3621" w:type="pct"/>
            <w:shd w:val="clear" w:color="auto" w:fill="auto"/>
            <w:tcMar>
              <w:top w:w="0" w:type="dxa"/>
            </w:tcMar>
          </w:tcPr>
          <w:p w14:paraId="42DDD545" w14:textId="77777777" w:rsidR="00005F79" w:rsidRPr="005D6D89" w:rsidRDefault="00005F79" w:rsidP="00D15DD9">
            <w:pPr>
              <w:pStyle w:val="BodyText"/>
              <w:spacing w:before="60" w:after="60" w:line="260" w:lineRule="atLeast"/>
              <w:rPr>
                <w:sz w:val="20"/>
                <w:szCs w:val="20"/>
              </w:rPr>
            </w:pPr>
            <w:r w:rsidRPr="005D6D89">
              <w:rPr>
                <w:sz w:val="20"/>
                <w:szCs w:val="20"/>
              </w:rPr>
              <w:t>The number or rate of occurrences of hazards, usually over a particular period (Ministry for the Environment, 2019).</w:t>
            </w:r>
          </w:p>
        </w:tc>
      </w:tr>
      <w:tr w:rsidR="00603377" w:rsidRPr="005D6D89" w14:paraId="5660E88F" w14:textId="77777777" w:rsidTr="008C2D0E">
        <w:tc>
          <w:tcPr>
            <w:tcW w:w="1379" w:type="pct"/>
            <w:shd w:val="clear" w:color="auto" w:fill="auto"/>
            <w:tcMar>
              <w:top w:w="0" w:type="dxa"/>
            </w:tcMar>
          </w:tcPr>
          <w:p w14:paraId="14770AF9" w14:textId="77777777" w:rsidR="00005F79" w:rsidRPr="005D6D89" w:rsidRDefault="00005F79" w:rsidP="00D15DD9">
            <w:pPr>
              <w:pStyle w:val="BodyText"/>
              <w:spacing w:before="60" w:after="60" w:line="260" w:lineRule="atLeast"/>
              <w:rPr>
                <w:b/>
                <w:bCs/>
                <w:sz w:val="20"/>
                <w:szCs w:val="20"/>
              </w:rPr>
            </w:pPr>
            <w:r w:rsidRPr="005D6D89">
              <w:rPr>
                <w:b/>
                <w:bCs/>
                <w:sz w:val="20"/>
                <w:szCs w:val="20"/>
              </w:rPr>
              <w:t>Greenhouse gas (GHG)</w:t>
            </w:r>
          </w:p>
        </w:tc>
        <w:tc>
          <w:tcPr>
            <w:tcW w:w="3621" w:type="pct"/>
            <w:shd w:val="clear" w:color="auto" w:fill="auto"/>
            <w:tcMar>
              <w:top w:w="0" w:type="dxa"/>
            </w:tcMar>
          </w:tcPr>
          <w:p w14:paraId="35ECBECF" w14:textId="77777777" w:rsidR="00005F79" w:rsidRPr="005D6D89" w:rsidRDefault="00005F79" w:rsidP="00D15DD9">
            <w:pPr>
              <w:pStyle w:val="BodyText"/>
              <w:spacing w:before="60" w:after="60" w:line="260" w:lineRule="atLeast"/>
              <w:rPr>
                <w:sz w:val="20"/>
                <w:szCs w:val="20"/>
              </w:rPr>
            </w:pPr>
            <w:r w:rsidRPr="005D6D89">
              <w:rPr>
                <w:sz w:val="20"/>
                <w:szCs w:val="20"/>
              </w:rPr>
              <w:t>Gaseous constituents of the atmosphere, both natural and anthropogenic, that absorb and emit radiation at specific wavelengths within the spectrum of thermal infrared radiation emitted by the Earth</w:t>
            </w:r>
            <w:r w:rsidR="001200EA">
              <w:rPr>
                <w:sz w:val="20"/>
                <w:szCs w:val="20"/>
              </w:rPr>
              <w:t>’</w:t>
            </w:r>
            <w:r w:rsidRPr="005D6D89">
              <w:rPr>
                <w:sz w:val="20"/>
                <w:szCs w:val="20"/>
              </w:rPr>
              <w:t>s surface, the atmosphere itself, and by clouds. This property causes the greenhouse effect. Water vapour (H</w:t>
            </w:r>
            <w:r w:rsidRPr="005D6D89">
              <w:rPr>
                <w:sz w:val="20"/>
                <w:szCs w:val="20"/>
                <w:vertAlign w:val="subscript"/>
              </w:rPr>
              <w:t>2</w:t>
            </w:r>
            <w:r w:rsidRPr="005D6D89">
              <w:rPr>
                <w:sz w:val="20"/>
                <w:szCs w:val="20"/>
              </w:rPr>
              <w:t>O), carbon dioxide (</w:t>
            </w:r>
            <w:r w:rsidRPr="005D6D89">
              <w:rPr>
                <w:color w:val="000000"/>
                <w:sz w:val="20"/>
                <w:szCs w:val="20"/>
              </w:rPr>
              <w:t>CO</w:t>
            </w:r>
            <w:r w:rsidRPr="005D6D89">
              <w:rPr>
                <w:color w:val="000000"/>
                <w:sz w:val="20"/>
                <w:szCs w:val="20"/>
                <w:vertAlign w:val="subscript"/>
              </w:rPr>
              <w:t>2</w:t>
            </w:r>
            <w:r w:rsidRPr="005D6D89">
              <w:rPr>
                <w:sz w:val="20"/>
                <w:szCs w:val="20"/>
              </w:rPr>
              <w:t>), nitrous oxide (N</w:t>
            </w:r>
            <w:r w:rsidRPr="005D6D89">
              <w:rPr>
                <w:sz w:val="20"/>
                <w:szCs w:val="20"/>
                <w:vertAlign w:val="subscript"/>
              </w:rPr>
              <w:t>2</w:t>
            </w:r>
            <w:r w:rsidRPr="005D6D89">
              <w:rPr>
                <w:sz w:val="20"/>
                <w:szCs w:val="20"/>
              </w:rPr>
              <w:t>O), methane (CH</w:t>
            </w:r>
            <w:r w:rsidRPr="005D6D89">
              <w:rPr>
                <w:sz w:val="20"/>
                <w:szCs w:val="20"/>
                <w:vertAlign w:val="subscript"/>
              </w:rPr>
              <w:t>4</w:t>
            </w:r>
            <w:r w:rsidRPr="005D6D89">
              <w:rPr>
                <w:sz w:val="20"/>
                <w:szCs w:val="20"/>
              </w:rPr>
              <w:t>) and ozone (O</w:t>
            </w:r>
            <w:r w:rsidRPr="005D6D89">
              <w:rPr>
                <w:sz w:val="20"/>
                <w:szCs w:val="20"/>
                <w:vertAlign w:val="subscript"/>
              </w:rPr>
              <w:t>3</w:t>
            </w:r>
            <w:r w:rsidRPr="005D6D89">
              <w:rPr>
                <w:sz w:val="20"/>
                <w:szCs w:val="20"/>
              </w:rPr>
              <w:t>) are the primary greenhouse gases in the Earth</w:t>
            </w:r>
            <w:r w:rsidR="001200EA">
              <w:rPr>
                <w:sz w:val="20"/>
                <w:szCs w:val="20"/>
              </w:rPr>
              <w:t>’</w:t>
            </w:r>
            <w:r w:rsidRPr="005D6D89">
              <w:rPr>
                <w:sz w:val="20"/>
                <w:szCs w:val="20"/>
              </w:rPr>
              <w:t xml:space="preserve">s atmosphere. </w:t>
            </w:r>
          </w:p>
        </w:tc>
      </w:tr>
      <w:tr w:rsidR="00603377" w:rsidRPr="005D6D89" w14:paraId="6F5DDC34" w14:textId="77777777" w:rsidTr="008C2D0E">
        <w:tc>
          <w:tcPr>
            <w:tcW w:w="1379" w:type="pct"/>
            <w:shd w:val="clear" w:color="auto" w:fill="auto"/>
            <w:tcMar>
              <w:top w:w="0" w:type="dxa"/>
            </w:tcMar>
          </w:tcPr>
          <w:p w14:paraId="5EC69C3A"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Hazard </w:t>
            </w:r>
          </w:p>
        </w:tc>
        <w:tc>
          <w:tcPr>
            <w:tcW w:w="3621" w:type="pct"/>
            <w:shd w:val="clear" w:color="auto" w:fill="auto"/>
            <w:tcMar>
              <w:top w:w="0" w:type="dxa"/>
            </w:tcMar>
          </w:tcPr>
          <w:p w14:paraId="04643497" w14:textId="77777777" w:rsidR="00005F79" w:rsidRPr="005D6D89" w:rsidRDefault="00005F79" w:rsidP="00D15DD9">
            <w:pPr>
              <w:pStyle w:val="BodyText"/>
              <w:spacing w:before="60" w:after="60" w:line="260" w:lineRule="atLeast"/>
              <w:rPr>
                <w:sz w:val="20"/>
                <w:szCs w:val="20"/>
              </w:rPr>
            </w:pPr>
            <w:r w:rsidRPr="005D6D89">
              <w:rPr>
                <w:sz w:val="20"/>
                <w:szCs w:val="20"/>
              </w:rPr>
              <w:t>The potential occurrence of a natural or human-induced physical event or</w:t>
            </w:r>
            <w:r w:rsidR="00603377" w:rsidRPr="005D6D89">
              <w:rPr>
                <w:sz w:val="20"/>
                <w:szCs w:val="20"/>
              </w:rPr>
              <w:t> </w:t>
            </w:r>
            <w:r w:rsidRPr="005D6D89">
              <w:rPr>
                <w:sz w:val="20"/>
                <w:szCs w:val="20"/>
              </w:rPr>
              <w:t xml:space="preserve">trend or physical impact that may cause loss of life, injury, or other health impacts, as well as damage and loss to property, infrastructure, livelihoods, service provision, ecosystems and environmental resources (IPCC, 2014). </w:t>
            </w:r>
          </w:p>
          <w:p w14:paraId="13423E54"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In this report, it usually refers </w:t>
            </w:r>
            <w:proofErr w:type="gramStart"/>
            <w:r w:rsidRPr="005D6D89">
              <w:rPr>
                <w:sz w:val="20"/>
                <w:szCs w:val="20"/>
              </w:rPr>
              <w:t>not only to</w:t>
            </w:r>
            <w:proofErr w:type="gramEnd"/>
            <w:r w:rsidRPr="005D6D89">
              <w:rPr>
                <w:sz w:val="20"/>
                <w:szCs w:val="20"/>
              </w:rPr>
              <w:t xml:space="preserve"> climate-related events (such as floods or heatwaves) but also evolving trends or their gradual physical impacts (IPCC,</w:t>
            </w:r>
            <w:r w:rsidR="00912902" w:rsidRPr="005D6D89">
              <w:rPr>
                <w:sz w:val="20"/>
                <w:szCs w:val="20"/>
              </w:rPr>
              <w:t> </w:t>
            </w:r>
            <w:r w:rsidRPr="005D6D89">
              <w:rPr>
                <w:sz w:val="20"/>
                <w:szCs w:val="20"/>
              </w:rPr>
              <w:t xml:space="preserve">2014). </w:t>
            </w:r>
          </w:p>
        </w:tc>
      </w:tr>
      <w:tr w:rsidR="00603377" w:rsidRPr="005D6D89" w14:paraId="3D74AC8F" w14:textId="77777777" w:rsidTr="008C2D0E">
        <w:tc>
          <w:tcPr>
            <w:tcW w:w="1379" w:type="pct"/>
            <w:shd w:val="clear" w:color="auto" w:fill="auto"/>
            <w:tcMar>
              <w:top w:w="0" w:type="dxa"/>
            </w:tcMar>
          </w:tcPr>
          <w:p w14:paraId="7ED59FDD" w14:textId="77777777" w:rsidR="00005F79" w:rsidRPr="005D6D89" w:rsidRDefault="00005F79" w:rsidP="00D15DD9">
            <w:pPr>
              <w:pStyle w:val="BodyText"/>
              <w:spacing w:before="60" w:after="60" w:line="260" w:lineRule="atLeast"/>
              <w:rPr>
                <w:b/>
                <w:bCs/>
                <w:sz w:val="20"/>
                <w:szCs w:val="20"/>
              </w:rPr>
            </w:pPr>
            <w:r w:rsidRPr="005D6D89">
              <w:rPr>
                <w:b/>
                <w:bCs/>
                <w:sz w:val="20"/>
                <w:szCs w:val="20"/>
              </w:rPr>
              <w:t>Heatwave</w:t>
            </w:r>
          </w:p>
        </w:tc>
        <w:tc>
          <w:tcPr>
            <w:tcW w:w="3621" w:type="pct"/>
            <w:shd w:val="clear" w:color="auto" w:fill="auto"/>
            <w:tcMar>
              <w:top w:w="0" w:type="dxa"/>
            </w:tcMar>
          </w:tcPr>
          <w:p w14:paraId="6462CD8E" w14:textId="77777777" w:rsidR="00005F79" w:rsidRPr="005D6D89" w:rsidRDefault="00005F79" w:rsidP="00D15DD9">
            <w:pPr>
              <w:pStyle w:val="BodyText"/>
              <w:spacing w:before="60" w:after="60" w:line="260" w:lineRule="atLeast"/>
              <w:rPr>
                <w:sz w:val="20"/>
                <w:szCs w:val="20"/>
              </w:rPr>
            </w:pPr>
            <w:r w:rsidRPr="005D6D89">
              <w:rPr>
                <w:sz w:val="20"/>
                <w:szCs w:val="20"/>
              </w:rPr>
              <w:t>A period of abnormally and uncomfortably hot weather (IPCC, 2014).</w:t>
            </w:r>
          </w:p>
        </w:tc>
      </w:tr>
      <w:tr w:rsidR="00603377" w:rsidRPr="005D6D89" w14:paraId="241438CD" w14:textId="77777777" w:rsidTr="008C2D0E">
        <w:tc>
          <w:tcPr>
            <w:tcW w:w="1379" w:type="pct"/>
            <w:shd w:val="clear" w:color="auto" w:fill="auto"/>
            <w:tcMar>
              <w:top w:w="0" w:type="dxa"/>
            </w:tcMar>
          </w:tcPr>
          <w:p w14:paraId="400CB9F9" w14:textId="77777777" w:rsidR="00005F79" w:rsidRPr="005D6D89" w:rsidRDefault="00005F79" w:rsidP="00D15DD9">
            <w:pPr>
              <w:pStyle w:val="BodyText"/>
              <w:spacing w:before="60" w:after="60" w:line="260" w:lineRule="atLeast"/>
              <w:rPr>
                <w:b/>
                <w:bCs/>
                <w:sz w:val="20"/>
                <w:szCs w:val="20"/>
              </w:rPr>
            </w:pPr>
            <w:r w:rsidRPr="005D6D89">
              <w:rPr>
                <w:b/>
                <w:bCs/>
                <w:sz w:val="20"/>
                <w:szCs w:val="20"/>
              </w:rPr>
              <w:t>Impacts (consequences, outcomes)</w:t>
            </w:r>
          </w:p>
        </w:tc>
        <w:tc>
          <w:tcPr>
            <w:tcW w:w="3621" w:type="pct"/>
            <w:shd w:val="clear" w:color="auto" w:fill="auto"/>
            <w:tcMar>
              <w:top w:w="0" w:type="dxa"/>
            </w:tcMar>
          </w:tcPr>
          <w:p w14:paraId="43475EFF" w14:textId="77777777" w:rsidR="00005F79" w:rsidRPr="005D6D89" w:rsidRDefault="00005F79" w:rsidP="00D15DD9">
            <w:pPr>
              <w:pStyle w:val="BodyText"/>
              <w:spacing w:before="60" w:after="60" w:line="260" w:lineRule="atLeast"/>
              <w:rPr>
                <w:sz w:val="20"/>
                <w:szCs w:val="20"/>
              </w:rPr>
            </w:pPr>
            <w:r w:rsidRPr="005D6D89">
              <w:rPr>
                <w:sz w:val="20"/>
                <w:szCs w:val="20"/>
              </w:rPr>
              <w:t>The effects on natural and human systems of extreme weather and climate events</w:t>
            </w:r>
            <w:r w:rsidR="00FA150C">
              <w:rPr>
                <w:sz w:val="20"/>
                <w:szCs w:val="20"/>
              </w:rPr>
              <w:t>,</w:t>
            </w:r>
            <w:r w:rsidRPr="005D6D89">
              <w:rPr>
                <w:sz w:val="20"/>
                <w:szCs w:val="20"/>
              </w:rPr>
              <w:t xml:space="preserve"> and of climate change. Generally refer</w:t>
            </w:r>
            <w:r w:rsidR="00FA150C">
              <w:rPr>
                <w:sz w:val="20"/>
                <w:szCs w:val="20"/>
              </w:rPr>
              <w:t>s</w:t>
            </w:r>
            <w:r w:rsidRPr="005D6D89">
              <w:rPr>
                <w:sz w:val="20"/>
                <w:szCs w:val="20"/>
              </w:rPr>
              <w:t xml:space="preserve"> to effects on lives, livelihoods, health, ecosystems, economies, societies, cultures, services and infrastructure due to the interaction of climate changes or hazardous climate events within a specific period, and the vulnerability of an exposed society or system (IPCC,</w:t>
            </w:r>
            <w:r w:rsidR="00912902" w:rsidRPr="005D6D89">
              <w:rPr>
                <w:sz w:val="20"/>
                <w:szCs w:val="20"/>
              </w:rPr>
              <w:t> </w:t>
            </w:r>
            <w:r w:rsidRPr="005D6D89">
              <w:rPr>
                <w:sz w:val="20"/>
                <w:szCs w:val="20"/>
              </w:rPr>
              <w:t>2014).</w:t>
            </w:r>
          </w:p>
        </w:tc>
      </w:tr>
      <w:tr w:rsidR="00603377" w:rsidRPr="005D6D89" w14:paraId="59ED5244" w14:textId="77777777" w:rsidTr="008C2D0E">
        <w:tc>
          <w:tcPr>
            <w:tcW w:w="1379" w:type="pct"/>
            <w:shd w:val="clear" w:color="auto" w:fill="auto"/>
            <w:tcMar>
              <w:top w:w="0" w:type="dxa"/>
            </w:tcMar>
          </w:tcPr>
          <w:p w14:paraId="36D3D3FC" w14:textId="77777777" w:rsidR="00005F79" w:rsidRPr="005D6D89" w:rsidRDefault="00005F79" w:rsidP="00D15DD9">
            <w:pPr>
              <w:pStyle w:val="BodyText"/>
              <w:spacing w:before="60" w:after="60" w:line="260" w:lineRule="atLeast"/>
              <w:rPr>
                <w:b/>
                <w:bCs/>
                <w:sz w:val="20"/>
                <w:szCs w:val="20"/>
              </w:rPr>
            </w:pPr>
            <w:r w:rsidRPr="005D6D89">
              <w:rPr>
                <w:b/>
                <w:bCs/>
                <w:sz w:val="20"/>
                <w:szCs w:val="20"/>
              </w:rPr>
              <w:t>Intergovernmental Panel on Climate Change (IPCC)</w:t>
            </w:r>
          </w:p>
        </w:tc>
        <w:tc>
          <w:tcPr>
            <w:tcW w:w="3621" w:type="pct"/>
            <w:shd w:val="clear" w:color="auto" w:fill="auto"/>
            <w:tcMar>
              <w:top w:w="0" w:type="dxa"/>
            </w:tcMar>
          </w:tcPr>
          <w:p w14:paraId="77783745" w14:textId="77777777" w:rsidR="00005F79" w:rsidRPr="005D6D89" w:rsidRDefault="00005F79" w:rsidP="00D15DD9">
            <w:pPr>
              <w:pStyle w:val="BodyText"/>
              <w:spacing w:before="60" w:after="60" w:line="260" w:lineRule="atLeast"/>
              <w:rPr>
                <w:sz w:val="20"/>
                <w:szCs w:val="20"/>
              </w:rPr>
            </w:pPr>
            <w:r w:rsidRPr="005D6D89">
              <w:rPr>
                <w:sz w:val="20"/>
                <w:szCs w:val="20"/>
              </w:rPr>
              <w:t>Intergovernmental Panel on Climate Change – a scientific and intergovernmental body under the auspices of the United Nations.</w:t>
            </w:r>
          </w:p>
        </w:tc>
      </w:tr>
      <w:tr w:rsidR="00603377" w:rsidRPr="005D6D89" w14:paraId="793B28D6" w14:textId="77777777" w:rsidTr="008C2D0E">
        <w:tc>
          <w:tcPr>
            <w:tcW w:w="1379" w:type="pct"/>
            <w:shd w:val="clear" w:color="auto" w:fill="auto"/>
            <w:tcMar>
              <w:top w:w="0" w:type="dxa"/>
            </w:tcMar>
          </w:tcPr>
          <w:p w14:paraId="0079F2D1"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Land use </w:t>
            </w:r>
          </w:p>
        </w:tc>
        <w:tc>
          <w:tcPr>
            <w:tcW w:w="3621" w:type="pct"/>
            <w:shd w:val="clear" w:color="auto" w:fill="auto"/>
            <w:tcMar>
              <w:top w:w="0" w:type="dxa"/>
            </w:tcMar>
          </w:tcPr>
          <w:p w14:paraId="6164F5EB"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Human activities in a certain land cover type. Purposes for managing land (eg, grazing, forestry, conservation). Urban land use has implications for city management, structure and form, and for energy demand, </w:t>
            </w:r>
            <w:hyperlink w:anchor="greenhousegasemissions" w:history="1">
              <w:r w:rsidRPr="00E80827">
                <w:rPr>
                  <w:rStyle w:val="Hyperlink"/>
                  <w:sz w:val="20"/>
                  <w:szCs w:val="20"/>
                </w:rPr>
                <w:t>GHG emissions</w:t>
              </w:r>
            </w:hyperlink>
            <w:r w:rsidRPr="00E80827">
              <w:rPr>
                <w:sz w:val="20"/>
                <w:szCs w:val="20"/>
              </w:rPr>
              <w:t xml:space="preserve"> and mobility (IPCC, 2014).</w:t>
            </w:r>
          </w:p>
        </w:tc>
      </w:tr>
      <w:tr w:rsidR="00603377" w:rsidRPr="005D6D89" w14:paraId="312F8D1C" w14:textId="77777777" w:rsidTr="008C2D0E">
        <w:tc>
          <w:tcPr>
            <w:tcW w:w="1379" w:type="pct"/>
            <w:shd w:val="clear" w:color="auto" w:fill="auto"/>
            <w:tcMar>
              <w:top w:w="0" w:type="dxa"/>
            </w:tcMar>
          </w:tcPr>
          <w:p w14:paraId="6D9A97B2" w14:textId="77777777" w:rsidR="00005F79" w:rsidRPr="005D6D89" w:rsidRDefault="00005F79" w:rsidP="00D15DD9">
            <w:pPr>
              <w:pStyle w:val="BodyText"/>
              <w:keepNext/>
              <w:spacing w:before="60" w:after="60" w:line="260" w:lineRule="atLeast"/>
              <w:rPr>
                <w:b/>
                <w:bCs/>
                <w:sz w:val="20"/>
                <w:szCs w:val="20"/>
              </w:rPr>
            </w:pPr>
            <w:r w:rsidRPr="005D6D89">
              <w:rPr>
                <w:b/>
                <w:bCs/>
                <w:sz w:val="20"/>
                <w:szCs w:val="20"/>
              </w:rPr>
              <w:t xml:space="preserve">Land-use change </w:t>
            </w:r>
          </w:p>
        </w:tc>
        <w:tc>
          <w:tcPr>
            <w:tcW w:w="3621" w:type="pct"/>
            <w:shd w:val="clear" w:color="auto" w:fill="auto"/>
            <w:tcMar>
              <w:top w:w="0" w:type="dxa"/>
            </w:tcMar>
          </w:tcPr>
          <w:p w14:paraId="5EBA6E8A" w14:textId="77777777" w:rsidR="00005F79" w:rsidRPr="005D6D89" w:rsidRDefault="00005F79" w:rsidP="00D15DD9">
            <w:pPr>
              <w:pStyle w:val="BodyText"/>
              <w:spacing w:before="60" w:after="60" w:line="260" w:lineRule="atLeast"/>
              <w:rPr>
                <w:sz w:val="20"/>
                <w:szCs w:val="20"/>
              </w:rPr>
            </w:pPr>
            <w:r w:rsidRPr="005D6D89">
              <w:rPr>
                <w:sz w:val="20"/>
                <w:szCs w:val="20"/>
              </w:rPr>
              <w:t>A change in the human use or management of land, which may change land cover. This may affect the surface albedo, evapotranspiration, sources and sinks of GHGs, or other properties of the climate system and may thus give rise to radiative forcing and/or other impacts on climate, locally or globally (IPCC, 2014).</w:t>
            </w:r>
          </w:p>
        </w:tc>
      </w:tr>
      <w:tr w:rsidR="00603377" w:rsidRPr="005D6D89" w14:paraId="00F7826D" w14:textId="77777777" w:rsidTr="008C2D0E">
        <w:tc>
          <w:tcPr>
            <w:tcW w:w="1379" w:type="pct"/>
            <w:shd w:val="clear" w:color="auto" w:fill="auto"/>
            <w:tcMar>
              <w:top w:w="0" w:type="dxa"/>
            </w:tcMar>
          </w:tcPr>
          <w:p w14:paraId="08453102"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Likelihood </w:t>
            </w:r>
          </w:p>
        </w:tc>
        <w:tc>
          <w:tcPr>
            <w:tcW w:w="3621" w:type="pct"/>
            <w:shd w:val="clear" w:color="auto" w:fill="auto"/>
            <w:tcMar>
              <w:top w:w="0" w:type="dxa"/>
            </w:tcMar>
          </w:tcPr>
          <w:p w14:paraId="6175D84A" w14:textId="77777777" w:rsidR="00005F79" w:rsidRPr="005D6D89" w:rsidRDefault="00005F79" w:rsidP="00D15DD9">
            <w:pPr>
              <w:pStyle w:val="BodyText"/>
              <w:spacing w:before="60" w:after="60" w:line="260" w:lineRule="atLeast"/>
              <w:rPr>
                <w:sz w:val="20"/>
                <w:szCs w:val="20"/>
              </w:rPr>
            </w:pPr>
            <w:r w:rsidRPr="005D6D89">
              <w:rPr>
                <w:sz w:val="20"/>
                <w:szCs w:val="20"/>
              </w:rPr>
              <w:t>The chance of an outcome occurring, where this might be estimated probabilistically (IPCC, 2014).</w:t>
            </w:r>
          </w:p>
        </w:tc>
      </w:tr>
      <w:tr w:rsidR="00603377" w:rsidRPr="005D6D89" w14:paraId="0C8D5044" w14:textId="77777777" w:rsidTr="008C2D0E">
        <w:tc>
          <w:tcPr>
            <w:tcW w:w="1379" w:type="pct"/>
            <w:shd w:val="clear" w:color="auto" w:fill="auto"/>
            <w:tcMar>
              <w:top w:w="0" w:type="dxa"/>
            </w:tcMar>
          </w:tcPr>
          <w:p w14:paraId="32534685" w14:textId="77777777" w:rsidR="00005F79" w:rsidRPr="005D6D89" w:rsidRDefault="00005F79" w:rsidP="00D15DD9">
            <w:pPr>
              <w:pStyle w:val="BodyText"/>
              <w:spacing w:before="60" w:after="60" w:line="260" w:lineRule="atLeast"/>
              <w:rPr>
                <w:b/>
                <w:bCs/>
                <w:sz w:val="20"/>
                <w:szCs w:val="20"/>
              </w:rPr>
            </w:pPr>
            <w:r w:rsidRPr="005D6D89">
              <w:rPr>
                <w:b/>
                <w:bCs/>
                <w:sz w:val="20"/>
                <w:szCs w:val="20"/>
              </w:rPr>
              <w:t>Lock-in</w:t>
            </w:r>
          </w:p>
        </w:tc>
        <w:tc>
          <w:tcPr>
            <w:tcW w:w="3621" w:type="pct"/>
            <w:shd w:val="clear" w:color="auto" w:fill="auto"/>
            <w:tcMar>
              <w:top w:w="0" w:type="dxa"/>
            </w:tcMar>
          </w:tcPr>
          <w:p w14:paraId="3FC53BA0"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The situation where decisions, events or outcomes at one point in time constrain adaptation, mitigation or other actions or options </w:t>
            </w:r>
            <w:proofErr w:type="gramStart"/>
            <w:r w:rsidRPr="005D6D89">
              <w:rPr>
                <w:sz w:val="20"/>
                <w:szCs w:val="20"/>
              </w:rPr>
              <w:t>at a later time</w:t>
            </w:r>
            <w:proofErr w:type="gramEnd"/>
            <w:r w:rsidR="00603377" w:rsidRPr="005D6D89">
              <w:rPr>
                <w:sz w:val="20"/>
                <w:szCs w:val="20"/>
              </w:rPr>
              <w:t> </w:t>
            </w:r>
            <w:r w:rsidRPr="005D6D89">
              <w:rPr>
                <w:sz w:val="20"/>
                <w:szCs w:val="20"/>
              </w:rPr>
              <w:t>(IPCC, 2014).</w:t>
            </w:r>
          </w:p>
        </w:tc>
      </w:tr>
      <w:tr w:rsidR="00603377" w:rsidRPr="005D6D89" w14:paraId="7762535C" w14:textId="77777777" w:rsidTr="008C2D0E">
        <w:tc>
          <w:tcPr>
            <w:tcW w:w="1379" w:type="pct"/>
            <w:shd w:val="clear" w:color="auto" w:fill="auto"/>
            <w:tcMar>
              <w:top w:w="0" w:type="dxa"/>
            </w:tcMar>
          </w:tcPr>
          <w:p w14:paraId="244D087D" w14:textId="77777777" w:rsidR="00005F79" w:rsidRPr="005D6D89" w:rsidRDefault="00005F79" w:rsidP="00D15DD9">
            <w:pPr>
              <w:pStyle w:val="BodyText"/>
              <w:spacing w:before="60" w:after="60" w:line="260" w:lineRule="atLeast"/>
              <w:rPr>
                <w:b/>
                <w:bCs/>
                <w:sz w:val="20"/>
                <w:szCs w:val="20"/>
              </w:rPr>
            </w:pPr>
            <w:r w:rsidRPr="005D6D89">
              <w:rPr>
                <w:b/>
                <w:bCs/>
                <w:sz w:val="20"/>
                <w:szCs w:val="20"/>
              </w:rPr>
              <w:t>Māori values and principles</w:t>
            </w:r>
          </w:p>
        </w:tc>
        <w:tc>
          <w:tcPr>
            <w:tcW w:w="3621" w:type="pct"/>
            <w:shd w:val="clear" w:color="auto" w:fill="auto"/>
            <w:tcMar>
              <w:top w:w="0" w:type="dxa"/>
            </w:tcMar>
          </w:tcPr>
          <w:p w14:paraId="3A4B5756"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Māori values and principles derive from Māori views of the world. Instruments through which Māori make sense of, experience, and interpret the world. They form the basis for Māori ethics and principles (Ministry for the Environment, 2019). </w:t>
            </w:r>
          </w:p>
        </w:tc>
      </w:tr>
      <w:tr w:rsidR="00603377" w:rsidRPr="005D6D89" w14:paraId="45737F1B" w14:textId="77777777" w:rsidTr="008C2D0E">
        <w:tc>
          <w:tcPr>
            <w:tcW w:w="1379" w:type="pct"/>
            <w:shd w:val="clear" w:color="auto" w:fill="auto"/>
            <w:tcMar>
              <w:top w:w="0" w:type="dxa"/>
            </w:tcMar>
          </w:tcPr>
          <w:p w14:paraId="1224D774" w14:textId="77777777" w:rsidR="00005F79" w:rsidRPr="005D6D89" w:rsidRDefault="00005F79" w:rsidP="00D15DD9">
            <w:pPr>
              <w:pStyle w:val="BodyText"/>
              <w:keepNext/>
              <w:spacing w:before="60" w:after="60" w:line="260" w:lineRule="atLeast"/>
              <w:rPr>
                <w:b/>
                <w:bCs/>
                <w:sz w:val="20"/>
                <w:szCs w:val="20"/>
              </w:rPr>
            </w:pPr>
            <w:r w:rsidRPr="005D6D89">
              <w:rPr>
                <w:b/>
                <w:bCs/>
                <w:sz w:val="20"/>
                <w:szCs w:val="20"/>
              </w:rPr>
              <w:t>Mātauranga Māori</w:t>
            </w:r>
          </w:p>
        </w:tc>
        <w:tc>
          <w:tcPr>
            <w:tcW w:w="3621" w:type="pct"/>
            <w:shd w:val="clear" w:color="auto" w:fill="auto"/>
            <w:tcMar>
              <w:top w:w="0" w:type="dxa"/>
            </w:tcMar>
          </w:tcPr>
          <w:p w14:paraId="2A6A2754" w14:textId="77777777" w:rsidR="00005F79" w:rsidRPr="005D6D89" w:rsidRDefault="00005F79" w:rsidP="00D15DD9">
            <w:pPr>
              <w:pStyle w:val="BodyText"/>
              <w:spacing w:before="60" w:after="60" w:line="260" w:lineRule="atLeast"/>
              <w:rPr>
                <w:sz w:val="20"/>
                <w:szCs w:val="20"/>
              </w:rPr>
            </w:pPr>
            <w:r w:rsidRPr="005D6D89">
              <w:rPr>
                <w:sz w:val="20"/>
                <w:szCs w:val="20"/>
              </w:rPr>
              <w:t>Mātauranga Māori or Māori knowledge has many definitions that cover belief systems, epistemologies, values, and knowledge both in a traditional and contemporary sense. Mātauranga Māori incorporates knowledge, comprehension and understanding of everything visible and invisible existing in the universe (Ministry for the Environment, 2019).</w:t>
            </w:r>
          </w:p>
        </w:tc>
      </w:tr>
      <w:tr w:rsidR="00603377" w:rsidRPr="005D6D89" w14:paraId="776D3FEE" w14:textId="77777777" w:rsidTr="008C2D0E">
        <w:tc>
          <w:tcPr>
            <w:tcW w:w="1379" w:type="pct"/>
            <w:shd w:val="clear" w:color="auto" w:fill="auto"/>
            <w:tcMar>
              <w:top w:w="0" w:type="dxa"/>
            </w:tcMar>
          </w:tcPr>
          <w:p w14:paraId="7AE0147C" w14:textId="77777777" w:rsidR="00005F79" w:rsidRPr="005D6D89" w:rsidRDefault="00005F79" w:rsidP="00D15DD9">
            <w:pPr>
              <w:pStyle w:val="BodyText"/>
              <w:spacing w:before="60" w:after="60" w:line="260" w:lineRule="atLeast"/>
              <w:rPr>
                <w:b/>
                <w:bCs/>
                <w:sz w:val="20"/>
                <w:szCs w:val="20"/>
              </w:rPr>
            </w:pPr>
            <w:r w:rsidRPr="005D6D89">
              <w:rPr>
                <w:b/>
                <w:bCs/>
                <w:sz w:val="20"/>
                <w:szCs w:val="20"/>
              </w:rPr>
              <w:t>Mitigation</w:t>
            </w:r>
          </w:p>
        </w:tc>
        <w:tc>
          <w:tcPr>
            <w:tcW w:w="3621" w:type="pct"/>
            <w:shd w:val="clear" w:color="auto" w:fill="auto"/>
            <w:tcMar>
              <w:top w:w="0" w:type="dxa"/>
            </w:tcMar>
          </w:tcPr>
          <w:p w14:paraId="017EC58C" w14:textId="77777777" w:rsidR="00005F79" w:rsidRPr="005D6D89" w:rsidRDefault="00005F79" w:rsidP="00D15DD9">
            <w:pPr>
              <w:pStyle w:val="BodyText"/>
              <w:spacing w:before="60" w:after="60" w:line="260" w:lineRule="atLeast"/>
              <w:rPr>
                <w:sz w:val="20"/>
                <w:szCs w:val="20"/>
              </w:rPr>
            </w:pPr>
            <w:r w:rsidRPr="005D6D89">
              <w:rPr>
                <w:sz w:val="20"/>
                <w:szCs w:val="20"/>
              </w:rPr>
              <w:t>A human intervention to reduce the sources or enhance the sinks of greenhouse gases (IPCC, 2014).</w:t>
            </w:r>
          </w:p>
        </w:tc>
      </w:tr>
      <w:tr w:rsidR="00603377" w:rsidRPr="005D6D89" w14:paraId="5CC9D5FC" w14:textId="77777777" w:rsidTr="008C2D0E">
        <w:tc>
          <w:tcPr>
            <w:tcW w:w="1379" w:type="pct"/>
            <w:shd w:val="clear" w:color="auto" w:fill="auto"/>
            <w:tcMar>
              <w:top w:w="0" w:type="dxa"/>
            </w:tcMar>
          </w:tcPr>
          <w:p w14:paraId="353A96E2"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Percentiles </w:t>
            </w:r>
          </w:p>
        </w:tc>
        <w:tc>
          <w:tcPr>
            <w:tcW w:w="3621" w:type="pct"/>
            <w:shd w:val="clear" w:color="auto" w:fill="auto"/>
            <w:tcMar>
              <w:top w:w="0" w:type="dxa"/>
            </w:tcMar>
          </w:tcPr>
          <w:p w14:paraId="23BB2010"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A value on a scale of 100 that indicates the percentage of the data set values that is equal to, or below it. The percentile </w:t>
            </w:r>
            <w:proofErr w:type="gramStart"/>
            <w:r w:rsidRPr="005D6D89">
              <w:rPr>
                <w:sz w:val="20"/>
                <w:szCs w:val="20"/>
              </w:rPr>
              <w:t>is often used</w:t>
            </w:r>
            <w:proofErr w:type="gramEnd"/>
            <w:r w:rsidRPr="005D6D89">
              <w:rPr>
                <w:sz w:val="20"/>
                <w:szCs w:val="20"/>
              </w:rPr>
              <w:t xml:space="preserve"> to estimate the extremes of a distribution. For example, the 90th (or 10th)</w:t>
            </w:r>
            <w:r w:rsidR="00D15DD9" w:rsidRPr="005D6D89">
              <w:rPr>
                <w:sz w:val="20"/>
                <w:szCs w:val="20"/>
              </w:rPr>
              <w:t> </w:t>
            </w:r>
            <w:r w:rsidRPr="005D6D89">
              <w:rPr>
                <w:sz w:val="20"/>
                <w:szCs w:val="20"/>
              </w:rPr>
              <w:t xml:space="preserve">percentile </w:t>
            </w:r>
            <w:proofErr w:type="gramStart"/>
            <w:r w:rsidRPr="005D6D89">
              <w:rPr>
                <w:sz w:val="20"/>
                <w:szCs w:val="20"/>
              </w:rPr>
              <w:t>may be used</w:t>
            </w:r>
            <w:proofErr w:type="gramEnd"/>
            <w:r w:rsidRPr="005D6D89">
              <w:rPr>
                <w:sz w:val="20"/>
                <w:szCs w:val="20"/>
              </w:rPr>
              <w:t xml:space="preserve"> to refer to the threshold for the upper (or</w:t>
            </w:r>
            <w:r w:rsidR="00D15DD9" w:rsidRPr="005D6D89">
              <w:rPr>
                <w:sz w:val="20"/>
                <w:szCs w:val="20"/>
              </w:rPr>
              <w:t> </w:t>
            </w:r>
            <w:r w:rsidRPr="005D6D89">
              <w:rPr>
                <w:sz w:val="20"/>
                <w:szCs w:val="20"/>
              </w:rPr>
              <w:t xml:space="preserve">lower) extremes. </w:t>
            </w:r>
          </w:p>
        </w:tc>
      </w:tr>
      <w:tr w:rsidR="00603377" w:rsidRPr="005D6D89" w14:paraId="5E09A7B4" w14:textId="77777777" w:rsidTr="008C2D0E">
        <w:tc>
          <w:tcPr>
            <w:tcW w:w="1379" w:type="pct"/>
            <w:shd w:val="clear" w:color="auto" w:fill="auto"/>
            <w:tcMar>
              <w:top w:w="0" w:type="dxa"/>
            </w:tcMar>
          </w:tcPr>
          <w:p w14:paraId="46230C06" w14:textId="269CA867" w:rsidR="00005F79" w:rsidRPr="005D6D89" w:rsidRDefault="00005F79" w:rsidP="002B0472">
            <w:pPr>
              <w:pStyle w:val="BodyText"/>
              <w:spacing w:before="60" w:after="60" w:line="260" w:lineRule="atLeast"/>
              <w:rPr>
                <w:b/>
                <w:bCs/>
                <w:sz w:val="20"/>
                <w:szCs w:val="20"/>
              </w:rPr>
            </w:pPr>
            <w:r w:rsidRPr="005D6D89">
              <w:rPr>
                <w:b/>
                <w:bCs/>
                <w:sz w:val="20"/>
                <w:szCs w:val="20"/>
              </w:rPr>
              <w:t xml:space="preserve">Representative </w:t>
            </w:r>
            <w:r w:rsidR="002B0472">
              <w:rPr>
                <w:b/>
                <w:bCs/>
                <w:sz w:val="20"/>
                <w:szCs w:val="20"/>
              </w:rPr>
              <w:t>c</w:t>
            </w:r>
            <w:r w:rsidR="002B0472" w:rsidRPr="005D6D89">
              <w:rPr>
                <w:b/>
                <w:bCs/>
                <w:sz w:val="20"/>
                <w:szCs w:val="20"/>
              </w:rPr>
              <w:t xml:space="preserve">oncentration </w:t>
            </w:r>
            <w:r w:rsidR="002B0472">
              <w:rPr>
                <w:b/>
                <w:bCs/>
                <w:sz w:val="20"/>
                <w:szCs w:val="20"/>
              </w:rPr>
              <w:t>p</w:t>
            </w:r>
            <w:r w:rsidR="002B0472" w:rsidRPr="005D6D89">
              <w:rPr>
                <w:b/>
                <w:bCs/>
                <w:sz w:val="20"/>
                <w:szCs w:val="20"/>
              </w:rPr>
              <w:t xml:space="preserve">athway </w:t>
            </w:r>
            <w:r w:rsidRPr="005D6D89">
              <w:rPr>
                <w:b/>
                <w:bCs/>
                <w:sz w:val="20"/>
                <w:szCs w:val="20"/>
              </w:rPr>
              <w:t>(RCP)</w:t>
            </w:r>
          </w:p>
        </w:tc>
        <w:tc>
          <w:tcPr>
            <w:tcW w:w="3621" w:type="pct"/>
            <w:shd w:val="clear" w:color="auto" w:fill="auto"/>
            <w:tcMar>
              <w:top w:w="0" w:type="dxa"/>
            </w:tcMar>
          </w:tcPr>
          <w:p w14:paraId="49911619" w14:textId="77777777" w:rsidR="00005F79" w:rsidRPr="005D6D89" w:rsidRDefault="00005F79" w:rsidP="00D15DD9">
            <w:pPr>
              <w:pStyle w:val="BodyText"/>
              <w:spacing w:before="60" w:after="60" w:line="260" w:lineRule="atLeast"/>
              <w:rPr>
                <w:sz w:val="20"/>
                <w:szCs w:val="20"/>
              </w:rPr>
            </w:pPr>
            <w:r w:rsidRPr="005D6D89">
              <w:rPr>
                <w:sz w:val="20"/>
                <w:szCs w:val="20"/>
              </w:rPr>
              <w:t>A suite of future scenarios of additional radiative heat forcing at the Earth</w:t>
            </w:r>
            <w:r w:rsidR="001200EA">
              <w:rPr>
                <w:sz w:val="20"/>
                <w:szCs w:val="20"/>
              </w:rPr>
              <w:t>’</w:t>
            </w:r>
            <w:r w:rsidRPr="005D6D89">
              <w:rPr>
                <w:sz w:val="20"/>
                <w:szCs w:val="20"/>
              </w:rPr>
              <w:t>s surface by 2100 (in Watts per square metre), which is the net change in the balance between incoming solar radiation and outgoing energy</w:t>
            </w:r>
            <w:r w:rsidR="00261A84">
              <w:rPr>
                <w:sz w:val="20"/>
                <w:szCs w:val="20"/>
              </w:rPr>
              <w:t>,</w:t>
            </w:r>
            <w:r w:rsidRPr="005D6D89">
              <w:rPr>
                <w:sz w:val="20"/>
                <w:szCs w:val="20"/>
              </w:rPr>
              <w:t xml:space="preserve"> radiated back up in the atmosphere. Each RCP </w:t>
            </w:r>
            <w:proofErr w:type="gramStart"/>
            <w:r w:rsidRPr="005D6D89">
              <w:rPr>
                <w:sz w:val="20"/>
                <w:szCs w:val="20"/>
              </w:rPr>
              <w:t>can be expressed</w:t>
            </w:r>
            <w:proofErr w:type="gramEnd"/>
            <w:r w:rsidRPr="005D6D89">
              <w:rPr>
                <w:sz w:val="20"/>
                <w:szCs w:val="20"/>
              </w:rPr>
              <w:t xml:space="preserve"> as a greenhouse gas concentration (not emissions) trajectory adopted by the IPCC for its Fifth Assessment Report (AR5) in 2014 (IPCC, 2014).</w:t>
            </w:r>
          </w:p>
        </w:tc>
      </w:tr>
      <w:tr w:rsidR="00603377" w:rsidRPr="005D6D89" w14:paraId="018FBBA2" w14:textId="77777777" w:rsidTr="008C2D0E">
        <w:tc>
          <w:tcPr>
            <w:tcW w:w="1379" w:type="pct"/>
            <w:shd w:val="clear" w:color="auto" w:fill="auto"/>
            <w:tcMar>
              <w:top w:w="0" w:type="dxa"/>
            </w:tcMar>
          </w:tcPr>
          <w:p w14:paraId="33739070"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Residual risk </w:t>
            </w:r>
          </w:p>
        </w:tc>
        <w:tc>
          <w:tcPr>
            <w:tcW w:w="3621" w:type="pct"/>
            <w:shd w:val="clear" w:color="auto" w:fill="auto"/>
            <w:tcMar>
              <w:top w:w="0" w:type="dxa"/>
            </w:tcMar>
          </w:tcPr>
          <w:p w14:paraId="7378EFAD"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The risk that remains (and may continue to rise) in unmanaged form, after risk management and adaptation policies have been used to adapt to climate change and more frequent hazards, and for which emergency response and other actions must be maintained, or limits to adaptation addressed. Policy interventions and adaptation plans will need to reconcile changing residual risks with changing (evolving) societal perceptions of tolerable risk. </w:t>
            </w:r>
          </w:p>
        </w:tc>
      </w:tr>
      <w:tr w:rsidR="00603377" w:rsidRPr="005D6D89" w14:paraId="5026B364" w14:textId="77777777" w:rsidTr="008C2D0E">
        <w:tc>
          <w:tcPr>
            <w:tcW w:w="1379" w:type="pct"/>
            <w:shd w:val="clear" w:color="auto" w:fill="auto"/>
            <w:tcMar>
              <w:top w:w="0" w:type="dxa"/>
            </w:tcMar>
          </w:tcPr>
          <w:p w14:paraId="021DEC07" w14:textId="77777777" w:rsidR="00005F79" w:rsidRPr="005D6D89" w:rsidRDefault="00005F79" w:rsidP="00D15DD9">
            <w:pPr>
              <w:pStyle w:val="BodyText"/>
              <w:spacing w:before="60" w:after="60" w:line="260" w:lineRule="atLeast"/>
              <w:rPr>
                <w:b/>
                <w:bCs/>
                <w:sz w:val="20"/>
                <w:szCs w:val="20"/>
              </w:rPr>
            </w:pPr>
            <w:r w:rsidRPr="005D6D89">
              <w:rPr>
                <w:b/>
                <w:bCs/>
                <w:sz w:val="20"/>
                <w:szCs w:val="20"/>
              </w:rPr>
              <w:t>Resilience</w:t>
            </w:r>
          </w:p>
        </w:tc>
        <w:tc>
          <w:tcPr>
            <w:tcW w:w="3621" w:type="pct"/>
            <w:shd w:val="clear" w:color="auto" w:fill="auto"/>
            <w:tcMar>
              <w:top w:w="0" w:type="dxa"/>
            </w:tcMar>
          </w:tcPr>
          <w:p w14:paraId="50F48888" w14:textId="77777777" w:rsidR="00005F79" w:rsidRPr="005D6D89" w:rsidRDefault="00005F79" w:rsidP="00D15DD9">
            <w:pPr>
              <w:pStyle w:val="BodyText"/>
              <w:spacing w:before="60" w:after="60" w:line="260" w:lineRule="atLeast"/>
              <w:rPr>
                <w:sz w:val="20"/>
                <w:szCs w:val="20"/>
              </w:rPr>
            </w:pPr>
            <w:r w:rsidRPr="005D6D89">
              <w:rPr>
                <w:sz w:val="20"/>
                <w:szCs w:val="20"/>
              </w:rPr>
              <w:t>The capacity of social, economic and environmental systems to cope with a hazardous event, trend or disturbance by responding or reorganising in ways that maintain their essential function, identity and structure, while also maintaining the capacity for adaptation, learning and transformation (IPCC,</w:t>
            </w:r>
            <w:r w:rsidR="00912902" w:rsidRPr="005D6D89">
              <w:rPr>
                <w:sz w:val="20"/>
                <w:szCs w:val="20"/>
              </w:rPr>
              <w:t> </w:t>
            </w:r>
            <w:r w:rsidRPr="005D6D89">
              <w:rPr>
                <w:sz w:val="20"/>
                <w:szCs w:val="20"/>
              </w:rPr>
              <w:t>2014).</w:t>
            </w:r>
          </w:p>
        </w:tc>
      </w:tr>
      <w:tr w:rsidR="00603377" w:rsidRPr="005D6D89" w14:paraId="16D4600B" w14:textId="77777777" w:rsidTr="008C2D0E">
        <w:tc>
          <w:tcPr>
            <w:tcW w:w="1379" w:type="pct"/>
            <w:shd w:val="clear" w:color="auto" w:fill="auto"/>
            <w:tcMar>
              <w:top w:w="0" w:type="dxa"/>
            </w:tcMar>
          </w:tcPr>
          <w:p w14:paraId="77BCD6B8" w14:textId="77777777" w:rsidR="00005F79" w:rsidRPr="005D6D89" w:rsidRDefault="00005F79" w:rsidP="00D15DD9">
            <w:pPr>
              <w:pStyle w:val="BodyText"/>
              <w:keepNext/>
              <w:spacing w:before="60" w:after="60" w:line="260" w:lineRule="atLeast"/>
              <w:rPr>
                <w:b/>
                <w:bCs/>
                <w:sz w:val="20"/>
                <w:szCs w:val="20"/>
              </w:rPr>
            </w:pPr>
            <w:r w:rsidRPr="005D6D89">
              <w:rPr>
                <w:b/>
                <w:bCs/>
                <w:sz w:val="20"/>
                <w:szCs w:val="20"/>
              </w:rPr>
              <w:t xml:space="preserve">Risk </w:t>
            </w:r>
          </w:p>
        </w:tc>
        <w:tc>
          <w:tcPr>
            <w:tcW w:w="3621" w:type="pct"/>
            <w:shd w:val="clear" w:color="auto" w:fill="auto"/>
            <w:tcMar>
              <w:top w:w="0" w:type="dxa"/>
            </w:tcMar>
          </w:tcPr>
          <w:p w14:paraId="2286576B" w14:textId="77777777" w:rsidR="00005F79" w:rsidRPr="005D6D89" w:rsidRDefault="00005F79" w:rsidP="00D15DD9">
            <w:pPr>
              <w:pStyle w:val="BodyText"/>
              <w:spacing w:before="60" w:after="60" w:line="260" w:lineRule="atLeast"/>
              <w:rPr>
                <w:sz w:val="20"/>
                <w:szCs w:val="20"/>
              </w:rPr>
            </w:pPr>
            <w:r w:rsidRPr="005D6D89">
              <w:rPr>
                <w:sz w:val="20"/>
                <w:szCs w:val="20"/>
              </w:rPr>
              <w:t>The potential for consequences where something of value is at stake and</w:t>
            </w:r>
            <w:r w:rsidR="00603377" w:rsidRPr="005D6D89">
              <w:rPr>
                <w:sz w:val="20"/>
                <w:szCs w:val="20"/>
              </w:rPr>
              <w:t> </w:t>
            </w:r>
            <w:r w:rsidRPr="005D6D89">
              <w:rPr>
                <w:sz w:val="20"/>
                <w:szCs w:val="20"/>
              </w:rPr>
              <w:t xml:space="preserve">where the outcome is uncertain, recognising the diversity of values. Risk </w:t>
            </w:r>
            <w:proofErr w:type="gramStart"/>
            <w:r w:rsidRPr="005D6D89">
              <w:rPr>
                <w:sz w:val="20"/>
                <w:szCs w:val="20"/>
              </w:rPr>
              <w:t>is often represented</w:t>
            </w:r>
            <w:proofErr w:type="gramEnd"/>
            <w:r w:rsidRPr="005D6D89">
              <w:rPr>
                <w:sz w:val="20"/>
                <w:szCs w:val="20"/>
              </w:rPr>
              <w:t xml:space="preserve"> as probability or likelihood of occurrence of hazardous events or trends multiplied by the impacts if these events or trends occur. It also refers to the potential, when the outcome is uncertain, for adverse consequences on lives, livelihoods, health, ecosystems and species, economic, social and cultural assets, services (including environmental) and infrastructure. Risk results from the interaction of vulnerability, exposure and hazard. To address the evolving impacts of climate change, it </w:t>
            </w:r>
            <w:proofErr w:type="gramStart"/>
            <w:r w:rsidRPr="005D6D89">
              <w:rPr>
                <w:sz w:val="20"/>
                <w:szCs w:val="20"/>
              </w:rPr>
              <w:t>can also be defined</w:t>
            </w:r>
            <w:proofErr w:type="gramEnd"/>
            <w:r w:rsidRPr="005D6D89">
              <w:rPr>
                <w:sz w:val="20"/>
                <w:szCs w:val="20"/>
              </w:rPr>
              <w:t xml:space="preserve"> as the interplay between hazards, exposure and vulnerability (IPCC,</w:t>
            </w:r>
            <w:r w:rsidR="00912902" w:rsidRPr="005D6D89">
              <w:rPr>
                <w:sz w:val="20"/>
                <w:szCs w:val="20"/>
              </w:rPr>
              <w:t> </w:t>
            </w:r>
            <w:r w:rsidRPr="005D6D89">
              <w:rPr>
                <w:sz w:val="20"/>
                <w:szCs w:val="20"/>
              </w:rPr>
              <w:t>2014).</w:t>
            </w:r>
          </w:p>
        </w:tc>
      </w:tr>
      <w:tr w:rsidR="00603377" w:rsidRPr="005D6D89" w14:paraId="557FCFEF" w14:textId="77777777" w:rsidTr="008C2D0E">
        <w:tc>
          <w:tcPr>
            <w:tcW w:w="1379" w:type="pct"/>
            <w:shd w:val="clear" w:color="auto" w:fill="auto"/>
            <w:tcMar>
              <w:top w:w="0" w:type="dxa"/>
            </w:tcMar>
          </w:tcPr>
          <w:p w14:paraId="6C753400" w14:textId="77777777" w:rsidR="00005F79" w:rsidRPr="005D6D89" w:rsidRDefault="00005F79" w:rsidP="00D15DD9">
            <w:pPr>
              <w:pStyle w:val="BodyText"/>
              <w:spacing w:before="60" w:after="60" w:line="260" w:lineRule="atLeast"/>
              <w:rPr>
                <w:b/>
                <w:bCs/>
                <w:sz w:val="20"/>
                <w:szCs w:val="20"/>
              </w:rPr>
            </w:pPr>
            <w:r w:rsidRPr="005D6D89">
              <w:rPr>
                <w:b/>
                <w:bCs/>
                <w:sz w:val="20"/>
                <w:szCs w:val="20"/>
              </w:rPr>
              <w:t>Risk assessment</w:t>
            </w:r>
          </w:p>
        </w:tc>
        <w:tc>
          <w:tcPr>
            <w:tcW w:w="3621" w:type="pct"/>
            <w:shd w:val="clear" w:color="auto" w:fill="auto"/>
            <w:tcMar>
              <w:top w:w="0" w:type="dxa"/>
            </w:tcMar>
          </w:tcPr>
          <w:p w14:paraId="6758D211" w14:textId="77777777" w:rsidR="00005F79" w:rsidRPr="005D6D89" w:rsidRDefault="00005F79" w:rsidP="00D15DD9">
            <w:pPr>
              <w:pStyle w:val="BodyText"/>
              <w:spacing w:before="60" w:after="60" w:line="260" w:lineRule="atLeast"/>
              <w:rPr>
                <w:sz w:val="20"/>
                <w:szCs w:val="20"/>
              </w:rPr>
            </w:pPr>
            <w:r w:rsidRPr="005D6D89">
              <w:rPr>
                <w:sz w:val="20"/>
                <w:szCs w:val="20"/>
              </w:rPr>
              <w:t>The qualitative and/or quantitative process of identifying, analysing and evaluating risk, with entry points for communication and engagement</w:t>
            </w:r>
            <w:r w:rsidR="00261A84">
              <w:rPr>
                <w:sz w:val="20"/>
                <w:szCs w:val="20"/>
              </w:rPr>
              <w:t>,</w:t>
            </w:r>
            <w:r w:rsidRPr="005D6D89">
              <w:rPr>
                <w:sz w:val="20"/>
                <w:szCs w:val="20"/>
              </w:rPr>
              <w:t xml:space="preserve"> and monitoring and reviews (AS/NZS ISO 31000:2009, Risk Management Standard).</w:t>
            </w:r>
          </w:p>
        </w:tc>
      </w:tr>
      <w:tr w:rsidR="00603377" w:rsidRPr="005D6D89" w14:paraId="03784210" w14:textId="77777777" w:rsidTr="008C2D0E">
        <w:tc>
          <w:tcPr>
            <w:tcW w:w="1379" w:type="pct"/>
            <w:shd w:val="clear" w:color="auto" w:fill="auto"/>
            <w:tcMar>
              <w:top w:w="0" w:type="dxa"/>
            </w:tcMar>
          </w:tcPr>
          <w:p w14:paraId="2358E409" w14:textId="77777777" w:rsidR="00005F79" w:rsidRPr="005D6D89" w:rsidRDefault="00005F79" w:rsidP="00D15DD9">
            <w:pPr>
              <w:pStyle w:val="BodyText"/>
              <w:spacing w:before="60" w:after="60" w:line="260" w:lineRule="atLeast"/>
              <w:rPr>
                <w:b/>
                <w:bCs/>
                <w:sz w:val="20"/>
                <w:szCs w:val="20"/>
              </w:rPr>
            </w:pPr>
            <w:r w:rsidRPr="005D6D89">
              <w:rPr>
                <w:b/>
                <w:bCs/>
                <w:sz w:val="20"/>
                <w:szCs w:val="20"/>
              </w:rPr>
              <w:t>Shock</w:t>
            </w:r>
          </w:p>
        </w:tc>
        <w:tc>
          <w:tcPr>
            <w:tcW w:w="3621" w:type="pct"/>
            <w:shd w:val="clear" w:color="auto" w:fill="auto"/>
            <w:tcMar>
              <w:top w:w="0" w:type="dxa"/>
            </w:tcMar>
          </w:tcPr>
          <w:p w14:paraId="2430E970" w14:textId="77777777" w:rsidR="00005F79" w:rsidRPr="005D6D89" w:rsidRDefault="00005F79" w:rsidP="00D15DD9">
            <w:pPr>
              <w:pStyle w:val="BodyText"/>
              <w:spacing w:before="60" w:after="60" w:line="260" w:lineRule="atLeast"/>
              <w:rPr>
                <w:sz w:val="20"/>
                <w:szCs w:val="20"/>
              </w:rPr>
            </w:pPr>
            <w:r w:rsidRPr="005D6D89">
              <w:rPr>
                <w:sz w:val="20"/>
                <w:szCs w:val="20"/>
              </w:rPr>
              <w:t>A sudden, disruptive event with an important and often negative impact for New Zealand.</w:t>
            </w:r>
          </w:p>
        </w:tc>
      </w:tr>
      <w:tr w:rsidR="00603377" w:rsidRPr="005D6D89" w14:paraId="36EA3A70" w14:textId="77777777" w:rsidTr="008C2D0E">
        <w:tc>
          <w:tcPr>
            <w:tcW w:w="1379" w:type="pct"/>
            <w:shd w:val="clear" w:color="auto" w:fill="auto"/>
            <w:tcMar>
              <w:top w:w="0" w:type="dxa"/>
            </w:tcMar>
          </w:tcPr>
          <w:p w14:paraId="378B0128" w14:textId="77777777" w:rsidR="00005F79" w:rsidRPr="005D6D89" w:rsidRDefault="00005F79" w:rsidP="00D15DD9">
            <w:pPr>
              <w:pStyle w:val="BodyText"/>
              <w:spacing w:before="60" w:after="60" w:line="260" w:lineRule="atLeast"/>
              <w:rPr>
                <w:b/>
                <w:bCs/>
                <w:sz w:val="20"/>
                <w:szCs w:val="20"/>
              </w:rPr>
            </w:pPr>
            <w:r w:rsidRPr="005D6D89">
              <w:rPr>
                <w:b/>
                <w:bCs/>
                <w:sz w:val="20"/>
                <w:szCs w:val="20"/>
              </w:rPr>
              <w:t>Stress</w:t>
            </w:r>
          </w:p>
        </w:tc>
        <w:tc>
          <w:tcPr>
            <w:tcW w:w="3621" w:type="pct"/>
            <w:shd w:val="clear" w:color="auto" w:fill="auto"/>
            <w:tcMar>
              <w:top w:w="0" w:type="dxa"/>
            </w:tcMar>
          </w:tcPr>
          <w:p w14:paraId="6AB82ED9"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A long-term issue with an important and often negative impact for New Zealand. </w:t>
            </w:r>
          </w:p>
        </w:tc>
      </w:tr>
      <w:tr w:rsidR="00603377" w:rsidRPr="005D6D89" w14:paraId="60E7E927" w14:textId="77777777" w:rsidTr="008C2D0E">
        <w:tc>
          <w:tcPr>
            <w:tcW w:w="1379" w:type="pct"/>
            <w:shd w:val="clear" w:color="auto" w:fill="auto"/>
            <w:tcMar>
              <w:top w:w="0" w:type="dxa"/>
            </w:tcMar>
          </w:tcPr>
          <w:p w14:paraId="52D09AFA" w14:textId="77777777" w:rsidR="00005F79" w:rsidRPr="005D6D89" w:rsidRDefault="00005F79" w:rsidP="00D15DD9">
            <w:pPr>
              <w:pStyle w:val="BodyText"/>
              <w:spacing w:before="60" w:after="60" w:line="260" w:lineRule="atLeast"/>
              <w:rPr>
                <w:b/>
                <w:bCs/>
                <w:sz w:val="20"/>
                <w:szCs w:val="20"/>
              </w:rPr>
            </w:pPr>
            <w:r w:rsidRPr="005D6D89">
              <w:rPr>
                <w:b/>
                <w:bCs/>
                <w:sz w:val="20"/>
                <w:szCs w:val="20"/>
              </w:rPr>
              <w:t>Stressor (climate)</w:t>
            </w:r>
          </w:p>
        </w:tc>
        <w:tc>
          <w:tcPr>
            <w:tcW w:w="3621" w:type="pct"/>
            <w:shd w:val="clear" w:color="auto" w:fill="auto"/>
            <w:tcMar>
              <w:top w:w="0" w:type="dxa"/>
            </w:tcMar>
          </w:tcPr>
          <w:p w14:paraId="27D63CD1" w14:textId="77777777" w:rsidR="00005F79" w:rsidRPr="005D6D89" w:rsidRDefault="00005F79" w:rsidP="007D0B70">
            <w:pPr>
              <w:pStyle w:val="BodyText"/>
              <w:spacing w:before="60" w:after="60" w:line="260" w:lineRule="atLeast"/>
              <w:rPr>
                <w:sz w:val="20"/>
                <w:szCs w:val="20"/>
              </w:rPr>
            </w:pPr>
            <w:r w:rsidRPr="005D6D89">
              <w:rPr>
                <w:sz w:val="20"/>
                <w:szCs w:val="20"/>
              </w:rPr>
              <w:t xml:space="preserve">Persistent climatic event (eg, change in seasonal rainfall) or rate of change or trend in variables such as the mean, extremes or the range (eg, ongoing rise in mean ocean temperature or acidification), which occurs over a </w:t>
            </w:r>
            <w:proofErr w:type="gramStart"/>
            <w:r w:rsidRPr="005D6D89">
              <w:rPr>
                <w:sz w:val="20"/>
                <w:szCs w:val="20"/>
              </w:rPr>
              <w:t>period of time</w:t>
            </w:r>
            <w:proofErr w:type="gramEnd"/>
            <w:r w:rsidRPr="005D6D89">
              <w:rPr>
                <w:sz w:val="20"/>
                <w:szCs w:val="20"/>
              </w:rPr>
              <w:t xml:space="preserve"> (eg, years, decades or centuries)</w:t>
            </w:r>
            <w:r w:rsidR="00261A84">
              <w:rPr>
                <w:sz w:val="20"/>
                <w:szCs w:val="20"/>
              </w:rPr>
              <w:t>,</w:t>
            </w:r>
            <w:r w:rsidRPr="005D6D89">
              <w:rPr>
                <w:sz w:val="20"/>
                <w:szCs w:val="20"/>
              </w:rPr>
              <w:t xml:space="preserve"> with important effects on the system exposed</w:t>
            </w:r>
            <w:r w:rsidR="00261A84">
              <w:rPr>
                <w:sz w:val="20"/>
                <w:szCs w:val="20"/>
              </w:rPr>
              <w:t xml:space="preserve">. This in turn increases </w:t>
            </w:r>
            <w:r w:rsidRPr="005D6D89">
              <w:rPr>
                <w:sz w:val="20"/>
                <w:szCs w:val="20"/>
              </w:rPr>
              <w:t>vulnerability to climate change (Ministry for the Environment, 2019).</w:t>
            </w:r>
          </w:p>
        </w:tc>
      </w:tr>
      <w:tr w:rsidR="00603377" w:rsidRPr="005D6D89" w14:paraId="57B11AE3" w14:textId="77777777" w:rsidTr="008C2D0E">
        <w:tc>
          <w:tcPr>
            <w:tcW w:w="1379" w:type="pct"/>
            <w:shd w:val="clear" w:color="auto" w:fill="auto"/>
            <w:tcMar>
              <w:top w:w="0" w:type="dxa"/>
            </w:tcMar>
          </w:tcPr>
          <w:p w14:paraId="3BE86518" w14:textId="77777777" w:rsidR="00005F79" w:rsidRPr="005D6D89" w:rsidRDefault="00005F79" w:rsidP="00D15DD9">
            <w:pPr>
              <w:pStyle w:val="BodyText"/>
              <w:spacing w:before="60" w:after="60" w:line="260" w:lineRule="atLeast"/>
              <w:rPr>
                <w:b/>
                <w:bCs/>
                <w:sz w:val="20"/>
                <w:szCs w:val="20"/>
              </w:rPr>
            </w:pPr>
            <w:r w:rsidRPr="005D6D89">
              <w:rPr>
                <w:b/>
                <w:bCs/>
                <w:sz w:val="20"/>
                <w:szCs w:val="20"/>
              </w:rPr>
              <w:t>System</w:t>
            </w:r>
          </w:p>
        </w:tc>
        <w:tc>
          <w:tcPr>
            <w:tcW w:w="3621" w:type="pct"/>
            <w:shd w:val="clear" w:color="auto" w:fill="auto"/>
            <w:tcMar>
              <w:top w:w="0" w:type="dxa"/>
            </w:tcMar>
          </w:tcPr>
          <w:p w14:paraId="5D7B2115" w14:textId="77777777" w:rsidR="00005F79" w:rsidRPr="005D6D89" w:rsidRDefault="00005F79" w:rsidP="00381504">
            <w:pPr>
              <w:pStyle w:val="BodyText"/>
              <w:spacing w:before="60" w:after="60" w:line="260" w:lineRule="atLeast"/>
              <w:rPr>
                <w:sz w:val="20"/>
                <w:szCs w:val="20"/>
              </w:rPr>
            </w:pPr>
            <w:r w:rsidRPr="005D6D89">
              <w:rPr>
                <w:sz w:val="20"/>
                <w:szCs w:val="20"/>
              </w:rPr>
              <w:t>A set of elements working together as parts of an interconnected network or a complex whole.</w:t>
            </w:r>
          </w:p>
        </w:tc>
      </w:tr>
      <w:tr w:rsidR="00603377" w:rsidRPr="005D6D89" w14:paraId="4439C055" w14:textId="77777777" w:rsidTr="008C2D0E">
        <w:tc>
          <w:tcPr>
            <w:tcW w:w="1379" w:type="pct"/>
            <w:shd w:val="clear" w:color="auto" w:fill="auto"/>
            <w:tcMar>
              <w:top w:w="0" w:type="dxa"/>
            </w:tcMar>
          </w:tcPr>
          <w:p w14:paraId="406164C2" w14:textId="77777777" w:rsidR="00005F79" w:rsidRPr="005D6D89" w:rsidRDefault="00005F79" w:rsidP="00D15DD9">
            <w:pPr>
              <w:pStyle w:val="BodyText"/>
              <w:spacing w:before="60" w:after="60" w:line="260" w:lineRule="atLeast"/>
              <w:rPr>
                <w:b/>
                <w:bCs/>
                <w:sz w:val="20"/>
                <w:szCs w:val="20"/>
              </w:rPr>
            </w:pPr>
            <w:bookmarkStart w:id="551" w:name="taonga"/>
            <w:r w:rsidRPr="005D6D89">
              <w:rPr>
                <w:b/>
                <w:bCs/>
                <w:sz w:val="20"/>
                <w:szCs w:val="20"/>
              </w:rPr>
              <w:t>Taonga</w:t>
            </w:r>
            <w:bookmarkEnd w:id="551"/>
            <w:r w:rsidRPr="005D6D89">
              <w:rPr>
                <w:b/>
                <w:bCs/>
                <w:sz w:val="20"/>
                <w:szCs w:val="20"/>
              </w:rPr>
              <w:t xml:space="preserve"> Māori</w:t>
            </w:r>
          </w:p>
        </w:tc>
        <w:tc>
          <w:tcPr>
            <w:tcW w:w="3621" w:type="pct"/>
            <w:shd w:val="clear" w:color="auto" w:fill="auto"/>
            <w:tcMar>
              <w:top w:w="0" w:type="dxa"/>
            </w:tcMar>
          </w:tcPr>
          <w:p w14:paraId="73634EB3" w14:textId="77777777" w:rsidR="00005F79" w:rsidRPr="005D6D89" w:rsidRDefault="00005F79" w:rsidP="00D15DD9">
            <w:pPr>
              <w:pStyle w:val="BodyText"/>
              <w:spacing w:before="60" w:after="40" w:line="260" w:lineRule="atLeast"/>
              <w:rPr>
                <w:sz w:val="20"/>
                <w:szCs w:val="20"/>
              </w:rPr>
            </w:pPr>
            <w:r w:rsidRPr="005D6D89">
              <w:rPr>
                <w:sz w:val="20"/>
                <w:szCs w:val="20"/>
              </w:rPr>
              <w:t>Taonga Māori refers to tangible and intangible items that are highly valued in Māori culture. Taonga Māori include</w:t>
            </w:r>
            <w:r w:rsidR="00D15DD9" w:rsidRPr="005D6D89">
              <w:rPr>
                <w:sz w:val="20"/>
                <w:szCs w:val="20"/>
              </w:rPr>
              <w:t>:</w:t>
            </w:r>
            <w:r w:rsidRPr="005D6D89">
              <w:rPr>
                <w:sz w:val="20"/>
                <w:szCs w:val="20"/>
              </w:rPr>
              <w:t xml:space="preserve"> </w:t>
            </w:r>
          </w:p>
          <w:p w14:paraId="43CF1C44" w14:textId="77777777" w:rsidR="00005F79" w:rsidRPr="005D6D89" w:rsidRDefault="00FA150C" w:rsidP="00D15DD9">
            <w:pPr>
              <w:pStyle w:val="Bullet"/>
              <w:spacing w:after="40" w:line="260" w:lineRule="atLeast"/>
              <w:rPr>
                <w:sz w:val="20"/>
                <w:szCs w:val="18"/>
              </w:rPr>
            </w:pPr>
            <w:r>
              <w:rPr>
                <w:sz w:val="20"/>
                <w:szCs w:val="18"/>
              </w:rPr>
              <w:t>n</w:t>
            </w:r>
            <w:r w:rsidR="00005F79" w:rsidRPr="005D6D89">
              <w:rPr>
                <w:sz w:val="20"/>
                <w:szCs w:val="18"/>
              </w:rPr>
              <w:t xml:space="preserve">atural environment (whenua/land, ngahere/forests, awa/rivers, maunga/mountains and moana/ocean) </w:t>
            </w:r>
          </w:p>
          <w:p w14:paraId="7B7C44A0" w14:textId="77777777" w:rsidR="00005F79" w:rsidRPr="005D6D89" w:rsidRDefault="00FA150C" w:rsidP="00D15DD9">
            <w:pPr>
              <w:pStyle w:val="Bullet"/>
              <w:spacing w:after="40" w:line="260" w:lineRule="atLeast"/>
              <w:rPr>
                <w:sz w:val="20"/>
                <w:szCs w:val="18"/>
              </w:rPr>
            </w:pPr>
            <w:r>
              <w:rPr>
                <w:sz w:val="20"/>
                <w:szCs w:val="18"/>
              </w:rPr>
              <w:t>h</w:t>
            </w:r>
            <w:r w:rsidR="00005F79" w:rsidRPr="005D6D89">
              <w:rPr>
                <w:sz w:val="20"/>
                <w:szCs w:val="18"/>
              </w:rPr>
              <w:t>uman and non-human capital (whānau/families, hapū/sub-tribes, iwi/tribes)</w:t>
            </w:r>
            <w:r w:rsidR="007D0B70">
              <w:rPr>
                <w:sz w:val="20"/>
                <w:szCs w:val="18"/>
              </w:rPr>
              <w:t xml:space="preserve"> </w:t>
            </w:r>
            <w:r>
              <w:rPr>
                <w:sz w:val="20"/>
                <w:szCs w:val="18"/>
              </w:rPr>
              <w:t>and</w:t>
            </w:r>
            <w:r w:rsidR="00005F79" w:rsidRPr="005D6D89">
              <w:rPr>
                <w:sz w:val="20"/>
                <w:szCs w:val="18"/>
              </w:rPr>
              <w:t xml:space="preserve"> spiritual (mauri/the intrinsic life force within living entities) </w:t>
            </w:r>
          </w:p>
          <w:p w14:paraId="6961ABDA" w14:textId="77777777" w:rsidR="00005F79" w:rsidRPr="005D6D89" w:rsidRDefault="00FA150C" w:rsidP="00D15DD9">
            <w:pPr>
              <w:pStyle w:val="Bullet"/>
              <w:spacing w:after="40" w:line="260" w:lineRule="atLeast"/>
              <w:rPr>
                <w:sz w:val="20"/>
                <w:szCs w:val="18"/>
              </w:rPr>
            </w:pPr>
            <w:r>
              <w:rPr>
                <w:sz w:val="20"/>
                <w:szCs w:val="18"/>
              </w:rPr>
              <w:t>s</w:t>
            </w:r>
            <w:r w:rsidR="00005F79" w:rsidRPr="005D6D89">
              <w:rPr>
                <w:sz w:val="20"/>
                <w:szCs w:val="18"/>
              </w:rPr>
              <w:t xml:space="preserve">ocial capital (mātauranga Māori/Māori knowledge, intergenerational transfer of knowledge) </w:t>
            </w:r>
          </w:p>
          <w:p w14:paraId="630AC29A" w14:textId="77777777" w:rsidR="00005F79" w:rsidRPr="005D6D89" w:rsidRDefault="00FA150C" w:rsidP="00D15DD9">
            <w:pPr>
              <w:pStyle w:val="Bullet"/>
              <w:spacing w:after="40" w:line="260" w:lineRule="atLeast"/>
              <w:rPr>
                <w:sz w:val="20"/>
                <w:szCs w:val="18"/>
              </w:rPr>
            </w:pPr>
            <w:r>
              <w:rPr>
                <w:sz w:val="20"/>
                <w:szCs w:val="18"/>
              </w:rPr>
              <w:t>e</w:t>
            </w:r>
            <w:r w:rsidR="00005F79" w:rsidRPr="005D6D89">
              <w:rPr>
                <w:sz w:val="20"/>
                <w:szCs w:val="18"/>
              </w:rPr>
              <w:t xml:space="preserve">conomic capital (financial value of assets including land holdings) </w:t>
            </w:r>
          </w:p>
          <w:p w14:paraId="2ED88A2E" w14:textId="77777777" w:rsidR="00005F79" w:rsidRPr="005D6D89" w:rsidRDefault="00FA150C" w:rsidP="00D15DD9">
            <w:pPr>
              <w:pStyle w:val="Bullet"/>
              <w:spacing w:after="60" w:line="260" w:lineRule="atLeast"/>
            </w:pPr>
            <w:proofErr w:type="gramStart"/>
            <w:r>
              <w:rPr>
                <w:sz w:val="20"/>
                <w:szCs w:val="18"/>
              </w:rPr>
              <w:t>m</w:t>
            </w:r>
            <w:r w:rsidR="00005F79" w:rsidRPr="005D6D89">
              <w:rPr>
                <w:sz w:val="20"/>
                <w:szCs w:val="18"/>
              </w:rPr>
              <w:t>aterial</w:t>
            </w:r>
            <w:proofErr w:type="gramEnd"/>
            <w:r w:rsidR="00005F79" w:rsidRPr="005D6D89">
              <w:rPr>
                <w:sz w:val="20"/>
                <w:szCs w:val="18"/>
              </w:rPr>
              <w:t xml:space="preserve"> </w:t>
            </w:r>
            <w:r w:rsidR="00005F79" w:rsidRPr="005D6D89">
              <w:rPr>
                <w:sz w:val="20"/>
              </w:rPr>
              <w:t>capital (buildings including marae, commercial investments and private homes) (MfE, 2019).</w:t>
            </w:r>
          </w:p>
        </w:tc>
      </w:tr>
      <w:tr w:rsidR="00603377" w:rsidRPr="005D6D89" w14:paraId="08C50F3E" w14:textId="77777777" w:rsidTr="008C2D0E">
        <w:tc>
          <w:tcPr>
            <w:tcW w:w="1379" w:type="pct"/>
            <w:shd w:val="clear" w:color="auto" w:fill="auto"/>
            <w:tcMar>
              <w:top w:w="0" w:type="dxa"/>
            </w:tcMar>
          </w:tcPr>
          <w:p w14:paraId="76944A80" w14:textId="77777777" w:rsidR="00005F79" w:rsidRPr="005D6D89" w:rsidRDefault="00005F79" w:rsidP="00D15DD9">
            <w:pPr>
              <w:pStyle w:val="BodyText"/>
              <w:spacing w:before="60" w:after="60" w:line="260" w:lineRule="atLeast"/>
              <w:rPr>
                <w:b/>
                <w:bCs/>
                <w:sz w:val="20"/>
                <w:szCs w:val="20"/>
              </w:rPr>
            </w:pPr>
            <w:r w:rsidRPr="005D6D89">
              <w:rPr>
                <w:b/>
                <w:bCs/>
                <w:sz w:val="20"/>
                <w:szCs w:val="20"/>
              </w:rPr>
              <w:t xml:space="preserve">Three waters </w:t>
            </w:r>
          </w:p>
        </w:tc>
        <w:tc>
          <w:tcPr>
            <w:tcW w:w="3621" w:type="pct"/>
            <w:shd w:val="clear" w:color="auto" w:fill="auto"/>
            <w:tcMar>
              <w:top w:w="0" w:type="dxa"/>
            </w:tcMar>
          </w:tcPr>
          <w:p w14:paraId="31FB1799" w14:textId="77777777" w:rsidR="00005F79" w:rsidRPr="005D6D89" w:rsidRDefault="00005F79" w:rsidP="00D15DD9">
            <w:pPr>
              <w:pStyle w:val="BodyText"/>
              <w:spacing w:before="60" w:after="60" w:line="260" w:lineRule="atLeast"/>
              <w:rPr>
                <w:sz w:val="20"/>
                <w:szCs w:val="20"/>
              </w:rPr>
            </w:pPr>
            <w:r w:rsidRPr="005D6D89">
              <w:rPr>
                <w:sz w:val="20"/>
                <w:szCs w:val="20"/>
              </w:rPr>
              <w:t>Drinking water, wastewater and stormwater</w:t>
            </w:r>
            <w:r w:rsidR="00261A84">
              <w:rPr>
                <w:sz w:val="20"/>
                <w:szCs w:val="20"/>
              </w:rPr>
              <w:t>.</w:t>
            </w:r>
            <w:r w:rsidRPr="005D6D89">
              <w:rPr>
                <w:color w:val="333333"/>
                <w:sz w:val="20"/>
                <w:szCs w:val="20"/>
                <w:shd w:val="clear" w:color="auto" w:fill="FFFFFF"/>
              </w:rPr>
              <w:t xml:space="preserve"> </w:t>
            </w:r>
          </w:p>
        </w:tc>
      </w:tr>
      <w:tr w:rsidR="00603377" w:rsidRPr="005D6D89" w14:paraId="279F13CE" w14:textId="77777777" w:rsidTr="008C2D0E">
        <w:tc>
          <w:tcPr>
            <w:tcW w:w="1379" w:type="pct"/>
            <w:shd w:val="clear" w:color="auto" w:fill="auto"/>
            <w:tcMar>
              <w:top w:w="0" w:type="dxa"/>
            </w:tcMar>
          </w:tcPr>
          <w:p w14:paraId="0AE67C04" w14:textId="77777777" w:rsidR="00005F79" w:rsidRPr="005D6D89" w:rsidRDefault="00005F79" w:rsidP="00D15DD9">
            <w:pPr>
              <w:pStyle w:val="BodyText"/>
              <w:spacing w:before="60" w:after="60" w:line="260" w:lineRule="atLeast"/>
              <w:rPr>
                <w:b/>
                <w:bCs/>
                <w:sz w:val="20"/>
                <w:szCs w:val="20"/>
              </w:rPr>
            </w:pPr>
            <w:r w:rsidRPr="005D6D89">
              <w:rPr>
                <w:b/>
                <w:bCs/>
                <w:sz w:val="20"/>
                <w:szCs w:val="20"/>
              </w:rPr>
              <w:t>Uncertainty</w:t>
            </w:r>
          </w:p>
        </w:tc>
        <w:tc>
          <w:tcPr>
            <w:tcW w:w="3621" w:type="pct"/>
            <w:shd w:val="clear" w:color="auto" w:fill="auto"/>
            <w:tcMar>
              <w:top w:w="0" w:type="dxa"/>
            </w:tcMar>
          </w:tcPr>
          <w:p w14:paraId="47306BA9" w14:textId="77777777" w:rsidR="00005F79" w:rsidRPr="005D6D89" w:rsidRDefault="00005F79" w:rsidP="00D15DD9">
            <w:pPr>
              <w:pStyle w:val="BodyText"/>
              <w:spacing w:before="60" w:after="60" w:line="260" w:lineRule="atLeast"/>
              <w:rPr>
                <w:sz w:val="20"/>
                <w:szCs w:val="20"/>
              </w:rPr>
            </w:pPr>
            <w:r w:rsidRPr="005D6D89">
              <w:rPr>
                <w:sz w:val="20"/>
                <w:szCs w:val="20"/>
              </w:rPr>
              <w:t>A state of incomplete knowledge that can result from a lack of information or from disagreement about what is known or even knowable. It may have many sources, from imprecise data to ambiguously defined concepts or terminology, or uncertain projections of human behaviour (IPCC, 2014).</w:t>
            </w:r>
          </w:p>
        </w:tc>
      </w:tr>
      <w:tr w:rsidR="00603377" w:rsidRPr="005D6D89" w14:paraId="1066FD41" w14:textId="77777777" w:rsidTr="008C2D0E">
        <w:tc>
          <w:tcPr>
            <w:tcW w:w="1379" w:type="pct"/>
            <w:shd w:val="clear" w:color="auto" w:fill="auto"/>
            <w:tcMar>
              <w:top w:w="0" w:type="dxa"/>
            </w:tcMar>
          </w:tcPr>
          <w:p w14:paraId="1CC77E69" w14:textId="77777777" w:rsidR="00005F79" w:rsidRPr="005D6D89" w:rsidRDefault="00005F79" w:rsidP="00D15DD9">
            <w:pPr>
              <w:pStyle w:val="BodyText"/>
              <w:spacing w:before="60" w:after="60" w:line="260" w:lineRule="atLeast"/>
              <w:rPr>
                <w:b/>
                <w:bCs/>
                <w:sz w:val="20"/>
                <w:szCs w:val="20"/>
              </w:rPr>
            </w:pPr>
            <w:bookmarkStart w:id="552" w:name="valuedomain"/>
            <w:r w:rsidRPr="005D6D89">
              <w:rPr>
                <w:b/>
                <w:bCs/>
                <w:sz w:val="20"/>
                <w:szCs w:val="20"/>
              </w:rPr>
              <w:t>Value domain</w:t>
            </w:r>
            <w:bookmarkEnd w:id="552"/>
          </w:p>
        </w:tc>
        <w:tc>
          <w:tcPr>
            <w:tcW w:w="3621" w:type="pct"/>
            <w:shd w:val="clear" w:color="auto" w:fill="auto"/>
            <w:tcMar>
              <w:top w:w="0" w:type="dxa"/>
            </w:tcMar>
          </w:tcPr>
          <w:p w14:paraId="2C493AF1" w14:textId="77777777" w:rsidR="00005F79" w:rsidRPr="005D6D89" w:rsidRDefault="00005F79" w:rsidP="00D15DD9">
            <w:pPr>
              <w:pStyle w:val="BodyText"/>
              <w:spacing w:before="60" w:after="60" w:line="260" w:lineRule="atLeast"/>
              <w:rPr>
                <w:rFonts w:cstheme="majorHAnsi"/>
                <w:sz w:val="20"/>
                <w:szCs w:val="20"/>
                <w:lang w:eastAsia="en-AU"/>
              </w:rPr>
            </w:pPr>
            <w:r w:rsidRPr="005D6D89">
              <w:rPr>
                <w:rFonts w:cstheme="majorHAnsi"/>
                <w:sz w:val="20"/>
                <w:szCs w:val="20"/>
                <w:lang w:eastAsia="en-AU"/>
              </w:rPr>
              <w:t xml:space="preserve">The NCCRA framework outlines five </w:t>
            </w:r>
            <w:r w:rsidR="001200EA">
              <w:rPr>
                <w:rFonts w:cstheme="majorHAnsi"/>
                <w:sz w:val="20"/>
                <w:szCs w:val="20"/>
                <w:lang w:eastAsia="en-AU"/>
              </w:rPr>
              <w:t>‘</w:t>
            </w:r>
            <w:r w:rsidRPr="005D6D89">
              <w:rPr>
                <w:rFonts w:cstheme="majorHAnsi"/>
                <w:sz w:val="20"/>
                <w:szCs w:val="20"/>
                <w:lang w:eastAsia="en-AU"/>
              </w:rPr>
              <w:t>value domains</w:t>
            </w:r>
            <w:r w:rsidR="001200EA">
              <w:rPr>
                <w:rFonts w:cstheme="majorHAnsi"/>
                <w:sz w:val="20"/>
                <w:szCs w:val="20"/>
                <w:lang w:eastAsia="en-AU"/>
              </w:rPr>
              <w:t>’</w:t>
            </w:r>
            <w:r w:rsidRPr="005D6D89">
              <w:rPr>
                <w:rFonts w:cstheme="majorHAnsi"/>
                <w:sz w:val="20"/>
                <w:szCs w:val="20"/>
                <w:lang w:eastAsia="en-AU"/>
              </w:rPr>
              <w:t xml:space="preserve"> for assessing risks and opportunities. These represent values, assets and systems that may be at risk from climate-related hazards, or could benefit (opportunities). They are a hybrid of Treasury</w:t>
            </w:r>
            <w:r w:rsidR="001200EA">
              <w:rPr>
                <w:rFonts w:cstheme="majorHAnsi"/>
                <w:sz w:val="20"/>
                <w:szCs w:val="20"/>
                <w:lang w:eastAsia="en-AU"/>
              </w:rPr>
              <w:t>’</w:t>
            </w:r>
            <w:r w:rsidRPr="005D6D89">
              <w:rPr>
                <w:rFonts w:cstheme="majorHAnsi"/>
                <w:sz w:val="20"/>
                <w:szCs w:val="20"/>
                <w:lang w:eastAsia="en-AU"/>
              </w:rPr>
              <w:t xml:space="preserve">s Living Standards Framework and those used in the National Disaster Resilience Strategy </w:t>
            </w:r>
            <w:r w:rsidRPr="005D6D89">
              <w:rPr>
                <w:sz w:val="20"/>
                <w:szCs w:val="20"/>
              </w:rPr>
              <w:t xml:space="preserve">(The Treasury, 2018; Ministry of Civil Defence and Emergency Management, 2019). </w:t>
            </w:r>
            <w:r w:rsidRPr="005D6D89">
              <w:rPr>
                <w:rFonts w:cstheme="majorHAnsi"/>
                <w:sz w:val="20"/>
                <w:szCs w:val="20"/>
                <w:lang w:eastAsia="en-AU"/>
              </w:rPr>
              <w:t xml:space="preserve">They are interconnected and apply at the individual, community and national level. They include tangible and intangible values. </w:t>
            </w:r>
          </w:p>
        </w:tc>
      </w:tr>
      <w:tr w:rsidR="00603377" w:rsidRPr="005D6D89" w14:paraId="05F1EBB7" w14:textId="77777777" w:rsidTr="008C2D0E">
        <w:tc>
          <w:tcPr>
            <w:tcW w:w="1379" w:type="pct"/>
            <w:shd w:val="clear" w:color="auto" w:fill="auto"/>
            <w:tcMar>
              <w:top w:w="0" w:type="dxa"/>
            </w:tcMar>
          </w:tcPr>
          <w:p w14:paraId="5A0E67F3" w14:textId="77777777" w:rsidR="00005F79" w:rsidRPr="005D6D89" w:rsidRDefault="00005F79" w:rsidP="00D15DD9">
            <w:pPr>
              <w:pStyle w:val="BodyText"/>
              <w:spacing w:before="60" w:after="60" w:line="260" w:lineRule="atLeast"/>
              <w:rPr>
                <w:b/>
                <w:bCs/>
                <w:sz w:val="20"/>
                <w:szCs w:val="20"/>
              </w:rPr>
            </w:pPr>
            <w:r w:rsidRPr="005D6D89">
              <w:rPr>
                <w:b/>
                <w:bCs/>
                <w:sz w:val="20"/>
                <w:szCs w:val="20"/>
              </w:rPr>
              <w:t>Vulnerability</w:t>
            </w:r>
          </w:p>
        </w:tc>
        <w:tc>
          <w:tcPr>
            <w:tcW w:w="3621" w:type="pct"/>
            <w:shd w:val="clear" w:color="auto" w:fill="auto"/>
            <w:tcMar>
              <w:top w:w="0" w:type="dxa"/>
            </w:tcMar>
          </w:tcPr>
          <w:p w14:paraId="75B6BE19"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The propensity or predisposition to </w:t>
            </w:r>
            <w:proofErr w:type="gramStart"/>
            <w:r w:rsidRPr="005D6D89">
              <w:rPr>
                <w:sz w:val="20"/>
                <w:szCs w:val="20"/>
              </w:rPr>
              <w:t>be adversely affected</w:t>
            </w:r>
            <w:proofErr w:type="gramEnd"/>
            <w:r w:rsidRPr="005D6D89">
              <w:rPr>
                <w:sz w:val="20"/>
                <w:szCs w:val="20"/>
              </w:rPr>
              <w:t>. Vulnerability encompasses a variety of concepts including sensitivity or susceptibility to harm, and lack of capacity to cope and adapt (IPCC, 2014).</w:t>
            </w:r>
          </w:p>
          <w:p w14:paraId="7EA7C9B4"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Assessing vulnerability is broader than conventional risk assessments; it includes indirect and intangible consequences on the four wellbeings, and adaptive capacity (eg, communities, whānau, hapū and iwi may be resourceful but may lack the resources, insurance access and mandate or capacity to adapt) (Ministry for the Environment, 2019). </w:t>
            </w:r>
          </w:p>
        </w:tc>
      </w:tr>
      <w:tr w:rsidR="00603377" w:rsidRPr="005D6D89" w14:paraId="293D6B5D" w14:textId="77777777" w:rsidTr="008C2D0E">
        <w:tc>
          <w:tcPr>
            <w:tcW w:w="1379" w:type="pct"/>
            <w:shd w:val="clear" w:color="auto" w:fill="auto"/>
            <w:tcMar>
              <w:top w:w="0" w:type="dxa"/>
            </w:tcMar>
          </w:tcPr>
          <w:p w14:paraId="2CEC7F8F" w14:textId="77777777" w:rsidR="00005F79" w:rsidRPr="005D6D89" w:rsidRDefault="00005F79" w:rsidP="00D15DD9">
            <w:pPr>
              <w:pStyle w:val="BodyText"/>
              <w:spacing w:before="60" w:after="60" w:line="260" w:lineRule="atLeast"/>
              <w:rPr>
                <w:b/>
                <w:bCs/>
                <w:sz w:val="20"/>
                <w:szCs w:val="20"/>
              </w:rPr>
            </w:pPr>
            <w:r w:rsidRPr="005D6D89">
              <w:rPr>
                <w:b/>
                <w:bCs/>
                <w:sz w:val="20"/>
                <w:szCs w:val="20"/>
              </w:rPr>
              <w:t>Wellbeing</w:t>
            </w:r>
          </w:p>
        </w:tc>
        <w:tc>
          <w:tcPr>
            <w:tcW w:w="3621" w:type="pct"/>
            <w:shd w:val="clear" w:color="auto" w:fill="auto"/>
            <w:tcMar>
              <w:top w:w="0" w:type="dxa"/>
            </w:tcMar>
          </w:tcPr>
          <w:p w14:paraId="07E64DA5" w14:textId="77777777" w:rsidR="00005F79" w:rsidRPr="005D6D89" w:rsidRDefault="00005F79" w:rsidP="00D15DD9">
            <w:pPr>
              <w:pStyle w:val="BodyText"/>
              <w:spacing w:before="60" w:after="60" w:line="260" w:lineRule="atLeast"/>
              <w:rPr>
                <w:sz w:val="20"/>
                <w:szCs w:val="20"/>
              </w:rPr>
            </w:pPr>
            <w:r w:rsidRPr="005D6D89">
              <w:rPr>
                <w:sz w:val="20"/>
                <w:szCs w:val="20"/>
              </w:rPr>
              <w:t xml:space="preserve">Wellbeing </w:t>
            </w:r>
            <w:proofErr w:type="gramStart"/>
            <w:r w:rsidRPr="005D6D89">
              <w:rPr>
                <w:sz w:val="20"/>
                <w:szCs w:val="20"/>
              </w:rPr>
              <w:t>is achieved</w:t>
            </w:r>
            <w:proofErr w:type="gramEnd"/>
            <w:r w:rsidRPr="005D6D89">
              <w:rPr>
                <w:sz w:val="20"/>
                <w:szCs w:val="20"/>
              </w:rPr>
              <w:t xml:space="preserve"> when people are able to lead fulfilling lives with purpose, balance and meaning (The Treasury 2019a). The Treasury Living Standards Framework notes that intergenerational wellbeing relies on growth, distribution and sustainability of four interdependent capitals: natural, social, human and financial/physical. </w:t>
            </w:r>
            <w:r w:rsidRPr="00C75C4E">
              <w:rPr>
                <w:sz w:val="20"/>
                <w:szCs w:val="20"/>
              </w:rPr>
              <w:t>The</w:t>
            </w:r>
            <w:r w:rsidR="00903555" w:rsidRPr="00C75C4E">
              <w:rPr>
                <w:sz w:val="20"/>
                <w:szCs w:val="20"/>
              </w:rPr>
              <w:t xml:space="preserve"> </w:t>
            </w:r>
            <w:r w:rsidRPr="00C75C4E">
              <w:rPr>
                <w:sz w:val="20"/>
                <w:szCs w:val="20"/>
              </w:rPr>
              <w:t>Crown</w:t>
            </w:r>
            <w:r w:rsidR="000B1C91" w:rsidRPr="00C75C4E">
              <w:rPr>
                <w:sz w:val="20"/>
                <w:szCs w:val="20"/>
              </w:rPr>
              <w:t>–</w:t>
            </w:r>
            <w:r w:rsidRPr="005D6D89">
              <w:rPr>
                <w:sz w:val="20"/>
                <w:szCs w:val="20"/>
              </w:rPr>
              <w:t xml:space="preserve">Māori relationship is integral to all four capitals (The Treasury, 2018). Within te ao Māori – the Māori world – the drivers of wellbeing </w:t>
            </w:r>
            <w:proofErr w:type="gramStart"/>
            <w:r w:rsidRPr="005D6D89">
              <w:rPr>
                <w:sz w:val="20"/>
                <w:szCs w:val="20"/>
              </w:rPr>
              <w:t>are considered</w:t>
            </w:r>
            <w:proofErr w:type="gramEnd"/>
            <w:r w:rsidRPr="005D6D89">
              <w:rPr>
                <w:sz w:val="20"/>
                <w:szCs w:val="20"/>
              </w:rPr>
              <w:t xml:space="preserve"> against the values that imbue te ao Māori with a holistic perspective. These values are interconnected and span multiple aspects of wellbeing. Wellbeing results from the application of these values through knowledge, beliefs and practices (The Treasury, 2019b).</w:t>
            </w:r>
          </w:p>
        </w:tc>
      </w:tr>
    </w:tbl>
    <w:p w14:paraId="344CA002" w14:textId="77777777" w:rsidR="00295D6B" w:rsidRPr="005D6D89" w:rsidRDefault="00295D6B">
      <w:pPr>
        <w:spacing w:before="0" w:after="200" w:line="276" w:lineRule="auto"/>
        <w:jc w:val="left"/>
      </w:pPr>
    </w:p>
    <w:p w14:paraId="7AA342AB" w14:textId="77777777" w:rsidR="00E9720B" w:rsidRPr="005D6D89" w:rsidRDefault="00E9720B">
      <w:pPr>
        <w:spacing w:before="0" w:after="200" w:line="276" w:lineRule="auto"/>
        <w:jc w:val="left"/>
      </w:pPr>
      <w:r w:rsidRPr="005D6D89">
        <w:br w:type="page"/>
      </w:r>
    </w:p>
    <w:p w14:paraId="64418112" w14:textId="77777777" w:rsidR="00E9720B" w:rsidRPr="005D6D89" w:rsidRDefault="00C01530" w:rsidP="00C01530">
      <w:pPr>
        <w:pStyle w:val="Heading1"/>
      </w:pPr>
      <w:bookmarkStart w:id="553" w:name="_Toc43064152"/>
      <w:r w:rsidRPr="005D6D89">
        <w:t xml:space="preserve">Appendix B: </w:t>
      </w:r>
      <w:r w:rsidR="00E9720B" w:rsidRPr="005D6D89">
        <w:t>Te reo glossary</w:t>
      </w:r>
      <w:bookmarkEnd w:id="553"/>
    </w:p>
    <w:tbl>
      <w:tblPr>
        <w:tblStyle w:val="TableGrid"/>
        <w:tblW w:w="8618" w:type="dxa"/>
        <w:tblInd w:w="108"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127"/>
        <w:gridCol w:w="6491"/>
      </w:tblGrid>
      <w:tr w:rsidR="00B22C8E" w:rsidRPr="005D6D89" w14:paraId="278656AC" w14:textId="77777777" w:rsidTr="0002326C">
        <w:trPr>
          <w:tblHeader/>
        </w:trPr>
        <w:tc>
          <w:tcPr>
            <w:tcW w:w="2127" w:type="dxa"/>
            <w:shd w:val="clear" w:color="auto" w:fill="1C556C" w:themeFill="accent1"/>
          </w:tcPr>
          <w:p w14:paraId="40017F8F" w14:textId="77777777" w:rsidR="00B22C8E" w:rsidRPr="005D6D89" w:rsidRDefault="00B22C8E" w:rsidP="00C01530">
            <w:pPr>
              <w:pStyle w:val="BodyText"/>
              <w:spacing w:before="60" w:after="60" w:line="260" w:lineRule="atLeast"/>
              <w:rPr>
                <w:b/>
                <w:bCs/>
                <w:color w:val="FFFFFF" w:themeColor="background1"/>
              </w:rPr>
            </w:pPr>
            <w:r w:rsidRPr="005D6D89">
              <w:rPr>
                <w:b/>
                <w:bCs/>
                <w:color w:val="FFFFFF" w:themeColor="background1"/>
              </w:rPr>
              <w:t>Key term</w:t>
            </w:r>
          </w:p>
        </w:tc>
        <w:tc>
          <w:tcPr>
            <w:tcW w:w="6491" w:type="dxa"/>
            <w:shd w:val="clear" w:color="auto" w:fill="1C556C" w:themeFill="accent1"/>
          </w:tcPr>
          <w:p w14:paraId="148759A2" w14:textId="77777777" w:rsidR="00B22C8E" w:rsidRPr="005D6D89" w:rsidRDefault="00B22C8E" w:rsidP="00C01530">
            <w:pPr>
              <w:pStyle w:val="BodyText"/>
              <w:spacing w:before="60" w:after="60" w:line="260" w:lineRule="atLeast"/>
              <w:rPr>
                <w:color w:val="FFFFFF" w:themeColor="background1"/>
              </w:rPr>
            </w:pPr>
            <w:r w:rsidRPr="005D6D89">
              <w:rPr>
                <w:b/>
                <w:bCs/>
                <w:color w:val="FFFFFF" w:themeColor="background1"/>
              </w:rPr>
              <w:t>Definition</w:t>
            </w:r>
          </w:p>
        </w:tc>
      </w:tr>
      <w:tr w:rsidR="00E9720B" w:rsidRPr="005D6D89" w14:paraId="1F391C1D" w14:textId="77777777" w:rsidTr="0002326C">
        <w:tc>
          <w:tcPr>
            <w:tcW w:w="2127" w:type="dxa"/>
          </w:tcPr>
          <w:p w14:paraId="67B7CE83" w14:textId="77777777" w:rsidR="00E9720B" w:rsidRPr="005D6D89" w:rsidRDefault="00E9720B" w:rsidP="00C01530">
            <w:pPr>
              <w:pStyle w:val="BodyText"/>
              <w:spacing w:before="60" w:after="60" w:line="260" w:lineRule="atLeast"/>
              <w:rPr>
                <w:b/>
                <w:bCs/>
              </w:rPr>
            </w:pPr>
            <w:r w:rsidRPr="005D6D89">
              <w:rPr>
                <w:b/>
                <w:bCs/>
              </w:rPr>
              <w:t>Māori</w:t>
            </w:r>
          </w:p>
        </w:tc>
        <w:tc>
          <w:tcPr>
            <w:tcW w:w="6491" w:type="dxa"/>
          </w:tcPr>
          <w:p w14:paraId="117A631D" w14:textId="77777777" w:rsidR="00E9720B" w:rsidRPr="005D6D89" w:rsidRDefault="00E9720B" w:rsidP="00C01530">
            <w:pPr>
              <w:pStyle w:val="BodyText"/>
              <w:spacing w:before="60" w:after="60" w:line="260" w:lineRule="atLeast"/>
            </w:pPr>
            <w:r w:rsidRPr="005D6D89">
              <w:t>English</w:t>
            </w:r>
          </w:p>
        </w:tc>
      </w:tr>
      <w:tr w:rsidR="00E9720B" w:rsidRPr="005D6D89" w14:paraId="6CFA9695" w14:textId="77777777" w:rsidTr="0002326C">
        <w:tc>
          <w:tcPr>
            <w:tcW w:w="2127" w:type="dxa"/>
          </w:tcPr>
          <w:p w14:paraId="6CF8506F" w14:textId="77777777" w:rsidR="00E9720B" w:rsidRPr="005D6D89" w:rsidRDefault="00E9720B" w:rsidP="00C01530">
            <w:pPr>
              <w:pStyle w:val="BodyText"/>
              <w:spacing w:before="60" w:after="60" w:line="260" w:lineRule="atLeast"/>
              <w:rPr>
                <w:b/>
                <w:bCs/>
              </w:rPr>
            </w:pPr>
            <w:bookmarkStart w:id="554" w:name="ahurea"/>
            <w:r w:rsidRPr="005D6D89">
              <w:rPr>
                <w:b/>
                <w:bCs/>
              </w:rPr>
              <w:t>Ahurea</w:t>
            </w:r>
            <w:bookmarkEnd w:id="554"/>
            <w:r w:rsidRPr="005D6D89">
              <w:rPr>
                <w:b/>
                <w:bCs/>
              </w:rPr>
              <w:t xml:space="preserve"> </w:t>
            </w:r>
          </w:p>
        </w:tc>
        <w:tc>
          <w:tcPr>
            <w:tcW w:w="6491" w:type="dxa"/>
          </w:tcPr>
          <w:p w14:paraId="0D32B29B" w14:textId="77777777" w:rsidR="00E9720B" w:rsidRPr="005D6D89" w:rsidRDefault="00E9720B" w:rsidP="00C01530">
            <w:pPr>
              <w:pStyle w:val="BodyText"/>
              <w:spacing w:before="60" w:after="60" w:line="260" w:lineRule="atLeast"/>
            </w:pPr>
            <w:r w:rsidRPr="005D6D89">
              <w:t>Culture</w:t>
            </w:r>
          </w:p>
        </w:tc>
      </w:tr>
      <w:tr w:rsidR="00E9720B" w:rsidRPr="005D6D89" w14:paraId="0F92F707" w14:textId="77777777" w:rsidTr="0002326C">
        <w:tc>
          <w:tcPr>
            <w:tcW w:w="2127" w:type="dxa"/>
          </w:tcPr>
          <w:p w14:paraId="646FCDC2" w14:textId="77777777" w:rsidR="00E9720B" w:rsidRPr="005D6D89" w:rsidRDefault="00E9720B" w:rsidP="00C01530">
            <w:pPr>
              <w:pStyle w:val="BodyText"/>
              <w:spacing w:before="60" w:after="60" w:line="260" w:lineRule="atLeast"/>
              <w:rPr>
                <w:b/>
                <w:bCs/>
              </w:rPr>
            </w:pPr>
            <w:r w:rsidRPr="005D6D89">
              <w:rPr>
                <w:b/>
                <w:bCs/>
              </w:rPr>
              <w:t>Awhina</w:t>
            </w:r>
            <w:r w:rsidR="00027F9F" w:rsidRPr="005D6D89">
              <w:rPr>
                <w:b/>
                <w:bCs/>
              </w:rPr>
              <w:t xml:space="preserve"> </w:t>
            </w:r>
          </w:p>
        </w:tc>
        <w:tc>
          <w:tcPr>
            <w:tcW w:w="6491" w:type="dxa"/>
          </w:tcPr>
          <w:p w14:paraId="30358097" w14:textId="77777777" w:rsidR="00E9720B" w:rsidRPr="005D6D89" w:rsidRDefault="00E9720B" w:rsidP="00C01530">
            <w:pPr>
              <w:pStyle w:val="BodyText"/>
              <w:spacing w:before="60" w:after="60" w:line="260" w:lineRule="atLeast"/>
              <w:rPr>
                <w:color w:val="000000"/>
              </w:rPr>
            </w:pPr>
            <w:r w:rsidRPr="005D6D89">
              <w:t>Support</w:t>
            </w:r>
          </w:p>
        </w:tc>
      </w:tr>
      <w:tr w:rsidR="00E9720B" w:rsidRPr="005D6D89" w14:paraId="4F01D724" w14:textId="77777777" w:rsidTr="0002326C">
        <w:tc>
          <w:tcPr>
            <w:tcW w:w="2127" w:type="dxa"/>
          </w:tcPr>
          <w:p w14:paraId="141B76AD" w14:textId="77777777" w:rsidR="00E9720B" w:rsidRPr="005D6D89" w:rsidRDefault="00E9720B" w:rsidP="00C01530">
            <w:pPr>
              <w:pStyle w:val="BodyText"/>
              <w:spacing w:before="60" w:after="60" w:line="260" w:lineRule="atLeast"/>
              <w:rPr>
                <w:b/>
                <w:bCs/>
              </w:rPr>
            </w:pPr>
            <w:r w:rsidRPr="005D6D89">
              <w:rPr>
                <w:b/>
                <w:bCs/>
              </w:rPr>
              <w:t>Hapū</w:t>
            </w:r>
            <w:r w:rsidR="00027F9F" w:rsidRPr="005D6D89">
              <w:rPr>
                <w:b/>
                <w:bCs/>
              </w:rPr>
              <w:t xml:space="preserve"> </w:t>
            </w:r>
          </w:p>
        </w:tc>
        <w:tc>
          <w:tcPr>
            <w:tcW w:w="6491" w:type="dxa"/>
          </w:tcPr>
          <w:p w14:paraId="7CA487FC" w14:textId="77777777" w:rsidR="00E9720B" w:rsidRPr="005D6D89" w:rsidRDefault="00E9720B" w:rsidP="00C01530">
            <w:pPr>
              <w:pStyle w:val="BodyText"/>
              <w:spacing w:before="60" w:after="60" w:line="260" w:lineRule="atLeast"/>
            </w:pPr>
            <w:r w:rsidRPr="005D6D89">
              <w:rPr>
                <w:color w:val="000000"/>
              </w:rPr>
              <w:t>A section of a tribe, secondary tribe</w:t>
            </w:r>
          </w:p>
        </w:tc>
      </w:tr>
      <w:tr w:rsidR="00E9720B" w:rsidRPr="005D6D89" w14:paraId="12A5C5F4" w14:textId="77777777" w:rsidTr="0002326C">
        <w:trPr>
          <w:trHeight w:val="326"/>
        </w:trPr>
        <w:tc>
          <w:tcPr>
            <w:tcW w:w="2127" w:type="dxa"/>
          </w:tcPr>
          <w:p w14:paraId="14A75F04" w14:textId="77777777" w:rsidR="00E9720B" w:rsidRPr="005D6D89" w:rsidRDefault="00E9720B" w:rsidP="00C01530">
            <w:pPr>
              <w:pStyle w:val="BodyText"/>
              <w:spacing w:before="60" w:after="60" w:line="260" w:lineRule="atLeast"/>
              <w:rPr>
                <w:b/>
                <w:bCs/>
              </w:rPr>
            </w:pPr>
            <w:r w:rsidRPr="005D6D89">
              <w:rPr>
                <w:b/>
                <w:bCs/>
              </w:rPr>
              <w:t>Hui</w:t>
            </w:r>
          </w:p>
        </w:tc>
        <w:tc>
          <w:tcPr>
            <w:tcW w:w="6491" w:type="dxa"/>
          </w:tcPr>
          <w:p w14:paraId="73F4D53F" w14:textId="77777777" w:rsidR="00E9720B" w:rsidRPr="005D6D89" w:rsidRDefault="00E9720B" w:rsidP="00C01530">
            <w:pPr>
              <w:pStyle w:val="BodyText"/>
              <w:spacing w:before="60" w:after="60" w:line="260" w:lineRule="atLeast"/>
            </w:pPr>
            <w:r w:rsidRPr="005D6D89">
              <w:t>Meeting, gathering</w:t>
            </w:r>
          </w:p>
        </w:tc>
      </w:tr>
      <w:tr w:rsidR="00E9720B" w:rsidRPr="005D6D89" w14:paraId="547CF717" w14:textId="77777777" w:rsidTr="0002326C">
        <w:trPr>
          <w:trHeight w:val="326"/>
        </w:trPr>
        <w:tc>
          <w:tcPr>
            <w:tcW w:w="2127" w:type="dxa"/>
          </w:tcPr>
          <w:p w14:paraId="7CA7E30D" w14:textId="77777777" w:rsidR="00E9720B" w:rsidRPr="005D6D89" w:rsidRDefault="00E9720B" w:rsidP="00C01530">
            <w:pPr>
              <w:pStyle w:val="BodyText"/>
              <w:spacing w:before="60" w:after="60" w:line="260" w:lineRule="atLeast"/>
              <w:rPr>
                <w:b/>
                <w:bCs/>
              </w:rPr>
            </w:pPr>
            <w:r w:rsidRPr="005D6D89">
              <w:rPr>
                <w:b/>
                <w:bCs/>
              </w:rPr>
              <w:t xml:space="preserve">Huringa āhuarangi </w:t>
            </w:r>
          </w:p>
        </w:tc>
        <w:tc>
          <w:tcPr>
            <w:tcW w:w="6491" w:type="dxa"/>
          </w:tcPr>
          <w:p w14:paraId="4FBE5984" w14:textId="77777777" w:rsidR="00E9720B" w:rsidRPr="005D6D89" w:rsidRDefault="00E9720B" w:rsidP="00C01530">
            <w:pPr>
              <w:pStyle w:val="BodyText"/>
              <w:spacing w:before="60" w:after="60" w:line="260" w:lineRule="atLeast"/>
            </w:pPr>
            <w:r w:rsidRPr="005D6D89">
              <w:t>Climate change</w:t>
            </w:r>
          </w:p>
        </w:tc>
      </w:tr>
      <w:tr w:rsidR="00E9720B" w:rsidRPr="005D6D89" w14:paraId="17EEE661" w14:textId="77777777" w:rsidTr="0002326C">
        <w:tc>
          <w:tcPr>
            <w:tcW w:w="2127" w:type="dxa"/>
          </w:tcPr>
          <w:p w14:paraId="59201AE6" w14:textId="77777777" w:rsidR="00E9720B" w:rsidRPr="005D6D89" w:rsidRDefault="00E9720B" w:rsidP="00C01530">
            <w:pPr>
              <w:pStyle w:val="BodyText"/>
              <w:spacing w:before="60" w:after="60" w:line="260" w:lineRule="atLeast"/>
              <w:rPr>
                <w:b/>
                <w:bCs/>
              </w:rPr>
            </w:pPr>
            <w:r w:rsidRPr="005D6D89">
              <w:rPr>
                <w:b/>
                <w:bCs/>
              </w:rPr>
              <w:t xml:space="preserve">Iwi </w:t>
            </w:r>
          </w:p>
        </w:tc>
        <w:tc>
          <w:tcPr>
            <w:tcW w:w="6491" w:type="dxa"/>
          </w:tcPr>
          <w:p w14:paraId="3FB4D8D3" w14:textId="77777777" w:rsidR="00E9720B" w:rsidRPr="005D6D89" w:rsidRDefault="00E9720B" w:rsidP="00C01530">
            <w:pPr>
              <w:pStyle w:val="BodyText"/>
              <w:spacing w:before="60" w:after="60" w:line="260" w:lineRule="atLeast"/>
            </w:pPr>
            <w:r w:rsidRPr="005D6D89">
              <w:t>Tribe, tribal group</w:t>
            </w:r>
          </w:p>
        </w:tc>
      </w:tr>
      <w:tr w:rsidR="00E9720B" w:rsidRPr="005D6D89" w14:paraId="5C5612B0" w14:textId="77777777" w:rsidTr="0002326C">
        <w:tc>
          <w:tcPr>
            <w:tcW w:w="2127" w:type="dxa"/>
          </w:tcPr>
          <w:p w14:paraId="4308D4E8" w14:textId="77777777" w:rsidR="00E9720B" w:rsidRPr="005D6D89" w:rsidRDefault="00E9720B" w:rsidP="00C01530">
            <w:pPr>
              <w:pStyle w:val="BodyText"/>
              <w:spacing w:before="60" w:after="60" w:line="260" w:lineRule="atLeast"/>
              <w:rPr>
                <w:b/>
                <w:bCs/>
              </w:rPr>
            </w:pPr>
            <w:r w:rsidRPr="005D6D89">
              <w:rPr>
                <w:b/>
                <w:bCs/>
              </w:rPr>
              <w:t xml:space="preserve">Kaitiakitanga </w:t>
            </w:r>
          </w:p>
        </w:tc>
        <w:tc>
          <w:tcPr>
            <w:tcW w:w="6491" w:type="dxa"/>
          </w:tcPr>
          <w:p w14:paraId="44DC8E90" w14:textId="77777777" w:rsidR="00E9720B" w:rsidRPr="005D6D89" w:rsidRDefault="00E9720B" w:rsidP="00C01530">
            <w:pPr>
              <w:pStyle w:val="BodyText"/>
              <w:spacing w:before="60" w:after="60" w:line="260" w:lineRule="atLeast"/>
            </w:pPr>
            <w:r w:rsidRPr="005D6D89">
              <w:t>Stewardship of natural resources; intergenerational sustainability</w:t>
            </w:r>
          </w:p>
        </w:tc>
      </w:tr>
      <w:tr w:rsidR="00E9720B" w:rsidRPr="005D6D89" w14:paraId="17138FC7" w14:textId="77777777" w:rsidTr="0002326C">
        <w:tc>
          <w:tcPr>
            <w:tcW w:w="2127" w:type="dxa"/>
          </w:tcPr>
          <w:p w14:paraId="6D17C4C0" w14:textId="77777777" w:rsidR="00E9720B" w:rsidRPr="005D6D89" w:rsidRDefault="00E9720B" w:rsidP="00C01530">
            <w:pPr>
              <w:pStyle w:val="BodyText"/>
              <w:spacing w:before="60" w:after="60" w:line="260" w:lineRule="atLeast"/>
              <w:rPr>
                <w:b/>
                <w:bCs/>
              </w:rPr>
            </w:pPr>
            <w:bookmarkStart w:id="555" w:name="kaumatua"/>
            <w:r w:rsidRPr="005D6D89">
              <w:rPr>
                <w:b/>
                <w:bCs/>
              </w:rPr>
              <w:t>Kaumātua</w:t>
            </w:r>
            <w:bookmarkEnd w:id="555"/>
            <w:r w:rsidRPr="005D6D89">
              <w:rPr>
                <w:b/>
                <w:bCs/>
              </w:rPr>
              <w:t xml:space="preserve"> </w:t>
            </w:r>
          </w:p>
        </w:tc>
        <w:tc>
          <w:tcPr>
            <w:tcW w:w="6491" w:type="dxa"/>
          </w:tcPr>
          <w:p w14:paraId="43E3D949" w14:textId="77777777" w:rsidR="00E9720B" w:rsidRPr="005D6D89" w:rsidRDefault="00E9720B" w:rsidP="00C01530">
            <w:pPr>
              <w:pStyle w:val="BodyText"/>
              <w:spacing w:before="60" w:after="60" w:line="260" w:lineRule="atLeast"/>
            </w:pPr>
            <w:r w:rsidRPr="005D6D89">
              <w:t xml:space="preserve">Elder, person of status </w:t>
            </w:r>
          </w:p>
        </w:tc>
      </w:tr>
      <w:tr w:rsidR="00E9720B" w:rsidRPr="005D6D89" w14:paraId="18E20E39" w14:textId="77777777" w:rsidTr="0002326C">
        <w:tc>
          <w:tcPr>
            <w:tcW w:w="2127" w:type="dxa"/>
          </w:tcPr>
          <w:p w14:paraId="647F78FE" w14:textId="77777777" w:rsidR="00E9720B" w:rsidRPr="005D6D89" w:rsidRDefault="00E9720B" w:rsidP="00C01530">
            <w:pPr>
              <w:pStyle w:val="BodyText"/>
              <w:spacing w:before="60" w:after="60" w:line="260" w:lineRule="atLeast"/>
              <w:rPr>
                <w:b/>
                <w:bCs/>
              </w:rPr>
            </w:pPr>
            <w:bookmarkStart w:id="556" w:name="kaupapa"/>
            <w:r w:rsidRPr="005D6D89">
              <w:rPr>
                <w:b/>
                <w:bCs/>
              </w:rPr>
              <w:t>Kaupapa</w:t>
            </w:r>
            <w:bookmarkEnd w:id="556"/>
          </w:p>
        </w:tc>
        <w:tc>
          <w:tcPr>
            <w:tcW w:w="6491" w:type="dxa"/>
          </w:tcPr>
          <w:p w14:paraId="09518EDB" w14:textId="77777777" w:rsidR="00E9720B" w:rsidRPr="005D6D89" w:rsidRDefault="00E9720B" w:rsidP="00C01530">
            <w:pPr>
              <w:pStyle w:val="BodyText"/>
              <w:spacing w:before="60" w:after="60" w:line="260" w:lineRule="atLeast"/>
            </w:pPr>
            <w:r w:rsidRPr="005D6D89">
              <w:t>Topic, subject</w:t>
            </w:r>
          </w:p>
        </w:tc>
      </w:tr>
      <w:tr w:rsidR="00E9720B" w:rsidRPr="005D6D89" w14:paraId="7828381A" w14:textId="77777777" w:rsidTr="0002326C">
        <w:tc>
          <w:tcPr>
            <w:tcW w:w="2127" w:type="dxa"/>
          </w:tcPr>
          <w:p w14:paraId="3348700F" w14:textId="77777777" w:rsidR="00E9720B" w:rsidRPr="005D6D89" w:rsidRDefault="00E9720B" w:rsidP="00C01530">
            <w:pPr>
              <w:pStyle w:val="BodyText"/>
              <w:spacing w:before="60" w:after="60" w:line="260" w:lineRule="atLeast"/>
              <w:rPr>
                <w:b/>
                <w:bCs/>
              </w:rPr>
            </w:pPr>
            <w:r w:rsidRPr="005D6D89">
              <w:rPr>
                <w:b/>
                <w:bCs/>
              </w:rPr>
              <w:t>Kaupapa Māori</w:t>
            </w:r>
          </w:p>
        </w:tc>
        <w:tc>
          <w:tcPr>
            <w:tcW w:w="6491" w:type="dxa"/>
          </w:tcPr>
          <w:p w14:paraId="7CFFB0A2" w14:textId="77777777" w:rsidR="00E9720B" w:rsidRPr="005D6D89" w:rsidRDefault="00E9720B" w:rsidP="00C01530">
            <w:pPr>
              <w:pStyle w:val="BodyText"/>
              <w:spacing w:before="60" w:after="60" w:line="260" w:lineRule="atLeast"/>
            </w:pPr>
            <w:r w:rsidRPr="005D6D89">
              <w:t xml:space="preserve">This concept has many definitions and </w:t>
            </w:r>
            <w:proofErr w:type="gramStart"/>
            <w:r w:rsidRPr="005D6D89">
              <w:t>is used</w:t>
            </w:r>
            <w:proofErr w:type="gramEnd"/>
            <w:r w:rsidRPr="005D6D89">
              <w:t xml:space="preserve"> in various contexts. To ensure that nothing </w:t>
            </w:r>
            <w:proofErr w:type="gramStart"/>
            <w:r w:rsidRPr="005D6D89">
              <w:t>is left out,</w:t>
            </w:r>
            <w:proofErr w:type="gramEnd"/>
            <w:r w:rsidRPr="005D6D89">
              <w:t xml:space="preserve"> we offer those broader definitions here: Māori approach, topic, customary practice, institution, agenda, principles, ideology – a philosophical doctrine, incorporating the knowledge, skills, attitudes and values of Māori society (Ministry for the Environment, 2019).</w:t>
            </w:r>
          </w:p>
        </w:tc>
      </w:tr>
      <w:tr w:rsidR="00E9720B" w:rsidRPr="005D6D89" w14:paraId="3EF8EB79" w14:textId="77777777" w:rsidTr="0002326C">
        <w:tc>
          <w:tcPr>
            <w:tcW w:w="2127" w:type="dxa"/>
          </w:tcPr>
          <w:p w14:paraId="39FD2406" w14:textId="77777777" w:rsidR="00E9720B" w:rsidRPr="005D6D89" w:rsidRDefault="00E9720B" w:rsidP="00C01530">
            <w:pPr>
              <w:pStyle w:val="BodyText"/>
              <w:spacing w:before="60" w:after="60" w:line="260" w:lineRule="atLeast"/>
              <w:rPr>
                <w:b/>
                <w:bCs/>
              </w:rPr>
            </w:pPr>
            <w:r w:rsidRPr="005D6D89">
              <w:rPr>
                <w:b/>
                <w:bCs/>
              </w:rPr>
              <w:t xml:space="preserve">Kawa </w:t>
            </w:r>
          </w:p>
        </w:tc>
        <w:tc>
          <w:tcPr>
            <w:tcW w:w="6491" w:type="dxa"/>
          </w:tcPr>
          <w:p w14:paraId="3F5BC748" w14:textId="77777777" w:rsidR="00E9720B" w:rsidRPr="005D6D89" w:rsidRDefault="00E9720B" w:rsidP="00C01530">
            <w:pPr>
              <w:pStyle w:val="BodyText"/>
              <w:spacing w:before="60" w:after="60" w:line="260" w:lineRule="atLeast"/>
            </w:pPr>
            <w:r w:rsidRPr="005D6D89">
              <w:t>Ceremony, protocol</w:t>
            </w:r>
          </w:p>
        </w:tc>
      </w:tr>
      <w:tr w:rsidR="00E9720B" w:rsidRPr="005D6D89" w14:paraId="60EB6533" w14:textId="77777777" w:rsidTr="0002326C">
        <w:tc>
          <w:tcPr>
            <w:tcW w:w="2127" w:type="dxa"/>
          </w:tcPr>
          <w:p w14:paraId="6E6E6462" w14:textId="77777777" w:rsidR="00E9720B" w:rsidRPr="005D6D89" w:rsidRDefault="00E9720B" w:rsidP="00C01530">
            <w:pPr>
              <w:pStyle w:val="BodyText"/>
              <w:spacing w:before="60" w:after="60" w:line="260" w:lineRule="atLeast"/>
              <w:rPr>
                <w:rFonts w:cs="Arial"/>
                <w:b/>
                <w:bCs/>
                <w:color w:val="000000"/>
              </w:rPr>
            </w:pPr>
            <w:r w:rsidRPr="005D6D89">
              <w:rPr>
                <w:rFonts w:cs="Arial"/>
                <w:b/>
                <w:bCs/>
                <w:color w:val="000000"/>
              </w:rPr>
              <w:t>Korero</w:t>
            </w:r>
          </w:p>
        </w:tc>
        <w:tc>
          <w:tcPr>
            <w:tcW w:w="6491" w:type="dxa"/>
          </w:tcPr>
          <w:p w14:paraId="1C0E053B" w14:textId="77777777" w:rsidR="00E9720B" w:rsidRPr="005D6D89" w:rsidRDefault="00FF2001" w:rsidP="00C01530">
            <w:pPr>
              <w:pStyle w:val="BodyText"/>
              <w:spacing w:before="60" w:after="60" w:line="260" w:lineRule="atLeast"/>
            </w:pPr>
            <w:r>
              <w:t>Talk, discourse, information</w:t>
            </w:r>
          </w:p>
        </w:tc>
      </w:tr>
      <w:tr w:rsidR="00E9720B" w:rsidRPr="005D6D89" w14:paraId="6095E84B" w14:textId="77777777" w:rsidTr="0002326C">
        <w:tc>
          <w:tcPr>
            <w:tcW w:w="2127" w:type="dxa"/>
          </w:tcPr>
          <w:p w14:paraId="41963B48" w14:textId="77777777" w:rsidR="00E9720B" w:rsidRPr="005D6D89" w:rsidRDefault="00E9720B" w:rsidP="00C01530">
            <w:pPr>
              <w:pStyle w:val="BodyText"/>
              <w:spacing w:before="60" w:after="60" w:line="260" w:lineRule="atLeast"/>
              <w:rPr>
                <w:b/>
                <w:bCs/>
              </w:rPr>
            </w:pPr>
            <w:r w:rsidRPr="005D6D89">
              <w:rPr>
                <w:rFonts w:cs="Arial"/>
                <w:b/>
                <w:bCs/>
                <w:color w:val="000000"/>
              </w:rPr>
              <w:t>Kura taiao</w:t>
            </w:r>
          </w:p>
        </w:tc>
        <w:tc>
          <w:tcPr>
            <w:tcW w:w="6491" w:type="dxa"/>
          </w:tcPr>
          <w:p w14:paraId="3B6D0642" w14:textId="77777777" w:rsidR="00E9720B" w:rsidRPr="005D6D89" w:rsidRDefault="002941FF" w:rsidP="00C01530">
            <w:pPr>
              <w:pStyle w:val="BodyText"/>
              <w:spacing w:before="60" w:after="60" w:line="260" w:lineRule="atLeast"/>
            </w:pPr>
            <w:r>
              <w:rPr>
                <w:rFonts w:cs="Arial"/>
                <w:color w:val="000000"/>
              </w:rPr>
              <w:t>L</w:t>
            </w:r>
            <w:r w:rsidR="00E9720B" w:rsidRPr="005D6D89">
              <w:rPr>
                <w:rFonts w:cs="Arial"/>
                <w:color w:val="000000"/>
              </w:rPr>
              <w:t>iving treasures, and the ecosystems which they form in terrestrial, fre</w:t>
            </w:r>
            <w:r>
              <w:rPr>
                <w:rFonts w:cs="Arial"/>
                <w:color w:val="000000"/>
              </w:rPr>
              <w:t>shwater and marine environments</w:t>
            </w:r>
          </w:p>
        </w:tc>
      </w:tr>
      <w:tr w:rsidR="00E9720B" w:rsidRPr="005D6D89" w14:paraId="6796654D" w14:textId="77777777" w:rsidTr="0002326C">
        <w:tc>
          <w:tcPr>
            <w:tcW w:w="2127" w:type="dxa"/>
          </w:tcPr>
          <w:p w14:paraId="71FD68AC" w14:textId="77777777" w:rsidR="00E9720B" w:rsidRPr="005D6D89" w:rsidRDefault="00E9720B" w:rsidP="00C01530">
            <w:pPr>
              <w:pStyle w:val="BodyText"/>
              <w:spacing w:before="60" w:after="60" w:line="260" w:lineRule="atLeast"/>
              <w:rPr>
                <w:b/>
                <w:bCs/>
              </w:rPr>
            </w:pPr>
            <w:r w:rsidRPr="005D6D89">
              <w:rPr>
                <w:b/>
                <w:bCs/>
              </w:rPr>
              <w:t xml:space="preserve">Mahi ngātahi </w:t>
            </w:r>
          </w:p>
        </w:tc>
        <w:tc>
          <w:tcPr>
            <w:tcW w:w="6491" w:type="dxa"/>
          </w:tcPr>
          <w:p w14:paraId="21A5901D" w14:textId="77777777" w:rsidR="00E9720B" w:rsidRPr="005D6D89" w:rsidRDefault="00E9720B" w:rsidP="00C01530">
            <w:pPr>
              <w:pStyle w:val="BodyText"/>
              <w:spacing w:before="60" w:after="60" w:line="260" w:lineRule="atLeast"/>
            </w:pPr>
            <w:r w:rsidRPr="005D6D89">
              <w:t xml:space="preserve">Engagement, participation </w:t>
            </w:r>
          </w:p>
        </w:tc>
      </w:tr>
      <w:tr w:rsidR="00E9720B" w:rsidRPr="005D6D89" w14:paraId="676F38CD" w14:textId="77777777" w:rsidTr="0002326C">
        <w:tc>
          <w:tcPr>
            <w:tcW w:w="2127" w:type="dxa"/>
          </w:tcPr>
          <w:p w14:paraId="0FB920BB" w14:textId="77777777" w:rsidR="00E9720B" w:rsidRPr="005D6D89" w:rsidRDefault="00E9720B" w:rsidP="00C01530">
            <w:pPr>
              <w:pStyle w:val="BodyText"/>
              <w:spacing w:before="60" w:after="60" w:line="260" w:lineRule="atLeast"/>
              <w:rPr>
                <w:b/>
                <w:bCs/>
              </w:rPr>
            </w:pPr>
            <w:bookmarkStart w:id="557" w:name="mahingakai"/>
            <w:r w:rsidRPr="005D6D89">
              <w:rPr>
                <w:b/>
                <w:bCs/>
              </w:rPr>
              <w:t>Mahinga kai</w:t>
            </w:r>
            <w:bookmarkEnd w:id="557"/>
            <w:r w:rsidRPr="005D6D89">
              <w:rPr>
                <w:b/>
                <w:bCs/>
              </w:rPr>
              <w:t xml:space="preserve"> </w:t>
            </w:r>
          </w:p>
        </w:tc>
        <w:tc>
          <w:tcPr>
            <w:tcW w:w="6491" w:type="dxa"/>
          </w:tcPr>
          <w:p w14:paraId="4C294CAC" w14:textId="77777777" w:rsidR="00E9720B" w:rsidRPr="005D6D89" w:rsidRDefault="00E9720B" w:rsidP="00C01530">
            <w:pPr>
              <w:pStyle w:val="BodyText"/>
              <w:spacing w:before="60" w:after="60" w:line="260" w:lineRule="atLeast"/>
            </w:pPr>
            <w:r w:rsidRPr="005D6D89">
              <w:t>Food gathering</w:t>
            </w:r>
          </w:p>
        </w:tc>
      </w:tr>
      <w:tr w:rsidR="00E9720B" w:rsidRPr="005D6D89" w14:paraId="43E087B1" w14:textId="77777777" w:rsidTr="0002326C">
        <w:tc>
          <w:tcPr>
            <w:tcW w:w="2127" w:type="dxa"/>
          </w:tcPr>
          <w:p w14:paraId="30E2F3E7" w14:textId="77777777" w:rsidR="00E9720B" w:rsidRPr="005D6D89" w:rsidRDefault="00E9720B" w:rsidP="00C01530">
            <w:pPr>
              <w:pStyle w:val="BodyText"/>
              <w:spacing w:before="60" w:after="60" w:line="260" w:lineRule="atLeast"/>
              <w:rPr>
                <w:b/>
                <w:bCs/>
              </w:rPr>
            </w:pPr>
            <w:r w:rsidRPr="005D6D89">
              <w:rPr>
                <w:b/>
                <w:bCs/>
              </w:rPr>
              <w:t>Mana</w:t>
            </w:r>
          </w:p>
        </w:tc>
        <w:tc>
          <w:tcPr>
            <w:tcW w:w="6491" w:type="dxa"/>
          </w:tcPr>
          <w:p w14:paraId="0DB3C02F" w14:textId="77777777" w:rsidR="00E9720B" w:rsidRPr="005D6D89" w:rsidRDefault="00E9720B" w:rsidP="00C01530">
            <w:pPr>
              <w:pStyle w:val="BodyText"/>
              <w:spacing w:before="60" w:after="60" w:line="260" w:lineRule="atLeast"/>
            </w:pPr>
            <w:r w:rsidRPr="005D6D89">
              <w:t xml:space="preserve">Authority, dignity, governance, power </w:t>
            </w:r>
          </w:p>
        </w:tc>
      </w:tr>
      <w:tr w:rsidR="00E9720B" w:rsidRPr="005D6D89" w14:paraId="09031518" w14:textId="77777777" w:rsidTr="0002326C">
        <w:tc>
          <w:tcPr>
            <w:tcW w:w="2127" w:type="dxa"/>
          </w:tcPr>
          <w:p w14:paraId="17C2691F" w14:textId="77777777" w:rsidR="00E9720B" w:rsidRPr="005D6D89" w:rsidRDefault="00E9720B" w:rsidP="00C01530">
            <w:pPr>
              <w:pStyle w:val="BodyText"/>
              <w:spacing w:before="60" w:after="60" w:line="260" w:lineRule="atLeast"/>
              <w:rPr>
                <w:b/>
                <w:bCs/>
              </w:rPr>
            </w:pPr>
            <w:bookmarkStart w:id="558" w:name="manawhenua"/>
            <w:r w:rsidRPr="005D6D89">
              <w:rPr>
                <w:b/>
                <w:bCs/>
              </w:rPr>
              <w:t>Mana whenua</w:t>
            </w:r>
            <w:bookmarkEnd w:id="558"/>
          </w:p>
        </w:tc>
        <w:tc>
          <w:tcPr>
            <w:tcW w:w="6491" w:type="dxa"/>
          </w:tcPr>
          <w:p w14:paraId="1847793F" w14:textId="77777777" w:rsidR="00E9720B" w:rsidRPr="005D6D89" w:rsidRDefault="00E9720B" w:rsidP="00C01530">
            <w:pPr>
              <w:pStyle w:val="BodyText"/>
              <w:spacing w:before="60" w:after="60" w:line="260" w:lineRule="atLeast"/>
            </w:pPr>
            <w:r w:rsidRPr="005D6D89">
              <w:rPr>
                <w:color w:val="333333"/>
                <w:shd w:val="clear" w:color="auto" w:fill="FFFFFF"/>
              </w:rPr>
              <w:t>Power from/authority over land or territory </w:t>
            </w:r>
          </w:p>
        </w:tc>
      </w:tr>
      <w:tr w:rsidR="00E9720B" w:rsidRPr="005D6D89" w14:paraId="76B686DB" w14:textId="77777777" w:rsidTr="0002326C">
        <w:tc>
          <w:tcPr>
            <w:tcW w:w="2127" w:type="dxa"/>
          </w:tcPr>
          <w:p w14:paraId="564CFDD4" w14:textId="77777777" w:rsidR="00E9720B" w:rsidRPr="005D6D89" w:rsidRDefault="00E9720B" w:rsidP="00C01530">
            <w:pPr>
              <w:pStyle w:val="BodyText"/>
              <w:spacing w:before="60" w:after="60" w:line="260" w:lineRule="atLeast"/>
              <w:rPr>
                <w:b/>
                <w:bCs/>
              </w:rPr>
            </w:pPr>
            <w:r w:rsidRPr="005D6D89">
              <w:rPr>
                <w:b/>
                <w:bCs/>
              </w:rPr>
              <w:t xml:space="preserve">Manaakitanga </w:t>
            </w:r>
          </w:p>
        </w:tc>
        <w:tc>
          <w:tcPr>
            <w:tcW w:w="6491" w:type="dxa"/>
          </w:tcPr>
          <w:p w14:paraId="62B28C20" w14:textId="77777777" w:rsidR="00E9720B" w:rsidRPr="005D6D89" w:rsidRDefault="00E9720B" w:rsidP="00C01530">
            <w:pPr>
              <w:pStyle w:val="BodyText"/>
              <w:spacing w:before="60" w:after="60" w:line="260" w:lineRule="atLeast"/>
            </w:pPr>
            <w:r w:rsidRPr="005D6D89">
              <w:t xml:space="preserve">Care, reciprocity </w:t>
            </w:r>
          </w:p>
        </w:tc>
      </w:tr>
      <w:tr w:rsidR="00E9720B" w:rsidRPr="005D6D89" w14:paraId="73740943" w14:textId="77777777" w:rsidTr="0002326C">
        <w:tc>
          <w:tcPr>
            <w:tcW w:w="2127" w:type="dxa"/>
          </w:tcPr>
          <w:p w14:paraId="53607A97" w14:textId="77777777" w:rsidR="00E9720B" w:rsidRPr="005D6D89" w:rsidRDefault="00E9720B" w:rsidP="00C01530">
            <w:pPr>
              <w:pStyle w:val="BodyText"/>
              <w:spacing w:before="60" w:after="60" w:line="260" w:lineRule="atLeast"/>
              <w:rPr>
                <w:b/>
                <w:bCs/>
              </w:rPr>
            </w:pPr>
            <w:r w:rsidRPr="005D6D89">
              <w:rPr>
                <w:b/>
                <w:bCs/>
              </w:rPr>
              <w:t>Mātāpono</w:t>
            </w:r>
            <w:r w:rsidR="00027F9F" w:rsidRPr="005D6D89">
              <w:rPr>
                <w:b/>
                <w:bCs/>
              </w:rPr>
              <w:t xml:space="preserve"> </w:t>
            </w:r>
          </w:p>
        </w:tc>
        <w:tc>
          <w:tcPr>
            <w:tcW w:w="6491" w:type="dxa"/>
          </w:tcPr>
          <w:p w14:paraId="374BD696" w14:textId="77777777" w:rsidR="00E9720B" w:rsidRPr="005D6D89" w:rsidRDefault="00E9720B" w:rsidP="00C01530">
            <w:pPr>
              <w:pStyle w:val="BodyText"/>
              <w:spacing w:before="60" w:after="60" w:line="260" w:lineRule="atLeast"/>
            </w:pPr>
            <w:r w:rsidRPr="005D6D89">
              <w:t>Principle</w:t>
            </w:r>
          </w:p>
        </w:tc>
      </w:tr>
      <w:tr w:rsidR="00E9720B" w:rsidRPr="005D6D89" w14:paraId="4EC3F698" w14:textId="77777777" w:rsidTr="0002326C">
        <w:tc>
          <w:tcPr>
            <w:tcW w:w="2127" w:type="dxa"/>
          </w:tcPr>
          <w:p w14:paraId="45944833" w14:textId="77777777" w:rsidR="00E9720B" w:rsidRPr="005D6D89" w:rsidRDefault="00E9720B" w:rsidP="00C01530">
            <w:pPr>
              <w:pStyle w:val="BodyText"/>
              <w:spacing w:before="60" w:after="60" w:line="260" w:lineRule="atLeast"/>
              <w:rPr>
                <w:rFonts w:cs="Arial"/>
                <w:b/>
                <w:bCs/>
              </w:rPr>
            </w:pPr>
            <w:bookmarkStart w:id="559" w:name="mataurangamaori"/>
            <w:r w:rsidRPr="005D6D89">
              <w:rPr>
                <w:rFonts w:cs="Arial"/>
                <w:b/>
                <w:bCs/>
              </w:rPr>
              <w:t>Mātauranga Māori</w:t>
            </w:r>
            <w:bookmarkEnd w:id="559"/>
          </w:p>
        </w:tc>
        <w:tc>
          <w:tcPr>
            <w:tcW w:w="6491" w:type="dxa"/>
          </w:tcPr>
          <w:p w14:paraId="64A2A5EA" w14:textId="77777777" w:rsidR="00E9720B" w:rsidRPr="005D6D89" w:rsidRDefault="00E9720B" w:rsidP="00C01530">
            <w:pPr>
              <w:pStyle w:val="BodyText"/>
              <w:spacing w:before="60" w:after="60" w:line="260" w:lineRule="atLeast"/>
              <w:rPr>
                <w:i/>
              </w:rPr>
            </w:pPr>
            <w:r w:rsidRPr="005D6D89">
              <w:t>Māori knowledge systems. These are context specific to indigenous Māori people, and the term has its origins in Aotearoa New Zealand. It has many definitions that cover belief systems, epistemologies, values and knowledge, in a traditional and contemporary sense. The knowledge, comprehension or understanding of everything visible and invisible in the universe (Ministry for the Environment, 2019).</w:t>
            </w:r>
          </w:p>
        </w:tc>
      </w:tr>
      <w:tr w:rsidR="00E9720B" w:rsidRPr="005D6D89" w14:paraId="5D08E739" w14:textId="77777777" w:rsidTr="0002326C">
        <w:tc>
          <w:tcPr>
            <w:tcW w:w="2127" w:type="dxa"/>
          </w:tcPr>
          <w:p w14:paraId="4ED81755" w14:textId="77777777" w:rsidR="00E9720B" w:rsidRPr="005D6D89" w:rsidRDefault="00E9720B" w:rsidP="00C01530">
            <w:pPr>
              <w:pStyle w:val="BodyText"/>
              <w:spacing w:before="60" w:after="60" w:line="260" w:lineRule="atLeast"/>
              <w:rPr>
                <w:b/>
                <w:bCs/>
              </w:rPr>
            </w:pPr>
            <w:r w:rsidRPr="005D6D89">
              <w:rPr>
                <w:b/>
                <w:bCs/>
              </w:rPr>
              <w:t xml:space="preserve">Mauri </w:t>
            </w:r>
          </w:p>
        </w:tc>
        <w:tc>
          <w:tcPr>
            <w:tcW w:w="6491" w:type="dxa"/>
          </w:tcPr>
          <w:p w14:paraId="53040A38" w14:textId="77777777" w:rsidR="00E9720B" w:rsidRPr="005D6D89" w:rsidRDefault="00E9720B" w:rsidP="00C01530">
            <w:pPr>
              <w:pStyle w:val="BodyText"/>
              <w:spacing w:before="60" w:after="60" w:line="260" w:lineRule="atLeast"/>
            </w:pPr>
            <w:r w:rsidRPr="005D6D89">
              <w:t>The life force</w:t>
            </w:r>
          </w:p>
        </w:tc>
      </w:tr>
      <w:tr w:rsidR="00E9720B" w:rsidRPr="005D6D89" w14:paraId="4740C794" w14:textId="77777777" w:rsidTr="0002326C">
        <w:trPr>
          <w:trHeight w:val="297"/>
        </w:trPr>
        <w:tc>
          <w:tcPr>
            <w:tcW w:w="2127" w:type="dxa"/>
          </w:tcPr>
          <w:p w14:paraId="399B7097" w14:textId="77777777" w:rsidR="00E9720B" w:rsidRPr="005D6D89" w:rsidRDefault="00261A84" w:rsidP="00C01530">
            <w:pPr>
              <w:pStyle w:val="BodyText"/>
              <w:spacing w:before="60" w:after="60" w:line="260" w:lineRule="atLeast"/>
              <w:rPr>
                <w:b/>
                <w:bCs/>
              </w:rPr>
            </w:pPr>
            <w:r>
              <w:rPr>
                <w:rFonts w:cs="Calibri"/>
                <w:b/>
                <w:bCs/>
              </w:rPr>
              <w:t>Ō</w:t>
            </w:r>
            <w:r w:rsidR="00E9720B" w:rsidRPr="005D6D89">
              <w:rPr>
                <w:b/>
                <w:bCs/>
              </w:rPr>
              <w:t xml:space="preserve">hanga </w:t>
            </w:r>
          </w:p>
        </w:tc>
        <w:tc>
          <w:tcPr>
            <w:tcW w:w="6491" w:type="dxa"/>
          </w:tcPr>
          <w:p w14:paraId="1B3B2680" w14:textId="77777777" w:rsidR="00E9720B" w:rsidRPr="005D6D89" w:rsidRDefault="00E9720B" w:rsidP="00C01530">
            <w:pPr>
              <w:pStyle w:val="BodyText"/>
              <w:spacing w:before="60" w:after="60" w:line="260" w:lineRule="atLeast"/>
            </w:pPr>
            <w:r w:rsidRPr="005D6D89">
              <w:t xml:space="preserve">economic, economy </w:t>
            </w:r>
          </w:p>
        </w:tc>
      </w:tr>
      <w:tr w:rsidR="00E9720B" w:rsidRPr="005D6D89" w14:paraId="15E0AB5B" w14:textId="77777777" w:rsidTr="0002326C">
        <w:tc>
          <w:tcPr>
            <w:tcW w:w="2127" w:type="dxa"/>
          </w:tcPr>
          <w:p w14:paraId="1B3552C2" w14:textId="77777777" w:rsidR="00E9720B" w:rsidRPr="005D6D89" w:rsidRDefault="00E9720B" w:rsidP="00C01530">
            <w:pPr>
              <w:pStyle w:val="BodyText"/>
              <w:spacing w:before="60" w:after="60" w:line="260" w:lineRule="atLeast"/>
              <w:rPr>
                <w:b/>
                <w:bCs/>
              </w:rPr>
            </w:pPr>
            <w:bookmarkStart w:id="560" w:name="pakeke"/>
            <w:r w:rsidRPr="005D6D89">
              <w:rPr>
                <w:b/>
                <w:bCs/>
              </w:rPr>
              <w:t>Pākeke</w:t>
            </w:r>
            <w:bookmarkEnd w:id="560"/>
            <w:r w:rsidRPr="005D6D89">
              <w:rPr>
                <w:b/>
                <w:bCs/>
              </w:rPr>
              <w:t xml:space="preserve"> </w:t>
            </w:r>
          </w:p>
        </w:tc>
        <w:tc>
          <w:tcPr>
            <w:tcW w:w="6491" w:type="dxa"/>
          </w:tcPr>
          <w:p w14:paraId="67B495B8" w14:textId="77777777" w:rsidR="00E9720B" w:rsidRPr="005D6D89" w:rsidRDefault="00E9720B" w:rsidP="00C01530">
            <w:pPr>
              <w:pStyle w:val="BodyText"/>
              <w:spacing w:before="60" w:after="60" w:line="260" w:lineRule="atLeast"/>
            </w:pPr>
            <w:r w:rsidRPr="005D6D89">
              <w:t>Adult</w:t>
            </w:r>
          </w:p>
        </w:tc>
      </w:tr>
      <w:tr w:rsidR="00E9720B" w:rsidRPr="005D6D89" w14:paraId="4789C850" w14:textId="77777777" w:rsidTr="0002326C">
        <w:tc>
          <w:tcPr>
            <w:tcW w:w="2127" w:type="dxa"/>
          </w:tcPr>
          <w:p w14:paraId="671A9108" w14:textId="77777777" w:rsidR="00E9720B" w:rsidRPr="005D6D89" w:rsidRDefault="00E9720B" w:rsidP="00C01530">
            <w:pPr>
              <w:pStyle w:val="BodyText"/>
              <w:spacing w:before="60" w:after="60" w:line="260" w:lineRule="atLeast"/>
              <w:rPr>
                <w:b/>
                <w:bCs/>
              </w:rPr>
            </w:pPr>
            <w:bookmarkStart w:id="561" w:name="rangatahi"/>
            <w:r w:rsidRPr="005D6D89">
              <w:rPr>
                <w:b/>
                <w:bCs/>
              </w:rPr>
              <w:t>Rangatahi</w:t>
            </w:r>
            <w:bookmarkEnd w:id="561"/>
          </w:p>
        </w:tc>
        <w:tc>
          <w:tcPr>
            <w:tcW w:w="6491" w:type="dxa"/>
          </w:tcPr>
          <w:p w14:paraId="013ACAFC" w14:textId="77777777" w:rsidR="00E9720B" w:rsidRPr="005D6D89" w:rsidRDefault="00E9720B" w:rsidP="00C01530">
            <w:pPr>
              <w:pStyle w:val="BodyText"/>
              <w:spacing w:before="60" w:after="60" w:line="260" w:lineRule="atLeast"/>
            </w:pPr>
            <w:r w:rsidRPr="005D6D89">
              <w:t>Young person</w:t>
            </w:r>
          </w:p>
        </w:tc>
      </w:tr>
      <w:tr w:rsidR="00E9720B" w:rsidRPr="005D6D89" w14:paraId="379B17B7" w14:textId="77777777" w:rsidTr="0002326C">
        <w:tc>
          <w:tcPr>
            <w:tcW w:w="2127" w:type="dxa"/>
          </w:tcPr>
          <w:p w14:paraId="0BD689B2" w14:textId="77777777" w:rsidR="00E9720B" w:rsidRPr="005D6D89" w:rsidRDefault="00E9720B" w:rsidP="00C01530">
            <w:pPr>
              <w:pStyle w:val="BodyText"/>
              <w:spacing w:before="60" w:after="60" w:line="260" w:lineRule="atLeast"/>
              <w:rPr>
                <w:b/>
                <w:bCs/>
              </w:rPr>
            </w:pPr>
            <w:r w:rsidRPr="005D6D89">
              <w:rPr>
                <w:b/>
                <w:bCs/>
              </w:rPr>
              <w:t xml:space="preserve">Rangatiratanga </w:t>
            </w:r>
          </w:p>
        </w:tc>
        <w:tc>
          <w:tcPr>
            <w:tcW w:w="6491" w:type="dxa"/>
          </w:tcPr>
          <w:p w14:paraId="406D2E6E" w14:textId="77777777" w:rsidR="00E9720B" w:rsidRPr="005D6D89" w:rsidRDefault="00E9720B" w:rsidP="00C01530">
            <w:pPr>
              <w:pStyle w:val="BodyText"/>
              <w:spacing w:before="60" w:after="60" w:line="260" w:lineRule="atLeast"/>
            </w:pPr>
            <w:r w:rsidRPr="005D6D89">
              <w:t>Leadership, autonomy</w:t>
            </w:r>
          </w:p>
        </w:tc>
      </w:tr>
      <w:tr w:rsidR="00E9720B" w:rsidRPr="005D6D89" w14:paraId="6FC96ED7" w14:textId="77777777" w:rsidTr="0002326C">
        <w:tc>
          <w:tcPr>
            <w:tcW w:w="2127" w:type="dxa"/>
          </w:tcPr>
          <w:p w14:paraId="53E99495" w14:textId="77777777" w:rsidR="00E9720B" w:rsidRPr="005D6D89" w:rsidRDefault="00E9720B" w:rsidP="00C01530">
            <w:pPr>
              <w:pStyle w:val="BodyText"/>
              <w:spacing w:before="60" w:after="60" w:line="260" w:lineRule="atLeast"/>
              <w:rPr>
                <w:rFonts w:cs="Arial"/>
                <w:b/>
                <w:bCs/>
                <w:color w:val="000000" w:themeColor="text1"/>
              </w:rPr>
            </w:pPr>
            <w:r w:rsidRPr="005D6D89">
              <w:rPr>
                <w:rFonts w:cs="Arial"/>
                <w:b/>
                <w:bCs/>
                <w:color w:val="000000" w:themeColor="text1"/>
              </w:rPr>
              <w:t>Rohe</w:t>
            </w:r>
          </w:p>
        </w:tc>
        <w:tc>
          <w:tcPr>
            <w:tcW w:w="6491" w:type="dxa"/>
          </w:tcPr>
          <w:p w14:paraId="42F5EE72" w14:textId="77777777" w:rsidR="00E9720B" w:rsidRPr="005D6D89" w:rsidRDefault="00E9720B" w:rsidP="00C01530">
            <w:pPr>
              <w:pStyle w:val="BodyText"/>
              <w:spacing w:before="60" w:after="60" w:line="260" w:lineRule="atLeast"/>
              <w:rPr>
                <w:rFonts w:cs="Arial"/>
                <w:color w:val="000000" w:themeColor="text1"/>
                <w:u w:val="single"/>
              </w:rPr>
            </w:pPr>
            <w:r w:rsidRPr="005D6D89">
              <w:rPr>
                <w:color w:val="000000" w:themeColor="text1"/>
              </w:rPr>
              <w:t>Land, territory, domain, boundary</w:t>
            </w:r>
          </w:p>
        </w:tc>
      </w:tr>
      <w:tr w:rsidR="00E9720B" w:rsidRPr="005D6D89" w14:paraId="02F7D792" w14:textId="77777777" w:rsidTr="0002326C">
        <w:tc>
          <w:tcPr>
            <w:tcW w:w="2127" w:type="dxa"/>
          </w:tcPr>
          <w:p w14:paraId="1DAE2FBC" w14:textId="77777777" w:rsidR="00E9720B" w:rsidRPr="005D6D89" w:rsidRDefault="00E9720B" w:rsidP="00C01530">
            <w:pPr>
              <w:pStyle w:val="BodyText"/>
              <w:spacing w:before="60" w:after="60" w:line="260" w:lineRule="atLeast"/>
              <w:rPr>
                <w:rFonts w:cs="Arial"/>
                <w:b/>
                <w:bCs/>
                <w:color w:val="000000" w:themeColor="text1"/>
              </w:rPr>
            </w:pPr>
            <w:r w:rsidRPr="005D6D89">
              <w:rPr>
                <w:rFonts w:cs="Arial"/>
                <w:b/>
                <w:bCs/>
                <w:color w:val="000000" w:themeColor="text1"/>
              </w:rPr>
              <w:t>Taiao</w:t>
            </w:r>
          </w:p>
        </w:tc>
        <w:tc>
          <w:tcPr>
            <w:tcW w:w="6491" w:type="dxa"/>
          </w:tcPr>
          <w:p w14:paraId="3E69FC10" w14:textId="77777777" w:rsidR="00E9720B" w:rsidRPr="005D6D89" w:rsidRDefault="00E9720B" w:rsidP="00C01530">
            <w:pPr>
              <w:pStyle w:val="BodyText"/>
              <w:spacing w:before="60" w:after="60" w:line="260" w:lineRule="atLeast"/>
              <w:rPr>
                <w:rFonts w:cs="Arial"/>
                <w:color w:val="000000" w:themeColor="text1"/>
              </w:rPr>
            </w:pPr>
            <w:r w:rsidRPr="005D6D89">
              <w:rPr>
                <w:rFonts w:cs="Arial"/>
                <w:color w:val="000000" w:themeColor="text1"/>
              </w:rPr>
              <w:t>Environment</w:t>
            </w:r>
          </w:p>
        </w:tc>
      </w:tr>
      <w:tr w:rsidR="00E9720B" w:rsidRPr="005D6D89" w14:paraId="3729952E" w14:textId="77777777" w:rsidTr="0002326C">
        <w:tc>
          <w:tcPr>
            <w:tcW w:w="2127" w:type="dxa"/>
          </w:tcPr>
          <w:p w14:paraId="7915A2C6" w14:textId="77777777" w:rsidR="00E9720B" w:rsidRPr="005D6D89" w:rsidRDefault="00E9720B" w:rsidP="00C01530">
            <w:pPr>
              <w:pStyle w:val="BodyText"/>
              <w:spacing w:before="60" w:after="60" w:line="260" w:lineRule="atLeast"/>
              <w:rPr>
                <w:rFonts w:cs="Arial"/>
                <w:b/>
                <w:bCs/>
                <w:color w:val="000000" w:themeColor="text1"/>
              </w:rPr>
            </w:pPr>
            <w:r w:rsidRPr="005D6D89">
              <w:rPr>
                <w:rFonts w:cs="Arial"/>
                <w:b/>
                <w:bCs/>
                <w:color w:val="000000" w:themeColor="text1"/>
              </w:rPr>
              <w:t>Tangata</w:t>
            </w:r>
          </w:p>
        </w:tc>
        <w:tc>
          <w:tcPr>
            <w:tcW w:w="6491" w:type="dxa"/>
          </w:tcPr>
          <w:p w14:paraId="4E12829D" w14:textId="77777777" w:rsidR="00E9720B" w:rsidRPr="005D6D89" w:rsidRDefault="00E9720B" w:rsidP="00C01530">
            <w:pPr>
              <w:pStyle w:val="BodyText"/>
              <w:spacing w:before="60" w:after="60" w:line="260" w:lineRule="atLeast"/>
              <w:rPr>
                <w:rFonts w:cs="Arial"/>
                <w:color w:val="000000" w:themeColor="text1"/>
              </w:rPr>
            </w:pPr>
            <w:r w:rsidRPr="005D6D89">
              <w:rPr>
                <w:rFonts w:cs="Arial"/>
                <w:color w:val="000000" w:themeColor="text1"/>
              </w:rPr>
              <w:t>People</w:t>
            </w:r>
          </w:p>
        </w:tc>
      </w:tr>
      <w:tr w:rsidR="00E9720B" w:rsidRPr="005D6D89" w14:paraId="762DF2A9" w14:textId="77777777" w:rsidTr="0002326C">
        <w:tc>
          <w:tcPr>
            <w:tcW w:w="2127" w:type="dxa"/>
          </w:tcPr>
          <w:p w14:paraId="514CDEE0" w14:textId="77777777" w:rsidR="00E9720B" w:rsidRPr="005D6D89" w:rsidRDefault="00E9720B" w:rsidP="00C01530">
            <w:pPr>
              <w:pStyle w:val="BodyText"/>
              <w:spacing w:before="60" w:after="60" w:line="260" w:lineRule="atLeast"/>
              <w:rPr>
                <w:b/>
                <w:bCs/>
              </w:rPr>
            </w:pPr>
            <w:bookmarkStart w:id="562" w:name="taongamāori"/>
            <w:r w:rsidRPr="005D6D89">
              <w:rPr>
                <w:b/>
                <w:bCs/>
              </w:rPr>
              <w:t xml:space="preserve">Taonga </w:t>
            </w:r>
            <w:r w:rsidRPr="005D6D89">
              <w:rPr>
                <w:rFonts w:cs="Arial"/>
                <w:b/>
                <w:bCs/>
              </w:rPr>
              <w:t>Māori</w:t>
            </w:r>
            <w:bookmarkEnd w:id="562"/>
          </w:p>
        </w:tc>
        <w:tc>
          <w:tcPr>
            <w:tcW w:w="6491" w:type="dxa"/>
          </w:tcPr>
          <w:p w14:paraId="0D0F1710" w14:textId="77777777" w:rsidR="00E9720B" w:rsidRPr="005D6D89" w:rsidRDefault="00E9720B" w:rsidP="00C01530">
            <w:pPr>
              <w:pStyle w:val="BodyText"/>
              <w:spacing w:before="60" w:after="60" w:line="260" w:lineRule="atLeast"/>
              <w:rPr>
                <w:rFonts w:cs="Arial"/>
              </w:rPr>
            </w:pPr>
            <w:r w:rsidRPr="005D6D89">
              <w:rPr>
                <w:rFonts w:cs="Arial"/>
              </w:rPr>
              <w:t xml:space="preserve">Taonga are tangible and intangible items that are highly valued in Māori culture. They include: </w:t>
            </w:r>
          </w:p>
          <w:p w14:paraId="16F47291" w14:textId="77777777" w:rsidR="00E9720B" w:rsidRPr="005D6D89" w:rsidRDefault="00E9720B" w:rsidP="003E4B0C">
            <w:pPr>
              <w:pStyle w:val="Bullet"/>
              <w:spacing w:after="60"/>
            </w:pPr>
            <w:r w:rsidRPr="005D6D89">
              <w:t>natural environment (whenua/land, ngahere/forests, awa/rivers, maunga/mountains and moana/ocean)</w:t>
            </w:r>
          </w:p>
          <w:p w14:paraId="3ADBEF88" w14:textId="77777777" w:rsidR="00E9720B" w:rsidRPr="005D6D89" w:rsidRDefault="00E9720B" w:rsidP="003E4B0C">
            <w:pPr>
              <w:pStyle w:val="Bullet"/>
              <w:spacing w:after="60"/>
            </w:pPr>
            <w:r w:rsidRPr="005D6D89">
              <w:t>human and non-human capital (whānau, hapū, iwi)</w:t>
            </w:r>
            <w:r w:rsidR="00261A84">
              <w:t xml:space="preserve"> and </w:t>
            </w:r>
            <w:r w:rsidRPr="005D6D89">
              <w:t xml:space="preserve">spiritual (mauri) </w:t>
            </w:r>
          </w:p>
          <w:p w14:paraId="2280F97E" w14:textId="77777777" w:rsidR="00E9720B" w:rsidRPr="005D6D89" w:rsidRDefault="00E9720B" w:rsidP="003E4B0C">
            <w:pPr>
              <w:pStyle w:val="Bullet"/>
              <w:spacing w:after="60"/>
            </w:pPr>
            <w:r w:rsidRPr="005D6D89">
              <w:t xml:space="preserve">social capital (mātauranga Māori) </w:t>
            </w:r>
          </w:p>
          <w:p w14:paraId="48F01C62" w14:textId="77777777" w:rsidR="00E9720B" w:rsidRPr="005D6D89" w:rsidRDefault="00E9720B" w:rsidP="003E4B0C">
            <w:pPr>
              <w:pStyle w:val="Bullet"/>
              <w:spacing w:after="60"/>
            </w:pPr>
            <w:r w:rsidRPr="005D6D89">
              <w:t>economic capital (financial value of assets including land holdings</w:t>
            </w:r>
            <w:r w:rsidR="00261A84">
              <w:t>)</w:t>
            </w:r>
            <w:r w:rsidRPr="005D6D89">
              <w:t xml:space="preserve"> </w:t>
            </w:r>
          </w:p>
          <w:p w14:paraId="3E7DABA0" w14:textId="77777777" w:rsidR="00E9720B" w:rsidRPr="005D6D89" w:rsidRDefault="00E9720B" w:rsidP="003E4B0C">
            <w:pPr>
              <w:pStyle w:val="Bullet"/>
            </w:pPr>
            <w:proofErr w:type="gramStart"/>
            <w:r w:rsidRPr="005D6D89">
              <w:t>material</w:t>
            </w:r>
            <w:proofErr w:type="gramEnd"/>
            <w:r w:rsidRPr="005D6D89">
              <w:t xml:space="preserve"> capital (buildings including marae, commercial investments and private homes) (Ministry for the Environment, 2019).</w:t>
            </w:r>
          </w:p>
        </w:tc>
      </w:tr>
      <w:tr w:rsidR="00E9720B" w:rsidRPr="005D6D89" w14:paraId="534D715B" w14:textId="77777777" w:rsidTr="0002326C">
        <w:tc>
          <w:tcPr>
            <w:tcW w:w="2127" w:type="dxa"/>
          </w:tcPr>
          <w:p w14:paraId="5BC33FEB" w14:textId="77777777" w:rsidR="00E9720B" w:rsidRPr="005D6D89" w:rsidRDefault="00E9720B" w:rsidP="00C01530">
            <w:pPr>
              <w:pStyle w:val="BodyText"/>
              <w:spacing w:before="60" w:after="60" w:line="260" w:lineRule="atLeast"/>
              <w:rPr>
                <w:b/>
                <w:bCs/>
              </w:rPr>
            </w:pPr>
            <w:r w:rsidRPr="005D6D89">
              <w:rPr>
                <w:b/>
                <w:bCs/>
              </w:rPr>
              <w:t xml:space="preserve">Te ao Māori </w:t>
            </w:r>
          </w:p>
        </w:tc>
        <w:tc>
          <w:tcPr>
            <w:tcW w:w="6491" w:type="dxa"/>
          </w:tcPr>
          <w:p w14:paraId="6C780464" w14:textId="77777777" w:rsidR="00E9720B" w:rsidRPr="005D6D89" w:rsidRDefault="00E9720B" w:rsidP="00C01530">
            <w:pPr>
              <w:pStyle w:val="BodyText"/>
              <w:spacing w:before="60" w:after="60" w:line="260" w:lineRule="atLeast"/>
            </w:pPr>
            <w:r w:rsidRPr="005D6D89">
              <w:t xml:space="preserve">The Māori world and worldview </w:t>
            </w:r>
          </w:p>
        </w:tc>
      </w:tr>
      <w:tr w:rsidR="00E9720B" w:rsidRPr="005D6D89" w14:paraId="1786F445" w14:textId="77777777" w:rsidTr="0002326C">
        <w:tc>
          <w:tcPr>
            <w:tcW w:w="2127" w:type="dxa"/>
          </w:tcPr>
          <w:p w14:paraId="5D0281CE" w14:textId="77777777" w:rsidR="00E9720B" w:rsidRPr="005D6D89" w:rsidRDefault="00E9720B" w:rsidP="00C01530">
            <w:pPr>
              <w:pStyle w:val="BodyText"/>
              <w:spacing w:before="60" w:after="60" w:line="260" w:lineRule="atLeast"/>
              <w:rPr>
                <w:b/>
                <w:bCs/>
              </w:rPr>
            </w:pPr>
            <w:bookmarkStart w:id="563" w:name="Tetiritiowaitangi"/>
            <w:r w:rsidRPr="005D6D89">
              <w:rPr>
                <w:rFonts w:cs="Arial"/>
                <w:b/>
                <w:bCs/>
                <w:color w:val="000000" w:themeColor="text1"/>
              </w:rPr>
              <w:t>Te Tiriti o Waitangi</w:t>
            </w:r>
            <w:bookmarkEnd w:id="563"/>
          </w:p>
        </w:tc>
        <w:tc>
          <w:tcPr>
            <w:tcW w:w="6491" w:type="dxa"/>
          </w:tcPr>
          <w:p w14:paraId="443A9C32" w14:textId="77777777" w:rsidR="00E9720B" w:rsidRPr="005D6D89" w:rsidRDefault="00E9720B" w:rsidP="00C01530">
            <w:pPr>
              <w:pStyle w:val="BodyText"/>
              <w:spacing w:before="60" w:after="60" w:line="260" w:lineRule="atLeast"/>
            </w:pPr>
            <w:r w:rsidRPr="005D6D89">
              <w:t>The Treaty of Waitangi</w:t>
            </w:r>
          </w:p>
        </w:tc>
      </w:tr>
      <w:tr w:rsidR="00E9720B" w:rsidRPr="005D6D89" w14:paraId="6B2A4D09" w14:textId="77777777" w:rsidTr="0002326C">
        <w:tc>
          <w:tcPr>
            <w:tcW w:w="2127" w:type="dxa"/>
          </w:tcPr>
          <w:p w14:paraId="2F55C732" w14:textId="77777777" w:rsidR="00E9720B" w:rsidRPr="005D6D89" w:rsidRDefault="00E9720B" w:rsidP="00C01530">
            <w:pPr>
              <w:pStyle w:val="BodyText"/>
              <w:spacing w:before="60" w:after="60" w:line="260" w:lineRule="atLeast"/>
              <w:rPr>
                <w:b/>
                <w:bCs/>
              </w:rPr>
            </w:pPr>
            <w:bookmarkStart w:id="564" w:name="tikanga"/>
            <w:r w:rsidRPr="005D6D89">
              <w:rPr>
                <w:b/>
                <w:bCs/>
              </w:rPr>
              <w:t>Tikanga</w:t>
            </w:r>
            <w:bookmarkEnd w:id="564"/>
            <w:r w:rsidRPr="005D6D89">
              <w:rPr>
                <w:b/>
                <w:bCs/>
              </w:rPr>
              <w:t xml:space="preserve"> </w:t>
            </w:r>
          </w:p>
        </w:tc>
        <w:tc>
          <w:tcPr>
            <w:tcW w:w="6491" w:type="dxa"/>
          </w:tcPr>
          <w:p w14:paraId="08C791A0" w14:textId="77777777" w:rsidR="00E9720B" w:rsidRPr="005D6D89" w:rsidRDefault="00E9720B" w:rsidP="00C01530">
            <w:pPr>
              <w:pStyle w:val="BodyText"/>
              <w:spacing w:before="60" w:after="60" w:line="260" w:lineRule="atLeast"/>
            </w:pPr>
            <w:r w:rsidRPr="005D6D89">
              <w:t>Procedures, lore, practices</w:t>
            </w:r>
          </w:p>
        </w:tc>
      </w:tr>
      <w:tr w:rsidR="00E9720B" w:rsidRPr="005D6D89" w14:paraId="14C57BC8" w14:textId="77777777" w:rsidTr="0002326C">
        <w:tc>
          <w:tcPr>
            <w:tcW w:w="2127" w:type="dxa"/>
          </w:tcPr>
          <w:p w14:paraId="50DA4F06" w14:textId="77777777" w:rsidR="00E9720B" w:rsidRPr="005D6D89" w:rsidRDefault="00E9720B" w:rsidP="00C01530">
            <w:pPr>
              <w:pStyle w:val="BodyText"/>
              <w:spacing w:before="60" w:after="60" w:line="260" w:lineRule="atLeast"/>
              <w:rPr>
                <w:b/>
                <w:bCs/>
              </w:rPr>
            </w:pPr>
            <w:bookmarkStart w:id="565" w:name="turangawaewae"/>
            <w:r w:rsidRPr="005D6D89">
              <w:rPr>
                <w:b/>
                <w:bCs/>
              </w:rPr>
              <w:t>Tūrangawaewae</w:t>
            </w:r>
            <w:bookmarkEnd w:id="565"/>
          </w:p>
        </w:tc>
        <w:tc>
          <w:tcPr>
            <w:tcW w:w="6491" w:type="dxa"/>
          </w:tcPr>
          <w:p w14:paraId="621683A7" w14:textId="77777777" w:rsidR="00E9720B" w:rsidRPr="005D6D89" w:rsidRDefault="00E9720B" w:rsidP="00C01530">
            <w:pPr>
              <w:pStyle w:val="BodyText"/>
              <w:spacing w:before="60" w:after="60" w:line="260" w:lineRule="atLeast"/>
            </w:pPr>
            <w:r w:rsidRPr="005D6D89">
              <w:rPr>
                <w:color w:val="333333"/>
                <w:shd w:val="clear" w:color="auto" w:fill="FFFFFF"/>
              </w:rPr>
              <w:t>Place where one has the right to stand</w:t>
            </w:r>
          </w:p>
        </w:tc>
      </w:tr>
      <w:tr w:rsidR="00E9720B" w:rsidRPr="005D6D89" w14:paraId="5789FCD8" w14:textId="77777777" w:rsidTr="0002326C">
        <w:tc>
          <w:tcPr>
            <w:tcW w:w="2127" w:type="dxa"/>
          </w:tcPr>
          <w:p w14:paraId="772A6086" w14:textId="77777777" w:rsidR="00E9720B" w:rsidRPr="005D6D89" w:rsidRDefault="00E9720B" w:rsidP="00C01530">
            <w:pPr>
              <w:pStyle w:val="BodyText"/>
              <w:spacing w:before="60" w:after="60" w:line="260" w:lineRule="atLeast"/>
              <w:rPr>
                <w:b/>
                <w:bCs/>
              </w:rPr>
            </w:pPr>
            <w:r w:rsidRPr="005D6D89">
              <w:rPr>
                <w:rFonts w:cs="Arial"/>
                <w:b/>
                <w:bCs/>
                <w:color w:val="000000" w:themeColor="text1"/>
              </w:rPr>
              <w:t>Urupā</w:t>
            </w:r>
          </w:p>
        </w:tc>
        <w:tc>
          <w:tcPr>
            <w:tcW w:w="6491" w:type="dxa"/>
          </w:tcPr>
          <w:p w14:paraId="2FC5EFB7" w14:textId="77777777" w:rsidR="00E9720B" w:rsidRPr="005D6D89" w:rsidRDefault="00E9720B" w:rsidP="00C01530">
            <w:pPr>
              <w:pStyle w:val="BodyText"/>
              <w:spacing w:before="60" w:after="60" w:line="260" w:lineRule="atLeast"/>
            </w:pPr>
            <w:r w:rsidRPr="005D6D89">
              <w:t>Burial ground, cemetery</w:t>
            </w:r>
          </w:p>
        </w:tc>
      </w:tr>
      <w:tr w:rsidR="00E9720B" w:rsidRPr="005D6D89" w14:paraId="40F6BD27" w14:textId="77777777" w:rsidTr="0002326C">
        <w:trPr>
          <w:trHeight w:val="297"/>
        </w:trPr>
        <w:tc>
          <w:tcPr>
            <w:tcW w:w="2127" w:type="dxa"/>
          </w:tcPr>
          <w:p w14:paraId="63B5E19A" w14:textId="77777777" w:rsidR="00E9720B" w:rsidRPr="005D6D89" w:rsidRDefault="00E9720B" w:rsidP="00C01530">
            <w:pPr>
              <w:pStyle w:val="BodyText"/>
              <w:spacing w:before="60" w:after="60" w:line="260" w:lineRule="atLeast"/>
              <w:rPr>
                <w:b/>
                <w:bCs/>
              </w:rPr>
            </w:pPr>
            <w:r w:rsidRPr="005D6D89">
              <w:rPr>
                <w:rFonts w:cs="Arial"/>
                <w:b/>
                <w:bCs/>
                <w:color w:val="000000" w:themeColor="text1"/>
              </w:rPr>
              <w:t>Wāhi taonga</w:t>
            </w:r>
          </w:p>
        </w:tc>
        <w:tc>
          <w:tcPr>
            <w:tcW w:w="6491" w:type="dxa"/>
          </w:tcPr>
          <w:p w14:paraId="539CC9CE" w14:textId="77777777" w:rsidR="00E9720B" w:rsidRPr="005D6D89" w:rsidRDefault="00261A84" w:rsidP="00C01530">
            <w:pPr>
              <w:pStyle w:val="BodyText"/>
              <w:spacing w:before="60" w:after="60" w:line="260" w:lineRule="atLeast"/>
            </w:pPr>
            <w:r>
              <w:t>P</w:t>
            </w:r>
            <w:r w:rsidR="00E9720B" w:rsidRPr="005D6D89">
              <w:t xml:space="preserve">lace where taonga are held or kept </w:t>
            </w:r>
          </w:p>
        </w:tc>
      </w:tr>
      <w:tr w:rsidR="00E9720B" w:rsidRPr="005D6D89" w14:paraId="39AEE68F" w14:textId="77777777" w:rsidTr="0002326C">
        <w:tc>
          <w:tcPr>
            <w:tcW w:w="2127" w:type="dxa"/>
          </w:tcPr>
          <w:p w14:paraId="54C3486D" w14:textId="77777777" w:rsidR="00E9720B" w:rsidRPr="005D6D89" w:rsidRDefault="00E9720B" w:rsidP="00C01530">
            <w:pPr>
              <w:pStyle w:val="BodyText"/>
              <w:spacing w:before="60" w:after="60" w:line="260" w:lineRule="atLeast"/>
              <w:rPr>
                <w:b/>
                <w:bCs/>
              </w:rPr>
            </w:pPr>
            <w:r w:rsidRPr="005D6D89">
              <w:rPr>
                <w:rFonts w:cs="Arial"/>
                <w:b/>
                <w:bCs/>
                <w:color w:val="000000" w:themeColor="text1"/>
              </w:rPr>
              <w:t>Wāhi tapu</w:t>
            </w:r>
          </w:p>
        </w:tc>
        <w:tc>
          <w:tcPr>
            <w:tcW w:w="6491" w:type="dxa"/>
          </w:tcPr>
          <w:p w14:paraId="62BE4D78" w14:textId="77777777" w:rsidR="00E9720B" w:rsidRPr="005D6D89" w:rsidRDefault="00261A84" w:rsidP="00C01530">
            <w:pPr>
              <w:pStyle w:val="BodyText"/>
              <w:spacing w:before="60" w:after="60" w:line="260" w:lineRule="atLeast"/>
            </w:pPr>
            <w:r>
              <w:t>S</w:t>
            </w:r>
            <w:r w:rsidR="00E9720B" w:rsidRPr="005D6D89">
              <w:t>acred place</w:t>
            </w:r>
          </w:p>
        </w:tc>
      </w:tr>
      <w:tr w:rsidR="00E9720B" w:rsidRPr="005D6D89" w14:paraId="0757DD10" w14:textId="77777777" w:rsidTr="0002326C">
        <w:tc>
          <w:tcPr>
            <w:tcW w:w="2127" w:type="dxa"/>
          </w:tcPr>
          <w:p w14:paraId="05CFE05B" w14:textId="77777777" w:rsidR="00E9720B" w:rsidRPr="005D6D89" w:rsidRDefault="00E9720B" w:rsidP="00C01530">
            <w:pPr>
              <w:pStyle w:val="BodyText"/>
              <w:spacing w:before="60" w:after="60" w:line="260" w:lineRule="atLeast"/>
              <w:rPr>
                <w:b/>
                <w:bCs/>
              </w:rPr>
            </w:pPr>
            <w:bookmarkStart w:id="566" w:name="whakapapa"/>
            <w:r w:rsidRPr="005D6D89">
              <w:rPr>
                <w:b/>
                <w:bCs/>
              </w:rPr>
              <w:t>Whakapapa</w:t>
            </w:r>
            <w:bookmarkEnd w:id="566"/>
          </w:p>
        </w:tc>
        <w:tc>
          <w:tcPr>
            <w:tcW w:w="6491" w:type="dxa"/>
          </w:tcPr>
          <w:p w14:paraId="12DEC5D3" w14:textId="77777777" w:rsidR="00E9720B" w:rsidRPr="005D6D89" w:rsidRDefault="00E9720B" w:rsidP="00C01530">
            <w:pPr>
              <w:pStyle w:val="BodyText"/>
              <w:spacing w:before="60" w:after="60" w:line="260" w:lineRule="atLeast"/>
            </w:pPr>
            <w:r w:rsidRPr="005D6D89">
              <w:t>Genealogy that links to one</w:t>
            </w:r>
            <w:r w:rsidR="001200EA">
              <w:t>’</w:t>
            </w:r>
            <w:r w:rsidRPr="005D6D89">
              <w:t>s ancestors</w:t>
            </w:r>
          </w:p>
        </w:tc>
      </w:tr>
      <w:tr w:rsidR="00E9720B" w:rsidRPr="005D6D89" w14:paraId="596412D2" w14:textId="77777777" w:rsidTr="0002326C">
        <w:tc>
          <w:tcPr>
            <w:tcW w:w="2127" w:type="dxa"/>
          </w:tcPr>
          <w:p w14:paraId="50C86523" w14:textId="77777777" w:rsidR="00E9720B" w:rsidRPr="005D6D89" w:rsidRDefault="00E9720B" w:rsidP="00C01530">
            <w:pPr>
              <w:pStyle w:val="BodyText"/>
              <w:spacing w:before="60" w:after="60" w:line="260" w:lineRule="atLeast"/>
              <w:rPr>
                <w:b/>
                <w:bCs/>
              </w:rPr>
            </w:pPr>
            <w:r w:rsidRPr="005D6D89">
              <w:rPr>
                <w:b/>
                <w:bCs/>
              </w:rPr>
              <w:t xml:space="preserve">Whakatipu rawa </w:t>
            </w:r>
          </w:p>
        </w:tc>
        <w:tc>
          <w:tcPr>
            <w:tcW w:w="6491" w:type="dxa"/>
          </w:tcPr>
          <w:p w14:paraId="32DCBDA4" w14:textId="77777777" w:rsidR="00E9720B" w:rsidRPr="005D6D89" w:rsidRDefault="00E9720B" w:rsidP="00C01530">
            <w:pPr>
              <w:pStyle w:val="BodyText"/>
              <w:spacing w:before="60" w:after="60" w:line="260" w:lineRule="atLeast"/>
            </w:pPr>
            <w:r w:rsidRPr="005D6D89">
              <w:t>Business, enterprise</w:t>
            </w:r>
          </w:p>
        </w:tc>
      </w:tr>
      <w:tr w:rsidR="00E9720B" w:rsidRPr="005D6D89" w14:paraId="26873A09" w14:textId="77777777" w:rsidTr="0002326C">
        <w:tc>
          <w:tcPr>
            <w:tcW w:w="2127" w:type="dxa"/>
          </w:tcPr>
          <w:p w14:paraId="6F32DEBF" w14:textId="77777777" w:rsidR="00E9720B" w:rsidRPr="005D6D89" w:rsidRDefault="00E9720B" w:rsidP="00C01530">
            <w:pPr>
              <w:pStyle w:val="BodyText"/>
              <w:spacing w:before="60" w:after="60" w:line="260" w:lineRule="atLeast"/>
              <w:rPr>
                <w:b/>
                <w:bCs/>
                <w:u w:val="single"/>
              </w:rPr>
            </w:pPr>
            <w:r w:rsidRPr="005D6D89">
              <w:rPr>
                <w:b/>
                <w:bCs/>
              </w:rPr>
              <w:t xml:space="preserve">Whanaungatanga </w:t>
            </w:r>
          </w:p>
        </w:tc>
        <w:tc>
          <w:tcPr>
            <w:tcW w:w="6491" w:type="dxa"/>
          </w:tcPr>
          <w:p w14:paraId="0D984B23" w14:textId="77777777" w:rsidR="00E9720B" w:rsidRPr="005D6D89" w:rsidRDefault="00E9720B" w:rsidP="00C01530">
            <w:pPr>
              <w:pStyle w:val="BodyText"/>
              <w:spacing w:before="60" w:after="60" w:line="260" w:lineRule="atLeast"/>
            </w:pPr>
            <w:r w:rsidRPr="005D6D89">
              <w:t xml:space="preserve">Connectedness and relationships </w:t>
            </w:r>
          </w:p>
        </w:tc>
      </w:tr>
      <w:tr w:rsidR="00E9720B" w:rsidRPr="005D6D89" w14:paraId="11CF717D" w14:textId="77777777" w:rsidTr="0002326C">
        <w:tc>
          <w:tcPr>
            <w:tcW w:w="2127" w:type="dxa"/>
          </w:tcPr>
          <w:p w14:paraId="2CCA2737" w14:textId="77777777" w:rsidR="00E9720B" w:rsidRPr="005D6D89" w:rsidRDefault="00E9720B" w:rsidP="00C01530">
            <w:pPr>
              <w:pStyle w:val="BodyText"/>
              <w:spacing w:before="60" w:after="60" w:line="260" w:lineRule="atLeast"/>
              <w:rPr>
                <w:b/>
                <w:bCs/>
              </w:rPr>
            </w:pPr>
            <w:bookmarkStart w:id="567" w:name="whenua"/>
            <w:r w:rsidRPr="005D6D89">
              <w:rPr>
                <w:b/>
                <w:bCs/>
              </w:rPr>
              <w:t>Whenua</w:t>
            </w:r>
            <w:bookmarkEnd w:id="567"/>
          </w:p>
        </w:tc>
        <w:tc>
          <w:tcPr>
            <w:tcW w:w="6491" w:type="dxa"/>
          </w:tcPr>
          <w:p w14:paraId="624F2871" w14:textId="77777777" w:rsidR="00E9720B" w:rsidRPr="005D6D89" w:rsidRDefault="00E9720B" w:rsidP="00C01530">
            <w:pPr>
              <w:pStyle w:val="BodyText"/>
              <w:spacing w:before="60" w:after="60" w:line="260" w:lineRule="atLeast"/>
            </w:pPr>
            <w:r w:rsidRPr="005D6D89">
              <w:t>Land, territory, nation</w:t>
            </w:r>
          </w:p>
        </w:tc>
      </w:tr>
    </w:tbl>
    <w:p w14:paraId="5E41743E" w14:textId="77777777" w:rsidR="00A278FF" w:rsidRPr="005D6D89" w:rsidRDefault="00A278FF" w:rsidP="00A278FF">
      <w:pPr>
        <w:pStyle w:val="BodyText"/>
      </w:pPr>
    </w:p>
    <w:sectPr w:rsidR="00A278FF" w:rsidRPr="005D6D89" w:rsidSect="00C02334">
      <w:footerReference w:type="default" r:id="rId126"/>
      <w:pgSz w:w="11907" w:h="16840" w:code="9"/>
      <w:pgMar w:top="1134" w:right="1701" w:bottom="1134" w:left="1701" w:header="567" w:footer="56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3107A" w16cex:dateUtc="2020-06-15T21:33:00Z"/>
  <w16cex:commentExtensible w16cex:durableId="2294734B" w16cex:dateUtc="2020-06-16T22:47:00Z"/>
  <w16cex:commentExtensible w16cex:durableId="2293C701" w16cex:dateUtc="2020-06-16T10:32:00Z"/>
  <w16cex:commentExtensible w16cex:durableId="22947DF5" w16cex:dateUtc="2020-06-16T23:33:00Z"/>
  <w16cex:commentExtensible w16cex:durableId="22947BE2" w16cex:dateUtc="2020-06-16T23:24:00Z"/>
  <w16cex:commentExtensible w16cex:durableId="22947C8C" w16cex:dateUtc="2020-06-16T23:27:00Z"/>
  <w16cex:commentExtensible w16cex:durableId="2294BEE2" w16cex:dateUtc="2020-06-17T04:10:00Z"/>
  <w16cex:commentExtensible w16cex:durableId="228E8425" w16cex:dateUtc="2020-06-12T10:45:00Z"/>
  <w16cex:commentExtensible w16cex:durableId="229486A1" w16cex:dateUtc="2020-06-17T00:10:00Z"/>
  <w16cex:commentExtensible w16cex:durableId="22948562" w16cex:dateUtc="2020-06-17T00:04:00Z"/>
  <w16cex:commentExtensible w16cex:durableId="2294882F" w16cex:dateUtc="2020-06-17T00:16:00Z"/>
  <w16cex:commentExtensible w16cex:durableId="2294C017" w16cex:dateUtc="2020-06-17T04:15:00Z"/>
  <w16cex:commentExtensible w16cex:durableId="22948B23" w16cex:dateUtc="2020-06-17T00:29:00Z"/>
  <w16cex:commentExtensible w16cex:durableId="22948BCE" w16cex:dateUtc="2020-06-17T00:32:00Z"/>
  <w16cex:commentExtensible w16cex:durableId="22948D08" w16cex:dateUtc="2020-06-17T00:37:00Z"/>
  <w16cex:commentExtensible w16cex:durableId="22948CF1" w16cex:dateUtc="2020-06-17T00:37:00Z"/>
  <w16cex:commentExtensible w16cex:durableId="2293C497" w16cex:dateUtc="2020-06-16T10:22:00Z"/>
  <w16cex:commentExtensible w16cex:durableId="2294967D" w16cex:dateUtc="2020-06-17T01:17:00Z"/>
  <w16cex:commentExtensible w16cex:durableId="2294C5AB" w16cex:dateUtc="2020-06-17T04:39:00Z"/>
  <w16cex:commentExtensible w16cex:durableId="22949813" w16cex:dateUtc="2020-06-17T01:24:00Z"/>
  <w16cex:commentExtensible w16cex:durableId="22949879" w16cex:dateUtc="2020-06-17T01:26:00Z"/>
  <w16cex:commentExtensible w16cex:durableId="22949854" w16cex:dateUtc="2020-06-17T01:25:00Z"/>
  <w16cex:commentExtensible w16cex:durableId="229498CA" w16cex:dateUtc="2020-06-17T01:27:00Z"/>
  <w16cex:commentExtensible w16cex:durableId="2293BB34" w16cex:dateUtc="2020-06-16T09:42:00Z"/>
  <w16cex:commentExtensible w16cex:durableId="2294C600" w16cex:dateUtc="2020-06-17T04:40:00Z"/>
  <w16cex:commentExtensible w16cex:durableId="2293B8ED" w16cex:dateUtc="2020-06-16T09:32:00Z"/>
  <w16cex:commentExtensible w16cex:durableId="2294C61A" w16cex:dateUtc="2020-06-17T04:40:00Z"/>
  <w16cex:commentExtensible w16cex:durableId="22933EB8" w16cex:dateUtc="2020-06-16T00:51:00Z"/>
  <w16cex:commentExtensible w16cex:durableId="2295002C" w16cex:dateUtc="2020-06-17T08:48:00Z"/>
  <w16cex:commentExtensible w16cex:durableId="229501BE" w16cex:dateUtc="2020-06-17T08:55:00Z"/>
  <w16cex:commentExtensible w16cex:durableId="2294CE34" w16cex:dateUtc="2020-06-17T05:15:00Z"/>
  <w16cex:commentExtensible w16cex:durableId="2294D680" w16cex:dateUtc="2020-06-17T05:50:00Z"/>
  <w16cex:commentExtensible w16cex:durableId="2294A080" w16cex:dateUtc="2020-06-17T02:00:00Z"/>
  <w16cex:commentExtensible w16cex:durableId="2294A806" w16cex:dateUtc="2020-06-17T02:32:00Z"/>
  <w16cex:commentExtensible w16cex:durableId="2294A0EC" w16cex:dateUtc="2020-06-17T02:02:00Z"/>
  <w16cex:commentExtensible w16cex:durableId="2294A14D" w16cex:dateUtc="2020-06-17T02:03:00Z"/>
  <w16cex:commentExtensible w16cex:durableId="2294A21F" w16cex:dateUtc="2020-06-17T02:07:00Z"/>
  <w16cex:commentExtensible w16cex:durableId="2294A555" w16cex:dateUtc="2020-06-17T02:21:00Z"/>
  <w16cex:commentExtensible w16cex:durableId="2294A5AE" w16cex:dateUtc="2020-06-17T02:22:00Z"/>
  <w16cex:commentExtensible w16cex:durableId="2294A6D1" w16cex:dateUtc="2020-06-17T02:27:00Z"/>
  <w16cex:commentExtensible w16cex:durableId="2294A849" w16cex:dateUtc="2020-06-17T02:33:00Z"/>
  <w16cex:commentExtensible w16cex:durableId="2294A887" w16cex:dateUtc="2020-06-17T02:34:00Z"/>
  <w16cex:commentExtensible w16cex:durableId="2294A94C" w16cex:dateUtc="2020-06-17T02:38:00Z"/>
  <w16cex:commentExtensible w16cex:durableId="2294D3C0" w16cex:dateUtc="2020-06-17T05:39:00Z"/>
  <w16cex:commentExtensible w16cex:durableId="2294AAEF" w16cex:dateUtc="2020-06-17T02:45:00Z"/>
  <w16cex:commentExtensible w16cex:durableId="2294AB09" w16cex:dateUtc="2020-06-17T02:45:00Z"/>
  <w16cex:commentExtensible w16cex:durableId="2294AB23" w16cex:dateUtc="2020-06-17T02:45:00Z"/>
  <w16cex:commentExtensible w16cex:durableId="2294ACC2" w16cex:dateUtc="2020-06-17T02:52:00Z"/>
  <w16cex:commentExtensible w16cex:durableId="2294AD3C" w16cex:dateUtc="2020-06-17T02:54:00Z"/>
  <w16cex:commentExtensible w16cex:durableId="2294E9D6" w16cex:dateUtc="2020-06-17T07:13:00Z"/>
  <w16cex:commentExtensible w16cex:durableId="2294ADF1" w16cex:dateUtc="2020-06-17T02:57:00Z"/>
  <w16cex:commentExtensible w16cex:durableId="2294AF93" w16cex:dateUtc="2020-06-17T03:04:00Z"/>
  <w16cex:commentExtensible w16cex:durableId="2294B038" w16cex:dateUtc="2020-06-17T03:07:00Z"/>
  <w16cex:commentExtensible w16cex:durableId="2293C7C6" w16cex:dateUtc="2020-06-16T10:35:00Z"/>
  <w16cex:commentExtensible w16cex:durableId="2294B241" w16cex:dateUtc="2020-06-17T03:16:00Z"/>
  <w16cex:commentExtensible w16cex:durableId="2294B3BA" w16cex:dateUtc="2020-06-17T03:22:00Z"/>
  <w16cex:commentExtensible w16cex:durableId="2294B433" w16cex:dateUtc="2020-06-17T03:24:00Z"/>
  <w16cex:commentExtensible w16cex:durableId="2294B476" w16cex:dateUtc="2020-06-17T03:25:00Z"/>
  <w16cex:commentExtensible w16cex:durableId="2294B5D2" w16cex:dateUtc="2020-06-17T03:31:00Z"/>
  <w16cex:commentExtensible w16cex:durableId="2294B4E2" w16cex:dateUtc="2020-06-17T03:27:00Z"/>
  <w16cex:commentExtensible w16cex:durableId="2294B56F" w16cex:dateUtc="2020-06-17T03:29:00Z"/>
  <w16cex:commentExtensible w16cex:durableId="2294B681" w16cex:dateUtc="2020-06-17T03:34:00Z"/>
  <w16cex:commentExtensible w16cex:durableId="2294B73B" w16cex:dateUtc="2020-06-17T03:37:00Z"/>
  <w16cex:commentExtensible w16cex:durableId="2294B7DA" w16cex:dateUtc="2020-06-17T03:40:00Z"/>
  <w16cex:commentExtensible w16cex:durableId="2294B889" w16cex:dateUtc="2020-06-17T03:43:00Z"/>
  <w16cex:commentExtensible w16cex:durableId="2294B8A6" w16cex:dateUtc="2020-06-17T03:43:00Z"/>
  <w16cex:commentExtensible w16cex:durableId="2294B9F3" w16cex:dateUtc="2020-06-17T03:49:00Z"/>
  <w16cex:commentExtensible w16cex:durableId="22932F75" w16cex:dateUtc="2020-06-15T23:45:00Z"/>
  <w16cex:commentExtensible w16cex:durableId="2294970B" w16cex:dateUtc="2020-06-17T01:20:00Z"/>
  <w16cex:commentExtensible w16cex:durableId="2294B6FE" w16cex:dateUtc="2020-06-17T03:36:00Z"/>
  <w16cex:commentExtensible w16cex:durableId="2294A588" w16cex:dateUtc="2020-06-17T02:22:00Z"/>
  <w16cex:commentExtensible w16cex:durableId="229483EF" w16cex:dateUtc="2020-06-16T23:58:00Z"/>
  <w16cex:commentExtensible w16cex:durableId="22949F80" w16cex:dateUtc="2020-06-17T01:56:00Z"/>
  <w16cex:commentExtensible w16cex:durableId="2294B9D3" w16cex:dateUtc="2020-06-17T03:48:00Z"/>
  <w16cex:commentExtensible w16cex:durableId="2294A683" w16cex:dateUtc="2020-06-17T02:26:00Z"/>
  <w16cex:commentExtensible w16cex:durableId="2294A033" w16cex:dateUtc="2020-06-17T01:59:00Z"/>
  <w16cex:commentExtensible w16cex:durableId="2294A1E0" w16cex:dateUtc="2020-06-17T02:06:00Z"/>
  <w16cex:commentExtensible w16cex:durableId="22947326" w16cex:dateUtc="2020-06-16T22:47:00Z"/>
  <w16cex:commentExtensible w16cex:durableId="2294ADCB" w16cex:dateUtc="2020-06-17T02:57:00Z"/>
  <w16cex:commentExtensible w16cex:durableId="22948A99" w16cex:dateUtc="2020-06-17T00:27:00Z"/>
  <w16cex:commentExtensible w16cex:durableId="2294AC94" w16cex:dateUtc="2020-06-17T02:52:00Z"/>
  <w16cex:commentExtensible w16cex:durableId="2294746A" w16cex:dateUtc="2020-06-16T22:52:00Z"/>
  <w16cex:commentExtensible w16cex:durableId="2294B35C" w16cex:dateUtc="2020-06-17T03:21:00Z"/>
  <w16cex:commentExtensible w16cex:durableId="2294B410" w16cex:dateUtc="2020-06-17T03:24:00Z"/>
  <w16cex:commentExtensible w16cex:durableId="2294A12C" w16cex:dateUtc="2020-06-17T02:03:00Z"/>
  <w16cex:commentExtensible w16cex:durableId="2294A51F" w16cex:dateUtc="2020-06-17T02:20:00Z"/>
  <w16cex:commentExtensible w16cex:durableId="2294B1D9" w16cex:dateUtc="2020-06-17T03:14:00Z"/>
  <w16cex:commentExtensible w16cex:durableId="2294AA90" w16cex:dateUtc="2020-06-17T02:43:00Z"/>
  <w16cex:commentExtensible w16cex:durableId="22948B9E" w16cex:dateUtc="2020-06-17T00:31:00Z"/>
  <w16cex:commentExtensible w16cex:durableId="2294A7DC" w16cex:dateUtc="2020-06-17T02:31:00Z"/>
  <w16cex:commentExtensible w16cex:durableId="2294AD14" w16cex:dateUtc="2020-06-17T0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87E5A0" w16cid:durableId="2293107A"/>
  <w16cid:commentId w16cid:paraId="004996AE" w16cid:durableId="228E6F83"/>
  <w16cid:commentId w16cid:paraId="6F80BA90" w16cid:durableId="2294734B"/>
  <w16cid:commentId w16cid:paraId="22117D59" w16cid:durableId="228E6F84"/>
  <w16cid:commentId w16cid:paraId="51FA2ADC" w16cid:durableId="2293C701"/>
  <w16cid:commentId w16cid:paraId="2640A6E2" w16cid:durableId="22947DF5"/>
  <w16cid:commentId w16cid:paraId="485E1E95" w16cid:durableId="22947BE2"/>
  <w16cid:commentId w16cid:paraId="519FAB12" w16cid:durableId="22947C8C"/>
  <w16cid:commentId w16cid:paraId="6A2D5A71" w16cid:durableId="2294BEE2"/>
  <w16cid:commentId w16cid:paraId="361EE2D9" w16cid:durableId="228E6F85"/>
  <w16cid:commentId w16cid:paraId="59F17200" w16cid:durableId="228E6F86"/>
  <w16cid:commentId w16cid:paraId="6A8A8D8A" w16cid:durableId="228E8425"/>
  <w16cid:commentId w16cid:paraId="516DA98F" w16cid:durableId="228E6F87"/>
  <w16cid:commentId w16cid:paraId="770EBF84" w16cid:durableId="228E6F88"/>
  <w16cid:commentId w16cid:paraId="0BD632BA" w16cid:durableId="228E6F89"/>
  <w16cid:commentId w16cid:paraId="1DF0D5FE" w16cid:durableId="228E6F8A"/>
  <w16cid:commentId w16cid:paraId="6F953E4E" w16cid:durableId="229486A1"/>
  <w16cid:commentId w16cid:paraId="342AB514" w16cid:durableId="22948562"/>
  <w16cid:commentId w16cid:paraId="66F8D539" w16cid:durableId="228E6F8B"/>
  <w16cid:commentId w16cid:paraId="151A3DD9" w16cid:durableId="228E6F8C"/>
  <w16cid:commentId w16cid:paraId="54A232D3" w16cid:durableId="2294882F"/>
  <w16cid:commentId w16cid:paraId="4314EEDD" w16cid:durableId="2294C017"/>
  <w16cid:commentId w16cid:paraId="7BC9143A" w16cid:durableId="22948B23"/>
  <w16cid:commentId w16cid:paraId="7EAFA760" w16cid:durableId="22948BCE"/>
  <w16cid:commentId w16cid:paraId="3989F86B" w16cid:durableId="22948D08"/>
  <w16cid:commentId w16cid:paraId="2FDD3439" w16cid:durableId="22948CF1"/>
  <w16cid:commentId w16cid:paraId="2DDFD3CE" w16cid:durableId="2293C497"/>
  <w16cid:commentId w16cid:paraId="0B5F28A1" w16cid:durableId="228E6F8F"/>
  <w16cid:commentId w16cid:paraId="5CA667BA" w16cid:durableId="228E6F90"/>
  <w16cid:commentId w16cid:paraId="76E63DC0" w16cid:durableId="228E6F91"/>
  <w16cid:commentId w16cid:paraId="79DBEE0D" w16cid:durableId="228E6F92"/>
  <w16cid:commentId w16cid:paraId="5CAB5732" w16cid:durableId="2294967D"/>
  <w16cid:commentId w16cid:paraId="6956549E" w16cid:durableId="228E6F93"/>
  <w16cid:commentId w16cid:paraId="4FFCC4B4" w16cid:durableId="2294C5AB"/>
  <w16cid:commentId w16cid:paraId="1E9E4677" w16cid:durableId="22949813"/>
  <w16cid:commentId w16cid:paraId="306FEA25" w16cid:durableId="22949879"/>
  <w16cid:commentId w16cid:paraId="47CD4E31" w16cid:durableId="22949854"/>
  <w16cid:commentId w16cid:paraId="1F327B9B" w16cid:durableId="229498CA"/>
  <w16cid:commentId w16cid:paraId="449B85BD" w16cid:durableId="2293BB34"/>
  <w16cid:commentId w16cid:paraId="0D758319" w16cid:durableId="2294C600"/>
  <w16cid:commentId w16cid:paraId="13A665BC" w16cid:durableId="2293B8ED"/>
  <w16cid:commentId w16cid:paraId="31D90D5C" w16cid:durableId="228E6F94"/>
  <w16cid:commentId w16cid:paraId="7BA9F724" w16cid:durableId="228E6F95"/>
  <w16cid:commentId w16cid:paraId="2ABE5236" w16cid:durableId="2294C61A"/>
  <w16cid:commentId w16cid:paraId="2EACB8CA" w16cid:durableId="228E6F96"/>
  <w16cid:commentId w16cid:paraId="3339EE15" w16cid:durableId="228E6F97"/>
  <w16cid:commentId w16cid:paraId="506F6728" w16cid:durableId="228E6F98"/>
  <w16cid:commentId w16cid:paraId="5CD546F7" w16cid:durableId="228E6F99"/>
  <w16cid:commentId w16cid:paraId="7D105EF9" w16cid:durableId="228E6F9A"/>
  <w16cid:commentId w16cid:paraId="72F7BF1C" w16cid:durableId="22933EB8"/>
  <w16cid:commentId w16cid:paraId="78187036" w16cid:durableId="228E6F9B"/>
  <w16cid:commentId w16cid:paraId="7F7E223C" w16cid:durableId="2295002C"/>
  <w16cid:commentId w16cid:paraId="37CCA927" w16cid:durableId="229501BE"/>
  <w16cid:commentId w16cid:paraId="226302AB" w16cid:durableId="2294CE34"/>
  <w16cid:commentId w16cid:paraId="2E9DA4E3" w16cid:durableId="2294D680"/>
  <w16cid:commentId w16cid:paraId="78B533AF" w16cid:durableId="228E6F9C"/>
  <w16cid:commentId w16cid:paraId="5A8CABF2" w16cid:durableId="228E6F9D"/>
  <w16cid:commentId w16cid:paraId="61AD47FE" w16cid:durableId="228E6F9E"/>
  <w16cid:commentId w16cid:paraId="4FAFB663" w16cid:durableId="228E6F9F"/>
  <w16cid:commentId w16cid:paraId="31A578BB" w16cid:durableId="228E6FA0"/>
  <w16cid:commentId w16cid:paraId="34155C20" w16cid:durableId="228E6FA1"/>
  <w16cid:commentId w16cid:paraId="018245E6" w16cid:durableId="2294A080"/>
  <w16cid:commentId w16cid:paraId="599E7559" w16cid:durableId="2294A806"/>
  <w16cid:commentId w16cid:paraId="21ACE561" w16cid:durableId="2294A0EC"/>
  <w16cid:commentId w16cid:paraId="1094B1C8" w16cid:durableId="2294A14D"/>
  <w16cid:commentId w16cid:paraId="327C0853" w16cid:durableId="228E6FA2"/>
  <w16cid:commentId w16cid:paraId="2A950339" w16cid:durableId="2294A21F"/>
  <w16cid:commentId w16cid:paraId="0A14CF3B" w16cid:durableId="2294A555"/>
  <w16cid:commentId w16cid:paraId="29E4E307" w16cid:durableId="2294A5AE"/>
  <w16cid:commentId w16cid:paraId="7B236F12" w16cid:durableId="228E6FA3"/>
  <w16cid:commentId w16cid:paraId="19690691" w16cid:durableId="228E6FA4"/>
  <w16cid:commentId w16cid:paraId="76A13C98" w16cid:durableId="2294A6D1"/>
  <w16cid:commentId w16cid:paraId="1C4914DD" w16cid:durableId="2294A849"/>
  <w16cid:commentId w16cid:paraId="325DF30C" w16cid:durableId="2294A887"/>
  <w16cid:commentId w16cid:paraId="25A68178" w16cid:durableId="2294A94C"/>
  <w16cid:commentId w16cid:paraId="4141BB06" w16cid:durableId="228E6FA5"/>
  <w16cid:commentId w16cid:paraId="11B099D1" w16cid:durableId="228E6FA6"/>
  <w16cid:commentId w16cid:paraId="6C12F5CF" w16cid:durableId="2294D3C0"/>
  <w16cid:commentId w16cid:paraId="39B822FB" w16cid:durableId="228E6FA7"/>
  <w16cid:commentId w16cid:paraId="7FA7B343" w16cid:durableId="2294AAEF"/>
  <w16cid:commentId w16cid:paraId="70A899BD" w16cid:durableId="228E6FA8"/>
  <w16cid:commentId w16cid:paraId="5DB083C7" w16cid:durableId="2294AB09"/>
  <w16cid:commentId w16cid:paraId="61D67379" w16cid:durableId="2294AB23"/>
  <w16cid:commentId w16cid:paraId="07BCF1EE" w16cid:durableId="2294ACC2"/>
  <w16cid:commentId w16cid:paraId="3097ACB2" w16cid:durableId="228E6FA9"/>
  <w16cid:commentId w16cid:paraId="4BB7871C" w16cid:durableId="2294AD3C"/>
  <w16cid:commentId w16cid:paraId="4A8DDEF8" w16cid:durableId="228E6FAA"/>
  <w16cid:commentId w16cid:paraId="7C4C57B1" w16cid:durableId="2294E9D6"/>
  <w16cid:commentId w16cid:paraId="6B7796D8" w16cid:durableId="2294ADF1"/>
  <w16cid:commentId w16cid:paraId="6ADDBFB6" w16cid:durableId="2294AF93"/>
  <w16cid:commentId w16cid:paraId="0518BCAA" w16cid:durableId="2294B038"/>
  <w16cid:commentId w16cid:paraId="052800DB" w16cid:durableId="2293C7C6"/>
  <w16cid:commentId w16cid:paraId="6DC368E7" w16cid:durableId="228E6FAB"/>
  <w16cid:commentId w16cid:paraId="71CD71E5" w16cid:durableId="228E6FAC"/>
  <w16cid:commentId w16cid:paraId="1D99BA05" w16cid:durableId="228E6FAD"/>
  <w16cid:commentId w16cid:paraId="2D820CC9" w16cid:durableId="228E6FAE"/>
  <w16cid:commentId w16cid:paraId="21E7C313" w16cid:durableId="2294B241"/>
  <w16cid:commentId w16cid:paraId="18D664F0" w16cid:durableId="228E6FAF"/>
  <w16cid:commentId w16cid:paraId="5058DAD0" w16cid:durableId="2294B3BA"/>
  <w16cid:commentId w16cid:paraId="0F598886" w16cid:durableId="2294B433"/>
  <w16cid:commentId w16cid:paraId="7E273930" w16cid:durableId="2294B476"/>
  <w16cid:commentId w16cid:paraId="4CF55A32" w16cid:durableId="228E6FB0"/>
  <w16cid:commentId w16cid:paraId="7D4D9992" w16cid:durableId="2294B5D2"/>
  <w16cid:commentId w16cid:paraId="0BBF894D" w16cid:durableId="2294B4E2"/>
  <w16cid:commentId w16cid:paraId="19507584" w16cid:durableId="2294B56F"/>
  <w16cid:commentId w16cid:paraId="02B7B5DE" w16cid:durableId="2294B681"/>
  <w16cid:commentId w16cid:paraId="0F574D7D" w16cid:durableId="228E6FB1"/>
  <w16cid:commentId w16cid:paraId="23446305" w16cid:durableId="228E6FB2"/>
  <w16cid:commentId w16cid:paraId="46056194" w16cid:durableId="2294B73B"/>
  <w16cid:commentId w16cid:paraId="3C6002B6" w16cid:durableId="229102E0"/>
  <w16cid:commentId w16cid:paraId="19EB3711" w16cid:durableId="2294B7DA"/>
  <w16cid:commentId w16cid:paraId="2F82F0EB" w16cid:durableId="228E6FB4"/>
  <w16cid:commentId w16cid:paraId="4D614003" w16cid:durableId="228E6FB5"/>
  <w16cid:commentId w16cid:paraId="63EBC2F8" w16cid:durableId="2291048F"/>
  <w16cid:commentId w16cid:paraId="3DB120C9" w16cid:durableId="2294B889"/>
  <w16cid:commentId w16cid:paraId="55B8B088" w16cid:durableId="2294B8A6"/>
  <w16cid:commentId w16cid:paraId="03B0461A" w16cid:durableId="2294B9F3"/>
  <w16cid:commentId w16cid:paraId="7309B896" w16cid:durableId="22932F75"/>
  <w16cid:commentId w16cid:paraId="39955D3D" w16cid:durableId="228E6FB7"/>
  <w16cid:commentId w16cid:paraId="3226C307" w16cid:durableId="228E6FB8"/>
  <w16cid:commentId w16cid:paraId="1414C387" w16cid:durableId="228E6FB9"/>
  <w16cid:commentId w16cid:paraId="7B9DDFAA" w16cid:durableId="228E6FBA"/>
  <w16cid:commentId w16cid:paraId="729A83DA" w16cid:durableId="228E6FBB"/>
  <w16cid:commentId w16cid:paraId="2CC12F38" w16cid:durableId="228E6FBC"/>
  <w16cid:commentId w16cid:paraId="0A3D35EA" w16cid:durableId="228E6FBD"/>
  <w16cid:commentId w16cid:paraId="0F1BB7B5" w16cid:durableId="228E6FBE"/>
  <w16cid:commentId w16cid:paraId="35635E57" w16cid:durableId="228E6FBF"/>
  <w16cid:commentId w16cid:paraId="4A447343" w16cid:durableId="228E7E60"/>
  <w16cid:commentId w16cid:paraId="3F06A183" w16cid:durableId="228E7E61"/>
  <w16cid:commentId w16cid:paraId="79F43658" w16cid:durableId="228E6FC2"/>
  <w16cid:commentId w16cid:paraId="28D5CA34" w16cid:durableId="228E6FC3"/>
  <w16cid:commentId w16cid:paraId="2CBAE6A9" w16cid:durableId="228E6FC4"/>
  <w16cid:commentId w16cid:paraId="192FBCF6" w16cid:durableId="228E6FC5"/>
  <w16cid:commentId w16cid:paraId="768425AD" w16cid:durableId="2294970B"/>
  <w16cid:commentId w16cid:paraId="7DDC297A" w16cid:durableId="2294B6FE"/>
  <w16cid:commentId w16cid:paraId="1181DD71" w16cid:durableId="2294A588"/>
  <w16cid:commentId w16cid:paraId="6C1D720B" w16cid:durableId="229483EF"/>
  <w16cid:commentId w16cid:paraId="3094C044" w16cid:durableId="22949F80"/>
  <w16cid:commentId w16cid:paraId="2D4A7292" w16cid:durableId="2294B9D3"/>
  <w16cid:commentId w16cid:paraId="6111A602" w16cid:durableId="2294A683"/>
  <w16cid:commentId w16cid:paraId="16F91E33" w16cid:durableId="2294A033"/>
  <w16cid:commentId w16cid:paraId="01ACCDC7" w16cid:durableId="2294A1E0"/>
  <w16cid:commentId w16cid:paraId="22149D2C" w16cid:durableId="22947326"/>
  <w16cid:commentId w16cid:paraId="68422CD5" w16cid:durableId="2294ADCB"/>
  <w16cid:commentId w16cid:paraId="2FCF44C8" w16cid:durableId="22948A99"/>
  <w16cid:commentId w16cid:paraId="34C29E21" w16cid:durableId="2294AC94"/>
  <w16cid:commentId w16cid:paraId="18055445" w16cid:durableId="2294746A"/>
  <w16cid:commentId w16cid:paraId="40D80D92" w16cid:durableId="2294B35C"/>
  <w16cid:commentId w16cid:paraId="2332FEEC" w16cid:durableId="2294B410"/>
  <w16cid:commentId w16cid:paraId="281B2430" w16cid:durableId="2294A12C"/>
  <w16cid:commentId w16cid:paraId="1E46D62F" w16cid:durableId="2294A51F"/>
  <w16cid:commentId w16cid:paraId="41E6F1AE" w16cid:durableId="2294B1D9"/>
  <w16cid:commentId w16cid:paraId="2DE9ACC3" w16cid:durableId="2294AA90"/>
  <w16cid:commentId w16cid:paraId="2F40F478" w16cid:durableId="22948B9E"/>
  <w16cid:commentId w16cid:paraId="668EC455" w16cid:durableId="2294A7DC"/>
  <w16cid:commentId w16cid:paraId="361A6C46" w16cid:durableId="228E6FC6"/>
  <w16cid:commentId w16cid:paraId="2EB88BC7" w16cid:durableId="228E6FC7"/>
  <w16cid:commentId w16cid:paraId="78D71CAB" w16cid:durableId="228E6FC8"/>
  <w16cid:commentId w16cid:paraId="3837B36B" w16cid:durableId="2294AD14"/>
  <w16cid:commentId w16cid:paraId="2F0E3181" w16cid:durableId="228DB1B6"/>
  <w16cid:commentId w16cid:paraId="4E8DEF43" w16cid:durableId="228DB1B7"/>
  <w16cid:commentId w16cid:paraId="23C6675B" w16cid:durableId="228DB1B8"/>
  <w16cid:commentId w16cid:paraId="0D77C476" w16cid:durableId="228DB1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FFE49" w14:textId="77777777" w:rsidR="005F460B" w:rsidRDefault="005F460B" w:rsidP="0080531E">
      <w:pPr>
        <w:spacing w:before="0" w:after="0" w:line="240" w:lineRule="auto"/>
      </w:pPr>
      <w:r>
        <w:separator/>
      </w:r>
    </w:p>
    <w:p w14:paraId="55BAF95B" w14:textId="77777777" w:rsidR="005F460B" w:rsidRDefault="005F460B"/>
    <w:p w14:paraId="00FCF2CD" w14:textId="77777777" w:rsidR="005F460B" w:rsidRDefault="005F460B"/>
  </w:endnote>
  <w:endnote w:type="continuationSeparator" w:id="0">
    <w:p w14:paraId="7EEC3F25" w14:textId="77777777" w:rsidR="005F460B" w:rsidRDefault="005F460B" w:rsidP="0080531E">
      <w:pPr>
        <w:spacing w:before="0" w:after="0" w:line="240" w:lineRule="auto"/>
      </w:pPr>
      <w:r>
        <w:continuationSeparator/>
      </w:r>
    </w:p>
    <w:p w14:paraId="483F7306" w14:textId="77777777" w:rsidR="005F460B" w:rsidRDefault="005F460B"/>
    <w:p w14:paraId="452C9328" w14:textId="77777777" w:rsidR="005F460B" w:rsidRDefault="005F4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OCBook-Mäori">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AE0C2" w14:textId="77777777" w:rsidR="005F460B" w:rsidRDefault="005F46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131AF" w14:textId="77777777" w:rsidR="005F460B" w:rsidRDefault="005F46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1A575" w14:textId="77777777" w:rsidR="005F460B" w:rsidRDefault="005F46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0DF3" w14:textId="4E431E5B" w:rsidR="005F460B" w:rsidRDefault="005F460B" w:rsidP="00CD25E1">
    <w:pPr>
      <w:pStyle w:val="Footereven"/>
    </w:pPr>
    <w:r w:rsidRPr="004F458A">
      <w:rPr>
        <w:b/>
      </w:rPr>
      <w:fldChar w:fldCharType="begin"/>
    </w:r>
    <w:r w:rsidRPr="004F458A">
      <w:instrText xml:space="preserve"> PAGE </w:instrText>
    </w:r>
    <w:r w:rsidRPr="004F458A">
      <w:rPr>
        <w:b/>
      </w:rPr>
      <w:fldChar w:fldCharType="separate"/>
    </w:r>
    <w:r w:rsidR="00B45FF6">
      <w:rPr>
        <w:noProof/>
      </w:rPr>
      <w:t>36</w:t>
    </w:r>
    <w:r w:rsidRPr="004F458A">
      <w:rPr>
        <w:b/>
      </w:rPr>
      <w:fldChar w:fldCharType="end"/>
    </w:r>
    <w:r>
      <w:tab/>
    </w:r>
    <w:r w:rsidRPr="00D32E26">
      <w:t>National Climate Change Risk Assessment for Aotearoa New Zealand</w:t>
    </w:r>
    <w:r>
      <w:t xml:space="preserve"> – Main report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EDC3B" w14:textId="352DAB41" w:rsidR="005F460B" w:rsidRDefault="005F460B" w:rsidP="00CD25E1">
    <w:pPr>
      <w:pStyle w:val="Footerodd"/>
    </w:pPr>
    <w:r>
      <w:tab/>
    </w:r>
    <w:r w:rsidRPr="00D32E26">
      <w:t>National Climate Change Risk Assessment for Aotearoa New Zealand</w:t>
    </w:r>
    <w:r>
      <w:t xml:space="preserve"> – Main report</w:t>
    </w:r>
    <w:r>
      <w:tab/>
    </w:r>
    <w:r>
      <w:fldChar w:fldCharType="begin"/>
    </w:r>
    <w:r>
      <w:instrText xml:space="preserve"> PAGE   \* MERGEFORMAT </w:instrText>
    </w:r>
    <w:r>
      <w:fldChar w:fldCharType="separate"/>
    </w:r>
    <w:r w:rsidR="00B45FF6">
      <w:rPr>
        <w:noProof/>
      </w:rPr>
      <w:t>19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DA6D7" w14:textId="42844986" w:rsidR="005F460B" w:rsidRDefault="005F460B" w:rsidP="00AA6D51">
    <w:pPr>
      <w:pStyle w:val="Footerodd"/>
      <w:tabs>
        <w:tab w:val="clear" w:pos="7938"/>
        <w:tab w:val="clear" w:pos="8505"/>
        <w:tab w:val="right" w:pos="20979"/>
        <w:tab w:val="right" w:pos="21540"/>
      </w:tabs>
    </w:pPr>
    <w:r>
      <w:tab/>
    </w:r>
    <w:r w:rsidRPr="00D32E26">
      <w:t>National Climate Change Risk Assessment for Aotearoa New Zealand</w:t>
    </w:r>
    <w:r>
      <w:t xml:space="preserve"> – Main report</w:t>
    </w:r>
    <w:r>
      <w:tab/>
    </w:r>
    <w:r>
      <w:fldChar w:fldCharType="begin"/>
    </w:r>
    <w:r>
      <w:instrText xml:space="preserve"> PAGE   \* MERGEFORMAT </w:instrText>
    </w:r>
    <w:r>
      <w:fldChar w:fldCharType="separate"/>
    </w:r>
    <w:r w:rsidR="00B45FF6">
      <w:rPr>
        <w:noProof/>
      </w:rPr>
      <w:t>21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446EE" w14:textId="2D0846A8" w:rsidR="005F460B" w:rsidRDefault="005F460B" w:rsidP="00680995">
    <w:pPr>
      <w:pStyle w:val="Footerodd"/>
      <w:tabs>
        <w:tab w:val="clear" w:pos="7938"/>
        <w:tab w:val="left" w:pos="2552"/>
        <w:tab w:val="right" w:pos="12758"/>
      </w:tabs>
      <w:ind w:right="-1701"/>
    </w:pPr>
    <w:r>
      <w:tab/>
    </w:r>
    <w:r w:rsidRPr="00D32E26">
      <w:t>National Climate Change Risk Assessment for Aotearoa New Zealand</w:t>
    </w:r>
    <w:r>
      <w:t xml:space="preserve"> – Main report</w:t>
    </w:r>
    <w:r>
      <w:tab/>
    </w:r>
    <w:r>
      <w:fldChar w:fldCharType="begin"/>
    </w:r>
    <w:r>
      <w:instrText xml:space="preserve"> PAGE   \* MERGEFORMAT </w:instrText>
    </w:r>
    <w:r>
      <w:fldChar w:fldCharType="separate"/>
    </w:r>
    <w:r w:rsidR="00B45FF6">
      <w:rPr>
        <w:noProof/>
      </w:rPr>
      <w:t>35</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7753D" w14:textId="5520AC22" w:rsidR="005F460B" w:rsidRDefault="005F460B" w:rsidP="009E6D7D">
    <w:pPr>
      <w:pStyle w:val="Footerodd"/>
      <w:tabs>
        <w:tab w:val="clear" w:pos="7938"/>
        <w:tab w:val="clear" w:pos="8505"/>
        <w:tab w:val="right" w:pos="20979"/>
        <w:tab w:val="right" w:pos="21546"/>
      </w:tabs>
    </w:pPr>
    <w:r>
      <w:tab/>
    </w:r>
    <w:r w:rsidRPr="00D32E26">
      <w:t>National Climate Change Risk Assessment for Aotearoa New Zealand</w:t>
    </w:r>
    <w:r>
      <w:t xml:space="preserve"> – Main report</w:t>
    </w:r>
    <w:r>
      <w:tab/>
    </w:r>
    <w:r>
      <w:fldChar w:fldCharType="begin"/>
    </w:r>
    <w:r>
      <w:instrText xml:space="preserve"> PAGE   \* MERGEFORMAT </w:instrText>
    </w:r>
    <w:r>
      <w:fldChar w:fldCharType="separate"/>
    </w:r>
    <w:r w:rsidR="00B45FF6">
      <w:rPr>
        <w:noProof/>
      </w:rPr>
      <w:t>45</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6D47C" w14:textId="044D0FDF" w:rsidR="005F460B" w:rsidRDefault="005F460B" w:rsidP="00CD25E1">
    <w:pPr>
      <w:pStyle w:val="Footerodd"/>
    </w:pPr>
    <w:r>
      <w:tab/>
    </w:r>
    <w:r w:rsidRPr="00D32E26">
      <w:t>National Climate Change Risk Assessment for Aotearoa New Zealand</w:t>
    </w:r>
    <w:r>
      <w:t xml:space="preserve"> – Main report</w:t>
    </w:r>
    <w:r>
      <w:tab/>
    </w:r>
    <w:r>
      <w:fldChar w:fldCharType="begin"/>
    </w:r>
    <w:r>
      <w:instrText xml:space="preserve"> PAGE   \* MERGEFORMAT </w:instrText>
    </w:r>
    <w:r>
      <w:fldChar w:fldCharType="separate"/>
    </w:r>
    <w:r w:rsidR="00B45FF6">
      <w:rPr>
        <w:noProof/>
      </w:rPr>
      <w:t>133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65C7E" w14:textId="77777777" w:rsidR="005F460B" w:rsidRDefault="005F460B" w:rsidP="00CB5C5F">
      <w:pPr>
        <w:spacing w:before="0" w:after="80" w:line="240" w:lineRule="auto"/>
      </w:pPr>
      <w:r>
        <w:separator/>
      </w:r>
    </w:p>
  </w:footnote>
  <w:footnote w:type="continuationSeparator" w:id="0">
    <w:p w14:paraId="4CB1267B" w14:textId="77777777" w:rsidR="005F460B" w:rsidRDefault="005F460B" w:rsidP="0080531E">
      <w:pPr>
        <w:spacing w:before="0" w:after="0" w:line="240" w:lineRule="auto"/>
      </w:pPr>
      <w:r>
        <w:continuationSeparator/>
      </w:r>
    </w:p>
    <w:p w14:paraId="431E0B6F" w14:textId="77777777" w:rsidR="005F460B" w:rsidRDefault="005F460B"/>
    <w:p w14:paraId="72A9777D" w14:textId="77777777" w:rsidR="005F460B" w:rsidRDefault="005F460B"/>
  </w:footnote>
  <w:footnote w:id="1">
    <w:p w14:paraId="28DF08ED" w14:textId="77777777" w:rsidR="005F460B" w:rsidRDefault="005F460B" w:rsidP="005A33B7">
      <w:pPr>
        <w:pStyle w:val="FootnoteText"/>
      </w:pPr>
      <w:r>
        <w:rPr>
          <w:rStyle w:val="FootnoteReference"/>
        </w:rPr>
        <w:footnoteRef/>
      </w:r>
      <w:r>
        <w:t xml:space="preserve"> </w:t>
      </w:r>
      <w:r>
        <w:tab/>
      </w:r>
      <w:r w:rsidRPr="0097613B">
        <w:rPr>
          <w:rFonts w:asciiTheme="minorHAnsi" w:hAnsiTheme="minorHAnsi" w:cstheme="minorHAnsi"/>
          <w:sz w:val="18"/>
        </w:rPr>
        <w:t xml:space="preserve">Ecosystem services are the processes by which people benefit from ecosystems, such as clean air, fresh water and the pollination of crops. These are commonly classified </w:t>
      </w:r>
      <w:r>
        <w:rPr>
          <w:rFonts w:asciiTheme="minorHAnsi" w:hAnsiTheme="minorHAnsi" w:cstheme="minorHAnsi"/>
          <w:sz w:val="18"/>
        </w:rPr>
        <w:t>as</w:t>
      </w:r>
      <w:r w:rsidRPr="0097613B">
        <w:rPr>
          <w:rFonts w:asciiTheme="minorHAnsi" w:hAnsiTheme="minorHAnsi" w:cstheme="minorHAnsi"/>
          <w:sz w:val="18"/>
        </w:rPr>
        <w:t xml:space="preserve"> four types: provisioning (eg, food, fibre, water, fuel, genetic resources); regulating (eg, air quality, climate, water flow, pollination, erosion control, pest and disease control); cultural (eg, </w:t>
      </w:r>
      <w:r w:rsidRPr="005809F7">
        <w:rPr>
          <w:rFonts w:asciiTheme="minorHAnsi" w:hAnsiTheme="minorHAnsi" w:cstheme="minorHAnsi"/>
          <w:sz w:val="18"/>
        </w:rPr>
        <w:t xml:space="preserve">spiritual, aesthetic, recreational, educational); </w:t>
      </w:r>
      <w:r>
        <w:rPr>
          <w:rFonts w:asciiTheme="minorHAnsi" w:hAnsiTheme="minorHAnsi" w:cstheme="minorHAnsi"/>
          <w:sz w:val="18"/>
        </w:rPr>
        <w:t>and</w:t>
      </w:r>
      <w:r w:rsidRPr="005809F7">
        <w:rPr>
          <w:rFonts w:asciiTheme="minorHAnsi" w:hAnsiTheme="minorHAnsi" w:cstheme="minorHAnsi"/>
          <w:sz w:val="18"/>
        </w:rPr>
        <w:t xml:space="preserve"> supporting (eg, photosynthesis, soil formation, nutrient cycling) (Roberts </w:t>
      </w:r>
      <w:r>
        <w:rPr>
          <w:rFonts w:asciiTheme="minorHAnsi" w:hAnsiTheme="minorHAnsi" w:cstheme="minorHAnsi"/>
          <w:sz w:val="18"/>
        </w:rPr>
        <w:t>et al,</w:t>
      </w:r>
      <w:r w:rsidRPr="005809F7">
        <w:rPr>
          <w:rFonts w:asciiTheme="minorHAnsi" w:hAnsiTheme="minorHAnsi" w:cstheme="minorHAnsi"/>
          <w:sz w:val="18"/>
        </w:rPr>
        <w:t xml:space="preserve"> 2015).</w:t>
      </w:r>
      <w:r>
        <w:rPr>
          <w:rFonts w:asciiTheme="minorHAnsi" w:hAnsiTheme="minorHAnsi" w:cstheme="minorHAnsi"/>
          <w:sz w:val="18"/>
        </w:rPr>
        <w:t xml:space="preserve"> </w:t>
      </w:r>
    </w:p>
  </w:footnote>
  <w:footnote w:id="2">
    <w:p w14:paraId="0F663D06" w14:textId="77777777" w:rsidR="005F460B" w:rsidRPr="003F4926" w:rsidRDefault="005F460B" w:rsidP="00B252CB">
      <w:pPr>
        <w:pStyle w:val="FootnoteText"/>
        <w:ind w:left="426" w:hanging="426"/>
        <w:rPr>
          <w:rFonts w:asciiTheme="minorHAnsi" w:hAnsiTheme="minorHAnsi" w:cstheme="minorHAnsi"/>
          <w:color w:val="000000" w:themeColor="text1"/>
          <w:sz w:val="18"/>
          <w:szCs w:val="18"/>
        </w:rPr>
      </w:pPr>
      <w:r w:rsidRPr="003F4926">
        <w:rPr>
          <w:rStyle w:val="FootnoteReference"/>
          <w:rFonts w:asciiTheme="minorHAnsi" w:hAnsiTheme="minorHAnsi" w:cstheme="minorHAnsi"/>
          <w:color w:val="000000" w:themeColor="text1"/>
          <w:sz w:val="18"/>
          <w:szCs w:val="18"/>
        </w:rPr>
        <w:footnoteRef/>
      </w:r>
      <w:r w:rsidRPr="003F4926">
        <w:rPr>
          <w:rFonts w:asciiTheme="minorHAnsi" w:hAnsiTheme="minorHAnsi" w:cstheme="minorHAnsi"/>
          <w:color w:val="000000" w:themeColor="text1"/>
          <w:sz w:val="18"/>
          <w:szCs w:val="18"/>
        </w:rPr>
        <w:t xml:space="preserve"> </w:t>
      </w:r>
      <w:r w:rsidRPr="003F4926">
        <w:rPr>
          <w:rFonts w:asciiTheme="minorHAnsi" w:hAnsiTheme="minorHAnsi" w:cstheme="minorHAnsi"/>
          <w:color w:val="000000" w:themeColor="text1"/>
          <w:sz w:val="18"/>
          <w:szCs w:val="18"/>
        </w:rPr>
        <w:tab/>
      </w:r>
      <w:r w:rsidRPr="003F4926">
        <w:rPr>
          <w:rFonts w:asciiTheme="minorHAnsi" w:hAnsiTheme="minorHAnsi" w:cstheme="minorHAnsi"/>
          <w:color w:val="000000" w:themeColor="text1"/>
          <w:sz w:val="18"/>
          <w:szCs w:val="18"/>
          <w:shd w:val="clear" w:color="auto" w:fill="FFFFFF"/>
        </w:rPr>
        <w:t>A unit for measuring atmospheric or barometric pressure.</w:t>
      </w:r>
    </w:p>
  </w:footnote>
  <w:footnote w:id="3">
    <w:p w14:paraId="603FC93F" w14:textId="77777777" w:rsidR="005F460B" w:rsidRDefault="005F460B">
      <w:pPr>
        <w:pStyle w:val="FootnoteText"/>
      </w:pPr>
      <w:r>
        <w:rPr>
          <w:rStyle w:val="FootnoteReference"/>
        </w:rPr>
        <w:footnoteRef/>
      </w:r>
      <w:r>
        <w:t xml:space="preserve"> </w:t>
      </w:r>
      <w:r>
        <w:tab/>
      </w:r>
      <w:r w:rsidRPr="00966A98">
        <w:rPr>
          <w:i/>
          <w:iCs/>
          <w:szCs w:val="18"/>
        </w:rPr>
        <w:t>Coastal Hazards and Climate Change: Guidance for Local Government</w:t>
      </w:r>
      <w:r w:rsidRPr="00E32D45">
        <w:rPr>
          <w:szCs w:val="18"/>
        </w:rPr>
        <w:t xml:space="preserve"> (Ministry for the Environment, 2017b)</w:t>
      </w:r>
      <w:r>
        <w:rPr>
          <w:szCs w:val="18"/>
        </w:rPr>
        <w:t>.</w:t>
      </w:r>
    </w:p>
  </w:footnote>
  <w:footnote w:id="4">
    <w:p w14:paraId="0A186D53" w14:textId="77777777" w:rsidR="005F460B" w:rsidRDefault="005F460B">
      <w:pPr>
        <w:pStyle w:val="FootnoteText"/>
      </w:pPr>
      <w:r>
        <w:rPr>
          <w:rStyle w:val="FootnoteReference"/>
        </w:rPr>
        <w:footnoteRef/>
      </w:r>
      <w:r>
        <w:t xml:space="preserve"> </w:t>
      </w:r>
      <w:r>
        <w:tab/>
      </w:r>
      <w:r w:rsidRPr="00D07B07">
        <w:rPr>
          <w:i/>
          <w:iCs/>
          <w:szCs w:val="18"/>
        </w:rPr>
        <w:t>IPCC Special Report on the Ocean and Cryosphere in a Changing Climate</w:t>
      </w:r>
      <w:r w:rsidRPr="005D6D89">
        <w:rPr>
          <w:szCs w:val="18"/>
        </w:rPr>
        <w:t xml:space="preserve"> (Oppenheimer et al, 2019)</w:t>
      </w:r>
      <w:r>
        <w:rPr>
          <w:szCs w:val="18"/>
        </w:rPr>
        <w:t>.</w:t>
      </w:r>
    </w:p>
  </w:footnote>
  <w:footnote w:id="5">
    <w:p w14:paraId="6626D128" w14:textId="77777777" w:rsidR="005F460B" w:rsidRDefault="005F460B">
      <w:pPr>
        <w:pStyle w:val="FootnoteText"/>
      </w:pPr>
      <w:r>
        <w:rPr>
          <w:rStyle w:val="FootnoteReference"/>
        </w:rPr>
        <w:footnoteRef/>
      </w:r>
      <w:r>
        <w:t xml:space="preserve"> </w:t>
      </w:r>
      <w:r>
        <w:tab/>
      </w:r>
      <w:r w:rsidRPr="00D07B07">
        <w:rPr>
          <w:i/>
          <w:iCs/>
          <w:szCs w:val="18"/>
        </w:rPr>
        <w:t>Coastal Hazards and Climate Change: Guidance for Local Government</w:t>
      </w:r>
      <w:r w:rsidRPr="005D6D89">
        <w:rPr>
          <w:szCs w:val="18"/>
        </w:rPr>
        <w:t xml:space="preserve"> (Ministry for the Environment, 2017b)</w:t>
      </w:r>
      <w:r>
        <w:rPr>
          <w:szCs w:val="18"/>
        </w:rPr>
        <w:t>.</w:t>
      </w:r>
    </w:p>
  </w:footnote>
  <w:footnote w:id="6">
    <w:p w14:paraId="7A32DAB9" w14:textId="77777777" w:rsidR="005F460B" w:rsidRDefault="005F460B">
      <w:pPr>
        <w:pStyle w:val="FootnoteText"/>
      </w:pPr>
      <w:r>
        <w:rPr>
          <w:rStyle w:val="FootnoteReference"/>
        </w:rPr>
        <w:footnoteRef/>
      </w:r>
      <w:r>
        <w:t xml:space="preserve"> </w:t>
      </w:r>
      <w:r>
        <w:tab/>
      </w:r>
      <w:r w:rsidRPr="00643928">
        <w:rPr>
          <w:i/>
          <w:iCs/>
          <w:szCs w:val="18"/>
        </w:rPr>
        <w:t>IPCC Special Report on the Ocean and Cryosphere in a Changing Climate</w:t>
      </w:r>
      <w:r w:rsidRPr="00E32D45">
        <w:rPr>
          <w:szCs w:val="18"/>
        </w:rPr>
        <w:t xml:space="preserve"> (Oppenheimer et al, 2019)</w:t>
      </w:r>
      <w:r>
        <w:rPr>
          <w:szCs w:val="18"/>
        </w:rPr>
        <w:t>.</w:t>
      </w:r>
      <w:r w:rsidRPr="00E32D45" w:rsidDel="00BE3F34">
        <w:rPr>
          <w:szCs w:val="18"/>
        </w:rPr>
        <w:t xml:space="preserve"> </w:t>
      </w:r>
    </w:p>
  </w:footnote>
  <w:footnote w:id="7">
    <w:p w14:paraId="0BFDDA54" w14:textId="77777777" w:rsidR="005F460B" w:rsidRPr="003A05E9" w:rsidRDefault="005F460B" w:rsidP="003A05E9">
      <w:pPr>
        <w:pStyle w:val="FootnoteText"/>
      </w:pPr>
      <w:r w:rsidRPr="003A05E9">
        <w:rPr>
          <w:rStyle w:val="FootnoteReference"/>
          <w:rFonts w:cs="Calibri"/>
        </w:rPr>
        <w:footnoteRef/>
      </w:r>
      <w:r w:rsidRPr="003A05E9">
        <w:t xml:space="preserve"> </w:t>
      </w:r>
      <w:r w:rsidRPr="003A05E9">
        <w:tab/>
      </w:r>
      <w:r w:rsidRPr="003A05E9">
        <w:rPr>
          <w:shd w:val="clear" w:color="auto" w:fill="FFFFFF"/>
        </w:rPr>
        <w:t>The highest projected global mean sea-level rise across all models and emission scenarios (95th percentile</w:t>
      </w:r>
      <w:r w:rsidRPr="00B20D0F">
        <w:rPr>
          <w:shd w:val="clear" w:color="auto" w:fill="FFFFFF"/>
        </w:rPr>
        <w:t xml:space="preserve"> of </w:t>
      </w:r>
      <w:r w:rsidRPr="00B20D0F">
        <w:rPr>
          <w:lang w:eastAsia="en-AU"/>
        </w:rPr>
        <w:t>MIROC ESM CHEM</w:t>
      </w:r>
      <w:r w:rsidRPr="00B20D0F">
        <w:rPr>
          <w:shd w:val="clear" w:color="auto" w:fill="FFFFFF"/>
        </w:rPr>
        <w:t>).</w:t>
      </w:r>
    </w:p>
  </w:footnote>
  <w:footnote w:id="8">
    <w:p w14:paraId="24AD8A61" w14:textId="77777777" w:rsidR="005F460B" w:rsidRDefault="005F460B" w:rsidP="00AD4A03">
      <w:pPr>
        <w:pStyle w:val="FootnoteText"/>
      </w:pPr>
      <w:r>
        <w:rPr>
          <w:rStyle w:val="FootnoteReference"/>
        </w:rPr>
        <w:footnoteRef/>
      </w:r>
      <w:r>
        <w:t xml:space="preserve"> </w:t>
      </w:r>
      <w:r>
        <w:tab/>
      </w:r>
      <w:r w:rsidRPr="007F2269">
        <w:t xml:space="preserve">Paulik </w:t>
      </w:r>
      <w:r>
        <w:t>et al</w:t>
      </w:r>
      <w:r w:rsidRPr="007F2269">
        <w:t xml:space="preserve"> (2019</w:t>
      </w:r>
      <w:r>
        <w:t>b</w:t>
      </w:r>
      <w:r w:rsidRPr="007F2269">
        <w:t>) u</w:t>
      </w:r>
      <w:r>
        <w:t>ndertook a high-level study on New Zealand’s exposure to 1 per cent annual exceedance probability (AEP) coastal flood inundation under present-day and future higher sea levels</w:t>
      </w:r>
      <w:r w:rsidRPr="007F2269">
        <w:t>.</w:t>
      </w:r>
    </w:p>
  </w:footnote>
  <w:footnote w:id="9">
    <w:p w14:paraId="30A2781E" w14:textId="77777777" w:rsidR="005F460B" w:rsidRDefault="005F460B" w:rsidP="00AD4A03">
      <w:pPr>
        <w:pStyle w:val="FootnoteText"/>
      </w:pPr>
      <w:r>
        <w:rPr>
          <w:rStyle w:val="FootnoteReference"/>
        </w:rPr>
        <w:footnoteRef/>
      </w:r>
      <w:r>
        <w:t xml:space="preserve"> </w:t>
      </w:r>
      <w:r>
        <w:tab/>
      </w:r>
      <w:r w:rsidRPr="00DD5DDA">
        <w:t xml:space="preserve">Paulik </w:t>
      </w:r>
      <w:r>
        <w:t>et al</w:t>
      </w:r>
      <w:r w:rsidRPr="00DD5DDA">
        <w:t xml:space="preserve"> (2019a) undertook a high-level study to enumerate New Zealand’s asset exposure in inland (fluvial and pluvial) flood plains. In the absence of a national flood hazard map, exposed areas </w:t>
      </w:r>
      <w:proofErr w:type="gramStart"/>
      <w:r w:rsidRPr="00DD5DDA">
        <w:t>were identified</w:t>
      </w:r>
      <w:proofErr w:type="gramEnd"/>
      <w:r w:rsidRPr="00DD5DDA">
        <w:t xml:space="preserve"> by creating a ‘composite’ flood hazard area map from modelled and historic flood hazard maps</w:t>
      </w:r>
      <w:r>
        <w:t> </w:t>
      </w:r>
      <w:r w:rsidRPr="00DD5DDA">
        <w:t>and flood prone soil maps. The analysis provides a representative sample of built assets exposed in</w:t>
      </w:r>
      <w:r>
        <w:t> </w:t>
      </w:r>
      <w:r w:rsidRPr="00DD5DDA">
        <w:t xml:space="preserve">New Zealand’s fluvial and pluvial floodplains. It is noted the analysis cannot be attributed to a particular </w:t>
      </w:r>
      <w:r w:rsidRPr="007D0B70">
        <w:t xml:space="preserve">return period flood event </w:t>
      </w:r>
      <w:proofErr w:type="gramStart"/>
      <w:r>
        <w:t>at the present time</w:t>
      </w:r>
      <w:proofErr w:type="gramEnd"/>
      <w:r>
        <w:t xml:space="preserve">, </w:t>
      </w:r>
      <w:r w:rsidRPr="00DD5DDA">
        <w:t>nor in the future with climate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34317" w14:textId="77777777" w:rsidR="005F460B" w:rsidRDefault="005F46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D68F" w14:textId="77777777" w:rsidR="005F460B" w:rsidRDefault="005F46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30E2A" w14:textId="77777777" w:rsidR="005F460B" w:rsidRDefault="005F4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313"/>
    <w:multiLevelType w:val="multilevel"/>
    <w:tmpl w:val="6B6A1AF8"/>
    <w:lvl w:ilvl="0">
      <w:start w:val="1"/>
      <w:numFmt w:val="decimal"/>
      <w:lvlText w:val="4.2.%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FEF072B"/>
    <w:multiLevelType w:val="multilevel"/>
    <w:tmpl w:val="4858EA68"/>
    <w:lvl w:ilvl="0">
      <w:start w:val="1"/>
      <w:numFmt w:val="decimal"/>
      <w:lvlText w:val="3.1.%1"/>
      <w:lvlJc w:val="left"/>
      <w:pPr>
        <w:ind w:left="851" w:hanging="851"/>
      </w:pPr>
      <w:rPr>
        <w:rFonts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F126AC"/>
    <w:multiLevelType w:val="multilevel"/>
    <w:tmpl w:val="91D2BF0C"/>
    <w:lvl w:ilvl="0">
      <w:start w:val="1"/>
      <w:numFmt w:val="decimal"/>
      <w:lvlText w:val="3.%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AEF7A0E"/>
    <w:multiLevelType w:val="multilevel"/>
    <w:tmpl w:val="96B4FBDE"/>
    <w:lvl w:ilvl="0">
      <w:start w:val="1"/>
      <w:numFmt w:val="decimal"/>
      <w:lvlText w:val="7.2.%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2E3686"/>
    <w:multiLevelType w:val="multilevel"/>
    <w:tmpl w:val="DF0ED1C8"/>
    <w:lvl w:ilvl="0">
      <w:start w:val="1"/>
      <w:numFmt w:val="decimal"/>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E4960DA"/>
    <w:multiLevelType w:val="multilevel"/>
    <w:tmpl w:val="54188492"/>
    <w:lvl w:ilvl="0">
      <w:start w:val="1"/>
      <w:numFmt w:val="decimal"/>
      <w:lvlText w:val="5.3.%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A691EBA"/>
    <w:multiLevelType w:val="multilevel"/>
    <w:tmpl w:val="17E617FA"/>
    <w:lvl w:ilvl="0">
      <w:start w:val="1"/>
      <w:numFmt w:val="decimal"/>
      <w:lvlText w:val="2.1.%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3A07E9"/>
    <w:multiLevelType w:val="multilevel"/>
    <w:tmpl w:val="51EAE7B4"/>
    <w:lvl w:ilvl="0">
      <w:start w:val="1"/>
      <w:numFmt w:val="decimal"/>
      <w:lvlText w:val="7.%1"/>
      <w:lvlJc w:val="left"/>
      <w:pPr>
        <w:ind w:left="851" w:hanging="851"/>
      </w:pPr>
      <w:rPr>
        <w:rFonts w:ascii="Calibri" w:hAnsi="Calibri" w:hint="default"/>
        <w:b/>
        <w:i w:val="0"/>
        <w:sz w:val="36"/>
        <w:szCs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24D45F5"/>
    <w:multiLevelType w:val="multilevel"/>
    <w:tmpl w:val="55AE45B6"/>
    <w:lvl w:ilvl="0">
      <w:start w:val="1"/>
      <w:numFmt w:val="decimal"/>
      <w:lvlText w:val="5.%1"/>
      <w:lvlJc w:val="left"/>
      <w:pPr>
        <w:ind w:left="851" w:hanging="851"/>
      </w:pPr>
      <w:rPr>
        <w:rFonts w:ascii="Calibri" w:hAnsi="Calibri" w:hint="default"/>
        <w:b/>
        <w:i w:val="0"/>
        <w:sz w:val="36"/>
        <w:szCs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94772B4"/>
    <w:multiLevelType w:val="multilevel"/>
    <w:tmpl w:val="A406025C"/>
    <w:lvl w:ilvl="0">
      <w:start w:val="1"/>
      <w:numFmt w:val="decimal"/>
      <w:lvlText w:val="2.2.%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D2D6E19"/>
    <w:multiLevelType w:val="multilevel"/>
    <w:tmpl w:val="5978A74C"/>
    <w:lvl w:ilvl="0">
      <w:start w:val="1"/>
      <w:numFmt w:val="decimal"/>
      <w:lvlText w:val="2.%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4" w15:restartNumberingAfterBreak="0">
    <w:nsid w:val="5B201425"/>
    <w:multiLevelType w:val="hybridMultilevel"/>
    <w:tmpl w:val="E5163532"/>
    <w:lvl w:ilvl="0" w:tplc="1BF4E1E6">
      <w:start w:val="1"/>
      <w:numFmt w:val="bullet"/>
      <w:lvlText w:val=""/>
      <w:lvlJc w:val="left"/>
      <w:pPr>
        <w:ind w:left="360" w:hanging="360"/>
      </w:pPr>
      <w:rPr>
        <w:rFonts w:ascii="Symbol" w:hAnsi="Symbol" w:hint="default"/>
        <w:sz w:val="18"/>
        <w:szCs w:val="1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F3703B5"/>
    <w:multiLevelType w:val="multilevel"/>
    <w:tmpl w:val="182801E8"/>
    <w:lvl w:ilvl="0">
      <w:start w:val="1"/>
      <w:numFmt w:val="decimal"/>
      <w:lvlText w:val="5.7.%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5BB7E98"/>
    <w:multiLevelType w:val="multilevel"/>
    <w:tmpl w:val="2E38925A"/>
    <w:lvl w:ilvl="0">
      <w:start w:val="1"/>
      <w:numFmt w:val="decimal"/>
      <w:lvlText w:val="5.4.%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6C56827"/>
    <w:multiLevelType w:val="multilevel"/>
    <w:tmpl w:val="8E76D9FA"/>
    <w:lvl w:ilvl="0">
      <w:start w:val="1"/>
      <w:numFmt w:val="decimal"/>
      <w:lvlText w:val="2.3.%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80C73D8"/>
    <w:multiLevelType w:val="multilevel"/>
    <w:tmpl w:val="B3F424F2"/>
    <w:lvl w:ilvl="0">
      <w:start w:val="1"/>
      <w:numFmt w:val="decimal"/>
      <w:lvlText w:val="5.5.%1"/>
      <w:lvlJc w:val="left"/>
      <w:pPr>
        <w:ind w:left="851" w:hanging="851"/>
      </w:pPr>
      <w:rPr>
        <w:rFonts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A7F511C"/>
    <w:multiLevelType w:val="multilevel"/>
    <w:tmpl w:val="3D5C7C66"/>
    <w:lvl w:ilvl="0">
      <w:start w:val="1"/>
      <w:numFmt w:val="decimal"/>
      <w:lvlText w:val="5.8.%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CCC2364"/>
    <w:multiLevelType w:val="multilevel"/>
    <w:tmpl w:val="CD002EE2"/>
    <w:lvl w:ilvl="0">
      <w:start w:val="1"/>
      <w:numFmt w:val="decimal"/>
      <w:lvlText w:val="1.%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D6E5DE4"/>
    <w:multiLevelType w:val="multilevel"/>
    <w:tmpl w:val="48C07B78"/>
    <w:lvl w:ilvl="0">
      <w:start w:val="1"/>
      <w:numFmt w:val="decimal"/>
      <w:lvlText w:val="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5431C5"/>
    <w:multiLevelType w:val="multilevel"/>
    <w:tmpl w:val="90081BD2"/>
    <w:lvl w:ilvl="0">
      <w:start w:val="1"/>
      <w:numFmt w:val="decimal"/>
      <w:lvlText w:val="5.6.%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B63632A"/>
    <w:multiLevelType w:val="multilevel"/>
    <w:tmpl w:val="DE501C24"/>
    <w:lvl w:ilvl="0">
      <w:start w:val="1"/>
      <w:numFmt w:val="decimal"/>
      <w:lvlText w:val="1.1.%1"/>
      <w:lvlJc w:val="left"/>
      <w:pPr>
        <w:ind w:left="851" w:hanging="851"/>
      </w:pPr>
      <w:rPr>
        <w:rFonts w:ascii="Calibri" w:hAnsi="Calibri"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23"/>
  </w:num>
  <w:num w:numId="3">
    <w:abstractNumId w:val="18"/>
  </w:num>
  <w:num w:numId="4">
    <w:abstractNumId w:val="11"/>
  </w:num>
  <w:num w:numId="5">
    <w:abstractNumId w:val="8"/>
  </w:num>
  <w:num w:numId="6">
    <w:abstractNumId w:val="20"/>
  </w:num>
  <w:num w:numId="7">
    <w:abstractNumId w:val="19"/>
  </w:num>
  <w:num w:numId="8">
    <w:abstractNumId w:val="3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2"/>
  </w:num>
  <w:num w:numId="12">
    <w:abstractNumId w:val="2"/>
  </w:num>
  <w:num w:numId="13">
    <w:abstractNumId w:val="9"/>
  </w:num>
  <w:num w:numId="14">
    <w:abstractNumId w:val="15"/>
  </w:num>
  <w:num w:numId="15">
    <w:abstractNumId w:val="7"/>
  </w:num>
  <w:num w:numId="16">
    <w:abstractNumId w:val="33"/>
  </w:num>
  <w:num w:numId="17">
    <w:abstractNumId w:val="6"/>
  </w:num>
  <w:num w:numId="18">
    <w:abstractNumId w:val="30"/>
  </w:num>
  <w:num w:numId="19">
    <w:abstractNumId w:val="22"/>
  </w:num>
  <w:num w:numId="20">
    <w:abstractNumId w:val="14"/>
  </w:num>
  <w:num w:numId="21">
    <w:abstractNumId w:val="27"/>
  </w:num>
  <w:num w:numId="22">
    <w:abstractNumId w:val="4"/>
  </w:num>
  <w:num w:numId="23">
    <w:abstractNumId w:val="3"/>
  </w:num>
  <w:num w:numId="24">
    <w:abstractNumId w:val="31"/>
  </w:num>
  <w:num w:numId="25">
    <w:abstractNumId w:val="0"/>
  </w:num>
  <w:num w:numId="26">
    <w:abstractNumId w:val="17"/>
  </w:num>
  <w:num w:numId="27">
    <w:abstractNumId w:val="21"/>
  </w:num>
  <w:num w:numId="28">
    <w:abstractNumId w:val="12"/>
  </w:num>
  <w:num w:numId="29">
    <w:abstractNumId w:val="26"/>
  </w:num>
  <w:num w:numId="30">
    <w:abstractNumId w:val="28"/>
  </w:num>
  <w:num w:numId="31">
    <w:abstractNumId w:val="36"/>
  </w:num>
  <w:num w:numId="32">
    <w:abstractNumId w:val="35"/>
  </w:num>
  <w:num w:numId="33">
    <w:abstractNumId w:val="25"/>
  </w:num>
  <w:num w:numId="34">
    <w:abstractNumId w:val="29"/>
  </w:num>
  <w:num w:numId="35">
    <w:abstractNumId w:val="16"/>
  </w:num>
  <w:num w:numId="36">
    <w:abstractNumId w:val="5"/>
  </w:num>
  <w:num w:numId="37">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proofState w:grammar="clean"/>
  <w:trackRevisions/>
  <w:defaultTabStop w:val="397"/>
  <w:evenAndOddHeaders/>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027"/>
    <w:rsid w:val="00000792"/>
    <w:rsid w:val="00000F04"/>
    <w:rsid w:val="00002FA1"/>
    <w:rsid w:val="0000300F"/>
    <w:rsid w:val="00003C4F"/>
    <w:rsid w:val="000045E3"/>
    <w:rsid w:val="00004E0A"/>
    <w:rsid w:val="00004FD3"/>
    <w:rsid w:val="00005F79"/>
    <w:rsid w:val="0000668F"/>
    <w:rsid w:val="00006DF5"/>
    <w:rsid w:val="00006F95"/>
    <w:rsid w:val="00007023"/>
    <w:rsid w:val="0000709F"/>
    <w:rsid w:val="000071D6"/>
    <w:rsid w:val="00007DA2"/>
    <w:rsid w:val="00007F2D"/>
    <w:rsid w:val="00007FAC"/>
    <w:rsid w:val="00010A9C"/>
    <w:rsid w:val="00010ABA"/>
    <w:rsid w:val="00010E15"/>
    <w:rsid w:val="00010F57"/>
    <w:rsid w:val="0001100C"/>
    <w:rsid w:val="00011188"/>
    <w:rsid w:val="00012555"/>
    <w:rsid w:val="00014113"/>
    <w:rsid w:val="00014236"/>
    <w:rsid w:val="000148F6"/>
    <w:rsid w:val="0001490B"/>
    <w:rsid w:val="00015217"/>
    <w:rsid w:val="0001565A"/>
    <w:rsid w:val="000159D2"/>
    <w:rsid w:val="00016264"/>
    <w:rsid w:val="00016993"/>
    <w:rsid w:val="00016CAB"/>
    <w:rsid w:val="00016E5B"/>
    <w:rsid w:val="0001749B"/>
    <w:rsid w:val="000176AF"/>
    <w:rsid w:val="00017D75"/>
    <w:rsid w:val="00017FE5"/>
    <w:rsid w:val="000212FE"/>
    <w:rsid w:val="00021910"/>
    <w:rsid w:val="00022E8D"/>
    <w:rsid w:val="0002326C"/>
    <w:rsid w:val="0002348A"/>
    <w:rsid w:val="000239A1"/>
    <w:rsid w:val="00023BDA"/>
    <w:rsid w:val="00024708"/>
    <w:rsid w:val="00024EE7"/>
    <w:rsid w:val="00025D98"/>
    <w:rsid w:val="00025F96"/>
    <w:rsid w:val="00025FAB"/>
    <w:rsid w:val="00026BC1"/>
    <w:rsid w:val="00026D2D"/>
    <w:rsid w:val="00026E89"/>
    <w:rsid w:val="00026EE9"/>
    <w:rsid w:val="000275A3"/>
    <w:rsid w:val="00027F9F"/>
    <w:rsid w:val="00030558"/>
    <w:rsid w:val="00030699"/>
    <w:rsid w:val="00030725"/>
    <w:rsid w:val="00030DB8"/>
    <w:rsid w:val="0003194C"/>
    <w:rsid w:val="00031A83"/>
    <w:rsid w:val="0003213A"/>
    <w:rsid w:val="00032A81"/>
    <w:rsid w:val="000332F0"/>
    <w:rsid w:val="000340D8"/>
    <w:rsid w:val="0003427D"/>
    <w:rsid w:val="00034C37"/>
    <w:rsid w:val="00034DFA"/>
    <w:rsid w:val="000357ED"/>
    <w:rsid w:val="00035E15"/>
    <w:rsid w:val="0003632A"/>
    <w:rsid w:val="0003640E"/>
    <w:rsid w:val="0003688A"/>
    <w:rsid w:val="000368FC"/>
    <w:rsid w:val="00036DA3"/>
    <w:rsid w:val="00036EDB"/>
    <w:rsid w:val="000379BF"/>
    <w:rsid w:val="00037BEC"/>
    <w:rsid w:val="000400D9"/>
    <w:rsid w:val="0004035C"/>
    <w:rsid w:val="00040860"/>
    <w:rsid w:val="00040CED"/>
    <w:rsid w:val="00040EA1"/>
    <w:rsid w:val="00041BA6"/>
    <w:rsid w:val="00041E9C"/>
    <w:rsid w:val="0004205F"/>
    <w:rsid w:val="000423C6"/>
    <w:rsid w:val="00042EDB"/>
    <w:rsid w:val="00044A50"/>
    <w:rsid w:val="00044C65"/>
    <w:rsid w:val="000458C7"/>
    <w:rsid w:val="00045991"/>
    <w:rsid w:val="00045E5C"/>
    <w:rsid w:val="00046288"/>
    <w:rsid w:val="00047941"/>
    <w:rsid w:val="000501EB"/>
    <w:rsid w:val="00050A22"/>
    <w:rsid w:val="00050E27"/>
    <w:rsid w:val="0005144F"/>
    <w:rsid w:val="00051AF1"/>
    <w:rsid w:val="00051D42"/>
    <w:rsid w:val="00051EB3"/>
    <w:rsid w:val="000538A1"/>
    <w:rsid w:val="00055375"/>
    <w:rsid w:val="00056319"/>
    <w:rsid w:val="000564E7"/>
    <w:rsid w:val="00056770"/>
    <w:rsid w:val="00057386"/>
    <w:rsid w:val="000573A4"/>
    <w:rsid w:val="00057EEF"/>
    <w:rsid w:val="00060EF6"/>
    <w:rsid w:val="000619CB"/>
    <w:rsid w:val="00062387"/>
    <w:rsid w:val="000626F3"/>
    <w:rsid w:val="00063D76"/>
    <w:rsid w:val="000640F0"/>
    <w:rsid w:val="0006434D"/>
    <w:rsid w:val="000643A1"/>
    <w:rsid w:val="00064679"/>
    <w:rsid w:val="00064A13"/>
    <w:rsid w:val="00064AF4"/>
    <w:rsid w:val="00064DB1"/>
    <w:rsid w:val="00065BA3"/>
    <w:rsid w:val="00065D3B"/>
    <w:rsid w:val="000667E9"/>
    <w:rsid w:val="00067128"/>
    <w:rsid w:val="000675CD"/>
    <w:rsid w:val="0006783B"/>
    <w:rsid w:val="00067872"/>
    <w:rsid w:val="000678AC"/>
    <w:rsid w:val="000703B2"/>
    <w:rsid w:val="00070FBF"/>
    <w:rsid w:val="000711EE"/>
    <w:rsid w:val="0007180E"/>
    <w:rsid w:val="000719CD"/>
    <w:rsid w:val="00071AE4"/>
    <w:rsid w:val="00071CB5"/>
    <w:rsid w:val="00071CCB"/>
    <w:rsid w:val="00071D03"/>
    <w:rsid w:val="0007232B"/>
    <w:rsid w:val="000735A2"/>
    <w:rsid w:val="0007444F"/>
    <w:rsid w:val="0007517E"/>
    <w:rsid w:val="00075DEC"/>
    <w:rsid w:val="00075FE1"/>
    <w:rsid w:val="00076667"/>
    <w:rsid w:val="000771B0"/>
    <w:rsid w:val="00077473"/>
    <w:rsid w:val="00077481"/>
    <w:rsid w:val="000776F9"/>
    <w:rsid w:val="00077EE0"/>
    <w:rsid w:val="000802F9"/>
    <w:rsid w:val="00080566"/>
    <w:rsid w:val="0008145A"/>
    <w:rsid w:val="0008162D"/>
    <w:rsid w:val="000831C8"/>
    <w:rsid w:val="00083F5E"/>
    <w:rsid w:val="00084FDB"/>
    <w:rsid w:val="0008505C"/>
    <w:rsid w:val="00085C46"/>
    <w:rsid w:val="0008686A"/>
    <w:rsid w:val="00087175"/>
    <w:rsid w:val="000874AA"/>
    <w:rsid w:val="00087D35"/>
    <w:rsid w:val="00091796"/>
    <w:rsid w:val="00091942"/>
    <w:rsid w:val="00091BA2"/>
    <w:rsid w:val="00091CB0"/>
    <w:rsid w:val="00093310"/>
    <w:rsid w:val="00094344"/>
    <w:rsid w:val="000953C6"/>
    <w:rsid w:val="000953F4"/>
    <w:rsid w:val="0009590C"/>
    <w:rsid w:val="000959E7"/>
    <w:rsid w:val="00095C61"/>
    <w:rsid w:val="00095C79"/>
    <w:rsid w:val="00095E7D"/>
    <w:rsid w:val="000964DE"/>
    <w:rsid w:val="00096935"/>
    <w:rsid w:val="000972AB"/>
    <w:rsid w:val="000973BB"/>
    <w:rsid w:val="00097B40"/>
    <w:rsid w:val="00097D0E"/>
    <w:rsid w:val="000A17EA"/>
    <w:rsid w:val="000A1C7A"/>
    <w:rsid w:val="000A2345"/>
    <w:rsid w:val="000A2394"/>
    <w:rsid w:val="000A2C3F"/>
    <w:rsid w:val="000A31C1"/>
    <w:rsid w:val="000A3255"/>
    <w:rsid w:val="000A32C5"/>
    <w:rsid w:val="000A3411"/>
    <w:rsid w:val="000A34CA"/>
    <w:rsid w:val="000A3A8C"/>
    <w:rsid w:val="000A426F"/>
    <w:rsid w:val="000A4559"/>
    <w:rsid w:val="000A45FD"/>
    <w:rsid w:val="000A477B"/>
    <w:rsid w:val="000A54BC"/>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1C91"/>
    <w:rsid w:val="000B1D3A"/>
    <w:rsid w:val="000B2240"/>
    <w:rsid w:val="000B2477"/>
    <w:rsid w:val="000B2600"/>
    <w:rsid w:val="000B36F9"/>
    <w:rsid w:val="000B4074"/>
    <w:rsid w:val="000B4732"/>
    <w:rsid w:val="000B4BCD"/>
    <w:rsid w:val="000B575D"/>
    <w:rsid w:val="000B66DC"/>
    <w:rsid w:val="000B68DD"/>
    <w:rsid w:val="000B6D1F"/>
    <w:rsid w:val="000C062F"/>
    <w:rsid w:val="000C17E7"/>
    <w:rsid w:val="000C2150"/>
    <w:rsid w:val="000C3270"/>
    <w:rsid w:val="000C577E"/>
    <w:rsid w:val="000C5F46"/>
    <w:rsid w:val="000C7366"/>
    <w:rsid w:val="000C7412"/>
    <w:rsid w:val="000C7F3E"/>
    <w:rsid w:val="000D01FD"/>
    <w:rsid w:val="000D04BA"/>
    <w:rsid w:val="000D0B6E"/>
    <w:rsid w:val="000D0D65"/>
    <w:rsid w:val="000D12E0"/>
    <w:rsid w:val="000D143F"/>
    <w:rsid w:val="000D1944"/>
    <w:rsid w:val="000D1DD9"/>
    <w:rsid w:val="000D2172"/>
    <w:rsid w:val="000D293C"/>
    <w:rsid w:val="000D2BC1"/>
    <w:rsid w:val="000D337B"/>
    <w:rsid w:val="000D385A"/>
    <w:rsid w:val="000D38C2"/>
    <w:rsid w:val="000D399A"/>
    <w:rsid w:val="000D3CA7"/>
    <w:rsid w:val="000D3F51"/>
    <w:rsid w:val="000D5724"/>
    <w:rsid w:val="000D5B16"/>
    <w:rsid w:val="000D5FD6"/>
    <w:rsid w:val="000D6201"/>
    <w:rsid w:val="000D6488"/>
    <w:rsid w:val="000D7088"/>
    <w:rsid w:val="000D770B"/>
    <w:rsid w:val="000D788E"/>
    <w:rsid w:val="000E0267"/>
    <w:rsid w:val="000E12B0"/>
    <w:rsid w:val="000E1BC8"/>
    <w:rsid w:val="000E1D32"/>
    <w:rsid w:val="000E26D8"/>
    <w:rsid w:val="000E2B94"/>
    <w:rsid w:val="000E3156"/>
    <w:rsid w:val="000E35B6"/>
    <w:rsid w:val="000E3BB8"/>
    <w:rsid w:val="000E3D9B"/>
    <w:rsid w:val="000E3DFD"/>
    <w:rsid w:val="000E4261"/>
    <w:rsid w:val="000E4697"/>
    <w:rsid w:val="000E4BE4"/>
    <w:rsid w:val="000E58C5"/>
    <w:rsid w:val="000E6203"/>
    <w:rsid w:val="000E64CB"/>
    <w:rsid w:val="000E6FFD"/>
    <w:rsid w:val="000E722C"/>
    <w:rsid w:val="000E755B"/>
    <w:rsid w:val="000E786F"/>
    <w:rsid w:val="000E7DA7"/>
    <w:rsid w:val="000E7FA0"/>
    <w:rsid w:val="000F00BA"/>
    <w:rsid w:val="000F02F8"/>
    <w:rsid w:val="000F0409"/>
    <w:rsid w:val="000F049F"/>
    <w:rsid w:val="000F0642"/>
    <w:rsid w:val="000F07FA"/>
    <w:rsid w:val="000F0B5E"/>
    <w:rsid w:val="000F175A"/>
    <w:rsid w:val="000F1D43"/>
    <w:rsid w:val="000F1FFF"/>
    <w:rsid w:val="000F20AA"/>
    <w:rsid w:val="000F2651"/>
    <w:rsid w:val="000F348D"/>
    <w:rsid w:val="000F369A"/>
    <w:rsid w:val="000F3858"/>
    <w:rsid w:val="000F4463"/>
    <w:rsid w:val="000F5285"/>
    <w:rsid w:val="000F52E0"/>
    <w:rsid w:val="000F53A9"/>
    <w:rsid w:val="000F6304"/>
    <w:rsid w:val="000F6464"/>
    <w:rsid w:val="000F6628"/>
    <w:rsid w:val="000F6C25"/>
    <w:rsid w:val="000F76EB"/>
    <w:rsid w:val="000F78AE"/>
    <w:rsid w:val="000F7E25"/>
    <w:rsid w:val="001007EE"/>
    <w:rsid w:val="00100F76"/>
    <w:rsid w:val="0010148E"/>
    <w:rsid w:val="0010169F"/>
    <w:rsid w:val="00101782"/>
    <w:rsid w:val="00101A8F"/>
    <w:rsid w:val="0010253C"/>
    <w:rsid w:val="00102BD1"/>
    <w:rsid w:val="00102E4B"/>
    <w:rsid w:val="00103494"/>
    <w:rsid w:val="001046A0"/>
    <w:rsid w:val="0010486A"/>
    <w:rsid w:val="001048C6"/>
    <w:rsid w:val="0010561C"/>
    <w:rsid w:val="00105903"/>
    <w:rsid w:val="00105C0F"/>
    <w:rsid w:val="00105E39"/>
    <w:rsid w:val="00106561"/>
    <w:rsid w:val="00106D63"/>
    <w:rsid w:val="001075F3"/>
    <w:rsid w:val="00107A01"/>
    <w:rsid w:val="00107C23"/>
    <w:rsid w:val="00110307"/>
    <w:rsid w:val="001107E4"/>
    <w:rsid w:val="0011097C"/>
    <w:rsid w:val="001109B3"/>
    <w:rsid w:val="00110C7F"/>
    <w:rsid w:val="00110EE2"/>
    <w:rsid w:val="00110F01"/>
    <w:rsid w:val="001114AD"/>
    <w:rsid w:val="00111A88"/>
    <w:rsid w:val="0011221A"/>
    <w:rsid w:val="00113283"/>
    <w:rsid w:val="0011363F"/>
    <w:rsid w:val="001137AE"/>
    <w:rsid w:val="00113B20"/>
    <w:rsid w:val="001147B3"/>
    <w:rsid w:val="001148F7"/>
    <w:rsid w:val="001149B2"/>
    <w:rsid w:val="00114C2D"/>
    <w:rsid w:val="00114FA0"/>
    <w:rsid w:val="00115125"/>
    <w:rsid w:val="001152F2"/>
    <w:rsid w:val="001157D7"/>
    <w:rsid w:val="00116382"/>
    <w:rsid w:val="00116484"/>
    <w:rsid w:val="00116547"/>
    <w:rsid w:val="00116906"/>
    <w:rsid w:val="00116ACF"/>
    <w:rsid w:val="00116D5C"/>
    <w:rsid w:val="001172B2"/>
    <w:rsid w:val="001175AE"/>
    <w:rsid w:val="00117F9B"/>
    <w:rsid w:val="001200EA"/>
    <w:rsid w:val="00121211"/>
    <w:rsid w:val="00121628"/>
    <w:rsid w:val="0012167D"/>
    <w:rsid w:val="00121AE3"/>
    <w:rsid w:val="00122189"/>
    <w:rsid w:val="00122280"/>
    <w:rsid w:val="00122D42"/>
    <w:rsid w:val="00123345"/>
    <w:rsid w:val="00123C46"/>
    <w:rsid w:val="00124073"/>
    <w:rsid w:val="0012470B"/>
    <w:rsid w:val="001257B1"/>
    <w:rsid w:val="00125C75"/>
    <w:rsid w:val="00125C7E"/>
    <w:rsid w:val="00127945"/>
    <w:rsid w:val="00127D94"/>
    <w:rsid w:val="00127E90"/>
    <w:rsid w:val="001302C1"/>
    <w:rsid w:val="001306D3"/>
    <w:rsid w:val="001307A0"/>
    <w:rsid w:val="001310BF"/>
    <w:rsid w:val="00133A22"/>
    <w:rsid w:val="00133E73"/>
    <w:rsid w:val="00133FDB"/>
    <w:rsid w:val="00134F4A"/>
    <w:rsid w:val="00135E4E"/>
    <w:rsid w:val="00136246"/>
    <w:rsid w:val="001364D4"/>
    <w:rsid w:val="001365AA"/>
    <w:rsid w:val="001366DB"/>
    <w:rsid w:val="00136D82"/>
    <w:rsid w:val="001371C8"/>
    <w:rsid w:val="001372ED"/>
    <w:rsid w:val="00137318"/>
    <w:rsid w:val="001373F6"/>
    <w:rsid w:val="00142B50"/>
    <w:rsid w:val="00142F40"/>
    <w:rsid w:val="00143873"/>
    <w:rsid w:val="001439E9"/>
    <w:rsid w:val="00143C55"/>
    <w:rsid w:val="0014412D"/>
    <w:rsid w:val="00144486"/>
    <w:rsid w:val="001444BC"/>
    <w:rsid w:val="00144C5A"/>
    <w:rsid w:val="00144C6F"/>
    <w:rsid w:val="00145089"/>
    <w:rsid w:val="001451E7"/>
    <w:rsid w:val="0014539C"/>
    <w:rsid w:val="001462E3"/>
    <w:rsid w:val="0014705D"/>
    <w:rsid w:val="0014720C"/>
    <w:rsid w:val="001472C2"/>
    <w:rsid w:val="00147458"/>
    <w:rsid w:val="00147E21"/>
    <w:rsid w:val="00150BA8"/>
    <w:rsid w:val="00150D19"/>
    <w:rsid w:val="0015181B"/>
    <w:rsid w:val="00151A9F"/>
    <w:rsid w:val="001528AE"/>
    <w:rsid w:val="00152B87"/>
    <w:rsid w:val="00153482"/>
    <w:rsid w:val="00153A96"/>
    <w:rsid w:val="00153D1C"/>
    <w:rsid w:val="001543E2"/>
    <w:rsid w:val="00155B43"/>
    <w:rsid w:val="001565A2"/>
    <w:rsid w:val="001567C3"/>
    <w:rsid w:val="00156A12"/>
    <w:rsid w:val="00156FBF"/>
    <w:rsid w:val="00157B3F"/>
    <w:rsid w:val="00157F8A"/>
    <w:rsid w:val="00160C3D"/>
    <w:rsid w:val="00161B24"/>
    <w:rsid w:val="00161C41"/>
    <w:rsid w:val="00161DD5"/>
    <w:rsid w:val="00161DE9"/>
    <w:rsid w:val="001633A4"/>
    <w:rsid w:val="001634D6"/>
    <w:rsid w:val="001648DD"/>
    <w:rsid w:val="0016494C"/>
    <w:rsid w:val="00165705"/>
    <w:rsid w:val="00166389"/>
    <w:rsid w:val="00166E03"/>
    <w:rsid w:val="00167E4C"/>
    <w:rsid w:val="00170425"/>
    <w:rsid w:val="0017065F"/>
    <w:rsid w:val="00171449"/>
    <w:rsid w:val="0017199C"/>
    <w:rsid w:val="00171C7E"/>
    <w:rsid w:val="00171F35"/>
    <w:rsid w:val="00172552"/>
    <w:rsid w:val="00172873"/>
    <w:rsid w:val="00172CF7"/>
    <w:rsid w:val="0017319E"/>
    <w:rsid w:val="00173A1F"/>
    <w:rsid w:val="00173BC3"/>
    <w:rsid w:val="00173EAA"/>
    <w:rsid w:val="00173F0D"/>
    <w:rsid w:val="00173F8B"/>
    <w:rsid w:val="00174128"/>
    <w:rsid w:val="00175C34"/>
    <w:rsid w:val="00175F9A"/>
    <w:rsid w:val="00176E98"/>
    <w:rsid w:val="001770E4"/>
    <w:rsid w:val="00177996"/>
    <w:rsid w:val="001806FC"/>
    <w:rsid w:val="00180B3F"/>
    <w:rsid w:val="00180C83"/>
    <w:rsid w:val="00180CE5"/>
    <w:rsid w:val="00181496"/>
    <w:rsid w:val="0018175B"/>
    <w:rsid w:val="001820A3"/>
    <w:rsid w:val="0018332A"/>
    <w:rsid w:val="00183D80"/>
    <w:rsid w:val="00183FFB"/>
    <w:rsid w:val="001842C8"/>
    <w:rsid w:val="00184426"/>
    <w:rsid w:val="00185044"/>
    <w:rsid w:val="001850DB"/>
    <w:rsid w:val="0018599C"/>
    <w:rsid w:val="001869EE"/>
    <w:rsid w:val="00186C2A"/>
    <w:rsid w:val="00186CF7"/>
    <w:rsid w:val="00186D00"/>
    <w:rsid w:val="0018743A"/>
    <w:rsid w:val="00190A57"/>
    <w:rsid w:val="00190B3F"/>
    <w:rsid w:val="0019122C"/>
    <w:rsid w:val="00191908"/>
    <w:rsid w:val="00192DF3"/>
    <w:rsid w:val="0019301F"/>
    <w:rsid w:val="00193286"/>
    <w:rsid w:val="0019375D"/>
    <w:rsid w:val="001937B8"/>
    <w:rsid w:val="00194BB7"/>
    <w:rsid w:val="00194CC5"/>
    <w:rsid w:val="001951B2"/>
    <w:rsid w:val="0019565D"/>
    <w:rsid w:val="00197564"/>
    <w:rsid w:val="00197EC2"/>
    <w:rsid w:val="00197ECE"/>
    <w:rsid w:val="001A1998"/>
    <w:rsid w:val="001A1CED"/>
    <w:rsid w:val="001A2022"/>
    <w:rsid w:val="001A279B"/>
    <w:rsid w:val="001A2DC3"/>
    <w:rsid w:val="001A2E87"/>
    <w:rsid w:val="001A2FD8"/>
    <w:rsid w:val="001A3869"/>
    <w:rsid w:val="001A38C2"/>
    <w:rsid w:val="001A5168"/>
    <w:rsid w:val="001A65C8"/>
    <w:rsid w:val="001A6F42"/>
    <w:rsid w:val="001A732E"/>
    <w:rsid w:val="001A7F30"/>
    <w:rsid w:val="001B04D5"/>
    <w:rsid w:val="001B06E2"/>
    <w:rsid w:val="001B103A"/>
    <w:rsid w:val="001B103D"/>
    <w:rsid w:val="001B1460"/>
    <w:rsid w:val="001B1513"/>
    <w:rsid w:val="001B1514"/>
    <w:rsid w:val="001B1767"/>
    <w:rsid w:val="001B2453"/>
    <w:rsid w:val="001B3D48"/>
    <w:rsid w:val="001B53D0"/>
    <w:rsid w:val="001B5AF9"/>
    <w:rsid w:val="001B6600"/>
    <w:rsid w:val="001B6B9B"/>
    <w:rsid w:val="001B6C27"/>
    <w:rsid w:val="001B7144"/>
    <w:rsid w:val="001B7E91"/>
    <w:rsid w:val="001C01E1"/>
    <w:rsid w:val="001C0289"/>
    <w:rsid w:val="001C147E"/>
    <w:rsid w:val="001C151B"/>
    <w:rsid w:val="001C19E5"/>
    <w:rsid w:val="001C372B"/>
    <w:rsid w:val="001C3800"/>
    <w:rsid w:val="001C3C7B"/>
    <w:rsid w:val="001C519B"/>
    <w:rsid w:val="001C5BAD"/>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1D11"/>
    <w:rsid w:val="001E2ECB"/>
    <w:rsid w:val="001E31C0"/>
    <w:rsid w:val="001E4B64"/>
    <w:rsid w:val="001E552A"/>
    <w:rsid w:val="001E57B9"/>
    <w:rsid w:val="001E6965"/>
    <w:rsid w:val="001E6E8D"/>
    <w:rsid w:val="001E7EE4"/>
    <w:rsid w:val="001E7F76"/>
    <w:rsid w:val="001F0A77"/>
    <w:rsid w:val="001F0FAF"/>
    <w:rsid w:val="001F139F"/>
    <w:rsid w:val="001F1AFF"/>
    <w:rsid w:val="001F20AB"/>
    <w:rsid w:val="001F2805"/>
    <w:rsid w:val="001F2E79"/>
    <w:rsid w:val="001F2F07"/>
    <w:rsid w:val="001F3123"/>
    <w:rsid w:val="001F376D"/>
    <w:rsid w:val="001F418C"/>
    <w:rsid w:val="001F4B2D"/>
    <w:rsid w:val="001F4F40"/>
    <w:rsid w:val="001F505E"/>
    <w:rsid w:val="001F50E0"/>
    <w:rsid w:val="001F594C"/>
    <w:rsid w:val="001F621E"/>
    <w:rsid w:val="001F69FC"/>
    <w:rsid w:val="001F6D62"/>
    <w:rsid w:val="001F73DC"/>
    <w:rsid w:val="001F7675"/>
    <w:rsid w:val="00200FAE"/>
    <w:rsid w:val="0020102D"/>
    <w:rsid w:val="002010E2"/>
    <w:rsid w:val="00201B73"/>
    <w:rsid w:val="00202517"/>
    <w:rsid w:val="00202ADB"/>
    <w:rsid w:val="00202BB7"/>
    <w:rsid w:val="0020435B"/>
    <w:rsid w:val="00204533"/>
    <w:rsid w:val="00204E05"/>
    <w:rsid w:val="00204E71"/>
    <w:rsid w:val="00204F2D"/>
    <w:rsid w:val="00205566"/>
    <w:rsid w:val="002063AA"/>
    <w:rsid w:val="00207062"/>
    <w:rsid w:val="00207FF7"/>
    <w:rsid w:val="00210549"/>
    <w:rsid w:val="0021069E"/>
    <w:rsid w:val="00210804"/>
    <w:rsid w:val="0021088F"/>
    <w:rsid w:val="002113FE"/>
    <w:rsid w:val="0021142D"/>
    <w:rsid w:val="00211737"/>
    <w:rsid w:val="0021181B"/>
    <w:rsid w:val="0021230F"/>
    <w:rsid w:val="002125B0"/>
    <w:rsid w:val="00212A82"/>
    <w:rsid w:val="00214EA2"/>
    <w:rsid w:val="002160FA"/>
    <w:rsid w:val="002166DD"/>
    <w:rsid w:val="002168A2"/>
    <w:rsid w:val="00217867"/>
    <w:rsid w:val="00217A1D"/>
    <w:rsid w:val="002205E4"/>
    <w:rsid w:val="00220713"/>
    <w:rsid w:val="00220D67"/>
    <w:rsid w:val="002215F8"/>
    <w:rsid w:val="002219C2"/>
    <w:rsid w:val="00221F80"/>
    <w:rsid w:val="00221FEA"/>
    <w:rsid w:val="002222D6"/>
    <w:rsid w:val="0022273A"/>
    <w:rsid w:val="00222D28"/>
    <w:rsid w:val="00223CF4"/>
    <w:rsid w:val="00224220"/>
    <w:rsid w:val="00224398"/>
    <w:rsid w:val="002246E8"/>
    <w:rsid w:val="00224A81"/>
    <w:rsid w:val="00224E91"/>
    <w:rsid w:val="0022583C"/>
    <w:rsid w:val="00225B4C"/>
    <w:rsid w:val="00225DCE"/>
    <w:rsid w:val="00225E1E"/>
    <w:rsid w:val="00226120"/>
    <w:rsid w:val="00226129"/>
    <w:rsid w:val="0022614D"/>
    <w:rsid w:val="00226961"/>
    <w:rsid w:val="00226AA2"/>
    <w:rsid w:val="00227218"/>
    <w:rsid w:val="0022770A"/>
    <w:rsid w:val="00227BEE"/>
    <w:rsid w:val="00227FB4"/>
    <w:rsid w:val="0023057E"/>
    <w:rsid w:val="002312BC"/>
    <w:rsid w:val="0023203F"/>
    <w:rsid w:val="00232F8F"/>
    <w:rsid w:val="002337E5"/>
    <w:rsid w:val="00233C06"/>
    <w:rsid w:val="00233F24"/>
    <w:rsid w:val="00234BBB"/>
    <w:rsid w:val="002356F4"/>
    <w:rsid w:val="00235F02"/>
    <w:rsid w:val="00235FB6"/>
    <w:rsid w:val="0023652B"/>
    <w:rsid w:val="00236D28"/>
    <w:rsid w:val="00237239"/>
    <w:rsid w:val="00237FE4"/>
    <w:rsid w:val="00240656"/>
    <w:rsid w:val="00241610"/>
    <w:rsid w:val="00241AED"/>
    <w:rsid w:val="00242697"/>
    <w:rsid w:val="00242F73"/>
    <w:rsid w:val="00243062"/>
    <w:rsid w:val="00243162"/>
    <w:rsid w:val="00243182"/>
    <w:rsid w:val="002436FF"/>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B33"/>
    <w:rsid w:val="00251EEE"/>
    <w:rsid w:val="00253177"/>
    <w:rsid w:val="002538B8"/>
    <w:rsid w:val="0025396F"/>
    <w:rsid w:val="00254319"/>
    <w:rsid w:val="0025442E"/>
    <w:rsid w:val="0025539F"/>
    <w:rsid w:val="00256388"/>
    <w:rsid w:val="00256DAA"/>
    <w:rsid w:val="00256E44"/>
    <w:rsid w:val="00260919"/>
    <w:rsid w:val="002612FD"/>
    <w:rsid w:val="002613DC"/>
    <w:rsid w:val="00261755"/>
    <w:rsid w:val="00261A84"/>
    <w:rsid w:val="00261AAA"/>
    <w:rsid w:val="00262097"/>
    <w:rsid w:val="00262ACC"/>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40F"/>
    <w:rsid w:val="002768CF"/>
    <w:rsid w:val="00276DC1"/>
    <w:rsid w:val="00276F82"/>
    <w:rsid w:val="002805DF"/>
    <w:rsid w:val="00280699"/>
    <w:rsid w:val="0028092D"/>
    <w:rsid w:val="00280FA5"/>
    <w:rsid w:val="002815D9"/>
    <w:rsid w:val="00282317"/>
    <w:rsid w:val="002825DC"/>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901"/>
    <w:rsid w:val="00293A8F"/>
    <w:rsid w:val="002941FF"/>
    <w:rsid w:val="00295155"/>
    <w:rsid w:val="00295D51"/>
    <w:rsid w:val="00295D6B"/>
    <w:rsid w:val="00296203"/>
    <w:rsid w:val="00296428"/>
    <w:rsid w:val="0029643D"/>
    <w:rsid w:val="0029706A"/>
    <w:rsid w:val="002972EE"/>
    <w:rsid w:val="00297930"/>
    <w:rsid w:val="00297F01"/>
    <w:rsid w:val="002A052D"/>
    <w:rsid w:val="002A0DF8"/>
    <w:rsid w:val="002A1928"/>
    <w:rsid w:val="002A1F1F"/>
    <w:rsid w:val="002A21B5"/>
    <w:rsid w:val="002A2631"/>
    <w:rsid w:val="002A2A0C"/>
    <w:rsid w:val="002A2BB6"/>
    <w:rsid w:val="002A30E0"/>
    <w:rsid w:val="002A310C"/>
    <w:rsid w:val="002A3521"/>
    <w:rsid w:val="002A35C5"/>
    <w:rsid w:val="002A37D9"/>
    <w:rsid w:val="002A37E1"/>
    <w:rsid w:val="002A3B61"/>
    <w:rsid w:val="002A3EDB"/>
    <w:rsid w:val="002A402A"/>
    <w:rsid w:val="002A45AA"/>
    <w:rsid w:val="002A4B0B"/>
    <w:rsid w:val="002A4B6F"/>
    <w:rsid w:val="002A4FFF"/>
    <w:rsid w:val="002A533C"/>
    <w:rsid w:val="002A56E1"/>
    <w:rsid w:val="002A59BD"/>
    <w:rsid w:val="002A6A3D"/>
    <w:rsid w:val="002A75CA"/>
    <w:rsid w:val="002A7760"/>
    <w:rsid w:val="002A7889"/>
    <w:rsid w:val="002A799A"/>
    <w:rsid w:val="002A7ECD"/>
    <w:rsid w:val="002B0472"/>
    <w:rsid w:val="002B097D"/>
    <w:rsid w:val="002B11B2"/>
    <w:rsid w:val="002B18F7"/>
    <w:rsid w:val="002B3ED7"/>
    <w:rsid w:val="002B4778"/>
    <w:rsid w:val="002B6A85"/>
    <w:rsid w:val="002B72DC"/>
    <w:rsid w:val="002B75B2"/>
    <w:rsid w:val="002B79B7"/>
    <w:rsid w:val="002B7F66"/>
    <w:rsid w:val="002C12C4"/>
    <w:rsid w:val="002C134E"/>
    <w:rsid w:val="002C141D"/>
    <w:rsid w:val="002C19C0"/>
    <w:rsid w:val="002C1B6E"/>
    <w:rsid w:val="002C2485"/>
    <w:rsid w:val="002C25E0"/>
    <w:rsid w:val="002C2A2D"/>
    <w:rsid w:val="002C36C0"/>
    <w:rsid w:val="002C3928"/>
    <w:rsid w:val="002C3B33"/>
    <w:rsid w:val="002C435E"/>
    <w:rsid w:val="002C43BB"/>
    <w:rsid w:val="002C44AB"/>
    <w:rsid w:val="002C5E39"/>
    <w:rsid w:val="002C5FA2"/>
    <w:rsid w:val="002C693F"/>
    <w:rsid w:val="002C7A02"/>
    <w:rsid w:val="002C7BD4"/>
    <w:rsid w:val="002D0107"/>
    <w:rsid w:val="002D062E"/>
    <w:rsid w:val="002D0D43"/>
    <w:rsid w:val="002D15C2"/>
    <w:rsid w:val="002D2B10"/>
    <w:rsid w:val="002D386A"/>
    <w:rsid w:val="002D4100"/>
    <w:rsid w:val="002D4747"/>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607"/>
    <w:rsid w:val="002E5DBF"/>
    <w:rsid w:val="002E5E01"/>
    <w:rsid w:val="002E60F5"/>
    <w:rsid w:val="002E6536"/>
    <w:rsid w:val="002E69F5"/>
    <w:rsid w:val="002E6CAA"/>
    <w:rsid w:val="002E73EC"/>
    <w:rsid w:val="002E7852"/>
    <w:rsid w:val="002E7FBB"/>
    <w:rsid w:val="002F023D"/>
    <w:rsid w:val="002F087E"/>
    <w:rsid w:val="002F0AD6"/>
    <w:rsid w:val="002F10EC"/>
    <w:rsid w:val="002F1136"/>
    <w:rsid w:val="002F1231"/>
    <w:rsid w:val="002F1521"/>
    <w:rsid w:val="002F15EE"/>
    <w:rsid w:val="002F1DF8"/>
    <w:rsid w:val="002F3632"/>
    <w:rsid w:val="002F3AFB"/>
    <w:rsid w:val="002F3C41"/>
    <w:rsid w:val="002F40EB"/>
    <w:rsid w:val="002F4C8E"/>
    <w:rsid w:val="002F5076"/>
    <w:rsid w:val="002F5839"/>
    <w:rsid w:val="002F5CDF"/>
    <w:rsid w:val="002F60DB"/>
    <w:rsid w:val="002F64D9"/>
    <w:rsid w:val="002F651D"/>
    <w:rsid w:val="002F6648"/>
    <w:rsid w:val="002F6678"/>
    <w:rsid w:val="002F6E44"/>
    <w:rsid w:val="002F74FD"/>
    <w:rsid w:val="002F787B"/>
    <w:rsid w:val="002F7974"/>
    <w:rsid w:val="002F797E"/>
    <w:rsid w:val="002F7D01"/>
    <w:rsid w:val="002F7FC1"/>
    <w:rsid w:val="0030005C"/>
    <w:rsid w:val="00300369"/>
    <w:rsid w:val="00301D0A"/>
    <w:rsid w:val="00301FA4"/>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5AA8"/>
    <w:rsid w:val="003160D2"/>
    <w:rsid w:val="0031611F"/>
    <w:rsid w:val="00317A33"/>
    <w:rsid w:val="00320339"/>
    <w:rsid w:val="00321214"/>
    <w:rsid w:val="003213D5"/>
    <w:rsid w:val="00323737"/>
    <w:rsid w:val="00323AD6"/>
    <w:rsid w:val="00323F27"/>
    <w:rsid w:val="003242EF"/>
    <w:rsid w:val="003250F8"/>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61A"/>
    <w:rsid w:val="003420D9"/>
    <w:rsid w:val="003423E0"/>
    <w:rsid w:val="0034301A"/>
    <w:rsid w:val="00343AA4"/>
    <w:rsid w:val="00343D76"/>
    <w:rsid w:val="00344DFD"/>
    <w:rsid w:val="003451D3"/>
    <w:rsid w:val="003456C0"/>
    <w:rsid w:val="00346631"/>
    <w:rsid w:val="00346AAD"/>
    <w:rsid w:val="00346D96"/>
    <w:rsid w:val="0034736A"/>
    <w:rsid w:val="0034747C"/>
    <w:rsid w:val="00347722"/>
    <w:rsid w:val="00347B6C"/>
    <w:rsid w:val="0035151C"/>
    <w:rsid w:val="00352254"/>
    <w:rsid w:val="003522A3"/>
    <w:rsid w:val="00353929"/>
    <w:rsid w:val="00353F9E"/>
    <w:rsid w:val="003540D1"/>
    <w:rsid w:val="003545BF"/>
    <w:rsid w:val="003550C3"/>
    <w:rsid w:val="0035586A"/>
    <w:rsid w:val="0035611A"/>
    <w:rsid w:val="00356C3D"/>
    <w:rsid w:val="003575E0"/>
    <w:rsid w:val="00360986"/>
    <w:rsid w:val="00360B75"/>
    <w:rsid w:val="00361128"/>
    <w:rsid w:val="0036151C"/>
    <w:rsid w:val="00361A9B"/>
    <w:rsid w:val="00362CCF"/>
    <w:rsid w:val="003631DB"/>
    <w:rsid w:val="00363E66"/>
    <w:rsid w:val="00364524"/>
    <w:rsid w:val="0036513A"/>
    <w:rsid w:val="00365237"/>
    <w:rsid w:val="0036559C"/>
    <w:rsid w:val="0036587E"/>
    <w:rsid w:val="003660CD"/>
    <w:rsid w:val="00366AC2"/>
    <w:rsid w:val="00366B08"/>
    <w:rsid w:val="00367496"/>
    <w:rsid w:val="003678BE"/>
    <w:rsid w:val="003700F8"/>
    <w:rsid w:val="00370949"/>
    <w:rsid w:val="00371946"/>
    <w:rsid w:val="00372063"/>
    <w:rsid w:val="0037243B"/>
    <w:rsid w:val="0037251C"/>
    <w:rsid w:val="0037272C"/>
    <w:rsid w:val="00372B9A"/>
    <w:rsid w:val="00373104"/>
    <w:rsid w:val="003731BF"/>
    <w:rsid w:val="00374331"/>
    <w:rsid w:val="00375287"/>
    <w:rsid w:val="00375791"/>
    <w:rsid w:val="00375826"/>
    <w:rsid w:val="00375994"/>
    <w:rsid w:val="00375C59"/>
    <w:rsid w:val="00375E05"/>
    <w:rsid w:val="00376BB7"/>
    <w:rsid w:val="00376C02"/>
    <w:rsid w:val="00376EEE"/>
    <w:rsid w:val="00377BA1"/>
    <w:rsid w:val="00377FF0"/>
    <w:rsid w:val="003803A4"/>
    <w:rsid w:val="00380616"/>
    <w:rsid w:val="00381022"/>
    <w:rsid w:val="00381155"/>
    <w:rsid w:val="00381209"/>
    <w:rsid w:val="003814B8"/>
    <w:rsid w:val="00381504"/>
    <w:rsid w:val="00382909"/>
    <w:rsid w:val="00382914"/>
    <w:rsid w:val="00382EE1"/>
    <w:rsid w:val="00383655"/>
    <w:rsid w:val="00384258"/>
    <w:rsid w:val="003842D3"/>
    <w:rsid w:val="00385131"/>
    <w:rsid w:val="0038620B"/>
    <w:rsid w:val="00387647"/>
    <w:rsid w:val="0038791A"/>
    <w:rsid w:val="00390056"/>
    <w:rsid w:val="00390101"/>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5E9"/>
    <w:rsid w:val="003A0899"/>
    <w:rsid w:val="003A1250"/>
    <w:rsid w:val="003A1512"/>
    <w:rsid w:val="003A1EB7"/>
    <w:rsid w:val="003A202B"/>
    <w:rsid w:val="003A23F3"/>
    <w:rsid w:val="003A2D82"/>
    <w:rsid w:val="003A337C"/>
    <w:rsid w:val="003A360D"/>
    <w:rsid w:val="003A36DA"/>
    <w:rsid w:val="003A38F1"/>
    <w:rsid w:val="003A3D1B"/>
    <w:rsid w:val="003A3F39"/>
    <w:rsid w:val="003A4296"/>
    <w:rsid w:val="003A4549"/>
    <w:rsid w:val="003A49B3"/>
    <w:rsid w:val="003A528F"/>
    <w:rsid w:val="003A55B4"/>
    <w:rsid w:val="003A609D"/>
    <w:rsid w:val="003A61B6"/>
    <w:rsid w:val="003A623F"/>
    <w:rsid w:val="003A71AD"/>
    <w:rsid w:val="003A754C"/>
    <w:rsid w:val="003A7B91"/>
    <w:rsid w:val="003A7D1D"/>
    <w:rsid w:val="003B1688"/>
    <w:rsid w:val="003B1FA4"/>
    <w:rsid w:val="003B1FE6"/>
    <w:rsid w:val="003B2604"/>
    <w:rsid w:val="003B2E6B"/>
    <w:rsid w:val="003B3106"/>
    <w:rsid w:val="003B3974"/>
    <w:rsid w:val="003B39E0"/>
    <w:rsid w:val="003B3DAB"/>
    <w:rsid w:val="003B404D"/>
    <w:rsid w:val="003B4B34"/>
    <w:rsid w:val="003B4CDA"/>
    <w:rsid w:val="003B4F2D"/>
    <w:rsid w:val="003B5BD9"/>
    <w:rsid w:val="003B636B"/>
    <w:rsid w:val="003B64A3"/>
    <w:rsid w:val="003B6DB8"/>
    <w:rsid w:val="003B72B9"/>
    <w:rsid w:val="003C0887"/>
    <w:rsid w:val="003C08AF"/>
    <w:rsid w:val="003C0BD8"/>
    <w:rsid w:val="003C2EDD"/>
    <w:rsid w:val="003C3220"/>
    <w:rsid w:val="003C3A47"/>
    <w:rsid w:val="003C3A79"/>
    <w:rsid w:val="003C3AAC"/>
    <w:rsid w:val="003C48F2"/>
    <w:rsid w:val="003C5177"/>
    <w:rsid w:val="003C52B0"/>
    <w:rsid w:val="003C5911"/>
    <w:rsid w:val="003C5CDB"/>
    <w:rsid w:val="003C6465"/>
    <w:rsid w:val="003C65E4"/>
    <w:rsid w:val="003C7712"/>
    <w:rsid w:val="003C7862"/>
    <w:rsid w:val="003C78A2"/>
    <w:rsid w:val="003C7ECD"/>
    <w:rsid w:val="003D007D"/>
    <w:rsid w:val="003D01A1"/>
    <w:rsid w:val="003D04D6"/>
    <w:rsid w:val="003D04F6"/>
    <w:rsid w:val="003D0B64"/>
    <w:rsid w:val="003D18CC"/>
    <w:rsid w:val="003D27CE"/>
    <w:rsid w:val="003D3583"/>
    <w:rsid w:val="003D391E"/>
    <w:rsid w:val="003D3B6F"/>
    <w:rsid w:val="003D40E8"/>
    <w:rsid w:val="003D455E"/>
    <w:rsid w:val="003D5785"/>
    <w:rsid w:val="003D5A2D"/>
    <w:rsid w:val="003D5A9D"/>
    <w:rsid w:val="003D5E46"/>
    <w:rsid w:val="003D62C0"/>
    <w:rsid w:val="003D65F6"/>
    <w:rsid w:val="003D6911"/>
    <w:rsid w:val="003D7556"/>
    <w:rsid w:val="003D7B73"/>
    <w:rsid w:val="003D7E4B"/>
    <w:rsid w:val="003E0035"/>
    <w:rsid w:val="003E0C14"/>
    <w:rsid w:val="003E0D6F"/>
    <w:rsid w:val="003E1591"/>
    <w:rsid w:val="003E1680"/>
    <w:rsid w:val="003E1ACF"/>
    <w:rsid w:val="003E216C"/>
    <w:rsid w:val="003E236E"/>
    <w:rsid w:val="003E259D"/>
    <w:rsid w:val="003E26BA"/>
    <w:rsid w:val="003E2906"/>
    <w:rsid w:val="003E2969"/>
    <w:rsid w:val="003E2C1A"/>
    <w:rsid w:val="003E330F"/>
    <w:rsid w:val="003E3478"/>
    <w:rsid w:val="003E43F6"/>
    <w:rsid w:val="003E4B0C"/>
    <w:rsid w:val="003E4E74"/>
    <w:rsid w:val="003E5F7D"/>
    <w:rsid w:val="003E6520"/>
    <w:rsid w:val="003E67E7"/>
    <w:rsid w:val="003E6B3C"/>
    <w:rsid w:val="003E6B95"/>
    <w:rsid w:val="003E70FF"/>
    <w:rsid w:val="003E71BE"/>
    <w:rsid w:val="003E7EED"/>
    <w:rsid w:val="003E7F1B"/>
    <w:rsid w:val="003F0A2D"/>
    <w:rsid w:val="003F0A7F"/>
    <w:rsid w:val="003F0B41"/>
    <w:rsid w:val="003F1B2A"/>
    <w:rsid w:val="003F1B2E"/>
    <w:rsid w:val="003F1E39"/>
    <w:rsid w:val="003F20BF"/>
    <w:rsid w:val="003F229D"/>
    <w:rsid w:val="003F25F0"/>
    <w:rsid w:val="003F2D5B"/>
    <w:rsid w:val="003F4926"/>
    <w:rsid w:val="003F4BC5"/>
    <w:rsid w:val="003F5AD2"/>
    <w:rsid w:val="003F5CA4"/>
    <w:rsid w:val="003F68A9"/>
    <w:rsid w:val="003F6BDE"/>
    <w:rsid w:val="003F6D50"/>
    <w:rsid w:val="003F7006"/>
    <w:rsid w:val="003F7507"/>
    <w:rsid w:val="003F7C72"/>
    <w:rsid w:val="003F7D10"/>
    <w:rsid w:val="003F7F0F"/>
    <w:rsid w:val="00400A58"/>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0362"/>
    <w:rsid w:val="004112F5"/>
    <w:rsid w:val="00411958"/>
    <w:rsid w:val="00411B2A"/>
    <w:rsid w:val="00412973"/>
    <w:rsid w:val="00412B19"/>
    <w:rsid w:val="00412D42"/>
    <w:rsid w:val="00412DA4"/>
    <w:rsid w:val="00412EB6"/>
    <w:rsid w:val="0041351F"/>
    <w:rsid w:val="004137C8"/>
    <w:rsid w:val="00413BF9"/>
    <w:rsid w:val="00413C25"/>
    <w:rsid w:val="00413CC0"/>
    <w:rsid w:val="004152CC"/>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5619"/>
    <w:rsid w:val="00426766"/>
    <w:rsid w:val="004267D0"/>
    <w:rsid w:val="00426E93"/>
    <w:rsid w:val="004273B7"/>
    <w:rsid w:val="004279CA"/>
    <w:rsid w:val="00427A82"/>
    <w:rsid w:val="00427EA2"/>
    <w:rsid w:val="00430115"/>
    <w:rsid w:val="00430A4B"/>
    <w:rsid w:val="0043161B"/>
    <w:rsid w:val="004317A5"/>
    <w:rsid w:val="00431C46"/>
    <w:rsid w:val="004327E6"/>
    <w:rsid w:val="004329DC"/>
    <w:rsid w:val="00432AC6"/>
    <w:rsid w:val="00434C5E"/>
    <w:rsid w:val="00435765"/>
    <w:rsid w:val="004360B6"/>
    <w:rsid w:val="0043624D"/>
    <w:rsid w:val="004362E5"/>
    <w:rsid w:val="00436356"/>
    <w:rsid w:val="00440722"/>
    <w:rsid w:val="0044094E"/>
    <w:rsid w:val="004425D9"/>
    <w:rsid w:val="00443244"/>
    <w:rsid w:val="00444AF6"/>
    <w:rsid w:val="00444FFB"/>
    <w:rsid w:val="0044519D"/>
    <w:rsid w:val="00445544"/>
    <w:rsid w:val="00445C0B"/>
    <w:rsid w:val="00446195"/>
    <w:rsid w:val="0044687D"/>
    <w:rsid w:val="00447CD0"/>
    <w:rsid w:val="00447FC2"/>
    <w:rsid w:val="004502F4"/>
    <w:rsid w:val="004506F4"/>
    <w:rsid w:val="004509D1"/>
    <w:rsid w:val="00450A42"/>
    <w:rsid w:val="004510D7"/>
    <w:rsid w:val="004513A5"/>
    <w:rsid w:val="00451D50"/>
    <w:rsid w:val="00452EC4"/>
    <w:rsid w:val="00453340"/>
    <w:rsid w:val="00453775"/>
    <w:rsid w:val="00453890"/>
    <w:rsid w:val="00454086"/>
    <w:rsid w:val="00454380"/>
    <w:rsid w:val="0045470C"/>
    <w:rsid w:val="00454DDD"/>
    <w:rsid w:val="00455252"/>
    <w:rsid w:val="004552C8"/>
    <w:rsid w:val="0045536C"/>
    <w:rsid w:val="00455A07"/>
    <w:rsid w:val="00455AEB"/>
    <w:rsid w:val="0045603C"/>
    <w:rsid w:val="00456053"/>
    <w:rsid w:val="00456068"/>
    <w:rsid w:val="00456896"/>
    <w:rsid w:val="00456ADA"/>
    <w:rsid w:val="00456B0D"/>
    <w:rsid w:val="0045770D"/>
    <w:rsid w:val="004578F9"/>
    <w:rsid w:val="0045790F"/>
    <w:rsid w:val="00457D63"/>
    <w:rsid w:val="00457E21"/>
    <w:rsid w:val="0046007E"/>
    <w:rsid w:val="0046024B"/>
    <w:rsid w:val="00460DE4"/>
    <w:rsid w:val="00460E36"/>
    <w:rsid w:val="00461155"/>
    <w:rsid w:val="00461D36"/>
    <w:rsid w:val="0046218C"/>
    <w:rsid w:val="004623D4"/>
    <w:rsid w:val="00462EA6"/>
    <w:rsid w:val="00463827"/>
    <w:rsid w:val="00463944"/>
    <w:rsid w:val="0046411A"/>
    <w:rsid w:val="0046512A"/>
    <w:rsid w:val="00465234"/>
    <w:rsid w:val="00465B24"/>
    <w:rsid w:val="00466858"/>
    <w:rsid w:val="00466D0F"/>
    <w:rsid w:val="00467544"/>
    <w:rsid w:val="004676BA"/>
    <w:rsid w:val="004677AC"/>
    <w:rsid w:val="0046784C"/>
    <w:rsid w:val="00467ECB"/>
    <w:rsid w:val="0047009A"/>
    <w:rsid w:val="004710C3"/>
    <w:rsid w:val="00471459"/>
    <w:rsid w:val="00472274"/>
    <w:rsid w:val="004722D4"/>
    <w:rsid w:val="00472D9C"/>
    <w:rsid w:val="00473B60"/>
    <w:rsid w:val="00475AFF"/>
    <w:rsid w:val="00475D30"/>
    <w:rsid w:val="004765F4"/>
    <w:rsid w:val="00476B4D"/>
    <w:rsid w:val="00476CBC"/>
    <w:rsid w:val="00476E6C"/>
    <w:rsid w:val="00477282"/>
    <w:rsid w:val="0047740D"/>
    <w:rsid w:val="00477947"/>
    <w:rsid w:val="00480FA1"/>
    <w:rsid w:val="00481FD7"/>
    <w:rsid w:val="004824A2"/>
    <w:rsid w:val="00482DE5"/>
    <w:rsid w:val="00482E3A"/>
    <w:rsid w:val="00483266"/>
    <w:rsid w:val="0048352E"/>
    <w:rsid w:val="004836A9"/>
    <w:rsid w:val="00483B23"/>
    <w:rsid w:val="004840D7"/>
    <w:rsid w:val="004846F4"/>
    <w:rsid w:val="004850B4"/>
    <w:rsid w:val="00485C26"/>
    <w:rsid w:val="00485EC0"/>
    <w:rsid w:val="004875E1"/>
    <w:rsid w:val="00487B37"/>
    <w:rsid w:val="00490636"/>
    <w:rsid w:val="00490EA9"/>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516"/>
    <w:rsid w:val="004A17EF"/>
    <w:rsid w:val="004A1BDA"/>
    <w:rsid w:val="004A22DA"/>
    <w:rsid w:val="004A2700"/>
    <w:rsid w:val="004A36C8"/>
    <w:rsid w:val="004A3721"/>
    <w:rsid w:val="004A3742"/>
    <w:rsid w:val="004A37B8"/>
    <w:rsid w:val="004A3A27"/>
    <w:rsid w:val="004A3ED3"/>
    <w:rsid w:val="004A47BC"/>
    <w:rsid w:val="004A4AC6"/>
    <w:rsid w:val="004B1199"/>
    <w:rsid w:val="004B16C4"/>
    <w:rsid w:val="004B1867"/>
    <w:rsid w:val="004B2A64"/>
    <w:rsid w:val="004B41DA"/>
    <w:rsid w:val="004B470D"/>
    <w:rsid w:val="004B4764"/>
    <w:rsid w:val="004B4846"/>
    <w:rsid w:val="004B4E77"/>
    <w:rsid w:val="004B5394"/>
    <w:rsid w:val="004B54CB"/>
    <w:rsid w:val="004B5BDD"/>
    <w:rsid w:val="004B5E31"/>
    <w:rsid w:val="004B6E9E"/>
    <w:rsid w:val="004B6F83"/>
    <w:rsid w:val="004B7C29"/>
    <w:rsid w:val="004C06E5"/>
    <w:rsid w:val="004C100E"/>
    <w:rsid w:val="004C136C"/>
    <w:rsid w:val="004C1B7D"/>
    <w:rsid w:val="004C1E3C"/>
    <w:rsid w:val="004C25F0"/>
    <w:rsid w:val="004C26DD"/>
    <w:rsid w:val="004C2B5D"/>
    <w:rsid w:val="004C2D68"/>
    <w:rsid w:val="004C2F56"/>
    <w:rsid w:val="004C339D"/>
    <w:rsid w:val="004C33E8"/>
    <w:rsid w:val="004C388B"/>
    <w:rsid w:val="004C4307"/>
    <w:rsid w:val="004C4309"/>
    <w:rsid w:val="004C49E3"/>
    <w:rsid w:val="004C4E8A"/>
    <w:rsid w:val="004C514A"/>
    <w:rsid w:val="004C53BF"/>
    <w:rsid w:val="004C6572"/>
    <w:rsid w:val="004C6D4F"/>
    <w:rsid w:val="004C7541"/>
    <w:rsid w:val="004D197E"/>
    <w:rsid w:val="004D1A13"/>
    <w:rsid w:val="004D1E71"/>
    <w:rsid w:val="004D2C79"/>
    <w:rsid w:val="004D2CDF"/>
    <w:rsid w:val="004D33CE"/>
    <w:rsid w:val="004D4AAE"/>
    <w:rsid w:val="004D7C86"/>
    <w:rsid w:val="004E0197"/>
    <w:rsid w:val="004E1122"/>
    <w:rsid w:val="004E1409"/>
    <w:rsid w:val="004E1A87"/>
    <w:rsid w:val="004E1BB0"/>
    <w:rsid w:val="004E27B1"/>
    <w:rsid w:val="004E3030"/>
    <w:rsid w:val="004E3311"/>
    <w:rsid w:val="004E34D5"/>
    <w:rsid w:val="004E38EC"/>
    <w:rsid w:val="004E3933"/>
    <w:rsid w:val="004E4549"/>
    <w:rsid w:val="004E4C83"/>
    <w:rsid w:val="004E4D53"/>
    <w:rsid w:val="004E4D84"/>
    <w:rsid w:val="004E4EBC"/>
    <w:rsid w:val="004E5104"/>
    <w:rsid w:val="004E5B06"/>
    <w:rsid w:val="004E5FA8"/>
    <w:rsid w:val="004E684C"/>
    <w:rsid w:val="004E6FF1"/>
    <w:rsid w:val="004E76DB"/>
    <w:rsid w:val="004F16AA"/>
    <w:rsid w:val="004F1F90"/>
    <w:rsid w:val="004F2401"/>
    <w:rsid w:val="004F2A44"/>
    <w:rsid w:val="004F2DAD"/>
    <w:rsid w:val="004F34F7"/>
    <w:rsid w:val="004F55D6"/>
    <w:rsid w:val="004F565A"/>
    <w:rsid w:val="004F571B"/>
    <w:rsid w:val="004F64EB"/>
    <w:rsid w:val="004F6E37"/>
    <w:rsid w:val="004F7A74"/>
    <w:rsid w:val="00500250"/>
    <w:rsid w:val="00500264"/>
    <w:rsid w:val="005005FE"/>
    <w:rsid w:val="00500824"/>
    <w:rsid w:val="00500DAB"/>
    <w:rsid w:val="00501144"/>
    <w:rsid w:val="005013EF"/>
    <w:rsid w:val="005019E0"/>
    <w:rsid w:val="0050211F"/>
    <w:rsid w:val="005022E7"/>
    <w:rsid w:val="00502A93"/>
    <w:rsid w:val="00502D9F"/>
    <w:rsid w:val="00502EFA"/>
    <w:rsid w:val="005038DA"/>
    <w:rsid w:val="00505A1E"/>
    <w:rsid w:val="00506083"/>
    <w:rsid w:val="005068D6"/>
    <w:rsid w:val="00506B86"/>
    <w:rsid w:val="00506EEC"/>
    <w:rsid w:val="00506FD4"/>
    <w:rsid w:val="005107FF"/>
    <w:rsid w:val="00510CBC"/>
    <w:rsid w:val="0051102D"/>
    <w:rsid w:val="005112A5"/>
    <w:rsid w:val="00511F48"/>
    <w:rsid w:val="00512448"/>
    <w:rsid w:val="00512528"/>
    <w:rsid w:val="0051253A"/>
    <w:rsid w:val="0051266C"/>
    <w:rsid w:val="005139A2"/>
    <w:rsid w:val="00513B72"/>
    <w:rsid w:val="00514AC8"/>
    <w:rsid w:val="00515277"/>
    <w:rsid w:val="005158C2"/>
    <w:rsid w:val="005169DE"/>
    <w:rsid w:val="0051754D"/>
    <w:rsid w:val="0051785D"/>
    <w:rsid w:val="00517913"/>
    <w:rsid w:val="0052005F"/>
    <w:rsid w:val="00520200"/>
    <w:rsid w:val="00520E2D"/>
    <w:rsid w:val="00520F04"/>
    <w:rsid w:val="00521717"/>
    <w:rsid w:val="005224B2"/>
    <w:rsid w:val="0052362E"/>
    <w:rsid w:val="00523B23"/>
    <w:rsid w:val="00523DFA"/>
    <w:rsid w:val="00524710"/>
    <w:rsid w:val="005254BC"/>
    <w:rsid w:val="005256FC"/>
    <w:rsid w:val="00525D30"/>
    <w:rsid w:val="00526C27"/>
    <w:rsid w:val="00526DFF"/>
    <w:rsid w:val="00527473"/>
    <w:rsid w:val="00527481"/>
    <w:rsid w:val="005276C7"/>
    <w:rsid w:val="00527EF9"/>
    <w:rsid w:val="005305FF"/>
    <w:rsid w:val="00530C9B"/>
    <w:rsid w:val="00530DB8"/>
    <w:rsid w:val="00532334"/>
    <w:rsid w:val="005324AF"/>
    <w:rsid w:val="0053402C"/>
    <w:rsid w:val="00534090"/>
    <w:rsid w:val="00534ABA"/>
    <w:rsid w:val="00535FFF"/>
    <w:rsid w:val="0053616F"/>
    <w:rsid w:val="00536318"/>
    <w:rsid w:val="005368AD"/>
    <w:rsid w:val="005370BC"/>
    <w:rsid w:val="00537B35"/>
    <w:rsid w:val="00537DE7"/>
    <w:rsid w:val="00537EC4"/>
    <w:rsid w:val="00537FE4"/>
    <w:rsid w:val="0054027D"/>
    <w:rsid w:val="00541222"/>
    <w:rsid w:val="00541A8D"/>
    <w:rsid w:val="00541B99"/>
    <w:rsid w:val="00543147"/>
    <w:rsid w:val="00543AF8"/>
    <w:rsid w:val="00544DA0"/>
    <w:rsid w:val="005454BD"/>
    <w:rsid w:val="005457E4"/>
    <w:rsid w:val="00546C49"/>
    <w:rsid w:val="0055010B"/>
    <w:rsid w:val="00550D59"/>
    <w:rsid w:val="0055110D"/>
    <w:rsid w:val="00551F81"/>
    <w:rsid w:val="00551F83"/>
    <w:rsid w:val="0055210F"/>
    <w:rsid w:val="00552CD7"/>
    <w:rsid w:val="005533BE"/>
    <w:rsid w:val="005547FA"/>
    <w:rsid w:val="00554B30"/>
    <w:rsid w:val="00554FFB"/>
    <w:rsid w:val="005568DE"/>
    <w:rsid w:val="00557823"/>
    <w:rsid w:val="00557C50"/>
    <w:rsid w:val="005606B6"/>
    <w:rsid w:val="005608D6"/>
    <w:rsid w:val="00560D60"/>
    <w:rsid w:val="00560F19"/>
    <w:rsid w:val="0056109E"/>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37F"/>
    <w:rsid w:val="005664CC"/>
    <w:rsid w:val="0056664B"/>
    <w:rsid w:val="00566D02"/>
    <w:rsid w:val="00567588"/>
    <w:rsid w:val="00567992"/>
    <w:rsid w:val="00567C3C"/>
    <w:rsid w:val="005702F8"/>
    <w:rsid w:val="0057038A"/>
    <w:rsid w:val="00571231"/>
    <w:rsid w:val="00571767"/>
    <w:rsid w:val="00571E44"/>
    <w:rsid w:val="00572269"/>
    <w:rsid w:val="00573E61"/>
    <w:rsid w:val="0057411B"/>
    <w:rsid w:val="00574525"/>
    <w:rsid w:val="00574778"/>
    <w:rsid w:val="0057498F"/>
    <w:rsid w:val="00574DE9"/>
    <w:rsid w:val="00575DA4"/>
    <w:rsid w:val="00575DF4"/>
    <w:rsid w:val="00577149"/>
    <w:rsid w:val="0057765D"/>
    <w:rsid w:val="005777FC"/>
    <w:rsid w:val="005808EB"/>
    <w:rsid w:val="00580D37"/>
    <w:rsid w:val="00581FA0"/>
    <w:rsid w:val="00582B90"/>
    <w:rsid w:val="005831A7"/>
    <w:rsid w:val="00583321"/>
    <w:rsid w:val="0058341E"/>
    <w:rsid w:val="00583FDB"/>
    <w:rsid w:val="00584F3A"/>
    <w:rsid w:val="005853AB"/>
    <w:rsid w:val="00585748"/>
    <w:rsid w:val="005859C5"/>
    <w:rsid w:val="00585C79"/>
    <w:rsid w:val="00586144"/>
    <w:rsid w:val="00587785"/>
    <w:rsid w:val="00587787"/>
    <w:rsid w:val="0058788D"/>
    <w:rsid w:val="00587E29"/>
    <w:rsid w:val="00587FE6"/>
    <w:rsid w:val="00591698"/>
    <w:rsid w:val="005936A9"/>
    <w:rsid w:val="00593B87"/>
    <w:rsid w:val="00593C1C"/>
    <w:rsid w:val="00593E94"/>
    <w:rsid w:val="00594143"/>
    <w:rsid w:val="00594543"/>
    <w:rsid w:val="00594612"/>
    <w:rsid w:val="00594F0B"/>
    <w:rsid w:val="00595873"/>
    <w:rsid w:val="00595CDD"/>
    <w:rsid w:val="005964BB"/>
    <w:rsid w:val="00596A70"/>
    <w:rsid w:val="00596BD3"/>
    <w:rsid w:val="00596BE7"/>
    <w:rsid w:val="00596C3E"/>
    <w:rsid w:val="005977DD"/>
    <w:rsid w:val="00597A37"/>
    <w:rsid w:val="005A009C"/>
    <w:rsid w:val="005A04BD"/>
    <w:rsid w:val="005A0A3F"/>
    <w:rsid w:val="005A114F"/>
    <w:rsid w:val="005A1F49"/>
    <w:rsid w:val="005A2364"/>
    <w:rsid w:val="005A2480"/>
    <w:rsid w:val="005A2B2C"/>
    <w:rsid w:val="005A2D6B"/>
    <w:rsid w:val="005A3252"/>
    <w:rsid w:val="005A33B7"/>
    <w:rsid w:val="005A33F7"/>
    <w:rsid w:val="005A40CF"/>
    <w:rsid w:val="005A4178"/>
    <w:rsid w:val="005A4A9C"/>
    <w:rsid w:val="005A4BAE"/>
    <w:rsid w:val="005A4F39"/>
    <w:rsid w:val="005A574D"/>
    <w:rsid w:val="005A5B5C"/>
    <w:rsid w:val="005A6E93"/>
    <w:rsid w:val="005A707A"/>
    <w:rsid w:val="005A7184"/>
    <w:rsid w:val="005A7340"/>
    <w:rsid w:val="005A7F93"/>
    <w:rsid w:val="005B0583"/>
    <w:rsid w:val="005B07EA"/>
    <w:rsid w:val="005B0B20"/>
    <w:rsid w:val="005B0BD6"/>
    <w:rsid w:val="005B0EFB"/>
    <w:rsid w:val="005B1060"/>
    <w:rsid w:val="005B10A3"/>
    <w:rsid w:val="005B12B9"/>
    <w:rsid w:val="005B17C1"/>
    <w:rsid w:val="005B237C"/>
    <w:rsid w:val="005B3737"/>
    <w:rsid w:val="005B3A42"/>
    <w:rsid w:val="005B5D40"/>
    <w:rsid w:val="005B5EFC"/>
    <w:rsid w:val="005B6412"/>
    <w:rsid w:val="005B6698"/>
    <w:rsid w:val="005B68A7"/>
    <w:rsid w:val="005B6AC3"/>
    <w:rsid w:val="005B768F"/>
    <w:rsid w:val="005C055E"/>
    <w:rsid w:val="005C0E6C"/>
    <w:rsid w:val="005C0FA1"/>
    <w:rsid w:val="005C130E"/>
    <w:rsid w:val="005C1615"/>
    <w:rsid w:val="005C1D98"/>
    <w:rsid w:val="005C1DA5"/>
    <w:rsid w:val="005C1E70"/>
    <w:rsid w:val="005C2010"/>
    <w:rsid w:val="005C2559"/>
    <w:rsid w:val="005C270F"/>
    <w:rsid w:val="005C2873"/>
    <w:rsid w:val="005C34FC"/>
    <w:rsid w:val="005C3B5C"/>
    <w:rsid w:val="005C3C7F"/>
    <w:rsid w:val="005C4DA9"/>
    <w:rsid w:val="005C5143"/>
    <w:rsid w:val="005C5639"/>
    <w:rsid w:val="005C5742"/>
    <w:rsid w:val="005C723C"/>
    <w:rsid w:val="005C760E"/>
    <w:rsid w:val="005C7E9E"/>
    <w:rsid w:val="005D0C2A"/>
    <w:rsid w:val="005D18C9"/>
    <w:rsid w:val="005D1B72"/>
    <w:rsid w:val="005D2471"/>
    <w:rsid w:val="005D25A3"/>
    <w:rsid w:val="005D2779"/>
    <w:rsid w:val="005D3242"/>
    <w:rsid w:val="005D3335"/>
    <w:rsid w:val="005D3B7C"/>
    <w:rsid w:val="005D447A"/>
    <w:rsid w:val="005D56F9"/>
    <w:rsid w:val="005D610C"/>
    <w:rsid w:val="005D6D89"/>
    <w:rsid w:val="005D74E7"/>
    <w:rsid w:val="005D789B"/>
    <w:rsid w:val="005D7F7B"/>
    <w:rsid w:val="005E1C97"/>
    <w:rsid w:val="005E3BCD"/>
    <w:rsid w:val="005E4A87"/>
    <w:rsid w:val="005E4DA5"/>
    <w:rsid w:val="005E503E"/>
    <w:rsid w:val="005E59C7"/>
    <w:rsid w:val="005E5B59"/>
    <w:rsid w:val="005E5E7B"/>
    <w:rsid w:val="005E6095"/>
    <w:rsid w:val="005E6626"/>
    <w:rsid w:val="005E6A3F"/>
    <w:rsid w:val="005E6DB8"/>
    <w:rsid w:val="005E721D"/>
    <w:rsid w:val="005E7228"/>
    <w:rsid w:val="005E7284"/>
    <w:rsid w:val="005E7BAC"/>
    <w:rsid w:val="005F0E5C"/>
    <w:rsid w:val="005F134E"/>
    <w:rsid w:val="005F1365"/>
    <w:rsid w:val="005F23B9"/>
    <w:rsid w:val="005F2C1F"/>
    <w:rsid w:val="005F2E44"/>
    <w:rsid w:val="005F3690"/>
    <w:rsid w:val="005F381A"/>
    <w:rsid w:val="005F3986"/>
    <w:rsid w:val="005F460B"/>
    <w:rsid w:val="005F4C57"/>
    <w:rsid w:val="005F620F"/>
    <w:rsid w:val="005F6774"/>
    <w:rsid w:val="005F79AA"/>
    <w:rsid w:val="005F79F3"/>
    <w:rsid w:val="005F7B91"/>
    <w:rsid w:val="0060044B"/>
    <w:rsid w:val="00600C08"/>
    <w:rsid w:val="006013D7"/>
    <w:rsid w:val="006014DB"/>
    <w:rsid w:val="00601587"/>
    <w:rsid w:val="00602079"/>
    <w:rsid w:val="006022F3"/>
    <w:rsid w:val="00602579"/>
    <w:rsid w:val="00602BA4"/>
    <w:rsid w:val="00602BFB"/>
    <w:rsid w:val="00602DA2"/>
    <w:rsid w:val="00602FF4"/>
    <w:rsid w:val="00603228"/>
    <w:rsid w:val="00603377"/>
    <w:rsid w:val="00604ACD"/>
    <w:rsid w:val="00604C15"/>
    <w:rsid w:val="00604DC2"/>
    <w:rsid w:val="006060C4"/>
    <w:rsid w:val="00606682"/>
    <w:rsid w:val="00607C35"/>
    <w:rsid w:val="006111EC"/>
    <w:rsid w:val="00611777"/>
    <w:rsid w:val="0061189F"/>
    <w:rsid w:val="00611D66"/>
    <w:rsid w:val="0061219B"/>
    <w:rsid w:val="00612D05"/>
    <w:rsid w:val="00613266"/>
    <w:rsid w:val="00613FB6"/>
    <w:rsid w:val="006140C6"/>
    <w:rsid w:val="00614134"/>
    <w:rsid w:val="00614241"/>
    <w:rsid w:val="0061428D"/>
    <w:rsid w:val="00615411"/>
    <w:rsid w:val="0061599E"/>
    <w:rsid w:val="00615AC7"/>
    <w:rsid w:val="006162E6"/>
    <w:rsid w:val="006171A5"/>
    <w:rsid w:val="00620309"/>
    <w:rsid w:val="0062159D"/>
    <w:rsid w:val="006215B8"/>
    <w:rsid w:val="00621680"/>
    <w:rsid w:val="00621ACE"/>
    <w:rsid w:val="00621EC5"/>
    <w:rsid w:val="006223E0"/>
    <w:rsid w:val="006224D0"/>
    <w:rsid w:val="00622BCE"/>
    <w:rsid w:val="00622E29"/>
    <w:rsid w:val="00623643"/>
    <w:rsid w:val="00623AB2"/>
    <w:rsid w:val="00624018"/>
    <w:rsid w:val="006240C4"/>
    <w:rsid w:val="00625304"/>
    <w:rsid w:val="0062581B"/>
    <w:rsid w:val="00625B18"/>
    <w:rsid w:val="006261F4"/>
    <w:rsid w:val="0063164E"/>
    <w:rsid w:val="0063191D"/>
    <w:rsid w:val="006326D4"/>
    <w:rsid w:val="00633488"/>
    <w:rsid w:val="00633581"/>
    <w:rsid w:val="006339AF"/>
    <w:rsid w:val="00633C47"/>
    <w:rsid w:val="006348F7"/>
    <w:rsid w:val="0063493E"/>
    <w:rsid w:val="0063512D"/>
    <w:rsid w:val="006358FB"/>
    <w:rsid w:val="00635AE2"/>
    <w:rsid w:val="00635E1E"/>
    <w:rsid w:val="0063677C"/>
    <w:rsid w:val="00636972"/>
    <w:rsid w:val="00636B69"/>
    <w:rsid w:val="00636BC2"/>
    <w:rsid w:val="00637285"/>
    <w:rsid w:val="00637C04"/>
    <w:rsid w:val="006404D1"/>
    <w:rsid w:val="00640F43"/>
    <w:rsid w:val="00641027"/>
    <w:rsid w:val="006412CA"/>
    <w:rsid w:val="006417A8"/>
    <w:rsid w:val="006420DA"/>
    <w:rsid w:val="00642362"/>
    <w:rsid w:val="0064266C"/>
    <w:rsid w:val="00642A0A"/>
    <w:rsid w:val="00643928"/>
    <w:rsid w:val="00643AC1"/>
    <w:rsid w:val="00643D62"/>
    <w:rsid w:val="00643DED"/>
    <w:rsid w:val="00644A5E"/>
    <w:rsid w:val="00644A6C"/>
    <w:rsid w:val="00644D69"/>
    <w:rsid w:val="006457A8"/>
    <w:rsid w:val="00645EA0"/>
    <w:rsid w:val="00645F76"/>
    <w:rsid w:val="00646EB0"/>
    <w:rsid w:val="0064714D"/>
    <w:rsid w:val="0064727D"/>
    <w:rsid w:val="00647989"/>
    <w:rsid w:val="00647B32"/>
    <w:rsid w:val="00647C27"/>
    <w:rsid w:val="006519E6"/>
    <w:rsid w:val="00651CDE"/>
    <w:rsid w:val="00652326"/>
    <w:rsid w:val="00652907"/>
    <w:rsid w:val="00652E06"/>
    <w:rsid w:val="00653FC4"/>
    <w:rsid w:val="00654F91"/>
    <w:rsid w:val="00655361"/>
    <w:rsid w:val="00655FF4"/>
    <w:rsid w:val="00656253"/>
    <w:rsid w:val="00656799"/>
    <w:rsid w:val="00656B77"/>
    <w:rsid w:val="00656E72"/>
    <w:rsid w:val="00657717"/>
    <w:rsid w:val="00657813"/>
    <w:rsid w:val="006578A1"/>
    <w:rsid w:val="00657A9C"/>
    <w:rsid w:val="006608EB"/>
    <w:rsid w:val="0066137B"/>
    <w:rsid w:val="0066174E"/>
    <w:rsid w:val="00661BBB"/>
    <w:rsid w:val="00661E57"/>
    <w:rsid w:val="006629E4"/>
    <w:rsid w:val="00662C05"/>
    <w:rsid w:val="00662EBB"/>
    <w:rsid w:val="00663783"/>
    <w:rsid w:val="00663A38"/>
    <w:rsid w:val="00663E47"/>
    <w:rsid w:val="006644A7"/>
    <w:rsid w:val="00664BDE"/>
    <w:rsid w:val="006653CC"/>
    <w:rsid w:val="0066565B"/>
    <w:rsid w:val="00665C44"/>
    <w:rsid w:val="00666284"/>
    <w:rsid w:val="006667F3"/>
    <w:rsid w:val="00667AEA"/>
    <w:rsid w:val="006704FA"/>
    <w:rsid w:val="00670687"/>
    <w:rsid w:val="00670DC5"/>
    <w:rsid w:val="00671652"/>
    <w:rsid w:val="00671FAA"/>
    <w:rsid w:val="00673CF2"/>
    <w:rsid w:val="00673E04"/>
    <w:rsid w:val="00674DF8"/>
    <w:rsid w:val="00675DA5"/>
    <w:rsid w:val="00676038"/>
    <w:rsid w:val="0067629E"/>
    <w:rsid w:val="00676637"/>
    <w:rsid w:val="00680482"/>
    <w:rsid w:val="006808DC"/>
    <w:rsid w:val="00680995"/>
    <w:rsid w:val="00681135"/>
    <w:rsid w:val="006816B6"/>
    <w:rsid w:val="006820EB"/>
    <w:rsid w:val="00682128"/>
    <w:rsid w:val="0068220C"/>
    <w:rsid w:val="00682AB1"/>
    <w:rsid w:val="00682D6C"/>
    <w:rsid w:val="00682E9F"/>
    <w:rsid w:val="00683252"/>
    <w:rsid w:val="0068343A"/>
    <w:rsid w:val="006834D4"/>
    <w:rsid w:val="0068413D"/>
    <w:rsid w:val="006844BA"/>
    <w:rsid w:val="006845A2"/>
    <w:rsid w:val="00684BF8"/>
    <w:rsid w:val="00684D9B"/>
    <w:rsid w:val="006858AA"/>
    <w:rsid w:val="00685BCF"/>
    <w:rsid w:val="006871D0"/>
    <w:rsid w:val="0068751F"/>
    <w:rsid w:val="0068796C"/>
    <w:rsid w:val="006900D1"/>
    <w:rsid w:val="00690297"/>
    <w:rsid w:val="00690653"/>
    <w:rsid w:val="0069115A"/>
    <w:rsid w:val="006912F1"/>
    <w:rsid w:val="00691387"/>
    <w:rsid w:val="006927F2"/>
    <w:rsid w:val="006931E1"/>
    <w:rsid w:val="00694310"/>
    <w:rsid w:val="006944C4"/>
    <w:rsid w:val="00694700"/>
    <w:rsid w:val="00694803"/>
    <w:rsid w:val="00694CE8"/>
    <w:rsid w:val="0069569E"/>
    <w:rsid w:val="006956C6"/>
    <w:rsid w:val="00695CB9"/>
    <w:rsid w:val="00696B5A"/>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A70"/>
    <w:rsid w:val="006A3D40"/>
    <w:rsid w:val="006A561D"/>
    <w:rsid w:val="006A5A0C"/>
    <w:rsid w:val="006A5BA0"/>
    <w:rsid w:val="006A5BB1"/>
    <w:rsid w:val="006A5F88"/>
    <w:rsid w:val="006A7C5F"/>
    <w:rsid w:val="006A7D95"/>
    <w:rsid w:val="006A7F10"/>
    <w:rsid w:val="006B09FD"/>
    <w:rsid w:val="006B120D"/>
    <w:rsid w:val="006B13C1"/>
    <w:rsid w:val="006B2CC7"/>
    <w:rsid w:val="006B3AF9"/>
    <w:rsid w:val="006B44C5"/>
    <w:rsid w:val="006B555F"/>
    <w:rsid w:val="006B5727"/>
    <w:rsid w:val="006B5E3F"/>
    <w:rsid w:val="006B6242"/>
    <w:rsid w:val="006B6C7C"/>
    <w:rsid w:val="006B6EA4"/>
    <w:rsid w:val="006B714A"/>
    <w:rsid w:val="006B77B7"/>
    <w:rsid w:val="006B77BB"/>
    <w:rsid w:val="006B7B41"/>
    <w:rsid w:val="006B7CBC"/>
    <w:rsid w:val="006B7F8F"/>
    <w:rsid w:val="006B7FC5"/>
    <w:rsid w:val="006C055E"/>
    <w:rsid w:val="006C0D13"/>
    <w:rsid w:val="006C0E4E"/>
    <w:rsid w:val="006C187F"/>
    <w:rsid w:val="006C19BC"/>
    <w:rsid w:val="006C19D5"/>
    <w:rsid w:val="006C1B44"/>
    <w:rsid w:val="006C1F77"/>
    <w:rsid w:val="006C2211"/>
    <w:rsid w:val="006C27B7"/>
    <w:rsid w:val="006C3031"/>
    <w:rsid w:val="006C3607"/>
    <w:rsid w:val="006C3893"/>
    <w:rsid w:val="006C3990"/>
    <w:rsid w:val="006C3DAF"/>
    <w:rsid w:val="006C3ED2"/>
    <w:rsid w:val="006C4233"/>
    <w:rsid w:val="006C42E7"/>
    <w:rsid w:val="006C4422"/>
    <w:rsid w:val="006C5CCA"/>
    <w:rsid w:val="006C625F"/>
    <w:rsid w:val="006C78A6"/>
    <w:rsid w:val="006C7AB4"/>
    <w:rsid w:val="006D006B"/>
    <w:rsid w:val="006D105C"/>
    <w:rsid w:val="006D30E7"/>
    <w:rsid w:val="006D3E1F"/>
    <w:rsid w:val="006D48E7"/>
    <w:rsid w:val="006D4947"/>
    <w:rsid w:val="006D4B34"/>
    <w:rsid w:val="006D5974"/>
    <w:rsid w:val="006D5F16"/>
    <w:rsid w:val="006D617B"/>
    <w:rsid w:val="006D63AD"/>
    <w:rsid w:val="006D6764"/>
    <w:rsid w:val="006D67D9"/>
    <w:rsid w:val="006D6C93"/>
    <w:rsid w:val="006D7573"/>
    <w:rsid w:val="006E0340"/>
    <w:rsid w:val="006E06F9"/>
    <w:rsid w:val="006E07A9"/>
    <w:rsid w:val="006E0D91"/>
    <w:rsid w:val="006E1277"/>
    <w:rsid w:val="006E1706"/>
    <w:rsid w:val="006E2356"/>
    <w:rsid w:val="006E25E7"/>
    <w:rsid w:val="006E3CB2"/>
    <w:rsid w:val="006E3DA8"/>
    <w:rsid w:val="006E5DAA"/>
    <w:rsid w:val="006E7006"/>
    <w:rsid w:val="006F00E7"/>
    <w:rsid w:val="006F0F6E"/>
    <w:rsid w:val="006F1B22"/>
    <w:rsid w:val="006F1BA4"/>
    <w:rsid w:val="006F1BCA"/>
    <w:rsid w:val="006F20BC"/>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7DF"/>
    <w:rsid w:val="0070167E"/>
    <w:rsid w:val="00701E1B"/>
    <w:rsid w:val="00702ED0"/>
    <w:rsid w:val="0070383D"/>
    <w:rsid w:val="00703C09"/>
    <w:rsid w:val="0070434A"/>
    <w:rsid w:val="007048C4"/>
    <w:rsid w:val="00704CC4"/>
    <w:rsid w:val="00705345"/>
    <w:rsid w:val="00705E3B"/>
    <w:rsid w:val="00705ED3"/>
    <w:rsid w:val="0070638D"/>
    <w:rsid w:val="00706DBF"/>
    <w:rsid w:val="00707A59"/>
    <w:rsid w:val="0071046B"/>
    <w:rsid w:val="00710AC6"/>
    <w:rsid w:val="00710C1D"/>
    <w:rsid w:val="007110A3"/>
    <w:rsid w:val="00711108"/>
    <w:rsid w:val="00711213"/>
    <w:rsid w:val="007112A1"/>
    <w:rsid w:val="00711996"/>
    <w:rsid w:val="00711B3B"/>
    <w:rsid w:val="00711BA3"/>
    <w:rsid w:val="00711C6D"/>
    <w:rsid w:val="00711C9D"/>
    <w:rsid w:val="00712B71"/>
    <w:rsid w:val="00712E55"/>
    <w:rsid w:val="00713023"/>
    <w:rsid w:val="0071322C"/>
    <w:rsid w:val="00713779"/>
    <w:rsid w:val="00713989"/>
    <w:rsid w:val="00713DCF"/>
    <w:rsid w:val="00714004"/>
    <w:rsid w:val="0071458E"/>
    <w:rsid w:val="007145C9"/>
    <w:rsid w:val="00714631"/>
    <w:rsid w:val="00714B6E"/>
    <w:rsid w:val="00714CE6"/>
    <w:rsid w:val="0071512F"/>
    <w:rsid w:val="007169AC"/>
    <w:rsid w:val="007169DD"/>
    <w:rsid w:val="00717679"/>
    <w:rsid w:val="00717B67"/>
    <w:rsid w:val="00717EC1"/>
    <w:rsid w:val="007206A2"/>
    <w:rsid w:val="00720B38"/>
    <w:rsid w:val="00720CA7"/>
    <w:rsid w:val="0072147B"/>
    <w:rsid w:val="0072181E"/>
    <w:rsid w:val="00722267"/>
    <w:rsid w:val="0072285E"/>
    <w:rsid w:val="00722C62"/>
    <w:rsid w:val="0072321F"/>
    <w:rsid w:val="00723295"/>
    <w:rsid w:val="007238E2"/>
    <w:rsid w:val="007239B4"/>
    <w:rsid w:val="00724200"/>
    <w:rsid w:val="00724446"/>
    <w:rsid w:val="00724584"/>
    <w:rsid w:val="00724AA1"/>
    <w:rsid w:val="00724D39"/>
    <w:rsid w:val="007251F5"/>
    <w:rsid w:val="0072532E"/>
    <w:rsid w:val="00725400"/>
    <w:rsid w:val="00725A19"/>
    <w:rsid w:val="00726356"/>
    <w:rsid w:val="007268C7"/>
    <w:rsid w:val="00726AAB"/>
    <w:rsid w:val="00727077"/>
    <w:rsid w:val="00730EA6"/>
    <w:rsid w:val="00731C15"/>
    <w:rsid w:val="00732045"/>
    <w:rsid w:val="007322A0"/>
    <w:rsid w:val="00732C1A"/>
    <w:rsid w:val="00732C6A"/>
    <w:rsid w:val="00733CDC"/>
    <w:rsid w:val="00734B9A"/>
    <w:rsid w:val="00735695"/>
    <w:rsid w:val="007360CB"/>
    <w:rsid w:val="00737566"/>
    <w:rsid w:val="00740A5B"/>
    <w:rsid w:val="00740D13"/>
    <w:rsid w:val="00741697"/>
    <w:rsid w:val="00741BA2"/>
    <w:rsid w:val="00741CF4"/>
    <w:rsid w:val="00741DCC"/>
    <w:rsid w:val="00741DE2"/>
    <w:rsid w:val="007421A1"/>
    <w:rsid w:val="007427FE"/>
    <w:rsid w:val="00742B92"/>
    <w:rsid w:val="00742C51"/>
    <w:rsid w:val="00743445"/>
    <w:rsid w:val="00745E01"/>
    <w:rsid w:val="0074666B"/>
    <w:rsid w:val="007468D6"/>
    <w:rsid w:val="00746BFF"/>
    <w:rsid w:val="007473BA"/>
    <w:rsid w:val="007473E1"/>
    <w:rsid w:val="00747897"/>
    <w:rsid w:val="00747E47"/>
    <w:rsid w:val="00750192"/>
    <w:rsid w:val="007504E1"/>
    <w:rsid w:val="00750544"/>
    <w:rsid w:val="00750804"/>
    <w:rsid w:val="007509AB"/>
    <w:rsid w:val="00751689"/>
    <w:rsid w:val="007524AA"/>
    <w:rsid w:val="00753426"/>
    <w:rsid w:val="00753744"/>
    <w:rsid w:val="00753A93"/>
    <w:rsid w:val="00754649"/>
    <w:rsid w:val="00754A56"/>
    <w:rsid w:val="00755663"/>
    <w:rsid w:val="00756386"/>
    <w:rsid w:val="00756603"/>
    <w:rsid w:val="007575C0"/>
    <w:rsid w:val="00757D2F"/>
    <w:rsid w:val="00757E7C"/>
    <w:rsid w:val="0076000E"/>
    <w:rsid w:val="00760C00"/>
    <w:rsid w:val="007610E9"/>
    <w:rsid w:val="00761728"/>
    <w:rsid w:val="00761C6C"/>
    <w:rsid w:val="007626E4"/>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B1"/>
    <w:rsid w:val="00771CCF"/>
    <w:rsid w:val="00771F7D"/>
    <w:rsid w:val="00772C3E"/>
    <w:rsid w:val="0077343F"/>
    <w:rsid w:val="007736E8"/>
    <w:rsid w:val="00774ACE"/>
    <w:rsid w:val="00775823"/>
    <w:rsid w:val="00775F57"/>
    <w:rsid w:val="00776584"/>
    <w:rsid w:val="007766D2"/>
    <w:rsid w:val="007769EF"/>
    <w:rsid w:val="00776D4F"/>
    <w:rsid w:val="00776DDC"/>
    <w:rsid w:val="007770F9"/>
    <w:rsid w:val="00777179"/>
    <w:rsid w:val="00777945"/>
    <w:rsid w:val="00777D40"/>
    <w:rsid w:val="00780B8D"/>
    <w:rsid w:val="00780B8E"/>
    <w:rsid w:val="00781649"/>
    <w:rsid w:val="00781CB7"/>
    <w:rsid w:val="007823D6"/>
    <w:rsid w:val="0078254E"/>
    <w:rsid w:val="00782628"/>
    <w:rsid w:val="007826AB"/>
    <w:rsid w:val="007840E2"/>
    <w:rsid w:val="007842AB"/>
    <w:rsid w:val="0078569F"/>
    <w:rsid w:val="00785803"/>
    <w:rsid w:val="00785EB4"/>
    <w:rsid w:val="0078609A"/>
    <w:rsid w:val="007863F8"/>
    <w:rsid w:val="00786F85"/>
    <w:rsid w:val="0078731A"/>
    <w:rsid w:val="00787487"/>
    <w:rsid w:val="007900D4"/>
    <w:rsid w:val="007906F1"/>
    <w:rsid w:val="00790EDA"/>
    <w:rsid w:val="00791349"/>
    <w:rsid w:val="007913D5"/>
    <w:rsid w:val="00791D85"/>
    <w:rsid w:val="00791DAF"/>
    <w:rsid w:val="0079247F"/>
    <w:rsid w:val="007924CA"/>
    <w:rsid w:val="007946C6"/>
    <w:rsid w:val="00794CBF"/>
    <w:rsid w:val="00795365"/>
    <w:rsid w:val="0079567E"/>
    <w:rsid w:val="007961D5"/>
    <w:rsid w:val="00796A6F"/>
    <w:rsid w:val="00796C5D"/>
    <w:rsid w:val="00797B06"/>
    <w:rsid w:val="00797B9C"/>
    <w:rsid w:val="007A047B"/>
    <w:rsid w:val="007A0483"/>
    <w:rsid w:val="007A1065"/>
    <w:rsid w:val="007A1D86"/>
    <w:rsid w:val="007A2A97"/>
    <w:rsid w:val="007A2CDC"/>
    <w:rsid w:val="007A371B"/>
    <w:rsid w:val="007A3832"/>
    <w:rsid w:val="007A3A0F"/>
    <w:rsid w:val="007A3E60"/>
    <w:rsid w:val="007A407D"/>
    <w:rsid w:val="007A464F"/>
    <w:rsid w:val="007A6196"/>
    <w:rsid w:val="007A62AE"/>
    <w:rsid w:val="007A63D5"/>
    <w:rsid w:val="007A6569"/>
    <w:rsid w:val="007A6894"/>
    <w:rsid w:val="007A689A"/>
    <w:rsid w:val="007A68EA"/>
    <w:rsid w:val="007A6B7D"/>
    <w:rsid w:val="007A7287"/>
    <w:rsid w:val="007A7629"/>
    <w:rsid w:val="007B0FC9"/>
    <w:rsid w:val="007B1027"/>
    <w:rsid w:val="007B1691"/>
    <w:rsid w:val="007B170C"/>
    <w:rsid w:val="007B174F"/>
    <w:rsid w:val="007B1863"/>
    <w:rsid w:val="007B22E0"/>
    <w:rsid w:val="007B28CA"/>
    <w:rsid w:val="007B2F6B"/>
    <w:rsid w:val="007B358D"/>
    <w:rsid w:val="007B390F"/>
    <w:rsid w:val="007B3FB7"/>
    <w:rsid w:val="007B5401"/>
    <w:rsid w:val="007B5FB4"/>
    <w:rsid w:val="007B63BE"/>
    <w:rsid w:val="007B6B2B"/>
    <w:rsid w:val="007B7949"/>
    <w:rsid w:val="007B796E"/>
    <w:rsid w:val="007B7D30"/>
    <w:rsid w:val="007C0FA9"/>
    <w:rsid w:val="007C1BCB"/>
    <w:rsid w:val="007C1BEC"/>
    <w:rsid w:val="007C2413"/>
    <w:rsid w:val="007C25AE"/>
    <w:rsid w:val="007C3152"/>
    <w:rsid w:val="007C333B"/>
    <w:rsid w:val="007C3914"/>
    <w:rsid w:val="007C3CEA"/>
    <w:rsid w:val="007C3D92"/>
    <w:rsid w:val="007C3E98"/>
    <w:rsid w:val="007C5A8F"/>
    <w:rsid w:val="007C5B38"/>
    <w:rsid w:val="007C5BD2"/>
    <w:rsid w:val="007C76E8"/>
    <w:rsid w:val="007C7C9A"/>
    <w:rsid w:val="007D01E6"/>
    <w:rsid w:val="007D035E"/>
    <w:rsid w:val="007D0396"/>
    <w:rsid w:val="007D0644"/>
    <w:rsid w:val="007D0B70"/>
    <w:rsid w:val="007D1801"/>
    <w:rsid w:val="007D1FE0"/>
    <w:rsid w:val="007D20BB"/>
    <w:rsid w:val="007D261E"/>
    <w:rsid w:val="007D2F61"/>
    <w:rsid w:val="007D3004"/>
    <w:rsid w:val="007D3091"/>
    <w:rsid w:val="007D31C2"/>
    <w:rsid w:val="007D3D0E"/>
    <w:rsid w:val="007D3D33"/>
    <w:rsid w:val="007D41C2"/>
    <w:rsid w:val="007D4B8E"/>
    <w:rsid w:val="007D4F02"/>
    <w:rsid w:val="007D5C1A"/>
    <w:rsid w:val="007D674C"/>
    <w:rsid w:val="007D6B7B"/>
    <w:rsid w:val="007D6CF1"/>
    <w:rsid w:val="007D6DC7"/>
    <w:rsid w:val="007D7131"/>
    <w:rsid w:val="007D7BEC"/>
    <w:rsid w:val="007D7CE3"/>
    <w:rsid w:val="007E051A"/>
    <w:rsid w:val="007E0798"/>
    <w:rsid w:val="007E1B72"/>
    <w:rsid w:val="007E2C1B"/>
    <w:rsid w:val="007E3EE3"/>
    <w:rsid w:val="007E5614"/>
    <w:rsid w:val="007E57DE"/>
    <w:rsid w:val="007E5902"/>
    <w:rsid w:val="007E5ABE"/>
    <w:rsid w:val="007E6719"/>
    <w:rsid w:val="007E6850"/>
    <w:rsid w:val="007E68ED"/>
    <w:rsid w:val="007E69ED"/>
    <w:rsid w:val="007E76B3"/>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44C"/>
    <w:rsid w:val="00805C3D"/>
    <w:rsid w:val="008067FC"/>
    <w:rsid w:val="00806F1D"/>
    <w:rsid w:val="008077ED"/>
    <w:rsid w:val="00807B6F"/>
    <w:rsid w:val="00807E93"/>
    <w:rsid w:val="00810172"/>
    <w:rsid w:val="00810762"/>
    <w:rsid w:val="00810858"/>
    <w:rsid w:val="00810EFF"/>
    <w:rsid w:val="00811314"/>
    <w:rsid w:val="00811A39"/>
    <w:rsid w:val="0081219D"/>
    <w:rsid w:val="0081291B"/>
    <w:rsid w:val="00812D16"/>
    <w:rsid w:val="00813622"/>
    <w:rsid w:val="00813DCF"/>
    <w:rsid w:val="00813FAB"/>
    <w:rsid w:val="0081498C"/>
    <w:rsid w:val="00814AE1"/>
    <w:rsid w:val="00815C4C"/>
    <w:rsid w:val="00815D31"/>
    <w:rsid w:val="0081601F"/>
    <w:rsid w:val="00816064"/>
    <w:rsid w:val="008174B2"/>
    <w:rsid w:val="00817CFF"/>
    <w:rsid w:val="0082000D"/>
    <w:rsid w:val="0082037E"/>
    <w:rsid w:val="00820C9C"/>
    <w:rsid w:val="00820F55"/>
    <w:rsid w:val="00821572"/>
    <w:rsid w:val="00821D0E"/>
    <w:rsid w:val="00821D56"/>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288"/>
    <w:rsid w:val="00831652"/>
    <w:rsid w:val="0083202E"/>
    <w:rsid w:val="0083304F"/>
    <w:rsid w:val="008330B1"/>
    <w:rsid w:val="008334C9"/>
    <w:rsid w:val="00834122"/>
    <w:rsid w:val="00835100"/>
    <w:rsid w:val="008352C5"/>
    <w:rsid w:val="008358A6"/>
    <w:rsid w:val="008359FB"/>
    <w:rsid w:val="00835C56"/>
    <w:rsid w:val="008360FC"/>
    <w:rsid w:val="00836483"/>
    <w:rsid w:val="008365FB"/>
    <w:rsid w:val="00836E81"/>
    <w:rsid w:val="008377C1"/>
    <w:rsid w:val="00837C90"/>
    <w:rsid w:val="00837EB1"/>
    <w:rsid w:val="0084042B"/>
    <w:rsid w:val="008409BB"/>
    <w:rsid w:val="0084184A"/>
    <w:rsid w:val="008423F2"/>
    <w:rsid w:val="00842A30"/>
    <w:rsid w:val="00842F71"/>
    <w:rsid w:val="00843179"/>
    <w:rsid w:val="008436F9"/>
    <w:rsid w:val="0084386A"/>
    <w:rsid w:val="00843E0E"/>
    <w:rsid w:val="0084411A"/>
    <w:rsid w:val="008442EA"/>
    <w:rsid w:val="00844589"/>
    <w:rsid w:val="00844794"/>
    <w:rsid w:val="00844FE7"/>
    <w:rsid w:val="00845219"/>
    <w:rsid w:val="008456DC"/>
    <w:rsid w:val="00845880"/>
    <w:rsid w:val="00845969"/>
    <w:rsid w:val="00845F37"/>
    <w:rsid w:val="00845FF5"/>
    <w:rsid w:val="00846001"/>
    <w:rsid w:val="0084615D"/>
    <w:rsid w:val="0084642A"/>
    <w:rsid w:val="008465C4"/>
    <w:rsid w:val="00846710"/>
    <w:rsid w:val="00846749"/>
    <w:rsid w:val="008478ED"/>
    <w:rsid w:val="00847CCF"/>
    <w:rsid w:val="00851728"/>
    <w:rsid w:val="00851DFF"/>
    <w:rsid w:val="00852F78"/>
    <w:rsid w:val="00853084"/>
    <w:rsid w:val="00853142"/>
    <w:rsid w:val="008540A6"/>
    <w:rsid w:val="00854420"/>
    <w:rsid w:val="00854481"/>
    <w:rsid w:val="0085566C"/>
    <w:rsid w:val="00855764"/>
    <w:rsid w:val="00857591"/>
    <w:rsid w:val="00857C1C"/>
    <w:rsid w:val="00857E88"/>
    <w:rsid w:val="008605D9"/>
    <w:rsid w:val="008612DB"/>
    <w:rsid w:val="00861B57"/>
    <w:rsid w:val="00862AC4"/>
    <w:rsid w:val="008633AC"/>
    <w:rsid w:val="008634E3"/>
    <w:rsid w:val="00864627"/>
    <w:rsid w:val="00864635"/>
    <w:rsid w:val="00864646"/>
    <w:rsid w:val="00864678"/>
    <w:rsid w:val="00864C1A"/>
    <w:rsid w:val="00865217"/>
    <w:rsid w:val="008658AA"/>
    <w:rsid w:val="00865A7F"/>
    <w:rsid w:val="00865CBD"/>
    <w:rsid w:val="00866E37"/>
    <w:rsid w:val="00866F9E"/>
    <w:rsid w:val="008671AC"/>
    <w:rsid w:val="008672E2"/>
    <w:rsid w:val="0086793D"/>
    <w:rsid w:val="00867B1C"/>
    <w:rsid w:val="00870462"/>
    <w:rsid w:val="00870559"/>
    <w:rsid w:val="008713D6"/>
    <w:rsid w:val="00871643"/>
    <w:rsid w:val="0087281D"/>
    <w:rsid w:val="008732D8"/>
    <w:rsid w:val="00873377"/>
    <w:rsid w:val="00873577"/>
    <w:rsid w:val="008738C2"/>
    <w:rsid w:val="0087409F"/>
    <w:rsid w:val="00874D58"/>
    <w:rsid w:val="008750D2"/>
    <w:rsid w:val="00875AB5"/>
    <w:rsid w:val="00875C91"/>
    <w:rsid w:val="00875F85"/>
    <w:rsid w:val="00876C6B"/>
    <w:rsid w:val="00876DC9"/>
    <w:rsid w:val="00877125"/>
    <w:rsid w:val="008777C2"/>
    <w:rsid w:val="00877B9B"/>
    <w:rsid w:val="008802E3"/>
    <w:rsid w:val="00880A58"/>
    <w:rsid w:val="00880B94"/>
    <w:rsid w:val="00881511"/>
    <w:rsid w:val="00882448"/>
    <w:rsid w:val="00882F1D"/>
    <w:rsid w:val="00883336"/>
    <w:rsid w:val="00883933"/>
    <w:rsid w:val="008839A2"/>
    <w:rsid w:val="00883A4D"/>
    <w:rsid w:val="00883B21"/>
    <w:rsid w:val="00883F8F"/>
    <w:rsid w:val="00884235"/>
    <w:rsid w:val="00885285"/>
    <w:rsid w:val="00885985"/>
    <w:rsid w:val="00886419"/>
    <w:rsid w:val="00886699"/>
    <w:rsid w:val="0088709A"/>
    <w:rsid w:val="0089199F"/>
    <w:rsid w:val="00891C32"/>
    <w:rsid w:val="00891D7F"/>
    <w:rsid w:val="00891FC2"/>
    <w:rsid w:val="00892265"/>
    <w:rsid w:val="0089233E"/>
    <w:rsid w:val="008931DF"/>
    <w:rsid w:val="0089330E"/>
    <w:rsid w:val="00893A8E"/>
    <w:rsid w:val="00893E27"/>
    <w:rsid w:val="008945F7"/>
    <w:rsid w:val="0089463D"/>
    <w:rsid w:val="00894AD9"/>
    <w:rsid w:val="0089554F"/>
    <w:rsid w:val="008955E6"/>
    <w:rsid w:val="00895B5F"/>
    <w:rsid w:val="0089637C"/>
    <w:rsid w:val="00896396"/>
    <w:rsid w:val="00896712"/>
    <w:rsid w:val="00896870"/>
    <w:rsid w:val="008969BD"/>
    <w:rsid w:val="00896AB8"/>
    <w:rsid w:val="008A13BD"/>
    <w:rsid w:val="008A1596"/>
    <w:rsid w:val="008A1CFB"/>
    <w:rsid w:val="008A1EB9"/>
    <w:rsid w:val="008A1EDF"/>
    <w:rsid w:val="008A2695"/>
    <w:rsid w:val="008A2DC9"/>
    <w:rsid w:val="008A2FF1"/>
    <w:rsid w:val="008A32D4"/>
    <w:rsid w:val="008A367F"/>
    <w:rsid w:val="008A37AF"/>
    <w:rsid w:val="008A3D62"/>
    <w:rsid w:val="008A448D"/>
    <w:rsid w:val="008A4A55"/>
    <w:rsid w:val="008A4E4D"/>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4C"/>
    <w:rsid w:val="008B68EC"/>
    <w:rsid w:val="008B711E"/>
    <w:rsid w:val="008B71DE"/>
    <w:rsid w:val="008C0152"/>
    <w:rsid w:val="008C042F"/>
    <w:rsid w:val="008C057B"/>
    <w:rsid w:val="008C0CAC"/>
    <w:rsid w:val="008C13B4"/>
    <w:rsid w:val="008C1557"/>
    <w:rsid w:val="008C1B8C"/>
    <w:rsid w:val="008C2073"/>
    <w:rsid w:val="008C2306"/>
    <w:rsid w:val="008C26D1"/>
    <w:rsid w:val="008C2B7F"/>
    <w:rsid w:val="008C2D0E"/>
    <w:rsid w:val="008C36AC"/>
    <w:rsid w:val="008C3AC9"/>
    <w:rsid w:val="008C3EC2"/>
    <w:rsid w:val="008C4953"/>
    <w:rsid w:val="008C4E44"/>
    <w:rsid w:val="008C6255"/>
    <w:rsid w:val="008C684B"/>
    <w:rsid w:val="008C6ABD"/>
    <w:rsid w:val="008C6F18"/>
    <w:rsid w:val="008C7685"/>
    <w:rsid w:val="008D007A"/>
    <w:rsid w:val="008D0593"/>
    <w:rsid w:val="008D07DE"/>
    <w:rsid w:val="008D0831"/>
    <w:rsid w:val="008D0E40"/>
    <w:rsid w:val="008D1E7F"/>
    <w:rsid w:val="008D2367"/>
    <w:rsid w:val="008D3832"/>
    <w:rsid w:val="008D427A"/>
    <w:rsid w:val="008D42F9"/>
    <w:rsid w:val="008D4DD5"/>
    <w:rsid w:val="008D5657"/>
    <w:rsid w:val="008D652F"/>
    <w:rsid w:val="008D6752"/>
    <w:rsid w:val="008D69E7"/>
    <w:rsid w:val="008D6FC1"/>
    <w:rsid w:val="008D77FD"/>
    <w:rsid w:val="008D781A"/>
    <w:rsid w:val="008E0140"/>
    <w:rsid w:val="008E0688"/>
    <w:rsid w:val="008E0BEF"/>
    <w:rsid w:val="008E266D"/>
    <w:rsid w:val="008E2F0C"/>
    <w:rsid w:val="008E3E23"/>
    <w:rsid w:val="008E4A84"/>
    <w:rsid w:val="008E547B"/>
    <w:rsid w:val="008E5DF8"/>
    <w:rsid w:val="008F0250"/>
    <w:rsid w:val="008F04A3"/>
    <w:rsid w:val="008F0A20"/>
    <w:rsid w:val="008F11F4"/>
    <w:rsid w:val="008F1533"/>
    <w:rsid w:val="008F1952"/>
    <w:rsid w:val="008F203B"/>
    <w:rsid w:val="008F254D"/>
    <w:rsid w:val="008F310B"/>
    <w:rsid w:val="008F322B"/>
    <w:rsid w:val="008F34CB"/>
    <w:rsid w:val="008F3519"/>
    <w:rsid w:val="008F3AD3"/>
    <w:rsid w:val="008F3CA7"/>
    <w:rsid w:val="008F443F"/>
    <w:rsid w:val="008F4BF0"/>
    <w:rsid w:val="008F5DE5"/>
    <w:rsid w:val="008F5E42"/>
    <w:rsid w:val="008F63B1"/>
    <w:rsid w:val="008F6973"/>
    <w:rsid w:val="008F6B3E"/>
    <w:rsid w:val="008F6E6A"/>
    <w:rsid w:val="008F70FC"/>
    <w:rsid w:val="008F7AA7"/>
    <w:rsid w:val="008F7DE0"/>
    <w:rsid w:val="008F7E88"/>
    <w:rsid w:val="009003D2"/>
    <w:rsid w:val="0090091F"/>
    <w:rsid w:val="00900947"/>
    <w:rsid w:val="00900E6A"/>
    <w:rsid w:val="00900EB8"/>
    <w:rsid w:val="00900FBA"/>
    <w:rsid w:val="00902E5B"/>
    <w:rsid w:val="00903555"/>
    <w:rsid w:val="00903AD8"/>
    <w:rsid w:val="00903FD9"/>
    <w:rsid w:val="009044C8"/>
    <w:rsid w:val="00904CF5"/>
    <w:rsid w:val="00905259"/>
    <w:rsid w:val="0090556C"/>
    <w:rsid w:val="00905633"/>
    <w:rsid w:val="00905EAE"/>
    <w:rsid w:val="009060C4"/>
    <w:rsid w:val="009064E8"/>
    <w:rsid w:val="00906C91"/>
    <w:rsid w:val="00906C95"/>
    <w:rsid w:val="00907656"/>
    <w:rsid w:val="009079BF"/>
    <w:rsid w:val="00907E14"/>
    <w:rsid w:val="00907E47"/>
    <w:rsid w:val="009115EF"/>
    <w:rsid w:val="009116DD"/>
    <w:rsid w:val="00912902"/>
    <w:rsid w:val="00912D1C"/>
    <w:rsid w:val="00913019"/>
    <w:rsid w:val="00913F1E"/>
    <w:rsid w:val="00913FB2"/>
    <w:rsid w:val="009140C4"/>
    <w:rsid w:val="009144A9"/>
    <w:rsid w:val="0091468B"/>
    <w:rsid w:val="00914EFB"/>
    <w:rsid w:val="00914FA1"/>
    <w:rsid w:val="0091526F"/>
    <w:rsid w:val="009153D2"/>
    <w:rsid w:val="00916286"/>
    <w:rsid w:val="00916595"/>
    <w:rsid w:val="00916C47"/>
    <w:rsid w:val="009171AD"/>
    <w:rsid w:val="00917569"/>
    <w:rsid w:val="00920174"/>
    <w:rsid w:val="00920731"/>
    <w:rsid w:val="00920D46"/>
    <w:rsid w:val="009219D2"/>
    <w:rsid w:val="00921A4E"/>
    <w:rsid w:val="00921E37"/>
    <w:rsid w:val="00921F56"/>
    <w:rsid w:val="00922511"/>
    <w:rsid w:val="00922F07"/>
    <w:rsid w:val="00923463"/>
    <w:rsid w:val="009247AA"/>
    <w:rsid w:val="00925238"/>
    <w:rsid w:val="00925ACF"/>
    <w:rsid w:val="0092615D"/>
    <w:rsid w:val="0092652C"/>
    <w:rsid w:val="00926546"/>
    <w:rsid w:val="009265A1"/>
    <w:rsid w:val="009268AF"/>
    <w:rsid w:val="00927700"/>
    <w:rsid w:val="0093036E"/>
    <w:rsid w:val="00931224"/>
    <w:rsid w:val="009333D3"/>
    <w:rsid w:val="009339B6"/>
    <w:rsid w:val="00933B4C"/>
    <w:rsid w:val="00933DC4"/>
    <w:rsid w:val="0093431B"/>
    <w:rsid w:val="009346D6"/>
    <w:rsid w:val="00934743"/>
    <w:rsid w:val="0093487E"/>
    <w:rsid w:val="00934FFE"/>
    <w:rsid w:val="009361CD"/>
    <w:rsid w:val="00936405"/>
    <w:rsid w:val="00936B64"/>
    <w:rsid w:val="009379C4"/>
    <w:rsid w:val="0094041A"/>
    <w:rsid w:val="00940D32"/>
    <w:rsid w:val="0094190D"/>
    <w:rsid w:val="00942354"/>
    <w:rsid w:val="00942443"/>
    <w:rsid w:val="00942681"/>
    <w:rsid w:val="00943A7E"/>
    <w:rsid w:val="00943E42"/>
    <w:rsid w:val="00943E5D"/>
    <w:rsid w:val="00944728"/>
    <w:rsid w:val="009453E8"/>
    <w:rsid w:val="009454C4"/>
    <w:rsid w:val="00945664"/>
    <w:rsid w:val="00945AD1"/>
    <w:rsid w:val="00946ECB"/>
    <w:rsid w:val="00947268"/>
    <w:rsid w:val="0094750E"/>
    <w:rsid w:val="00947C94"/>
    <w:rsid w:val="009503BE"/>
    <w:rsid w:val="009507C8"/>
    <w:rsid w:val="0095115E"/>
    <w:rsid w:val="0095118A"/>
    <w:rsid w:val="009518ED"/>
    <w:rsid w:val="00951DB7"/>
    <w:rsid w:val="00952298"/>
    <w:rsid w:val="00952468"/>
    <w:rsid w:val="00954767"/>
    <w:rsid w:val="0095487A"/>
    <w:rsid w:val="009548FB"/>
    <w:rsid w:val="00954947"/>
    <w:rsid w:val="0095538B"/>
    <w:rsid w:val="00957987"/>
    <w:rsid w:val="00957AF7"/>
    <w:rsid w:val="00960ACA"/>
    <w:rsid w:val="00960C4F"/>
    <w:rsid w:val="0096217C"/>
    <w:rsid w:val="00962441"/>
    <w:rsid w:val="00963277"/>
    <w:rsid w:val="009638AD"/>
    <w:rsid w:val="0096456C"/>
    <w:rsid w:val="00964B04"/>
    <w:rsid w:val="00964B53"/>
    <w:rsid w:val="00964C3F"/>
    <w:rsid w:val="00964C6C"/>
    <w:rsid w:val="00965176"/>
    <w:rsid w:val="00965240"/>
    <w:rsid w:val="00965847"/>
    <w:rsid w:val="00965A3E"/>
    <w:rsid w:val="00965C48"/>
    <w:rsid w:val="00966757"/>
    <w:rsid w:val="00966A98"/>
    <w:rsid w:val="00966BFF"/>
    <w:rsid w:val="00966D9D"/>
    <w:rsid w:val="00966E4A"/>
    <w:rsid w:val="00967041"/>
    <w:rsid w:val="00970097"/>
    <w:rsid w:val="00970918"/>
    <w:rsid w:val="0097099E"/>
    <w:rsid w:val="00971761"/>
    <w:rsid w:val="0097216F"/>
    <w:rsid w:val="00972C3B"/>
    <w:rsid w:val="00973057"/>
    <w:rsid w:val="009732B0"/>
    <w:rsid w:val="00974D50"/>
    <w:rsid w:val="009751AF"/>
    <w:rsid w:val="00975326"/>
    <w:rsid w:val="00975DEA"/>
    <w:rsid w:val="0097669F"/>
    <w:rsid w:val="0097673C"/>
    <w:rsid w:val="00977CDF"/>
    <w:rsid w:val="0098043F"/>
    <w:rsid w:val="00980837"/>
    <w:rsid w:val="00981038"/>
    <w:rsid w:val="0098106E"/>
    <w:rsid w:val="00981511"/>
    <w:rsid w:val="00981D1C"/>
    <w:rsid w:val="00981E1C"/>
    <w:rsid w:val="0098200E"/>
    <w:rsid w:val="00982118"/>
    <w:rsid w:val="00982C62"/>
    <w:rsid w:val="00982C91"/>
    <w:rsid w:val="00982F76"/>
    <w:rsid w:val="00982FA3"/>
    <w:rsid w:val="009832AB"/>
    <w:rsid w:val="009840FD"/>
    <w:rsid w:val="00984701"/>
    <w:rsid w:val="00984847"/>
    <w:rsid w:val="00984BEC"/>
    <w:rsid w:val="00985EB8"/>
    <w:rsid w:val="00985FB3"/>
    <w:rsid w:val="00986566"/>
    <w:rsid w:val="00986CC1"/>
    <w:rsid w:val="00986F4E"/>
    <w:rsid w:val="00987191"/>
    <w:rsid w:val="00987A16"/>
    <w:rsid w:val="00987A5A"/>
    <w:rsid w:val="00987CB4"/>
    <w:rsid w:val="0099097E"/>
    <w:rsid w:val="009921FC"/>
    <w:rsid w:val="009922DE"/>
    <w:rsid w:val="0099272B"/>
    <w:rsid w:val="00992A0E"/>
    <w:rsid w:val="0099399E"/>
    <w:rsid w:val="0099413C"/>
    <w:rsid w:val="00994230"/>
    <w:rsid w:val="0099479E"/>
    <w:rsid w:val="00994BB8"/>
    <w:rsid w:val="009951D8"/>
    <w:rsid w:val="00995355"/>
    <w:rsid w:val="0099586F"/>
    <w:rsid w:val="00996A2F"/>
    <w:rsid w:val="00996CB5"/>
    <w:rsid w:val="0099719E"/>
    <w:rsid w:val="0099776C"/>
    <w:rsid w:val="009A0169"/>
    <w:rsid w:val="009A0E56"/>
    <w:rsid w:val="009A1B56"/>
    <w:rsid w:val="009A3C93"/>
    <w:rsid w:val="009A3FD0"/>
    <w:rsid w:val="009A51C7"/>
    <w:rsid w:val="009A59EC"/>
    <w:rsid w:val="009A5C56"/>
    <w:rsid w:val="009A5CA8"/>
    <w:rsid w:val="009A6ED0"/>
    <w:rsid w:val="009A706A"/>
    <w:rsid w:val="009A71AB"/>
    <w:rsid w:val="009A7745"/>
    <w:rsid w:val="009A7C3D"/>
    <w:rsid w:val="009A7F45"/>
    <w:rsid w:val="009B0156"/>
    <w:rsid w:val="009B0295"/>
    <w:rsid w:val="009B05BA"/>
    <w:rsid w:val="009B1229"/>
    <w:rsid w:val="009B1B0E"/>
    <w:rsid w:val="009B2596"/>
    <w:rsid w:val="009B3962"/>
    <w:rsid w:val="009B3C00"/>
    <w:rsid w:val="009B42B6"/>
    <w:rsid w:val="009B42CC"/>
    <w:rsid w:val="009B43D6"/>
    <w:rsid w:val="009B5081"/>
    <w:rsid w:val="009B6985"/>
    <w:rsid w:val="009B69B3"/>
    <w:rsid w:val="009B7011"/>
    <w:rsid w:val="009B71E4"/>
    <w:rsid w:val="009C04EE"/>
    <w:rsid w:val="009C0CD4"/>
    <w:rsid w:val="009C0FFB"/>
    <w:rsid w:val="009C15E7"/>
    <w:rsid w:val="009C1631"/>
    <w:rsid w:val="009C17C8"/>
    <w:rsid w:val="009C2F86"/>
    <w:rsid w:val="009C385B"/>
    <w:rsid w:val="009C3E3C"/>
    <w:rsid w:val="009C4353"/>
    <w:rsid w:val="009C49C2"/>
    <w:rsid w:val="009C4E2D"/>
    <w:rsid w:val="009C62C0"/>
    <w:rsid w:val="009C6A88"/>
    <w:rsid w:val="009C765D"/>
    <w:rsid w:val="009C7ADA"/>
    <w:rsid w:val="009D000A"/>
    <w:rsid w:val="009D0820"/>
    <w:rsid w:val="009D1A86"/>
    <w:rsid w:val="009D1E12"/>
    <w:rsid w:val="009D2DA9"/>
    <w:rsid w:val="009D2E93"/>
    <w:rsid w:val="009D2EA9"/>
    <w:rsid w:val="009D3038"/>
    <w:rsid w:val="009D34C0"/>
    <w:rsid w:val="009D35FB"/>
    <w:rsid w:val="009D45AD"/>
    <w:rsid w:val="009D4BBE"/>
    <w:rsid w:val="009D4E16"/>
    <w:rsid w:val="009D57DC"/>
    <w:rsid w:val="009D5893"/>
    <w:rsid w:val="009D6620"/>
    <w:rsid w:val="009D6C54"/>
    <w:rsid w:val="009D72B0"/>
    <w:rsid w:val="009D77CE"/>
    <w:rsid w:val="009D7885"/>
    <w:rsid w:val="009D7A12"/>
    <w:rsid w:val="009D7DE3"/>
    <w:rsid w:val="009E004A"/>
    <w:rsid w:val="009E0258"/>
    <w:rsid w:val="009E066B"/>
    <w:rsid w:val="009E1515"/>
    <w:rsid w:val="009E1CDA"/>
    <w:rsid w:val="009E1CFF"/>
    <w:rsid w:val="009E1FEE"/>
    <w:rsid w:val="009E23EA"/>
    <w:rsid w:val="009E2D24"/>
    <w:rsid w:val="009E2EA0"/>
    <w:rsid w:val="009E305F"/>
    <w:rsid w:val="009E36FF"/>
    <w:rsid w:val="009E37D3"/>
    <w:rsid w:val="009E5028"/>
    <w:rsid w:val="009E50FB"/>
    <w:rsid w:val="009E5280"/>
    <w:rsid w:val="009E5386"/>
    <w:rsid w:val="009E586B"/>
    <w:rsid w:val="009E5DD1"/>
    <w:rsid w:val="009E5FC9"/>
    <w:rsid w:val="009E60AD"/>
    <w:rsid w:val="009E68C8"/>
    <w:rsid w:val="009E6AA4"/>
    <w:rsid w:val="009E6AB5"/>
    <w:rsid w:val="009E6D7D"/>
    <w:rsid w:val="009E6DAB"/>
    <w:rsid w:val="009E6F4B"/>
    <w:rsid w:val="009E703C"/>
    <w:rsid w:val="009E7E4C"/>
    <w:rsid w:val="009F08F5"/>
    <w:rsid w:val="009F0956"/>
    <w:rsid w:val="009F0EE5"/>
    <w:rsid w:val="009F1264"/>
    <w:rsid w:val="009F1CEE"/>
    <w:rsid w:val="009F2411"/>
    <w:rsid w:val="009F245B"/>
    <w:rsid w:val="009F25E6"/>
    <w:rsid w:val="009F2BE8"/>
    <w:rsid w:val="009F2C2F"/>
    <w:rsid w:val="009F2F09"/>
    <w:rsid w:val="009F39A7"/>
    <w:rsid w:val="009F40B7"/>
    <w:rsid w:val="009F4188"/>
    <w:rsid w:val="009F4296"/>
    <w:rsid w:val="009F4302"/>
    <w:rsid w:val="009F4393"/>
    <w:rsid w:val="009F4BE9"/>
    <w:rsid w:val="009F548A"/>
    <w:rsid w:val="009F62D3"/>
    <w:rsid w:val="00A00112"/>
    <w:rsid w:val="00A00645"/>
    <w:rsid w:val="00A008B5"/>
    <w:rsid w:val="00A00EB4"/>
    <w:rsid w:val="00A017B4"/>
    <w:rsid w:val="00A01C53"/>
    <w:rsid w:val="00A01D38"/>
    <w:rsid w:val="00A02414"/>
    <w:rsid w:val="00A025B9"/>
    <w:rsid w:val="00A0355C"/>
    <w:rsid w:val="00A0377F"/>
    <w:rsid w:val="00A039C8"/>
    <w:rsid w:val="00A03A13"/>
    <w:rsid w:val="00A03FCC"/>
    <w:rsid w:val="00A040B3"/>
    <w:rsid w:val="00A040CD"/>
    <w:rsid w:val="00A04429"/>
    <w:rsid w:val="00A06446"/>
    <w:rsid w:val="00A06697"/>
    <w:rsid w:val="00A06C40"/>
    <w:rsid w:val="00A10586"/>
    <w:rsid w:val="00A106EC"/>
    <w:rsid w:val="00A107EA"/>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6A8"/>
    <w:rsid w:val="00A15D5E"/>
    <w:rsid w:val="00A161F8"/>
    <w:rsid w:val="00A169FA"/>
    <w:rsid w:val="00A1766A"/>
    <w:rsid w:val="00A200F4"/>
    <w:rsid w:val="00A205D2"/>
    <w:rsid w:val="00A206C9"/>
    <w:rsid w:val="00A20C27"/>
    <w:rsid w:val="00A20E7D"/>
    <w:rsid w:val="00A216BC"/>
    <w:rsid w:val="00A23931"/>
    <w:rsid w:val="00A23ADB"/>
    <w:rsid w:val="00A23FD6"/>
    <w:rsid w:val="00A2511A"/>
    <w:rsid w:val="00A25317"/>
    <w:rsid w:val="00A25706"/>
    <w:rsid w:val="00A25D84"/>
    <w:rsid w:val="00A26029"/>
    <w:rsid w:val="00A262E4"/>
    <w:rsid w:val="00A268EA"/>
    <w:rsid w:val="00A2711A"/>
    <w:rsid w:val="00A278FF"/>
    <w:rsid w:val="00A31CE0"/>
    <w:rsid w:val="00A31F2D"/>
    <w:rsid w:val="00A31FA9"/>
    <w:rsid w:val="00A333BF"/>
    <w:rsid w:val="00A33825"/>
    <w:rsid w:val="00A3398F"/>
    <w:rsid w:val="00A35583"/>
    <w:rsid w:val="00A35B4D"/>
    <w:rsid w:val="00A363EF"/>
    <w:rsid w:val="00A36DFE"/>
    <w:rsid w:val="00A370FD"/>
    <w:rsid w:val="00A375E3"/>
    <w:rsid w:val="00A3798C"/>
    <w:rsid w:val="00A37DD9"/>
    <w:rsid w:val="00A40ED7"/>
    <w:rsid w:val="00A40F83"/>
    <w:rsid w:val="00A412BA"/>
    <w:rsid w:val="00A41416"/>
    <w:rsid w:val="00A4200D"/>
    <w:rsid w:val="00A424BF"/>
    <w:rsid w:val="00A4258E"/>
    <w:rsid w:val="00A425FF"/>
    <w:rsid w:val="00A432D1"/>
    <w:rsid w:val="00A43716"/>
    <w:rsid w:val="00A43925"/>
    <w:rsid w:val="00A442C5"/>
    <w:rsid w:val="00A44712"/>
    <w:rsid w:val="00A44AF5"/>
    <w:rsid w:val="00A44B8B"/>
    <w:rsid w:val="00A45EC4"/>
    <w:rsid w:val="00A47212"/>
    <w:rsid w:val="00A474A0"/>
    <w:rsid w:val="00A474EA"/>
    <w:rsid w:val="00A501B2"/>
    <w:rsid w:val="00A5034A"/>
    <w:rsid w:val="00A50FFA"/>
    <w:rsid w:val="00A523D9"/>
    <w:rsid w:val="00A539D1"/>
    <w:rsid w:val="00A54DAE"/>
    <w:rsid w:val="00A5591B"/>
    <w:rsid w:val="00A56D3B"/>
    <w:rsid w:val="00A57450"/>
    <w:rsid w:val="00A57479"/>
    <w:rsid w:val="00A57C08"/>
    <w:rsid w:val="00A600D9"/>
    <w:rsid w:val="00A604CD"/>
    <w:rsid w:val="00A6362A"/>
    <w:rsid w:val="00A637A0"/>
    <w:rsid w:val="00A63ECD"/>
    <w:rsid w:val="00A64093"/>
    <w:rsid w:val="00A640EB"/>
    <w:rsid w:val="00A64815"/>
    <w:rsid w:val="00A65043"/>
    <w:rsid w:val="00A65495"/>
    <w:rsid w:val="00A66DF9"/>
    <w:rsid w:val="00A67EAD"/>
    <w:rsid w:val="00A704E4"/>
    <w:rsid w:val="00A7136A"/>
    <w:rsid w:val="00A71C44"/>
    <w:rsid w:val="00A72296"/>
    <w:rsid w:val="00A7388E"/>
    <w:rsid w:val="00A7442C"/>
    <w:rsid w:val="00A74544"/>
    <w:rsid w:val="00A74548"/>
    <w:rsid w:val="00A7480B"/>
    <w:rsid w:val="00A74C24"/>
    <w:rsid w:val="00A74DF2"/>
    <w:rsid w:val="00A74E4D"/>
    <w:rsid w:val="00A7592E"/>
    <w:rsid w:val="00A7681F"/>
    <w:rsid w:val="00A76C1F"/>
    <w:rsid w:val="00A803FC"/>
    <w:rsid w:val="00A8071A"/>
    <w:rsid w:val="00A80DD9"/>
    <w:rsid w:val="00A80FCA"/>
    <w:rsid w:val="00A81CBC"/>
    <w:rsid w:val="00A82506"/>
    <w:rsid w:val="00A837CE"/>
    <w:rsid w:val="00A83DB5"/>
    <w:rsid w:val="00A83FBA"/>
    <w:rsid w:val="00A84636"/>
    <w:rsid w:val="00A84FE1"/>
    <w:rsid w:val="00A85080"/>
    <w:rsid w:val="00A854AB"/>
    <w:rsid w:val="00A86406"/>
    <w:rsid w:val="00A86853"/>
    <w:rsid w:val="00A86B75"/>
    <w:rsid w:val="00A86E75"/>
    <w:rsid w:val="00A86F33"/>
    <w:rsid w:val="00A9065F"/>
    <w:rsid w:val="00A90B0E"/>
    <w:rsid w:val="00A91AA1"/>
    <w:rsid w:val="00A91C8C"/>
    <w:rsid w:val="00A91F0D"/>
    <w:rsid w:val="00A9235A"/>
    <w:rsid w:val="00A92FC7"/>
    <w:rsid w:val="00A92FF7"/>
    <w:rsid w:val="00A93069"/>
    <w:rsid w:val="00A9468F"/>
    <w:rsid w:val="00A9498D"/>
    <w:rsid w:val="00A94B7D"/>
    <w:rsid w:val="00A94ED1"/>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45"/>
    <w:rsid w:val="00AA5876"/>
    <w:rsid w:val="00AA6A8A"/>
    <w:rsid w:val="00AA6D51"/>
    <w:rsid w:val="00AA6DD8"/>
    <w:rsid w:val="00AA6FA3"/>
    <w:rsid w:val="00AA70BB"/>
    <w:rsid w:val="00AA757C"/>
    <w:rsid w:val="00AA7F10"/>
    <w:rsid w:val="00AB0391"/>
    <w:rsid w:val="00AB2151"/>
    <w:rsid w:val="00AB2C59"/>
    <w:rsid w:val="00AB2C8A"/>
    <w:rsid w:val="00AB4058"/>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1FEE"/>
    <w:rsid w:val="00AC26FE"/>
    <w:rsid w:val="00AC2D7B"/>
    <w:rsid w:val="00AC350D"/>
    <w:rsid w:val="00AC3568"/>
    <w:rsid w:val="00AC3CF2"/>
    <w:rsid w:val="00AC47EC"/>
    <w:rsid w:val="00AC4E5D"/>
    <w:rsid w:val="00AC5594"/>
    <w:rsid w:val="00AC5613"/>
    <w:rsid w:val="00AC6C53"/>
    <w:rsid w:val="00AC6E85"/>
    <w:rsid w:val="00AC6FE7"/>
    <w:rsid w:val="00AC7284"/>
    <w:rsid w:val="00AC7CE6"/>
    <w:rsid w:val="00AC7D45"/>
    <w:rsid w:val="00AD0828"/>
    <w:rsid w:val="00AD0B13"/>
    <w:rsid w:val="00AD0E69"/>
    <w:rsid w:val="00AD103D"/>
    <w:rsid w:val="00AD159C"/>
    <w:rsid w:val="00AD17FA"/>
    <w:rsid w:val="00AD19EC"/>
    <w:rsid w:val="00AD2717"/>
    <w:rsid w:val="00AD39F7"/>
    <w:rsid w:val="00AD3DC4"/>
    <w:rsid w:val="00AD45D6"/>
    <w:rsid w:val="00AD4A03"/>
    <w:rsid w:val="00AD4FF4"/>
    <w:rsid w:val="00AD531D"/>
    <w:rsid w:val="00AD600C"/>
    <w:rsid w:val="00AD63D6"/>
    <w:rsid w:val="00AD661E"/>
    <w:rsid w:val="00AD6CD5"/>
    <w:rsid w:val="00AD6DE7"/>
    <w:rsid w:val="00AD733B"/>
    <w:rsid w:val="00AD76B5"/>
    <w:rsid w:val="00AD7CA7"/>
    <w:rsid w:val="00AE0040"/>
    <w:rsid w:val="00AE11D9"/>
    <w:rsid w:val="00AE184D"/>
    <w:rsid w:val="00AE1C03"/>
    <w:rsid w:val="00AE23E3"/>
    <w:rsid w:val="00AE2F65"/>
    <w:rsid w:val="00AE2FAF"/>
    <w:rsid w:val="00AE317E"/>
    <w:rsid w:val="00AE35A5"/>
    <w:rsid w:val="00AE4E2A"/>
    <w:rsid w:val="00AE5CF9"/>
    <w:rsid w:val="00AE5DB6"/>
    <w:rsid w:val="00AE6C3C"/>
    <w:rsid w:val="00AE6FEE"/>
    <w:rsid w:val="00AE702E"/>
    <w:rsid w:val="00AE73E0"/>
    <w:rsid w:val="00AE74F5"/>
    <w:rsid w:val="00AF03C0"/>
    <w:rsid w:val="00AF166F"/>
    <w:rsid w:val="00AF1C03"/>
    <w:rsid w:val="00AF21B8"/>
    <w:rsid w:val="00AF39AF"/>
    <w:rsid w:val="00AF3E3B"/>
    <w:rsid w:val="00AF3E5A"/>
    <w:rsid w:val="00AF46FE"/>
    <w:rsid w:val="00AF486F"/>
    <w:rsid w:val="00AF548B"/>
    <w:rsid w:val="00AF55E0"/>
    <w:rsid w:val="00AF5666"/>
    <w:rsid w:val="00AF5870"/>
    <w:rsid w:val="00AF6619"/>
    <w:rsid w:val="00AF6CFD"/>
    <w:rsid w:val="00AF6E41"/>
    <w:rsid w:val="00AF7DC1"/>
    <w:rsid w:val="00B000AE"/>
    <w:rsid w:val="00B0040B"/>
    <w:rsid w:val="00B00830"/>
    <w:rsid w:val="00B00AB5"/>
    <w:rsid w:val="00B00CC0"/>
    <w:rsid w:val="00B00F5C"/>
    <w:rsid w:val="00B019C1"/>
    <w:rsid w:val="00B01FFB"/>
    <w:rsid w:val="00B0236E"/>
    <w:rsid w:val="00B02506"/>
    <w:rsid w:val="00B02ACE"/>
    <w:rsid w:val="00B03913"/>
    <w:rsid w:val="00B0414A"/>
    <w:rsid w:val="00B0429A"/>
    <w:rsid w:val="00B04CEA"/>
    <w:rsid w:val="00B04DFB"/>
    <w:rsid w:val="00B05607"/>
    <w:rsid w:val="00B0564B"/>
    <w:rsid w:val="00B05A08"/>
    <w:rsid w:val="00B05F14"/>
    <w:rsid w:val="00B06737"/>
    <w:rsid w:val="00B0784C"/>
    <w:rsid w:val="00B07CE9"/>
    <w:rsid w:val="00B101D5"/>
    <w:rsid w:val="00B10633"/>
    <w:rsid w:val="00B10B08"/>
    <w:rsid w:val="00B11720"/>
    <w:rsid w:val="00B11A78"/>
    <w:rsid w:val="00B11CFB"/>
    <w:rsid w:val="00B12111"/>
    <w:rsid w:val="00B13C92"/>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2C8E"/>
    <w:rsid w:val="00B2302B"/>
    <w:rsid w:val="00B24363"/>
    <w:rsid w:val="00B2456E"/>
    <w:rsid w:val="00B246A4"/>
    <w:rsid w:val="00B247FE"/>
    <w:rsid w:val="00B24979"/>
    <w:rsid w:val="00B25077"/>
    <w:rsid w:val="00B250A5"/>
    <w:rsid w:val="00B252CB"/>
    <w:rsid w:val="00B25651"/>
    <w:rsid w:val="00B26937"/>
    <w:rsid w:val="00B27B75"/>
    <w:rsid w:val="00B30243"/>
    <w:rsid w:val="00B30421"/>
    <w:rsid w:val="00B30DC8"/>
    <w:rsid w:val="00B315BB"/>
    <w:rsid w:val="00B31977"/>
    <w:rsid w:val="00B3235A"/>
    <w:rsid w:val="00B3255C"/>
    <w:rsid w:val="00B333FE"/>
    <w:rsid w:val="00B3382B"/>
    <w:rsid w:val="00B35094"/>
    <w:rsid w:val="00B350F0"/>
    <w:rsid w:val="00B357AC"/>
    <w:rsid w:val="00B35992"/>
    <w:rsid w:val="00B35E4B"/>
    <w:rsid w:val="00B35FCC"/>
    <w:rsid w:val="00B36518"/>
    <w:rsid w:val="00B378CC"/>
    <w:rsid w:val="00B4123B"/>
    <w:rsid w:val="00B41615"/>
    <w:rsid w:val="00B41FD8"/>
    <w:rsid w:val="00B420DF"/>
    <w:rsid w:val="00B428E2"/>
    <w:rsid w:val="00B42A2C"/>
    <w:rsid w:val="00B42A5C"/>
    <w:rsid w:val="00B42A98"/>
    <w:rsid w:val="00B42C64"/>
    <w:rsid w:val="00B436F0"/>
    <w:rsid w:val="00B448EF"/>
    <w:rsid w:val="00B44F72"/>
    <w:rsid w:val="00B45218"/>
    <w:rsid w:val="00B45FF6"/>
    <w:rsid w:val="00B47493"/>
    <w:rsid w:val="00B474C8"/>
    <w:rsid w:val="00B474DF"/>
    <w:rsid w:val="00B47915"/>
    <w:rsid w:val="00B501AA"/>
    <w:rsid w:val="00B50E18"/>
    <w:rsid w:val="00B513A9"/>
    <w:rsid w:val="00B51568"/>
    <w:rsid w:val="00B51610"/>
    <w:rsid w:val="00B5167B"/>
    <w:rsid w:val="00B51F01"/>
    <w:rsid w:val="00B51F06"/>
    <w:rsid w:val="00B520E3"/>
    <w:rsid w:val="00B52336"/>
    <w:rsid w:val="00B528E6"/>
    <w:rsid w:val="00B530E5"/>
    <w:rsid w:val="00B5380B"/>
    <w:rsid w:val="00B5388C"/>
    <w:rsid w:val="00B55CED"/>
    <w:rsid w:val="00B55D57"/>
    <w:rsid w:val="00B55F80"/>
    <w:rsid w:val="00B560A4"/>
    <w:rsid w:val="00B56453"/>
    <w:rsid w:val="00B56480"/>
    <w:rsid w:val="00B565D6"/>
    <w:rsid w:val="00B575F9"/>
    <w:rsid w:val="00B576A4"/>
    <w:rsid w:val="00B57998"/>
    <w:rsid w:val="00B57CD0"/>
    <w:rsid w:val="00B57DA9"/>
    <w:rsid w:val="00B60177"/>
    <w:rsid w:val="00B60639"/>
    <w:rsid w:val="00B61302"/>
    <w:rsid w:val="00B61730"/>
    <w:rsid w:val="00B62CB5"/>
    <w:rsid w:val="00B6308E"/>
    <w:rsid w:val="00B63AAD"/>
    <w:rsid w:val="00B63D58"/>
    <w:rsid w:val="00B649E3"/>
    <w:rsid w:val="00B64E8A"/>
    <w:rsid w:val="00B65588"/>
    <w:rsid w:val="00B658D1"/>
    <w:rsid w:val="00B659F8"/>
    <w:rsid w:val="00B66064"/>
    <w:rsid w:val="00B660DB"/>
    <w:rsid w:val="00B66995"/>
    <w:rsid w:val="00B671A1"/>
    <w:rsid w:val="00B675A6"/>
    <w:rsid w:val="00B677BA"/>
    <w:rsid w:val="00B6794D"/>
    <w:rsid w:val="00B67B55"/>
    <w:rsid w:val="00B67C6C"/>
    <w:rsid w:val="00B702BF"/>
    <w:rsid w:val="00B70C61"/>
    <w:rsid w:val="00B70E5A"/>
    <w:rsid w:val="00B71C2D"/>
    <w:rsid w:val="00B7220D"/>
    <w:rsid w:val="00B73EF4"/>
    <w:rsid w:val="00B74521"/>
    <w:rsid w:val="00B749B6"/>
    <w:rsid w:val="00B7509A"/>
    <w:rsid w:val="00B7613E"/>
    <w:rsid w:val="00B762D4"/>
    <w:rsid w:val="00B766C1"/>
    <w:rsid w:val="00B7685F"/>
    <w:rsid w:val="00B76966"/>
    <w:rsid w:val="00B76B96"/>
    <w:rsid w:val="00B76EFB"/>
    <w:rsid w:val="00B77129"/>
    <w:rsid w:val="00B772F0"/>
    <w:rsid w:val="00B77C37"/>
    <w:rsid w:val="00B80176"/>
    <w:rsid w:val="00B807BF"/>
    <w:rsid w:val="00B809B1"/>
    <w:rsid w:val="00B82543"/>
    <w:rsid w:val="00B82998"/>
    <w:rsid w:val="00B831E4"/>
    <w:rsid w:val="00B834B0"/>
    <w:rsid w:val="00B837F6"/>
    <w:rsid w:val="00B83DAE"/>
    <w:rsid w:val="00B845AA"/>
    <w:rsid w:val="00B84FB4"/>
    <w:rsid w:val="00B85DF2"/>
    <w:rsid w:val="00B86206"/>
    <w:rsid w:val="00B866D5"/>
    <w:rsid w:val="00B86846"/>
    <w:rsid w:val="00B8756E"/>
    <w:rsid w:val="00B87DF9"/>
    <w:rsid w:val="00B91951"/>
    <w:rsid w:val="00B91A58"/>
    <w:rsid w:val="00B91EAD"/>
    <w:rsid w:val="00B920B9"/>
    <w:rsid w:val="00B930D2"/>
    <w:rsid w:val="00B937CD"/>
    <w:rsid w:val="00B938BC"/>
    <w:rsid w:val="00B93997"/>
    <w:rsid w:val="00B93C98"/>
    <w:rsid w:val="00B95879"/>
    <w:rsid w:val="00B968E7"/>
    <w:rsid w:val="00B96E49"/>
    <w:rsid w:val="00B976BB"/>
    <w:rsid w:val="00B97773"/>
    <w:rsid w:val="00BA01A7"/>
    <w:rsid w:val="00BA0224"/>
    <w:rsid w:val="00BA05C8"/>
    <w:rsid w:val="00BA09AA"/>
    <w:rsid w:val="00BA0AD5"/>
    <w:rsid w:val="00BA0CA0"/>
    <w:rsid w:val="00BA0E3C"/>
    <w:rsid w:val="00BA1F74"/>
    <w:rsid w:val="00BA1FE7"/>
    <w:rsid w:val="00BA2B1D"/>
    <w:rsid w:val="00BA3D14"/>
    <w:rsid w:val="00BA435A"/>
    <w:rsid w:val="00BA4B0B"/>
    <w:rsid w:val="00BA53CF"/>
    <w:rsid w:val="00BA54BA"/>
    <w:rsid w:val="00BA5603"/>
    <w:rsid w:val="00BA56D9"/>
    <w:rsid w:val="00BA6194"/>
    <w:rsid w:val="00BA7EEE"/>
    <w:rsid w:val="00BB00D6"/>
    <w:rsid w:val="00BB1298"/>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3BF"/>
    <w:rsid w:val="00BC1527"/>
    <w:rsid w:val="00BC2306"/>
    <w:rsid w:val="00BC2F31"/>
    <w:rsid w:val="00BC337A"/>
    <w:rsid w:val="00BC3529"/>
    <w:rsid w:val="00BC3FE0"/>
    <w:rsid w:val="00BC4036"/>
    <w:rsid w:val="00BC40CF"/>
    <w:rsid w:val="00BC4F0A"/>
    <w:rsid w:val="00BC509F"/>
    <w:rsid w:val="00BC51D2"/>
    <w:rsid w:val="00BC5AF8"/>
    <w:rsid w:val="00BC64BE"/>
    <w:rsid w:val="00BC7155"/>
    <w:rsid w:val="00BC7550"/>
    <w:rsid w:val="00BD0608"/>
    <w:rsid w:val="00BD0909"/>
    <w:rsid w:val="00BD0B72"/>
    <w:rsid w:val="00BD1402"/>
    <w:rsid w:val="00BD2668"/>
    <w:rsid w:val="00BD302B"/>
    <w:rsid w:val="00BD3164"/>
    <w:rsid w:val="00BD38B2"/>
    <w:rsid w:val="00BD3924"/>
    <w:rsid w:val="00BD42DE"/>
    <w:rsid w:val="00BD450F"/>
    <w:rsid w:val="00BD4512"/>
    <w:rsid w:val="00BD52AA"/>
    <w:rsid w:val="00BD5BF7"/>
    <w:rsid w:val="00BD6B59"/>
    <w:rsid w:val="00BD6F5D"/>
    <w:rsid w:val="00BE02B7"/>
    <w:rsid w:val="00BE076A"/>
    <w:rsid w:val="00BE0C04"/>
    <w:rsid w:val="00BE1061"/>
    <w:rsid w:val="00BE1321"/>
    <w:rsid w:val="00BE2893"/>
    <w:rsid w:val="00BE2EB4"/>
    <w:rsid w:val="00BE2F5A"/>
    <w:rsid w:val="00BE37D3"/>
    <w:rsid w:val="00BE474F"/>
    <w:rsid w:val="00BE522A"/>
    <w:rsid w:val="00BE564B"/>
    <w:rsid w:val="00BE57B5"/>
    <w:rsid w:val="00BE5FB2"/>
    <w:rsid w:val="00BE65A6"/>
    <w:rsid w:val="00BE67C5"/>
    <w:rsid w:val="00BE7A7C"/>
    <w:rsid w:val="00BF06D0"/>
    <w:rsid w:val="00BF0A44"/>
    <w:rsid w:val="00BF0CEC"/>
    <w:rsid w:val="00BF1A44"/>
    <w:rsid w:val="00BF1E9C"/>
    <w:rsid w:val="00BF1EDF"/>
    <w:rsid w:val="00BF4D3D"/>
    <w:rsid w:val="00BF5B8C"/>
    <w:rsid w:val="00BF606D"/>
    <w:rsid w:val="00BF66B7"/>
    <w:rsid w:val="00BF6A68"/>
    <w:rsid w:val="00BF7152"/>
    <w:rsid w:val="00BF73F0"/>
    <w:rsid w:val="00BF75B1"/>
    <w:rsid w:val="00BF75C9"/>
    <w:rsid w:val="00BF7BD3"/>
    <w:rsid w:val="00C00352"/>
    <w:rsid w:val="00C007CE"/>
    <w:rsid w:val="00C00A22"/>
    <w:rsid w:val="00C00F18"/>
    <w:rsid w:val="00C01530"/>
    <w:rsid w:val="00C01D39"/>
    <w:rsid w:val="00C0200C"/>
    <w:rsid w:val="00C020A8"/>
    <w:rsid w:val="00C022AC"/>
    <w:rsid w:val="00C02334"/>
    <w:rsid w:val="00C02751"/>
    <w:rsid w:val="00C034A4"/>
    <w:rsid w:val="00C03DD0"/>
    <w:rsid w:val="00C04445"/>
    <w:rsid w:val="00C04705"/>
    <w:rsid w:val="00C04A7F"/>
    <w:rsid w:val="00C04E2B"/>
    <w:rsid w:val="00C051AA"/>
    <w:rsid w:val="00C060A0"/>
    <w:rsid w:val="00C06902"/>
    <w:rsid w:val="00C07187"/>
    <w:rsid w:val="00C07348"/>
    <w:rsid w:val="00C075C9"/>
    <w:rsid w:val="00C07FAD"/>
    <w:rsid w:val="00C106C4"/>
    <w:rsid w:val="00C10F51"/>
    <w:rsid w:val="00C111EA"/>
    <w:rsid w:val="00C119AD"/>
    <w:rsid w:val="00C11DE3"/>
    <w:rsid w:val="00C1228D"/>
    <w:rsid w:val="00C132A7"/>
    <w:rsid w:val="00C13FED"/>
    <w:rsid w:val="00C14E7D"/>
    <w:rsid w:val="00C154D5"/>
    <w:rsid w:val="00C15722"/>
    <w:rsid w:val="00C16897"/>
    <w:rsid w:val="00C200C9"/>
    <w:rsid w:val="00C2038B"/>
    <w:rsid w:val="00C21D8E"/>
    <w:rsid w:val="00C22525"/>
    <w:rsid w:val="00C23DBB"/>
    <w:rsid w:val="00C23FE1"/>
    <w:rsid w:val="00C2410D"/>
    <w:rsid w:val="00C24BAF"/>
    <w:rsid w:val="00C25F8B"/>
    <w:rsid w:val="00C265C0"/>
    <w:rsid w:val="00C266DD"/>
    <w:rsid w:val="00C26B9E"/>
    <w:rsid w:val="00C272EF"/>
    <w:rsid w:val="00C2732B"/>
    <w:rsid w:val="00C2753F"/>
    <w:rsid w:val="00C276A8"/>
    <w:rsid w:val="00C27975"/>
    <w:rsid w:val="00C300BC"/>
    <w:rsid w:val="00C318EC"/>
    <w:rsid w:val="00C318F7"/>
    <w:rsid w:val="00C319D2"/>
    <w:rsid w:val="00C31F85"/>
    <w:rsid w:val="00C32534"/>
    <w:rsid w:val="00C326EE"/>
    <w:rsid w:val="00C32951"/>
    <w:rsid w:val="00C32C02"/>
    <w:rsid w:val="00C32DB2"/>
    <w:rsid w:val="00C33235"/>
    <w:rsid w:val="00C334FE"/>
    <w:rsid w:val="00C33677"/>
    <w:rsid w:val="00C337A7"/>
    <w:rsid w:val="00C34137"/>
    <w:rsid w:val="00C3476B"/>
    <w:rsid w:val="00C35240"/>
    <w:rsid w:val="00C35255"/>
    <w:rsid w:val="00C35D4B"/>
    <w:rsid w:val="00C368B3"/>
    <w:rsid w:val="00C36F07"/>
    <w:rsid w:val="00C37214"/>
    <w:rsid w:val="00C372E8"/>
    <w:rsid w:val="00C409DC"/>
    <w:rsid w:val="00C40B1B"/>
    <w:rsid w:val="00C40E88"/>
    <w:rsid w:val="00C416A3"/>
    <w:rsid w:val="00C41785"/>
    <w:rsid w:val="00C41DB0"/>
    <w:rsid w:val="00C41FC1"/>
    <w:rsid w:val="00C425CA"/>
    <w:rsid w:val="00C432FF"/>
    <w:rsid w:val="00C434C2"/>
    <w:rsid w:val="00C43940"/>
    <w:rsid w:val="00C44342"/>
    <w:rsid w:val="00C44694"/>
    <w:rsid w:val="00C44744"/>
    <w:rsid w:val="00C457C1"/>
    <w:rsid w:val="00C46132"/>
    <w:rsid w:val="00C46625"/>
    <w:rsid w:val="00C46870"/>
    <w:rsid w:val="00C4693B"/>
    <w:rsid w:val="00C47545"/>
    <w:rsid w:val="00C47593"/>
    <w:rsid w:val="00C47748"/>
    <w:rsid w:val="00C5044B"/>
    <w:rsid w:val="00C506BD"/>
    <w:rsid w:val="00C50E55"/>
    <w:rsid w:val="00C51426"/>
    <w:rsid w:val="00C51622"/>
    <w:rsid w:val="00C51FB3"/>
    <w:rsid w:val="00C5220A"/>
    <w:rsid w:val="00C5223C"/>
    <w:rsid w:val="00C52A35"/>
    <w:rsid w:val="00C52B50"/>
    <w:rsid w:val="00C52F7A"/>
    <w:rsid w:val="00C53213"/>
    <w:rsid w:val="00C53917"/>
    <w:rsid w:val="00C541DE"/>
    <w:rsid w:val="00C54C11"/>
    <w:rsid w:val="00C54C67"/>
    <w:rsid w:val="00C54E65"/>
    <w:rsid w:val="00C55D1C"/>
    <w:rsid w:val="00C56324"/>
    <w:rsid w:val="00C5653B"/>
    <w:rsid w:val="00C5657E"/>
    <w:rsid w:val="00C565A3"/>
    <w:rsid w:val="00C5675B"/>
    <w:rsid w:val="00C577F7"/>
    <w:rsid w:val="00C60667"/>
    <w:rsid w:val="00C61AB9"/>
    <w:rsid w:val="00C61F84"/>
    <w:rsid w:val="00C62FF7"/>
    <w:rsid w:val="00C63135"/>
    <w:rsid w:val="00C637DC"/>
    <w:rsid w:val="00C63EE8"/>
    <w:rsid w:val="00C6432E"/>
    <w:rsid w:val="00C650AE"/>
    <w:rsid w:val="00C650D1"/>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1E7"/>
    <w:rsid w:val="00C73668"/>
    <w:rsid w:val="00C736E2"/>
    <w:rsid w:val="00C73E67"/>
    <w:rsid w:val="00C73FAD"/>
    <w:rsid w:val="00C74AE1"/>
    <w:rsid w:val="00C757B8"/>
    <w:rsid w:val="00C75C4E"/>
    <w:rsid w:val="00C76906"/>
    <w:rsid w:val="00C76B7C"/>
    <w:rsid w:val="00C76CC7"/>
    <w:rsid w:val="00C76F81"/>
    <w:rsid w:val="00C776A4"/>
    <w:rsid w:val="00C800DD"/>
    <w:rsid w:val="00C80920"/>
    <w:rsid w:val="00C80B03"/>
    <w:rsid w:val="00C80EB3"/>
    <w:rsid w:val="00C81B28"/>
    <w:rsid w:val="00C8243F"/>
    <w:rsid w:val="00C8289B"/>
    <w:rsid w:val="00C82D54"/>
    <w:rsid w:val="00C82F3B"/>
    <w:rsid w:val="00C837C4"/>
    <w:rsid w:val="00C83829"/>
    <w:rsid w:val="00C83EDD"/>
    <w:rsid w:val="00C84BF1"/>
    <w:rsid w:val="00C84CA2"/>
    <w:rsid w:val="00C85896"/>
    <w:rsid w:val="00C85A36"/>
    <w:rsid w:val="00C85CD1"/>
    <w:rsid w:val="00C861B1"/>
    <w:rsid w:val="00C86562"/>
    <w:rsid w:val="00C86C56"/>
    <w:rsid w:val="00C8773E"/>
    <w:rsid w:val="00C90601"/>
    <w:rsid w:val="00C90D16"/>
    <w:rsid w:val="00C9116A"/>
    <w:rsid w:val="00C912DC"/>
    <w:rsid w:val="00C9265D"/>
    <w:rsid w:val="00C92824"/>
    <w:rsid w:val="00C937BA"/>
    <w:rsid w:val="00C93BDB"/>
    <w:rsid w:val="00C93D0B"/>
    <w:rsid w:val="00C94815"/>
    <w:rsid w:val="00C949FC"/>
    <w:rsid w:val="00C960CF"/>
    <w:rsid w:val="00C96207"/>
    <w:rsid w:val="00C96672"/>
    <w:rsid w:val="00C96678"/>
    <w:rsid w:val="00C96772"/>
    <w:rsid w:val="00C96CFA"/>
    <w:rsid w:val="00C96E5A"/>
    <w:rsid w:val="00C96E9B"/>
    <w:rsid w:val="00C96EB5"/>
    <w:rsid w:val="00C97443"/>
    <w:rsid w:val="00CA0257"/>
    <w:rsid w:val="00CA0917"/>
    <w:rsid w:val="00CA102B"/>
    <w:rsid w:val="00CA1867"/>
    <w:rsid w:val="00CA283D"/>
    <w:rsid w:val="00CA29D1"/>
    <w:rsid w:val="00CA2D53"/>
    <w:rsid w:val="00CA2DD6"/>
    <w:rsid w:val="00CA3247"/>
    <w:rsid w:val="00CA3752"/>
    <w:rsid w:val="00CA3999"/>
    <w:rsid w:val="00CA39C0"/>
    <w:rsid w:val="00CA4D0D"/>
    <w:rsid w:val="00CA5AD3"/>
    <w:rsid w:val="00CA60A0"/>
    <w:rsid w:val="00CA62DD"/>
    <w:rsid w:val="00CA69BA"/>
    <w:rsid w:val="00CA7397"/>
    <w:rsid w:val="00CA7DE6"/>
    <w:rsid w:val="00CB0339"/>
    <w:rsid w:val="00CB110E"/>
    <w:rsid w:val="00CB11F8"/>
    <w:rsid w:val="00CB225B"/>
    <w:rsid w:val="00CB2EF5"/>
    <w:rsid w:val="00CB33E4"/>
    <w:rsid w:val="00CB379C"/>
    <w:rsid w:val="00CB4230"/>
    <w:rsid w:val="00CB431B"/>
    <w:rsid w:val="00CB4A77"/>
    <w:rsid w:val="00CB4EA5"/>
    <w:rsid w:val="00CB557F"/>
    <w:rsid w:val="00CB58ED"/>
    <w:rsid w:val="00CB592B"/>
    <w:rsid w:val="00CB5C5F"/>
    <w:rsid w:val="00CB600E"/>
    <w:rsid w:val="00CB65B8"/>
    <w:rsid w:val="00CB6CDF"/>
    <w:rsid w:val="00CB6F24"/>
    <w:rsid w:val="00CB7264"/>
    <w:rsid w:val="00CB730F"/>
    <w:rsid w:val="00CB761C"/>
    <w:rsid w:val="00CB76B5"/>
    <w:rsid w:val="00CB7AD6"/>
    <w:rsid w:val="00CC0034"/>
    <w:rsid w:val="00CC0495"/>
    <w:rsid w:val="00CC0C94"/>
    <w:rsid w:val="00CC110F"/>
    <w:rsid w:val="00CC11B8"/>
    <w:rsid w:val="00CC1AF9"/>
    <w:rsid w:val="00CC20E0"/>
    <w:rsid w:val="00CC2818"/>
    <w:rsid w:val="00CC2F7A"/>
    <w:rsid w:val="00CC3A70"/>
    <w:rsid w:val="00CC3ED7"/>
    <w:rsid w:val="00CC4033"/>
    <w:rsid w:val="00CC40B8"/>
    <w:rsid w:val="00CC5444"/>
    <w:rsid w:val="00CC5631"/>
    <w:rsid w:val="00CC5AF6"/>
    <w:rsid w:val="00CC62A6"/>
    <w:rsid w:val="00CC676C"/>
    <w:rsid w:val="00CC7A11"/>
    <w:rsid w:val="00CD04A8"/>
    <w:rsid w:val="00CD04EF"/>
    <w:rsid w:val="00CD051B"/>
    <w:rsid w:val="00CD0A0F"/>
    <w:rsid w:val="00CD1CDB"/>
    <w:rsid w:val="00CD1DB1"/>
    <w:rsid w:val="00CD22B5"/>
    <w:rsid w:val="00CD22F4"/>
    <w:rsid w:val="00CD25E1"/>
    <w:rsid w:val="00CD3208"/>
    <w:rsid w:val="00CD367C"/>
    <w:rsid w:val="00CD454A"/>
    <w:rsid w:val="00CD4F54"/>
    <w:rsid w:val="00CD4FFE"/>
    <w:rsid w:val="00CD57FA"/>
    <w:rsid w:val="00CD5A6E"/>
    <w:rsid w:val="00CD711F"/>
    <w:rsid w:val="00CD74A7"/>
    <w:rsid w:val="00CD79B2"/>
    <w:rsid w:val="00CE157C"/>
    <w:rsid w:val="00CE1AF6"/>
    <w:rsid w:val="00CE2298"/>
    <w:rsid w:val="00CE3064"/>
    <w:rsid w:val="00CE31AC"/>
    <w:rsid w:val="00CE39E4"/>
    <w:rsid w:val="00CE4282"/>
    <w:rsid w:val="00CE44FA"/>
    <w:rsid w:val="00CE54E1"/>
    <w:rsid w:val="00CE55B6"/>
    <w:rsid w:val="00CE5856"/>
    <w:rsid w:val="00CE5BDE"/>
    <w:rsid w:val="00CE6A6D"/>
    <w:rsid w:val="00CE6BF9"/>
    <w:rsid w:val="00CE6C1D"/>
    <w:rsid w:val="00CE774C"/>
    <w:rsid w:val="00CF012E"/>
    <w:rsid w:val="00CF04D4"/>
    <w:rsid w:val="00CF0B4C"/>
    <w:rsid w:val="00CF1680"/>
    <w:rsid w:val="00CF1BD7"/>
    <w:rsid w:val="00CF21A5"/>
    <w:rsid w:val="00CF2518"/>
    <w:rsid w:val="00CF2DDE"/>
    <w:rsid w:val="00CF307C"/>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620"/>
    <w:rsid w:val="00D03BF7"/>
    <w:rsid w:val="00D03F1E"/>
    <w:rsid w:val="00D0428E"/>
    <w:rsid w:val="00D04426"/>
    <w:rsid w:val="00D0482F"/>
    <w:rsid w:val="00D04A33"/>
    <w:rsid w:val="00D04CDC"/>
    <w:rsid w:val="00D05892"/>
    <w:rsid w:val="00D05EB6"/>
    <w:rsid w:val="00D06824"/>
    <w:rsid w:val="00D06C03"/>
    <w:rsid w:val="00D07B07"/>
    <w:rsid w:val="00D07D72"/>
    <w:rsid w:val="00D1037A"/>
    <w:rsid w:val="00D10D09"/>
    <w:rsid w:val="00D110AF"/>
    <w:rsid w:val="00D1163E"/>
    <w:rsid w:val="00D119CC"/>
    <w:rsid w:val="00D12362"/>
    <w:rsid w:val="00D12A4F"/>
    <w:rsid w:val="00D135EC"/>
    <w:rsid w:val="00D138FA"/>
    <w:rsid w:val="00D147D5"/>
    <w:rsid w:val="00D14C15"/>
    <w:rsid w:val="00D15CB3"/>
    <w:rsid w:val="00D15DD9"/>
    <w:rsid w:val="00D15F51"/>
    <w:rsid w:val="00D16ED5"/>
    <w:rsid w:val="00D202B1"/>
    <w:rsid w:val="00D20662"/>
    <w:rsid w:val="00D21291"/>
    <w:rsid w:val="00D21C8A"/>
    <w:rsid w:val="00D2297E"/>
    <w:rsid w:val="00D22DE5"/>
    <w:rsid w:val="00D233BD"/>
    <w:rsid w:val="00D233D7"/>
    <w:rsid w:val="00D23CBB"/>
    <w:rsid w:val="00D24938"/>
    <w:rsid w:val="00D24965"/>
    <w:rsid w:val="00D25806"/>
    <w:rsid w:val="00D25E9D"/>
    <w:rsid w:val="00D25F1C"/>
    <w:rsid w:val="00D26DE6"/>
    <w:rsid w:val="00D26EE7"/>
    <w:rsid w:val="00D304CD"/>
    <w:rsid w:val="00D30718"/>
    <w:rsid w:val="00D322FB"/>
    <w:rsid w:val="00D32475"/>
    <w:rsid w:val="00D32E26"/>
    <w:rsid w:val="00D32EF4"/>
    <w:rsid w:val="00D33F81"/>
    <w:rsid w:val="00D34850"/>
    <w:rsid w:val="00D35060"/>
    <w:rsid w:val="00D3678A"/>
    <w:rsid w:val="00D369D4"/>
    <w:rsid w:val="00D36AD7"/>
    <w:rsid w:val="00D373E9"/>
    <w:rsid w:val="00D376FF"/>
    <w:rsid w:val="00D37C61"/>
    <w:rsid w:val="00D403FF"/>
    <w:rsid w:val="00D404C4"/>
    <w:rsid w:val="00D40CB0"/>
    <w:rsid w:val="00D40CE9"/>
    <w:rsid w:val="00D42115"/>
    <w:rsid w:val="00D42EFD"/>
    <w:rsid w:val="00D43ABF"/>
    <w:rsid w:val="00D457D1"/>
    <w:rsid w:val="00D458AA"/>
    <w:rsid w:val="00D46338"/>
    <w:rsid w:val="00D46BA2"/>
    <w:rsid w:val="00D47234"/>
    <w:rsid w:val="00D47281"/>
    <w:rsid w:val="00D47581"/>
    <w:rsid w:val="00D50295"/>
    <w:rsid w:val="00D5069A"/>
    <w:rsid w:val="00D50E43"/>
    <w:rsid w:val="00D51469"/>
    <w:rsid w:val="00D526BE"/>
    <w:rsid w:val="00D52B18"/>
    <w:rsid w:val="00D52B45"/>
    <w:rsid w:val="00D52C19"/>
    <w:rsid w:val="00D530EB"/>
    <w:rsid w:val="00D53393"/>
    <w:rsid w:val="00D535B6"/>
    <w:rsid w:val="00D547FE"/>
    <w:rsid w:val="00D55235"/>
    <w:rsid w:val="00D55D78"/>
    <w:rsid w:val="00D572B2"/>
    <w:rsid w:val="00D57F53"/>
    <w:rsid w:val="00D60CAB"/>
    <w:rsid w:val="00D60D35"/>
    <w:rsid w:val="00D610FD"/>
    <w:rsid w:val="00D612AF"/>
    <w:rsid w:val="00D619F3"/>
    <w:rsid w:val="00D62914"/>
    <w:rsid w:val="00D62A5B"/>
    <w:rsid w:val="00D62B43"/>
    <w:rsid w:val="00D62ECD"/>
    <w:rsid w:val="00D633E5"/>
    <w:rsid w:val="00D63748"/>
    <w:rsid w:val="00D639F0"/>
    <w:rsid w:val="00D63C1B"/>
    <w:rsid w:val="00D63D76"/>
    <w:rsid w:val="00D64BFF"/>
    <w:rsid w:val="00D64DE1"/>
    <w:rsid w:val="00D64E3F"/>
    <w:rsid w:val="00D653D0"/>
    <w:rsid w:val="00D6692A"/>
    <w:rsid w:val="00D66E55"/>
    <w:rsid w:val="00D66E85"/>
    <w:rsid w:val="00D674E9"/>
    <w:rsid w:val="00D6799A"/>
    <w:rsid w:val="00D7009C"/>
    <w:rsid w:val="00D70F17"/>
    <w:rsid w:val="00D712DA"/>
    <w:rsid w:val="00D719EF"/>
    <w:rsid w:val="00D72327"/>
    <w:rsid w:val="00D727E0"/>
    <w:rsid w:val="00D728D7"/>
    <w:rsid w:val="00D72B87"/>
    <w:rsid w:val="00D72C72"/>
    <w:rsid w:val="00D72D49"/>
    <w:rsid w:val="00D74160"/>
    <w:rsid w:val="00D75D22"/>
    <w:rsid w:val="00D75DA5"/>
    <w:rsid w:val="00D76C58"/>
    <w:rsid w:val="00D76CF2"/>
    <w:rsid w:val="00D76E7C"/>
    <w:rsid w:val="00D80ADC"/>
    <w:rsid w:val="00D80B40"/>
    <w:rsid w:val="00D814C7"/>
    <w:rsid w:val="00D8155B"/>
    <w:rsid w:val="00D81E79"/>
    <w:rsid w:val="00D825A5"/>
    <w:rsid w:val="00D825B7"/>
    <w:rsid w:val="00D8290E"/>
    <w:rsid w:val="00D82AD1"/>
    <w:rsid w:val="00D82E6E"/>
    <w:rsid w:val="00D83040"/>
    <w:rsid w:val="00D8323B"/>
    <w:rsid w:val="00D83489"/>
    <w:rsid w:val="00D83D13"/>
    <w:rsid w:val="00D841AC"/>
    <w:rsid w:val="00D85875"/>
    <w:rsid w:val="00D8589D"/>
    <w:rsid w:val="00D858E2"/>
    <w:rsid w:val="00D85A81"/>
    <w:rsid w:val="00D86466"/>
    <w:rsid w:val="00D870E8"/>
    <w:rsid w:val="00D87423"/>
    <w:rsid w:val="00D87452"/>
    <w:rsid w:val="00D87485"/>
    <w:rsid w:val="00D907CB"/>
    <w:rsid w:val="00D91BF2"/>
    <w:rsid w:val="00D9357B"/>
    <w:rsid w:val="00D93C1C"/>
    <w:rsid w:val="00D94026"/>
    <w:rsid w:val="00D94120"/>
    <w:rsid w:val="00D951DD"/>
    <w:rsid w:val="00D952ED"/>
    <w:rsid w:val="00D953E6"/>
    <w:rsid w:val="00D957FA"/>
    <w:rsid w:val="00D95BA9"/>
    <w:rsid w:val="00D9664C"/>
    <w:rsid w:val="00D97404"/>
    <w:rsid w:val="00D975A3"/>
    <w:rsid w:val="00D979D0"/>
    <w:rsid w:val="00DA0803"/>
    <w:rsid w:val="00DA08CA"/>
    <w:rsid w:val="00DA0F37"/>
    <w:rsid w:val="00DA101A"/>
    <w:rsid w:val="00DA122C"/>
    <w:rsid w:val="00DA2162"/>
    <w:rsid w:val="00DA2301"/>
    <w:rsid w:val="00DA2FD5"/>
    <w:rsid w:val="00DA4838"/>
    <w:rsid w:val="00DA4989"/>
    <w:rsid w:val="00DA56BD"/>
    <w:rsid w:val="00DA5721"/>
    <w:rsid w:val="00DA5AF1"/>
    <w:rsid w:val="00DA6173"/>
    <w:rsid w:val="00DA7477"/>
    <w:rsid w:val="00DA7573"/>
    <w:rsid w:val="00DA7BD4"/>
    <w:rsid w:val="00DB0191"/>
    <w:rsid w:val="00DB0359"/>
    <w:rsid w:val="00DB0EF6"/>
    <w:rsid w:val="00DB0F8A"/>
    <w:rsid w:val="00DB12C4"/>
    <w:rsid w:val="00DB20FC"/>
    <w:rsid w:val="00DB26A8"/>
    <w:rsid w:val="00DB27CF"/>
    <w:rsid w:val="00DB2B9B"/>
    <w:rsid w:val="00DB324C"/>
    <w:rsid w:val="00DB3F8A"/>
    <w:rsid w:val="00DB3FD3"/>
    <w:rsid w:val="00DB57EC"/>
    <w:rsid w:val="00DB5891"/>
    <w:rsid w:val="00DB5F2A"/>
    <w:rsid w:val="00DB64D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376"/>
    <w:rsid w:val="00DC66BC"/>
    <w:rsid w:val="00DC727F"/>
    <w:rsid w:val="00DC7E78"/>
    <w:rsid w:val="00DD0206"/>
    <w:rsid w:val="00DD0493"/>
    <w:rsid w:val="00DD0924"/>
    <w:rsid w:val="00DD0CBF"/>
    <w:rsid w:val="00DD1071"/>
    <w:rsid w:val="00DD12FD"/>
    <w:rsid w:val="00DD1576"/>
    <w:rsid w:val="00DD2893"/>
    <w:rsid w:val="00DD4717"/>
    <w:rsid w:val="00DD4F74"/>
    <w:rsid w:val="00DD531F"/>
    <w:rsid w:val="00DD5398"/>
    <w:rsid w:val="00DD556C"/>
    <w:rsid w:val="00DD5737"/>
    <w:rsid w:val="00DD5D2B"/>
    <w:rsid w:val="00DD5E81"/>
    <w:rsid w:val="00DD6C46"/>
    <w:rsid w:val="00DD6C7A"/>
    <w:rsid w:val="00DD6F44"/>
    <w:rsid w:val="00DD7CCA"/>
    <w:rsid w:val="00DD7F2C"/>
    <w:rsid w:val="00DE0BDE"/>
    <w:rsid w:val="00DE10CF"/>
    <w:rsid w:val="00DE1270"/>
    <w:rsid w:val="00DE1E1E"/>
    <w:rsid w:val="00DE223E"/>
    <w:rsid w:val="00DE2D33"/>
    <w:rsid w:val="00DE34EB"/>
    <w:rsid w:val="00DE3592"/>
    <w:rsid w:val="00DE3B86"/>
    <w:rsid w:val="00DE3E78"/>
    <w:rsid w:val="00DE41F8"/>
    <w:rsid w:val="00DE44E5"/>
    <w:rsid w:val="00DE4B9D"/>
    <w:rsid w:val="00DE50EA"/>
    <w:rsid w:val="00DE545C"/>
    <w:rsid w:val="00DE5C9F"/>
    <w:rsid w:val="00DE5D23"/>
    <w:rsid w:val="00DE60CE"/>
    <w:rsid w:val="00DE61C2"/>
    <w:rsid w:val="00DE7184"/>
    <w:rsid w:val="00DE734E"/>
    <w:rsid w:val="00DE7887"/>
    <w:rsid w:val="00DE7BF8"/>
    <w:rsid w:val="00DF0DC3"/>
    <w:rsid w:val="00DF14F9"/>
    <w:rsid w:val="00DF1C2D"/>
    <w:rsid w:val="00DF1FAE"/>
    <w:rsid w:val="00DF2AD9"/>
    <w:rsid w:val="00DF3A7B"/>
    <w:rsid w:val="00DF4760"/>
    <w:rsid w:val="00DF54D0"/>
    <w:rsid w:val="00DF551C"/>
    <w:rsid w:val="00DF580C"/>
    <w:rsid w:val="00DF5C1A"/>
    <w:rsid w:val="00DF61B2"/>
    <w:rsid w:val="00DF6366"/>
    <w:rsid w:val="00DF6BCB"/>
    <w:rsid w:val="00DF6D45"/>
    <w:rsid w:val="00DF6D57"/>
    <w:rsid w:val="00DF7042"/>
    <w:rsid w:val="00DF78FD"/>
    <w:rsid w:val="00DF7A38"/>
    <w:rsid w:val="00DF7EFE"/>
    <w:rsid w:val="00E00151"/>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7461"/>
    <w:rsid w:val="00E1024A"/>
    <w:rsid w:val="00E10B17"/>
    <w:rsid w:val="00E10B67"/>
    <w:rsid w:val="00E11AD9"/>
    <w:rsid w:val="00E12742"/>
    <w:rsid w:val="00E1285E"/>
    <w:rsid w:val="00E12918"/>
    <w:rsid w:val="00E12AB9"/>
    <w:rsid w:val="00E12B67"/>
    <w:rsid w:val="00E13F4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2EE6"/>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0BC0"/>
    <w:rsid w:val="00E3109C"/>
    <w:rsid w:val="00E311D1"/>
    <w:rsid w:val="00E318E5"/>
    <w:rsid w:val="00E31C2D"/>
    <w:rsid w:val="00E32432"/>
    <w:rsid w:val="00E32D45"/>
    <w:rsid w:val="00E33B1E"/>
    <w:rsid w:val="00E34277"/>
    <w:rsid w:val="00E3621B"/>
    <w:rsid w:val="00E36F43"/>
    <w:rsid w:val="00E37F0C"/>
    <w:rsid w:val="00E40ADF"/>
    <w:rsid w:val="00E40F24"/>
    <w:rsid w:val="00E418E3"/>
    <w:rsid w:val="00E423DE"/>
    <w:rsid w:val="00E42F07"/>
    <w:rsid w:val="00E42F94"/>
    <w:rsid w:val="00E4370F"/>
    <w:rsid w:val="00E43CD9"/>
    <w:rsid w:val="00E4441D"/>
    <w:rsid w:val="00E453AB"/>
    <w:rsid w:val="00E45F9A"/>
    <w:rsid w:val="00E460D7"/>
    <w:rsid w:val="00E462E6"/>
    <w:rsid w:val="00E463A0"/>
    <w:rsid w:val="00E47738"/>
    <w:rsid w:val="00E47839"/>
    <w:rsid w:val="00E51CDE"/>
    <w:rsid w:val="00E5210B"/>
    <w:rsid w:val="00E52382"/>
    <w:rsid w:val="00E53631"/>
    <w:rsid w:val="00E5388F"/>
    <w:rsid w:val="00E53FC8"/>
    <w:rsid w:val="00E54239"/>
    <w:rsid w:val="00E54272"/>
    <w:rsid w:val="00E542BC"/>
    <w:rsid w:val="00E5446C"/>
    <w:rsid w:val="00E54521"/>
    <w:rsid w:val="00E54617"/>
    <w:rsid w:val="00E546F8"/>
    <w:rsid w:val="00E5484B"/>
    <w:rsid w:val="00E55482"/>
    <w:rsid w:val="00E56023"/>
    <w:rsid w:val="00E56D6E"/>
    <w:rsid w:val="00E56FEF"/>
    <w:rsid w:val="00E577F9"/>
    <w:rsid w:val="00E57BEE"/>
    <w:rsid w:val="00E57FB5"/>
    <w:rsid w:val="00E60F14"/>
    <w:rsid w:val="00E6199B"/>
    <w:rsid w:val="00E61B23"/>
    <w:rsid w:val="00E625BE"/>
    <w:rsid w:val="00E6284B"/>
    <w:rsid w:val="00E62D07"/>
    <w:rsid w:val="00E62DF6"/>
    <w:rsid w:val="00E63A22"/>
    <w:rsid w:val="00E63B8F"/>
    <w:rsid w:val="00E646B5"/>
    <w:rsid w:val="00E64D4B"/>
    <w:rsid w:val="00E65427"/>
    <w:rsid w:val="00E6543F"/>
    <w:rsid w:val="00E661C0"/>
    <w:rsid w:val="00E663F5"/>
    <w:rsid w:val="00E66E97"/>
    <w:rsid w:val="00E702B0"/>
    <w:rsid w:val="00E70BD6"/>
    <w:rsid w:val="00E71305"/>
    <w:rsid w:val="00E72383"/>
    <w:rsid w:val="00E724D2"/>
    <w:rsid w:val="00E72A97"/>
    <w:rsid w:val="00E72D9F"/>
    <w:rsid w:val="00E73C41"/>
    <w:rsid w:val="00E74933"/>
    <w:rsid w:val="00E74EDC"/>
    <w:rsid w:val="00E75737"/>
    <w:rsid w:val="00E75875"/>
    <w:rsid w:val="00E75886"/>
    <w:rsid w:val="00E75D6E"/>
    <w:rsid w:val="00E75F23"/>
    <w:rsid w:val="00E76007"/>
    <w:rsid w:val="00E76181"/>
    <w:rsid w:val="00E76A46"/>
    <w:rsid w:val="00E770F2"/>
    <w:rsid w:val="00E771E8"/>
    <w:rsid w:val="00E77EAC"/>
    <w:rsid w:val="00E80827"/>
    <w:rsid w:val="00E81069"/>
    <w:rsid w:val="00E817AD"/>
    <w:rsid w:val="00E817EF"/>
    <w:rsid w:val="00E8184F"/>
    <w:rsid w:val="00E828D5"/>
    <w:rsid w:val="00E82D81"/>
    <w:rsid w:val="00E83259"/>
    <w:rsid w:val="00E839BE"/>
    <w:rsid w:val="00E83C64"/>
    <w:rsid w:val="00E83CAC"/>
    <w:rsid w:val="00E84C89"/>
    <w:rsid w:val="00E84DBB"/>
    <w:rsid w:val="00E85E56"/>
    <w:rsid w:val="00E860DD"/>
    <w:rsid w:val="00E87030"/>
    <w:rsid w:val="00E8713D"/>
    <w:rsid w:val="00E87CCF"/>
    <w:rsid w:val="00E90329"/>
    <w:rsid w:val="00E9049F"/>
    <w:rsid w:val="00E910D5"/>
    <w:rsid w:val="00E922C4"/>
    <w:rsid w:val="00E92D0C"/>
    <w:rsid w:val="00E93293"/>
    <w:rsid w:val="00E943AE"/>
    <w:rsid w:val="00E944A7"/>
    <w:rsid w:val="00E947B0"/>
    <w:rsid w:val="00E94D7E"/>
    <w:rsid w:val="00E959E1"/>
    <w:rsid w:val="00E95D82"/>
    <w:rsid w:val="00E95F21"/>
    <w:rsid w:val="00E95F53"/>
    <w:rsid w:val="00E96273"/>
    <w:rsid w:val="00E96B28"/>
    <w:rsid w:val="00E96E97"/>
    <w:rsid w:val="00E9720B"/>
    <w:rsid w:val="00E97D49"/>
    <w:rsid w:val="00EA0251"/>
    <w:rsid w:val="00EA0EED"/>
    <w:rsid w:val="00EA1065"/>
    <w:rsid w:val="00EA1434"/>
    <w:rsid w:val="00EA1D43"/>
    <w:rsid w:val="00EA3C3E"/>
    <w:rsid w:val="00EA4694"/>
    <w:rsid w:val="00EA48D3"/>
    <w:rsid w:val="00EA546B"/>
    <w:rsid w:val="00EA57C5"/>
    <w:rsid w:val="00EA5B2B"/>
    <w:rsid w:val="00EA5D7E"/>
    <w:rsid w:val="00EA5F31"/>
    <w:rsid w:val="00EA5F92"/>
    <w:rsid w:val="00EA64B4"/>
    <w:rsid w:val="00EA65F1"/>
    <w:rsid w:val="00EA6665"/>
    <w:rsid w:val="00EA6935"/>
    <w:rsid w:val="00EA6967"/>
    <w:rsid w:val="00EA6F44"/>
    <w:rsid w:val="00EA7613"/>
    <w:rsid w:val="00EA793B"/>
    <w:rsid w:val="00EA7A56"/>
    <w:rsid w:val="00EA7A7E"/>
    <w:rsid w:val="00EB05DA"/>
    <w:rsid w:val="00EB05EE"/>
    <w:rsid w:val="00EB190F"/>
    <w:rsid w:val="00EB235B"/>
    <w:rsid w:val="00EB2B40"/>
    <w:rsid w:val="00EB31A3"/>
    <w:rsid w:val="00EB325B"/>
    <w:rsid w:val="00EB3B2F"/>
    <w:rsid w:val="00EB3E22"/>
    <w:rsid w:val="00EB4119"/>
    <w:rsid w:val="00EB46D4"/>
    <w:rsid w:val="00EB5719"/>
    <w:rsid w:val="00EB6798"/>
    <w:rsid w:val="00EB693B"/>
    <w:rsid w:val="00EB6E46"/>
    <w:rsid w:val="00EB7BA9"/>
    <w:rsid w:val="00EB7D75"/>
    <w:rsid w:val="00EB7F42"/>
    <w:rsid w:val="00EC0B20"/>
    <w:rsid w:val="00EC0EE7"/>
    <w:rsid w:val="00EC18B1"/>
    <w:rsid w:val="00EC1C3A"/>
    <w:rsid w:val="00EC1F51"/>
    <w:rsid w:val="00EC21B0"/>
    <w:rsid w:val="00EC2B1D"/>
    <w:rsid w:val="00EC4233"/>
    <w:rsid w:val="00EC4544"/>
    <w:rsid w:val="00EC4A85"/>
    <w:rsid w:val="00EC57B2"/>
    <w:rsid w:val="00EC58F4"/>
    <w:rsid w:val="00EC650B"/>
    <w:rsid w:val="00EC6DF2"/>
    <w:rsid w:val="00EC7808"/>
    <w:rsid w:val="00EC7BFA"/>
    <w:rsid w:val="00ED042E"/>
    <w:rsid w:val="00ED06AC"/>
    <w:rsid w:val="00ED1295"/>
    <w:rsid w:val="00ED2725"/>
    <w:rsid w:val="00ED34D1"/>
    <w:rsid w:val="00ED3640"/>
    <w:rsid w:val="00ED367F"/>
    <w:rsid w:val="00ED3B29"/>
    <w:rsid w:val="00ED4206"/>
    <w:rsid w:val="00ED58A2"/>
    <w:rsid w:val="00ED58C3"/>
    <w:rsid w:val="00ED5C71"/>
    <w:rsid w:val="00ED5EEE"/>
    <w:rsid w:val="00ED667C"/>
    <w:rsid w:val="00ED75D8"/>
    <w:rsid w:val="00ED7966"/>
    <w:rsid w:val="00EE01CC"/>
    <w:rsid w:val="00EE04EE"/>
    <w:rsid w:val="00EE1760"/>
    <w:rsid w:val="00EE287D"/>
    <w:rsid w:val="00EE329D"/>
    <w:rsid w:val="00EE3B32"/>
    <w:rsid w:val="00EE3CFF"/>
    <w:rsid w:val="00EE3F39"/>
    <w:rsid w:val="00EE414C"/>
    <w:rsid w:val="00EE44FE"/>
    <w:rsid w:val="00EE4E33"/>
    <w:rsid w:val="00EE5406"/>
    <w:rsid w:val="00EE5EF8"/>
    <w:rsid w:val="00EE6664"/>
    <w:rsid w:val="00EE6964"/>
    <w:rsid w:val="00EE6A1D"/>
    <w:rsid w:val="00EE6BD4"/>
    <w:rsid w:val="00EE6D18"/>
    <w:rsid w:val="00EE716D"/>
    <w:rsid w:val="00EE7E7A"/>
    <w:rsid w:val="00EE7EFE"/>
    <w:rsid w:val="00EF1177"/>
    <w:rsid w:val="00EF1230"/>
    <w:rsid w:val="00EF223B"/>
    <w:rsid w:val="00EF23A4"/>
    <w:rsid w:val="00EF29DE"/>
    <w:rsid w:val="00EF2B46"/>
    <w:rsid w:val="00EF3978"/>
    <w:rsid w:val="00EF3AAC"/>
    <w:rsid w:val="00EF4D42"/>
    <w:rsid w:val="00EF4FD1"/>
    <w:rsid w:val="00EF5318"/>
    <w:rsid w:val="00EF5B41"/>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BA7"/>
    <w:rsid w:val="00F03FF2"/>
    <w:rsid w:val="00F046A4"/>
    <w:rsid w:val="00F04F9E"/>
    <w:rsid w:val="00F068B4"/>
    <w:rsid w:val="00F06A47"/>
    <w:rsid w:val="00F0717F"/>
    <w:rsid w:val="00F0747A"/>
    <w:rsid w:val="00F07849"/>
    <w:rsid w:val="00F07882"/>
    <w:rsid w:val="00F07883"/>
    <w:rsid w:val="00F10177"/>
    <w:rsid w:val="00F10D83"/>
    <w:rsid w:val="00F1174D"/>
    <w:rsid w:val="00F1196B"/>
    <w:rsid w:val="00F11A6A"/>
    <w:rsid w:val="00F126BD"/>
    <w:rsid w:val="00F13433"/>
    <w:rsid w:val="00F134FC"/>
    <w:rsid w:val="00F1350E"/>
    <w:rsid w:val="00F13C55"/>
    <w:rsid w:val="00F14419"/>
    <w:rsid w:val="00F1470E"/>
    <w:rsid w:val="00F147A5"/>
    <w:rsid w:val="00F14AA7"/>
    <w:rsid w:val="00F15884"/>
    <w:rsid w:val="00F15B8E"/>
    <w:rsid w:val="00F16665"/>
    <w:rsid w:val="00F16FB0"/>
    <w:rsid w:val="00F1733B"/>
    <w:rsid w:val="00F17474"/>
    <w:rsid w:val="00F17B41"/>
    <w:rsid w:val="00F17C33"/>
    <w:rsid w:val="00F201CC"/>
    <w:rsid w:val="00F20487"/>
    <w:rsid w:val="00F20F65"/>
    <w:rsid w:val="00F2106D"/>
    <w:rsid w:val="00F22337"/>
    <w:rsid w:val="00F22D65"/>
    <w:rsid w:val="00F23175"/>
    <w:rsid w:val="00F238DE"/>
    <w:rsid w:val="00F23FB0"/>
    <w:rsid w:val="00F2480A"/>
    <w:rsid w:val="00F24891"/>
    <w:rsid w:val="00F24B9F"/>
    <w:rsid w:val="00F24CA6"/>
    <w:rsid w:val="00F256AE"/>
    <w:rsid w:val="00F25773"/>
    <w:rsid w:val="00F257FA"/>
    <w:rsid w:val="00F25FCE"/>
    <w:rsid w:val="00F26004"/>
    <w:rsid w:val="00F270E8"/>
    <w:rsid w:val="00F27EF5"/>
    <w:rsid w:val="00F27FDB"/>
    <w:rsid w:val="00F30251"/>
    <w:rsid w:val="00F305CC"/>
    <w:rsid w:val="00F30783"/>
    <w:rsid w:val="00F3179A"/>
    <w:rsid w:val="00F31D54"/>
    <w:rsid w:val="00F32357"/>
    <w:rsid w:val="00F32C70"/>
    <w:rsid w:val="00F34793"/>
    <w:rsid w:val="00F34DF5"/>
    <w:rsid w:val="00F34E02"/>
    <w:rsid w:val="00F3549E"/>
    <w:rsid w:val="00F365A7"/>
    <w:rsid w:val="00F3681C"/>
    <w:rsid w:val="00F374C2"/>
    <w:rsid w:val="00F3769D"/>
    <w:rsid w:val="00F37848"/>
    <w:rsid w:val="00F37C95"/>
    <w:rsid w:val="00F404F4"/>
    <w:rsid w:val="00F4143E"/>
    <w:rsid w:val="00F41CC5"/>
    <w:rsid w:val="00F41D25"/>
    <w:rsid w:val="00F42073"/>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24AC"/>
    <w:rsid w:val="00F53199"/>
    <w:rsid w:val="00F5363B"/>
    <w:rsid w:val="00F53A57"/>
    <w:rsid w:val="00F541A1"/>
    <w:rsid w:val="00F54B09"/>
    <w:rsid w:val="00F54BEA"/>
    <w:rsid w:val="00F54E8A"/>
    <w:rsid w:val="00F559A8"/>
    <w:rsid w:val="00F55C21"/>
    <w:rsid w:val="00F55E5F"/>
    <w:rsid w:val="00F55F6D"/>
    <w:rsid w:val="00F5736B"/>
    <w:rsid w:val="00F573FD"/>
    <w:rsid w:val="00F57880"/>
    <w:rsid w:val="00F608AB"/>
    <w:rsid w:val="00F60BE7"/>
    <w:rsid w:val="00F60E9E"/>
    <w:rsid w:val="00F6159C"/>
    <w:rsid w:val="00F61714"/>
    <w:rsid w:val="00F621BB"/>
    <w:rsid w:val="00F6238F"/>
    <w:rsid w:val="00F62947"/>
    <w:rsid w:val="00F62B15"/>
    <w:rsid w:val="00F62B99"/>
    <w:rsid w:val="00F638BE"/>
    <w:rsid w:val="00F63E59"/>
    <w:rsid w:val="00F64BE0"/>
    <w:rsid w:val="00F65B68"/>
    <w:rsid w:val="00F67846"/>
    <w:rsid w:val="00F67B42"/>
    <w:rsid w:val="00F70B72"/>
    <w:rsid w:val="00F70DEF"/>
    <w:rsid w:val="00F70EA3"/>
    <w:rsid w:val="00F71398"/>
    <w:rsid w:val="00F714C9"/>
    <w:rsid w:val="00F7294C"/>
    <w:rsid w:val="00F72C5F"/>
    <w:rsid w:val="00F73549"/>
    <w:rsid w:val="00F75782"/>
    <w:rsid w:val="00F80C1D"/>
    <w:rsid w:val="00F81130"/>
    <w:rsid w:val="00F818F7"/>
    <w:rsid w:val="00F8325D"/>
    <w:rsid w:val="00F832A9"/>
    <w:rsid w:val="00F832B0"/>
    <w:rsid w:val="00F83307"/>
    <w:rsid w:val="00F833A5"/>
    <w:rsid w:val="00F83630"/>
    <w:rsid w:val="00F84089"/>
    <w:rsid w:val="00F844D3"/>
    <w:rsid w:val="00F84629"/>
    <w:rsid w:val="00F84B71"/>
    <w:rsid w:val="00F84F0E"/>
    <w:rsid w:val="00F8519E"/>
    <w:rsid w:val="00F8563F"/>
    <w:rsid w:val="00F85FF5"/>
    <w:rsid w:val="00F86BB4"/>
    <w:rsid w:val="00F870F5"/>
    <w:rsid w:val="00F8784C"/>
    <w:rsid w:val="00F902D2"/>
    <w:rsid w:val="00F90B12"/>
    <w:rsid w:val="00F90CBD"/>
    <w:rsid w:val="00F9109E"/>
    <w:rsid w:val="00F9177E"/>
    <w:rsid w:val="00F91E4F"/>
    <w:rsid w:val="00F91FDF"/>
    <w:rsid w:val="00F92AA1"/>
    <w:rsid w:val="00F92FDC"/>
    <w:rsid w:val="00F931D2"/>
    <w:rsid w:val="00F93431"/>
    <w:rsid w:val="00F93A4A"/>
    <w:rsid w:val="00F93D27"/>
    <w:rsid w:val="00F93DF5"/>
    <w:rsid w:val="00F95DD6"/>
    <w:rsid w:val="00F96370"/>
    <w:rsid w:val="00F97283"/>
    <w:rsid w:val="00F97940"/>
    <w:rsid w:val="00F97BA3"/>
    <w:rsid w:val="00F97E2D"/>
    <w:rsid w:val="00F97EA2"/>
    <w:rsid w:val="00F97F0D"/>
    <w:rsid w:val="00FA0B0A"/>
    <w:rsid w:val="00FA121C"/>
    <w:rsid w:val="00FA1407"/>
    <w:rsid w:val="00FA150C"/>
    <w:rsid w:val="00FA1A68"/>
    <w:rsid w:val="00FA1B1A"/>
    <w:rsid w:val="00FA2747"/>
    <w:rsid w:val="00FA2A33"/>
    <w:rsid w:val="00FA2AF3"/>
    <w:rsid w:val="00FA2C8F"/>
    <w:rsid w:val="00FA2CF7"/>
    <w:rsid w:val="00FA3410"/>
    <w:rsid w:val="00FA360B"/>
    <w:rsid w:val="00FA3860"/>
    <w:rsid w:val="00FA38F7"/>
    <w:rsid w:val="00FA3A50"/>
    <w:rsid w:val="00FA4763"/>
    <w:rsid w:val="00FA4830"/>
    <w:rsid w:val="00FA5032"/>
    <w:rsid w:val="00FA52C7"/>
    <w:rsid w:val="00FA5897"/>
    <w:rsid w:val="00FA6980"/>
    <w:rsid w:val="00FA6C94"/>
    <w:rsid w:val="00FA6CDF"/>
    <w:rsid w:val="00FA7BB5"/>
    <w:rsid w:val="00FA7C85"/>
    <w:rsid w:val="00FA7C8F"/>
    <w:rsid w:val="00FB12D8"/>
    <w:rsid w:val="00FB176A"/>
    <w:rsid w:val="00FB1CDC"/>
    <w:rsid w:val="00FB238A"/>
    <w:rsid w:val="00FB2446"/>
    <w:rsid w:val="00FB2C81"/>
    <w:rsid w:val="00FB3BC4"/>
    <w:rsid w:val="00FB3F9C"/>
    <w:rsid w:val="00FB3FDE"/>
    <w:rsid w:val="00FB4676"/>
    <w:rsid w:val="00FB528D"/>
    <w:rsid w:val="00FB5552"/>
    <w:rsid w:val="00FB55F9"/>
    <w:rsid w:val="00FB5789"/>
    <w:rsid w:val="00FB5F3A"/>
    <w:rsid w:val="00FB6142"/>
    <w:rsid w:val="00FB6AA9"/>
    <w:rsid w:val="00FB6AD4"/>
    <w:rsid w:val="00FB70EF"/>
    <w:rsid w:val="00FB7F22"/>
    <w:rsid w:val="00FC00F3"/>
    <w:rsid w:val="00FC0279"/>
    <w:rsid w:val="00FC0A33"/>
    <w:rsid w:val="00FC1416"/>
    <w:rsid w:val="00FC14B2"/>
    <w:rsid w:val="00FC1823"/>
    <w:rsid w:val="00FC2198"/>
    <w:rsid w:val="00FC26A4"/>
    <w:rsid w:val="00FC2C93"/>
    <w:rsid w:val="00FC325A"/>
    <w:rsid w:val="00FC3298"/>
    <w:rsid w:val="00FC33ED"/>
    <w:rsid w:val="00FC3A60"/>
    <w:rsid w:val="00FC43AD"/>
    <w:rsid w:val="00FC5054"/>
    <w:rsid w:val="00FC5876"/>
    <w:rsid w:val="00FC58C4"/>
    <w:rsid w:val="00FC62F5"/>
    <w:rsid w:val="00FC731E"/>
    <w:rsid w:val="00FD035A"/>
    <w:rsid w:val="00FD19F1"/>
    <w:rsid w:val="00FD1A7E"/>
    <w:rsid w:val="00FD1F20"/>
    <w:rsid w:val="00FD24D0"/>
    <w:rsid w:val="00FD2CC3"/>
    <w:rsid w:val="00FD31BF"/>
    <w:rsid w:val="00FD3CC7"/>
    <w:rsid w:val="00FD4148"/>
    <w:rsid w:val="00FD4D5B"/>
    <w:rsid w:val="00FD54C2"/>
    <w:rsid w:val="00FD6453"/>
    <w:rsid w:val="00FD67FD"/>
    <w:rsid w:val="00FD7CB2"/>
    <w:rsid w:val="00FD7D46"/>
    <w:rsid w:val="00FD7D8B"/>
    <w:rsid w:val="00FE03FD"/>
    <w:rsid w:val="00FE0AF2"/>
    <w:rsid w:val="00FE0CEC"/>
    <w:rsid w:val="00FE1C47"/>
    <w:rsid w:val="00FE22DD"/>
    <w:rsid w:val="00FE2CFB"/>
    <w:rsid w:val="00FE4A60"/>
    <w:rsid w:val="00FE54E0"/>
    <w:rsid w:val="00FE55F0"/>
    <w:rsid w:val="00FE6331"/>
    <w:rsid w:val="00FE685B"/>
    <w:rsid w:val="00FE6C12"/>
    <w:rsid w:val="00FE7894"/>
    <w:rsid w:val="00FF01FA"/>
    <w:rsid w:val="00FF2001"/>
    <w:rsid w:val="00FF21B5"/>
    <w:rsid w:val="00FF21C3"/>
    <w:rsid w:val="00FF2A11"/>
    <w:rsid w:val="00FF2AA0"/>
    <w:rsid w:val="00FF2AA3"/>
    <w:rsid w:val="00FF3F6C"/>
    <w:rsid w:val="00FF4603"/>
    <w:rsid w:val="00FF4B07"/>
    <w:rsid w:val="00FF4BFC"/>
    <w:rsid w:val="00FF4C11"/>
    <w:rsid w:val="00FF56B9"/>
    <w:rsid w:val="00FF57E8"/>
    <w:rsid w:val="00FF58C0"/>
    <w:rsid w:val="00FF5948"/>
    <w:rsid w:val="00FF6B71"/>
    <w:rsid w:val="00FF6EDF"/>
    <w:rsid w:val="00FF6EEA"/>
    <w:rsid w:val="00FF7739"/>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3E73E4FE"/>
  <w14:defaultImageDpi w14:val="330"/>
  <w15:docId w15:val="{9F65BED4-AEEE-4D3B-9F21-1FC1FA7C4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0"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731E7"/>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742B92"/>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611D66"/>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2222D6"/>
    <w:pPr>
      <w:spacing w:before="280"/>
      <w:outlineLvl w:val="3"/>
    </w:pPr>
    <w:rPr>
      <w:color w:val="0F7B7D"/>
      <w:sz w:val="24"/>
    </w:rPr>
  </w:style>
  <w:style w:type="paragraph" w:styleId="Heading5">
    <w:name w:val="heading 5"/>
    <w:basedOn w:val="Normal"/>
    <w:next w:val="BodyText"/>
    <w:link w:val="Heading5Char"/>
    <w:qFormat/>
    <w:rsid w:val="001C519B"/>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2B92"/>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6B5E3F"/>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6B5E3F"/>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2222D6"/>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1C519B"/>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rsid w:val="00095C61"/>
    <w:pPr>
      <w:keepNext/>
      <w:spacing w:line="260" w:lineRule="atLeast"/>
      <w:ind w:left="1134" w:hanging="1134"/>
      <w:jc w:val="left"/>
    </w:pPr>
    <w:rPr>
      <w:b/>
      <w:sz w:val="20"/>
    </w:rPr>
  </w:style>
  <w:style w:type="character" w:styleId="FootnoteReference">
    <w:name w:val="footnote reference"/>
    <w:rsid w:val="00D07B07"/>
    <w:rPr>
      <w:rFonts w:ascii="Calibri" w:hAnsi="Calibri"/>
      <w:color w:val="auto"/>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114FA0"/>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2E7852"/>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114FA0"/>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32D45"/>
    <w:pPr>
      <w:keepNext/>
      <w:spacing w:line="240" w:lineRule="atLeast"/>
      <w:ind w:left="1134" w:hanging="1134"/>
      <w:jc w:val="left"/>
    </w:pPr>
    <w:rPr>
      <w:rFonts w:cs="Arial"/>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semiHidden/>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8365FB"/>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NoSpacing">
    <w:name w:val="No Spacing"/>
    <w:uiPriority w:val="1"/>
    <w:qFormat/>
    <w:rsid w:val="00CC0034"/>
    <w:pPr>
      <w:spacing w:after="0" w:line="230" w:lineRule="atLeast"/>
    </w:pPr>
    <w:rPr>
      <w:rFonts w:eastAsia="Times New Roman" w:cstheme="minorHAnsi"/>
      <w:sz w:val="20"/>
      <w:szCs w:val="20"/>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paragraph" w:styleId="CommentText">
    <w:name w:val="annotation text"/>
    <w:basedOn w:val="Normal"/>
    <w:link w:val="CommentTextChar"/>
    <w:uiPriority w:val="99"/>
    <w:unhideWhenUsed/>
    <w:rsid w:val="00F34DF5"/>
    <w:pPr>
      <w:spacing w:before="0" w:after="160" w:line="240" w:lineRule="auto"/>
      <w:jc w:val="left"/>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rsid w:val="00F34DF5"/>
    <w:rPr>
      <w:sz w:val="20"/>
      <w:szCs w:val="20"/>
      <w:lang w:val="en-AU"/>
    </w:rPr>
  </w:style>
  <w:style w:type="paragraph" w:customStyle="1" w:styleId="TableTextBold0">
    <w:name w:val="TableText Bold"/>
    <w:basedOn w:val="TableText"/>
    <w:rsid w:val="00C81B28"/>
    <w:pPr>
      <w:tabs>
        <w:tab w:val="left" w:pos="567"/>
      </w:tabs>
      <w:spacing w:line="240" w:lineRule="auto"/>
    </w:pPr>
    <w:rPr>
      <w:rFonts w:eastAsia="Times New Roman" w:cs="Times New Roman"/>
      <w:b/>
      <w:szCs w:val="20"/>
      <w:lang w:eastAsia="en-US"/>
    </w:rPr>
  </w:style>
  <w:style w:type="paragraph" w:customStyle="1" w:styleId="Boxheadings">
    <w:name w:val="Box headings"/>
    <w:basedOn w:val="Tableheading"/>
    <w:next w:val="BodyText"/>
    <w:uiPriority w:val="1"/>
    <w:qFormat/>
    <w:rsid w:val="0079247F"/>
  </w:style>
  <w:style w:type="paragraph" w:customStyle="1" w:styleId="TableText0">
    <w:name w:val="Table Text"/>
    <w:basedOn w:val="Normal"/>
    <w:link w:val="TableTextChar"/>
    <w:uiPriority w:val="2"/>
    <w:qFormat/>
    <w:rsid w:val="00F374C2"/>
    <w:pPr>
      <w:spacing w:before="60" w:after="60" w:line="240" w:lineRule="auto"/>
      <w:jc w:val="left"/>
    </w:pPr>
    <w:rPr>
      <w:rFonts w:eastAsia="Times New Roman" w:cstheme="minorHAnsi"/>
      <w:sz w:val="18"/>
      <w:szCs w:val="20"/>
    </w:rPr>
  </w:style>
  <w:style w:type="character" w:customStyle="1" w:styleId="TableTextChar">
    <w:name w:val="Table Text Char"/>
    <w:link w:val="TableText0"/>
    <w:uiPriority w:val="2"/>
    <w:rsid w:val="00F374C2"/>
    <w:rPr>
      <w:rFonts w:ascii="Calibri" w:eastAsia="Times New Roman" w:hAnsi="Calibri" w:cstheme="minorHAnsi"/>
      <w:sz w:val="18"/>
      <w:szCs w:val="20"/>
      <w:lang w:eastAsia="en-NZ"/>
    </w:rPr>
  </w:style>
  <w:style w:type="character" w:customStyle="1" w:styleId="UnresolvedMention">
    <w:name w:val="Unresolved Mention"/>
    <w:basedOn w:val="DefaultParagraphFont"/>
    <w:uiPriority w:val="99"/>
    <w:semiHidden/>
    <w:unhideWhenUsed/>
    <w:rsid w:val="001B53D0"/>
    <w:rPr>
      <w:color w:val="605E5C"/>
      <w:shd w:val="clear" w:color="auto" w:fill="E1DFDD"/>
    </w:rPr>
  </w:style>
  <w:style w:type="paragraph" w:styleId="Caption">
    <w:name w:val="caption"/>
    <w:basedOn w:val="Normal"/>
    <w:next w:val="Normal"/>
    <w:link w:val="CaptionChar"/>
    <w:semiHidden/>
    <w:qFormat/>
    <w:rsid w:val="00A92FC7"/>
    <w:pPr>
      <w:tabs>
        <w:tab w:val="left" w:pos="851"/>
      </w:tabs>
      <w:spacing w:line="170" w:lineRule="atLeast"/>
      <w:ind w:left="851" w:hanging="851"/>
      <w:jc w:val="left"/>
    </w:pPr>
    <w:rPr>
      <w:rFonts w:ascii="Arial" w:eastAsia="Times New Roman" w:hAnsi="Arial" w:cs="Times New Roman"/>
      <w:b/>
      <w:bCs/>
      <w:sz w:val="16"/>
      <w:szCs w:val="20"/>
    </w:rPr>
  </w:style>
  <w:style w:type="character" w:customStyle="1" w:styleId="CaptionChar">
    <w:name w:val="Caption Char"/>
    <w:link w:val="Caption"/>
    <w:semiHidden/>
    <w:rsid w:val="00114FA0"/>
    <w:rPr>
      <w:rFonts w:ascii="Arial" w:eastAsia="Times New Roman" w:hAnsi="Arial" w:cs="Times New Roman"/>
      <w:b/>
      <w:bCs/>
      <w:sz w:val="16"/>
      <w:szCs w:val="20"/>
      <w:lang w:eastAsia="en-NZ"/>
    </w:rPr>
  </w:style>
  <w:style w:type="character" w:styleId="Emphasis">
    <w:name w:val="Emphasis"/>
    <w:basedOn w:val="DefaultParagraphFont"/>
    <w:uiPriority w:val="20"/>
    <w:qFormat/>
    <w:rsid w:val="000719CD"/>
    <w:rPr>
      <w:i/>
      <w:iCs/>
    </w:rPr>
  </w:style>
  <w:style w:type="paragraph" w:customStyle="1" w:styleId="ExecSummary">
    <w:name w:val="ExecSummary"/>
    <w:basedOn w:val="Normal"/>
    <w:next w:val="Normal"/>
    <w:rsid w:val="00742B92"/>
    <w:pPr>
      <w:tabs>
        <w:tab w:val="left" w:pos="992"/>
      </w:tabs>
      <w:spacing w:before="320" w:line="360" w:lineRule="atLeast"/>
      <w:jc w:val="left"/>
      <w:outlineLvl w:val="0"/>
    </w:pPr>
    <w:rPr>
      <w:rFonts w:asciiTheme="majorHAnsi" w:eastAsia="Times New Roman" w:hAnsiTheme="majorHAnsi" w:cstheme="minorHAnsi"/>
      <w:color w:val="1C556C" w:themeColor="accent1"/>
      <w:sz w:val="30"/>
      <w:szCs w:val="20"/>
    </w:rPr>
  </w:style>
  <w:style w:type="character" w:customStyle="1" w:styleId="ListParagraphChar">
    <w:name w:val="List Paragraph Char"/>
    <w:link w:val="ListParagraph"/>
    <w:uiPriority w:val="34"/>
    <w:rsid w:val="00742B92"/>
    <w:rPr>
      <w:rFonts w:ascii="Times New Roman" w:eastAsiaTheme="minorEastAsia" w:hAnsi="Times New Roman"/>
      <w:szCs w:val="20"/>
      <w:lang w:eastAsia="en-GB"/>
    </w:rPr>
  </w:style>
  <w:style w:type="paragraph" w:styleId="NormalWeb">
    <w:name w:val="Normal (Web)"/>
    <w:basedOn w:val="Normal"/>
    <w:uiPriority w:val="99"/>
    <w:semiHidden/>
    <w:unhideWhenUsed/>
    <w:rsid w:val="00812D16"/>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00420977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fe.govt.nz/publications/climate-change/national-climate-change-risk-assessment-new-zealand-technical-report" TargetMode="External"/><Relationship Id="rId117" Type="http://schemas.openxmlformats.org/officeDocument/2006/relationships/hyperlink" Target="https://go.nature.com/31A0Xmr" TargetMode="External"/><Relationship Id="rId21" Type="http://schemas.openxmlformats.org/officeDocument/2006/relationships/hyperlink" Target="https://www.mfe.govt.nz/publications/climate-change/national-climate-change-risk-assessment-new-zealand-technical-report" TargetMode="External"/><Relationship Id="rId42" Type="http://schemas.openxmlformats.org/officeDocument/2006/relationships/hyperlink" Target="https://www.mfe.govt.nz/publications/climate-change/national-climate-change-risk-assessment-new-zealand-technical-report" TargetMode="External"/><Relationship Id="rId47" Type="http://schemas.openxmlformats.org/officeDocument/2006/relationships/footer" Target="footer7.xml"/><Relationship Id="rId63" Type="http://schemas.openxmlformats.org/officeDocument/2006/relationships/hyperlink" Target="https://www.mfe.govt.nz/publications/climate-change/national-climate-change-risk-assessment-new-zealand-method-report" TargetMode="External"/><Relationship Id="rId68" Type="http://schemas.openxmlformats.org/officeDocument/2006/relationships/hyperlink" Target="https://www.hbcoast.co.nz/assets/Document-Library/Assessment-Panel-Report-FINAL-28.2.18-reduced-size.pdf" TargetMode="External"/><Relationship Id="rId84" Type="http://schemas.openxmlformats.org/officeDocument/2006/relationships/hyperlink" Target="https://www.icnz.org.nz/media-resources/media-releases/single/item/2019-weather-related-loses-reach-1188-m/" TargetMode="External"/><Relationship Id="rId89" Type="http://schemas.openxmlformats.org/officeDocument/2006/relationships/hyperlink" Target="https://www.lloyds.com/~/media/lloyds/reports/emerging-risk-reports/cc-and-modelling-template-v6.pdf" TargetMode="External"/><Relationship Id="rId112" Type="http://schemas.openxmlformats.org/officeDocument/2006/relationships/hyperlink" Target="https://www.tauranga.govt.nz/living/natural-hazards/understanding-our-hazards-studies-maps-and-data/flooding/flooding-from-rising-groundwater" TargetMode="External"/><Relationship Id="rId16" Type="http://schemas.openxmlformats.org/officeDocument/2006/relationships/footer" Target="footer3.xml"/><Relationship Id="rId107" Type="http://schemas.openxmlformats.org/officeDocument/2006/relationships/hyperlink" Target="https://doi.org/10.1016/B978-0-444-53643-3.00185-0" TargetMode="External"/><Relationship Id="rId11" Type="http://schemas.openxmlformats.org/officeDocument/2006/relationships/header" Target="header1.xml"/><Relationship Id="rId32" Type="http://schemas.openxmlformats.org/officeDocument/2006/relationships/hyperlink" Target="https://www.mfe.govt.nz/publications/climate-change/national-climate-change-risk-assessment-new-zealand-method-report" TargetMode="External"/><Relationship Id="rId37" Type="http://schemas.openxmlformats.org/officeDocument/2006/relationships/hyperlink" Target="https://www.mfe.govt.nz/publications/climate-change/national-climate-change-risk-assessment-new-zealand-method-report" TargetMode="External"/><Relationship Id="rId53" Type="http://schemas.openxmlformats.org/officeDocument/2006/relationships/hyperlink" Target="https://www.mfe.govt.nz/publications/climate-change/national-climate-change-risk-assessment-new-zealand-technical-report" TargetMode="External"/><Relationship Id="rId58" Type="http://schemas.microsoft.com/office/2007/relationships/hdphoto" Target="media/hdphoto1.wdp"/><Relationship Id="rId74" Type="http://schemas.openxmlformats.org/officeDocument/2006/relationships/hyperlink" Target="https://doi.org./10.1093/icesjms/fsv031" TargetMode="External"/><Relationship Id="rId79" Type="http://schemas.openxmlformats.org/officeDocument/2006/relationships/hyperlink" Target="https://www.mpi.govt.nz/growing-and-harvesting/forestry/indigenous-forestry/" TargetMode="External"/><Relationship Id="rId102" Type="http://schemas.openxmlformats.org/officeDocument/2006/relationships/hyperlink" Target="https://www.mfat.govt.nz/en/trade/free-trade-agreements/free-trade-agreements-in-force/cptpp/supporting-smes/" TargetMode="External"/><Relationship Id="rId123" Type="http://schemas.openxmlformats.org/officeDocument/2006/relationships/hyperlink" Target="https://wellington.govt.nz/~/media/about-wellington/profile/files/wellington-city-profile.pdf"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metoffice.gov.uk/news/release/archive/2015/%20one-degree" TargetMode="External"/><Relationship Id="rId95" Type="http://schemas.openxmlformats.org/officeDocument/2006/relationships/hyperlink" Target="https://www.mfe.govt.nz/publications/climate-change/climate-change-projections-new-zealand" TargetMode="Externa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www.mfe.govt.nz/publications/climate-change/national-climate-change-risk-assessment-new-zealand-method-report" TargetMode="External"/><Relationship Id="rId27" Type="http://schemas.openxmlformats.org/officeDocument/2006/relationships/hyperlink" Target="https://www.mfe.govt.nz/publications/climate-change/national-climate-change-risk-assessment-new-zealand-method-report" TargetMode="External"/><Relationship Id="rId30" Type="http://schemas.openxmlformats.org/officeDocument/2006/relationships/hyperlink" Target="https://www.mfe.govt.nz/publications/climate-change/national-climate-change-risk-assessment-new-zealand-method-report" TargetMode="External"/><Relationship Id="rId35" Type="http://schemas.openxmlformats.org/officeDocument/2006/relationships/hyperlink" Target="https://www.mfe.govt.nz/publications/climate-change/national-climate-change-risk-assessment-new-zealand-method-report" TargetMode="External"/><Relationship Id="rId43" Type="http://schemas.openxmlformats.org/officeDocument/2006/relationships/hyperlink" Target="https://www.mfe.govt.nz/climate-change/why-climate-change-matters/global-response/paris-agreement" TargetMode="External"/><Relationship Id="rId48" Type="http://schemas.openxmlformats.org/officeDocument/2006/relationships/image" Target="media/image10.png"/><Relationship Id="rId56" Type="http://schemas.openxmlformats.org/officeDocument/2006/relationships/hyperlink" Target="https://www.mfe.govt.nz/publications/climate-change/national-climate-change-risk-assessment-new-zealand-technical-report" TargetMode="External"/><Relationship Id="rId64" Type="http://schemas.openxmlformats.org/officeDocument/2006/relationships/hyperlink" Target="https://www.mfe.govt.nz/publications/climate-change/national-climate-change-risk-assessment-new-zealand-technical-report" TargetMode="External"/><Relationship Id="rId69" Type="http://schemas.openxmlformats.org/officeDocument/2006/relationships/hyperlink" Target="https://www.thebci.org/uploads/assets/uploaded/c50072bf-df5c-4c98-a5e1876aafb15bd0.pdf" TargetMode="External"/><Relationship Id="rId77" Type="http://schemas.openxmlformats.org/officeDocument/2006/relationships/hyperlink" Target="https://www.doc.govt.nz/nature/biodiversity/nz-biodiversity-strategy-and-action-plan/new-zealand-biodiversity-action-plan/new-zealand--a-biodiversity-hotspot/" TargetMode="External"/><Relationship Id="rId100" Type="http://schemas.openxmlformats.org/officeDocument/2006/relationships/hyperlink" Target="https://niwa.co.nz/our-science/climate/information-and-resources/nz-temp-record/seven-station-series-temperature-data" TargetMode="External"/><Relationship Id="rId105" Type="http://schemas.openxmlformats.org/officeDocument/2006/relationships/hyperlink" Target="https://www.pce.parliament.nz/media/1526/historic-and-cultural-heritage-management-in-new-zealand-june-1996-small.pdf" TargetMode="External"/><Relationship Id="rId113" Type="http://schemas.openxmlformats.org/officeDocument/2006/relationships/hyperlink" Target="https://wcc.maps.arcgis.com/apps/MapSeries/index.html?appid=57e797777a96430c8074182984622a6a" TargetMode="External"/><Relationship Id="rId118" Type="http://schemas.openxmlformats.org/officeDocument/2006/relationships/hyperlink" Target="https://www.unenvironment.org/resources/emissions-gap-report-2019" TargetMode="External"/><Relationship Id="rId12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yperlink" Target="https://www.mfe.govt.nz/publications/climate-change/national-climate-change-risk-assessment-new-zealand-technical-report" TargetMode="External"/><Relationship Id="rId72" Type="http://schemas.openxmlformats.org/officeDocument/2006/relationships/hyperlink" Target="http://www.theccc.org.uk/uk-climate-change-risk-assessment-2017/synthesis-report/" TargetMode="External"/><Relationship Id="rId80" Type="http://schemas.openxmlformats.org/officeDocument/2006/relationships/hyperlink" Target="https://www.stuff.co.nz/business/property/86784216/blowing-bubbles-who-loses-the-most-when-a-housing-bubble-bursts" TargetMode="External"/><Relationship Id="rId85" Type="http://schemas.openxmlformats.org/officeDocument/2006/relationships/hyperlink" Target="https://www.un.org/esa/desa/papers/2017/wp152_2017.pdf" TargetMode="External"/><Relationship Id="rId93" Type="http://schemas.openxmlformats.org/officeDocument/2006/relationships/hyperlink" Target="https://www.mfe.govt.nz/sites/default/files/media/Climate%20Change/coastal-hazards-guide-final.pdf" TargetMode="External"/><Relationship Id="rId98" Type="http://schemas.openxmlformats.org/officeDocument/2006/relationships/hyperlink" Target="https://www.mpi.govt.nz/dmsdocument/26992-effects-and-impacts-otago-and-southland" TargetMode="External"/><Relationship Id="rId121" Type="http://schemas.openxmlformats.org/officeDocument/2006/relationships/hyperlink" Target="https://www.watercare.co.nz/Water-and-wastewater/Where-your-water-comes-fr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mfe.govt.nz/publications/climate-change/national-climate-change-risk-assessment-new-zealand-technical-report" TargetMode="External"/><Relationship Id="rId33" Type="http://schemas.openxmlformats.org/officeDocument/2006/relationships/hyperlink" Target="https://www.mfe.govt.nz/publications/climate-change/national-climate-change-risk-assessment-new-zealand-method-report" TargetMode="External"/><Relationship Id="rId38" Type="http://schemas.openxmlformats.org/officeDocument/2006/relationships/image" Target="media/image7.png"/><Relationship Id="rId46" Type="http://schemas.openxmlformats.org/officeDocument/2006/relationships/hyperlink" Target="https://www.mfe.govt.nz/publications/climate-change/national-climate-change-risk-assessment-new-zealand-technical-report" TargetMode="External"/><Relationship Id="rId59" Type="http://schemas.openxmlformats.org/officeDocument/2006/relationships/hyperlink" Target="https://www.mfe.govt.nz/publications/climate-change/national-climate-change-risk-assessment-new-zealand-technical-report" TargetMode="External"/><Relationship Id="rId67" Type="http://schemas.openxmlformats.org/officeDocument/2006/relationships/hyperlink" Target="https://www.mpi.govt.nz/dmsdocument/4074-impacts-of-climate-change-on-erosion-and-erosion-control-methods-a-critical-review-final-report" TargetMode="External"/><Relationship Id="rId103" Type="http://schemas.openxmlformats.org/officeDocument/2006/relationships/hyperlink" Target="https://www.nrc.govt.nz/resource-library-archive/environmental-monitoring-archive2/annual-environmental-monitoring-archive/2011/2010-2011-annual-environmental-monitoring-report/hydrology-case-study/drought-20102011" TargetMode="External"/><Relationship Id="rId108" Type="http://schemas.openxmlformats.org/officeDocument/2006/relationships/hyperlink" Target="https://doi.org/10.1201/b18053" TargetMode="External"/><Relationship Id="rId116" Type="http://schemas.openxmlformats.org/officeDocument/2006/relationships/hyperlink" Target="https://treasury.govt.nz/sites/default/files/2019-01/dp19-01.pdf" TargetMode="External"/><Relationship Id="rId124" Type="http://schemas.openxmlformats.org/officeDocument/2006/relationships/hyperlink" Target="https://doi.org/10.1007/s00267-011-9644-1" TargetMode="External"/><Relationship Id="rId20" Type="http://schemas.openxmlformats.org/officeDocument/2006/relationships/image" Target="media/image4.png"/><Relationship Id="rId41" Type="http://schemas.openxmlformats.org/officeDocument/2006/relationships/hyperlink" Target="https://www.mfe.govt.nz/publications/climate-change/national-climate-change-risk-assessment-new-zealand-technical-report" TargetMode="External"/><Relationship Id="rId54" Type="http://schemas.openxmlformats.org/officeDocument/2006/relationships/hyperlink" Target="https://www.mfe.govt.nz/publications/climate-change/national-climate-change-risk-assessment-new-zealand-technical-report" TargetMode="External"/><Relationship Id="rId62" Type="http://schemas.microsoft.com/office/2007/relationships/hdphoto" Target="media/hdphoto2.wdp"/><Relationship Id="rId70" Type="http://schemas.openxmlformats.org/officeDocument/2006/relationships/hyperlink" Target="https://cdn.auckland.ac.nz/assets/auckland/arts/our-research/research-institutes-centres-groups/ppi/policy-briefings/climate-housing-and-health-profiling.pdf" TargetMode="External"/><Relationship Id="rId75" Type="http://schemas.openxmlformats.org/officeDocument/2006/relationships/hyperlink" Target="https://doi:10.1073/pnas.0710375105" TargetMode="External"/><Relationship Id="rId83" Type="http://schemas.openxmlformats.org/officeDocument/2006/relationships/hyperlink" Target="https://www.icnz.org.nz/natural-disasters/cost-of-natural-disasters/" TargetMode="External"/><Relationship Id="rId88" Type="http://schemas.openxmlformats.org/officeDocument/2006/relationships/hyperlink" Target="https://www.lgnz.co.nz/assets/e1a77509ff/42597-LGNZ-2050-Challenge-Final-WEB-small.pdf" TargetMode="External"/><Relationship Id="rId91" Type="http://schemas.openxmlformats.org/officeDocument/2006/relationships/hyperlink" Target="https://www.mfe.govt.nz/sites/default/files/closed-landfills-guide-may01_0.pdf" TargetMode="External"/><Relationship Id="rId96" Type="http://schemas.openxmlformats.org/officeDocument/2006/relationships/hyperlink" Target="http://www.stats.govt.nz" TargetMode="External"/><Relationship Id="rId111" Type="http://schemas.openxmlformats.org/officeDocument/2006/relationships/hyperlink" Target="https://www.fsb-tcfd.org/wp-content/uploads/2017/06/FINAL-2017-TCFD-Report-11052018.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mfe.govt.nz/publications/climate-change/national-climate-change-risk-assessment-new-zealand-method-report" TargetMode="External"/><Relationship Id="rId28" Type="http://schemas.openxmlformats.org/officeDocument/2006/relationships/image" Target="media/image5.jpg"/><Relationship Id="rId36" Type="http://schemas.openxmlformats.org/officeDocument/2006/relationships/hyperlink" Target="https://www.mfe.govt.nz/publications/climate-change/national-climate-change-risk-assessment-new-zealand-technical-report" TargetMode="External"/><Relationship Id="rId49" Type="http://schemas.openxmlformats.org/officeDocument/2006/relationships/image" Target="media/image11.png"/><Relationship Id="rId57" Type="http://schemas.openxmlformats.org/officeDocument/2006/relationships/image" Target="media/image12.png"/><Relationship Id="rId106" Type="http://schemas.openxmlformats.org/officeDocument/2006/relationships/hyperlink" Target="https://www.deepsouthchallenge.co.nz/sites/default/files/2019-08/2019119WN_DEPSI18301_Coast_Flood_Exp_under_Fut_Sealevel_rise_FINAL%20(1)_0.pdf" TargetMode="External"/><Relationship Id="rId114" Type="http://schemas.openxmlformats.org/officeDocument/2006/relationships/hyperlink" Target="https://treasury.govt.nz/information-and-services/nz-economy/living-standards/our-living-standards-framework" TargetMode="External"/><Relationship Id="rId119" Type="http://schemas.openxmlformats.org/officeDocument/2006/relationships/hyperlink" Target="https://www.climsystems.com/blog/post/when-extreme-rainfall-disrupts-a-water-supply-the-case-of-auckland-city-new-zealand" TargetMode="External"/><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www.mfe.govt.nz/publications/climate-change/national-climate-change-risk-assessment-new-zealand-method-report" TargetMode="External"/><Relationship Id="rId44" Type="http://schemas.openxmlformats.org/officeDocument/2006/relationships/image" Target="media/image8.jpeg"/><Relationship Id="rId52" Type="http://schemas.openxmlformats.org/officeDocument/2006/relationships/footer" Target="footer8.xml"/><Relationship Id="rId60" Type="http://schemas.openxmlformats.org/officeDocument/2006/relationships/hyperlink" Target="https://www.mfe.govt.nz/publications/climate-change/national-climate-change-risk-assessment-new-zealand-technical-report" TargetMode="External"/><Relationship Id="rId65" Type="http://schemas.openxmlformats.org/officeDocument/2006/relationships/hyperlink" Target="https://www.ala.org.au/" TargetMode="External"/><Relationship Id="rId73" Type="http://schemas.openxmlformats.org/officeDocument/2006/relationships/hyperlink" Target="https://ir.canterbury.ac.nz/handle/10092/15991" TargetMode="External"/><Relationship Id="rId78" Type="http://schemas.openxmlformats.org/officeDocument/2006/relationships/hyperlink" Target="https://www.doc.govt.nz/nature/pests-and-threats/" TargetMode="External"/><Relationship Id="rId81" Type="http://schemas.openxmlformats.org/officeDocument/2006/relationships/hyperlink" Target="https://ref.coastalrestorationtrust.org.nz/site/assets/files/8306/clifton-to-tangoio-coastal-hazard-strategy-2120-draft-aug-2016.pdf" TargetMode="External"/><Relationship Id="rId86" Type="http://schemas.openxmlformats.org/officeDocument/2006/relationships/hyperlink" Target="http://www.nzma.org.nz/journal/subscribe" TargetMode="External"/><Relationship Id="rId94" Type="http://schemas.openxmlformats.org/officeDocument/2006/relationships/hyperlink" Target="https://www.mfe.govt.nz/publications/climate-change/adapting-climate-change-new-zealand-stocktake-report-climate-change" TargetMode="External"/><Relationship Id="rId99" Type="http://schemas.openxmlformats.org/officeDocument/2006/relationships/hyperlink" Target="https://niwa.co.nz/freshwater-and-estuaries/freshwater-and-estuaries-update/freshwater-update-71-november-2016/implications-of-climate-change-for" TargetMode="External"/><Relationship Id="rId101" Type="http://schemas.openxmlformats.org/officeDocument/2006/relationships/hyperlink" Target="https://niwa.co.nz/natural-hazards/hazards/sea-levels-and-sea-level-rise" TargetMode="External"/><Relationship Id="rId122" Type="http://schemas.openxmlformats.org/officeDocument/2006/relationships/hyperlink" Target="http://climatecloud.co.nz/CloudLibrary/2008-07-effect-of-climate-change-on-nz-planted-forests%5b1%5d.pdf" TargetMode="External"/><Relationship Id="rId130"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mfe.govt.nz" TargetMode="Externa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hyperlink" Target="https://www.mfe.govt.nz/publications/climate-change/national-climate-change-risk-assessment-new-zealand-technical-report" TargetMode="External"/><Relationship Id="rId109" Type="http://schemas.openxmlformats.org/officeDocument/2006/relationships/hyperlink" Target="https://www.rbnz.govt.nz/financial-stability/climate-change/strategy" TargetMode="External"/><Relationship Id="rId34" Type="http://schemas.openxmlformats.org/officeDocument/2006/relationships/image" Target="media/image6.JPG"/><Relationship Id="rId50" Type="http://schemas.openxmlformats.org/officeDocument/2006/relationships/hyperlink" Target="https://www.mfe.govt.nz/publications/climate-change/national-climate-change-risk-assessment-new-zealand-technical-report" TargetMode="External"/><Relationship Id="rId55" Type="http://schemas.openxmlformats.org/officeDocument/2006/relationships/hyperlink" Target="https://www.mfe.govt.nz/publications/climate-change/national-climate-change-risk-assessment-new-zealand-technical-report" TargetMode="External"/><Relationship Id="rId76" Type="http://schemas.openxmlformats.org/officeDocument/2006/relationships/hyperlink" Target="https://www.deepsouthchallenge.co.nz/news-updates/new-zealands-water-systems-particularly-vulnerable-climate-change" TargetMode="External"/><Relationship Id="rId97" Type="http://schemas.openxmlformats.org/officeDocument/2006/relationships/hyperlink" Target="https://www.civildefence.govt.nz/assets/Uploads/publications/National-Disaster-Resilience-Strategy/National-Disaster-Resilience-Strategy-10-April-2019.pdf" TargetMode="External"/><Relationship Id="rId104" Type="http://schemas.openxmlformats.org/officeDocument/2006/relationships/hyperlink" Target="https://treasury.govt.nz/sites/default/files/2018-09/dp18-11.pdf" TargetMode="External"/><Relationship Id="rId120" Type="http://schemas.openxmlformats.org/officeDocument/2006/relationships/hyperlink" Target="https://www.wasteminz.org.nz/wp-content/uploads/2016/04/Technical-Guidelines-for-Disposal-to-Land-9Aug18-FINAL.pdf" TargetMode="External"/><Relationship Id="rId125" Type="http://schemas.openxmlformats.org/officeDocument/2006/relationships/hyperlink" Target="https://www.mfe.govt.nz/sites/default/files/Climate%20change%20potential%20effects%20on%20human%20health%20in%20New%20Zealand.pdf" TargetMode="External"/><Relationship Id="rId7" Type="http://schemas.openxmlformats.org/officeDocument/2006/relationships/endnotes" Target="endnotes.xml"/><Relationship Id="rId71" Type="http://schemas.openxmlformats.org/officeDocument/2006/relationships/hyperlink" Target="https://www.mfe.govt.nz/publications/climate-change/adapting-climate-change-new-zealand-stocktake-report-climate-change" TargetMode="External"/><Relationship Id="rId92" Type="http://schemas.openxmlformats.org/officeDocument/2006/relationships/hyperlink" Target="https://www.mfe.govt.nz/climate-change/climate-change-and-government/adapting-climate-change/adapting-sea-level-rise"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https://www.mfe.govt.nz/publications/climate-change/national-climate-change-risk-assessment-new-zealand-method-report" TargetMode="External"/><Relationship Id="rId40" Type="http://schemas.openxmlformats.org/officeDocument/2006/relationships/hyperlink" Target="https://www.mfe.govt.nz/publications/climate-change/national-climate-change-risk-assessment-new-zealand-method-report" TargetMode="External"/><Relationship Id="rId45" Type="http://schemas.openxmlformats.org/officeDocument/2006/relationships/image" Target="media/image9.jpeg"/><Relationship Id="rId66" Type="http://schemas.openxmlformats.org/officeDocument/2006/relationships/hyperlink" Target="https://www.aucklandcouncil.govt.nz/have-your-say/topics-you-can-have-your-say-on/regional-pest-management-plan/Documents/auckland-regional-pest-management-plan-2019-2029.pdf" TargetMode="External"/><Relationship Id="rId87" Type="http://schemas.openxmlformats.org/officeDocument/2006/relationships/hyperlink" Target="https://doi.org/10.1080/13549839.2013.839643" TargetMode="External"/><Relationship Id="rId110" Type="http://schemas.openxmlformats.org/officeDocument/2006/relationships/hyperlink" Target="http://archive.stats.govt.nz/browse_for_stats/population/estimates_and_projections/ethnic-pop-projections-issues-and-trends.aspx" TargetMode="External"/><Relationship Id="rId115" Type="http://schemas.openxmlformats.org/officeDocument/2006/relationships/hyperlink" Target="https://treasury.govt.nz/sites/default/files/2019-05/b19-wellbeing-budget.pdf" TargetMode="External"/><Relationship Id="rId131" Type="http://schemas.microsoft.com/office/2018/08/relationships/commentsExtensible" Target="commentsExtensible.xml"/><Relationship Id="rId61" Type="http://schemas.openxmlformats.org/officeDocument/2006/relationships/image" Target="media/image13.png"/><Relationship Id="rId82" Type="http://schemas.openxmlformats.org/officeDocument/2006/relationships/hyperlink" Target="https://doi.org/10.1111/j.1527-2001.2008.tb01206.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AD917D-52EE-4D57-8CB2-5248295D6D7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D0DC55-C49A-47DB-B86C-988D9BB0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133</Pages>
  <Words>60027</Words>
  <Characters>342157</Characters>
  <Application>Microsoft Office Word</Application>
  <DocSecurity>0</DocSecurity>
  <Lines>2851</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Dee Warring</cp:lastModifiedBy>
  <cp:revision>6</cp:revision>
  <cp:lastPrinted>2020-07-17T03:39:00Z</cp:lastPrinted>
  <dcterms:created xsi:type="dcterms:W3CDTF">2020-07-17T04:01:00Z</dcterms:created>
  <dcterms:modified xsi:type="dcterms:W3CDTF">2020-09-08T05:25:00Z</dcterms:modified>
</cp:coreProperties>
</file>