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6DB4CF" w14:textId="7B78815E" w:rsidR="0080531E" w:rsidRPr="006B77BB" w:rsidRDefault="004C38F7" w:rsidP="0003640E">
      <w:pPr>
        <w:pStyle w:val="BodyText"/>
      </w:pPr>
      <w:r>
        <w:rPr>
          <w:noProof/>
        </w:rPr>
        <w:drawing>
          <wp:anchor distT="0" distB="0" distL="114300" distR="114300" simplePos="0" relativeHeight="251661312" behindDoc="0" locked="0" layoutInCell="1" allowOverlap="1" wp14:anchorId="00AAB180" wp14:editId="40023A6D">
            <wp:simplePos x="0" y="0"/>
            <wp:positionH relativeFrom="margin">
              <wp:posOffset>-909955</wp:posOffset>
            </wp:positionH>
            <wp:positionV relativeFrom="margin">
              <wp:posOffset>-3590925</wp:posOffset>
            </wp:positionV>
            <wp:extent cx="7591425" cy="1073467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FE_NCCRA Method report.png"/>
                    <pic:cNvPicPr/>
                  </pic:nvPicPr>
                  <pic:blipFill>
                    <a:blip r:embed="rId8">
                      <a:extLst>
                        <a:ext uri="{28A0092B-C50C-407E-A947-70E740481C1C}">
                          <a14:useLocalDpi xmlns:a14="http://schemas.microsoft.com/office/drawing/2010/main" val="0"/>
                        </a:ext>
                      </a:extLst>
                    </a:blip>
                    <a:stretch>
                      <a:fillRect/>
                    </a:stretch>
                  </pic:blipFill>
                  <pic:spPr>
                    <a:xfrm>
                      <a:off x="0" y="0"/>
                      <a:ext cx="7591425" cy="10734675"/>
                    </a:xfrm>
                    <a:prstGeom prst="rect">
                      <a:avLst/>
                    </a:prstGeom>
                  </pic:spPr>
                </pic:pic>
              </a:graphicData>
            </a:graphic>
            <wp14:sizeRelH relativeFrom="margin">
              <wp14:pctWidth>0</wp14:pctWidth>
            </wp14:sizeRelH>
            <wp14:sizeRelV relativeFrom="margin">
              <wp14:pctHeight>0</wp14:pctHeight>
            </wp14:sizeRelV>
          </wp:anchor>
        </w:drawing>
      </w:r>
    </w:p>
    <w:p w14:paraId="03A0027D" w14:textId="77777777" w:rsidR="0003640E" w:rsidRPr="006B77BB" w:rsidRDefault="0003640E" w:rsidP="0080531E">
      <w:pPr>
        <w:jc w:val="left"/>
        <w:rPr>
          <w:color w:val="FF0000"/>
        </w:rPr>
        <w:sectPr w:rsidR="0003640E" w:rsidRPr="006B77BB" w:rsidSect="00FE3724">
          <w:headerReference w:type="even" r:id="rId9"/>
          <w:headerReference w:type="default" r:id="rId10"/>
          <w:footerReference w:type="even" r:id="rId11"/>
          <w:footerReference w:type="default" r:id="rId12"/>
          <w:headerReference w:type="first" r:id="rId13"/>
          <w:footerReference w:type="first" r:id="rId14"/>
          <w:pgSz w:w="11907" w:h="16840" w:code="9"/>
          <w:pgMar w:top="5670" w:right="1418" w:bottom="1701" w:left="1418" w:header="567" w:footer="1134" w:gutter="0"/>
          <w:cols w:space="720"/>
        </w:sectPr>
      </w:pPr>
    </w:p>
    <w:p w14:paraId="06E4FBC6" w14:textId="77777777" w:rsidR="004C38F7" w:rsidRPr="006B77BB" w:rsidRDefault="004C38F7" w:rsidP="004C38F7">
      <w:pPr>
        <w:pStyle w:val="Imprint"/>
      </w:pPr>
      <w:r w:rsidRPr="006B77BB">
        <w:lastRenderedPageBreak/>
        <w:t xml:space="preserve">This document may be cited as: Ministry for the Environment. </w:t>
      </w:r>
      <w:r>
        <w:t>2020</w:t>
      </w:r>
      <w:r w:rsidRPr="006B77BB">
        <w:t xml:space="preserve">. </w:t>
      </w:r>
      <w:r w:rsidRPr="00432039">
        <w:rPr>
          <w:i/>
        </w:rPr>
        <w:t>National Climate Change Risk Assessment for New Zealand – Arotakenga Tūraru mō te Huringa Āhuarangi o Aotearoa: Method report – Pūrongo whakararangi</w:t>
      </w:r>
      <w:r w:rsidRPr="006B77BB">
        <w:t>. Wellington: Ministry for the Environment.</w:t>
      </w:r>
    </w:p>
    <w:p w14:paraId="632BAE33" w14:textId="77777777" w:rsidR="004C38F7" w:rsidRDefault="004C38F7" w:rsidP="0087002B">
      <w:pPr>
        <w:pStyle w:val="Imprint"/>
        <w:spacing w:before="0" w:after="0"/>
        <w:rPr>
          <w:b/>
        </w:rPr>
      </w:pPr>
    </w:p>
    <w:p w14:paraId="0E0E8AB4" w14:textId="1B81F1F3" w:rsidR="0087002B" w:rsidRPr="005D6D89" w:rsidRDefault="0087002B" w:rsidP="0087002B">
      <w:pPr>
        <w:pStyle w:val="Imprint"/>
        <w:spacing w:before="0" w:after="0"/>
        <w:rPr>
          <w:b/>
        </w:rPr>
      </w:pPr>
      <w:r w:rsidRPr="005D6D89">
        <w:rPr>
          <w:b/>
        </w:rPr>
        <w:t>Disclaimer</w:t>
      </w:r>
    </w:p>
    <w:p w14:paraId="5EEBD2C3" w14:textId="77777777" w:rsidR="0087002B" w:rsidRPr="00B252CB" w:rsidRDefault="0087002B" w:rsidP="0087002B">
      <w:pPr>
        <w:pStyle w:val="BodyText"/>
        <w:spacing w:after="0"/>
        <w:rPr>
          <w:rFonts w:eastAsiaTheme="minorHAnsi"/>
          <w:b/>
          <w:bCs/>
        </w:rPr>
      </w:pPr>
      <w:r w:rsidRPr="00B252CB">
        <w:t xml:space="preserve">The information in this publication is, according to the Ministry for the Environment’s best efforts, accurate at the time of publication. The information provided does not alter the laws of New Zealand and other official guidelines or requirements. Users should take specific advice from qualified professional people before undertaking any action as a result of information obtained from this publication. </w:t>
      </w:r>
    </w:p>
    <w:p w14:paraId="18016599" w14:textId="77777777" w:rsidR="0087002B" w:rsidRPr="00B252CB" w:rsidRDefault="0087002B" w:rsidP="0087002B">
      <w:pPr>
        <w:pStyle w:val="BodyText"/>
      </w:pPr>
      <w:r w:rsidRPr="00B252CB">
        <w:t>The Ministry for the Environment does not accept any responsibility or liability whether in contract, tort, equity or otherwise</w:t>
      </w:r>
      <w:r>
        <w:t>,</w:t>
      </w:r>
      <w:r w:rsidRPr="00B252CB">
        <w:t xml:space="preserve"> for any action taken as a result of reading, or reliance placed on the Ministry for the Environment because of having read any part, or all, of the information in this publication or for any error, or inadequacy, deficiency, flaw in or omission from the information provided in this publication.</w:t>
      </w:r>
    </w:p>
    <w:p w14:paraId="1081200E" w14:textId="77777777" w:rsidR="00452EC4" w:rsidRPr="006B77BB" w:rsidRDefault="00452EC4" w:rsidP="00775F57">
      <w:pPr>
        <w:pStyle w:val="Imprint"/>
        <w:spacing w:after="0"/>
        <w:rPr>
          <w:b/>
        </w:rPr>
      </w:pPr>
      <w:r w:rsidRPr="006B77BB">
        <w:rPr>
          <w:b/>
        </w:rPr>
        <w:t>Acknowledgements</w:t>
      </w:r>
    </w:p>
    <w:p w14:paraId="44B77B2C" w14:textId="025CA16D" w:rsidR="00452EC4" w:rsidRPr="006B77BB" w:rsidRDefault="00B94625" w:rsidP="00452EC4">
      <w:pPr>
        <w:pStyle w:val="Imprint"/>
      </w:pPr>
      <w:r w:rsidRPr="00B94625">
        <w:t>Prepared for the Ministry for the Environment by a consortium led by AECOM, including Tonkin + Taylor Ltd, NIWA and Latitude and a number of independent contractors.</w:t>
      </w:r>
    </w:p>
    <w:p w14:paraId="4DFD28C4" w14:textId="1E20FB7A" w:rsidR="00452EC4" w:rsidRDefault="00452EC4" w:rsidP="00452EC4">
      <w:pPr>
        <w:pStyle w:val="Imprint"/>
      </w:pPr>
    </w:p>
    <w:p w14:paraId="1C701D19" w14:textId="77777777" w:rsidR="0080531E" w:rsidRPr="006B77BB" w:rsidRDefault="0080531E" w:rsidP="0080531E">
      <w:pPr>
        <w:pStyle w:val="Imprint"/>
      </w:pPr>
    </w:p>
    <w:p w14:paraId="758F27EF" w14:textId="77777777" w:rsidR="00663783" w:rsidRPr="006B77BB" w:rsidRDefault="00663783" w:rsidP="0080531E">
      <w:pPr>
        <w:pStyle w:val="Imprint"/>
      </w:pPr>
    </w:p>
    <w:p w14:paraId="0FFBF6A3" w14:textId="77777777" w:rsidR="00760C00" w:rsidRPr="006B77BB" w:rsidRDefault="00760C00" w:rsidP="00B94625">
      <w:pPr>
        <w:pStyle w:val="Imprint"/>
        <w:spacing w:after="0"/>
      </w:pPr>
    </w:p>
    <w:p w14:paraId="5031739A" w14:textId="2E3D9072" w:rsidR="0080531E" w:rsidRPr="006B77BB" w:rsidRDefault="0080531E" w:rsidP="00B94625">
      <w:pPr>
        <w:pStyle w:val="Imprint"/>
        <w:spacing w:before="0"/>
      </w:pPr>
      <w:r w:rsidRPr="006B77BB">
        <w:t xml:space="preserve">Published in </w:t>
      </w:r>
      <w:r w:rsidR="00F30418">
        <w:t>August</w:t>
      </w:r>
      <w:bookmarkStart w:id="0" w:name="_GoBack"/>
      <w:bookmarkEnd w:id="0"/>
      <w:r w:rsidR="00D13E34" w:rsidRPr="00663783">
        <w:t xml:space="preserve"> </w:t>
      </w:r>
      <w:r w:rsidR="00B94625">
        <w:t>2020</w:t>
      </w:r>
      <w:r w:rsidRPr="006B77BB">
        <w:t xml:space="preserve"> by the</w:t>
      </w:r>
      <w:r w:rsidRPr="006B77BB">
        <w:br/>
        <w:t xml:space="preserve">Ministry for the Environment </w:t>
      </w:r>
      <w:r w:rsidRPr="006B77BB">
        <w:br/>
        <w:t>Manatū Mō Te Taiao</w:t>
      </w:r>
      <w:r w:rsidRPr="006B77BB">
        <w:br/>
        <w:t>PO Box 10362, Wellington 6143, New Zealand</w:t>
      </w:r>
    </w:p>
    <w:p w14:paraId="142CB11E" w14:textId="7E67115B" w:rsidR="0080531E" w:rsidRPr="00D13E34" w:rsidRDefault="0080531E" w:rsidP="004C38F7">
      <w:pPr>
        <w:pStyle w:val="Imprint"/>
        <w:tabs>
          <w:tab w:val="left" w:pos="720"/>
        </w:tabs>
        <w:spacing w:before="0" w:after="0"/>
        <w:ind w:left="720" w:hanging="720"/>
      </w:pPr>
      <w:r w:rsidRPr="006B77BB">
        <w:t xml:space="preserve">ISBN: </w:t>
      </w:r>
      <w:r w:rsidRPr="006B77BB">
        <w:tab/>
      </w:r>
      <w:r w:rsidR="00D13E34" w:rsidRPr="00D13E34">
        <w:t>978-1-98-857994-8 (online)</w:t>
      </w:r>
    </w:p>
    <w:p w14:paraId="11937B08" w14:textId="1918597F" w:rsidR="0080531E" w:rsidRPr="006B77BB" w:rsidRDefault="0080531E" w:rsidP="004C38F7">
      <w:pPr>
        <w:pStyle w:val="Imprint"/>
        <w:spacing w:before="0" w:after="0"/>
        <w:ind w:left="720" w:hanging="720"/>
      </w:pPr>
      <w:r w:rsidRPr="00D13E34">
        <w:t>Publication number: ME</w:t>
      </w:r>
      <w:r w:rsidR="00D13E34">
        <w:t xml:space="preserve"> </w:t>
      </w:r>
      <w:r w:rsidR="00D13E34" w:rsidRPr="00D13E34">
        <w:t>1507</w:t>
      </w:r>
    </w:p>
    <w:p w14:paraId="61E39F0C" w14:textId="615BE9B0" w:rsidR="0080531E" w:rsidRPr="006B77BB" w:rsidRDefault="0080531E" w:rsidP="00593E94">
      <w:pPr>
        <w:pStyle w:val="Imprint"/>
        <w:spacing w:after="80"/>
      </w:pPr>
      <w:r w:rsidRPr="006B77BB">
        <w:t xml:space="preserve">© Crown copyright New Zealand </w:t>
      </w:r>
      <w:r w:rsidR="00B94625">
        <w:t>2020</w:t>
      </w:r>
    </w:p>
    <w:p w14:paraId="74597196" w14:textId="77777777" w:rsidR="00C04705" w:rsidRDefault="0080531E" w:rsidP="00593E94">
      <w:pPr>
        <w:pStyle w:val="Imprint"/>
        <w:spacing w:before="240" w:after="0"/>
        <w:rPr>
          <w:rStyle w:val="Hyperlink"/>
          <w:color w:val="auto"/>
        </w:rPr>
      </w:pPr>
      <w:r w:rsidRPr="006B77BB">
        <w:t>This document is available on the Ministry for</w:t>
      </w:r>
      <w:r w:rsidR="004C4E8A" w:rsidRPr="006B77BB">
        <w:t xml:space="preserve"> the Environment </w:t>
      </w:r>
      <w:r w:rsidR="00CB557F" w:rsidRPr="006B77BB">
        <w:t>website</w:t>
      </w:r>
      <w:r w:rsidRPr="006B77BB">
        <w:t xml:space="preserve">: </w:t>
      </w:r>
      <w:hyperlink r:id="rId15" w:history="1">
        <w:r w:rsidRPr="006B77BB">
          <w:rPr>
            <w:rStyle w:val="Hyperlink"/>
          </w:rPr>
          <w:t>www.mfe.govt.nz</w:t>
        </w:r>
      </w:hyperlink>
      <w:r w:rsidR="00B51610" w:rsidRPr="006B77BB">
        <w:rPr>
          <w:rStyle w:val="Hyperlink"/>
          <w:color w:val="auto"/>
        </w:rPr>
        <w:t>.</w:t>
      </w:r>
    </w:p>
    <w:p w14:paraId="26678CB7" w14:textId="77777777" w:rsidR="00A84FE1" w:rsidRDefault="00A84FE1" w:rsidP="00A84FE1">
      <w:pPr>
        <w:pStyle w:val="Imprint"/>
        <w:spacing w:before="240" w:after="0"/>
      </w:pPr>
      <w:r>
        <w:rPr>
          <w:noProof/>
        </w:rPr>
        <w:drawing>
          <wp:inline distT="0" distB="0" distL="0" distR="0" wp14:anchorId="0DEC7A99" wp14:editId="4427FA2D">
            <wp:extent cx="2712746" cy="117084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12746" cy="1170842"/>
                    </a:xfrm>
                    <a:prstGeom prst="rect">
                      <a:avLst/>
                    </a:prstGeom>
                    <a:noFill/>
                  </pic:spPr>
                </pic:pic>
              </a:graphicData>
            </a:graphic>
          </wp:inline>
        </w:drawing>
      </w:r>
    </w:p>
    <w:p w14:paraId="6D8E20D2" w14:textId="77777777" w:rsidR="0080531E" w:rsidRPr="00A84FE1" w:rsidRDefault="0080531E" w:rsidP="00A84FE1">
      <w:pPr>
        <w:sectPr w:rsidR="0080531E" w:rsidRPr="00A84FE1" w:rsidSect="00FE3724">
          <w:headerReference w:type="even" r:id="rId17"/>
          <w:headerReference w:type="default" r:id="rId18"/>
          <w:footerReference w:type="even" r:id="rId19"/>
          <w:footerReference w:type="default" r:id="rId20"/>
          <w:pgSz w:w="11907" w:h="16840" w:code="9"/>
          <w:pgMar w:top="1134" w:right="1701" w:bottom="1134" w:left="1701" w:header="567" w:footer="567" w:gutter="0"/>
          <w:pgNumType w:fmt="lowerRoman"/>
          <w:cols w:space="720"/>
        </w:sectPr>
      </w:pPr>
    </w:p>
    <w:p w14:paraId="008DF80D" w14:textId="537CE829" w:rsidR="0080531E" w:rsidRPr="006B77BB" w:rsidRDefault="00753921" w:rsidP="004218AE">
      <w:pPr>
        <w:pStyle w:val="Heading"/>
        <w:spacing w:after="120"/>
      </w:pPr>
      <w:r w:rsidRPr="006B77BB">
        <w:lastRenderedPageBreak/>
        <w:t>Contents</w:t>
      </w:r>
    </w:p>
    <w:p w14:paraId="7602E064" w14:textId="6B841A74" w:rsidR="00E548F3" w:rsidRDefault="00775F57">
      <w:pPr>
        <w:pStyle w:val="TOC1"/>
        <w:rPr>
          <w:rFonts w:asciiTheme="minorHAnsi" w:hAnsiTheme="minorHAnsi"/>
          <w:noProof/>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45898300" w:history="1">
        <w:r w:rsidR="00E548F3" w:rsidRPr="0080734C">
          <w:rPr>
            <w:rStyle w:val="Hyperlink"/>
            <w:noProof/>
          </w:rPr>
          <w:t>1</w:t>
        </w:r>
        <w:r w:rsidR="00E548F3">
          <w:rPr>
            <w:rFonts w:asciiTheme="minorHAnsi" w:hAnsiTheme="minorHAnsi"/>
            <w:noProof/>
          </w:rPr>
          <w:tab/>
        </w:r>
        <w:r w:rsidR="00E548F3" w:rsidRPr="0080734C">
          <w:rPr>
            <w:rStyle w:val="Hyperlink"/>
            <w:noProof/>
          </w:rPr>
          <w:t>Introduction</w:t>
        </w:r>
        <w:r w:rsidR="00E548F3">
          <w:rPr>
            <w:noProof/>
            <w:webHidden/>
          </w:rPr>
          <w:tab/>
        </w:r>
        <w:r w:rsidR="00E548F3">
          <w:rPr>
            <w:noProof/>
            <w:webHidden/>
          </w:rPr>
          <w:fldChar w:fldCharType="begin"/>
        </w:r>
        <w:r w:rsidR="00E548F3">
          <w:rPr>
            <w:noProof/>
            <w:webHidden/>
          </w:rPr>
          <w:instrText xml:space="preserve"> PAGEREF _Toc45898300 \h </w:instrText>
        </w:r>
        <w:r w:rsidR="00E548F3">
          <w:rPr>
            <w:noProof/>
            <w:webHidden/>
          </w:rPr>
        </w:r>
        <w:r w:rsidR="00E548F3">
          <w:rPr>
            <w:noProof/>
            <w:webHidden/>
          </w:rPr>
          <w:fldChar w:fldCharType="separate"/>
        </w:r>
        <w:r w:rsidR="001B2025">
          <w:rPr>
            <w:noProof/>
            <w:webHidden/>
          </w:rPr>
          <w:t>5</w:t>
        </w:r>
        <w:r w:rsidR="00E548F3">
          <w:rPr>
            <w:noProof/>
            <w:webHidden/>
          </w:rPr>
          <w:fldChar w:fldCharType="end"/>
        </w:r>
      </w:hyperlink>
    </w:p>
    <w:p w14:paraId="676752A3" w14:textId="296FBC53" w:rsidR="00E548F3" w:rsidRDefault="00F30418">
      <w:pPr>
        <w:pStyle w:val="TOC2"/>
        <w:tabs>
          <w:tab w:val="left" w:pos="1134"/>
        </w:tabs>
        <w:rPr>
          <w:rFonts w:asciiTheme="minorHAnsi" w:hAnsiTheme="minorHAnsi"/>
          <w:noProof/>
        </w:rPr>
      </w:pPr>
      <w:hyperlink w:anchor="_Toc45898301" w:history="1">
        <w:r w:rsidR="00E548F3" w:rsidRPr="0080734C">
          <w:rPr>
            <w:rStyle w:val="Hyperlink"/>
            <w:noProof/>
          </w:rPr>
          <w:t>1.1.</w:t>
        </w:r>
        <w:r w:rsidR="00E548F3">
          <w:rPr>
            <w:rFonts w:asciiTheme="minorHAnsi" w:hAnsiTheme="minorHAnsi"/>
            <w:noProof/>
          </w:rPr>
          <w:tab/>
        </w:r>
        <w:r w:rsidR="00E548F3" w:rsidRPr="0080734C">
          <w:rPr>
            <w:rStyle w:val="Hyperlink"/>
            <w:noProof/>
          </w:rPr>
          <w:t>Purpose of this report</w:t>
        </w:r>
        <w:r w:rsidR="00E548F3">
          <w:rPr>
            <w:noProof/>
            <w:webHidden/>
          </w:rPr>
          <w:tab/>
        </w:r>
        <w:r w:rsidR="00E548F3">
          <w:rPr>
            <w:noProof/>
            <w:webHidden/>
          </w:rPr>
          <w:fldChar w:fldCharType="begin"/>
        </w:r>
        <w:r w:rsidR="00E548F3">
          <w:rPr>
            <w:noProof/>
            <w:webHidden/>
          </w:rPr>
          <w:instrText xml:space="preserve"> PAGEREF _Toc45898301 \h </w:instrText>
        </w:r>
        <w:r w:rsidR="00E548F3">
          <w:rPr>
            <w:noProof/>
            <w:webHidden/>
          </w:rPr>
        </w:r>
        <w:r w:rsidR="00E548F3">
          <w:rPr>
            <w:noProof/>
            <w:webHidden/>
          </w:rPr>
          <w:fldChar w:fldCharType="separate"/>
        </w:r>
        <w:r w:rsidR="001B2025">
          <w:rPr>
            <w:noProof/>
            <w:webHidden/>
          </w:rPr>
          <w:t>5</w:t>
        </w:r>
        <w:r w:rsidR="00E548F3">
          <w:rPr>
            <w:noProof/>
            <w:webHidden/>
          </w:rPr>
          <w:fldChar w:fldCharType="end"/>
        </w:r>
      </w:hyperlink>
    </w:p>
    <w:p w14:paraId="01DA303A" w14:textId="7A04D963" w:rsidR="00E548F3" w:rsidRDefault="00F30418">
      <w:pPr>
        <w:pStyle w:val="TOC2"/>
        <w:tabs>
          <w:tab w:val="left" w:pos="1134"/>
        </w:tabs>
        <w:rPr>
          <w:rFonts w:asciiTheme="minorHAnsi" w:hAnsiTheme="minorHAnsi"/>
          <w:noProof/>
        </w:rPr>
      </w:pPr>
      <w:hyperlink w:anchor="_Toc45898302" w:history="1">
        <w:r w:rsidR="00E548F3" w:rsidRPr="0080734C">
          <w:rPr>
            <w:rStyle w:val="Hyperlink"/>
            <w:noProof/>
          </w:rPr>
          <w:t>1.2.</w:t>
        </w:r>
        <w:r w:rsidR="00E548F3">
          <w:rPr>
            <w:rFonts w:asciiTheme="minorHAnsi" w:hAnsiTheme="minorHAnsi"/>
            <w:noProof/>
          </w:rPr>
          <w:tab/>
        </w:r>
        <w:r w:rsidR="00E548F3" w:rsidRPr="0080734C">
          <w:rPr>
            <w:rStyle w:val="Hyperlink"/>
            <w:noProof/>
          </w:rPr>
          <w:t>The NCCRA project team</w:t>
        </w:r>
        <w:r w:rsidR="00E548F3">
          <w:rPr>
            <w:noProof/>
            <w:webHidden/>
          </w:rPr>
          <w:tab/>
        </w:r>
        <w:r w:rsidR="00E548F3">
          <w:rPr>
            <w:noProof/>
            <w:webHidden/>
          </w:rPr>
          <w:fldChar w:fldCharType="begin"/>
        </w:r>
        <w:r w:rsidR="00E548F3">
          <w:rPr>
            <w:noProof/>
            <w:webHidden/>
          </w:rPr>
          <w:instrText xml:space="preserve"> PAGEREF _Toc45898302 \h </w:instrText>
        </w:r>
        <w:r w:rsidR="00E548F3">
          <w:rPr>
            <w:noProof/>
            <w:webHidden/>
          </w:rPr>
        </w:r>
        <w:r w:rsidR="00E548F3">
          <w:rPr>
            <w:noProof/>
            <w:webHidden/>
          </w:rPr>
          <w:fldChar w:fldCharType="separate"/>
        </w:r>
        <w:r w:rsidR="001B2025">
          <w:rPr>
            <w:noProof/>
            <w:webHidden/>
          </w:rPr>
          <w:t>5</w:t>
        </w:r>
        <w:r w:rsidR="00E548F3">
          <w:rPr>
            <w:noProof/>
            <w:webHidden/>
          </w:rPr>
          <w:fldChar w:fldCharType="end"/>
        </w:r>
      </w:hyperlink>
    </w:p>
    <w:p w14:paraId="2A78E1F6" w14:textId="6030B432" w:rsidR="00E548F3" w:rsidRDefault="00F30418">
      <w:pPr>
        <w:pStyle w:val="TOC1"/>
        <w:rPr>
          <w:rFonts w:asciiTheme="minorHAnsi" w:hAnsiTheme="minorHAnsi"/>
          <w:noProof/>
        </w:rPr>
      </w:pPr>
      <w:hyperlink w:anchor="_Toc45898303" w:history="1">
        <w:r w:rsidR="00E548F3" w:rsidRPr="0080734C">
          <w:rPr>
            <w:rStyle w:val="Hyperlink"/>
            <w:noProof/>
          </w:rPr>
          <w:t>2</w:t>
        </w:r>
        <w:r w:rsidR="00E548F3">
          <w:rPr>
            <w:rFonts w:asciiTheme="minorHAnsi" w:hAnsiTheme="minorHAnsi"/>
            <w:noProof/>
          </w:rPr>
          <w:tab/>
        </w:r>
        <w:r w:rsidR="00E548F3" w:rsidRPr="0080734C">
          <w:rPr>
            <w:rStyle w:val="Hyperlink"/>
            <w:noProof/>
          </w:rPr>
          <w:t>Risk assessment approach</w:t>
        </w:r>
        <w:r w:rsidR="00E548F3">
          <w:rPr>
            <w:noProof/>
            <w:webHidden/>
          </w:rPr>
          <w:tab/>
        </w:r>
        <w:r w:rsidR="00E548F3">
          <w:rPr>
            <w:noProof/>
            <w:webHidden/>
          </w:rPr>
          <w:fldChar w:fldCharType="begin"/>
        </w:r>
        <w:r w:rsidR="00E548F3">
          <w:rPr>
            <w:noProof/>
            <w:webHidden/>
          </w:rPr>
          <w:instrText xml:space="preserve"> PAGEREF _Toc45898303 \h </w:instrText>
        </w:r>
        <w:r w:rsidR="00E548F3">
          <w:rPr>
            <w:noProof/>
            <w:webHidden/>
          </w:rPr>
        </w:r>
        <w:r w:rsidR="00E548F3">
          <w:rPr>
            <w:noProof/>
            <w:webHidden/>
          </w:rPr>
          <w:fldChar w:fldCharType="separate"/>
        </w:r>
        <w:r w:rsidR="001B2025">
          <w:rPr>
            <w:noProof/>
            <w:webHidden/>
          </w:rPr>
          <w:t>10</w:t>
        </w:r>
        <w:r w:rsidR="00E548F3">
          <w:rPr>
            <w:noProof/>
            <w:webHidden/>
          </w:rPr>
          <w:fldChar w:fldCharType="end"/>
        </w:r>
      </w:hyperlink>
    </w:p>
    <w:p w14:paraId="7A815962" w14:textId="3F3D518B" w:rsidR="00E548F3" w:rsidRDefault="00F30418">
      <w:pPr>
        <w:pStyle w:val="TOC2"/>
        <w:tabs>
          <w:tab w:val="left" w:pos="1134"/>
        </w:tabs>
        <w:rPr>
          <w:rFonts w:asciiTheme="minorHAnsi" w:hAnsiTheme="minorHAnsi"/>
          <w:noProof/>
        </w:rPr>
      </w:pPr>
      <w:hyperlink w:anchor="_Toc45898304" w:history="1">
        <w:r w:rsidR="00E548F3" w:rsidRPr="0080734C">
          <w:rPr>
            <w:rStyle w:val="Hyperlink"/>
            <w:noProof/>
          </w:rPr>
          <w:t>2.1</w:t>
        </w:r>
        <w:r w:rsidR="00E548F3">
          <w:rPr>
            <w:rFonts w:asciiTheme="minorHAnsi" w:hAnsiTheme="minorHAnsi"/>
            <w:noProof/>
          </w:rPr>
          <w:tab/>
        </w:r>
        <w:r w:rsidR="00E548F3" w:rsidRPr="0080734C">
          <w:rPr>
            <w:rStyle w:val="Hyperlink"/>
            <w:noProof/>
          </w:rPr>
          <w:t>Setting the context</w:t>
        </w:r>
        <w:r w:rsidR="00E548F3">
          <w:rPr>
            <w:noProof/>
            <w:webHidden/>
          </w:rPr>
          <w:tab/>
        </w:r>
        <w:r w:rsidR="00E548F3">
          <w:rPr>
            <w:noProof/>
            <w:webHidden/>
          </w:rPr>
          <w:fldChar w:fldCharType="begin"/>
        </w:r>
        <w:r w:rsidR="00E548F3">
          <w:rPr>
            <w:noProof/>
            <w:webHidden/>
          </w:rPr>
          <w:instrText xml:space="preserve"> PAGEREF _Toc45898304 \h </w:instrText>
        </w:r>
        <w:r w:rsidR="00E548F3">
          <w:rPr>
            <w:noProof/>
            <w:webHidden/>
          </w:rPr>
        </w:r>
        <w:r w:rsidR="00E548F3">
          <w:rPr>
            <w:noProof/>
            <w:webHidden/>
          </w:rPr>
          <w:fldChar w:fldCharType="separate"/>
        </w:r>
        <w:r w:rsidR="001B2025">
          <w:rPr>
            <w:noProof/>
            <w:webHidden/>
          </w:rPr>
          <w:t>10</w:t>
        </w:r>
        <w:r w:rsidR="00E548F3">
          <w:rPr>
            <w:noProof/>
            <w:webHidden/>
          </w:rPr>
          <w:fldChar w:fldCharType="end"/>
        </w:r>
      </w:hyperlink>
    </w:p>
    <w:p w14:paraId="4F4EEC3A" w14:textId="4EF67C9D" w:rsidR="00E548F3" w:rsidRDefault="00F30418">
      <w:pPr>
        <w:pStyle w:val="TOC2"/>
        <w:tabs>
          <w:tab w:val="left" w:pos="1134"/>
        </w:tabs>
        <w:rPr>
          <w:rFonts w:asciiTheme="minorHAnsi" w:hAnsiTheme="minorHAnsi"/>
          <w:noProof/>
        </w:rPr>
      </w:pPr>
      <w:hyperlink w:anchor="_Toc45898305" w:history="1">
        <w:r w:rsidR="00E548F3" w:rsidRPr="0080734C">
          <w:rPr>
            <w:rStyle w:val="Hyperlink"/>
            <w:noProof/>
          </w:rPr>
          <w:t>2.2</w:t>
        </w:r>
        <w:r w:rsidR="00E548F3">
          <w:rPr>
            <w:rFonts w:asciiTheme="minorHAnsi" w:hAnsiTheme="minorHAnsi"/>
            <w:noProof/>
          </w:rPr>
          <w:tab/>
        </w:r>
        <w:r w:rsidR="00E548F3" w:rsidRPr="0080734C">
          <w:rPr>
            <w:rStyle w:val="Hyperlink"/>
            <w:noProof/>
          </w:rPr>
          <w:t>Stage 1: First-pass risk screen</w:t>
        </w:r>
        <w:r w:rsidR="00E548F3">
          <w:rPr>
            <w:noProof/>
            <w:webHidden/>
          </w:rPr>
          <w:tab/>
        </w:r>
        <w:r w:rsidR="00E548F3">
          <w:rPr>
            <w:noProof/>
            <w:webHidden/>
          </w:rPr>
          <w:fldChar w:fldCharType="begin"/>
        </w:r>
        <w:r w:rsidR="00E548F3">
          <w:rPr>
            <w:noProof/>
            <w:webHidden/>
          </w:rPr>
          <w:instrText xml:space="preserve"> PAGEREF _Toc45898305 \h </w:instrText>
        </w:r>
        <w:r w:rsidR="00E548F3">
          <w:rPr>
            <w:noProof/>
            <w:webHidden/>
          </w:rPr>
        </w:r>
        <w:r w:rsidR="00E548F3">
          <w:rPr>
            <w:noProof/>
            <w:webHidden/>
          </w:rPr>
          <w:fldChar w:fldCharType="separate"/>
        </w:r>
        <w:r w:rsidR="001B2025">
          <w:rPr>
            <w:noProof/>
            <w:webHidden/>
          </w:rPr>
          <w:t>18</w:t>
        </w:r>
        <w:r w:rsidR="00E548F3">
          <w:rPr>
            <w:noProof/>
            <w:webHidden/>
          </w:rPr>
          <w:fldChar w:fldCharType="end"/>
        </w:r>
      </w:hyperlink>
    </w:p>
    <w:p w14:paraId="21C94F01" w14:textId="5DA11D8D" w:rsidR="00E548F3" w:rsidRDefault="00F30418">
      <w:pPr>
        <w:pStyle w:val="TOC2"/>
        <w:tabs>
          <w:tab w:val="left" w:pos="1134"/>
        </w:tabs>
        <w:rPr>
          <w:rFonts w:asciiTheme="minorHAnsi" w:hAnsiTheme="minorHAnsi"/>
          <w:noProof/>
        </w:rPr>
      </w:pPr>
      <w:hyperlink w:anchor="_Toc45898306" w:history="1">
        <w:r w:rsidR="00E548F3" w:rsidRPr="0080734C">
          <w:rPr>
            <w:rStyle w:val="Hyperlink"/>
            <w:noProof/>
          </w:rPr>
          <w:t>2.3</w:t>
        </w:r>
        <w:r w:rsidR="00E548F3">
          <w:rPr>
            <w:rFonts w:asciiTheme="minorHAnsi" w:hAnsiTheme="minorHAnsi"/>
            <w:noProof/>
          </w:rPr>
          <w:tab/>
        </w:r>
        <w:r w:rsidR="00E548F3" w:rsidRPr="0080734C">
          <w:rPr>
            <w:rStyle w:val="Hyperlink"/>
            <w:noProof/>
          </w:rPr>
          <w:t>Stage 2: Detailed risk assessment</w:t>
        </w:r>
        <w:r w:rsidR="00E548F3">
          <w:rPr>
            <w:noProof/>
            <w:webHidden/>
          </w:rPr>
          <w:tab/>
        </w:r>
        <w:r w:rsidR="00E548F3">
          <w:rPr>
            <w:noProof/>
            <w:webHidden/>
          </w:rPr>
          <w:fldChar w:fldCharType="begin"/>
        </w:r>
        <w:r w:rsidR="00E548F3">
          <w:rPr>
            <w:noProof/>
            <w:webHidden/>
          </w:rPr>
          <w:instrText xml:space="preserve"> PAGEREF _Toc45898306 \h </w:instrText>
        </w:r>
        <w:r w:rsidR="00E548F3">
          <w:rPr>
            <w:noProof/>
            <w:webHidden/>
          </w:rPr>
        </w:r>
        <w:r w:rsidR="00E548F3">
          <w:rPr>
            <w:noProof/>
            <w:webHidden/>
          </w:rPr>
          <w:fldChar w:fldCharType="separate"/>
        </w:r>
        <w:r w:rsidR="001B2025">
          <w:rPr>
            <w:noProof/>
            <w:webHidden/>
          </w:rPr>
          <w:t>21</w:t>
        </w:r>
        <w:r w:rsidR="00E548F3">
          <w:rPr>
            <w:noProof/>
            <w:webHidden/>
          </w:rPr>
          <w:fldChar w:fldCharType="end"/>
        </w:r>
      </w:hyperlink>
    </w:p>
    <w:p w14:paraId="42E89C59" w14:textId="1B86807F" w:rsidR="00E548F3" w:rsidRDefault="00F30418">
      <w:pPr>
        <w:pStyle w:val="TOC2"/>
        <w:tabs>
          <w:tab w:val="left" w:pos="1134"/>
        </w:tabs>
        <w:rPr>
          <w:rFonts w:asciiTheme="minorHAnsi" w:hAnsiTheme="minorHAnsi"/>
          <w:noProof/>
        </w:rPr>
      </w:pPr>
      <w:hyperlink w:anchor="_Toc45898307" w:history="1">
        <w:r w:rsidR="00E548F3" w:rsidRPr="0080734C">
          <w:rPr>
            <w:rStyle w:val="Hyperlink"/>
            <w:rFonts w:cs="Calibri"/>
            <w:noProof/>
          </w:rPr>
          <w:t>2.4</w:t>
        </w:r>
        <w:r w:rsidR="00E548F3">
          <w:rPr>
            <w:rFonts w:asciiTheme="minorHAnsi" w:hAnsiTheme="minorHAnsi"/>
            <w:noProof/>
          </w:rPr>
          <w:tab/>
        </w:r>
        <w:r w:rsidR="00E548F3" w:rsidRPr="0080734C">
          <w:rPr>
            <w:rStyle w:val="Hyperlink"/>
            <w:rFonts w:cs="Calibri"/>
            <w:noProof/>
          </w:rPr>
          <w:t>Stage 3: Adaptation and decision urgency</w:t>
        </w:r>
        <w:r w:rsidR="00E548F3">
          <w:rPr>
            <w:noProof/>
            <w:webHidden/>
          </w:rPr>
          <w:tab/>
        </w:r>
        <w:r w:rsidR="00E548F3">
          <w:rPr>
            <w:noProof/>
            <w:webHidden/>
          </w:rPr>
          <w:fldChar w:fldCharType="begin"/>
        </w:r>
        <w:r w:rsidR="00E548F3">
          <w:rPr>
            <w:noProof/>
            <w:webHidden/>
          </w:rPr>
          <w:instrText xml:space="preserve"> PAGEREF _Toc45898307 \h </w:instrText>
        </w:r>
        <w:r w:rsidR="00E548F3">
          <w:rPr>
            <w:noProof/>
            <w:webHidden/>
          </w:rPr>
        </w:r>
        <w:r w:rsidR="00E548F3">
          <w:rPr>
            <w:noProof/>
            <w:webHidden/>
          </w:rPr>
          <w:fldChar w:fldCharType="separate"/>
        </w:r>
        <w:r w:rsidR="001B2025">
          <w:rPr>
            <w:noProof/>
            <w:webHidden/>
          </w:rPr>
          <w:t>24</w:t>
        </w:r>
        <w:r w:rsidR="00E548F3">
          <w:rPr>
            <w:noProof/>
            <w:webHidden/>
          </w:rPr>
          <w:fldChar w:fldCharType="end"/>
        </w:r>
      </w:hyperlink>
    </w:p>
    <w:p w14:paraId="70C2EB01" w14:textId="13B5F127" w:rsidR="00E548F3" w:rsidRDefault="00F30418">
      <w:pPr>
        <w:pStyle w:val="TOC1"/>
        <w:rPr>
          <w:rFonts w:asciiTheme="minorHAnsi" w:hAnsiTheme="minorHAnsi"/>
          <w:noProof/>
        </w:rPr>
      </w:pPr>
      <w:hyperlink w:anchor="_Toc45898308" w:history="1">
        <w:r w:rsidR="00E548F3" w:rsidRPr="0080734C">
          <w:rPr>
            <w:rStyle w:val="Hyperlink"/>
            <w:noProof/>
          </w:rPr>
          <w:t>3</w:t>
        </w:r>
        <w:r w:rsidR="00E548F3">
          <w:rPr>
            <w:rFonts w:asciiTheme="minorHAnsi" w:hAnsiTheme="minorHAnsi"/>
            <w:noProof/>
          </w:rPr>
          <w:tab/>
        </w:r>
        <w:r w:rsidR="00E548F3" w:rsidRPr="0080734C">
          <w:rPr>
            <w:rStyle w:val="Hyperlink"/>
            <w:noProof/>
          </w:rPr>
          <w:t>Engagement approach</w:t>
        </w:r>
        <w:r w:rsidR="00E548F3">
          <w:rPr>
            <w:noProof/>
            <w:webHidden/>
          </w:rPr>
          <w:tab/>
        </w:r>
        <w:r w:rsidR="00E548F3">
          <w:rPr>
            <w:noProof/>
            <w:webHidden/>
          </w:rPr>
          <w:fldChar w:fldCharType="begin"/>
        </w:r>
        <w:r w:rsidR="00E548F3">
          <w:rPr>
            <w:noProof/>
            <w:webHidden/>
          </w:rPr>
          <w:instrText xml:space="preserve"> PAGEREF _Toc45898308 \h </w:instrText>
        </w:r>
        <w:r w:rsidR="00E548F3">
          <w:rPr>
            <w:noProof/>
            <w:webHidden/>
          </w:rPr>
        </w:r>
        <w:r w:rsidR="00E548F3">
          <w:rPr>
            <w:noProof/>
            <w:webHidden/>
          </w:rPr>
          <w:fldChar w:fldCharType="separate"/>
        </w:r>
        <w:r w:rsidR="001B2025">
          <w:rPr>
            <w:noProof/>
            <w:webHidden/>
          </w:rPr>
          <w:t>28</w:t>
        </w:r>
        <w:r w:rsidR="00E548F3">
          <w:rPr>
            <w:noProof/>
            <w:webHidden/>
          </w:rPr>
          <w:fldChar w:fldCharType="end"/>
        </w:r>
      </w:hyperlink>
    </w:p>
    <w:p w14:paraId="00BE7C0E" w14:textId="4C512EDD" w:rsidR="00E548F3" w:rsidRDefault="00F30418">
      <w:pPr>
        <w:pStyle w:val="TOC2"/>
        <w:tabs>
          <w:tab w:val="left" w:pos="1134"/>
        </w:tabs>
        <w:rPr>
          <w:rFonts w:asciiTheme="minorHAnsi" w:hAnsiTheme="minorHAnsi"/>
          <w:noProof/>
        </w:rPr>
      </w:pPr>
      <w:hyperlink w:anchor="_Toc45898309" w:history="1">
        <w:r w:rsidR="00E548F3" w:rsidRPr="0080734C">
          <w:rPr>
            <w:rStyle w:val="Hyperlink"/>
            <w:noProof/>
          </w:rPr>
          <w:t>3.1</w:t>
        </w:r>
        <w:r w:rsidR="00E548F3">
          <w:rPr>
            <w:rFonts w:asciiTheme="minorHAnsi" w:hAnsiTheme="minorHAnsi"/>
            <w:noProof/>
          </w:rPr>
          <w:tab/>
        </w:r>
        <w:r w:rsidR="00E548F3" w:rsidRPr="0080734C">
          <w:rPr>
            <w:rStyle w:val="Hyperlink"/>
            <w:noProof/>
          </w:rPr>
          <w:t>Stakeholder</w:t>
        </w:r>
        <w:r w:rsidR="00E548F3" w:rsidRPr="0080734C">
          <w:rPr>
            <w:rStyle w:val="Hyperlink"/>
            <w:noProof/>
            <w:spacing w:val="-5"/>
          </w:rPr>
          <w:t xml:space="preserve"> </w:t>
        </w:r>
        <w:r w:rsidR="00E548F3" w:rsidRPr="0080734C">
          <w:rPr>
            <w:rStyle w:val="Hyperlink"/>
            <w:noProof/>
          </w:rPr>
          <w:t>identification</w:t>
        </w:r>
        <w:r w:rsidR="00E548F3">
          <w:rPr>
            <w:noProof/>
            <w:webHidden/>
          </w:rPr>
          <w:tab/>
        </w:r>
        <w:r w:rsidR="00E548F3">
          <w:rPr>
            <w:noProof/>
            <w:webHidden/>
          </w:rPr>
          <w:fldChar w:fldCharType="begin"/>
        </w:r>
        <w:r w:rsidR="00E548F3">
          <w:rPr>
            <w:noProof/>
            <w:webHidden/>
          </w:rPr>
          <w:instrText xml:space="preserve"> PAGEREF _Toc45898309 \h </w:instrText>
        </w:r>
        <w:r w:rsidR="00E548F3">
          <w:rPr>
            <w:noProof/>
            <w:webHidden/>
          </w:rPr>
        </w:r>
        <w:r w:rsidR="00E548F3">
          <w:rPr>
            <w:noProof/>
            <w:webHidden/>
          </w:rPr>
          <w:fldChar w:fldCharType="separate"/>
        </w:r>
        <w:r w:rsidR="001B2025">
          <w:rPr>
            <w:noProof/>
            <w:webHidden/>
          </w:rPr>
          <w:t>28</w:t>
        </w:r>
        <w:r w:rsidR="00E548F3">
          <w:rPr>
            <w:noProof/>
            <w:webHidden/>
          </w:rPr>
          <w:fldChar w:fldCharType="end"/>
        </w:r>
      </w:hyperlink>
    </w:p>
    <w:p w14:paraId="26A9CDC6" w14:textId="7C335D2E" w:rsidR="00E548F3" w:rsidRDefault="00F30418">
      <w:pPr>
        <w:pStyle w:val="TOC2"/>
        <w:tabs>
          <w:tab w:val="left" w:pos="1134"/>
        </w:tabs>
        <w:rPr>
          <w:rFonts w:asciiTheme="minorHAnsi" w:hAnsiTheme="minorHAnsi"/>
          <w:noProof/>
        </w:rPr>
      </w:pPr>
      <w:hyperlink w:anchor="_Toc45898310" w:history="1">
        <w:r w:rsidR="00E548F3" w:rsidRPr="0080734C">
          <w:rPr>
            <w:rStyle w:val="Hyperlink"/>
            <w:noProof/>
          </w:rPr>
          <w:t>3.2</w:t>
        </w:r>
        <w:r w:rsidR="00E548F3">
          <w:rPr>
            <w:rFonts w:asciiTheme="minorHAnsi" w:hAnsiTheme="minorHAnsi"/>
            <w:noProof/>
          </w:rPr>
          <w:tab/>
        </w:r>
        <w:r w:rsidR="00E548F3" w:rsidRPr="0080734C">
          <w:rPr>
            <w:rStyle w:val="Hyperlink"/>
            <w:noProof/>
          </w:rPr>
          <w:t>Engagement methods: stage 1</w:t>
        </w:r>
        <w:r w:rsidR="00E548F3">
          <w:rPr>
            <w:noProof/>
            <w:webHidden/>
          </w:rPr>
          <w:tab/>
        </w:r>
        <w:r w:rsidR="00E548F3">
          <w:rPr>
            <w:noProof/>
            <w:webHidden/>
          </w:rPr>
          <w:fldChar w:fldCharType="begin"/>
        </w:r>
        <w:r w:rsidR="00E548F3">
          <w:rPr>
            <w:noProof/>
            <w:webHidden/>
          </w:rPr>
          <w:instrText xml:space="preserve"> PAGEREF _Toc45898310 \h </w:instrText>
        </w:r>
        <w:r w:rsidR="00E548F3">
          <w:rPr>
            <w:noProof/>
            <w:webHidden/>
          </w:rPr>
        </w:r>
        <w:r w:rsidR="00E548F3">
          <w:rPr>
            <w:noProof/>
            <w:webHidden/>
          </w:rPr>
          <w:fldChar w:fldCharType="separate"/>
        </w:r>
        <w:r w:rsidR="001B2025">
          <w:rPr>
            <w:noProof/>
            <w:webHidden/>
          </w:rPr>
          <w:t>30</w:t>
        </w:r>
        <w:r w:rsidR="00E548F3">
          <w:rPr>
            <w:noProof/>
            <w:webHidden/>
          </w:rPr>
          <w:fldChar w:fldCharType="end"/>
        </w:r>
      </w:hyperlink>
    </w:p>
    <w:p w14:paraId="5B47F09B" w14:textId="360E34E6" w:rsidR="00E548F3" w:rsidRDefault="00F30418">
      <w:pPr>
        <w:pStyle w:val="TOC2"/>
        <w:tabs>
          <w:tab w:val="left" w:pos="1134"/>
        </w:tabs>
        <w:rPr>
          <w:rFonts w:asciiTheme="minorHAnsi" w:hAnsiTheme="minorHAnsi"/>
          <w:noProof/>
        </w:rPr>
      </w:pPr>
      <w:hyperlink w:anchor="_Toc45898311" w:history="1">
        <w:r w:rsidR="00E548F3" w:rsidRPr="0080734C">
          <w:rPr>
            <w:rStyle w:val="Hyperlink"/>
            <w:noProof/>
          </w:rPr>
          <w:t>3.3</w:t>
        </w:r>
        <w:r w:rsidR="00E548F3">
          <w:rPr>
            <w:rFonts w:asciiTheme="minorHAnsi" w:hAnsiTheme="minorHAnsi"/>
            <w:noProof/>
          </w:rPr>
          <w:tab/>
        </w:r>
        <w:r w:rsidR="00E548F3" w:rsidRPr="0080734C">
          <w:rPr>
            <w:rStyle w:val="Hyperlink"/>
            <w:noProof/>
          </w:rPr>
          <w:t>Engagement methods: stage 2</w:t>
        </w:r>
        <w:r w:rsidR="00E548F3">
          <w:rPr>
            <w:noProof/>
            <w:webHidden/>
          </w:rPr>
          <w:tab/>
        </w:r>
        <w:r w:rsidR="00E548F3">
          <w:rPr>
            <w:noProof/>
            <w:webHidden/>
          </w:rPr>
          <w:fldChar w:fldCharType="begin"/>
        </w:r>
        <w:r w:rsidR="00E548F3">
          <w:rPr>
            <w:noProof/>
            <w:webHidden/>
          </w:rPr>
          <w:instrText xml:space="preserve"> PAGEREF _Toc45898311 \h </w:instrText>
        </w:r>
        <w:r w:rsidR="00E548F3">
          <w:rPr>
            <w:noProof/>
            <w:webHidden/>
          </w:rPr>
        </w:r>
        <w:r w:rsidR="00E548F3">
          <w:rPr>
            <w:noProof/>
            <w:webHidden/>
          </w:rPr>
          <w:fldChar w:fldCharType="separate"/>
        </w:r>
        <w:r w:rsidR="001B2025">
          <w:rPr>
            <w:noProof/>
            <w:webHidden/>
          </w:rPr>
          <w:t>34</w:t>
        </w:r>
        <w:r w:rsidR="00E548F3">
          <w:rPr>
            <w:noProof/>
            <w:webHidden/>
          </w:rPr>
          <w:fldChar w:fldCharType="end"/>
        </w:r>
      </w:hyperlink>
    </w:p>
    <w:p w14:paraId="71E6612E" w14:textId="3A7E59A2" w:rsidR="00E548F3" w:rsidRDefault="00F30418">
      <w:pPr>
        <w:pStyle w:val="TOC1"/>
        <w:rPr>
          <w:rFonts w:asciiTheme="minorHAnsi" w:hAnsiTheme="minorHAnsi"/>
          <w:noProof/>
        </w:rPr>
      </w:pPr>
      <w:hyperlink w:anchor="_Toc45898312" w:history="1">
        <w:r w:rsidR="00E548F3" w:rsidRPr="0080734C">
          <w:rPr>
            <w:rStyle w:val="Hyperlink"/>
            <w:noProof/>
          </w:rPr>
          <w:t>4</w:t>
        </w:r>
        <w:r w:rsidR="00E548F3">
          <w:rPr>
            <w:rFonts w:asciiTheme="minorHAnsi" w:hAnsiTheme="minorHAnsi"/>
            <w:noProof/>
          </w:rPr>
          <w:tab/>
        </w:r>
        <w:r w:rsidR="00E548F3" w:rsidRPr="0080734C">
          <w:rPr>
            <w:rStyle w:val="Hyperlink"/>
            <w:noProof/>
          </w:rPr>
          <w:t>Results of engagement</w:t>
        </w:r>
        <w:r w:rsidR="00E548F3">
          <w:rPr>
            <w:noProof/>
            <w:webHidden/>
          </w:rPr>
          <w:tab/>
        </w:r>
        <w:r w:rsidR="00E548F3">
          <w:rPr>
            <w:noProof/>
            <w:webHidden/>
          </w:rPr>
          <w:fldChar w:fldCharType="begin"/>
        </w:r>
        <w:r w:rsidR="00E548F3">
          <w:rPr>
            <w:noProof/>
            <w:webHidden/>
          </w:rPr>
          <w:instrText xml:space="preserve"> PAGEREF _Toc45898312 \h </w:instrText>
        </w:r>
        <w:r w:rsidR="00E548F3">
          <w:rPr>
            <w:noProof/>
            <w:webHidden/>
          </w:rPr>
        </w:r>
        <w:r w:rsidR="00E548F3">
          <w:rPr>
            <w:noProof/>
            <w:webHidden/>
          </w:rPr>
          <w:fldChar w:fldCharType="separate"/>
        </w:r>
        <w:r w:rsidR="001B2025">
          <w:rPr>
            <w:noProof/>
            <w:webHidden/>
          </w:rPr>
          <w:t>39</w:t>
        </w:r>
        <w:r w:rsidR="00E548F3">
          <w:rPr>
            <w:noProof/>
            <w:webHidden/>
          </w:rPr>
          <w:fldChar w:fldCharType="end"/>
        </w:r>
      </w:hyperlink>
    </w:p>
    <w:p w14:paraId="2E2B1567" w14:textId="139DD7E2" w:rsidR="00E548F3" w:rsidRDefault="00F30418">
      <w:pPr>
        <w:pStyle w:val="TOC2"/>
        <w:tabs>
          <w:tab w:val="left" w:pos="1134"/>
        </w:tabs>
        <w:rPr>
          <w:rFonts w:asciiTheme="minorHAnsi" w:hAnsiTheme="minorHAnsi"/>
          <w:noProof/>
        </w:rPr>
      </w:pPr>
      <w:hyperlink w:anchor="_Toc45898313" w:history="1">
        <w:r w:rsidR="00E548F3" w:rsidRPr="0080734C">
          <w:rPr>
            <w:rStyle w:val="Hyperlink"/>
            <w:noProof/>
          </w:rPr>
          <w:t>4.1</w:t>
        </w:r>
        <w:r w:rsidR="00E548F3">
          <w:rPr>
            <w:rFonts w:asciiTheme="minorHAnsi" w:hAnsiTheme="minorHAnsi"/>
            <w:noProof/>
          </w:rPr>
          <w:tab/>
        </w:r>
        <w:r w:rsidR="00E548F3" w:rsidRPr="0080734C">
          <w:rPr>
            <w:rStyle w:val="Hyperlink"/>
            <w:noProof/>
          </w:rPr>
          <w:t>National workshop: stage 1</w:t>
        </w:r>
        <w:r w:rsidR="00E548F3">
          <w:rPr>
            <w:noProof/>
            <w:webHidden/>
          </w:rPr>
          <w:tab/>
        </w:r>
        <w:r w:rsidR="00E548F3">
          <w:rPr>
            <w:noProof/>
            <w:webHidden/>
          </w:rPr>
          <w:fldChar w:fldCharType="begin"/>
        </w:r>
        <w:r w:rsidR="00E548F3">
          <w:rPr>
            <w:noProof/>
            <w:webHidden/>
          </w:rPr>
          <w:instrText xml:space="preserve"> PAGEREF _Toc45898313 \h </w:instrText>
        </w:r>
        <w:r w:rsidR="00E548F3">
          <w:rPr>
            <w:noProof/>
            <w:webHidden/>
          </w:rPr>
        </w:r>
        <w:r w:rsidR="00E548F3">
          <w:rPr>
            <w:noProof/>
            <w:webHidden/>
          </w:rPr>
          <w:fldChar w:fldCharType="separate"/>
        </w:r>
        <w:r w:rsidR="001B2025">
          <w:rPr>
            <w:noProof/>
            <w:webHidden/>
          </w:rPr>
          <w:t>39</w:t>
        </w:r>
        <w:r w:rsidR="00E548F3">
          <w:rPr>
            <w:noProof/>
            <w:webHidden/>
          </w:rPr>
          <w:fldChar w:fldCharType="end"/>
        </w:r>
      </w:hyperlink>
    </w:p>
    <w:p w14:paraId="45E0D547" w14:textId="400AEF99" w:rsidR="00E548F3" w:rsidRDefault="00F30418">
      <w:pPr>
        <w:pStyle w:val="TOC2"/>
        <w:tabs>
          <w:tab w:val="left" w:pos="1134"/>
        </w:tabs>
        <w:rPr>
          <w:rFonts w:asciiTheme="minorHAnsi" w:hAnsiTheme="minorHAnsi"/>
          <w:noProof/>
        </w:rPr>
      </w:pPr>
      <w:hyperlink w:anchor="_Toc45898314" w:history="1">
        <w:r w:rsidR="00E548F3" w:rsidRPr="0080734C">
          <w:rPr>
            <w:rStyle w:val="Hyperlink"/>
            <w:noProof/>
          </w:rPr>
          <w:t>4.2</w:t>
        </w:r>
        <w:r w:rsidR="00E548F3">
          <w:rPr>
            <w:rFonts w:asciiTheme="minorHAnsi" w:hAnsiTheme="minorHAnsi"/>
            <w:noProof/>
          </w:rPr>
          <w:tab/>
        </w:r>
        <w:r w:rsidR="00E548F3" w:rsidRPr="0080734C">
          <w:rPr>
            <w:rStyle w:val="Hyperlink"/>
            <w:noProof/>
          </w:rPr>
          <w:t>Māori engagement hui: stage 1</w:t>
        </w:r>
        <w:r w:rsidR="00E548F3">
          <w:rPr>
            <w:noProof/>
            <w:webHidden/>
          </w:rPr>
          <w:tab/>
        </w:r>
        <w:r w:rsidR="00E548F3">
          <w:rPr>
            <w:noProof/>
            <w:webHidden/>
          </w:rPr>
          <w:fldChar w:fldCharType="begin"/>
        </w:r>
        <w:r w:rsidR="00E548F3">
          <w:rPr>
            <w:noProof/>
            <w:webHidden/>
          </w:rPr>
          <w:instrText xml:space="preserve"> PAGEREF _Toc45898314 \h </w:instrText>
        </w:r>
        <w:r w:rsidR="00E548F3">
          <w:rPr>
            <w:noProof/>
            <w:webHidden/>
          </w:rPr>
        </w:r>
        <w:r w:rsidR="00E548F3">
          <w:rPr>
            <w:noProof/>
            <w:webHidden/>
          </w:rPr>
          <w:fldChar w:fldCharType="separate"/>
        </w:r>
        <w:r w:rsidR="001B2025">
          <w:rPr>
            <w:noProof/>
            <w:webHidden/>
          </w:rPr>
          <w:t>40</w:t>
        </w:r>
        <w:r w:rsidR="00E548F3">
          <w:rPr>
            <w:noProof/>
            <w:webHidden/>
          </w:rPr>
          <w:fldChar w:fldCharType="end"/>
        </w:r>
      </w:hyperlink>
    </w:p>
    <w:p w14:paraId="5D62DBDC" w14:textId="70396F3A" w:rsidR="00E548F3" w:rsidRDefault="00F30418">
      <w:pPr>
        <w:pStyle w:val="TOC2"/>
        <w:tabs>
          <w:tab w:val="left" w:pos="1134"/>
        </w:tabs>
        <w:rPr>
          <w:rFonts w:asciiTheme="minorHAnsi" w:hAnsiTheme="minorHAnsi"/>
          <w:noProof/>
        </w:rPr>
      </w:pPr>
      <w:hyperlink w:anchor="_Toc45898315" w:history="1">
        <w:r w:rsidR="00E548F3" w:rsidRPr="0080734C">
          <w:rPr>
            <w:rStyle w:val="Hyperlink"/>
            <w:noProof/>
          </w:rPr>
          <w:t>4.3</w:t>
        </w:r>
        <w:r w:rsidR="00E548F3">
          <w:rPr>
            <w:rFonts w:asciiTheme="minorHAnsi" w:hAnsiTheme="minorHAnsi"/>
            <w:noProof/>
          </w:rPr>
          <w:tab/>
        </w:r>
        <w:r w:rsidR="00E548F3" w:rsidRPr="0080734C">
          <w:rPr>
            <w:rStyle w:val="Hyperlink"/>
            <w:noProof/>
          </w:rPr>
          <w:t>Online survey: stage 1</w:t>
        </w:r>
        <w:r w:rsidR="00E548F3">
          <w:rPr>
            <w:noProof/>
            <w:webHidden/>
          </w:rPr>
          <w:tab/>
        </w:r>
        <w:r w:rsidR="00E548F3">
          <w:rPr>
            <w:noProof/>
            <w:webHidden/>
          </w:rPr>
          <w:fldChar w:fldCharType="begin"/>
        </w:r>
        <w:r w:rsidR="00E548F3">
          <w:rPr>
            <w:noProof/>
            <w:webHidden/>
          </w:rPr>
          <w:instrText xml:space="preserve"> PAGEREF _Toc45898315 \h </w:instrText>
        </w:r>
        <w:r w:rsidR="00E548F3">
          <w:rPr>
            <w:noProof/>
            <w:webHidden/>
          </w:rPr>
        </w:r>
        <w:r w:rsidR="00E548F3">
          <w:rPr>
            <w:noProof/>
            <w:webHidden/>
          </w:rPr>
          <w:fldChar w:fldCharType="separate"/>
        </w:r>
        <w:r w:rsidR="001B2025">
          <w:rPr>
            <w:noProof/>
            <w:webHidden/>
          </w:rPr>
          <w:t>43</w:t>
        </w:r>
        <w:r w:rsidR="00E548F3">
          <w:rPr>
            <w:noProof/>
            <w:webHidden/>
          </w:rPr>
          <w:fldChar w:fldCharType="end"/>
        </w:r>
      </w:hyperlink>
    </w:p>
    <w:p w14:paraId="3499634F" w14:textId="7C80E33F" w:rsidR="00E548F3" w:rsidRDefault="00F30418">
      <w:pPr>
        <w:pStyle w:val="TOC2"/>
        <w:tabs>
          <w:tab w:val="left" w:pos="1134"/>
        </w:tabs>
        <w:rPr>
          <w:rFonts w:asciiTheme="minorHAnsi" w:hAnsiTheme="minorHAnsi"/>
          <w:noProof/>
        </w:rPr>
      </w:pPr>
      <w:hyperlink w:anchor="_Toc45898316" w:history="1">
        <w:r w:rsidR="00E548F3" w:rsidRPr="0080734C">
          <w:rPr>
            <w:rStyle w:val="Hyperlink"/>
            <w:noProof/>
          </w:rPr>
          <w:t>4.4</w:t>
        </w:r>
        <w:r w:rsidR="00E548F3">
          <w:rPr>
            <w:rFonts w:asciiTheme="minorHAnsi" w:hAnsiTheme="minorHAnsi"/>
            <w:noProof/>
          </w:rPr>
          <w:tab/>
        </w:r>
        <w:r w:rsidR="00E548F3" w:rsidRPr="0080734C">
          <w:rPr>
            <w:rStyle w:val="Hyperlink"/>
            <w:noProof/>
          </w:rPr>
          <w:t>Focused meetings: stage 1</w:t>
        </w:r>
        <w:r w:rsidR="00E548F3">
          <w:rPr>
            <w:noProof/>
            <w:webHidden/>
          </w:rPr>
          <w:tab/>
        </w:r>
        <w:r w:rsidR="00E548F3">
          <w:rPr>
            <w:noProof/>
            <w:webHidden/>
          </w:rPr>
          <w:fldChar w:fldCharType="begin"/>
        </w:r>
        <w:r w:rsidR="00E548F3">
          <w:rPr>
            <w:noProof/>
            <w:webHidden/>
          </w:rPr>
          <w:instrText xml:space="preserve"> PAGEREF _Toc45898316 \h </w:instrText>
        </w:r>
        <w:r w:rsidR="00E548F3">
          <w:rPr>
            <w:noProof/>
            <w:webHidden/>
          </w:rPr>
        </w:r>
        <w:r w:rsidR="00E548F3">
          <w:rPr>
            <w:noProof/>
            <w:webHidden/>
          </w:rPr>
          <w:fldChar w:fldCharType="separate"/>
        </w:r>
        <w:r w:rsidR="001B2025">
          <w:rPr>
            <w:noProof/>
            <w:webHidden/>
          </w:rPr>
          <w:t>43</w:t>
        </w:r>
        <w:r w:rsidR="00E548F3">
          <w:rPr>
            <w:noProof/>
            <w:webHidden/>
          </w:rPr>
          <w:fldChar w:fldCharType="end"/>
        </w:r>
      </w:hyperlink>
    </w:p>
    <w:p w14:paraId="7B83A61C" w14:textId="0BAFB8BA" w:rsidR="00E548F3" w:rsidRDefault="00F30418">
      <w:pPr>
        <w:pStyle w:val="TOC2"/>
        <w:tabs>
          <w:tab w:val="left" w:pos="1134"/>
        </w:tabs>
        <w:rPr>
          <w:rFonts w:asciiTheme="minorHAnsi" w:hAnsiTheme="minorHAnsi"/>
          <w:noProof/>
        </w:rPr>
      </w:pPr>
      <w:hyperlink w:anchor="_Toc45898317" w:history="1">
        <w:r w:rsidR="00E548F3" w:rsidRPr="0080734C">
          <w:rPr>
            <w:rStyle w:val="Hyperlink"/>
            <w:noProof/>
          </w:rPr>
          <w:t>4.5</w:t>
        </w:r>
        <w:r w:rsidR="00E548F3">
          <w:rPr>
            <w:rFonts w:asciiTheme="minorHAnsi" w:hAnsiTheme="minorHAnsi"/>
            <w:noProof/>
          </w:rPr>
          <w:tab/>
        </w:r>
        <w:r w:rsidR="00E548F3" w:rsidRPr="0080734C">
          <w:rPr>
            <w:rStyle w:val="Hyperlink"/>
            <w:noProof/>
          </w:rPr>
          <w:t>Supplementary engagement: stage 1</w:t>
        </w:r>
        <w:r w:rsidR="00E548F3">
          <w:rPr>
            <w:noProof/>
            <w:webHidden/>
          </w:rPr>
          <w:tab/>
        </w:r>
        <w:r w:rsidR="00E548F3">
          <w:rPr>
            <w:noProof/>
            <w:webHidden/>
          </w:rPr>
          <w:fldChar w:fldCharType="begin"/>
        </w:r>
        <w:r w:rsidR="00E548F3">
          <w:rPr>
            <w:noProof/>
            <w:webHidden/>
          </w:rPr>
          <w:instrText xml:space="preserve"> PAGEREF _Toc45898317 \h </w:instrText>
        </w:r>
        <w:r w:rsidR="00E548F3">
          <w:rPr>
            <w:noProof/>
            <w:webHidden/>
          </w:rPr>
        </w:r>
        <w:r w:rsidR="00E548F3">
          <w:rPr>
            <w:noProof/>
            <w:webHidden/>
          </w:rPr>
          <w:fldChar w:fldCharType="separate"/>
        </w:r>
        <w:r w:rsidR="001B2025">
          <w:rPr>
            <w:noProof/>
            <w:webHidden/>
          </w:rPr>
          <w:t>43</w:t>
        </w:r>
        <w:r w:rsidR="00E548F3">
          <w:rPr>
            <w:noProof/>
            <w:webHidden/>
          </w:rPr>
          <w:fldChar w:fldCharType="end"/>
        </w:r>
      </w:hyperlink>
    </w:p>
    <w:p w14:paraId="04888D44" w14:textId="2D200C09" w:rsidR="00E548F3" w:rsidRDefault="00F30418">
      <w:pPr>
        <w:pStyle w:val="TOC2"/>
        <w:tabs>
          <w:tab w:val="left" w:pos="1134"/>
        </w:tabs>
        <w:rPr>
          <w:rFonts w:asciiTheme="minorHAnsi" w:hAnsiTheme="minorHAnsi"/>
          <w:noProof/>
        </w:rPr>
      </w:pPr>
      <w:hyperlink w:anchor="_Toc45898318" w:history="1">
        <w:r w:rsidR="00E548F3" w:rsidRPr="0080734C">
          <w:rPr>
            <w:rStyle w:val="Hyperlink"/>
            <w:noProof/>
          </w:rPr>
          <w:t>4.6</w:t>
        </w:r>
        <w:r w:rsidR="00E548F3">
          <w:rPr>
            <w:rFonts w:asciiTheme="minorHAnsi" w:hAnsiTheme="minorHAnsi"/>
            <w:noProof/>
          </w:rPr>
          <w:tab/>
        </w:r>
        <w:r w:rsidR="00E548F3" w:rsidRPr="0080734C">
          <w:rPr>
            <w:rStyle w:val="Hyperlink"/>
            <w:noProof/>
          </w:rPr>
          <w:t>Response to participant feedback: stage 1</w:t>
        </w:r>
        <w:r w:rsidR="00E548F3">
          <w:rPr>
            <w:noProof/>
            <w:webHidden/>
          </w:rPr>
          <w:tab/>
        </w:r>
        <w:r w:rsidR="00E548F3">
          <w:rPr>
            <w:noProof/>
            <w:webHidden/>
          </w:rPr>
          <w:fldChar w:fldCharType="begin"/>
        </w:r>
        <w:r w:rsidR="00E548F3">
          <w:rPr>
            <w:noProof/>
            <w:webHidden/>
          </w:rPr>
          <w:instrText xml:space="preserve"> PAGEREF _Toc45898318 \h </w:instrText>
        </w:r>
        <w:r w:rsidR="00E548F3">
          <w:rPr>
            <w:noProof/>
            <w:webHidden/>
          </w:rPr>
        </w:r>
        <w:r w:rsidR="00E548F3">
          <w:rPr>
            <w:noProof/>
            <w:webHidden/>
          </w:rPr>
          <w:fldChar w:fldCharType="separate"/>
        </w:r>
        <w:r w:rsidR="001B2025">
          <w:rPr>
            <w:noProof/>
            <w:webHidden/>
          </w:rPr>
          <w:t>43</w:t>
        </w:r>
        <w:r w:rsidR="00E548F3">
          <w:rPr>
            <w:noProof/>
            <w:webHidden/>
          </w:rPr>
          <w:fldChar w:fldCharType="end"/>
        </w:r>
      </w:hyperlink>
    </w:p>
    <w:p w14:paraId="05A01E62" w14:textId="12AC1B0F" w:rsidR="00E548F3" w:rsidRDefault="00F30418">
      <w:pPr>
        <w:pStyle w:val="TOC2"/>
        <w:tabs>
          <w:tab w:val="left" w:pos="1134"/>
        </w:tabs>
        <w:rPr>
          <w:rFonts w:asciiTheme="minorHAnsi" w:hAnsiTheme="minorHAnsi"/>
          <w:noProof/>
        </w:rPr>
      </w:pPr>
      <w:hyperlink w:anchor="_Toc45898319" w:history="1">
        <w:r w:rsidR="00E548F3" w:rsidRPr="0080734C">
          <w:rPr>
            <w:rStyle w:val="Hyperlink"/>
            <w:noProof/>
          </w:rPr>
          <w:t>4.7</w:t>
        </w:r>
        <w:r w:rsidR="00E548F3">
          <w:rPr>
            <w:rFonts w:asciiTheme="minorHAnsi" w:hAnsiTheme="minorHAnsi"/>
            <w:noProof/>
          </w:rPr>
          <w:tab/>
        </w:r>
        <w:r w:rsidR="00E548F3" w:rsidRPr="0080734C">
          <w:rPr>
            <w:rStyle w:val="Hyperlink"/>
            <w:noProof/>
          </w:rPr>
          <w:t>Risk workshops: stage 2</w:t>
        </w:r>
        <w:r w:rsidR="00E548F3">
          <w:rPr>
            <w:noProof/>
            <w:webHidden/>
          </w:rPr>
          <w:tab/>
        </w:r>
        <w:r w:rsidR="00E548F3">
          <w:rPr>
            <w:noProof/>
            <w:webHidden/>
          </w:rPr>
          <w:fldChar w:fldCharType="begin"/>
        </w:r>
        <w:r w:rsidR="00E548F3">
          <w:rPr>
            <w:noProof/>
            <w:webHidden/>
          </w:rPr>
          <w:instrText xml:space="preserve"> PAGEREF _Toc45898319 \h </w:instrText>
        </w:r>
        <w:r w:rsidR="00E548F3">
          <w:rPr>
            <w:noProof/>
            <w:webHidden/>
          </w:rPr>
        </w:r>
        <w:r w:rsidR="00E548F3">
          <w:rPr>
            <w:noProof/>
            <w:webHidden/>
          </w:rPr>
          <w:fldChar w:fldCharType="separate"/>
        </w:r>
        <w:r w:rsidR="001B2025">
          <w:rPr>
            <w:noProof/>
            <w:webHidden/>
          </w:rPr>
          <w:t>44</w:t>
        </w:r>
        <w:r w:rsidR="00E548F3">
          <w:rPr>
            <w:noProof/>
            <w:webHidden/>
          </w:rPr>
          <w:fldChar w:fldCharType="end"/>
        </w:r>
      </w:hyperlink>
    </w:p>
    <w:p w14:paraId="6ABA3D50" w14:textId="05FC2E60" w:rsidR="00E548F3" w:rsidRDefault="00F30418">
      <w:pPr>
        <w:pStyle w:val="TOC2"/>
        <w:tabs>
          <w:tab w:val="left" w:pos="1134"/>
        </w:tabs>
        <w:rPr>
          <w:rFonts w:asciiTheme="minorHAnsi" w:hAnsiTheme="minorHAnsi"/>
          <w:noProof/>
        </w:rPr>
      </w:pPr>
      <w:hyperlink w:anchor="_Toc45898320" w:history="1">
        <w:r w:rsidR="00E548F3" w:rsidRPr="0080734C">
          <w:rPr>
            <w:rStyle w:val="Hyperlink"/>
            <w:noProof/>
          </w:rPr>
          <w:t>4.8</w:t>
        </w:r>
        <w:r w:rsidR="00E548F3">
          <w:rPr>
            <w:rFonts w:asciiTheme="minorHAnsi" w:hAnsiTheme="minorHAnsi"/>
            <w:noProof/>
          </w:rPr>
          <w:tab/>
        </w:r>
        <w:r w:rsidR="00E548F3" w:rsidRPr="0080734C">
          <w:rPr>
            <w:rStyle w:val="Hyperlink"/>
            <w:noProof/>
          </w:rPr>
          <w:t>Local hui: stage 2</w:t>
        </w:r>
        <w:r w:rsidR="00E548F3">
          <w:rPr>
            <w:noProof/>
            <w:webHidden/>
          </w:rPr>
          <w:tab/>
        </w:r>
        <w:r w:rsidR="00E548F3">
          <w:rPr>
            <w:noProof/>
            <w:webHidden/>
          </w:rPr>
          <w:fldChar w:fldCharType="begin"/>
        </w:r>
        <w:r w:rsidR="00E548F3">
          <w:rPr>
            <w:noProof/>
            <w:webHidden/>
          </w:rPr>
          <w:instrText xml:space="preserve"> PAGEREF _Toc45898320 \h </w:instrText>
        </w:r>
        <w:r w:rsidR="00E548F3">
          <w:rPr>
            <w:noProof/>
            <w:webHidden/>
          </w:rPr>
        </w:r>
        <w:r w:rsidR="00E548F3">
          <w:rPr>
            <w:noProof/>
            <w:webHidden/>
          </w:rPr>
          <w:fldChar w:fldCharType="separate"/>
        </w:r>
        <w:r w:rsidR="001B2025">
          <w:rPr>
            <w:noProof/>
            <w:webHidden/>
          </w:rPr>
          <w:t>45</w:t>
        </w:r>
        <w:r w:rsidR="00E548F3">
          <w:rPr>
            <w:noProof/>
            <w:webHidden/>
          </w:rPr>
          <w:fldChar w:fldCharType="end"/>
        </w:r>
      </w:hyperlink>
    </w:p>
    <w:p w14:paraId="05CF0A3F" w14:textId="2E19D420" w:rsidR="00E548F3" w:rsidRDefault="00F30418">
      <w:pPr>
        <w:pStyle w:val="TOC2"/>
        <w:tabs>
          <w:tab w:val="left" w:pos="1134"/>
        </w:tabs>
        <w:rPr>
          <w:rFonts w:asciiTheme="minorHAnsi" w:hAnsiTheme="minorHAnsi"/>
          <w:noProof/>
        </w:rPr>
      </w:pPr>
      <w:hyperlink w:anchor="_Toc45898321" w:history="1">
        <w:r w:rsidR="00E548F3" w:rsidRPr="0080734C">
          <w:rPr>
            <w:rStyle w:val="Hyperlink"/>
            <w:noProof/>
          </w:rPr>
          <w:t>4.9</w:t>
        </w:r>
        <w:r w:rsidR="00E548F3">
          <w:rPr>
            <w:rFonts w:asciiTheme="minorHAnsi" w:hAnsiTheme="minorHAnsi"/>
            <w:noProof/>
          </w:rPr>
          <w:tab/>
        </w:r>
        <w:r w:rsidR="00E548F3" w:rsidRPr="0080734C">
          <w:rPr>
            <w:rStyle w:val="Hyperlink"/>
            <w:noProof/>
          </w:rPr>
          <w:t>Online survey: stage 2</w:t>
        </w:r>
        <w:r w:rsidR="00E548F3">
          <w:rPr>
            <w:noProof/>
            <w:webHidden/>
          </w:rPr>
          <w:tab/>
        </w:r>
        <w:r w:rsidR="00E548F3">
          <w:rPr>
            <w:noProof/>
            <w:webHidden/>
          </w:rPr>
          <w:fldChar w:fldCharType="begin"/>
        </w:r>
        <w:r w:rsidR="00E548F3">
          <w:rPr>
            <w:noProof/>
            <w:webHidden/>
          </w:rPr>
          <w:instrText xml:space="preserve"> PAGEREF _Toc45898321 \h </w:instrText>
        </w:r>
        <w:r w:rsidR="00E548F3">
          <w:rPr>
            <w:noProof/>
            <w:webHidden/>
          </w:rPr>
        </w:r>
        <w:r w:rsidR="00E548F3">
          <w:rPr>
            <w:noProof/>
            <w:webHidden/>
          </w:rPr>
          <w:fldChar w:fldCharType="separate"/>
        </w:r>
        <w:r w:rsidR="001B2025">
          <w:rPr>
            <w:noProof/>
            <w:webHidden/>
          </w:rPr>
          <w:t>46</w:t>
        </w:r>
        <w:r w:rsidR="00E548F3">
          <w:rPr>
            <w:noProof/>
            <w:webHidden/>
          </w:rPr>
          <w:fldChar w:fldCharType="end"/>
        </w:r>
      </w:hyperlink>
    </w:p>
    <w:p w14:paraId="72C8C0BD" w14:textId="7C026C3B" w:rsidR="00E548F3" w:rsidRDefault="00F30418">
      <w:pPr>
        <w:pStyle w:val="TOC2"/>
        <w:tabs>
          <w:tab w:val="left" w:pos="1320"/>
        </w:tabs>
        <w:rPr>
          <w:rFonts w:asciiTheme="minorHAnsi" w:hAnsiTheme="minorHAnsi"/>
          <w:noProof/>
        </w:rPr>
      </w:pPr>
      <w:hyperlink w:anchor="_Toc45898322" w:history="1">
        <w:r w:rsidR="00E548F3" w:rsidRPr="0080734C">
          <w:rPr>
            <w:rStyle w:val="Hyperlink"/>
            <w:noProof/>
          </w:rPr>
          <w:t>4.10</w:t>
        </w:r>
        <w:r w:rsidR="00E548F3">
          <w:rPr>
            <w:rFonts w:asciiTheme="minorHAnsi" w:hAnsiTheme="minorHAnsi"/>
            <w:noProof/>
          </w:rPr>
          <w:tab/>
        </w:r>
        <w:r w:rsidR="00E548F3" w:rsidRPr="0080734C">
          <w:rPr>
            <w:rStyle w:val="Hyperlink"/>
            <w:noProof/>
          </w:rPr>
          <w:t>Focused meetings: stage 2</w:t>
        </w:r>
        <w:r w:rsidR="00E548F3">
          <w:rPr>
            <w:noProof/>
            <w:webHidden/>
          </w:rPr>
          <w:tab/>
        </w:r>
        <w:r w:rsidR="00E548F3">
          <w:rPr>
            <w:noProof/>
            <w:webHidden/>
          </w:rPr>
          <w:fldChar w:fldCharType="begin"/>
        </w:r>
        <w:r w:rsidR="00E548F3">
          <w:rPr>
            <w:noProof/>
            <w:webHidden/>
          </w:rPr>
          <w:instrText xml:space="preserve"> PAGEREF _Toc45898322 \h </w:instrText>
        </w:r>
        <w:r w:rsidR="00E548F3">
          <w:rPr>
            <w:noProof/>
            <w:webHidden/>
          </w:rPr>
        </w:r>
        <w:r w:rsidR="00E548F3">
          <w:rPr>
            <w:noProof/>
            <w:webHidden/>
          </w:rPr>
          <w:fldChar w:fldCharType="separate"/>
        </w:r>
        <w:r w:rsidR="001B2025">
          <w:rPr>
            <w:noProof/>
            <w:webHidden/>
          </w:rPr>
          <w:t>46</w:t>
        </w:r>
        <w:r w:rsidR="00E548F3">
          <w:rPr>
            <w:noProof/>
            <w:webHidden/>
          </w:rPr>
          <w:fldChar w:fldCharType="end"/>
        </w:r>
      </w:hyperlink>
    </w:p>
    <w:p w14:paraId="1A971929" w14:textId="6ABB304E" w:rsidR="00E548F3" w:rsidRDefault="00F30418">
      <w:pPr>
        <w:pStyle w:val="TOC2"/>
        <w:tabs>
          <w:tab w:val="left" w:pos="1320"/>
        </w:tabs>
        <w:rPr>
          <w:rFonts w:asciiTheme="minorHAnsi" w:hAnsiTheme="minorHAnsi"/>
          <w:noProof/>
        </w:rPr>
      </w:pPr>
      <w:hyperlink w:anchor="_Toc45898323" w:history="1">
        <w:r w:rsidR="00E548F3" w:rsidRPr="0080734C">
          <w:rPr>
            <w:rStyle w:val="Hyperlink"/>
            <w:noProof/>
          </w:rPr>
          <w:t>4.11</w:t>
        </w:r>
        <w:r w:rsidR="00E548F3">
          <w:rPr>
            <w:rFonts w:asciiTheme="minorHAnsi" w:hAnsiTheme="minorHAnsi"/>
            <w:noProof/>
          </w:rPr>
          <w:tab/>
        </w:r>
        <w:r w:rsidR="00E548F3" w:rsidRPr="0080734C">
          <w:rPr>
            <w:rStyle w:val="Hyperlink"/>
            <w:noProof/>
          </w:rPr>
          <w:t>Summary of engagement reach</w:t>
        </w:r>
        <w:r w:rsidR="00E548F3">
          <w:rPr>
            <w:noProof/>
            <w:webHidden/>
          </w:rPr>
          <w:tab/>
        </w:r>
        <w:r w:rsidR="00E548F3">
          <w:rPr>
            <w:noProof/>
            <w:webHidden/>
          </w:rPr>
          <w:fldChar w:fldCharType="begin"/>
        </w:r>
        <w:r w:rsidR="00E548F3">
          <w:rPr>
            <w:noProof/>
            <w:webHidden/>
          </w:rPr>
          <w:instrText xml:space="preserve"> PAGEREF _Toc45898323 \h </w:instrText>
        </w:r>
        <w:r w:rsidR="00E548F3">
          <w:rPr>
            <w:noProof/>
            <w:webHidden/>
          </w:rPr>
        </w:r>
        <w:r w:rsidR="00E548F3">
          <w:rPr>
            <w:noProof/>
            <w:webHidden/>
          </w:rPr>
          <w:fldChar w:fldCharType="separate"/>
        </w:r>
        <w:r w:rsidR="001B2025">
          <w:rPr>
            <w:noProof/>
            <w:webHidden/>
          </w:rPr>
          <w:t>48</w:t>
        </w:r>
        <w:r w:rsidR="00E548F3">
          <w:rPr>
            <w:noProof/>
            <w:webHidden/>
          </w:rPr>
          <w:fldChar w:fldCharType="end"/>
        </w:r>
      </w:hyperlink>
    </w:p>
    <w:p w14:paraId="31ACEF2B" w14:textId="6B464F73" w:rsidR="00E548F3" w:rsidRDefault="00F30418">
      <w:pPr>
        <w:pStyle w:val="TOC1"/>
        <w:rPr>
          <w:rFonts w:asciiTheme="minorHAnsi" w:hAnsiTheme="minorHAnsi"/>
          <w:noProof/>
        </w:rPr>
      </w:pPr>
      <w:hyperlink w:anchor="_Toc45898324" w:history="1">
        <w:r w:rsidR="00E548F3" w:rsidRPr="0080734C">
          <w:rPr>
            <w:rStyle w:val="Hyperlink"/>
            <w:noProof/>
          </w:rPr>
          <w:t>Appendix A: Glossary</w:t>
        </w:r>
        <w:r w:rsidR="00E548F3">
          <w:rPr>
            <w:noProof/>
            <w:webHidden/>
          </w:rPr>
          <w:tab/>
        </w:r>
        <w:r w:rsidR="00E548F3">
          <w:rPr>
            <w:noProof/>
            <w:webHidden/>
          </w:rPr>
          <w:fldChar w:fldCharType="begin"/>
        </w:r>
        <w:r w:rsidR="00E548F3">
          <w:rPr>
            <w:noProof/>
            <w:webHidden/>
          </w:rPr>
          <w:instrText xml:space="preserve"> PAGEREF _Toc45898324 \h </w:instrText>
        </w:r>
        <w:r w:rsidR="00E548F3">
          <w:rPr>
            <w:noProof/>
            <w:webHidden/>
          </w:rPr>
        </w:r>
        <w:r w:rsidR="00E548F3">
          <w:rPr>
            <w:noProof/>
            <w:webHidden/>
          </w:rPr>
          <w:fldChar w:fldCharType="separate"/>
        </w:r>
        <w:r w:rsidR="001B2025">
          <w:rPr>
            <w:noProof/>
            <w:webHidden/>
          </w:rPr>
          <w:t>50</w:t>
        </w:r>
        <w:r w:rsidR="00E548F3">
          <w:rPr>
            <w:noProof/>
            <w:webHidden/>
          </w:rPr>
          <w:fldChar w:fldCharType="end"/>
        </w:r>
      </w:hyperlink>
    </w:p>
    <w:p w14:paraId="52602414" w14:textId="0562C5C4" w:rsidR="00E548F3" w:rsidRDefault="00F30418">
      <w:pPr>
        <w:pStyle w:val="TOC1"/>
        <w:rPr>
          <w:rFonts w:asciiTheme="minorHAnsi" w:hAnsiTheme="minorHAnsi"/>
          <w:noProof/>
        </w:rPr>
      </w:pPr>
      <w:hyperlink w:anchor="_Toc45898325" w:history="1">
        <w:r w:rsidR="00E548F3" w:rsidRPr="0080734C">
          <w:rPr>
            <w:rStyle w:val="Hyperlink"/>
            <w:noProof/>
          </w:rPr>
          <w:t>Appendix B: Te reo M</w:t>
        </w:r>
        <w:r w:rsidR="00E548F3" w:rsidRPr="0080734C">
          <w:rPr>
            <w:rStyle w:val="Hyperlink"/>
            <w:rFonts w:cs="Calibri"/>
            <w:noProof/>
          </w:rPr>
          <w:t>ā</w:t>
        </w:r>
        <w:r w:rsidR="00E548F3" w:rsidRPr="0080734C">
          <w:rPr>
            <w:rStyle w:val="Hyperlink"/>
            <w:noProof/>
          </w:rPr>
          <w:t>ori glossary</w:t>
        </w:r>
        <w:r w:rsidR="00E548F3">
          <w:rPr>
            <w:noProof/>
            <w:webHidden/>
          </w:rPr>
          <w:tab/>
        </w:r>
        <w:r w:rsidR="00E548F3">
          <w:rPr>
            <w:noProof/>
            <w:webHidden/>
          </w:rPr>
          <w:fldChar w:fldCharType="begin"/>
        </w:r>
        <w:r w:rsidR="00E548F3">
          <w:rPr>
            <w:noProof/>
            <w:webHidden/>
          </w:rPr>
          <w:instrText xml:space="preserve"> PAGEREF _Toc45898325 \h </w:instrText>
        </w:r>
        <w:r w:rsidR="00E548F3">
          <w:rPr>
            <w:noProof/>
            <w:webHidden/>
          </w:rPr>
        </w:r>
        <w:r w:rsidR="00E548F3">
          <w:rPr>
            <w:noProof/>
            <w:webHidden/>
          </w:rPr>
          <w:fldChar w:fldCharType="separate"/>
        </w:r>
        <w:r w:rsidR="001B2025">
          <w:rPr>
            <w:noProof/>
            <w:webHidden/>
          </w:rPr>
          <w:t>55</w:t>
        </w:r>
        <w:r w:rsidR="00E548F3">
          <w:rPr>
            <w:noProof/>
            <w:webHidden/>
          </w:rPr>
          <w:fldChar w:fldCharType="end"/>
        </w:r>
      </w:hyperlink>
    </w:p>
    <w:p w14:paraId="4D54FCD7" w14:textId="579ACD15" w:rsidR="00E548F3" w:rsidRDefault="00F30418">
      <w:pPr>
        <w:pStyle w:val="TOC1"/>
        <w:rPr>
          <w:rFonts w:asciiTheme="minorHAnsi" w:hAnsiTheme="minorHAnsi"/>
          <w:noProof/>
        </w:rPr>
      </w:pPr>
      <w:hyperlink w:anchor="_Toc45898326" w:history="1">
        <w:r w:rsidR="00E548F3" w:rsidRPr="0080734C">
          <w:rPr>
            <w:rStyle w:val="Hyperlink"/>
            <w:noProof/>
          </w:rPr>
          <w:t>Appendix C: Assessment criteria</w:t>
        </w:r>
        <w:r w:rsidR="00E548F3">
          <w:rPr>
            <w:noProof/>
            <w:webHidden/>
          </w:rPr>
          <w:tab/>
        </w:r>
        <w:r w:rsidR="00E548F3">
          <w:rPr>
            <w:noProof/>
            <w:webHidden/>
          </w:rPr>
          <w:fldChar w:fldCharType="begin"/>
        </w:r>
        <w:r w:rsidR="00E548F3">
          <w:rPr>
            <w:noProof/>
            <w:webHidden/>
          </w:rPr>
          <w:instrText xml:space="preserve"> PAGEREF _Toc45898326 \h </w:instrText>
        </w:r>
        <w:r w:rsidR="00E548F3">
          <w:rPr>
            <w:noProof/>
            <w:webHidden/>
          </w:rPr>
        </w:r>
        <w:r w:rsidR="00E548F3">
          <w:rPr>
            <w:noProof/>
            <w:webHidden/>
          </w:rPr>
          <w:fldChar w:fldCharType="separate"/>
        </w:r>
        <w:r w:rsidR="001B2025">
          <w:rPr>
            <w:noProof/>
            <w:webHidden/>
          </w:rPr>
          <w:t>57</w:t>
        </w:r>
        <w:r w:rsidR="00E548F3">
          <w:rPr>
            <w:noProof/>
            <w:webHidden/>
          </w:rPr>
          <w:fldChar w:fldCharType="end"/>
        </w:r>
      </w:hyperlink>
    </w:p>
    <w:p w14:paraId="50749B52" w14:textId="5641B308" w:rsidR="00E548F3" w:rsidRDefault="00F30418">
      <w:pPr>
        <w:pStyle w:val="TOC1"/>
        <w:rPr>
          <w:rFonts w:asciiTheme="minorHAnsi" w:hAnsiTheme="minorHAnsi"/>
          <w:noProof/>
        </w:rPr>
      </w:pPr>
      <w:hyperlink w:anchor="_Toc45898327" w:history="1">
        <w:r w:rsidR="00E548F3" w:rsidRPr="0080734C">
          <w:rPr>
            <w:rStyle w:val="Hyperlink"/>
            <w:noProof/>
          </w:rPr>
          <w:t>Appendix D: References</w:t>
        </w:r>
        <w:r w:rsidR="00E548F3">
          <w:rPr>
            <w:noProof/>
            <w:webHidden/>
          </w:rPr>
          <w:tab/>
        </w:r>
        <w:r w:rsidR="00E548F3">
          <w:rPr>
            <w:noProof/>
            <w:webHidden/>
          </w:rPr>
          <w:fldChar w:fldCharType="begin"/>
        </w:r>
        <w:r w:rsidR="00E548F3">
          <w:rPr>
            <w:noProof/>
            <w:webHidden/>
          </w:rPr>
          <w:instrText xml:space="preserve"> PAGEREF _Toc45898327 \h </w:instrText>
        </w:r>
        <w:r w:rsidR="00E548F3">
          <w:rPr>
            <w:noProof/>
            <w:webHidden/>
          </w:rPr>
        </w:r>
        <w:r w:rsidR="00E548F3">
          <w:rPr>
            <w:noProof/>
            <w:webHidden/>
          </w:rPr>
          <w:fldChar w:fldCharType="separate"/>
        </w:r>
        <w:r w:rsidR="001B2025">
          <w:rPr>
            <w:noProof/>
            <w:webHidden/>
          </w:rPr>
          <w:t>67</w:t>
        </w:r>
        <w:r w:rsidR="00E548F3">
          <w:rPr>
            <w:noProof/>
            <w:webHidden/>
          </w:rPr>
          <w:fldChar w:fldCharType="end"/>
        </w:r>
      </w:hyperlink>
    </w:p>
    <w:p w14:paraId="2477831D" w14:textId="4BDF8289" w:rsidR="00E548F3" w:rsidRDefault="00F30418">
      <w:pPr>
        <w:pStyle w:val="TOC1"/>
        <w:rPr>
          <w:rFonts w:asciiTheme="minorHAnsi" w:hAnsiTheme="minorHAnsi"/>
          <w:noProof/>
        </w:rPr>
      </w:pPr>
      <w:hyperlink w:anchor="_Toc45898328" w:history="1">
        <w:r w:rsidR="00E548F3" w:rsidRPr="0080734C">
          <w:rPr>
            <w:rStyle w:val="Hyperlink"/>
            <w:noProof/>
          </w:rPr>
          <w:t>Appendix E: Organisations and groups contacted</w:t>
        </w:r>
        <w:r w:rsidR="00E548F3">
          <w:rPr>
            <w:noProof/>
            <w:webHidden/>
          </w:rPr>
          <w:tab/>
        </w:r>
        <w:r w:rsidR="00E548F3">
          <w:rPr>
            <w:noProof/>
            <w:webHidden/>
          </w:rPr>
          <w:fldChar w:fldCharType="begin"/>
        </w:r>
        <w:r w:rsidR="00E548F3">
          <w:rPr>
            <w:noProof/>
            <w:webHidden/>
          </w:rPr>
          <w:instrText xml:space="preserve"> PAGEREF _Toc45898328 \h </w:instrText>
        </w:r>
        <w:r w:rsidR="00E548F3">
          <w:rPr>
            <w:noProof/>
            <w:webHidden/>
          </w:rPr>
        </w:r>
        <w:r w:rsidR="00E548F3">
          <w:rPr>
            <w:noProof/>
            <w:webHidden/>
          </w:rPr>
          <w:fldChar w:fldCharType="separate"/>
        </w:r>
        <w:r w:rsidR="001B2025">
          <w:rPr>
            <w:noProof/>
            <w:webHidden/>
          </w:rPr>
          <w:t>69</w:t>
        </w:r>
        <w:r w:rsidR="00E548F3">
          <w:rPr>
            <w:noProof/>
            <w:webHidden/>
          </w:rPr>
          <w:fldChar w:fldCharType="end"/>
        </w:r>
      </w:hyperlink>
    </w:p>
    <w:p w14:paraId="17EDBFB6" w14:textId="7C5875E7" w:rsidR="00E548F3" w:rsidRDefault="00F30418">
      <w:pPr>
        <w:pStyle w:val="TOC1"/>
        <w:rPr>
          <w:rFonts w:asciiTheme="minorHAnsi" w:hAnsiTheme="minorHAnsi"/>
          <w:noProof/>
        </w:rPr>
      </w:pPr>
      <w:hyperlink w:anchor="_Toc45898329" w:history="1">
        <w:r w:rsidR="00E548F3" w:rsidRPr="0080734C">
          <w:rPr>
            <w:rStyle w:val="Hyperlink"/>
            <w:noProof/>
          </w:rPr>
          <w:t>Appendix F: NCCRA project team</w:t>
        </w:r>
        <w:r w:rsidR="00E548F3">
          <w:rPr>
            <w:noProof/>
            <w:webHidden/>
          </w:rPr>
          <w:tab/>
        </w:r>
        <w:r w:rsidR="00E548F3">
          <w:rPr>
            <w:noProof/>
            <w:webHidden/>
          </w:rPr>
          <w:fldChar w:fldCharType="begin"/>
        </w:r>
        <w:r w:rsidR="00E548F3">
          <w:rPr>
            <w:noProof/>
            <w:webHidden/>
          </w:rPr>
          <w:instrText xml:space="preserve"> PAGEREF _Toc45898329 \h </w:instrText>
        </w:r>
        <w:r w:rsidR="00E548F3">
          <w:rPr>
            <w:noProof/>
            <w:webHidden/>
          </w:rPr>
        </w:r>
        <w:r w:rsidR="00E548F3">
          <w:rPr>
            <w:noProof/>
            <w:webHidden/>
          </w:rPr>
          <w:fldChar w:fldCharType="separate"/>
        </w:r>
        <w:r w:rsidR="001B2025">
          <w:rPr>
            <w:noProof/>
            <w:webHidden/>
          </w:rPr>
          <w:t>73</w:t>
        </w:r>
        <w:r w:rsidR="00E548F3">
          <w:rPr>
            <w:noProof/>
            <w:webHidden/>
          </w:rPr>
          <w:fldChar w:fldCharType="end"/>
        </w:r>
      </w:hyperlink>
    </w:p>
    <w:p w14:paraId="5EE8F72C" w14:textId="38FC585C" w:rsidR="0080531E" w:rsidRPr="006B77BB" w:rsidRDefault="00775F57" w:rsidP="002B4778">
      <w:pPr>
        <w:pStyle w:val="Glossary"/>
      </w:pPr>
      <w:r w:rsidRPr="006B77BB">
        <w:rPr>
          <w:color w:val="0092CF"/>
        </w:rPr>
        <w:fldChar w:fldCharType="end"/>
      </w:r>
    </w:p>
    <w:p w14:paraId="2331A3CC" w14:textId="3404F36A" w:rsidR="006979C6" w:rsidRPr="004218AE" w:rsidRDefault="006979C6" w:rsidP="004218AE">
      <w:pPr>
        <w:rPr>
          <w:b/>
          <w:color w:val="1C556C"/>
          <w:sz w:val="48"/>
          <w:szCs w:val="48"/>
        </w:rPr>
      </w:pPr>
      <w:r w:rsidRPr="004218AE">
        <w:rPr>
          <w:b/>
          <w:color w:val="1C556C"/>
          <w:sz w:val="48"/>
          <w:szCs w:val="48"/>
        </w:rPr>
        <w:lastRenderedPageBreak/>
        <w:t>Tables</w:t>
      </w:r>
    </w:p>
    <w:p w14:paraId="126C9A09" w14:textId="18953D0A" w:rsidR="00885DA7" w:rsidRDefault="004943C2">
      <w:pPr>
        <w:pStyle w:val="TableofFigures"/>
        <w:tabs>
          <w:tab w:val="right" w:pos="8495"/>
        </w:tabs>
        <w:rPr>
          <w:rFonts w:asciiTheme="minorHAnsi" w:hAnsiTheme="minorHAnsi"/>
          <w:noProof/>
        </w:rPr>
      </w:pPr>
      <w:r w:rsidRPr="006B77BB">
        <w:fldChar w:fldCharType="begin"/>
      </w:r>
      <w:r w:rsidRPr="006B77BB">
        <w:instrText xml:space="preserve"> TOC \h \z \t "Table heading" \c </w:instrText>
      </w:r>
      <w:r w:rsidRPr="006B77BB">
        <w:fldChar w:fldCharType="separate"/>
      </w:r>
      <w:hyperlink w:anchor="_Toc43899317" w:history="1">
        <w:r w:rsidR="00885DA7" w:rsidRPr="00CE5521">
          <w:rPr>
            <w:rStyle w:val="Hyperlink"/>
            <w:noProof/>
          </w:rPr>
          <w:t>Table 1:</w:t>
        </w:r>
        <w:r w:rsidR="00885DA7">
          <w:rPr>
            <w:rFonts w:asciiTheme="minorHAnsi" w:hAnsiTheme="minorHAnsi"/>
            <w:noProof/>
          </w:rPr>
          <w:tab/>
        </w:r>
        <w:r w:rsidR="00885DA7" w:rsidRPr="00CE5521">
          <w:rPr>
            <w:rStyle w:val="Hyperlink"/>
            <w:noProof/>
          </w:rPr>
          <w:t>How the NCCRA applied ngā mātāpono o Te Arotakenga Huringa Āhuarangi (Guiding Principles for the National Climate Change Risk Assessment Framework)</w:t>
        </w:r>
        <w:r w:rsidR="00885DA7">
          <w:rPr>
            <w:noProof/>
            <w:webHidden/>
          </w:rPr>
          <w:tab/>
        </w:r>
        <w:r w:rsidR="00885DA7">
          <w:rPr>
            <w:noProof/>
            <w:webHidden/>
          </w:rPr>
          <w:fldChar w:fldCharType="begin"/>
        </w:r>
        <w:r w:rsidR="00885DA7">
          <w:rPr>
            <w:noProof/>
            <w:webHidden/>
          </w:rPr>
          <w:instrText xml:space="preserve"> PAGEREF _Toc43899317 \h </w:instrText>
        </w:r>
        <w:r w:rsidR="00885DA7">
          <w:rPr>
            <w:noProof/>
            <w:webHidden/>
          </w:rPr>
        </w:r>
        <w:r w:rsidR="00885DA7">
          <w:rPr>
            <w:noProof/>
            <w:webHidden/>
          </w:rPr>
          <w:fldChar w:fldCharType="separate"/>
        </w:r>
        <w:r w:rsidR="001B2025">
          <w:rPr>
            <w:noProof/>
            <w:webHidden/>
          </w:rPr>
          <w:t>6</w:t>
        </w:r>
        <w:r w:rsidR="00885DA7">
          <w:rPr>
            <w:noProof/>
            <w:webHidden/>
          </w:rPr>
          <w:fldChar w:fldCharType="end"/>
        </w:r>
      </w:hyperlink>
    </w:p>
    <w:p w14:paraId="6B5E0423" w14:textId="0D17C0C6" w:rsidR="00885DA7" w:rsidRDefault="00F30418">
      <w:pPr>
        <w:pStyle w:val="TableofFigures"/>
        <w:tabs>
          <w:tab w:val="right" w:pos="8495"/>
        </w:tabs>
        <w:rPr>
          <w:rFonts w:asciiTheme="minorHAnsi" w:hAnsiTheme="minorHAnsi"/>
          <w:noProof/>
        </w:rPr>
      </w:pPr>
      <w:hyperlink w:anchor="_Toc43899318" w:history="1">
        <w:r w:rsidR="00885DA7" w:rsidRPr="00CE5521">
          <w:rPr>
            <w:rStyle w:val="Hyperlink"/>
            <w:noProof/>
          </w:rPr>
          <w:t>Table 2:</w:t>
        </w:r>
        <w:r w:rsidR="00885DA7">
          <w:rPr>
            <w:rFonts w:asciiTheme="minorHAnsi" w:hAnsiTheme="minorHAnsi"/>
            <w:noProof/>
          </w:rPr>
          <w:tab/>
        </w:r>
        <w:r w:rsidR="00885DA7" w:rsidRPr="00CE5521">
          <w:rPr>
            <w:rStyle w:val="Hyperlink"/>
            <w:noProof/>
          </w:rPr>
          <w:t>The three stages of the NCCRA</w:t>
        </w:r>
        <w:r w:rsidR="00885DA7">
          <w:rPr>
            <w:noProof/>
            <w:webHidden/>
          </w:rPr>
          <w:tab/>
        </w:r>
        <w:r w:rsidR="00885DA7">
          <w:rPr>
            <w:noProof/>
            <w:webHidden/>
          </w:rPr>
          <w:fldChar w:fldCharType="begin"/>
        </w:r>
        <w:r w:rsidR="00885DA7">
          <w:rPr>
            <w:noProof/>
            <w:webHidden/>
          </w:rPr>
          <w:instrText xml:space="preserve"> PAGEREF _Toc43899318 \h </w:instrText>
        </w:r>
        <w:r w:rsidR="00885DA7">
          <w:rPr>
            <w:noProof/>
            <w:webHidden/>
          </w:rPr>
        </w:r>
        <w:r w:rsidR="00885DA7">
          <w:rPr>
            <w:noProof/>
            <w:webHidden/>
          </w:rPr>
          <w:fldChar w:fldCharType="separate"/>
        </w:r>
        <w:r w:rsidR="001B2025">
          <w:rPr>
            <w:noProof/>
            <w:webHidden/>
          </w:rPr>
          <w:t>10</w:t>
        </w:r>
        <w:r w:rsidR="00885DA7">
          <w:rPr>
            <w:noProof/>
            <w:webHidden/>
          </w:rPr>
          <w:fldChar w:fldCharType="end"/>
        </w:r>
      </w:hyperlink>
    </w:p>
    <w:p w14:paraId="10D1ADC0" w14:textId="5359F1F4" w:rsidR="00885DA7" w:rsidRDefault="00F30418">
      <w:pPr>
        <w:pStyle w:val="TableofFigures"/>
        <w:tabs>
          <w:tab w:val="right" w:pos="8495"/>
        </w:tabs>
        <w:rPr>
          <w:rFonts w:asciiTheme="minorHAnsi" w:hAnsiTheme="minorHAnsi"/>
          <w:noProof/>
        </w:rPr>
      </w:pPr>
      <w:hyperlink w:anchor="_Toc43899319" w:history="1">
        <w:r w:rsidR="00885DA7" w:rsidRPr="00CE5521">
          <w:rPr>
            <w:rStyle w:val="Hyperlink"/>
            <w:noProof/>
          </w:rPr>
          <w:t>Table 3:</w:t>
        </w:r>
        <w:r w:rsidR="00885DA7">
          <w:rPr>
            <w:rFonts w:asciiTheme="minorHAnsi" w:hAnsiTheme="minorHAnsi"/>
            <w:noProof/>
          </w:rPr>
          <w:tab/>
        </w:r>
        <w:r w:rsidR="00885DA7" w:rsidRPr="00CE5521">
          <w:rPr>
            <w:rStyle w:val="Hyperlink"/>
            <w:noProof/>
          </w:rPr>
          <w:t>Description of value domains</w:t>
        </w:r>
        <w:r w:rsidR="00885DA7">
          <w:rPr>
            <w:noProof/>
            <w:webHidden/>
          </w:rPr>
          <w:tab/>
        </w:r>
        <w:r w:rsidR="00885DA7">
          <w:rPr>
            <w:noProof/>
            <w:webHidden/>
          </w:rPr>
          <w:fldChar w:fldCharType="begin"/>
        </w:r>
        <w:r w:rsidR="00885DA7">
          <w:rPr>
            <w:noProof/>
            <w:webHidden/>
          </w:rPr>
          <w:instrText xml:space="preserve"> PAGEREF _Toc43899319 \h </w:instrText>
        </w:r>
        <w:r w:rsidR="00885DA7">
          <w:rPr>
            <w:noProof/>
            <w:webHidden/>
          </w:rPr>
        </w:r>
        <w:r w:rsidR="00885DA7">
          <w:rPr>
            <w:noProof/>
            <w:webHidden/>
          </w:rPr>
          <w:fldChar w:fldCharType="separate"/>
        </w:r>
        <w:r w:rsidR="001B2025">
          <w:rPr>
            <w:noProof/>
            <w:webHidden/>
          </w:rPr>
          <w:t>12</w:t>
        </w:r>
        <w:r w:rsidR="00885DA7">
          <w:rPr>
            <w:noProof/>
            <w:webHidden/>
          </w:rPr>
          <w:fldChar w:fldCharType="end"/>
        </w:r>
      </w:hyperlink>
    </w:p>
    <w:p w14:paraId="57035C1D" w14:textId="7A9BECDE" w:rsidR="00885DA7" w:rsidRDefault="00F30418">
      <w:pPr>
        <w:pStyle w:val="TableofFigures"/>
        <w:tabs>
          <w:tab w:val="right" w:pos="8495"/>
        </w:tabs>
        <w:rPr>
          <w:rFonts w:asciiTheme="minorHAnsi" w:hAnsiTheme="minorHAnsi"/>
          <w:noProof/>
        </w:rPr>
      </w:pPr>
      <w:hyperlink w:anchor="_Toc43899320" w:history="1">
        <w:r w:rsidR="00885DA7" w:rsidRPr="00CE5521">
          <w:rPr>
            <w:rStyle w:val="Hyperlink"/>
            <w:noProof/>
          </w:rPr>
          <w:t>Table 4:</w:t>
        </w:r>
        <w:r w:rsidR="00885DA7">
          <w:rPr>
            <w:rFonts w:asciiTheme="minorHAnsi" w:hAnsiTheme="minorHAnsi"/>
            <w:noProof/>
          </w:rPr>
          <w:tab/>
        </w:r>
        <w:r w:rsidR="00885DA7" w:rsidRPr="00CE5521">
          <w:rPr>
            <w:rStyle w:val="Hyperlink"/>
            <w:noProof/>
          </w:rPr>
          <w:t>Elements at risk in each domain</w:t>
        </w:r>
        <w:r w:rsidR="00885DA7">
          <w:rPr>
            <w:noProof/>
            <w:webHidden/>
          </w:rPr>
          <w:tab/>
        </w:r>
        <w:r w:rsidR="00885DA7">
          <w:rPr>
            <w:noProof/>
            <w:webHidden/>
          </w:rPr>
          <w:fldChar w:fldCharType="begin"/>
        </w:r>
        <w:r w:rsidR="00885DA7">
          <w:rPr>
            <w:noProof/>
            <w:webHidden/>
          </w:rPr>
          <w:instrText xml:space="preserve"> PAGEREF _Toc43899320 \h </w:instrText>
        </w:r>
        <w:r w:rsidR="00885DA7">
          <w:rPr>
            <w:noProof/>
            <w:webHidden/>
          </w:rPr>
        </w:r>
        <w:r w:rsidR="00885DA7">
          <w:rPr>
            <w:noProof/>
            <w:webHidden/>
          </w:rPr>
          <w:fldChar w:fldCharType="separate"/>
        </w:r>
        <w:r w:rsidR="001B2025">
          <w:rPr>
            <w:noProof/>
            <w:webHidden/>
          </w:rPr>
          <w:t>12</w:t>
        </w:r>
        <w:r w:rsidR="00885DA7">
          <w:rPr>
            <w:noProof/>
            <w:webHidden/>
          </w:rPr>
          <w:fldChar w:fldCharType="end"/>
        </w:r>
      </w:hyperlink>
    </w:p>
    <w:p w14:paraId="36F1BBAC" w14:textId="4E7D3FC9" w:rsidR="00885DA7" w:rsidRDefault="00F30418">
      <w:pPr>
        <w:pStyle w:val="TableofFigures"/>
        <w:tabs>
          <w:tab w:val="right" w:pos="8495"/>
        </w:tabs>
        <w:rPr>
          <w:rFonts w:asciiTheme="minorHAnsi" w:hAnsiTheme="minorHAnsi"/>
          <w:noProof/>
        </w:rPr>
      </w:pPr>
      <w:hyperlink w:anchor="_Toc43899321" w:history="1">
        <w:r w:rsidR="00885DA7" w:rsidRPr="00CE5521">
          <w:rPr>
            <w:rStyle w:val="Hyperlink"/>
            <w:noProof/>
          </w:rPr>
          <w:t>Table 5:</w:t>
        </w:r>
        <w:r w:rsidR="00885DA7">
          <w:rPr>
            <w:rFonts w:asciiTheme="minorHAnsi" w:hAnsiTheme="minorHAnsi"/>
            <w:noProof/>
          </w:rPr>
          <w:tab/>
        </w:r>
        <w:r w:rsidR="00885DA7" w:rsidRPr="00CE5521">
          <w:rPr>
            <w:rStyle w:val="Hyperlink"/>
            <w:noProof/>
          </w:rPr>
          <w:t>Risk assessment timeframes</w:t>
        </w:r>
        <w:r w:rsidR="00885DA7">
          <w:rPr>
            <w:noProof/>
            <w:webHidden/>
          </w:rPr>
          <w:tab/>
        </w:r>
        <w:r w:rsidR="00885DA7">
          <w:rPr>
            <w:noProof/>
            <w:webHidden/>
          </w:rPr>
          <w:fldChar w:fldCharType="begin"/>
        </w:r>
        <w:r w:rsidR="00885DA7">
          <w:rPr>
            <w:noProof/>
            <w:webHidden/>
          </w:rPr>
          <w:instrText xml:space="preserve"> PAGEREF _Toc43899321 \h </w:instrText>
        </w:r>
        <w:r w:rsidR="00885DA7">
          <w:rPr>
            <w:noProof/>
            <w:webHidden/>
          </w:rPr>
        </w:r>
        <w:r w:rsidR="00885DA7">
          <w:rPr>
            <w:noProof/>
            <w:webHidden/>
          </w:rPr>
          <w:fldChar w:fldCharType="separate"/>
        </w:r>
        <w:r w:rsidR="001B2025">
          <w:rPr>
            <w:noProof/>
            <w:webHidden/>
          </w:rPr>
          <w:t>14</w:t>
        </w:r>
        <w:r w:rsidR="00885DA7">
          <w:rPr>
            <w:noProof/>
            <w:webHidden/>
          </w:rPr>
          <w:fldChar w:fldCharType="end"/>
        </w:r>
      </w:hyperlink>
    </w:p>
    <w:p w14:paraId="72B987FA" w14:textId="76841549" w:rsidR="00885DA7" w:rsidRDefault="00F30418">
      <w:pPr>
        <w:pStyle w:val="TableofFigures"/>
        <w:tabs>
          <w:tab w:val="right" w:pos="8495"/>
        </w:tabs>
        <w:rPr>
          <w:rFonts w:asciiTheme="minorHAnsi" w:hAnsiTheme="minorHAnsi"/>
          <w:noProof/>
        </w:rPr>
      </w:pPr>
      <w:hyperlink w:anchor="_Toc43899322" w:history="1">
        <w:r w:rsidR="00885DA7" w:rsidRPr="00CE5521">
          <w:rPr>
            <w:rStyle w:val="Hyperlink"/>
            <w:noProof/>
          </w:rPr>
          <w:t>Table 6:</w:t>
        </w:r>
        <w:r w:rsidR="00885DA7">
          <w:rPr>
            <w:rFonts w:asciiTheme="minorHAnsi" w:hAnsiTheme="minorHAnsi"/>
            <w:noProof/>
          </w:rPr>
          <w:tab/>
        </w:r>
        <w:r w:rsidR="00885DA7" w:rsidRPr="00CE5521">
          <w:rPr>
            <w:rStyle w:val="Hyperlink"/>
            <w:noProof/>
          </w:rPr>
          <w:t xml:space="preserve">Representative </w:t>
        </w:r>
        <w:r w:rsidR="0008531F">
          <w:rPr>
            <w:rStyle w:val="Hyperlink"/>
            <w:noProof/>
          </w:rPr>
          <w:t>c</w:t>
        </w:r>
        <w:r w:rsidR="0008531F" w:rsidRPr="00CE5521">
          <w:rPr>
            <w:rStyle w:val="Hyperlink"/>
            <w:noProof/>
          </w:rPr>
          <w:t xml:space="preserve">oncentration </w:t>
        </w:r>
        <w:r w:rsidR="0008531F">
          <w:rPr>
            <w:rStyle w:val="Hyperlink"/>
            <w:noProof/>
          </w:rPr>
          <w:t>p</w:t>
        </w:r>
        <w:r w:rsidR="0008531F" w:rsidRPr="00CE5521">
          <w:rPr>
            <w:rStyle w:val="Hyperlink"/>
            <w:noProof/>
          </w:rPr>
          <w:t xml:space="preserve">athways </w:t>
        </w:r>
        <w:r w:rsidR="00885DA7" w:rsidRPr="00CE5521">
          <w:rPr>
            <w:rStyle w:val="Hyperlink"/>
            <w:noProof/>
          </w:rPr>
          <w:t>used in this assessment</w:t>
        </w:r>
        <w:r w:rsidR="00885DA7">
          <w:rPr>
            <w:noProof/>
            <w:webHidden/>
          </w:rPr>
          <w:tab/>
        </w:r>
        <w:r w:rsidR="00885DA7">
          <w:rPr>
            <w:noProof/>
            <w:webHidden/>
          </w:rPr>
          <w:fldChar w:fldCharType="begin"/>
        </w:r>
        <w:r w:rsidR="00885DA7">
          <w:rPr>
            <w:noProof/>
            <w:webHidden/>
          </w:rPr>
          <w:instrText xml:space="preserve"> PAGEREF _Toc43899322 \h </w:instrText>
        </w:r>
        <w:r w:rsidR="00885DA7">
          <w:rPr>
            <w:noProof/>
            <w:webHidden/>
          </w:rPr>
        </w:r>
        <w:r w:rsidR="00885DA7">
          <w:rPr>
            <w:noProof/>
            <w:webHidden/>
          </w:rPr>
          <w:fldChar w:fldCharType="separate"/>
        </w:r>
        <w:r w:rsidR="001B2025">
          <w:rPr>
            <w:noProof/>
            <w:webHidden/>
          </w:rPr>
          <w:t>14</w:t>
        </w:r>
        <w:r w:rsidR="00885DA7">
          <w:rPr>
            <w:noProof/>
            <w:webHidden/>
          </w:rPr>
          <w:fldChar w:fldCharType="end"/>
        </w:r>
      </w:hyperlink>
    </w:p>
    <w:p w14:paraId="52A2817F" w14:textId="3ABEEE67" w:rsidR="00885DA7" w:rsidRDefault="00F30418">
      <w:pPr>
        <w:pStyle w:val="TableofFigures"/>
        <w:tabs>
          <w:tab w:val="right" w:pos="8495"/>
        </w:tabs>
        <w:rPr>
          <w:rFonts w:asciiTheme="minorHAnsi" w:hAnsiTheme="minorHAnsi"/>
          <w:noProof/>
        </w:rPr>
      </w:pPr>
      <w:hyperlink w:anchor="_Toc43899323" w:history="1">
        <w:r w:rsidR="00885DA7" w:rsidRPr="00CE5521">
          <w:rPr>
            <w:rStyle w:val="Hyperlink"/>
            <w:noProof/>
          </w:rPr>
          <w:t>Table 7:</w:t>
        </w:r>
        <w:r w:rsidR="00885DA7">
          <w:rPr>
            <w:rFonts w:asciiTheme="minorHAnsi" w:hAnsiTheme="minorHAnsi"/>
            <w:noProof/>
          </w:rPr>
          <w:tab/>
        </w:r>
        <w:r w:rsidR="00885DA7" w:rsidRPr="00CE5521">
          <w:rPr>
            <w:rStyle w:val="Hyperlink"/>
            <w:noProof/>
          </w:rPr>
          <w:t>Sub-national zones and definitions (Ministry for the Environment, 2019)</w:t>
        </w:r>
        <w:r w:rsidR="00885DA7">
          <w:rPr>
            <w:noProof/>
            <w:webHidden/>
          </w:rPr>
          <w:tab/>
        </w:r>
        <w:r w:rsidR="00885DA7">
          <w:rPr>
            <w:noProof/>
            <w:webHidden/>
          </w:rPr>
          <w:fldChar w:fldCharType="begin"/>
        </w:r>
        <w:r w:rsidR="00885DA7">
          <w:rPr>
            <w:noProof/>
            <w:webHidden/>
          </w:rPr>
          <w:instrText xml:space="preserve"> PAGEREF _Toc43899323 \h </w:instrText>
        </w:r>
        <w:r w:rsidR="00885DA7">
          <w:rPr>
            <w:noProof/>
            <w:webHidden/>
          </w:rPr>
        </w:r>
        <w:r w:rsidR="00885DA7">
          <w:rPr>
            <w:noProof/>
            <w:webHidden/>
          </w:rPr>
          <w:fldChar w:fldCharType="separate"/>
        </w:r>
        <w:r w:rsidR="001B2025">
          <w:rPr>
            <w:noProof/>
            <w:webHidden/>
          </w:rPr>
          <w:t>16</w:t>
        </w:r>
        <w:r w:rsidR="00885DA7">
          <w:rPr>
            <w:noProof/>
            <w:webHidden/>
          </w:rPr>
          <w:fldChar w:fldCharType="end"/>
        </w:r>
      </w:hyperlink>
    </w:p>
    <w:p w14:paraId="3F4ED2C2" w14:textId="4E733CEA" w:rsidR="00885DA7" w:rsidRDefault="00F30418">
      <w:pPr>
        <w:pStyle w:val="TableofFigures"/>
        <w:tabs>
          <w:tab w:val="right" w:pos="8495"/>
        </w:tabs>
        <w:rPr>
          <w:rFonts w:asciiTheme="minorHAnsi" w:hAnsiTheme="minorHAnsi"/>
          <w:noProof/>
        </w:rPr>
      </w:pPr>
      <w:hyperlink w:anchor="_Toc43899324" w:history="1">
        <w:r w:rsidR="00885DA7" w:rsidRPr="00CE5521">
          <w:rPr>
            <w:rStyle w:val="Hyperlink"/>
            <w:noProof/>
          </w:rPr>
          <w:t>Table 8:</w:t>
        </w:r>
        <w:r w:rsidR="00885DA7">
          <w:rPr>
            <w:rFonts w:asciiTheme="minorHAnsi" w:hAnsiTheme="minorHAnsi"/>
            <w:noProof/>
          </w:rPr>
          <w:tab/>
        </w:r>
        <w:r w:rsidR="00885DA7" w:rsidRPr="00CE5521">
          <w:rPr>
            <w:rStyle w:val="Hyperlink"/>
            <w:noProof/>
          </w:rPr>
          <w:t>Criteria for evaluating risks</w:t>
        </w:r>
        <w:r w:rsidR="00885DA7">
          <w:rPr>
            <w:noProof/>
            <w:webHidden/>
          </w:rPr>
          <w:tab/>
        </w:r>
        <w:r w:rsidR="00885DA7">
          <w:rPr>
            <w:noProof/>
            <w:webHidden/>
          </w:rPr>
          <w:fldChar w:fldCharType="begin"/>
        </w:r>
        <w:r w:rsidR="00885DA7">
          <w:rPr>
            <w:noProof/>
            <w:webHidden/>
          </w:rPr>
          <w:instrText xml:space="preserve"> PAGEREF _Toc43899324 \h </w:instrText>
        </w:r>
        <w:r w:rsidR="00885DA7">
          <w:rPr>
            <w:noProof/>
            <w:webHidden/>
          </w:rPr>
        </w:r>
        <w:r w:rsidR="00885DA7">
          <w:rPr>
            <w:noProof/>
            <w:webHidden/>
          </w:rPr>
          <w:fldChar w:fldCharType="separate"/>
        </w:r>
        <w:r w:rsidR="001B2025">
          <w:rPr>
            <w:noProof/>
            <w:webHidden/>
          </w:rPr>
          <w:t>17</w:t>
        </w:r>
        <w:r w:rsidR="00885DA7">
          <w:rPr>
            <w:noProof/>
            <w:webHidden/>
          </w:rPr>
          <w:fldChar w:fldCharType="end"/>
        </w:r>
      </w:hyperlink>
    </w:p>
    <w:p w14:paraId="4DF82C59" w14:textId="0B283134" w:rsidR="00885DA7" w:rsidRDefault="00F30418">
      <w:pPr>
        <w:pStyle w:val="TableofFigures"/>
        <w:tabs>
          <w:tab w:val="right" w:pos="8495"/>
        </w:tabs>
        <w:rPr>
          <w:rFonts w:asciiTheme="minorHAnsi" w:hAnsiTheme="minorHAnsi"/>
          <w:noProof/>
        </w:rPr>
      </w:pPr>
      <w:hyperlink w:anchor="_Toc43899325" w:history="1">
        <w:r w:rsidR="00885DA7" w:rsidRPr="00CE5521">
          <w:rPr>
            <w:rStyle w:val="Hyperlink"/>
            <w:noProof/>
          </w:rPr>
          <w:t>Table 9:</w:t>
        </w:r>
        <w:r w:rsidR="00885DA7">
          <w:rPr>
            <w:rFonts w:asciiTheme="minorHAnsi" w:hAnsiTheme="minorHAnsi"/>
            <w:noProof/>
          </w:rPr>
          <w:tab/>
        </w:r>
        <w:r w:rsidR="00885DA7" w:rsidRPr="00CE5521">
          <w:rPr>
            <w:rStyle w:val="Hyperlink"/>
            <w:noProof/>
          </w:rPr>
          <w:t>Logic and process for identifying climate change risks</w:t>
        </w:r>
        <w:r w:rsidR="00885DA7">
          <w:rPr>
            <w:noProof/>
            <w:webHidden/>
          </w:rPr>
          <w:tab/>
        </w:r>
        <w:r w:rsidR="00885DA7">
          <w:rPr>
            <w:noProof/>
            <w:webHidden/>
          </w:rPr>
          <w:fldChar w:fldCharType="begin"/>
        </w:r>
        <w:r w:rsidR="00885DA7">
          <w:rPr>
            <w:noProof/>
            <w:webHidden/>
          </w:rPr>
          <w:instrText xml:space="preserve"> PAGEREF _Toc43899325 \h </w:instrText>
        </w:r>
        <w:r w:rsidR="00885DA7">
          <w:rPr>
            <w:noProof/>
            <w:webHidden/>
          </w:rPr>
        </w:r>
        <w:r w:rsidR="00885DA7">
          <w:rPr>
            <w:noProof/>
            <w:webHidden/>
          </w:rPr>
          <w:fldChar w:fldCharType="separate"/>
        </w:r>
        <w:r w:rsidR="001B2025">
          <w:rPr>
            <w:noProof/>
            <w:webHidden/>
          </w:rPr>
          <w:t>19</w:t>
        </w:r>
        <w:r w:rsidR="00885DA7">
          <w:rPr>
            <w:noProof/>
            <w:webHidden/>
          </w:rPr>
          <w:fldChar w:fldCharType="end"/>
        </w:r>
      </w:hyperlink>
    </w:p>
    <w:p w14:paraId="44CA444C" w14:textId="780ADD31" w:rsidR="00885DA7" w:rsidRDefault="00F30418">
      <w:pPr>
        <w:pStyle w:val="TableofFigures"/>
        <w:tabs>
          <w:tab w:val="right" w:pos="8495"/>
        </w:tabs>
        <w:rPr>
          <w:rFonts w:asciiTheme="minorHAnsi" w:hAnsiTheme="minorHAnsi"/>
          <w:noProof/>
        </w:rPr>
      </w:pPr>
      <w:hyperlink w:anchor="_Toc43899326" w:history="1">
        <w:r w:rsidR="00885DA7" w:rsidRPr="00CE5521">
          <w:rPr>
            <w:rStyle w:val="Hyperlink"/>
            <w:noProof/>
          </w:rPr>
          <w:t>Table 10:</w:t>
        </w:r>
        <w:r w:rsidR="00885DA7">
          <w:rPr>
            <w:rFonts w:asciiTheme="minorHAnsi" w:hAnsiTheme="minorHAnsi"/>
            <w:noProof/>
          </w:rPr>
          <w:tab/>
        </w:r>
        <w:r w:rsidR="00885DA7" w:rsidRPr="00CE5521">
          <w:rPr>
            <w:rStyle w:val="Hyperlink"/>
            <w:noProof/>
          </w:rPr>
          <w:t>Focused outreach summary</w:t>
        </w:r>
        <w:r w:rsidR="00885DA7">
          <w:rPr>
            <w:noProof/>
            <w:webHidden/>
          </w:rPr>
          <w:tab/>
        </w:r>
        <w:r w:rsidR="00885DA7">
          <w:rPr>
            <w:noProof/>
            <w:webHidden/>
          </w:rPr>
          <w:fldChar w:fldCharType="begin"/>
        </w:r>
        <w:r w:rsidR="00885DA7">
          <w:rPr>
            <w:noProof/>
            <w:webHidden/>
          </w:rPr>
          <w:instrText xml:space="preserve"> PAGEREF _Toc43899326 \h </w:instrText>
        </w:r>
        <w:r w:rsidR="00885DA7">
          <w:rPr>
            <w:noProof/>
            <w:webHidden/>
          </w:rPr>
        </w:r>
        <w:r w:rsidR="00885DA7">
          <w:rPr>
            <w:noProof/>
            <w:webHidden/>
          </w:rPr>
          <w:fldChar w:fldCharType="separate"/>
        </w:r>
        <w:r w:rsidR="001B2025">
          <w:rPr>
            <w:noProof/>
            <w:webHidden/>
          </w:rPr>
          <w:t>46</w:t>
        </w:r>
        <w:r w:rsidR="00885DA7">
          <w:rPr>
            <w:noProof/>
            <w:webHidden/>
          </w:rPr>
          <w:fldChar w:fldCharType="end"/>
        </w:r>
      </w:hyperlink>
    </w:p>
    <w:p w14:paraId="1EAAFC04" w14:textId="1CBBF15C" w:rsidR="00885DA7" w:rsidRDefault="00F30418">
      <w:pPr>
        <w:pStyle w:val="TableofFigures"/>
        <w:tabs>
          <w:tab w:val="right" w:pos="8495"/>
        </w:tabs>
        <w:rPr>
          <w:rFonts w:asciiTheme="minorHAnsi" w:hAnsiTheme="minorHAnsi"/>
          <w:noProof/>
        </w:rPr>
      </w:pPr>
      <w:hyperlink w:anchor="_Toc43899327" w:history="1">
        <w:r w:rsidR="00885DA7" w:rsidRPr="00CE5521">
          <w:rPr>
            <w:rStyle w:val="Hyperlink"/>
            <w:noProof/>
          </w:rPr>
          <w:t>Table 11:</w:t>
        </w:r>
        <w:r w:rsidR="00885DA7">
          <w:rPr>
            <w:rFonts w:asciiTheme="minorHAnsi" w:hAnsiTheme="minorHAnsi"/>
            <w:noProof/>
          </w:rPr>
          <w:tab/>
        </w:r>
        <w:r w:rsidR="00885DA7" w:rsidRPr="00CE5521">
          <w:rPr>
            <w:rStyle w:val="Hyperlink"/>
            <w:noProof/>
          </w:rPr>
          <w:t>Magnitude of consequence criteria</w:t>
        </w:r>
        <w:r w:rsidR="00885DA7">
          <w:rPr>
            <w:noProof/>
            <w:webHidden/>
          </w:rPr>
          <w:tab/>
        </w:r>
        <w:r w:rsidR="00885DA7">
          <w:rPr>
            <w:noProof/>
            <w:webHidden/>
          </w:rPr>
          <w:fldChar w:fldCharType="begin"/>
        </w:r>
        <w:r w:rsidR="00885DA7">
          <w:rPr>
            <w:noProof/>
            <w:webHidden/>
          </w:rPr>
          <w:instrText xml:space="preserve"> PAGEREF _Toc43899327 \h </w:instrText>
        </w:r>
        <w:r w:rsidR="00885DA7">
          <w:rPr>
            <w:noProof/>
            <w:webHidden/>
          </w:rPr>
        </w:r>
        <w:r w:rsidR="00885DA7">
          <w:rPr>
            <w:noProof/>
            <w:webHidden/>
          </w:rPr>
          <w:fldChar w:fldCharType="separate"/>
        </w:r>
        <w:r w:rsidR="001B2025">
          <w:rPr>
            <w:noProof/>
            <w:webHidden/>
          </w:rPr>
          <w:t>57</w:t>
        </w:r>
        <w:r w:rsidR="00885DA7">
          <w:rPr>
            <w:noProof/>
            <w:webHidden/>
          </w:rPr>
          <w:fldChar w:fldCharType="end"/>
        </w:r>
      </w:hyperlink>
    </w:p>
    <w:p w14:paraId="2092E837" w14:textId="04A78C38" w:rsidR="00885DA7" w:rsidRDefault="00F30418">
      <w:pPr>
        <w:pStyle w:val="TableofFigures"/>
        <w:tabs>
          <w:tab w:val="right" w:pos="8495"/>
        </w:tabs>
        <w:rPr>
          <w:rFonts w:asciiTheme="minorHAnsi" w:hAnsiTheme="minorHAnsi"/>
          <w:noProof/>
        </w:rPr>
      </w:pPr>
      <w:hyperlink w:anchor="_Toc43899328" w:history="1">
        <w:r w:rsidR="00885DA7" w:rsidRPr="00CE5521">
          <w:rPr>
            <w:rStyle w:val="Hyperlink"/>
            <w:noProof/>
          </w:rPr>
          <w:t xml:space="preserve">Table 12: </w:t>
        </w:r>
        <w:r w:rsidR="00885DA7">
          <w:rPr>
            <w:rFonts w:asciiTheme="minorHAnsi" w:hAnsiTheme="minorHAnsi"/>
            <w:noProof/>
          </w:rPr>
          <w:tab/>
        </w:r>
        <w:r w:rsidR="00885DA7" w:rsidRPr="00CE5521">
          <w:rPr>
            <w:rStyle w:val="Hyperlink"/>
            <w:noProof/>
          </w:rPr>
          <w:t>Confidence scale</w:t>
        </w:r>
        <w:r w:rsidR="00885DA7">
          <w:rPr>
            <w:noProof/>
            <w:webHidden/>
          </w:rPr>
          <w:tab/>
        </w:r>
        <w:r w:rsidR="00885DA7">
          <w:rPr>
            <w:noProof/>
            <w:webHidden/>
          </w:rPr>
          <w:fldChar w:fldCharType="begin"/>
        </w:r>
        <w:r w:rsidR="00885DA7">
          <w:rPr>
            <w:noProof/>
            <w:webHidden/>
          </w:rPr>
          <w:instrText xml:space="preserve"> PAGEREF _Toc43899328 \h </w:instrText>
        </w:r>
        <w:r w:rsidR="00885DA7">
          <w:rPr>
            <w:noProof/>
            <w:webHidden/>
          </w:rPr>
        </w:r>
        <w:r w:rsidR="00885DA7">
          <w:rPr>
            <w:noProof/>
            <w:webHidden/>
          </w:rPr>
          <w:fldChar w:fldCharType="separate"/>
        </w:r>
        <w:r w:rsidR="001B2025">
          <w:rPr>
            <w:noProof/>
            <w:webHidden/>
          </w:rPr>
          <w:t>60</w:t>
        </w:r>
        <w:r w:rsidR="00885DA7">
          <w:rPr>
            <w:noProof/>
            <w:webHidden/>
          </w:rPr>
          <w:fldChar w:fldCharType="end"/>
        </w:r>
      </w:hyperlink>
    </w:p>
    <w:p w14:paraId="3EE359C0" w14:textId="5FA7624A" w:rsidR="00885DA7" w:rsidRDefault="00F30418">
      <w:pPr>
        <w:pStyle w:val="TableofFigures"/>
        <w:tabs>
          <w:tab w:val="right" w:pos="8495"/>
        </w:tabs>
        <w:rPr>
          <w:rFonts w:asciiTheme="minorHAnsi" w:hAnsiTheme="minorHAnsi"/>
          <w:noProof/>
        </w:rPr>
      </w:pPr>
      <w:hyperlink w:anchor="_Toc43899329" w:history="1">
        <w:r w:rsidR="00885DA7" w:rsidRPr="00CE5521">
          <w:rPr>
            <w:rStyle w:val="Hyperlink"/>
            <w:noProof/>
          </w:rPr>
          <w:t>Table 13:</w:t>
        </w:r>
        <w:r w:rsidR="00885DA7">
          <w:rPr>
            <w:rFonts w:asciiTheme="minorHAnsi" w:hAnsiTheme="minorHAnsi"/>
            <w:noProof/>
          </w:rPr>
          <w:tab/>
        </w:r>
        <w:r w:rsidR="00885DA7" w:rsidRPr="00CE5521">
          <w:rPr>
            <w:rStyle w:val="Hyperlink"/>
            <w:noProof/>
          </w:rPr>
          <w:t>Urgency criteria from the 2017 UK Climate Change Risk Assessment (Committee on Climate Change, 2017)</w:t>
        </w:r>
        <w:r w:rsidR="00885DA7">
          <w:rPr>
            <w:noProof/>
            <w:webHidden/>
          </w:rPr>
          <w:tab/>
        </w:r>
        <w:r w:rsidR="00885DA7">
          <w:rPr>
            <w:noProof/>
            <w:webHidden/>
          </w:rPr>
          <w:fldChar w:fldCharType="begin"/>
        </w:r>
        <w:r w:rsidR="00885DA7">
          <w:rPr>
            <w:noProof/>
            <w:webHidden/>
          </w:rPr>
          <w:instrText xml:space="preserve"> PAGEREF _Toc43899329 \h </w:instrText>
        </w:r>
        <w:r w:rsidR="00885DA7">
          <w:rPr>
            <w:noProof/>
            <w:webHidden/>
          </w:rPr>
        </w:r>
        <w:r w:rsidR="00885DA7">
          <w:rPr>
            <w:noProof/>
            <w:webHidden/>
          </w:rPr>
          <w:fldChar w:fldCharType="separate"/>
        </w:r>
        <w:r w:rsidR="001B2025">
          <w:rPr>
            <w:noProof/>
            <w:webHidden/>
          </w:rPr>
          <w:t>60</w:t>
        </w:r>
        <w:r w:rsidR="00885DA7">
          <w:rPr>
            <w:noProof/>
            <w:webHidden/>
          </w:rPr>
          <w:fldChar w:fldCharType="end"/>
        </w:r>
      </w:hyperlink>
    </w:p>
    <w:p w14:paraId="32F6F770" w14:textId="4E741388" w:rsidR="00885DA7" w:rsidRDefault="00F30418">
      <w:pPr>
        <w:pStyle w:val="TableofFigures"/>
        <w:tabs>
          <w:tab w:val="right" w:pos="8495"/>
        </w:tabs>
        <w:rPr>
          <w:rFonts w:asciiTheme="minorHAnsi" w:hAnsiTheme="minorHAnsi"/>
          <w:noProof/>
        </w:rPr>
      </w:pPr>
      <w:hyperlink w:anchor="_Toc43899330" w:history="1">
        <w:r w:rsidR="00885DA7" w:rsidRPr="00CE5521">
          <w:rPr>
            <w:rStyle w:val="Hyperlink"/>
            <w:noProof/>
          </w:rPr>
          <w:t>Table 14:</w:t>
        </w:r>
        <w:r w:rsidR="00885DA7">
          <w:rPr>
            <w:rFonts w:asciiTheme="minorHAnsi" w:hAnsiTheme="minorHAnsi"/>
            <w:noProof/>
          </w:rPr>
          <w:tab/>
        </w:r>
        <w:r w:rsidR="00885DA7" w:rsidRPr="00CE5521">
          <w:rPr>
            <w:rStyle w:val="Hyperlink"/>
            <w:noProof/>
          </w:rPr>
          <w:t>Vulnerability and exposure criteria</w:t>
        </w:r>
        <w:r w:rsidR="00885DA7">
          <w:rPr>
            <w:noProof/>
            <w:webHidden/>
          </w:rPr>
          <w:tab/>
        </w:r>
        <w:r w:rsidR="00885DA7">
          <w:rPr>
            <w:noProof/>
            <w:webHidden/>
          </w:rPr>
          <w:fldChar w:fldCharType="begin"/>
        </w:r>
        <w:r w:rsidR="00885DA7">
          <w:rPr>
            <w:noProof/>
            <w:webHidden/>
          </w:rPr>
          <w:instrText xml:space="preserve"> PAGEREF _Toc43899330 \h </w:instrText>
        </w:r>
        <w:r w:rsidR="00885DA7">
          <w:rPr>
            <w:noProof/>
            <w:webHidden/>
          </w:rPr>
        </w:r>
        <w:r w:rsidR="00885DA7">
          <w:rPr>
            <w:noProof/>
            <w:webHidden/>
          </w:rPr>
          <w:fldChar w:fldCharType="separate"/>
        </w:r>
        <w:r w:rsidR="001B2025">
          <w:rPr>
            <w:noProof/>
            <w:webHidden/>
          </w:rPr>
          <w:t>61</w:t>
        </w:r>
        <w:r w:rsidR="00885DA7">
          <w:rPr>
            <w:noProof/>
            <w:webHidden/>
          </w:rPr>
          <w:fldChar w:fldCharType="end"/>
        </w:r>
      </w:hyperlink>
    </w:p>
    <w:p w14:paraId="477F519D" w14:textId="5CB2E0F4" w:rsidR="00885DA7" w:rsidRDefault="00F30418">
      <w:pPr>
        <w:pStyle w:val="TableofFigures"/>
        <w:tabs>
          <w:tab w:val="right" w:pos="8495"/>
        </w:tabs>
        <w:rPr>
          <w:rFonts w:asciiTheme="minorHAnsi" w:hAnsiTheme="minorHAnsi"/>
          <w:noProof/>
        </w:rPr>
      </w:pPr>
      <w:hyperlink w:anchor="_Toc43899331" w:history="1">
        <w:r w:rsidR="00885DA7" w:rsidRPr="00CE5521">
          <w:rPr>
            <w:rStyle w:val="Hyperlink"/>
            <w:noProof/>
          </w:rPr>
          <w:t xml:space="preserve">Table 15: </w:t>
        </w:r>
        <w:r w:rsidR="00885DA7">
          <w:rPr>
            <w:rFonts w:asciiTheme="minorHAnsi" w:hAnsiTheme="minorHAnsi"/>
            <w:noProof/>
          </w:rPr>
          <w:tab/>
        </w:r>
        <w:r w:rsidR="00885DA7" w:rsidRPr="00CE5521">
          <w:rPr>
            <w:rStyle w:val="Hyperlink"/>
            <w:noProof/>
          </w:rPr>
          <w:t>Sensitivity and adaptive capacity in the natural environment domain</w:t>
        </w:r>
        <w:r w:rsidR="00885DA7">
          <w:rPr>
            <w:noProof/>
            <w:webHidden/>
          </w:rPr>
          <w:tab/>
        </w:r>
        <w:r w:rsidR="00885DA7">
          <w:rPr>
            <w:noProof/>
            <w:webHidden/>
          </w:rPr>
          <w:fldChar w:fldCharType="begin"/>
        </w:r>
        <w:r w:rsidR="00885DA7">
          <w:rPr>
            <w:noProof/>
            <w:webHidden/>
          </w:rPr>
          <w:instrText xml:space="preserve"> PAGEREF _Toc43899331 \h </w:instrText>
        </w:r>
        <w:r w:rsidR="00885DA7">
          <w:rPr>
            <w:noProof/>
            <w:webHidden/>
          </w:rPr>
        </w:r>
        <w:r w:rsidR="00885DA7">
          <w:rPr>
            <w:noProof/>
            <w:webHidden/>
          </w:rPr>
          <w:fldChar w:fldCharType="separate"/>
        </w:r>
        <w:r w:rsidR="001B2025">
          <w:rPr>
            <w:noProof/>
            <w:webHidden/>
          </w:rPr>
          <w:t>61</w:t>
        </w:r>
        <w:r w:rsidR="00885DA7">
          <w:rPr>
            <w:noProof/>
            <w:webHidden/>
          </w:rPr>
          <w:fldChar w:fldCharType="end"/>
        </w:r>
      </w:hyperlink>
    </w:p>
    <w:p w14:paraId="7A6ACA46" w14:textId="4D4F77F0" w:rsidR="00885DA7" w:rsidRDefault="00F30418">
      <w:pPr>
        <w:pStyle w:val="TableofFigures"/>
        <w:tabs>
          <w:tab w:val="right" w:pos="8495"/>
        </w:tabs>
        <w:rPr>
          <w:rFonts w:asciiTheme="minorHAnsi" w:hAnsiTheme="minorHAnsi"/>
          <w:noProof/>
        </w:rPr>
      </w:pPr>
      <w:hyperlink w:anchor="_Toc43899332" w:history="1">
        <w:r w:rsidR="00885DA7" w:rsidRPr="00CE5521">
          <w:rPr>
            <w:rStyle w:val="Hyperlink"/>
            <w:noProof/>
          </w:rPr>
          <w:t xml:space="preserve">Table 16: </w:t>
        </w:r>
        <w:r w:rsidR="00885DA7">
          <w:rPr>
            <w:rFonts w:asciiTheme="minorHAnsi" w:hAnsiTheme="minorHAnsi"/>
            <w:noProof/>
          </w:rPr>
          <w:tab/>
        </w:r>
        <w:r w:rsidR="00885DA7" w:rsidRPr="00CE5521">
          <w:rPr>
            <w:rStyle w:val="Hyperlink"/>
            <w:noProof/>
          </w:rPr>
          <w:t>Sensitivity and adaptive capacity in the human domain</w:t>
        </w:r>
        <w:r w:rsidR="00885DA7">
          <w:rPr>
            <w:noProof/>
            <w:webHidden/>
          </w:rPr>
          <w:tab/>
        </w:r>
        <w:r w:rsidR="00885DA7">
          <w:rPr>
            <w:noProof/>
            <w:webHidden/>
          </w:rPr>
          <w:fldChar w:fldCharType="begin"/>
        </w:r>
        <w:r w:rsidR="00885DA7">
          <w:rPr>
            <w:noProof/>
            <w:webHidden/>
          </w:rPr>
          <w:instrText xml:space="preserve"> PAGEREF _Toc43899332 \h </w:instrText>
        </w:r>
        <w:r w:rsidR="00885DA7">
          <w:rPr>
            <w:noProof/>
            <w:webHidden/>
          </w:rPr>
        </w:r>
        <w:r w:rsidR="00885DA7">
          <w:rPr>
            <w:noProof/>
            <w:webHidden/>
          </w:rPr>
          <w:fldChar w:fldCharType="separate"/>
        </w:r>
        <w:r w:rsidR="001B2025">
          <w:rPr>
            <w:noProof/>
            <w:webHidden/>
          </w:rPr>
          <w:t>63</w:t>
        </w:r>
        <w:r w:rsidR="00885DA7">
          <w:rPr>
            <w:noProof/>
            <w:webHidden/>
          </w:rPr>
          <w:fldChar w:fldCharType="end"/>
        </w:r>
      </w:hyperlink>
    </w:p>
    <w:p w14:paraId="6DDEE241" w14:textId="60A50A82" w:rsidR="00885DA7" w:rsidRDefault="00F30418">
      <w:pPr>
        <w:pStyle w:val="TableofFigures"/>
        <w:tabs>
          <w:tab w:val="right" w:pos="8495"/>
        </w:tabs>
        <w:rPr>
          <w:rFonts w:asciiTheme="minorHAnsi" w:hAnsiTheme="minorHAnsi"/>
          <w:noProof/>
        </w:rPr>
      </w:pPr>
      <w:hyperlink w:anchor="_Toc43899333" w:history="1">
        <w:r w:rsidR="00885DA7" w:rsidRPr="00CE5521">
          <w:rPr>
            <w:rStyle w:val="Hyperlink"/>
            <w:noProof/>
          </w:rPr>
          <w:t xml:space="preserve">Table 17: </w:t>
        </w:r>
        <w:r w:rsidR="00885DA7">
          <w:rPr>
            <w:rFonts w:asciiTheme="minorHAnsi" w:hAnsiTheme="minorHAnsi"/>
            <w:noProof/>
          </w:rPr>
          <w:tab/>
        </w:r>
        <w:r w:rsidR="00885DA7" w:rsidRPr="00CE5521">
          <w:rPr>
            <w:rStyle w:val="Hyperlink"/>
            <w:noProof/>
          </w:rPr>
          <w:t>Sensitivity and adaptive capacity in the economy domain</w:t>
        </w:r>
        <w:r w:rsidR="00885DA7">
          <w:rPr>
            <w:noProof/>
            <w:webHidden/>
          </w:rPr>
          <w:tab/>
        </w:r>
        <w:r w:rsidR="00885DA7">
          <w:rPr>
            <w:noProof/>
            <w:webHidden/>
          </w:rPr>
          <w:fldChar w:fldCharType="begin"/>
        </w:r>
        <w:r w:rsidR="00885DA7">
          <w:rPr>
            <w:noProof/>
            <w:webHidden/>
          </w:rPr>
          <w:instrText xml:space="preserve"> PAGEREF _Toc43899333 \h </w:instrText>
        </w:r>
        <w:r w:rsidR="00885DA7">
          <w:rPr>
            <w:noProof/>
            <w:webHidden/>
          </w:rPr>
        </w:r>
        <w:r w:rsidR="00885DA7">
          <w:rPr>
            <w:noProof/>
            <w:webHidden/>
          </w:rPr>
          <w:fldChar w:fldCharType="separate"/>
        </w:r>
        <w:r w:rsidR="001B2025">
          <w:rPr>
            <w:noProof/>
            <w:webHidden/>
          </w:rPr>
          <w:t>64</w:t>
        </w:r>
        <w:r w:rsidR="00885DA7">
          <w:rPr>
            <w:noProof/>
            <w:webHidden/>
          </w:rPr>
          <w:fldChar w:fldCharType="end"/>
        </w:r>
      </w:hyperlink>
    </w:p>
    <w:p w14:paraId="1A9AB726" w14:textId="7565762F" w:rsidR="00885DA7" w:rsidRDefault="00F30418">
      <w:pPr>
        <w:pStyle w:val="TableofFigures"/>
        <w:tabs>
          <w:tab w:val="right" w:pos="8495"/>
        </w:tabs>
        <w:rPr>
          <w:rFonts w:asciiTheme="minorHAnsi" w:hAnsiTheme="minorHAnsi"/>
          <w:noProof/>
        </w:rPr>
      </w:pPr>
      <w:hyperlink w:anchor="_Toc43899334" w:history="1">
        <w:r w:rsidR="00885DA7" w:rsidRPr="00CE5521">
          <w:rPr>
            <w:rStyle w:val="Hyperlink"/>
            <w:noProof/>
          </w:rPr>
          <w:t xml:space="preserve">Table 18: </w:t>
        </w:r>
        <w:r w:rsidR="00885DA7">
          <w:rPr>
            <w:rFonts w:asciiTheme="minorHAnsi" w:hAnsiTheme="minorHAnsi"/>
            <w:noProof/>
          </w:rPr>
          <w:tab/>
        </w:r>
        <w:r w:rsidR="00885DA7" w:rsidRPr="00CE5521">
          <w:rPr>
            <w:rStyle w:val="Hyperlink"/>
            <w:noProof/>
          </w:rPr>
          <w:t>Sensitivity and adaptive capacity in the built environment domain</w:t>
        </w:r>
        <w:r w:rsidR="00885DA7">
          <w:rPr>
            <w:noProof/>
            <w:webHidden/>
          </w:rPr>
          <w:tab/>
        </w:r>
        <w:r w:rsidR="00885DA7">
          <w:rPr>
            <w:noProof/>
            <w:webHidden/>
          </w:rPr>
          <w:fldChar w:fldCharType="begin"/>
        </w:r>
        <w:r w:rsidR="00885DA7">
          <w:rPr>
            <w:noProof/>
            <w:webHidden/>
          </w:rPr>
          <w:instrText xml:space="preserve"> PAGEREF _Toc43899334 \h </w:instrText>
        </w:r>
        <w:r w:rsidR="00885DA7">
          <w:rPr>
            <w:noProof/>
            <w:webHidden/>
          </w:rPr>
        </w:r>
        <w:r w:rsidR="00885DA7">
          <w:rPr>
            <w:noProof/>
            <w:webHidden/>
          </w:rPr>
          <w:fldChar w:fldCharType="separate"/>
        </w:r>
        <w:r w:rsidR="001B2025">
          <w:rPr>
            <w:noProof/>
            <w:webHidden/>
          </w:rPr>
          <w:t>64</w:t>
        </w:r>
        <w:r w:rsidR="00885DA7">
          <w:rPr>
            <w:noProof/>
            <w:webHidden/>
          </w:rPr>
          <w:fldChar w:fldCharType="end"/>
        </w:r>
      </w:hyperlink>
    </w:p>
    <w:p w14:paraId="6550E392" w14:textId="2B881018" w:rsidR="00532334" w:rsidRPr="006B77BB" w:rsidRDefault="004943C2" w:rsidP="00D51469">
      <w:pPr>
        <w:pStyle w:val="BodyText"/>
      </w:pPr>
      <w:r w:rsidRPr="006B77BB">
        <w:fldChar w:fldCharType="end"/>
      </w:r>
    </w:p>
    <w:p w14:paraId="09386A40" w14:textId="3D0C51B8" w:rsidR="006979C6" w:rsidRPr="006B77BB" w:rsidRDefault="006979C6" w:rsidP="006979C6">
      <w:pPr>
        <w:pStyle w:val="Heading"/>
      </w:pPr>
      <w:r>
        <w:t>Figure</w:t>
      </w:r>
      <w:r w:rsidRPr="006B77BB">
        <w:t>s</w:t>
      </w:r>
    </w:p>
    <w:p w14:paraId="701DF47C" w14:textId="0AEE4D5A" w:rsidR="00885DA7" w:rsidRDefault="004943C2">
      <w:pPr>
        <w:pStyle w:val="TableofFigures"/>
        <w:tabs>
          <w:tab w:val="right" w:pos="8495"/>
        </w:tabs>
        <w:rPr>
          <w:rFonts w:asciiTheme="minorHAnsi" w:hAnsiTheme="minorHAnsi"/>
          <w:noProof/>
        </w:rPr>
      </w:pPr>
      <w:r w:rsidRPr="006B77BB">
        <w:fldChar w:fldCharType="begin"/>
      </w:r>
      <w:r w:rsidRPr="006B77BB">
        <w:instrText xml:space="preserve"> TOC \h \z \t "Figure heading" \c </w:instrText>
      </w:r>
      <w:r w:rsidRPr="006B77BB">
        <w:fldChar w:fldCharType="separate"/>
      </w:r>
      <w:hyperlink w:anchor="_Toc43899335" w:history="1">
        <w:r w:rsidR="00885DA7" w:rsidRPr="007C2A1E">
          <w:rPr>
            <w:rStyle w:val="Hyperlink"/>
            <w:noProof/>
          </w:rPr>
          <w:t>Figure 1:</w:t>
        </w:r>
        <w:r w:rsidR="00885DA7">
          <w:rPr>
            <w:rFonts w:asciiTheme="minorHAnsi" w:hAnsiTheme="minorHAnsi"/>
            <w:noProof/>
          </w:rPr>
          <w:tab/>
        </w:r>
        <w:r w:rsidR="00885DA7" w:rsidRPr="007C2A1E">
          <w:rPr>
            <w:rStyle w:val="Hyperlink"/>
            <w:noProof/>
          </w:rPr>
          <w:t xml:space="preserve">NCCRA process </w:t>
        </w:r>
        <w:r w:rsidR="00885DA7" w:rsidRPr="004C38F7">
          <w:rPr>
            <w:rStyle w:val="Hyperlink"/>
            <w:noProof/>
          </w:rPr>
          <w:t>overview</w:t>
        </w:r>
        <w:r w:rsidR="00885DA7" w:rsidRPr="007C2A1E">
          <w:rPr>
            <w:rStyle w:val="Hyperlink"/>
            <w:noProof/>
          </w:rPr>
          <w:t xml:space="preserve"> </w:t>
        </w:r>
        <w:r w:rsidR="00885DA7">
          <w:rPr>
            <w:noProof/>
            <w:webHidden/>
          </w:rPr>
          <w:tab/>
        </w:r>
        <w:r w:rsidR="00885DA7">
          <w:rPr>
            <w:noProof/>
            <w:webHidden/>
          </w:rPr>
          <w:fldChar w:fldCharType="begin"/>
        </w:r>
        <w:r w:rsidR="00885DA7">
          <w:rPr>
            <w:noProof/>
            <w:webHidden/>
          </w:rPr>
          <w:instrText xml:space="preserve"> PAGEREF _Toc43899335 \h </w:instrText>
        </w:r>
        <w:r w:rsidR="00885DA7">
          <w:rPr>
            <w:noProof/>
            <w:webHidden/>
          </w:rPr>
        </w:r>
        <w:r w:rsidR="00885DA7">
          <w:rPr>
            <w:noProof/>
            <w:webHidden/>
          </w:rPr>
          <w:fldChar w:fldCharType="separate"/>
        </w:r>
        <w:r w:rsidR="001B2025">
          <w:rPr>
            <w:noProof/>
            <w:webHidden/>
          </w:rPr>
          <w:t>9</w:t>
        </w:r>
        <w:r w:rsidR="00885DA7">
          <w:rPr>
            <w:noProof/>
            <w:webHidden/>
          </w:rPr>
          <w:fldChar w:fldCharType="end"/>
        </w:r>
      </w:hyperlink>
    </w:p>
    <w:p w14:paraId="48392432" w14:textId="4EE3A08F" w:rsidR="00885DA7" w:rsidRDefault="00F30418">
      <w:pPr>
        <w:pStyle w:val="TableofFigures"/>
        <w:tabs>
          <w:tab w:val="right" w:pos="8495"/>
        </w:tabs>
        <w:rPr>
          <w:rFonts w:asciiTheme="minorHAnsi" w:hAnsiTheme="minorHAnsi"/>
          <w:noProof/>
        </w:rPr>
      </w:pPr>
      <w:hyperlink w:anchor="_Toc43899336" w:history="1">
        <w:r w:rsidR="00885DA7" w:rsidRPr="007C2A1E">
          <w:rPr>
            <w:rStyle w:val="Hyperlink"/>
            <w:noProof/>
          </w:rPr>
          <w:t>Figure 2:</w:t>
        </w:r>
        <w:r w:rsidR="00885DA7">
          <w:rPr>
            <w:rFonts w:asciiTheme="minorHAnsi" w:hAnsiTheme="minorHAnsi"/>
            <w:noProof/>
          </w:rPr>
          <w:tab/>
        </w:r>
        <w:r w:rsidR="00885DA7" w:rsidRPr="007C2A1E">
          <w:rPr>
            <w:rStyle w:val="Hyperlink"/>
            <w:noProof/>
          </w:rPr>
          <w:t>Sub-national zones map (Ministry for the Environment, 2019)</w:t>
        </w:r>
        <w:r w:rsidR="00885DA7">
          <w:rPr>
            <w:noProof/>
            <w:webHidden/>
          </w:rPr>
          <w:tab/>
        </w:r>
        <w:r w:rsidR="00885DA7">
          <w:rPr>
            <w:noProof/>
            <w:webHidden/>
          </w:rPr>
          <w:fldChar w:fldCharType="begin"/>
        </w:r>
        <w:r w:rsidR="00885DA7">
          <w:rPr>
            <w:noProof/>
            <w:webHidden/>
          </w:rPr>
          <w:instrText xml:space="preserve"> PAGEREF _Toc43899336 \h </w:instrText>
        </w:r>
        <w:r w:rsidR="00885DA7">
          <w:rPr>
            <w:noProof/>
            <w:webHidden/>
          </w:rPr>
        </w:r>
        <w:r w:rsidR="00885DA7">
          <w:rPr>
            <w:noProof/>
            <w:webHidden/>
          </w:rPr>
          <w:fldChar w:fldCharType="separate"/>
        </w:r>
        <w:r w:rsidR="001B2025">
          <w:rPr>
            <w:noProof/>
            <w:webHidden/>
          </w:rPr>
          <w:t>15</w:t>
        </w:r>
        <w:r w:rsidR="00885DA7">
          <w:rPr>
            <w:noProof/>
            <w:webHidden/>
          </w:rPr>
          <w:fldChar w:fldCharType="end"/>
        </w:r>
      </w:hyperlink>
    </w:p>
    <w:p w14:paraId="532E6269" w14:textId="6C9F6F6E" w:rsidR="00885DA7" w:rsidRDefault="00F30418">
      <w:pPr>
        <w:pStyle w:val="TableofFigures"/>
        <w:tabs>
          <w:tab w:val="right" w:pos="8495"/>
        </w:tabs>
        <w:rPr>
          <w:rFonts w:asciiTheme="minorHAnsi" w:hAnsiTheme="minorHAnsi"/>
          <w:noProof/>
        </w:rPr>
      </w:pPr>
      <w:hyperlink w:anchor="_Toc43899337" w:history="1">
        <w:r w:rsidR="00885DA7" w:rsidRPr="007C2A1E">
          <w:rPr>
            <w:rStyle w:val="Hyperlink"/>
            <w:noProof/>
          </w:rPr>
          <w:t>Figure 3:</w:t>
        </w:r>
        <w:r w:rsidR="00885DA7">
          <w:rPr>
            <w:rFonts w:asciiTheme="minorHAnsi" w:hAnsiTheme="minorHAnsi"/>
            <w:noProof/>
          </w:rPr>
          <w:tab/>
        </w:r>
        <w:r w:rsidR="00885DA7" w:rsidRPr="007C2A1E">
          <w:rPr>
            <w:rStyle w:val="Hyperlink"/>
            <w:noProof/>
          </w:rPr>
          <w:t>Interaction between the physical climate system, exposure and vulnerability producing risk (IPCC, 2014</w:t>
        </w:r>
        <w:r w:rsidR="00525112">
          <w:rPr>
            <w:rStyle w:val="Hyperlink"/>
            <w:noProof/>
          </w:rPr>
          <w:t>a</w:t>
        </w:r>
        <w:r w:rsidR="00885DA7" w:rsidRPr="007C2A1E">
          <w:rPr>
            <w:rStyle w:val="Hyperlink"/>
            <w:noProof/>
          </w:rPr>
          <w:t>)</w:t>
        </w:r>
        <w:r w:rsidR="00885DA7">
          <w:rPr>
            <w:noProof/>
            <w:webHidden/>
          </w:rPr>
          <w:tab/>
        </w:r>
        <w:r w:rsidR="00885DA7">
          <w:rPr>
            <w:noProof/>
            <w:webHidden/>
          </w:rPr>
          <w:fldChar w:fldCharType="begin"/>
        </w:r>
        <w:r w:rsidR="00885DA7">
          <w:rPr>
            <w:noProof/>
            <w:webHidden/>
          </w:rPr>
          <w:instrText xml:space="preserve"> PAGEREF _Toc43899337 \h </w:instrText>
        </w:r>
        <w:r w:rsidR="00885DA7">
          <w:rPr>
            <w:noProof/>
            <w:webHidden/>
          </w:rPr>
        </w:r>
        <w:r w:rsidR="00885DA7">
          <w:rPr>
            <w:noProof/>
            <w:webHidden/>
          </w:rPr>
          <w:fldChar w:fldCharType="separate"/>
        </w:r>
        <w:r w:rsidR="001B2025">
          <w:rPr>
            <w:noProof/>
            <w:webHidden/>
          </w:rPr>
          <w:t>17</w:t>
        </w:r>
        <w:r w:rsidR="00885DA7">
          <w:rPr>
            <w:noProof/>
            <w:webHidden/>
          </w:rPr>
          <w:fldChar w:fldCharType="end"/>
        </w:r>
      </w:hyperlink>
    </w:p>
    <w:p w14:paraId="35824497" w14:textId="218F2FD2" w:rsidR="00885DA7" w:rsidRDefault="00F30418">
      <w:pPr>
        <w:pStyle w:val="TableofFigures"/>
        <w:tabs>
          <w:tab w:val="right" w:pos="8495"/>
        </w:tabs>
        <w:rPr>
          <w:rFonts w:asciiTheme="minorHAnsi" w:hAnsiTheme="minorHAnsi"/>
          <w:noProof/>
        </w:rPr>
      </w:pPr>
      <w:hyperlink w:anchor="_Toc43899338" w:history="1">
        <w:r w:rsidR="00885DA7" w:rsidRPr="007C2A1E">
          <w:rPr>
            <w:rStyle w:val="Hyperlink"/>
            <w:noProof/>
          </w:rPr>
          <w:t>Figure 4:</w:t>
        </w:r>
        <w:r w:rsidR="00885DA7">
          <w:rPr>
            <w:rFonts w:asciiTheme="minorHAnsi" w:hAnsiTheme="minorHAnsi"/>
            <w:noProof/>
          </w:rPr>
          <w:tab/>
        </w:r>
        <w:r w:rsidR="00885DA7" w:rsidRPr="007C2A1E">
          <w:rPr>
            <w:rStyle w:val="Hyperlink"/>
            <w:noProof/>
          </w:rPr>
          <w:t>Overview of stage 3, as outlined in the NCCRA framework (Ministry for the Environment, 2019)</w:t>
        </w:r>
        <w:r w:rsidR="00885DA7">
          <w:rPr>
            <w:noProof/>
            <w:webHidden/>
          </w:rPr>
          <w:tab/>
        </w:r>
        <w:r w:rsidR="00885DA7">
          <w:rPr>
            <w:noProof/>
            <w:webHidden/>
          </w:rPr>
          <w:fldChar w:fldCharType="begin"/>
        </w:r>
        <w:r w:rsidR="00885DA7">
          <w:rPr>
            <w:noProof/>
            <w:webHidden/>
          </w:rPr>
          <w:instrText xml:space="preserve"> PAGEREF _Toc43899338 \h </w:instrText>
        </w:r>
        <w:r w:rsidR="00885DA7">
          <w:rPr>
            <w:noProof/>
            <w:webHidden/>
          </w:rPr>
        </w:r>
        <w:r w:rsidR="00885DA7">
          <w:rPr>
            <w:noProof/>
            <w:webHidden/>
          </w:rPr>
          <w:fldChar w:fldCharType="separate"/>
        </w:r>
        <w:r w:rsidR="001B2025">
          <w:rPr>
            <w:noProof/>
            <w:webHidden/>
          </w:rPr>
          <w:t>24</w:t>
        </w:r>
        <w:r w:rsidR="00885DA7">
          <w:rPr>
            <w:noProof/>
            <w:webHidden/>
          </w:rPr>
          <w:fldChar w:fldCharType="end"/>
        </w:r>
      </w:hyperlink>
    </w:p>
    <w:p w14:paraId="618E24A7" w14:textId="2C236F6F" w:rsidR="00885DA7" w:rsidRDefault="00F30418">
      <w:pPr>
        <w:pStyle w:val="TableofFigures"/>
        <w:tabs>
          <w:tab w:val="right" w:pos="8495"/>
        </w:tabs>
        <w:rPr>
          <w:rFonts w:asciiTheme="minorHAnsi" w:hAnsiTheme="minorHAnsi"/>
          <w:noProof/>
        </w:rPr>
      </w:pPr>
      <w:hyperlink w:anchor="_Toc43899339" w:history="1">
        <w:r w:rsidR="00885DA7" w:rsidRPr="007C2A1E">
          <w:rPr>
            <w:rStyle w:val="Hyperlink"/>
            <w:noProof/>
          </w:rPr>
          <w:t>Figure 5:</w:t>
        </w:r>
        <w:r w:rsidR="00885DA7">
          <w:rPr>
            <w:rFonts w:asciiTheme="minorHAnsi" w:hAnsiTheme="minorHAnsi"/>
            <w:noProof/>
          </w:rPr>
          <w:tab/>
        </w:r>
        <w:r w:rsidR="00885DA7" w:rsidRPr="007C2A1E">
          <w:rPr>
            <w:rStyle w:val="Hyperlink"/>
            <w:noProof/>
          </w:rPr>
          <w:t>Application of urgency categories in the NCCRA</w:t>
        </w:r>
        <w:r w:rsidR="00885DA7">
          <w:rPr>
            <w:noProof/>
            <w:webHidden/>
          </w:rPr>
          <w:tab/>
        </w:r>
        <w:r w:rsidR="00885DA7">
          <w:rPr>
            <w:noProof/>
            <w:webHidden/>
          </w:rPr>
          <w:fldChar w:fldCharType="begin"/>
        </w:r>
        <w:r w:rsidR="00885DA7">
          <w:rPr>
            <w:noProof/>
            <w:webHidden/>
          </w:rPr>
          <w:instrText xml:space="preserve"> PAGEREF _Toc43899339 \h </w:instrText>
        </w:r>
        <w:r w:rsidR="00885DA7">
          <w:rPr>
            <w:noProof/>
            <w:webHidden/>
          </w:rPr>
        </w:r>
        <w:r w:rsidR="00885DA7">
          <w:rPr>
            <w:noProof/>
            <w:webHidden/>
          </w:rPr>
          <w:fldChar w:fldCharType="separate"/>
        </w:r>
        <w:r w:rsidR="001B2025">
          <w:rPr>
            <w:noProof/>
            <w:webHidden/>
          </w:rPr>
          <w:t>26</w:t>
        </w:r>
        <w:r w:rsidR="00885DA7">
          <w:rPr>
            <w:noProof/>
            <w:webHidden/>
          </w:rPr>
          <w:fldChar w:fldCharType="end"/>
        </w:r>
      </w:hyperlink>
    </w:p>
    <w:p w14:paraId="252105AB" w14:textId="72812345" w:rsidR="00885DA7" w:rsidRDefault="00F30418">
      <w:pPr>
        <w:pStyle w:val="TableofFigures"/>
        <w:tabs>
          <w:tab w:val="right" w:pos="8495"/>
        </w:tabs>
        <w:rPr>
          <w:rFonts w:asciiTheme="minorHAnsi" w:hAnsiTheme="minorHAnsi"/>
          <w:noProof/>
        </w:rPr>
      </w:pPr>
      <w:hyperlink w:anchor="_Toc43899340" w:history="1">
        <w:r w:rsidR="00885DA7" w:rsidRPr="007C2A1E">
          <w:rPr>
            <w:rStyle w:val="Hyperlink"/>
            <w:noProof/>
          </w:rPr>
          <w:t>Figure 6:</w:t>
        </w:r>
        <w:r w:rsidR="00885DA7">
          <w:rPr>
            <w:rFonts w:asciiTheme="minorHAnsi" w:hAnsiTheme="minorHAnsi"/>
            <w:noProof/>
          </w:rPr>
          <w:tab/>
        </w:r>
        <w:r w:rsidR="00885DA7" w:rsidRPr="007C2A1E">
          <w:rPr>
            <w:rStyle w:val="Hyperlink"/>
            <w:noProof/>
          </w:rPr>
          <w:t>Stakeholder level of influence on the NCCRA project, based on the IAP2 model (iap2.org.au)</w:t>
        </w:r>
        <w:r w:rsidR="00885DA7">
          <w:rPr>
            <w:noProof/>
            <w:webHidden/>
          </w:rPr>
          <w:tab/>
        </w:r>
        <w:r w:rsidR="00885DA7">
          <w:rPr>
            <w:noProof/>
            <w:webHidden/>
          </w:rPr>
          <w:fldChar w:fldCharType="begin"/>
        </w:r>
        <w:r w:rsidR="00885DA7">
          <w:rPr>
            <w:noProof/>
            <w:webHidden/>
          </w:rPr>
          <w:instrText xml:space="preserve"> PAGEREF _Toc43899340 \h </w:instrText>
        </w:r>
        <w:r w:rsidR="00885DA7">
          <w:rPr>
            <w:noProof/>
            <w:webHidden/>
          </w:rPr>
        </w:r>
        <w:r w:rsidR="00885DA7">
          <w:rPr>
            <w:noProof/>
            <w:webHidden/>
          </w:rPr>
          <w:fldChar w:fldCharType="separate"/>
        </w:r>
        <w:r w:rsidR="001B2025">
          <w:rPr>
            <w:noProof/>
            <w:webHidden/>
          </w:rPr>
          <w:t>29</w:t>
        </w:r>
        <w:r w:rsidR="00885DA7">
          <w:rPr>
            <w:noProof/>
            <w:webHidden/>
          </w:rPr>
          <w:fldChar w:fldCharType="end"/>
        </w:r>
      </w:hyperlink>
    </w:p>
    <w:p w14:paraId="198D2150" w14:textId="11114B4E" w:rsidR="008A2FF1" w:rsidRPr="006B77BB" w:rsidRDefault="004943C2" w:rsidP="00280354">
      <w:pPr>
        <w:pStyle w:val="BodyText"/>
        <w:spacing w:before="0" w:after="0"/>
      </w:pPr>
      <w:r w:rsidRPr="006B77BB">
        <w:fldChar w:fldCharType="end"/>
      </w:r>
    </w:p>
    <w:p w14:paraId="721B4993" w14:textId="77777777" w:rsidR="00894D0A" w:rsidRPr="0024184F" w:rsidRDefault="00796A6F" w:rsidP="003C4F4B">
      <w:pPr>
        <w:pStyle w:val="Heading1"/>
        <w:numPr>
          <w:ilvl w:val="0"/>
          <w:numId w:val="19"/>
        </w:numPr>
      </w:pPr>
      <w:bookmarkStart w:id="1" w:name="_Toc215561202"/>
      <w:r w:rsidRPr="00280354">
        <w:rPr>
          <w:rStyle w:val="BodyTextChar"/>
        </w:rPr>
        <w:br w:type="page"/>
      </w:r>
      <w:bookmarkStart w:id="2" w:name="_Toc37419343"/>
      <w:bookmarkStart w:id="3" w:name="_Toc40686513"/>
      <w:bookmarkStart w:id="4" w:name="_Toc45898300"/>
      <w:r w:rsidR="00894D0A" w:rsidRPr="0023242A">
        <w:lastRenderedPageBreak/>
        <w:t>Introduction</w:t>
      </w:r>
      <w:bookmarkEnd w:id="2"/>
      <w:bookmarkEnd w:id="3"/>
      <w:bookmarkEnd w:id="4"/>
    </w:p>
    <w:p w14:paraId="1BE288C9" w14:textId="77777777" w:rsidR="00894D0A" w:rsidRPr="0024184F" w:rsidRDefault="00894D0A" w:rsidP="00C93B5E">
      <w:pPr>
        <w:pStyle w:val="Heading2"/>
        <w:numPr>
          <w:ilvl w:val="0"/>
          <w:numId w:val="20"/>
        </w:numPr>
        <w:spacing w:before="240"/>
      </w:pPr>
      <w:bookmarkStart w:id="5" w:name="_Toc37147597"/>
      <w:bookmarkStart w:id="6" w:name="_Toc37157432"/>
      <w:bookmarkStart w:id="7" w:name="_Toc37419344"/>
      <w:bookmarkStart w:id="8" w:name="_Toc40686514"/>
      <w:bookmarkStart w:id="9" w:name="_Toc45898301"/>
      <w:r w:rsidRPr="0024184F">
        <w:t>Purpose of this report</w:t>
      </w:r>
      <w:bookmarkEnd w:id="5"/>
      <w:bookmarkEnd w:id="6"/>
      <w:bookmarkEnd w:id="7"/>
      <w:bookmarkEnd w:id="8"/>
      <w:bookmarkEnd w:id="9"/>
    </w:p>
    <w:p w14:paraId="5CA64E93" w14:textId="67D8DA6B" w:rsidR="00894D0A" w:rsidRPr="00C878D1" w:rsidRDefault="00894D0A" w:rsidP="00DE44A9">
      <w:pPr>
        <w:pStyle w:val="BodyText"/>
      </w:pPr>
      <w:r w:rsidRPr="00C878D1">
        <w:t xml:space="preserve">The </w:t>
      </w:r>
      <w:r w:rsidR="00462374">
        <w:t>f</w:t>
      </w:r>
      <w:r w:rsidRPr="00C878D1">
        <w:t xml:space="preserve">irst </w:t>
      </w:r>
      <w:r w:rsidRPr="00B80636">
        <w:rPr>
          <w:i/>
        </w:rPr>
        <w:t xml:space="preserve">National Climate </w:t>
      </w:r>
      <w:r w:rsidR="00D81FF6" w:rsidRPr="00B80636">
        <w:rPr>
          <w:i/>
        </w:rPr>
        <w:t xml:space="preserve">Change </w:t>
      </w:r>
      <w:r w:rsidRPr="00B80636">
        <w:rPr>
          <w:i/>
        </w:rPr>
        <w:t>Risk Assessment for New Zealand</w:t>
      </w:r>
      <w:r w:rsidR="00462374" w:rsidRPr="00B80636">
        <w:rPr>
          <w:i/>
        </w:rPr>
        <w:t>: Arotakenga Tūraru mō te Huringa Āhuarangi o Aotearoa</w:t>
      </w:r>
      <w:r w:rsidRPr="00C878D1">
        <w:t xml:space="preserve"> (NCCRA) was delivered for the New Zealand Government between September 2019 and May 2020. The NCCRA focused on the risks to New Zealand from hazards that are caused, exacerbated or influenced by the physical impacts of climate change. Some consideration was also given to any potential or beneficial consequences (opportunities) </w:t>
      </w:r>
      <w:r w:rsidR="006B175C">
        <w:t>arising from</w:t>
      </w:r>
      <w:r w:rsidRPr="00C878D1">
        <w:t xml:space="preserve"> a changing climate. </w:t>
      </w:r>
    </w:p>
    <w:p w14:paraId="73214925" w14:textId="1C8EA386" w:rsidR="00894D0A" w:rsidRPr="00C878D1" w:rsidRDefault="00894D0A" w:rsidP="00894D0A">
      <w:pPr>
        <w:pStyle w:val="BodyText"/>
      </w:pPr>
      <w:r w:rsidRPr="00C878D1">
        <w:t>The assessment sought to build an understanding of the risks and opportunities posed by long</w:t>
      </w:r>
      <w:r w:rsidR="003B1B66">
        <w:noBreakHyphen/>
      </w:r>
      <w:r w:rsidRPr="00C878D1">
        <w:t>term trends in the climate (ongoing gradual change) and changes in extreme weather, to</w:t>
      </w:r>
      <w:r w:rsidR="003B1B66">
        <w:t> </w:t>
      </w:r>
      <w:r w:rsidRPr="00C878D1">
        <w:t xml:space="preserve">inform the development of a </w:t>
      </w:r>
      <w:r w:rsidR="0008531F">
        <w:t>n</w:t>
      </w:r>
      <w:r w:rsidR="0008531F" w:rsidRPr="00C878D1">
        <w:t xml:space="preserve">ational </w:t>
      </w:r>
      <w:r w:rsidR="0008531F">
        <w:t>a</w:t>
      </w:r>
      <w:r w:rsidR="0008531F" w:rsidRPr="00C878D1">
        <w:t xml:space="preserve">daptation </w:t>
      </w:r>
      <w:r w:rsidR="0008531F">
        <w:t>p</w:t>
      </w:r>
      <w:r w:rsidR="0008531F" w:rsidRPr="00C878D1">
        <w:t xml:space="preserve">lan </w:t>
      </w:r>
      <w:r w:rsidRPr="00C878D1">
        <w:t xml:space="preserve">(NAP). </w:t>
      </w:r>
    </w:p>
    <w:p w14:paraId="5F001849" w14:textId="17870B14" w:rsidR="00894D0A" w:rsidRPr="00C878D1" w:rsidRDefault="00894D0A" w:rsidP="00894D0A">
      <w:pPr>
        <w:pStyle w:val="BodyText"/>
      </w:pPr>
      <w:r w:rsidRPr="00C878D1">
        <w:t>The Climate Change Response (Zero Carbon) Amendment Act 2019</w:t>
      </w:r>
      <w:r w:rsidRPr="00C878D1">
        <w:rPr>
          <w:i/>
        </w:rPr>
        <w:t xml:space="preserve"> </w:t>
      </w:r>
      <w:r w:rsidRPr="00C878D1">
        <w:rPr>
          <w:iCs/>
        </w:rPr>
        <w:t>requires the Climate Change Commission</w:t>
      </w:r>
      <w:r w:rsidR="00D81FF6">
        <w:rPr>
          <w:iCs/>
        </w:rPr>
        <w:t xml:space="preserve"> (the Commission)</w:t>
      </w:r>
      <w:r w:rsidRPr="00C878D1">
        <w:rPr>
          <w:iCs/>
        </w:rPr>
        <w:t xml:space="preserve"> to prepare an NCCRA at least once every six years. The current NCCRA lays</w:t>
      </w:r>
      <w:r w:rsidR="00187116">
        <w:rPr>
          <w:iCs/>
        </w:rPr>
        <w:t> </w:t>
      </w:r>
      <w:r w:rsidRPr="00C878D1">
        <w:rPr>
          <w:iCs/>
        </w:rPr>
        <w:t>the groundwork for the next by documenting the assessment and engagement method in</w:t>
      </w:r>
      <w:r w:rsidR="00187116">
        <w:rPr>
          <w:iCs/>
        </w:rPr>
        <w:t> </w:t>
      </w:r>
      <w:r w:rsidRPr="00C878D1">
        <w:rPr>
          <w:iCs/>
        </w:rPr>
        <w:t>detail, and providing the Ministry for the Environment (the Ministry) and the Commission with the tools (spreadsheets and engagement materials) as well as raw data and records of engagement. This gives the Ministry and the Commission the option of building on the outputs from this NCCRA, to develop the information and evidence base for the next one.</w:t>
      </w:r>
      <w:r w:rsidRPr="00C878D1">
        <w:rPr>
          <w:i/>
        </w:rPr>
        <w:t xml:space="preserve"> </w:t>
      </w:r>
      <w:r w:rsidRPr="00C878D1">
        <w:t>These records may also be of use for other national and local/regional risk assessments.</w:t>
      </w:r>
    </w:p>
    <w:p w14:paraId="48802454" w14:textId="2AA6C043" w:rsidR="006C3D63" w:rsidRPr="0024184F" w:rsidRDefault="006C3D63" w:rsidP="00FC7DB8">
      <w:pPr>
        <w:pStyle w:val="Heading2"/>
        <w:numPr>
          <w:ilvl w:val="0"/>
          <w:numId w:val="20"/>
        </w:numPr>
      </w:pPr>
      <w:bookmarkStart w:id="10" w:name="_Toc43474111"/>
      <w:bookmarkStart w:id="11" w:name="_Toc45898302"/>
      <w:bookmarkStart w:id="12" w:name="_Toc37157433"/>
      <w:bookmarkStart w:id="13" w:name="_Toc37419345"/>
      <w:bookmarkStart w:id="14" w:name="_Toc37147598"/>
      <w:bookmarkStart w:id="15" w:name="_Toc40686515"/>
      <w:r w:rsidRPr="0024184F">
        <w:t xml:space="preserve">The NCCRA </w:t>
      </w:r>
      <w:r w:rsidR="004C38F7">
        <w:t xml:space="preserve">project </w:t>
      </w:r>
      <w:r w:rsidRPr="0024184F">
        <w:t>team</w:t>
      </w:r>
      <w:bookmarkEnd w:id="10"/>
      <w:bookmarkEnd w:id="11"/>
    </w:p>
    <w:bookmarkEnd w:id="12"/>
    <w:bookmarkEnd w:id="13"/>
    <w:bookmarkEnd w:id="14"/>
    <w:bookmarkEnd w:id="15"/>
    <w:p w14:paraId="0D578025" w14:textId="6450DE5F" w:rsidR="00894D0A" w:rsidRDefault="00894D0A" w:rsidP="00187116">
      <w:pPr>
        <w:pStyle w:val="BodyText"/>
      </w:pPr>
      <w:r w:rsidRPr="0024184F">
        <w:t>New Zealand’s first NCCRA was delivered by a consortium led by AECOM, with support from Tonkin + Taylor, NIWA, Latitude, Victoria University</w:t>
      </w:r>
      <w:r w:rsidR="000F1DAD">
        <w:t xml:space="preserve"> of Wellington</w:t>
      </w:r>
      <w:r w:rsidRPr="0024184F">
        <w:t>, Lincoln University and several independent consultants.</w:t>
      </w:r>
    </w:p>
    <w:p w14:paraId="3C96683F" w14:textId="5302CAC8" w:rsidR="00894D0A" w:rsidRPr="0024184F" w:rsidRDefault="00894D0A" w:rsidP="00187116">
      <w:pPr>
        <w:pStyle w:val="BodyText"/>
      </w:pPr>
      <w:r w:rsidRPr="0024184F">
        <w:t xml:space="preserve">The NCCRA examined risks across all </w:t>
      </w:r>
      <w:r w:rsidR="006B175C">
        <w:t xml:space="preserve">of </w:t>
      </w:r>
      <w:r w:rsidRPr="0024184F">
        <w:t>New Zealand. To enable the assessment to cover this broad scope</w:t>
      </w:r>
      <w:r w:rsidR="004C38F7">
        <w:t xml:space="preserve"> adequately</w:t>
      </w:r>
      <w:r w:rsidRPr="0024184F">
        <w:t xml:space="preserve">, it was structured around five ‘value domains’: governance, economy, human, natural </w:t>
      </w:r>
      <w:r w:rsidR="00D81FF6">
        <w:t xml:space="preserve">environment </w:t>
      </w:r>
      <w:r w:rsidRPr="0024184F">
        <w:t>and built environment. These represent groups of values, assets and systems that may be at risk from exposure to climate</w:t>
      </w:r>
      <w:r w:rsidR="004754DC">
        <w:t xml:space="preserve"> change</w:t>
      </w:r>
      <w:r w:rsidRPr="0024184F">
        <w:t>-related hazards, or that could benefit from them</w:t>
      </w:r>
      <w:r w:rsidR="00187116">
        <w:t> </w:t>
      </w:r>
      <w:r w:rsidRPr="0024184F">
        <w:t xml:space="preserve">(opportunities). </w:t>
      </w:r>
    </w:p>
    <w:p w14:paraId="74C44AC2" w14:textId="70A7EB48" w:rsidR="00894D0A" w:rsidRDefault="00894D0A" w:rsidP="00187116">
      <w:pPr>
        <w:pStyle w:val="BodyText"/>
      </w:pPr>
      <w:r w:rsidRPr="0024184F">
        <w:t xml:space="preserve">Domain </w:t>
      </w:r>
      <w:r>
        <w:t>l</w:t>
      </w:r>
      <w:r w:rsidRPr="0024184F">
        <w:t xml:space="preserve">eads were appointed to lead the identification and analysis of risks for each domain. They are recognised as leaders with deep experience in considering the risks and opportunities from the physical impacts of climate change in their domain. They brought a wealth of knowledge and relationships, which allowed for thorough engagement, given the short timeframe. The </w:t>
      </w:r>
      <w:r>
        <w:t>d</w:t>
      </w:r>
      <w:r w:rsidRPr="0024184F">
        <w:t xml:space="preserve">omain </w:t>
      </w:r>
      <w:r>
        <w:t>l</w:t>
      </w:r>
      <w:r w:rsidRPr="0024184F">
        <w:t xml:space="preserve">eads were: </w:t>
      </w:r>
    </w:p>
    <w:p w14:paraId="2DEBA024" w14:textId="77777777" w:rsidR="00077FF7" w:rsidRPr="00844B47" w:rsidRDefault="00077FF7" w:rsidP="00844B47">
      <w:pPr>
        <w:pStyle w:val="Bullet"/>
      </w:pPr>
      <w:r w:rsidRPr="00C878D1">
        <w:t xml:space="preserve">Dr </w:t>
      </w:r>
      <w:r w:rsidRPr="00844B47">
        <w:t>Paula Blackett, NIWA: Human Domain Lead</w:t>
      </w:r>
    </w:p>
    <w:p w14:paraId="436B45E4" w14:textId="77777777" w:rsidR="00077FF7" w:rsidRPr="00844B47" w:rsidRDefault="00077FF7" w:rsidP="00844B47">
      <w:pPr>
        <w:pStyle w:val="Bullet"/>
      </w:pPr>
      <w:r w:rsidRPr="00844B47">
        <w:t>Dr Anita Wreford, Lincoln University: Economy Domain Lead</w:t>
      </w:r>
    </w:p>
    <w:p w14:paraId="05651A3E" w14:textId="2F7BAA23" w:rsidR="00077FF7" w:rsidRPr="00844B47" w:rsidRDefault="00077FF7" w:rsidP="00844B47">
      <w:pPr>
        <w:pStyle w:val="Bullet"/>
      </w:pPr>
      <w:r w:rsidRPr="00844B47">
        <w:t>Dr Judy Lawrence, Victoria University</w:t>
      </w:r>
      <w:r w:rsidR="000F1DAD">
        <w:t xml:space="preserve"> of Wellington</w:t>
      </w:r>
      <w:r w:rsidRPr="00844B47">
        <w:t>: Governance Domain Lead</w:t>
      </w:r>
    </w:p>
    <w:p w14:paraId="12AC6AE8" w14:textId="77777777" w:rsidR="00077FF7" w:rsidRPr="00844B47" w:rsidRDefault="00077FF7" w:rsidP="00844B47">
      <w:pPr>
        <w:pStyle w:val="Bullet"/>
      </w:pPr>
      <w:r w:rsidRPr="00844B47">
        <w:t>James Hughes, Tonkin + Taylor: Built Environment Domain Lead</w:t>
      </w:r>
    </w:p>
    <w:p w14:paraId="7B8E0A76" w14:textId="77777777" w:rsidR="00077FF7" w:rsidRPr="00C878D1" w:rsidRDefault="00077FF7" w:rsidP="00844B47">
      <w:pPr>
        <w:pStyle w:val="Bullet"/>
      </w:pPr>
      <w:r w:rsidRPr="00844B47">
        <w:t>Dr John</w:t>
      </w:r>
      <w:r w:rsidRPr="00C878D1">
        <w:t xml:space="preserve"> Leathwick, independent consultant: Natural Environment Domain Lead.</w:t>
      </w:r>
    </w:p>
    <w:p w14:paraId="13345C50" w14:textId="77777777" w:rsidR="00077FF7" w:rsidRPr="0024184F" w:rsidRDefault="00077FF7" w:rsidP="00D15305">
      <w:pPr>
        <w:pStyle w:val="BodyText"/>
        <w:keepNext/>
        <w:spacing w:after="100"/>
      </w:pPr>
      <w:r w:rsidRPr="0024184F">
        <w:lastRenderedPageBreak/>
        <w:t xml:space="preserve">There was also an </w:t>
      </w:r>
      <w:r w:rsidRPr="00844B47">
        <w:t>extensive</w:t>
      </w:r>
      <w:r w:rsidRPr="0024184F">
        <w:t xml:space="preserve"> team of technical advisors and reviewers, including:</w:t>
      </w:r>
    </w:p>
    <w:p w14:paraId="5AC61DE3" w14:textId="4ECE2D55" w:rsidR="00077FF7" w:rsidRPr="00C878D1" w:rsidRDefault="00077FF7" w:rsidP="00D15305">
      <w:pPr>
        <w:pStyle w:val="Bullet"/>
        <w:spacing w:after="100"/>
      </w:pPr>
      <w:r w:rsidRPr="00C878D1">
        <w:t xml:space="preserve">Sir John Clarke, Kaumātua, </w:t>
      </w:r>
      <w:r w:rsidR="000F1DAD">
        <w:t xml:space="preserve">who </w:t>
      </w:r>
      <w:r w:rsidRPr="00C878D1">
        <w:t>provided guidance on mātauranga Māori, and on seeking input</w:t>
      </w:r>
      <w:r w:rsidR="0061029E">
        <w:t> </w:t>
      </w:r>
      <w:r w:rsidRPr="00844B47">
        <w:t>and</w:t>
      </w:r>
      <w:r w:rsidRPr="00C878D1">
        <w:t xml:space="preserve"> consideration from a Māori perspective at each stage</w:t>
      </w:r>
    </w:p>
    <w:p w14:paraId="7D756979" w14:textId="6223F6FC" w:rsidR="00077FF7" w:rsidRPr="00C878D1" w:rsidRDefault="00077FF7" w:rsidP="00D15305">
      <w:pPr>
        <w:pStyle w:val="Bullet"/>
        <w:spacing w:after="100"/>
      </w:pPr>
      <w:r w:rsidRPr="00C878D1">
        <w:t>Will Symons, Practice Leader, Sustainability and Resilience, AECOM, as a technical advisor</w:t>
      </w:r>
      <w:r w:rsidR="0061029E">
        <w:t> </w:t>
      </w:r>
      <w:r w:rsidRPr="00C878D1">
        <w:t>and lead verifier</w:t>
      </w:r>
    </w:p>
    <w:p w14:paraId="1C5C4943" w14:textId="587D3B07" w:rsidR="00077FF7" w:rsidRPr="00C878D1" w:rsidRDefault="00077FF7" w:rsidP="00D15305">
      <w:pPr>
        <w:pStyle w:val="Bullet"/>
        <w:spacing w:after="100"/>
      </w:pPr>
      <w:r w:rsidRPr="00C878D1">
        <w:t>Dr Andrew Tait, Chief Scientist – Climate, Atmosphere and Hazards, NIWA, as a technical</w:t>
      </w:r>
      <w:r w:rsidR="0061029E">
        <w:t> </w:t>
      </w:r>
      <w:r w:rsidRPr="00C878D1">
        <w:t>advisor</w:t>
      </w:r>
    </w:p>
    <w:p w14:paraId="1B733E06" w14:textId="49B9F554" w:rsidR="00077FF7" w:rsidRPr="00C878D1" w:rsidRDefault="00077FF7" w:rsidP="00077FF7">
      <w:pPr>
        <w:pStyle w:val="Bullet"/>
      </w:pPr>
      <w:r w:rsidRPr="00C878D1">
        <w:t>Paul Watkiss, Director Watkiss Associates, who has led or contributed to all three UK</w:t>
      </w:r>
      <w:r w:rsidR="0061029E">
        <w:t> </w:t>
      </w:r>
      <w:r w:rsidRPr="00C878D1">
        <w:t>Climate Change Risk Assessments, as a technical advisor.</w:t>
      </w:r>
    </w:p>
    <w:p w14:paraId="2F1F25E0" w14:textId="2D55BDDF" w:rsidR="00077FF7" w:rsidRDefault="00F30418" w:rsidP="00077FF7">
      <w:pPr>
        <w:pStyle w:val="BodyText"/>
      </w:pPr>
      <w:hyperlink w:anchor="_Appendix_F:_NCCRA" w:history="1">
        <w:r w:rsidR="00510A27">
          <w:rPr>
            <w:rStyle w:val="Hyperlink"/>
          </w:rPr>
          <w:t>Appendix F</w:t>
        </w:r>
      </w:hyperlink>
      <w:r w:rsidR="00077FF7" w:rsidRPr="0024184F">
        <w:t xml:space="preserve"> sets out the </w:t>
      </w:r>
      <w:r w:rsidR="00951F0B">
        <w:t xml:space="preserve">project </w:t>
      </w:r>
      <w:r w:rsidR="00077FF7" w:rsidRPr="0024184F">
        <w:t>team structure</w:t>
      </w:r>
      <w:bookmarkStart w:id="16" w:name="_Toc37147599"/>
      <w:bookmarkStart w:id="17" w:name="_Toc37157434"/>
      <w:bookmarkStart w:id="18" w:name="_Toc37419346"/>
      <w:bookmarkStart w:id="19" w:name="_Toc40686516"/>
      <w:r w:rsidR="00077FF7" w:rsidRPr="0024184F">
        <w:t>.</w:t>
      </w:r>
    </w:p>
    <w:p w14:paraId="76CFC4B4" w14:textId="0447D3A4" w:rsidR="00077FF7" w:rsidRPr="0024184F" w:rsidRDefault="00077FF7" w:rsidP="00D15305">
      <w:pPr>
        <w:pStyle w:val="Heading3"/>
        <w:spacing w:before="280"/>
      </w:pPr>
      <w:r w:rsidRPr="0024184F">
        <w:t xml:space="preserve">Guiding </w:t>
      </w:r>
      <w:r w:rsidRPr="003956E3">
        <w:t>principles</w:t>
      </w:r>
      <w:r w:rsidRPr="0024184F">
        <w:t xml:space="preserve"> – </w:t>
      </w:r>
      <w:r w:rsidR="00462374">
        <w:t>n</w:t>
      </w:r>
      <w:r w:rsidRPr="0024184F">
        <w:t>gā mātāpono</w:t>
      </w:r>
      <w:bookmarkEnd w:id="16"/>
      <w:bookmarkEnd w:id="17"/>
      <w:bookmarkEnd w:id="18"/>
      <w:bookmarkEnd w:id="19"/>
    </w:p>
    <w:p w14:paraId="1BBA1AB7" w14:textId="6A0B28A3" w:rsidR="00077FF7" w:rsidRPr="0024184F" w:rsidRDefault="00077FF7" w:rsidP="00F415F6">
      <w:pPr>
        <w:pStyle w:val="BodyText"/>
        <w:spacing w:before="100" w:after="100"/>
      </w:pPr>
      <w:r w:rsidRPr="0024184F">
        <w:t xml:space="preserve">The NCCRA framework provided a set of guiding principles, ngā mātāpono, which informed the assessment and engagement work. They are based on the principles in the </w:t>
      </w:r>
      <w:r w:rsidRPr="0024184F">
        <w:rPr>
          <w:i/>
        </w:rPr>
        <w:t>National Disaster Resilience Strategy</w:t>
      </w:r>
      <w:r w:rsidRPr="0024184F">
        <w:t xml:space="preserve"> (NDRS) (Ministry of Civil Defence and Emergency Management, 2019), with the addition of ōhanga (prosperity) from the </w:t>
      </w:r>
      <w:r w:rsidRPr="00A5590A">
        <w:t>Treasury’s</w:t>
      </w:r>
      <w:r w:rsidRPr="0024184F">
        <w:rPr>
          <w:i/>
        </w:rPr>
        <w:t xml:space="preserve"> Living Standards Framework </w:t>
      </w:r>
      <w:r w:rsidRPr="0024184F">
        <w:t>(LSF) (</w:t>
      </w:r>
      <w:r w:rsidR="00D16BFE">
        <w:t>The</w:t>
      </w:r>
      <w:r w:rsidRPr="0024184F">
        <w:t xml:space="preserve"> Treasury, 2018). The mātāpono are additional to Te Tiriti o Waitangi principles (partnership, protection, participation and potential). </w:t>
      </w:r>
      <w:hyperlink w:anchor="table1" w:history="1">
        <w:r w:rsidR="00F0370F" w:rsidRPr="00F0370F">
          <w:rPr>
            <w:rStyle w:val="Hyperlink"/>
          </w:rPr>
          <w:t>Table 1</w:t>
        </w:r>
      </w:hyperlink>
      <w:r w:rsidR="00F0370F">
        <w:t xml:space="preserve"> </w:t>
      </w:r>
      <w:r w:rsidRPr="0024184F">
        <w:t>lists the principles and how they apply in the NCCRA.</w:t>
      </w:r>
    </w:p>
    <w:p w14:paraId="4D9F928E" w14:textId="63C873B6" w:rsidR="00077FF7" w:rsidRPr="0024184F" w:rsidRDefault="00077FF7" w:rsidP="0061029E">
      <w:pPr>
        <w:pStyle w:val="Tableheading"/>
      </w:pPr>
      <w:bookmarkStart w:id="20" w:name="_Ref37240577"/>
      <w:bookmarkStart w:id="21" w:name="table1"/>
      <w:bookmarkStart w:id="22" w:name="_Toc37157500"/>
      <w:bookmarkStart w:id="23" w:name="_Toc37419416"/>
      <w:bookmarkStart w:id="24" w:name="_Toc40686589"/>
      <w:bookmarkStart w:id="25" w:name="_Toc43899317"/>
      <w:bookmarkStart w:id="26" w:name="_Toc35812406"/>
      <w:r w:rsidRPr="0024184F">
        <w:t xml:space="preserve">Table </w:t>
      </w:r>
      <w:fldSimple w:instr=" SEQ Table \* ARABIC ">
        <w:r w:rsidR="001B2025">
          <w:rPr>
            <w:noProof/>
          </w:rPr>
          <w:t>1</w:t>
        </w:r>
      </w:fldSimple>
      <w:bookmarkEnd w:id="20"/>
      <w:r w:rsidR="00B808BC">
        <w:rPr>
          <w:noProof/>
        </w:rPr>
        <w:t>:</w:t>
      </w:r>
      <w:bookmarkEnd w:id="21"/>
      <w:r w:rsidRPr="0024184F">
        <w:tab/>
        <w:t xml:space="preserve">How the </w:t>
      </w:r>
      <w:r w:rsidRPr="003956E3">
        <w:t>NCCRA</w:t>
      </w:r>
      <w:r w:rsidRPr="0024184F">
        <w:t xml:space="preserve"> applied </w:t>
      </w:r>
      <w:r>
        <w:t>n</w:t>
      </w:r>
      <w:r w:rsidRPr="0024184F">
        <w:t xml:space="preserve">gā </w:t>
      </w:r>
      <w:r>
        <w:t>m</w:t>
      </w:r>
      <w:r w:rsidRPr="0024184F">
        <w:t>ātāpono o Te Arotakenga Huringa Āhuarangi (Guiding</w:t>
      </w:r>
      <w:r w:rsidR="00C93B5E">
        <w:t> </w:t>
      </w:r>
      <w:r w:rsidRPr="0024184F">
        <w:t>Principles for the National Climate Change Risk Assessment Framework)</w:t>
      </w:r>
      <w:bookmarkEnd w:id="22"/>
      <w:bookmarkEnd w:id="23"/>
      <w:bookmarkEnd w:id="24"/>
      <w:bookmarkEnd w:id="25"/>
      <w:r w:rsidRPr="0024184F">
        <w:t xml:space="preserve"> </w:t>
      </w:r>
      <w:bookmarkEnd w:id="26"/>
    </w:p>
    <w:tbl>
      <w:tblPr>
        <w:tblStyle w:val="TableGrid"/>
        <w:tblW w:w="8505"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3794"/>
        <w:gridCol w:w="4711"/>
      </w:tblGrid>
      <w:tr w:rsidR="00D15305" w:rsidRPr="00D15305" w14:paraId="67A3FF15" w14:textId="77777777" w:rsidTr="00F415F6">
        <w:trPr>
          <w:tblHeader/>
        </w:trPr>
        <w:tc>
          <w:tcPr>
            <w:tcW w:w="3794" w:type="dxa"/>
            <w:shd w:val="clear" w:color="auto" w:fill="1C556C"/>
            <w:vAlign w:val="bottom"/>
          </w:tcPr>
          <w:p w14:paraId="7DC634A3" w14:textId="43802DF0" w:rsidR="00077FF7" w:rsidRPr="00D15305" w:rsidRDefault="00077FF7" w:rsidP="00951F0B">
            <w:pPr>
              <w:pStyle w:val="TableTextBold"/>
              <w:rPr>
                <w:color w:val="FFFFFF" w:themeColor="background1"/>
              </w:rPr>
            </w:pPr>
            <w:r w:rsidRPr="00D15305">
              <w:rPr>
                <w:color w:val="FFFFFF" w:themeColor="background1"/>
              </w:rPr>
              <w:t>Ngā Mātāpono o Te Arotakenga Huringa Āhuarangi</w:t>
            </w:r>
            <w:r w:rsidR="00467043">
              <w:rPr>
                <w:color w:val="FFFFFF" w:themeColor="background1"/>
              </w:rPr>
              <w:t xml:space="preserve"> </w:t>
            </w:r>
            <w:r w:rsidRPr="00D15305">
              <w:rPr>
                <w:color w:val="FFFFFF" w:themeColor="background1"/>
              </w:rPr>
              <w:t>– Guiding Principles for the National Climate Change</w:t>
            </w:r>
            <w:r w:rsidR="003B1E4A">
              <w:rPr>
                <w:color w:val="FFFFFF" w:themeColor="background1"/>
              </w:rPr>
              <w:t> </w:t>
            </w:r>
            <w:r w:rsidRPr="00D15305">
              <w:rPr>
                <w:color w:val="FFFFFF" w:themeColor="background1"/>
              </w:rPr>
              <w:t>Risk Assessment Framework (Ministry for the</w:t>
            </w:r>
            <w:r w:rsidR="003B1E4A">
              <w:rPr>
                <w:color w:val="FFFFFF" w:themeColor="background1"/>
              </w:rPr>
              <w:t> </w:t>
            </w:r>
            <w:r w:rsidRPr="00D15305">
              <w:rPr>
                <w:color w:val="FFFFFF" w:themeColor="background1"/>
              </w:rPr>
              <w:t>Environment, 20</w:t>
            </w:r>
            <w:r w:rsidR="00951F0B">
              <w:rPr>
                <w:color w:val="FFFFFF" w:themeColor="background1"/>
              </w:rPr>
              <w:t>19</w:t>
            </w:r>
            <w:r w:rsidRPr="00D15305">
              <w:rPr>
                <w:color w:val="FFFFFF" w:themeColor="background1"/>
              </w:rPr>
              <w:t>)</w:t>
            </w:r>
          </w:p>
        </w:tc>
        <w:tc>
          <w:tcPr>
            <w:tcW w:w="4711" w:type="dxa"/>
            <w:shd w:val="clear" w:color="auto" w:fill="1C556C"/>
            <w:vAlign w:val="bottom"/>
          </w:tcPr>
          <w:p w14:paraId="37DE565D" w14:textId="77777777" w:rsidR="00077FF7" w:rsidRPr="00D15305" w:rsidRDefault="00077FF7" w:rsidP="00D15305">
            <w:pPr>
              <w:pStyle w:val="TableTextBold"/>
              <w:rPr>
                <w:color w:val="FFFFFF" w:themeColor="background1"/>
              </w:rPr>
            </w:pPr>
            <w:r w:rsidRPr="00D15305">
              <w:rPr>
                <w:color w:val="FFFFFF" w:themeColor="background1"/>
              </w:rPr>
              <w:t xml:space="preserve">Application in the NCCRA </w:t>
            </w:r>
          </w:p>
        </w:tc>
      </w:tr>
      <w:tr w:rsidR="00077FF7" w:rsidRPr="00C878D1" w14:paraId="2FE43B19" w14:textId="77777777" w:rsidTr="00F415F6">
        <w:tc>
          <w:tcPr>
            <w:tcW w:w="3794" w:type="dxa"/>
          </w:tcPr>
          <w:p w14:paraId="197DA58B" w14:textId="77777777" w:rsidR="00077FF7" w:rsidRPr="00CC2602" w:rsidRDefault="00077FF7" w:rsidP="003B1E4A">
            <w:pPr>
              <w:pStyle w:val="TableTextBold"/>
            </w:pPr>
            <w:r w:rsidRPr="003B1E4A">
              <w:t>Manaakitanga</w:t>
            </w:r>
            <w:r w:rsidRPr="00C878D1">
              <w:t xml:space="preserve"> (Care and reciprocity) </w:t>
            </w:r>
          </w:p>
          <w:p w14:paraId="044481F8" w14:textId="77777777" w:rsidR="00077FF7" w:rsidRPr="00C878D1" w:rsidRDefault="00077FF7" w:rsidP="00CC2602">
            <w:pPr>
              <w:pStyle w:val="TableBullet"/>
            </w:pPr>
            <w:r w:rsidRPr="00C878D1">
              <w:t xml:space="preserve">Respect and care for others and the environment. </w:t>
            </w:r>
          </w:p>
          <w:p w14:paraId="533AAA9C" w14:textId="7FDDFCDD" w:rsidR="00077FF7" w:rsidRPr="00C878D1" w:rsidRDefault="00077FF7" w:rsidP="00CC2602">
            <w:pPr>
              <w:pStyle w:val="TableBullet"/>
            </w:pPr>
            <w:r w:rsidRPr="00C878D1">
              <w:t>Responsibility to prioritise wellbeing and health</w:t>
            </w:r>
            <w:r w:rsidR="00D16BFE">
              <w:t>.</w:t>
            </w:r>
            <w:r w:rsidRPr="00C878D1">
              <w:t xml:space="preserve"> </w:t>
            </w:r>
          </w:p>
          <w:p w14:paraId="0CB00043" w14:textId="77777777" w:rsidR="00077FF7" w:rsidRPr="00C878D1" w:rsidRDefault="00077FF7" w:rsidP="00CC2602">
            <w:pPr>
              <w:pStyle w:val="TableBullet"/>
            </w:pPr>
            <w:r w:rsidRPr="00C878D1">
              <w:t>Recognition that people and the environment are inextricably connected.</w:t>
            </w:r>
          </w:p>
        </w:tc>
        <w:tc>
          <w:tcPr>
            <w:tcW w:w="4711" w:type="dxa"/>
          </w:tcPr>
          <w:p w14:paraId="5706B8CB" w14:textId="77777777" w:rsidR="00077FF7" w:rsidRPr="00CC2602" w:rsidRDefault="00077FF7" w:rsidP="00D15305">
            <w:pPr>
              <w:pStyle w:val="TableText"/>
              <w:spacing w:after="40"/>
            </w:pPr>
            <w:r w:rsidRPr="00C878D1">
              <w:t xml:space="preserve">The wide range of climate change impacts demonstrates how inextricably we are linked to our environment. The NCCRA process prioritised risks and opportunities relating to the wellbeing and </w:t>
            </w:r>
            <w:r w:rsidRPr="00CC2602">
              <w:t xml:space="preserve">health of people and the environment. </w:t>
            </w:r>
          </w:p>
          <w:p w14:paraId="37EC3543" w14:textId="622A2768" w:rsidR="00077FF7" w:rsidRPr="00CC2602" w:rsidRDefault="00077FF7" w:rsidP="00D15305">
            <w:pPr>
              <w:pStyle w:val="TableText"/>
              <w:spacing w:before="40" w:after="40"/>
            </w:pPr>
            <w:r w:rsidRPr="00CC2602">
              <w:t>The NCCRA has been a reciprocal process between the Ministry for the Environment, Māori leaders, stakeholders and the project team. The engagement design has provided a basis for a mutual exchange of information (</w:t>
            </w:r>
            <w:hyperlink w:anchor="_Engagement_approach" w:history="1">
              <w:r w:rsidRPr="00806515">
                <w:rPr>
                  <w:rStyle w:val="Hyperlink"/>
                </w:rPr>
                <w:t>section 3</w:t>
              </w:r>
            </w:hyperlink>
            <w:r w:rsidRPr="00CC2602">
              <w:t>).</w:t>
            </w:r>
          </w:p>
          <w:p w14:paraId="7BC42C4B" w14:textId="77777777" w:rsidR="00077FF7" w:rsidRPr="00C878D1" w:rsidRDefault="00077FF7" w:rsidP="00D15305">
            <w:pPr>
              <w:pStyle w:val="TableText"/>
              <w:spacing w:before="40" w:after="40"/>
            </w:pPr>
            <w:r w:rsidRPr="00CC2602">
              <w:t>The risk assessment method</w:t>
            </w:r>
            <w:r w:rsidRPr="00C878D1">
              <w:t xml:space="preserve"> held the natural environment and human domains, rohe taiao and rohe tangata, as central focus points, along with a recognition of the interconnectedness of all the domains.</w:t>
            </w:r>
          </w:p>
        </w:tc>
      </w:tr>
      <w:tr w:rsidR="00077FF7" w:rsidRPr="00C878D1" w14:paraId="4850FD4D" w14:textId="77777777" w:rsidTr="00F415F6">
        <w:tc>
          <w:tcPr>
            <w:tcW w:w="3794" w:type="dxa"/>
            <w:shd w:val="clear" w:color="auto" w:fill="auto"/>
          </w:tcPr>
          <w:p w14:paraId="61BBFFAD" w14:textId="77777777" w:rsidR="00077FF7" w:rsidRPr="00C878D1" w:rsidRDefault="00077FF7" w:rsidP="00C27F3C">
            <w:pPr>
              <w:pStyle w:val="TableTextBold"/>
            </w:pPr>
            <w:r w:rsidRPr="00C878D1">
              <w:t xml:space="preserve">Kaitiakitanga (Intergenerational sustainability) </w:t>
            </w:r>
          </w:p>
          <w:p w14:paraId="044C88A3" w14:textId="77777777" w:rsidR="00077FF7" w:rsidRPr="00C878D1" w:rsidRDefault="00077FF7" w:rsidP="00CC2602">
            <w:pPr>
              <w:pStyle w:val="TableBullet"/>
            </w:pPr>
            <w:r w:rsidRPr="00C878D1">
              <w:t xml:space="preserve">Protect and guard our taonga (environmental assets). </w:t>
            </w:r>
          </w:p>
          <w:p w14:paraId="07228134" w14:textId="77777777" w:rsidR="00077FF7" w:rsidRPr="00C878D1" w:rsidRDefault="00077FF7" w:rsidP="00CC2602">
            <w:pPr>
              <w:pStyle w:val="TableBullet"/>
            </w:pPr>
            <w:r w:rsidRPr="00C878D1">
              <w:t xml:space="preserve">Recognise the mauri (life force and essence) of the environment (ie, personification of landmarks and waterways). </w:t>
            </w:r>
          </w:p>
          <w:p w14:paraId="51C34CE8" w14:textId="77777777" w:rsidR="00077FF7" w:rsidRPr="00C878D1" w:rsidRDefault="00077FF7" w:rsidP="00CC2602">
            <w:pPr>
              <w:pStyle w:val="TableBullet"/>
            </w:pPr>
            <w:r w:rsidRPr="00C878D1">
              <w:t xml:space="preserve">Guardianship of the environment for future generations. </w:t>
            </w:r>
          </w:p>
        </w:tc>
        <w:tc>
          <w:tcPr>
            <w:tcW w:w="4711" w:type="dxa"/>
          </w:tcPr>
          <w:p w14:paraId="4C6A2FC8" w14:textId="53774267" w:rsidR="00077FF7" w:rsidRPr="00D15305" w:rsidRDefault="00077FF7" w:rsidP="00D15305">
            <w:pPr>
              <w:pStyle w:val="TableText"/>
              <w:spacing w:after="40"/>
            </w:pPr>
            <w:r w:rsidRPr="00D15305">
              <w:t>Climate change is an intergenerational issue for all communities. The intent of the NCCRA was to begin to</w:t>
            </w:r>
            <w:r w:rsidR="00D15305">
              <w:t> </w:t>
            </w:r>
            <w:r w:rsidRPr="00D15305">
              <w:t>identify key national</w:t>
            </w:r>
            <w:r w:rsidR="00D16BFE">
              <w:t>-</w:t>
            </w:r>
            <w:r w:rsidRPr="00D15305">
              <w:t>level risks and opportunities that</w:t>
            </w:r>
            <w:r w:rsidR="00D15305">
              <w:t> </w:t>
            </w:r>
            <w:r w:rsidRPr="00D15305">
              <w:t>wil</w:t>
            </w:r>
            <w:r w:rsidR="00E95EF4">
              <w:t>l</w:t>
            </w:r>
            <w:r w:rsidR="00D15305">
              <w:t> </w:t>
            </w:r>
            <w:r w:rsidRPr="00D15305">
              <w:t>manifest over the next 80 years to support decision</w:t>
            </w:r>
            <w:r w:rsidR="0061029E">
              <w:noBreakHyphen/>
            </w:r>
            <w:r w:rsidRPr="00D15305">
              <w:t xml:space="preserve">making. </w:t>
            </w:r>
          </w:p>
          <w:p w14:paraId="20B7DAC8" w14:textId="552FF00D" w:rsidR="00077FF7" w:rsidRPr="00D15305" w:rsidRDefault="00077FF7" w:rsidP="0002456D">
            <w:pPr>
              <w:pStyle w:val="TableText"/>
              <w:spacing w:before="40"/>
            </w:pPr>
            <w:r w:rsidRPr="00D15305">
              <w:t>The natural environment domain, rohe taiao, was a key focus for the assessment. Twelve priority risks were identified for action to acknowledge and restore the mauri of the environment and support the protection of our taonga (treasured biodiversity and all ecologies) for future generations.</w:t>
            </w:r>
            <w:r w:rsidR="00467043">
              <w:t xml:space="preserve"> </w:t>
            </w:r>
          </w:p>
        </w:tc>
      </w:tr>
      <w:tr w:rsidR="00077FF7" w:rsidRPr="00C878D1" w14:paraId="6EE323B4" w14:textId="77777777" w:rsidTr="00F415F6">
        <w:tc>
          <w:tcPr>
            <w:tcW w:w="3794" w:type="dxa"/>
          </w:tcPr>
          <w:p w14:paraId="66125A39" w14:textId="77777777" w:rsidR="00077FF7" w:rsidRPr="00C878D1" w:rsidRDefault="00077FF7" w:rsidP="00D15305">
            <w:pPr>
              <w:pStyle w:val="TableTextBold"/>
              <w:keepNext/>
            </w:pPr>
            <w:r w:rsidRPr="00C878D1">
              <w:lastRenderedPageBreak/>
              <w:t xml:space="preserve">Whanaungatanga (Connectedness and relationships) </w:t>
            </w:r>
          </w:p>
          <w:p w14:paraId="691C2215" w14:textId="54C4F589" w:rsidR="00077FF7" w:rsidRPr="00C878D1" w:rsidRDefault="00077FF7" w:rsidP="00CC2602">
            <w:pPr>
              <w:pStyle w:val="TableBullet"/>
            </w:pPr>
            <w:r w:rsidRPr="00C878D1">
              <w:t>Recognition of Crown–Māori partnership through Te Tiriti o Waitangi.</w:t>
            </w:r>
            <w:r w:rsidR="00467043">
              <w:t xml:space="preserve"> </w:t>
            </w:r>
          </w:p>
          <w:p w14:paraId="7754769D" w14:textId="77777777" w:rsidR="00077FF7" w:rsidRPr="00C878D1" w:rsidRDefault="00077FF7" w:rsidP="00CC2602">
            <w:pPr>
              <w:pStyle w:val="TableBullet"/>
            </w:pPr>
            <w:r w:rsidRPr="00C878D1">
              <w:t xml:space="preserve">Engagement, communication and shared experiences. </w:t>
            </w:r>
          </w:p>
          <w:p w14:paraId="7E574FF4" w14:textId="7E19DAD9" w:rsidR="00077FF7" w:rsidRPr="00C878D1" w:rsidRDefault="00077FF7" w:rsidP="00100EE3">
            <w:pPr>
              <w:pStyle w:val="TableBullet"/>
            </w:pPr>
            <w:r w:rsidRPr="00C878D1">
              <w:t>Collaboration and collective action with marae, hapū</w:t>
            </w:r>
            <w:r w:rsidR="00100EE3">
              <w:t>,</w:t>
            </w:r>
            <w:r w:rsidRPr="00C878D1">
              <w:t xml:space="preserve"> iwi and communities. </w:t>
            </w:r>
          </w:p>
        </w:tc>
        <w:tc>
          <w:tcPr>
            <w:tcW w:w="4711" w:type="dxa"/>
          </w:tcPr>
          <w:p w14:paraId="76A34BA2" w14:textId="10788308" w:rsidR="00077FF7" w:rsidRPr="00C878D1" w:rsidRDefault="00077FF7" w:rsidP="00F415F6">
            <w:pPr>
              <w:pStyle w:val="TableText"/>
              <w:spacing w:after="40"/>
            </w:pPr>
            <w:r w:rsidRPr="00C878D1">
              <w:t>The NCCRA process recognised the importance of the principles of Te Tiriti o Waitangi, which provide the basis for Crown</w:t>
            </w:r>
            <w:r w:rsidR="00D16BFE">
              <w:t>–</w:t>
            </w:r>
            <w:r w:rsidRPr="00C878D1">
              <w:t xml:space="preserve">Māori partnership. </w:t>
            </w:r>
          </w:p>
          <w:p w14:paraId="719979C3" w14:textId="285E500F" w:rsidR="00077FF7" w:rsidRPr="00C878D1" w:rsidRDefault="00077FF7" w:rsidP="00F415F6">
            <w:pPr>
              <w:pStyle w:val="TableText"/>
              <w:spacing w:after="40"/>
            </w:pPr>
            <w:r w:rsidRPr="00C878D1">
              <w:t xml:space="preserve">The NCCRA </w:t>
            </w:r>
            <w:r w:rsidR="00B27DB8">
              <w:t>P</w:t>
            </w:r>
            <w:r w:rsidRPr="00C878D1">
              <w:t>roject Kaumātua, Sir John Clarke, has a deep understanding of tikanga Māori and has supported the project team by providing strategic advice and guidance in this regard.</w:t>
            </w:r>
          </w:p>
          <w:p w14:paraId="27E12E0B" w14:textId="0ADEBAD3" w:rsidR="00077FF7" w:rsidRPr="00C878D1" w:rsidRDefault="00077FF7" w:rsidP="00F415F6">
            <w:pPr>
              <w:pStyle w:val="TableText"/>
              <w:spacing w:after="40"/>
            </w:pPr>
            <w:bookmarkStart w:id="27" w:name="_Hlk40273053"/>
            <w:r w:rsidRPr="00C878D1">
              <w:t xml:space="preserve">Under the guidance of Sir John and the Māori engagement advisors, the approach has been to engage with Māori directly involved in climate change-related matters and decision-making. This approach was </w:t>
            </w:r>
            <w:r w:rsidR="00100EE3">
              <w:t>necessary</w:t>
            </w:r>
            <w:r w:rsidR="00100EE3" w:rsidRPr="00C878D1">
              <w:t xml:space="preserve"> </w:t>
            </w:r>
            <w:r w:rsidRPr="00C878D1">
              <w:t>due to the timeframes available. The project team also sought input from Māori leaders on the design of the engagement at the</w:t>
            </w:r>
            <w:r w:rsidR="0061029E">
              <w:t> </w:t>
            </w:r>
            <w:r w:rsidRPr="00C878D1">
              <w:t xml:space="preserve">beginning of stage 1. </w:t>
            </w:r>
          </w:p>
          <w:bookmarkEnd w:id="27"/>
          <w:p w14:paraId="04B02DBF" w14:textId="77777777" w:rsidR="00077FF7" w:rsidRPr="00C878D1" w:rsidRDefault="00077FF7" w:rsidP="00F415F6">
            <w:pPr>
              <w:pStyle w:val="TableText"/>
              <w:spacing w:after="40"/>
            </w:pPr>
            <w:r w:rsidRPr="00C878D1">
              <w:t xml:space="preserve">Recognising that this is the beginning of an ongoing conversation about climate change, the project team’s intention was to foster communication and shared experiences, and to develop a broad cohort of engaged stakeholders and Māori who will be able and willing to support future work with the Ministry in this area. </w:t>
            </w:r>
          </w:p>
          <w:p w14:paraId="75D7B261" w14:textId="77777777" w:rsidR="00077FF7" w:rsidRPr="00C878D1" w:rsidRDefault="00077FF7" w:rsidP="00C27F3C">
            <w:pPr>
              <w:pStyle w:val="TableText"/>
            </w:pPr>
            <w:r w:rsidRPr="00C878D1">
              <w:t>Please see below for the approach to the principle of kia mahi ngātahi (engagement and participation).</w:t>
            </w:r>
          </w:p>
        </w:tc>
      </w:tr>
      <w:tr w:rsidR="00077FF7" w:rsidRPr="00C878D1" w14:paraId="7FD8D7C6" w14:textId="77777777" w:rsidTr="00F415F6">
        <w:tc>
          <w:tcPr>
            <w:tcW w:w="3794" w:type="dxa"/>
          </w:tcPr>
          <w:p w14:paraId="1ADDA2F5" w14:textId="77777777" w:rsidR="00077FF7" w:rsidRPr="00C878D1" w:rsidRDefault="00077FF7" w:rsidP="00C27F3C">
            <w:pPr>
              <w:pStyle w:val="TableTextBold"/>
            </w:pPr>
            <w:r w:rsidRPr="00C878D1">
              <w:t xml:space="preserve">Ōhanga (Prosperity) </w:t>
            </w:r>
          </w:p>
          <w:p w14:paraId="43C16081" w14:textId="77777777" w:rsidR="00077FF7" w:rsidRPr="00C878D1" w:rsidRDefault="00077FF7" w:rsidP="00CC2602">
            <w:pPr>
              <w:pStyle w:val="TableBullet"/>
            </w:pPr>
            <w:r w:rsidRPr="00C878D1">
              <w:t xml:space="preserve">Recognition of intergenerational equity. </w:t>
            </w:r>
          </w:p>
          <w:p w14:paraId="6CA003FC" w14:textId="77777777" w:rsidR="00077FF7" w:rsidRPr="00C878D1" w:rsidRDefault="00077FF7" w:rsidP="00CC2602">
            <w:pPr>
              <w:pStyle w:val="TableBullet"/>
            </w:pPr>
            <w:r w:rsidRPr="00C878D1">
              <w:t>Promotion of secure, stable and diverse livelihoods.</w:t>
            </w:r>
          </w:p>
          <w:p w14:paraId="51C5D38E" w14:textId="77777777" w:rsidR="00077FF7" w:rsidRPr="00C878D1" w:rsidRDefault="00077FF7" w:rsidP="00CC2602">
            <w:pPr>
              <w:pStyle w:val="TableBullet"/>
            </w:pPr>
            <w:r w:rsidRPr="00C878D1">
              <w:t>Minimising negative externalities to our taonga from economic activities.</w:t>
            </w:r>
          </w:p>
        </w:tc>
        <w:tc>
          <w:tcPr>
            <w:tcW w:w="4711" w:type="dxa"/>
          </w:tcPr>
          <w:p w14:paraId="2D51D5EA" w14:textId="77777777" w:rsidR="00077FF7" w:rsidRPr="00C878D1" w:rsidRDefault="00077FF7" w:rsidP="00C27F3C">
            <w:pPr>
              <w:pStyle w:val="TableText"/>
            </w:pPr>
            <w:r w:rsidRPr="00C878D1">
              <w:t>The importance of future generations, and the thread of connectivity between whenua (land), people and the environment, were discussed in the engagement activities and emphasised in the risk assessment.</w:t>
            </w:r>
          </w:p>
          <w:p w14:paraId="378837FE" w14:textId="77777777" w:rsidR="00077FF7" w:rsidRPr="00C878D1" w:rsidRDefault="00077FF7" w:rsidP="00C27F3C">
            <w:pPr>
              <w:pStyle w:val="TableText"/>
            </w:pPr>
            <w:r w:rsidRPr="00C878D1">
              <w:t>The NCCRA identifies priority risks and opportunities to support adaptation planning, to safeguard the wellbeing of New Zealand into the future, promoting secure and stable livelihoods and intergenerational equity.</w:t>
            </w:r>
          </w:p>
        </w:tc>
      </w:tr>
      <w:tr w:rsidR="00077FF7" w:rsidRPr="00C878D1" w14:paraId="5536DD79" w14:textId="77777777" w:rsidTr="00F415F6">
        <w:tc>
          <w:tcPr>
            <w:tcW w:w="3794" w:type="dxa"/>
          </w:tcPr>
          <w:p w14:paraId="3CDAB23A" w14:textId="77777777" w:rsidR="00077FF7" w:rsidRPr="00C878D1" w:rsidRDefault="00077FF7" w:rsidP="00C27F3C">
            <w:pPr>
              <w:pStyle w:val="TableTextBold"/>
            </w:pPr>
            <w:r w:rsidRPr="00C878D1">
              <w:t xml:space="preserve">Rangatiratanga (Leadership and autonomy) </w:t>
            </w:r>
          </w:p>
          <w:p w14:paraId="2CF4391B" w14:textId="2D3B4BD4" w:rsidR="00077FF7" w:rsidRPr="00C878D1" w:rsidRDefault="00077FF7" w:rsidP="00CC2602">
            <w:pPr>
              <w:pStyle w:val="TableBullet"/>
            </w:pPr>
            <w:r w:rsidRPr="00C878D1">
              <w:t>Recognise, interweave and live Te Tiriti o Waitangi and its principles.</w:t>
            </w:r>
            <w:r w:rsidR="00467043">
              <w:t xml:space="preserve"> </w:t>
            </w:r>
          </w:p>
          <w:p w14:paraId="303F9913" w14:textId="68DE4C52" w:rsidR="00077FF7" w:rsidRPr="00C878D1" w:rsidRDefault="00077FF7" w:rsidP="00CC2602">
            <w:pPr>
              <w:pStyle w:val="TableBullet"/>
            </w:pPr>
            <w:r w:rsidRPr="00C878D1">
              <w:t>Respect the notions of mana whenua, mana moana</w:t>
            </w:r>
            <w:r w:rsidR="00100EE3">
              <w:t xml:space="preserve"> and</w:t>
            </w:r>
            <w:r w:rsidRPr="00C878D1">
              <w:t xml:space="preserve"> mana taiao.</w:t>
            </w:r>
            <w:r w:rsidR="00467043">
              <w:t xml:space="preserve"> </w:t>
            </w:r>
          </w:p>
          <w:p w14:paraId="12E046B2" w14:textId="4A5D9434" w:rsidR="00077FF7" w:rsidRPr="00C878D1" w:rsidRDefault="00077FF7" w:rsidP="00D16BFE">
            <w:pPr>
              <w:pStyle w:val="TableBullet"/>
            </w:pPr>
            <w:r w:rsidRPr="00C878D1">
              <w:t>Be guided by scientific, historic</w:t>
            </w:r>
            <w:r w:rsidR="00D16BFE">
              <w:t>al and</w:t>
            </w:r>
            <w:r w:rsidRPr="00C878D1">
              <w:t xml:space="preserve"> local </w:t>
            </w:r>
            <w:r w:rsidR="00D16BFE">
              <w:t xml:space="preserve">knowledge </w:t>
            </w:r>
            <w:r w:rsidRPr="00C878D1">
              <w:t xml:space="preserve">and mātauranga Māori. </w:t>
            </w:r>
          </w:p>
        </w:tc>
        <w:tc>
          <w:tcPr>
            <w:tcW w:w="4711" w:type="dxa"/>
          </w:tcPr>
          <w:p w14:paraId="4104D782" w14:textId="521FECEA" w:rsidR="00077FF7" w:rsidRPr="00C878D1" w:rsidRDefault="00077FF7" w:rsidP="00CC2602">
            <w:pPr>
              <w:pStyle w:val="TableText"/>
            </w:pPr>
            <w:r w:rsidRPr="00C878D1">
              <w:t>Strong leadership from the Government, private sector and</w:t>
            </w:r>
            <w:r w:rsidR="002128B9">
              <w:t> </w:t>
            </w:r>
            <w:r w:rsidRPr="00C878D1">
              <w:t>communities will be critical in responding to climate change in New Zealand. This risk assessment is a first step in</w:t>
            </w:r>
            <w:r w:rsidR="002128B9">
              <w:t> </w:t>
            </w:r>
            <w:r w:rsidRPr="00C878D1">
              <w:t>that process.</w:t>
            </w:r>
          </w:p>
          <w:p w14:paraId="71CC5C95" w14:textId="77777777" w:rsidR="00077FF7" w:rsidRPr="00C878D1" w:rsidRDefault="00077FF7" w:rsidP="00CC2602">
            <w:pPr>
              <w:pStyle w:val="TableText"/>
            </w:pPr>
            <w:r w:rsidRPr="00C878D1">
              <w:t>The approach to engagement has been to engage with Māori representatives directly involved in climate change-related matters and decision-making, in a way that recognises:</w:t>
            </w:r>
          </w:p>
          <w:p w14:paraId="4808AF79" w14:textId="2B8EFF3A" w:rsidR="00077FF7" w:rsidRPr="00C878D1" w:rsidRDefault="00077FF7" w:rsidP="00CC2602">
            <w:pPr>
              <w:pStyle w:val="TableBullet"/>
            </w:pPr>
            <w:r w:rsidRPr="00C878D1">
              <w:t xml:space="preserve">the principles of </w:t>
            </w:r>
            <w:r w:rsidR="00D16BFE">
              <w:t>Te Tiriti o</w:t>
            </w:r>
            <w:r w:rsidRPr="00C878D1">
              <w:t xml:space="preserve"> Waitangi and </w:t>
            </w:r>
            <w:r w:rsidR="00D16BFE">
              <w:t>Te Tiriti</w:t>
            </w:r>
            <w:r w:rsidRPr="00C878D1">
              <w:t xml:space="preserve"> partnership between Māori/iwi and the Crown</w:t>
            </w:r>
          </w:p>
          <w:p w14:paraId="10408BCD" w14:textId="77777777" w:rsidR="00077FF7" w:rsidRPr="00C878D1" w:rsidRDefault="00077FF7" w:rsidP="00CC2602">
            <w:pPr>
              <w:pStyle w:val="TableBullet"/>
            </w:pPr>
            <w:r w:rsidRPr="00C878D1">
              <w:t>the importance of Māori decision-making over matters that affect Māori</w:t>
            </w:r>
          </w:p>
          <w:p w14:paraId="173FFEF5" w14:textId="77777777" w:rsidR="00077FF7" w:rsidRPr="00C878D1" w:rsidRDefault="00077FF7" w:rsidP="00CC2602">
            <w:pPr>
              <w:pStyle w:val="TableBullet"/>
            </w:pPr>
            <w:r w:rsidRPr="00C878D1">
              <w:t>the value of mātauranga Māori (Māori knowledge) in supporting decision-making and effective action.</w:t>
            </w:r>
          </w:p>
          <w:p w14:paraId="0D24BB6C" w14:textId="00E89058" w:rsidR="00077FF7" w:rsidRPr="00C878D1" w:rsidRDefault="00077FF7" w:rsidP="00C27F3C">
            <w:pPr>
              <w:pStyle w:val="TableText"/>
            </w:pPr>
            <w:r w:rsidRPr="00C878D1">
              <w:t>While the NCCRA has been informed by existing iwi/hapū climate change strategies and plans, consideration of how mātauranga Māori</w:t>
            </w:r>
            <w:r w:rsidRPr="00C878D1" w:rsidDel="00E00D62">
              <w:t xml:space="preserve"> </w:t>
            </w:r>
            <w:r w:rsidRPr="00C878D1">
              <w:t>might inform future climate science and policy</w:t>
            </w:r>
            <w:r w:rsidR="00D22B47">
              <w:t>-</w:t>
            </w:r>
            <w:r w:rsidRPr="00C878D1">
              <w:t>making</w:t>
            </w:r>
            <w:r w:rsidRPr="00C878D1" w:rsidDel="00E00D62">
              <w:t xml:space="preserve"> </w:t>
            </w:r>
            <w:r w:rsidRPr="00C878D1">
              <w:t>has been limited.</w:t>
            </w:r>
            <w:r w:rsidR="00467043">
              <w:t xml:space="preserve"> </w:t>
            </w:r>
            <w:r w:rsidRPr="00C878D1">
              <w:t>The</w:t>
            </w:r>
            <w:hyperlink r:id="rId21" w:history="1">
              <w:r w:rsidRPr="007135DE">
                <w:rPr>
                  <w:rStyle w:val="Hyperlink"/>
                </w:rPr>
                <w:t xml:space="preserve"> main report</w:t>
              </w:r>
            </w:hyperlink>
            <w:r w:rsidRPr="00C878D1">
              <w:t xml:space="preserve"> and </w:t>
            </w:r>
            <w:hyperlink r:id="rId22" w:history="1">
              <w:r w:rsidRPr="007135DE">
                <w:rPr>
                  <w:rStyle w:val="Hyperlink"/>
                </w:rPr>
                <w:t>technical report</w:t>
              </w:r>
            </w:hyperlink>
            <w:r w:rsidRPr="00C878D1">
              <w:t xml:space="preserve"> acknowledge this as a knowledge gap (see section 7.2, </w:t>
            </w:r>
            <w:hyperlink r:id="rId23" w:history="1">
              <w:r w:rsidRPr="007135DE">
                <w:rPr>
                  <w:rStyle w:val="Hyperlink"/>
                  <w:iCs/>
                </w:rPr>
                <w:t>main report</w:t>
              </w:r>
            </w:hyperlink>
            <w:r w:rsidRPr="00C878D1">
              <w:t xml:space="preserve"> and section 4.5, </w:t>
            </w:r>
            <w:hyperlink r:id="rId24" w:history="1">
              <w:r w:rsidR="00E548F3" w:rsidRPr="007135DE">
                <w:rPr>
                  <w:rStyle w:val="Hyperlink"/>
                </w:rPr>
                <w:t>technical report</w:t>
              </w:r>
            </w:hyperlink>
            <w:r w:rsidRPr="00C878D1">
              <w:t>).</w:t>
            </w:r>
          </w:p>
        </w:tc>
      </w:tr>
      <w:tr w:rsidR="00077FF7" w:rsidRPr="00C878D1" w14:paraId="17FB9030" w14:textId="77777777" w:rsidTr="00F415F6">
        <w:tc>
          <w:tcPr>
            <w:tcW w:w="3794" w:type="dxa"/>
          </w:tcPr>
          <w:p w14:paraId="34DB507C" w14:textId="77777777" w:rsidR="00077FF7" w:rsidRPr="00C878D1" w:rsidRDefault="00077FF7" w:rsidP="002128B9">
            <w:pPr>
              <w:pStyle w:val="TableTextBold"/>
              <w:keepNext/>
            </w:pPr>
            <w:r w:rsidRPr="00C878D1">
              <w:lastRenderedPageBreak/>
              <w:t xml:space="preserve">Kia mahi ngātahi (Engagement and participation) </w:t>
            </w:r>
          </w:p>
          <w:p w14:paraId="5CAB839B" w14:textId="7A596EB7" w:rsidR="00077FF7" w:rsidRPr="00C878D1" w:rsidRDefault="00077FF7" w:rsidP="00CC2602">
            <w:pPr>
              <w:pStyle w:val="TableBullet"/>
            </w:pPr>
            <w:r w:rsidRPr="00C878D1">
              <w:t>National, regional and local agencies, including pan</w:t>
            </w:r>
            <w:r w:rsidR="00D22B47">
              <w:t>-</w:t>
            </w:r>
            <w:r w:rsidRPr="00C878D1">
              <w:t>Māori, Māori</w:t>
            </w:r>
            <w:r w:rsidR="00D22B47">
              <w:t xml:space="preserve"> and</w:t>
            </w:r>
            <w:r w:rsidRPr="00C878D1">
              <w:t xml:space="preserve"> iwi/hapū representatives affected by the risk assessment and its outcomes, will be involved in the risk assessment process. </w:t>
            </w:r>
          </w:p>
          <w:p w14:paraId="3AE4B3FD" w14:textId="3E96949C" w:rsidR="00077FF7" w:rsidRPr="00C878D1" w:rsidRDefault="00077FF7" w:rsidP="00CC2602">
            <w:pPr>
              <w:pStyle w:val="TableBullet"/>
            </w:pPr>
            <w:r w:rsidRPr="00C878D1">
              <w:t xml:space="preserve">Contributors to the risk assessment will have the opportunity to contribute to the development of the </w:t>
            </w:r>
            <w:r w:rsidR="0008531F">
              <w:t>n</w:t>
            </w:r>
            <w:r w:rsidR="0008531F" w:rsidRPr="00C878D1">
              <w:t xml:space="preserve">ational </w:t>
            </w:r>
            <w:r w:rsidR="0008531F">
              <w:t>a</w:t>
            </w:r>
            <w:r w:rsidR="0008531F" w:rsidRPr="00C878D1">
              <w:t xml:space="preserve">daptation </w:t>
            </w:r>
            <w:r w:rsidR="0008531F">
              <w:t>p</w:t>
            </w:r>
            <w:r w:rsidR="0008531F" w:rsidRPr="00C878D1">
              <w:t>lan</w:t>
            </w:r>
            <w:r w:rsidR="0008531F">
              <w:t xml:space="preserve"> </w:t>
            </w:r>
            <w:r w:rsidR="002F596F">
              <w:t>(NAP)</w:t>
            </w:r>
            <w:r w:rsidRPr="00C878D1">
              <w:t xml:space="preserve"> (which will undergo a consultation process). </w:t>
            </w:r>
          </w:p>
          <w:p w14:paraId="72D9D337" w14:textId="02A11BE6" w:rsidR="00077FF7" w:rsidRPr="00C878D1" w:rsidRDefault="00077FF7" w:rsidP="00CC2602">
            <w:pPr>
              <w:pStyle w:val="TableBullet"/>
            </w:pPr>
            <w:r w:rsidRPr="00C878D1">
              <w:t>The engagement process will seek input from participants in designing how they participate.</w:t>
            </w:r>
            <w:r w:rsidR="00467043">
              <w:t xml:space="preserve"> </w:t>
            </w:r>
          </w:p>
        </w:tc>
        <w:tc>
          <w:tcPr>
            <w:tcW w:w="4711" w:type="dxa"/>
          </w:tcPr>
          <w:p w14:paraId="2988CACF" w14:textId="31A587B1" w:rsidR="00077FF7" w:rsidRPr="002128B9" w:rsidRDefault="00077FF7" w:rsidP="002128B9">
            <w:pPr>
              <w:pStyle w:val="TableText"/>
              <w:spacing w:after="40"/>
            </w:pPr>
            <w:r w:rsidRPr="002128B9">
              <w:t xml:space="preserve">Our approach was grounded in engagement across the key value domains of New Zealand society, including with national, regional and local agencies, Māori groups and iwi. Over 500 individual participants were engaged </w:t>
            </w:r>
            <w:r w:rsidR="00100EE3">
              <w:t>during</w:t>
            </w:r>
            <w:r w:rsidR="00100EE3" w:rsidRPr="002128B9">
              <w:t xml:space="preserve"> </w:t>
            </w:r>
            <w:r w:rsidRPr="002128B9">
              <w:t xml:space="preserve">the process. </w:t>
            </w:r>
          </w:p>
          <w:p w14:paraId="7FD93B57" w14:textId="12340591" w:rsidR="00077FF7" w:rsidRPr="002128B9" w:rsidRDefault="00077FF7" w:rsidP="002128B9">
            <w:pPr>
              <w:pStyle w:val="TableText"/>
              <w:spacing w:after="40"/>
            </w:pPr>
            <w:r w:rsidRPr="002128B9">
              <w:t>The project timeframe limited the extent to which the engagement process could be co-designed with partners and</w:t>
            </w:r>
            <w:r w:rsidR="00833883">
              <w:t> </w:t>
            </w:r>
            <w:r w:rsidRPr="002128B9">
              <w:t xml:space="preserve">stakeholders. </w:t>
            </w:r>
            <w:r w:rsidR="00100EE3">
              <w:t>For this reason</w:t>
            </w:r>
            <w:r w:rsidRPr="002128B9">
              <w:t>, the project sought to enable participants to engage in a variety of ways including workshops, hui, online surveys and focused individual meetings and phone calls.</w:t>
            </w:r>
          </w:p>
          <w:p w14:paraId="4BC67822" w14:textId="03BF243D" w:rsidR="00077FF7" w:rsidRPr="002128B9" w:rsidRDefault="00077FF7" w:rsidP="002128B9">
            <w:pPr>
              <w:pStyle w:val="TableText"/>
            </w:pPr>
            <w:r w:rsidRPr="002128B9">
              <w:t>The engagement approach emphasised that the NCCRA was the beginning of an engagement that will be carried forward into the NAP and future NCCRAs.</w:t>
            </w:r>
          </w:p>
        </w:tc>
      </w:tr>
      <w:tr w:rsidR="00077FF7" w:rsidRPr="00C878D1" w14:paraId="57A36C04" w14:textId="77777777" w:rsidTr="00F415F6">
        <w:tc>
          <w:tcPr>
            <w:tcW w:w="3794" w:type="dxa"/>
          </w:tcPr>
          <w:p w14:paraId="28D74121" w14:textId="77777777" w:rsidR="00077FF7" w:rsidRPr="00C878D1" w:rsidRDefault="00077FF7" w:rsidP="00C27F3C">
            <w:pPr>
              <w:pStyle w:val="TableTextBold"/>
            </w:pPr>
            <w:r w:rsidRPr="00C878D1">
              <w:t xml:space="preserve">Kia āwhina (Support) </w:t>
            </w:r>
          </w:p>
          <w:p w14:paraId="64EA5199" w14:textId="22DA4CC1" w:rsidR="00077FF7" w:rsidRPr="00C878D1" w:rsidRDefault="00077FF7" w:rsidP="00CC2602">
            <w:pPr>
              <w:pStyle w:val="TableBullet"/>
            </w:pPr>
            <w:r w:rsidRPr="00C878D1">
              <w:t>Participation in the risk assessment will recognise the needs and interests of all participants, including decision-makers.</w:t>
            </w:r>
            <w:r w:rsidR="00467043">
              <w:t xml:space="preserve"> </w:t>
            </w:r>
          </w:p>
          <w:p w14:paraId="0C4946C8" w14:textId="77777777" w:rsidR="00077FF7" w:rsidRPr="00C878D1" w:rsidRDefault="00077FF7" w:rsidP="00CC2602">
            <w:pPr>
              <w:pStyle w:val="TableBullet"/>
            </w:pPr>
            <w:r w:rsidRPr="00C878D1">
              <w:t xml:space="preserve">Participants will be given the information they need to participate in a meaningful way; their views will be respected and given due consideration. </w:t>
            </w:r>
          </w:p>
          <w:p w14:paraId="722D2538" w14:textId="77777777" w:rsidR="00077FF7" w:rsidRPr="00C878D1" w:rsidRDefault="00077FF7" w:rsidP="00CC2602">
            <w:pPr>
              <w:pStyle w:val="TableBullet"/>
            </w:pPr>
            <w:r w:rsidRPr="00C878D1">
              <w:t>The outcomes will be communicated to participants, along with how their input affected decisions.</w:t>
            </w:r>
          </w:p>
        </w:tc>
        <w:tc>
          <w:tcPr>
            <w:tcW w:w="4711" w:type="dxa"/>
          </w:tcPr>
          <w:p w14:paraId="48F9C8E2" w14:textId="77777777" w:rsidR="00077FF7" w:rsidRPr="00C878D1" w:rsidRDefault="00077FF7" w:rsidP="002128B9">
            <w:pPr>
              <w:pStyle w:val="TableText"/>
              <w:spacing w:after="40"/>
            </w:pPr>
            <w:r w:rsidRPr="00C878D1">
              <w:t>The NCCRA used a variety of techniques and platforms to allow broad engagement with diverse stakeholders and communities. This included providing information before engagements, and follow-up after the engagements to detail next steps.</w:t>
            </w:r>
          </w:p>
          <w:p w14:paraId="319C638A" w14:textId="5E57C2DC" w:rsidR="00077FF7" w:rsidRPr="00C878D1" w:rsidRDefault="00077FF7" w:rsidP="00D22B47">
            <w:pPr>
              <w:pStyle w:val="TableText"/>
            </w:pPr>
            <w:r w:rsidRPr="00C878D1">
              <w:t xml:space="preserve">The project team </w:t>
            </w:r>
            <w:r w:rsidR="00D22B47">
              <w:t>was</w:t>
            </w:r>
            <w:r w:rsidR="00D22B47" w:rsidRPr="00C878D1">
              <w:t xml:space="preserve"> </w:t>
            </w:r>
            <w:r w:rsidRPr="00C878D1">
              <w:t>committed to creating a collaborative and respectful process and environment. Stakeholder and Māori</w:t>
            </w:r>
            <w:r w:rsidRPr="00C878D1" w:rsidDel="00E00D62">
              <w:t xml:space="preserve"> </w:t>
            </w:r>
            <w:r w:rsidRPr="00C878D1">
              <w:t xml:space="preserve">views and observations were carefully considered, with clear communication of next steps in the process. </w:t>
            </w:r>
          </w:p>
        </w:tc>
      </w:tr>
    </w:tbl>
    <w:p w14:paraId="3373A8D9" w14:textId="20ACE7D1" w:rsidR="00077FF7" w:rsidRDefault="00077FF7" w:rsidP="008C203A">
      <w:pPr>
        <w:pStyle w:val="BodyText"/>
      </w:pPr>
    </w:p>
    <w:p w14:paraId="2445F6FF" w14:textId="77777777" w:rsidR="00F6205C" w:rsidRPr="0024184F" w:rsidRDefault="00F6205C" w:rsidP="008C203A">
      <w:pPr>
        <w:pStyle w:val="BodyText"/>
      </w:pPr>
    </w:p>
    <w:p w14:paraId="7071115A" w14:textId="77777777" w:rsidR="003B1E4A" w:rsidRDefault="003B1E4A" w:rsidP="0061029E">
      <w:pPr>
        <w:pStyle w:val="Tableheading"/>
        <w:rPr>
          <w:highlight w:val="yellow"/>
        </w:rPr>
        <w:sectPr w:rsidR="003B1E4A" w:rsidSect="00FE3724">
          <w:footerReference w:type="even" r:id="rId25"/>
          <w:footerReference w:type="default" r:id="rId26"/>
          <w:pgSz w:w="11907" w:h="16840" w:code="9"/>
          <w:pgMar w:top="1134" w:right="1701" w:bottom="1134" w:left="1701" w:header="567" w:footer="567" w:gutter="0"/>
          <w:cols w:space="720"/>
          <w:docGrid w:linePitch="299"/>
        </w:sectPr>
      </w:pPr>
      <w:bookmarkStart w:id="28" w:name="_Ref37240774"/>
      <w:bookmarkStart w:id="29" w:name="_Toc40686583"/>
    </w:p>
    <w:p w14:paraId="1458F0CD" w14:textId="1A91079B" w:rsidR="00162AE7" w:rsidRPr="00162AE7" w:rsidRDefault="008C203A" w:rsidP="00350A25">
      <w:pPr>
        <w:pStyle w:val="Figureheading"/>
        <w:spacing w:before="0"/>
      </w:pPr>
      <w:bookmarkStart w:id="30" w:name="_Toc43899335"/>
      <w:r w:rsidRPr="007F6834">
        <w:lastRenderedPageBreak/>
        <w:t>F</w:t>
      </w:r>
      <w:bookmarkStart w:id="31" w:name="figure1"/>
      <w:r w:rsidRPr="007F6834">
        <w:t xml:space="preserve">igure </w:t>
      </w:r>
      <w:fldSimple w:instr=" SEQ Figure \* ARABIC ">
        <w:r w:rsidR="001B2025">
          <w:rPr>
            <w:noProof/>
          </w:rPr>
          <w:t>1</w:t>
        </w:r>
      </w:fldSimple>
      <w:bookmarkEnd w:id="28"/>
      <w:bookmarkEnd w:id="31"/>
      <w:r w:rsidR="00B808BC" w:rsidRPr="007F6834">
        <w:rPr>
          <w:noProof/>
        </w:rPr>
        <w:t>:</w:t>
      </w:r>
      <w:r w:rsidRPr="007F6834">
        <w:tab/>
        <w:t xml:space="preserve">NCCRA process </w:t>
      </w:r>
      <w:r w:rsidRPr="005768E4">
        <w:t>overview</w:t>
      </w:r>
      <w:bookmarkEnd w:id="29"/>
      <w:bookmarkEnd w:id="30"/>
      <w:r w:rsidR="00E548F3">
        <w:t xml:space="preserve"> </w:t>
      </w:r>
    </w:p>
    <w:p w14:paraId="74FA16A0" w14:textId="00B95679" w:rsidR="00077FF7" w:rsidRDefault="00162AE7" w:rsidP="00350A25">
      <w:pPr>
        <w:pStyle w:val="BodyText"/>
        <w:spacing w:after="0"/>
      </w:pPr>
      <w:r w:rsidRPr="005D6D89">
        <w:rPr>
          <w:noProof/>
        </w:rPr>
        <w:drawing>
          <wp:inline distT="0" distB="0" distL="0" distR="0" wp14:anchorId="6136FFF3" wp14:editId="7E97435A">
            <wp:extent cx="11224895" cy="77819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1_Final Report-corrected.jp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1228299" cy="7784285"/>
                    </a:xfrm>
                    <a:prstGeom prst="rect">
                      <a:avLst/>
                    </a:prstGeom>
                    <a:ln>
                      <a:noFill/>
                    </a:ln>
                    <a:extLst>
                      <a:ext uri="{53640926-AAD7-44D8-BBD7-CCE9431645EC}">
                        <a14:shadowObscured xmlns:a14="http://schemas.microsoft.com/office/drawing/2010/main"/>
                      </a:ext>
                    </a:extLst>
                  </pic:spPr>
                </pic:pic>
              </a:graphicData>
            </a:graphic>
          </wp:inline>
        </w:drawing>
      </w:r>
    </w:p>
    <w:p w14:paraId="53B1EC7D" w14:textId="11B6AEAB" w:rsidR="003B1E4A" w:rsidRDefault="003B1E4A" w:rsidP="00467043">
      <w:pPr>
        <w:pStyle w:val="BodyText"/>
        <w:spacing w:before="0" w:after="0"/>
      </w:pPr>
    </w:p>
    <w:p w14:paraId="482AAF44" w14:textId="77777777" w:rsidR="003B1E4A" w:rsidRDefault="003B1E4A" w:rsidP="00467043">
      <w:pPr>
        <w:pStyle w:val="BodyText"/>
        <w:spacing w:before="0" w:after="0"/>
        <w:sectPr w:rsidR="003B1E4A" w:rsidSect="00FE3724">
          <w:footerReference w:type="default" r:id="rId28"/>
          <w:pgSz w:w="23808" w:h="16840" w:orient="landscape" w:code="8"/>
          <w:pgMar w:top="1701" w:right="1134" w:bottom="1701" w:left="1134" w:header="567" w:footer="567" w:gutter="0"/>
          <w:cols w:space="720"/>
          <w:docGrid w:linePitch="299"/>
        </w:sectPr>
      </w:pPr>
    </w:p>
    <w:p w14:paraId="3D614C40" w14:textId="0A38D27C" w:rsidR="00B808BC" w:rsidRDefault="00B808BC" w:rsidP="003C4F4B">
      <w:pPr>
        <w:pStyle w:val="Heading1"/>
        <w:numPr>
          <w:ilvl w:val="0"/>
          <w:numId w:val="21"/>
        </w:numPr>
      </w:pPr>
      <w:bookmarkStart w:id="32" w:name="_Risk_assessment_approach"/>
      <w:bookmarkStart w:id="33" w:name="_Toc45898303"/>
      <w:bookmarkEnd w:id="32"/>
      <w:r>
        <w:lastRenderedPageBreak/>
        <w:t xml:space="preserve">Risk </w:t>
      </w:r>
      <w:r w:rsidRPr="009F2E24">
        <w:t>assessment</w:t>
      </w:r>
      <w:r>
        <w:t xml:space="preserve"> approach</w:t>
      </w:r>
      <w:bookmarkEnd w:id="33"/>
    </w:p>
    <w:p w14:paraId="58B71794" w14:textId="15B1201C" w:rsidR="00B808BC" w:rsidRPr="009F2E24" w:rsidRDefault="00B808BC" w:rsidP="009F2E24">
      <w:pPr>
        <w:pStyle w:val="BodyText"/>
      </w:pPr>
      <w:r>
        <w:t xml:space="preserve">The method for the first NCCRA was based on </w:t>
      </w:r>
      <w:r w:rsidRPr="00CC24DE">
        <w:rPr>
          <w:i/>
          <w:iCs/>
        </w:rPr>
        <w:t>Arotakenga Huringa Āhuarangi: A Framework for the National Climate Change Risk Assessment for Aotearoa New Zealand</w:t>
      </w:r>
      <w:r w:rsidRPr="009F2E24">
        <w:t xml:space="preserve"> (the NCCRA framework). Developed by an expert panel, th</w:t>
      </w:r>
      <w:r w:rsidR="00100EE3">
        <w:t>e NCCRA framework</w:t>
      </w:r>
      <w:r w:rsidRPr="009F2E24">
        <w:t xml:space="preserve"> sets out methods to use for the NCCRA. It</w:t>
      </w:r>
      <w:r w:rsidR="00DF16DA">
        <w:t> </w:t>
      </w:r>
      <w:r w:rsidRPr="009F2E24">
        <w:t xml:space="preserve">takes a values-based approach, weaving in te ao Māori and engagement principles, to produce a comprehensive knowledge and skill base for understanding climate </w:t>
      </w:r>
      <w:r w:rsidR="00100EE3">
        <w:t xml:space="preserve">change </w:t>
      </w:r>
      <w:r w:rsidRPr="009F2E24">
        <w:t xml:space="preserve">risks. The process combined scientific, technical and expert information with </w:t>
      </w:r>
      <w:r w:rsidRPr="008B7FE3">
        <w:rPr>
          <w:u w:val="single"/>
        </w:rPr>
        <w:t>mātauranga Māori</w:t>
      </w:r>
      <w:r w:rsidRPr="009F2E24">
        <w:t>, local</w:t>
      </w:r>
      <w:r w:rsidR="00DF16DA">
        <w:t> </w:t>
      </w:r>
      <w:r w:rsidRPr="009F2E24">
        <w:t xml:space="preserve">knowledge and experience (Ministry for the Environment, 2019). </w:t>
      </w:r>
    </w:p>
    <w:p w14:paraId="03106AED" w14:textId="7C9F0DC9" w:rsidR="00B808BC" w:rsidRPr="009F2E24" w:rsidRDefault="00B808BC" w:rsidP="009F2E24">
      <w:pPr>
        <w:pStyle w:val="BodyText"/>
      </w:pPr>
      <w:r w:rsidRPr="009F2E24">
        <w:t xml:space="preserve">The diverse, multidisciplinary team of academics and consultants followed three stages. </w:t>
      </w:r>
      <w:hyperlink w:anchor="table2" w:history="1">
        <w:r w:rsidRPr="00510A27">
          <w:rPr>
            <w:rStyle w:val="Hyperlink"/>
          </w:rPr>
          <w:t>Table 2</w:t>
        </w:r>
      </w:hyperlink>
      <w:r w:rsidRPr="009F2E24">
        <w:t xml:space="preserve"> gives an overview, </w:t>
      </w:r>
      <w:r w:rsidR="003C41E9">
        <w:t>while</w:t>
      </w:r>
      <w:r w:rsidR="003C41E9" w:rsidRPr="009F2E24">
        <w:t xml:space="preserve"> </w:t>
      </w:r>
      <w:r w:rsidRPr="009F2E24">
        <w:t xml:space="preserve">details </w:t>
      </w:r>
      <w:r w:rsidR="003C41E9">
        <w:t xml:space="preserve">are </w:t>
      </w:r>
      <w:r w:rsidRPr="009F2E24">
        <w:t xml:space="preserve">in </w:t>
      </w:r>
      <w:hyperlink w:anchor="figure1" w:history="1">
        <w:r w:rsidRPr="000C7EB7">
          <w:rPr>
            <w:rStyle w:val="Hyperlink"/>
          </w:rPr>
          <w:t>figure 1</w:t>
        </w:r>
      </w:hyperlink>
      <w:r w:rsidRPr="009F2E24">
        <w:t xml:space="preserve">. </w:t>
      </w:r>
    </w:p>
    <w:p w14:paraId="27E2B7A1" w14:textId="2EC6A67F" w:rsidR="00B808BC" w:rsidRDefault="00B808BC" w:rsidP="009F2E24">
      <w:pPr>
        <w:pStyle w:val="BodyText"/>
      </w:pPr>
      <w:r w:rsidRPr="009F2E24">
        <w:t>Before stage 1</w:t>
      </w:r>
      <w:r w:rsidRPr="00B808BC">
        <w:t xml:space="preserve">, the </w:t>
      </w:r>
      <w:r w:rsidR="00EE67C7">
        <w:t xml:space="preserve">project </w:t>
      </w:r>
      <w:r w:rsidRPr="00B808BC">
        <w:t xml:space="preserve">team set the context: the objectives, scope and method. </w:t>
      </w:r>
      <w:r w:rsidR="00D9073C">
        <w:t>This section gives a</w:t>
      </w:r>
      <w:r w:rsidR="00D9073C" w:rsidRPr="00B808BC">
        <w:t xml:space="preserve"> </w:t>
      </w:r>
      <w:r w:rsidRPr="00B808BC">
        <w:t>brief summary of each stag</w:t>
      </w:r>
      <w:r>
        <w:t>e</w:t>
      </w:r>
      <w:r w:rsidR="00D9073C">
        <w:t>, including</w:t>
      </w:r>
      <w:r>
        <w:t xml:space="preserve"> an overview of the method and key concepts</w:t>
      </w:r>
      <w:r w:rsidR="00D9073C">
        <w:t xml:space="preserve"> related to it</w:t>
      </w:r>
      <w:r>
        <w:t xml:space="preserve">. Engagement informed all three stages. </w:t>
      </w:r>
    </w:p>
    <w:p w14:paraId="11163847" w14:textId="4D0DC81E" w:rsidR="006B2EC0" w:rsidRPr="009F2E24" w:rsidRDefault="00B808BC" w:rsidP="006D008A">
      <w:pPr>
        <w:pStyle w:val="Tableheading"/>
      </w:pPr>
      <w:bookmarkStart w:id="34" w:name="table2"/>
      <w:bookmarkStart w:id="35" w:name="_Toc43899318"/>
      <w:r>
        <w:t xml:space="preserve">Table </w:t>
      </w:r>
      <w:fldSimple w:instr=" SEQ Table \* ARABIC ">
        <w:r w:rsidR="001B2025">
          <w:rPr>
            <w:noProof/>
          </w:rPr>
          <w:t>2</w:t>
        </w:r>
      </w:fldSimple>
      <w:r>
        <w:t>:</w:t>
      </w:r>
      <w:bookmarkEnd w:id="34"/>
      <w:r>
        <w:tab/>
        <w:t>The three stages of the NCCRA</w:t>
      </w:r>
      <w:bookmarkEnd w:id="35"/>
    </w:p>
    <w:tbl>
      <w:tblPr>
        <w:tblW w:w="8505" w:type="dxa"/>
        <w:tblInd w:w="10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877"/>
        <w:gridCol w:w="2383"/>
        <w:gridCol w:w="2836"/>
        <w:gridCol w:w="2409"/>
      </w:tblGrid>
      <w:tr w:rsidR="00583D34" w:rsidRPr="00583D34" w14:paraId="3F90F929" w14:textId="77777777" w:rsidTr="00B86863">
        <w:trPr>
          <w:trHeight w:val="340"/>
          <w:tblHeader/>
        </w:trPr>
        <w:tc>
          <w:tcPr>
            <w:tcW w:w="516" w:type="pct"/>
            <w:shd w:val="clear" w:color="auto" w:fill="1C556C" w:themeFill="accent1"/>
            <w:tcMar>
              <w:top w:w="0" w:type="dxa"/>
            </w:tcMar>
            <w:vAlign w:val="center"/>
          </w:tcPr>
          <w:p w14:paraId="1C79C05B" w14:textId="77777777" w:rsidR="006B2EC0" w:rsidRPr="00583D34" w:rsidRDefault="006B2EC0" w:rsidP="009F2E24">
            <w:pPr>
              <w:pStyle w:val="TableTextBold"/>
              <w:rPr>
                <w:color w:val="FFFFFF" w:themeColor="background1"/>
              </w:rPr>
            </w:pPr>
            <w:r w:rsidRPr="00583D34">
              <w:rPr>
                <w:color w:val="FFFFFF" w:themeColor="background1"/>
              </w:rPr>
              <w:t xml:space="preserve">Stage </w:t>
            </w:r>
          </w:p>
        </w:tc>
        <w:tc>
          <w:tcPr>
            <w:tcW w:w="1401" w:type="pct"/>
            <w:shd w:val="clear" w:color="auto" w:fill="1C556C" w:themeFill="accent1"/>
          </w:tcPr>
          <w:p w14:paraId="05D51E41" w14:textId="77777777" w:rsidR="006B2EC0" w:rsidRPr="00583D34" w:rsidRDefault="006B2EC0" w:rsidP="009F2E24">
            <w:pPr>
              <w:pStyle w:val="TableTextBold"/>
              <w:rPr>
                <w:color w:val="FFFFFF" w:themeColor="background1"/>
              </w:rPr>
            </w:pPr>
            <w:r w:rsidRPr="00583D34">
              <w:rPr>
                <w:color w:val="FFFFFF" w:themeColor="background1"/>
              </w:rPr>
              <w:t xml:space="preserve">Objective </w:t>
            </w:r>
          </w:p>
        </w:tc>
        <w:tc>
          <w:tcPr>
            <w:tcW w:w="1667" w:type="pct"/>
            <w:shd w:val="clear" w:color="auto" w:fill="1C556C" w:themeFill="accent1"/>
            <w:tcMar>
              <w:top w:w="0" w:type="dxa"/>
            </w:tcMar>
            <w:vAlign w:val="center"/>
          </w:tcPr>
          <w:p w14:paraId="5BF66A1F" w14:textId="77777777" w:rsidR="006B2EC0" w:rsidRPr="00583D34" w:rsidRDefault="006B2EC0" w:rsidP="009F2E24">
            <w:pPr>
              <w:pStyle w:val="TableTextBold"/>
              <w:rPr>
                <w:color w:val="FFFFFF" w:themeColor="background1"/>
              </w:rPr>
            </w:pPr>
            <w:r w:rsidRPr="00583D34">
              <w:rPr>
                <w:color w:val="FFFFFF" w:themeColor="background1"/>
              </w:rPr>
              <w:t xml:space="preserve">Tasks </w:t>
            </w:r>
          </w:p>
        </w:tc>
        <w:tc>
          <w:tcPr>
            <w:tcW w:w="1416" w:type="pct"/>
            <w:shd w:val="clear" w:color="auto" w:fill="1C556C" w:themeFill="accent1"/>
          </w:tcPr>
          <w:p w14:paraId="1751FE2E" w14:textId="77777777" w:rsidR="006B2EC0" w:rsidRPr="00583D34" w:rsidRDefault="006B2EC0" w:rsidP="009F2E24">
            <w:pPr>
              <w:pStyle w:val="TableTextBold"/>
              <w:rPr>
                <w:color w:val="FFFFFF" w:themeColor="background1"/>
              </w:rPr>
            </w:pPr>
            <w:r w:rsidRPr="00583D34">
              <w:rPr>
                <w:color w:val="FFFFFF" w:themeColor="background1"/>
              </w:rPr>
              <w:t xml:space="preserve">Output </w:t>
            </w:r>
          </w:p>
        </w:tc>
      </w:tr>
      <w:tr w:rsidR="006B2EC0" w:rsidRPr="009F2E24" w14:paraId="1B742368" w14:textId="77777777" w:rsidTr="00B86863">
        <w:tc>
          <w:tcPr>
            <w:tcW w:w="516" w:type="pct"/>
            <w:shd w:val="clear" w:color="auto" w:fill="auto"/>
            <w:tcMar>
              <w:top w:w="0" w:type="dxa"/>
            </w:tcMar>
          </w:tcPr>
          <w:p w14:paraId="37B37A8E" w14:textId="77777777" w:rsidR="006B2EC0" w:rsidRPr="009F2E24" w:rsidRDefault="006B2EC0" w:rsidP="009F2E24">
            <w:pPr>
              <w:pStyle w:val="TableText"/>
            </w:pPr>
            <w:r w:rsidRPr="009F2E24">
              <w:t xml:space="preserve">Stage 1 </w:t>
            </w:r>
          </w:p>
        </w:tc>
        <w:tc>
          <w:tcPr>
            <w:tcW w:w="1401" w:type="pct"/>
            <w:tcMar>
              <w:top w:w="0" w:type="dxa"/>
            </w:tcMar>
          </w:tcPr>
          <w:p w14:paraId="7B715932" w14:textId="64D08555" w:rsidR="006B2EC0" w:rsidRPr="009F2E24" w:rsidRDefault="006B2EC0" w:rsidP="009F2E24">
            <w:pPr>
              <w:pStyle w:val="TableText"/>
            </w:pPr>
            <w:r w:rsidRPr="009F2E24">
              <w:t>Undertake a high-level assessment of climate change risks to New Zealand; determine risks to consider in stage 2.</w:t>
            </w:r>
            <w:r w:rsidR="00467043">
              <w:t xml:space="preserve"> </w:t>
            </w:r>
          </w:p>
        </w:tc>
        <w:tc>
          <w:tcPr>
            <w:tcW w:w="1667" w:type="pct"/>
            <w:shd w:val="clear" w:color="auto" w:fill="auto"/>
            <w:tcMar>
              <w:top w:w="0" w:type="dxa"/>
            </w:tcMar>
          </w:tcPr>
          <w:p w14:paraId="4677DB89" w14:textId="77777777" w:rsidR="006B2EC0" w:rsidRPr="009F2E24" w:rsidRDefault="006B2EC0" w:rsidP="009F2E24">
            <w:pPr>
              <w:pStyle w:val="TableText"/>
            </w:pPr>
            <w:r w:rsidRPr="009F2E24">
              <w:t xml:space="preserve">Task 1: Establish context and scope </w:t>
            </w:r>
          </w:p>
          <w:p w14:paraId="7F2DE0B8" w14:textId="77777777" w:rsidR="006B2EC0" w:rsidRPr="009F2E24" w:rsidRDefault="006B2EC0" w:rsidP="009F2E24">
            <w:pPr>
              <w:pStyle w:val="TableText"/>
            </w:pPr>
            <w:r w:rsidRPr="009F2E24">
              <w:t>Task 2: Identify climate risks</w:t>
            </w:r>
          </w:p>
          <w:p w14:paraId="1E12FDC3" w14:textId="77777777" w:rsidR="006B2EC0" w:rsidRPr="009F2E24" w:rsidRDefault="006B2EC0" w:rsidP="009F2E24">
            <w:pPr>
              <w:pStyle w:val="TableText"/>
            </w:pPr>
            <w:r w:rsidRPr="009F2E24">
              <w:t>Task 3: Analyse and evaluate risks</w:t>
            </w:r>
          </w:p>
        </w:tc>
        <w:tc>
          <w:tcPr>
            <w:tcW w:w="1416" w:type="pct"/>
            <w:tcMar>
              <w:top w:w="0" w:type="dxa"/>
            </w:tcMar>
          </w:tcPr>
          <w:p w14:paraId="599DF2B0" w14:textId="77777777" w:rsidR="006B2EC0" w:rsidRPr="009F2E24" w:rsidRDefault="006B2EC0" w:rsidP="009F2E24">
            <w:pPr>
              <w:pStyle w:val="TableText"/>
            </w:pPr>
            <w:r w:rsidRPr="009F2E24">
              <w:t xml:space="preserve">Identification of extreme and major risks to consider in detail in stage 2. </w:t>
            </w:r>
          </w:p>
        </w:tc>
      </w:tr>
      <w:tr w:rsidR="006B2EC0" w:rsidRPr="009F2E24" w14:paraId="3CB3251E" w14:textId="77777777" w:rsidTr="00B86863">
        <w:tc>
          <w:tcPr>
            <w:tcW w:w="516" w:type="pct"/>
            <w:shd w:val="clear" w:color="auto" w:fill="auto"/>
            <w:tcMar>
              <w:top w:w="0" w:type="dxa"/>
            </w:tcMar>
          </w:tcPr>
          <w:p w14:paraId="517EFB9C" w14:textId="77777777" w:rsidR="006B2EC0" w:rsidRPr="009F2E24" w:rsidRDefault="006B2EC0" w:rsidP="009F2E24">
            <w:pPr>
              <w:pStyle w:val="TableText"/>
            </w:pPr>
            <w:r w:rsidRPr="009F2E24">
              <w:t>Stage 2</w:t>
            </w:r>
          </w:p>
        </w:tc>
        <w:tc>
          <w:tcPr>
            <w:tcW w:w="1401" w:type="pct"/>
            <w:tcMar>
              <w:top w:w="0" w:type="dxa"/>
            </w:tcMar>
          </w:tcPr>
          <w:p w14:paraId="0F877DAB" w14:textId="17E8A9C1" w:rsidR="006B2EC0" w:rsidRPr="009F2E24" w:rsidRDefault="006B2EC0" w:rsidP="009F2E24">
            <w:pPr>
              <w:pStyle w:val="TableText"/>
            </w:pPr>
            <w:r w:rsidRPr="009F2E24">
              <w:t>Further examine extreme and major risks to identify priority risks for the NAP.</w:t>
            </w:r>
            <w:r w:rsidR="00467043">
              <w:t xml:space="preserve"> </w:t>
            </w:r>
          </w:p>
        </w:tc>
        <w:tc>
          <w:tcPr>
            <w:tcW w:w="1667" w:type="pct"/>
            <w:shd w:val="clear" w:color="auto" w:fill="auto"/>
            <w:tcMar>
              <w:top w:w="0" w:type="dxa"/>
            </w:tcMar>
          </w:tcPr>
          <w:p w14:paraId="5BECD579" w14:textId="77777777" w:rsidR="006B2EC0" w:rsidRPr="009F2E24" w:rsidRDefault="006B2EC0" w:rsidP="009F2E24">
            <w:pPr>
              <w:pStyle w:val="TableText"/>
            </w:pPr>
            <w:r w:rsidRPr="009F2E24">
              <w:t xml:space="preserve">Task 1: Establish context and scope </w:t>
            </w:r>
          </w:p>
          <w:p w14:paraId="27C66052" w14:textId="77777777" w:rsidR="006B2EC0" w:rsidRPr="009F2E24" w:rsidRDefault="006B2EC0" w:rsidP="009F2E24">
            <w:pPr>
              <w:pStyle w:val="TableText"/>
            </w:pPr>
            <w:r w:rsidRPr="009F2E24">
              <w:t xml:space="preserve">Task 2: Exposure, vulnerability and consequence assessment </w:t>
            </w:r>
          </w:p>
          <w:p w14:paraId="0069E9B5" w14:textId="75870C1F" w:rsidR="006B2EC0" w:rsidRPr="009F2E24" w:rsidRDefault="006B2EC0" w:rsidP="009F2E24">
            <w:pPr>
              <w:pStyle w:val="TableText"/>
            </w:pPr>
            <w:r w:rsidRPr="009F2E24">
              <w:t>Task 3: Rate exposure, vulnerability and consequence</w:t>
            </w:r>
            <w:r w:rsidR="00467043">
              <w:t xml:space="preserve"> </w:t>
            </w:r>
          </w:p>
        </w:tc>
        <w:tc>
          <w:tcPr>
            <w:tcW w:w="1416" w:type="pct"/>
            <w:tcMar>
              <w:top w:w="0" w:type="dxa"/>
            </w:tcMar>
          </w:tcPr>
          <w:p w14:paraId="7A3775E7" w14:textId="77777777" w:rsidR="006B2EC0" w:rsidRPr="009F2E24" w:rsidRDefault="006B2EC0" w:rsidP="009F2E24">
            <w:pPr>
              <w:pStyle w:val="TableText"/>
            </w:pPr>
            <w:r w:rsidRPr="009F2E24">
              <w:t>More detailed assessment of risks to inform identification of the top 10 most urgent risks.</w:t>
            </w:r>
          </w:p>
        </w:tc>
      </w:tr>
      <w:tr w:rsidR="006B2EC0" w:rsidRPr="009F2E24" w14:paraId="6147339B" w14:textId="77777777" w:rsidTr="00B86863">
        <w:tc>
          <w:tcPr>
            <w:tcW w:w="516" w:type="pct"/>
            <w:shd w:val="clear" w:color="auto" w:fill="auto"/>
            <w:tcMar>
              <w:top w:w="0" w:type="dxa"/>
            </w:tcMar>
          </w:tcPr>
          <w:p w14:paraId="3FA3BE0D" w14:textId="77777777" w:rsidR="006B2EC0" w:rsidRPr="009F2E24" w:rsidRDefault="006B2EC0" w:rsidP="009F2E24">
            <w:pPr>
              <w:pStyle w:val="TableText"/>
            </w:pPr>
            <w:r w:rsidRPr="009F2E24">
              <w:t>Stage 3</w:t>
            </w:r>
          </w:p>
        </w:tc>
        <w:tc>
          <w:tcPr>
            <w:tcW w:w="1401" w:type="pct"/>
            <w:tcMar>
              <w:top w:w="0" w:type="dxa"/>
            </w:tcMar>
          </w:tcPr>
          <w:p w14:paraId="07BEBD83" w14:textId="77777777" w:rsidR="006B2EC0" w:rsidRPr="009F2E24" w:rsidRDefault="006B2EC0" w:rsidP="009F2E24">
            <w:pPr>
              <w:pStyle w:val="TableText"/>
            </w:pPr>
            <w:r w:rsidRPr="009F2E24">
              <w:t>Consider current and planned adaptation, highlighting the most urgent risks, to inform the NAP.</w:t>
            </w:r>
          </w:p>
        </w:tc>
        <w:tc>
          <w:tcPr>
            <w:tcW w:w="1667" w:type="pct"/>
            <w:shd w:val="clear" w:color="auto" w:fill="auto"/>
            <w:tcMar>
              <w:top w:w="0" w:type="dxa"/>
            </w:tcMar>
          </w:tcPr>
          <w:p w14:paraId="3B78F453" w14:textId="77777777" w:rsidR="006B2EC0" w:rsidRPr="009F2E24" w:rsidRDefault="006B2EC0" w:rsidP="009F2E24">
            <w:pPr>
              <w:pStyle w:val="TableText"/>
            </w:pPr>
            <w:r w:rsidRPr="009F2E24">
              <w:t>Task 1: Consider current and planned adaptation</w:t>
            </w:r>
          </w:p>
          <w:p w14:paraId="2A41F4A9" w14:textId="77777777" w:rsidR="006B2EC0" w:rsidRPr="009F2E24" w:rsidRDefault="006B2EC0" w:rsidP="009F2E24">
            <w:pPr>
              <w:pStyle w:val="TableText"/>
            </w:pPr>
            <w:r w:rsidRPr="009F2E24">
              <w:t xml:space="preserve">Task 2: Rate adaptation urgency </w:t>
            </w:r>
          </w:p>
        </w:tc>
        <w:tc>
          <w:tcPr>
            <w:tcW w:w="1416" w:type="pct"/>
            <w:tcMar>
              <w:top w:w="0" w:type="dxa"/>
            </w:tcMar>
          </w:tcPr>
          <w:p w14:paraId="3F53CF70" w14:textId="77777777" w:rsidR="006B2EC0" w:rsidRPr="009F2E24" w:rsidRDefault="006B2EC0" w:rsidP="009F2E24">
            <w:pPr>
              <w:pStyle w:val="TableText"/>
            </w:pPr>
            <w:r w:rsidRPr="009F2E24">
              <w:t>Adaptation urgency ratings to identify the 10 most urgent risks to address in the NAP.</w:t>
            </w:r>
          </w:p>
          <w:p w14:paraId="0D49BF93" w14:textId="600FCECD" w:rsidR="006B2EC0" w:rsidRPr="009F2E24" w:rsidRDefault="006B2EC0" w:rsidP="009F2E24">
            <w:pPr>
              <w:pStyle w:val="TableText"/>
            </w:pPr>
            <w:r w:rsidRPr="009F2E24">
              <w:t xml:space="preserve">Produce the </w:t>
            </w:r>
            <w:hyperlink r:id="rId29" w:history="1">
              <w:r w:rsidRPr="007135DE">
                <w:rPr>
                  <w:rStyle w:val="Hyperlink"/>
                </w:rPr>
                <w:t>main report</w:t>
              </w:r>
            </w:hyperlink>
            <w:r w:rsidRPr="009F2E24">
              <w:t xml:space="preserve">, method report and </w:t>
            </w:r>
            <w:hyperlink r:id="rId30" w:history="1">
              <w:r w:rsidRPr="007135DE">
                <w:rPr>
                  <w:rStyle w:val="Hyperlink"/>
                </w:rPr>
                <w:t>technical report</w:t>
              </w:r>
            </w:hyperlink>
            <w:r w:rsidRPr="009F2E24">
              <w:t xml:space="preserve">. </w:t>
            </w:r>
          </w:p>
        </w:tc>
      </w:tr>
    </w:tbl>
    <w:p w14:paraId="535D13D3" w14:textId="77777777" w:rsidR="006B2EC0" w:rsidRPr="0024184F" w:rsidRDefault="006B2EC0" w:rsidP="003C4F4B">
      <w:pPr>
        <w:pStyle w:val="Heading2"/>
        <w:numPr>
          <w:ilvl w:val="0"/>
          <w:numId w:val="22"/>
        </w:numPr>
        <w:spacing w:before="480"/>
      </w:pPr>
      <w:bookmarkStart w:id="36" w:name="_Toc37690762"/>
      <w:bookmarkStart w:id="37" w:name="_Toc40686518"/>
      <w:bookmarkStart w:id="38" w:name="_Toc45898304"/>
      <w:r w:rsidRPr="0024184F">
        <w:t>Setting the context</w:t>
      </w:r>
      <w:bookmarkEnd w:id="36"/>
      <w:bookmarkEnd w:id="37"/>
      <w:bookmarkEnd w:id="38"/>
    </w:p>
    <w:p w14:paraId="34CE73CC" w14:textId="77777777" w:rsidR="006B2EC0" w:rsidRPr="00C878D1" w:rsidRDefault="006B2EC0" w:rsidP="00A15EBB">
      <w:pPr>
        <w:pStyle w:val="BodyText"/>
      </w:pPr>
      <w:r w:rsidRPr="00C878D1">
        <w:t xml:space="preserve">This </w:t>
      </w:r>
      <w:r w:rsidRPr="00A15EBB">
        <w:t>section</w:t>
      </w:r>
      <w:r w:rsidRPr="00C878D1">
        <w:t xml:space="preserve"> outlines the following context and scope for the NCCRA:</w:t>
      </w:r>
    </w:p>
    <w:p w14:paraId="6F3D3365" w14:textId="77777777" w:rsidR="006B2EC0" w:rsidRPr="00A15EBB" w:rsidRDefault="006B2EC0" w:rsidP="00A15EBB">
      <w:pPr>
        <w:pStyle w:val="Bullet"/>
      </w:pPr>
      <w:r w:rsidRPr="00A15EBB">
        <w:t>scope and objectives</w:t>
      </w:r>
    </w:p>
    <w:p w14:paraId="19E9A52D" w14:textId="77777777" w:rsidR="006B2EC0" w:rsidRPr="00A15EBB" w:rsidRDefault="006B2EC0" w:rsidP="00A15EBB">
      <w:pPr>
        <w:pStyle w:val="Bullet"/>
      </w:pPr>
      <w:r w:rsidRPr="00A15EBB">
        <w:t>out of scope</w:t>
      </w:r>
    </w:p>
    <w:p w14:paraId="483FF390" w14:textId="77777777" w:rsidR="006B2EC0" w:rsidRPr="00A15EBB" w:rsidRDefault="006B2EC0" w:rsidP="00A15EBB">
      <w:pPr>
        <w:pStyle w:val="Bullet"/>
      </w:pPr>
      <w:r w:rsidRPr="00A15EBB">
        <w:t>value domains and elements at risk</w:t>
      </w:r>
    </w:p>
    <w:p w14:paraId="586FB84C" w14:textId="77777777" w:rsidR="006B2EC0" w:rsidRPr="00A15EBB" w:rsidRDefault="006B2EC0" w:rsidP="00A15EBB">
      <w:pPr>
        <w:pStyle w:val="Bullet"/>
      </w:pPr>
      <w:r w:rsidRPr="00A15EBB">
        <w:t>timeframes</w:t>
      </w:r>
    </w:p>
    <w:p w14:paraId="50FE2568" w14:textId="77777777" w:rsidR="006B2EC0" w:rsidRPr="00A15EBB" w:rsidRDefault="006B2EC0" w:rsidP="00A15EBB">
      <w:pPr>
        <w:pStyle w:val="Bullet"/>
      </w:pPr>
      <w:r w:rsidRPr="00A15EBB">
        <w:t xml:space="preserve">climate change projections </w:t>
      </w:r>
    </w:p>
    <w:p w14:paraId="40EDF2E7" w14:textId="77777777" w:rsidR="006B2EC0" w:rsidRPr="00A15EBB" w:rsidRDefault="006B2EC0" w:rsidP="00A15EBB">
      <w:pPr>
        <w:pStyle w:val="Bullet"/>
      </w:pPr>
      <w:r w:rsidRPr="00A15EBB">
        <w:t>scale: sub-national climate zones</w:t>
      </w:r>
    </w:p>
    <w:p w14:paraId="038C65E2" w14:textId="77777777" w:rsidR="006B2EC0" w:rsidRPr="00A15EBB" w:rsidRDefault="006B2EC0" w:rsidP="00A15EBB">
      <w:pPr>
        <w:pStyle w:val="Bullet"/>
      </w:pPr>
      <w:r w:rsidRPr="00A15EBB">
        <w:lastRenderedPageBreak/>
        <w:t xml:space="preserve">climate change hazards </w:t>
      </w:r>
    </w:p>
    <w:p w14:paraId="3C2D3A09" w14:textId="7ED12308" w:rsidR="006B2EC0" w:rsidRPr="00C878D1" w:rsidRDefault="006B2EC0" w:rsidP="00A15EBB">
      <w:pPr>
        <w:pStyle w:val="Bullet"/>
      </w:pPr>
      <w:r w:rsidRPr="00A15EBB">
        <w:t>risk assess</w:t>
      </w:r>
      <w:r w:rsidRPr="00C878D1">
        <w:t>ment criteria</w:t>
      </w:r>
    </w:p>
    <w:p w14:paraId="085FDF5A" w14:textId="6B1781F8" w:rsidR="002F596F" w:rsidRPr="00A15EBB" w:rsidRDefault="002F596F" w:rsidP="002F596F">
      <w:pPr>
        <w:pStyle w:val="Bullet"/>
      </w:pPr>
      <w:r w:rsidRPr="00A15EBB">
        <w:t>stakeholders</w:t>
      </w:r>
      <w:r>
        <w:t>.</w:t>
      </w:r>
    </w:p>
    <w:p w14:paraId="2E18482F" w14:textId="77777777" w:rsidR="006B2EC0" w:rsidRPr="00A15EBB" w:rsidRDefault="006B2EC0" w:rsidP="00A15EBB">
      <w:pPr>
        <w:pStyle w:val="BodyText"/>
      </w:pPr>
      <w:r w:rsidRPr="00C878D1">
        <w:t>The NCCRA framework has more detail on these elements.</w:t>
      </w:r>
    </w:p>
    <w:p w14:paraId="7495EF8A" w14:textId="77777777" w:rsidR="006B2EC0" w:rsidRPr="00C878D1" w:rsidRDefault="006B2EC0" w:rsidP="003C4F4B">
      <w:pPr>
        <w:pStyle w:val="Heading3"/>
        <w:numPr>
          <w:ilvl w:val="2"/>
          <w:numId w:val="16"/>
        </w:numPr>
        <w:spacing w:before="240"/>
      </w:pPr>
      <w:bookmarkStart w:id="39" w:name="_Toc37690763"/>
      <w:bookmarkStart w:id="40" w:name="_Toc40686519"/>
      <w:r w:rsidRPr="00C878D1">
        <w:t xml:space="preserve">Scope and </w:t>
      </w:r>
      <w:r w:rsidRPr="00A15EBB">
        <w:t>objectives</w:t>
      </w:r>
      <w:bookmarkEnd w:id="39"/>
      <w:bookmarkEnd w:id="40"/>
    </w:p>
    <w:p w14:paraId="37137160" w14:textId="568E22D9" w:rsidR="006B2EC0" w:rsidRPr="00C878D1" w:rsidRDefault="006B2EC0" w:rsidP="006B2EC0">
      <w:pPr>
        <w:pStyle w:val="BodyText"/>
      </w:pPr>
      <w:r w:rsidRPr="00C878D1">
        <w:t>The NCCRA had the following objectives</w:t>
      </w:r>
      <w:r w:rsidR="004C029A">
        <w:t>.</w:t>
      </w:r>
    </w:p>
    <w:p w14:paraId="7FF14D9B" w14:textId="519B27DF" w:rsidR="006B2EC0" w:rsidRPr="00DF16DA" w:rsidRDefault="006B2EC0" w:rsidP="00DF16DA">
      <w:pPr>
        <w:pStyle w:val="Bullet"/>
      </w:pPr>
      <w:r w:rsidRPr="00DF16DA">
        <w:t>Provide a national overview of how New Zealand may be affected by various hazards and</w:t>
      </w:r>
      <w:r w:rsidR="00B86863">
        <w:t> </w:t>
      </w:r>
      <w:r w:rsidRPr="00DF16DA">
        <w:t xml:space="preserve">threats that are caused, exacerbated or influenced by climate change, and the risks and opportunities this brings as well as any gaps in evidence for further consideration. </w:t>
      </w:r>
    </w:p>
    <w:p w14:paraId="673B3C6D" w14:textId="77777777" w:rsidR="006B2EC0" w:rsidRPr="00DF16DA" w:rsidRDefault="006B2EC0" w:rsidP="00DF16DA">
      <w:pPr>
        <w:pStyle w:val="Bullet"/>
      </w:pPr>
      <w:r w:rsidRPr="00DF16DA">
        <w:t>Support decision-makers to better understand the wide range of risks that New Zealand will face due to climate change, and which risks need to be addressed most urgently.</w:t>
      </w:r>
    </w:p>
    <w:p w14:paraId="668A0B05" w14:textId="77777777" w:rsidR="006B2EC0" w:rsidRPr="00C878D1" w:rsidRDefault="006B2EC0" w:rsidP="00DF16DA">
      <w:pPr>
        <w:pStyle w:val="Bullet"/>
      </w:pPr>
      <w:r w:rsidRPr="00DF16DA">
        <w:t>Provide</w:t>
      </w:r>
      <w:r w:rsidRPr="00C878D1">
        <w:t xml:space="preserve"> the best available evidence, information and assessment of risks to directly inform the development of an NAP.</w:t>
      </w:r>
    </w:p>
    <w:p w14:paraId="58D5AE75" w14:textId="571F4B46" w:rsidR="006B2EC0" w:rsidRPr="00DF16DA" w:rsidRDefault="006B2EC0" w:rsidP="00DF16DA">
      <w:pPr>
        <w:pStyle w:val="Heading4"/>
      </w:pPr>
      <w:r w:rsidRPr="0024184F">
        <w:t xml:space="preserve">National </w:t>
      </w:r>
      <w:r w:rsidR="0008531F">
        <w:t>a</w:t>
      </w:r>
      <w:r w:rsidR="0008531F" w:rsidRPr="0024184F">
        <w:t xml:space="preserve">daptation </w:t>
      </w:r>
      <w:r w:rsidR="0008531F">
        <w:t>p</w:t>
      </w:r>
      <w:r w:rsidR="0008531F" w:rsidRPr="0024184F">
        <w:t>lan</w:t>
      </w:r>
      <w:r w:rsidRPr="0024184F">
        <w:t xml:space="preserve"> (NAP)</w:t>
      </w:r>
    </w:p>
    <w:p w14:paraId="1892B112" w14:textId="02D6156B" w:rsidR="006B2EC0" w:rsidRPr="0024184F" w:rsidRDefault="006B2EC0" w:rsidP="00DF16DA">
      <w:pPr>
        <w:pStyle w:val="BodyText"/>
      </w:pPr>
      <w:r w:rsidRPr="0024184F">
        <w:t xml:space="preserve">The NAP will define the Government's objectives for adapting to climate change and how </w:t>
      </w:r>
      <w:r w:rsidR="00AC458E">
        <w:t>the Government </w:t>
      </w:r>
      <w:r w:rsidRPr="0024184F">
        <w:t>will meet these. It will establish a planned approach to adaptation and put in place a forward</w:t>
      </w:r>
      <w:r w:rsidR="00B86863">
        <w:noBreakHyphen/>
      </w:r>
      <w:r w:rsidRPr="0024184F">
        <w:t>looking, holistic plan to respond to the priority risks, opportunities and gaps identified</w:t>
      </w:r>
      <w:r w:rsidR="00B86863">
        <w:t> </w:t>
      </w:r>
      <w:r w:rsidRPr="0024184F">
        <w:t>in the</w:t>
      </w:r>
      <w:r w:rsidR="003603D6">
        <w:t> </w:t>
      </w:r>
      <w:r w:rsidRPr="0024184F">
        <w:t xml:space="preserve">NCCRA. </w:t>
      </w:r>
    </w:p>
    <w:p w14:paraId="63D3A1E2" w14:textId="66DAAA0E" w:rsidR="006B2EC0" w:rsidRPr="0024184F" w:rsidRDefault="006B2EC0" w:rsidP="00DF16DA">
      <w:pPr>
        <w:pStyle w:val="BodyText"/>
      </w:pPr>
      <w:r w:rsidRPr="0024184F">
        <w:t>To support adaptation planning in the NAP, the NCCRA focused on understanding where there</w:t>
      </w:r>
      <w:r w:rsidR="00B86863">
        <w:t> </w:t>
      </w:r>
      <w:r w:rsidRPr="0024184F">
        <w:t xml:space="preserve">might be shortfalls in adapting to the risks, which could benefit from additional action. </w:t>
      </w:r>
    </w:p>
    <w:p w14:paraId="2DA3B650" w14:textId="77777777" w:rsidR="006B2EC0" w:rsidRPr="0024184F" w:rsidRDefault="006B2EC0" w:rsidP="00DF16DA">
      <w:pPr>
        <w:pStyle w:val="Heading4"/>
      </w:pPr>
      <w:r w:rsidRPr="0024184F">
        <w:t>Urgency ratings</w:t>
      </w:r>
    </w:p>
    <w:p w14:paraId="7C95DD98" w14:textId="37F2F873" w:rsidR="006B2EC0" w:rsidRPr="0024184F" w:rsidRDefault="006B2EC0" w:rsidP="00DF16DA">
      <w:pPr>
        <w:pStyle w:val="BodyText"/>
      </w:pPr>
      <w:r w:rsidRPr="0024184F">
        <w:t xml:space="preserve">The assessment uses decision urgency ratings informed by the </w:t>
      </w:r>
      <w:r w:rsidRPr="0024184F">
        <w:rPr>
          <w:i/>
        </w:rPr>
        <w:t>UK Climate Change Risk Assessment</w:t>
      </w:r>
      <w:r w:rsidR="006C581F">
        <w:rPr>
          <w:i/>
        </w:rPr>
        <w:t xml:space="preserve"> </w:t>
      </w:r>
      <w:r w:rsidR="006C581F" w:rsidRPr="0024184F">
        <w:rPr>
          <w:i/>
        </w:rPr>
        <w:t xml:space="preserve">2017 </w:t>
      </w:r>
      <w:r w:rsidRPr="0024184F">
        <w:t>(Committee on Climate Change, 2017) to signal the need for adaptation decision</w:t>
      </w:r>
      <w:r w:rsidR="00B86863">
        <w:noBreakHyphen/>
      </w:r>
      <w:r w:rsidRPr="0024184F">
        <w:t>making.</w:t>
      </w:r>
      <w:r w:rsidRPr="0024184F">
        <w:rPr>
          <w:rStyle w:val="FootnoteReference"/>
        </w:rPr>
        <w:footnoteReference w:id="1"/>
      </w:r>
      <w:r>
        <w:t xml:space="preserve"> </w:t>
      </w:r>
      <w:r w:rsidRPr="0024184F">
        <w:t>Urgency is defined as “a measure of the degree to which further action is needed in the next five years to reduce a risk or realise an opportunity from climate change” (Committee on Climate Change, 2017).</w:t>
      </w:r>
    </w:p>
    <w:p w14:paraId="1C631BD0" w14:textId="77777777" w:rsidR="006B2EC0" w:rsidRPr="0024184F" w:rsidRDefault="006B2EC0" w:rsidP="003C4F4B">
      <w:pPr>
        <w:pStyle w:val="Heading3"/>
        <w:numPr>
          <w:ilvl w:val="2"/>
          <w:numId w:val="16"/>
        </w:numPr>
      </w:pPr>
      <w:bookmarkStart w:id="41" w:name="_Toc37690764"/>
      <w:bookmarkStart w:id="42" w:name="_Toc40686520"/>
      <w:r w:rsidRPr="0024184F">
        <w:t>National assessment</w:t>
      </w:r>
      <w:bookmarkEnd w:id="41"/>
      <w:bookmarkEnd w:id="42"/>
      <w:r w:rsidRPr="0024184F">
        <w:t xml:space="preserve"> </w:t>
      </w:r>
    </w:p>
    <w:p w14:paraId="212EBD53" w14:textId="4C63F739" w:rsidR="006B2EC0" w:rsidRPr="0024184F" w:rsidRDefault="006B2EC0" w:rsidP="003603D6">
      <w:pPr>
        <w:pStyle w:val="BodyText"/>
        <w:rPr>
          <w:lang w:eastAsia="en-AU"/>
        </w:rPr>
      </w:pPr>
      <w:r w:rsidRPr="0024184F">
        <w:rPr>
          <w:lang w:eastAsia="en-AU"/>
        </w:rPr>
        <w:t xml:space="preserve">The NCCRA is a national-scale assessment to inform the NAP </w:t>
      </w:r>
      <w:r w:rsidRPr="0024184F">
        <w:t xml:space="preserve">by systematically examining climate risks and opportunities to New Zealand, and the urgency for addressing them. </w:t>
      </w:r>
      <w:r w:rsidRPr="0024184F">
        <w:rPr>
          <w:lang w:eastAsia="en-AU"/>
        </w:rPr>
        <w:t xml:space="preserve">Climate impacts on different parts of New Zealand were considered, using seven sub-national climate zones and two zones for the marine environment (Territorial Sea and </w:t>
      </w:r>
      <w:r w:rsidR="00B22CFA" w:rsidRPr="00BF5353">
        <w:t>Exclusive Economic Zone</w:t>
      </w:r>
      <w:r w:rsidRPr="0024184F">
        <w:rPr>
          <w:lang w:eastAsia="en-AU"/>
        </w:rPr>
        <w:t xml:space="preserve">). </w:t>
      </w:r>
    </w:p>
    <w:p w14:paraId="1921ECED" w14:textId="26469AB1" w:rsidR="006B2EC0" w:rsidRPr="0024184F" w:rsidRDefault="006B2EC0" w:rsidP="003603D6">
      <w:pPr>
        <w:pStyle w:val="BodyText"/>
        <w:rPr>
          <w:lang w:eastAsia="en-AU"/>
        </w:rPr>
      </w:pPr>
      <w:r w:rsidRPr="0024184F">
        <w:rPr>
          <w:lang w:eastAsia="en-AU"/>
        </w:rPr>
        <w:t xml:space="preserve">However, </w:t>
      </w:r>
      <w:r w:rsidR="00B23A54">
        <w:rPr>
          <w:lang w:eastAsia="en-AU"/>
        </w:rPr>
        <w:t>in line with</w:t>
      </w:r>
      <w:r w:rsidR="00B23A54" w:rsidRPr="0024184F">
        <w:rPr>
          <w:lang w:eastAsia="en-AU"/>
        </w:rPr>
        <w:t xml:space="preserve"> </w:t>
      </w:r>
      <w:r w:rsidRPr="0024184F">
        <w:rPr>
          <w:lang w:eastAsia="en-AU"/>
        </w:rPr>
        <w:t xml:space="preserve">the NCCRA framework, risks were ultimately aggregated to the national scale with qualitative descriptions where they may be higher in one or more zones. The NCCRA methodology could apply at the regional, catchment, district or city scale as part of future </w:t>
      </w:r>
      <w:r w:rsidRPr="0024184F">
        <w:rPr>
          <w:lang w:eastAsia="en-AU"/>
        </w:rPr>
        <w:lastRenderedPageBreak/>
        <w:t>assessments. These would focus more on informing regional, district and city councils and their</w:t>
      </w:r>
      <w:r w:rsidR="00B86863">
        <w:rPr>
          <w:lang w:eastAsia="en-AU"/>
        </w:rPr>
        <w:t> </w:t>
      </w:r>
      <w:r w:rsidRPr="0024184F">
        <w:rPr>
          <w:lang w:eastAsia="en-AU"/>
        </w:rPr>
        <w:t>local plans (Ministry for the Environment, 2019).</w:t>
      </w:r>
    </w:p>
    <w:p w14:paraId="458AF66C" w14:textId="77777777" w:rsidR="006B2EC0" w:rsidRPr="00E0373D" w:rsidRDefault="006B2EC0" w:rsidP="003C4F4B">
      <w:pPr>
        <w:pStyle w:val="Heading3"/>
        <w:numPr>
          <w:ilvl w:val="2"/>
          <w:numId w:val="16"/>
        </w:numPr>
      </w:pPr>
      <w:bookmarkStart w:id="43" w:name="_Toc37690765"/>
      <w:bookmarkStart w:id="44" w:name="_Toc40686521"/>
      <w:r w:rsidRPr="00E0373D">
        <w:t>Value domains and elements at risk</w:t>
      </w:r>
      <w:bookmarkEnd w:id="43"/>
      <w:bookmarkEnd w:id="44"/>
    </w:p>
    <w:p w14:paraId="7F1C5B28" w14:textId="3FAB8393" w:rsidR="006B2EC0" w:rsidRPr="00C878D1" w:rsidRDefault="006B2EC0" w:rsidP="00E0373D">
      <w:pPr>
        <w:pStyle w:val="BodyText"/>
        <w:rPr>
          <w:lang w:eastAsia="en-AU"/>
        </w:rPr>
      </w:pPr>
      <w:r w:rsidRPr="00C878D1">
        <w:rPr>
          <w:lang w:eastAsia="en-AU"/>
        </w:rPr>
        <w:t xml:space="preserve">The NCCRA </w:t>
      </w:r>
      <w:r w:rsidRPr="00E0373D">
        <w:t>framework</w:t>
      </w:r>
      <w:r w:rsidRPr="00C878D1">
        <w:rPr>
          <w:lang w:eastAsia="en-AU"/>
        </w:rPr>
        <w:t xml:space="preserve"> outlined five ‘value domains’ for assessing risks and opportunities. These represent groups of values, assets and systems that may be at risk from climate</w:t>
      </w:r>
      <w:r w:rsidR="004754DC">
        <w:rPr>
          <w:lang w:eastAsia="en-AU"/>
        </w:rPr>
        <w:t xml:space="preserve"> change</w:t>
      </w:r>
      <w:r w:rsidRPr="00C878D1">
        <w:rPr>
          <w:lang w:eastAsia="en-AU"/>
        </w:rPr>
        <w:t xml:space="preserve">-related hazards, or could benefit from them. They are a hybrid of </w:t>
      </w:r>
      <w:r w:rsidR="00606AF2">
        <w:t xml:space="preserve">The </w:t>
      </w:r>
      <w:r w:rsidRPr="0092078D">
        <w:t>Treasury’s</w:t>
      </w:r>
      <w:r w:rsidRPr="00C878D1">
        <w:rPr>
          <w:i/>
          <w:lang w:eastAsia="en-AU"/>
        </w:rPr>
        <w:t xml:space="preserve"> Living Standards Framework</w:t>
      </w:r>
      <w:r w:rsidRPr="00C878D1">
        <w:rPr>
          <w:lang w:eastAsia="en-AU"/>
        </w:rPr>
        <w:t xml:space="preserve"> </w:t>
      </w:r>
      <w:r w:rsidR="00606AF2">
        <w:rPr>
          <w:lang w:eastAsia="en-AU"/>
        </w:rPr>
        <w:t>(</w:t>
      </w:r>
      <w:r w:rsidR="00606AF2">
        <w:t>The</w:t>
      </w:r>
      <w:r w:rsidR="00606AF2" w:rsidRPr="00C878D1">
        <w:t xml:space="preserve"> Treasury, 2018</w:t>
      </w:r>
      <w:r w:rsidR="00606AF2">
        <w:rPr>
          <w:lang w:eastAsia="en-AU"/>
        </w:rPr>
        <w:t xml:space="preserve">) </w:t>
      </w:r>
      <w:r w:rsidRPr="00C878D1">
        <w:rPr>
          <w:lang w:eastAsia="en-AU"/>
        </w:rPr>
        <w:t xml:space="preserve">and those used in the </w:t>
      </w:r>
      <w:r w:rsidRPr="00C878D1">
        <w:rPr>
          <w:i/>
          <w:lang w:eastAsia="en-AU"/>
        </w:rPr>
        <w:t>National Disaster Resilience Strategy</w:t>
      </w:r>
      <w:r w:rsidRPr="00C878D1">
        <w:rPr>
          <w:lang w:eastAsia="en-AU"/>
        </w:rPr>
        <w:t xml:space="preserve"> </w:t>
      </w:r>
      <w:r w:rsidRPr="00C878D1">
        <w:t>(Ministry of Civil Defence and Emergency</w:t>
      </w:r>
      <w:r w:rsidRPr="0024184F">
        <w:t xml:space="preserve"> </w:t>
      </w:r>
      <w:r w:rsidRPr="00C878D1">
        <w:t xml:space="preserve">Management, 2019). </w:t>
      </w:r>
      <w:r w:rsidRPr="00C878D1">
        <w:rPr>
          <w:lang w:eastAsia="en-AU"/>
        </w:rPr>
        <w:t>The</w:t>
      </w:r>
      <w:r w:rsidR="00B86863">
        <w:rPr>
          <w:lang w:eastAsia="en-AU"/>
        </w:rPr>
        <w:t> </w:t>
      </w:r>
      <w:r w:rsidRPr="00C878D1">
        <w:rPr>
          <w:lang w:eastAsia="en-AU"/>
        </w:rPr>
        <w:t>domains are interconnected and apply at individual, community and national level</w:t>
      </w:r>
      <w:r w:rsidR="006D008A">
        <w:rPr>
          <w:lang w:eastAsia="en-AU"/>
        </w:rPr>
        <w:t>s</w:t>
      </w:r>
      <w:r w:rsidRPr="00C878D1">
        <w:rPr>
          <w:lang w:eastAsia="en-AU"/>
        </w:rPr>
        <w:t>. They</w:t>
      </w:r>
      <w:r w:rsidR="00B86863">
        <w:rPr>
          <w:lang w:eastAsia="en-AU"/>
        </w:rPr>
        <w:t> </w:t>
      </w:r>
      <w:r w:rsidRPr="00C878D1">
        <w:rPr>
          <w:lang w:eastAsia="en-AU"/>
        </w:rPr>
        <w:t xml:space="preserve">include tangible and intangible values. </w:t>
      </w:r>
    </w:p>
    <w:p w14:paraId="7DE20A22" w14:textId="0533024B" w:rsidR="006B2EC0" w:rsidRPr="00C878D1" w:rsidRDefault="00F30418" w:rsidP="00E0373D">
      <w:pPr>
        <w:pStyle w:val="BodyText"/>
        <w:rPr>
          <w:lang w:eastAsia="en-AU"/>
        </w:rPr>
      </w:pPr>
      <w:hyperlink w:anchor="table3" w:history="1">
        <w:r w:rsidR="006B2EC0" w:rsidRPr="00F0370F">
          <w:rPr>
            <w:rStyle w:val="Hyperlink"/>
            <w:lang w:eastAsia="en-AU"/>
          </w:rPr>
          <w:t>Table 3</w:t>
        </w:r>
      </w:hyperlink>
      <w:r w:rsidR="006B2EC0" w:rsidRPr="00C878D1">
        <w:rPr>
          <w:lang w:eastAsia="en-AU"/>
        </w:rPr>
        <w:t xml:space="preserve"> has descriptions of each value domain. These come from the NCCRA framework, with review and revision from domain leads. Each domain consists of a series of ‘elements at risk’, as detailed in </w:t>
      </w:r>
      <w:hyperlink w:anchor="table4" w:history="1">
        <w:r w:rsidR="006D008A" w:rsidRPr="00F0370F">
          <w:rPr>
            <w:rStyle w:val="Hyperlink"/>
            <w:lang w:eastAsia="en-AU"/>
          </w:rPr>
          <w:t>table 4</w:t>
        </w:r>
      </w:hyperlink>
      <w:r w:rsidR="006B2EC0" w:rsidRPr="00C878D1">
        <w:rPr>
          <w:lang w:eastAsia="en-AU"/>
        </w:rPr>
        <w:t>. Where similar risks were identified in several domains, they were noted in each domain if the consequence or pathway for adaptation was considered materially different. This is not duplication as the consequences of these risks vary between domains.</w:t>
      </w:r>
    </w:p>
    <w:p w14:paraId="63ABBD40" w14:textId="19145309" w:rsidR="006B2EC0" w:rsidRPr="00E0373D" w:rsidRDefault="006B2EC0" w:rsidP="0061029E">
      <w:pPr>
        <w:pStyle w:val="Tableheading"/>
      </w:pPr>
      <w:bookmarkStart w:id="45" w:name="_Ref40351684"/>
      <w:bookmarkStart w:id="46" w:name="table3"/>
      <w:bookmarkStart w:id="47" w:name="_Toc40686591"/>
      <w:bookmarkStart w:id="48" w:name="_Toc43899319"/>
      <w:r w:rsidRPr="0024184F">
        <w:t xml:space="preserve">Table </w:t>
      </w:r>
      <w:fldSimple w:instr=" SEQ Table \* ARABIC ">
        <w:r w:rsidR="001B2025">
          <w:rPr>
            <w:noProof/>
          </w:rPr>
          <w:t>3</w:t>
        </w:r>
      </w:fldSimple>
      <w:bookmarkEnd w:id="45"/>
      <w:r w:rsidR="00862FD0">
        <w:rPr>
          <w:noProof/>
        </w:rPr>
        <w:t>:</w:t>
      </w:r>
      <w:bookmarkEnd w:id="46"/>
      <w:r w:rsidRPr="0024184F">
        <w:tab/>
        <w:t>Description of value domains</w:t>
      </w:r>
      <w:bookmarkEnd w:id="47"/>
      <w:bookmarkEnd w:id="48"/>
      <w:r w:rsidRPr="0024184F">
        <w:t xml:space="preserve"> </w:t>
      </w:r>
    </w:p>
    <w:tbl>
      <w:tblPr>
        <w:tblW w:w="8505" w:type="dxa"/>
        <w:tblInd w:w="10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1786"/>
        <w:gridCol w:w="6719"/>
      </w:tblGrid>
      <w:tr w:rsidR="00E0373D" w:rsidRPr="00E0373D" w14:paraId="42528190" w14:textId="77777777" w:rsidTr="00D60AAB">
        <w:trPr>
          <w:trHeight w:val="340"/>
          <w:tblHeader/>
        </w:trPr>
        <w:tc>
          <w:tcPr>
            <w:tcW w:w="1050" w:type="pct"/>
            <w:shd w:val="clear" w:color="auto" w:fill="1C556C" w:themeFill="accent1"/>
            <w:tcMar>
              <w:top w:w="0" w:type="dxa"/>
            </w:tcMar>
            <w:vAlign w:val="center"/>
          </w:tcPr>
          <w:p w14:paraId="4E8826AD" w14:textId="77777777" w:rsidR="006B2EC0" w:rsidRPr="00E0373D" w:rsidRDefault="006B2EC0" w:rsidP="00E0373D">
            <w:pPr>
              <w:pStyle w:val="TableTextBold"/>
              <w:rPr>
                <w:color w:val="FFFFFF" w:themeColor="background1"/>
              </w:rPr>
            </w:pPr>
            <w:r w:rsidRPr="00E0373D">
              <w:rPr>
                <w:color w:val="FFFFFF" w:themeColor="background1"/>
              </w:rPr>
              <w:t xml:space="preserve">Value domain </w:t>
            </w:r>
          </w:p>
        </w:tc>
        <w:tc>
          <w:tcPr>
            <w:tcW w:w="3950" w:type="pct"/>
            <w:shd w:val="clear" w:color="auto" w:fill="1C556C" w:themeFill="accent1"/>
            <w:tcMar>
              <w:top w:w="0" w:type="dxa"/>
            </w:tcMar>
            <w:vAlign w:val="center"/>
          </w:tcPr>
          <w:p w14:paraId="5840A04D" w14:textId="77777777" w:rsidR="006B2EC0" w:rsidRPr="00E0373D" w:rsidRDefault="006B2EC0" w:rsidP="00E0373D">
            <w:pPr>
              <w:pStyle w:val="TableTextBold"/>
              <w:rPr>
                <w:color w:val="FFFFFF" w:themeColor="background1"/>
              </w:rPr>
            </w:pPr>
            <w:r w:rsidRPr="00E0373D">
              <w:rPr>
                <w:color w:val="FFFFFF" w:themeColor="background1"/>
              </w:rPr>
              <w:t xml:space="preserve">Description </w:t>
            </w:r>
          </w:p>
        </w:tc>
      </w:tr>
      <w:tr w:rsidR="006B2EC0" w:rsidRPr="00E0373D" w14:paraId="1A42E8A8" w14:textId="77777777" w:rsidTr="00D60AAB">
        <w:trPr>
          <w:trHeight w:val="283"/>
        </w:trPr>
        <w:tc>
          <w:tcPr>
            <w:tcW w:w="1050" w:type="pct"/>
            <w:shd w:val="clear" w:color="auto" w:fill="auto"/>
            <w:tcMar>
              <w:top w:w="0" w:type="dxa"/>
            </w:tcMar>
          </w:tcPr>
          <w:p w14:paraId="7241581D" w14:textId="77777777" w:rsidR="006B2EC0" w:rsidRPr="00E0373D" w:rsidRDefault="006B2EC0" w:rsidP="00E0373D">
            <w:pPr>
              <w:pStyle w:val="TableText"/>
            </w:pPr>
            <w:r w:rsidRPr="00E0373D">
              <w:t xml:space="preserve">Natural environment </w:t>
            </w:r>
          </w:p>
        </w:tc>
        <w:tc>
          <w:tcPr>
            <w:tcW w:w="3950" w:type="pct"/>
            <w:shd w:val="clear" w:color="auto" w:fill="auto"/>
            <w:tcMar>
              <w:top w:w="0" w:type="dxa"/>
            </w:tcMar>
          </w:tcPr>
          <w:p w14:paraId="4FDE3277" w14:textId="68749766" w:rsidR="006B2EC0" w:rsidRPr="00E0373D" w:rsidRDefault="006B2EC0" w:rsidP="006D008A">
            <w:pPr>
              <w:pStyle w:val="TableText"/>
            </w:pPr>
            <w:r w:rsidRPr="00E0373D">
              <w:t xml:space="preserve">All aspects of the natural environment that support the full range of our </w:t>
            </w:r>
            <w:r w:rsidRPr="0092078D">
              <w:t>indigenous</w:t>
            </w:r>
            <w:r w:rsidRPr="00E0373D">
              <w:t xml:space="preserve"> species, he kura taiao – living treasures, and the ecosystems which they form in terrestrial, freshwater and marine environments.</w:t>
            </w:r>
          </w:p>
        </w:tc>
      </w:tr>
      <w:tr w:rsidR="006B2EC0" w:rsidRPr="00E0373D" w14:paraId="02E8B322" w14:textId="77777777" w:rsidTr="00D60AAB">
        <w:trPr>
          <w:trHeight w:val="283"/>
        </w:trPr>
        <w:tc>
          <w:tcPr>
            <w:tcW w:w="1050" w:type="pct"/>
            <w:shd w:val="clear" w:color="auto" w:fill="auto"/>
            <w:tcMar>
              <w:top w:w="0" w:type="dxa"/>
            </w:tcMar>
          </w:tcPr>
          <w:p w14:paraId="13E43E50" w14:textId="77777777" w:rsidR="006B2EC0" w:rsidRPr="00E0373D" w:rsidRDefault="006B2EC0" w:rsidP="00E0373D">
            <w:pPr>
              <w:pStyle w:val="TableText"/>
            </w:pPr>
            <w:r w:rsidRPr="00E0373D">
              <w:t xml:space="preserve">Human </w:t>
            </w:r>
          </w:p>
        </w:tc>
        <w:tc>
          <w:tcPr>
            <w:tcW w:w="3950" w:type="pct"/>
            <w:shd w:val="clear" w:color="auto" w:fill="auto"/>
            <w:tcMar>
              <w:top w:w="0" w:type="dxa"/>
            </w:tcMar>
          </w:tcPr>
          <w:p w14:paraId="36374F44" w14:textId="4BAA57B4" w:rsidR="006B2EC0" w:rsidRPr="00E0373D" w:rsidRDefault="006B2EC0" w:rsidP="00E0373D">
            <w:pPr>
              <w:pStyle w:val="TableText"/>
            </w:pPr>
            <w:r w:rsidRPr="00E0373D">
              <w:t>People’s skills, knowledge and physical and mental health (human); the norms, rules and institutions of society (social); and the knowledge, heritage, beliefs, arts, morals, laws, customs that infuse society (cultural).</w:t>
            </w:r>
          </w:p>
        </w:tc>
      </w:tr>
      <w:tr w:rsidR="006B2EC0" w:rsidRPr="00E0373D" w14:paraId="2BEF1223" w14:textId="77777777" w:rsidTr="00D60AAB">
        <w:trPr>
          <w:trHeight w:val="283"/>
        </w:trPr>
        <w:tc>
          <w:tcPr>
            <w:tcW w:w="1050" w:type="pct"/>
            <w:shd w:val="clear" w:color="auto" w:fill="auto"/>
            <w:tcMar>
              <w:top w:w="0" w:type="dxa"/>
            </w:tcMar>
          </w:tcPr>
          <w:p w14:paraId="342CC125" w14:textId="77777777" w:rsidR="006B2EC0" w:rsidRPr="00E0373D" w:rsidRDefault="006B2EC0" w:rsidP="00E0373D">
            <w:pPr>
              <w:pStyle w:val="TableText"/>
            </w:pPr>
            <w:r w:rsidRPr="00E0373D">
              <w:t xml:space="preserve">Economy </w:t>
            </w:r>
          </w:p>
        </w:tc>
        <w:tc>
          <w:tcPr>
            <w:tcW w:w="3950" w:type="pct"/>
            <w:shd w:val="clear" w:color="auto" w:fill="auto"/>
            <w:tcMar>
              <w:top w:w="0" w:type="dxa"/>
            </w:tcMar>
          </w:tcPr>
          <w:p w14:paraId="33FA7F36" w14:textId="7F56EE97" w:rsidR="006B2EC0" w:rsidRPr="00E0373D" w:rsidRDefault="006B2EC0" w:rsidP="008A015E">
            <w:pPr>
              <w:pStyle w:val="TableText"/>
            </w:pPr>
            <w:r w:rsidRPr="00E0373D">
              <w:t>The set and arrangement of inter-related production, distribution, trade and consumption that allocate scarce resources.</w:t>
            </w:r>
          </w:p>
        </w:tc>
      </w:tr>
      <w:tr w:rsidR="006B2EC0" w:rsidRPr="00E0373D" w14:paraId="6C055399" w14:textId="77777777" w:rsidTr="00D60AAB">
        <w:trPr>
          <w:trHeight w:val="283"/>
        </w:trPr>
        <w:tc>
          <w:tcPr>
            <w:tcW w:w="1050" w:type="pct"/>
            <w:shd w:val="clear" w:color="auto" w:fill="auto"/>
            <w:tcMar>
              <w:top w:w="0" w:type="dxa"/>
            </w:tcMar>
          </w:tcPr>
          <w:p w14:paraId="0D978230" w14:textId="77777777" w:rsidR="006B2EC0" w:rsidRPr="00E0373D" w:rsidRDefault="006B2EC0" w:rsidP="00E0373D">
            <w:pPr>
              <w:pStyle w:val="TableText"/>
            </w:pPr>
            <w:r w:rsidRPr="00E0373D">
              <w:t xml:space="preserve">Built environment </w:t>
            </w:r>
          </w:p>
        </w:tc>
        <w:tc>
          <w:tcPr>
            <w:tcW w:w="3950" w:type="pct"/>
            <w:shd w:val="clear" w:color="auto" w:fill="auto"/>
            <w:tcMar>
              <w:top w:w="0" w:type="dxa"/>
            </w:tcMar>
          </w:tcPr>
          <w:p w14:paraId="086A2B21" w14:textId="77777777" w:rsidR="006B2EC0" w:rsidRPr="00E0373D" w:rsidRDefault="006B2EC0" w:rsidP="00E0373D">
            <w:pPr>
              <w:pStyle w:val="TableText"/>
            </w:pPr>
            <w:r w:rsidRPr="00E0373D">
              <w:t>The set and configuration of physical infrastructure, transport and buildings.</w:t>
            </w:r>
          </w:p>
        </w:tc>
      </w:tr>
      <w:tr w:rsidR="006B2EC0" w:rsidRPr="00E0373D" w14:paraId="2C10D2E2" w14:textId="77777777" w:rsidTr="00D60AAB">
        <w:trPr>
          <w:trHeight w:val="283"/>
        </w:trPr>
        <w:tc>
          <w:tcPr>
            <w:tcW w:w="1050" w:type="pct"/>
            <w:shd w:val="clear" w:color="auto" w:fill="auto"/>
            <w:tcMar>
              <w:top w:w="0" w:type="dxa"/>
            </w:tcMar>
          </w:tcPr>
          <w:p w14:paraId="236500C8" w14:textId="77777777" w:rsidR="006B2EC0" w:rsidRPr="00E0373D" w:rsidRDefault="006B2EC0" w:rsidP="00E0373D">
            <w:pPr>
              <w:pStyle w:val="TableText"/>
            </w:pPr>
            <w:r w:rsidRPr="00E0373D">
              <w:t xml:space="preserve">Governance </w:t>
            </w:r>
          </w:p>
        </w:tc>
        <w:tc>
          <w:tcPr>
            <w:tcW w:w="3950" w:type="pct"/>
            <w:shd w:val="clear" w:color="auto" w:fill="auto"/>
            <w:tcMar>
              <w:top w:w="0" w:type="dxa"/>
            </w:tcMar>
          </w:tcPr>
          <w:p w14:paraId="74DBB738" w14:textId="77777777" w:rsidR="006B2EC0" w:rsidRPr="00E0373D" w:rsidRDefault="006B2EC0" w:rsidP="00E0373D">
            <w:pPr>
              <w:pStyle w:val="TableText"/>
            </w:pPr>
            <w:r w:rsidRPr="00E0373D">
              <w:t>The governing architecture and processes of interaction and decision-making that exist in and between governments, economic and social institutions. Institutions are the rules and norms held by social actors that shape interactions and decision-making, and the agents that act within the institutional frameworks.</w:t>
            </w:r>
          </w:p>
        </w:tc>
      </w:tr>
    </w:tbl>
    <w:p w14:paraId="1C77058A" w14:textId="06606087" w:rsidR="006B2EC0" w:rsidRPr="0024184F" w:rsidRDefault="006B2EC0" w:rsidP="00B86863">
      <w:pPr>
        <w:pStyle w:val="Tableheading"/>
        <w:spacing w:before="240"/>
      </w:pPr>
      <w:bookmarkStart w:id="49" w:name="_Ref40351704"/>
      <w:bookmarkStart w:id="50" w:name="table4"/>
      <w:bookmarkStart w:id="51" w:name="_Toc40686592"/>
      <w:bookmarkStart w:id="52" w:name="_Toc43899320"/>
      <w:r w:rsidRPr="0024184F">
        <w:t xml:space="preserve">Table </w:t>
      </w:r>
      <w:fldSimple w:instr=" SEQ Table \* ARABIC ">
        <w:r w:rsidR="001B2025">
          <w:rPr>
            <w:noProof/>
          </w:rPr>
          <w:t>4</w:t>
        </w:r>
      </w:fldSimple>
      <w:bookmarkEnd w:id="49"/>
      <w:r w:rsidR="00862FD0">
        <w:rPr>
          <w:noProof/>
        </w:rPr>
        <w:t>:</w:t>
      </w:r>
      <w:bookmarkEnd w:id="50"/>
      <w:r w:rsidRPr="0024184F">
        <w:tab/>
        <w:t>Elements at risk in each domain</w:t>
      </w:r>
      <w:bookmarkEnd w:id="51"/>
      <w:bookmarkEnd w:id="52"/>
    </w:p>
    <w:tbl>
      <w:tblPr>
        <w:tblW w:w="8505" w:type="dxa"/>
        <w:tblInd w:w="108" w:type="dxa"/>
        <w:tblBorders>
          <w:top w:val="single" w:sz="4" w:space="0" w:color="1C556C"/>
          <w:bottom w:val="single" w:sz="4" w:space="0" w:color="1C556C"/>
          <w:insideH w:val="single" w:sz="4" w:space="0" w:color="1C556C"/>
          <w:insideV w:val="single" w:sz="4" w:space="0" w:color="1C556C"/>
        </w:tblBorders>
        <w:tblLayout w:type="fixed"/>
        <w:tblLook w:val="0000" w:firstRow="0" w:lastRow="0" w:firstColumn="0" w:lastColumn="0" w:noHBand="0" w:noVBand="0"/>
      </w:tblPr>
      <w:tblGrid>
        <w:gridCol w:w="1786"/>
        <w:gridCol w:w="6719"/>
      </w:tblGrid>
      <w:tr w:rsidR="00E0373D" w:rsidRPr="00E0373D" w14:paraId="61F6970A" w14:textId="77777777" w:rsidTr="006109E9">
        <w:trPr>
          <w:trHeight w:val="340"/>
          <w:tblHeader/>
        </w:trPr>
        <w:tc>
          <w:tcPr>
            <w:tcW w:w="1050" w:type="pct"/>
            <w:shd w:val="clear" w:color="auto" w:fill="1C556C" w:themeFill="accent1"/>
            <w:tcMar>
              <w:top w:w="0" w:type="dxa"/>
            </w:tcMar>
            <w:vAlign w:val="center"/>
          </w:tcPr>
          <w:p w14:paraId="1D1C4604" w14:textId="77777777" w:rsidR="006B2EC0" w:rsidRPr="00E0373D" w:rsidRDefault="006B2EC0" w:rsidP="00E0373D">
            <w:pPr>
              <w:pStyle w:val="TableTextBold"/>
              <w:rPr>
                <w:color w:val="FFFFFF" w:themeColor="background1"/>
              </w:rPr>
            </w:pPr>
            <w:r w:rsidRPr="00E0373D">
              <w:rPr>
                <w:color w:val="FFFFFF" w:themeColor="background1"/>
              </w:rPr>
              <w:t xml:space="preserve">Value domain </w:t>
            </w:r>
          </w:p>
        </w:tc>
        <w:tc>
          <w:tcPr>
            <w:tcW w:w="3950" w:type="pct"/>
            <w:shd w:val="clear" w:color="auto" w:fill="1C556C" w:themeFill="accent1"/>
            <w:tcMar>
              <w:top w:w="0" w:type="dxa"/>
            </w:tcMar>
            <w:vAlign w:val="center"/>
          </w:tcPr>
          <w:p w14:paraId="60B6DAD9" w14:textId="77777777" w:rsidR="006B2EC0" w:rsidRPr="00E0373D" w:rsidRDefault="006B2EC0" w:rsidP="00E0373D">
            <w:pPr>
              <w:pStyle w:val="TableTextBold"/>
              <w:rPr>
                <w:color w:val="FFFFFF" w:themeColor="background1"/>
              </w:rPr>
            </w:pPr>
            <w:r w:rsidRPr="00E0373D">
              <w:rPr>
                <w:color w:val="FFFFFF" w:themeColor="background1"/>
              </w:rPr>
              <w:t xml:space="preserve">Elements at risk </w:t>
            </w:r>
          </w:p>
        </w:tc>
      </w:tr>
      <w:tr w:rsidR="006B2EC0" w:rsidRPr="00E0373D" w14:paraId="471F1032" w14:textId="77777777" w:rsidTr="006109E9">
        <w:trPr>
          <w:trHeight w:val="283"/>
        </w:trPr>
        <w:tc>
          <w:tcPr>
            <w:tcW w:w="1050" w:type="pct"/>
            <w:shd w:val="clear" w:color="auto" w:fill="auto"/>
            <w:tcMar>
              <w:top w:w="0" w:type="dxa"/>
            </w:tcMar>
          </w:tcPr>
          <w:p w14:paraId="4C0D3D2A" w14:textId="77777777" w:rsidR="006B2EC0" w:rsidRPr="00E0373D" w:rsidRDefault="006B2EC0" w:rsidP="00E0373D">
            <w:pPr>
              <w:pStyle w:val="TableText"/>
            </w:pPr>
            <w:r w:rsidRPr="00E0373D">
              <w:t xml:space="preserve">Natural environment </w:t>
            </w:r>
          </w:p>
        </w:tc>
        <w:tc>
          <w:tcPr>
            <w:tcW w:w="3950" w:type="pct"/>
            <w:shd w:val="clear" w:color="auto" w:fill="auto"/>
            <w:tcMar>
              <w:top w:w="0" w:type="dxa"/>
            </w:tcMar>
          </w:tcPr>
          <w:p w14:paraId="32F048A1" w14:textId="378D08C2" w:rsidR="006B2EC0" w:rsidRPr="00E0373D" w:rsidRDefault="006B2EC0" w:rsidP="00E0373D">
            <w:pPr>
              <w:pStyle w:val="TableText"/>
            </w:pPr>
            <w:r w:rsidRPr="00E0373D">
              <w:t>New Zealand’s indigenous species, including he kura taiao – living treasures, terrestrial ecosystems, freshwater ecosystems, coastal, estuarine and marine ecosystems, biosecurity.</w:t>
            </w:r>
          </w:p>
        </w:tc>
      </w:tr>
      <w:tr w:rsidR="006B2EC0" w:rsidRPr="00E0373D" w14:paraId="29B2B62C" w14:textId="77777777" w:rsidTr="006109E9">
        <w:trPr>
          <w:trHeight w:val="283"/>
        </w:trPr>
        <w:tc>
          <w:tcPr>
            <w:tcW w:w="1050" w:type="pct"/>
            <w:shd w:val="clear" w:color="auto" w:fill="auto"/>
            <w:tcMar>
              <w:top w:w="0" w:type="dxa"/>
            </w:tcMar>
          </w:tcPr>
          <w:p w14:paraId="0DBD217D" w14:textId="77777777" w:rsidR="006B2EC0" w:rsidRPr="00E0373D" w:rsidRDefault="006B2EC0" w:rsidP="00E0373D">
            <w:pPr>
              <w:pStyle w:val="TableText"/>
            </w:pPr>
            <w:r w:rsidRPr="00E0373D">
              <w:t xml:space="preserve">Human </w:t>
            </w:r>
          </w:p>
        </w:tc>
        <w:tc>
          <w:tcPr>
            <w:tcW w:w="3950" w:type="pct"/>
            <w:shd w:val="clear" w:color="auto" w:fill="auto"/>
            <w:tcMar>
              <w:top w:w="0" w:type="dxa"/>
            </w:tcMar>
          </w:tcPr>
          <w:p w14:paraId="2BBA6B4A" w14:textId="08F3A5C5" w:rsidR="006B2EC0" w:rsidRPr="00E0373D" w:rsidRDefault="006B2EC0" w:rsidP="00E0373D">
            <w:pPr>
              <w:pStyle w:val="TableText"/>
            </w:pPr>
            <w:r w:rsidRPr="00E0373D">
              <w:t>Community wellbeing, social cohesion and social welfare (urban communities, rural communities), coastal communities, health, education, sports, recreation, cultural heritage (archaeological sites, museums, arts, theatre), ahurea Māori, tikanga Māori – Māori culture, values and principles, cultural taonga.</w:t>
            </w:r>
          </w:p>
        </w:tc>
      </w:tr>
      <w:tr w:rsidR="006B2EC0" w:rsidRPr="00E0373D" w14:paraId="55C7FD12" w14:textId="77777777" w:rsidTr="006109E9">
        <w:trPr>
          <w:trHeight w:val="283"/>
        </w:trPr>
        <w:tc>
          <w:tcPr>
            <w:tcW w:w="1050" w:type="pct"/>
            <w:shd w:val="clear" w:color="auto" w:fill="auto"/>
            <w:tcMar>
              <w:top w:w="0" w:type="dxa"/>
            </w:tcMar>
          </w:tcPr>
          <w:p w14:paraId="480389FB" w14:textId="77777777" w:rsidR="006B2EC0" w:rsidRPr="00E0373D" w:rsidRDefault="006B2EC0" w:rsidP="00E0373D">
            <w:pPr>
              <w:pStyle w:val="TableText"/>
            </w:pPr>
            <w:r w:rsidRPr="00E0373D">
              <w:t xml:space="preserve">Economy </w:t>
            </w:r>
          </w:p>
        </w:tc>
        <w:tc>
          <w:tcPr>
            <w:tcW w:w="3950" w:type="pct"/>
            <w:shd w:val="clear" w:color="auto" w:fill="auto"/>
            <w:tcMar>
              <w:top w:w="0" w:type="dxa"/>
            </w:tcMar>
          </w:tcPr>
          <w:p w14:paraId="4AD12D69" w14:textId="4E7A3AE9" w:rsidR="006B2EC0" w:rsidRPr="00E0373D" w:rsidRDefault="006B2EC0" w:rsidP="00E0373D">
            <w:pPr>
              <w:pStyle w:val="TableText"/>
            </w:pPr>
            <w:r w:rsidRPr="00E0373D">
              <w:t xml:space="preserve">Primary industries (forestry, agriculture, horticulture, arable land, viticulture, pastoral farming and fisheries aquaculture and marine farming); land use, tourism, technology and business, whakatipu rawa – Māori enterprise; insurance and banking. </w:t>
            </w:r>
          </w:p>
        </w:tc>
      </w:tr>
      <w:tr w:rsidR="006B2EC0" w:rsidRPr="00E0373D" w14:paraId="6B88ACB7" w14:textId="77777777" w:rsidTr="006109E9">
        <w:trPr>
          <w:trHeight w:val="283"/>
        </w:trPr>
        <w:tc>
          <w:tcPr>
            <w:tcW w:w="1050" w:type="pct"/>
            <w:shd w:val="clear" w:color="auto" w:fill="auto"/>
            <w:tcMar>
              <w:top w:w="0" w:type="dxa"/>
            </w:tcMar>
          </w:tcPr>
          <w:p w14:paraId="744472E7" w14:textId="77777777" w:rsidR="006B2EC0" w:rsidRPr="00E0373D" w:rsidRDefault="006B2EC0" w:rsidP="00E0373D">
            <w:pPr>
              <w:pStyle w:val="TableText"/>
            </w:pPr>
            <w:r w:rsidRPr="00E0373D">
              <w:t xml:space="preserve">Built environment </w:t>
            </w:r>
          </w:p>
        </w:tc>
        <w:tc>
          <w:tcPr>
            <w:tcW w:w="3950" w:type="pct"/>
            <w:shd w:val="clear" w:color="auto" w:fill="auto"/>
            <w:tcMar>
              <w:top w:w="0" w:type="dxa"/>
            </w:tcMar>
          </w:tcPr>
          <w:p w14:paraId="00F9002F" w14:textId="77777777" w:rsidR="006B2EC0" w:rsidRPr="00E0373D" w:rsidRDefault="006B2EC0" w:rsidP="00E0373D">
            <w:pPr>
              <w:pStyle w:val="TableText"/>
            </w:pPr>
            <w:r w:rsidRPr="00E0373D">
              <w:t xml:space="preserve">Built infrastructure across sectors including housing, public amenity, water, wastewater, stormwater, energy, transport, communications, waste and coastal defences. </w:t>
            </w:r>
          </w:p>
        </w:tc>
      </w:tr>
      <w:tr w:rsidR="006B2EC0" w:rsidRPr="00E0373D" w14:paraId="5FB63841" w14:textId="77777777" w:rsidTr="006109E9">
        <w:trPr>
          <w:trHeight w:val="283"/>
        </w:trPr>
        <w:tc>
          <w:tcPr>
            <w:tcW w:w="1050" w:type="pct"/>
            <w:shd w:val="clear" w:color="auto" w:fill="auto"/>
            <w:tcMar>
              <w:top w:w="0" w:type="dxa"/>
            </w:tcMar>
          </w:tcPr>
          <w:p w14:paraId="7556D7AC" w14:textId="77777777" w:rsidR="006B2EC0" w:rsidRPr="00E0373D" w:rsidRDefault="006B2EC0" w:rsidP="00E0373D">
            <w:pPr>
              <w:pStyle w:val="TableText"/>
            </w:pPr>
            <w:r w:rsidRPr="00E0373D">
              <w:t xml:space="preserve">Governance </w:t>
            </w:r>
          </w:p>
        </w:tc>
        <w:tc>
          <w:tcPr>
            <w:tcW w:w="3950" w:type="pct"/>
            <w:shd w:val="clear" w:color="auto" w:fill="auto"/>
            <w:tcMar>
              <w:top w:w="0" w:type="dxa"/>
            </w:tcMar>
          </w:tcPr>
          <w:p w14:paraId="1F9CDC25" w14:textId="190031EC" w:rsidR="006B2EC0" w:rsidRPr="00E0373D" w:rsidRDefault="006B2EC0" w:rsidP="00E0373D">
            <w:pPr>
              <w:pStyle w:val="TableText"/>
            </w:pPr>
            <w:r w:rsidRPr="00E0373D">
              <w:t>Treaty partnerships, adaptive capacity, all governing and institutional systems, all population groups, including vulnerable groups in society.</w:t>
            </w:r>
          </w:p>
        </w:tc>
      </w:tr>
    </w:tbl>
    <w:p w14:paraId="42D65EEC" w14:textId="77777777" w:rsidR="006B2EC0" w:rsidRPr="008D1D74" w:rsidRDefault="006B2EC0" w:rsidP="003C4F4B">
      <w:pPr>
        <w:pStyle w:val="Heading3"/>
        <w:numPr>
          <w:ilvl w:val="2"/>
          <w:numId w:val="16"/>
        </w:numPr>
      </w:pPr>
      <w:bookmarkStart w:id="53" w:name="_Toc37690766"/>
      <w:bookmarkStart w:id="54" w:name="_Toc40686522"/>
      <w:r w:rsidRPr="008D1D74">
        <w:lastRenderedPageBreak/>
        <w:t>Interdependencies, cascading and direct and indirect impacts</w:t>
      </w:r>
      <w:bookmarkEnd w:id="53"/>
      <w:bookmarkEnd w:id="54"/>
    </w:p>
    <w:p w14:paraId="35046E5C" w14:textId="59DCEB07" w:rsidR="006B2EC0" w:rsidRPr="009203DE" w:rsidRDefault="006B2EC0" w:rsidP="00983081">
      <w:pPr>
        <w:pStyle w:val="BodyText"/>
      </w:pPr>
      <w:r w:rsidRPr="009203DE">
        <w:rPr>
          <w:rFonts w:cstheme="majorHAnsi"/>
          <w:lang w:eastAsia="en-AU"/>
        </w:rPr>
        <w:t xml:space="preserve">The value domains and their elements at risk are highly interconnected and interdependent. </w:t>
      </w:r>
      <w:r w:rsidRPr="009203DE">
        <w:t>For example, if the primary sector is affected by an extreme weather event or drought, this will</w:t>
      </w:r>
      <w:r w:rsidR="00D37404">
        <w:t> </w:t>
      </w:r>
      <w:r w:rsidRPr="009203DE">
        <w:t xml:space="preserve">have flow-on effects for the financial sector, and for </w:t>
      </w:r>
      <w:r w:rsidRPr="00983081">
        <w:t>communities</w:t>
      </w:r>
      <w:r w:rsidRPr="009203DE">
        <w:t xml:space="preserve"> that depend on the primary sector for their food. This is because the elements are interdependent, rather than being directly exposed to a hazard.</w:t>
      </w:r>
      <w:r w:rsidR="00467043">
        <w:t xml:space="preserve"> </w:t>
      </w:r>
    </w:p>
    <w:p w14:paraId="060A851C" w14:textId="157296CB" w:rsidR="006B2EC0" w:rsidRPr="009203DE" w:rsidRDefault="006B2EC0" w:rsidP="00983081">
      <w:pPr>
        <w:pStyle w:val="BodyText"/>
        <w:rPr>
          <w:lang w:eastAsia="en-AU"/>
        </w:rPr>
      </w:pPr>
      <w:r w:rsidRPr="009203DE">
        <w:rPr>
          <w:lang w:eastAsia="en-AU"/>
        </w:rPr>
        <w:t xml:space="preserve">Because of these interdependencies the </w:t>
      </w:r>
      <w:r w:rsidRPr="00983081">
        <w:t>NCCRA</w:t>
      </w:r>
      <w:r w:rsidRPr="009203DE">
        <w:rPr>
          <w:lang w:eastAsia="en-AU"/>
        </w:rPr>
        <w:t xml:space="preserve"> examined both direct and indirect risks. Most direct risks occur in the natural</w:t>
      </w:r>
      <w:r w:rsidR="00A73CE0">
        <w:rPr>
          <w:lang w:eastAsia="en-AU"/>
        </w:rPr>
        <w:t xml:space="preserve"> environment</w:t>
      </w:r>
      <w:r w:rsidRPr="009203DE">
        <w:rPr>
          <w:lang w:eastAsia="en-AU"/>
        </w:rPr>
        <w:t xml:space="preserve">, economy, human and built environment domains. However, the economy, human and governance domains also include indirect risks because they rely on, or interact with, elements in other domains that are directly exposed to climate hazards. </w:t>
      </w:r>
    </w:p>
    <w:p w14:paraId="5CA133CD" w14:textId="57AFCB1D" w:rsidR="006B2EC0" w:rsidRPr="009203DE" w:rsidRDefault="006B2EC0" w:rsidP="00983081">
      <w:pPr>
        <w:pStyle w:val="BodyText"/>
      </w:pPr>
      <w:r w:rsidRPr="009203DE">
        <w:rPr>
          <w:rFonts w:cstheme="majorHAnsi"/>
          <w:lang w:eastAsia="en-AU"/>
        </w:rPr>
        <w:t>The</w:t>
      </w:r>
      <w:hyperlink r:id="rId31" w:history="1">
        <w:r w:rsidRPr="007135DE">
          <w:rPr>
            <w:rStyle w:val="Hyperlink"/>
            <w:rFonts w:cstheme="majorHAnsi"/>
            <w:lang w:eastAsia="en-AU"/>
          </w:rPr>
          <w:t xml:space="preserve"> main report</w:t>
        </w:r>
      </w:hyperlink>
      <w:r w:rsidRPr="007135DE">
        <w:rPr>
          <w:rFonts w:cstheme="majorHAnsi"/>
          <w:lang w:eastAsia="en-AU"/>
        </w:rPr>
        <w:t xml:space="preserve"> recognises the significance of cascading impacts, but the NCCRA did not include a full assessment of them. </w:t>
      </w:r>
      <w:r w:rsidRPr="007135DE">
        <w:t xml:space="preserve">A study on cascading impacts in New Zealand was completed for the Deep South Challenge – a case study from this report is included in the </w:t>
      </w:r>
      <w:hyperlink r:id="rId32" w:history="1">
        <w:r w:rsidR="00E548F3" w:rsidRPr="007135DE">
          <w:rPr>
            <w:rStyle w:val="Hyperlink"/>
            <w:rFonts w:cstheme="majorHAnsi"/>
            <w:lang w:eastAsia="en-AU"/>
          </w:rPr>
          <w:t xml:space="preserve"> main report</w:t>
        </w:r>
      </w:hyperlink>
      <w:r w:rsidRPr="007135DE">
        <w:rPr>
          <w:i/>
        </w:rPr>
        <w:t xml:space="preserve"> </w:t>
      </w:r>
      <w:r w:rsidRPr="007135DE">
        <w:t>(</w:t>
      </w:r>
      <w:r w:rsidRPr="009203DE">
        <w:t xml:space="preserve">Lawrence et al, </w:t>
      </w:r>
      <w:r w:rsidR="0069658E" w:rsidRPr="009203DE">
        <w:t>201</w:t>
      </w:r>
      <w:r w:rsidR="0069658E">
        <w:t>8</w:t>
      </w:r>
      <w:r w:rsidRPr="009203DE">
        <w:t xml:space="preserve">). Otherwise, there has been little research on how climate change impacts cascade across human systems, and even less on how to consider such cascades in a national risk assessment. </w:t>
      </w:r>
    </w:p>
    <w:p w14:paraId="2F4D14E4" w14:textId="77777777" w:rsidR="006B2EC0" w:rsidRPr="009203DE" w:rsidRDefault="006B2EC0" w:rsidP="00983081">
      <w:pPr>
        <w:pStyle w:val="BodyText"/>
      </w:pPr>
      <w:r w:rsidRPr="009203DE">
        <w:t xml:space="preserve">In stage 1 engagement, cascading </w:t>
      </w:r>
      <w:r w:rsidRPr="00983081">
        <w:t>impacts</w:t>
      </w:r>
      <w:r w:rsidRPr="009203DE">
        <w:t xml:space="preserve"> were explored with stakeholders, to introduce and discuss the concept. The NCCRA also addressed them by:</w:t>
      </w:r>
    </w:p>
    <w:p w14:paraId="3B274B5D" w14:textId="77CBD600" w:rsidR="006B2EC0" w:rsidRPr="00983081" w:rsidRDefault="001A6F16" w:rsidP="00983081">
      <w:pPr>
        <w:pStyle w:val="Bullet"/>
      </w:pPr>
      <w:r>
        <w:t>a</w:t>
      </w:r>
      <w:r w:rsidR="006B2EC0" w:rsidRPr="009203DE">
        <w:t xml:space="preserve">ssessing the effect of priority governance risks on priority risks in other domains. In particular, the consultants </w:t>
      </w:r>
      <w:r w:rsidR="006B2EC0" w:rsidRPr="00983081">
        <w:t>examined the impact of governance risks on the ability to adapt</w:t>
      </w:r>
      <w:r w:rsidR="00983081">
        <w:t> </w:t>
      </w:r>
      <w:r w:rsidR="006B2EC0" w:rsidRPr="00983081">
        <w:t xml:space="preserve">to risks in the other value domains. See </w:t>
      </w:r>
      <w:hyperlink w:anchor="_Stage_2_approach" w:history="1">
        <w:r w:rsidR="006B2EC0" w:rsidRPr="00806515">
          <w:rPr>
            <w:rStyle w:val="Hyperlink"/>
          </w:rPr>
          <w:t>section 2.3.2</w:t>
        </w:r>
      </w:hyperlink>
      <w:r w:rsidR="006B2EC0" w:rsidRPr="00983081">
        <w:t xml:space="preserve"> for further information</w:t>
      </w:r>
    </w:p>
    <w:p w14:paraId="6D831522" w14:textId="5E308EEF" w:rsidR="006B2EC0" w:rsidRPr="00983081" w:rsidRDefault="001A6F16" w:rsidP="00983081">
      <w:pPr>
        <w:pStyle w:val="Bullet"/>
      </w:pPr>
      <w:r>
        <w:t>i</w:t>
      </w:r>
      <w:r w:rsidR="006B2EC0" w:rsidRPr="00983081">
        <w:t xml:space="preserve">llustrating the effect of cascading impacts through a case study on Risk B2: Risks to buildings due to extreme weather events, drought, increased fire weather and ongoing sea-level rise </w:t>
      </w:r>
      <w:r w:rsidR="006B2EC0" w:rsidRPr="007135DE">
        <w:t xml:space="preserve">(section 5, </w:t>
      </w:r>
      <w:hyperlink r:id="rId33" w:history="1">
        <w:r w:rsidR="006B2EC0" w:rsidRPr="007135DE">
          <w:rPr>
            <w:rStyle w:val="Hyperlink"/>
          </w:rPr>
          <w:t>main report</w:t>
        </w:r>
      </w:hyperlink>
      <w:r w:rsidR="006B2EC0" w:rsidRPr="007135DE">
        <w:t>)</w:t>
      </w:r>
    </w:p>
    <w:p w14:paraId="58CEBE33" w14:textId="1E1CFB71" w:rsidR="006B2EC0" w:rsidRPr="009203DE" w:rsidRDefault="001A6F16" w:rsidP="00983081">
      <w:pPr>
        <w:pStyle w:val="Bullet"/>
      </w:pPr>
      <w:r>
        <w:t>d</w:t>
      </w:r>
      <w:r w:rsidR="006B2EC0" w:rsidRPr="00983081">
        <w:t>escribing interdependencies between</w:t>
      </w:r>
      <w:r w:rsidR="006B2EC0" w:rsidRPr="009203DE">
        <w:t xml:space="preserve"> risks </w:t>
      </w:r>
      <w:r w:rsidR="006B2EC0">
        <w:t>in</w:t>
      </w:r>
      <w:r w:rsidR="006B2EC0" w:rsidRPr="009203DE">
        <w:t xml:space="preserve"> each risk profile (</w:t>
      </w:r>
      <w:r w:rsidR="006B2EC0">
        <w:t>sections 3</w:t>
      </w:r>
      <w:r w:rsidR="00D36648">
        <w:t>–</w:t>
      </w:r>
      <w:r w:rsidR="006B2EC0">
        <w:t xml:space="preserve">7, </w:t>
      </w:r>
      <w:r w:rsidR="006B2EC0" w:rsidRPr="009203DE">
        <w:t xml:space="preserve">‘Interacting risks’ sub-section, </w:t>
      </w:r>
      <w:hyperlink r:id="rId34" w:history="1">
        <w:r w:rsidR="006B2EC0" w:rsidRPr="007135DE">
          <w:rPr>
            <w:rStyle w:val="Hyperlink"/>
          </w:rPr>
          <w:t>technical report</w:t>
        </w:r>
      </w:hyperlink>
      <w:r w:rsidR="006B2EC0" w:rsidRPr="009203DE">
        <w:t xml:space="preserve">). </w:t>
      </w:r>
    </w:p>
    <w:p w14:paraId="0E638651" w14:textId="77777777" w:rsidR="006B2EC0" w:rsidRPr="008D1D74" w:rsidRDefault="006B2EC0" w:rsidP="003C4F4B">
      <w:pPr>
        <w:pStyle w:val="Heading3"/>
        <w:numPr>
          <w:ilvl w:val="2"/>
          <w:numId w:val="16"/>
        </w:numPr>
      </w:pPr>
      <w:bookmarkStart w:id="55" w:name="_Toc37690767"/>
      <w:bookmarkStart w:id="56" w:name="_Toc40686523"/>
      <w:r w:rsidRPr="008D1D74">
        <w:t>International and transboundary issues</w:t>
      </w:r>
      <w:bookmarkEnd w:id="55"/>
      <w:bookmarkEnd w:id="56"/>
    </w:p>
    <w:p w14:paraId="1B249876" w14:textId="6F32BE94" w:rsidR="006B2EC0" w:rsidRPr="0024184F" w:rsidRDefault="006B2EC0" w:rsidP="00983081">
      <w:pPr>
        <w:pStyle w:val="BodyText"/>
      </w:pPr>
      <w:r w:rsidRPr="0024184F">
        <w:t xml:space="preserve">The NCCRA recognised that climate change will affect people and economies around the world. </w:t>
      </w:r>
      <w:r w:rsidRPr="00983081">
        <w:t>This</w:t>
      </w:r>
      <w:r w:rsidRPr="0024184F">
        <w:t xml:space="preserve"> will have flow-on effects for New Zealand. This first NCCRA limits the exploration of</w:t>
      </w:r>
      <w:r w:rsidR="00983081">
        <w:t> </w:t>
      </w:r>
      <w:r w:rsidRPr="0024184F">
        <w:t>international and transboundary issues to specific risks. As many international impacts will</w:t>
      </w:r>
      <w:r w:rsidR="00D37404">
        <w:t> </w:t>
      </w:r>
      <w:r w:rsidRPr="0024184F">
        <w:t>be inextricably tied to socio-economic projections, a broader exploration of international and transboundary issues may feature in future NCCRAs where socio-economic projections are</w:t>
      </w:r>
      <w:r w:rsidR="00D37404">
        <w:t> </w:t>
      </w:r>
      <w:r w:rsidRPr="0024184F">
        <w:t>also</w:t>
      </w:r>
      <w:r w:rsidR="00983081">
        <w:t> </w:t>
      </w:r>
      <w:r w:rsidRPr="0024184F">
        <w:t xml:space="preserve">explored. </w:t>
      </w:r>
    </w:p>
    <w:p w14:paraId="65F9A1D5" w14:textId="77777777" w:rsidR="006B2EC0" w:rsidRPr="00983081" w:rsidRDefault="006B2EC0" w:rsidP="003C4F4B">
      <w:pPr>
        <w:pStyle w:val="Heading3"/>
        <w:numPr>
          <w:ilvl w:val="2"/>
          <w:numId w:val="16"/>
        </w:numPr>
      </w:pPr>
      <w:bookmarkStart w:id="57" w:name="_Toc37690768"/>
      <w:bookmarkStart w:id="58" w:name="_Toc40686524"/>
      <w:r w:rsidRPr="00983081">
        <w:t>Transition risks</w:t>
      </w:r>
      <w:bookmarkEnd w:id="57"/>
      <w:bookmarkEnd w:id="58"/>
    </w:p>
    <w:p w14:paraId="34C266B6" w14:textId="1BA96B6E" w:rsidR="006B2EC0" w:rsidRPr="009203DE" w:rsidRDefault="006B2EC0" w:rsidP="00983081">
      <w:pPr>
        <w:pStyle w:val="BodyText"/>
      </w:pPr>
      <w:r w:rsidRPr="009203DE">
        <w:t>Risks may emerge from the transition to a lower-carbon global economy, the most common of</w:t>
      </w:r>
      <w:r w:rsidR="00983081">
        <w:t> </w:t>
      </w:r>
      <w:r w:rsidRPr="009203DE">
        <w:t xml:space="preserve">which relate to policy and legal actions, technology changes, market responses and reputational considerations (Task Force on Climate-related Financial Disclosures, </w:t>
      </w:r>
      <w:r w:rsidR="00590580" w:rsidRPr="009203DE">
        <w:t>201</w:t>
      </w:r>
      <w:r w:rsidR="00590580">
        <w:t>7</w:t>
      </w:r>
      <w:r w:rsidRPr="009203DE">
        <w:t xml:space="preserve">). Transition risks may compound with physical risks to affect different sectors. </w:t>
      </w:r>
    </w:p>
    <w:p w14:paraId="20EB1109" w14:textId="79B8725C" w:rsidR="006B2EC0" w:rsidRPr="009203DE" w:rsidRDefault="006B2EC0" w:rsidP="00983081">
      <w:pPr>
        <w:pStyle w:val="BodyText"/>
      </w:pPr>
      <w:r w:rsidRPr="009203DE">
        <w:t xml:space="preserve">The NCCRA framework excluded transition risks from the first </w:t>
      </w:r>
      <w:r w:rsidRPr="00983081">
        <w:t>NCCRA</w:t>
      </w:r>
      <w:r w:rsidRPr="009203DE">
        <w:t>. The New Zealand Government is currently addressing them through other regulatory mechanisms, such as the relevant reporting requirements of the Climate Change Response (Zero Carbon) Amendment Act 2019. It is also proposing to require financial firms and listed companies to report on the</w:t>
      </w:r>
      <w:r w:rsidR="00D37404">
        <w:t> </w:t>
      </w:r>
      <w:r w:rsidRPr="009203DE">
        <w:t>impacts for their business and investments, in line with guidance from the Task Force on</w:t>
      </w:r>
      <w:r w:rsidR="00D37404">
        <w:t> </w:t>
      </w:r>
      <w:r w:rsidRPr="009203DE">
        <w:t xml:space="preserve">Climate-related Financial Disclosures. </w:t>
      </w:r>
    </w:p>
    <w:p w14:paraId="74F95398" w14:textId="77777777" w:rsidR="006B2EC0" w:rsidRPr="00FB143C" w:rsidRDefault="006B2EC0" w:rsidP="003C4F4B">
      <w:pPr>
        <w:pStyle w:val="Heading3"/>
        <w:numPr>
          <w:ilvl w:val="2"/>
          <w:numId w:val="16"/>
        </w:numPr>
      </w:pPr>
      <w:bookmarkStart w:id="59" w:name="_Timeframes_for_assessing"/>
      <w:bookmarkStart w:id="60" w:name="_Toc37690769"/>
      <w:bookmarkStart w:id="61" w:name="_Ref40352151"/>
      <w:bookmarkStart w:id="62" w:name="_Toc40686525"/>
      <w:bookmarkEnd w:id="59"/>
      <w:r w:rsidRPr="00FB143C">
        <w:lastRenderedPageBreak/>
        <w:t>Timeframes for assessing risks</w:t>
      </w:r>
      <w:bookmarkEnd w:id="60"/>
      <w:bookmarkEnd w:id="61"/>
      <w:bookmarkEnd w:id="62"/>
    </w:p>
    <w:p w14:paraId="1C08D972" w14:textId="43D74505" w:rsidR="006B2EC0" w:rsidRPr="00FB143C" w:rsidRDefault="006B2EC0" w:rsidP="00FB143C">
      <w:pPr>
        <w:pStyle w:val="BodyText"/>
      </w:pPr>
      <w:r w:rsidRPr="00C878D1">
        <w:t>Most risks were assessed across three timeframes, outlined in</w:t>
      </w:r>
      <w:r w:rsidR="000C30F8">
        <w:t xml:space="preserve"> </w:t>
      </w:r>
      <w:hyperlink w:anchor="table5" w:history="1">
        <w:r w:rsidR="000C30F8" w:rsidRPr="00F0370F">
          <w:rPr>
            <w:rStyle w:val="Hyperlink"/>
          </w:rPr>
          <w:t>table 5</w:t>
        </w:r>
      </w:hyperlink>
      <w:r w:rsidRPr="00C878D1">
        <w:t xml:space="preserve">, </w:t>
      </w:r>
      <w:r w:rsidR="00B23A54">
        <w:rPr>
          <w:lang w:eastAsia="en-AU"/>
        </w:rPr>
        <w:t>in line with</w:t>
      </w:r>
      <w:r w:rsidRPr="00C878D1">
        <w:t xml:space="preserve"> the NCCRA framework. </w:t>
      </w:r>
    </w:p>
    <w:p w14:paraId="1A8A9B32" w14:textId="4BE93A01" w:rsidR="006B2EC0" w:rsidRPr="00FB143C" w:rsidRDefault="006B2EC0" w:rsidP="0061029E">
      <w:pPr>
        <w:pStyle w:val="Tableheading"/>
      </w:pPr>
      <w:bookmarkStart w:id="63" w:name="_Ref40351766"/>
      <w:bookmarkStart w:id="64" w:name="table5"/>
      <w:bookmarkStart w:id="65" w:name="_Toc40686593"/>
      <w:bookmarkStart w:id="66" w:name="_Toc43899321"/>
      <w:r w:rsidRPr="0024184F">
        <w:t xml:space="preserve">Table </w:t>
      </w:r>
      <w:fldSimple w:instr=" SEQ Table \* ARABIC ">
        <w:r w:rsidR="001B2025">
          <w:rPr>
            <w:noProof/>
          </w:rPr>
          <w:t>5</w:t>
        </w:r>
      </w:fldSimple>
      <w:bookmarkEnd w:id="63"/>
      <w:r w:rsidR="00862FD0">
        <w:rPr>
          <w:noProof/>
        </w:rPr>
        <w:t>:</w:t>
      </w:r>
      <w:bookmarkEnd w:id="64"/>
      <w:r w:rsidRPr="0024184F">
        <w:tab/>
        <w:t>Risk assessment timeframes</w:t>
      </w:r>
      <w:bookmarkEnd w:id="65"/>
      <w:bookmarkEnd w:id="66"/>
    </w:p>
    <w:tbl>
      <w:tblPr>
        <w:tblW w:w="8505" w:type="dxa"/>
        <w:tblInd w:w="10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1808"/>
        <w:gridCol w:w="6697"/>
      </w:tblGrid>
      <w:tr w:rsidR="00FB143C" w:rsidRPr="00FB143C" w14:paraId="026D29C2" w14:textId="77777777" w:rsidTr="002B7408">
        <w:trPr>
          <w:trHeight w:val="340"/>
          <w:tblHeader/>
        </w:trPr>
        <w:tc>
          <w:tcPr>
            <w:tcW w:w="1063" w:type="pct"/>
            <w:shd w:val="clear" w:color="auto" w:fill="1C556C" w:themeFill="accent1"/>
            <w:tcMar>
              <w:top w:w="0" w:type="dxa"/>
            </w:tcMar>
            <w:vAlign w:val="center"/>
          </w:tcPr>
          <w:p w14:paraId="52708A28" w14:textId="77777777" w:rsidR="006B2EC0" w:rsidRPr="00FB143C" w:rsidRDefault="006B2EC0" w:rsidP="00FB143C">
            <w:pPr>
              <w:pStyle w:val="TableTextBold"/>
              <w:rPr>
                <w:color w:val="FFFFFF" w:themeColor="background1"/>
              </w:rPr>
            </w:pPr>
            <w:r w:rsidRPr="00FB143C">
              <w:rPr>
                <w:color w:val="FFFFFF" w:themeColor="background1"/>
              </w:rPr>
              <w:t xml:space="preserve">Timeframe </w:t>
            </w:r>
          </w:p>
        </w:tc>
        <w:tc>
          <w:tcPr>
            <w:tcW w:w="3937" w:type="pct"/>
            <w:shd w:val="clear" w:color="auto" w:fill="1C556C" w:themeFill="accent1"/>
            <w:tcMar>
              <w:top w:w="0" w:type="dxa"/>
            </w:tcMar>
            <w:vAlign w:val="center"/>
          </w:tcPr>
          <w:p w14:paraId="4270F4D3" w14:textId="77777777" w:rsidR="006B2EC0" w:rsidRPr="00FB143C" w:rsidRDefault="006B2EC0" w:rsidP="00FB143C">
            <w:pPr>
              <w:pStyle w:val="TableTextBold"/>
              <w:rPr>
                <w:color w:val="FFFFFF" w:themeColor="background1"/>
              </w:rPr>
            </w:pPr>
            <w:r w:rsidRPr="00FB143C">
              <w:rPr>
                <w:color w:val="FFFFFF" w:themeColor="background1"/>
              </w:rPr>
              <w:t xml:space="preserve">Description </w:t>
            </w:r>
          </w:p>
        </w:tc>
      </w:tr>
      <w:tr w:rsidR="006B2EC0" w:rsidRPr="0024184F" w14:paraId="4C2EC4F4" w14:textId="77777777" w:rsidTr="00FB143C">
        <w:trPr>
          <w:trHeight w:val="283"/>
        </w:trPr>
        <w:tc>
          <w:tcPr>
            <w:tcW w:w="1063" w:type="pct"/>
            <w:shd w:val="clear" w:color="auto" w:fill="auto"/>
            <w:tcMar>
              <w:top w:w="0" w:type="dxa"/>
            </w:tcMar>
          </w:tcPr>
          <w:p w14:paraId="30E7A88E" w14:textId="77777777" w:rsidR="006B2EC0" w:rsidRPr="00FB143C" w:rsidRDefault="006B2EC0" w:rsidP="00FB143C">
            <w:pPr>
              <w:pStyle w:val="TableText"/>
            </w:pPr>
            <w:r w:rsidRPr="00FB143C">
              <w:t xml:space="preserve">Present </w:t>
            </w:r>
          </w:p>
        </w:tc>
        <w:tc>
          <w:tcPr>
            <w:tcW w:w="3937" w:type="pct"/>
            <w:shd w:val="clear" w:color="auto" w:fill="auto"/>
            <w:tcMar>
              <w:top w:w="0" w:type="dxa"/>
            </w:tcMar>
          </w:tcPr>
          <w:p w14:paraId="423A2874" w14:textId="77777777" w:rsidR="006B2EC0" w:rsidRPr="00FB143C" w:rsidRDefault="006B2EC0" w:rsidP="00FB143C">
            <w:pPr>
              <w:pStyle w:val="TableText"/>
            </w:pPr>
            <w:r w:rsidRPr="00FB143C">
              <w:t xml:space="preserve">Risks already occurring, including those observed over the past 10–20 years. </w:t>
            </w:r>
          </w:p>
        </w:tc>
      </w:tr>
      <w:tr w:rsidR="006B2EC0" w:rsidRPr="0024184F" w14:paraId="52F43A23" w14:textId="77777777" w:rsidTr="00FB143C">
        <w:trPr>
          <w:trHeight w:val="283"/>
        </w:trPr>
        <w:tc>
          <w:tcPr>
            <w:tcW w:w="1063" w:type="pct"/>
            <w:shd w:val="clear" w:color="auto" w:fill="auto"/>
            <w:tcMar>
              <w:top w:w="0" w:type="dxa"/>
            </w:tcMar>
          </w:tcPr>
          <w:p w14:paraId="3946A42D" w14:textId="77777777" w:rsidR="006B2EC0" w:rsidRPr="00FB143C" w:rsidRDefault="006B2EC0" w:rsidP="00FB143C">
            <w:pPr>
              <w:pStyle w:val="TableText"/>
            </w:pPr>
            <w:r w:rsidRPr="00FB143C">
              <w:t xml:space="preserve">Near term (2050) </w:t>
            </w:r>
          </w:p>
        </w:tc>
        <w:tc>
          <w:tcPr>
            <w:tcW w:w="3937" w:type="pct"/>
            <w:shd w:val="clear" w:color="auto" w:fill="auto"/>
            <w:tcMar>
              <w:top w:w="0" w:type="dxa"/>
            </w:tcMar>
          </w:tcPr>
          <w:p w14:paraId="66151C86" w14:textId="77777777" w:rsidR="006B2EC0" w:rsidRPr="00FB143C" w:rsidRDefault="006B2EC0" w:rsidP="00FB143C">
            <w:pPr>
              <w:pStyle w:val="TableText"/>
            </w:pPr>
            <w:r w:rsidRPr="00FB143C">
              <w:t xml:space="preserve">Risks that may manifest around 2050. </w:t>
            </w:r>
          </w:p>
        </w:tc>
      </w:tr>
      <w:tr w:rsidR="006B2EC0" w:rsidRPr="0024184F" w14:paraId="3114DDD7" w14:textId="77777777" w:rsidTr="00FB143C">
        <w:trPr>
          <w:trHeight w:val="283"/>
        </w:trPr>
        <w:tc>
          <w:tcPr>
            <w:tcW w:w="1063" w:type="pct"/>
            <w:shd w:val="clear" w:color="auto" w:fill="auto"/>
            <w:tcMar>
              <w:top w:w="0" w:type="dxa"/>
            </w:tcMar>
          </w:tcPr>
          <w:p w14:paraId="7E673B69" w14:textId="77777777" w:rsidR="006B2EC0" w:rsidRPr="00FB143C" w:rsidRDefault="006B2EC0" w:rsidP="00FB143C">
            <w:pPr>
              <w:pStyle w:val="TableText"/>
            </w:pPr>
            <w:r w:rsidRPr="00FB143C">
              <w:t xml:space="preserve">Long term (2100) </w:t>
            </w:r>
          </w:p>
        </w:tc>
        <w:tc>
          <w:tcPr>
            <w:tcW w:w="3937" w:type="pct"/>
            <w:shd w:val="clear" w:color="auto" w:fill="auto"/>
            <w:tcMar>
              <w:top w:w="0" w:type="dxa"/>
            </w:tcMar>
          </w:tcPr>
          <w:p w14:paraId="595F1E29" w14:textId="7CF009E1" w:rsidR="006B2EC0" w:rsidRPr="00FB143C" w:rsidRDefault="006B2EC0" w:rsidP="00E95EF4">
            <w:pPr>
              <w:pStyle w:val="TableText"/>
            </w:pPr>
            <w:r w:rsidRPr="00FB143C">
              <w:t xml:space="preserve">Risks that </w:t>
            </w:r>
            <w:r w:rsidR="00DF0D9A">
              <w:rPr>
                <w:rFonts w:cstheme="minorHAnsi"/>
              </w:rPr>
              <w:t>may</w:t>
            </w:r>
            <w:r w:rsidR="00DF0D9A" w:rsidRPr="0024184F">
              <w:rPr>
                <w:rFonts w:cstheme="minorHAnsi"/>
              </w:rPr>
              <w:t xml:space="preserve"> manifest </w:t>
            </w:r>
            <w:r w:rsidRPr="00FB143C">
              <w:t xml:space="preserve">around 2100. </w:t>
            </w:r>
          </w:p>
        </w:tc>
      </w:tr>
    </w:tbl>
    <w:p w14:paraId="7F10E28A" w14:textId="77777777" w:rsidR="006B2EC0" w:rsidRPr="002B7408" w:rsidRDefault="006B2EC0" w:rsidP="003C4F4B">
      <w:pPr>
        <w:pStyle w:val="Heading3"/>
        <w:numPr>
          <w:ilvl w:val="2"/>
          <w:numId w:val="16"/>
        </w:numPr>
        <w:spacing w:before="480"/>
      </w:pPr>
      <w:bookmarkStart w:id="67" w:name="_Climate_change_projections"/>
      <w:bookmarkStart w:id="68" w:name="_Toc37690770"/>
      <w:bookmarkStart w:id="69" w:name="_Ref40352142"/>
      <w:bookmarkStart w:id="70" w:name="_Toc40686526"/>
      <w:bookmarkEnd w:id="67"/>
      <w:r w:rsidRPr="002B7408">
        <w:t>Climate change projections to consider</w:t>
      </w:r>
      <w:bookmarkEnd w:id="68"/>
      <w:bookmarkEnd w:id="69"/>
      <w:bookmarkEnd w:id="70"/>
    </w:p>
    <w:p w14:paraId="45CFC09E" w14:textId="2F0E872B" w:rsidR="006B2EC0" w:rsidRPr="009203DE" w:rsidRDefault="006B2EC0" w:rsidP="002B7408">
      <w:pPr>
        <w:pStyle w:val="BodyText"/>
        <w:rPr>
          <w:rFonts w:cstheme="majorHAnsi"/>
          <w:lang w:eastAsia="en-AU"/>
        </w:rPr>
      </w:pPr>
      <w:r w:rsidRPr="009203DE">
        <w:t>New Zealand is already experiencing the impacts of a changing climate. Due to historic</w:t>
      </w:r>
      <w:r w:rsidR="000C30F8">
        <w:t>al</w:t>
      </w:r>
      <w:r w:rsidRPr="009203DE">
        <w:t xml:space="preserve"> greenhouse gas emissions, the climate will continue to change well into the future. Changes already being experienced are outlined in the </w:t>
      </w:r>
      <w:hyperlink r:id="rId35" w:history="1">
        <w:r w:rsidRPr="007135DE">
          <w:rPr>
            <w:rStyle w:val="Hyperlink"/>
          </w:rPr>
          <w:t>technical report</w:t>
        </w:r>
      </w:hyperlink>
      <w:r w:rsidRPr="009203DE">
        <w:rPr>
          <w:i/>
        </w:rPr>
        <w:t xml:space="preserve">. </w:t>
      </w:r>
      <w:r w:rsidRPr="009203DE">
        <w:rPr>
          <w:rFonts w:cstheme="majorHAnsi"/>
          <w:lang w:eastAsia="en-AU"/>
        </w:rPr>
        <w:t>To develop climate projections, several models are used. These relate to different scenarios that represent different possible atmospheric greenhouse gas concentrations and radiative forcing</w:t>
      </w:r>
      <w:r w:rsidR="000C30F8">
        <w:rPr>
          <w:rFonts w:cstheme="majorHAnsi"/>
          <w:lang w:eastAsia="en-AU"/>
        </w:rPr>
        <w:t>,</w:t>
      </w:r>
      <w:r w:rsidRPr="009203DE">
        <w:rPr>
          <w:rStyle w:val="FootnoteReference"/>
          <w:rFonts w:cstheme="majorHAnsi"/>
          <w:lang w:eastAsia="en-AU"/>
        </w:rPr>
        <w:footnoteReference w:id="2"/>
      </w:r>
      <w:r w:rsidRPr="009203DE">
        <w:rPr>
          <w:rFonts w:cstheme="majorHAnsi"/>
          <w:lang w:eastAsia="en-AU"/>
        </w:rPr>
        <w:t xml:space="preserve"> out to the year 2100. </w:t>
      </w:r>
    </w:p>
    <w:p w14:paraId="4E1D4A3C" w14:textId="4B5F3FEA" w:rsidR="006B2EC0" w:rsidRPr="009203DE" w:rsidRDefault="006B2EC0" w:rsidP="002B7408">
      <w:pPr>
        <w:pStyle w:val="Heading4"/>
        <w:rPr>
          <w:lang w:eastAsia="en-AU"/>
        </w:rPr>
      </w:pPr>
      <w:r w:rsidRPr="009203DE">
        <w:rPr>
          <w:lang w:eastAsia="en-AU"/>
        </w:rPr>
        <w:t xml:space="preserve">Representative </w:t>
      </w:r>
      <w:r w:rsidR="0008531F">
        <w:rPr>
          <w:lang w:eastAsia="en-AU"/>
        </w:rPr>
        <w:t>c</w:t>
      </w:r>
      <w:r w:rsidR="0008531F" w:rsidRPr="009203DE">
        <w:rPr>
          <w:lang w:eastAsia="en-AU"/>
        </w:rPr>
        <w:t xml:space="preserve">oncentration </w:t>
      </w:r>
      <w:r w:rsidR="0008531F">
        <w:rPr>
          <w:lang w:eastAsia="en-AU"/>
        </w:rPr>
        <w:t>p</w:t>
      </w:r>
      <w:r w:rsidR="0008531F" w:rsidRPr="009203DE">
        <w:rPr>
          <w:lang w:eastAsia="en-AU"/>
        </w:rPr>
        <w:t xml:space="preserve">athways </w:t>
      </w:r>
      <w:r w:rsidRPr="009203DE">
        <w:rPr>
          <w:lang w:eastAsia="en-AU"/>
        </w:rPr>
        <w:t>(RCPs)</w:t>
      </w:r>
    </w:p>
    <w:p w14:paraId="54B5BBA8" w14:textId="70B7C494" w:rsidR="006B2EC0" w:rsidRPr="002B7408" w:rsidRDefault="006B2EC0" w:rsidP="002B7408">
      <w:pPr>
        <w:pStyle w:val="BodyText"/>
      </w:pPr>
      <w:r w:rsidRPr="009203DE">
        <w:rPr>
          <w:i/>
          <w:lang w:eastAsia="en-AU"/>
        </w:rPr>
        <w:t>The Intergovernmental Panel on Climate Change (IPCC) Assessment Report 5</w:t>
      </w:r>
      <w:r w:rsidRPr="009203DE">
        <w:rPr>
          <w:lang w:eastAsia="en-AU"/>
        </w:rPr>
        <w:t xml:space="preserve"> (AR5) outlines four scenarios, called </w:t>
      </w:r>
      <w:r w:rsidR="0008531F">
        <w:rPr>
          <w:lang w:eastAsia="en-AU"/>
        </w:rPr>
        <w:t>r</w:t>
      </w:r>
      <w:r w:rsidR="0008531F" w:rsidRPr="009203DE">
        <w:rPr>
          <w:lang w:eastAsia="en-AU"/>
        </w:rPr>
        <w:t xml:space="preserve">epresentative </w:t>
      </w:r>
      <w:r w:rsidR="0008531F">
        <w:rPr>
          <w:lang w:eastAsia="en-AU"/>
        </w:rPr>
        <w:t>c</w:t>
      </w:r>
      <w:r w:rsidR="0008531F" w:rsidRPr="009203DE">
        <w:rPr>
          <w:lang w:eastAsia="en-AU"/>
        </w:rPr>
        <w:t xml:space="preserve">oncentration </w:t>
      </w:r>
      <w:r w:rsidR="0008531F">
        <w:rPr>
          <w:lang w:eastAsia="en-AU"/>
        </w:rPr>
        <w:t>p</w:t>
      </w:r>
      <w:r w:rsidR="0008531F" w:rsidRPr="009203DE">
        <w:rPr>
          <w:lang w:eastAsia="en-AU"/>
        </w:rPr>
        <w:t>athways</w:t>
      </w:r>
      <w:r w:rsidRPr="009203DE">
        <w:rPr>
          <w:lang w:eastAsia="en-AU"/>
        </w:rPr>
        <w:t>: RCP8.5, RCP6.0, RCP4.5 and RCP2.6. The NCCRA framework considers RCP8.5 and RCP4.5</w:t>
      </w:r>
      <w:r w:rsidR="000C30F8">
        <w:rPr>
          <w:lang w:eastAsia="en-AU"/>
        </w:rPr>
        <w:t>;</w:t>
      </w:r>
      <w:r w:rsidRPr="009203DE">
        <w:rPr>
          <w:lang w:eastAsia="en-AU"/>
        </w:rPr>
        <w:t xml:space="preserve"> see </w:t>
      </w:r>
      <w:hyperlink w:anchor="table6" w:history="1">
        <w:r w:rsidR="000C30F8" w:rsidRPr="00F0370F">
          <w:rPr>
            <w:rStyle w:val="Hyperlink"/>
            <w:rFonts w:cstheme="majorHAnsi"/>
            <w:lang w:eastAsia="en-AU"/>
          </w:rPr>
          <w:t>table 6</w:t>
        </w:r>
      </w:hyperlink>
      <w:r w:rsidR="005A3E45" w:rsidRPr="009203DE">
        <w:t>.</w:t>
      </w:r>
    </w:p>
    <w:p w14:paraId="5AED1065" w14:textId="1A5B7504" w:rsidR="006B2EC0" w:rsidRPr="0024184F" w:rsidRDefault="006B2EC0" w:rsidP="0061029E">
      <w:pPr>
        <w:pStyle w:val="Tableheading"/>
      </w:pPr>
      <w:bookmarkStart w:id="71" w:name="_Ref40351784"/>
      <w:bookmarkStart w:id="72" w:name="table6"/>
      <w:bookmarkStart w:id="73" w:name="_Toc40686594"/>
      <w:bookmarkStart w:id="74" w:name="_Toc43899322"/>
      <w:r w:rsidRPr="0024184F">
        <w:t xml:space="preserve">Table </w:t>
      </w:r>
      <w:fldSimple w:instr=" SEQ Table \* ARABIC ">
        <w:r w:rsidR="001B2025">
          <w:rPr>
            <w:noProof/>
          </w:rPr>
          <w:t>6</w:t>
        </w:r>
      </w:fldSimple>
      <w:bookmarkEnd w:id="71"/>
      <w:bookmarkEnd w:id="72"/>
      <w:r w:rsidR="00862FD0">
        <w:rPr>
          <w:noProof/>
        </w:rPr>
        <w:t>:</w:t>
      </w:r>
      <w:r w:rsidRPr="0024184F">
        <w:tab/>
      </w:r>
      <w:r w:rsidRPr="002B7408">
        <w:t>Representative</w:t>
      </w:r>
      <w:r w:rsidRPr="0024184F">
        <w:t xml:space="preserve"> </w:t>
      </w:r>
      <w:r w:rsidR="0008531F">
        <w:t>c</w:t>
      </w:r>
      <w:r w:rsidR="0008531F" w:rsidRPr="0024184F">
        <w:t xml:space="preserve">oncentration </w:t>
      </w:r>
      <w:r w:rsidR="0008531F">
        <w:t>p</w:t>
      </w:r>
      <w:r w:rsidR="0008531F" w:rsidRPr="0024184F">
        <w:t xml:space="preserve">athways </w:t>
      </w:r>
      <w:r w:rsidRPr="0024184F">
        <w:t>used in this assessment</w:t>
      </w:r>
      <w:bookmarkEnd w:id="73"/>
      <w:bookmarkEnd w:id="74"/>
    </w:p>
    <w:tbl>
      <w:tblPr>
        <w:tblW w:w="8613"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724"/>
        <w:gridCol w:w="5197"/>
        <w:gridCol w:w="1419"/>
        <w:gridCol w:w="1273"/>
      </w:tblGrid>
      <w:tr w:rsidR="002B7408" w:rsidRPr="002B7408" w14:paraId="694B9D13" w14:textId="77777777" w:rsidTr="00986711">
        <w:trPr>
          <w:tblHeader/>
        </w:trPr>
        <w:tc>
          <w:tcPr>
            <w:tcW w:w="420" w:type="pct"/>
            <w:shd w:val="clear" w:color="auto" w:fill="1C556C" w:themeFill="accent1"/>
            <w:tcMar>
              <w:top w:w="0" w:type="dxa"/>
            </w:tcMar>
            <w:vAlign w:val="bottom"/>
          </w:tcPr>
          <w:p w14:paraId="539ACFE7" w14:textId="77777777" w:rsidR="006B2EC0" w:rsidRPr="002B7408" w:rsidRDefault="006B2EC0" w:rsidP="002B7408">
            <w:pPr>
              <w:pStyle w:val="TableTextBold"/>
              <w:rPr>
                <w:color w:val="FFFFFF" w:themeColor="background1"/>
              </w:rPr>
            </w:pPr>
            <w:r w:rsidRPr="002B7408">
              <w:rPr>
                <w:color w:val="FFFFFF" w:themeColor="background1"/>
              </w:rPr>
              <w:t xml:space="preserve">RCP </w:t>
            </w:r>
          </w:p>
        </w:tc>
        <w:tc>
          <w:tcPr>
            <w:tcW w:w="3017" w:type="pct"/>
            <w:shd w:val="clear" w:color="auto" w:fill="1C556C" w:themeFill="accent1"/>
            <w:tcMar>
              <w:top w:w="0" w:type="dxa"/>
            </w:tcMar>
            <w:vAlign w:val="bottom"/>
          </w:tcPr>
          <w:p w14:paraId="7526A941" w14:textId="77777777" w:rsidR="006B2EC0" w:rsidRPr="002B7408" w:rsidRDefault="006B2EC0" w:rsidP="002B7408">
            <w:pPr>
              <w:pStyle w:val="TableTextBold"/>
              <w:rPr>
                <w:color w:val="FFFFFF" w:themeColor="background1"/>
              </w:rPr>
            </w:pPr>
            <w:r w:rsidRPr="002B7408">
              <w:rPr>
                <w:color w:val="FFFFFF" w:themeColor="background1"/>
              </w:rPr>
              <w:t>Summary of pathway</w:t>
            </w:r>
          </w:p>
        </w:tc>
        <w:tc>
          <w:tcPr>
            <w:tcW w:w="824" w:type="pct"/>
            <w:shd w:val="clear" w:color="auto" w:fill="1C556C" w:themeFill="accent1"/>
            <w:tcMar>
              <w:top w:w="0" w:type="dxa"/>
            </w:tcMar>
            <w:vAlign w:val="bottom"/>
          </w:tcPr>
          <w:p w14:paraId="673828BC" w14:textId="77777777" w:rsidR="006B2EC0" w:rsidRPr="002B7408" w:rsidRDefault="006B2EC0" w:rsidP="002B7408">
            <w:pPr>
              <w:pStyle w:val="TableTextBold"/>
              <w:rPr>
                <w:color w:val="FFFFFF" w:themeColor="background1"/>
              </w:rPr>
            </w:pPr>
            <w:r w:rsidRPr="002B7408">
              <w:rPr>
                <w:color w:val="FFFFFF" w:themeColor="background1"/>
              </w:rPr>
              <w:t xml:space="preserve">Change in NZ mean annual temperature </w:t>
            </w:r>
          </w:p>
        </w:tc>
        <w:tc>
          <w:tcPr>
            <w:tcW w:w="740" w:type="pct"/>
            <w:shd w:val="clear" w:color="auto" w:fill="1C556C" w:themeFill="accent1"/>
            <w:tcMar>
              <w:top w:w="0" w:type="dxa"/>
            </w:tcMar>
            <w:vAlign w:val="bottom"/>
          </w:tcPr>
          <w:p w14:paraId="707F9387" w14:textId="77777777" w:rsidR="006B2EC0" w:rsidRPr="002B7408" w:rsidRDefault="006B2EC0" w:rsidP="002B7408">
            <w:pPr>
              <w:pStyle w:val="TableTextBold"/>
              <w:rPr>
                <w:color w:val="FFFFFF" w:themeColor="background1"/>
              </w:rPr>
            </w:pPr>
            <w:r w:rsidRPr="002B7408">
              <w:rPr>
                <w:color w:val="FFFFFF" w:themeColor="background1"/>
              </w:rPr>
              <w:t xml:space="preserve">Project stage </w:t>
            </w:r>
          </w:p>
        </w:tc>
      </w:tr>
      <w:tr w:rsidR="006B2EC0" w:rsidRPr="009203DE" w14:paraId="330B1386" w14:textId="77777777" w:rsidTr="00986711">
        <w:tc>
          <w:tcPr>
            <w:tcW w:w="420" w:type="pct"/>
            <w:vMerge w:val="restart"/>
            <w:shd w:val="clear" w:color="auto" w:fill="auto"/>
            <w:tcMar>
              <w:top w:w="0" w:type="dxa"/>
            </w:tcMar>
          </w:tcPr>
          <w:p w14:paraId="14D5C5A3" w14:textId="77777777" w:rsidR="006B2EC0" w:rsidRPr="009203DE" w:rsidRDefault="006B2EC0" w:rsidP="00C27F3C">
            <w:pPr>
              <w:pStyle w:val="TableText"/>
            </w:pPr>
            <w:r w:rsidRPr="009203DE">
              <w:t>8.5</w:t>
            </w:r>
          </w:p>
        </w:tc>
        <w:tc>
          <w:tcPr>
            <w:tcW w:w="3017" w:type="pct"/>
            <w:vMerge w:val="restart"/>
            <w:shd w:val="clear" w:color="auto" w:fill="auto"/>
            <w:tcMar>
              <w:top w:w="0" w:type="dxa"/>
            </w:tcMar>
          </w:tcPr>
          <w:p w14:paraId="680BA89F" w14:textId="2DAC49E6" w:rsidR="006B2EC0" w:rsidRPr="009203DE" w:rsidRDefault="006B2EC0" w:rsidP="000C30F8">
            <w:pPr>
              <w:pStyle w:val="TableText"/>
            </w:pPr>
            <w:r w:rsidRPr="009203DE">
              <w:t xml:space="preserve">A high concentration pathway characterised by increasing </w:t>
            </w:r>
            <w:r w:rsidR="000C30F8">
              <w:t>greenhous</w:t>
            </w:r>
            <w:r w:rsidR="00E95EF4">
              <w:t>e</w:t>
            </w:r>
            <w:r w:rsidR="000C30F8">
              <w:t xml:space="preserve"> gas</w:t>
            </w:r>
            <w:r w:rsidR="000C30F8" w:rsidRPr="009203DE">
              <w:t xml:space="preserve"> </w:t>
            </w:r>
            <w:r w:rsidRPr="009203DE">
              <w:t>emissions due to a lack of policy changes to reduce emissions. There is use of land for agriculture, a heavy reliance on fossil fuels and a high energy intensity with low rate of technology development (NIWA, 2019).</w:t>
            </w:r>
          </w:p>
        </w:tc>
        <w:tc>
          <w:tcPr>
            <w:tcW w:w="824" w:type="pct"/>
            <w:shd w:val="clear" w:color="auto" w:fill="auto"/>
            <w:tcMar>
              <w:top w:w="0" w:type="dxa"/>
            </w:tcMar>
          </w:tcPr>
          <w:p w14:paraId="2250D4A0" w14:textId="4E103EB5" w:rsidR="006B2EC0" w:rsidRPr="002B7408" w:rsidRDefault="006B2EC0" w:rsidP="00182DA0">
            <w:pPr>
              <w:pStyle w:val="TableText"/>
            </w:pPr>
            <w:r w:rsidRPr="002B7408">
              <w:t xml:space="preserve">0.9–1.1°C by 2031–2050 </w:t>
            </w:r>
          </w:p>
        </w:tc>
        <w:tc>
          <w:tcPr>
            <w:tcW w:w="740" w:type="pct"/>
            <w:vMerge w:val="restart"/>
            <w:shd w:val="clear" w:color="auto" w:fill="auto"/>
            <w:tcMar>
              <w:top w:w="0" w:type="dxa"/>
            </w:tcMar>
          </w:tcPr>
          <w:p w14:paraId="11F9B114" w14:textId="427ADC31" w:rsidR="006B2EC0" w:rsidRPr="009203DE" w:rsidRDefault="006B22A5" w:rsidP="006B22A5">
            <w:pPr>
              <w:pStyle w:val="TableText"/>
            </w:pPr>
            <w:r>
              <w:t>1</w:t>
            </w:r>
            <w:r w:rsidR="006A70C4" w:rsidRPr="009203DE">
              <w:t xml:space="preserve"> </w:t>
            </w:r>
            <w:r w:rsidR="006A70C4" w:rsidRPr="006A70C4">
              <w:t>and</w:t>
            </w:r>
            <w:r w:rsidR="006A70C4" w:rsidRPr="009203DE">
              <w:t xml:space="preserve"> </w:t>
            </w:r>
            <w:r>
              <w:t>2</w:t>
            </w:r>
            <w:r w:rsidR="006A70C4" w:rsidRPr="009203DE">
              <w:t xml:space="preserve"> </w:t>
            </w:r>
          </w:p>
        </w:tc>
      </w:tr>
      <w:tr w:rsidR="006B2EC0" w:rsidRPr="009203DE" w14:paraId="6CF33F33" w14:textId="77777777" w:rsidTr="00986711">
        <w:tc>
          <w:tcPr>
            <w:tcW w:w="420" w:type="pct"/>
            <w:vMerge/>
            <w:shd w:val="clear" w:color="auto" w:fill="auto"/>
            <w:tcMar>
              <w:top w:w="0" w:type="dxa"/>
            </w:tcMar>
          </w:tcPr>
          <w:p w14:paraId="4AF8CB8E" w14:textId="77777777" w:rsidR="006B2EC0" w:rsidRPr="009203DE" w:rsidRDefault="006B2EC0" w:rsidP="00C27F3C">
            <w:pPr>
              <w:pStyle w:val="TableText"/>
            </w:pPr>
          </w:p>
        </w:tc>
        <w:tc>
          <w:tcPr>
            <w:tcW w:w="3017" w:type="pct"/>
            <w:vMerge/>
            <w:shd w:val="clear" w:color="auto" w:fill="auto"/>
            <w:tcMar>
              <w:top w:w="0" w:type="dxa"/>
            </w:tcMar>
          </w:tcPr>
          <w:p w14:paraId="45A5D230" w14:textId="77777777" w:rsidR="006B2EC0" w:rsidRPr="009203DE" w:rsidRDefault="006B2EC0" w:rsidP="00C27F3C">
            <w:pPr>
              <w:pStyle w:val="TableText"/>
            </w:pPr>
          </w:p>
        </w:tc>
        <w:tc>
          <w:tcPr>
            <w:tcW w:w="824" w:type="pct"/>
            <w:shd w:val="clear" w:color="auto" w:fill="auto"/>
            <w:tcMar>
              <w:top w:w="0" w:type="dxa"/>
            </w:tcMar>
          </w:tcPr>
          <w:p w14:paraId="057D5FD8" w14:textId="7EE78B2E" w:rsidR="006B2EC0" w:rsidRPr="002B7408" w:rsidRDefault="006B2EC0" w:rsidP="00182DA0">
            <w:pPr>
              <w:pStyle w:val="TableText"/>
            </w:pPr>
            <w:r w:rsidRPr="002B7408">
              <w:t xml:space="preserve">2.8–3.1°C by 2081–2100 </w:t>
            </w:r>
          </w:p>
        </w:tc>
        <w:tc>
          <w:tcPr>
            <w:tcW w:w="740" w:type="pct"/>
            <w:vMerge/>
            <w:shd w:val="clear" w:color="auto" w:fill="auto"/>
            <w:tcMar>
              <w:top w:w="0" w:type="dxa"/>
            </w:tcMar>
          </w:tcPr>
          <w:p w14:paraId="35D2A43B" w14:textId="77777777" w:rsidR="006B2EC0" w:rsidRPr="009203DE" w:rsidRDefault="006B2EC0" w:rsidP="00C27F3C">
            <w:pPr>
              <w:pStyle w:val="TableText"/>
            </w:pPr>
          </w:p>
        </w:tc>
      </w:tr>
      <w:tr w:rsidR="006B2EC0" w:rsidRPr="009203DE" w14:paraId="57F7A397" w14:textId="77777777" w:rsidTr="00986711">
        <w:tc>
          <w:tcPr>
            <w:tcW w:w="420" w:type="pct"/>
            <w:vMerge w:val="restart"/>
            <w:shd w:val="clear" w:color="auto" w:fill="auto"/>
            <w:tcMar>
              <w:top w:w="0" w:type="dxa"/>
            </w:tcMar>
          </w:tcPr>
          <w:p w14:paraId="4ACC8A94" w14:textId="77777777" w:rsidR="006B2EC0" w:rsidRPr="009203DE" w:rsidRDefault="006B2EC0" w:rsidP="00C27F3C">
            <w:pPr>
              <w:pStyle w:val="TableText"/>
            </w:pPr>
            <w:r w:rsidRPr="009203DE">
              <w:t>4.5</w:t>
            </w:r>
          </w:p>
        </w:tc>
        <w:tc>
          <w:tcPr>
            <w:tcW w:w="3017" w:type="pct"/>
            <w:vMerge w:val="restart"/>
            <w:shd w:val="clear" w:color="auto" w:fill="auto"/>
            <w:tcMar>
              <w:top w:w="0" w:type="dxa"/>
            </w:tcMar>
          </w:tcPr>
          <w:p w14:paraId="23ED1DC5" w14:textId="77777777" w:rsidR="006B2EC0" w:rsidRPr="009203DE" w:rsidRDefault="006B2EC0" w:rsidP="00C27F3C">
            <w:pPr>
              <w:pStyle w:val="TableText"/>
            </w:pPr>
            <w:r w:rsidRPr="009203DE">
              <w:t>A moderate concentration pathway consistent with low levels of emissions due to ambitious reduction strategies. It represents stringent climate policies, with a lower energy intensity, strong reforestation and decreased land for agriculture due to improvements in crop yields and dietary changes (NIWA, 2019).</w:t>
            </w:r>
          </w:p>
        </w:tc>
        <w:tc>
          <w:tcPr>
            <w:tcW w:w="824" w:type="pct"/>
            <w:shd w:val="clear" w:color="auto" w:fill="auto"/>
            <w:tcMar>
              <w:top w:w="0" w:type="dxa"/>
            </w:tcMar>
          </w:tcPr>
          <w:p w14:paraId="5A9BC56A" w14:textId="79FDC86F" w:rsidR="006B2EC0" w:rsidRPr="002B7408" w:rsidRDefault="006B2EC0" w:rsidP="002B7408">
            <w:pPr>
              <w:pStyle w:val="TableText"/>
            </w:pPr>
            <w:r w:rsidRPr="002B7408">
              <w:t xml:space="preserve">0.7–0.9°C by 2031–2050 </w:t>
            </w:r>
          </w:p>
        </w:tc>
        <w:tc>
          <w:tcPr>
            <w:tcW w:w="740" w:type="pct"/>
            <w:vMerge w:val="restart"/>
            <w:shd w:val="clear" w:color="auto" w:fill="auto"/>
            <w:tcMar>
              <w:top w:w="0" w:type="dxa"/>
            </w:tcMar>
          </w:tcPr>
          <w:p w14:paraId="24F14BDA" w14:textId="77777777" w:rsidR="006B2EC0" w:rsidRPr="009203DE" w:rsidRDefault="006B2EC0" w:rsidP="00C27F3C">
            <w:pPr>
              <w:pStyle w:val="TableText"/>
            </w:pPr>
            <w:r w:rsidRPr="009203DE">
              <w:t xml:space="preserve">2 </w:t>
            </w:r>
          </w:p>
        </w:tc>
      </w:tr>
      <w:tr w:rsidR="006B2EC0" w:rsidRPr="009203DE" w14:paraId="53D9E2D9" w14:textId="77777777" w:rsidTr="00986711">
        <w:tc>
          <w:tcPr>
            <w:tcW w:w="420" w:type="pct"/>
            <w:vMerge/>
            <w:shd w:val="clear" w:color="auto" w:fill="auto"/>
            <w:tcMar>
              <w:top w:w="0" w:type="dxa"/>
            </w:tcMar>
          </w:tcPr>
          <w:p w14:paraId="524BB6F0" w14:textId="77777777" w:rsidR="006B2EC0" w:rsidRPr="009203DE" w:rsidRDefault="006B2EC0" w:rsidP="00C27F3C">
            <w:pPr>
              <w:pStyle w:val="BodyText"/>
            </w:pPr>
          </w:p>
        </w:tc>
        <w:tc>
          <w:tcPr>
            <w:tcW w:w="3017" w:type="pct"/>
            <w:vMerge/>
            <w:shd w:val="clear" w:color="auto" w:fill="auto"/>
            <w:tcMar>
              <w:top w:w="0" w:type="dxa"/>
            </w:tcMar>
          </w:tcPr>
          <w:p w14:paraId="3DB60249" w14:textId="77777777" w:rsidR="006B2EC0" w:rsidRPr="009203DE" w:rsidRDefault="006B2EC0" w:rsidP="00C27F3C">
            <w:pPr>
              <w:pStyle w:val="BodyText"/>
            </w:pPr>
          </w:p>
        </w:tc>
        <w:tc>
          <w:tcPr>
            <w:tcW w:w="824" w:type="pct"/>
            <w:shd w:val="clear" w:color="auto" w:fill="auto"/>
            <w:tcMar>
              <w:top w:w="0" w:type="dxa"/>
            </w:tcMar>
          </w:tcPr>
          <w:p w14:paraId="0A826FFB" w14:textId="239274BF" w:rsidR="006B2EC0" w:rsidRPr="002B7408" w:rsidRDefault="006B2EC0" w:rsidP="00206B3E">
            <w:pPr>
              <w:pStyle w:val="TableText"/>
            </w:pPr>
            <w:r w:rsidRPr="002B7408">
              <w:t>1.3–1.4°C by 2081–2100</w:t>
            </w:r>
          </w:p>
        </w:tc>
        <w:tc>
          <w:tcPr>
            <w:tcW w:w="740" w:type="pct"/>
            <w:vMerge/>
            <w:shd w:val="clear" w:color="auto" w:fill="auto"/>
            <w:tcMar>
              <w:top w:w="0" w:type="dxa"/>
            </w:tcMar>
          </w:tcPr>
          <w:p w14:paraId="490EB245" w14:textId="77777777" w:rsidR="006B2EC0" w:rsidRPr="009203DE" w:rsidRDefault="006B2EC0" w:rsidP="00C27F3C">
            <w:pPr>
              <w:pStyle w:val="BodyText"/>
            </w:pPr>
          </w:p>
        </w:tc>
      </w:tr>
    </w:tbl>
    <w:p w14:paraId="06BE8D72" w14:textId="77777777" w:rsidR="006B2EC0" w:rsidRPr="009203DE" w:rsidRDefault="006B2EC0" w:rsidP="00FB369F">
      <w:pPr>
        <w:pStyle w:val="Heading4"/>
      </w:pPr>
      <w:r w:rsidRPr="009203DE">
        <w:t>RCP8.5</w:t>
      </w:r>
    </w:p>
    <w:p w14:paraId="5744F7A0" w14:textId="3E012BF2" w:rsidR="006B2EC0" w:rsidRPr="009203DE" w:rsidRDefault="006B2EC0" w:rsidP="009A6163">
      <w:pPr>
        <w:pStyle w:val="BodyText"/>
        <w:spacing w:before="100" w:after="100"/>
      </w:pPr>
      <w:r w:rsidRPr="009203DE">
        <w:t xml:space="preserve">The NCCRA framework, and therefore this assessment, adopted RCP8.5 as the benchmark to provide insights into </w:t>
      </w:r>
      <w:r w:rsidRPr="00FB369F">
        <w:t>potential</w:t>
      </w:r>
      <w:r w:rsidRPr="009203DE">
        <w:t xml:space="preserve"> risks that are ongoing, high or cumulative. These will continue throughout th</w:t>
      </w:r>
      <w:r w:rsidR="00D4420B">
        <w:t>is</w:t>
      </w:r>
      <w:r w:rsidRPr="009203DE">
        <w:t xml:space="preserve"> century and beyond, requiring adaptation action in the near term. </w:t>
      </w:r>
    </w:p>
    <w:p w14:paraId="0BDC8B39" w14:textId="77777777" w:rsidR="006B2EC0" w:rsidRPr="009203DE" w:rsidRDefault="006B2EC0" w:rsidP="00FB369F">
      <w:pPr>
        <w:pStyle w:val="Heading4"/>
      </w:pPr>
      <w:r w:rsidRPr="009203DE">
        <w:lastRenderedPageBreak/>
        <w:t>RCP4.5</w:t>
      </w:r>
    </w:p>
    <w:p w14:paraId="26D5B1DF" w14:textId="77777777" w:rsidR="006B2EC0" w:rsidRPr="00FB369F" w:rsidRDefault="006B2EC0" w:rsidP="009A6163">
      <w:pPr>
        <w:pStyle w:val="BodyText"/>
        <w:spacing w:before="100" w:after="100"/>
      </w:pPr>
      <w:r w:rsidRPr="009203DE">
        <w:t xml:space="preserve">This scenario presents a </w:t>
      </w:r>
      <w:r w:rsidRPr="00FB369F">
        <w:t xml:space="preserve">lower level of warming, but the changes will still create risks that need early action. </w:t>
      </w:r>
    </w:p>
    <w:p w14:paraId="6F157946" w14:textId="7C9A478B" w:rsidR="006B2EC0" w:rsidRPr="009203DE" w:rsidRDefault="006B2EC0" w:rsidP="009A6163">
      <w:pPr>
        <w:pStyle w:val="BodyText"/>
        <w:spacing w:before="100" w:after="100"/>
      </w:pPr>
      <w:r w:rsidRPr="00FB369F">
        <w:t>This assessment focused mainly</w:t>
      </w:r>
      <w:r w:rsidRPr="009203DE">
        <w:t xml:space="preserve"> on the central estimate (50th percentile) of the climate models for the two RCPs. It did not assess the uncertainty range of each RCP (for example</w:t>
      </w:r>
      <w:r w:rsidR="00182DA0">
        <w:t>,</w:t>
      </w:r>
      <w:r w:rsidRPr="009203DE">
        <w:t xml:space="preserve"> by</w:t>
      </w:r>
      <w:r w:rsidR="00B114E4">
        <w:t> </w:t>
      </w:r>
      <w:r w:rsidRPr="009203DE">
        <w:t>using the 10th and 90th percentiles), unless otherwise stated. Given the limited information</w:t>
      </w:r>
      <w:r w:rsidR="00B114E4">
        <w:t> </w:t>
      </w:r>
      <w:r w:rsidRPr="009203DE">
        <w:t xml:space="preserve">and data available on impacts of climate change across the five domains, a granular assessment of potential impacts across the uncertainty range of each RCP was not possible. Where there was relevant information, this is expressly stated in the project reports. </w:t>
      </w:r>
    </w:p>
    <w:p w14:paraId="25DA544A" w14:textId="77777777" w:rsidR="006B2EC0" w:rsidRPr="009203DE" w:rsidRDefault="006B2EC0" w:rsidP="003C4F4B">
      <w:pPr>
        <w:pStyle w:val="Heading3"/>
        <w:numPr>
          <w:ilvl w:val="2"/>
          <w:numId w:val="16"/>
        </w:numPr>
        <w:spacing w:before="240"/>
      </w:pPr>
      <w:bookmarkStart w:id="75" w:name="_Scale:_sub-national_climate"/>
      <w:bookmarkStart w:id="76" w:name="_Toc37690771"/>
      <w:bookmarkStart w:id="77" w:name="_Ref40352132"/>
      <w:bookmarkStart w:id="78" w:name="_Toc40686527"/>
      <w:bookmarkEnd w:id="75"/>
      <w:r w:rsidRPr="009203DE">
        <w:t>Scale: sub-national climate zones</w:t>
      </w:r>
      <w:bookmarkEnd w:id="76"/>
      <w:bookmarkEnd w:id="77"/>
      <w:bookmarkEnd w:id="78"/>
    </w:p>
    <w:p w14:paraId="43E0570D" w14:textId="2A606E71" w:rsidR="006B2EC0" w:rsidRPr="00BF5353" w:rsidRDefault="006B2EC0" w:rsidP="009A6163">
      <w:pPr>
        <w:pStyle w:val="BodyText"/>
        <w:spacing w:before="100" w:after="100"/>
      </w:pPr>
      <w:r w:rsidRPr="009203DE">
        <w:rPr>
          <w:lang w:eastAsia="en-AU"/>
        </w:rPr>
        <w:t xml:space="preserve">Although this was a national-scale assessment, it </w:t>
      </w:r>
      <w:r>
        <w:rPr>
          <w:lang w:eastAsia="en-AU"/>
        </w:rPr>
        <w:t>considered</w:t>
      </w:r>
      <w:r w:rsidRPr="009203DE">
        <w:rPr>
          <w:lang w:eastAsia="en-AU"/>
        </w:rPr>
        <w:t xml:space="preserve"> climate projections, related hazards and resulting risks and opportunities across seven sub-national climate zones (</w:t>
      </w:r>
      <w:hyperlink w:anchor="figure2" w:history="1">
        <w:r w:rsidR="00182DA0" w:rsidRPr="00F0370F">
          <w:rPr>
            <w:rStyle w:val="Hyperlink"/>
            <w:lang w:eastAsia="en-AU"/>
          </w:rPr>
          <w:t>figure 2</w:t>
        </w:r>
      </w:hyperlink>
      <w:r w:rsidRPr="009203DE">
        <w:rPr>
          <w:lang w:eastAsia="en-AU"/>
        </w:rPr>
        <w:t xml:space="preserve"> and </w:t>
      </w:r>
      <w:hyperlink w:anchor="table7" w:history="1">
        <w:r w:rsidR="007B3C23" w:rsidRPr="007B3C23">
          <w:rPr>
            <w:rStyle w:val="Hyperlink"/>
            <w:lang w:eastAsia="en-AU"/>
          </w:rPr>
          <w:t>table 7</w:t>
        </w:r>
      </w:hyperlink>
      <w:r w:rsidRPr="009203DE">
        <w:rPr>
          <w:lang w:eastAsia="en-AU"/>
        </w:rPr>
        <w:t xml:space="preserve">). </w:t>
      </w:r>
      <w:r w:rsidR="005F1AC5" w:rsidRPr="009203DE">
        <w:rPr>
          <w:lang w:eastAsia="en-AU"/>
        </w:rPr>
        <w:t>Where information was available, sub-national climate zones</w:t>
      </w:r>
      <w:r w:rsidR="005F1AC5">
        <w:rPr>
          <w:lang w:eastAsia="en-AU"/>
        </w:rPr>
        <w:t xml:space="preserve"> were also taken into account in the</w:t>
      </w:r>
      <w:r w:rsidR="005F1AC5" w:rsidRPr="009203DE">
        <w:rPr>
          <w:lang w:eastAsia="en-AU"/>
        </w:rPr>
        <w:t xml:space="preserve"> identification of risks. </w:t>
      </w:r>
      <w:r w:rsidRPr="00BF5353">
        <w:t>However, all risks were aggregated to the national level for assessment.</w:t>
      </w:r>
    </w:p>
    <w:p w14:paraId="10786218" w14:textId="77777777" w:rsidR="006B2EC0" w:rsidRPr="00BF5353" w:rsidRDefault="006B2EC0" w:rsidP="009A6163">
      <w:pPr>
        <w:pStyle w:val="BodyText"/>
        <w:spacing w:before="100" w:after="100"/>
      </w:pPr>
      <w:r w:rsidRPr="00BF5353">
        <w:t xml:space="preserve">Climate change risks for the marine environment were considered in two categories: Territorial Sea and the Exclusive Economic Zone (EEZ). </w:t>
      </w:r>
    </w:p>
    <w:p w14:paraId="7557FA6C" w14:textId="041C2844" w:rsidR="006B2EC0" w:rsidRPr="00BF5353" w:rsidRDefault="006B2EC0" w:rsidP="009A6163">
      <w:pPr>
        <w:pStyle w:val="BodyText"/>
        <w:spacing w:before="100" w:after="100"/>
      </w:pPr>
      <w:r w:rsidRPr="00BF5353">
        <w:t xml:space="preserve">The Territorial Sea is an area of water not exceeding 12 nautical miles in width </w:t>
      </w:r>
      <w:r w:rsidR="00930AC2">
        <w:t>that</w:t>
      </w:r>
      <w:r w:rsidR="00930AC2" w:rsidRPr="00BF5353">
        <w:t xml:space="preserve"> </w:t>
      </w:r>
      <w:r w:rsidRPr="00BF5353">
        <w:t xml:space="preserve">is measured seaward from the Territorial Sea baseline. </w:t>
      </w:r>
    </w:p>
    <w:p w14:paraId="4B2EFAEB" w14:textId="44907A08" w:rsidR="006B2EC0" w:rsidRDefault="006B2EC0" w:rsidP="009A6163">
      <w:pPr>
        <w:pStyle w:val="BodyText"/>
        <w:spacing w:before="100" w:after="100"/>
      </w:pPr>
      <w:r w:rsidRPr="00BF5353">
        <w:t>The EEZ is an area of sea</w:t>
      </w:r>
      <w:r w:rsidRPr="009203DE">
        <w:t xml:space="preserve"> beyond and adjacent to the Territorial Sea. The outer limit cannot exceed 200 nautical miles from the Territorial Sea baseline. </w:t>
      </w:r>
      <w:r w:rsidR="00D4420B">
        <w:t>C</w:t>
      </w:r>
      <w:r w:rsidRPr="009203DE">
        <w:t>oastal and marine climate change risks in the Territorial Sea of zone 1 (upper North Island)</w:t>
      </w:r>
      <w:r w:rsidR="00D4420B">
        <w:t xml:space="preserve"> </w:t>
      </w:r>
      <w:r w:rsidRPr="009203DE">
        <w:t xml:space="preserve">were considered </w:t>
      </w:r>
      <w:r w:rsidR="00D4420B">
        <w:t xml:space="preserve">separately </w:t>
      </w:r>
      <w:r w:rsidRPr="009203DE">
        <w:t>for the</w:t>
      </w:r>
      <w:r w:rsidR="009A6163">
        <w:t> </w:t>
      </w:r>
      <w:r w:rsidRPr="009203DE">
        <w:t xml:space="preserve">west coast and Tasman Sea (zone 1A), and the east coast, Pacific Ocean and Hauraki Gulf (zone 1B), due to their different ocean and climate conditions. </w:t>
      </w:r>
    </w:p>
    <w:p w14:paraId="423B4B4A" w14:textId="0853FD7E" w:rsidR="009A6163" w:rsidRPr="009203DE" w:rsidRDefault="009A6163" w:rsidP="009A6163">
      <w:pPr>
        <w:pStyle w:val="Figureheading"/>
        <w:spacing w:after="0"/>
      </w:pPr>
      <w:bookmarkStart w:id="79" w:name="_Ref40351850"/>
      <w:bookmarkStart w:id="80" w:name="figure2"/>
      <w:bookmarkStart w:id="81" w:name="_Ref40351840"/>
      <w:bookmarkStart w:id="82" w:name="_Toc40686584"/>
      <w:bookmarkStart w:id="83" w:name="_Toc43899336"/>
      <w:r w:rsidRPr="0024184F">
        <w:t xml:space="preserve">Figure </w:t>
      </w:r>
      <w:fldSimple w:instr=" SEQ Figure \* ARABIC ">
        <w:r w:rsidR="001B2025">
          <w:rPr>
            <w:noProof/>
          </w:rPr>
          <w:t>2</w:t>
        </w:r>
      </w:fldSimple>
      <w:bookmarkEnd w:id="79"/>
      <w:r w:rsidR="00862FD0">
        <w:rPr>
          <w:noProof/>
        </w:rPr>
        <w:t>:</w:t>
      </w:r>
      <w:bookmarkEnd w:id="80"/>
      <w:r w:rsidRPr="0024184F">
        <w:tab/>
        <w:t>Sub-national zones map (Ministry for the Environment, 2019)</w:t>
      </w:r>
      <w:bookmarkEnd w:id="81"/>
      <w:bookmarkEnd w:id="82"/>
      <w:bookmarkEnd w:id="83"/>
    </w:p>
    <w:p w14:paraId="645CE29C" w14:textId="77777777" w:rsidR="006B2EC0" w:rsidRPr="0024184F" w:rsidRDefault="006B2EC0" w:rsidP="009A6163">
      <w:pPr>
        <w:pStyle w:val="BodyText"/>
        <w:spacing w:before="80"/>
        <w:jc w:val="center"/>
      </w:pPr>
      <w:r w:rsidRPr="0024184F">
        <w:rPr>
          <w:noProof/>
        </w:rPr>
        <w:drawing>
          <wp:inline distT="0" distB="0" distL="0" distR="0" wp14:anchorId="57988125" wp14:editId="109F5A09">
            <wp:extent cx="2104390" cy="2600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42854" cy="2647854"/>
                    </a:xfrm>
                    <a:prstGeom prst="rect">
                      <a:avLst/>
                    </a:prstGeom>
                  </pic:spPr>
                </pic:pic>
              </a:graphicData>
            </a:graphic>
          </wp:inline>
        </w:drawing>
      </w:r>
    </w:p>
    <w:p w14:paraId="0B9F21DE" w14:textId="77777777" w:rsidR="005768E4" w:rsidRDefault="005768E4">
      <w:pPr>
        <w:spacing w:before="0" w:after="200" w:line="276" w:lineRule="auto"/>
        <w:jc w:val="left"/>
        <w:rPr>
          <w:b/>
          <w:sz w:val="20"/>
        </w:rPr>
      </w:pPr>
      <w:bookmarkStart w:id="84" w:name="_Ref40351819"/>
      <w:bookmarkStart w:id="85" w:name="table7"/>
      <w:bookmarkStart w:id="86" w:name="_Toc40686595"/>
      <w:bookmarkStart w:id="87" w:name="_Toc43899323"/>
      <w:r>
        <w:br w:type="page"/>
      </w:r>
    </w:p>
    <w:p w14:paraId="4381F37E" w14:textId="4B4EE2D5" w:rsidR="00DA6AF7" w:rsidRPr="0024184F" w:rsidRDefault="00DA6AF7" w:rsidP="0061029E">
      <w:pPr>
        <w:pStyle w:val="Tableheading"/>
      </w:pPr>
      <w:r w:rsidRPr="0024184F">
        <w:lastRenderedPageBreak/>
        <w:t xml:space="preserve">Table </w:t>
      </w:r>
      <w:fldSimple w:instr=" SEQ Table \* ARABIC ">
        <w:r w:rsidR="001B2025">
          <w:rPr>
            <w:noProof/>
          </w:rPr>
          <w:t>7</w:t>
        </w:r>
      </w:fldSimple>
      <w:bookmarkEnd w:id="84"/>
      <w:bookmarkEnd w:id="85"/>
      <w:r w:rsidR="00862FD0">
        <w:rPr>
          <w:noProof/>
        </w:rPr>
        <w:t>:</w:t>
      </w:r>
      <w:r w:rsidRPr="0024184F">
        <w:tab/>
        <w:t xml:space="preserve">Sub-national </w:t>
      </w:r>
      <w:r w:rsidRPr="009767C6">
        <w:t>zones</w:t>
      </w:r>
      <w:r w:rsidRPr="0024184F">
        <w:t xml:space="preserve"> and definitions (Ministry for the Environment, 2019)</w:t>
      </w:r>
      <w:bookmarkEnd w:id="86"/>
      <w:bookmarkEnd w:id="87"/>
    </w:p>
    <w:tbl>
      <w:tblPr>
        <w:tblW w:w="8505" w:type="dxa"/>
        <w:tblInd w:w="10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2563"/>
        <w:gridCol w:w="5942"/>
      </w:tblGrid>
      <w:tr w:rsidR="009767C6" w:rsidRPr="009767C6" w14:paraId="723780DA" w14:textId="77777777" w:rsidTr="00033D32">
        <w:trPr>
          <w:trHeight w:val="340"/>
          <w:tblHeader/>
        </w:trPr>
        <w:tc>
          <w:tcPr>
            <w:tcW w:w="1507" w:type="pct"/>
            <w:shd w:val="clear" w:color="auto" w:fill="1C556C" w:themeFill="accent1"/>
            <w:tcMar>
              <w:top w:w="0" w:type="dxa"/>
            </w:tcMar>
            <w:vAlign w:val="center"/>
          </w:tcPr>
          <w:p w14:paraId="6B66F679" w14:textId="77777777" w:rsidR="00DA6AF7" w:rsidRPr="009767C6" w:rsidRDefault="00DA6AF7" w:rsidP="00C27F3C">
            <w:pPr>
              <w:pStyle w:val="TableTextBold"/>
              <w:rPr>
                <w:color w:val="FFFFFF" w:themeColor="background1"/>
              </w:rPr>
            </w:pPr>
            <w:r w:rsidRPr="009767C6">
              <w:rPr>
                <w:color w:val="FFFFFF" w:themeColor="background1"/>
              </w:rPr>
              <w:t xml:space="preserve">Sub-national zone </w:t>
            </w:r>
          </w:p>
        </w:tc>
        <w:tc>
          <w:tcPr>
            <w:tcW w:w="3493" w:type="pct"/>
            <w:shd w:val="clear" w:color="auto" w:fill="1C556C" w:themeFill="accent1"/>
            <w:tcMar>
              <w:top w:w="0" w:type="dxa"/>
            </w:tcMar>
            <w:vAlign w:val="center"/>
          </w:tcPr>
          <w:p w14:paraId="680A67A8" w14:textId="77777777" w:rsidR="00DA6AF7" w:rsidRPr="009767C6" w:rsidRDefault="00DA6AF7" w:rsidP="00C27F3C">
            <w:pPr>
              <w:pStyle w:val="TableTextBold"/>
              <w:rPr>
                <w:color w:val="FFFFFF" w:themeColor="background1"/>
              </w:rPr>
            </w:pPr>
            <w:r w:rsidRPr="009767C6">
              <w:rPr>
                <w:color w:val="FFFFFF" w:themeColor="background1"/>
              </w:rPr>
              <w:t xml:space="preserve">Definition </w:t>
            </w:r>
          </w:p>
        </w:tc>
      </w:tr>
      <w:tr w:rsidR="00DA6AF7" w:rsidRPr="009203DE" w14:paraId="44AA1540" w14:textId="77777777" w:rsidTr="00033D32">
        <w:trPr>
          <w:trHeight w:val="283"/>
        </w:trPr>
        <w:tc>
          <w:tcPr>
            <w:tcW w:w="1507" w:type="pct"/>
            <w:shd w:val="clear" w:color="auto" w:fill="auto"/>
            <w:tcMar>
              <w:top w:w="0" w:type="dxa"/>
            </w:tcMar>
          </w:tcPr>
          <w:p w14:paraId="56572FD1" w14:textId="4B8B0EF4" w:rsidR="00DA6AF7" w:rsidRPr="009203DE" w:rsidRDefault="00DA6AF7" w:rsidP="00C27F3C">
            <w:pPr>
              <w:pStyle w:val="TableText"/>
            </w:pPr>
            <w:r w:rsidRPr="009203DE">
              <w:t>Region 1: Upper North Island (Te</w:t>
            </w:r>
            <w:r w:rsidR="009767C6">
              <w:t> </w:t>
            </w:r>
            <w:r w:rsidRPr="009203DE">
              <w:t>Ika ā Māui)</w:t>
            </w:r>
          </w:p>
        </w:tc>
        <w:tc>
          <w:tcPr>
            <w:tcW w:w="3493" w:type="pct"/>
            <w:shd w:val="clear" w:color="auto" w:fill="auto"/>
            <w:tcMar>
              <w:top w:w="0" w:type="dxa"/>
            </w:tcMar>
          </w:tcPr>
          <w:p w14:paraId="69D2523E" w14:textId="77777777" w:rsidR="00DA6AF7" w:rsidRPr="009203DE" w:rsidRDefault="00DA6AF7" w:rsidP="00C27F3C">
            <w:pPr>
              <w:pStyle w:val="TableText"/>
            </w:pPr>
            <w:r w:rsidRPr="009203DE">
              <w:t xml:space="preserve">Extends to Mōkau on the west coast and Lottin Point (Wakatiri) in eastern Bay of Plenty and covers the northern part of Lake Taupō. For assessing impacts on coastal and marine activities or elements, split the west coast and Tasman Sea (zone 1A) from the east coast, Pacific Ocean and Hauraki Gulf (zone 1B). Includes Northland, Auckland, Waikato and Bay of Plenty. </w:t>
            </w:r>
          </w:p>
        </w:tc>
      </w:tr>
      <w:tr w:rsidR="00DA6AF7" w:rsidRPr="009203DE" w14:paraId="721524A6" w14:textId="77777777" w:rsidTr="00033D32">
        <w:trPr>
          <w:trHeight w:val="283"/>
        </w:trPr>
        <w:tc>
          <w:tcPr>
            <w:tcW w:w="1507" w:type="pct"/>
            <w:shd w:val="clear" w:color="auto" w:fill="auto"/>
            <w:tcMar>
              <w:top w:w="0" w:type="dxa"/>
            </w:tcMar>
          </w:tcPr>
          <w:p w14:paraId="4BFE1456" w14:textId="77777777" w:rsidR="00DA6AF7" w:rsidRPr="009203DE" w:rsidRDefault="00DA6AF7" w:rsidP="00C27F3C">
            <w:pPr>
              <w:pStyle w:val="TableText"/>
            </w:pPr>
            <w:r w:rsidRPr="009203DE">
              <w:t>Region 2: Western lower North Island (Te Ika ā Māui)</w:t>
            </w:r>
          </w:p>
        </w:tc>
        <w:tc>
          <w:tcPr>
            <w:tcW w:w="3493" w:type="pct"/>
            <w:shd w:val="clear" w:color="auto" w:fill="auto"/>
            <w:tcMar>
              <w:top w:w="0" w:type="dxa"/>
            </w:tcMar>
          </w:tcPr>
          <w:p w14:paraId="6D5F0A25" w14:textId="77777777" w:rsidR="00DA6AF7" w:rsidRPr="009203DE" w:rsidRDefault="00DA6AF7" w:rsidP="00C27F3C">
            <w:pPr>
              <w:pStyle w:val="TableText"/>
            </w:pPr>
            <w:r w:rsidRPr="009203DE">
              <w:t xml:space="preserve">Covers Taranaki to Wellington (Te Whanga-nui-a-Tara) and includes National Park and southern Lake Taupō. Includes Taranaki, Manawatū–Whanganui (Horizons) and Wellington. </w:t>
            </w:r>
          </w:p>
        </w:tc>
      </w:tr>
      <w:tr w:rsidR="00DA6AF7" w:rsidRPr="009203DE" w14:paraId="59C2B940" w14:textId="77777777" w:rsidTr="00033D32">
        <w:trPr>
          <w:trHeight w:val="283"/>
        </w:trPr>
        <w:tc>
          <w:tcPr>
            <w:tcW w:w="1507" w:type="pct"/>
            <w:shd w:val="clear" w:color="auto" w:fill="auto"/>
            <w:tcMar>
              <w:top w:w="0" w:type="dxa"/>
            </w:tcMar>
          </w:tcPr>
          <w:p w14:paraId="302BF435" w14:textId="77777777" w:rsidR="00DA6AF7" w:rsidRPr="009203DE" w:rsidRDefault="00DA6AF7" w:rsidP="00C27F3C">
            <w:pPr>
              <w:pStyle w:val="TableText"/>
            </w:pPr>
            <w:r w:rsidRPr="009203DE">
              <w:t>Region 3: Eastern lower North Island (Te Ika ā Māui)</w:t>
            </w:r>
          </w:p>
        </w:tc>
        <w:tc>
          <w:tcPr>
            <w:tcW w:w="3493" w:type="pct"/>
            <w:shd w:val="clear" w:color="auto" w:fill="auto"/>
            <w:tcMar>
              <w:top w:w="0" w:type="dxa"/>
            </w:tcMar>
          </w:tcPr>
          <w:p w14:paraId="2144717E" w14:textId="77777777" w:rsidR="00DA6AF7" w:rsidRPr="009203DE" w:rsidRDefault="00DA6AF7" w:rsidP="00C27F3C">
            <w:pPr>
              <w:pStyle w:val="TableText"/>
            </w:pPr>
            <w:r w:rsidRPr="009203DE">
              <w:t xml:space="preserve">Extends from Hicks Bay (Wharekahika) to Palliser Bay (Te Waha o te Ika ā Māui) and back to the Ruahine and Kaweka ranges. Includes Gisborne, Hawke’s Bay and the Wairarapa catchment of Wellington. </w:t>
            </w:r>
          </w:p>
        </w:tc>
      </w:tr>
      <w:tr w:rsidR="00DA6AF7" w:rsidRPr="009203DE" w14:paraId="55009519" w14:textId="77777777" w:rsidTr="00033D32">
        <w:trPr>
          <w:trHeight w:val="283"/>
        </w:trPr>
        <w:tc>
          <w:tcPr>
            <w:tcW w:w="1507" w:type="pct"/>
            <w:shd w:val="clear" w:color="auto" w:fill="auto"/>
            <w:tcMar>
              <w:top w:w="0" w:type="dxa"/>
            </w:tcMar>
          </w:tcPr>
          <w:p w14:paraId="1E49BB39" w14:textId="77777777" w:rsidR="00DA6AF7" w:rsidRPr="009203DE" w:rsidRDefault="00DA6AF7" w:rsidP="00C27F3C">
            <w:pPr>
              <w:pStyle w:val="TableText"/>
            </w:pPr>
            <w:r w:rsidRPr="009203DE">
              <w:t>Region 4: Northern South Island (Te Wai Pounamu)</w:t>
            </w:r>
          </w:p>
        </w:tc>
        <w:tc>
          <w:tcPr>
            <w:tcW w:w="3493" w:type="pct"/>
            <w:shd w:val="clear" w:color="auto" w:fill="auto"/>
            <w:tcMar>
              <w:top w:w="0" w:type="dxa"/>
            </w:tcMar>
          </w:tcPr>
          <w:p w14:paraId="0DA02D90" w14:textId="77777777" w:rsidR="00DA6AF7" w:rsidRPr="009203DE" w:rsidRDefault="00DA6AF7" w:rsidP="00C27F3C">
            <w:pPr>
              <w:pStyle w:val="TableText"/>
            </w:pPr>
            <w:r w:rsidRPr="009203DE">
              <w:t xml:space="preserve">Covers Marlborough (from Kaikōura north), Nelson (Whakatū) and Punakaiki on the West Coast. Includes Tasman, Nelson, Marlborough and Buller District. </w:t>
            </w:r>
          </w:p>
        </w:tc>
      </w:tr>
      <w:tr w:rsidR="00DA6AF7" w:rsidRPr="009203DE" w14:paraId="78CB4FE9" w14:textId="77777777" w:rsidTr="00033D32">
        <w:trPr>
          <w:trHeight w:val="283"/>
        </w:trPr>
        <w:tc>
          <w:tcPr>
            <w:tcW w:w="1507" w:type="pct"/>
            <w:shd w:val="clear" w:color="auto" w:fill="auto"/>
            <w:tcMar>
              <w:top w:w="0" w:type="dxa"/>
            </w:tcMar>
          </w:tcPr>
          <w:p w14:paraId="1264CB3C" w14:textId="77777777" w:rsidR="00DA6AF7" w:rsidRPr="009203DE" w:rsidRDefault="00DA6AF7" w:rsidP="00C27F3C">
            <w:pPr>
              <w:pStyle w:val="TableText"/>
            </w:pPr>
            <w:r w:rsidRPr="009203DE">
              <w:t>Region 5: Eastern South Island (Te Wai Pounamu)</w:t>
            </w:r>
          </w:p>
        </w:tc>
        <w:tc>
          <w:tcPr>
            <w:tcW w:w="3493" w:type="pct"/>
            <w:shd w:val="clear" w:color="auto" w:fill="auto"/>
            <w:tcMar>
              <w:top w:w="0" w:type="dxa"/>
            </w:tcMar>
          </w:tcPr>
          <w:p w14:paraId="3FD56688" w14:textId="655D25C1" w:rsidR="00DA6AF7" w:rsidRPr="009203DE" w:rsidRDefault="00DA6AF7" w:rsidP="00CF307F">
            <w:pPr>
              <w:pStyle w:val="TableText"/>
            </w:pPr>
            <w:r w:rsidRPr="009203DE">
              <w:t>From Kaikōura to Owaka (South Otago) and includes Central Otago and the Mac</w:t>
            </w:r>
            <w:r w:rsidR="00CF307F">
              <w:t>k</w:t>
            </w:r>
            <w:r w:rsidRPr="009203DE">
              <w:t>enzie Basin including Lakes Tekapo to Ōhau to the east of the Southern Alps. Includes the West Coast, inland Otago and Southland.</w:t>
            </w:r>
          </w:p>
        </w:tc>
      </w:tr>
      <w:tr w:rsidR="00DA6AF7" w:rsidRPr="009203DE" w14:paraId="7BD6A3BF" w14:textId="77777777" w:rsidTr="00033D32">
        <w:trPr>
          <w:trHeight w:val="283"/>
        </w:trPr>
        <w:tc>
          <w:tcPr>
            <w:tcW w:w="1507" w:type="pct"/>
            <w:shd w:val="clear" w:color="auto" w:fill="auto"/>
            <w:tcMar>
              <w:top w:w="0" w:type="dxa"/>
            </w:tcMar>
          </w:tcPr>
          <w:p w14:paraId="2AC59C0D" w14:textId="77777777" w:rsidR="00DA6AF7" w:rsidRPr="009203DE" w:rsidRDefault="00DA6AF7" w:rsidP="00C27F3C">
            <w:pPr>
              <w:pStyle w:val="TableText"/>
            </w:pPr>
            <w:r w:rsidRPr="009203DE">
              <w:t>Region 6: Western and southern South Island (Te Wai Pounamu)</w:t>
            </w:r>
          </w:p>
        </w:tc>
        <w:tc>
          <w:tcPr>
            <w:tcW w:w="3493" w:type="pct"/>
            <w:shd w:val="clear" w:color="auto" w:fill="auto"/>
            <w:tcMar>
              <w:top w:w="0" w:type="dxa"/>
            </w:tcMar>
          </w:tcPr>
          <w:p w14:paraId="7A0062AE" w14:textId="77777777" w:rsidR="00DA6AF7" w:rsidRPr="009203DE" w:rsidRDefault="00DA6AF7" w:rsidP="00C27F3C">
            <w:pPr>
              <w:pStyle w:val="TableText"/>
            </w:pPr>
            <w:r w:rsidRPr="009203DE">
              <w:t>Covers the West Coast, Fiordland, Southland and Stewart Island (Te Punga o Te Waka ā Māui) and includes the Southern Alps and southern lakes. Includes Canterbury and Otago.</w:t>
            </w:r>
          </w:p>
        </w:tc>
      </w:tr>
      <w:tr w:rsidR="00DA6AF7" w:rsidRPr="009203DE" w14:paraId="1252B83E" w14:textId="77777777" w:rsidTr="00033D32">
        <w:trPr>
          <w:trHeight w:val="283"/>
        </w:trPr>
        <w:tc>
          <w:tcPr>
            <w:tcW w:w="1507" w:type="pct"/>
            <w:shd w:val="clear" w:color="auto" w:fill="auto"/>
            <w:tcMar>
              <w:top w:w="0" w:type="dxa"/>
            </w:tcMar>
          </w:tcPr>
          <w:p w14:paraId="7454BE02" w14:textId="77777777" w:rsidR="00DA6AF7" w:rsidRPr="009203DE" w:rsidRDefault="00DA6AF7" w:rsidP="00C27F3C">
            <w:pPr>
              <w:pStyle w:val="TableText"/>
            </w:pPr>
            <w:r w:rsidRPr="009203DE">
              <w:t>Region 7: Chatham Islands (Wharekauri – Rēkohu) and Pitt Island (Rangiauria –Rangiaotea)</w:t>
            </w:r>
          </w:p>
        </w:tc>
        <w:tc>
          <w:tcPr>
            <w:tcW w:w="3493" w:type="pct"/>
            <w:shd w:val="clear" w:color="auto" w:fill="auto"/>
            <w:tcMar>
              <w:top w:w="0" w:type="dxa"/>
            </w:tcMar>
          </w:tcPr>
          <w:p w14:paraId="720A5B05" w14:textId="77777777" w:rsidR="00DA6AF7" w:rsidRPr="009203DE" w:rsidRDefault="00DA6AF7" w:rsidP="00C27F3C">
            <w:pPr>
              <w:pStyle w:val="TableText"/>
            </w:pPr>
            <w:r w:rsidRPr="009203DE">
              <w:t>At longitude 183–184</w:t>
            </w:r>
            <w:r w:rsidRPr="009203DE">
              <w:rPr>
                <w:vertAlign w:val="superscript"/>
              </w:rPr>
              <w:t>o</w:t>
            </w:r>
            <w:r w:rsidRPr="009203DE">
              <w:t>E.</w:t>
            </w:r>
          </w:p>
        </w:tc>
      </w:tr>
    </w:tbl>
    <w:p w14:paraId="0A72EBE2" w14:textId="77777777" w:rsidR="00DA6AF7" w:rsidRPr="00B114E4" w:rsidRDefault="00DA6AF7" w:rsidP="003C4F4B">
      <w:pPr>
        <w:pStyle w:val="Heading3"/>
        <w:numPr>
          <w:ilvl w:val="2"/>
          <w:numId w:val="16"/>
        </w:numPr>
        <w:tabs>
          <w:tab w:val="num" w:pos="992"/>
        </w:tabs>
        <w:rPr>
          <w:szCs w:val="28"/>
        </w:rPr>
      </w:pPr>
      <w:bookmarkStart w:id="88" w:name="_Toc37690772"/>
      <w:bookmarkStart w:id="89" w:name="_Toc40686528"/>
      <w:r w:rsidRPr="00B114E4">
        <w:rPr>
          <w:szCs w:val="28"/>
        </w:rPr>
        <w:t xml:space="preserve">Climate change hazards to </w:t>
      </w:r>
      <w:bookmarkEnd w:id="88"/>
      <w:bookmarkEnd w:id="89"/>
      <w:r w:rsidRPr="00B114E4">
        <w:rPr>
          <w:szCs w:val="28"/>
        </w:rPr>
        <w:t xml:space="preserve">consider </w:t>
      </w:r>
    </w:p>
    <w:p w14:paraId="75CFE9E8" w14:textId="19D5B0A4" w:rsidR="00DA6AF7" w:rsidRPr="009203DE" w:rsidRDefault="00DA6AF7" w:rsidP="00CD5D6B">
      <w:pPr>
        <w:pStyle w:val="BodyText"/>
      </w:pPr>
      <w:r w:rsidRPr="009203DE">
        <w:t>The term ‘hazard’ describes the potential occurrence of a natural or human-induced physical event or trend or physical impact that may cause loss of life, injury or other health impacts, as</w:t>
      </w:r>
      <w:r w:rsidR="00CD5D6B">
        <w:t> </w:t>
      </w:r>
      <w:r w:rsidRPr="009203DE">
        <w:t xml:space="preserve">well as </w:t>
      </w:r>
      <w:r w:rsidRPr="00CD5D6B">
        <w:t>damage</w:t>
      </w:r>
      <w:r w:rsidRPr="009203DE">
        <w:t xml:space="preserve"> and loss to property, infrastructure, livelihoods, services, ecosystems and environmental resources. In this context the term hazard usually refers to climate</w:t>
      </w:r>
      <w:r w:rsidR="004754DC">
        <w:t xml:space="preserve"> change</w:t>
      </w:r>
      <w:r w:rsidRPr="009203DE">
        <w:t xml:space="preserve">-related physical events or trends, or their physical impacts. This is related to either: </w:t>
      </w:r>
    </w:p>
    <w:p w14:paraId="444D5AF3" w14:textId="77777777" w:rsidR="00DA6AF7" w:rsidRPr="00CD5D6B" w:rsidRDefault="00DA6AF7" w:rsidP="00CD5D6B">
      <w:pPr>
        <w:pStyle w:val="Bullet"/>
      </w:pPr>
      <w:r w:rsidRPr="009203DE">
        <w:t xml:space="preserve">a </w:t>
      </w:r>
      <w:r w:rsidRPr="00CD5D6B">
        <w:t>change in magnitude, persistence and frequency of natural hazard events, such as more intense short-duration rainfall, or</w:t>
      </w:r>
    </w:p>
    <w:p w14:paraId="66A6E4E1" w14:textId="7D8E1CC7" w:rsidR="00DA6AF7" w:rsidRPr="009203DE" w:rsidRDefault="00DA6AF7" w:rsidP="00CD5D6B">
      <w:pPr>
        <w:pStyle w:val="Bullet"/>
      </w:pPr>
      <w:r w:rsidRPr="00CD5D6B">
        <w:t>a gradual</w:t>
      </w:r>
      <w:r w:rsidR="00D4420B">
        <w:t>-</w:t>
      </w:r>
      <w:r w:rsidRPr="009203DE">
        <w:t>onset ‘stressor’ or ‘trend’ in climatic conditions, such as change in seasonal rainfall patterns, receding snowlines, or increasing ocean acidity.</w:t>
      </w:r>
    </w:p>
    <w:p w14:paraId="2BA78C51" w14:textId="7E9819E2" w:rsidR="00DA6AF7" w:rsidRPr="00CD5D6B" w:rsidRDefault="00DA6AF7" w:rsidP="00CD5D6B">
      <w:pPr>
        <w:pStyle w:val="BodyText"/>
      </w:pPr>
      <w:r w:rsidRPr="009203DE">
        <w:t xml:space="preserve">The NCCRA </w:t>
      </w:r>
      <w:r w:rsidRPr="00141CCE">
        <w:t>framework lists the hazards most likely to contribute to substantial risks, driven by</w:t>
      </w:r>
      <w:r w:rsidR="000E33C0">
        <w:t> </w:t>
      </w:r>
      <w:r w:rsidRPr="00CD5D6B">
        <w:t xml:space="preserve">primary and secondary climate variables that contribute to the hazard. </w:t>
      </w:r>
    </w:p>
    <w:p w14:paraId="55BECD93" w14:textId="7349DBA3" w:rsidR="00DA6AF7" w:rsidRPr="009203DE" w:rsidRDefault="00DA6AF7" w:rsidP="00CD5D6B">
      <w:pPr>
        <w:pStyle w:val="BodyText"/>
      </w:pPr>
      <w:r w:rsidRPr="00CD5D6B">
        <w:t>Data on climate change hazards, including the magnitude and direction of change as determined by p</w:t>
      </w:r>
      <w:r w:rsidRPr="00141CCE">
        <w:t>rimary and secondary variables, ha</w:t>
      </w:r>
      <w:r w:rsidR="00C92E74">
        <w:t>ve</w:t>
      </w:r>
      <w:r w:rsidRPr="00141CCE">
        <w:t xml:space="preserve"> been provided for the timeframes (</w:t>
      </w:r>
      <w:hyperlink w:anchor="_Timeframes_for_assessing" w:history="1">
        <w:r w:rsidRPr="00CE139F">
          <w:rPr>
            <w:rStyle w:val="Hyperlink"/>
          </w:rPr>
          <w:t>section</w:t>
        </w:r>
        <w:r w:rsidR="00CE139F" w:rsidRPr="00CE139F">
          <w:rPr>
            <w:rStyle w:val="Hyperlink"/>
          </w:rPr>
          <w:t xml:space="preserve"> 2.1.7</w:t>
        </w:r>
      </w:hyperlink>
      <w:r w:rsidRPr="00141CCE">
        <w:t>). They apply to the climate change projections (</w:t>
      </w:r>
      <w:hyperlink w:anchor="_Climate_change_projections" w:history="1">
        <w:r w:rsidRPr="00B473D2">
          <w:rPr>
            <w:rStyle w:val="Hyperlink"/>
          </w:rPr>
          <w:t xml:space="preserve">section </w:t>
        </w:r>
        <w:r w:rsidR="00CE139F" w:rsidRPr="00B473D2">
          <w:rPr>
            <w:rStyle w:val="Hyperlink"/>
          </w:rPr>
          <w:t>2.1.8</w:t>
        </w:r>
      </w:hyperlink>
      <w:r w:rsidRPr="00141CCE">
        <w:t>) and to each of the seven sub-national zones (</w:t>
      </w:r>
      <w:hyperlink w:anchor="_Scale:_sub-national_climate" w:history="1">
        <w:r w:rsidRPr="00B473D2">
          <w:rPr>
            <w:rStyle w:val="Hyperlink"/>
          </w:rPr>
          <w:t xml:space="preserve">section </w:t>
        </w:r>
        <w:r w:rsidR="00B473D2" w:rsidRPr="00B473D2">
          <w:rPr>
            <w:rStyle w:val="Hyperlink"/>
          </w:rPr>
          <w:t>2.1.9</w:t>
        </w:r>
      </w:hyperlink>
      <w:r w:rsidRPr="00141CCE">
        <w:t>). Th</w:t>
      </w:r>
      <w:r w:rsidR="00C92E74">
        <w:t>ese</w:t>
      </w:r>
      <w:r w:rsidRPr="00141CCE">
        <w:t xml:space="preserve"> data informed</w:t>
      </w:r>
      <w:r w:rsidRPr="009203DE">
        <w:t xml:space="preserve"> the identification, analysis and evaluation of risks in stages 1 and 2 of this study (see the appendix of the stage 1 report)</w:t>
      </w:r>
      <w:r w:rsidR="00615040">
        <w:t>.</w:t>
      </w:r>
      <w:r w:rsidRPr="009203DE">
        <w:t xml:space="preserve"> </w:t>
      </w:r>
    </w:p>
    <w:p w14:paraId="13E16B8E" w14:textId="77777777" w:rsidR="00DA6AF7" w:rsidRPr="00CD5D6B" w:rsidRDefault="00DA6AF7" w:rsidP="003C4F4B">
      <w:pPr>
        <w:pStyle w:val="Heading3"/>
        <w:numPr>
          <w:ilvl w:val="2"/>
          <w:numId w:val="16"/>
        </w:numPr>
        <w:tabs>
          <w:tab w:val="num" w:pos="992"/>
        </w:tabs>
        <w:spacing w:before="240"/>
      </w:pPr>
      <w:bookmarkStart w:id="90" w:name="_Toc37690773"/>
      <w:bookmarkStart w:id="91" w:name="_Toc40686529"/>
      <w:r w:rsidRPr="00CD5D6B">
        <w:lastRenderedPageBreak/>
        <w:t xml:space="preserve">Risk assessment and prioritisation </w:t>
      </w:r>
      <w:bookmarkEnd w:id="90"/>
      <w:bookmarkEnd w:id="91"/>
    </w:p>
    <w:p w14:paraId="49E7D052" w14:textId="188F3B22" w:rsidR="00DA6AF7" w:rsidRDefault="00DA6AF7" w:rsidP="00DA6AF7">
      <w:pPr>
        <w:pStyle w:val="BodyText"/>
      </w:pPr>
      <w:r w:rsidRPr="009203DE">
        <w:t xml:space="preserve">The NCCRA uses the conceptual framework for climate change risks in the IPCC AR5. Risk is framed using the elements of hazard, exposure </w:t>
      </w:r>
      <w:r w:rsidRPr="00141CCE">
        <w:t>and</w:t>
      </w:r>
      <w:r w:rsidRPr="009203DE">
        <w:t xml:space="preserve"> vulnerability, with the overlap defining risks, as</w:t>
      </w:r>
      <w:r w:rsidR="00C92E74">
        <w:t xml:space="preserve"> </w:t>
      </w:r>
      <w:hyperlink w:anchor="figure3" w:history="1">
        <w:r w:rsidR="00C92E74" w:rsidRPr="00510A27">
          <w:rPr>
            <w:rStyle w:val="Hyperlink"/>
          </w:rPr>
          <w:t>figure 3</w:t>
        </w:r>
      </w:hyperlink>
      <w:r w:rsidRPr="009203DE">
        <w:t xml:space="preserve"> show</w:t>
      </w:r>
      <w:r w:rsidR="00C92E74">
        <w:t>s</w:t>
      </w:r>
      <w:r w:rsidRPr="009203DE">
        <w:t>.</w:t>
      </w:r>
    </w:p>
    <w:p w14:paraId="645B50B0" w14:textId="5B0B5486" w:rsidR="00615040" w:rsidRPr="009203DE" w:rsidRDefault="00615040" w:rsidP="00880CB8">
      <w:pPr>
        <w:pStyle w:val="Figureheading"/>
        <w:spacing w:after="60" w:line="240" w:lineRule="atLeast"/>
      </w:pPr>
      <w:bookmarkStart w:id="92" w:name="_Ref40351976"/>
      <w:bookmarkStart w:id="93" w:name="figure3"/>
      <w:bookmarkStart w:id="94" w:name="_Toc40686585"/>
      <w:bookmarkStart w:id="95" w:name="_Toc43899337"/>
      <w:r w:rsidRPr="0024184F">
        <w:t xml:space="preserve">Figure </w:t>
      </w:r>
      <w:fldSimple w:instr=" SEQ Figure \* ARABIC ">
        <w:r w:rsidR="001B2025">
          <w:rPr>
            <w:noProof/>
          </w:rPr>
          <w:t>3</w:t>
        </w:r>
      </w:fldSimple>
      <w:bookmarkEnd w:id="92"/>
      <w:bookmarkEnd w:id="93"/>
      <w:r w:rsidR="00102480">
        <w:rPr>
          <w:noProof/>
        </w:rPr>
        <w:t>:</w:t>
      </w:r>
      <w:r w:rsidRPr="0024184F">
        <w:tab/>
        <w:t>Interaction between the physical climate system, exposure and vulnerability producing</w:t>
      </w:r>
      <w:r w:rsidR="005004F3">
        <w:t> </w:t>
      </w:r>
      <w:r w:rsidRPr="0024184F">
        <w:t>risk (IPCC, 2014</w:t>
      </w:r>
      <w:r w:rsidR="00525112">
        <w:t>a</w:t>
      </w:r>
      <w:r w:rsidRPr="0024184F">
        <w:t>)</w:t>
      </w:r>
      <w:bookmarkEnd w:id="94"/>
      <w:bookmarkEnd w:id="95"/>
    </w:p>
    <w:p w14:paraId="5D2FBA4C" w14:textId="77777777" w:rsidR="00DA6AF7" w:rsidRPr="0024184F" w:rsidRDefault="00DA6AF7" w:rsidP="00DA6AF7">
      <w:pPr>
        <w:pStyle w:val="BodyText"/>
      </w:pPr>
      <w:r w:rsidRPr="0024184F">
        <w:rPr>
          <w:noProof/>
        </w:rPr>
        <w:drawing>
          <wp:inline distT="0" distB="0" distL="0" distR="0" wp14:anchorId="0C62F368" wp14:editId="75277F12">
            <wp:extent cx="5399405" cy="2400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7">
                      <a:extLst>
                        <a:ext uri="{28A0092B-C50C-407E-A947-70E740481C1C}">
                          <a14:useLocalDpi xmlns:a14="http://schemas.microsoft.com/office/drawing/2010/main" val="0"/>
                        </a:ext>
                      </a:extLst>
                    </a:blip>
                    <a:srcRect t="2284" b="1770"/>
                    <a:stretch/>
                  </pic:blipFill>
                  <pic:spPr bwMode="auto">
                    <a:xfrm>
                      <a:off x="0" y="0"/>
                      <a:ext cx="5400000" cy="2400565"/>
                    </a:xfrm>
                    <a:prstGeom prst="rect">
                      <a:avLst/>
                    </a:prstGeom>
                    <a:noFill/>
                    <a:ln>
                      <a:noFill/>
                    </a:ln>
                    <a:extLst>
                      <a:ext uri="{53640926-AAD7-44D8-BBD7-CCE9431645EC}">
                        <a14:shadowObscured xmlns:a14="http://schemas.microsoft.com/office/drawing/2010/main"/>
                      </a:ext>
                    </a:extLst>
                  </pic:spPr>
                </pic:pic>
              </a:graphicData>
            </a:graphic>
          </wp:inline>
        </w:drawing>
      </w:r>
    </w:p>
    <w:p w14:paraId="3880438E" w14:textId="0700EE3D" w:rsidR="00DA6AF7" w:rsidRPr="005004F3" w:rsidRDefault="00DA6AF7" w:rsidP="00880CB8">
      <w:pPr>
        <w:pStyle w:val="BodyText"/>
        <w:spacing w:before="100" w:after="100"/>
      </w:pPr>
      <w:r w:rsidRPr="009203DE">
        <w:t xml:space="preserve">According to this framework, risk is a function </w:t>
      </w:r>
      <w:r w:rsidRPr="00615040">
        <w:t xml:space="preserve">of climate hazards, the degree to which assets and values are exposed to the hazard, and their vulnerability to its effects. Vulnerability and </w:t>
      </w:r>
      <w:r w:rsidRPr="005004F3">
        <w:t>exposure are influenced by socio-economic and cultural processes</w:t>
      </w:r>
      <w:r w:rsidR="00C92E74">
        <w:t>,</w:t>
      </w:r>
      <w:r w:rsidRPr="005004F3">
        <w:t xml:space="preserve"> which can increase or decrease the consequences of exposure. </w:t>
      </w:r>
    </w:p>
    <w:p w14:paraId="2BAC67CB" w14:textId="77777777" w:rsidR="00DA6AF7" w:rsidRPr="005004F3" w:rsidRDefault="00DA6AF7" w:rsidP="00880CB8">
      <w:pPr>
        <w:pStyle w:val="BodyText"/>
        <w:spacing w:before="100" w:after="100"/>
      </w:pPr>
      <w:r w:rsidRPr="005004F3">
        <w:t xml:space="preserve">Rating risks with this framework relies mainly on assessing and rating the magnitude of the consequences from the interaction of hazards, vulnerability and exposure. This is distinct from the industry standards for assessing risks (ISO 31000:2010 and AS/NZ4553), which use both the magnitude and likelihood of consequences. This is because climate change creates cascading and ongoing changes when an ongoing trend such as sea-level rise, atmospheric temperature rise or ocean acidification, among other environmental changes, reaches various thresholds within a given system. </w:t>
      </w:r>
    </w:p>
    <w:p w14:paraId="10169BFC" w14:textId="591C2E27" w:rsidR="00DA6AF7" w:rsidRPr="00615040" w:rsidRDefault="00DA6AF7" w:rsidP="00880CB8">
      <w:pPr>
        <w:pStyle w:val="BodyText"/>
        <w:spacing w:before="100" w:after="100"/>
      </w:pPr>
      <w:r w:rsidRPr="005004F3">
        <w:t>The associate</w:t>
      </w:r>
      <w:r w:rsidRPr="00615040">
        <w:t>d risks at a national level are not event-based, so it is not useful to estimate the</w:t>
      </w:r>
      <w:r w:rsidR="00605D84">
        <w:t> </w:t>
      </w:r>
      <w:r w:rsidRPr="00615040">
        <w:t>likelihood of an event as a major component of the risk. The changing risk environment requires more emphasis on consequences. The risks and opportunities identified are considered to have the most potential for damage or benefit to New Zealand.</w:t>
      </w:r>
    </w:p>
    <w:p w14:paraId="4E6ABFBA" w14:textId="07C4EA2F" w:rsidR="00DA6AF7" w:rsidRPr="009203DE" w:rsidRDefault="00DA6AF7" w:rsidP="00880CB8">
      <w:pPr>
        <w:pStyle w:val="BodyText"/>
        <w:spacing w:before="100" w:after="100"/>
      </w:pPr>
      <w:r w:rsidRPr="00615040">
        <w:t>To support</w:t>
      </w:r>
      <w:r w:rsidRPr="009203DE">
        <w:t xml:space="preserve"> the magnitude of </w:t>
      </w:r>
      <w:r w:rsidRPr="005004F3">
        <w:t>consequence</w:t>
      </w:r>
      <w:r w:rsidRPr="009203DE">
        <w:t xml:space="preserve"> rating, more criteria were considered in stage</w:t>
      </w:r>
      <w:r w:rsidR="00605D84">
        <w:t> </w:t>
      </w:r>
      <w:r w:rsidRPr="009203DE">
        <w:t>2</w:t>
      </w:r>
      <w:r w:rsidR="00605D84">
        <w:t> </w:t>
      </w:r>
      <w:r w:rsidRPr="009203DE">
        <w:t>than in stage 1, reflecting the differences between a first-pass screen and a detailed</w:t>
      </w:r>
      <w:r w:rsidR="00605D84">
        <w:t> </w:t>
      </w:r>
      <w:r w:rsidRPr="009203DE">
        <w:t xml:space="preserve">assessment. </w:t>
      </w:r>
      <w:hyperlink w:anchor="table8" w:history="1">
        <w:r w:rsidRPr="00F0370F">
          <w:rPr>
            <w:rStyle w:val="Hyperlink"/>
          </w:rPr>
          <w:t>Table 8</w:t>
        </w:r>
      </w:hyperlink>
      <w:r w:rsidRPr="009203DE">
        <w:t xml:space="preserve"> sets out the criteria and the stage when </w:t>
      </w:r>
      <w:r w:rsidR="00C92E74">
        <w:t>each one was</w:t>
      </w:r>
      <w:r w:rsidRPr="009203DE">
        <w:t xml:space="preserve"> applied.</w:t>
      </w:r>
      <w:r w:rsidR="00B76719">
        <w:t> </w:t>
      </w:r>
      <w:r w:rsidRPr="009203DE">
        <w:t>The</w:t>
      </w:r>
      <w:r w:rsidR="00605D84">
        <w:t> </w:t>
      </w:r>
      <w:r w:rsidRPr="009203DE">
        <w:t xml:space="preserve">full criteria are in </w:t>
      </w:r>
      <w:hyperlink w:anchor="_Appendix_C:_Assessment" w:history="1">
        <w:r w:rsidR="004218AE" w:rsidRPr="004218AE">
          <w:rPr>
            <w:rStyle w:val="Hyperlink"/>
          </w:rPr>
          <w:t>appendix C</w:t>
        </w:r>
        <w:r w:rsidRPr="004218AE">
          <w:rPr>
            <w:rStyle w:val="Hyperlink"/>
          </w:rPr>
          <w:t xml:space="preserve">. </w:t>
        </w:r>
      </w:hyperlink>
    </w:p>
    <w:p w14:paraId="704A30B6" w14:textId="6D2369EE" w:rsidR="00DA6AF7" w:rsidRPr="0024184F" w:rsidRDefault="00DA6AF7" w:rsidP="0061029E">
      <w:pPr>
        <w:pStyle w:val="Tableheading"/>
      </w:pPr>
      <w:bookmarkStart w:id="96" w:name="_Ref40352008"/>
      <w:bookmarkStart w:id="97" w:name="table8"/>
      <w:bookmarkStart w:id="98" w:name="_Toc40686596"/>
      <w:bookmarkStart w:id="99" w:name="_Toc43899324"/>
      <w:r w:rsidRPr="0024184F">
        <w:t xml:space="preserve">Table </w:t>
      </w:r>
      <w:fldSimple w:instr=" SEQ Table \* ARABIC ">
        <w:r w:rsidR="001B2025">
          <w:rPr>
            <w:noProof/>
          </w:rPr>
          <w:t>8</w:t>
        </w:r>
      </w:fldSimple>
      <w:bookmarkEnd w:id="96"/>
      <w:r w:rsidR="00862FD0">
        <w:rPr>
          <w:noProof/>
        </w:rPr>
        <w:t>:</w:t>
      </w:r>
      <w:bookmarkEnd w:id="97"/>
      <w:r w:rsidRPr="0024184F">
        <w:tab/>
        <w:t>Criteria for evaluating risks</w:t>
      </w:r>
      <w:bookmarkEnd w:id="98"/>
      <w:bookmarkEnd w:id="99"/>
    </w:p>
    <w:tbl>
      <w:tblPr>
        <w:tblW w:w="8505" w:type="dxa"/>
        <w:tblInd w:w="10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1396"/>
        <w:gridCol w:w="5692"/>
        <w:gridCol w:w="1417"/>
      </w:tblGrid>
      <w:tr w:rsidR="005004F3" w:rsidRPr="005004F3" w14:paraId="2A6E2650" w14:textId="77777777" w:rsidTr="00342957">
        <w:trPr>
          <w:trHeight w:val="340"/>
          <w:tblHeader/>
        </w:trPr>
        <w:tc>
          <w:tcPr>
            <w:tcW w:w="821" w:type="pct"/>
            <w:shd w:val="clear" w:color="auto" w:fill="1C556C" w:themeFill="accent1"/>
            <w:tcMar>
              <w:top w:w="0" w:type="dxa"/>
            </w:tcMar>
            <w:vAlign w:val="center"/>
          </w:tcPr>
          <w:p w14:paraId="693BB6C4" w14:textId="77777777" w:rsidR="00DA6AF7" w:rsidRPr="005004F3" w:rsidRDefault="00DA6AF7" w:rsidP="005004F3">
            <w:pPr>
              <w:pStyle w:val="TableTextBold"/>
              <w:rPr>
                <w:color w:val="FFFFFF" w:themeColor="background1"/>
              </w:rPr>
            </w:pPr>
            <w:r w:rsidRPr="005004F3">
              <w:rPr>
                <w:color w:val="FFFFFF" w:themeColor="background1"/>
              </w:rPr>
              <w:t xml:space="preserve">Criterion </w:t>
            </w:r>
          </w:p>
        </w:tc>
        <w:tc>
          <w:tcPr>
            <w:tcW w:w="3346" w:type="pct"/>
            <w:shd w:val="clear" w:color="auto" w:fill="1C556C" w:themeFill="accent1"/>
            <w:tcMar>
              <w:top w:w="0" w:type="dxa"/>
            </w:tcMar>
            <w:vAlign w:val="center"/>
          </w:tcPr>
          <w:p w14:paraId="32DF78C3" w14:textId="77777777" w:rsidR="00DA6AF7" w:rsidRPr="005004F3" w:rsidRDefault="00DA6AF7" w:rsidP="005004F3">
            <w:pPr>
              <w:pStyle w:val="TableTextBold"/>
              <w:rPr>
                <w:color w:val="FFFFFF" w:themeColor="background1"/>
              </w:rPr>
            </w:pPr>
            <w:r w:rsidRPr="005004F3">
              <w:rPr>
                <w:color w:val="FFFFFF" w:themeColor="background1"/>
              </w:rPr>
              <w:t xml:space="preserve">Purpose </w:t>
            </w:r>
          </w:p>
        </w:tc>
        <w:tc>
          <w:tcPr>
            <w:tcW w:w="833" w:type="pct"/>
            <w:shd w:val="clear" w:color="auto" w:fill="1C556C" w:themeFill="accent1"/>
            <w:tcMar>
              <w:top w:w="0" w:type="dxa"/>
            </w:tcMar>
            <w:vAlign w:val="center"/>
          </w:tcPr>
          <w:p w14:paraId="42289879" w14:textId="77777777" w:rsidR="00DA6AF7" w:rsidRPr="005004F3" w:rsidRDefault="00DA6AF7" w:rsidP="005004F3">
            <w:pPr>
              <w:pStyle w:val="TableTextBold"/>
              <w:rPr>
                <w:color w:val="FFFFFF" w:themeColor="background1"/>
              </w:rPr>
            </w:pPr>
            <w:r w:rsidRPr="005004F3">
              <w:rPr>
                <w:color w:val="FFFFFF" w:themeColor="background1"/>
              </w:rPr>
              <w:t xml:space="preserve">Stage applied </w:t>
            </w:r>
          </w:p>
        </w:tc>
      </w:tr>
      <w:tr w:rsidR="00DA6AF7" w:rsidRPr="009203DE" w14:paraId="718C3DD3" w14:textId="77777777" w:rsidTr="00342957">
        <w:trPr>
          <w:trHeight w:val="283"/>
        </w:trPr>
        <w:tc>
          <w:tcPr>
            <w:tcW w:w="821" w:type="pct"/>
            <w:shd w:val="clear" w:color="auto" w:fill="auto"/>
            <w:tcMar>
              <w:top w:w="0" w:type="dxa"/>
            </w:tcMar>
          </w:tcPr>
          <w:p w14:paraId="5EC0820F" w14:textId="77777777" w:rsidR="00DA6AF7" w:rsidRPr="009203DE" w:rsidRDefault="00DA6AF7" w:rsidP="00C27F3C">
            <w:pPr>
              <w:pStyle w:val="TableText"/>
            </w:pPr>
            <w:r w:rsidRPr="009203DE">
              <w:t>Magnitude of consequence</w:t>
            </w:r>
          </w:p>
        </w:tc>
        <w:tc>
          <w:tcPr>
            <w:tcW w:w="3346" w:type="pct"/>
            <w:shd w:val="clear" w:color="auto" w:fill="auto"/>
            <w:tcMar>
              <w:top w:w="0" w:type="dxa"/>
            </w:tcMar>
          </w:tcPr>
          <w:p w14:paraId="1A4A5FBB" w14:textId="77777777" w:rsidR="00DA6AF7" w:rsidRPr="009203DE" w:rsidRDefault="00DA6AF7" w:rsidP="00C27F3C">
            <w:pPr>
              <w:pStyle w:val="TableText"/>
            </w:pPr>
            <w:r w:rsidRPr="009203DE">
              <w:t xml:space="preserve">To evaluate magnitude of potential consequences arising from the risks. Magnitude of consequence criteria have been developed for each value domain, building on the consequence table in the NCCRA framework. </w:t>
            </w:r>
          </w:p>
        </w:tc>
        <w:tc>
          <w:tcPr>
            <w:tcW w:w="833" w:type="pct"/>
            <w:shd w:val="clear" w:color="auto" w:fill="auto"/>
            <w:tcMar>
              <w:top w:w="0" w:type="dxa"/>
            </w:tcMar>
          </w:tcPr>
          <w:p w14:paraId="32473A16" w14:textId="77777777" w:rsidR="00DA6AF7" w:rsidRPr="009203DE" w:rsidRDefault="00DA6AF7" w:rsidP="00C27F3C">
            <w:pPr>
              <w:pStyle w:val="TableText"/>
            </w:pPr>
            <w:r w:rsidRPr="009203DE">
              <w:t xml:space="preserve">1 and 2 </w:t>
            </w:r>
          </w:p>
        </w:tc>
      </w:tr>
      <w:tr w:rsidR="00DA6AF7" w:rsidRPr="009203DE" w14:paraId="0A34B7E6" w14:textId="77777777" w:rsidTr="00342957">
        <w:trPr>
          <w:trHeight w:val="283"/>
        </w:trPr>
        <w:tc>
          <w:tcPr>
            <w:tcW w:w="821" w:type="pct"/>
            <w:shd w:val="clear" w:color="auto" w:fill="auto"/>
            <w:tcMar>
              <w:top w:w="0" w:type="dxa"/>
            </w:tcMar>
          </w:tcPr>
          <w:p w14:paraId="2C2CADB5" w14:textId="77777777" w:rsidR="00DA6AF7" w:rsidRPr="009203DE" w:rsidRDefault="00DA6AF7" w:rsidP="00C27F3C">
            <w:pPr>
              <w:pStyle w:val="TableText"/>
            </w:pPr>
            <w:r w:rsidRPr="009203DE">
              <w:t xml:space="preserve">Confidence </w:t>
            </w:r>
          </w:p>
        </w:tc>
        <w:tc>
          <w:tcPr>
            <w:tcW w:w="3346" w:type="pct"/>
            <w:shd w:val="clear" w:color="auto" w:fill="auto"/>
            <w:tcMar>
              <w:top w:w="0" w:type="dxa"/>
            </w:tcMar>
          </w:tcPr>
          <w:p w14:paraId="4910BB84" w14:textId="77777777" w:rsidR="00DA6AF7" w:rsidRPr="009203DE" w:rsidRDefault="00DA6AF7" w:rsidP="00C27F3C">
            <w:pPr>
              <w:pStyle w:val="TableText"/>
            </w:pPr>
            <w:r w:rsidRPr="009203DE">
              <w:t xml:space="preserve">To support the evaluation of risks by rating confidence in the robustness or agreement about the evidence. </w:t>
            </w:r>
          </w:p>
        </w:tc>
        <w:tc>
          <w:tcPr>
            <w:tcW w:w="833" w:type="pct"/>
            <w:shd w:val="clear" w:color="auto" w:fill="auto"/>
            <w:tcMar>
              <w:top w:w="0" w:type="dxa"/>
            </w:tcMar>
          </w:tcPr>
          <w:p w14:paraId="21F68ABA" w14:textId="77777777" w:rsidR="00DA6AF7" w:rsidRPr="009203DE" w:rsidRDefault="00DA6AF7" w:rsidP="00C27F3C">
            <w:pPr>
              <w:pStyle w:val="TableText"/>
            </w:pPr>
            <w:r w:rsidRPr="009203DE">
              <w:t>1 and 2</w:t>
            </w:r>
          </w:p>
        </w:tc>
      </w:tr>
      <w:tr w:rsidR="00DA6AF7" w:rsidRPr="009203DE" w14:paraId="6D93E9AA" w14:textId="77777777" w:rsidTr="00342957">
        <w:trPr>
          <w:trHeight w:val="283"/>
        </w:trPr>
        <w:tc>
          <w:tcPr>
            <w:tcW w:w="821" w:type="pct"/>
            <w:shd w:val="clear" w:color="auto" w:fill="auto"/>
            <w:tcMar>
              <w:top w:w="0" w:type="dxa"/>
            </w:tcMar>
          </w:tcPr>
          <w:p w14:paraId="237F9A1E" w14:textId="77777777" w:rsidR="00DA6AF7" w:rsidRPr="009203DE" w:rsidRDefault="00DA6AF7" w:rsidP="00C27F3C">
            <w:pPr>
              <w:pStyle w:val="TableText"/>
            </w:pPr>
            <w:r w:rsidRPr="009203DE">
              <w:lastRenderedPageBreak/>
              <w:t xml:space="preserve">Vulnerability </w:t>
            </w:r>
          </w:p>
        </w:tc>
        <w:tc>
          <w:tcPr>
            <w:tcW w:w="3346" w:type="pct"/>
            <w:shd w:val="clear" w:color="auto" w:fill="auto"/>
            <w:tcMar>
              <w:top w:w="0" w:type="dxa"/>
            </w:tcMar>
          </w:tcPr>
          <w:p w14:paraId="71484723" w14:textId="1EE0A518" w:rsidR="00DA6AF7" w:rsidRPr="009203DE" w:rsidRDefault="00DA6AF7" w:rsidP="00C27F3C">
            <w:pPr>
              <w:pStyle w:val="TableText"/>
            </w:pPr>
            <w:r w:rsidRPr="009203DE">
              <w:t>To support the evaluation of climate change risks by rating the level of vulnerability of the ‘element at risk’.</w:t>
            </w:r>
          </w:p>
        </w:tc>
        <w:tc>
          <w:tcPr>
            <w:tcW w:w="833" w:type="pct"/>
            <w:shd w:val="clear" w:color="auto" w:fill="auto"/>
            <w:tcMar>
              <w:top w:w="0" w:type="dxa"/>
            </w:tcMar>
          </w:tcPr>
          <w:p w14:paraId="7CDE0C89" w14:textId="77777777" w:rsidR="00DA6AF7" w:rsidRPr="009203DE" w:rsidRDefault="00DA6AF7" w:rsidP="00C27F3C">
            <w:pPr>
              <w:pStyle w:val="TableText"/>
            </w:pPr>
            <w:r w:rsidRPr="009203DE">
              <w:t>2</w:t>
            </w:r>
          </w:p>
        </w:tc>
      </w:tr>
      <w:tr w:rsidR="00DA6AF7" w:rsidRPr="009203DE" w14:paraId="53BD461F" w14:textId="77777777" w:rsidTr="00342957">
        <w:trPr>
          <w:trHeight w:val="283"/>
        </w:trPr>
        <w:tc>
          <w:tcPr>
            <w:tcW w:w="821" w:type="pct"/>
            <w:shd w:val="clear" w:color="auto" w:fill="auto"/>
            <w:tcMar>
              <w:top w:w="0" w:type="dxa"/>
            </w:tcMar>
          </w:tcPr>
          <w:p w14:paraId="5E780F60" w14:textId="77777777" w:rsidR="00DA6AF7" w:rsidRPr="009203DE" w:rsidRDefault="00DA6AF7" w:rsidP="00C27F3C">
            <w:pPr>
              <w:pStyle w:val="TableText"/>
            </w:pPr>
            <w:r w:rsidRPr="009203DE">
              <w:t xml:space="preserve">Exposure </w:t>
            </w:r>
          </w:p>
        </w:tc>
        <w:tc>
          <w:tcPr>
            <w:tcW w:w="3346" w:type="pct"/>
            <w:shd w:val="clear" w:color="auto" w:fill="auto"/>
            <w:tcMar>
              <w:top w:w="0" w:type="dxa"/>
            </w:tcMar>
          </w:tcPr>
          <w:p w14:paraId="3EF2B004" w14:textId="0F0192C3" w:rsidR="00DA6AF7" w:rsidRPr="009203DE" w:rsidRDefault="00DA6AF7" w:rsidP="00C27F3C">
            <w:pPr>
              <w:pStyle w:val="TableText"/>
            </w:pPr>
            <w:r w:rsidRPr="009203DE">
              <w:t xml:space="preserve">To support the evaluation of risks by rating the level of exposure of the ‘element at risk’. </w:t>
            </w:r>
          </w:p>
        </w:tc>
        <w:tc>
          <w:tcPr>
            <w:tcW w:w="833" w:type="pct"/>
            <w:shd w:val="clear" w:color="auto" w:fill="auto"/>
            <w:tcMar>
              <w:top w:w="0" w:type="dxa"/>
            </w:tcMar>
          </w:tcPr>
          <w:p w14:paraId="7F5750A2" w14:textId="77777777" w:rsidR="00DA6AF7" w:rsidRPr="009203DE" w:rsidRDefault="00DA6AF7" w:rsidP="00C27F3C">
            <w:pPr>
              <w:pStyle w:val="TableText"/>
            </w:pPr>
            <w:r w:rsidRPr="009203DE">
              <w:t xml:space="preserve">2 </w:t>
            </w:r>
          </w:p>
        </w:tc>
      </w:tr>
      <w:tr w:rsidR="00DA6AF7" w:rsidRPr="009203DE" w14:paraId="0DFD31F1" w14:textId="77777777" w:rsidTr="00342957">
        <w:trPr>
          <w:trHeight w:val="283"/>
        </w:trPr>
        <w:tc>
          <w:tcPr>
            <w:tcW w:w="821" w:type="pct"/>
            <w:shd w:val="clear" w:color="auto" w:fill="auto"/>
            <w:tcMar>
              <w:top w:w="0" w:type="dxa"/>
            </w:tcMar>
          </w:tcPr>
          <w:p w14:paraId="1F37E310" w14:textId="77777777" w:rsidR="00DA6AF7" w:rsidRPr="009203DE" w:rsidRDefault="00DA6AF7" w:rsidP="00C27F3C">
            <w:pPr>
              <w:pStyle w:val="TableText"/>
            </w:pPr>
            <w:r w:rsidRPr="009203DE">
              <w:t xml:space="preserve">Urgency </w:t>
            </w:r>
          </w:p>
        </w:tc>
        <w:tc>
          <w:tcPr>
            <w:tcW w:w="3346" w:type="pct"/>
            <w:shd w:val="clear" w:color="auto" w:fill="auto"/>
            <w:tcMar>
              <w:top w:w="0" w:type="dxa"/>
            </w:tcMar>
          </w:tcPr>
          <w:p w14:paraId="3E0EA172" w14:textId="77777777" w:rsidR="00DA6AF7" w:rsidRPr="009203DE" w:rsidRDefault="00DA6AF7" w:rsidP="00C27F3C">
            <w:pPr>
              <w:pStyle w:val="TableText"/>
            </w:pPr>
            <w:r w:rsidRPr="009203DE">
              <w:t xml:space="preserve">To evaluate where adaptation action is most urgently required in the short term for risks that may not otherwise be managed to an acceptable level. </w:t>
            </w:r>
          </w:p>
        </w:tc>
        <w:tc>
          <w:tcPr>
            <w:tcW w:w="833" w:type="pct"/>
            <w:shd w:val="clear" w:color="auto" w:fill="auto"/>
            <w:tcMar>
              <w:top w:w="0" w:type="dxa"/>
            </w:tcMar>
          </w:tcPr>
          <w:p w14:paraId="52547AF0" w14:textId="77777777" w:rsidR="00DA6AF7" w:rsidRPr="009203DE" w:rsidRDefault="00DA6AF7" w:rsidP="00C27F3C">
            <w:pPr>
              <w:pStyle w:val="TableText"/>
            </w:pPr>
            <w:r w:rsidRPr="009203DE">
              <w:t>3</w:t>
            </w:r>
          </w:p>
        </w:tc>
      </w:tr>
    </w:tbl>
    <w:p w14:paraId="45719B7B" w14:textId="77777777" w:rsidR="00DA6AF7" w:rsidRPr="007F5B50" w:rsidRDefault="00DA6AF7" w:rsidP="003C4F4B">
      <w:pPr>
        <w:pStyle w:val="Heading3"/>
        <w:numPr>
          <w:ilvl w:val="2"/>
          <w:numId w:val="16"/>
        </w:numPr>
        <w:tabs>
          <w:tab w:val="clear" w:pos="851"/>
        </w:tabs>
        <w:spacing w:before="400"/>
        <w:ind w:left="993" w:hanging="993"/>
      </w:pPr>
      <w:bookmarkStart w:id="100" w:name="_Toc37690774"/>
      <w:bookmarkStart w:id="101" w:name="_Toc40686530"/>
      <w:r w:rsidRPr="007F5B50">
        <w:t>Stakeholder engagement planning</w:t>
      </w:r>
      <w:bookmarkEnd w:id="100"/>
      <w:bookmarkEnd w:id="101"/>
    </w:p>
    <w:p w14:paraId="3266889D" w14:textId="261AC5E5" w:rsidR="00DA6AF7" w:rsidRPr="009203DE" w:rsidRDefault="00DA6AF7" w:rsidP="007F5B50">
      <w:pPr>
        <w:pStyle w:val="BodyText"/>
      </w:pPr>
      <w:r w:rsidRPr="009203DE">
        <w:t xml:space="preserve">The NCCRA engaged a range of stakeholders and Māori/iwi representatives who provided input at each stage. Engagement was </w:t>
      </w:r>
      <w:r w:rsidRPr="007F5B50">
        <w:t>designed</w:t>
      </w:r>
      <w:r w:rsidRPr="009203DE">
        <w:t xml:space="preserve"> to be reciprocal, provide a basis for a mutual exchange of information and engender support for future work. </w:t>
      </w:r>
      <w:r w:rsidRPr="009203DE">
        <w:rPr>
          <w:rFonts w:cstheme="minorHAnsi"/>
        </w:rPr>
        <w:t>Further information is in</w:t>
      </w:r>
      <w:r w:rsidR="007F5B50">
        <w:rPr>
          <w:rFonts w:cstheme="minorHAnsi"/>
        </w:rPr>
        <w:t> </w:t>
      </w:r>
      <w:hyperlink w:anchor="_Engagement_approach" w:history="1">
        <w:r w:rsidRPr="00B473D2">
          <w:rPr>
            <w:rStyle w:val="Hyperlink"/>
            <w:rFonts w:cstheme="minorHAnsi"/>
          </w:rPr>
          <w:t>s</w:t>
        </w:r>
        <w:r w:rsidRPr="00B473D2">
          <w:rPr>
            <w:rStyle w:val="Hyperlink"/>
          </w:rPr>
          <w:t>ection 3</w:t>
        </w:r>
      </w:hyperlink>
      <w:r w:rsidRPr="009203DE">
        <w:t>.</w:t>
      </w:r>
      <w:r w:rsidR="00467043">
        <w:t xml:space="preserve"> </w:t>
      </w:r>
    </w:p>
    <w:p w14:paraId="2293BB17" w14:textId="77777777" w:rsidR="00DA6AF7" w:rsidRPr="007F5B50" w:rsidRDefault="00DA6AF7" w:rsidP="003C4F4B">
      <w:pPr>
        <w:pStyle w:val="Heading2"/>
        <w:numPr>
          <w:ilvl w:val="0"/>
          <w:numId w:val="22"/>
        </w:numPr>
      </w:pPr>
      <w:bookmarkStart w:id="102" w:name="_Toc37690775"/>
      <w:bookmarkStart w:id="103" w:name="_Toc40686531"/>
      <w:bookmarkStart w:id="104" w:name="_Toc45898305"/>
      <w:r w:rsidRPr="0024184F">
        <w:t>Stage 1: First-pass risk screen</w:t>
      </w:r>
      <w:bookmarkEnd w:id="102"/>
      <w:bookmarkEnd w:id="103"/>
      <w:bookmarkEnd w:id="104"/>
    </w:p>
    <w:p w14:paraId="187D22D8" w14:textId="77777777" w:rsidR="00DA6AF7" w:rsidRPr="009203DE" w:rsidRDefault="00DA6AF7" w:rsidP="00DA6AF7">
      <w:pPr>
        <w:pStyle w:val="BodyText"/>
      </w:pPr>
      <w:r w:rsidRPr="009203DE">
        <w:t xml:space="preserve">The tasks in this stage were: </w:t>
      </w:r>
    </w:p>
    <w:p w14:paraId="13AE88DF" w14:textId="37AB0363" w:rsidR="00DA6AF7" w:rsidRPr="009203DE" w:rsidRDefault="007254C7" w:rsidP="00DA6AF7">
      <w:pPr>
        <w:pStyle w:val="Bullet"/>
      </w:pPr>
      <w:r>
        <w:t>t</w:t>
      </w:r>
      <w:r w:rsidR="00DA6AF7" w:rsidRPr="009203DE">
        <w:t xml:space="preserve">ask 1: Establish context and scope for </w:t>
      </w:r>
      <w:r w:rsidR="00BF4EF5">
        <w:t>s</w:t>
      </w:r>
      <w:r w:rsidR="00DA6AF7" w:rsidRPr="009203DE">
        <w:t>tage 1</w:t>
      </w:r>
    </w:p>
    <w:p w14:paraId="29C582AB" w14:textId="08DA221C" w:rsidR="00DA6AF7" w:rsidRPr="009203DE" w:rsidRDefault="007254C7" w:rsidP="00DA6AF7">
      <w:pPr>
        <w:pStyle w:val="Bullet"/>
      </w:pPr>
      <w:r>
        <w:t>t</w:t>
      </w:r>
      <w:r w:rsidR="00DA6AF7" w:rsidRPr="009203DE">
        <w:t xml:space="preserve">ask 2: Identify </w:t>
      </w:r>
      <w:r w:rsidR="00510A27">
        <w:t xml:space="preserve">climate </w:t>
      </w:r>
      <w:r w:rsidR="00DA6AF7" w:rsidRPr="009203DE">
        <w:t>risks</w:t>
      </w:r>
      <w:r w:rsidR="00510A27">
        <w:t xml:space="preserve"> and opportunities</w:t>
      </w:r>
    </w:p>
    <w:p w14:paraId="1932A1AE" w14:textId="340404BE" w:rsidR="00DA6AF7" w:rsidRPr="009203DE" w:rsidRDefault="007254C7" w:rsidP="00DA6AF7">
      <w:pPr>
        <w:pStyle w:val="Bullet"/>
      </w:pPr>
      <w:r>
        <w:t>t</w:t>
      </w:r>
      <w:r w:rsidR="00DA6AF7" w:rsidRPr="009203DE">
        <w:t>ask 3: Analyse and evaluate risks</w:t>
      </w:r>
      <w:r w:rsidR="00510A27">
        <w:t xml:space="preserve"> and opportunities</w:t>
      </w:r>
      <w:r w:rsidR="00DA6AF7" w:rsidRPr="009203DE">
        <w:t>.</w:t>
      </w:r>
    </w:p>
    <w:p w14:paraId="46715598" w14:textId="77777777" w:rsidR="00DA6AF7" w:rsidRPr="009203DE" w:rsidRDefault="00DA6AF7" w:rsidP="00957BB4">
      <w:pPr>
        <w:pStyle w:val="Heading3"/>
        <w:numPr>
          <w:ilvl w:val="0"/>
          <w:numId w:val="51"/>
        </w:numPr>
      </w:pPr>
      <w:bookmarkStart w:id="105" w:name="_Toc37690776"/>
      <w:bookmarkStart w:id="106" w:name="_Toc40686532"/>
      <w:r w:rsidRPr="009203DE">
        <w:t xml:space="preserve">Task 1: </w:t>
      </w:r>
      <w:r w:rsidRPr="0075508B">
        <w:t>Establish</w:t>
      </w:r>
      <w:r w:rsidRPr="009203DE">
        <w:t xml:space="preserve"> context and scope</w:t>
      </w:r>
      <w:bookmarkEnd w:id="105"/>
      <w:bookmarkEnd w:id="106"/>
    </w:p>
    <w:p w14:paraId="04ED89B4" w14:textId="77777777" w:rsidR="00DA6AF7" w:rsidRPr="006B034F" w:rsidRDefault="00DA6AF7" w:rsidP="00605D84">
      <w:pPr>
        <w:pStyle w:val="BodyText"/>
      </w:pPr>
      <w:r w:rsidRPr="009203DE">
        <w:t xml:space="preserve">The purpose </w:t>
      </w:r>
      <w:r w:rsidRPr="00605D84">
        <w:t>was</w:t>
      </w:r>
      <w:r w:rsidRPr="009203DE">
        <w:t xml:space="preserve"> to:</w:t>
      </w:r>
    </w:p>
    <w:p w14:paraId="27C87DEE" w14:textId="48EA3AD9" w:rsidR="00DA6AF7" w:rsidRPr="006B034F" w:rsidRDefault="00DA6AF7" w:rsidP="006B034F">
      <w:pPr>
        <w:pStyle w:val="Bullet"/>
      </w:pPr>
      <w:r w:rsidRPr="0024184F">
        <w:t xml:space="preserve">broadly examine where risks and opportunities might arise from the interaction between elements </w:t>
      </w:r>
      <w:r w:rsidRPr="006B034F">
        <w:t>at risk, hazards, exposure and vulnerability across the seven sub-national zones, Territorial Sea and the EEZ</w:t>
      </w:r>
    </w:p>
    <w:p w14:paraId="5193EE80" w14:textId="77777777" w:rsidR="00DA6AF7" w:rsidRPr="006B034F" w:rsidRDefault="00DA6AF7" w:rsidP="006B034F">
      <w:pPr>
        <w:pStyle w:val="Bullet"/>
      </w:pPr>
      <w:r w:rsidRPr="006B034F">
        <w:t xml:space="preserve">identify climate change risks </w:t>
      </w:r>
    </w:p>
    <w:p w14:paraId="33317294" w14:textId="1D13D830" w:rsidR="00DA6AF7" w:rsidRPr="009203DE" w:rsidRDefault="00DA6AF7" w:rsidP="006B034F">
      <w:pPr>
        <w:pStyle w:val="Bullet"/>
        <w:rPr>
          <w:szCs w:val="22"/>
        </w:rPr>
      </w:pPr>
      <w:r w:rsidRPr="006B034F">
        <w:t xml:space="preserve">evaluate which </w:t>
      </w:r>
      <w:r w:rsidRPr="009203DE">
        <w:rPr>
          <w:szCs w:val="22"/>
        </w:rPr>
        <w:t>risks and opportunities to prioritise for more detailed assessment in</w:t>
      </w:r>
      <w:r w:rsidR="00B114E4">
        <w:rPr>
          <w:szCs w:val="22"/>
        </w:rPr>
        <w:t> </w:t>
      </w:r>
      <w:r w:rsidRPr="009203DE">
        <w:rPr>
          <w:szCs w:val="22"/>
        </w:rPr>
        <w:t>stage</w:t>
      </w:r>
      <w:r w:rsidR="006B034F">
        <w:rPr>
          <w:szCs w:val="22"/>
        </w:rPr>
        <w:t> </w:t>
      </w:r>
      <w:r w:rsidRPr="009203DE">
        <w:rPr>
          <w:szCs w:val="22"/>
        </w:rPr>
        <w:t xml:space="preserve">2. </w:t>
      </w:r>
    </w:p>
    <w:p w14:paraId="0B055596" w14:textId="4019A3AD" w:rsidR="00DA6AF7" w:rsidRPr="00605D84" w:rsidRDefault="00DA6AF7" w:rsidP="00605D84">
      <w:pPr>
        <w:pStyle w:val="BodyText"/>
      </w:pPr>
      <w:r w:rsidRPr="009203DE">
        <w:t xml:space="preserve">The first pass considered, at a high level, how elements at risk across the five value domains were </w:t>
      </w:r>
      <w:r w:rsidRPr="00605D84">
        <w:t xml:space="preserve">affected by hazards across the seven sub-national zones, Territorial Sea and EEZ in the present, near term and long term under RCP8.5 (see </w:t>
      </w:r>
      <w:hyperlink w:anchor="table6" w:history="1">
        <w:r w:rsidRPr="00853CCF">
          <w:rPr>
            <w:rStyle w:val="Hyperlink"/>
          </w:rPr>
          <w:t>table 6</w:t>
        </w:r>
      </w:hyperlink>
      <w:r w:rsidRPr="00605D84">
        <w:t>).</w:t>
      </w:r>
    </w:p>
    <w:p w14:paraId="66B10959" w14:textId="77777777" w:rsidR="00DA6AF7" w:rsidRPr="00605D84" w:rsidRDefault="00DA6AF7" w:rsidP="00605D84">
      <w:pPr>
        <w:pStyle w:val="BodyText"/>
      </w:pPr>
      <w:r w:rsidRPr="00605D84">
        <w:t xml:space="preserve">Only risks relevant at a national level or with a potential for significant magnitude of consequence across multiple sub-national zones were carried through for assessment. </w:t>
      </w:r>
    </w:p>
    <w:p w14:paraId="30C07B77" w14:textId="0EF0424C" w:rsidR="00DA6AF7" w:rsidRPr="00605D84" w:rsidRDefault="00DA6AF7" w:rsidP="00605D84">
      <w:pPr>
        <w:pStyle w:val="BodyText"/>
      </w:pPr>
      <w:r w:rsidRPr="00605D84">
        <w:t xml:space="preserve">Stage 1 was informed by literature and data review, expert elicitation and analysis (led by domain leads) and the engagement detailed in </w:t>
      </w:r>
      <w:hyperlink w:anchor="_Engagement_approach" w:history="1">
        <w:r w:rsidRPr="00B473D2">
          <w:rPr>
            <w:rStyle w:val="Hyperlink"/>
          </w:rPr>
          <w:t>section 3</w:t>
        </w:r>
      </w:hyperlink>
      <w:r w:rsidRPr="00605D84">
        <w:t>.</w:t>
      </w:r>
      <w:r w:rsidR="00467043">
        <w:t xml:space="preserve"> </w:t>
      </w:r>
    </w:p>
    <w:p w14:paraId="634D5FCA" w14:textId="3059354C" w:rsidR="00DA6AF7" w:rsidRPr="009203DE" w:rsidRDefault="00B23A54" w:rsidP="00605D84">
      <w:pPr>
        <w:pStyle w:val="BodyText"/>
      </w:pPr>
      <w:r>
        <w:t>In line with</w:t>
      </w:r>
      <w:r w:rsidRPr="00605D84">
        <w:t xml:space="preserve"> </w:t>
      </w:r>
      <w:r w:rsidR="00DA6AF7" w:rsidRPr="00605D84">
        <w:t>the NCCRA framework, the screen was mainly a qualitative analysis to develop a preliminary understanding</w:t>
      </w:r>
      <w:r w:rsidR="00DA6AF7" w:rsidRPr="009203DE">
        <w:t xml:space="preserve"> of the extent and relative consequence of risks</w:t>
      </w:r>
      <w:r w:rsidR="00BF4EF5">
        <w:t xml:space="preserve"> to</w:t>
      </w:r>
      <w:r w:rsidR="00DA6AF7" w:rsidRPr="009203DE">
        <w:t xml:space="preserve"> and opportunities </w:t>
      </w:r>
      <w:r w:rsidR="00BF4EF5">
        <w:t xml:space="preserve">for </w:t>
      </w:r>
      <w:r w:rsidR="00DA6AF7" w:rsidRPr="009203DE">
        <w:t xml:space="preserve">each element at risk. Risks and opportunities identified in stage 1 were evaluated using the magnitude of consequence criteria in </w:t>
      </w:r>
      <w:hyperlink w:anchor="_Appendix_B:_Assessment" w:history="1">
        <w:r w:rsidR="004218AE" w:rsidRPr="004218AE">
          <w:rPr>
            <w:rStyle w:val="Hyperlink"/>
          </w:rPr>
          <w:t>appendix C</w:t>
        </w:r>
        <w:r w:rsidR="00DA6AF7" w:rsidRPr="004218AE">
          <w:rPr>
            <w:rStyle w:val="Hyperlink"/>
          </w:rPr>
          <w:t>.</w:t>
        </w:r>
      </w:hyperlink>
      <w:r w:rsidR="00DA6AF7" w:rsidRPr="009203DE">
        <w:t xml:space="preserve"> </w:t>
      </w:r>
    </w:p>
    <w:p w14:paraId="2A60C73D" w14:textId="77777777" w:rsidR="00DA6AF7" w:rsidRPr="009203DE" w:rsidRDefault="00DA6AF7" w:rsidP="00957BB4">
      <w:pPr>
        <w:pStyle w:val="Heading3"/>
        <w:numPr>
          <w:ilvl w:val="0"/>
          <w:numId w:val="51"/>
        </w:numPr>
      </w:pPr>
      <w:bookmarkStart w:id="107" w:name="_Toc37690777"/>
      <w:bookmarkStart w:id="108" w:name="_Toc40686533"/>
      <w:r w:rsidRPr="009203DE">
        <w:lastRenderedPageBreak/>
        <w:t xml:space="preserve">Magnitude of </w:t>
      </w:r>
      <w:r w:rsidRPr="0075508B">
        <w:t>consequence</w:t>
      </w:r>
      <w:r w:rsidRPr="009203DE">
        <w:t xml:space="preserve"> criteria</w:t>
      </w:r>
      <w:bookmarkEnd w:id="107"/>
      <w:bookmarkEnd w:id="108"/>
    </w:p>
    <w:p w14:paraId="5DC8367E" w14:textId="60667DA0" w:rsidR="00DA6AF7" w:rsidRPr="009203DE" w:rsidRDefault="00DA6AF7" w:rsidP="00B76719">
      <w:pPr>
        <w:pStyle w:val="BodyText"/>
        <w:spacing w:after="100"/>
      </w:pPr>
      <w:r w:rsidRPr="009203DE">
        <w:t xml:space="preserve">Magnitude of consequence criteria were developed at the beginning of stage 1. This set of calibrated criteria for </w:t>
      </w:r>
      <w:r w:rsidRPr="00B76719">
        <w:t>each</w:t>
      </w:r>
      <w:r w:rsidRPr="009203DE">
        <w:t xml:space="preserve"> </w:t>
      </w:r>
      <w:r w:rsidRPr="00B76719">
        <w:t>domain</w:t>
      </w:r>
      <w:r w:rsidRPr="009203DE">
        <w:t xml:space="preserve"> plays a significant role in moderating risk ratings across domains, allowing comparison of magnitude between them. The domain leads (referred to as</w:t>
      </w:r>
      <w:r w:rsidR="00880CB8">
        <w:t> </w:t>
      </w:r>
      <w:r w:rsidRPr="009203DE">
        <w:t>the leads) and the risk assessment team (referred to as the RA team) developed the criteria through the following process</w:t>
      </w:r>
      <w:r w:rsidR="00F0370F">
        <w:t>.</w:t>
      </w:r>
    </w:p>
    <w:p w14:paraId="64DF569D" w14:textId="7D85686D" w:rsidR="00DA6AF7" w:rsidRPr="009203DE" w:rsidRDefault="00DA6AF7" w:rsidP="00B94A20">
      <w:pPr>
        <w:pStyle w:val="Numberedparagraph"/>
        <w:spacing w:after="100"/>
      </w:pPr>
      <w:r w:rsidRPr="009203DE">
        <w:t>Domain leads reviewed the example criteria in the NCCRA framework, to draft more detailed criteria for the value domains.</w:t>
      </w:r>
      <w:r w:rsidR="00467043">
        <w:t xml:space="preserve"> </w:t>
      </w:r>
    </w:p>
    <w:p w14:paraId="670AB2E1" w14:textId="051F3B07" w:rsidR="00DA6AF7" w:rsidRPr="009203DE" w:rsidRDefault="00DA6AF7" w:rsidP="00B94A20">
      <w:pPr>
        <w:pStyle w:val="Numberedparagraph"/>
        <w:spacing w:after="100"/>
      </w:pPr>
      <w:r w:rsidRPr="009203DE">
        <w:t>They discussed and calibrated the criteria for consistency across all domains, and to ensure</w:t>
      </w:r>
      <w:r w:rsidR="00880CB8">
        <w:t> </w:t>
      </w:r>
      <w:r w:rsidRPr="009203DE">
        <w:t xml:space="preserve">that each domain’s criteria covered the breadth and depth of potential impacts. </w:t>
      </w:r>
    </w:p>
    <w:p w14:paraId="207D4685" w14:textId="77777777" w:rsidR="00DA6AF7" w:rsidRPr="009203DE" w:rsidRDefault="00DA6AF7" w:rsidP="00B94A20">
      <w:pPr>
        <w:pStyle w:val="Numberedparagraph"/>
        <w:spacing w:after="100"/>
      </w:pPr>
      <w:r w:rsidRPr="009203DE">
        <w:t xml:space="preserve">Each domain lead reviewed the criteria. </w:t>
      </w:r>
    </w:p>
    <w:p w14:paraId="01071B8F" w14:textId="7B5CB0AE" w:rsidR="00DA6AF7" w:rsidRPr="009203DE" w:rsidRDefault="00DA6AF7" w:rsidP="00B94A20">
      <w:pPr>
        <w:pStyle w:val="Numberedparagraph"/>
        <w:spacing w:after="100"/>
      </w:pPr>
      <w:r w:rsidRPr="009203DE">
        <w:t xml:space="preserve">The RA team reviewed and revised the criteria to ensure the consequences for each domain were at a comparable level (eg, the consequence </w:t>
      </w:r>
      <w:r w:rsidR="00BF4EF5">
        <w:t>‘</w:t>
      </w:r>
      <w:r w:rsidRPr="009203DE">
        <w:t>Significant alteration of biologically important attributes throughout New Zealand</w:t>
      </w:r>
      <w:r w:rsidR="00BF4EF5">
        <w:t>’</w:t>
      </w:r>
      <w:r w:rsidRPr="009203DE">
        <w:t xml:space="preserve"> is equal to </w:t>
      </w:r>
      <w:r w:rsidR="00BF4EF5">
        <w:t>‘</w:t>
      </w:r>
      <w:r w:rsidRPr="009203DE">
        <w:t>Financial losses equivalent to &gt;3 per cent of GDP</w:t>
      </w:r>
      <w:r w:rsidR="00BF4EF5">
        <w:t>’</w:t>
      </w:r>
      <w:r w:rsidRPr="009203DE">
        <w:t>,</w:t>
      </w:r>
      <w:r w:rsidR="008051ED">
        <w:t xml:space="preserve"> which</w:t>
      </w:r>
      <w:r w:rsidRPr="009203DE">
        <w:t xml:space="preserve"> is equal to </w:t>
      </w:r>
      <w:r w:rsidR="00BF4EF5">
        <w:t>‘</w:t>
      </w:r>
      <w:r w:rsidRPr="009203DE">
        <w:t>More than 1000 residential dwellings require assessments for immediate relocation</w:t>
      </w:r>
      <w:r w:rsidR="00BF4EF5">
        <w:t>’</w:t>
      </w:r>
      <w:r w:rsidRPr="009203DE">
        <w:t>).</w:t>
      </w:r>
      <w:r w:rsidR="00467043">
        <w:t xml:space="preserve"> </w:t>
      </w:r>
    </w:p>
    <w:p w14:paraId="08B8FC1E" w14:textId="718543FA" w:rsidR="00DA6AF7" w:rsidRPr="009203DE" w:rsidRDefault="00DA6AF7" w:rsidP="00B94A20">
      <w:pPr>
        <w:pStyle w:val="Numberedparagraph"/>
      </w:pPr>
      <w:r w:rsidRPr="009203DE">
        <w:t>The domain leads held a final review, and developed guidance for using the consequence</w:t>
      </w:r>
      <w:r w:rsidR="0075508B">
        <w:t> </w:t>
      </w:r>
      <w:r w:rsidRPr="009203DE">
        <w:t>descriptors.</w:t>
      </w:r>
      <w:r w:rsidR="00467043">
        <w:t xml:space="preserve"> </w:t>
      </w:r>
    </w:p>
    <w:p w14:paraId="3BACC319" w14:textId="77777777" w:rsidR="00DA6AF7" w:rsidRPr="0075508B" w:rsidRDefault="00DA6AF7" w:rsidP="00957BB4">
      <w:pPr>
        <w:pStyle w:val="Heading3"/>
        <w:numPr>
          <w:ilvl w:val="0"/>
          <w:numId w:val="51"/>
        </w:numPr>
      </w:pPr>
      <w:bookmarkStart w:id="109" w:name="_Toc37690778"/>
      <w:bookmarkStart w:id="110" w:name="_Toc40686534"/>
      <w:r w:rsidRPr="0075508B">
        <w:t>Task 2: Identify climate risks and opportunities</w:t>
      </w:r>
      <w:bookmarkEnd w:id="109"/>
      <w:bookmarkEnd w:id="110"/>
    </w:p>
    <w:p w14:paraId="6DC55DE6" w14:textId="4B5D0917" w:rsidR="00DA6AF7" w:rsidRPr="009203DE" w:rsidRDefault="00DA6AF7" w:rsidP="00B94A20">
      <w:pPr>
        <w:pStyle w:val="BodyText"/>
        <w:spacing w:after="100"/>
      </w:pPr>
      <w:r w:rsidRPr="009203DE">
        <w:t>Climate change risks and opportunities were identified by considering elements across the five</w:t>
      </w:r>
      <w:r w:rsidR="00880CB8">
        <w:t> </w:t>
      </w:r>
      <w:r w:rsidRPr="009203DE">
        <w:t xml:space="preserve">value domains, how </w:t>
      </w:r>
      <w:r w:rsidRPr="0075508B">
        <w:t>they</w:t>
      </w:r>
      <w:r w:rsidRPr="009203DE">
        <w:t xml:space="preserve"> interact with potential hazards, and the range of time periods and regions in which a consequence could arise. The identification was informed by the following tasks</w:t>
      </w:r>
      <w:r w:rsidR="00000B92">
        <w:t>.</w:t>
      </w:r>
    </w:p>
    <w:p w14:paraId="47B0318C" w14:textId="7E96F385" w:rsidR="00DA6AF7" w:rsidRPr="005D6B64" w:rsidRDefault="00000B92" w:rsidP="00957BB4">
      <w:pPr>
        <w:pStyle w:val="Numberedparagraph"/>
        <w:numPr>
          <w:ilvl w:val="0"/>
          <w:numId w:val="24"/>
        </w:numPr>
        <w:spacing w:after="100"/>
      </w:pPr>
      <w:r>
        <w:t xml:space="preserve">The </w:t>
      </w:r>
      <w:r w:rsidR="008051ED">
        <w:t>RA</w:t>
      </w:r>
      <w:r>
        <w:t xml:space="preserve"> team conducted a l</w:t>
      </w:r>
      <w:r w:rsidR="00DA6AF7" w:rsidRPr="005D6B64">
        <w:t>iterature review of over 100 documents on climate change impacts across value domains, with literature recommended by domain leads and Māori engagement advisors (for literature specific to impacts on Māori).</w:t>
      </w:r>
    </w:p>
    <w:p w14:paraId="4D699E67" w14:textId="743C0B2C" w:rsidR="00DA6AF7" w:rsidRPr="009203DE" w:rsidRDefault="00000B92" w:rsidP="00B94A20">
      <w:pPr>
        <w:pStyle w:val="Numberedparagraph"/>
        <w:spacing w:after="100"/>
      </w:pPr>
      <w:r>
        <w:t>The team d</w:t>
      </w:r>
      <w:r w:rsidR="00DA6AF7" w:rsidRPr="009203DE">
        <w:t>evelop</w:t>
      </w:r>
      <w:r>
        <w:t>ed</w:t>
      </w:r>
      <w:r w:rsidR="00DA6AF7" w:rsidRPr="009203DE">
        <w:t xml:space="preserve"> initial risk statements and consequence descriptions. The</w:t>
      </w:r>
      <w:r w:rsidR="00B76719">
        <w:t> </w:t>
      </w:r>
      <w:r w:rsidR="00DA6AF7" w:rsidRPr="009203DE">
        <w:t>statements were captured in a M</w:t>
      </w:r>
      <w:r>
        <w:t>icrosoft</w:t>
      </w:r>
      <w:r w:rsidR="00DA6AF7" w:rsidRPr="009203DE">
        <w:t xml:space="preserve"> Excel workbook. A confidence rating was also included for each risk, for the level of evidence available to support the risk, and the level</w:t>
      </w:r>
      <w:r w:rsidR="00B76719">
        <w:t> </w:t>
      </w:r>
      <w:r w:rsidR="00DA6AF7" w:rsidRPr="009203DE">
        <w:t xml:space="preserve">of expert agreement about the risk. References informing each statement and any additional comments were also captured in the workbook. </w:t>
      </w:r>
      <w:hyperlink w:anchor="table9" w:history="1">
        <w:r w:rsidR="00DA6AF7" w:rsidRPr="00000B92">
          <w:rPr>
            <w:rStyle w:val="Hyperlink"/>
          </w:rPr>
          <w:t>Table 9</w:t>
        </w:r>
      </w:hyperlink>
      <w:r w:rsidR="00DA6AF7" w:rsidRPr="009203DE">
        <w:t xml:space="preserve"> shows the logic and process for identifying risks.</w:t>
      </w:r>
    </w:p>
    <w:p w14:paraId="67EEA763" w14:textId="52F58A85" w:rsidR="00DA6AF7" w:rsidRPr="009203DE" w:rsidRDefault="00DA6AF7" w:rsidP="0061029E">
      <w:pPr>
        <w:pStyle w:val="Tableheading"/>
      </w:pPr>
      <w:bookmarkStart w:id="111" w:name="_Ref40352039"/>
      <w:bookmarkStart w:id="112" w:name="table9"/>
      <w:bookmarkStart w:id="113" w:name="_Toc40686597"/>
      <w:bookmarkStart w:id="114" w:name="_Toc43899325"/>
      <w:r w:rsidRPr="009203DE">
        <w:t xml:space="preserve">Table </w:t>
      </w:r>
      <w:fldSimple w:instr=" SEQ Table \* ARABIC ">
        <w:r w:rsidR="001B2025">
          <w:rPr>
            <w:noProof/>
          </w:rPr>
          <w:t>9</w:t>
        </w:r>
      </w:fldSimple>
      <w:bookmarkEnd w:id="111"/>
      <w:r w:rsidR="0075508B">
        <w:rPr>
          <w:noProof/>
        </w:rPr>
        <w:t>:</w:t>
      </w:r>
      <w:bookmarkEnd w:id="112"/>
      <w:r w:rsidRPr="009203DE">
        <w:tab/>
        <w:t>Logic and process for identifying climate change risks</w:t>
      </w:r>
      <w:bookmarkEnd w:id="113"/>
      <w:bookmarkEnd w:id="114"/>
    </w:p>
    <w:tbl>
      <w:tblPr>
        <w:tblW w:w="8505" w:type="dxa"/>
        <w:tblInd w:w="10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2177"/>
        <w:gridCol w:w="2148"/>
        <w:gridCol w:w="1890"/>
        <w:gridCol w:w="2290"/>
      </w:tblGrid>
      <w:tr w:rsidR="00880CB8" w:rsidRPr="00880CB8" w14:paraId="0CF61BCE" w14:textId="77777777" w:rsidTr="005D6B64">
        <w:trPr>
          <w:trHeight w:val="340"/>
          <w:tblHeader/>
        </w:trPr>
        <w:tc>
          <w:tcPr>
            <w:tcW w:w="2155" w:type="dxa"/>
            <w:shd w:val="clear" w:color="auto" w:fill="1C556C" w:themeFill="accent1"/>
            <w:tcMar>
              <w:top w:w="0" w:type="dxa"/>
            </w:tcMar>
            <w:vAlign w:val="center"/>
          </w:tcPr>
          <w:p w14:paraId="4998763A" w14:textId="77777777" w:rsidR="00DA6AF7" w:rsidRPr="00880CB8" w:rsidRDefault="00DA6AF7" w:rsidP="00880CB8">
            <w:pPr>
              <w:pStyle w:val="TableTextBold"/>
              <w:rPr>
                <w:color w:val="FFFFFF" w:themeColor="background1"/>
              </w:rPr>
            </w:pPr>
            <w:r w:rsidRPr="00880CB8">
              <w:rPr>
                <w:color w:val="FFFFFF" w:themeColor="background1"/>
              </w:rPr>
              <w:t xml:space="preserve">Logic </w:t>
            </w:r>
          </w:p>
        </w:tc>
        <w:tc>
          <w:tcPr>
            <w:tcW w:w="2127" w:type="dxa"/>
            <w:shd w:val="clear" w:color="auto" w:fill="1C556C" w:themeFill="accent1"/>
            <w:tcMar>
              <w:top w:w="0" w:type="dxa"/>
            </w:tcMar>
            <w:vAlign w:val="center"/>
          </w:tcPr>
          <w:p w14:paraId="78FC732C" w14:textId="77777777" w:rsidR="00DA6AF7" w:rsidRPr="00880CB8" w:rsidRDefault="00DA6AF7" w:rsidP="00880CB8">
            <w:pPr>
              <w:pStyle w:val="TableTextBold"/>
              <w:rPr>
                <w:color w:val="FFFFFF" w:themeColor="background1"/>
              </w:rPr>
            </w:pPr>
            <w:r w:rsidRPr="00880CB8">
              <w:rPr>
                <w:color w:val="FFFFFF" w:themeColor="background1"/>
              </w:rPr>
              <w:t xml:space="preserve">Information </w:t>
            </w:r>
          </w:p>
        </w:tc>
        <w:tc>
          <w:tcPr>
            <w:tcW w:w="1871" w:type="dxa"/>
            <w:shd w:val="clear" w:color="auto" w:fill="1C556C" w:themeFill="accent1"/>
            <w:tcMar>
              <w:top w:w="0" w:type="dxa"/>
            </w:tcMar>
            <w:vAlign w:val="center"/>
          </w:tcPr>
          <w:p w14:paraId="07DB529A" w14:textId="77777777" w:rsidR="00DA6AF7" w:rsidRPr="00880CB8" w:rsidRDefault="00DA6AF7" w:rsidP="00880CB8">
            <w:pPr>
              <w:pStyle w:val="TableTextBold"/>
              <w:rPr>
                <w:color w:val="FFFFFF" w:themeColor="background1"/>
              </w:rPr>
            </w:pPr>
            <w:r w:rsidRPr="00880CB8">
              <w:rPr>
                <w:color w:val="FFFFFF" w:themeColor="background1"/>
              </w:rPr>
              <w:t xml:space="preserve">Example </w:t>
            </w:r>
          </w:p>
        </w:tc>
        <w:tc>
          <w:tcPr>
            <w:tcW w:w="2267" w:type="dxa"/>
            <w:shd w:val="clear" w:color="auto" w:fill="1C556C" w:themeFill="accent1"/>
            <w:tcMar>
              <w:top w:w="0" w:type="dxa"/>
            </w:tcMar>
            <w:vAlign w:val="center"/>
          </w:tcPr>
          <w:p w14:paraId="03FC9BEA" w14:textId="77777777" w:rsidR="00DA6AF7" w:rsidRPr="00880CB8" w:rsidRDefault="00DA6AF7" w:rsidP="00880CB8">
            <w:pPr>
              <w:pStyle w:val="TableTextBold"/>
              <w:rPr>
                <w:color w:val="FFFFFF" w:themeColor="background1"/>
              </w:rPr>
            </w:pPr>
            <w:r w:rsidRPr="00880CB8">
              <w:rPr>
                <w:color w:val="FFFFFF" w:themeColor="background1"/>
              </w:rPr>
              <w:t xml:space="preserve">Source </w:t>
            </w:r>
          </w:p>
        </w:tc>
      </w:tr>
      <w:tr w:rsidR="00DA6AF7" w:rsidRPr="00880CB8" w14:paraId="321CF14A" w14:textId="77777777" w:rsidTr="005D6B64">
        <w:tc>
          <w:tcPr>
            <w:tcW w:w="2155" w:type="dxa"/>
            <w:shd w:val="clear" w:color="auto" w:fill="auto"/>
            <w:tcMar>
              <w:top w:w="0" w:type="dxa"/>
            </w:tcMar>
          </w:tcPr>
          <w:p w14:paraId="58955F5D" w14:textId="77777777" w:rsidR="00DA6AF7" w:rsidRPr="00880CB8" w:rsidRDefault="00DA6AF7" w:rsidP="00880CB8">
            <w:pPr>
              <w:pStyle w:val="TableText"/>
            </w:pPr>
            <w:r w:rsidRPr="00880CB8">
              <w:t xml:space="preserve">A receptor… </w:t>
            </w:r>
          </w:p>
        </w:tc>
        <w:tc>
          <w:tcPr>
            <w:tcW w:w="2127" w:type="dxa"/>
            <w:shd w:val="clear" w:color="auto" w:fill="auto"/>
            <w:tcMar>
              <w:top w:w="0" w:type="dxa"/>
            </w:tcMar>
          </w:tcPr>
          <w:p w14:paraId="75784F18" w14:textId="77777777" w:rsidR="00DA6AF7" w:rsidRPr="00880CB8" w:rsidRDefault="00DA6AF7" w:rsidP="00880CB8">
            <w:pPr>
              <w:pStyle w:val="TableText"/>
            </w:pPr>
            <w:r w:rsidRPr="00880CB8">
              <w:t xml:space="preserve">Value domain/element (pre-set list) </w:t>
            </w:r>
          </w:p>
        </w:tc>
        <w:tc>
          <w:tcPr>
            <w:tcW w:w="1871" w:type="dxa"/>
            <w:shd w:val="clear" w:color="auto" w:fill="auto"/>
            <w:tcMar>
              <w:top w:w="0" w:type="dxa"/>
            </w:tcMar>
          </w:tcPr>
          <w:p w14:paraId="237F4388" w14:textId="77777777" w:rsidR="00DA6AF7" w:rsidRPr="00880CB8" w:rsidRDefault="00DA6AF7" w:rsidP="00880CB8">
            <w:pPr>
              <w:pStyle w:val="TableText"/>
            </w:pPr>
            <w:r w:rsidRPr="00880CB8">
              <w:t xml:space="preserve">Human/coastal communities </w:t>
            </w:r>
          </w:p>
        </w:tc>
        <w:tc>
          <w:tcPr>
            <w:tcW w:w="2267" w:type="dxa"/>
            <w:shd w:val="clear" w:color="auto" w:fill="auto"/>
            <w:tcMar>
              <w:top w:w="0" w:type="dxa"/>
            </w:tcMar>
          </w:tcPr>
          <w:p w14:paraId="644E7CF7" w14:textId="77777777" w:rsidR="00DA6AF7" w:rsidRPr="00880CB8" w:rsidRDefault="00DA6AF7" w:rsidP="00880CB8">
            <w:pPr>
              <w:pStyle w:val="TableText"/>
            </w:pPr>
            <w:r w:rsidRPr="00880CB8">
              <w:t xml:space="preserve">NCCRA framework, domain leads </w:t>
            </w:r>
          </w:p>
        </w:tc>
      </w:tr>
      <w:tr w:rsidR="00DA6AF7" w:rsidRPr="00880CB8" w14:paraId="72086B88" w14:textId="77777777" w:rsidTr="005D6B64">
        <w:tc>
          <w:tcPr>
            <w:tcW w:w="2155" w:type="dxa"/>
            <w:shd w:val="clear" w:color="auto" w:fill="auto"/>
            <w:tcMar>
              <w:top w:w="0" w:type="dxa"/>
            </w:tcMar>
          </w:tcPr>
          <w:p w14:paraId="1B616A65" w14:textId="77777777" w:rsidR="00DA6AF7" w:rsidRPr="00880CB8" w:rsidRDefault="00DA6AF7" w:rsidP="00880CB8">
            <w:pPr>
              <w:pStyle w:val="TableText"/>
            </w:pPr>
            <w:r w:rsidRPr="00880CB8">
              <w:t xml:space="preserve">…May be affected by… </w:t>
            </w:r>
          </w:p>
        </w:tc>
        <w:tc>
          <w:tcPr>
            <w:tcW w:w="2127" w:type="dxa"/>
            <w:shd w:val="clear" w:color="auto" w:fill="auto"/>
            <w:tcMar>
              <w:top w:w="0" w:type="dxa"/>
            </w:tcMar>
          </w:tcPr>
          <w:p w14:paraId="033B5540" w14:textId="77777777" w:rsidR="00DA6AF7" w:rsidRPr="00880CB8" w:rsidRDefault="00DA6AF7" w:rsidP="00880CB8">
            <w:pPr>
              <w:pStyle w:val="TableText"/>
            </w:pPr>
            <w:r w:rsidRPr="00880CB8">
              <w:t>Hazard (pre-set list)</w:t>
            </w:r>
          </w:p>
        </w:tc>
        <w:tc>
          <w:tcPr>
            <w:tcW w:w="1871" w:type="dxa"/>
            <w:shd w:val="clear" w:color="auto" w:fill="auto"/>
            <w:tcMar>
              <w:top w:w="0" w:type="dxa"/>
            </w:tcMar>
          </w:tcPr>
          <w:p w14:paraId="16422057" w14:textId="77777777" w:rsidR="00DA6AF7" w:rsidRPr="00880CB8" w:rsidRDefault="00DA6AF7" w:rsidP="00880CB8">
            <w:pPr>
              <w:pStyle w:val="TableText"/>
            </w:pPr>
            <w:r w:rsidRPr="00880CB8">
              <w:t xml:space="preserve">Flooding – coastal </w:t>
            </w:r>
          </w:p>
        </w:tc>
        <w:tc>
          <w:tcPr>
            <w:tcW w:w="2267" w:type="dxa"/>
            <w:shd w:val="clear" w:color="auto" w:fill="auto"/>
            <w:tcMar>
              <w:top w:w="0" w:type="dxa"/>
            </w:tcMar>
          </w:tcPr>
          <w:p w14:paraId="01DF63E8" w14:textId="77777777" w:rsidR="00DA6AF7" w:rsidRPr="00880CB8" w:rsidRDefault="00DA6AF7" w:rsidP="00880CB8">
            <w:pPr>
              <w:pStyle w:val="TableText"/>
            </w:pPr>
            <w:r w:rsidRPr="00880CB8">
              <w:t xml:space="preserve">NCCRA framework, domain leads, NIWA </w:t>
            </w:r>
          </w:p>
        </w:tc>
      </w:tr>
      <w:tr w:rsidR="00DA6AF7" w:rsidRPr="00880CB8" w14:paraId="75B3E7F3" w14:textId="77777777" w:rsidTr="005D6B64">
        <w:tc>
          <w:tcPr>
            <w:tcW w:w="2155" w:type="dxa"/>
            <w:shd w:val="clear" w:color="auto" w:fill="auto"/>
            <w:tcMar>
              <w:top w:w="0" w:type="dxa"/>
            </w:tcMar>
          </w:tcPr>
          <w:p w14:paraId="48123FB6" w14:textId="30D07E08" w:rsidR="00DA6AF7" w:rsidRPr="00880CB8" w:rsidRDefault="00DA6AF7" w:rsidP="00880CB8">
            <w:pPr>
              <w:pStyle w:val="TableText"/>
            </w:pPr>
            <w:r w:rsidRPr="00880CB8">
              <w:t>…This can result in…</w:t>
            </w:r>
            <w:r w:rsidR="00467043">
              <w:t xml:space="preserve"> </w:t>
            </w:r>
          </w:p>
        </w:tc>
        <w:tc>
          <w:tcPr>
            <w:tcW w:w="2127" w:type="dxa"/>
            <w:shd w:val="clear" w:color="auto" w:fill="auto"/>
            <w:tcMar>
              <w:top w:w="0" w:type="dxa"/>
            </w:tcMar>
          </w:tcPr>
          <w:p w14:paraId="7F230AE5" w14:textId="77777777" w:rsidR="00DA6AF7" w:rsidRPr="00880CB8" w:rsidRDefault="00DA6AF7" w:rsidP="00880CB8">
            <w:pPr>
              <w:pStyle w:val="TableText"/>
            </w:pPr>
            <w:r w:rsidRPr="00880CB8">
              <w:t xml:space="preserve">Risk description (free text) </w:t>
            </w:r>
          </w:p>
        </w:tc>
        <w:tc>
          <w:tcPr>
            <w:tcW w:w="1871" w:type="dxa"/>
            <w:shd w:val="clear" w:color="auto" w:fill="auto"/>
            <w:tcMar>
              <w:top w:w="0" w:type="dxa"/>
            </w:tcMar>
          </w:tcPr>
          <w:p w14:paraId="7E65F4F7" w14:textId="77777777" w:rsidR="00DA6AF7" w:rsidRPr="00880CB8" w:rsidRDefault="00DA6AF7" w:rsidP="00880CB8">
            <w:pPr>
              <w:pStyle w:val="TableText"/>
            </w:pPr>
            <w:r w:rsidRPr="00880CB8">
              <w:t xml:space="preserve">Risk of flooding to coastal communities </w:t>
            </w:r>
          </w:p>
        </w:tc>
        <w:tc>
          <w:tcPr>
            <w:tcW w:w="2267" w:type="dxa"/>
            <w:shd w:val="clear" w:color="auto" w:fill="auto"/>
            <w:tcMar>
              <w:top w:w="0" w:type="dxa"/>
            </w:tcMar>
          </w:tcPr>
          <w:p w14:paraId="287398A6" w14:textId="77777777" w:rsidR="00DA6AF7" w:rsidRPr="00880CB8" w:rsidRDefault="00DA6AF7" w:rsidP="00880CB8">
            <w:pPr>
              <w:pStyle w:val="TableText"/>
            </w:pPr>
            <w:r w:rsidRPr="00880CB8">
              <w:t xml:space="preserve">Literature review, stakeholder engagement </w:t>
            </w:r>
          </w:p>
        </w:tc>
      </w:tr>
      <w:tr w:rsidR="00DA6AF7" w:rsidRPr="00880CB8" w14:paraId="05316264" w14:textId="77777777" w:rsidTr="005D6B64">
        <w:tc>
          <w:tcPr>
            <w:tcW w:w="2155" w:type="dxa"/>
            <w:shd w:val="clear" w:color="auto" w:fill="auto"/>
            <w:tcMar>
              <w:top w:w="0" w:type="dxa"/>
            </w:tcMar>
          </w:tcPr>
          <w:p w14:paraId="11D658B4" w14:textId="77777777" w:rsidR="00DA6AF7" w:rsidRPr="00880CB8" w:rsidRDefault="00DA6AF7" w:rsidP="00880CB8">
            <w:pPr>
              <w:pStyle w:val="TableText"/>
            </w:pPr>
            <w:r w:rsidRPr="00880CB8">
              <w:t xml:space="preserve">…In the following… </w:t>
            </w:r>
          </w:p>
        </w:tc>
        <w:tc>
          <w:tcPr>
            <w:tcW w:w="2127" w:type="dxa"/>
            <w:shd w:val="clear" w:color="auto" w:fill="auto"/>
            <w:tcMar>
              <w:top w:w="0" w:type="dxa"/>
            </w:tcMar>
          </w:tcPr>
          <w:p w14:paraId="6715BBF1" w14:textId="77777777" w:rsidR="00DA6AF7" w:rsidRPr="00880CB8" w:rsidRDefault="00DA6AF7" w:rsidP="00880CB8">
            <w:pPr>
              <w:pStyle w:val="TableText"/>
            </w:pPr>
            <w:r w:rsidRPr="00880CB8">
              <w:t>Sub-regions (pre-set list)</w:t>
            </w:r>
          </w:p>
        </w:tc>
        <w:tc>
          <w:tcPr>
            <w:tcW w:w="1871" w:type="dxa"/>
            <w:shd w:val="clear" w:color="auto" w:fill="auto"/>
            <w:tcMar>
              <w:top w:w="0" w:type="dxa"/>
            </w:tcMar>
          </w:tcPr>
          <w:p w14:paraId="47D8027D" w14:textId="77777777" w:rsidR="00DA6AF7" w:rsidRPr="00880CB8" w:rsidRDefault="00DA6AF7" w:rsidP="00880CB8">
            <w:pPr>
              <w:pStyle w:val="TableText"/>
            </w:pPr>
            <w:r w:rsidRPr="00880CB8">
              <w:t xml:space="preserve">1, 2, 5, 6 </w:t>
            </w:r>
          </w:p>
        </w:tc>
        <w:tc>
          <w:tcPr>
            <w:tcW w:w="2267" w:type="dxa"/>
            <w:shd w:val="clear" w:color="auto" w:fill="auto"/>
            <w:tcMar>
              <w:top w:w="0" w:type="dxa"/>
            </w:tcMar>
          </w:tcPr>
          <w:p w14:paraId="44E44B81" w14:textId="77777777" w:rsidR="00DA6AF7" w:rsidRPr="00880CB8" w:rsidRDefault="00DA6AF7" w:rsidP="00880CB8">
            <w:pPr>
              <w:pStyle w:val="TableText"/>
            </w:pPr>
            <w:r w:rsidRPr="00880CB8">
              <w:t xml:space="preserve">Literature review, stakeholder engagement </w:t>
            </w:r>
          </w:p>
        </w:tc>
      </w:tr>
      <w:tr w:rsidR="00DA6AF7" w:rsidRPr="00880CB8" w14:paraId="08B53DC7" w14:textId="77777777" w:rsidTr="005D6B64">
        <w:tc>
          <w:tcPr>
            <w:tcW w:w="2155" w:type="dxa"/>
            <w:shd w:val="clear" w:color="auto" w:fill="auto"/>
            <w:tcMar>
              <w:top w:w="0" w:type="dxa"/>
            </w:tcMar>
          </w:tcPr>
          <w:p w14:paraId="52985797" w14:textId="77777777" w:rsidR="00DA6AF7" w:rsidRPr="00880CB8" w:rsidRDefault="00DA6AF7" w:rsidP="00880CB8">
            <w:pPr>
              <w:pStyle w:val="TableText"/>
            </w:pPr>
            <w:r w:rsidRPr="00880CB8">
              <w:t xml:space="preserve">…Which could happen in… </w:t>
            </w:r>
          </w:p>
        </w:tc>
        <w:tc>
          <w:tcPr>
            <w:tcW w:w="2127" w:type="dxa"/>
            <w:shd w:val="clear" w:color="auto" w:fill="auto"/>
            <w:tcMar>
              <w:top w:w="0" w:type="dxa"/>
            </w:tcMar>
          </w:tcPr>
          <w:p w14:paraId="39651DB6" w14:textId="77777777" w:rsidR="00DA6AF7" w:rsidRPr="00880CB8" w:rsidRDefault="00DA6AF7" w:rsidP="00880CB8">
            <w:pPr>
              <w:pStyle w:val="TableText"/>
            </w:pPr>
            <w:r w:rsidRPr="00880CB8">
              <w:t>Timeframes (pre-set list)</w:t>
            </w:r>
          </w:p>
        </w:tc>
        <w:tc>
          <w:tcPr>
            <w:tcW w:w="1871" w:type="dxa"/>
            <w:shd w:val="clear" w:color="auto" w:fill="auto"/>
            <w:tcMar>
              <w:top w:w="0" w:type="dxa"/>
            </w:tcMar>
          </w:tcPr>
          <w:p w14:paraId="7731B17F" w14:textId="77777777" w:rsidR="00DA6AF7" w:rsidRPr="00880CB8" w:rsidRDefault="00DA6AF7" w:rsidP="00880CB8">
            <w:pPr>
              <w:pStyle w:val="TableText"/>
            </w:pPr>
            <w:r w:rsidRPr="00880CB8">
              <w:t xml:space="preserve">Present, 2050, 2100 </w:t>
            </w:r>
          </w:p>
        </w:tc>
        <w:tc>
          <w:tcPr>
            <w:tcW w:w="2267" w:type="dxa"/>
            <w:shd w:val="clear" w:color="auto" w:fill="auto"/>
            <w:tcMar>
              <w:top w:w="0" w:type="dxa"/>
            </w:tcMar>
          </w:tcPr>
          <w:p w14:paraId="487341EF" w14:textId="77777777" w:rsidR="00DA6AF7" w:rsidRPr="00880CB8" w:rsidRDefault="00DA6AF7" w:rsidP="00880CB8">
            <w:pPr>
              <w:pStyle w:val="TableText"/>
            </w:pPr>
            <w:r w:rsidRPr="00880CB8">
              <w:t xml:space="preserve">Literature review, stakeholder engagement </w:t>
            </w:r>
          </w:p>
        </w:tc>
      </w:tr>
      <w:tr w:rsidR="00DA6AF7" w:rsidRPr="00880CB8" w14:paraId="18A1A5D1" w14:textId="77777777" w:rsidTr="005D6B64">
        <w:tc>
          <w:tcPr>
            <w:tcW w:w="2155" w:type="dxa"/>
            <w:shd w:val="clear" w:color="auto" w:fill="auto"/>
            <w:tcMar>
              <w:top w:w="0" w:type="dxa"/>
            </w:tcMar>
          </w:tcPr>
          <w:p w14:paraId="2C0FA781" w14:textId="77777777" w:rsidR="00DA6AF7" w:rsidRPr="00880CB8" w:rsidRDefault="00DA6AF7" w:rsidP="00880CB8">
            <w:pPr>
              <w:pStyle w:val="TableText"/>
            </w:pPr>
            <w:r w:rsidRPr="00880CB8">
              <w:t xml:space="preserve">…This impact can be described as… </w:t>
            </w:r>
          </w:p>
        </w:tc>
        <w:tc>
          <w:tcPr>
            <w:tcW w:w="2127" w:type="dxa"/>
            <w:shd w:val="clear" w:color="auto" w:fill="auto"/>
            <w:tcMar>
              <w:top w:w="0" w:type="dxa"/>
            </w:tcMar>
          </w:tcPr>
          <w:p w14:paraId="6F99B9C8" w14:textId="77777777" w:rsidR="00DA6AF7" w:rsidRPr="00880CB8" w:rsidRDefault="00DA6AF7" w:rsidP="00880CB8">
            <w:pPr>
              <w:pStyle w:val="TableText"/>
            </w:pPr>
            <w:r w:rsidRPr="00880CB8">
              <w:t xml:space="preserve">Consequence description </w:t>
            </w:r>
          </w:p>
        </w:tc>
        <w:tc>
          <w:tcPr>
            <w:tcW w:w="1871" w:type="dxa"/>
            <w:shd w:val="clear" w:color="auto" w:fill="auto"/>
            <w:tcMar>
              <w:top w:w="0" w:type="dxa"/>
            </w:tcMar>
          </w:tcPr>
          <w:p w14:paraId="77791727" w14:textId="77777777" w:rsidR="00DA6AF7" w:rsidRPr="00880CB8" w:rsidRDefault="00DA6AF7" w:rsidP="00880CB8">
            <w:pPr>
              <w:pStyle w:val="TableText"/>
            </w:pPr>
            <w:r w:rsidRPr="00880CB8">
              <w:t xml:space="preserve">Large number of people and communities affected, </w:t>
            </w:r>
            <w:r w:rsidRPr="00880CB8">
              <w:lastRenderedPageBreak/>
              <w:t xml:space="preserve">steep increase in injuries, casualties, displacement </w:t>
            </w:r>
          </w:p>
        </w:tc>
        <w:tc>
          <w:tcPr>
            <w:tcW w:w="2267" w:type="dxa"/>
            <w:shd w:val="clear" w:color="auto" w:fill="auto"/>
            <w:tcMar>
              <w:top w:w="0" w:type="dxa"/>
            </w:tcMar>
          </w:tcPr>
          <w:p w14:paraId="7B7A29C7" w14:textId="77777777" w:rsidR="00DA6AF7" w:rsidRPr="00880CB8" w:rsidRDefault="00DA6AF7" w:rsidP="00880CB8">
            <w:pPr>
              <w:pStyle w:val="TableText"/>
            </w:pPr>
            <w:r w:rsidRPr="00880CB8">
              <w:lastRenderedPageBreak/>
              <w:t>NCCRA framework, domain leads</w:t>
            </w:r>
          </w:p>
        </w:tc>
      </w:tr>
    </w:tbl>
    <w:bookmarkEnd w:id="1"/>
    <w:p w14:paraId="30B78EE5" w14:textId="0029CEBB" w:rsidR="004D3787" w:rsidRPr="009203DE" w:rsidRDefault="007E6FD2" w:rsidP="00195DF4">
      <w:pPr>
        <w:pStyle w:val="Numberedparagraph"/>
        <w:spacing w:before="240"/>
      </w:pPr>
      <w:r>
        <w:t>The RA team c</w:t>
      </w:r>
      <w:r w:rsidR="004D3787" w:rsidRPr="009203DE">
        <w:t>onsolidat</w:t>
      </w:r>
      <w:r>
        <w:t>ed</w:t>
      </w:r>
      <w:r w:rsidR="004D3787" w:rsidRPr="009203DE">
        <w:t xml:space="preserve"> and calibrat</w:t>
      </w:r>
      <w:r>
        <w:t>ed</w:t>
      </w:r>
      <w:r w:rsidR="004D3787" w:rsidRPr="009203DE">
        <w:t xml:space="preserve"> risk statements, to remove duplication and encourage consistency where possible, and to align risks in terms of detail and scope. The original list of risks was kept for reference. Aggregation of risks followed these rules</w:t>
      </w:r>
      <w:r>
        <w:t>.</w:t>
      </w:r>
    </w:p>
    <w:p w14:paraId="0CF1C741" w14:textId="77777777" w:rsidR="004D3787" w:rsidRPr="00195DF4" w:rsidRDefault="004D3787" w:rsidP="00C939BE">
      <w:pPr>
        <w:pStyle w:val="Sub-lista"/>
      </w:pPr>
      <w:r w:rsidRPr="009203DE">
        <w:t xml:space="preserve">Use the same format for writing risks: Risks to (element) from (process, if the risk is </w:t>
      </w:r>
      <w:r w:rsidRPr="00195DF4">
        <w:t xml:space="preserve">mediated by a process) due to (climate hazard). </w:t>
      </w:r>
    </w:p>
    <w:p w14:paraId="3275B6D8" w14:textId="6CBA50D8" w:rsidR="004D3787" w:rsidRPr="00195DF4" w:rsidRDefault="004D3787" w:rsidP="00C939BE">
      <w:pPr>
        <w:pStyle w:val="Sub-lista"/>
      </w:pPr>
      <w:r w:rsidRPr="00195DF4">
        <w:t>Group risks to assets/values of the same character resulting from hazards that occur as a gradual</w:t>
      </w:r>
      <w:r w:rsidR="00D4420B">
        <w:t>-</w:t>
      </w:r>
      <w:r w:rsidRPr="00195DF4">
        <w:t xml:space="preserve">onset stress. These are high likelihood trends, such as sea-level rise, coastal erosion, increased mean air temperature, higher atmospheric </w:t>
      </w:r>
      <w:r w:rsidR="007E6FD2">
        <w:t>carbon dioxide</w:t>
      </w:r>
      <w:r w:rsidR="007E6FD2" w:rsidRPr="00195DF4">
        <w:t xml:space="preserve"> </w:t>
      </w:r>
      <w:r w:rsidRPr="00195DF4">
        <w:t xml:space="preserve">concentration, ocean acidification and ocean warming. </w:t>
      </w:r>
    </w:p>
    <w:p w14:paraId="68F45914" w14:textId="4D15DD4D" w:rsidR="004D3787" w:rsidRPr="009203DE" w:rsidRDefault="004D3787" w:rsidP="00C939BE">
      <w:pPr>
        <w:pStyle w:val="Sub-lista"/>
      </w:pPr>
      <w:r w:rsidRPr="00195DF4">
        <w:t>Group</w:t>
      </w:r>
      <w:r w:rsidRPr="009203DE">
        <w:t xml:space="preserve"> risks to assets/values of the same character resulting from hazards that occur as a shock event and for which the frequency or intensity </w:t>
      </w:r>
      <w:r w:rsidR="007E6FD2">
        <w:t>is</w:t>
      </w:r>
      <w:r w:rsidR="007E6FD2" w:rsidRPr="009203DE">
        <w:t xml:space="preserve"> </w:t>
      </w:r>
      <w:r w:rsidRPr="009203DE">
        <w:t xml:space="preserve">likely to be affected by climate change. These include drought, storm, flooding and heatwave. </w:t>
      </w:r>
    </w:p>
    <w:p w14:paraId="010A4197" w14:textId="0F0C0565" w:rsidR="004D3787" w:rsidRPr="009203DE" w:rsidRDefault="000C1F7E" w:rsidP="00F7408E">
      <w:pPr>
        <w:pStyle w:val="Numberedparagraph"/>
        <w:spacing w:before="60"/>
      </w:pPr>
      <w:r w:rsidRPr="009203DE">
        <w:t xml:space="preserve">Domain </w:t>
      </w:r>
      <w:r>
        <w:t>l</w:t>
      </w:r>
      <w:r w:rsidRPr="009203DE">
        <w:t xml:space="preserve">eads individually </w:t>
      </w:r>
      <w:r w:rsidR="00A704C6">
        <w:t xml:space="preserve">reviewed and edited consolidated risks </w:t>
      </w:r>
      <w:r w:rsidR="00543516">
        <w:t>in</w:t>
      </w:r>
      <w:r w:rsidRPr="009203DE">
        <w:t xml:space="preserve"> a half-day working session with the RA team. </w:t>
      </w:r>
      <w:r w:rsidR="004D3787" w:rsidRPr="009203DE">
        <w:t>They completed the following tasks</w:t>
      </w:r>
      <w:r w:rsidR="007E6FD2">
        <w:t>.</w:t>
      </w:r>
    </w:p>
    <w:p w14:paraId="0182F1DC" w14:textId="083DD47D" w:rsidR="004D3787" w:rsidRPr="009203DE" w:rsidRDefault="007E6FD2" w:rsidP="00957BB4">
      <w:pPr>
        <w:pStyle w:val="Sub-lista"/>
        <w:numPr>
          <w:ilvl w:val="0"/>
          <w:numId w:val="26"/>
        </w:numPr>
      </w:pPr>
      <w:r>
        <w:t>They c</w:t>
      </w:r>
      <w:r w:rsidR="004D3787" w:rsidRPr="009203DE">
        <w:t xml:space="preserve">ompared groupings of risks to moderate across all domains and encourage consistency as much as possible in the scope and detail of risks, including reviewing and making consistent: </w:t>
      </w:r>
    </w:p>
    <w:p w14:paraId="17853AA6" w14:textId="77777777" w:rsidR="004D3787" w:rsidRPr="009203DE" w:rsidRDefault="004D3787" w:rsidP="00C939BE">
      <w:pPr>
        <w:pStyle w:val="Sub-listi"/>
      </w:pPr>
      <w:r w:rsidRPr="009203DE">
        <w:t xml:space="preserve">the </w:t>
      </w:r>
      <w:r w:rsidRPr="00C939BE">
        <w:t>level</w:t>
      </w:r>
      <w:r w:rsidRPr="009203DE">
        <w:t xml:space="preserve"> of detail of risks in each value domain</w:t>
      </w:r>
    </w:p>
    <w:p w14:paraId="6D27BA58" w14:textId="77777777" w:rsidR="004D3787" w:rsidRPr="009203DE" w:rsidRDefault="004D3787" w:rsidP="00C939BE">
      <w:pPr>
        <w:pStyle w:val="Sub-listi"/>
      </w:pPr>
      <w:r w:rsidRPr="009203DE">
        <w:t>the syntax of risks</w:t>
      </w:r>
    </w:p>
    <w:p w14:paraId="2824B0D4" w14:textId="77777777" w:rsidR="004D3787" w:rsidRPr="009203DE" w:rsidRDefault="004D3787" w:rsidP="00C939BE">
      <w:pPr>
        <w:pStyle w:val="Sub-listi"/>
      </w:pPr>
      <w:r w:rsidRPr="009203DE">
        <w:t>the number, scope and breadth of risks (ensuring as much as possible that all sub-sectors within each value domain have been considered and, where significant, are included in the list of risks).</w:t>
      </w:r>
    </w:p>
    <w:p w14:paraId="22A071A2" w14:textId="37D19281" w:rsidR="004D3787" w:rsidRPr="00720475" w:rsidRDefault="007E6FD2" w:rsidP="00720475">
      <w:pPr>
        <w:pStyle w:val="Sub-lista"/>
      </w:pPr>
      <w:r>
        <w:t>They c</w:t>
      </w:r>
      <w:r w:rsidR="004D3787" w:rsidRPr="009203DE">
        <w:t xml:space="preserve">onsidered whether </w:t>
      </w:r>
      <w:r w:rsidR="004D3787" w:rsidRPr="00720475">
        <w:t>risks are disaggregated enough to allow analysis of consequences in this stage of the assessment, and adaptation measures in stages 2 and 3. Given this, similar risks may appear across several domains where the consequence and the pathway for adaptation is materially different in the domain.</w:t>
      </w:r>
    </w:p>
    <w:p w14:paraId="00342BAC" w14:textId="33E2BB30" w:rsidR="004D3787" w:rsidRPr="00720475" w:rsidRDefault="007E6FD2" w:rsidP="00720475">
      <w:pPr>
        <w:pStyle w:val="Sub-lista"/>
      </w:pPr>
      <w:r>
        <w:t>They r</w:t>
      </w:r>
      <w:r w:rsidR="004D3787" w:rsidRPr="00720475">
        <w:t xml:space="preserve">eviewed consequence descriptions for each risk. Where risks have </w:t>
      </w:r>
      <w:r w:rsidRPr="00720475">
        <w:t xml:space="preserve">either </w:t>
      </w:r>
      <w:r w:rsidR="004D3787" w:rsidRPr="00720475">
        <w:t>particular or significant consequence for Māori, these were highlighted, with commentary included in the description.</w:t>
      </w:r>
      <w:r w:rsidR="00467043">
        <w:t xml:space="preserve"> </w:t>
      </w:r>
    </w:p>
    <w:p w14:paraId="6C7C1476" w14:textId="3CC908B7" w:rsidR="004D3787" w:rsidRPr="009203DE" w:rsidRDefault="007E6FD2" w:rsidP="00720475">
      <w:pPr>
        <w:pStyle w:val="Sub-lista"/>
      </w:pPr>
      <w:r>
        <w:t>The</w:t>
      </w:r>
      <w:r w:rsidR="00A236B3">
        <w:t>y</w:t>
      </w:r>
      <w:r>
        <w:t xml:space="preserve"> r</w:t>
      </w:r>
      <w:r w:rsidR="004D3787" w:rsidRPr="00720475">
        <w:t>eviewed confidence rating</w:t>
      </w:r>
      <w:r>
        <w:t>s</w:t>
      </w:r>
      <w:r w:rsidR="004D3787" w:rsidRPr="00720475">
        <w:t xml:space="preserve"> to provide any further commentary or references supporting the</w:t>
      </w:r>
      <w:r w:rsidR="004D3787" w:rsidRPr="009203DE">
        <w:t xml:space="preserve"> risks.</w:t>
      </w:r>
      <w:r w:rsidR="00467043">
        <w:t xml:space="preserve"> </w:t>
      </w:r>
    </w:p>
    <w:p w14:paraId="6F29EECC" w14:textId="77777777" w:rsidR="004D3787" w:rsidRPr="008A5679" w:rsidRDefault="004D3787" w:rsidP="00957BB4">
      <w:pPr>
        <w:pStyle w:val="Heading3"/>
        <w:numPr>
          <w:ilvl w:val="0"/>
          <w:numId w:val="51"/>
        </w:numPr>
        <w:rPr>
          <w:szCs w:val="28"/>
        </w:rPr>
      </w:pPr>
      <w:bookmarkStart w:id="115" w:name="_Toc37690779"/>
      <w:bookmarkStart w:id="116" w:name="_Toc40686535"/>
      <w:r w:rsidRPr="00960D1B">
        <w:t>Task</w:t>
      </w:r>
      <w:r w:rsidRPr="008A5679">
        <w:rPr>
          <w:szCs w:val="28"/>
        </w:rPr>
        <w:t xml:space="preserve"> 3: Analyse and evaluate risks and opportunities</w:t>
      </w:r>
      <w:bookmarkEnd w:id="115"/>
      <w:bookmarkEnd w:id="116"/>
      <w:r w:rsidRPr="008A5679">
        <w:rPr>
          <w:szCs w:val="28"/>
        </w:rPr>
        <w:t xml:space="preserve"> </w:t>
      </w:r>
    </w:p>
    <w:p w14:paraId="36BB00F8" w14:textId="233157D4" w:rsidR="004D3787" w:rsidRPr="009203DE" w:rsidRDefault="004D3787" w:rsidP="004D3787">
      <w:pPr>
        <w:pStyle w:val="BodyText"/>
      </w:pPr>
      <w:r w:rsidRPr="009203DE">
        <w:t>Identified climate change risks were evaluated by considering exposure and vulnerability across three timeframes, using the magnitude of consequence criteria. The following tasks were undertaken</w:t>
      </w:r>
      <w:r w:rsidR="00C800C5">
        <w:t>.</w:t>
      </w:r>
    </w:p>
    <w:p w14:paraId="3F21037C" w14:textId="77804AA3" w:rsidR="004D3787" w:rsidRPr="009203DE" w:rsidRDefault="004D3787" w:rsidP="00957BB4">
      <w:pPr>
        <w:pStyle w:val="Numberedparagraph"/>
        <w:numPr>
          <w:ilvl w:val="0"/>
          <w:numId w:val="23"/>
        </w:numPr>
        <w:spacing w:after="100"/>
      </w:pPr>
      <w:r w:rsidRPr="00C21515">
        <w:rPr>
          <w:rFonts w:cs="Arial"/>
          <w:color w:val="000000"/>
        </w:rPr>
        <w:t>The RA team completed the first-pass rating of the magnitude of consequence for each</w:t>
      </w:r>
      <w:r w:rsidR="00C57BB3">
        <w:rPr>
          <w:rFonts w:cs="Arial"/>
          <w:color w:val="000000"/>
        </w:rPr>
        <w:t> </w:t>
      </w:r>
      <w:r w:rsidRPr="00C21515">
        <w:rPr>
          <w:rFonts w:cs="Arial"/>
          <w:color w:val="000000"/>
        </w:rPr>
        <w:t>risk. Each r</w:t>
      </w:r>
      <w:r w:rsidRPr="009203DE">
        <w:t xml:space="preserve">isk was rated using the magnitude of consequence criteria </w:t>
      </w:r>
      <w:r w:rsidRPr="00C21515">
        <w:rPr>
          <w:rFonts w:cs="Arial"/>
          <w:color w:val="000000"/>
        </w:rPr>
        <w:t>across three timeframes</w:t>
      </w:r>
      <w:r w:rsidR="0078142A">
        <w:rPr>
          <w:rFonts w:cs="Arial"/>
          <w:color w:val="000000"/>
        </w:rPr>
        <w:t xml:space="preserve"> –</w:t>
      </w:r>
      <w:r w:rsidRPr="00C21515">
        <w:rPr>
          <w:rFonts w:cs="Arial"/>
          <w:color w:val="000000"/>
        </w:rPr>
        <w:t xml:space="preserve"> present day, 2050 and 2100</w:t>
      </w:r>
      <w:r w:rsidR="0078142A">
        <w:rPr>
          <w:rFonts w:cs="Arial"/>
          <w:color w:val="000000"/>
        </w:rPr>
        <w:t xml:space="preserve"> –</w:t>
      </w:r>
      <w:r w:rsidRPr="00C21515">
        <w:rPr>
          <w:rFonts w:cs="Arial"/>
          <w:color w:val="000000"/>
        </w:rPr>
        <w:t xml:space="preserve"> based on impacts that could result under RCP8.5 (see </w:t>
      </w:r>
      <w:hyperlink w:anchor="table6" w:history="1">
        <w:r w:rsidRPr="00853CCF">
          <w:rPr>
            <w:rStyle w:val="Hyperlink"/>
            <w:rFonts w:cs="Arial"/>
          </w:rPr>
          <w:t>table 6</w:t>
        </w:r>
      </w:hyperlink>
      <w:r w:rsidRPr="00C21515">
        <w:rPr>
          <w:rFonts w:cs="Arial"/>
          <w:color w:val="000000"/>
        </w:rPr>
        <w:t xml:space="preserve">). </w:t>
      </w:r>
      <w:r w:rsidRPr="009203DE">
        <w:t>Given that stage 1 did not consider adaptation, risks were rated assuming no adaptation action. The first-pass rating was informed by the literature review in task 2.</w:t>
      </w:r>
      <w:r w:rsidR="00467043">
        <w:t xml:space="preserve"> </w:t>
      </w:r>
    </w:p>
    <w:p w14:paraId="708F7A45" w14:textId="1F738A3C" w:rsidR="004D3787" w:rsidRPr="009203DE" w:rsidRDefault="0078142A" w:rsidP="004350DE">
      <w:pPr>
        <w:pStyle w:val="Numberedparagraph"/>
        <w:spacing w:before="120" w:after="100"/>
      </w:pPr>
      <w:r>
        <w:lastRenderedPageBreak/>
        <w:t>D</w:t>
      </w:r>
      <w:r w:rsidR="004D3787" w:rsidRPr="009203DE">
        <w:t>omain leads and technical reviewers, including the Māori engagement advisors</w:t>
      </w:r>
      <w:r>
        <w:t>,</w:t>
      </w:r>
      <w:r w:rsidRPr="0078142A">
        <w:t xml:space="preserve"> </w:t>
      </w:r>
      <w:r w:rsidRPr="009203DE">
        <w:t>review</w:t>
      </w:r>
      <w:r>
        <w:t>ed</w:t>
      </w:r>
      <w:r w:rsidRPr="009203DE">
        <w:t xml:space="preserve"> risk ratings</w:t>
      </w:r>
      <w:r w:rsidR="004D3787" w:rsidRPr="009203DE">
        <w:t xml:space="preserve">. Reviewers were asked to consider the scope and breadth of risks, language of the risks and any gaps. </w:t>
      </w:r>
    </w:p>
    <w:p w14:paraId="4B529B2F" w14:textId="25F448E9" w:rsidR="004D3787" w:rsidRPr="009203DE" w:rsidRDefault="004D3787" w:rsidP="004350DE">
      <w:pPr>
        <w:pStyle w:val="Numberedparagraph"/>
        <w:spacing w:before="120" w:after="100"/>
      </w:pPr>
      <w:r w:rsidRPr="009203DE">
        <w:t xml:space="preserve">A working meeting (stage 1, prioritisation meeting 1) was held with the RA team, leads and technical reviewers. The purpose was to: </w:t>
      </w:r>
    </w:p>
    <w:p w14:paraId="3B182621" w14:textId="60710D49" w:rsidR="004D3787" w:rsidRPr="009203DE" w:rsidRDefault="0078142A" w:rsidP="008E78F8">
      <w:pPr>
        <w:pStyle w:val="Sub-lista"/>
        <w:numPr>
          <w:ilvl w:val="0"/>
          <w:numId w:val="25"/>
        </w:numPr>
        <w:spacing w:after="100"/>
      </w:pPr>
      <w:r>
        <w:t>r</w:t>
      </w:r>
      <w:r w:rsidR="004D3787" w:rsidRPr="009203DE">
        <w:t>eview, discuss and ‘challenge’ risk ratings as a group, referring to the magnitude of consequence criteria</w:t>
      </w:r>
      <w:r w:rsidR="008E78F8">
        <w:t xml:space="preserve"> </w:t>
      </w:r>
      <w:r w:rsidR="008E78F8" w:rsidRPr="008E78F8">
        <w:t>(opportunities were not rated for consequence)</w:t>
      </w:r>
    </w:p>
    <w:p w14:paraId="287B817A" w14:textId="215C7824" w:rsidR="004D3787" w:rsidRPr="009203DE" w:rsidRDefault="0078142A" w:rsidP="004350DE">
      <w:pPr>
        <w:pStyle w:val="Sub-lista"/>
        <w:spacing w:after="100"/>
      </w:pPr>
      <w:r>
        <w:t>c</w:t>
      </w:r>
      <w:r w:rsidR="004D3787" w:rsidRPr="009203DE">
        <w:t>onsider whether risks were disaggregated enough to allow analysis of consequences in this stage and for adaptation in stages 2 and 3</w:t>
      </w:r>
    </w:p>
    <w:p w14:paraId="2522F5B8" w14:textId="4F3C0349" w:rsidR="004D3787" w:rsidRPr="009203DE" w:rsidRDefault="0078142A" w:rsidP="004350DE">
      <w:pPr>
        <w:pStyle w:val="Sub-lista"/>
        <w:spacing w:after="100"/>
      </w:pPr>
      <w:r>
        <w:t>i</w:t>
      </w:r>
      <w:r w:rsidR="004D3787" w:rsidRPr="009203DE">
        <w:t>dentify and agree priority risks in each domain, based on the confirmed risk ratings.</w:t>
      </w:r>
    </w:p>
    <w:p w14:paraId="3A9F0AD8" w14:textId="77777777" w:rsidR="004D3787" w:rsidRPr="009203DE" w:rsidRDefault="004D3787" w:rsidP="004350DE">
      <w:pPr>
        <w:pStyle w:val="Numberedparagraph"/>
        <w:spacing w:before="120" w:after="100"/>
      </w:pPr>
      <w:r w:rsidRPr="009203DE">
        <w:t>Risks and opportunities were then discussed with different stakeholders through:</w:t>
      </w:r>
    </w:p>
    <w:p w14:paraId="026FC5DB" w14:textId="77777777" w:rsidR="004D3787" w:rsidRPr="009203DE" w:rsidRDefault="004D3787" w:rsidP="004350DE">
      <w:pPr>
        <w:pStyle w:val="Sub-list"/>
        <w:spacing w:after="100"/>
      </w:pPr>
      <w:r w:rsidRPr="009203DE">
        <w:t>a national multi-stakeholder workshop attended by 128 people</w:t>
      </w:r>
    </w:p>
    <w:p w14:paraId="15061DAE" w14:textId="0053BDA5" w:rsidR="004D3787" w:rsidRPr="009203DE" w:rsidRDefault="004D3787" w:rsidP="004350DE">
      <w:pPr>
        <w:pStyle w:val="Sub-list"/>
        <w:spacing w:after="100"/>
      </w:pPr>
      <w:r w:rsidRPr="009203DE">
        <w:t xml:space="preserve">a </w:t>
      </w:r>
      <w:r w:rsidR="00607EFA">
        <w:t xml:space="preserve">stage 1 </w:t>
      </w:r>
      <w:r w:rsidRPr="009203DE">
        <w:t xml:space="preserve">hui, </w:t>
      </w:r>
      <w:r w:rsidR="009D6FA2">
        <w:t>which</w:t>
      </w:r>
      <w:r w:rsidR="009D6FA2" w:rsidRPr="009203DE">
        <w:t xml:space="preserve"> </w:t>
      </w:r>
      <w:r w:rsidRPr="009203DE">
        <w:t>invited representation of Māori organisations and iwi throughout New Zealand,</w:t>
      </w:r>
      <w:r w:rsidR="009D6FA2">
        <w:t xml:space="preserve"> and was</w:t>
      </w:r>
      <w:r w:rsidRPr="009203DE">
        <w:t xml:space="preserve"> attended by 25 people</w:t>
      </w:r>
    </w:p>
    <w:p w14:paraId="26AD5BC1" w14:textId="77777777" w:rsidR="004D3787" w:rsidRPr="009203DE" w:rsidRDefault="004D3787" w:rsidP="004350DE">
      <w:pPr>
        <w:pStyle w:val="Sub-list"/>
        <w:spacing w:after="100"/>
      </w:pPr>
      <w:r w:rsidRPr="009203DE">
        <w:t>focused meetings with targeted stakeholders and groups</w:t>
      </w:r>
    </w:p>
    <w:p w14:paraId="63A5C6CA" w14:textId="7CEAD97E" w:rsidR="004D3787" w:rsidRPr="009203DE" w:rsidRDefault="004D3787" w:rsidP="004350DE">
      <w:pPr>
        <w:pStyle w:val="Sub-list"/>
        <w:spacing w:after="100"/>
      </w:pPr>
      <w:r w:rsidRPr="009203DE">
        <w:t>a web-based survey, provided to about 300 people (30 per cent response rate)</w:t>
      </w:r>
    </w:p>
    <w:p w14:paraId="69C81EC1" w14:textId="47A4D0F8" w:rsidR="004D3787" w:rsidRPr="009203DE" w:rsidRDefault="004D3787" w:rsidP="004350DE">
      <w:pPr>
        <w:pStyle w:val="Sub-list"/>
        <w:spacing w:after="100"/>
      </w:pPr>
      <w:r w:rsidRPr="009203DE">
        <w:t xml:space="preserve">supplementary opportunistic engagement at conferences and other forums, including the Climate Change and Business Conference, the Lifelines Conference, the Aotearoa Circle Event, a roundtable on Insurance and Climate Change hosted by the British High Commissioner, a meeting of the Local Government New Zealand Special Interest Group (Natural Hazards) and the </w:t>
      </w:r>
      <w:r w:rsidR="009D6FA2">
        <w:t>New Zealand</w:t>
      </w:r>
      <w:r w:rsidR="009D6FA2" w:rsidRPr="009203DE">
        <w:t xml:space="preserve"> </w:t>
      </w:r>
      <w:r w:rsidRPr="009203DE">
        <w:t xml:space="preserve">Coastal Society Conference. </w:t>
      </w:r>
    </w:p>
    <w:p w14:paraId="3D50B71E" w14:textId="52548345" w:rsidR="004D3787" w:rsidRPr="009203DE" w:rsidRDefault="004D3787" w:rsidP="004350DE">
      <w:pPr>
        <w:pStyle w:val="Numberedparagraph"/>
        <w:spacing w:after="100"/>
      </w:pPr>
      <w:r w:rsidRPr="009203DE">
        <w:t xml:space="preserve">Workshop materials were designed so that the RA team could easily review, consider and incorporate stakeholder input from the engagement activities into the risk assessment. The RA team and </w:t>
      </w:r>
      <w:r w:rsidR="00845A0C">
        <w:t xml:space="preserve">domain </w:t>
      </w:r>
      <w:r w:rsidRPr="009203DE">
        <w:t xml:space="preserve">leads considered outputs and adjusted risks as required. </w:t>
      </w:r>
    </w:p>
    <w:p w14:paraId="5C8DCE0B" w14:textId="525EB0DA" w:rsidR="004D3787" w:rsidRPr="009203DE" w:rsidRDefault="004D3787" w:rsidP="004350DE">
      <w:pPr>
        <w:pStyle w:val="Numberedparagraph"/>
        <w:spacing w:after="100"/>
      </w:pPr>
      <w:r w:rsidRPr="009203DE">
        <w:t xml:space="preserve">A meeting </w:t>
      </w:r>
      <w:r w:rsidR="00671887" w:rsidRPr="009203DE">
        <w:t xml:space="preserve">(stage 1, prioritisation meeting </w:t>
      </w:r>
      <w:r w:rsidR="00671887">
        <w:t>2</w:t>
      </w:r>
      <w:r w:rsidR="00671887" w:rsidRPr="009203DE">
        <w:t xml:space="preserve">) </w:t>
      </w:r>
      <w:r w:rsidRPr="009203DE">
        <w:t>was held with the RA team, domain leads and lead verifier. The purpose was to:</w:t>
      </w:r>
      <w:r w:rsidR="00467043">
        <w:t xml:space="preserve"> </w:t>
      </w:r>
    </w:p>
    <w:p w14:paraId="5DEA681A" w14:textId="32E5DBD6" w:rsidR="009D6FA2" w:rsidRDefault="009D6FA2" w:rsidP="00957BB4">
      <w:pPr>
        <w:pStyle w:val="Sub-lista"/>
        <w:numPr>
          <w:ilvl w:val="0"/>
          <w:numId w:val="27"/>
        </w:numPr>
        <w:spacing w:after="100"/>
      </w:pPr>
      <w:r>
        <w:t>d</w:t>
      </w:r>
      <w:r w:rsidR="004D3787" w:rsidRPr="00855BFF">
        <w:t>iscuss</w:t>
      </w:r>
      <w:r w:rsidR="004D3787" w:rsidRPr="009203DE">
        <w:t xml:space="preserve"> stakeholder feedback and make additions and changes to the wording, grouping, scope and breadth of risks and opportunities</w:t>
      </w:r>
    </w:p>
    <w:p w14:paraId="47265529" w14:textId="064EDA05" w:rsidR="004D3787" w:rsidRPr="009203DE" w:rsidRDefault="009D6FA2" w:rsidP="00957BB4">
      <w:pPr>
        <w:pStyle w:val="Sub-lista"/>
        <w:numPr>
          <w:ilvl w:val="0"/>
          <w:numId w:val="27"/>
        </w:numPr>
        <w:spacing w:after="100"/>
      </w:pPr>
      <w:r>
        <w:t>l</w:t>
      </w:r>
      <w:r w:rsidR="004D3787" w:rsidRPr="009203DE">
        <w:t>ook across all priority risks, and review the extreme and major risks in each domain, and the breadth of risks across each domain</w:t>
      </w:r>
    </w:p>
    <w:p w14:paraId="249DE594" w14:textId="499D8F44" w:rsidR="004D3787" w:rsidRPr="009203DE" w:rsidRDefault="009D6FA2" w:rsidP="004350DE">
      <w:pPr>
        <w:pStyle w:val="Sub-lista"/>
        <w:spacing w:after="100"/>
      </w:pPr>
      <w:r>
        <w:t>r</w:t>
      </w:r>
      <w:r w:rsidR="004D3787" w:rsidRPr="009203DE">
        <w:t xml:space="preserve">eview, refine, challenge </w:t>
      </w:r>
      <w:r w:rsidR="004D3787" w:rsidRPr="00855BFF">
        <w:t>and</w:t>
      </w:r>
      <w:r w:rsidR="004D3787" w:rsidRPr="009203DE">
        <w:t xml:space="preserve"> agree priority risks in each domain to move to stage 2. Each domain lead presented their priority risks and opportunities for discussion and</w:t>
      </w:r>
      <w:r w:rsidR="00C57BB3">
        <w:t> </w:t>
      </w:r>
      <w:r w:rsidR="004D3787" w:rsidRPr="009203DE">
        <w:t xml:space="preserve">‘challenge’. </w:t>
      </w:r>
    </w:p>
    <w:p w14:paraId="587D36E1" w14:textId="7821DE85" w:rsidR="004D3787" w:rsidRPr="009203DE" w:rsidRDefault="009D6FA2" w:rsidP="004350DE">
      <w:pPr>
        <w:pStyle w:val="Numberedparagraph"/>
        <w:spacing w:after="100"/>
      </w:pPr>
      <w:r>
        <w:t xml:space="preserve">The </w:t>
      </w:r>
      <w:r w:rsidR="008E78F8">
        <w:t>project</w:t>
      </w:r>
      <w:r>
        <w:t xml:space="preserve"> team drafted</w:t>
      </w:r>
      <w:r w:rsidRPr="009203DE">
        <w:t xml:space="preserve"> </w:t>
      </w:r>
      <w:r w:rsidR="004D3787" w:rsidRPr="009203DE">
        <w:t xml:space="preserve">the interim report, which proposed a list of priority risks to the Ministry for agreement, before moving into stage 2. </w:t>
      </w:r>
    </w:p>
    <w:p w14:paraId="56AF46F4" w14:textId="3D0762E3" w:rsidR="004D3787" w:rsidRPr="0024184F" w:rsidRDefault="004D3787" w:rsidP="004D3787">
      <w:pPr>
        <w:spacing w:before="180"/>
      </w:pPr>
      <w:r w:rsidRPr="0024184F">
        <w:t xml:space="preserve">Stage 1 resulted in a set of 48 priority risks and four opportunities. These were taken to </w:t>
      </w:r>
      <w:r>
        <w:t>s</w:t>
      </w:r>
      <w:r w:rsidRPr="0024184F">
        <w:t>tage</w:t>
      </w:r>
      <w:r w:rsidR="00C06875">
        <w:t>s</w:t>
      </w:r>
      <w:r w:rsidRPr="0024184F">
        <w:t xml:space="preserve"> 2 and 3 for detailed assessment and consideration of adaptation urgency. </w:t>
      </w:r>
    </w:p>
    <w:p w14:paraId="1D41EA17" w14:textId="77777777" w:rsidR="004D3787" w:rsidRPr="0024184F" w:rsidRDefault="004D3787" w:rsidP="003C4F4B">
      <w:pPr>
        <w:pStyle w:val="Heading2"/>
        <w:numPr>
          <w:ilvl w:val="0"/>
          <w:numId w:val="22"/>
        </w:numPr>
        <w:tabs>
          <w:tab w:val="num" w:pos="992"/>
        </w:tabs>
      </w:pPr>
      <w:bookmarkStart w:id="117" w:name="_Toc37690780"/>
      <w:bookmarkStart w:id="118" w:name="_Toc40686536"/>
      <w:bookmarkStart w:id="119" w:name="_Toc45898306"/>
      <w:r w:rsidRPr="0024184F">
        <w:t>Stage 2: Detailed risk assessment</w:t>
      </w:r>
      <w:bookmarkEnd w:id="117"/>
      <w:bookmarkEnd w:id="118"/>
      <w:bookmarkEnd w:id="119"/>
      <w:r w:rsidRPr="0024184F">
        <w:t xml:space="preserve"> </w:t>
      </w:r>
    </w:p>
    <w:p w14:paraId="04BE39F8" w14:textId="0A884229" w:rsidR="004D3787" w:rsidRPr="00C878D1" w:rsidRDefault="004D3787" w:rsidP="008235F8">
      <w:pPr>
        <w:pStyle w:val="BodyText"/>
        <w:spacing w:after="100"/>
      </w:pPr>
      <w:r w:rsidRPr="00C878D1">
        <w:t>The tasks in this stage were:</w:t>
      </w:r>
      <w:r w:rsidR="00467043">
        <w:t xml:space="preserve"> </w:t>
      </w:r>
    </w:p>
    <w:p w14:paraId="10C288C2" w14:textId="11770916" w:rsidR="004D3787" w:rsidRPr="009203DE" w:rsidRDefault="007254C7" w:rsidP="008235F8">
      <w:pPr>
        <w:pStyle w:val="Bullet"/>
        <w:spacing w:after="100"/>
      </w:pPr>
      <w:r>
        <w:t>t</w:t>
      </w:r>
      <w:r w:rsidR="004D3787" w:rsidRPr="009203DE">
        <w:t>ask 1: Establish context and scope</w:t>
      </w:r>
      <w:r w:rsidR="00845A0C">
        <w:t xml:space="preserve"> for stage 2</w:t>
      </w:r>
    </w:p>
    <w:p w14:paraId="12052DA8" w14:textId="1CB78062" w:rsidR="004D3787" w:rsidRPr="009203DE" w:rsidRDefault="007254C7" w:rsidP="008235F8">
      <w:pPr>
        <w:pStyle w:val="Bullet"/>
        <w:spacing w:after="100"/>
      </w:pPr>
      <w:r>
        <w:t>t</w:t>
      </w:r>
      <w:r w:rsidR="004D3787" w:rsidRPr="009203DE">
        <w:t>ask 2: Assess exposure, vulnerability and consequence</w:t>
      </w:r>
    </w:p>
    <w:p w14:paraId="6BB53BD4" w14:textId="5A6C71F0" w:rsidR="004D3787" w:rsidRPr="009203DE" w:rsidRDefault="007254C7" w:rsidP="004D3787">
      <w:pPr>
        <w:pStyle w:val="Bullet"/>
      </w:pPr>
      <w:r>
        <w:lastRenderedPageBreak/>
        <w:t>t</w:t>
      </w:r>
      <w:r w:rsidR="004D3787" w:rsidRPr="009203DE">
        <w:t>ask 3: Score risks.</w:t>
      </w:r>
    </w:p>
    <w:p w14:paraId="00D781B3" w14:textId="77777777" w:rsidR="002131FC" w:rsidRPr="00C878D1" w:rsidRDefault="002131FC" w:rsidP="00957BB4">
      <w:pPr>
        <w:pStyle w:val="Heading3"/>
        <w:numPr>
          <w:ilvl w:val="0"/>
          <w:numId w:val="29"/>
        </w:numPr>
        <w:spacing w:before="280"/>
      </w:pPr>
      <w:bookmarkStart w:id="120" w:name="_Toc37690781"/>
      <w:bookmarkStart w:id="121" w:name="_Toc40686537"/>
      <w:r w:rsidRPr="00C878D1">
        <w:t>Task 1: Establish context and scope</w:t>
      </w:r>
      <w:bookmarkEnd w:id="120"/>
      <w:bookmarkEnd w:id="121"/>
      <w:r w:rsidRPr="00C878D1">
        <w:t xml:space="preserve"> </w:t>
      </w:r>
    </w:p>
    <w:p w14:paraId="66976FB7" w14:textId="7BF43E36" w:rsidR="002131FC" w:rsidRPr="00F9470C" w:rsidRDefault="002131FC" w:rsidP="008235F8">
      <w:pPr>
        <w:pStyle w:val="BodyText"/>
        <w:spacing w:before="100" w:after="100"/>
      </w:pPr>
      <w:r w:rsidRPr="006D0DD5">
        <w:t xml:space="preserve">The purpose of stage 2 was to refine knowledge about the 48 risks rated extreme or major at the end </w:t>
      </w:r>
      <w:r w:rsidRPr="00F9470C">
        <w:t xml:space="preserve">of stage 1. For risks taken to stage 2, there was further investigation of vulnerability and exposure, to support an understanding of the magnitude of consequences under RCP4.5 and RCP8.5 (see </w:t>
      </w:r>
      <w:hyperlink w:anchor="table6" w:history="1">
        <w:r w:rsidRPr="00853CCF">
          <w:rPr>
            <w:rStyle w:val="Hyperlink"/>
          </w:rPr>
          <w:t>table 6</w:t>
        </w:r>
      </w:hyperlink>
      <w:r w:rsidRPr="00F9470C">
        <w:t xml:space="preserve">) in the present, near </w:t>
      </w:r>
      <w:r w:rsidR="008D10DF">
        <w:t xml:space="preserve">term </w:t>
      </w:r>
      <w:r w:rsidRPr="00F9470C">
        <w:t xml:space="preserve">and long term. </w:t>
      </w:r>
    </w:p>
    <w:p w14:paraId="5AA5A874" w14:textId="530BEED2" w:rsidR="002131FC" w:rsidRPr="006D0DD5" w:rsidRDefault="002131FC" w:rsidP="008235F8">
      <w:pPr>
        <w:pStyle w:val="BodyText"/>
        <w:spacing w:before="100" w:after="100"/>
      </w:pPr>
      <w:r w:rsidRPr="00F9470C">
        <w:t>Stage 2 was</w:t>
      </w:r>
      <w:r w:rsidRPr="006D0DD5">
        <w:t xml:space="preserve"> informed by literature and data review, expert elicitation and analysis (led by domain leads) and the engagement detailed in </w:t>
      </w:r>
      <w:hyperlink w:anchor="_Engagement_approach" w:history="1">
        <w:r w:rsidRPr="00B473D2">
          <w:rPr>
            <w:rStyle w:val="Hyperlink"/>
          </w:rPr>
          <w:t>section 3</w:t>
        </w:r>
      </w:hyperlink>
      <w:r w:rsidRPr="006D0DD5">
        <w:t>.</w:t>
      </w:r>
      <w:r w:rsidR="00467043">
        <w:t xml:space="preserve"> </w:t>
      </w:r>
    </w:p>
    <w:p w14:paraId="203C61CE" w14:textId="77777777" w:rsidR="002131FC" w:rsidRPr="00B62A43" w:rsidRDefault="002131FC" w:rsidP="00957BB4">
      <w:pPr>
        <w:pStyle w:val="Heading3"/>
        <w:numPr>
          <w:ilvl w:val="0"/>
          <w:numId w:val="29"/>
        </w:numPr>
        <w:spacing w:before="280"/>
      </w:pPr>
      <w:bookmarkStart w:id="122" w:name="_Stage_2_approach"/>
      <w:bookmarkStart w:id="123" w:name="_Toc37690782"/>
      <w:bookmarkStart w:id="124" w:name="_Toc40686538"/>
      <w:bookmarkEnd w:id="122"/>
      <w:r w:rsidRPr="00C878D1">
        <w:t xml:space="preserve">Stage 2 approach to the </w:t>
      </w:r>
      <w:r w:rsidRPr="005252B2">
        <w:t>governance</w:t>
      </w:r>
      <w:r w:rsidRPr="00C878D1">
        <w:t xml:space="preserve"> </w:t>
      </w:r>
      <w:r w:rsidRPr="00B62A43">
        <w:t>domain</w:t>
      </w:r>
      <w:bookmarkEnd w:id="123"/>
      <w:bookmarkEnd w:id="124"/>
      <w:r w:rsidRPr="00C878D1">
        <w:t xml:space="preserve"> </w:t>
      </w:r>
    </w:p>
    <w:p w14:paraId="4780D262" w14:textId="6B686AC8" w:rsidR="002131FC" w:rsidRPr="0024184F" w:rsidRDefault="002131FC" w:rsidP="008235F8">
      <w:pPr>
        <w:pStyle w:val="BodyText"/>
        <w:spacing w:before="100" w:after="100"/>
      </w:pPr>
      <w:r w:rsidRPr="0024184F">
        <w:t>Governance-related climate risks are distinct from those in the other domains because they are cross-cutting and indirect, emerging from and influencing other domain risks. In particular</w:t>
      </w:r>
      <w:r>
        <w:t>,</w:t>
      </w:r>
      <w:r w:rsidRPr="0024184F">
        <w:t xml:space="preserve"> they have the effect of reducing or enhancing the ability of actors to address risks in the other domains by reducing adaptive capacity (Lawrence et al, 2018). </w:t>
      </w:r>
      <w:r>
        <w:t>Although</w:t>
      </w:r>
      <w:r w:rsidRPr="0024184F">
        <w:t xml:space="preserve"> cross-cutting and indirect risks were also identified in other domains, governance risks were considered to represent significant barriers</w:t>
      </w:r>
      <w:r w:rsidR="008D10DF">
        <w:t xml:space="preserve"> to</w:t>
      </w:r>
      <w:r w:rsidRPr="0024184F">
        <w:t xml:space="preserve"> or enablers </w:t>
      </w:r>
      <w:r w:rsidR="008D10DF">
        <w:t>of</w:t>
      </w:r>
      <w:r w:rsidR="008D10DF" w:rsidRPr="0024184F">
        <w:t xml:space="preserve"> </w:t>
      </w:r>
      <w:r w:rsidRPr="0024184F">
        <w:t xml:space="preserve">climate action relevant to all domains. Given this, the elements at risk from the governance domain were assessed differently. </w:t>
      </w:r>
    </w:p>
    <w:p w14:paraId="3413DC6F" w14:textId="191DE5FC" w:rsidR="002131FC" w:rsidRPr="0024184F" w:rsidRDefault="002131FC" w:rsidP="005061F8">
      <w:r w:rsidRPr="0024184F">
        <w:t xml:space="preserve">The concept of adaptive capacity was used to understand how governance risks affect the risks in other domains and vice versa, and to prioritise governance risks with the greatest influence. </w:t>
      </w:r>
      <w:r w:rsidR="0026010B" w:rsidRPr="0024184F">
        <w:t xml:space="preserve">A stepwise approach to the </w:t>
      </w:r>
      <w:r w:rsidR="0026010B">
        <w:t>s</w:t>
      </w:r>
      <w:r w:rsidR="0026010B" w:rsidRPr="0024184F">
        <w:t xml:space="preserve">tage 2 assessment of risks in the </w:t>
      </w:r>
      <w:r w:rsidR="0026010B">
        <w:t>g</w:t>
      </w:r>
      <w:r w:rsidR="0026010B" w:rsidRPr="0024184F">
        <w:t xml:space="preserve">overnance </w:t>
      </w:r>
      <w:r w:rsidR="0026010B">
        <w:t>d</w:t>
      </w:r>
      <w:r w:rsidR="0026010B" w:rsidRPr="0024184F">
        <w:t>omain is expanded on below</w:t>
      </w:r>
      <w:r w:rsidR="0026010B">
        <w:t xml:space="preserve">. </w:t>
      </w:r>
    </w:p>
    <w:p w14:paraId="78FC5833" w14:textId="77777777" w:rsidR="002131FC" w:rsidRPr="00C878D1" w:rsidRDefault="002131FC" w:rsidP="00957BB4">
      <w:pPr>
        <w:pStyle w:val="Heading3"/>
        <w:numPr>
          <w:ilvl w:val="0"/>
          <w:numId w:val="29"/>
        </w:numPr>
        <w:spacing w:before="280"/>
      </w:pPr>
      <w:bookmarkStart w:id="125" w:name="_Exposure_and_vulnerability"/>
      <w:bookmarkStart w:id="126" w:name="_Toc37690783"/>
      <w:bookmarkStart w:id="127" w:name="_Toc40686539"/>
      <w:bookmarkEnd w:id="125"/>
      <w:r w:rsidRPr="00C878D1">
        <w:t xml:space="preserve">Exposure and </w:t>
      </w:r>
      <w:r w:rsidRPr="005252B2">
        <w:t>vulnerability</w:t>
      </w:r>
      <w:r w:rsidRPr="00C878D1">
        <w:t xml:space="preserve"> criteria</w:t>
      </w:r>
      <w:bookmarkEnd w:id="126"/>
      <w:bookmarkEnd w:id="127"/>
    </w:p>
    <w:p w14:paraId="03D0A07B" w14:textId="0B07A332" w:rsidR="002131FC" w:rsidRPr="00D73D94" w:rsidRDefault="002131FC" w:rsidP="008235F8">
      <w:pPr>
        <w:pStyle w:val="BodyText"/>
        <w:spacing w:before="100" w:after="100"/>
      </w:pPr>
      <w:r w:rsidRPr="00D73D94">
        <w:t>The exposure and vulnerability criteria in the NCCRA framework were reviewed and refined at</w:t>
      </w:r>
      <w:r w:rsidR="008235F8">
        <w:t> </w:t>
      </w:r>
      <w:r w:rsidRPr="00D73D94">
        <w:t>the beginning of stage 2. This enabled a more detailed consideration of the magnitude of</w:t>
      </w:r>
      <w:r w:rsidR="00B114E4">
        <w:t> </w:t>
      </w:r>
      <w:r w:rsidRPr="00F9470C">
        <w:t>consequence</w:t>
      </w:r>
      <w:r w:rsidRPr="00D73D94">
        <w:t xml:space="preserve"> rating assigned to each priority risk in stage 1. The analysis of exposure and</w:t>
      </w:r>
      <w:r w:rsidR="00B114E4">
        <w:t> </w:t>
      </w:r>
      <w:r w:rsidRPr="00D73D94">
        <w:t>vulnerability was mostly qualitative, and played an important role in supporting the moderation and comparison of risk ratings across domains. This involved the following tasks</w:t>
      </w:r>
      <w:r w:rsidR="008D10DF">
        <w:t>.</w:t>
      </w:r>
    </w:p>
    <w:p w14:paraId="75A93D36" w14:textId="77777777" w:rsidR="002131FC" w:rsidRPr="00D73D94" w:rsidRDefault="002131FC" w:rsidP="00957BB4">
      <w:pPr>
        <w:pStyle w:val="Numberedparagraph"/>
        <w:numPr>
          <w:ilvl w:val="0"/>
          <w:numId w:val="30"/>
        </w:numPr>
        <w:spacing w:after="100"/>
      </w:pPr>
      <w:r w:rsidRPr="00F9470C">
        <w:t>The</w:t>
      </w:r>
      <w:r w:rsidRPr="00D73D94">
        <w:t xml:space="preserve"> domain leads met to review the detailed stage 2 method. </w:t>
      </w:r>
    </w:p>
    <w:p w14:paraId="789E3919" w14:textId="042032D4" w:rsidR="002131FC" w:rsidRPr="00D73D94" w:rsidRDefault="002131FC" w:rsidP="00957BB4">
      <w:pPr>
        <w:pStyle w:val="Numberedparagraph"/>
        <w:numPr>
          <w:ilvl w:val="0"/>
          <w:numId w:val="23"/>
        </w:numPr>
        <w:spacing w:after="100"/>
      </w:pPr>
      <w:r w:rsidRPr="00D73D94">
        <w:t xml:space="preserve">The RA team reviewed the exposure and vulnerability criteria and added guidance on definitions and their application for each domain. </w:t>
      </w:r>
      <w:r w:rsidR="008D10DF">
        <w:t>It</w:t>
      </w:r>
      <w:r w:rsidR="008D10DF" w:rsidRPr="00D73D94">
        <w:t xml:space="preserve"> </w:t>
      </w:r>
      <w:r w:rsidRPr="00D73D94">
        <w:t>developed domain-specific guidance on the sensitivity and adaptive capacity components of vulnerability. For the governance domain, this focused on adaptive capacity (exposure and sensitivity were not</w:t>
      </w:r>
      <w:r w:rsidR="00F9470C">
        <w:t> </w:t>
      </w:r>
      <w:r w:rsidRPr="00D73D94">
        <w:t>assessed for the governance domain</w:t>
      </w:r>
      <w:r w:rsidR="00B23A54">
        <w:t>, consistent with</w:t>
      </w:r>
      <w:r w:rsidRPr="00D73D94">
        <w:t xml:space="preserve"> the discussion in </w:t>
      </w:r>
      <w:hyperlink w:anchor="_Stage_2_approach" w:history="1">
        <w:r w:rsidRPr="007F33DF">
          <w:rPr>
            <w:rStyle w:val="Hyperlink"/>
          </w:rPr>
          <w:t>section 2.3.2</w:t>
        </w:r>
      </w:hyperlink>
      <w:r w:rsidRPr="00D73D94">
        <w:t>).</w:t>
      </w:r>
    </w:p>
    <w:p w14:paraId="69017747" w14:textId="6697C1DC" w:rsidR="002131FC" w:rsidRPr="00F9470C" w:rsidRDefault="002131FC" w:rsidP="00957BB4">
      <w:pPr>
        <w:pStyle w:val="Numberedparagraph"/>
        <w:numPr>
          <w:ilvl w:val="0"/>
          <w:numId w:val="23"/>
        </w:numPr>
        <w:spacing w:after="100"/>
      </w:pPr>
      <w:r w:rsidRPr="00D73D94">
        <w:t xml:space="preserve">The </w:t>
      </w:r>
      <w:r w:rsidR="00845A0C">
        <w:t xml:space="preserve">domain </w:t>
      </w:r>
      <w:r w:rsidRPr="00F9470C">
        <w:t xml:space="preserve">leads reviewed and refined the RA team’s criteria. </w:t>
      </w:r>
    </w:p>
    <w:p w14:paraId="7849E117" w14:textId="77777777" w:rsidR="002131FC" w:rsidRPr="00F9470C" w:rsidRDefault="002131FC" w:rsidP="008235F8">
      <w:pPr>
        <w:pStyle w:val="Numberedparagraph"/>
        <w:spacing w:after="100"/>
      </w:pPr>
      <w:r w:rsidRPr="00F9470C">
        <w:t xml:space="preserve">A working meeting was held to discuss and ‘calibrate’ the criteria, to facilitate consistency in application across all domains. </w:t>
      </w:r>
    </w:p>
    <w:p w14:paraId="454D2AB0" w14:textId="4791A5D6" w:rsidR="002131FC" w:rsidRPr="00D73D94" w:rsidRDefault="002131FC" w:rsidP="00F9470C">
      <w:pPr>
        <w:pStyle w:val="Numberedparagraph"/>
      </w:pPr>
      <w:r w:rsidRPr="00F9470C">
        <w:t>The RA team</w:t>
      </w:r>
      <w:r w:rsidRPr="00D73D94">
        <w:t xml:space="preserve"> and </w:t>
      </w:r>
      <w:r w:rsidR="00845A0C">
        <w:t xml:space="preserve">domain </w:t>
      </w:r>
      <w:r w:rsidRPr="00D73D94">
        <w:t xml:space="preserve">leads made revisions. </w:t>
      </w:r>
    </w:p>
    <w:p w14:paraId="3C6B7B2D" w14:textId="77777777" w:rsidR="002131FC" w:rsidRPr="00C878D1" w:rsidRDefault="002131FC" w:rsidP="00957BB4">
      <w:pPr>
        <w:pStyle w:val="Heading3"/>
        <w:numPr>
          <w:ilvl w:val="0"/>
          <w:numId w:val="29"/>
        </w:numPr>
      </w:pPr>
      <w:bookmarkStart w:id="128" w:name="_Toc37690784"/>
      <w:bookmarkStart w:id="129" w:name="_Toc40686540"/>
      <w:r w:rsidRPr="00C878D1">
        <w:t xml:space="preserve">Task 2: </w:t>
      </w:r>
      <w:r w:rsidRPr="005252B2">
        <w:t>Assess</w:t>
      </w:r>
      <w:r w:rsidRPr="00C878D1">
        <w:t xml:space="preserve"> exposure, vulnerability and consequence </w:t>
      </w:r>
      <w:bookmarkEnd w:id="128"/>
      <w:bookmarkEnd w:id="129"/>
    </w:p>
    <w:p w14:paraId="02615401" w14:textId="734A3B59" w:rsidR="002131FC" w:rsidRPr="00D73D94" w:rsidRDefault="002131FC" w:rsidP="00F9470C">
      <w:pPr>
        <w:pStyle w:val="BodyText"/>
      </w:pPr>
      <w:r w:rsidRPr="00D73D94">
        <w:t>The purpose of task 2 was to gain a better understanding of the exposure and vulnerability of the components affected by the priority risks. This involved the following tasks</w:t>
      </w:r>
      <w:r w:rsidR="008D10DF">
        <w:t>.</w:t>
      </w:r>
    </w:p>
    <w:p w14:paraId="6AE057FE" w14:textId="6E60CC8E" w:rsidR="002131FC" w:rsidRPr="00D73D94" w:rsidRDefault="008D10DF" w:rsidP="00957BB4">
      <w:pPr>
        <w:pStyle w:val="Numberedparagraph"/>
        <w:numPr>
          <w:ilvl w:val="0"/>
          <w:numId w:val="31"/>
        </w:numPr>
      </w:pPr>
      <w:r>
        <w:t>The RA team reviewed</w:t>
      </w:r>
      <w:r w:rsidR="002131FC" w:rsidRPr="00D73D94">
        <w:t xml:space="preserve"> risks in each domain to understand and define components for which exposure and vulnerability information needed to be considered. This included: </w:t>
      </w:r>
    </w:p>
    <w:p w14:paraId="3B9C9CDE" w14:textId="5FD9BE86" w:rsidR="002131FC" w:rsidRPr="00D73D94" w:rsidRDefault="008D10DF" w:rsidP="00736742">
      <w:pPr>
        <w:pStyle w:val="Sub-lista"/>
        <w:numPr>
          <w:ilvl w:val="0"/>
          <w:numId w:val="32"/>
        </w:numPr>
      </w:pPr>
      <w:r>
        <w:lastRenderedPageBreak/>
        <w:t>d</w:t>
      </w:r>
      <w:r w:rsidR="002131FC" w:rsidRPr="00D73D94">
        <w:t>isaggregati</w:t>
      </w:r>
      <w:r>
        <w:t>ng</w:t>
      </w:r>
      <w:r w:rsidR="002131FC" w:rsidRPr="00D73D94">
        <w:t xml:space="preserve"> elements</w:t>
      </w:r>
      <w:r w:rsidR="004B4AE6">
        <w:t xml:space="preserve"> </w:t>
      </w:r>
      <w:r w:rsidR="002131FC" w:rsidRPr="00D73D94">
        <w:t>at</w:t>
      </w:r>
      <w:r w:rsidR="004B4AE6">
        <w:t xml:space="preserve"> </w:t>
      </w:r>
      <w:r w:rsidR="002131FC" w:rsidRPr="00D73D94">
        <w:t>risk and hazards within each risk statement. For example, the economy domain contains Risk E3:</w:t>
      </w:r>
      <w:r w:rsidR="002131FC" w:rsidRPr="008D10DF">
        <w:t xml:space="preserve"> </w:t>
      </w:r>
      <w:r w:rsidR="00736742" w:rsidRPr="00736742">
        <w:t>Risks to land-based primary sector productivity and output due to changing precipitation and water availability, temperature, seasonality, climate extremes and the distribution of invasive species</w:t>
      </w:r>
      <w:r w:rsidR="002131FC" w:rsidRPr="00D73D94">
        <w:t>. The</w:t>
      </w:r>
      <w:r w:rsidR="007F33DF">
        <w:t> </w:t>
      </w:r>
      <w:r w:rsidR="00845A0C">
        <w:t>‘</w:t>
      </w:r>
      <w:r w:rsidR="002131FC" w:rsidRPr="00D73D94">
        <w:t>land-based primary sector</w:t>
      </w:r>
      <w:r w:rsidR="00845A0C">
        <w:t>’</w:t>
      </w:r>
      <w:r w:rsidR="002131FC" w:rsidRPr="00D73D94">
        <w:t xml:space="preserve"> includes agriculture, dairy, horticulture, viticulture and forestry, and several climate hazards. As these diverse elements differ in their exposure and vulnerability to the different hazards, they were disaggregated for more</w:t>
      </w:r>
      <w:r w:rsidR="007F33DF">
        <w:t> </w:t>
      </w:r>
      <w:r w:rsidR="002131FC" w:rsidRPr="00D73D94">
        <w:t>detailed assessment</w:t>
      </w:r>
    </w:p>
    <w:p w14:paraId="023AC94B" w14:textId="1F3BC6C1" w:rsidR="002131FC" w:rsidRPr="00D73D94" w:rsidRDefault="008D10DF" w:rsidP="00F9470C">
      <w:pPr>
        <w:pStyle w:val="Sub-lista"/>
      </w:pPr>
      <w:r>
        <w:t>moderating t</w:t>
      </w:r>
      <w:r w:rsidR="002131FC" w:rsidRPr="00F9470C">
        <w:t>he</w:t>
      </w:r>
      <w:r w:rsidR="002131FC" w:rsidRPr="00D73D94">
        <w:t xml:space="preserve"> degree of disaggregation of elements</w:t>
      </w:r>
      <w:r w:rsidR="004B4AE6">
        <w:t xml:space="preserve"> </w:t>
      </w:r>
      <w:r w:rsidR="002131FC" w:rsidRPr="00D73D94">
        <w:t>at</w:t>
      </w:r>
      <w:r w:rsidR="004B4AE6">
        <w:t xml:space="preserve"> </w:t>
      </w:r>
      <w:r w:rsidR="002131FC" w:rsidRPr="00D73D94">
        <w:t xml:space="preserve">risk across domains to ensure consistency in the level of detail of the analysis. </w:t>
      </w:r>
    </w:p>
    <w:p w14:paraId="2448F127" w14:textId="2DC71224" w:rsidR="002131FC" w:rsidRPr="00D73D94" w:rsidRDefault="00F03571" w:rsidP="00F9470C">
      <w:pPr>
        <w:pStyle w:val="Numberedparagraph"/>
      </w:pPr>
      <w:r>
        <w:t>The RA team conducted a l</w:t>
      </w:r>
      <w:r w:rsidR="002131FC" w:rsidRPr="00D73D94">
        <w:t xml:space="preserve">iterature review of </w:t>
      </w:r>
      <w:r w:rsidR="002131FC" w:rsidRPr="00F9470C">
        <w:t>additional</w:t>
      </w:r>
      <w:r w:rsidR="002131FC" w:rsidRPr="00D73D94">
        <w:t xml:space="preserve"> documents recommended by domain leads to: </w:t>
      </w:r>
    </w:p>
    <w:p w14:paraId="1D5833C6" w14:textId="5BA1DB34" w:rsidR="002131FC" w:rsidRPr="00D73D94" w:rsidRDefault="00F03571" w:rsidP="00957BB4">
      <w:pPr>
        <w:pStyle w:val="Sub-lista"/>
        <w:numPr>
          <w:ilvl w:val="0"/>
          <w:numId w:val="33"/>
        </w:numPr>
      </w:pPr>
      <w:r>
        <w:t>f</w:t>
      </w:r>
      <w:r w:rsidR="002131FC" w:rsidRPr="00F7446C">
        <w:t>urther</w:t>
      </w:r>
      <w:r w:rsidR="002131FC" w:rsidRPr="00D73D94">
        <w:t xml:space="preserve"> understand exposure and vulnerability</w:t>
      </w:r>
      <w:r w:rsidR="004E4807">
        <w:t xml:space="preserve"> by</w:t>
      </w:r>
      <w:r w:rsidR="002131FC" w:rsidRPr="00D73D94">
        <w:t xml:space="preserve">: </w:t>
      </w:r>
    </w:p>
    <w:p w14:paraId="5BC6EBCD" w14:textId="68D6BB5B" w:rsidR="002131FC" w:rsidRPr="00D73D94" w:rsidRDefault="002131FC" w:rsidP="00957BB4">
      <w:pPr>
        <w:pStyle w:val="Sub-listi"/>
        <w:numPr>
          <w:ilvl w:val="0"/>
          <w:numId w:val="34"/>
        </w:numPr>
      </w:pPr>
      <w:r w:rsidRPr="00D73D94">
        <w:t>consider</w:t>
      </w:r>
      <w:r w:rsidR="004E4807">
        <w:t>ing</w:t>
      </w:r>
      <w:r w:rsidRPr="00D73D94">
        <w:t>, where available, hazard and exposure information under both RCP4.5 and RCP8.5 projections in the present, near</w:t>
      </w:r>
      <w:r w:rsidR="008A015E">
        <w:t xml:space="preserve"> term</w:t>
      </w:r>
      <w:r w:rsidRPr="00D73D94">
        <w:t xml:space="preserve"> and long term </w:t>
      </w:r>
    </w:p>
    <w:p w14:paraId="7950EC23" w14:textId="41A02520" w:rsidR="002131FC" w:rsidRPr="00D73D94" w:rsidRDefault="002131FC" w:rsidP="00F9470C">
      <w:pPr>
        <w:pStyle w:val="Sub-listi"/>
      </w:pPr>
      <w:r w:rsidRPr="00D73D94">
        <w:t>consider</w:t>
      </w:r>
      <w:r w:rsidR="004E4807">
        <w:t>ing</w:t>
      </w:r>
      <w:r w:rsidRPr="00D73D94">
        <w:t xml:space="preserve"> qualitatively the spatial distribution of </w:t>
      </w:r>
      <w:r w:rsidRPr="00F9470C">
        <w:t>exposure</w:t>
      </w:r>
      <w:r w:rsidRPr="00D73D94">
        <w:t xml:space="preserve"> and vulnerability, through the literature review, </w:t>
      </w:r>
      <w:r w:rsidR="008A015E">
        <w:t>in relation to</w:t>
      </w:r>
      <w:r w:rsidR="008A015E" w:rsidRPr="00D73D94">
        <w:t xml:space="preserve"> </w:t>
      </w:r>
      <w:r w:rsidRPr="00D73D94">
        <w:t>the seven sub-national climate zones as much as possible. No new spatial analysis or mapping was undertaken</w:t>
      </w:r>
    </w:p>
    <w:p w14:paraId="308004A9" w14:textId="31EEBAB5" w:rsidR="002131FC" w:rsidRPr="00D73D94" w:rsidRDefault="00F03571" w:rsidP="002131FC">
      <w:pPr>
        <w:pStyle w:val="Sub-lista"/>
      </w:pPr>
      <w:r>
        <w:t>g</w:t>
      </w:r>
      <w:r w:rsidR="002131FC" w:rsidRPr="00D73D94">
        <w:t>ather information on opportunities arising from climate change across each domain from the literature</w:t>
      </w:r>
      <w:r w:rsidR="008A015E">
        <w:t xml:space="preserve"> review</w:t>
      </w:r>
      <w:r w:rsidR="002131FC" w:rsidRPr="00D73D94">
        <w:t xml:space="preserve"> and through expert elicitation. Opportunities were not assessed for exposure, vulnerability and consequence, but were considered in terms of decision urgency (discussed in stage 3)</w:t>
      </w:r>
    </w:p>
    <w:p w14:paraId="3A3F8A4E" w14:textId="407D445A" w:rsidR="002131FC" w:rsidRPr="00F7446C" w:rsidRDefault="00F03571" w:rsidP="00F7446C">
      <w:pPr>
        <w:pStyle w:val="Sub-lista"/>
      </w:pPr>
      <w:r>
        <w:t>c</w:t>
      </w:r>
      <w:r w:rsidR="002131FC" w:rsidRPr="00D73D94">
        <w:t xml:space="preserve">onsider qualitatively information on interdependencies between the risks. Any </w:t>
      </w:r>
      <w:r w:rsidR="002131FC" w:rsidRPr="00F7446C">
        <w:t xml:space="preserve">information gaps and the quality of literature available for each risk </w:t>
      </w:r>
      <w:r w:rsidR="0001627A">
        <w:t>were</w:t>
      </w:r>
      <w:r w:rsidR="0001627A" w:rsidRPr="00F7446C">
        <w:t xml:space="preserve"> </w:t>
      </w:r>
      <w:r w:rsidR="002131FC" w:rsidRPr="00F7446C">
        <w:t>noted. This contributed to the confidence rating for each risk</w:t>
      </w:r>
    </w:p>
    <w:p w14:paraId="32A9B40B" w14:textId="2350145C" w:rsidR="002131FC" w:rsidRPr="00F7446C" w:rsidRDefault="008A015E" w:rsidP="00F7446C">
      <w:pPr>
        <w:pStyle w:val="Sub-lista"/>
      </w:pPr>
      <w:r>
        <w:t>a</w:t>
      </w:r>
      <w:r w:rsidR="002131FC" w:rsidRPr="00F7446C">
        <w:t>ssess whether the information changed the consequence rating assigned to each risk in stage 1</w:t>
      </w:r>
    </w:p>
    <w:p w14:paraId="336CDE71" w14:textId="5881389A" w:rsidR="002131FC" w:rsidRPr="00D73D94" w:rsidRDefault="008A015E" w:rsidP="00F7446C">
      <w:pPr>
        <w:pStyle w:val="Sub-lista"/>
      </w:pPr>
      <w:r>
        <w:t>m</w:t>
      </w:r>
      <w:r w:rsidR="002131FC" w:rsidRPr="00F7446C">
        <w:t>erge duplicated</w:t>
      </w:r>
      <w:r w:rsidR="002131FC" w:rsidRPr="00D73D94">
        <w:t xml:space="preserve"> risks into one</w:t>
      </w:r>
      <w:r w:rsidR="002131FC">
        <w:t xml:space="preserve"> </w:t>
      </w:r>
      <w:r w:rsidR="002131FC" w:rsidRPr="00D73D94">
        <w:t>where they covered similar consequences across or within domains. For example</w:t>
      </w:r>
      <w:r w:rsidR="002131FC" w:rsidRPr="00D73D94">
        <w:rPr>
          <w:i/>
        </w:rPr>
        <w:t xml:space="preserve">, </w:t>
      </w:r>
      <w:r w:rsidR="0001627A">
        <w:t>‘</w:t>
      </w:r>
      <w:r w:rsidR="002131FC" w:rsidRPr="00736742">
        <w:t>Risks to cultural sites, heritage sites, indigenous built structures, urupā and cemeteries from flooding, sea-level rise and extreme weather events</w:t>
      </w:r>
      <w:r w:rsidR="0001627A">
        <w:t>’</w:t>
      </w:r>
      <w:r w:rsidR="002131FC" w:rsidRPr="002314B2">
        <w:t xml:space="preserve"> </w:t>
      </w:r>
      <w:r w:rsidR="002131FC" w:rsidRPr="00D73D94">
        <w:t>was previously identified as a risk in the built environment domain. During stage 2, this was merged with a very similar risk in the human domain</w:t>
      </w:r>
      <w:r w:rsidR="002131FC" w:rsidRPr="00D73D94">
        <w:rPr>
          <w:i/>
        </w:rPr>
        <w:t xml:space="preserve">: </w:t>
      </w:r>
      <w:r w:rsidR="0001627A">
        <w:t>‘</w:t>
      </w:r>
      <w:r w:rsidR="002131FC" w:rsidRPr="00736742">
        <w:t>Risks to Māori and European cultural heritage sites due to ongoing sea-level rise, extreme weather events and increasing fire weather</w:t>
      </w:r>
      <w:r w:rsidR="0001627A">
        <w:t>’</w:t>
      </w:r>
    </w:p>
    <w:p w14:paraId="729E63B9" w14:textId="492E85BD" w:rsidR="002131FC" w:rsidRPr="00D73D94" w:rsidRDefault="008A015E" w:rsidP="002131FC">
      <w:pPr>
        <w:pStyle w:val="Sub-lista"/>
      </w:pPr>
      <w:r>
        <w:t>e</w:t>
      </w:r>
      <w:r w:rsidR="002131FC" w:rsidRPr="00D73D94">
        <w:t>xamine risks in the governance domain in terms of adaptive capacity, and their interrelationships with risks in other domains. This was assessed by considering:</w:t>
      </w:r>
    </w:p>
    <w:p w14:paraId="4164A5C5" w14:textId="77777777" w:rsidR="002131FC" w:rsidRPr="00D73D94" w:rsidRDefault="002131FC" w:rsidP="00957BB4">
      <w:pPr>
        <w:pStyle w:val="Sub-listi"/>
        <w:numPr>
          <w:ilvl w:val="0"/>
          <w:numId w:val="36"/>
        </w:numPr>
      </w:pPr>
      <w:r w:rsidRPr="00D73D94">
        <w:t xml:space="preserve">the adaptive capacity of each governance risk, identifying which can be reduced over time. This was achieved through a literature review and expert elicitation </w:t>
      </w:r>
    </w:p>
    <w:p w14:paraId="4D385041" w14:textId="77777777" w:rsidR="002131FC" w:rsidRPr="00D73D94" w:rsidRDefault="002131FC" w:rsidP="006425AC">
      <w:pPr>
        <w:pStyle w:val="Sub-listi"/>
      </w:pPr>
      <w:r w:rsidRPr="00D73D94">
        <w:t xml:space="preserve">the impact of governance risks on the adaptive capacity of risks in other domains. This was achieved through expert elicitation with domain leads. </w:t>
      </w:r>
    </w:p>
    <w:p w14:paraId="046BB7B7" w14:textId="2669794F" w:rsidR="002131FC" w:rsidRPr="00D73D94" w:rsidRDefault="002131FC" w:rsidP="009C69DD">
      <w:pPr>
        <w:pStyle w:val="BodyText"/>
      </w:pPr>
      <w:r w:rsidRPr="00D73D94">
        <w:t xml:space="preserve">Further information on exposure, vulnerability, consequence and adaptation, including understanding the effect of </w:t>
      </w:r>
      <w:r w:rsidRPr="00D65A52">
        <w:t>governance</w:t>
      </w:r>
      <w:r w:rsidRPr="00D73D94">
        <w:t xml:space="preserve"> risks on risks in other domains</w:t>
      </w:r>
      <w:r w:rsidR="008A015E">
        <w:t>,</w:t>
      </w:r>
      <w:r w:rsidRPr="00D73D94">
        <w:t xml:space="preserve"> was gathered from stakeholders. </w:t>
      </w:r>
      <w:r w:rsidRPr="009C69DD">
        <w:t>This</w:t>
      </w:r>
      <w:r w:rsidRPr="00D73D94">
        <w:t xml:space="preserve"> occurred through a series of five structured workshops (one per domain), an</w:t>
      </w:r>
      <w:r w:rsidR="00541F7F">
        <w:t> </w:t>
      </w:r>
      <w:r w:rsidRPr="00D73D94">
        <w:t xml:space="preserve">online survey, local hui and focused outreach to experts and stakeholders who were not able to participate in the convenings or survey. See </w:t>
      </w:r>
      <w:hyperlink w:anchor="_Engagement_approach" w:history="1">
        <w:r w:rsidRPr="007F09F8">
          <w:rPr>
            <w:rStyle w:val="Hyperlink"/>
          </w:rPr>
          <w:t>section 3</w:t>
        </w:r>
      </w:hyperlink>
      <w:r w:rsidRPr="00D73D94">
        <w:t xml:space="preserve"> for further information.</w:t>
      </w:r>
    </w:p>
    <w:p w14:paraId="3373A2C0" w14:textId="77777777" w:rsidR="002131FC" w:rsidRPr="005252B2" w:rsidRDefault="002131FC" w:rsidP="00957BB4">
      <w:pPr>
        <w:pStyle w:val="Heading3"/>
        <w:numPr>
          <w:ilvl w:val="0"/>
          <w:numId w:val="29"/>
        </w:numPr>
      </w:pPr>
      <w:bookmarkStart w:id="130" w:name="_Toc37690785"/>
      <w:bookmarkStart w:id="131" w:name="_Toc40686541"/>
      <w:r w:rsidRPr="00C878D1">
        <w:lastRenderedPageBreak/>
        <w:t xml:space="preserve">Task 3: Score risks </w:t>
      </w:r>
      <w:bookmarkEnd w:id="130"/>
      <w:bookmarkEnd w:id="131"/>
    </w:p>
    <w:p w14:paraId="76376D39" w14:textId="69ECB23C" w:rsidR="002131FC" w:rsidRPr="00D73D94" w:rsidRDefault="002131FC" w:rsidP="00F443EF">
      <w:pPr>
        <w:pStyle w:val="BodyText"/>
      </w:pPr>
      <w:r w:rsidRPr="00D73D94">
        <w:t xml:space="preserve">Following the literature review and stakeholder engagement (detailed in </w:t>
      </w:r>
      <w:hyperlink w:anchor="_Engagement_approach" w:history="1">
        <w:r w:rsidRPr="007F09F8">
          <w:rPr>
            <w:rStyle w:val="Hyperlink"/>
          </w:rPr>
          <w:t>section 3</w:t>
        </w:r>
      </w:hyperlink>
      <w:r w:rsidRPr="00D73D94">
        <w:t xml:space="preserve">), the </w:t>
      </w:r>
      <w:r>
        <w:t>RA</w:t>
      </w:r>
      <w:r w:rsidR="00541F7F">
        <w:t> </w:t>
      </w:r>
      <w:r w:rsidRPr="00D73D94">
        <w:t xml:space="preserve">team and </w:t>
      </w:r>
      <w:r w:rsidR="002314B2">
        <w:t xml:space="preserve">domain </w:t>
      </w:r>
      <w:r w:rsidRPr="00D73D94">
        <w:t>leads reviewed and incorporated stakeholder inputs into the assessment of exposure, vulnerability and consequence. They then undertook the following risk-scoring tasks</w:t>
      </w:r>
      <w:r w:rsidR="008A015E">
        <w:t>.</w:t>
      </w:r>
    </w:p>
    <w:p w14:paraId="47661CDE" w14:textId="43C0DDE4" w:rsidR="002131FC" w:rsidRPr="00986711" w:rsidRDefault="002131FC" w:rsidP="00957BB4">
      <w:pPr>
        <w:pStyle w:val="Numberedparagraph"/>
        <w:numPr>
          <w:ilvl w:val="0"/>
          <w:numId w:val="28"/>
        </w:numPr>
      </w:pPr>
      <w:r w:rsidRPr="00D73D94">
        <w:t xml:space="preserve">The </w:t>
      </w:r>
      <w:r>
        <w:t xml:space="preserve">RA </w:t>
      </w:r>
      <w:r w:rsidRPr="00D73D94">
        <w:t xml:space="preserve">team provided preliminary ratings of exposure, vulnerability and consequence by using information gathered through the literature review and engagement activities. The governance domain was not rated for exposure and vulnerability, but was rated for adaptive capacity. The effect of governance risks on the adaptive capacity of risks in the other domains was also considered and discussed qualitatively in relation to each risk, in the </w:t>
      </w:r>
      <w:hyperlink r:id="rId38" w:history="1">
        <w:r w:rsidRPr="00986711">
          <w:rPr>
            <w:rStyle w:val="Hyperlink"/>
          </w:rPr>
          <w:t>technical report</w:t>
        </w:r>
      </w:hyperlink>
      <w:r w:rsidRPr="00986711">
        <w:t>.</w:t>
      </w:r>
      <w:r w:rsidR="00467043" w:rsidRPr="00986711">
        <w:t xml:space="preserve"> </w:t>
      </w:r>
    </w:p>
    <w:p w14:paraId="336E3F8D" w14:textId="1A4B246D" w:rsidR="002131FC" w:rsidRPr="00D73D94" w:rsidRDefault="002131FC" w:rsidP="002131FC">
      <w:pPr>
        <w:pStyle w:val="Numberedparagraph"/>
      </w:pPr>
      <w:r w:rsidRPr="00D73D94">
        <w:t>The RA team and</w:t>
      </w:r>
      <w:r w:rsidR="002314B2">
        <w:t xml:space="preserve"> domain</w:t>
      </w:r>
      <w:r w:rsidRPr="00D73D94">
        <w:t xml:space="preserve"> leads reviewed and adjusted preliminary findings and scoring, including for the governance domain.</w:t>
      </w:r>
      <w:r w:rsidR="00467043">
        <w:t xml:space="preserve"> </w:t>
      </w:r>
    </w:p>
    <w:p w14:paraId="2788C1F7" w14:textId="77777777" w:rsidR="002131FC" w:rsidRPr="00C878D1" w:rsidRDefault="002131FC" w:rsidP="003C4F4B">
      <w:pPr>
        <w:pStyle w:val="Heading2"/>
        <w:numPr>
          <w:ilvl w:val="0"/>
          <w:numId w:val="22"/>
        </w:numPr>
        <w:rPr>
          <w:rFonts w:cs="Calibri"/>
          <w:szCs w:val="24"/>
        </w:rPr>
      </w:pPr>
      <w:bookmarkStart w:id="132" w:name="_Toc37690786"/>
      <w:bookmarkStart w:id="133" w:name="_Toc40686542"/>
      <w:bookmarkStart w:id="134" w:name="_Toc45898307"/>
      <w:r w:rsidRPr="00C878D1">
        <w:rPr>
          <w:rFonts w:cs="Calibri"/>
          <w:szCs w:val="24"/>
        </w:rPr>
        <w:t>Stage 3: Adaptation and decision urgency</w:t>
      </w:r>
      <w:bookmarkEnd w:id="132"/>
      <w:bookmarkEnd w:id="133"/>
      <w:bookmarkEnd w:id="134"/>
      <w:r w:rsidRPr="00C878D1">
        <w:rPr>
          <w:rFonts w:cs="Calibri"/>
          <w:szCs w:val="24"/>
        </w:rPr>
        <w:t xml:space="preserve"> </w:t>
      </w:r>
    </w:p>
    <w:p w14:paraId="4485EDFB" w14:textId="77777777" w:rsidR="002131FC" w:rsidRPr="00D73D94" w:rsidRDefault="002131FC" w:rsidP="00215675">
      <w:pPr>
        <w:pStyle w:val="BodyText"/>
      </w:pPr>
      <w:r w:rsidRPr="00D73D94">
        <w:t xml:space="preserve">The tasks in this stage were: </w:t>
      </w:r>
    </w:p>
    <w:p w14:paraId="61079A70" w14:textId="76111CD5" w:rsidR="002131FC" w:rsidRPr="00215675" w:rsidRDefault="007254C7" w:rsidP="00215675">
      <w:pPr>
        <w:pStyle w:val="Bullet"/>
      </w:pPr>
      <w:r>
        <w:t>t</w:t>
      </w:r>
      <w:r w:rsidR="002131FC" w:rsidRPr="00D73D94">
        <w:t>ask 1</w:t>
      </w:r>
      <w:r w:rsidR="002131FC" w:rsidRPr="00215675">
        <w:t>:</w:t>
      </w:r>
      <w:r w:rsidR="00467043">
        <w:t xml:space="preserve"> </w:t>
      </w:r>
      <w:r w:rsidR="002131FC" w:rsidRPr="00215675">
        <w:t>Review current and planned adaptation action</w:t>
      </w:r>
    </w:p>
    <w:p w14:paraId="7BBC95DF" w14:textId="3E7DB9D6" w:rsidR="002131FC" w:rsidRPr="00D73D94" w:rsidRDefault="007254C7" w:rsidP="00215675">
      <w:pPr>
        <w:pStyle w:val="Bullet"/>
      </w:pPr>
      <w:r>
        <w:t>t</w:t>
      </w:r>
      <w:r w:rsidR="002131FC" w:rsidRPr="00215675">
        <w:t>ask 2: A</w:t>
      </w:r>
      <w:r w:rsidR="002131FC" w:rsidRPr="00D73D94">
        <w:t xml:space="preserve">ssess decision urgency. </w:t>
      </w:r>
    </w:p>
    <w:p w14:paraId="0CCE8E64" w14:textId="77777777" w:rsidR="002131FC" w:rsidRPr="00D73D94" w:rsidRDefault="002131FC" w:rsidP="00215675">
      <w:pPr>
        <w:pStyle w:val="BodyText"/>
      </w:pPr>
      <w:r w:rsidRPr="00D73D94">
        <w:t xml:space="preserve">Detailed analysis of the extent, timing and efficacy of existing and planned adaptation action is challenging. Adaptation actions may not always be identified as such. They are implemented to differing extents by diverse stakeholders, and are very rarely monitored and evaluated in a consistent and accessible way. As a result, the </w:t>
      </w:r>
      <w:r w:rsidRPr="00215675">
        <w:t>NCCRA</w:t>
      </w:r>
      <w:r w:rsidRPr="00D73D94">
        <w:t xml:space="preserve"> largely used information gathered through engagement and expert elicitation, to understand existing and planned adaptation action in New Zealand. </w:t>
      </w:r>
    </w:p>
    <w:p w14:paraId="6B3947E6" w14:textId="5A7D9E5A" w:rsidR="002131FC" w:rsidRPr="00D73D94" w:rsidRDefault="00F30418" w:rsidP="002131FC">
      <w:pPr>
        <w:pStyle w:val="BodyText"/>
        <w:rPr>
          <w:rFonts w:cs="Calibri"/>
        </w:rPr>
      </w:pPr>
      <w:hyperlink w:anchor="figure4" w:history="1">
        <w:r w:rsidR="002131FC" w:rsidRPr="00D3376B">
          <w:rPr>
            <w:rStyle w:val="Hyperlink"/>
            <w:rFonts w:cs="Calibri"/>
          </w:rPr>
          <w:t>Figure 4</w:t>
        </w:r>
      </w:hyperlink>
      <w:r w:rsidR="002131FC" w:rsidRPr="00D73D94">
        <w:rPr>
          <w:rFonts w:cs="Calibri"/>
        </w:rPr>
        <w:t xml:space="preserve"> is an overview of stage 3. </w:t>
      </w:r>
      <w:r w:rsidR="00D3376B">
        <w:rPr>
          <w:rFonts w:cs="Calibri"/>
        </w:rPr>
        <w:t>Stage 3</w:t>
      </w:r>
      <w:r w:rsidR="00D3376B" w:rsidRPr="00D73D94">
        <w:rPr>
          <w:rFonts w:cs="Calibri"/>
        </w:rPr>
        <w:t xml:space="preserve"> </w:t>
      </w:r>
      <w:r w:rsidR="002131FC" w:rsidRPr="00D73D94">
        <w:rPr>
          <w:rFonts w:cs="Calibri"/>
        </w:rPr>
        <w:t>was undertaken together with stage 2 as part of the detailed assessment.</w:t>
      </w:r>
      <w:r w:rsidR="00467043">
        <w:rPr>
          <w:rFonts w:cs="Calibri"/>
        </w:rPr>
        <w:t xml:space="preserve"> </w:t>
      </w:r>
    </w:p>
    <w:p w14:paraId="703AC031" w14:textId="5771509A" w:rsidR="008B2A31" w:rsidRDefault="000058F9" w:rsidP="00736742">
      <w:pPr>
        <w:pStyle w:val="Figureheading"/>
      </w:pPr>
      <w:bookmarkStart w:id="135" w:name="figure4"/>
      <w:bookmarkStart w:id="136" w:name="_Toc43899338"/>
      <w:r w:rsidRPr="000058F9">
        <w:t xml:space="preserve">Figure </w:t>
      </w:r>
      <w:fldSimple w:instr=" SEQ Figure \* ARABIC ">
        <w:r w:rsidR="001B2025">
          <w:rPr>
            <w:noProof/>
          </w:rPr>
          <w:t>4</w:t>
        </w:r>
      </w:fldSimple>
      <w:r>
        <w:t>:</w:t>
      </w:r>
      <w:bookmarkEnd w:id="135"/>
      <w:r w:rsidRPr="000058F9">
        <w:tab/>
        <w:t>Overview of stage 3, as outlined in the NCCRA framework (Ministry for the Environment,</w:t>
      </w:r>
      <w:r>
        <w:t> </w:t>
      </w:r>
      <w:r w:rsidRPr="000058F9">
        <w:t>2019)</w:t>
      </w:r>
      <w:bookmarkEnd w:id="136"/>
    </w:p>
    <w:p w14:paraId="2E0207DA" w14:textId="664C7639" w:rsidR="000058F9" w:rsidRDefault="00B95707" w:rsidP="000058F9">
      <w:pPr>
        <w:pStyle w:val="BodyText"/>
      </w:pPr>
      <w:r w:rsidRPr="0024184F">
        <w:rPr>
          <w:noProof/>
          <w:sz w:val="16"/>
        </w:rPr>
        <w:drawing>
          <wp:inline distT="0" distB="0" distL="0" distR="0" wp14:anchorId="5A388CCA" wp14:editId="70F1D005">
            <wp:extent cx="5400040" cy="311667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4.JPG"/>
                    <pic:cNvPicPr/>
                  </pic:nvPicPr>
                  <pic:blipFill rotWithShape="1">
                    <a:blip r:embed="rId39">
                      <a:extLst>
                        <a:ext uri="{28A0092B-C50C-407E-A947-70E740481C1C}">
                          <a14:useLocalDpi xmlns:a14="http://schemas.microsoft.com/office/drawing/2010/main" val="0"/>
                        </a:ext>
                      </a:extLst>
                    </a:blip>
                    <a:srcRect/>
                    <a:stretch/>
                  </pic:blipFill>
                  <pic:spPr bwMode="auto">
                    <a:xfrm>
                      <a:off x="0" y="0"/>
                      <a:ext cx="5400040" cy="3116679"/>
                    </a:xfrm>
                    <a:prstGeom prst="rect">
                      <a:avLst/>
                    </a:prstGeom>
                    <a:ln>
                      <a:noFill/>
                    </a:ln>
                    <a:extLst>
                      <a:ext uri="{53640926-AAD7-44D8-BBD7-CCE9431645EC}">
                        <a14:shadowObscured xmlns:a14="http://schemas.microsoft.com/office/drawing/2010/main"/>
                      </a:ext>
                    </a:extLst>
                  </pic:spPr>
                </pic:pic>
              </a:graphicData>
            </a:graphic>
          </wp:inline>
        </w:drawing>
      </w:r>
    </w:p>
    <w:p w14:paraId="500549D6" w14:textId="77777777" w:rsidR="00C27F3C" w:rsidRPr="00C878D1" w:rsidRDefault="00C27F3C" w:rsidP="00957BB4">
      <w:pPr>
        <w:pStyle w:val="Heading3"/>
        <w:numPr>
          <w:ilvl w:val="0"/>
          <w:numId w:val="37"/>
        </w:numPr>
      </w:pPr>
      <w:bookmarkStart w:id="137" w:name="_Toc37690787"/>
      <w:bookmarkStart w:id="138" w:name="_Toc40686543"/>
      <w:r w:rsidRPr="00C878D1">
        <w:lastRenderedPageBreak/>
        <w:t xml:space="preserve">Task 1: Review current </w:t>
      </w:r>
      <w:r w:rsidRPr="00C27F3C">
        <w:t>and</w:t>
      </w:r>
      <w:r w:rsidRPr="00C878D1">
        <w:t xml:space="preserve"> planned adaptation</w:t>
      </w:r>
      <w:bookmarkEnd w:id="137"/>
      <w:bookmarkEnd w:id="138"/>
    </w:p>
    <w:p w14:paraId="75EE791F" w14:textId="77777777" w:rsidR="00C27F3C" w:rsidRPr="00850B65" w:rsidRDefault="00C27F3C" w:rsidP="00176BAE">
      <w:pPr>
        <w:pStyle w:val="BodyText"/>
      </w:pPr>
      <w:r w:rsidRPr="00850B65">
        <w:t>Stage 3 considered existing and planned adaptation actions and the extent to which risks and opportunities are being addressed at a high level. Types of adaptation include:</w:t>
      </w:r>
    </w:p>
    <w:p w14:paraId="27457502" w14:textId="38D350CE" w:rsidR="00032CB6" w:rsidRPr="00850B65" w:rsidRDefault="00A770E4" w:rsidP="00032CB6">
      <w:pPr>
        <w:pStyle w:val="Bullet"/>
      </w:pPr>
      <w:r w:rsidRPr="00850B65">
        <w:t xml:space="preserve">autonomous </w:t>
      </w:r>
      <w:r w:rsidR="00C27F3C" w:rsidRPr="00176BAE">
        <w:t>adaptation</w:t>
      </w:r>
      <w:r w:rsidR="00834758">
        <w:t>,</w:t>
      </w:r>
      <w:r w:rsidR="00F70A70">
        <w:rPr>
          <w:rStyle w:val="FootnoteReference"/>
        </w:rPr>
        <w:footnoteReference w:id="3"/>
      </w:r>
      <w:r w:rsidR="00C27F3C" w:rsidRPr="00176BAE">
        <w:t xml:space="preserve"> for example by individuals </w:t>
      </w:r>
      <w:r w:rsidR="00032CB6" w:rsidRPr="00850B65">
        <w:t xml:space="preserve">or the private sector </w:t>
      </w:r>
    </w:p>
    <w:p w14:paraId="7AAF1A65" w14:textId="77777777" w:rsidR="00C27F3C" w:rsidRPr="00850B65" w:rsidRDefault="00C27F3C" w:rsidP="00176BAE">
      <w:pPr>
        <w:pStyle w:val="Bullet"/>
      </w:pPr>
      <w:r w:rsidRPr="00176BAE">
        <w:t>deliberate policy</w:t>
      </w:r>
      <w:r w:rsidRPr="00850B65">
        <w:t xml:space="preserve"> decisions initiated and implemented by governments at all levels. </w:t>
      </w:r>
    </w:p>
    <w:p w14:paraId="2A948DA1" w14:textId="2FA1F15F" w:rsidR="00C27F3C" w:rsidRPr="00850B65" w:rsidRDefault="00C27F3C" w:rsidP="00C27F3C">
      <w:pPr>
        <w:pStyle w:val="BodyText"/>
        <w:spacing w:before="180"/>
        <w:rPr>
          <w:rFonts w:cs="Calibri"/>
        </w:rPr>
      </w:pPr>
      <w:r w:rsidRPr="00850B65">
        <w:rPr>
          <w:rFonts w:cs="Calibri"/>
        </w:rPr>
        <w:t>Information was gathered through stakeholder consultation, expert elicitation and a review of</w:t>
      </w:r>
      <w:r w:rsidR="005C4486">
        <w:rPr>
          <w:rFonts w:cs="Calibri"/>
        </w:rPr>
        <w:t> </w:t>
      </w:r>
      <w:r w:rsidRPr="00850B65">
        <w:rPr>
          <w:rFonts w:cs="Calibri"/>
        </w:rPr>
        <w:t>the</w:t>
      </w:r>
      <w:r w:rsidR="00D3376B" w:rsidRPr="00D3376B">
        <w:rPr>
          <w:rFonts w:cs="Calibri"/>
        </w:rPr>
        <w:t xml:space="preserve"> </w:t>
      </w:r>
      <w:r w:rsidR="00D3376B" w:rsidRPr="00850B65">
        <w:rPr>
          <w:rFonts w:cs="Calibri"/>
        </w:rPr>
        <w:t>Climate Change Adaptation Technical Working Group</w:t>
      </w:r>
      <w:r w:rsidR="00D3376B">
        <w:rPr>
          <w:rFonts w:cs="Calibri"/>
        </w:rPr>
        <w:t>’s (CCATWG)</w:t>
      </w:r>
      <w:r w:rsidRPr="00850B65">
        <w:rPr>
          <w:rFonts w:cs="Calibri"/>
        </w:rPr>
        <w:t xml:space="preserve"> </w:t>
      </w:r>
      <w:r w:rsidRPr="00850B65">
        <w:rPr>
          <w:rFonts w:cs="Calibri"/>
          <w:i/>
        </w:rPr>
        <w:t>Stocktake Report of Climate Adaptation in New Zealand</w:t>
      </w:r>
      <w:r w:rsidRPr="00850B65">
        <w:rPr>
          <w:rFonts w:cs="Calibri"/>
        </w:rPr>
        <w:t xml:space="preserve"> (</w:t>
      </w:r>
      <w:r w:rsidR="004D2A94" w:rsidRPr="00850B65">
        <w:rPr>
          <w:rFonts w:cs="Calibri"/>
        </w:rPr>
        <w:t>Climate Change Adaptation Technical Working Group, 2017</w:t>
      </w:r>
      <w:r w:rsidRPr="00850B65">
        <w:rPr>
          <w:rFonts w:cs="Calibri"/>
        </w:rPr>
        <w:t xml:space="preserve">) and the </w:t>
      </w:r>
      <w:r w:rsidR="00FB6D2D" w:rsidRPr="00850B65">
        <w:rPr>
          <w:rFonts w:cs="Calibri"/>
          <w:i/>
        </w:rPr>
        <w:t>Recommendations Report</w:t>
      </w:r>
      <w:r w:rsidR="00FB6D2D" w:rsidRPr="00850B65">
        <w:rPr>
          <w:rFonts w:cs="Calibri"/>
        </w:rPr>
        <w:t xml:space="preserve"> </w:t>
      </w:r>
      <w:r w:rsidRPr="00850B65">
        <w:rPr>
          <w:rFonts w:cs="Calibri"/>
        </w:rPr>
        <w:t xml:space="preserve">(Climate Change Adaptation Technical Working Group, </w:t>
      </w:r>
      <w:r w:rsidR="004D2A94" w:rsidRPr="00850B65">
        <w:rPr>
          <w:rFonts w:cs="Calibri"/>
        </w:rPr>
        <w:t>201</w:t>
      </w:r>
      <w:r w:rsidR="004D2A94">
        <w:rPr>
          <w:rFonts w:cs="Calibri"/>
        </w:rPr>
        <w:t>8</w:t>
      </w:r>
      <w:r w:rsidRPr="00850B65">
        <w:rPr>
          <w:rFonts w:cs="Calibri"/>
        </w:rPr>
        <w:t>). To identify where adaptation is planned or under way to address the prioritised national risks and identified opportunities, stakeholders were asked:</w:t>
      </w:r>
      <w:r w:rsidR="00467043">
        <w:rPr>
          <w:rFonts w:cs="Calibri"/>
        </w:rPr>
        <w:t xml:space="preserve"> </w:t>
      </w:r>
    </w:p>
    <w:p w14:paraId="200A138F" w14:textId="77777777" w:rsidR="00C27F3C" w:rsidRPr="00850B65" w:rsidRDefault="00C27F3C" w:rsidP="00C27F3C">
      <w:pPr>
        <w:pStyle w:val="Bullet"/>
      </w:pPr>
      <w:r w:rsidRPr="00850B65">
        <w:t>Who has mandated responsibility to respond to/manage this risk?</w:t>
      </w:r>
    </w:p>
    <w:p w14:paraId="3D9D2606" w14:textId="77777777" w:rsidR="00C27F3C" w:rsidRPr="00850B65" w:rsidRDefault="00C27F3C" w:rsidP="00C27F3C">
      <w:pPr>
        <w:pStyle w:val="Bullet"/>
      </w:pPr>
      <w:r w:rsidRPr="00850B65">
        <w:t xml:space="preserve">Are there adaptation actions planned or under way? </w:t>
      </w:r>
    </w:p>
    <w:p w14:paraId="50C87C2F" w14:textId="77777777" w:rsidR="00C27F3C" w:rsidRPr="00850B65" w:rsidRDefault="00C27F3C" w:rsidP="00C27F3C">
      <w:pPr>
        <w:pStyle w:val="Bullet"/>
      </w:pPr>
      <w:r w:rsidRPr="00850B65">
        <w:t>Who is driving this response?</w:t>
      </w:r>
      <w:r w:rsidRPr="00850B65">
        <w:tab/>
      </w:r>
    </w:p>
    <w:p w14:paraId="36510645" w14:textId="77777777" w:rsidR="00C27F3C" w:rsidRPr="00850B65" w:rsidRDefault="00C27F3C" w:rsidP="00C27F3C">
      <w:pPr>
        <w:pStyle w:val="Bullet"/>
      </w:pPr>
      <w:r w:rsidRPr="00850B65">
        <w:t>Would risks benefit from short-term action (in the next five years)?</w:t>
      </w:r>
    </w:p>
    <w:p w14:paraId="5D6A4DD2" w14:textId="77777777" w:rsidR="00C27F3C" w:rsidRPr="00850B65" w:rsidRDefault="00C27F3C" w:rsidP="00C27F3C">
      <w:pPr>
        <w:pStyle w:val="Bullet"/>
      </w:pPr>
      <w:r w:rsidRPr="00850B65">
        <w:t>Where are decisions needed early to avoid irreversible consequences, or being committed to a way forward that proves inflexible as impacts worsen (ie, being ‘locked in’)?</w:t>
      </w:r>
    </w:p>
    <w:p w14:paraId="52385970" w14:textId="38147127" w:rsidR="00C27F3C" w:rsidRPr="00850B65" w:rsidRDefault="00C27F3C" w:rsidP="00C27F3C">
      <w:pPr>
        <w:pStyle w:val="Bullet"/>
      </w:pPr>
      <w:r w:rsidRPr="00850B65">
        <w:t>To your knowledge, are there any significant research and monitoring gaps related to the</w:t>
      </w:r>
      <w:r w:rsidR="00176BAE">
        <w:t> </w:t>
      </w:r>
      <w:r w:rsidRPr="00850B65">
        <w:t>risks?</w:t>
      </w:r>
    </w:p>
    <w:p w14:paraId="56CC09F5" w14:textId="7F3790F6" w:rsidR="00C27F3C" w:rsidRPr="00850B65" w:rsidRDefault="00C27F3C" w:rsidP="00176BAE">
      <w:pPr>
        <w:pStyle w:val="BodyText"/>
      </w:pPr>
      <w:r w:rsidRPr="00850B65">
        <w:t xml:space="preserve">This information </w:t>
      </w:r>
      <w:r w:rsidR="00F66518">
        <w:t>was used in assessing</w:t>
      </w:r>
      <w:r w:rsidR="00F66518" w:rsidRPr="00850B65">
        <w:t xml:space="preserve"> </w:t>
      </w:r>
      <w:r w:rsidRPr="00850B65">
        <w:t>decision urgency.</w:t>
      </w:r>
    </w:p>
    <w:p w14:paraId="6CA6E7E6" w14:textId="77777777" w:rsidR="00C27F3C" w:rsidRPr="00176BAE" w:rsidRDefault="00C27F3C" w:rsidP="00957BB4">
      <w:pPr>
        <w:pStyle w:val="Heading3"/>
        <w:numPr>
          <w:ilvl w:val="0"/>
          <w:numId w:val="37"/>
        </w:numPr>
      </w:pPr>
      <w:bookmarkStart w:id="139" w:name="_Task_2:_Assess"/>
      <w:bookmarkStart w:id="140" w:name="_Toc37690788"/>
      <w:bookmarkStart w:id="141" w:name="_Toc40686544"/>
      <w:bookmarkEnd w:id="139"/>
      <w:r w:rsidRPr="00C878D1">
        <w:t>Task 2: Assess decision urgency</w:t>
      </w:r>
      <w:bookmarkEnd w:id="140"/>
      <w:bookmarkEnd w:id="141"/>
    </w:p>
    <w:p w14:paraId="5A1B51F9" w14:textId="58743F94" w:rsidR="00C27F3C" w:rsidRPr="00176BAE" w:rsidRDefault="00C27F3C" w:rsidP="00176BAE">
      <w:pPr>
        <w:pStyle w:val="BodyText"/>
      </w:pPr>
      <w:r w:rsidRPr="00850B65">
        <w:t xml:space="preserve">Stage 3 generated adaptation and urgency ratings for each of the priority risks and </w:t>
      </w:r>
      <w:r w:rsidRPr="00176BAE">
        <w:t>opportunities, using the concept of adaptation decision urgency to summarise the findings</w:t>
      </w:r>
      <w:r w:rsidR="00C90AAC">
        <w:t xml:space="preserve"> </w:t>
      </w:r>
      <w:r w:rsidRPr="00176BAE">
        <w:t>of</w:t>
      </w:r>
      <w:r w:rsidR="00C90AAC">
        <w:t xml:space="preserve"> </w:t>
      </w:r>
      <w:r w:rsidRPr="00176BAE">
        <w:t xml:space="preserve">the analysis. </w:t>
      </w:r>
    </w:p>
    <w:p w14:paraId="65249B31" w14:textId="02EA0D93" w:rsidR="00C27F3C" w:rsidRPr="00850B65" w:rsidRDefault="00C27F3C" w:rsidP="00176BAE">
      <w:pPr>
        <w:pStyle w:val="BodyText"/>
      </w:pPr>
      <w:r w:rsidRPr="00176BAE">
        <w:t>Urge</w:t>
      </w:r>
      <w:r w:rsidRPr="00850B65">
        <w:t xml:space="preserve">ncy is defined as “a measure of the degree to which further action is needed in the next five years to reduce a risk or realise an opportunity from climate change” (Committee on Climate Change, </w:t>
      </w:r>
      <w:r w:rsidR="00A549B9" w:rsidRPr="00850B65">
        <w:t>201</w:t>
      </w:r>
      <w:r w:rsidR="00A549B9">
        <w:t>7</w:t>
      </w:r>
      <w:r w:rsidRPr="00850B65">
        <w:t>, p</w:t>
      </w:r>
      <w:r w:rsidR="00C90AAC">
        <w:t xml:space="preserve"> </w:t>
      </w:r>
      <w:r w:rsidRPr="00850B65">
        <w:t xml:space="preserve">5). The NCCRA framework adopted the urgency categories from the </w:t>
      </w:r>
      <w:r w:rsidRPr="00850B65">
        <w:rPr>
          <w:i/>
        </w:rPr>
        <w:t>2017 UK Climate Change Risk Assessment</w:t>
      </w:r>
      <w:r w:rsidRPr="00850B65">
        <w:t xml:space="preserve"> (Committee on Climate Change, 2017).</w:t>
      </w:r>
    </w:p>
    <w:p w14:paraId="0CDE2833" w14:textId="5FB0EDC4" w:rsidR="00250945" w:rsidRPr="0024184F" w:rsidRDefault="00E25EA4" w:rsidP="00736742">
      <w:pPr>
        <w:pStyle w:val="Figureheading"/>
      </w:pPr>
      <w:bookmarkStart w:id="142" w:name="figure5"/>
      <w:bookmarkStart w:id="143" w:name="_Toc43899339"/>
      <w:r w:rsidRPr="00E25EA4">
        <w:lastRenderedPageBreak/>
        <w:t xml:space="preserve">Figure </w:t>
      </w:r>
      <w:fldSimple w:instr=" SEQ Figure \* ARABIC ">
        <w:r w:rsidR="001B2025">
          <w:rPr>
            <w:noProof/>
          </w:rPr>
          <w:t>5</w:t>
        </w:r>
      </w:fldSimple>
      <w:bookmarkEnd w:id="142"/>
      <w:r>
        <w:t>:</w:t>
      </w:r>
      <w:r w:rsidRPr="00E25EA4">
        <w:tab/>
        <w:t>Application of urgency categories in the NCCRA</w:t>
      </w:r>
      <w:bookmarkEnd w:id="143"/>
    </w:p>
    <w:p w14:paraId="41B8D30A" w14:textId="0588FE8D" w:rsidR="00250945" w:rsidRPr="0024184F" w:rsidRDefault="006B22A5" w:rsidP="005C4486">
      <w:pPr>
        <w:pStyle w:val="BodyText"/>
        <w:spacing w:before="0" w:after="240"/>
      </w:pPr>
      <w:r>
        <w:rPr>
          <w:noProof/>
        </w:rPr>
        <mc:AlternateContent>
          <mc:Choice Requires="wps">
            <w:drawing>
              <wp:anchor distT="0" distB="0" distL="114300" distR="114300" simplePos="0" relativeHeight="251660288" behindDoc="0" locked="0" layoutInCell="1" allowOverlap="1" wp14:anchorId="50A01749" wp14:editId="5B19BD88">
                <wp:simplePos x="0" y="0"/>
                <wp:positionH relativeFrom="column">
                  <wp:posOffset>4239895</wp:posOffset>
                </wp:positionH>
                <wp:positionV relativeFrom="paragraph">
                  <wp:posOffset>37465</wp:posOffset>
                </wp:positionV>
                <wp:extent cx="1331595" cy="272859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2728595"/>
                        </a:xfrm>
                        <a:prstGeom prst="rect">
                          <a:avLst/>
                        </a:prstGeom>
                        <a:solidFill>
                          <a:schemeClr val="lt1"/>
                        </a:solidFill>
                        <a:ln w="6350">
                          <a:noFill/>
                        </a:ln>
                      </wps:spPr>
                      <wps:txbx>
                        <w:txbxContent>
                          <w:p w14:paraId="10E56308" w14:textId="225C9D34" w:rsidR="00FE3724" w:rsidRPr="00250945" w:rsidRDefault="00FE3724" w:rsidP="00250945">
                            <w:pPr>
                              <w:pStyle w:val="TableText"/>
                              <w:spacing w:before="0" w:line="240" w:lineRule="auto"/>
                              <w:rPr>
                                <w:sz w:val="16"/>
                                <w:szCs w:val="20"/>
                              </w:rPr>
                            </w:pPr>
                            <w:r w:rsidRPr="00250945">
                              <w:rPr>
                                <w:sz w:val="16"/>
                                <w:szCs w:val="20"/>
                              </w:rPr>
                              <w:t>Each risk was given a rating (out of 100), according to the level of need for each of these types of action (4</w:t>
                            </w:r>
                            <w:r>
                              <w:rPr>
                                <w:sz w:val="16"/>
                                <w:szCs w:val="20"/>
                              </w:rPr>
                              <w:t> </w:t>
                            </w:r>
                            <w:r w:rsidRPr="00250945">
                              <w:rPr>
                                <w:sz w:val="16"/>
                                <w:szCs w:val="20"/>
                              </w:rPr>
                              <w:t>ratings in total).</w:t>
                            </w:r>
                          </w:p>
                          <w:p w14:paraId="7F82090F" w14:textId="3CEA5AC8" w:rsidR="00FE3724" w:rsidRPr="00250945" w:rsidRDefault="00FE3724" w:rsidP="00250945">
                            <w:pPr>
                              <w:pStyle w:val="TableText"/>
                              <w:spacing w:line="240" w:lineRule="auto"/>
                              <w:rPr>
                                <w:b/>
                                <w:bCs/>
                                <w:sz w:val="12"/>
                                <w:szCs w:val="12"/>
                              </w:rPr>
                            </w:pPr>
                            <w:r w:rsidRPr="00250945">
                              <w:rPr>
                                <w:sz w:val="16"/>
                                <w:szCs w:val="20"/>
                              </w:rPr>
                              <w:t>The four ratings (which were weighted based on the level of urgency for that type of action) were combined to provide a total rating for action urgency.</w:t>
                            </w:r>
                            <w:r w:rsidRPr="00250945">
                              <w:rPr>
                                <w:b/>
                                <w:bCs/>
                                <w:sz w:val="12"/>
                                <w:szCs w:val="12"/>
                              </w:rPr>
                              <w:t xml:space="preserve"> </w:t>
                            </w:r>
                          </w:p>
                          <w:p w14:paraId="3AA276DE" w14:textId="77777777" w:rsidR="00FE3724" w:rsidRPr="00250945" w:rsidRDefault="00FE3724" w:rsidP="00250945">
                            <w:pPr>
                              <w:pStyle w:val="TableText"/>
                              <w:spacing w:after="0" w:line="240" w:lineRule="auto"/>
                              <w:rPr>
                                <w:sz w:val="16"/>
                                <w:szCs w:val="20"/>
                              </w:rPr>
                            </w:pPr>
                            <w:r w:rsidRPr="00250945">
                              <w:rPr>
                                <w:sz w:val="16"/>
                                <w:szCs w:val="20"/>
                              </w:rPr>
                              <w:t>The overall urgency ratings are useful for comparing relative action urgency between risks in each domain. They are less useful for comparing relative urgency between risks in different domains.</w:t>
                            </w:r>
                          </w:p>
                          <w:p w14:paraId="05B6E437" w14:textId="77777777" w:rsidR="00FE3724" w:rsidRPr="00250945" w:rsidRDefault="00FE3724" w:rsidP="00250945">
                            <w:pPr>
                              <w:spacing w:line="240" w:lineRule="auto"/>
                              <w:rPr>
                                <w:sz w:val="12"/>
                                <w:szCs w:val="12"/>
                              </w:rPr>
                            </w:pPr>
                          </w:p>
                          <w:p w14:paraId="545DC2FC" w14:textId="77777777" w:rsidR="00FE3724" w:rsidRDefault="00FE3724" w:rsidP="00250945">
                            <w:pPr>
                              <w:rPr>
                                <w:sz w:val="14"/>
                                <w:szCs w:val="14"/>
                              </w:rPr>
                            </w:pPr>
                          </w:p>
                          <w:p w14:paraId="2C0E0F72" w14:textId="77777777" w:rsidR="00FE3724" w:rsidRDefault="00FE3724" w:rsidP="00250945">
                            <w:pPr>
                              <w:rPr>
                                <w:sz w:val="14"/>
                                <w:szCs w:val="14"/>
                              </w:rPr>
                            </w:pPr>
                          </w:p>
                          <w:p w14:paraId="32735059" w14:textId="77777777" w:rsidR="00FE3724" w:rsidRPr="0066450F" w:rsidRDefault="00FE3724" w:rsidP="00250945">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0A01749" id="_x0000_t202" coordsize="21600,21600" o:spt="202" path="m,l,21600r21600,l21600,xe">
                <v:stroke joinstyle="miter"/>
                <v:path gradientshapeok="t" o:connecttype="rect"/>
              </v:shapetype>
              <v:shape id="Text Box 16" o:spid="_x0000_s1026" type="#_x0000_t202" style="position:absolute;margin-left:333.85pt;margin-top:2.95pt;width:104.85pt;height:21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" fillcolor="white [3201]" stroked="f" strokeweight=".5pt">
                <v:path arrowok="t"/>
                <v:textbox>
                  <w:txbxContent>
                    <w:p w14:paraId="10E56308" w14:textId="225C9D34" w:rsidR="00FE3724" w:rsidRPr="00250945" w:rsidRDefault="00FE3724" w:rsidP="00250945">
                      <w:pPr>
                        <w:pStyle w:val="TableText"/>
                        <w:spacing w:before="0" w:line="240" w:lineRule="auto"/>
                        <w:rPr>
                          <w:sz w:val="16"/>
                          <w:szCs w:val="20"/>
                        </w:rPr>
                      </w:pPr>
                      <w:r w:rsidRPr="00250945">
                        <w:rPr>
                          <w:sz w:val="16"/>
                          <w:szCs w:val="20"/>
                        </w:rPr>
                        <w:t>Each risk was given a rating (out of 100), according to the level of need for each of these types of action (4</w:t>
                      </w:r>
                      <w:r>
                        <w:rPr>
                          <w:sz w:val="16"/>
                          <w:szCs w:val="20"/>
                        </w:rPr>
                        <w:t> </w:t>
                      </w:r>
                      <w:r w:rsidRPr="00250945">
                        <w:rPr>
                          <w:sz w:val="16"/>
                          <w:szCs w:val="20"/>
                        </w:rPr>
                        <w:t>ratings in total).</w:t>
                      </w:r>
                    </w:p>
                    <w:p w14:paraId="7F82090F" w14:textId="3CEA5AC8" w:rsidR="00FE3724" w:rsidRPr="00250945" w:rsidRDefault="00FE3724" w:rsidP="00250945">
                      <w:pPr>
                        <w:pStyle w:val="TableText"/>
                        <w:spacing w:line="240" w:lineRule="auto"/>
                        <w:rPr>
                          <w:b/>
                          <w:bCs/>
                          <w:sz w:val="12"/>
                          <w:szCs w:val="12"/>
                        </w:rPr>
                      </w:pPr>
                      <w:r w:rsidRPr="00250945">
                        <w:rPr>
                          <w:sz w:val="16"/>
                          <w:szCs w:val="20"/>
                        </w:rPr>
                        <w:t>The four ratings (which were weighted based on the level of urgency for that type of action) were combined to provide a total rating for action urgency.</w:t>
                      </w:r>
                      <w:r w:rsidRPr="00250945">
                        <w:rPr>
                          <w:b/>
                          <w:bCs/>
                          <w:sz w:val="12"/>
                          <w:szCs w:val="12"/>
                        </w:rPr>
                        <w:t xml:space="preserve"> </w:t>
                      </w:r>
                    </w:p>
                    <w:p w14:paraId="3AA276DE" w14:textId="77777777" w:rsidR="00FE3724" w:rsidRPr="00250945" w:rsidRDefault="00FE3724" w:rsidP="00250945">
                      <w:pPr>
                        <w:pStyle w:val="TableText"/>
                        <w:spacing w:after="0" w:line="240" w:lineRule="auto"/>
                        <w:rPr>
                          <w:sz w:val="16"/>
                          <w:szCs w:val="20"/>
                        </w:rPr>
                      </w:pPr>
                      <w:r w:rsidRPr="00250945">
                        <w:rPr>
                          <w:sz w:val="16"/>
                          <w:szCs w:val="20"/>
                        </w:rPr>
                        <w:t>The overall urgency ratings are useful for comparing relative action urgency between risks in each domain. They are less useful for comparing relative urgency between risks in different domains.</w:t>
                      </w:r>
                    </w:p>
                    <w:p w14:paraId="05B6E437" w14:textId="77777777" w:rsidR="00FE3724" w:rsidRPr="00250945" w:rsidRDefault="00FE3724" w:rsidP="00250945">
                      <w:pPr>
                        <w:spacing w:line="240" w:lineRule="auto"/>
                        <w:rPr>
                          <w:sz w:val="12"/>
                          <w:szCs w:val="12"/>
                        </w:rPr>
                      </w:pPr>
                    </w:p>
                    <w:p w14:paraId="545DC2FC" w14:textId="77777777" w:rsidR="00FE3724" w:rsidRDefault="00FE3724" w:rsidP="00250945">
                      <w:pPr>
                        <w:rPr>
                          <w:sz w:val="14"/>
                          <w:szCs w:val="14"/>
                        </w:rPr>
                      </w:pPr>
                    </w:p>
                    <w:p w14:paraId="2C0E0F72" w14:textId="77777777" w:rsidR="00FE3724" w:rsidRDefault="00FE3724" w:rsidP="00250945">
                      <w:pPr>
                        <w:rPr>
                          <w:sz w:val="14"/>
                          <w:szCs w:val="14"/>
                        </w:rPr>
                      </w:pPr>
                    </w:p>
                    <w:p w14:paraId="32735059" w14:textId="77777777" w:rsidR="00FE3724" w:rsidRPr="0066450F" w:rsidRDefault="00FE3724" w:rsidP="00250945">
                      <w:pPr>
                        <w:rPr>
                          <w:sz w:val="14"/>
                          <w:szCs w:val="14"/>
                        </w:rPr>
                      </w:pP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BAF9D27" wp14:editId="3E4C0BB6">
                <wp:simplePos x="0" y="0"/>
                <wp:positionH relativeFrom="column">
                  <wp:posOffset>3891280</wp:posOffset>
                </wp:positionH>
                <wp:positionV relativeFrom="paragraph">
                  <wp:posOffset>390525</wp:posOffset>
                </wp:positionV>
                <wp:extent cx="396240" cy="2207895"/>
                <wp:effectExtent l="0" t="0" r="3810" b="1905"/>
                <wp:wrapNone/>
                <wp:docPr id="21" name="Right Brac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2207895"/>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5651FB6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1" o:spid="_x0000_s1026" type="#_x0000_t88" style="position:absolute;margin-left:306.4pt;margin-top:30.75pt;width:31.2pt;height:173.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" adj="323" strokecolor="black [3213]" strokeweight="1.5pt"/>
            </w:pict>
          </mc:Fallback>
        </mc:AlternateContent>
      </w:r>
      <w:r w:rsidR="00250945" w:rsidRPr="0024184F">
        <w:rPr>
          <w:noProof/>
        </w:rPr>
        <w:drawing>
          <wp:inline distT="0" distB="0" distL="0" distR="0" wp14:anchorId="4C60EB42" wp14:editId="7F4F0889">
            <wp:extent cx="3992880" cy="26174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lide5.JPG"/>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4023355" cy="2637447"/>
                    </a:xfrm>
                    <a:prstGeom prst="rect">
                      <a:avLst/>
                    </a:prstGeom>
                    <a:ln>
                      <a:noFill/>
                    </a:ln>
                    <a:extLst>
                      <a:ext uri="{53640926-AAD7-44D8-BBD7-CCE9431645EC}">
                        <a14:shadowObscured xmlns:a14="http://schemas.microsoft.com/office/drawing/2010/main"/>
                      </a:ext>
                    </a:extLst>
                  </pic:spPr>
                </pic:pic>
              </a:graphicData>
            </a:graphic>
          </wp:inline>
        </w:drawing>
      </w:r>
    </w:p>
    <w:p w14:paraId="6A850E68" w14:textId="4F130F5D" w:rsidR="00250945" w:rsidRPr="009203DE" w:rsidRDefault="00250945" w:rsidP="00250945">
      <w:pPr>
        <w:pStyle w:val="BodyText"/>
        <w:spacing w:before="240"/>
      </w:pPr>
      <w:r w:rsidRPr="009203DE">
        <w:t>The</w:t>
      </w:r>
      <w:r w:rsidR="002314B2">
        <w:t xml:space="preserve"> way these</w:t>
      </w:r>
      <w:r w:rsidRPr="009203DE">
        <w:t xml:space="preserve"> categories were applied in the NCCRA</w:t>
      </w:r>
      <w:r w:rsidR="00520840">
        <w:t xml:space="preserve"> (</w:t>
      </w:r>
      <w:hyperlink w:anchor="figure5" w:history="1">
        <w:r w:rsidR="00520840" w:rsidRPr="00520840">
          <w:rPr>
            <w:rStyle w:val="Hyperlink"/>
          </w:rPr>
          <w:t>figure 5</w:t>
        </w:r>
      </w:hyperlink>
      <w:r w:rsidR="00520840">
        <w:t>)</w:t>
      </w:r>
      <w:r w:rsidRPr="009203DE">
        <w:t xml:space="preserve"> </w:t>
      </w:r>
      <w:r w:rsidR="002314B2">
        <w:t xml:space="preserve">differed </w:t>
      </w:r>
      <w:r w:rsidR="00C90AAC">
        <w:t>from the method</w:t>
      </w:r>
      <w:r w:rsidR="00C90AAC" w:rsidRPr="009203DE">
        <w:t xml:space="preserve"> </w:t>
      </w:r>
      <w:r w:rsidRPr="009203DE">
        <w:t xml:space="preserve">outlined in the NCCRA </w:t>
      </w:r>
      <w:r w:rsidR="00C90AAC">
        <w:t>f</w:t>
      </w:r>
      <w:r w:rsidRPr="009203DE">
        <w:t>ramework. The framework had categories that are mutually exclusive so that, if this method had been applied, each risk would have fallen into a single urgency category – which is how urgency was defined in the UK assessment. This approach proved inappropriate for the New</w:t>
      </w:r>
      <w:r w:rsidR="0036792A">
        <w:t> </w:t>
      </w:r>
      <w:r w:rsidRPr="009203DE">
        <w:t xml:space="preserve">Zealand NCCRA. </w:t>
      </w:r>
    </w:p>
    <w:p w14:paraId="38C98068" w14:textId="77777777" w:rsidR="0003480B" w:rsidRPr="0081184A" w:rsidRDefault="0003480B" w:rsidP="0081184A">
      <w:pPr>
        <w:pStyle w:val="Heading4"/>
      </w:pPr>
      <w:r w:rsidRPr="009203DE">
        <w:t>Urgency profiles</w:t>
      </w:r>
    </w:p>
    <w:p w14:paraId="254FD5D9" w14:textId="1C539700" w:rsidR="0003480B" w:rsidRPr="009203DE" w:rsidRDefault="0003480B" w:rsidP="0081184A">
      <w:pPr>
        <w:pStyle w:val="BodyText"/>
      </w:pPr>
      <w:r w:rsidRPr="009203DE">
        <w:t xml:space="preserve">Given the breadth of each </w:t>
      </w:r>
      <w:r w:rsidRPr="0081184A">
        <w:t>risk</w:t>
      </w:r>
      <w:r w:rsidRPr="009203DE">
        <w:t>, and that New Zealand is still in the early stages of planning for</w:t>
      </w:r>
      <w:r w:rsidR="00520840">
        <w:t xml:space="preserve"> </w:t>
      </w:r>
      <w:r w:rsidRPr="009203DE">
        <w:t>climate change, a more nuanced application of the urgency categories was adopted. Rather</w:t>
      </w:r>
      <w:r w:rsidR="00520840">
        <w:t xml:space="preserve"> </w:t>
      </w:r>
      <w:r w:rsidRPr="009203DE">
        <w:t>than each risk falling into only one category, the NCCRA developed an ‘urgency profile’</w:t>
      </w:r>
      <w:r w:rsidR="00520840">
        <w:t xml:space="preserve"> </w:t>
      </w:r>
      <w:r w:rsidRPr="009203DE">
        <w:t xml:space="preserve">through expert elicitation with the domain leads for each risk. </w:t>
      </w:r>
    </w:p>
    <w:p w14:paraId="02CBA4ED" w14:textId="73797393" w:rsidR="0003480B" w:rsidRPr="009203DE" w:rsidRDefault="0003480B" w:rsidP="0081184A">
      <w:pPr>
        <w:pStyle w:val="BodyText"/>
      </w:pPr>
      <w:r w:rsidRPr="009203DE">
        <w:t>The profiles rate the applicability of each category to each risk</w:t>
      </w:r>
      <w:r w:rsidR="00520840">
        <w:t xml:space="preserve"> and</w:t>
      </w:r>
      <w:r w:rsidRPr="009203DE">
        <w:t xml:space="preserve"> then use a weighted sum of these rates to assess the overall urgency. The more urgent categories were weighted higher than </w:t>
      </w:r>
      <w:r w:rsidRPr="0081184A">
        <w:t>less</w:t>
      </w:r>
      <w:r w:rsidRPr="009203DE">
        <w:t xml:space="preserve"> urgent categories (the scale on the left of </w:t>
      </w:r>
      <w:hyperlink w:anchor="figure5" w:history="1">
        <w:r w:rsidRPr="00520840">
          <w:rPr>
            <w:rStyle w:val="Hyperlink"/>
          </w:rPr>
          <w:t>figure 5</w:t>
        </w:r>
      </w:hyperlink>
      <w:r w:rsidRPr="009203DE">
        <w:t xml:space="preserve"> indicates the relative urgency). Each risk was assigned:</w:t>
      </w:r>
    </w:p>
    <w:p w14:paraId="5982C953" w14:textId="77777777" w:rsidR="0003480B" w:rsidRPr="009203DE" w:rsidRDefault="0003480B" w:rsidP="0081184A">
      <w:pPr>
        <w:pStyle w:val="Bullet"/>
      </w:pPr>
      <w:r w:rsidRPr="009203DE">
        <w:t>an overview of the types of actions required, using the urgency categories</w:t>
      </w:r>
    </w:p>
    <w:p w14:paraId="09725BF6" w14:textId="343A61D5" w:rsidR="0003480B" w:rsidRPr="009203DE" w:rsidRDefault="0003480B" w:rsidP="0081184A">
      <w:pPr>
        <w:pStyle w:val="Bullet"/>
      </w:pPr>
      <w:r w:rsidRPr="009203DE">
        <w:t>an overall urgency rating to inform decision-making in each domain.</w:t>
      </w:r>
      <w:r w:rsidR="00467043">
        <w:t xml:space="preserve"> </w:t>
      </w:r>
    </w:p>
    <w:p w14:paraId="033E9894" w14:textId="042E0E23" w:rsidR="0003480B" w:rsidRPr="009203DE" w:rsidRDefault="0003480B" w:rsidP="0081184A">
      <w:pPr>
        <w:pStyle w:val="BodyText"/>
      </w:pPr>
      <w:r w:rsidRPr="009203DE">
        <w:t xml:space="preserve">This </w:t>
      </w:r>
      <w:r w:rsidRPr="0081184A">
        <w:t>involved</w:t>
      </w:r>
      <w:r w:rsidRPr="009203DE">
        <w:t xml:space="preserve"> the following tasks</w:t>
      </w:r>
      <w:r w:rsidR="00520840">
        <w:t>.</w:t>
      </w:r>
    </w:p>
    <w:p w14:paraId="13701FB0" w14:textId="27CB768C" w:rsidR="0003480B" w:rsidRPr="009203DE" w:rsidRDefault="0003480B" w:rsidP="00957BB4">
      <w:pPr>
        <w:pStyle w:val="Numberedparagraph"/>
        <w:numPr>
          <w:ilvl w:val="0"/>
          <w:numId w:val="38"/>
        </w:numPr>
      </w:pPr>
      <w:r w:rsidRPr="009203DE">
        <w:t xml:space="preserve">The RA team and domain leads worked together on initial scoring, based on adaptation information outlined in task 1. </w:t>
      </w:r>
      <w:r w:rsidR="00520840">
        <w:t>They took the following approach to</w:t>
      </w:r>
      <w:r w:rsidR="00520840" w:rsidRPr="009203DE">
        <w:t xml:space="preserve"> </w:t>
      </w:r>
      <w:r w:rsidRPr="009203DE">
        <w:t>each risk</w:t>
      </w:r>
      <w:r w:rsidR="00520840">
        <w:t>.</w:t>
      </w:r>
    </w:p>
    <w:p w14:paraId="4F7C6613" w14:textId="77777777" w:rsidR="0003480B" w:rsidRPr="009203DE" w:rsidRDefault="0003480B" w:rsidP="00957BB4">
      <w:pPr>
        <w:pStyle w:val="Sub-lista"/>
        <w:numPr>
          <w:ilvl w:val="0"/>
          <w:numId w:val="39"/>
        </w:numPr>
      </w:pPr>
      <w:r w:rsidRPr="00E0672B">
        <w:t>Domain</w:t>
      </w:r>
      <w:r w:rsidRPr="009203DE">
        <w:t xml:space="preserve"> leads estimated the percentage of total effort required under each of the urgency criteria. For example, a risk may have the following allocation: </w:t>
      </w:r>
    </w:p>
    <w:p w14:paraId="7264CE27" w14:textId="77777777" w:rsidR="0003480B" w:rsidRPr="009203DE" w:rsidRDefault="0003480B" w:rsidP="00E0672B">
      <w:pPr>
        <w:pStyle w:val="BodyText"/>
        <w:spacing w:before="0"/>
        <w:ind w:left="794"/>
      </w:pPr>
      <w:r w:rsidRPr="009203DE">
        <w:t xml:space="preserve">Watching brief: 10 per cent </w:t>
      </w:r>
    </w:p>
    <w:p w14:paraId="2045938C" w14:textId="77777777" w:rsidR="0003480B" w:rsidRPr="009203DE" w:rsidRDefault="0003480B" w:rsidP="00E0672B">
      <w:pPr>
        <w:pStyle w:val="BodyText"/>
        <w:spacing w:before="0"/>
        <w:ind w:left="794"/>
      </w:pPr>
      <w:r w:rsidRPr="009203DE">
        <w:t xml:space="preserve">Sustain current action: 40 per cent </w:t>
      </w:r>
    </w:p>
    <w:p w14:paraId="283A328F" w14:textId="77777777" w:rsidR="0003480B" w:rsidRPr="009203DE" w:rsidRDefault="0003480B" w:rsidP="00E0672B">
      <w:pPr>
        <w:pStyle w:val="BodyText"/>
        <w:spacing w:before="0"/>
        <w:ind w:left="794"/>
      </w:pPr>
      <w:r w:rsidRPr="009203DE">
        <w:t xml:space="preserve">Research priority: 20 per cent </w:t>
      </w:r>
    </w:p>
    <w:p w14:paraId="5BB2637A" w14:textId="77777777" w:rsidR="0003480B" w:rsidRPr="009203DE" w:rsidRDefault="0003480B" w:rsidP="00E0672B">
      <w:pPr>
        <w:pStyle w:val="BodyText"/>
        <w:spacing w:before="0"/>
        <w:ind w:left="794"/>
      </w:pPr>
      <w:r w:rsidRPr="009203DE">
        <w:t xml:space="preserve">More action needed: 30 per cent. </w:t>
      </w:r>
    </w:p>
    <w:p w14:paraId="659F1CC1" w14:textId="7C8238BE" w:rsidR="0003480B" w:rsidRPr="009203DE" w:rsidRDefault="0003480B" w:rsidP="00F6201A">
      <w:pPr>
        <w:pStyle w:val="Sub-lista"/>
        <w:spacing w:before="60"/>
      </w:pPr>
      <w:r w:rsidRPr="009203DE">
        <w:lastRenderedPageBreak/>
        <w:t xml:space="preserve">To facilitate the comparison of risks within each domain, these scores were compared using a simple weighted average of the effort allocations, with individual weights set to indicate the relative urgency of the four criteria. Weighting assumed a linear progression, with equal steps between the weights, </w:t>
      </w:r>
      <w:r w:rsidR="007254C7">
        <w:t>for example</w:t>
      </w:r>
      <w:r w:rsidRPr="009203DE">
        <w:t xml:space="preserve">, 1, 2, 3, 4, starting </w:t>
      </w:r>
      <w:r w:rsidRPr="00E0672B">
        <w:t>from</w:t>
      </w:r>
      <w:r w:rsidRPr="009203DE">
        <w:t xml:space="preserve"> ‘watching brief’</w:t>
      </w:r>
      <w:r w:rsidR="00520840">
        <w:t xml:space="preserve"> and going up</w:t>
      </w:r>
      <w:r w:rsidRPr="009203DE">
        <w:t xml:space="preserve"> to the highest weighting, ‘more action needed’. The weighted average is taken as the overall urgency score for the risk (weighted averages of NCCRA risk range from 45 to 93).</w:t>
      </w:r>
      <w:r w:rsidR="00467043">
        <w:t xml:space="preserve"> </w:t>
      </w:r>
    </w:p>
    <w:p w14:paraId="241F055C" w14:textId="77777777" w:rsidR="0003480B" w:rsidRPr="009203DE" w:rsidRDefault="0003480B" w:rsidP="00F6201A">
      <w:pPr>
        <w:pStyle w:val="Sub-lista"/>
      </w:pPr>
      <w:r w:rsidRPr="009203DE">
        <w:t xml:space="preserve">Urgency </w:t>
      </w:r>
      <w:r w:rsidRPr="00F6201A">
        <w:t>profiles</w:t>
      </w:r>
      <w:r w:rsidRPr="009203DE">
        <w:t xml:space="preserve"> were also developed for each opportunity, using the same approach. </w:t>
      </w:r>
    </w:p>
    <w:p w14:paraId="551D6DD1" w14:textId="2593A44F" w:rsidR="0003480B" w:rsidRPr="00F6201A" w:rsidRDefault="0003480B" w:rsidP="00F6201A">
      <w:pPr>
        <w:pStyle w:val="Numberedparagraph"/>
      </w:pPr>
      <w:r w:rsidRPr="009203DE">
        <w:t>The</w:t>
      </w:r>
      <w:r w:rsidR="007254C7">
        <w:t xml:space="preserve"> domain</w:t>
      </w:r>
      <w:r w:rsidRPr="009203DE">
        <w:t xml:space="preserve"> leads, RA team and technical reviewers met (stage </w:t>
      </w:r>
      <w:r w:rsidR="00A549B9">
        <w:t>3</w:t>
      </w:r>
      <w:r w:rsidRPr="009203DE">
        <w:t xml:space="preserve">, prioritisation meeting 1) to review and </w:t>
      </w:r>
      <w:r w:rsidRPr="00F6201A">
        <w:t>calibrate the application of urgency rating across domains. They also discussed priority risks and opportunities, and connections between governance risks and risks in other domains.</w:t>
      </w:r>
      <w:r w:rsidR="00467043">
        <w:t xml:space="preserve"> </w:t>
      </w:r>
    </w:p>
    <w:p w14:paraId="4C60E866" w14:textId="1EAD5B94" w:rsidR="00285B45" w:rsidRDefault="0003480B" w:rsidP="00285B45">
      <w:pPr>
        <w:pStyle w:val="Numberedparagraph"/>
      </w:pPr>
      <w:r w:rsidRPr="00F6201A">
        <w:t xml:space="preserve">The RA team revised the urgency ratings based on outcomes of </w:t>
      </w:r>
      <w:r w:rsidR="00285B45" w:rsidRPr="009203DE">
        <w:t>step 3</w:t>
      </w:r>
      <w:r w:rsidR="00285B45">
        <w:t xml:space="preserve"> </w:t>
      </w:r>
      <w:r w:rsidR="007254C7">
        <w:t>in</w:t>
      </w:r>
      <w:r w:rsidR="00285B45">
        <w:t xml:space="preserve"> </w:t>
      </w:r>
      <w:hyperlink w:anchor="figure4" w:history="1">
        <w:r w:rsidR="00285B45" w:rsidRPr="00520840">
          <w:rPr>
            <w:rStyle w:val="Hyperlink"/>
          </w:rPr>
          <w:t>figure 4</w:t>
        </w:r>
      </w:hyperlink>
      <w:r w:rsidR="00285B45" w:rsidRPr="009203DE">
        <w:t xml:space="preserve">. </w:t>
      </w:r>
    </w:p>
    <w:p w14:paraId="6A1FB9E1" w14:textId="4DEF6602" w:rsidR="0003480B" w:rsidRPr="00F6201A" w:rsidRDefault="0003480B" w:rsidP="00F6201A">
      <w:pPr>
        <w:pStyle w:val="Numberedparagraph"/>
      </w:pPr>
      <w:r w:rsidRPr="00F6201A">
        <w:t xml:space="preserve">The </w:t>
      </w:r>
      <w:r w:rsidR="007254C7">
        <w:t xml:space="preserve">domain </w:t>
      </w:r>
      <w:r w:rsidRPr="00F6201A">
        <w:t xml:space="preserve">leads and RA team met (stage </w:t>
      </w:r>
      <w:r w:rsidR="00A549B9">
        <w:t>3</w:t>
      </w:r>
      <w:r w:rsidRPr="00F6201A">
        <w:t xml:space="preserve">, prioritisation meeting </w:t>
      </w:r>
      <w:r w:rsidRPr="000162C7">
        <w:t>2</w:t>
      </w:r>
      <w:r w:rsidRPr="00F6201A">
        <w:t xml:space="preserve">) to review and calibrate scoring, and discuss priority risks and opportunities. </w:t>
      </w:r>
    </w:p>
    <w:p w14:paraId="5E2AE778" w14:textId="16862CA8" w:rsidR="0003480B" w:rsidRPr="00F6201A" w:rsidRDefault="00520840" w:rsidP="00F6201A">
      <w:pPr>
        <w:pStyle w:val="Numberedparagraph"/>
      </w:pPr>
      <w:r>
        <w:t>They made f</w:t>
      </w:r>
      <w:r w:rsidR="0003480B" w:rsidRPr="00F6201A">
        <w:t xml:space="preserve">inal revisions to the urgency writings and </w:t>
      </w:r>
      <w:r>
        <w:t>wrote</w:t>
      </w:r>
      <w:r w:rsidRPr="00F6201A">
        <w:t xml:space="preserve"> </w:t>
      </w:r>
      <w:r w:rsidR="0003480B" w:rsidRPr="00F6201A">
        <w:t>up the risks.</w:t>
      </w:r>
    </w:p>
    <w:p w14:paraId="2EFED4AA" w14:textId="435820F6" w:rsidR="0003480B" w:rsidRPr="009203DE" w:rsidRDefault="00FE03BD" w:rsidP="00FE03BD">
      <w:pPr>
        <w:pStyle w:val="Numberedparagraph"/>
      </w:pPr>
      <w:r w:rsidRPr="009203DE">
        <w:t>The</w:t>
      </w:r>
      <w:r w:rsidR="007254C7">
        <w:t xml:space="preserve"> domain</w:t>
      </w:r>
      <w:r w:rsidRPr="009203DE">
        <w:t xml:space="preserve"> leads and RA team met (stage </w:t>
      </w:r>
      <w:r w:rsidR="00A549B9">
        <w:t>3</w:t>
      </w:r>
      <w:r w:rsidRPr="009203DE">
        <w:t xml:space="preserve">, prioritisation meeting </w:t>
      </w:r>
      <w:r w:rsidRPr="000162C7">
        <w:t>3</w:t>
      </w:r>
      <w:r w:rsidRPr="00A549B9">
        <w:t>)</w:t>
      </w:r>
      <w:r w:rsidRPr="009203DE">
        <w:t xml:space="preserve"> </w:t>
      </w:r>
      <w:r w:rsidR="0003480B" w:rsidRPr="00F6201A">
        <w:t>to agree final scoring and priority risks</w:t>
      </w:r>
      <w:r w:rsidR="0003480B" w:rsidRPr="009203DE">
        <w:t xml:space="preserve"> and opportunities. </w:t>
      </w:r>
    </w:p>
    <w:p w14:paraId="7A4B6AD4" w14:textId="29F1BB30" w:rsidR="00E25EA4" w:rsidRDefault="00E25EA4" w:rsidP="00E25EA4">
      <w:pPr>
        <w:pStyle w:val="BodyText"/>
      </w:pPr>
    </w:p>
    <w:p w14:paraId="39A6EC31" w14:textId="53BFDFC7" w:rsidR="007D31E5" w:rsidRDefault="007D31E5">
      <w:pPr>
        <w:spacing w:before="0" w:after="200" w:line="276" w:lineRule="auto"/>
        <w:jc w:val="left"/>
      </w:pPr>
      <w:r>
        <w:br w:type="page"/>
      </w:r>
    </w:p>
    <w:p w14:paraId="1A71B0DF" w14:textId="77777777" w:rsidR="007D31E5" w:rsidRPr="0024184F" w:rsidRDefault="007D31E5" w:rsidP="003C4F4B">
      <w:pPr>
        <w:pStyle w:val="Heading1"/>
        <w:numPr>
          <w:ilvl w:val="0"/>
          <w:numId w:val="21"/>
        </w:numPr>
      </w:pPr>
      <w:bookmarkStart w:id="144" w:name="_Engagement_approach"/>
      <w:bookmarkStart w:id="145" w:name="_Toc37419375"/>
      <w:bookmarkStart w:id="146" w:name="_Toc40686545"/>
      <w:bookmarkStart w:id="147" w:name="_Toc45898308"/>
      <w:bookmarkEnd w:id="144"/>
      <w:r w:rsidRPr="004A34A2">
        <w:lastRenderedPageBreak/>
        <w:t>Engagement</w:t>
      </w:r>
      <w:r w:rsidRPr="0024184F">
        <w:t xml:space="preserve"> approach</w:t>
      </w:r>
      <w:bookmarkEnd w:id="145"/>
      <w:bookmarkEnd w:id="146"/>
      <w:bookmarkEnd w:id="147"/>
    </w:p>
    <w:p w14:paraId="169B0A4C" w14:textId="17099B78" w:rsidR="007D31E5" w:rsidRDefault="007D31E5" w:rsidP="004A34A2">
      <w:pPr>
        <w:pStyle w:val="BodyText"/>
      </w:pPr>
      <w:bookmarkStart w:id="148" w:name="_Hlk35463492"/>
      <w:r w:rsidRPr="0024184F">
        <w:t xml:space="preserve">The </w:t>
      </w:r>
      <w:r w:rsidRPr="0024184F">
        <w:rPr>
          <w:rFonts w:cstheme="minorHAnsi"/>
        </w:rPr>
        <w:t>NCCRA framework</w:t>
      </w:r>
      <w:r w:rsidRPr="0024184F">
        <w:t xml:space="preserve"> set out guidance for participation, including considerations for engagement with M</w:t>
      </w:r>
      <w:r w:rsidRPr="0024184F">
        <w:rPr>
          <w:rFonts w:cs="Arial"/>
        </w:rPr>
        <w:t>ā</w:t>
      </w:r>
      <w:r w:rsidRPr="0024184F">
        <w:t>ori. It identified key agencies, partners and stakeholders relevant to potential elements at risk.</w:t>
      </w:r>
      <w:r w:rsidR="00467043">
        <w:rPr>
          <w:position w:val="7"/>
          <w:sz w:val="13"/>
        </w:rPr>
        <w:t xml:space="preserve"> </w:t>
      </w:r>
    </w:p>
    <w:p w14:paraId="33938470" w14:textId="6A829354" w:rsidR="007D31E5" w:rsidRDefault="007D31E5" w:rsidP="004A34A2">
      <w:pPr>
        <w:pStyle w:val="BodyText"/>
      </w:pPr>
      <w:r w:rsidRPr="0024184F">
        <w:t xml:space="preserve">In accordance with the framework, the engagement plan was based on the good practice principles set out by the International Association of Public Participation (IAP2). The community engagement spectrum of participation in the IAP2 was used as a basis for engagement design (see </w:t>
      </w:r>
      <w:hyperlink w:anchor="_Stakeholder_influence" w:history="1">
        <w:r w:rsidRPr="007F09F8">
          <w:rPr>
            <w:rStyle w:val="Hyperlink"/>
          </w:rPr>
          <w:t xml:space="preserve">section </w:t>
        </w:r>
        <w:r w:rsidR="007F09F8" w:rsidRPr="007F09F8">
          <w:rPr>
            <w:rStyle w:val="Hyperlink"/>
          </w:rPr>
          <w:t>3.1.1</w:t>
        </w:r>
      </w:hyperlink>
      <w:r w:rsidRPr="0024184F">
        <w:t xml:space="preserve">). </w:t>
      </w:r>
    </w:p>
    <w:p w14:paraId="24BAC724" w14:textId="77777777" w:rsidR="00D12841" w:rsidRPr="00D12841" w:rsidRDefault="007D31E5" w:rsidP="00F70A70">
      <w:pPr>
        <w:rPr>
          <w:rStyle w:val="BodyTextChar"/>
        </w:rPr>
      </w:pPr>
      <w:r w:rsidRPr="0024184F">
        <w:t>The aim was to allow for a mutual exchange of information. This would foster positive relationships with and between key stakeholders, Māori/iwi and the Ministry</w:t>
      </w:r>
      <w:r w:rsidR="00D12841" w:rsidRPr="0024184F">
        <w:t xml:space="preserve">, </w:t>
      </w:r>
      <w:r w:rsidR="00D12841" w:rsidRPr="00D12841">
        <w:rPr>
          <w:rStyle w:val="BodyTextChar"/>
        </w:rPr>
        <w:t xml:space="preserve">to support New Zealand’s ongoing work to identify and respond to climate risk. </w:t>
      </w:r>
    </w:p>
    <w:p w14:paraId="65C63614" w14:textId="553D8B9A" w:rsidR="007D31E5" w:rsidRPr="0024184F" w:rsidRDefault="007D31E5" w:rsidP="00771907">
      <w:pPr>
        <w:pStyle w:val="BodyText"/>
      </w:pPr>
      <w:r w:rsidRPr="0024184F">
        <w:t xml:space="preserve">This engagement supported the development of the NCCRA by: </w:t>
      </w:r>
    </w:p>
    <w:p w14:paraId="00158C63" w14:textId="300A0F0A" w:rsidR="007D31E5" w:rsidRPr="00141E4A" w:rsidRDefault="009C7E8B" w:rsidP="00771907">
      <w:pPr>
        <w:pStyle w:val="Bullet"/>
      </w:pPr>
      <w:r>
        <w:rPr>
          <w:b/>
        </w:rPr>
        <w:t>s</w:t>
      </w:r>
      <w:r w:rsidR="007D31E5" w:rsidRPr="00141E4A">
        <w:rPr>
          <w:b/>
        </w:rPr>
        <w:t xml:space="preserve">haring information </w:t>
      </w:r>
      <w:r w:rsidR="007D31E5" w:rsidRPr="00141E4A">
        <w:t>– building awareness and understanding of the project among partners and stakeholders, so they can better understand the final report and the process</w:t>
      </w:r>
      <w:r w:rsidR="00B8256B">
        <w:t> </w:t>
      </w:r>
      <w:r w:rsidR="007D31E5" w:rsidRPr="00141E4A">
        <w:t>used to achieve it</w:t>
      </w:r>
    </w:p>
    <w:p w14:paraId="55B773C0" w14:textId="721D71B5" w:rsidR="007D31E5" w:rsidRPr="00141E4A" w:rsidRDefault="009C7E8B" w:rsidP="007D31E5">
      <w:pPr>
        <w:pStyle w:val="Bullet"/>
      </w:pPr>
      <w:r>
        <w:rPr>
          <w:b/>
        </w:rPr>
        <w:t>g</w:t>
      </w:r>
      <w:r w:rsidR="007D31E5" w:rsidRPr="00141E4A">
        <w:rPr>
          <w:b/>
        </w:rPr>
        <w:t>athering information</w:t>
      </w:r>
      <w:r w:rsidR="007D31E5" w:rsidRPr="00141E4A">
        <w:t xml:space="preserve"> – providing a strong, broad and representative evidence base to inform the risk assessment, including</w:t>
      </w:r>
      <w:r w:rsidR="007D31E5" w:rsidRPr="00141E4A">
        <w:rPr>
          <w:b/>
        </w:rPr>
        <w:t xml:space="preserve"> verification and critical input</w:t>
      </w:r>
      <w:r>
        <w:t>, which involves</w:t>
      </w:r>
      <w:r w:rsidR="007D31E5" w:rsidRPr="00141E4A">
        <w:t xml:space="preserve"> providing critical and informed input into the risks, opportunities, adaptation action information and gaps for further consideration</w:t>
      </w:r>
    </w:p>
    <w:p w14:paraId="338FAE5A" w14:textId="39BC4BE0" w:rsidR="007D31E5" w:rsidRPr="00141E4A" w:rsidRDefault="009C7E8B" w:rsidP="00771907">
      <w:pPr>
        <w:pStyle w:val="Bullet"/>
      </w:pPr>
      <w:r w:rsidRPr="009C7E8B">
        <w:rPr>
          <w:b/>
        </w:rPr>
        <w:t>b</w:t>
      </w:r>
      <w:r w:rsidR="007D31E5" w:rsidRPr="009C7E8B">
        <w:rPr>
          <w:b/>
        </w:rPr>
        <w:t>uilding positive long-term relationships</w:t>
      </w:r>
      <w:r w:rsidR="007D31E5" w:rsidRPr="00141E4A">
        <w:t xml:space="preserve"> –</w:t>
      </w:r>
      <w:r w:rsidR="007D31E5" w:rsidRPr="009A1CFB">
        <w:t xml:space="preserve"> building positive and mutually advantageous relationships</w:t>
      </w:r>
      <w:r w:rsidR="007D31E5" w:rsidRPr="00141E4A">
        <w:t xml:space="preserve"> </w:t>
      </w:r>
      <w:r w:rsidR="007D31E5" w:rsidRPr="00834758">
        <w:t xml:space="preserve">with and between key stakeholders, Māori/iwi and the Ministry. </w:t>
      </w:r>
      <w:bookmarkStart w:id="149" w:name="_Hlk37258519"/>
      <w:r w:rsidR="007D31E5" w:rsidRPr="009C7E8B">
        <w:rPr>
          <w:bCs/>
        </w:rPr>
        <w:t>This included</w:t>
      </w:r>
      <w:r w:rsidR="007D31E5" w:rsidRPr="009C7E8B">
        <w:rPr>
          <w:b/>
        </w:rPr>
        <w:t xml:space="preserve"> laying the groundwork for continued engagement</w:t>
      </w:r>
      <w:r w:rsidR="007D31E5" w:rsidRPr="00141E4A">
        <w:t xml:space="preserve"> – ensuring that at the end of the NCCRA process, there </w:t>
      </w:r>
      <w:r w:rsidR="007D31E5" w:rsidRPr="00771907">
        <w:t>is</w:t>
      </w:r>
      <w:r w:rsidR="007D31E5" w:rsidRPr="00141E4A">
        <w:t xml:space="preserve"> a foundation for further engagement with partners and stakeholders to be led by the Ministry, for future adaptation work</w:t>
      </w:r>
    </w:p>
    <w:bookmarkEnd w:id="149"/>
    <w:p w14:paraId="2A207E26" w14:textId="496BB060" w:rsidR="007D31E5" w:rsidRPr="00141E4A" w:rsidRDefault="009C7E8B" w:rsidP="007D31E5">
      <w:pPr>
        <w:pStyle w:val="Bullet"/>
      </w:pPr>
      <w:r>
        <w:rPr>
          <w:b/>
        </w:rPr>
        <w:t>u</w:t>
      </w:r>
      <w:r w:rsidR="007D31E5" w:rsidRPr="00141E4A">
        <w:rPr>
          <w:b/>
        </w:rPr>
        <w:t xml:space="preserve">ndertaking a transparent and repeatable process, </w:t>
      </w:r>
      <w:r w:rsidR="007D31E5" w:rsidRPr="00141E4A">
        <w:t>to provide a sound basis for the NAP and future NCCRAs</w:t>
      </w:r>
      <w:r w:rsidR="007D31E5" w:rsidRPr="00141E4A">
        <w:rPr>
          <w:b/>
        </w:rPr>
        <w:t>.</w:t>
      </w:r>
      <w:r w:rsidR="007D31E5" w:rsidRPr="00141E4A">
        <w:t xml:space="preserve"> </w:t>
      </w:r>
    </w:p>
    <w:p w14:paraId="3B944E46" w14:textId="0C3FCCC4" w:rsidR="007D31E5" w:rsidRPr="0024184F" w:rsidRDefault="007D31E5" w:rsidP="00771907">
      <w:pPr>
        <w:pStyle w:val="BodyText"/>
      </w:pPr>
      <w:r w:rsidRPr="0024184F">
        <w:t>Stage 1</w:t>
      </w:r>
      <w:r w:rsidR="007C3D10">
        <w:t>, involving</w:t>
      </w:r>
      <w:r w:rsidRPr="0024184F">
        <w:t xml:space="preserve"> </w:t>
      </w:r>
      <w:r w:rsidR="007C3D10">
        <w:t>b</w:t>
      </w:r>
      <w:r w:rsidRPr="0024184F">
        <w:t>road engagement with a wide range of partners and stakeholders</w:t>
      </w:r>
      <w:r w:rsidR="007C3D10">
        <w:t>,</w:t>
      </w:r>
      <w:r w:rsidRPr="0024184F">
        <w:t xml:space="preserve"> aimed to:</w:t>
      </w:r>
    </w:p>
    <w:p w14:paraId="438B9E6F" w14:textId="77777777" w:rsidR="007D31E5" w:rsidRPr="00771907" w:rsidRDefault="007D31E5" w:rsidP="00771907">
      <w:pPr>
        <w:pStyle w:val="Bullet"/>
      </w:pPr>
      <w:r w:rsidRPr="0024184F">
        <w:t xml:space="preserve">identify as many </w:t>
      </w:r>
      <w:r w:rsidRPr="00771907">
        <w:t>potential risks throughout New Zealand as possible</w:t>
      </w:r>
    </w:p>
    <w:p w14:paraId="5E49DB58" w14:textId="77777777" w:rsidR="007D31E5" w:rsidRPr="0024184F" w:rsidRDefault="007D31E5" w:rsidP="00771907">
      <w:pPr>
        <w:pStyle w:val="Bullet"/>
      </w:pPr>
      <w:r w:rsidRPr="00771907">
        <w:t>connect with stakeho</w:t>
      </w:r>
      <w:r w:rsidRPr="0024184F">
        <w:t xml:space="preserve">lders and partners across different regions and disciplines. </w:t>
      </w:r>
    </w:p>
    <w:p w14:paraId="5270A2B3" w14:textId="3F6927F6" w:rsidR="007D31E5" w:rsidRPr="0024184F" w:rsidRDefault="007D31E5" w:rsidP="007202BB">
      <w:pPr>
        <w:pStyle w:val="BodyText"/>
      </w:pPr>
      <w:r w:rsidRPr="0024184F">
        <w:t>Stage 2 focused on input from stakeholders with direct responsibility for managing the priority risks.</w:t>
      </w:r>
    </w:p>
    <w:p w14:paraId="461E7DCD" w14:textId="21F71D44" w:rsidR="007D31E5" w:rsidRPr="00C878D1" w:rsidRDefault="007D31E5" w:rsidP="00957BB4">
      <w:pPr>
        <w:pStyle w:val="Heading2"/>
        <w:numPr>
          <w:ilvl w:val="0"/>
          <w:numId w:val="40"/>
        </w:numPr>
      </w:pPr>
      <w:bookmarkStart w:id="150" w:name="_Stakeholder_identification"/>
      <w:bookmarkStart w:id="151" w:name="_Toc35492252"/>
      <w:bookmarkStart w:id="152" w:name="_Ref35494829"/>
      <w:bookmarkStart w:id="153" w:name="_Ref35667706"/>
      <w:bookmarkStart w:id="154" w:name="_Toc37088726"/>
      <w:bookmarkStart w:id="155" w:name="_Toc37419376"/>
      <w:bookmarkStart w:id="156" w:name="_Toc40686546"/>
      <w:bookmarkStart w:id="157" w:name="_Toc45898309"/>
      <w:bookmarkEnd w:id="148"/>
      <w:bookmarkEnd w:id="150"/>
      <w:r w:rsidRPr="00C878D1">
        <w:t>Stakeholder</w:t>
      </w:r>
      <w:r w:rsidRPr="00C878D1">
        <w:rPr>
          <w:spacing w:val="-5"/>
        </w:rPr>
        <w:t xml:space="preserve"> </w:t>
      </w:r>
      <w:r w:rsidRPr="00C878D1">
        <w:t>identification</w:t>
      </w:r>
      <w:bookmarkEnd w:id="151"/>
      <w:bookmarkEnd w:id="152"/>
      <w:bookmarkEnd w:id="153"/>
      <w:bookmarkEnd w:id="154"/>
      <w:bookmarkEnd w:id="155"/>
      <w:bookmarkEnd w:id="156"/>
      <w:bookmarkEnd w:id="157"/>
    </w:p>
    <w:p w14:paraId="1ACCF3F9" w14:textId="76832052" w:rsidR="007D31E5" w:rsidRPr="00141E4A" w:rsidRDefault="007D31E5" w:rsidP="006F5BAC">
      <w:pPr>
        <w:pStyle w:val="BodyText"/>
      </w:pPr>
      <w:r w:rsidRPr="00141E4A">
        <w:t>Starting with the key agencies, partners and stakeholders identified in the framework, stakeholders were mapped against domain descriptions to check for completeness. The project team then compared this list with appendix 3 (‘Stakeholders we engaged with’) of the</w:t>
      </w:r>
      <w:r w:rsidR="006F5BAC">
        <w:t> </w:t>
      </w:r>
      <w:r w:rsidRPr="00141E4A">
        <w:t xml:space="preserve">CCATWG stocktake report, and added stakeholders where these were identified. </w:t>
      </w:r>
    </w:p>
    <w:p w14:paraId="43B84A69" w14:textId="6BC7599E" w:rsidR="007D31E5" w:rsidRPr="00141E4A" w:rsidRDefault="007D31E5" w:rsidP="006F5BAC">
      <w:pPr>
        <w:pStyle w:val="BodyText"/>
      </w:pPr>
      <w:r w:rsidRPr="00141E4A">
        <w:t>The identification exercise was tested at the project team inception meeting on 16</w:t>
      </w:r>
      <w:r w:rsidR="006F5BAC">
        <w:t> </w:t>
      </w:r>
      <w:r w:rsidRPr="00141E4A">
        <w:t>September 2019 and at a workshop with local government representatives on 30</w:t>
      </w:r>
      <w:r w:rsidR="006F5BAC">
        <w:t> </w:t>
      </w:r>
      <w:r w:rsidRPr="00141E4A">
        <w:t xml:space="preserve">September 2019. </w:t>
      </w:r>
    </w:p>
    <w:p w14:paraId="100B6568" w14:textId="7B72AA0F" w:rsidR="007D31E5" w:rsidRPr="00141E4A" w:rsidRDefault="007D31E5" w:rsidP="006F5BAC">
      <w:pPr>
        <w:pStyle w:val="BodyText"/>
      </w:pPr>
      <w:r w:rsidRPr="00141E4A">
        <w:t>There was a full review of the list at the end of stage 1, and ongoing updates on the basis of</w:t>
      </w:r>
      <w:r w:rsidR="00E95EF4">
        <w:t xml:space="preserve"> </w:t>
      </w:r>
      <w:r w:rsidRPr="00141E4A">
        <w:t xml:space="preserve">attendees at the national workshop and hui, the online survey and other identified stakeholders. This </w:t>
      </w:r>
      <w:r w:rsidRPr="00141E4A">
        <w:lastRenderedPageBreak/>
        <w:t xml:space="preserve">included the </w:t>
      </w:r>
      <w:r w:rsidR="007C3D10">
        <w:t xml:space="preserve">domain </w:t>
      </w:r>
      <w:r w:rsidRPr="00141E4A">
        <w:t xml:space="preserve">leads reviewing and identifying key stakeholders. </w:t>
      </w:r>
      <w:hyperlink w:anchor="_Appendix_E:_Organisations" w:history="1">
        <w:r w:rsidR="009C7E8B">
          <w:rPr>
            <w:rStyle w:val="Hyperlink"/>
          </w:rPr>
          <w:t>Appendix E</w:t>
        </w:r>
      </w:hyperlink>
      <w:r w:rsidRPr="00141E4A">
        <w:t xml:space="preserve"> lists the organisations</w:t>
      </w:r>
      <w:r w:rsidR="009C7E8B">
        <w:t xml:space="preserve"> and groups</w:t>
      </w:r>
      <w:r w:rsidRPr="00141E4A">
        <w:t xml:space="preserve"> contacted.</w:t>
      </w:r>
    </w:p>
    <w:p w14:paraId="203DF04B" w14:textId="71B5DA25" w:rsidR="007D31E5" w:rsidRPr="00141E4A" w:rsidRDefault="007D31E5" w:rsidP="006F5BAC">
      <w:pPr>
        <w:pStyle w:val="BodyText"/>
      </w:pPr>
      <w:r w:rsidRPr="00141E4A">
        <w:t>The initial identification resulted in a stakeholder directory</w:t>
      </w:r>
      <w:r w:rsidR="009C7E8B">
        <w:t>,</w:t>
      </w:r>
      <w:r w:rsidRPr="00141E4A">
        <w:t xml:space="preserve"> which </w:t>
      </w:r>
      <w:r w:rsidRPr="006F5BAC">
        <w:t>included</w:t>
      </w:r>
      <w:r w:rsidRPr="00141E4A">
        <w:t>:</w:t>
      </w:r>
    </w:p>
    <w:p w14:paraId="033838DA" w14:textId="5B4A03FE" w:rsidR="007D31E5" w:rsidRPr="006F5BAC" w:rsidRDefault="007D31E5" w:rsidP="006F5BAC">
      <w:pPr>
        <w:pStyle w:val="Bullet"/>
      </w:pPr>
      <w:r w:rsidRPr="006F5BAC">
        <w:t xml:space="preserve">researchers (eg, </w:t>
      </w:r>
      <w:r w:rsidR="009C7E8B">
        <w:t>Crown research institutes</w:t>
      </w:r>
      <w:r w:rsidRPr="006F5BAC">
        <w:t>, universities, private research companies)</w:t>
      </w:r>
    </w:p>
    <w:p w14:paraId="1EE9C13D" w14:textId="3E483413" w:rsidR="007D31E5" w:rsidRPr="006F5BAC" w:rsidRDefault="007D31E5" w:rsidP="006F5BAC">
      <w:pPr>
        <w:pStyle w:val="Bullet"/>
      </w:pPr>
      <w:r w:rsidRPr="006F5BAC">
        <w:t>policy analysts (eg, hazard, risk and climate policy) in central and local government</w:t>
      </w:r>
    </w:p>
    <w:p w14:paraId="08A703ED" w14:textId="77777777" w:rsidR="007D31E5" w:rsidRPr="006F5BAC" w:rsidRDefault="007D31E5" w:rsidP="006F5BAC">
      <w:pPr>
        <w:pStyle w:val="Bullet"/>
      </w:pPr>
      <w:r w:rsidRPr="006F5BAC">
        <w:t>practitioners (eg, planners, engineers, economists, social, cultural) with experience in climate matters</w:t>
      </w:r>
    </w:p>
    <w:p w14:paraId="0A4E5F83" w14:textId="77777777" w:rsidR="007D31E5" w:rsidRPr="006F5BAC" w:rsidRDefault="007D31E5" w:rsidP="006F5BAC">
      <w:pPr>
        <w:pStyle w:val="Bullet"/>
      </w:pPr>
      <w:r w:rsidRPr="006F5BAC">
        <w:t>local government and infrastructure owners</w:t>
      </w:r>
    </w:p>
    <w:p w14:paraId="7BB2D1D8" w14:textId="7A69CBCB" w:rsidR="007D31E5" w:rsidRPr="006F5BAC" w:rsidRDefault="007D31E5" w:rsidP="006F5BAC">
      <w:pPr>
        <w:pStyle w:val="Bullet"/>
      </w:pPr>
      <w:r w:rsidRPr="006F5BAC">
        <w:t>professional bodies with representatives well versed in climate</w:t>
      </w:r>
      <w:r w:rsidR="007C3D10">
        <w:t xml:space="preserve"> </w:t>
      </w:r>
      <w:r w:rsidRPr="006F5BAC">
        <w:t>change issues</w:t>
      </w:r>
    </w:p>
    <w:p w14:paraId="16294096" w14:textId="02476940" w:rsidR="007D31E5" w:rsidRPr="00141E4A" w:rsidRDefault="007D31E5" w:rsidP="006F5BAC">
      <w:pPr>
        <w:pStyle w:val="Bullet"/>
      </w:pPr>
      <w:r w:rsidRPr="006F5BAC">
        <w:t>non-governmental</w:t>
      </w:r>
      <w:r w:rsidRPr="00141E4A">
        <w:t xml:space="preserve"> organisations (NGOs) (eg, Environmental Defence Society, School Strike</w:t>
      </w:r>
      <w:r w:rsidRPr="00141E4A">
        <w:rPr>
          <w:spacing w:val="-26"/>
        </w:rPr>
        <w:t xml:space="preserve"> </w:t>
      </w:r>
      <w:r w:rsidR="00E366E7">
        <w:t>4</w:t>
      </w:r>
      <w:r w:rsidR="00E366E7" w:rsidRPr="00141E4A">
        <w:t xml:space="preserve"> </w:t>
      </w:r>
      <w:r w:rsidRPr="00141E4A">
        <w:t>Climate).</w:t>
      </w:r>
    </w:p>
    <w:p w14:paraId="479F6A5F" w14:textId="1F43FE5D" w:rsidR="007D31E5" w:rsidRPr="0024184F" w:rsidRDefault="007D31E5" w:rsidP="006F5BAC">
      <w:pPr>
        <w:pStyle w:val="BodyText"/>
      </w:pPr>
      <w:r w:rsidRPr="0024184F">
        <w:t xml:space="preserve">The directory also included Māori/iwi contacts. The approach to Māori/iwi engagement is set out in </w:t>
      </w:r>
      <w:hyperlink w:anchor="_Approach_to_Māori/iwi" w:history="1">
        <w:r w:rsidRPr="007F09F8">
          <w:rPr>
            <w:rStyle w:val="Hyperlink"/>
          </w:rPr>
          <w:t xml:space="preserve">section </w:t>
        </w:r>
        <w:r w:rsidR="007F09F8" w:rsidRPr="007F09F8">
          <w:rPr>
            <w:rStyle w:val="Hyperlink"/>
          </w:rPr>
          <w:t>3.1.2</w:t>
        </w:r>
      </w:hyperlink>
      <w:r w:rsidRPr="0024184F">
        <w:t>.</w:t>
      </w:r>
    </w:p>
    <w:p w14:paraId="7D0621D6" w14:textId="77777777" w:rsidR="007D31E5" w:rsidRPr="0024184F" w:rsidRDefault="007D31E5" w:rsidP="006F5BAC">
      <w:pPr>
        <w:pStyle w:val="BodyText"/>
      </w:pPr>
      <w:r w:rsidRPr="0024184F">
        <w:t>Public engagement was not included, due to the timeframe and technical nature of the work.</w:t>
      </w:r>
    </w:p>
    <w:p w14:paraId="6F4D17B5" w14:textId="2D08E920" w:rsidR="007D31E5" w:rsidRPr="006F5BAC" w:rsidRDefault="007D31E5" w:rsidP="00957BB4">
      <w:pPr>
        <w:pStyle w:val="Heading3"/>
        <w:numPr>
          <w:ilvl w:val="0"/>
          <w:numId w:val="41"/>
        </w:numPr>
      </w:pPr>
      <w:bookmarkStart w:id="158" w:name="_Stakeholder_influence"/>
      <w:bookmarkStart w:id="159" w:name="_Ref35463999"/>
      <w:bookmarkStart w:id="160" w:name="_Toc35492253"/>
      <w:bookmarkStart w:id="161" w:name="_Toc37088727"/>
      <w:bookmarkStart w:id="162" w:name="_Toc37419377"/>
      <w:bookmarkStart w:id="163" w:name="_Toc40686547"/>
      <w:bookmarkEnd w:id="158"/>
      <w:r w:rsidRPr="00C878D1">
        <w:t>Stakeholder</w:t>
      </w:r>
      <w:r w:rsidRPr="00C878D1">
        <w:rPr>
          <w:spacing w:val="-8"/>
        </w:rPr>
        <w:t xml:space="preserve"> </w:t>
      </w:r>
      <w:r w:rsidRPr="00C878D1">
        <w:t>influence</w:t>
      </w:r>
      <w:bookmarkEnd w:id="159"/>
      <w:bookmarkEnd w:id="160"/>
      <w:bookmarkEnd w:id="161"/>
      <w:bookmarkEnd w:id="162"/>
      <w:bookmarkEnd w:id="163"/>
    </w:p>
    <w:p w14:paraId="7B937C74" w14:textId="24869114" w:rsidR="007D31E5" w:rsidRDefault="007D31E5" w:rsidP="006F5BAC">
      <w:pPr>
        <w:pStyle w:val="BodyText"/>
      </w:pPr>
      <w:r w:rsidRPr="00141E4A">
        <w:t>The NCCRA framework recommends a spectrum of engagement activities based on</w:t>
      </w:r>
      <w:r w:rsidR="00325981">
        <w:t xml:space="preserve"> the</w:t>
      </w:r>
      <w:r w:rsidRPr="00141E4A">
        <w:t xml:space="preserve"> IAP2 model (iap2.org.au)</w:t>
      </w:r>
      <w:r w:rsidR="00325981">
        <w:t>,</w:t>
      </w:r>
      <w:r w:rsidRPr="00141E4A">
        <w:t xml:space="preserve"> which sets out the types of engagement based on the decisions to be made and associated level of influence that stakeholders have on a project. For the risk assessment, stakeholders were informed, consulted and involved (</w:t>
      </w:r>
      <w:hyperlink w:anchor="figure6" w:history="1">
        <w:r w:rsidR="00325981" w:rsidRPr="00325981">
          <w:rPr>
            <w:rStyle w:val="Hyperlink"/>
          </w:rPr>
          <w:t>figure 6</w:t>
        </w:r>
      </w:hyperlink>
      <w:r w:rsidRPr="00141E4A">
        <w:t xml:space="preserve">). Stakeholders who were consulted and involved in the </w:t>
      </w:r>
      <w:r w:rsidRPr="006F5BAC">
        <w:t>process</w:t>
      </w:r>
      <w:r w:rsidRPr="00141E4A">
        <w:t xml:space="preserve"> included specialists with technical expertise particularly relevant to the risk assessment (as identified by domain leads), and those likely to be risk owners and policy agencies (particularly central and local government).</w:t>
      </w:r>
    </w:p>
    <w:p w14:paraId="4C894B2A" w14:textId="41C1D000" w:rsidR="006F5BAC" w:rsidRPr="00141E4A" w:rsidRDefault="006F5BAC" w:rsidP="00B8256B">
      <w:pPr>
        <w:pStyle w:val="Figureheading"/>
        <w:spacing w:after="60"/>
      </w:pPr>
      <w:bookmarkStart w:id="164" w:name="_Ref35668302"/>
      <w:bookmarkStart w:id="165" w:name="figure6"/>
      <w:bookmarkStart w:id="166" w:name="_Toc35613016"/>
      <w:bookmarkStart w:id="167" w:name="_Toc40686588"/>
      <w:bookmarkStart w:id="168" w:name="_Toc43899340"/>
      <w:r w:rsidRPr="0024184F">
        <w:t xml:space="preserve">Figure </w:t>
      </w:r>
      <w:fldSimple w:instr=" SEQ Figure \* ARABIC ">
        <w:r w:rsidR="001B2025">
          <w:rPr>
            <w:noProof/>
          </w:rPr>
          <w:t>6</w:t>
        </w:r>
      </w:fldSimple>
      <w:bookmarkEnd w:id="164"/>
      <w:r>
        <w:rPr>
          <w:noProof/>
        </w:rPr>
        <w:t>:</w:t>
      </w:r>
      <w:bookmarkEnd w:id="165"/>
      <w:r w:rsidRPr="0024184F">
        <w:tab/>
        <w:t>Stakeholder level of influence</w:t>
      </w:r>
      <w:bookmarkEnd w:id="166"/>
      <w:r w:rsidRPr="0024184F">
        <w:t xml:space="preserve"> on the NCCRA project</w:t>
      </w:r>
      <w:r>
        <w:t>,</w:t>
      </w:r>
      <w:r w:rsidRPr="0024184F">
        <w:t xml:space="preserve"> based on the IAP2 model (iap2.org.au)</w:t>
      </w:r>
      <w:bookmarkEnd w:id="167"/>
      <w:bookmarkEnd w:id="168"/>
    </w:p>
    <w:p w14:paraId="641A582A" w14:textId="77777777" w:rsidR="007D31E5" w:rsidRPr="0024184F" w:rsidRDefault="007D31E5" w:rsidP="006F5BAC">
      <w:pPr>
        <w:pStyle w:val="BodyText"/>
        <w:spacing w:before="60"/>
        <w:jc w:val="center"/>
      </w:pPr>
      <w:r w:rsidRPr="006F5BAC">
        <w:rPr>
          <w:noProof/>
        </w:rPr>
        <w:drawing>
          <wp:inline distT="0" distB="0" distL="0" distR="0" wp14:anchorId="3E137666" wp14:editId="74E1EECB">
            <wp:extent cx="4705350" cy="2019300"/>
            <wp:effectExtent l="0" t="0" r="19050"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7C4C9833" w14:textId="25A6FDD6" w:rsidR="007D31E5" w:rsidRPr="00C878D1" w:rsidRDefault="007D31E5" w:rsidP="00957BB4">
      <w:pPr>
        <w:pStyle w:val="Heading3"/>
        <w:numPr>
          <w:ilvl w:val="0"/>
          <w:numId w:val="41"/>
        </w:numPr>
      </w:pPr>
      <w:bookmarkStart w:id="169" w:name="_Approach_to_Māori/iwi"/>
      <w:bookmarkStart w:id="170" w:name="_Ref35169458"/>
      <w:bookmarkStart w:id="171" w:name="_Toc35492254"/>
      <w:bookmarkStart w:id="172" w:name="_Toc37088728"/>
      <w:bookmarkStart w:id="173" w:name="_Toc37419378"/>
      <w:bookmarkStart w:id="174" w:name="_Toc40686548"/>
      <w:bookmarkEnd w:id="169"/>
      <w:r w:rsidRPr="00C878D1">
        <w:t>Approach to Māori/iwi engagement</w:t>
      </w:r>
      <w:bookmarkEnd w:id="170"/>
      <w:bookmarkEnd w:id="171"/>
      <w:bookmarkEnd w:id="172"/>
      <w:bookmarkEnd w:id="173"/>
      <w:bookmarkEnd w:id="174"/>
    </w:p>
    <w:p w14:paraId="2177D131" w14:textId="406D331D" w:rsidR="007D31E5" w:rsidRPr="00141E4A" w:rsidRDefault="007D31E5" w:rsidP="006F5BAC">
      <w:pPr>
        <w:pStyle w:val="BodyText"/>
      </w:pPr>
      <w:r w:rsidRPr="00141E4A">
        <w:t>The approach was to engage with Māori/iwi directly involved in climate change-related matters and decision-making, within the timeframes. This was carried out in a way that</w:t>
      </w:r>
      <w:r w:rsidR="006F5BAC">
        <w:t> </w:t>
      </w:r>
      <w:r w:rsidRPr="00141E4A">
        <w:t>recognises:</w:t>
      </w:r>
    </w:p>
    <w:p w14:paraId="0CA1179A" w14:textId="5050AE2F" w:rsidR="007D31E5" w:rsidRPr="006F5BAC" w:rsidRDefault="007D31E5" w:rsidP="006F5BAC">
      <w:pPr>
        <w:pStyle w:val="Bullet"/>
      </w:pPr>
      <w:r w:rsidRPr="00141E4A">
        <w:t>the principles of Te Tiriti o Waitangi (the Treaty of Waitangi)</w:t>
      </w:r>
      <w:r w:rsidR="007C3D10">
        <w:t xml:space="preserve"> and</w:t>
      </w:r>
      <w:r w:rsidRPr="00141E4A">
        <w:t xml:space="preserve"> </w:t>
      </w:r>
      <w:r w:rsidR="007C3D10">
        <w:t>Te</w:t>
      </w:r>
      <w:r w:rsidR="007C3D10" w:rsidRPr="00141E4A">
        <w:t xml:space="preserve"> </w:t>
      </w:r>
      <w:r w:rsidR="007C3D10">
        <w:t>Tiriti</w:t>
      </w:r>
      <w:r w:rsidR="007C3D10" w:rsidRPr="00141E4A">
        <w:t xml:space="preserve"> </w:t>
      </w:r>
      <w:r w:rsidRPr="00141E4A">
        <w:t xml:space="preserve">partnership </w:t>
      </w:r>
      <w:r w:rsidRPr="006F5BAC">
        <w:t>between Māori/iwi and the Crown</w:t>
      </w:r>
    </w:p>
    <w:p w14:paraId="1B131769" w14:textId="77777777" w:rsidR="007D31E5" w:rsidRPr="006F5BAC" w:rsidRDefault="007D31E5" w:rsidP="006F5BAC">
      <w:pPr>
        <w:pStyle w:val="Bullet"/>
      </w:pPr>
      <w:r w:rsidRPr="006F5BAC">
        <w:lastRenderedPageBreak/>
        <w:t>the importance of Māori decision-making in matters that affect Māori</w:t>
      </w:r>
    </w:p>
    <w:p w14:paraId="4675CDEB" w14:textId="37481A6E" w:rsidR="007D31E5" w:rsidRPr="00141E4A" w:rsidRDefault="007D31E5" w:rsidP="006F5BAC">
      <w:pPr>
        <w:pStyle w:val="Bullet"/>
      </w:pPr>
      <w:r w:rsidRPr="006F5BAC">
        <w:t>the value</w:t>
      </w:r>
      <w:r w:rsidRPr="00141E4A">
        <w:t xml:space="preserve"> of mātauranga Māori (Māori knowledge) in decision-making and effective</w:t>
      </w:r>
      <w:r w:rsidR="006F5BAC">
        <w:t> </w:t>
      </w:r>
      <w:r w:rsidRPr="00141E4A">
        <w:t>action.</w:t>
      </w:r>
    </w:p>
    <w:p w14:paraId="306981BF" w14:textId="6B15AD08" w:rsidR="007D31E5" w:rsidRPr="006F5BAC" w:rsidRDefault="007D31E5" w:rsidP="006F5BAC">
      <w:pPr>
        <w:pStyle w:val="Heading4"/>
      </w:pPr>
      <w:r w:rsidRPr="00C878D1">
        <w:t>Mātāpono (</w:t>
      </w:r>
      <w:r w:rsidR="00325981">
        <w:t xml:space="preserve">guiding </w:t>
      </w:r>
      <w:r w:rsidRPr="00C878D1">
        <w:t>principles)</w:t>
      </w:r>
    </w:p>
    <w:p w14:paraId="5AA339E7" w14:textId="5C4B9B60" w:rsidR="007D31E5" w:rsidRPr="00141E4A" w:rsidRDefault="007D31E5" w:rsidP="006F5BAC">
      <w:pPr>
        <w:pStyle w:val="BodyText"/>
      </w:pPr>
      <w:r w:rsidRPr="00141E4A">
        <w:t>The mātāpono in the NCCRA framework underpin the approach to incorporating Māori perspectives, values and priorities. These were established to ensure the notion</w:t>
      </w:r>
      <w:r w:rsidR="00FA4703">
        <w:t>s</w:t>
      </w:r>
      <w:r w:rsidRPr="00141E4A">
        <w:t xml:space="preserve"> of taiao (environment) and tangata (people) remain important focal point</w:t>
      </w:r>
      <w:r w:rsidR="00FA4703">
        <w:t>s</w:t>
      </w:r>
      <w:r w:rsidRPr="00141E4A">
        <w:t xml:space="preserve"> when considering and</w:t>
      </w:r>
      <w:r w:rsidR="006F5BAC">
        <w:t> </w:t>
      </w:r>
      <w:r w:rsidRPr="00141E4A">
        <w:t xml:space="preserve">undertaking the risk assessment. </w:t>
      </w:r>
    </w:p>
    <w:p w14:paraId="3A09B7BE" w14:textId="77777777" w:rsidR="007D31E5" w:rsidRPr="00141E4A" w:rsidRDefault="007D31E5" w:rsidP="006F5BAC">
      <w:pPr>
        <w:pStyle w:val="BodyText"/>
      </w:pPr>
      <w:r w:rsidRPr="00141E4A">
        <w:t>The mātāpono are additional to Te Tiriti o Waitangi principles (partnership, protection, participation and potential). They are set out in the framework as:</w:t>
      </w:r>
    </w:p>
    <w:p w14:paraId="21DACE17" w14:textId="77777777" w:rsidR="007D31E5" w:rsidRPr="00A25FD2" w:rsidRDefault="007D31E5" w:rsidP="00A25FD2">
      <w:pPr>
        <w:pStyle w:val="Bullet"/>
      </w:pPr>
      <w:r w:rsidRPr="00A25FD2">
        <w:t>manaakitanga (care and reciprocity)</w:t>
      </w:r>
    </w:p>
    <w:p w14:paraId="62210891" w14:textId="77777777" w:rsidR="007D31E5" w:rsidRPr="00A25FD2" w:rsidRDefault="007D31E5" w:rsidP="00A25FD2">
      <w:pPr>
        <w:pStyle w:val="Bullet"/>
      </w:pPr>
      <w:r w:rsidRPr="00A25FD2">
        <w:t>kaitiakitanga (intergenerational sustainability)</w:t>
      </w:r>
    </w:p>
    <w:p w14:paraId="28529611" w14:textId="77777777" w:rsidR="007D31E5" w:rsidRPr="00A25FD2" w:rsidRDefault="007D31E5" w:rsidP="00A25FD2">
      <w:pPr>
        <w:pStyle w:val="Bullet"/>
      </w:pPr>
      <w:r w:rsidRPr="00A25FD2">
        <w:t>whanaungatanga (connectedness and relationships)</w:t>
      </w:r>
    </w:p>
    <w:p w14:paraId="0353D987" w14:textId="77777777" w:rsidR="007D31E5" w:rsidRPr="00A25FD2" w:rsidRDefault="007D31E5" w:rsidP="00A25FD2">
      <w:pPr>
        <w:pStyle w:val="Bullet"/>
      </w:pPr>
      <w:r w:rsidRPr="00A25FD2">
        <w:t>ōhanga (prosperity)</w:t>
      </w:r>
    </w:p>
    <w:p w14:paraId="42CCD13B" w14:textId="77777777" w:rsidR="007D31E5" w:rsidRPr="00A25FD2" w:rsidRDefault="007D31E5" w:rsidP="00A25FD2">
      <w:pPr>
        <w:pStyle w:val="Bullet"/>
      </w:pPr>
      <w:r w:rsidRPr="00A25FD2">
        <w:t>rangatiratanga (leadership and autonomy)</w:t>
      </w:r>
    </w:p>
    <w:p w14:paraId="46839F53" w14:textId="77777777" w:rsidR="007D31E5" w:rsidRPr="00A25FD2" w:rsidRDefault="007D31E5" w:rsidP="00A25FD2">
      <w:pPr>
        <w:pStyle w:val="Bullet"/>
      </w:pPr>
      <w:r w:rsidRPr="00A25FD2">
        <w:t>kia mahi ngātahi (engagement and participation)</w:t>
      </w:r>
    </w:p>
    <w:p w14:paraId="42840A4B" w14:textId="77777777" w:rsidR="007D31E5" w:rsidRPr="00A25FD2" w:rsidRDefault="007D31E5" w:rsidP="00A25FD2">
      <w:pPr>
        <w:pStyle w:val="Bullet"/>
      </w:pPr>
      <w:r w:rsidRPr="00A25FD2">
        <w:t>kia āwhina (support).</w:t>
      </w:r>
    </w:p>
    <w:p w14:paraId="5E8BC299" w14:textId="52CAEF6E" w:rsidR="007D31E5" w:rsidRPr="00141E4A" w:rsidRDefault="007D31E5" w:rsidP="00A25FD2">
      <w:pPr>
        <w:pStyle w:val="BodyText"/>
      </w:pPr>
      <w:r w:rsidRPr="00141E4A">
        <w:t>Using these values for discussion, and their relationship with climate change, was a key focus of the engagement work, including the hui (see</w:t>
      </w:r>
      <w:r w:rsidR="007C3D10">
        <w:t xml:space="preserve"> below and</w:t>
      </w:r>
      <w:r w:rsidRPr="00141E4A">
        <w:t xml:space="preserve"> sections </w:t>
      </w:r>
      <w:hyperlink w:anchor="_Stage_1_hui" w:history="1">
        <w:r w:rsidR="000A5EB7" w:rsidRPr="000A5EB7">
          <w:rPr>
            <w:rStyle w:val="Hyperlink"/>
          </w:rPr>
          <w:t>3.2.2</w:t>
        </w:r>
      </w:hyperlink>
      <w:r w:rsidRPr="00141E4A">
        <w:t xml:space="preserve">, </w:t>
      </w:r>
      <w:r w:rsidRPr="00371A54">
        <w:rPr>
          <w:color w:val="32809C"/>
        </w:rPr>
        <w:fldChar w:fldCharType="begin"/>
      </w:r>
      <w:r w:rsidRPr="00371A54">
        <w:rPr>
          <w:color w:val="32809C"/>
        </w:rPr>
        <w:instrText xml:space="preserve"> REF _Ref35169123 \r \h  \* MERGEFORMAT </w:instrText>
      </w:r>
      <w:r w:rsidRPr="00371A54">
        <w:rPr>
          <w:color w:val="32809C"/>
        </w:rPr>
      </w:r>
      <w:r w:rsidRPr="00371A54">
        <w:rPr>
          <w:color w:val="32809C"/>
        </w:rPr>
        <w:fldChar w:fldCharType="separate"/>
      </w:r>
      <w:r w:rsidR="001B2025">
        <w:rPr>
          <w:color w:val="32809C"/>
        </w:rPr>
        <w:t>3.3.2</w:t>
      </w:r>
      <w:r w:rsidRPr="00371A54">
        <w:rPr>
          <w:color w:val="32809C"/>
        </w:rPr>
        <w:fldChar w:fldCharType="end"/>
      </w:r>
      <w:r w:rsidRPr="00141E4A">
        <w:t xml:space="preserve">, </w:t>
      </w:r>
      <w:r w:rsidRPr="00371A54">
        <w:rPr>
          <w:color w:val="32809C"/>
        </w:rPr>
        <w:fldChar w:fldCharType="begin"/>
      </w:r>
      <w:r w:rsidRPr="00371A54">
        <w:rPr>
          <w:color w:val="32809C"/>
        </w:rPr>
        <w:instrText xml:space="preserve"> REF _Ref35169127 \r \h  \* MERGEFORMAT </w:instrText>
      </w:r>
      <w:r w:rsidRPr="00371A54">
        <w:rPr>
          <w:color w:val="32809C"/>
        </w:rPr>
      </w:r>
      <w:r w:rsidRPr="00371A54">
        <w:rPr>
          <w:color w:val="32809C"/>
        </w:rPr>
        <w:fldChar w:fldCharType="separate"/>
      </w:r>
      <w:r w:rsidR="001B2025">
        <w:rPr>
          <w:color w:val="32809C"/>
        </w:rPr>
        <w:t>4.2</w:t>
      </w:r>
      <w:r w:rsidRPr="00371A54">
        <w:rPr>
          <w:color w:val="32809C"/>
        </w:rPr>
        <w:fldChar w:fldCharType="end"/>
      </w:r>
      <w:r w:rsidRPr="00141E4A">
        <w:t xml:space="preserve"> and </w:t>
      </w:r>
      <w:r w:rsidRPr="00371A54">
        <w:rPr>
          <w:color w:val="32809C"/>
        </w:rPr>
        <w:fldChar w:fldCharType="begin"/>
      </w:r>
      <w:r w:rsidRPr="00371A54">
        <w:rPr>
          <w:color w:val="32809C"/>
        </w:rPr>
        <w:instrText xml:space="preserve"> REF _Ref34342299 \r \h  \* MERGEFORMAT </w:instrText>
      </w:r>
      <w:r w:rsidRPr="00371A54">
        <w:rPr>
          <w:color w:val="32809C"/>
        </w:rPr>
      </w:r>
      <w:r w:rsidRPr="00371A54">
        <w:rPr>
          <w:color w:val="32809C"/>
        </w:rPr>
        <w:fldChar w:fldCharType="separate"/>
      </w:r>
      <w:r w:rsidR="001B2025">
        <w:rPr>
          <w:color w:val="32809C"/>
        </w:rPr>
        <w:t>4.8</w:t>
      </w:r>
      <w:r w:rsidRPr="00371A54">
        <w:rPr>
          <w:color w:val="32809C"/>
        </w:rPr>
        <w:fldChar w:fldCharType="end"/>
      </w:r>
      <w:r w:rsidRPr="00141E4A">
        <w:t>).</w:t>
      </w:r>
    </w:p>
    <w:p w14:paraId="7386A542" w14:textId="77777777" w:rsidR="007D31E5" w:rsidRPr="00141E4A" w:rsidRDefault="007D31E5" w:rsidP="00A25FD2">
      <w:pPr>
        <w:pStyle w:val="Heading4"/>
      </w:pPr>
      <w:r w:rsidRPr="00141E4A">
        <w:t>Hui</w:t>
      </w:r>
    </w:p>
    <w:p w14:paraId="0F7ED2C9" w14:textId="77777777" w:rsidR="007D31E5" w:rsidRPr="00141E4A" w:rsidRDefault="007D31E5" w:rsidP="00A25FD2">
      <w:pPr>
        <w:pStyle w:val="BodyText"/>
      </w:pPr>
      <w:r w:rsidRPr="00141E4A">
        <w:t>Originally four regional hui were proposed. However, detailed engagement across Māori/iwi was challenging to deliver within the constraints of timeframe and resourcing.</w:t>
      </w:r>
    </w:p>
    <w:p w14:paraId="1BD9B8E7" w14:textId="3E34EDE3" w:rsidR="007D31E5" w:rsidRPr="00A25FD2" w:rsidRDefault="007D31E5" w:rsidP="00A25FD2">
      <w:pPr>
        <w:pStyle w:val="BodyText"/>
        <w:rPr>
          <w:color w:val="000000"/>
        </w:rPr>
      </w:pPr>
      <w:r w:rsidRPr="00141E4A">
        <w:t xml:space="preserve">The approach therefore was to hold one hui in stage 1, seeking representatives from across hapū and iwi as well as Māori organisations and individuals with specific knowledge about climate change. The project team undertook specific outreach beginning in October 2019 (before the stage 1 hui) to </w:t>
      </w:r>
      <w:r w:rsidRPr="00141E4A">
        <w:rPr>
          <w:color w:val="000000"/>
        </w:rPr>
        <w:t>organisations including the Federation of Māori Authorities (FOMA),</w:t>
      </w:r>
      <w:r w:rsidR="00C87306">
        <w:rPr>
          <w:color w:val="000000"/>
        </w:rPr>
        <w:t> </w:t>
      </w:r>
      <w:r w:rsidRPr="00141E4A">
        <w:rPr>
          <w:color w:val="000000"/>
        </w:rPr>
        <w:t>Iwi Chairs Forum, Office of the Māori Climate Change Commissioner, Māori Women’s</w:t>
      </w:r>
      <w:r w:rsidR="00C87306">
        <w:rPr>
          <w:color w:val="000000"/>
        </w:rPr>
        <w:t> </w:t>
      </w:r>
      <w:r w:rsidRPr="00141E4A">
        <w:rPr>
          <w:color w:val="000000"/>
        </w:rPr>
        <w:t xml:space="preserve">Welfare League and Te Ohu Kaimoana. </w:t>
      </w:r>
    </w:p>
    <w:p w14:paraId="677192F4" w14:textId="526E7832" w:rsidR="007D31E5" w:rsidRPr="00A25FD2" w:rsidRDefault="007D31E5" w:rsidP="00A25FD2">
      <w:pPr>
        <w:pStyle w:val="BodyText"/>
      </w:pPr>
      <w:r w:rsidRPr="00141E4A">
        <w:rPr>
          <w:color w:val="000000"/>
        </w:rPr>
        <w:t>This</w:t>
      </w:r>
      <w:r w:rsidR="00FA4703">
        <w:rPr>
          <w:color w:val="000000"/>
        </w:rPr>
        <w:t xml:space="preserve"> outreach</w:t>
      </w:r>
      <w:r w:rsidRPr="00141E4A">
        <w:rPr>
          <w:color w:val="000000"/>
        </w:rPr>
        <w:t xml:space="preserve"> included seeking </w:t>
      </w:r>
      <w:r w:rsidRPr="00141E4A">
        <w:t xml:space="preserve">advice on the design of Māori engagement. </w:t>
      </w:r>
    </w:p>
    <w:p w14:paraId="0B1F77B5" w14:textId="0B75A854" w:rsidR="007D31E5" w:rsidRPr="00141E4A" w:rsidRDefault="007D31E5" w:rsidP="00A25FD2">
      <w:pPr>
        <w:pStyle w:val="BodyText"/>
      </w:pPr>
      <w:r w:rsidRPr="00141E4A">
        <w:t>A number of these organisations raised the project timeframes as an issue, noting that they</w:t>
      </w:r>
      <w:r w:rsidR="00D17960">
        <w:t> </w:t>
      </w:r>
      <w:r w:rsidRPr="00141E4A">
        <w:t xml:space="preserve">constrained the </w:t>
      </w:r>
      <w:r>
        <w:t xml:space="preserve">project team’s </w:t>
      </w:r>
      <w:r w:rsidRPr="00141E4A">
        <w:t>ability to hear from a range of Māori perspectives (iwi</w:t>
      </w:r>
      <w:r w:rsidR="0017796D">
        <w:t xml:space="preserve">, </w:t>
      </w:r>
      <w:r w:rsidRPr="00141E4A">
        <w:t>hapū</w:t>
      </w:r>
      <w:r w:rsidR="0017796D">
        <w:t xml:space="preserve"> and </w:t>
      </w:r>
      <w:r w:rsidRPr="00141E4A">
        <w:t>whānau). After the stage 1 hui, a number of local hui were held (see section</w:t>
      </w:r>
      <w:r w:rsidR="00D17960">
        <w:t> </w:t>
      </w:r>
      <w:hyperlink w:anchor="_Local_hui" w:history="1">
        <w:r w:rsidRPr="00371A54">
          <w:rPr>
            <w:rStyle w:val="Hyperlink"/>
          </w:rPr>
          <w:t>3.3.2</w:t>
        </w:r>
      </w:hyperlink>
      <w:r w:rsidRPr="00141E4A">
        <w:t xml:space="preserve">). </w:t>
      </w:r>
    </w:p>
    <w:p w14:paraId="513FFECB" w14:textId="12655DF2" w:rsidR="007D31E5" w:rsidRPr="00D17960" w:rsidRDefault="007D31E5" w:rsidP="00957BB4">
      <w:pPr>
        <w:pStyle w:val="Heading2"/>
        <w:numPr>
          <w:ilvl w:val="0"/>
          <w:numId w:val="40"/>
        </w:numPr>
      </w:pPr>
      <w:bookmarkStart w:id="175" w:name="_Toc26508792"/>
      <w:bookmarkStart w:id="176" w:name="_Toc34229652"/>
      <w:bookmarkStart w:id="177" w:name="_Toc35492255"/>
      <w:bookmarkStart w:id="178" w:name="_Toc37088729"/>
      <w:bookmarkStart w:id="179" w:name="_Toc37419379"/>
      <w:bookmarkStart w:id="180" w:name="_Toc40686549"/>
      <w:bookmarkStart w:id="181" w:name="_Toc45898310"/>
      <w:r w:rsidRPr="00D17960">
        <w:t>Engagement methods</w:t>
      </w:r>
      <w:bookmarkEnd w:id="175"/>
      <w:bookmarkEnd w:id="176"/>
      <w:r w:rsidRPr="00D17960">
        <w:t>: stage 1</w:t>
      </w:r>
      <w:bookmarkEnd w:id="177"/>
      <w:bookmarkEnd w:id="178"/>
      <w:bookmarkEnd w:id="179"/>
      <w:bookmarkEnd w:id="180"/>
      <w:bookmarkEnd w:id="181"/>
      <w:r w:rsidRPr="00D17960">
        <w:t xml:space="preserve"> </w:t>
      </w:r>
    </w:p>
    <w:p w14:paraId="1F1E99C0" w14:textId="77777777" w:rsidR="007D31E5" w:rsidRPr="00141E4A" w:rsidRDefault="007D31E5" w:rsidP="00D17960">
      <w:pPr>
        <w:pStyle w:val="BodyText"/>
      </w:pPr>
      <w:bookmarkStart w:id="182" w:name="_Hlk34230104"/>
      <w:r w:rsidRPr="00141E4A">
        <w:t xml:space="preserve">The engagement activities for stage 1 were: </w:t>
      </w:r>
    </w:p>
    <w:p w14:paraId="73FD12B8" w14:textId="77777777" w:rsidR="007D31E5" w:rsidRPr="00D17960" w:rsidRDefault="007D31E5" w:rsidP="00D17960">
      <w:pPr>
        <w:pStyle w:val="Bullet"/>
      </w:pPr>
      <w:r w:rsidRPr="00141E4A">
        <w:t xml:space="preserve">a </w:t>
      </w:r>
      <w:r w:rsidRPr="00D17960">
        <w:t>national multi-stakeholder workshop</w:t>
      </w:r>
    </w:p>
    <w:p w14:paraId="4EC410FB" w14:textId="0BE5B1DB" w:rsidR="007D31E5" w:rsidRPr="00D17960" w:rsidRDefault="007D31E5" w:rsidP="00D17960">
      <w:pPr>
        <w:pStyle w:val="Bullet"/>
      </w:pPr>
      <w:r w:rsidRPr="00D17960">
        <w:t xml:space="preserve">a </w:t>
      </w:r>
      <w:r w:rsidR="00607EFA">
        <w:t>stage 1</w:t>
      </w:r>
      <w:r w:rsidRPr="00D17960">
        <w:t xml:space="preserve"> hui, inviting representation from Māori organisations and iwi throughout New Zealand</w:t>
      </w:r>
    </w:p>
    <w:p w14:paraId="5C8FA319" w14:textId="77777777" w:rsidR="00607EFA" w:rsidRPr="00D17960" w:rsidRDefault="00607EFA" w:rsidP="00607EFA">
      <w:pPr>
        <w:pStyle w:val="Bullet"/>
      </w:pPr>
      <w:r w:rsidRPr="00D17960">
        <w:t>an online survey</w:t>
      </w:r>
    </w:p>
    <w:p w14:paraId="52CC5C00" w14:textId="6F1F253A" w:rsidR="007D31E5" w:rsidRPr="00D17960" w:rsidRDefault="00607EFA" w:rsidP="00D17960">
      <w:pPr>
        <w:pStyle w:val="Bullet"/>
      </w:pPr>
      <w:r>
        <w:t xml:space="preserve">focused </w:t>
      </w:r>
      <w:r w:rsidR="007D31E5" w:rsidRPr="00D17960">
        <w:t>meetings with target stakeholders and communities</w:t>
      </w:r>
    </w:p>
    <w:p w14:paraId="61258FF8" w14:textId="77777777" w:rsidR="007D31E5" w:rsidRPr="00141E4A" w:rsidRDefault="007D31E5" w:rsidP="00D17960">
      <w:pPr>
        <w:pStyle w:val="Bullet"/>
      </w:pPr>
      <w:r w:rsidRPr="00D17960">
        <w:lastRenderedPageBreak/>
        <w:t>supplementary</w:t>
      </w:r>
      <w:r w:rsidRPr="00141E4A">
        <w:t xml:space="preserve"> engagement at conferences and other forums.</w:t>
      </w:r>
    </w:p>
    <w:p w14:paraId="7911077D" w14:textId="3D98C482" w:rsidR="007D31E5" w:rsidRPr="00141E4A" w:rsidRDefault="007D31E5" w:rsidP="00D17960">
      <w:pPr>
        <w:pStyle w:val="BodyText"/>
      </w:pPr>
      <w:r w:rsidRPr="00141E4A">
        <w:t xml:space="preserve">As anticipated in the engagement plan, the approach evolved as the project progressed, responding to opportunities as they arose. </w:t>
      </w:r>
    </w:p>
    <w:p w14:paraId="1D5943EB" w14:textId="7CF0ADA7" w:rsidR="007D31E5" w:rsidRPr="00D17960" w:rsidRDefault="007D31E5" w:rsidP="00957BB4">
      <w:pPr>
        <w:pStyle w:val="Heading3"/>
        <w:numPr>
          <w:ilvl w:val="0"/>
          <w:numId w:val="42"/>
        </w:numPr>
      </w:pPr>
      <w:bookmarkStart w:id="183" w:name="_National_workshop"/>
      <w:bookmarkStart w:id="184" w:name="_Toc26369948"/>
      <w:bookmarkStart w:id="185" w:name="_Toc26508793"/>
      <w:bookmarkStart w:id="186" w:name="_Toc34229653"/>
      <w:bookmarkStart w:id="187" w:name="_Ref35170337"/>
      <w:bookmarkStart w:id="188" w:name="_Toc35492256"/>
      <w:bookmarkStart w:id="189" w:name="_Toc37088730"/>
      <w:bookmarkStart w:id="190" w:name="_Toc37419380"/>
      <w:bookmarkStart w:id="191" w:name="_Toc40686550"/>
      <w:bookmarkEnd w:id="182"/>
      <w:bookmarkEnd w:id="183"/>
      <w:r w:rsidRPr="00D17960">
        <w:t>National workshop</w:t>
      </w:r>
      <w:bookmarkEnd w:id="184"/>
      <w:bookmarkEnd w:id="185"/>
      <w:bookmarkEnd w:id="186"/>
      <w:bookmarkEnd w:id="187"/>
      <w:bookmarkEnd w:id="188"/>
      <w:bookmarkEnd w:id="189"/>
      <w:bookmarkEnd w:id="190"/>
      <w:bookmarkEnd w:id="191"/>
    </w:p>
    <w:p w14:paraId="048F4B71" w14:textId="77777777" w:rsidR="007D31E5" w:rsidRPr="00141E4A" w:rsidRDefault="007D31E5" w:rsidP="00D17960">
      <w:pPr>
        <w:pStyle w:val="BodyText"/>
      </w:pPr>
      <w:r w:rsidRPr="00141E4A">
        <w:t>This workshop was held on 20 November 2019 in Wellington. Its purpose was to:</w:t>
      </w:r>
    </w:p>
    <w:p w14:paraId="2F086742" w14:textId="19D353EE" w:rsidR="007D31E5" w:rsidRPr="00D17960" w:rsidRDefault="007D31E5" w:rsidP="00D17960">
      <w:pPr>
        <w:pStyle w:val="Bullet"/>
      </w:pPr>
      <w:r w:rsidRPr="00141E4A">
        <w:t>involve a broad cross-section of local government, business, NGOs, private sector, primary</w:t>
      </w:r>
      <w:r w:rsidR="00C87306">
        <w:t> </w:t>
      </w:r>
      <w:r w:rsidRPr="00D17960">
        <w:t xml:space="preserve">industries and other stakeholders working across all five domains </w:t>
      </w:r>
    </w:p>
    <w:p w14:paraId="4CD30F17" w14:textId="77777777" w:rsidR="007D31E5" w:rsidRPr="00D17960" w:rsidRDefault="007D31E5" w:rsidP="00D17960">
      <w:pPr>
        <w:pStyle w:val="Bullet"/>
      </w:pPr>
      <w:r w:rsidRPr="00D17960">
        <w:t xml:space="preserve">allow for a timely exchange and discussion of ideas and a broad representation of perspectives </w:t>
      </w:r>
    </w:p>
    <w:p w14:paraId="2F70BA14" w14:textId="77777777" w:rsidR="007D31E5" w:rsidRPr="00141E4A" w:rsidRDefault="007D31E5" w:rsidP="00D17960">
      <w:pPr>
        <w:pStyle w:val="Bullet"/>
      </w:pPr>
      <w:r w:rsidRPr="00D17960">
        <w:t>elicit relevant</w:t>
      </w:r>
      <w:r w:rsidRPr="00141E4A">
        <w:t xml:space="preserve"> information from stakeholders and begin to build the relationships and consortium for future engagement </w:t>
      </w:r>
    </w:p>
    <w:p w14:paraId="08E27C3A" w14:textId="474DCCE3" w:rsidR="007D31E5" w:rsidRPr="00141E4A" w:rsidRDefault="007D31E5" w:rsidP="007D31E5">
      <w:pPr>
        <w:pStyle w:val="Bullet"/>
      </w:pPr>
      <w:r w:rsidRPr="00141E4A">
        <w:t>identify gaps in information and risks, and key individuals or stakeholders for stage 2.</w:t>
      </w:r>
      <w:r w:rsidR="00467043">
        <w:t xml:space="preserve"> </w:t>
      </w:r>
    </w:p>
    <w:p w14:paraId="50D10B88" w14:textId="2DC83AF1" w:rsidR="007D31E5" w:rsidRPr="00141E4A" w:rsidRDefault="007D31E5" w:rsidP="00D17960">
      <w:pPr>
        <w:pStyle w:val="BodyText"/>
      </w:pPr>
      <w:r w:rsidRPr="00141E4A">
        <w:t>For further refinement, a stakeholder mapping tool identified target participants as the ‘risk</w:t>
      </w:r>
      <w:r w:rsidR="00C87306">
        <w:t> </w:t>
      </w:r>
      <w:r w:rsidRPr="00141E4A">
        <w:t xml:space="preserve">owners’ in each organisation. </w:t>
      </w:r>
    </w:p>
    <w:p w14:paraId="65C6368E" w14:textId="77777777" w:rsidR="007D31E5" w:rsidRPr="00141E4A" w:rsidRDefault="007D31E5" w:rsidP="00D17960">
      <w:pPr>
        <w:pStyle w:val="BodyText"/>
      </w:pPr>
      <w:r w:rsidRPr="00141E4A">
        <w:t>Over 300 people were invited, and 128 attended (excluding the project team). Of these attendees:</w:t>
      </w:r>
    </w:p>
    <w:p w14:paraId="0027C220" w14:textId="711D2294" w:rsidR="007D31E5" w:rsidRPr="00141E4A" w:rsidRDefault="00607EFA" w:rsidP="00D17960">
      <w:pPr>
        <w:pStyle w:val="Bullet"/>
      </w:pPr>
      <w:r>
        <w:t>a</w:t>
      </w:r>
      <w:r w:rsidR="007D31E5" w:rsidRPr="00141E4A">
        <w:t xml:space="preserve">bout one-third represented local government organisations. Of these, 28 were from district councils and city </w:t>
      </w:r>
      <w:r w:rsidR="007D31E5" w:rsidRPr="00D17960">
        <w:t>councils</w:t>
      </w:r>
      <w:r w:rsidR="007D31E5" w:rsidRPr="00141E4A">
        <w:t>, and eight from regional councils. Four of the five unitary councils were represented (Auckland Council, Gisborne District Council, Marlborough District Council, Nelson City Council and Tasman District Council). Fifteen representatives were based in the South Island and 27 in the North Island</w:t>
      </w:r>
    </w:p>
    <w:p w14:paraId="104F059E" w14:textId="64CE39DF" w:rsidR="007D31E5" w:rsidRPr="00141E4A" w:rsidRDefault="00607EFA" w:rsidP="007D31E5">
      <w:pPr>
        <w:pStyle w:val="Bullet"/>
      </w:pPr>
      <w:r>
        <w:t>a</w:t>
      </w:r>
      <w:r w:rsidR="007D31E5" w:rsidRPr="00141E4A">
        <w:t>bout one-third represented central government, including the core state sector agencies and the major risk owners</w:t>
      </w:r>
    </w:p>
    <w:p w14:paraId="42973685" w14:textId="3DD52596" w:rsidR="007D31E5" w:rsidRPr="00141E4A" w:rsidRDefault="00607EFA" w:rsidP="003C4F4B">
      <w:pPr>
        <w:pStyle w:val="Bullet"/>
      </w:pPr>
      <w:r>
        <w:t>t</w:t>
      </w:r>
      <w:r w:rsidR="007D31E5" w:rsidRPr="00141E4A">
        <w:t xml:space="preserve">he remaining third represented a range of stakeholder organisations, including Crown entities and research institutes, nationwide interest groups such as DairyNZ, Tourism Association, Insurance Council and Recreation Aotearoa, </w:t>
      </w:r>
      <w:r w:rsidR="007D31E5" w:rsidRPr="003C4F4B">
        <w:t>infrastructure</w:t>
      </w:r>
      <w:r w:rsidR="007D31E5" w:rsidRPr="00141E4A">
        <w:t xml:space="preserve"> providers such as</w:t>
      </w:r>
      <w:r w:rsidR="003C4F4B">
        <w:t> </w:t>
      </w:r>
      <w:r w:rsidR="007D31E5" w:rsidRPr="00141E4A">
        <w:t>KiwiRail and Nelson Airport, and private financial entities such as KPMG, Westpac and</w:t>
      </w:r>
      <w:r w:rsidR="003C4F4B">
        <w:t> </w:t>
      </w:r>
      <w:r w:rsidR="007D31E5" w:rsidRPr="00141E4A">
        <w:t>BNZ.</w:t>
      </w:r>
    </w:p>
    <w:p w14:paraId="02F8B62E" w14:textId="206F93A0" w:rsidR="007D31E5" w:rsidRPr="00212519" w:rsidRDefault="00547942" w:rsidP="00212519">
      <w:pPr>
        <w:pStyle w:val="BodyText"/>
      </w:pPr>
      <w:r w:rsidRPr="0024184F">
        <w:rPr>
          <w:noProof/>
        </w:rPr>
        <w:drawing>
          <wp:inline distT="0" distB="0" distL="0" distR="0" wp14:anchorId="7D92B0A1" wp14:editId="3EF1FFC1">
            <wp:extent cx="5400040" cy="275762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91120_145808.jpg"/>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5400040" cy="2757628"/>
                    </a:xfrm>
                    <a:prstGeom prst="rect">
                      <a:avLst/>
                    </a:prstGeom>
                    <a:ln>
                      <a:noFill/>
                    </a:ln>
                    <a:extLst>
                      <a:ext uri="{53640926-AAD7-44D8-BBD7-CCE9431645EC}">
                        <a14:shadowObscured xmlns:a14="http://schemas.microsoft.com/office/drawing/2010/main"/>
                      </a:ext>
                    </a:extLst>
                  </pic:spPr>
                </pic:pic>
              </a:graphicData>
            </a:graphic>
          </wp:inline>
        </w:drawing>
      </w:r>
    </w:p>
    <w:p w14:paraId="49BA05EB" w14:textId="77777777" w:rsidR="00212519" w:rsidRPr="00212519" w:rsidRDefault="00212519" w:rsidP="00212519">
      <w:pPr>
        <w:pStyle w:val="Source"/>
        <w:spacing w:before="60"/>
        <w:rPr>
          <w:b/>
          <w:bCs/>
        </w:rPr>
      </w:pPr>
      <w:r w:rsidRPr="00212519">
        <w:rPr>
          <w:b/>
          <w:bCs/>
        </w:rPr>
        <w:t>Workshop participants.</w:t>
      </w:r>
    </w:p>
    <w:p w14:paraId="0081E74F" w14:textId="2ADEFAA7" w:rsidR="00212519" w:rsidRPr="00E704D5" w:rsidRDefault="00212519" w:rsidP="00212519">
      <w:pPr>
        <w:pStyle w:val="BodyText"/>
      </w:pPr>
      <w:r w:rsidRPr="00E704D5">
        <w:lastRenderedPageBreak/>
        <w:t>The national workshop featured a number of presentations (</w:t>
      </w:r>
      <w:r w:rsidR="00A00707">
        <w:t>‘</w:t>
      </w:r>
      <w:r w:rsidRPr="00E704D5">
        <w:t>information-sharing with participants</w:t>
      </w:r>
      <w:r w:rsidR="00A00707">
        <w:t>’</w:t>
      </w:r>
      <w:r w:rsidRPr="00E704D5">
        <w:t>) and activities (</w:t>
      </w:r>
      <w:r w:rsidR="00A00707">
        <w:t>‘</w:t>
      </w:r>
      <w:r w:rsidRPr="00E704D5">
        <w:t>information-gathering from participants</w:t>
      </w:r>
      <w:r w:rsidR="00A00707">
        <w:t>’</w:t>
      </w:r>
      <w:r w:rsidRPr="00E704D5">
        <w:t xml:space="preserve">), including confirmation of risk descriptions, and input into analysis and evaluation of risks. </w:t>
      </w:r>
    </w:p>
    <w:p w14:paraId="3ECF27D7" w14:textId="77777777" w:rsidR="00212519" w:rsidRPr="00E704D5" w:rsidRDefault="00212519" w:rsidP="00212519">
      <w:pPr>
        <w:pStyle w:val="BodyText"/>
      </w:pPr>
      <w:r w:rsidRPr="00E704D5">
        <w:t>Attendees were split into groups to focus on one domain in their area of expertise. Exercises were facilitated by project team members, with domain leads providing technical oversight and responding to queries.</w:t>
      </w:r>
    </w:p>
    <w:p w14:paraId="2C382FF2" w14:textId="77777777" w:rsidR="00212519" w:rsidRPr="0024184F" w:rsidRDefault="00212519" w:rsidP="00212519">
      <w:pPr>
        <w:pStyle w:val="BodyText"/>
        <w:rPr>
          <w:rFonts w:cstheme="minorHAnsi"/>
        </w:rPr>
      </w:pPr>
      <w:r w:rsidRPr="0024184F">
        <w:rPr>
          <w:noProof/>
        </w:rPr>
        <w:drawing>
          <wp:inline distT="0" distB="0" distL="0" distR="0" wp14:anchorId="404ED0D0" wp14:editId="2AAD9A20">
            <wp:extent cx="5416899" cy="2552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91120_145651.jpg"/>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5436691" cy="2562027"/>
                    </a:xfrm>
                    <a:prstGeom prst="rect">
                      <a:avLst/>
                    </a:prstGeom>
                    <a:ln>
                      <a:noFill/>
                    </a:ln>
                    <a:extLst>
                      <a:ext uri="{53640926-AAD7-44D8-BBD7-CCE9431645EC}">
                        <a14:shadowObscured xmlns:a14="http://schemas.microsoft.com/office/drawing/2010/main"/>
                      </a:ext>
                    </a:extLst>
                  </pic:spPr>
                </pic:pic>
              </a:graphicData>
            </a:graphic>
          </wp:inline>
        </w:drawing>
      </w:r>
    </w:p>
    <w:p w14:paraId="029427FE" w14:textId="77777777" w:rsidR="00212519" w:rsidRPr="00212519" w:rsidRDefault="00212519" w:rsidP="00212519">
      <w:pPr>
        <w:pStyle w:val="Source"/>
        <w:spacing w:before="60"/>
        <w:rPr>
          <w:rFonts w:cstheme="minorHAnsi"/>
          <w:b/>
          <w:bCs/>
        </w:rPr>
      </w:pPr>
      <w:r w:rsidRPr="00212519">
        <w:rPr>
          <w:b/>
          <w:bCs/>
        </w:rPr>
        <w:t>Facilitated discussion at one of the tables focusing on the human domain.</w:t>
      </w:r>
    </w:p>
    <w:p w14:paraId="08CEDCEC" w14:textId="6387088E" w:rsidR="00212519" w:rsidRPr="00E704D5" w:rsidRDefault="00212519" w:rsidP="00212519">
      <w:pPr>
        <w:pStyle w:val="BodyText"/>
      </w:pPr>
      <w:r w:rsidRPr="00E704D5">
        <w:t>At the close of the workshop, evaluation forms were distributed. These included feedback on</w:t>
      </w:r>
      <w:r w:rsidR="00C87306">
        <w:t> </w:t>
      </w:r>
      <w:r w:rsidRPr="00E704D5">
        <w:t>what went well and what could be improved, along with indications of interest for stage 2 engagement. A follow-up email was sent on Thursday 21 November to thank attendees for their time, attaching the attendees list, the slide deck of presentations used on the day and a link to a ‘future weather forecast’ video that formed part of the NIWA presentation on climate change impacts and implications for New Zealand.</w:t>
      </w:r>
    </w:p>
    <w:p w14:paraId="02FDEC35" w14:textId="6886CA97" w:rsidR="00212519" w:rsidRPr="00212519" w:rsidRDefault="00212519" w:rsidP="00957BB4">
      <w:pPr>
        <w:pStyle w:val="Heading3"/>
        <w:numPr>
          <w:ilvl w:val="0"/>
          <w:numId w:val="42"/>
        </w:numPr>
      </w:pPr>
      <w:bookmarkStart w:id="192" w:name="_Stage_1_hui"/>
      <w:bookmarkStart w:id="193" w:name="_Toc26369949"/>
      <w:bookmarkStart w:id="194" w:name="_Toc26508797"/>
      <w:bookmarkStart w:id="195" w:name="_Toc34229657"/>
      <w:bookmarkStart w:id="196" w:name="_Ref35168126"/>
      <w:bookmarkStart w:id="197" w:name="_Ref35169114"/>
      <w:bookmarkStart w:id="198" w:name="_Toc35492260"/>
      <w:bookmarkStart w:id="199" w:name="_Toc37088731"/>
      <w:bookmarkStart w:id="200" w:name="_Toc37419381"/>
      <w:bookmarkStart w:id="201" w:name="_Toc40686551"/>
      <w:bookmarkStart w:id="202" w:name="_Toc26369946"/>
      <w:bookmarkEnd w:id="192"/>
      <w:r w:rsidRPr="00212519">
        <w:t>Stage 1 hui</w:t>
      </w:r>
      <w:bookmarkEnd w:id="193"/>
      <w:bookmarkEnd w:id="194"/>
      <w:bookmarkEnd w:id="195"/>
      <w:bookmarkEnd w:id="196"/>
      <w:bookmarkEnd w:id="197"/>
      <w:bookmarkEnd w:id="198"/>
      <w:bookmarkEnd w:id="199"/>
      <w:bookmarkEnd w:id="200"/>
      <w:bookmarkEnd w:id="201"/>
    </w:p>
    <w:p w14:paraId="625B66A3" w14:textId="77777777" w:rsidR="00212519" w:rsidRPr="00212519" w:rsidRDefault="00212519" w:rsidP="00E2676D">
      <w:pPr>
        <w:pStyle w:val="BodyText"/>
      </w:pPr>
      <w:r w:rsidRPr="00E704D5">
        <w:t xml:space="preserve">The </w:t>
      </w:r>
      <w:r w:rsidRPr="00E2676D">
        <w:t>stage</w:t>
      </w:r>
      <w:r w:rsidRPr="00E704D5">
        <w:t xml:space="preserve"> 1 hui was held on 29 November 2019 in Tāmaki Makaurau (Auckland). The aim was to discuss:</w:t>
      </w:r>
    </w:p>
    <w:p w14:paraId="677D7168" w14:textId="10CED502" w:rsidR="00212519" w:rsidRPr="00E2676D" w:rsidRDefault="00212519" w:rsidP="00E2676D">
      <w:pPr>
        <w:pStyle w:val="Bullet"/>
      </w:pPr>
      <w:bookmarkStart w:id="203" w:name="_Hlk35160619"/>
      <w:r w:rsidRPr="00E2676D">
        <w:t>work under way at the Ministry to understand and respond to the impacts of climate</w:t>
      </w:r>
      <w:r w:rsidR="00AE5DE5">
        <w:t> </w:t>
      </w:r>
      <w:r w:rsidRPr="00E2676D">
        <w:t>change</w:t>
      </w:r>
    </w:p>
    <w:p w14:paraId="527485D6" w14:textId="77777777" w:rsidR="00212519" w:rsidRPr="00E704D5" w:rsidRDefault="00212519" w:rsidP="00E2676D">
      <w:pPr>
        <w:pStyle w:val="Bullet"/>
      </w:pPr>
      <w:r w:rsidRPr="00E2676D">
        <w:t>cli</w:t>
      </w:r>
      <w:r w:rsidRPr="00E704D5">
        <w:t>mate change risks to Māori and how these affect Māori now and in the future.</w:t>
      </w:r>
      <w:r w:rsidRPr="00E704D5" w:rsidDel="00564C4D">
        <w:t xml:space="preserve"> </w:t>
      </w:r>
      <w:bookmarkEnd w:id="203"/>
    </w:p>
    <w:p w14:paraId="5B3F4186" w14:textId="7E3A98F9" w:rsidR="00212519" w:rsidRPr="00E704D5" w:rsidRDefault="00212519" w:rsidP="00212519">
      <w:pPr>
        <w:pStyle w:val="BodyText"/>
      </w:pPr>
      <w:r w:rsidRPr="00E704D5">
        <w:t>The Ministry sent the p</w:t>
      </w:r>
      <w:r w:rsidRPr="00E704D5">
        <w:rPr>
          <w:rFonts w:cs="Arial"/>
        </w:rPr>
        <w:t>ā</w:t>
      </w:r>
      <w:r w:rsidRPr="00E704D5">
        <w:t xml:space="preserve">nui (announcement) for the hui on 12 November 2019. It went to </w:t>
      </w:r>
      <w:r>
        <w:t>the Ministry’s</w:t>
      </w:r>
      <w:r w:rsidRPr="00E704D5">
        <w:t xml:space="preserve"> iwi distribution list, and to organisations and individuals identified by the project team, </w:t>
      </w:r>
      <w:r w:rsidRPr="00E704D5">
        <w:rPr>
          <w:color w:val="000000"/>
        </w:rPr>
        <w:t>including FOMA, Iwi Chairs Forum, Office of the Māori Climate Change Commissioner and Te Ohu Kaimoana.</w:t>
      </w:r>
    </w:p>
    <w:p w14:paraId="24C1A944" w14:textId="633C13FA" w:rsidR="00212519" w:rsidRPr="00E704D5" w:rsidRDefault="00212519" w:rsidP="00212519">
      <w:pPr>
        <w:pStyle w:val="BodyText"/>
      </w:pPr>
      <w:r w:rsidRPr="00E704D5">
        <w:t xml:space="preserve">The hui was held at the NIWA offices in Auckland. There were 33 responses to confirm attendance, and on the day the hui hosted 25 attendees (excluding the project team and Ministry representatives). </w:t>
      </w:r>
    </w:p>
    <w:p w14:paraId="34876BA6" w14:textId="77777777" w:rsidR="00212519" w:rsidRPr="00E704D5" w:rsidRDefault="00212519" w:rsidP="00212519">
      <w:pPr>
        <w:pStyle w:val="Bullet"/>
      </w:pPr>
      <w:r w:rsidRPr="00E704D5">
        <w:t>About half the attendees were mandated for climate change work by their iwi or hapū organisations.</w:t>
      </w:r>
    </w:p>
    <w:p w14:paraId="4A397FE5" w14:textId="77777777" w:rsidR="00212519" w:rsidRPr="00E704D5" w:rsidRDefault="00212519" w:rsidP="00212519">
      <w:pPr>
        <w:pStyle w:val="Bullet"/>
      </w:pPr>
      <w:r w:rsidRPr="00E704D5">
        <w:lastRenderedPageBreak/>
        <w:t>Organisations</w:t>
      </w:r>
      <w:r w:rsidRPr="00E704D5">
        <w:rPr>
          <w:color w:val="000000"/>
        </w:rPr>
        <w:t xml:space="preserve"> represented included the Independent Māori Statutory Board (Auckland), the Māori Climate Change Commission, Scion and Waikato Regional Council.</w:t>
      </w:r>
    </w:p>
    <w:p w14:paraId="1AEC3DB3" w14:textId="6DAF6225" w:rsidR="00212519" w:rsidRPr="00E704D5" w:rsidRDefault="00212519" w:rsidP="00212519">
      <w:pPr>
        <w:pStyle w:val="Bullet"/>
      </w:pPr>
      <w:r w:rsidRPr="00E704D5">
        <w:t>Geographic representation was largely from iwi or hapū from the central and upper North</w:t>
      </w:r>
      <w:r>
        <w:t> </w:t>
      </w:r>
      <w:r w:rsidRPr="00E704D5">
        <w:t xml:space="preserve">Island. </w:t>
      </w:r>
    </w:p>
    <w:p w14:paraId="7407B6C5" w14:textId="77777777" w:rsidR="00212519" w:rsidRPr="0024184F" w:rsidRDefault="00212519" w:rsidP="00E2676D">
      <w:pPr>
        <w:pStyle w:val="BodyText"/>
      </w:pPr>
      <w:r w:rsidRPr="0024184F">
        <w:rPr>
          <w:noProof/>
        </w:rPr>
        <w:drawing>
          <wp:inline distT="0" distB="0" distL="0" distR="0" wp14:anchorId="60FE79F1" wp14:editId="1D98F4DC">
            <wp:extent cx="5419725" cy="3270263"/>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191129_123351.jpg"/>
                    <pic:cNvPicPr/>
                  </pic:nvPicPr>
                  <pic:blipFill rotWithShape="1">
                    <a:blip r:embed="rId48">
                      <a:extLst>
                        <a:ext uri="{28A0092B-C50C-407E-A947-70E740481C1C}">
                          <a14:useLocalDpi xmlns:a14="http://schemas.microsoft.com/office/drawing/2010/main" val="0"/>
                        </a:ext>
                      </a:extLst>
                    </a:blip>
                    <a:srcRect/>
                    <a:stretch/>
                  </pic:blipFill>
                  <pic:spPr bwMode="auto">
                    <a:xfrm>
                      <a:off x="0" y="0"/>
                      <a:ext cx="5424521" cy="3273157"/>
                    </a:xfrm>
                    <a:prstGeom prst="rect">
                      <a:avLst/>
                    </a:prstGeom>
                    <a:ln>
                      <a:noFill/>
                    </a:ln>
                    <a:extLst>
                      <a:ext uri="{53640926-AAD7-44D8-BBD7-CCE9431645EC}">
                        <a14:shadowObscured xmlns:a14="http://schemas.microsoft.com/office/drawing/2010/main"/>
                      </a:ext>
                    </a:extLst>
                  </pic:spPr>
                </pic:pic>
              </a:graphicData>
            </a:graphic>
          </wp:inline>
        </w:drawing>
      </w:r>
    </w:p>
    <w:p w14:paraId="66FB8CFD" w14:textId="484D7525" w:rsidR="00212519" w:rsidRPr="00E2676D" w:rsidRDefault="00212519" w:rsidP="00E2676D">
      <w:pPr>
        <w:pStyle w:val="Source"/>
        <w:spacing w:before="60"/>
        <w:rPr>
          <w:b/>
          <w:bCs/>
        </w:rPr>
      </w:pPr>
      <w:r w:rsidRPr="00E2676D">
        <w:rPr>
          <w:b/>
          <w:bCs/>
        </w:rPr>
        <w:t>Dr Huhana Smith opening the hui discussion on Māori values and climate change.</w:t>
      </w:r>
    </w:p>
    <w:p w14:paraId="5B5CB5A0" w14:textId="3C373058" w:rsidR="00212519" w:rsidRPr="00E704D5" w:rsidRDefault="00212519" w:rsidP="00E2676D">
      <w:pPr>
        <w:pStyle w:val="BodyText"/>
      </w:pPr>
      <w:r w:rsidRPr="00E704D5">
        <w:t>The hui was opened by Ng</w:t>
      </w:r>
      <w:r w:rsidRPr="00E704D5">
        <w:rPr>
          <w:rFonts w:cs="Arial"/>
        </w:rPr>
        <w:t>ā</w:t>
      </w:r>
      <w:r w:rsidRPr="00E704D5">
        <w:t xml:space="preserve">ti Whātua o </w:t>
      </w:r>
      <w:r w:rsidRPr="00E704D5">
        <w:rPr>
          <w:rFonts w:cs="Arial"/>
        </w:rPr>
        <w:t>Ō</w:t>
      </w:r>
      <w:r w:rsidRPr="00E704D5">
        <w:t>rakei, one of the mana whenua of the Auckland rohe</w:t>
      </w:r>
      <w:r w:rsidR="003C3F42">
        <w:t> </w:t>
      </w:r>
      <w:r w:rsidRPr="00E704D5">
        <w:t>(area). Niketi Toataua (Pou Ārahi, NIWA) led the speech of welcome on behalf of NIWA</w:t>
      </w:r>
      <w:r w:rsidR="00CB7A17">
        <w:t> </w:t>
      </w:r>
      <w:r w:rsidRPr="00E704D5">
        <w:t>as</w:t>
      </w:r>
      <w:r w:rsidR="003C3F42">
        <w:t> </w:t>
      </w:r>
      <w:r w:rsidRPr="00E704D5">
        <w:t xml:space="preserve">location host for the day. </w:t>
      </w:r>
    </w:p>
    <w:p w14:paraId="2C0F82B3" w14:textId="77777777" w:rsidR="00212519" w:rsidRPr="00E704D5" w:rsidRDefault="00212519" w:rsidP="00E2676D">
      <w:pPr>
        <w:pStyle w:val="BodyText"/>
      </w:pPr>
      <w:r w:rsidRPr="00E704D5">
        <w:t>Guidance for the hui was provided by Sir Mark Solomon, Chair of the M</w:t>
      </w:r>
      <w:r w:rsidRPr="00E704D5">
        <w:rPr>
          <w:rFonts w:cs="Arial"/>
        </w:rPr>
        <w:t>ā</w:t>
      </w:r>
      <w:r w:rsidRPr="00E704D5">
        <w:t>ori Carbon Foundation, who acted as Project Kaum</w:t>
      </w:r>
      <w:r w:rsidRPr="00E704D5">
        <w:rPr>
          <w:rFonts w:cs="Arial"/>
        </w:rPr>
        <w:t>ā</w:t>
      </w:r>
      <w:r w:rsidRPr="00E704D5">
        <w:t>tua in Sir John Clarke’s place.</w:t>
      </w:r>
    </w:p>
    <w:p w14:paraId="62AEA231" w14:textId="265D7D2E" w:rsidR="00212519" w:rsidRPr="00E704D5" w:rsidRDefault="00212519" w:rsidP="00E2676D">
      <w:pPr>
        <w:pStyle w:val="BodyText"/>
      </w:pPr>
      <w:r w:rsidRPr="00E704D5">
        <w:t xml:space="preserve">A follow-up email was sent on 2 December 2019 to thank attendees for their time, attaching the attendees list, the slide deck of presentations used on the day, a link to a ‘future weather forecast’ video that formed part of the NIWA presentation on </w:t>
      </w:r>
      <w:r w:rsidR="00B32A89">
        <w:t>c</w:t>
      </w:r>
      <w:r w:rsidRPr="00E704D5">
        <w:t xml:space="preserve">limate </w:t>
      </w:r>
      <w:r w:rsidR="00B32A89">
        <w:t>c</w:t>
      </w:r>
      <w:r w:rsidRPr="00E704D5">
        <w:t xml:space="preserve">hange impacts and implications for New Zealand, and links to Ministry documents. These included the NCCRA framework, which forms the basis of this project’s methodology. </w:t>
      </w:r>
    </w:p>
    <w:p w14:paraId="60912A6F" w14:textId="2504A563" w:rsidR="00212519" w:rsidRPr="00C878D1" w:rsidRDefault="00212519" w:rsidP="00957BB4">
      <w:pPr>
        <w:pStyle w:val="Heading3"/>
        <w:numPr>
          <w:ilvl w:val="0"/>
          <w:numId w:val="42"/>
        </w:numPr>
        <w:rPr>
          <w:sz w:val="24"/>
          <w:szCs w:val="24"/>
        </w:rPr>
      </w:pPr>
      <w:bookmarkStart w:id="204" w:name="_Toc26508801"/>
      <w:bookmarkStart w:id="205" w:name="_Toc34229661"/>
      <w:bookmarkStart w:id="206" w:name="_Toc35492265"/>
      <w:bookmarkStart w:id="207" w:name="_Toc37088732"/>
      <w:bookmarkStart w:id="208" w:name="_Toc37419382"/>
      <w:bookmarkStart w:id="209" w:name="_Toc40686552"/>
      <w:r w:rsidRPr="00C878D1">
        <w:rPr>
          <w:sz w:val="24"/>
          <w:szCs w:val="24"/>
        </w:rPr>
        <w:t>Online survey</w:t>
      </w:r>
      <w:bookmarkStart w:id="210" w:name="_Toc26369947"/>
      <w:bookmarkEnd w:id="202"/>
      <w:bookmarkEnd w:id="204"/>
      <w:bookmarkEnd w:id="205"/>
      <w:bookmarkEnd w:id="206"/>
      <w:bookmarkEnd w:id="207"/>
      <w:bookmarkEnd w:id="208"/>
      <w:bookmarkEnd w:id="209"/>
    </w:p>
    <w:p w14:paraId="3C15CF19" w14:textId="56DE82C6" w:rsidR="00212519" w:rsidRPr="00E704D5" w:rsidRDefault="00212519" w:rsidP="00E2676D">
      <w:pPr>
        <w:pStyle w:val="BodyText"/>
      </w:pPr>
      <w:r w:rsidRPr="00E704D5">
        <w:t xml:space="preserve">An online survey was sent on 26 November 2019 to target stakeholders who were unable to attend the national workshop </w:t>
      </w:r>
      <w:r w:rsidR="00B32A89">
        <w:t>or</w:t>
      </w:r>
      <w:r w:rsidR="00B32A89" w:rsidRPr="00E704D5">
        <w:t xml:space="preserve"> </w:t>
      </w:r>
      <w:r w:rsidRPr="00E704D5">
        <w:t>hui. It closed on 2 December 2019.</w:t>
      </w:r>
    </w:p>
    <w:p w14:paraId="1DCB5925" w14:textId="77777777" w:rsidR="00212519" w:rsidRPr="00E704D5" w:rsidRDefault="00212519" w:rsidP="00E2676D">
      <w:pPr>
        <w:pStyle w:val="BodyText"/>
      </w:pPr>
      <w:r w:rsidRPr="00E704D5">
        <w:t>Respondents were asked to select their preferred domains, or opt to comment on all five domains, and then to respond to the following information requests:</w:t>
      </w:r>
    </w:p>
    <w:p w14:paraId="11D59662" w14:textId="171D72EB" w:rsidR="00212519" w:rsidRPr="00E2676D" w:rsidRDefault="00212519" w:rsidP="00E2676D">
      <w:pPr>
        <w:pStyle w:val="Bullet"/>
      </w:pPr>
      <w:r>
        <w:t>r</w:t>
      </w:r>
      <w:r w:rsidRPr="00E704D5">
        <w:t xml:space="preserve">ead </w:t>
      </w:r>
      <w:r w:rsidRPr="00E2676D">
        <w:t>the risk descriptions and the consequence descriptions for their selected domain and</w:t>
      </w:r>
      <w:r w:rsidR="00CB7A17">
        <w:t> </w:t>
      </w:r>
      <w:r w:rsidRPr="00E2676D">
        <w:t>add any information they felt appropriate</w:t>
      </w:r>
    </w:p>
    <w:p w14:paraId="49F6EABE" w14:textId="77777777" w:rsidR="00212519" w:rsidRPr="00E2676D" w:rsidRDefault="00212519" w:rsidP="00E2676D">
      <w:pPr>
        <w:pStyle w:val="Bullet"/>
      </w:pPr>
      <w:r w:rsidRPr="00E2676D">
        <w:t>taking into account the prioritisation criteria for the NCCRA, identify the top five risks in their selected domain</w:t>
      </w:r>
    </w:p>
    <w:p w14:paraId="20985D42" w14:textId="77777777" w:rsidR="00212519" w:rsidRPr="00E2676D" w:rsidRDefault="00212519" w:rsidP="00E2676D">
      <w:pPr>
        <w:pStyle w:val="Bullet"/>
      </w:pPr>
      <w:r w:rsidRPr="00E2676D">
        <w:t>indicate whether they would like to be involved in stage 2</w:t>
      </w:r>
    </w:p>
    <w:p w14:paraId="103E657A" w14:textId="77777777" w:rsidR="00212519" w:rsidRPr="00E2676D" w:rsidRDefault="00212519" w:rsidP="00E2676D">
      <w:pPr>
        <w:pStyle w:val="Bullet"/>
      </w:pPr>
      <w:r w:rsidRPr="00E2676D">
        <w:lastRenderedPageBreak/>
        <w:t>indicate whether there were any other organisations or individuals the project team should engage with because of their involvement with the elements at risk</w:t>
      </w:r>
    </w:p>
    <w:p w14:paraId="44C7AB26" w14:textId="0A54B21A" w:rsidR="00212519" w:rsidRPr="00E704D5" w:rsidRDefault="00212519" w:rsidP="00E2676D">
      <w:pPr>
        <w:pStyle w:val="Bullet"/>
      </w:pPr>
      <w:r w:rsidRPr="00E2676D">
        <w:t>advise</w:t>
      </w:r>
      <w:r w:rsidRPr="00E704D5">
        <w:t xml:space="preserve"> whether they wished to review the interim report, which the Ministry shared from</w:t>
      </w:r>
      <w:r w:rsidR="00CB7A17">
        <w:t> </w:t>
      </w:r>
      <w:r w:rsidRPr="00E704D5">
        <w:t>23 December 2019 to 13 January 2020.</w:t>
      </w:r>
    </w:p>
    <w:p w14:paraId="3AFDA2A1" w14:textId="58B9C904" w:rsidR="00212519" w:rsidRPr="00E704D5" w:rsidRDefault="00212519" w:rsidP="00E2676D">
      <w:pPr>
        <w:pStyle w:val="BodyText"/>
      </w:pPr>
      <w:r w:rsidRPr="00E704D5">
        <w:t xml:space="preserve">This survey was sent to about 300 stakeholders; several forwarded it </w:t>
      </w:r>
      <w:r>
        <w:t>to</w:t>
      </w:r>
      <w:r w:rsidRPr="00E704D5">
        <w:t xml:space="preserve"> their contacts. The</w:t>
      </w:r>
      <w:r w:rsidR="00CB7A17">
        <w:t> </w:t>
      </w:r>
      <w:r w:rsidRPr="00E704D5">
        <w:t xml:space="preserve">survey recorded 100 responses, 38 being detailed replies to the survey questions. </w:t>
      </w:r>
    </w:p>
    <w:p w14:paraId="2F54BB74" w14:textId="3221FAAA" w:rsidR="00212519" w:rsidRPr="00C878D1" w:rsidRDefault="00212519" w:rsidP="00957BB4">
      <w:pPr>
        <w:pStyle w:val="Heading3"/>
        <w:numPr>
          <w:ilvl w:val="0"/>
          <w:numId w:val="42"/>
        </w:numPr>
        <w:spacing w:before="280"/>
        <w:rPr>
          <w:sz w:val="24"/>
          <w:szCs w:val="24"/>
        </w:rPr>
      </w:pPr>
      <w:bookmarkStart w:id="211" w:name="_Ref27034597"/>
      <w:bookmarkStart w:id="212" w:name="_Toc34229662"/>
      <w:bookmarkStart w:id="213" w:name="_Toc35492266"/>
      <w:bookmarkStart w:id="214" w:name="_Toc37088733"/>
      <w:bookmarkStart w:id="215" w:name="_Toc37419383"/>
      <w:bookmarkStart w:id="216" w:name="_Toc40686553"/>
      <w:r w:rsidRPr="00C878D1">
        <w:rPr>
          <w:sz w:val="24"/>
          <w:szCs w:val="24"/>
        </w:rPr>
        <w:t xml:space="preserve">Focused </w:t>
      </w:r>
      <w:bookmarkEnd w:id="210"/>
      <w:r w:rsidRPr="00C878D1">
        <w:rPr>
          <w:sz w:val="24"/>
          <w:szCs w:val="24"/>
        </w:rPr>
        <w:t>meetings</w:t>
      </w:r>
      <w:bookmarkEnd w:id="211"/>
      <w:bookmarkEnd w:id="212"/>
      <w:bookmarkEnd w:id="213"/>
      <w:bookmarkEnd w:id="214"/>
      <w:bookmarkEnd w:id="215"/>
      <w:bookmarkEnd w:id="216"/>
    </w:p>
    <w:p w14:paraId="60A8171F" w14:textId="77777777" w:rsidR="00212519" w:rsidRPr="00E704D5" w:rsidRDefault="00212519" w:rsidP="00E2676D">
      <w:pPr>
        <w:pStyle w:val="BodyText"/>
      </w:pPr>
      <w:r w:rsidRPr="00E704D5">
        <w:t xml:space="preserve">The engagement plan provided for meetings with key sector and interest groups, to involve target stakeholders unable to participate in the national workshop, hui or survey, or to provide an opportunity for a more targeted discussion. </w:t>
      </w:r>
    </w:p>
    <w:p w14:paraId="32FAFDEC" w14:textId="764B5574" w:rsidR="00212519" w:rsidRPr="00E704D5" w:rsidRDefault="00212519" w:rsidP="00E2676D">
      <w:pPr>
        <w:pStyle w:val="BodyText"/>
      </w:pPr>
      <w:r w:rsidRPr="00E704D5">
        <w:t>An initial workshop was held with local government representatives on 30 September 2019, in</w:t>
      </w:r>
      <w:r w:rsidR="00CB7A17">
        <w:t> </w:t>
      </w:r>
      <w:r w:rsidRPr="00E704D5">
        <w:t>conjunction with the Ministry. A follow-up session on 7 October 2019 addressed local government’s role</w:t>
      </w:r>
      <w:r w:rsidR="00394067">
        <w:t xml:space="preserve"> in</w:t>
      </w:r>
      <w:r w:rsidRPr="00E704D5">
        <w:t xml:space="preserve"> and input into the NCCRA process. This built an awareness of the project and an understanding of how the framework would be applied to the risk assessment. </w:t>
      </w:r>
    </w:p>
    <w:p w14:paraId="3B4B71D5" w14:textId="77777777" w:rsidR="00212519" w:rsidRPr="00E704D5" w:rsidRDefault="00212519" w:rsidP="00E2676D">
      <w:pPr>
        <w:pStyle w:val="BodyText"/>
      </w:pPr>
      <w:r w:rsidRPr="00E704D5">
        <w:t>A teleconference was held with local government representatives who were unable to attend the workshop.</w:t>
      </w:r>
    </w:p>
    <w:p w14:paraId="2F1741D4" w14:textId="77777777" w:rsidR="00212519" w:rsidRPr="00E704D5" w:rsidRDefault="00212519" w:rsidP="00E2676D">
      <w:pPr>
        <w:pStyle w:val="BodyText"/>
      </w:pPr>
      <w:r w:rsidRPr="00E704D5">
        <w:t>The Ministry also led a briefing with central government agencies in advance of the national workshop, with the support of the Engagement Lead for the NCCRA project, Dan Ormond.</w:t>
      </w:r>
    </w:p>
    <w:p w14:paraId="3A2AB3DB" w14:textId="72AD7B8E" w:rsidR="00212519" w:rsidRPr="00E704D5" w:rsidRDefault="00212519" w:rsidP="00E2676D">
      <w:pPr>
        <w:pStyle w:val="BodyText"/>
      </w:pPr>
      <w:r w:rsidRPr="00E704D5">
        <w:t>Throughout stage 1, it became apparent that further engagement with Māori would be necessary as some iwi responded to the hui p</w:t>
      </w:r>
      <w:r w:rsidRPr="00E704D5">
        <w:rPr>
          <w:rFonts w:cs="Arial"/>
        </w:rPr>
        <w:t>ā</w:t>
      </w:r>
      <w:r w:rsidRPr="00E704D5">
        <w:t xml:space="preserve">nui with an invitation to hui with them directly. However, due to the timeframes and the limited availability of key participants, these were held in stage 2 (see section </w:t>
      </w:r>
      <w:hyperlink w:anchor="_Local_hui" w:history="1">
        <w:r w:rsidRPr="00371A54">
          <w:rPr>
            <w:rStyle w:val="Hyperlink"/>
          </w:rPr>
          <w:t>3.3.2</w:t>
        </w:r>
      </w:hyperlink>
      <w:r w:rsidRPr="00E704D5">
        <w:t xml:space="preserve">). </w:t>
      </w:r>
    </w:p>
    <w:p w14:paraId="1342AF41" w14:textId="70B32AB6" w:rsidR="00212519" w:rsidRPr="00C878D1" w:rsidRDefault="00212519" w:rsidP="00957BB4">
      <w:pPr>
        <w:pStyle w:val="Heading3"/>
        <w:numPr>
          <w:ilvl w:val="0"/>
          <w:numId w:val="42"/>
        </w:numPr>
        <w:rPr>
          <w:sz w:val="24"/>
          <w:szCs w:val="24"/>
        </w:rPr>
      </w:pPr>
      <w:bookmarkStart w:id="217" w:name="_Supplementary_engagement"/>
      <w:bookmarkStart w:id="218" w:name="_Ref26992856"/>
      <w:bookmarkStart w:id="219" w:name="_Toc26508803"/>
      <w:bookmarkStart w:id="220" w:name="_Toc34229663"/>
      <w:bookmarkStart w:id="221" w:name="_Toc35492267"/>
      <w:bookmarkStart w:id="222" w:name="_Toc37088734"/>
      <w:bookmarkStart w:id="223" w:name="_Toc37419384"/>
      <w:bookmarkStart w:id="224" w:name="_Toc40686554"/>
      <w:bookmarkEnd w:id="217"/>
      <w:r w:rsidRPr="00C878D1">
        <w:rPr>
          <w:sz w:val="24"/>
          <w:szCs w:val="24"/>
        </w:rPr>
        <w:t>Supplementary engagement</w:t>
      </w:r>
      <w:bookmarkEnd w:id="218"/>
      <w:bookmarkEnd w:id="219"/>
      <w:bookmarkEnd w:id="220"/>
      <w:bookmarkEnd w:id="221"/>
      <w:bookmarkEnd w:id="222"/>
      <w:bookmarkEnd w:id="223"/>
      <w:bookmarkEnd w:id="224"/>
    </w:p>
    <w:p w14:paraId="004A0A2A" w14:textId="47781F24" w:rsidR="00212519" w:rsidRPr="00E704D5" w:rsidRDefault="00212519" w:rsidP="00313D32">
      <w:pPr>
        <w:pStyle w:val="BodyText"/>
        <w:spacing w:after="100"/>
      </w:pPr>
      <w:r w:rsidRPr="00E704D5">
        <w:t>To create awareness of the project and provide for broad engagement with the target stakeholders within the timeframes, opportunistic engagement was also undertaken at</w:t>
      </w:r>
      <w:r w:rsidR="003850CD">
        <w:t> </w:t>
      </w:r>
      <w:r w:rsidRPr="00E704D5">
        <w:t>a</w:t>
      </w:r>
      <w:r w:rsidR="003850CD">
        <w:t> </w:t>
      </w:r>
      <w:r w:rsidRPr="00E704D5">
        <w:t>series of forums. These presented information about the project, followed by one</w:t>
      </w:r>
      <w:r w:rsidR="003850CD">
        <w:noBreakHyphen/>
      </w:r>
      <w:r w:rsidRPr="00E704D5">
        <w:t>on</w:t>
      </w:r>
      <w:r w:rsidR="003850CD">
        <w:noBreakHyphen/>
      </w:r>
      <w:r w:rsidRPr="00E704D5">
        <w:t>one</w:t>
      </w:r>
      <w:r w:rsidR="003850CD">
        <w:t> </w:t>
      </w:r>
      <w:r w:rsidRPr="00E704D5">
        <w:t>discussions:</w:t>
      </w:r>
      <w:r w:rsidR="00467043">
        <w:t xml:space="preserve"> </w:t>
      </w:r>
    </w:p>
    <w:p w14:paraId="33748D8E" w14:textId="20F1FF68" w:rsidR="00212519" w:rsidRPr="00E2676D" w:rsidRDefault="00212519" w:rsidP="00313D32">
      <w:pPr>
        <w:pStyle w:val="Bullet"/>
        <w:spacing w:after="100"/>
      </w:pPr>
      <w:r w:rsidRPr="00E2676D">
        <w:t>Climate Change and Business Conference, 8–9 October 2019, Auckland</w:t>
      </w:r>
    </w:p>
    <w:p w14:paraId="19673F15" w14:textId="2E4D49AB" w:rsidR="00212519" w:rsidRPr="00E2676D" w:rsidRDefault="00212519" w:rsidP="00313D32">
      <w:pPr>
        <w:pStyle w:val="Bullet"/>
        <w:spacing w:after="100"/>
      </w:pPr>
      <w:r w:rsidRPr="00E2676D">
        <w:t>Lifelines Conference, 14–15 October 2019, Christchurch</w:t>
      </w:r>
    </w:p>
    <w:p w14:paraId="28EBB6DD" w14:textId="39AD5E3D" w:rsidR="00212519" w:rsidRPr="00E2676D" w:rsidRDefault="00212519" w:rsidP="00313D32">
      <w:pPr>
        <w:pStyle w:val="Bullet"/>
        <w:spacing w:after="100"/>
      </w:pPr>
      <w:r w:rsidRPr="00E2676D">
        <w:t>Aotearoa Circle event, 31 October 2019, Auckland</w:t>
      </w:r>
    </w:p>
    <w:p w14:paraId="75D2F288" w14:textId="44F67B85" w:rsidR="00212519" w:rsidRPr="00E2676D" w:rsidRDefault="00212519" w:rsidP="00313D32">
      <w:pPr>
        <w:pStyle w:val="Bullet"/>
        <w:spacing w:after="100"/>
      </w:pPr>
      <w:r w:rsidRPr="00E2676D">
        <w:t>Roundtable on Insurance and Climate Change hosted by the British High Commissioner, 6 November 2019, Wellington</w:t>
      </w:r>
    </w:p>
    <w:p w14:paraId="38AF38BA" w14:textId="2C563307" w:rsidR="00212519" w:rsidRPr="00E2676D" w:rsidRDefault="00044362" w:rsidP="00313D32">
      <w:pPr>
        <w:pStyle w:val="Bullet"/>
        <w:spacing w:after="100"/>
      </w:pPr>
      <w:r>
        <w:t>Local Government New Zealand</w:t>
      </w:r>
      <w:r w:rsidRPr="00E2676D">
        <w:t xml:space="preserve"> </w:t>
      </w:r>
      <w:r w:rsidR="00212519" w:rsidRPr="00E2676D">
        <w:t>Special Interest Group (Natural Hazards), 11 November 2019, Christchurch</w:t>
      </w:r>
    </w:p>
    <w:p w14:paraId="35201202" w14:textId="5E22B8F7" w:rsidR="00212519" w:rsidRPr="00E704D5" w:rsidRDefault="00044362" w:rsidP="00E2676D">
      <w:pPr>
        <w:pStyle w:val="Bullet"/>
      </w:pPr>
      <w:r>
        <w:t>New Zealand</w:t>
      </w:r>
      <w:r w:rsidRPr="00E2676D">
        <w:t xml:space="preserve"> </w:t>
      </w:r>
      <w:r w:rsidR="00212519" w:rsidRPr="00E2676D">
        <w:t>Coastal Society</w:t>
      </w:r>
      <w:r w:rsidR="00212519" w:rsidRPr="00E704D5">
        <w:t xml:space="preserve"> Conference, 12–15 November 2019, Invercargill.</w:t>
      </w:r>
    </w:p>
    <w:p w14:paraId="2A5FB9C9" w14:textId="22109DE3" w:rsidR="00212519" w:rsidRPr="00C878D1" w:rsidRDefault="00212519" w:rsidP="00957BB4">
      <w:pPr>
        <w:pStyle w:val="Heading2"/>
        <w:numPr>
          <w:ilvl w:val="0"/>
          <w:numId w:val="40"/>
        </w:numPr>
        <w:spacing w:before="280"/>
        <w:rPr>
          <w:szCs w:val="24"/>
        </w:rPr>
      </w:pPr>
      <w:bookmarkStart w:id="225" w:name="_Toc35492268"/>
      <w:bookmarkStart w:id="226" w:name="_Toc37088735"/>
      <w:bookmarkStart w:id="227" w:name="_Toc37419385"/>
      <w:bookmarkStart w:id="228" w:name="_Toc40686555"/>
      <w:bookmarkStart w:id="229" w:name="_Toc45898311"/>
      <w:r w:rsidRPr="00C878D1">
        <w:rPr>
          <w:szCs w:val="24"/>
        </w:rPr>
        <w:t>Engagement methods: stage 2</w:t>
      </w:r>
      <w:bookmarkEnd w:id="225"/>
      <w:bookmarkEnd w:id="226"/>
      <w:bookmarkEnd w:id="227"/>
      <w:bookmarkEnd w:id="228"/>
      <w:bookmarkEnd w:id="229"/>
      <w:r w:rsidRPr="00C878D1">
        <w:rPr>
          <w:szCs w:val="24"/>
        </w:rPr>
        <w:t xml:space="preserve"> </w:t>
      </w:r>
    </w:p>
    <w:p w14:paraId="35670C71" w14:textId="5D8074CA" w:rsidR="00212519" w:rsidRPr="00E704D5" w:rsidRDefault="00212519" w:rsidP="00313D32">
      <w:pPr>
        <w:pStyle w:val="BodyText"/>
        <w:spacing w:after="100"/>
      </w:pPr>
      <w:r w:rsidRPr="00E704D5">
        <w:t>Based on the engagement approach set out in section 3, in stage 2 the engagement focused on</w:t>
      </w:r>
      <w:r w:rsidR="00CB7A17">
        <w:t> </w:t>
      </w:r>
      <w:r w:rsidRPr="00E704D5">
        <w:t xml:space="preserve">a detailed risk assessment and adaptation measures. </w:t>
      </w:r>
    </w:p>
    <w:p w14:paraId="552A7F5F" w14:textId="77777777" w:rsidR="00212519" w:rsidRPr="00E704D5" w:rsidRDefault="00212519" w:rsidP="00313D32">
      <w:pPr>
        <w:pStyle w:val="BodyText"/>
        <w:spacing w:after="100"/>
      </w:pPr>
      <w:r w:rsidRPr="00E704D5">
        <w:lastRenderedPageBreak/>
        <w:t>The engagement sought stakeholder input on:</w:t>
      </w:r>
    </w:p>
    <w:p w14:paraId="7A4D0CBB" w14:textId="77777777" w:rsidR="00212519" w:rsidRPr="00E704D5" w:rsidRDefault="00212519" w:rsidP="00313D32">
      <w:pPr>
        <w:pStyle w:val="Bullet"/>
        <w:spacing w:after="100"/>
      </w:pPr>
      <w:r w:rsidRPr="00E704D5">
        <w:t>detailed descriptions of each of the 48 prioritised risks</w:t>
      </w:r>
    </w:p>
    <w:p w14:paraId="78EE6967" w14:textId="77777777" w:rsidR="00212519" w:rsidRPr="00E704D5" w:rsidRDefault="00212519" w:rsidP="00313D32">
      <w:pPr>
        <w:pStyle w:val="Bullet"/>
        <w:spacing w:after="100"/>
      </w:pPr>
      <w:r w:rsidRPr="00E704D5">
        <w:t>the exposure and vulnerability assessment of these risks</w:t>
      </w:r>
    </w:p>
    <w:p w14:paraId="6D4E7DD7" w14:textId="77777777" w:rsidR="00212519" w:rsidRPr="00E704D5" w:rsidRDefault="00212519" w:rsidP="00E2676D">
      <w:pPr>
        <w:pStyle w:val="Bullet"/>
      </w:pPr>
      <w:r w:rsidRPr="00E704D5">
        <w:t xml:space="preserve">a high-level qualitative engagement on </w:t>
      </w:r>
      <w:r w:rsidRPr="00E2676D">
        <w:t>whether</w:t>
      </w:r>
      <w:r w:rsidRPr="00E704D5">
        <w:t xml:space="preserve"> adaptation measures are planned or under way in response to the priority</w:t>
      </w:r>
      <w:r w:rsidRPr="00E704D5">
        <w:rPr>
          <w:spacing w:val="-11"/>
        </w:rPr>
        <w:t xml:space="preserve"> </w:t>
      </w:r>
      <w:r w:rsidRPr="00E704D5">
        <w:t>risks.</w:t>
      </w:r>
    </w:p>
    <w:p w14:paraId="773E90D2" w14:textId="00D4A831" w:rsidR="00212519" w:rsidRPr="00E704D5" w:rsidRDefault="00212519" w:rsidP="00313D32">
      <w:pPr>
        <w:pStyle w:val="BodyText"/>
        <w:spacing w:after="100"/>
      </w:pPr>
      <w:r w:rsidRPr="00E704D5">
        <w:t xml:space="preserve">The </w:t>
      </w:r>
      <w:r w:rsidRPr="00E2676D">
        <w:t>engagement</w:t>
      </w:r>
      <w:r w:rsidRPr="00E704D5">
        <w:t xml:space="preserve"> was also intended to support a transparent process that builds awareness and understanding of the project. This would support understanding of the final report, the process used to achieve it and how it informs the NAP.</w:t>
      </w:r>
    </w:p>
    <w:p w14:paraId="3646C1E6" w14:textId="504EAD01" w:rsidR="00212519" w:rsidRPr="00E704D5" w:rsidRDefault="00212519" w:rsidP="00313D32">
      <w:pPr>
        <w:pStyle w:val="BodyText"/>
        <w:spacing w:after="100"/>
      </w:pPr>
      <w:r w:rsidRPr="00E704D5">
        <w:t xml:space="preserve">A range of activities and options </w:t>
      </w:r>
      <w:r w:rsidR="000E1AEC">
        <w:t>was</w:t>
      </w:r>
      <w:r w:rsidR="000E1AEC" w:rsidRPr="00E704D5">
        <w:t xml:space="preserve"> </w:t>
      </w:r>
      <w:r w:rsidRPr="00E704D5">
        <w:t>offered to partners and target stakeholders:</w:t>
      </w:r>
    </w:p>
    <w:p w14:paraId="538966E6" w14:textId="77777777" w:rsidR="00212519" w:rsidRPr="00E2676D" w:rsidRDefault="00212519" w:rsidP="00313D32">
      <w:pPr>
        <w:pStyle w:val="Bullet"/>
        <w:spacing w:after="100"/>
      </w:pPr>
      <w:r w:rsidRPr="00E2676D">
        <w:t>five risk workshops (one on each value domain)</w:t>
      </w:r>
    </w:p>
    <w:p w14:paraId="593D774B" w14:textId="77777777" w:rsidR="00212519" w:rsidRPr="00E2676D" w:rsidRDefault="00212519" w:rsidP="00313D32">
      <w:pPr>
        <w:pStyle w:val="Bullet"/>
        <w:spacing w:after="100"/>
      </w:pPr>
      <w:r w:rsidRPr="00E2676D">
        <w:t>three local hui</w:t>
      </w:r>
    </w:p>
    <w:p w14:paraId="33B18F2F" w14:textId="682AF46C" w:rsidR="000E1AEC" w:rsidRPr="00E2676D" w:rsidRDefault="00394067" w:rsidP="000E1AEC">
      <w:pPr>
        <w:pStyle w:val="Bullet"/>
        <w:spacing w:after="100"/>
      </w:pPr>
      <w:r>
        <w:t xml:space="preserve">an </w:t>
      </w:r>
      <w:r w:rsidR="000E1AEC" w:rsidRPr="00E2676D">
        <w:t>online survey</w:t>
      </w:r>
    </w:p>
    <w:p w14:paraId="26166E1C" w14:textId="77777777" w:rsidR="00212519" w:rsidRPr="00E2676D" w:rsidRDefault="00212519" w:rsidP="00313D32">
      <w:pPr>
        <w:pStyle w:val="Bullet"/>
        <w:spacing w:after="100"/>
      </w:pPr>
      <w:r w:rsidRPr="00E2676D">
        <w:t>focused outreach (meetings, phone calls and correspondence)</w:t>
      </w:r>
    </w:p>
    <w:p w14:paraId="7F3DF140" w14:textId="77777777" w:rsidR="00212519" w:rsidRPr="00E704D5" w:rsidRDefault="00212519" w:rsidP="00E2676D">
      <w:pPr>
        <w:pStyle w:val="Bullet"/>
      </w:pPr>
      <w:r w:rsidRPr="00E2676D">
        <w:t>briefings</w:t>
      </w:r>
      <w:r w:rsidRPr="00E704D5">
        <w:t xml:space="preserve"> with local and central government to review and identify adaptation activities.</w:t>
      </w:r>
    </w:p>
    <w:p w14:paraId="065D31DE" w14:textId="13F7E1B1" w:rsidR="00212519" w:rsidRPr="00E704D5" w:rsidRDefault="00212519" w:rsidP="00313D32">
      <w:pPr>
        <w:pStyle w:val="BodyText"/>
        <w:spacing w:before="100" w:after="100"/>
      </w:pPr>
      <w:r w:rsidRPr="00E704D5">
        <w:t xml:space="preserve">The </w:t>
      </w:r>
      <w:r w:rsidRPr="00E2676D">
        <w:t>Ministry</w:t>
      </w:r>
      <w:r w:rsidRPr="00E704D5">
        <w:t xml:space="preserve"> also held a series of regional hui in February 2020 where the NCCRA was discussed. </w:t>
      </w:r>
      <w:r w:rsidR="0041712D">
        <w:t>A</w:t>
      </w:r>
      <w:r w:rsidRPr="00E704D5">
        <w:t xml:space="preserve"> number of stakeholders </w:t>
      </w:r>
      <w:r w:rsidR="0041712D">
        <w:t xml:space="preserve">also </w:t>
      </w:r>
      <w:r w:rsidRPr="00E704D5">
        <w:t xml:space="preserve">commented on the NCCRA interim report, which was shared by the Ministry from 23 December 2019 to 13 January 2020 with those stakeholders who had offered to review it. </w:t>
      </w:r>
    </w:p>
    <w:p w14:paraId="3E8091A1" w14:textId="7E79327C" w:rsidR="00D419ED" w:rsidRPr="00D419ED" w:rsidRDefault="00D419ED" w:rsidP="00957BB4">
      <w:pPr>
        <w:pStyle w:val="Heading3"/>
        <w:numPr>
          <w:ilvl w:val="0"/>
          <w:numId w:val="43"/>
        </w:numPr>
        <w:spacing w:before="280"/>
      </w:pPr>
      <w:bookmarkStart w:id="230" w:name="_Risk_workshops"/>
      <w:bookmarkStart w:id="231" w:name="_TOC_250004"/>
      <w:bookmarkStart w:id="232" w:name="_Ref34342007"/>
      <w:bookmarkStart w:id="233" w:name="_Toc35492269"/>
      <w:bookmarkStart w:id="234" w:name="_Toc37088736"/>
      <w:bookmarkStart w:id="235" w:name="_Toc37419386"/>
      <w:bookmarkStart w:id="236" w:name="_Toc40686556"/>
      <w:bookmarkEnd w:id="230"/>
      <w:r w:rsidRPr="00D419ED">
        <w:t xml:space="preserve">Risk </w:t>
      </w:r>
      <w:bookmarkEnd w:id="231"/>
      <w:r w:rsidRPr="00D419ED">
        <w:t>workshops</w:t>
      </w:r>
      <w:bookmarkEnd w:id="232"/>
      <w:bookmarkEnd w:id="233"/>
      <w:bookmarkEnd w:id="234"/>
      <w:bookmarkEnd w:id="235"/>
      <w:bookmarkEnd w:id="236"/>
    </w:p>
    <w:p w14:paraId="655FB650" w14:textId="33B19B9A" w:rsidR="00D419ED" w:rsidRPr="00E704D5" w:rsidRDefault="00D419ED" w:rsidP="00B3436F">
      <w:pPr>
        <w:pStyle w:val="BodyText"/>
        <w:rPr>
          <w:b/>
          <w:i/>
        </w:rPr>
      </w:pPr>
      <w:r w:rsidRPr="00E704D5">
        <w:t>The objectives for the workshops were</w:t>
      </w:r>
      <w:r w:rsidR="00031F5D">
        <w:t xml:space="preserve"> to</w:t>
      </w:r>
      <w:r w:rsidRPr="00E704D5">
        <w:t>:</w:t>
      </w:r>
    </w:p>
    <w:p w14:paraId="23E1F953" w14:textId="16E96B95" w:rsidR="00D419ED" w:rsidRPr="00E704D5" w:rsidRDefault="00031F5D" w:rsidP="00D419ED">
      <w:pPr>
        <w:pStyle w:val="Bullet"/>
      </w:pPr>
      <w:r>
        <w:t>p</w:t>
      </w:r>
      <w:r w:rsidR="00D419ED" w:rsidRPr="00E704D5">
        <w:t>rovide information about the NCCRA project‘s objectives, methods and findings to date</w:t>
      </w:r>
    </w:p>
    <w:p w14:paraId="2F26ABF6" w14:textId="4EC9A803" w:rsidR="00D419ED" w:rsidRPr="00E704D5" w:rsidRDefault="00031F5D" w:rsidP="00D419ED">
      <w:pPr>
        <w:pStyle w:val="Bullet"/>
      </w:pPr>
      <w:r>
        <w:t>g</w:t>
      </w:r>
      <w:r w:rsidR="00D419ED" w:rsidRPr="00E704D5">
        <w:t>ather input on the detailed risk assessment of the draft priority national risks (stage 2) as</w:t>
      </w:r>
      <w:r w:rsidR="00B3436F">
        <w:t> </w:t>
      </w:r>
      <w:r w:rsidR="00D419ED" w:rsidRPr="00E704D5">
        <w:t>follows:</w:t>
      </w:r>
    </w:p>
    <w:p w14:paraId="799FC8CA" w14:textId="77777777" w:rsidR="00D419ED" w:rsidRPr="00E704D5" w:rsidRDefault="00D419ED" w:rsidP="00B3436F">
      <w:pPr>
        <w:pStyle w:val="Sub-list"/>
      </w:pPr>
      <w:r w:rsidRPr="00E704D5">
        <w:t>exposure and vulnerability of risks</w:t>
      </w:r>
    </w:p>
    <w:p w14:paraId="01E6F814" w14:textId="77777777" w:rsidR="00D419ED" w:rsidRPr="00E704D5" w:rsidRDefault="00D419ED" w:rsidP="00B3436F">
      <w:pPr>
        <w:pStyle w:val="Sub-list"/>
      </w:pPr>
      <w:r w:rsidRPr="00E704D5">
        <w:t>adaptation responses planned or under way</w:t>
      </w:r>
    </w:p>
    <w:p w14:paraId="14C7D323" w14:textId="77777777" w:rsidR="00D419ED" w:rsidRPr="00A20A63" w:rsidRDefault="00D419ED" w:rsidP="00B3436F">
      <w:pPr>
        <w:pStyle w:val="Sub-list"/>
      </w:pPr>
      <w:r w:rsidRPr="00A20A63">
        <w:t>adaptation urgency discussion</w:t>
      </w:r>
    </w:p>
    <w:p w14:paraId="50FB9E36" w14:textId="77777777" w:rsidR="00D419ED" w:rsidRPr="00A20A63" w:rsidRDefault="00D419ED" w:rsidP="00B3436F">
      <w:pPr>
        <w:pStyle w:val="Sub-list"/>
      </w:pPr>
      <w:r w:rsidRPr="00A20A63">
        <w:t>interdependencies between risks</w:t>
      </w:r>
    </w:p>
    <w:p w14:paraId="5FF16CCF" w14:textId="105387F3" w:rsidR="00D419ED" w:rsidRPr="00A20A63" w:rsidRDefault="00D419ED" w:rsidP="00B3436F">
      <w:pPr>
        <w:pStyle w:val="Sub-list"/>
      </w:pPr>
      <w:r w:rsidRPr="00A20A63">
        <w:t>information gaps about risks</w:t>
      </w:r>
    </w:p>
    <w:p w14:paraId="4BE83051" w14:textId="1C90B5D4" w:rsidR="00D419ED" w:rsidRPr="00A20A63" w:rsidRDefault="00031F5D" w:rsidP="00D419ED">
      <w:pPr>
        <w:pStyle w:val="Bullet"/>
      </w:pPr>
      <w:r>
        <w:t>e</w:t>
      </w:r>
      <w:r w:rsidR="00D419ED" w:rsidRPr="00A20A63">
        <w:t>xplain next steps in the risk assessment</w:t>
      </w:r>
      <w:r w:rsidR="004B122C">
        <w:t>,</w:t>
      </w:r>
      <w:r w:rsidR="00D419ED" w:rsidRPr="00A20A63">
        <w:t xml:space="preserve"> including the final report and how it will feed into</w:t>
      </w:r>
      <w:r w:rsidR="00B3436F">
        <w:t> </w:t>
      </w:r>
      <w:r w:rsidR="00D419ED" w:rsidRPr="00A20A63">
        <w:t>the NAP.</w:t>
      </w:r>
    </w:p>
    <w:p w14:paraId="25927B94" w14:textId="71F5EFFC" w:rsidR="00D419ED" w:rsidRPr="00A20A63" w:rsidRDefault="00D419ED" w:rsidP="00B3436F">
      <w:pPr>
        <w:pStyle w:val="BodyText"/>
      </w:pPr>
      <w:r w:rsidRPr="00A20A63">
        <w:t>Five workshops were held</w:t>
      </w:r>
      <w:r w:rsidR="004B122C">
        <w:t>:</w:t>
      </w:r>
      <w:r w:rsidRPr="00A20A63">
        <w:t xml:space="preserve"> three hosted in Wellington on 10–11 February 2020, and two in Auckland on 18 February 2020. </w:t>
      </w:r>
    </w:p>
    <w:p w14:paraId="10BC8C62" w14:textId="305C3F64" w:rsidR="00D419ED" w:rsidRPr="00A20A63" w:rsidRDefault="00D419ED" w:rsidP="00B3436F">
      <w:pPr>
        <w:pStyle w:val="BodyText"/>
      </w:pPr>
      <w:r w:rsidRPr="00A20A63">
        <w:t>A review of the stakeholder list confirmed stakeholders with a particular interest and expertise</w:t>
      </w:r>
      <w:r w:rsidR="00B3436F">
        <w:t> </w:t>
      </w:r>
      <w:r w:rsidRPr="00A20A63">
        <w:t>relevant to the risks. The RSVP list was regularly reviewed, to check there was a</w:t>
      </w:r>
      <w:r w:rsidR="00CB7A17">
        <w:t> </w:t>
      </w:r>
      <w:r w:rsidRPr="00A20A63">
        <w:t>good</w:t>
      </w:r>
      <w:r w:rsidR="00B3436F">
        <w:t> </w:t>
      </w:r>
      <w:r w:rsidRPr="00A20A63">
        <w:t>representation of expertise and ‘risk owners’ for each of the priority risks. About 45</w:t>
      </w:r>
      <w:r w:rsidR="00B3436F">
        <w:t> </w:t>
      </w:r>
      <w:r w:rsidRPr="00A20A63">
        <w:t>people attended each of the workshops.</w:t>
      </w:r>
    </w:p>
    <w:p w14:paraId="737F247C" w14:textId="486FCC02" w:rsidR="00547942" w:rsidRDefault="00DB1E66" w:rsidP="00DB1E66">
      <w:pPr>
        <w:pStyle w:val="BodyText"/>
      </w:pPr>
      <w:r w:rsidRPr="00A20A63">
        <w:rPr>
          <w:noProof/>
        </w:rPr>
        <w:lastRenderedPageBreak/>
        <w:drawing>
          <wp:inline distT="0" distB="0" distL="0" distR="0" wp14:anchorId="7048E1A0" wp14:editId="0A663E93">
            <wp:extent cx="5304155" cy="3333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8950" b="8610"/>
                    <a:stretch/>
                  </pic:blipFill>
                  <pic:spPr bwMode="auto">
                    <a:xfrm>
                      <a:off x="0" y="0"/>
                      <a:ext cx="5333397" cy="3352129"/>
                    </a:xfrm>
                    <a:prstGeom prst="rect">
                      <a:avLst/>
                    </a:prstGeom>
                    <a:ln>
                      <a:noFill/>
                    </a:ln>
                    <a:extLst>
                      <a:ext uri="{53640926-AAD7-44D8-BBD7-CCE9431645EC}">
                        <a14:shadowObscured xmlns:a14="http://schemas.microsoft.com/office/drawing/2010/main"/>
                      </a:ext>
                    </a:extLst>
                  </pic:spPr>
                </pic:pic>
              </a:graphicData>
            </a:graphic>
          </wp:inline>
        </w:drawing>
      </w:r>
    </w:p>
    <w:p w14:paraId="03F2377B" w14:textId="25F88038" w:rsidR="00DB1E66" w:rsidRDefault="00C81B5F" w:rsidP="00C81B5F">
      <w:pPr>
        <w:pStyle w:val="Source"/>
        <w:spacing w:before="60"/>
        <w:rPr>
          <w:b/>
          <w:bCs/>
        </w:rPr>
      </w:pPr>
      <w:r w:rsidRPr="00C81B5F">
        <w:rPr>
          <w:b/>
          <w:bCs/>
        </w:rPr>
        <w:t>Discussions on risk exposure and vulnerability.</w:t>
      </w:r>
    </w:p>
    <w:p w14:paraId="14D42766" w14:textId="307298DA" w:rsidR="00696D7D" w:rsidRPr="00A20A63" w:rsidRDefault="00696D7D" w:rsidP="00696D7D">
      <w:pPr>
        <w:pStyle w:val="BodyText"/>
      </w:pPr>
      <w:r w:rsidRPr="00A20A63">
        <w:t>Preparatory material was circulated to participants at least one week before the workshops. It</w:t>
      </w:r>
      <w:r w:rsidR="002E532F">
        <w:t> </w:t>
      </w:r>
      <w:r w:rsidRPr="00A20A63">
        <w:t>included:</w:t>
      </w:r>
    </w:p>
    <w:p w14:paraId="29F83099" w14:textId="22CF8B53" w:rsidR="00696D7D" w:rsidRPr="00A20A63" w:rsidRDefault="004B122C" w:rsidP="00696D7D">
      <w:pPr>
        <w:pStyle w:val="Bullet"/>
      </w:pPr>
      <w:r>
        <w:t>b</w:t>
      </w:r>
      <w:r w:rsidR="00696D7D" w:rsidRPr="00A20A63">
        <w:t>ackground on the NCCRA:</w:t>
      </w:r>
    </w:p>
    <w:p w14:paraId="316D2E6E" w14:textId="77777777" w:rsidR="00696D7D" w:rsidRPr="00A20A63" w:rsidRDefault="00696D7D" w:rsidP="00696D7D">
      <w:pPr>
        <w:pStyle w:val="Sub-list"/>
      </w:pPr>
      <w:r w:rsidRPr="00A20A63">
        <w:t>a link to the project page on the Ministry website</w:t>
      </w:r>
    </w:p>
    <w:p w14:paraId="449B0B6D" w14:textId="77777777" w:rsidR="00696D7D" w:rsidRPr="00A20A63" w:rsidRDefault="00696D7D" w:rsidP="00696D7D">
      <w:pPr>
        <w:pStyle w:val="Sub-list"/>
      </w:pPr>
      <w:r w:rsidRPr="00A20A63">
        <w:t>a list of key terms</w:t>
      </w:r>
    </w:p>
    <w:p w14:paraId="0B1229CB" w14:textId="2D20DF9E" w:rsidR="00696D7D" w:rsidRPr="00A20A63" w:rsidRDefault="00696D7D" w:rsidP="00696D7D">
      <w:pPr>
        <w:pStyle w:val="Sub-list"/>
      </w:pPr>
      <w:r w:rsidRPr="00A20A63">
        <w:t>a link to the NCCRA framework, which guided the risk assessment</w:t>
      </w:r>
    </w:p>
    <w:p w14:paraId="52DA1860" w14:textId="775C9C3D" w:rsidR="00696D7D" w:rsidRPr="00696D7D" w:rsidRDefault="004B122C" w:rsidP="00696D7D">
      <w:pPr>
        <w:pStyle w:val="Bullet"/>
      </w:pPr>
      <w:r>
        <w:t>t</w:t>
      </w:r>
      <w:r w:rsidR="00696D7D" w:rsidRPr="00A20A63">
        <w:t xml:space="preserve">he list of </w:t>
      </w:r>
      <w:r w:rsidR="00696D7D" w:rsidRPr="00696D7D">
        <w:t>draft priority risks for the relevant domain</w:t>
      </w:r>
    </w:p>
    <w:p w14:paraId="13E60D98" w14:textId="6F5E264F" w:rsidR="00696D7D" w:rsidRPr="00A20A63" w:rsidRDefault="004B122C" w:rsidP="00696D7D">
      <w:pPr>
        <w:pStyle w:val="Bullet"/>
        <w:rPr>
          <w:rFonts w:cstheme="minorHAnsi"/>
        </w:rPr>
      </w:pPr>
      <w:r>
        <w:t>q</w:t>
      </w:r>
      <w:r w:rsidR="00696D7D" w:rsidRPr="00696D7D">
        <w:t>uestions seeking</w:t>
      </w:r>
      <w:r w:rsidR="00696D7D" w:rsidRPr="00A20A63">
        <w:t xml:space="preserve"> advice on adaptation measures planned or under way for the priority risks, and the urgency of addressing these risks. A link to the online survey, which addressed</w:t>
      </w:r>
      <w:r w:rsidR="00696D7D" w:rsidRPr="00A20A63">
        <w:rPr>
          <w:rFonts w:cstheme="minorHAnsi"/>
        </w:rPr>
        <w:t xml:space="preserve"> the same questions, was included as an option.</w:t>
      </w:r>
    </w:p>
    <w:p w14:paraId="7BA43736" w14:textId="37AB65CC" w:rsidR="00696D7D" w:rsidRPr="00A20A63" w:rsidRDefault="00696D7D" w:rsidP="00696D7D">
      <w:pPr>
        <w:pStyle w:val="BodyText"/>
        <w:rPr>
          <w:rFonts w:cstheme="minorHAnsi"/>
        </w:rPr>
      </w:pPr>
      <w:r w:rsidRPr="00A20A63">
        <w:t>Each half-day workshop consisted of introductory presentations (</w:t>
      </w:r>
      <w:r w:rsidR="00394067">
        <w:t>‘</w:t>
      </w:r>
      <w:r w:rsidRPr="00A20A63">
        <w:t>information-sharing with participants</w:t>
      </w:r>
      <w:r w:rsidR="00394067">
        <w:t>’</w:t>
      </w:r>
      <w:r w:rsidRPr="00A20A63">
        <w:t xml:space="preserve">) followed by focused </w:t>
      </w:r>
      <w:r w:rsidRPr="00A20A63">
        <w:rPr>
          <w:rFonts w:cstheme="minorHAnsi"/>
        </w:rPr>
        <w:t>activities (</w:t>
      </w:r>
      <w:r w:rsidR="00394067">
        <w:rPr>
          <w:rFonts w:cstheme="minorHAnsi"/>
        </w:rPr>
        <w:t>‘</w:t>
      </w:r>
      <w:r w:rsidRPr="00A20A63">
        <w:rPr>
          <w:rFonts w:cstheme="minorHAnsi"/>
        </w:rPr>
        <w:t>information-gathering from participants</w:t>
      </w:r>
      <w:r w:rsidR="00394067">
        <w:rPr>
          <w:rFonts w:cstheme="minorHAnsi"/>
        </w:rPr>
        <w:t>’</w:t>
      </w:r>
      <w:r w:rsidRPr="00A20A63">
        <w:rPr>
          <w:rFonts w:cstheme="minorHAnsi"/>
        </w:rPr>
        <w:t xml:space="preserve">). </w:t>
      </w:r>
    </w:p>
    <w:p w14:paraId="6EA6FE91" w14:textId="77777777" w:rsidR="00696D7D" w:rsidRPr="00A20A63" w:rsidRDefault="00696D7D" w:rsidP="00696D7D">
      <w:pPr>
        <w:pStyle w:val="BodyText"/>
        <w:rPr>
          <w:rFonts w:cstheme="minorHAnsi"/>
        </w:rPr>
      </w:pPr>
      <w:r w:rsidRPr="00A20A63">
        <w:rPr>
          <w:rFonts w:cstheme="minorHAnsi"/>
        </w:rPr>
        <w:t>Tables were directed to focus on one to three priority risks, allowing participants to focus on risks in their area of expertise. Exercises were overseen by project team members. Domain leads each attended the workshop for their domain, to provide technical oversight as needed.</w:t>
      </w:r>
    </w:p>
    <w:p w14:paraId="473D1540" w14:textId="5B56D1F2" w:rsidR="00696D7D" w:rsidRPr="00A20A63" w:rsidRDefault="00696D7D" w:rsidP="00696D7D">
      <w:pPr>
        <w:pStyle w:val="BodyText"/>
      </w:pPr>
      <w:r w:rsidRPr="00A20A63">
        <w:t xml:space="preserve">At the Auckland </w:t>
      </w:r>
      <w:r w:rsidR="004B122C">
        <w:t>d</w:t>
      </w:r>
      <w:r w:rsidRPr="00A20A63">
        <w:t>omain workshops, Sir John Clarke (Project Kaum</w:t>
      </w:r>
      <w:r w:rsidRPr="00A20A63">
        <w:rPr>
          <w:rFonts w:cs="Arial"/>
        </w:rPr>
        <w:t>ā</w:t>
      </w:r>
      <w:r w:rsidRPr="00A20A63">
        <w:t>tua)</w:t>
      </w:r>
      <w:r w:rsidR="004B122C">
        <w:t xml:space="preserve"> and</w:t>
      </w:r>
      <w:r w:rsidRPr="00A20A63">
        <w:t xml:space="preserve"> Teina Boasa-Dean (in her capacity as advisor to the Ministry) held a side </w:t>
      </w:r>
      <w:r w:rsidRPr="00A20A63">
        <w:rPr>
          <w:rFonts w:cstheme="minorHAnsi"/>
        </w:rPr>
        <w:t>meeting</w:t>
      </w:r>
      <w:r w:rsidRPr="00A20A63">
        <w:t xml:space="preserve"> with Deborah Te Riaki (Ng</w:t>
      </w:r>
      <w:r w:rsidRPr="00A20A63">
        <w:rPr>
          <w:rFonts w:cs="Arial"/>
        </w:rPr>
        <w:t>ā</w:t>
      </w:r>
      <w:r w:rsidRPr="00A20A63">
        <w:t>ti Rangi) to discuss how to bring a M</w:t>
      </w:r>
      <w:r w:rsidRPr="00A20A63">
        <w:rPr>
          <w:rFonts w:cs="Arial"/>
        </w:rPr>
        <w:t>ā</w:t>
      </w:r>
      <w:r w:rsidRPr="00A20A63">
        <w:t>ori perspective to the NCCRA.</w:t>
      </w:r>
    </w:p>
    <w:p w14:paraId="7BC6D341" w14:textId="740094BA" w:rsidR="00696D7D" w:rsidRPr="00A20A63" w:rsidRDefault="00696D7D" w:rsidP="00696D7D">
      <w:pPr>
        <w:pStyle w:val="BodyText"/>
        <w:rPr>
          <w:rFonts w:cstheme="minorHAnsi"/>
        </w:rPr>
      </w:pPr>
      <w:r w:rsidRPr="00A20A63">
        <w:rPr>
          <w:rFonts w:cstheme="minorHAnsi"/>
        </w:rPr>
        <w:t>A follow-up email was sent to thank attendees for their time, attaching the attendee list, the slide deck of presentations used on the day, a link to an evaluation form (</w:t>
      </w:r>
      <w:r w:rsidRPr="00A20A63">
        <w:t xml:space="preserve">Microsoft online forms) </w:t>
      </w:r>
      <w:r w:rsidRPr="00A20A63">
        <w:rPr>
          <w:rFonts w:cstheme="minorHAnsi"/>
        </w:rPr>
        <w:t xml:space="preserve">and the online survey as an option for further input (see section </w:t>
      </w:r>
      <w:r w:rsidRPr="00B6649D">
        <w:rPr>
          <w:rFonts w:cstheme="minorHAnsi"/>
          <w:color w:val="32809C"/>
        </w:rPr>
        <w:fldChar w:fldCharType="begin"/>
      </w:r>
      <w:r w:rsidRPr="00B6649D">
        <w:rPr>
          <w:rFonts w:cstheme="minorHAnsi"/>
          <w:color w:val="32809C"/>
        </w:rPr>
        <w:instrText xml:space="preserve"> REF _Ref35229516 \r \h  \* MERGEFORMAT </w:instrText>
      </w:r>
      <w:r w:rsidRPr="00B6649D">
        <w:rPr>
          <w:rFonts w:cstheme="minorHAnsi"/>
          <w:color w:val="32809C"/>
        </w:rPr>
      </w:r>
      <w:r w:rsidRPr="00B6649D">
        <w:rPr>
          <w:rFonts w:cstheme="minorHAnsi"/>
          <w:color w:val="32809C"/>
        </w:rPr>
        <w:fldChar w:fldCharType="separate"/>
      </w:r>
      <w:r w:rsidR="001B2025">
        <w:rPr>
          <w:rFonts w:cstheme="minorHAnsi"/>
          <w:color w:val="32809C"/>
        </w:rPr>
        <w:t>3.3.3</w:t>
      </w:r>
      <w:r w:rsidRPr="00B6649D">
        <w:rPr>
          <w:rFonts w:cstheme="minorHAnsi"/>
          <w:color w:val="32809C"/>
        </w:rPr>
        <w:fldChar w:fldCharType="end"/>
      </w:r>
      <w:r w:rsidRPr="00A20A63">
        <w:rPr>
          <w:rFonts w:cstheme="minorHAnsi"/>
        </w:rPr>
        <w:t>).</w:t>
      </w:r>
    </w:p>
    <w:p w14:paraId="15A35B4D" w14:textId="60F73ED3" w:rsidR="00696D7D" w:rsidRPr="00696D7D" w:rsidRDefault="00696D7D" w:rsidP="00957BB4">
      <w:pPr>
        <w:pStyle w:val="Heading3"/>
        <w:numPr>
          <w:ilvl w:val="0"/>
          <w:numId w:val="43"/>
        </w:numPr>
        <w:spacing w:before="280"/>
      </w:pPr>
      <w:bookmarkStart w:id="237" w:name="_Local_hui"/>
      <w:bookmarkStart w:id="238" w:name="_Ref35169123"/>
      <w:bookmarkStart w:id="239" w:name="_Ref35169897"/>
      <w:bookmarkStart w:id="240" w:name="_Toc35492273"/>
      <w:bookmarkStart w:id="241" w:name="_Toc37088737"/>
      <w:bookmarkStart w:id="242" w:name="_Toc37419387"/>
      <w:bookmarkStart w:id="243" w:name="_Toc40686557"/>
      <w:bookmarkStart w:id="244" w:name="_TOC_250002"/>
      <w:bookmarkEnd w:id="237"/>
      <w:r w:rsidRPr="00696D7D">
        <w:lastRenderedPageBreak/>
        <w:t>Local hui</w:t>
      </w:r>
      <w:bookmarkEnd w:id="238"/>
      <w:bookmarkEnd w:id="239"/>
      <w:bookmarkEnd w:id="240"/>
      <w:bookmarkEnd w:id="241"/>
      <w:bookmarkEnd w:id="242"/>
      <w:bookmarkEnd w:id="243"/>
    </w:p>
    <w:p w14:paraId="36F26806" w14:textId="77777777" w:rsidR="00696D7D" w:rsidRPr="00A20A63" w:rsidRDefault="00696D7D" w:rsidP="00696D7D">
      <w:pPr>
        <w:pStyle w:val="BodyText"/>
      </w:pPr>
      <w:r w:rsidRPr="00A20A63">
        <w:t>Following the invitation to the stage 1 M</w:t>
      </w:r>
      <w:r w:rsidRPr="00A20A63">
        <w:rPr>
          <w:rFonts w:cs="Arial"/>
        </w:rPr>
        <w:t>ā</w:t>
      </w:r>
      <w:r w:rsidRPr="00A20A63">
        <w:t xml:space="preserve">ori engagement hui, some iwi invited the Ministry and the project team to travel to their region to hui with them about the project. </w:t>
      </w:r>
    </w:p>
    <w:p w14:paraId="0C8D79DC" w14:textId="77777777" w:rsidR="00696D7D" w:rsidRPr="00696D7D" w:rsidRDefault="00696D7D" w:rsidP="00696D7D">
      <w:pPr>
        <w:pStyle w:val="Bullet"/>
      </w:pPr>
      <w:r w:rsidRPr="00A20A63">
        <w:t xml:space="preserve">The </w:t>
      </w:r>
      <w:r w:rsidRPr="00696D7D">
        <w:t xml:space="preserve">Ministry and the project team were invited to Te Tau Ihu Taiao Practitioners’ Forum, hosted by Te Ātiawa (Tau Ihu o te Waka a Maui) in Picton on 13 February 2020. </w:t>
      </w:r>
    </w:p>
    <w:p w14:paraId="2A88B1EF" w14:textId="77777777" w:rsidR="00696D7D" w:rsidRPr="00696D7D" w:rsidRDefault="00696D7D" w:rsidP="00696D7D">
      <w:pPr>
        <w:pStyle w:val="Bullet"/>
      </w:pPr>
      <w:r w:rsidRPr="00696D7D">
        <w:t xml:space="preserve">Te Arawa held a hui with the Ministry at Te Arawa Lakes Trust in Rotorua on 20 February 2020, which was also attended by the project team. </w:t>
      </w:r>
    </w:p>
    <w:p w14:paraId="591EDC77" w14:textId="48EFD005" w:rsidR="00696D7D" w:rsidRPr="00A20A63" w:rsidRDefault="00696D7D" w:rsidP="00696D7D">
      <w:pPr>
        <w:pStyle w:val="Bullet"/>
      </w:pPr>
      <w:r w:rsidRPr="00696D7D">
        <w:t>The Ministry</w:t>
      </w:r>
      <w:r w:rsidRPr="00A20A63">
        <w:t xml:space="preserve"> and the project team were invited to present </w:t>
      </w:r>
      <w:r w:rsidR="004C39E3" w:rsidRPr="00A20A63">
        <w:t xml:space="preserve">the project </w:t>
      </w:r>
      <w:r w:rsidRPr="00A20A63">
        <w:t>and discuss</w:t>
      </w:r>
      <w:r w:rsidR="004C39E3">
        <w:t xml:space="preserve"> it</w:t>
      </w:r>
      <w:r w:rsidRPr="00A20A63">
        <w:t xml:space="preserve"> with Waikato-Tainui, at Tainui Group Holdings in Hamilton on 25 February 2020.</w:t>
      </w:r>
    </w:p>
    <w:p w14:paraId="0FFC9561" w14:textId="0E33AE40" w:rsidR="00696D7D" w:rsidRPr="00A20A63" w:rsidRDefault="00696D7D" w:rsidP="00696D7D">
      <w:pPr>
        <w:pStyle w:val="BodyText"/>
      </w:pPr>
      <w:r w:rsidRPr="00A20A63">
        <w:t xml:space="preserve">The Ministry also held a series of regional hui throughout February. While the focus was on the </w:t>
      </w:r>
      <w:r>
        <w:t>r</w:t>
      </w:r>
      <w:r w:rsidRPr="00A20A63">
        <w:t xml:space="preserve">esource </w:t>
      </w:r>
      <w:r>
        <w:t>m</w:t>
      </w:r>
      <w:r w:rsidRPr="00A20A63">
        <w:t xml:space="preserve">anagement </w:t>
      </w:r>
      <w:r>
        <w:t>r</w:t>
      </w:r>
      <w:r w:rsidRPr="00A20A63">
        <w:t xml:space="preserve">eforms, climate change adaptation was also discussed. There was an update and overview on the NCCRA, </w:t>
      </w:r>
      <w:r w:rsidR="001A508B">
        <w:t>as well as</w:t>
      </w:r>
      <w:r w:rsidR="001A508B" w:rsidRPr="00A20A63">
        <w:t xml:space="preserve"> </w:t>
      </w:r>
      <w:r w:rsidRPr="00A20A63">
        <w:t>discussion prompted by the following questions</w:t>
      </w:r>
      <w:r w:rsidR="001A508B">
        <w:t>.</w:t>
      </w:r>
    </w:p>
    <w:p w14:paraId="67FB5D0A" w14:textId="77777777" w:rsidR="00696D7D" w:rsidRPr="00696D7D" w:rsidRDefault="00696D7D" w:rsidP="00696D7D">
      <w:pPr>
        <w:pStyle w:val="Bullet"/>
      </w:pPr>
      <w:r w:rsidRPr="00A20A63">
        <w:t xml:space="preserve">What </w:t>
      </w:r>
      <w:r w:rsidRPr="00696D7D">
        <w:t>changes in your local climate have you seen?</w:t>
      </w:r>
    </w:p>
    <w:p w14:paraId="312D2851" w14:textId="77777777" w:rsidR="00696D7D" w:rsidRPr="00696D7D" w:rsidRDefault="00696D7D" w:rsidP="00696D7D">
      <w:pPr>
        <w:pStyle w:val="Bullet"/>
      </w:pPr>
      <w:r w:rsidRPr="00696D7D">
        <w:t>What impacts has this had in your rohe?</w:t>
      </w:r>
    </w:p>
    <w:p w14:paraId="2C70838B" w14:textId="77777777" w:rsidR="00696D7D" w:rsidRPr="00696D7D" w:rsidRDefault="00696D7D" w:rsidP="00696D7D">
      <w:pPr>
        <w:pStyle w:val="Bullet"/>
      </w:pPr>
      <w:r w:rsidRPr="00696D7D">
        <w:t>What climate change impacts are you, your hapū or your iwi concerned about?</w:t>
      </w:r>
    </w:p>
    <w:p w14:paraId="73733659" w14:textId="77777777" w:rsidR="00696D7D" w:rsidRPr="00696D7D" w:rsidRDefault="00696D7D" w:rsidP="00696D7D">
      <w:pPr>
        <w:pStyle w:val="Bullet"/>
      </w:pPr>
      <w:r w:rsidRPr="00696D7D">
        <w:t>What actions are you taking to respond to these impacts?</w:t>
      </w:r>
    </w:p>
    <w:p w14:paraId="25F8DFC8" w14:textId="3DB88FF2" w:rsidR="00696D7D" w:rsidRPr="00A20A63" w:rsidRDefault="00696D7D" w:rsidP="00696D7D">
      <w:pPr>
        <w:pStyle w:val="Bullet"/>
      </w:pPr>
      <w:r w:rsidRPr="00696D7D">
        <w:t>What is the first</w:t>
      </w:r>
      <w:r w:rsidRPr="00A20A63">
        <w:t xml:space="preserve"> thing we should do to start the conversation with you on the </w:t>
      </w:r>
      <w:r w:rsidR="0008531F">
        <w:t>n</w:t>
      </w:r>
      <w:r w:rsidR="0008531F" w:rsidRPr="00A20A63">
        <w:t xml:space="preserve">ational </w:t>
      </w:r>
      <w:r w:rsidR="0008531F">
        <w:t>a</w:t>
      </w:r>
      <w:r w:rsidR="0008531F" w:rsidRPr="00A20A63">
        <w:t>daptatio</w:t>
      </w:r>
      <w:r w:rsidR="0008531F" w:rsidRPr="00A20A63">
        <w:rPr>
          <w:rFonts w:eastAsia="AECOM Sans"/>
        </w:rPr>
        <w:t xml:space="preserve">n </w:t>
      </w:r>
      <w:r w:rsidR="0008531F">
        <w:rPr>
          <w:rFonts w:eastAsia="AECOM Sans"/>
        </w:rPr>
        <w:t>p</w:t>
      </w:r>
      <w:r w:rsidR="0008531F" w:rsidRPr="00A20A63">
        <w:rPr>
          <w:rFonts w:eastAsia="AECOM Sans"/>
        </w:rPr>
        <w:t>lan</w:t>
      </w:r>
      <w:r w:rsidRPr="00A20A63">
        <w:rPr>
          <w:rFonts w:eastAsia="AECOM Sans"/>
        </w:rPr>
        <w:t>?</w:t>
      </w:r>
    </w:p>
    <w:p w14:paraId="57ADC16A" w14:textId="0BFEA6C4" w:rsidR="00696D7D" w:rsidRPr="00A20A63" w:rsidRDefault="00696D7D" w:rsidP="00696D7D">
      <w:pPr>
        <w:pStyle w:val="BodyText"/>
      </w:pPr>
      <w:r w:rsidRPr="00A20A63">
        <w:t>The Ministry continues to liaise with Ng</w:t>
      </w:r>
      <w:r w:rsidRPr="00A20A63">
        <w:rPr>
          <w:rFonts w:cs="Arial"/>
        </w:rPr>
        <w:t>ā</w:t>
      </w:r>
      <w:r w:rsidRPr="00A20A63">
        <w:t>ti P</w:t>
      </w:r>
      <w:r w:rsidR="00E95EF4">
        <w:rPr>
          <w:rFonts w:cs="Arial"/>
        </w:rPr>
        <w:t>a</w:t>
      </w:r>
      <w:r w:rsidRPr="00A20A63">
        <w:t xml:space="preserve">oa and Ngāi Tahu on the Climate Change Programme as a result of conversations arising from the stage 1 hui. </w:t>
      </w:r>
    </w:p>
    <w:p w14:paraId="3FE1DD78" w14:textId="7D1ADE1A" w:rsidR="00696D7D" w:rsidRPr="00696D7D" w:rsidRDefault="00696D7D" w:rsidP="00957BB4">
      <w:pPr>
        <w:pStyle w:val="Heading3"/>
        <w:numPr>
          <w:ilvl w:val="0"/>
          <w:numId w:val="43"/>
        </w:numPr>
        <w:spacing w:before="280"/>
      </w:pPr>
      <w:bookmarkStart w:id="245" w:name="_Ref35229516"/>
      <w:bookmarkStart w:id="246" w:name="_Toc35492274"/>
      <w:bookmarkStart w:id="247" w:name="_Toc37088738"/>
      <w:bookmarkStart w:id="248" w:name="_Toc37419388"/>
      <w:bookmarkStart w:id="249" w:name="_Toc40686558"/>
      <w:r w:rsidRPr="00696D7D">
        <w:t xml:space="preserve">Online </w:t>
      </w:r>
      <w:bookmarkEnd w:id="244"/>
      <w:r w:rsidRPr="00696D7D">
        <w:t>survey</w:t>
      </w:r>
      <w:bookmarkEnd w:id="245"/>
      <w:bookmarkEnd w:id="246"/>
      <w:bookmarkEnd w:id="247"/>
      <w:bookmarkEnd w:id="248"/>
      <w:bookmarkEnd w:id="249"/>
      <w:r w:rsidRPr="00696D7D">
        <w:t xml:space="preserve"> </w:t>
      </w:r>
    </w:p>
    <w:p w14:paraId="56FA15E4" w14:textId="7532EBD4" w:rsidR="00696D7D" w:rsidRPr="00A20A63" w:rsidRDefault="00696D7D" w:rsidP="00696D7D">
      <w:pPr>
        <w:pStyle w:val="BodyText"/>
      </w:pPr>
      <w:r w:rsidRPr="00A20A63">
        <w:t>An online survey was used to consult with target stakeholders who were not able to attend the workshops, focusing on adaptation measures. This asked participants to review the prioritised risks and advise</w:t>
      </w:r>
      <w:r w:rsidR="001A508B">
        <w:t xml:space="preserve"> on the following questions</w:t>
      </w:r>
      <w:r w:rsidRPr="00A20A63">
        <w:t>, in relation to each risk</w:t>
      </w:r>
      <w:r w:rsidR="001A508B">
        <w:t>.</w:t>
      </w:r>
    </w:p>
    <w:p w14:paraId="5326A8BD" w14:textId="77777777" w:rsidR="00696D7D" w:rsidRPr="00A20A63" w:rsidRDefault="00696D7D" w:rsidP="00696D7D">
      <w:pPr>
        <w:pStyle w:val="Bullet"/>
      </w:pPr>
      <w:r w:rsidRPr="00A20A63">
        <w:t>To your knowledge, which organisation(s)/group(s) is/are formally responsible for responding to or managing the risk identified?</w:t>
      </w:r>
    </w:p>
    <w:p w14:paraId="0D243D7E" w14:textId="77777777" w:rsidR="00696D7D" w:rsidRPr="00A20A63" w:rsidRDefault="00696D7D" w:rsidP="00696D7D">
      <w:pPr>
        <w:pStyle w:val="Bullet"/>
      </w:pPr>
      <w:r w:rsidRPr="00A20A63">
        <w:t>Are you aware of any organisational, management or policy responses to address these risks (either planned or under way)?</w:t>
      </w:r>
    </w:p>
    <w:p w14:paraId="4257D4A7" w14:textId="77777777" w:rsidR="00696D7D" w:rsidRPr="00A20A63" w:rsidRDefault="00696D7D" w:rsidP="00696D7D">
      <w:pPr>
        <w:pStyle w:val="Bullet"/>
      </w:pPr>
      <w:r w:rsidRPr="00A20A63">
        <w:t>Who is leading this response?</w:t>
      </w:r>
    </w:p>
    <w:p w14:paraId="3E85E841" w14:textId="6CEB01A3" w:rsidR="00696D7D" w:rsidRPr="00A20A63" w:rsidRDefault="00696D7D" w:rsidP="00696D7D">
      <w:pPr>
        <w:pStyle w:val="BodyText"/>
        <w:spacing w:before="180"/>
      </w:pPr>
      <w:r w:rsidRPr="00A20A63">
        <w:t>Final questions, relating to all risks, included</w:t>
      </w:r>
      <w:r w:rsidR="001A508B">
        <w:t xml:space="preserve"> the following.</w:t>
      </w:r>
    </w:p>
    <w:p w14:paraId="322BDA6F" w14:textId="6BAD1DB6" w:rsidR="00696D7D" w:rsidRPr="00A20A63" w:rsidRDefault="00696D7D" w:rsidP="00696D7D">
      <w:pPr>
        <w:pStyle w:val="Bullet"/>
      </w:pPr>
      <w:r w:rsidRPr="00A20A63">
        <w:t>In some cases, risks would benefit from short-term action (in the next six years) to avoid irreversible consequences and to increase the range of options for responding to them. To</w:t>
      </w:r>
      <w:r>
        <w:t> </w:t>
      </w:r>
      <w:r w:rsidRPr="00A20A63">
        <w:t xml:space="preserve">your knowledge, do any of these prioritised risks fall into this category? </w:t>
      </w:r>
    </w:p>
    <w:p w14:paraId="57679F7A" w14:textId="3984CEF3" w:rsidR="00696D7D" w:rsidRPr="00A20A63" w:rsidRDefault="00696D7D" w:rsidP="00696D7D">
      <w:pPr>
        <w:pStyle w:val="Bullet"/>
      </w:pPr>
      <w:r w:rsidRPr="00A20A63">
        <w:t>In relation to the risks identified, where are decisions required early to avoid irreversible consequences or being ‘locked</w:t>
      </w:r>
      <w:r w:rsidR="00D71302">
        <w:t xml:space="preserve"> </w:t>
      </w:r>
      <w:r w:rsidRPr="00A20A63">
        <w:t>in’ or committed to a certain way forward that is not flexible?</w:t>
      </w:r>
    </w:p>
    <w:p w14:paraId="3D5DEC47" w14:textId="4858D603" w:rsidR="00696D7D" w:rsidRPr="00A20A63" w:rsidRDefault="00696D7D" w:rsidP="00696D7D">
      <w:pPr>
        <w:pStyle w:val="Bullet"/>
      </w:pPr>
      <w:r w:rsidRPr="00A20A63">
        <w:t>To your knowledge, are there any significant research and monitoring gaps related to the</w:t>
      </w:r>
      <w:r w:rsidR="002E532F">
        <w:t> </w:t>
      </w:r>
      <w:r w:rsidRPr="00A20A63">
        <w:t>risks identified?</w:t>
      </w:r>
    </w:p>
    <w:p w14:paraId="573E3B48" w14:textId="697F52AB" w:rsidR="00696D7D" w:rsidRPr="00A20A63" w:rsidRDefault="00696D7D" w:rsidP="00696D7D">
      <w:pPr>
        <w:pStyle w:val="Bullet"/>
      </w:pPr>
      <w:r w:rsidRPr="00A20A63">
        <w:t>Are there any reports/papers/other literature you would strongly recommend we read</w:t>
      </w:r>
      <w:r w:rsidR="003850CD">
        <w:t> </w:t>
      </w:r>
      <w:r w:rsidRPr="00A20A63">
        <w:t>as</w:t>
      </w:r>
      <w:r w:rsidR="002E532F">
        <w:t> </w:t>
      </w:r>
      <w:r w:rsidRPr="00A20A63">
        <w:t>part of the detailed risk assessment, in relation to the priority risks?</w:t>
      </w:r>
    </w:p>
    <w:p w14:paraId="09750AAF" w14:textId="2C9D6037" w:rsidR="00696D7D" w:rsidRPr="00A20A63" w:rsidRDefault="00696D7D" w:rsidP="00696D7D">
      <w:pPr>
        <w:pStyle w:val="BodyText"/>
      </w:pPr>
      <w:r w:rsidRPr="00A20A63">
        <w:lastRenderedPageBreak/>
        <w:t>The link to the survey was included in the workshop briefing and follow-up, as an optional</w:t>
      </w:r>
      <w:r w:rsidR="003850CD">
        <w:t> </w:t>
      </w:r>
      <w:r w:rsidRPr="00A20A63">
        <w:t>exercise.</w:t>
      </w:r>
    </w:p>
    <w:p w14:paraId="6A2780A9" w14:textId="69DDBEFC" w:rsidR="00696D7D" w:rsidRPr="00696D7D" w:rsidRDefault="00696D7D" w:rsidP="00957BB4">
      <w:pPr>
        <w:pStyle w:val="Heading3"/>
        <w:numPr>
          <w:ilvl w:val="0"/>
          <w:numId w:val="43"/>
        </w:numPr>
        <w:spacing w:before="280"/>
      </w:pPr>
      <w:bookmarkStart w:id="250" w:name="_Focused_meetings"/>
      <w:bookmarkStart w:id="251" w:name="_Ref35169913"/>
      <w:bookmarkStart w:id="252" w:name="_Toc35492275"/>
      <w:bookmarkStart w:id="253" w:name="_TOC_250003"/>
      <w:bookmarkStart w:id="254" w:name="_Toc37088739"/>
      <w:bookmarkStart w:id="255" w:name="_Toc37419389"/>
      <w:bookmarkStart w:id="256" w:name="_Toc40686559"/>
      <w:bookmarkEnd w:id="250"/>
      <w:r w:rsidRPr="00696D7D">
        <w:t xml:space="preserve">Focused </w:t>
      </w:r>
      <w:bookmarkEnd w:id="251"/>
      <w:bookmarkEnd w:id="252"/>
      <w:bookmarkEnd w:id="253"/>
      <w:r w:rsidRPr="00696D7D">
        <w:t>meetings</w:t>
      </w:r>
      <w:bookmarkEnd w:id="254"/>
      <w:bookmarkEnd w:id="255"/>
      <w:bookmarkEnd w:id="256"/>
    </w:p>
    <w:p w14:paraId="087FD03B" w14:textId="77777777" w:rsidR="00696D7D" w:rsidRPr="00A20A63" w:rsidRDefault="00696D7D" w:rsidP="00696D7D">
      <w:pPr>
        <w:pStyle w:val="BodyText"/>
      </w:pPr>
      <w:r w:rsidRPr="00A20A63">
        <w:t xml:space="preserve">The engagement plan allowed for meetings with key sector and interest groups, to involve target stakeholders who were unable to participate in the national workshop, or to provide an opportunity for a more targeted discussion. The stakeholder directory was regularly reviewed throughout the engagement period, to confirm that target stakeholders were reached. </w:t>
      </w:r>
    </w:p>
    <w:p w14:paraId="5B3007EC" w14:textId="77777777" w:rsidR="00696D7D" w:rsidRPr="00A20A63" w:rsidRDefault="00696D7D" w:rsidP="00696D7D">
      <w:pPr>
        <w:pStyle w:val="BodyText"/>
      </w:pPr>
      <w:r w:rsidRPr="00A20A63">
        <w:t>The project team undertook specific outreach to target stakeholders and ‘risk owners’ who did not attend the workshops, including:</w:t>
      </w:r>
    </w:p>
    <w:p w14:paraId="6C2CC200" w14:textId="07CE607F" w:rsidR="00696D7D" w:rsidRPr="00696D7D" w:rsidRDefault="00696D7D" w:rsidP="00696D7D">
      <w:pPr>
        <w:pStyle w:val="Bullet"/>
      </w:pPr>
      <w:r>
        <w:t>a</w:t>
      </w:r>
      <w:r w:rsidRPr="00A20A63">
        <w:t xml:space="preserve">irports (Auckland Airport, Christchurch Airport, Queenstown </w:t>
      </w:r>
      <w:r w:rsidRPr="00696D7D">
        <w:t>Airport, New Zealand Airports Association)</w:t>
      </w:r>
    </w:p>
    <w:p w14:paraId="0C1B72DD" w14:textId="05ABDA6F" w:rsidR="00696D7D" w:rsidRPr="00696D7D" w:rsidRDefault="003F4E55" w:rsidP="00696D7D">
      <w:pPr>
        <w:pStyle w:val="Bullet"/>
      </w:pPr>
      <w:r>
        <w:t xml:space="preserve">the </w:t>
      </w:r>
      <w:r w:rsidR="00696D7D" w:rsidRPr="00696D7D">
        <w:t>health sector (particularly Auckland District Health Board)</w:t>
      </w:r>
    </w:p>
    <w:p w14:paraId="14123B50" w14:textId="77777777" w:rsidR="00696D7D" w:rsidRPr="00696D7D" w:rsidRDefault="00696D7D" w:rsidP="00696D7D">
      <w:pPr>
        <w:pStyle w:val="Bullet"/>
      </w:pPr>
      <w:r w:rsidRPr="00696D7D">
        <w:t>experts identified by the domain leads and other stakeholders as holding knowledge about specific priority risks</w:t>
      </w:r>
    </w:p>
    <w:p w14:paraId="1A7A3A4A" w14:textId="77777777" w:rsidR="00696D7D" w:rsidRPr="00696D7D" w:rsidRDefault="00696D7D" w:rsidP="00696D7D">
      <w:pPr>
        <w:pStyle w:val="Bullet"/>
      </w:pPr>
      <w:r w:rsidRPr="00696D7D">
        <w:t>Generation Zero and School Strike 4 Climate (youth-led climate organisations)</w:t>
      </w:r>
    </w:p>
    <w:p w14:paraId="5E1AF4A2" w14:textId="77777777" w:rsidR="00696D7D" w:rsidRPr="00696D7D" w:rsidRDefault="00696D7D" w:rsidP="00696D7D">
      <w:pPr>
        <w:pStyle w:val="Bullet"/>
      </w:pPr>
      <w:r w:rsidRPr="00696D7D">
        <w:t>private sector peak bodies including the Insurance Council and Property New Zealand</w:t>
      </w:r>
    </w:p>
    <w:p w14:paraId="4B27DD31" w14:textId="77777777" w:rsidR="00696D7D" w:rsidRPr="00696D7D" w:rsidRDefault="00696D7D" w:rsidP="00696D7D">
      <w:pPr>
        <w:pStyle w:val="Bullet"/>
      </w:pPr>
      <w:r w:rsidRPr="00696D7D">
        <w:t>ports (Northport, Ports of Auckland, Port of Tauranga and Lyttelton Port)</w:t>
      </w:r>
    </w:p>
    <w:p w14:paraId="535D81AF" w14:textId="77777777" w:rsidR="00696D7D" w:rsidRPr="00A20A63" w:rsidRDefault="00696D7D" w:rsidP="00696D7D">
      <w:pPr>
        <w:pStyle w:val="Bullet"/>
      </w:pPr>
      <w:r w:rsidRPr="00696D7D">
        <w:t>primary sector</w:t>
      </w:r>
      <w:r w:rsidRPr="00A20A63">
        <w:t xml:space="preserve"> peak bodies, including:</w:t>
      </w:r>
    </w:p>
    <w:p w14:paraId="4544EB18" w14:textId="77777777" w:rsidR="00696D7D" w:rsidRPr="00A20A63" w:rsidRDefault="00696D7D" w:rsidP="00BA4AAD">
      <w:pPr>
        <w:pStyle w:val="Sub-list"/>
        <w:keepNext/>
      </w:pPr>
      <w:r w:rsidRPr="00A20A63">
        <w:t>DairyNZ</w:t>
      </w:r>
    </w:p>
    <w:p w14:paraId="7FFBCD5C" w14:textId="77777777" w:rsidR="00696D7D" w:rsidRPr="00A20A63" w:rsidRDefault="00696D7D" w:rsidP="00696D7D">
      <w:pPr>
        <w:pStyle w:val="Sub-list"/>
      </w:pPr>
      <w:r w:rsidRPr="00A20A63">
        <w:t>Federated Farmers</w:t>
      </w:r>
    </w:p>
    <w:p w14:paraId="7A0233DC" w14:textId="3412295A" w:rsidR="00696D7D" w:rsidRPr="00A20A63" w:rsidRDefault="00696D7D" w:rsidP="00696D7D">
      <w:pPr>
        <w:pStyle w:val="Sub-list"/>
      </w:pPr>
      <w:r w:rsidRPr="00A20A63">
        <w:t xml:space="preserve">Fisheries Inshore </w:t>
      </w:r>
      <w:r w:rsidR="008678C6">
        <w:t>New Zealand</w:t>
      </w:r>
    </w:p>
    <w:p w14:paraId="418C7F6D" w14:textId="0ED55F7E" w:rsidR="00696D7D" w:rsidRPr="00A20A63" w:rsidRDefault="00696D7D" w:rsidP="00696D7D">
      <w:pPr>
        <w:pStyle w:val="Sub-list"/>
      </w:pPr>
      <w:r w:rsidRPr="00A20A63">
        <w:t xml:space="preserve">Horticulture </w:t>
      </w:r>
      <w:r w:rsidR="008678C6">
        <w:t>New Zealand</w:t>
      </w:r>
    </w:p>
    <w:p w14:paraId="46013FDB" w14:textId="77777777" w:rsidR="00696D7D" w:rsidRPr="00A20A63" w:rsidRDefault="00696D7D" w:rsidP="00696D7D">
      <w:pPr>
        <w:pStyle w:val="Sub-list"/>
      </w:pPr>
      <w:r w:rsidRPr="00A20A63">
        <w:t xml:space="preserve">Rural Support National Council </w:t>
      </w:r>
    </w:p>
    <w:p w14:paraId="38FB846F" w14:textId="77777777" w:rsidR="00696D7D" w:rsidRPr="00A20A63" w:rsidRDefault="00696D7D" w:rsidP="00696D7D">
      <w:pPr>
        <w:pStyle w:val="Sub-list"/>
      </w:pPr>
      <w:r w:rsidRPr="00A20A63">
        <w:t>Rural Women New Zealand</w:t>
      </w:r>
    </w:p>
    <w:p w14:paraId="241461EE" w14:textId="0A176ACC" w:rsidR="00696D7D" w:rsidRPr="00A20A63" w:rsidRDefault="00696D7D" w:rsidP="00696D7D">
      <w:pPr>
        <w:pStyle w:val="Bullet"/>
      </w:pPr>
      <w:r w:rsidRPr="00696D7D">
        <w:t>Tourism</w:t>
      </w:r>
      <w:r w:rsidRPr="00A20A63">
        <w:t xml:space="preserve"> Industry Aotearoa and Tourism </w:t>
      </w:r>
      <w:r w:rsidR="008678C6">
        <w:t>New Zealand</w:t>
      </w:r>
    </w:p>
    <w:p w14:paraId="3CFDA581" w14:textId="77777777" w:rsidR="00696D7D" w:rsidRPr="00A20A63" w:rsidRDefault="00696D7D" w:rsidP="00696D7D">
      <w:pPr>
        <w:pStyle w:val="Bullet"/>
      </w:pPr>
      <w:r>
        <w:t>e</w:t>
      </w:r>
      <w:r w:rsidRPr="00A20A63">
        <w:t>lectricity sector representatives (Vector and Meridian).</w:t>
      </w:r>
    </w:p>
    <w:p w14:paraId="69C3089F" w14:textId="30F06D05" w:rsidR="00696D7D" w:rsidRPr="00A20A63" w:rsidRDefault="00696D7D" w:rsidP="00696D7D">
      <w:pPr>
        <w:pStyle w:val="BodyText"/>
      </w:pPr>
      <w:r w:rsidRPr="00A20A63">
        <w:t>In conjunction with the Ministry</w:t>
      </w:r>
      <w:r w:rsidR="00FE0B84" w:rsidRPr="00A20A63">
        <w:t xml:space="preserve">, the NCCRA </w:t>
      </w:r>
      <w:r w:rsidR="008116CE">
        <w:t>project</w:t>
      </w:r>
      <w:r w:rsidR="008116CE" w:rsidRPr="00A20A63">
        <w:t xml:space="preserve"> </w:t>
      </w:r>
      <w:r w:rsidR="00FE0B84" w:rsidRPr="00A20A63">
        <w:t xml:space="preserve">team </w:t>
      </w:r>
      <w:r w:rsidRPr="00A20A63">
        <w:t>held meetings on 3 March 2020 with local government representatives, and on 11 March 2020 with central government representatives to:</w:t>
      </w:r>
    </w:p>
    <w:p w14:paraId="7A2EB5E4" w14:textId="36FEB56F" w:rsidR="00696D7D" w:rsidRPr="00A20A63" w:rsidRDefault="00696D7D" w:rsidP="00696D7D">
      <w:pPr>
        <w:pStyle w:val="Bullet"/>
      </w:pPr>
      <w:r w:rsidRPr="00A20A63">
        <w:t>check that the project team had sufficiently captured adapt</w:t>
      </w:r>
      <w:r w:rsidR="008C6499">
        <w:t>at</w:t>
      </w:r>
      <w:r w:rsidRPr="00A20A63">
        <w:t>ion measures by local and central government risk-owners</w:t>
      </w:r>
    </w:p>
    <w:p w14:paraId="6D04EEE0" w14:textId="77777777" w:rsidR="00696D7D" w:rsidRPr="00A20A63" w:rsidRDefault="00696D7D" w:rsidP="00696D7D">
      <w:pPr>
        <w:pStyle w:val="Bullet"/>
      </w:pPr>
      <w:r w:rsidRPr="00A20A63">
        <w:t xml:space="preserve">conclude discussions on the risk assessment, and acknowledge local and central government involvement </w:t>
      </w:r>
    </w:p>
    <w:p w14:paraId="714CFBBC" w14:textId="77777777" w:rsidR="00696D7D" w:rsidRPr="00A20A63" w:rsidRDefault="00696D7D" w:rsidP="00696D7D">
      <w:pPr>
        <w:pStyle w:val="Bullet"/>
      </w:pPr>
      <w:r w:rsidRPr="00A20A63">
        <w:t>advise next steps for project completion.</w:t>
      </w:r>
    </w:p>
    <w:p w14:paraId="495BB57E" w14:textId="5C9FBBF6" w:rsidR="0013570B" w:rsidRDefault="0013570B">
      <w:pPr>
        <w:spacing w:before="0" w:after="200" w:line="276" w:lineRule="auto"/>
        <w:jc w:val="left"/>
      </w:pPr>
      <w:r>
        <w:br w:type="page"/>
      </w:r>
    </w:p>
    <w:p w14:paraId="0C5C07AD" w14:textId="77777777" w:rsidR="0013570B" w:rsidRPr="0024184F" w:rsidRDefault="0013570B" w:rsidP="005F293A">
      <w:pPr>
        <w:pStyle w:val="Heading1"/>
        <w:numPr>
          <w:ilvl w:val="0"/>
          <w:numId w:val="21"/>
        </w:numPr>
      </w:pPr>
      <w:bookmarkStart w:id="257" w:name="_Results_of_engagement"/>
      <w:bookmarkStart w:id="258" w:name="_Toc37088740"/>
      <w:bookmarkStart w:id="259" w:name="_Toc37419390"/>
      <w:bookmarkStart w:id="260" w:name="_Toc40686560"/>
      <w:bookmarkStart w:id="261" w:name="_Toc45898312"/>
      <w:bookmarkEnd w:id="257"/>
      <w:r w:rsidRPr="0024184F">
        <w:lastRenderedPageBreak/>
        <w:t>Results of engagement</w:t>
      </w:r>
      <w:bookmarkEnd w:id="258"/>
      <w:bookmarkEnd w:id="259"/>
      <w:bookmarkEnd w:id="260"/>
      <w:bookmarkEnd w:id="261"/>
    </w:p>
    <w:p w14:paraId="419F20AF" w14:textId="74C51D40" w:rsidR="0013570B" w:rsidRPr="00024696" w:rsidRDefault="0013570B" w:rsidP="00957BB4">
      <w:pPr>
        <w:pStyle w:val="Heading2"/>
        <w:numPr>
          <w:ilvl w:val="0"/>
          <w:numId w:val="44"/>
        </w:numPr>
        <w:spacing w:before="240"/>
      </w:pPr>
      <w:bookmarkStart w:id="262" w:name="_Toc26508805"/>
      <w:bookmarkStart w:id="263" w:name="_Toc27038623"/>
      <w:bookmarkStart w:id="264" w:name="_Toc34229665"/>
      <w:bookmarkStart w:id="265" w:name="_Toc35492277"/>
      <w:bookmarkStart w:id="266" w:name="_Toc37088741"/>
      <w:bookmarkStart w:id="267" w:name="_Toc37419391"/>
      <w:bookmarkStart w:id="268" w:name="_Toc40686561"/>
      <w:bookmarkStart w:id="269" w:name="_Toc45898313"/>
      <w:r w:rsidRPr="00024696">
        <w:t>National workshop</w:t>
      </w:r>
      <w:bookmarkEnd w:id="262"/>
      <w:bookmarkEnd w:id="263"/>
      <w:bookmarkEnd w:id="264"/>
      <w:bookmarkEnd w:id="265"/>
      <w:r>
        <w:t>:</w:t>
      </w:r>
      <w:r w:rsidRPr="00024696">
        <w:t xml:space="preserve"> stage 1</w:t>
      </w:r>
      <w:bookmarkEnd w:id="266"/>
      <w:bookmarkEnd w:id="267"/>
      <w:bookmarkEnd w:id="268"/>
      <w:bookmarkEnd w:id="269"/>
      <w:r w:rsidRPr="00024696">
        <w:t xml:space="preserve"> </w:t>
      </w:r>
    </w:p>
    <w:p w14:paraId="10B5B331" w14:textId="4CFDC845" w:rsidR="0013570B" w:rsidRPr="00A20A63" w:rsidRDefault="0013570B" w:rsidP="004464C4">
      <w:pPr>
        <w:pStyle w:val="BodyText"/>
        <w:spacing w:after="160"/>
      </w:pPr>
      <w:r w:rsidRPr="00A20A63">
        <w:t xml:space="preserve">Overall, the national workshop delivered on its </w:t>
      </w:r>
      <w:r w:rsidR="00610A63">
        <w:t>purpose</w:t>
      </w:r>
      <w:r w:rsidR="00610A63" w:rsidRPr="00A20A63">
        <w:t xml:space="preserve"> </w:t>
      </w:r>
      <w:r w:rsidRPr="00A20A63">
        <w:t>(</w:t>
      </w:r>
      <w:hyperlink w:anchor="_National_workshop" w:history="1">
        <w:r w:rsidRPr="00834758">
          <w:rPr>
            <w:rStyle w:val="Hyperlink"/>
          </w:rPr>
          <w:t xml:space="preserve">section </w:t>
        </w:r>
        <w:r w:rsidR="008116CE" w:rsidRPr="00834758">
          <w:rPr>
            <w:rStyle w:val="Hyperlink"/>
          </w:rPr>
          <w:t>3.2.1</w:t>
        </w:r>
      </w:hyperlink>
      <w:r w:rsidRPr="00A20A63">
        <w:t xml:space="preserve">) and aligned with the engagement </w:t>
      </w:r>
      <w:r w:rsidR="00610A63">
        <w:t>aim</w:t>
      </w:r>
      <w:r w:rsidR="00D864CD">
        <w:t>s</w:t>
      </w:r>
      <w:r w:rsidR="00610A63" w:rsidRPr="00A20A63">
        <w:t xml:space="preserve"> </w:t>
      </w:r>
      <w:r w:rsidRPr="00A20A63">
        <w:t>(</w:t>
      </w:r>
      <w:hyperlink w:anchor="_Engagement_approach" w:history="1">
        <w:r w:rsidR="00834758" w:rsidRPr="00834758">
          <w:rPr>
            <w:rStyle w:val="Hyperlink"/>
          </w:rPr>
          <w:t>section 3</w:t>
        </w:r>
      </w:hyperlink>
      <w:r w:rsidRPr="00A20A63">
        <w:t xml:space="preserve">). </w:t>
      </w:r>
    </w:p>
    <w:p w14:paraId="25A81B92" w14:textId="77777777" w:rsidR="0013570B" w:rsidRPr="0024184F" w:rsidRDefault="0013570B" w:rsidP="00605ED7">
      <w:pPr>
        <w:pStyle w:val="BodyText"/>
      </w:pPr>
      <w:r w:rsidRPr="0024184F">
        <w:rPr>
          <w:noProof/>
        </w:rPr>
        <w:drawing>
          <wp:inline distT="0" distB="0" distL="0" distR="0" wp14:anchorId="5E039280" wp14:editId="11F196DD">
            <wp:extent cx="5273428" cy="3381375"/>
            <wp:effectExtent l="0" t="0" r="3810" b="0"/>
            <wp:docPr id="55" name="Picture 5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3950.JPG"/>
                    <pic:cNvPicPr/>
                  </pic:nvPicPr>
                  <pic:blipFill rotWithShape="1">
                    <a:blip r:embed="rId50">
                      <a:extLst>
                        <a:ext uri="{28A0092B-C50C-407E-A947-70E740481C1C}">
                          <a14:useLocalDpi xmlns:a14="http://schemas.microsoft.com/office/drawing/2010/main" val="0"/>
                        </a:ext>
                      </a:extLst>
                    </a:blip>
                    <a:srcRect/>
                    <a:stretch/>
                  </pic:blipFill>
                  <pic:spPr bwMode="auto">
                    <a:xfrm>
                      <a:off x="0" y="0"/>
                      <a:ext cx="5293186" cy="3394044"/>
                    </a:xfrm>
                    <a:prstGeom prst="rect">
                      <a:avLst/>
                    </a:prstGeom>
                    <a:ln>
                      <a:noFill/>
                    </a:ln>
                    <a:extLst>
                      <a:ext uri="{53640926-AAD7-44D8-BBD7-CCE9431645EC}">
                        <a14:shadowObscured xmlns:a14="http://schemas.microsoft.com/office/drawing/2010/main"/>
                      </a:ext>
                    </a:extLst>
                  </pic:spPr>
                </pic:pic>
              </a:graphicData>
            </a:graphic>
          </wp:inline>
        </w:drawing>
      </w:r>
    </w:p>
    <w:p w14:paraId="3D366F6E" w14:textId="48745CA0" w:rsidR="0013570B" w:rsidRPr="00605ED7" w:rsidRDefault="0013570B" w:rsidP="00BA4AAD">
      <w:pPr>
        <w:pStyle w:val="Source"/>
        <w:spacing w:before="0"/>
        <w:rPr>
          <w:b/>
          <w:bCs/>
        </w:rPr>
      </w:pPr>
      <w:r w:rsidRPr="00605ED7">
        <w:rPr>
          <w:b/>
          <w:bCs/>
        </w:rPr>
        <w:t>Hon James Shaw addressing workshop participants</w:t>
      </w:r>
      <w:r w:rsidR="00610A63">
        <w:rPr>
          <w:b/>
          <w:bCs/>
        </w:rPr>
        <w:t>.</w:t>
      </w:r>
    </w:p>
    <w:p w14:paraId="6C5D9C0F" w14:textId="77777777" w:rsidR="0013570B" w:rsidRPr="009E23C3" w:rsidRDefault="0013570B" w:rsidP="005A4A7C">
      <w:pPr>
        <w:pStyle w:val="Heading4"/>
      </w:pPr>
      <w:r w:rsidRPr="009E23C3">
        <w:t>Feedback</w:t>
      </w:r>
    </w:p>
    <w:p w14:paraId="5E38E821" w14:textId="0662809A" w:rsidR="0013570B" w:rsidRPr="009E23C3" w:rsidRDefault="0013570B" w:rsidP="005A4A7C">
      <w:pPr>
        <w:pStyle w:val="BodyText"/>
      </w:pPr>
      <w:r w:rsidRPr="009E23C3">
        <w:t>The recorded discussions at the national workshop provided input into the risk assessment, bringing a broader perspective to the risks and consequences drafted by the project team. The</w:t>
      </w:r>
      <w:r w:rsidR="005A4A7C">
        <w:t> </w:t>
      </w:r>
      <w:r w:rsidRPr="009E23C3">
        <w:t>data gathered at the national workshop directly informed and refined the risk and consequence descriptions in the NCCRA interim report.</w:t>
      </w:r>
      <w:r w:rsidR="00467043">
        <w:t xml:space="preserve"> </w:t>
      </w:r>
    </w:p>
    <w:p w14:paraId="2C2B6D23" w14:textId="77777777" w:rsidR="0013570B" w:rsidRPr="009E23C3" w:rsidRDefault="0013570B" w:rsidP="005A4A7C">
      <w:pPr>
        <w:pStyle w:val="BodyText"/>
      </w:pPr>
      <w:r w:rsidRPr="009E23C3">
        <w:t>Feedback in the evaluation forms indicated that the workshop helped awareness and understanding of the project among stakeholders:</w:t>
      </w:r>
    </w:p>
    <w:p w14:paraId="2C7558B2" w14:textId="43156D1A" w:rsidR="0013570B" w:rsidRPr="009E23C3" w:rsidRDefault="0013570B" w:rsidP="005A4A7C">
      <w:pPr>
        <w:pStyle w:val="Quote"/>
      </w:pPr>
      <w:r w:rsidRPr="009E23C3">
        <w:t>“Excellent introduction to the work and method</w:t>
      </w:r>
      <w:r w:rsidR="00D325FD">
        <w:t xml:space="preserve"> </w:t>
      </w:r>
      <w:r w:rsidRPr="009E23C3">
        <w:t>…</w:t>
      </w:r>
      <w:r w:rsidR="00D325FD">
        <w:t xml:space="preserve"> </w:t>
      </w:r>
      <w:r w:rsidRPr="009E23C3">
        <w:t>a very important meeting.”</w:t>
      </w:r>
    </w:p>
    <w:p w14:paraId="2CD87A02" w14:textId="77777777" w:rsidR="0013570B" w:rsidRPr="009E23C3" w:rsidRDefault="0013570B" w:rsidP="005A4A7C">
      <w:pPr>
        <w:pStyle w:val="Quote"/>
      </w:pPr>
      <w:r w:rsidRPr="009E23C3">
        <w:t>“Learned a lot about the NCCRA which is very useful.”</w:t>
      </w:r>
    </w:p>
    <w:p w14:paraId="07CD744C" w14:textId="77777777" w:rsidR="0013570B" w:rsidRPr="009E23C3" w:rsidRDefault="0013570B" w:rsidP="005A4A7C">
      <w:pPr>
        <w:pStyle w:val="Quote"/>
      </w:pPr>
      <w:r w:rsidRPr="009E23C3">
        <w:t>“Good ‘buzz’ in the room – feels good to be doing something!”</w:t>
      </w:r>
    </w:p>
    <w:p w14:paraId="63ACAFF4" w14:textId="04EB2DF5" w:rsidR="0013570B" w:rsidRPr="009E23C3" w:rsidRDefault="0013570B" w:rsidP="005A4A7C">
      <w:pPr>
        <w:pStyle w:val="BodyText"/>
      </w:pPr>
      <w:r w:rsidRPr="009E23C3">
        <w:t>Participants also valued the networking opportunity. The workshop confirmed key stakeholders for stage 2, including participants who wanted be involved, and additional stakeholders who participants identified as holding valuable information about risks and</w:t>
      </w:r>
      <w:r w:rsidR="004464C4">
        <w:t> </w:t>
      </w:r>
      <w:r w:rsidRPr="009E23C3">
        <w:t xml:space="preserve">consequences. </w:t>
      </w:r>
    </w:p>
    <w:p w14:paraId="2366200C" w14:textId="0A9B57E1" w:rsidR="0013570B" w:rsidRPr="009E23C3" w:rsidRDefault="0013570B" w:rsidP="005A4A7C">
      <w:pPr>
        <w:pStyle w:val="BodyText"/>
      </w:pPr>
      <w:r w:rsidRPr="009E23C3">
        <w:t>Feedback identified improvements to be made in the next round of engagement</w:t>
      </w:r>
      <w:r w:rsidR="00C25B8D">
        <w:t>,</w:t>
      </w:r>
      <w:r w:rsidRPr="009E23C3">
        <w:t xml:space="preserve"> includ</w:t>
      </w:r>
      <w:r w:rsidR="00C25B8D">
        <w:t>ing the following.</w:t>
      </w:r>
    </w:p>
    <w:p w14:paraId="1FE829BA" w14:textId="04229CAB" w:rsidR="0013570B" w:rsidRPr="00A20A63" w:rsidRDefault="003F4E55" w:rsidP="005A4A7C">
      <w:pPr>
        <w:pStyle w:val="Bullet"/>
      </w:pPr>
      <w:r>
        <w:lastRenderedPageBreak/>
        <w:t>Reconsider what</w:t>
      </w:r>
      <w:r w:rsidR="0013570B" w:rsidRPr="00A20A63">
        <w:t xml:space="preserve"> material</w:t>
      </w:r>
      <w:r>
        <w:t xml:space="preserve"> to pre-circulate</w:t>
      </w:r>
      <w:r w:rsidR="0013570B" w:rsidRPr="00A20A63">
        <w:t xml:space="preserve">. </w:t>
      </w:r>
      <w:r w:rsidR="00EF1110">
        <w:t>Some</w:t>
      </w:r>
      <w:r w:rsidR="00EF1110" w:rsidRPr="00A20A63">
        <w:t xml:space="preserve"> </w:t>
      </w:r>
      <w:r w:rsidR="0013570B" w:rsidRPr="00A20A63">
        <w:t xml:space="preserve">comments </w:t>
      </w:r>
      <w:r w:rsidR="00EF1110" w:rsidRPr="00A20A63">
        <w:t xml:space="preserve">were </w:t>
      </w:r>
      <w:r w:rsidR="0013570B" w:rsidRPr="00A20A63">
        <w:t>that the introductory presentations were</w:t>
      </w:r>
      <w:r w:rsidR="004464C4">
        <w:t> </w:t>
      </w:r>
      <w:r w:rsidR="0013570B" w:rsidRPr="00A20A63">
        <w:t>too long and that there was a lot of information and material to understand and</w:t>
      </w:r>
      <w:r w:rsidR="004464C4">
        <w:t> </w:t>
      </w:r>
      <w:r w:rsidR="0013570B" w:rsidRPr="00A20A63">
        <w:t>respond</w:t>
      </w:r>
      <w:r w:rsidR="005A4A7C">
        <w:t> </w:t>
      </w:r>
      <w:r w:rsidR="0013570B" w:rsidRPr="00A20A63">
        <w:t>to in one day. Others appreciated the context these presentations provided.</w:t>
      </w:r>
    </w:p>
    <w:p w14:paraId="28959558" w14:textId="77777777" w:rsidR="0013570B" w:rsidRPr="00A20A63" w:rsidRDefault="0013570B" w:rsidP="00405A51">
      <w:pPr>
        <w:pStyle w:val="BodyText"/>
        <w:spacing w:before="60"/>
        <w:ind w:left="397"/>
      </w:pPr>
      <w:r w:rsidRPr="00A20A63">
        <w:t xml:space="preserve">Getting the right balance of </w:t>
      </w:r>
      <w:r w:rsidRPr="005A4A7C">
        <w:t>information</w:t>
      </w:r>
      <w:r w:rsidRPr="00A20A63">
        <w:t xml:space="preserve"> that different participants wish to receive before and during the workshop was carefully noted for stage 2. </w:t>
      </w:r>
    </w:p>
    <w:p w14:paraId="0D8F2378" w14:textId="77777777" w:rsidR="0013570B" w:rsidRPr="005A4A7C" w:rsidRDefault="0013570B" w:rsidP="00405A51">
      <w:pPr>
        <w:pStyle w:val="Bullet"/>
        <w:spacing w:before="60"/>
      </w:pPr>
      <w:r w:rsidRPr="00A20A63">
        <w:t xml:space="preserve">To support easy discussion, consider the venue’s size and acoustics, and the size of the shared </w:t>
      </w:r>
      <w:r w:rsidRPr="005A4A7C">
        <w:t xml:space="preserve">group worksheets. </w:t>
      </w:r>
    </w:p>
    <w:p w14:paraId="4750658B" w14:textId="77777777" w:rsidR="0013570B" w:rsidRPr="00A20A63" w:rsidRDefault="0013570B" w:rsidP="005A4A7C">
      <w:pPr>
        <w:pStyle w:val="Bullet"/>
      </w:pPr>
      <w:r w:rsidRPr="005A4A7C">
        <w:t>Give as</w:t>
      </w:r>
      <w:r w:rsidRPr="00A20A63">
        <w:t xml:space="preserve"> much notice of the workshop dates as possible. </w:t>
      </w:r>
    </w:p>
    <w:p w14:paraId="7254731D" w14:textId="6C6DE822" w:rsidR="0013570B" w:rsidRPr="00A20A63" w:rsidRDefault="00F30418" w:rsidP="005A4A7C">
      <w:pPr>
        <w:pStyle w:val="BodyText"/>
      </w:pPr>
      <w:hyperlink w:anchor="_Response_to_participant" w:history="1">
        <w:r w:rsidR="0013570B" w:rsidRPr="00FB0EA2">
          <w:rPr>
            <w:rStyle w:val="Hyperlink"/>
          </w:rPr>
          <w:t xml:space="preserve">Section </w:t>
        </w:r>
        <w:r w:rsidR="00FB0EA2" w:rsidRPr="00FB0EA2">
          <w:rPr>
            <w:rStyle w:val="Hyperlink"/>
          </w:rPr>
          <w:t>4.6</w:t>
        </w:r>
      </w:hyperlink>
      <w:r w:rsidR="0013570B" w:rsidRPr="00A20A63">
        <w:t xml:space="preserve"> sets out how feedback on stage 1 was applied to stage 2.</w:t>
      </w:r>
    </w:p>
    <w:p w14:paraId="6C3D18AE" w14:textId="69DD6929" w:rsidR="0013570B" w:rsidRPr="00A20A63" w:rsidRDefault="0013570B" w:rsidP="005A4A7C">
      <w:pPr>
        <w:pStyle w:val="BodyText"/>
      </w:pPr>
      <w:r w:rsidRPr="00A20A63">
        <w:t xml:space="preserve">Some participants also </w:t>
      </w:r>
      <w:r w:rsidR="00225632">
        <w:t>asked</w:t>
      </w:r>
      <w:r w:rsidRPr="00A20A63">
        <w:t xml:space="preserve"> whether there should be public engagement for</w:t>
      </w:r>
      <w:r w:rsidR="00480863">
        <w:t> </w:t>
      </w:r>
      <w:r w:rsidRPr="00A20A63">
        <w:t xml:space="preserve">this project, given the broad impacts of climate change. Public engagement was not included in the project scope due to the timeframe and technical nature of the work (as </w:t>
      </w:r>
      <w:r w:rsidR="00D864CD">
        <w:t>noted</w:t>
      </w:r>
      <w:r w:rsidRPr="00A20A63">
        <w:t xml:space="preserve"> in </w:t>
      </w:r>
      <w:hyperlink w:anchor="_Stakeholder_identification" w:history="1">
        <w:r w:rsidRPr="002F4C41">
          <w:rPr>
            <w:rStyle w:val="Hyperlink"/>
          </w:rPr>
          <w:t>section 3.1</w:t>
        </w:r>
      </w:hyperlink>
      <w:r w:rsidRPr="00A20A63">
        <w:t xml:space="preserve">). </w:t>
      </w:r>
    </w:p>
    <w:p w14:paraId="41BCAB41" w14:textId="77777777" w:rsidR="0013570B" w:rsidRPr="0024184F" w:rsidRDefault="0013570B" w:rsidP="00480863">
      <w:pPr>
        <w:pStyle w:val="BodyText"/>
      </w:pPr>
      <w:r w:rsidRPr="0024184F">
        <w:rPr>
          <w:noProof/>
        </w:rPr>
        <w:drawing>
          <wp:inline distT="0" distB="0" distL="0" distR="0" wp14:anchorId="1D02318D" wp14:editId="39B5B2ED">
            <wp:extent cx="5532120" cy="36766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91120_155929.jpg"/>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5538957" cy="3681194"/>
                    </a:xfrm>
                    <a:prstGeom prst="rect">
                      <a:avLst/>
                    </a:prstGeom>
                    <a:ln>
                      <a:noFill/>
                    </a:ln>
                    <a:extLst>
                      <a:ext uri="{53640926-AAD7-44D8-BBD7-CCE9431645EC}">
                        <a14:shadowObscured xmlns:a14="http://schemas.microsoft.com/office/drawing/2010/main"/>
                      </a:ext>
                    </a:extLst>
                  </pic:spPr>
                </pic:pic>
              </a:graphicData>
            </a:graphic>
          </wp:inline>
        </w:drawing>
      </w:r>
    </w:p>
    <w:p w14:paraId="7E02BF24" w14:textId="77777777" w:rsidR="0013570B" w:rsidRPr="00480863" w:rsidRDefault="0013570B" w:rsidP="00480863">
      <w:pPr>
        <w:pStyle w:val="Source"/>
        <w:spacing w:before="60"/>
        <w:rPr>
          <w:b/>
          <w:bCs/>
        </w:rPr>
      </w:pPr>
      <w:r w:rsidRPr="00480863">
        <w:rPr>
          <w:b/>
          <w:bCs/>
        </w:rPr>
        <w:t>Prioritisation exercise in action.</w:t>
      </w:r>
    </w:p>
    <w:p w14:paraId="4A6BC2CF" w14:textId="112F2CE9" w:rsidR="0013570B" w:rsidRPr="0024184F" w:rsidRDefault="0013570B" w:rsidP="00957BB4">
      <w:pPr>
        <w:pStyle w:val="Heading2"/>
        <w:numPr>
          <w:ilvl w:val="0"/>
          <w:numId w:val="44"/>
        </w:numPr>
      </w:pPr>
      <w:bookmarkStart w:id="270" w:name="_Toc26508806"/>
      <w:bookmarkStart w:id="271" w:name="_Ref27034583"/>
      <w:bookmarkStart w:id="272" w:name="_Toc27038624"/>
      <w:bookmarkStart w:id="273" w:name="_Toc34229666"/>
      <w:bookmarkStart w:id="274" w:name="_Ref35169127"/>
      <w:bookmarkStart w:id="275" w:name="_Toc35492278"/>
      <w:bookmarkStart w:id="276" w:name="_Ref35494853"/>
      <w:bookmarkStart w:id="277" w:name="_Ref35668213"/>
      <w:bookmarkStart w:id="278" w:name="_Toc37088742"/>
      <w:bookmarkStart w:id="279" w:name="_Toc37419392"/>
      <w:bookmarkStart w:id="280" w:name="_Toc40686562"/>
      <w:bookmarkStart w:id="281" w:name="_Toc45898314"/>
      <w:r w:rsidRPr="0024184F">
        <w:t>Māori engagement hui</w:t>
      </w:r>
      <w:bookmarkEnd w:id="270"/>
      <w:bookmarkEnd w:id="271"/>
      <w:bookmarkEnd w:id="272"/>
      <w:bookmarkEnd w:id="273"/>
      <w:bookmarkEnd w:id="274"/>
      <w:bookmarkEnd w:id="275"/>
      <w:bookmarkEnd w:id="276"/>
      <w:bookmarkEnd w:id="277"/>
      <w:r>
        <w:t>:</w:t>
      </w:r>
      <w:r w:rsidRPr="0024184F">
        <w:t xml:space="preserve"> stage 1</w:t>
      </w:r>
      <w:bookmarkEnd w:id="278"/>
      <w:bookmarkEnd w:id="279"/>
      <w:bookmarkEnd w:id="280"/>
      <w:bookmarkEnd w:id="281"/>
    </w:p>
    <w:p w14:paraId="231D6D6C" w14:textId="77777777" w:rsidR="0013570B" w:rsidRPr="009E23C3" w:rsidRDefault="0013570B" w:rsidP="00480863">
      <w:pPr>
        <w:pStyle w:val="BodyText"/>
      </w:pPr>
      <w:r w:rsidRPr="009E23C3">
        <w:t>The hui presented information about climate change impacts and the NCCRA, along with Ministry work under way to understand and respond to the impacts.</w:t>
      </w:r>
    </w:p>
    <w:p w14:paraId="5DE259FC" w14:textId="77777777" w:rsidR="0013570B" w:rsidRPr="009E23C3" w:rsidRDefault="0013570B" w:rsidP="00480863">
      <w:pPr>
        <w:pStyle w:val="BodyText"/>
      </w:pPr>
      <w:r w:rsidRPr="009E23C3">
        <w:t xml:space="preserve">The hui discussions provided broad perspectives on the risk assessment approach, and explored specific risks and consequences for Māori now and in the future. </w:t>
      </w:r>
      <w:bookmarkStart w:id="282" w:name="_Hlk40277887"/>
    </w:p>
    <w:p w14:paraId="3B41DA3B" w14:textId="77777777" w:rsidR="0013570B" w:rsidRPr="009E23C3" w:rsidRDefault="0013570B" w:rsidP="00480863">
      <w:pPr>
        <w:pStyle w:val="BodyText"/>
      </w:pPr>
      <w:r w:rsidRPr="009E23C3">
        <w:t xml:space="preserve">Some participants reflected that while climate change represented a significant challenge for New Zealand, </w:t>
      </w:r>
      <w:bookmarkStart w:id="283" w:name="_Hlk40277751"/>
      <w:r w:rsidRPr="009E23C3">
        <w:t>M</w:t>
      </w:r>
      <w:r w:rsidRPr="009E23C3">
        <w:rPr>
          <w:rFonts w:cs="Arial"/>
        </w:rPr>
        <w:t>ā</w:t>
      </w:r>
      <w:r w:rsidRPr="009E23C3">
        <w:t xml:space="preserve">ori have lived in New Zealand for many generations and have survived and prospered by adapting to changes in the climate and the natural world. </w:t>
      </w:r>
      <w:bookmarkEnd w:id="282"/>
      <w:bookmarkEnd w:id="283"/>
    </w:p>
    <w:p w14:paraId="7247043B" w14:textId="33891461" w:rsidR="0013570B" w:rsidRPr="009E23C3" w:rsidRDefault="0013570B" w:rsidP="00480863">
      <w:pPr>
        <w:pStyle w:val="BodyText"/>
      </w:pPr>
      <w:r w:rsidRPr="009E23C3">
        <w:lastRenderedPageBreak/>
        <w:t>There was also acknowledgment that many iwi</w:t>
      </w:r>
      <w:r w:rsidR="0002403B">
        <w:t xml:space="preserve"> and </w:t>
      </w:r>
      <w:r w:rsidRPr="009E23C3">
        <w:rPr>
          <w:rFonts w:cs="SabonLTStd-Italic"/>
          <w:iCs/>
        </w:rPr>
        <w:t>hapū</w:t>
      </w:r>
      <w:r w:rsidRPr="009E23C3">
        <w:t xml:space="preserve"> are generating their own climate change plans </w:t>
      </w:r>
      <w:r w:rsidR="0002403B">
        <w:t>that</w:t>
      </w:r>
      <w:r w:rsidR="0002403B" w:rsidRPr="009E23C3">
        <w:t xml:space="preserve"> </w:t>
      </w:r>
      <w:r w:rsidRPr="009E23C3">
        <w:t>articulate values, issues and aspirations surrounding climate change risks and adaptation. Several participants noted that M</w:t>
      </w:r>
      <w:r w:rsidRPr="009E23C3">
        <w:rPr>
          <w:rFonts w:cs="Arial"/>
        </w:rPr>
        <w:t>ā</w:t>
      </w:r>
      <w:r w:rsidRPr="009E23C3">
        <w:t>ori will continue to work independently to adapt to a changing climate and would like to do this in partnership with the Crown.</w:t>
      </w:r>
    </w:p>
    <w:p w14:paraId="53CE5CB9" w14:textId="5BBA39B9" w:rsidR="0013570B" w:rsidRPr="009E23C3" w:rsidRDefault="0013570B" w:rsidP="00480863">
      <w:pPr>
        <w:pStyle w:val="BodyText"/>
      </w:pPr>
      <w:r w:rsidRPr="009E23C3">
        <w:t xml:space="preserve">The participants also provided strong feedback on the Government’s approach to engaging with Māori on climate change. This feedback is detailed in </w:t>
      </w:r>
      <w:hyperlink w:anchor="_Feedback_on_the" w:history="1">
        <w:r w:rsidRPr="002F4C41">
          <w:rPr>
            <w:rStyle w:val="Hyperlink"/>
          </w:rPr>
          <w:t>section 4.2.2</w:t>
        </w:r>
      </w:hyperlink>
      <w:r w:rsidRPr="009E23C3">
        <w:t>.</w:t>
      </w:r>
    </w:p>
    <w:p w14:paraId="2EC7FFDF" w14:textId="13D69B69" w:rsidR="0013570B" w:rsidRPr="00AA25A5" w:rsidRDefault="0013570B" w:rsidP="00957BB4">
      <w:pPr>
        <w:pStyle w:val="Heading3"/>
        <w:numPr>
          <w:ilvl w:val="0"/>
          <w:numId w:val="45"/>
        </w:numPr>
      </w:pPr>
      <w:bookmarkStart w:id="284" w:name="_Ref26990971"/>
      <w:bookmarkStart w:id="285" w:name="_Ref26994087"/>
      <w:bookmarkStart w:id="286" w:name="_Toc27038626"/>
      <w:bookmarkStart w:id="287" w:name="_Toc34229667"/>
      <w:bookmarkStart w:id="288" w:name="_Toc35492279"/>
      <w:bookmarkStart w:id="289" w:name="_Toc37088743"/>
      <w:bookmarkStart w:id="290" w:name="_Toc37419393"/>
      <w:bookmarkStart w:id="291" w:name="_Toc40686563"/>
      <w:r w:rsidRPr="00AA25A5">
        <w:t xml:space="preserve">Māori perspectives on the </w:t>
      </w:r>
      <w:bookmarkEnd w:id="284"/>
      <w:r w:rsidRPr="00AA25A5">
        <w:t>risk assessment process</w:t>
      </w:r>
      <w:bookmarkEnd w:id="285"/>
      <w:bookmarkEnd w:id="286"/>
      <w:bookmarkEnd w:id="287"/>
      <w:bookmarkEnd w:id="288"/>
      <w:bookmarkEnd w:id="289"/>
      <w:bookmarkEnd w:id="290"/>
      <w:bookmarkEnd w:id="291"/>
    </w:p>
    <w:p w14:paraId="49AFDF9C" w14:textId="237B0F94" w:rsidR="0013570B" w:rsidRPr="009E23C3" w:rsidRDefault="0013570B" w:rsidP="00AA25A5">
      <w:pPr>
        <w:pStyle w:val="BodyText"/>
      </w:pPr>
      <w:r w:rsidRPr="009E23C3">
        <w:t>Matters for consideration and concerns that were raised at the hui in relation to Māori perspectives, values and priorities included</w:t>
      </w:r>
      <w:r w:rsidR="0002403B">
        <w:t xml:space="preserve"> the following.</w:t>
      </w:r>
    </w:p>
    <w:p w14:paraId="7B223617" w14:textId="431C5975" w:rsidR="0013570B" w:rsidRPr="009E23C3" w:rsidRDefault="0013570B" w:rsidP="00AA25A5">
      <w:pPr>
        <w:pStyle w:val="Bullet"/>
      </w:pPr>
      <w:r w:rsidRPr="009E23C3">
        <w:t>The current NCCRA framework, developed by the Ministry to guide the NCCRA, is not positioned within a Māori framework and therefore the relationship</w:t>
      </w:r>
      <w:r w:rsidR="00225632" w:rsidRPr="00225632">
        <w:t xml:space="preserve"> </w:t>
      </w:r>
      <w:r w:rsidR="00225632">
        <w:t xml:space="preserve">of </w:t>
      </w:r>
      <w:r w:rsidR="00225632" w:rsidRPr="009E23C3">
        <w:t>mātauranga Māori</w:t>
      </w:r>
      <w:r w:rsidRPr="009E23C3">
        <w:t xml:space="preserve"> </w:t>
      </w:r>
      <w:r w:rsidR="00225632">
        <w:t xml:space="preserve">to </w:t>
      </w:r>
      <w:r w:rsidRPr="009E23C3">
        <w:t>the domains (human,</w:t>
      </w:r>
      <w:r w:rsidR="00225632">
        <w:t xml:space="preserve"> natural</w:t>
      </w:r>
      <w:r w:rsidRPr="009E23C3">
        <w:t xml:space="preserve"> environment, </w:t>
      </w:r>
      <w:r w:rsidR="00225632">
        <w:t xml:space="preserve">built environment, economy, </w:t>
      </w:r>
      <w:r w:rsidRPr="009E23C3">
        <w:t>governance)</w:t>
      </w:r>
      <w:r w:rsidR="00225632">
        <w:t xml:space="preserve"> and</w:t>
      </w:r>
      <w:r w:rsidRPr="009E23C3">
        <w:t xml:space="preserve"> their risks</w:t>
      </w:r>
      <w:r w:rsidR="00E548F3">
        <w:t xml:space="preserve"> </w:t>
      </w:r>
      <w:r w:rsidRPr="009E23C3">
        <w:t>is unclear. In</w:t>
      </w:r>
      <w:r w:rsidR="00BA4AAD">
        <w:t> </w:t>
      </w:r>
      <w:r w:rsidRPr="009E23C3">
        <w:t xml:space="preserve">some instances, this </w:t>
      </w:r>
      <w:r w:rsidRPr="00AA25A5">
        <w:t>restricted</w:t>
      </w:r>
      <w:r w:rsidRPr="009E23C3">
        <w:t xml:space="preserve"> participants</w:t>
      </w:r>
      <w:r w:rsidR="0002403B">
        <w:t>’ ability to</w:t>
      </w:r>
      <w:r w:rsidRPr="009E23C3">
        <w:t xml:space="preserve"> fram</w:t>
      </w:r>
      <w:r w:rsidR="0002403B">
        <w:t>e</w:t>
      </w:r>
      <w:r w:rsidRPr="009E23C3">
        <w:t xml:space="preserve"> risks </w:t>
      </w:r>
      <w:r w:rsidRPr="009E23C3">
        <w:rPr>
          <w:lang w:eastAsia="en-AU"/>
        </w:rPr>
        <w:t>from a Māori perspective</w:t>
      </w:r>
      <w:r w:rsidRPr="009E23C3">
        <w:t xml:space="preserve">. </w:t>
      </w:r>
      <w:r w:rsidRPr="009E23C3">
        <w:rPr>
          <w:rFonts w:cstheme="minorHAnsi"/>
        </w:rPr>
        <w:t>Mātauranga Māori forms a holistic basis for viewing the world, and the linear approach of a risk assessment methodology is not consistent with this</w:t>
      </w:r>
      <w:r w:rsidRPr="009C22AC">
        <w:t>.</w:t>
      </w:r>
    </w:p>
    <w:p w14:paraId="6A820910" w14:textId="71039FAF" w:rsidR="0013570B" w:rsidRPr="009E23C3" w:rsidRDefault="0013570B" w:rsidP="00AA25A5">
      <w:pPr>
        <w:pStyle w:val="Bullet"/>
      </w:pPr>
      <w:r w:rsidRPr="009E23C3">
        <w:t xml:space="preserve">Greater work is required </w:t>
      </w:r>
      <w:r w:rsidRPr="00AA25A5">
        <w:t>to</w:t>
      </w:r>
      <w:r w:rsidRPr="009E23C3">
        <w:t xml:space="preserve"> </w:t>
      </w:r>
      <w:r w:rsidR="0002403B">
        <w:t>clarify</w:t>
      </w:r>
      <w:r w:rsidRPr="009E23C3">
        <w:t xml:space="preserve"> how different forms of m</w:t>
      </w:r>
      <w:r w:rsidRPr="009E23C3">
        <w:rPr>
          <w:rFonts w:cstheme="minorHAnsi"/>
        </w:rPr>
        <w:t>ātauranga Māori</w:t>
      </w:r>
      <w:r w:rsidRPr="009E23C3">
        <w:t xml:space="preserve"> might be shared, who should share </w:t>
      </w:r>
      <w:r w:rsidRPr="009E23C3">
        <w:rPr>
          <w:rFonts w:cstheme="minorHAnsi"/>
        </w:rPr>
        <w:t xml:space="preserve">it </w:t>
      </w:r>
      <w:r w:rsidRPr="009E23C3">
        <w:t>(eg, kaumātua, p</w:t>
      </w:r>
      <w:r w:rsidR="00AB184D">
        <w:t>a</w:t>
      </w:r>
      <w:r w:rsidRPr="009E23C3">
        <w:t>keke, rangatahi or those with mandate) and what safety mechanisms can be provided to different groups. There were differing views at the hui on this.</w:t>
      </w:r>
    </w:p>
    <w:p w14:paraId="19A29CA2" w14:textId="77777777" w:rsidR="0013570B" w:rsidRPr="009E23C3" w:rsidRDefault="0013570B" w:rsidP="0013570B">
      <w:pPr>
        <w:pStyle w:val="Bullet"/>
      </w:pPr>
      <w:r w:rsidRPr="009E23C3">
        <w:t xml:space="preserve">Some participants noted that mātauranga Māori should form the basis of understanding te ao Māori, specifically at a local iwi or hapū level. This raised the tension between achieving a pan-Māori perspective on national risks for New Zealand, and regional and local perspectives on more local climate risks and opportunities. </w:t>
      </w:r>
    </w:p>
    <w:p w14:paraId="0E5FA2F5" w14:textId="2E169A59" w:rsidR="0013570B" w:rsidRPr="009E23C3" w:rsidRDefault="0013570B" w:rsidP="0013570B">
      <w:pPr>
        <w:pStyle w:val="Bullet"/>
      </w:pPr>
      <w:r w:rsidRPr="009E23C3">
        <w:t>There was general consensus that investment in more discussion on Māori concepts could unlock a way forward for Māori on climate change, and that mātauranga Māori is a key component that would drive such an approach. This discussion should be led by Māori at the iwi</w:t>
      </w:r>
      <w:r w:rsidR="00AB184D">
        <w:t xml:space="preserve"> and </w:t>
      </w:r>
      <w:r w:rsidRPr="009E23C3">
        <w:t>hapū levels, with the Crown’s participation as a partner.</w:t>
      </w:r>
    </w:p>
    <w:p w14:paraId="05FB5C03" w14:textId="77777777" w:rsidR="0013570B" w:rsidRPr="0024184F" w:rsidRDefault="0013570B" w:rsidP="00AA25A5">
      <w:pPr>
        <w:pStyle w:val="BodyText"/>
      </w:pPr>
      <w:r w:rsidRPr="0024184F">
        <w:rPr>
          <w:noProof/>
        </w:rPr>
        <w:lastRenderedPageBreak/>
        <w:drawing>
          <wp:inline distT="0" distB="0" distL="0" distR="0" wp14:anchorId="6FEBE067" wp14:editId="63B43F74">
            <wp:extent cx="5037667" cy="373165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1774"/>
                    <a:stretch/>
                  </pic:blipFill>
                  <pic:spPr bwMode="auto">
                    <a:xfrm>
                      <a:off x="0" y="0"/>
                      <a:ext cx="5049124" cy="3740138"/>
                    </a:xfrm>
                    <a:prstGeom prst="rect">
                      <a:avLst/>
                    </a:prstGeom>
                    <a:ln>
                      <a:noFill/>
                    </a:ln>
                    <a:extLst>
                      <a:ext uri="{53640926-AAD7-44D8-BBD7-CCE9431645EC}">
                        <a14:shadowObscured xmlns:a14="http://schemas.microsoft.com/office/drawing/2010/main"/>
                      </a:ext>
                    </a:extLst>
                  </pic:spPr>
                </pic:pic>
              </a:graphicData>
            </a:graphic>
          </wp:inline>
        </w:drawing>
      </w:r>
    </w:p>
    <w:p w14:paraId="17058BC0" w14:textId="77777777" w:rsidR="0013570B" w:rsidRPr="00AA25A5" w:rsidRDefault="0013570B" w:rsidP="00AA25A5">
      <w:pPr>
        <w:pStyle w:val="Source"/>
        <w:spacing w:before="60"/>
        <w:rPr>
          <w:b/>
          <w:bCs/>
        </w:rPr>
      </w:pPr>
      <w:r w:rsidRPr="00AA25A5">
        <w:rPr>
          <w:b/>
          <w:bCs/>
        </w:rPr>
        <w:t>Cards used during the hui to support discussions.</w:t>
      </w:r>
    </w:p>
    <w:p w14:paraId="4ACF021E" w14:textId="134951C3" w:rsidR="0013570B" w:rsidRPr="00AA25A5" w:rsidRDefault="0013570B" w:rsidP="00957BB4">
      <w:pPr>
        <w:pStyle w:val="Heading3"/>
        <w:numPr>
          <w:ilvl w:val="0"/>
          <w:numId w:val="45"/>
        </w:numPr>
        <w:spacing w:before="240"/>
      </w:pPr>
      <w:bookmarkStart w:id="292" w:name="_Feedback_on_the"/>
      <w:bookmarkStart w:id="293" w:name="_Toc37088744"/>
      <w:bookmarkStart w:id="294" w:name="_Ref37412700"/>
      <w:bookmarkStart w:id="295" w:name="_Toc37419394"/>
      <w:bookmarkStart w:id="296" w:name="_Toc40686564"/>
      <w:bookmarkEnd w:id="292"/>
      <w:r w:rsidRPr="00AA25A5">
        <w:t>Feedback on the engagement process</w:t>
      </w:r>
      <w:bookmarkEnd w:id="293"/>
      <w:bookmarkEnd w:id="294"/>
      <w:bookmarkEnd w:id="295"/>
      <w:bookmarkEnd w:id="296"/>
    </w:p>
    <w:p w14:paraId="029109AD" w14:textId="3BE8EDEE" w:rsidR="0013570B" w:rsidRPr="009E23C3" w:rsidRDefault="0013570B" w:rsidP="001A4B60">
      <w:pPr>
        <w:pStyle w:val="BodyText"/>
        <w:spacing w:after="100"/>
      </w:pPr>
      <w:r w:rsidRPr="009E23C3">
        <w:t xml:space="preserve">A number of process-related challenges were encountered despite </w:t>
      </w:r>
      <w:r w:rsidR="00225632">
        <w:t>the aim</w:t>
      </w:r>
      <w:r w:rsidR="00225632" w:rsidRPr="009E23C3">
        <w:t xml:space="preserve"> </w:t>
      </w:r>
      <w:r w:rsidRPr="009E23C3">
        <w:t>to observe best practice for Māori engagement. In particular, the short notice period for the stage 1 hui and</w:t>
      </w:r>
      <w:r w:rsidR="001A4B60">
        <w:t> </w:t>
      </w:r>
      <w:r w:rsidRPr="009E23C3">
        <w:t>the time of year made it difficult for many to participate. Many invitees were unable to</w:t>
      </w:r>
      <w:r w:rsidR="001A4B60">
        <w:t> </w:t>
      </w:r>
      <w:r w:rsidRPr="009E23C3">
        <w:t>attend,</w:t>
      </w:r>
      <w:r w:rsidR="001A4B60">
        <w:t> </w:t>
      </w:r>
      <w:r w:rsidRPr="009E23C3">
        <w:t xml:space="preserve">and some participants had to leave early to attend to other matters. </w:t>
      </w:r>
    </w:p>
    <w:p w14:paraId="014CBF81" w14:textId="7D30DF19" w:rsidR="0013570B" w:rsidRPr="009E23C3" w:rsidRDefault="0013570B" w:rsidP="001A4B60">
      <w:pPr>
        <w:pStyle w:val="BodyText"/>
        <w:spacing w:after="100"/>
      </w:pPr>
      <w:r w:rsidRPr="009E23C3">
        <w:t>Others felt that before they could participate, they would need to discuss the kaupapa (topic)</w:t>
      </w:r>
      <w:r w:rsidR="001A4B60">
        <w:t> </w:t>
      </w:r>
      <w:r w:rsidRPr="009E23C3">
        <w:t>with their hap</w:t>
      </w:r>
      <w:r w:rsidRPr="009E23C3">
        <w:rPr>
          <w:rFonts w:cs="Arial"/>
        </w:rPr>
        <w:t>ū</w:t>
      </w:r>
      <w:r w:rsidRPr="009E23C3">
        <w:t xml:space="preserve"> and iwi, to determine the best way for them to participate. </w:t>
      </w:r>
    </w:p>
    <w:p w14:paraId="66DB52A5" w14:textId="77777777" w:rsidR="0013570B" w:rsidRPr="009E23C3" w:rsidRDefault="0013570B" w:rsidP="001A4B60">
      <w:pPr>
        <w:pStyle w:val="BodyText"/>
        <w:spacing w:after="100"/>
        <w:rPr>
          <w:color w:val="000000"/>
        </w:rPr>
      </w:pPr>
      <w:r w:rsidRPr="009E23C3">
        <w:t>A number of Māori</w:t>
      </w:r>
      <w:r w:rsidRPr="009E23C3">
        <w:rPr>
          <w:color w:val="000000"/>
        </w:rPr>
        <w:t xml:space="preserve"> organisations, including FOMA and Iwi Chairs Forum, were not represented. </w:t>
      </w:r>
    </w:p>
    <w:p w14:paraId="6CDB5437" w14:textId="4FCF1B56" w:rsidR="0013570B" w:rsidRPr="009E23C3" w:rsidRDefault="0013570B" w:rsidP="001A4B60">
      <w:pPr>
        <w:pStyle w:val="BodyText"/>
        <w:spacing w:after="100"/>
      </w:pPr>
      <w:r w:rsidRPr="009E23C3">
        <w:t>Participants raised issues about the broader process. At the hui they expressed concern about</w:t>
      </w:r>
      <w:r w:rsidR="001A4B60">
        <w:t> </w:t>
      </w:r>
      <w:r w:rsidRPr="009E23C3">
        <w:t>the role of Māori more generally in climate change mitigation, risk identification and</w:t>
      </w:r>
      <w:r w:rsidR="001A4B60">
        <w:t> </w:t>
      </w:r>
      <w:r w:rsidRPr="009E23C3">
        <w:t xml:space="preserve">adaptation. This </w:t>
      </w:r>
      <w:r w:rsidR="00AB184D">
        <w:t xml:space="preserve">concern </w:t>
      </w:r>
      <w:r w:rsidRPr="009E23C3">
        <w:t>related to the level of partnership with the Crown and the degree to</w:t>
      </w:r>
      <w:r w:rsidR="004464C4">
        <w:t> </w:t>
      </w:r>
      <w:r w:rsidRPr="009E23C3">
        <w:t>which Māori would be included in decision-making. There was also concern as to how national</w:t>
      </w:r>
      <w:r w:rsidR="001A4B60">
        <w:t> </w:t>
      </w:r>
      <w:r w:rsidRPr="009E23C3">
        <w:t>decision-making would relate to responding to regional risks, particularly where it</w:t>
      </w:r>
      <w:r w:rsidR="00BA4AAD">
        <w:t> </w:t>
      </w:r>
      <w:r w:rsidRPr="009E23C3">
        <w:t xml:space="preserve">affects Māori adaptation efforts </w:t>
      </w:r>
      <w:r w:rsidR="00AB184D">
        <w:t xml:space="preserve">already </w:t>
      </w:r>
      <w:r w:rsidRPr="009E23C3">
        <w:t>under way. Specific matters included:</w:t>
      </w:r>
    </w:p>
    <w:p w14:paraId="353AB18D" w14:textId="77777777" w:rsidR="0013570B" w:rsidRPr="009E23C3" w:rsidRDefault="0013570B" w:rsidP="001A4B60">
      <w:pPr>
        <w:pStyle w:val="Bullet"/>
        <w:spacing w:after="100"/>
      </w:pPr>
      <w:r>
        <w:t>t</w:t>
      </w:r>
      <w:r w:rsidRPr="009E23C3">
        <w:t>he NCCRA framework and the participants’ inability to inform its methodology for measuring risk</w:t>
      </w:r>
    </w:p>
    <w:p w14:paraId="27BA3388" w14:textId="4CB0E2F0" w:rsidR="0013570B" w:rsidRPr="009E23C3" w:rsidRDefault="0013570B" w:rsidP="001A4B60">
      <w:pPr>
        <w:pStyle w:val="Bullet"/>
        <w:spacing w:after="100"/>
      </w:pPr>
      <w:r>
        <w:t>f</w:t>
      </w:r>
      <w:r w:rsidRPr="009E23C3">
        <w:t>ormation of the Climate Change Commission, its level of Māori representation and its limitations as an ‘advisory group’ (ie, the Commission would not have the ability to directly</w:t>
      </w:r>
      <w:r w:rsidR="001A4B60">
        <w:t> </w:t>
      </w:r>
      <w:r w:rsidRPr="009E23C3">
        <w:t>make decisions on climate change issues)</w:t>
      </w:r>
    </w:p>
    <w:p w14:paraId="2D57C2EC" w14:textId="6DC231EE" w:rsidR="0013570B" w:rsidRPr="009E23C3" w:rsidRDefault="0013570B" w:rsidP="0013570B">
      <w:pPr>
        <w:pStyle w:val="Bullet"/>
      </w:pPr>
      <w:r>
        <w:t>t</w:t>
      </w:r>
      <w:r w:rsidRPr="009E23C3">
        <w:t xml:space="preserve">he </w:t>
      </w:r>
      <w:r w:rsidR="0008531F">
        <w:t>n</w:t>
      </w:r>
      <w:r w:rsidR="0008531F" w:rsidRPr="009E23C3">
        <w:t xml:space="preserve">ational </w:t>
      </w:r>
      <w:r w:rsidR="0008531F">
        <w:t>a</w:t>
      </w:r>
      <w:r w:rsidR="0008531F" w:rsidRPr="009E23C3">
        <w:t xml:space="preserve">daptation </w:t>
      </w:r>
      <w:r w:rsidR="0008531F">
        <w:t>p</w:t>
      </w:r>
      <w:r w:rsidR="0008531F" w:rsidRPr="009E23C3">
        <w:t xml:space="preserve">lan </w:t>
      </w:r>
      <w:r w:rsidRPr="009E23C3">
        <w:t>and the inference that the national priority is adaptation rather than mitigation</w:t>
      </w:r>
    </w:p>
    <w:p w14:paraId="1ADD9B66" w14:textId="77777777" w:rsidR="0013570B" w:rsidRPr="009E23C3" w:rsidRDefault="0013570B" w:rsidP="0013570B">
      <w:pPr>
        <w:pStyle w:val="Bullet"/>
      </w:pPr>
      <w:r>
        <w:t>l</w:t>
      </w:r>
      <w:r w:rsidRPr="009E23C3">
        <w:t xml:space="preserve">ack of specific Māori engagement for the remainder of the project. </w:t>
      </w:r>
    </w:p>
    <w:p w14:paraId="429F4C5B" w14:textId="18B255E5" w:rsidR="0013570B" w:rsidRPr="009E23C3" w:rsidRDefault="0013570B" w:rsidP="001A4B60">
      <w:pPr>
        <w:pStyle w:val="BodyText"/>
      </w:pPr>
      <w:r w:rsidRPr="009E23C3">
        <w:lastRenderedPageBreak/>
        <w:t xml:space="preserve">Hui participants commented that a preferred approach would be to establish a parallel Māori climate change risk </w:t>
      </w:r>
      <w:r w:rsidRPr="001A4B60">
        <w:t>assessment</w:t>
      </w:r>
      <w:r w:rsidRPr="009E23C3">
        <w:t xml:space="preserve"> process to run alongside this NCCRA process, driven and developed by Māori. This would require adequate resourcing, mātauranga Māori research, and</w:t>
      </w:r>
      <w:r w:rsidR="001A4B60">
        <w:t> </w:t>
      </w:r>
      <w:r w:rsidRPr="009E23C3">
        <w:t>data to inform discussions and a policy framework. This process should be co-designed in</w:t>
      </w:r>
      <w:r w:rsidR="004464C4">
        <w:t> </w:t>
      </w:r>
      <w:r w:rsidRPr="009E23C3">
        <w:t xml:space="preserve">a partnership with the Crown and its representatives in response to its </w:t>
      </w:r>
      <w:r w:rsidR="00885DA7">
        <w:t>Te Tiriti</w:t>
      </w:r>
      <w:r w:rsidR="00885DA7" w:rsidRPr="009E23C3">
        <w:t xml:space="preserve"> </w:t>
      </w:r>
      <w:r w:rsidRPr="009E23C3">
        <w:t xml:space="preserve">obligations. </w:t>
      </w:r>
    </w:p>
    <w:p w14:paraId="744110A7" w14:textId="60D6A4B6" w:rsidR="0013570B" w:rsidRPr="0024184F" w:rsidRDefault="0013570B" w:rsidP="00957BB4">
      <w:pPr>
        <w:pStyle w:val="Heading2"/>
        <w:numPr>
          <w:ilvl w:val="0"/>
          <w:numId w:val="44"/>
        </w:numPr>
      </w:pPr>
      <w:bookmarkStart w:id="297" w:name="_Toc26508811"/>
      <w:bookmarkStart w:id="298" w:name="_Toc27038630"/>
      <w:bookmarkStart w:id="299" w:name="_Toc34229669"/>
      <w:bookmarkStart w:id="300" w:name="_Toc35492281"/>
      <w:bookmarkStart w:id="301" w:name="_Toc37088745"/>
      <w:bookmarkStart w:id="302" w:name="_Toc37419395"/>
      <w:bookmarkStart w:id="303" w:name="_Toc40686565"/>
      <w:bookmarkStart w:id="304" w:name="_Toc45898315"/>
      <w:r w:rsidRPr="001A4B60">
        <w:t>Online</w:t>
      </w:r>
      <w:r w:rsidRPr="0024184F">
        <w:t xml:space="preserve"> survey</w:t>
      </w:r>
      <w:bookmarkEnd w:id="297"/>
      <w:bookmarkEnd w:id="298"/>
      <w:bookmarkEnd w:id="299"/>
      <w:bookmarkEnd w:id="300"/>
      <w:r>
        <w:t>:</w:t>
      </w:r>
      <w:r w:rsidRPr="0024184F">
        <w:t xml:space="preserve"> </w:t>
      </w:r>
      <w:r>
        <w:t>s</w:t>
      </w:r>
      <w:r w:rsidRPr="0024184F">
        <w:t>tage 1</w:t>
      </w:r>
      <w:bookmarkEnd w:id="301"/>
      <w:bookmarkEnd w:id="302"/>
      <w:bookmarkEnd w:id="303"/>
      <w:bookmarkEnd w:id="304"/>
    </w:p>
    <w:p w14:paraId="7F28CF73" w14:textId="7B6C3C9C" w:rsidR="0013570B" w:rsidRDefault="0013570B" w:rsidP="004464C4">
      <w:pPr>
        <w:pStyle w:val="BodyText"/>
      </w:pPr>
      <w:r w:rsidRPr="0024184F">
        <w:t xml:space="preserve">The online survey supported the </w:t>
      </w:r>
      <w:r>
        <w:t>s</w:t>
      </w:r>
      <w:r w:rsidRPr="0024184F">
        <w:t xml:space="preserve">tage 1 engagement goals and process by incorporating different perspectives on the risks and consequences drafted by the project team. </w:t>
      </w:r>
      <w:r>
        <w:t>It</w:t>
      </w:r>
      <w:r w:rsidRPr="0024184F">
        <w:t xml:space="preserve"> was particularly useful in supporting several iterations of the risks as a result of the workshop and</w:t>
      </w:r>
      <w:r w:rsidR="004464C4">
        <w:t> </w:t>
      </w:r>
      <w:r w:rsidRPr="0024184F">
        <w:t xml:space="preserve">in improving the drafting and structure of the risks. </w:t>
      </w:r>
    </w:p>
    <w:p w14:paraId="59ADF1DD" w14:textId="77777777" w:rsidR="0013570B" w:rsidRPr="0024184F" w:rsidRDefault="0013570B" w:rsidP="004464C4">
      <w:pPr>
        <w:pStyle w:val="BodyText"/>
      </w:pPr>
      <w:r w:rsidRPr="0024184F">
        <w:t xml:space="preserve">The survey provided an additional forum for stakeholders to </w:t>
      </w:r>
      <w:r>
        <w:t>indicate</w:t>
      </w:r>
      <w:r w:rsidRPr="0024184F">
        <w:t xml:space="preserve"> whether they would like to participate in </w:t>
      </w:r>
      <w:r>
        <w:t>s</w:t>
      </w:r>
      <w:r w:rsidRPr="0024184F">
        <w:t xml:space="preserve">tage 2, as well as </w:t>
      </w:r>
      <w:r>
        <w:t xml:space="preserve">to </w:t>
      </w:r>
      <w:r w:rsidRPr="0024184F">
        <w:t xml:space="preserve">identify additional stakeholders </w:t>
      </w:r>
      <w:r>
        <w:t>who</w:t>
      </w:r>
      <w:r w:rsidRPr="0024184F">
        <w:t xml:space="preserve"> should be engaged in </w:t>
      </w:r>
      <w:r>
        <w:t>s</w:t>
      </w:r>
      <w:r w:rsidRPr="0024184F">
        <w:t xml:space="preserve">tage 2. </w:t>
      </w:r>
      <w:r>
        <w:t>It</w:t>
      </w:r>
      <w:r w:rsidRPr="0024184F">
        <w:t xml:space="preserve"> also identified stakeholders unable to attend the workshop</w:t>
      </w:r>
      <w:r>
        <w:t>,</w:t>
      </w:r>
      <w:r w:rsidRPr="0024184F">
        <w:t xml:space="preserve"> for example, health sector representatives. </w:t>
      </w:r>
    </w:p>
    <w:p w14:paraId="012481C2" w14:textId="0C37DCF0" w:rsidR="0013570B" w:rsidRPr="0024184F" w:rsidRDefault="0013570B" w:rsidP="00957BB4">
      <w:pPr>
        <w:pStyle w:val="Heading2"/>
        <w:numPr>
          <w:ilvl w:val="0"/>
          <w:numId w:val="44"/>
        </w:numPr>
      </w:pPr>
      <w:bookmarkStart w:id="305" w:name="_Toc27038632"/>
      <w:bookmarkStart w:id="306" w:name="_Toc34229670"/>
      <w:bookmarkStart w:id="307" w:name="_Ref35229623"/>
      <w:bookmarkStart w:id="308" w:name="_Toc35492282"/>
      <w:bookmarkStart w:id="309" w:name="_Toc37088746"/>
      <w:bookmarkStart w:id="310" w:name="_Toc37419396"/>
      <w:bookmarkStart w:id="311" w:name="_Toc40686566"/>
      <w:bookmarkStart w:id="312" w:name="_Toc45898316"/>
      <w:r w:rsidRPr="0024184F">
        <w:t>Focused meetings</w:t>
      </w:r>
      <w:bookmarkEnd w:id="305"/>
      <w:bookmarkEnd w:id="306"/>
      <w:bookmarkEnd w:id="307"/>
      <w:bookmarkEnd w:id="308"/>
      <w:r>
        <w:t>:</w:t>
      </w:r>
      <w:r w:rsidRPr="0024184F">
        <w:t xml:space="preserve"> </w:t>
      </w:r>
      <w:r>
        <w:t>s</w:t>
      </w:r>
      <w:r w:rsidRPr="0024184F">
        <w:t>tage 1</w:t>
      </w:r>
      <w:bookmarkEnd w:id="309"/>
      <w:bookmarkEnd w:id="310"/>
      <w:bookmarkEnd w:id="311"/>
      <w:bookmarkEnd w:id="312"/>
    </w:p>
    <w:p w14:paraId="7092941D" w14:textId="32E7320B" w:rsidR="0013570B" w:rsidRDefault="0013570B" w:rsidP="004464C4">
      <w:pPr>
        <w:pStyle w:val="BodyText"/>
      </w:pPr>
      <w:r w:rsidRPr="0024184F">
        <w:t>Focused meetings enable</w:t>
      </w:r>
      <w:r>
        <w:t>d</w:t>
      </w:r>
      <w:r w:rsidRPr="0024184F">
        <w:t xml:space="preserve"> the </w:t>
      </w:r>
      <w:r w:rsidR="008116CE">
        <w:t xml:space="preserve">project </w:t>
      </w:r>
      <w:r w:rsidR="00D7224E" w:rsidRPr="0024184F">
        <w:t xml:space="preserve">team </w:t>
      </w:r>
      <w:r w:rsidRPr="0024184F">
        <w:t xml:space="preserve">to ensure that all target stakeholders </w:t>
      </w:r>
      <w:r>
        <w:t>had</w:t>
      </w:r>
      <w:r w:rsidRPr="0024184F">
        <w:t xml:space="preserve"> the opportunity to engage and provide input into </w:t>
      </w:r>
      <w:r>
        <w:t>s</w:t>
      </w:r>
      <w:r w:rsidRPr="0024184F">
        <w:t>tage 1.</w:t>
      </w:r>
    </w:p>
    <w:p w14:paraId="08DAC7A5" w14:textId="53135A1F" w:rsidR="0013570B" w:rsidRPr="009E23C3" w:rsidRDefault="0013570B" w:rsidP="004464C4">
      <w:pPr>
        <w:pStyle w:val="BodyText"/>
      </w:pPr>
      <w:r w:rsidRPr="009E23C3">
        <w:t>On the completion of the workshop, hui and online survey, target stakeholders’ level of engagement was assessed. A number</w:t>
      </w:r>
      <w:r w:rsidR="00AB184D">
        <w:t xml:space="preserve"> of stakeholders</w:t>
      </w:r>
      <w:r w:rsidRPr="009E23C3">
        <w:t xml:space="preserve">, particularly in the NGO sector (eg, Forest &amp; Bird, Generation Zero and School Strike </w:t>
      </w:r>
      <w:r w:rsidR="00E366E7">
        <w:t>4</w:t>
      </w:r>
      <w:r w:rsidR="00E366E7" w:rsidRPr="009E23C3">
        <w:t xml:space="preserve"> </w:t>
      </w:r>
      <w:r w:rsidRPr="009E23C3">
        <w:t>Climate)</w:t>
      </w:r>
      <w:r w:rsidR="00AB184D">
        <w:t>,</w:t>
      </w:r>
      <w:r w:rsidRPr="009E23C3">
        <w:t xml:space="preserve"> did not provide a perspective in stage 1. Engaging with these groups was a priority in stage 2.</w:t>
      </w:r>
      <w:r w:rsidR="00467043">
        <w:t xml:space="preserve"> </w:t>
      </w:r>
      <w:r w:rsidR="00AB184D">
        <w:t>For this reason</w:t>
      </w:r>
      <w:r w:rsidRPr="009E23C3">
        <w:t xml:space="preserve">, </w:t>
      </w:r>
      <w:r w:rsidR="00381971">
        <w:t>further</w:t>
      </w:r>
      <w:r w:rsidRPr="009E23C3">
        <w:t xml:space="preserve"> focused meetings</w:t>
      </w:r>
      <w:r w:rsidR="006A46B1">
        <w:t> </w:t>
      </w:r>
      <w:r w:rsidRPr="009E23C3">
        <w:t xml:space="preserve">were held (see </w:t>
      </w:r>
      <w:hyperlink w:anchor="_Focused_meetings:_stage" w:history="1">
        <w:r w:rsidRPr="002F4C41">
          <w:rPr>
            <w:rStyle w:val="Hyperlink"/>
          </w:rPr>
          <w:t>section 4.10</w:t>
        </w:r>
      </w:hyperlink>
      <w:r w:rsidRPr="009E23C3">
        <w:t>).</w:t>
      </w:r>
    </w:p>
    <w:p w14:paraId="4C29AE4D" w14:textId="05180163" w:rsidR="0013570B" w:rsidRPr="004464C4" w:rsidRDefault="0013570B" w:rsidP="00957BB4">
      <w:pPr>
        <w:pStyle w:val="Heading2"/>
        <w:numPr>
          <w:ilvl w:val="0"/>
          <w:numId w:val="44"/>
        </w:numPr>
      </w:pPr>
      <w:bookmarkStart w:id="313" w:name="_Toc26508813"/>
      <w:bookmarkStart w:id="314" w:name="_Toc27038633"/>
      <w:bookmarkStart w:id="315" w:name="_Toc34229671"/>
      <w:bookmarkStart w:id="316" w:name="_Toc35492283"/>
      <w:bookmarkStart w:id="317" w:name="_Toc37088747"/>
      <w:bookmarkStart w:id="318" w:name="_Toc37419397"/>
      <w:bookmarkStart w:id="319" w:name="_Toc40686567"/>
      <w:bookmarkStart w:id="320" w:name="_Toc45898317"/>
      <w:r w:rsidRPr="004464C4">
        <w:t>Supplementary engagement</w:t>
      </w:r>
      <w:bookmarkEnd w:id="313"/>
      <w:bookmarkEnd w:id="314"/>
      <w:bookmarkEnd w:id="315"/>
      <w:bookmarkEnd w:id="316"/>
      <w:r w:rsidRPr="004464C4">
        <w:t>: stage 1</w:t>
      </w:r>
      <w:bookmarkEnd w:id="317"/>
      <w:bookmarkEnd w:id="318"/>
      <w:bookmarkEnd w:id="319"/>
      <w:bookmarkEnd w:id="320"/>
      <w:r w:rsidRPr="004464C4">
        <w:t xml:space="preserve"> </w:t>
      </w:r>
    </w:p>
    <w:p w14:paraId="7610A400" w14:textId="088B49E5" w:rsidR="0013570B" w:rsidRPr="009E23C3" w:rsidRDefault="0013570B" w:rsidP="004464C4">
      <w:pPr>
        <w:pStyle w:val="BodyText"/>
        <w:rPr>
          <w:b/>
        </w:rPr>
      </w:pPr>
      <w:r w:rsidRPr="009E23C3">
        <w:t xml:space="preserve">The supplementary engagement events listed in </w:t>
      </w:r>
      <w:hyperlink w:anchor="_Supplementary_engagement" w:history="1">
        <w:r w:rsidRPr="002F4C41">
          <w:rPr>
            <w:rStyle w:val="Hyperlink"/>
          </w:rPr>
          <w:t xml:space="preserve">section </w:t>
        </w:r>
        <w:r w:rsidR="002F4C41" w:rsidRPr="002F4C41">
          <w:rPr>
            <w:rStyle w:val="Hyperlink"/>
          </w:rPr>
          <w:t>3.2.5</w:t>
        </w:r>
      </w:hyperlink>
      <w:r w:rsidRPr="009E23C3">
        <w:t xml:space="preserve"> successfully raised the profile of the NCCRA and informed stakeholders about the opportunities to engage with the project.</w:t>
      </w:r>
    </w:p>
    <w:p w14:paraId="777080A5" w14:textId="344C9E5A" w:rsidR="0013570B" w:rsidRPr="009E23C3" w:rsidRDefault="0013570B" w:rsidP="00957BB4">
      <w:pPr>
        <w:pStyle w:val="Heading2"/>
        <w:numPr>
          <w:ilvl w:val="0"/>
          <w:numId w:val="44"/>
        </w:numPr>
        <w:rPr>
          <w:szCs w:val="24"/>
        </w:rPr>
      </w:pPr>
      <w:bookmarkStart w:id="321" w:name="_Response_to_participant"/>
      <w:bookmarkStart w:id="322" w:name="_Toc27038635"/>
      <w:bookmarkStart w:id="323" w:name="_Ref27377027"/>
      <w:bookmarkStart w:id="324" w:name="_Toc34229672"/>
      <w:bookmarkStart w:id="325" w:name="_Ref35159842"/>
      <w:bookmarkStart w:id="326" w:name="_Toc35492284"/>
      <w:bookmarkStart w:id="327" w:name="_Toc37088748"/>
      <w:bookmarkStart w:id="328" w:name="_Ref37412620"/>
      <w:bookmarkStart w:id="329" w:name="_Ref37412634"/>
      <w:bookmarkStart w:id="330" w:name="_Toc37419398"/>
      <w:bookmarkStart w:id="331" w:name="_Toc40686568"/>
      <w:bookmarkStart w:id="332" w:name="_Toc45898318"/>
      <w:bookmarkEnd w:id="321"/>
      <w:r w:rsidRPr="009E23C3">
        <w:rPr>
          <w:szCs w:val="24"/>
        </w:rPr>
        <w:t>Response to participant feedback</w:t>
      </w:r>
      <w:bookmarkEnd w:id="322"/>
      <w:bookmarkEnd w:id="323"/>
      <w:bookmarkEnd w:id="324"/>
      <w:bookmarkEnd w:id="325"/>
      <w:bookmarkEnd w:id="326"/>
      <w:r w:rsidRPr="009E23C3">
        <w:rPr>
          <w:szCs w:val="24"/>
        </w:rPr>
        <w:t>: stage 1</w:t>
      </w:r>
      <w:bookmarkEnd w:id="327"/>
      <w:bookmarkEnd w:id="328"/>
      <w:bookmarkEnd w:id="329"/>
      <w:bookmarkEnd w:id="330"/>
      <w:bookmarkEnd w:id="331"/>
      <w:bookmarkEnd w:id="332"/>
      <w:r w:rsidRPr="009E23C3">
        <w:rPr>
          <w:szCs w:val="24"/>
        </w:rPr>
        <w:t xml:space="preserve"> </w:t>
      </w:r>
    </w:p>
    <w:p w14:paraId="32042278" w14:textId="77777777" w:rsidR="0013570B" w:rsidRPr="009E23C3" w:rsidRDefault="0013570B" w:rsidP="0013570B">
      <w:r w:rsidRPr="009E23C3">
        <w:t>The records of discussions at the workshop and hui, online survey comments and evaluation forms include the following feedback, taken into account for stage 2.</w:t>
      </w:r>
    </w:p>
    <w:p w14:paraId="63AB180E" w14:textId="2B210D3E" w:rsidR="0013570B" w:rsidRPr="0024184F" w:rsidRDefault="0013570B" w:rsidP="004464C4">
      <w:pPr>
        <w:pStyle w:val="Bullet"/>
      </w:pPr>
      <w:r w:rsidRPr="009E23C3">
        <w:rPr>
          <w:b/>
        </w:rPr>
        <w:t xml:space="preserve">Project timeframe: </w:t>
      </w:r>
      <w:r w:rsidRPr="009E23C3">
        <w:t>Participants consistently commented that the project seemed to have a compressed timeframe that did not allow them to engage to a sufficient extent and depth. The short notice fo</w:t>
      </w:r>
      <w:r w:rsidRPr="0024184F">
        <w:t>r both the hui and the workshop was problematic for some stakeholders</w:t>
      </w:r>
      <w:r w:rsidR="00566468">
        <w:t>,</w:t>
      </w:r>
      <w:r w:rsidRPr="0024184F">
        <w:t xml:space="preserve"> iwi</w:t>
      </w:r>
      <w:r w:rsidR="00566468">
        <w:t xml:space="preserve"> and </w:t>
      </w:r>
      <w:bookmarkStart w:id="333" w:name="_Hlk40344566"/>
      <w:r w:rsidRPr="0024184F">
        <w:t>hapū</w:t>
      </w:r>
      <w:bookmarkEnd w:id="333"/>
      <w:r w:rsidRPr="0024184F">
        <w:t>.</w:t>
      </w:r>
    </w:p>
    <w:p w14:paraId="35C6AF59" w14:textId="5C5A123D" w:rsidR="0013570B" w:rsidRPr="009E23C3" w:rsidRDefault="0013570B" w:rsidP="004464C4">
      <w:pPr>
        <w:pStyle w:val="Bullet"/>
      </w:pPr>
      <w:r w:rsidRPr="009E23C3">
        <w:rPr>
          <w:b/>
        </w:rPr>
        <w:t>Māori engagement:</w:t>
      </w:r>
      <w:r w:rsidRPr="009E23C3">
        <w:t xml:space="preserve"> </w:t>
      </w:r>
      <w:hyperlink w:anchor="_Feedback_on_the" w:history="1">
        <w:r w:rsidR="00566468">
          <w:rPr>
            <w:rStyle w:val="Hyperlink"/>
          </w:rPr>
          <w:t>Section 4.2.2</w:t>
        </w:r>
      </w:hyperlink>
      <w:r w:rsidRPr="009E23C3">
        <w:t xml:space="preserve"> details broader feedback from the hui participants about how central government is engaging </w:t>
      </w:r>
      <w:r w:rsidRPr="004464C4">
        <w:t>Māori</w:t>
      </w:r>
      <w:r w:rsidRPr="009E23C3">
        <w:t xml:space="preserve"> in climate change planning and decision-making more generally.</w:t>
      </w:r>
    </w:p>
    <w:p w14:paraId="2241B024" w14:textId="5F53C6C4" w:rsidR="0013570B" w:rsidRPr="009E23C3" w:rsidRDefault="0013570B" w:rsidP="0013570B">
      <w:pPr>
        <w:pStyle w:val="Bullet"/>
      </w:pPr>
      <w:r w:rsidRPr="009E23C3">
        <w:rPr>
          <w:b/>
        </w:rPr>
        <w:t>Pre-circulation of materials</w:t>
      </w:r>
      <w:r w:rsidRPr="009E23C3">
        <w:t xml:space="preserve">: Overall, stakeholders would </w:t>
      </w:r>
      <w:r w:rsidR="00566468">
        <w:t xml:space="preserve">like to </w:t>
      </w:r>
      <w:r w:rsidRPr="009E23C3">
        <w:t>have</w:t>
      </w:r>
      <w:r w:rsidR="00381971">
        <w:t xml:space="preserve"> been</w:t>
      </w:r>
      <w:r w:rsidRPr="009E23C3">
        <w:t xml:space="preserve"> better prepare</w:t>
      </w:r>
      <w:r w:rsidR="00566468">
        <w:t>d</w:t>
      </w:r>
      <w:r w:rsidRPr="009E23C3">
        <w:t xml:space="preserve"> for the workshop. The workshop agenda was pre-circulated, but a number of participants would have been willing to do additional reading to cut down on the presentations that were necessary </w:t>
      </w:r>
      <w:r w:rsidRPr="009E23C3">
        <w:lastRenderedPageBreak/>
        <w:t xml:space="preserve">at the workshop. The hui agenda was not circulated, in the interests of being flexible throughout the day. However, participants commented that they would prefer to have received an agenda </w:t>
      </w:r>
      <w:r w:rsidR="00566468">
        <w:t xml:space="preserve">that was </w:t>
      </w:r>
      <w:r w:rsidRPr="009E23C3">
        <w:t xml:space="preserve">subject to change, along with links to documents such as the NCCCRA framework, so that they could better prepare. </w:t>
      </w:r>
    </w:p>
    <w:p w14:paraId="4D0F2181" w14:textId="77777777" w:rsidR="0013570B" w:rsidRPr="009E23C3" w:rsidRDefault="0013570B" w:rsidP="0013570B">
      <w:pPr>
        <w:pStyle w:val="Bullet"/>
      </w:pPr>
      <w:r w:rsidRPr="009E23C3">
        <w:rPr>
          <w:b/>
        </w:rPr>
        <w:t>Use of jargon</w:t>
      </w:r>
      <w:r w:rsidRPr="009E23C3">
        <w:t xml:space="preserve">: Participants in the workshop, hui and online survey gave feedback on the language used to describe the risks. They preferred plain English (rather than scientific or policy jargon). </w:t>
      </w:r>
    </w:p>
    <w:p w14:paraId="58853631" w14:textId="04B929FA" w:rsidR="0013570B" w:rsidRPr="009E23C3" w:rsidRDefault="0013570B" w:rsidP="0013570B">
      <w:pPr>
        <w:pStyle w:val="Bullet"/>
      </w:pPr>
      <w:r w:rsidRPr="009E23C3">
        <w:rPr>
          <w:b/>
        </w:rPr>
        <w:t>Venue and logistics</w:t>
      </w:r>
      <w:r w:rsidRPr="009E23C3">
        <w:t xml:space="preserve">: The acoustics, combined with </w:t>
      </w:r>
      <w:r w:rsidR="00566468">
        <w:t xml:space="preserve">the </w:t>
      </w:r>
      <w:r w:rsidRPr="009E23C3">
        <w:t>number of people in the workshop venue, made table discussions difficult for some. The poster-sized group worksheets for the workshop were easy to read but difficult to manage due to the table size. Some feedback recommended using less paper. Th</w:t>
      </w:r>
      <w:r w:rsidR="00381971">
        <w:t>ese concerns were</w:t>
      </w:r>
      <w:r w:rsidRPr="009E23C3">
        <w:t xml:space="preserve"> addressed during the hui (which used</w:t>
      </w:r>
      <w:r w:rsidR="004464C4">
        <w:t> </w:t>
      </w:r>
      <w:r w:rsidRPr="009E23C3">
        <w:t xml:space="preserve">A3 paper and reusable cards) and </w:t>
      </w:r>
      <w:r w:rsidR="00381971">
        <w:t>were</w:t>
      </w:r>
      <w:r w:rsidR="00381971" w:rsidRPr="009E23C3">
        <w:t xml:space="preserve"> </w:t>
      </w:r>
      <w:r w:rsidRPr="009E23C3">
        <w:t>taken into account during the next round of</w:t>
      </w:r>
      <w:r w:rsidR="004464C4">
        <w:t> </w:t>
      </w:r>
      <w:r w:rsidRPr="009E23C3">
        <w:t xml:space="preserve">workshops. </w:t>
      </w:r>
    </w:p>
    <w:p w14:paraId="097CD7F6" w14:textId="789EEB9F" w:rsidR="0013570B" w:rsidRDefault="0013570B" w:rsidP="004464C4">
      <w:pPr>
        <w:pStyle w:val="BodyText"/>
      </w:pPr>
      <w:r w:rsidRPr="0024184F">
        <w:t xml:space="preserve">With the exception of </w:t>
      </w:r>
      <w:r w:rsidR="00DC3001">
        <w:t xml:space="preserve">the feedback on </w:t>
      </w:r>
      <w:r w:rsidR="00DC3001" w:rsidRPr="004464C4">
        <w:t>Māori</w:t>
      </w:r>
      <w:r w:rsidR="00DC3001" w:rsidRPr="009E23C3">
        <w:t xml:space="preserve"> </w:t>
      </w:r>
      <w:r w:rsidR="00DC3001">
        <w:t xml:space="preserve">engagement </w:t>
      </w:r>
      <w:r w:rsidR="00847C6B">
        <w:t xml:space="preserve">referred to </w:t>
      </w:r>
      <w:r w:rsidR="00DC3001">
        <w:t xml:space="preserve">in </w:t>
      </w:r>
      <w:r w:rsidRPr="0024184F">
        <w:t>the second bullet point</w:t>
      </w:r>
      <w:r>
        <w:t>,</w:t>
      </w:r>
      <w:r w:rsidRPr="0024184F">
        <w:t xml:space="preserve"> which is beyond the scope of this project and was conveyed to </w:t>
      </w:r>
      <w:r>
        <w:t>the Ministry</w:t>
      </w:r>
      <w:r w:rsidRPr="0024184F">
        <w:t xml:space="preserve"> for response, this feedback was factored into the design of </w:t>
      </w:r>
      <w:r>
        <w:t>s</w:t>
      </w:r>
      <w:r w:rsidRPr="0024184F">
        <w:t>tage</w:t>
      </w:r>
      <w:r w:rsidR="009D36BB">
        <w:t> </w:t>
      </w:r>
      <w:r w:rsidRPr="0024184F">
        <w:t xml:space="preserve">2, as detailed in </w:t>
      </w:r>
      <w:r>
        <w:t>s</w:t>
      </w:r>
      <w:r w:rsidRPr="0024184F">
        <w:t xml:space="preserve">ection </w:t>
      </w:r>
      <w:r w:rsidRPr="0024184F">
        <w:fldChar w:fldCharType="begin"/>
      </w:r>
      <w:r w:rsidRPr="0024184F">
        <w:instrText xml:space="preserve"> REF _Ref35170358 \r \h  \* MERGEFORMAT </w:instrText>
      </w:r>
      <w:r w:rsidRPr="0024184F">
        <w:fldChar w:fldCharType="separate"/>
      </w:r>
      <w:r w:rsidR="001B2025">
        <w:t>4.7</w:t>
      </w:r>
      <w:r w:rsidRPr="0024184F">
        <w:fldChar w:fldCharType="end"/>
      </w:r>
      <w:r w:rsidRPr="0024184F">
        <w:t xml:space="preserve">. </w:t>
      </w:r>
    </w:p>
    <w:p w14:paraId="14C22184" w14:textId="40F2AFEC" w:rsidR="009D36BB" w:rsidRPr="0024184F" w:rsidRDefault="009D36BB" w:rsidP="00957BB4">
      <w:pPr>
        <w:pStyle w:val="Heading2"/>
        <w:numPr>
          <w:ilvl w:val="0"/>
          <w:numId w:val="44"/>
        </w:numPr>
      </w:pPr>
      <w:bookmarkStart w:id="334" w:name="_Toc26508818"/>
      <w:bookmarkStart w:id="335" w:name="_Toc33683980"/>
      <w:bookmarkStart w:id="336" w:name="_Ref34342603"/>
      <w:bookmarkStart w:id="337" w:name="_Ref35170358"/>
      <w:bookmarkStart w:id="338" w:name="_Toc35492286"/>
      <w:bookmarkStart w:id="339" w:name="_Toc37088749"/>
      <w:bookmarkStart w:id="340" w:name="_Toc37419399"/>
      <w:bookmarkStart w:id="341" w:name="_Toc40686569"/>
      <w:bookmarkStart w:id="342" w:name="_Toc45898319"/>
      <w:r w:rsidRPr="0024184F">
        <w:t>Risk workshops</w:t>
      </w:r>
      <w:bookmarkEnd w:id="334"/>
      <w:bookmarkEnd w:id="335"/>
      <w:bookmarkEnd w:id="336"/>
      <w:bookmarkEnd w:id="337"/>
      <w:bookmarkEnd w:id="338"/>
      <w:r>
        <w:t>:</w:t>
      </w:r>
      <w:r w:rsidRPr="0024184F">
        <w:t xml:space="preserve"> </w:t>
      </w:r>
      <w:r>
        <w:t>s</w:t>
      </w:r>
      <w:r w:rsidRPr="0024184F">
        <w:t>tage 2</w:t>
      </w:r>
      <w:bookmarkEnd w:id="339"/>
      <w:bookmarkEnd w:id="340"/>
      <w:bookmarkEnd w:id="341"/>
      <w:bookmarkEnd w:id="342"/>
    </w:p>
    <w:p w14:paraId="768C7488" w14:textId="796914BB" w:rsidR="009D36BB" w:rsidRPr="0024184F" w:rsidRDefault="009D36BB" w:rsidP="00535FCA">
      <w:pPr>
        <w:pStyle w:val="BodyText"/>
      </w:pPr>
      <w:r w:rsidRPr="0024184F">
        <w:t>Overall, the five risk workshops delivered on their objectives (</w:t>
      </w:r>
      <w:hyperlink w:anchor="_Risk_workshops" w:history="1">
        <w:r w:rsidR="00400445">
          <w:rPr>
            <w:rStyle w:val="Hyperlink"/>
          </w:rPr>
          <w:t>section 3.3.1</w:t>
        </w:r>
      </w:hyperlink>
      <w:r w:rsidRPr="0024184F">
        <w:t xml:space="preserve">) and aligned with the </w:t>
      </w:r>
      <w:r>
        <w:t>e</w:t>
      </w:r>
      <w:r w:rsidRPr="0024184F">
        <w:t xml:space="preserve">ngagement </w:t>
      </w:r>
      <w:r w:rsidR="00B27DB8">
        <w:t>aim</w:t>
      </w:r>
      <w:r w:rsidR="00B27DB8" w:rsidRPr="0024184F">
        <w:t xml:space="preserve"> </w:t>
      </w:r>
      <w:r w:rsidRPr="0024184F">
        <w:t>(</w:t>
      </w:r>
      <w:hyperlink w:anchor="_Engagement_approach" w:history="1">
        <w:r w:rsidR="000C3E06" w:rsidRPr="000C3E06">
          <w:rPr>
            <w:rStyle w:val="Hyperlink"/>
          </w:rPr>
          <w:t>section 3</w:t>
        </w:r>
      </w:hyperlink>
      <w:r w:rsidRPr="0024184F">
        <w:t>)</w:t>
      </w:r>
      <w:r>
        <w:t>.</w:t>
      </w:r>
      <w:r w:rsidRPr="0024184F">
        <w:t xml:space="preserve"> </w:t>
      </w:r>
      <w:r>
        <w:t>They</w:t>
      </w:r>
      <w:r w:rsidRPr="0024184F">
        <w:t>:</w:t>
      </w:r>
    </w:p>
    <w:p w14:paraId="055F6C5D" w14:textId="2079EAAB" w:rsidR="009D36BB" w:rsidRPr="00535FCA" w:rsidRDefault="009D36BB" w:rsidP="00535FCA">
      <w:pPr>
        <w:pStyle w:val="Bullet"/>
      </w:pPr>
      <w:r w:rsidRPr="00535FCA">
        <w:t>provided focused, specific information to participants relevant to each domain</w:t>
      </w:r>
    </w:p>
    <w:p w14:paraId="38CCCF14" w14:textId="77777777" w:rsidR="009D36BB" w:rsidRPr="00535FCA" w:rsidRDefault="009D36BB" w:rsidP="00535FCA">
      <w:pPr>
        <w:pStyle w:val="Bullet"/>
      </w:pPr>
      <w:r w:rsidRPr="00535FCA">
        <w:t>encouraged participants with specific knowledge to sit at tables focusing on risks in their area of expertise</w:t>
      </w:r>
    </w:p>
    <w:p w14:paraId="2430FAF3" w14:textId="77777777" w:rsidR="009D36BB" w:rsidRPr="009E23C3" w:rsidRDefault="009D36BB" w:rsidP="00535FCA">
      <w:pPr>
        <w:pStyle w:val="Bullet"/>
      </w:pPr>
      <w:r w:rsidRPr="00535FCA">
        <w:t>enabled</w:t>
      </w:r>
      <w:r w:rsidRPr="009E23C3">
        <w:t xml:space="preserve"> participants to share targeted information about each of the priority risks. </w:t>
      </w:r>
    </w:p>
    <w:p w14:paraId="0617F71A" w14:textId="77777777" w:rsidR="009D36BB" w:rsidRPr="0024184F" w:rsidRDefault="009D36BB" w:rsidP="00535FCA">
      <w:pPr>
        <w:pStyle w:val="BodyText"/>
      </w:pPr>
      <w:r w:rsidRPr="0024184F">
        <w:t>Feedback from the workshop (received via five completed evaluation forms and verbal</w:t>
      </w:r>
      <w:r>
        <w:t>ly</w:t>
      </w:r>
      <w:r w:rsidRPr="0024184F">
        <w:t xml:space="preserve"> ) indicates that </w:t>
      </w:r>
      <w:r>
        <w:t>it</w:t>
      </w:r>
      <w:r w:rsidRPr="0024184F">
        <w:t xml:space="preserve"> provided relevant information about the risk assessment project (objectives, methods and findings to date): </w:t>
      </w:r>
    </w:p>
    <w:p w14:paraId="4F92CB51" w14:textId="77777777" w:rsidR="00564E56" w:rsidRPr="0024184F" w:rsidRDefault="00564E56" w:rsidP="00564E56">
      <w:pPr>
        <w:pStyle w:val="Quote"/>
      </w:pPr>
      <w:r>
        <w:t>“</w:t>
      </w:r>
      <w:r w:rsidRPr="0024184F">
        <w:t>Good succinct presentation on the background and progress of the overall project</w:t>
      </w:r>
      <w:r>
        <w:t>.”</w:t>
      </w:r>
      <w:r w:rsidRPr="0024184F">
        <w:t xml:space="preserve"> </w:t>
      </w:r>
    </w:p>
    <w:p w14:paraId="4D8ED417" w14:textId="77777777" w:rsidR="00564E56" w:rsidRPr="0024184F" w:rsidRDefault="00564E56" w:rsidP="00564E56">
      <w:pPr>
        <w:pStyle w:val="Quote"/>
      </w:pPr>
      <w:r>
        <w:t>“</w:t>
      </w:r>
      <w:r w:rsidRPr="0024184F">
        <w:t>I thought the workshop was generally well run, attended and addressed all the objectives.</w:t>
      </w:r>
      <w:r>
        <w:t>”</w:t>
      </w:r>
    </w:p>
    <w:p w14:paraId="7B6B653F" w14:textId="77777777" w:rsidR="00564E56" w:rsidRPr="0024184F" w:rsidRDefault="00564E56" w:rsidP="00564E56">
      <w:pPr>
        <w:pStyle w:val="Quote"/>
      </w:pPr>
      <w:r>
        <w:t>“</w:t>
      </w:r>
      <w:r w:rsidRPr="0024184F">
        <w:t>It was good to have the opportunity to raise some questions around the process and approach. Also, valuable conversations with other participants.</w:t>
      </w:r>
      <w:r>
        <w:t>”</w:t>
      </w:r>
    </w:p>
    <w:p w14:paraId="25E9C56D" w14:textId="0ED5B3D5" w:rsidR="00564E56" w:rsidRDefault="00564E56" w:rsidP="00564E56">
      <w:pPr>
        <w:pStyle w:val="Quote"/>
      </w:pPr>
      <w:r>
        <w:t>“</w:t>
      </w:r>
      <w:r w:rsidRPr="0024184F">
        <w:t>Information on the process to date was useful.</w:t>
      </w:r>
      <w:r>
        <w:t>”</w:t>
      </w:r>
    </w:p>
    <w:p w14:paraId="302CD13B" w14:textId="3535670E" w:rsidR="009D36BB" w:rsidRDefault="00856E17" w:rsidP="00207121">
      <w:pPr>
        <w:pStyle w:val="BodyText"/>
      </w:pPr>
      <w:r w:rsidRPr="0024184F">
        <w:t xml:space="preserve">Evaluation </w:t>
      </w:r>
      <w:r w:rsidR="009D36BB" w:rsidRPr="0024184F">
        <w:t>forms suggested improvements to the workshop including additional pre-circulated material, different approaches to exercises and table facilitation. Some commented that there was limited time to drill down into detail, although others would have preferred focus</w:t>
      </w:r>
      <w:r w:rsidR="00CE6231">
        <w:t>ing more</w:t>
      </w:r>
      <w:r w:rsidR="009D36BB" w:rsidRPr="0024184F">
        <w:t xml:space="preserve"> on the bigger picture, particularly </w:t>
      </w:r>
      <w:r w:rsidR="009D36BB">
        <w:t>for</w:t>
      </w:r>
      <w:r w:rsidR="009D36BB" w:rsidRPr="0024184F">
        <w:t xml:space="preserve"> the human and governance domains. </w:t>
      </w:r>
    </w:p>
    <w:p w14:paraId="020C5CFF" w14:textId="54A70D2E" w:rsidR="009D36BB" w:rsidRPr="0024184F" w:rsidRDefault="009D36BB" w:rsidP="00535FCA">
      <w:pPr>
        <w:pStyle w:val="BodyText"/>
      </w:pPr>
      <w:r w:rsidRPr="0024184F">
        <w:t>A number of participants noted a lack of M</w:t>
      </w:r>
      <w:r w:rsidRPr="0024184F">
        <w:rPr>
          <w:rFonts w:cs="Arial"/>
        </w:rPr>
        <w:t>ā</w:t>
      </w:r>
      <w:r w:rsidRPr="0024184F">
        <w:t>ori presence at the workshops. This was acknowledged by the project team, noting that M</w:t>
      </w:r>
      <w:r w:rsidRPr="0024184F">
        <w:rPr>
          <w:rFonts w:cs="Arial"/>
        </w:rPr>
        <w:t>ā</w:t>
      </w:r>
      <w:r w:rsidRPr="0024184F">
        <w:t>ori/iwi representatives were invited but could not attend. We note that the feedback from a number of M</w:t>
      </w:r>
      <w:r w:rsidRPr="0024184F">
        <w:rPr>
          <w:rFonts w:cs="Arial"/>
        </w:rPr>
        <w:t>ā</w:t>
      </w:r>
      <w:r w:rsidRPr="0024184F">
        <w:t xml:space="preserve">ori/iwi representatives is that their </w:t>
      </w:r>
      <w:r w:rsidRPr="000C3E06">
        <w:t xml:space="preserve">kōrero </w:t>
      </w:r>
      <w:r w:rsidRPr="0024184F">
        <w:t>does not fit into the domain framework. One participant suggested the Te Whare Tapa Wh</w:t>
      </w:r>
      <w:r w:rsidRPr="0024184F">
        <w:rPr>
          <w:rFonts w:cs="Arial"/>
        </w:rPr>
        <w:t>ā</w:t>
      </w:r>
      <w:r w:rsidRPr="0024184F">
        <w:t xml:space="preserve"> model</w:t>
      </w:r>
      <w:r w:rsidRPr="0024184F">
        <w:rPr>
          <w:rStyle w:val="FootnoteReference"/>
        </w:rPr>
        <w:footnoteReference w:id="4"/>
      </w:r>
      <w:r w:rsidRPr="0024184F">
        <w:t xml:space="preserve"> as a more </w:t>
      </w:r>
      <w:r w:rsidRPr="0024184F">
        <w:lastRenderedPageBreak/>
        <w:t xml:space="preserve">integrated approach </w:t>
      </w:r>
      <w:r>
        <w:t xml:space="preserve">to </w:t>
      </w:r>
      <w:r w:rsidRPr="0024184F">
        <w:t>the climate risk k</w:t>
      </w:r>
      <w:r w:rsidRPr="0024184F">
        <w:rPr>
          <w:rFonts w:cs="Arial"/>
        </w:rPr>
        <w:t>ō</w:t>
      </w:r>
      <w:r w:rsidRPr="0024184F">
        <w:t xml:space="preserve">rero from a </w:t>
      </w:r>
      <w:r w:rsidRPr="00CB2CC1">
        <w:t>te ao Māori</w:t>
      </w:r>
      <w:r w:rsidRPr="0024184F">
        <w:t xml:space="preserve"> perspective</w:t>
      </w:r>
      <w:r>
        <w:t>. A</w:t>
      </w:r>
      <w:r w:rsidRPr="0024184F">
        <w:t xml:space="preserve">nother conversation led to a suggestion on the structure for the </w:t>
      </w:r>
      <w:hyperlink r:id="rId53" w:history="1">
        <w:r w:rsidRPr="007135DE">
          <w:rPr>
            <w:rStyle w:val="Hyperlink"/>
          </w:rPr>
          <w:t>main report</w:t>
        </w:r>
      </w:hyperlink>
      <w:r>
        <w:t>,</w:t>
      </w:r>
      <w:r w:rsidRPr="0024184F">
        <w:t xml:space="preserve"> which </w:t>
      </w:r>
      <w:r>
        <w:t xml:space="preserve">the project team has </w:t>
      </w:r>
      <w:r w:rsidRPr="0024184F">
        <w:t xml:space="preserve">taken forward. </w:t>
      </w:r>
    </w:p>
    <w:p w14:paraId="6848E699" w14:textId="272D6C52" w:rsidR="009D36BB" w:rsidRDefault="009D36BB" w:rsidP="00535FCA">
      <w:pPr>
        <w:pStyle w:val="BodyText"/>
      </w:pPr>
      <w:r w:rsidRPr="0024184F">
        <w:t xml:space="preserve">As set out in </w:t>
      </w:r>
      <w:hyperlink w:anchor="_Risk_workshops" w:history="1">
        <w:r w:rsidR="00866A30">
          <w:rPr>
            <w:rStyle w:val="Hyperlink"/>
          </w:rPr>
          <w:t>section 3.3.1</w:t>
        </w:r>
      </w:hyperlink>
      <w:r w:rsidRPr="0024184F">
        <w:t>, Sir John Clarke (Project Kaum</w:t>
      </w:r>
      <w:r w:rsidRPr="0024184F">
        <w:rPr>
          <w:rFonts w:cs="Arial"/>
        </w:rPr>
        <w:t>ā</w:t>
      </w:r>
      <w:r w:rsidRPr="0024184F">
        <w:t>tua)</w:t>
      </w:r>
      <w:r w:rsidR="00A630BD">
        <w:t xml:space="preserve"> a</w:t>
      </w:r>
      <w:r w:rsidR="00866A30">
        <w:t>n</w:t>
      </w:r>
      <w:r w:rsidR="00A630BD">
        <w:t>d</w:t>
      </w:r>
      <w:r w:rsidRPr="0024184F">
        <w:t xml:space="preserve"> Teina Boasa-Dean (in her capacity as advisor to </w:t>
      </w:r>
      <w:r>
        <w:t>the Ministry</w:t>
      </w:r>
      <w:r w:rsidRPr="0024184F">
        <w:t xml:space="preserve">) held a side </w:t>
      </w:r>
      <w:r w:rsidRPr="0024184F">
        <w:rPr>
          <w:rFonts w:cstheme="minorHAnsi"/>
        </w:rPr>
        <w:t>meeting</w:t>
      </w:r>
      <w:r w:rsidRPr="0024184F">
        <w:t xml:space="preserve"> with Deborah Te Riaki (Ng</w:t>
      </w:r>
      <w:r w:rsidRPr="0024184F">
        <w:rPr>
          <w:rFonts w:cs="Arial"/>
        </w:rPr>
        <w:t>ā</w:t>
      </w:r>
      <w:r w:rsidRPr="0024184F">
        <w:t>ti Rangi) at</w:t>
      </w:r>
      <w:r w:rsidR="00535FCA">
        <w:t> </w:t>
      </w:r>
      <w:r w:rsidRPr="0024184F">
        <w:t xml:space="preserve">the Auckland </w:t>
      </w:r>
      <w:r w:rsidR="004B122C">
        <w:t>d</w:t>
      </w:r>
      <w:r w:rsidRPr="0024184F">
        <w:t>omain workshops. This k</w:t>
      </w:r>
      <w:r w:rsidRPr="0024184F">
        <w:rPr>
          <w:rFonts w:cs="Arial"/>
        </w:rPr>
        <w:t>ō</w:t>
      </w:r>
      <w:r w:rsidRPr="0024184F">
        <w:t xml:space="preserve">rero related to the content and structure of the </w:t>
      </w:r>
      <w:hyperlink r:id="rId54" w:history="1">
        <w:r w:rsidR="00E548F3" w:rsidRPr="007135DE">
          <w:rPr>
            <w:rStyle w:val="Hyperlink"/>
            <w:rFonts w:cstheme="majorHAnsi"/>
            <w:lang w:eastAsia="en-AU"/>
          </w:rPr>
          <w:t xml:space="preserve"> main report</w:t>
        </w:r>
      </w:hyperlink>
      <w:r w:rsidRPr="007135DE">
        <w:t>.</w:t>
      </w:r>
      <w:r w:rsidRPr="0024184F">
        <w:t xml:space="preserve"> For further detail on the M</w:t>
      </w:r>
      <w:r w:rsidRPr="0024184F">
        <w:rPr>
          <w:rFonts w:cs="Arial"/>
        </w:rPr>
        <w:t>ā</w:t>
      </w:r>
      <w:r w:rsidRPr="0024184F">
        <w:t xml:space="preserve">ori view of the NCCRA expressed </w:t>
      </w:r>
      <w:r>
        <w:t>during</w:t>
      </w:r>
      <w:r w:rsidRPr="0024184F">
        <w:t xml:space="preserve"> </w:t>
      </w:r>
      <w:r>
        <w:t>s</w:t>
      </w:r>
      <w:r w:rsidRPr="0024184F">
        <w:t>tage 2</w:t>
      </w:r>
      <w:r>
        <w:t>,</w:t>
      </w:r>
      <w:r w:rsidRPr="0024184F">
        <w:t xml:space="preserve"> see</w:t>
      </w:r>
      <w:r w:rsidR="00535FCA">
        <w:t> </w:t>
      </w:r>
      <w:hyperlink w:anchor="_Local_hui:_stage" w:history="1">
        <w:r w:rsidRPr="008C508E">
          <w:rPr>
            <w:rStyle w:val="Hyperlink"/>
          </w:rPr>
          <w:t xml:space="preserve">section </w:t>
        </w:r>
        <w:r w:rsidR="008C508E" w:rsidRPr="008C508E">
          <w:rPr>
            <w:rStyle w:val="Hyperlink"/>
          </w:rPr>
          <w:t>4.8</w:t>
        </w:r>
      </w:hyperlink>
      <w:r w:rsidRPr="0024184F">
        <w:t xml:space="preserve">. </w:t>
      </w:r>
    </w:p>
    <w:p w14:paraId="18796AD1" w14:textId="77777777" w:rsidR="009D36BB" w:rsidRPr="0024184F" w:rsidRDefault="009D36BB" w:rsidP="00535FCA">
      <w:pPr>
        <w:pStyle w:val="BodyText"/>
      </w:pPr>
      <w:r w:rsidRPr="0024184F">
        <w:t>Some participants also sought better clarity on next steps, including the NAP:</w:t>
      </w:r>
    </w:p>
    <w:p w14:paraId="05039019" w14:textId="3087FE4C" w:rsidR="009D36BB" w:rsidRPr="0024184F" w:rsidRDefault="009D36BB" w:rsidP="00441CBD">
      <w:pPr>
        <w:pStyle w:val="Quote"/>
        <w:spacing w:after="160"/>
      </w:pPr>
      <w:r>
        <w:t>“</w:t>
      </w:r>
      <w:r w:rsidRPr="0024184F">
        <w:t>There is also still a huge gap in some timely direction to the regions in terms of progressing work in the climate change adaptation space</w:t>
      </w:r>
      <w:r>
        <w:t xml:space="preserve"> – </w:t>
      </w:r>
      <w:r w:rsidRPr="0024184F">
        <w:t>it looks like this is going to be happening from the bottom up anyway (fingers crossed!), but think it is a key area that the NAP needs to acknowledge/address, being explicit about how the NAP will inform regional adaptation (if at all?). One of the biggest risks to an effective adaptation is a lack</w:t>
      </w:r>
      <w:r w:rsidR="00441CBD">
        <w:t> </w:t>
      </w:r>
      <w:r w:rsidRPr="0024184F">
        <w:t xml:space="preserve">of a consistent and co-ordinated approach across the regions </w:t>
      </w:r>
      <w:r>
        <w:t xml:space="preserve">– </w:t>
      </w:r>
      <w:r w:rsidRPr="0024184F">
        <w:t>so I would expect the</w:t>
      </w:r>
      <w:r w:rsidR="00441CBD">
        <w:t> </w:t>
      </w:r>
      <w:r w:rsidRPr="0024184F">
        <w:t>NAP to address that at some level.</w:t>
      </w:r>
      <w:r>
        <w:t>”</w:t>
      </w:r>
    </w:p>
    <w:p w14:paraId="74BBBD16" w14:textId="77777777" w:rsidR="009D36BB" w:rsidRPr="0024184F" w:rsidRDefault="009D36BB" w:rsidP="005768E4">
      <w:pPr>
        <w:pStyle w:val="Quote"/>
        <w:spacing w:before="120" w:after="120"/>
      </w:pPr>
      <w:r w:rsidRPr="0024184F">
        <w:rPr>
          <w:noProof/>
        </w:rPr>
        <w:drawing>
          <wp:inline distT="0" distB="0" distL="0" distR="0" wp14:anchorId="06A33FD2" wp14:editId="4A04B720">
            <wp:extent cx="4233665" cy="34194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JC_4358 (002).JPG"/>
                    <pic:cNvPicPr/>
                  </pic:nvPicPr>
                  <pic:blipFill rotWithShape="1">
                    <a:blip r:embed="rId55">
                      <a:extLst>
                        <a:ext uri="{28A0092B-C50C-407E-A947-70E740481C1C}">
                          <a14:useLocalDpi xmlns:a14="http://schemas.microsoft.com/office/drawing/2010/main" val="0"/>
                        </a:ext>
                      </a:extLst>
                    </a:blip>
                    <a:srcRect/>
                    <a:stretch/>
                  </pic:blipFill>
                  <pic:spPr bwMode="auto">
                    <a:xfrm>
                      <a:off x="0" y="0"/>
                      <a:ext cx="4251182" cy="3433624"/>
                    </a:xfrm>
                    <a:prstGeom prst="rect">
                      <a:avLst/>
                    </a:prstGeom>
                    <a:ln>
                      <a:noFill/>
                    </a:ln>
                    <a:extLst>
                      <a:ext uri="{53640926-AAD7-44D8-BBD7-CCE9431645EC}">
                        <a14:shadowObscured xmlns:a14="http://schemas.microsoft.com/office/drawing/2010/main"/>
                      </a:ext>
                    </a:extLst>
                  </pic:spPr>
                </pic:pic>
              </a:graphicData>
            </a:graphic>
          </wp:inline>
        </w:drawing>
      </w:r>
    </w:p>
    <w:p w14:paraId="6151E30F" w14:textId="74B40DC1" w:rsidR="009D36BB" w:rsidRPr="00535FCA" w:rsidRDefault="009D36BB" w:rsidP="005768E4">
      <w:pPr>
        <w:pStyle w:val="Source"/>
        <w:tabs>
          <w:tab w:val="clear" w:pos="680"/>
          <w:tab w:val="left" w:pos="851"/>
        </w:tabs>
        <w:spacing w:before="60"/>
        <w:ind w:left="907" w:hanging="340"/>
        <w:rPr>
          <w:b/>
          <w:bCs/>
        </w:rPr>
      </w:pPr>
      <w:r w:rsidRPr="00535FCA">
        <w:rPr>
          <w:b/>
          <w:bCs/>
        </w:rPr>
        <w:t>Sir John Clarke, Project Kaum</w:t>
      </w:r>
      <w:r w:rsidR="00B27DB8">
        <w:rPr>
          <w:rFonts w:cs="Calibri"/>
          <w:b/>
          <w:bCs/>
        </w:rPr>
        <w:t>ā</w:t>
      </w:r>
      <w:r w:rsidRPr="00535FCA">
        <w:rPr>
          <w:b/>
          <w:bCs/>
        </w:rPr>
        <w:t>t</w:t>
      </w:r>
      <w:r w:rsidR="00B27DB8">
        <w:rPr>
          <w:b/>
          <w:bCs/>
        </w:rPr>
        <w:t>u</w:t>
      </w:r>
      <w:r w:rsidRPr="00535FCA">
        <w:rPr>
          <w:b/>
          <w:bCs/>
        </w:rPr>
        <w:t>a, addressing the Auckland workshop.</w:t>
      </w:r>
    </w:p>
    <w:p w14:paraId="1D80B036" w14:textId="01868520" w:rsidR="009D36BB" w:rsidRPr="0024184F" w:rsidRDefault="009D36BB" w:rsidP="00957BB4">
      <w:pPr>
        <w:pStyle w:val="Heading2"/>
        <w:numPr>
          <w:ilvl w:val="0"/>
          <w:numId w:val="44"/>
        </w:numPr>
      </w:pPr>
      <w:bookmarkStart w:id="343" w:name="_Local_hui:_stage"/>
      <w:bookmarkStart w:id="344" w:name="_Ref34342299"/>
      <w:bookmarkStart w:id="345" w:name="_Ref34342559"/>
      <w:bookmarkStart w:id="346" w:name="_Toc35492287"/>
      <w:bookmarkStart w:id="347" w:name="_Toc37088750"/>
      <w:bookmarkStart w:id="348" w:name="_Toc37419400"/>
      <w:bookmarkStart w:id="349" w:name="_Toc40686570"/>
      <w:bookmarkStart w:id="350" w:name="_Toc45898320"/>
      <w:bookmarkStart w:id="351" w:name="_Toc30408412"/>
      <w:bookmarkStart w:id="352" w:name="_Hlk31321023"/>
      <w:bookmarkEnd w:id="343"/>
      <w:r w:rsidRPr="0024184F">
        <w:t>Local hui</w:t>
      </w:r>
      <w:bookmarkEnd w:id="344"/>
      <w:bookmarkEnd w:id="345"/>
      <w:bookmarkEnd w:id="346"/>
      <w:r>
        <w:t>:</w:t>
      </w:r>
      <w:r w:rsidRPr="0024184F">
        <w:t xml:space="preserve"> </w:t>
      </w:r>
      <w:r>
        <w:t>s</w:t>
      </w:r>
      <w:r w:rsidRPr="0024184F">
        <w:t>tage 2</w:t>
      </w:r>
      <w:bookmarkEnd w:id="347"/>
      <w:bookmarkEnd w:id="348"/>
      <w:bookmarkEnd w:id="349"/>
      <w:bookmarkEnd w:id="350"/>
    </w:p>
    <w:p w14:paraId="6CF4C176" w14:textId="1D3E5CBC" w:rsidR="009D36BB" w:rsidRPr="009E23C3" w:rsidRDefault="009D36BB" w:rsidP="00207121">
      <w:pPr>
        <w:pStyle w:val="BodyText"/>
      </w:pPr>
      <w:r w:rsidRPr="009E23C3">
        <w:t xml:space="preserve">The local hui built on the discussions started in stage 1, providing specific feedback on the NCCRA </w:t>
      </w:r>
      <w:r w:rsidRPr="00207121">
        <w:t>engagement</w:t>
      </w:r>
      <w:r w:rsidRPr="009E23C3">
        <w:t xml:space="preserve"> process. Key messages include</w:t>
      </w:r>
      <w:r w:rsidR="00866A30">
        <w:t xml:space="preserve"> the following.</w:t>
      </w:r>
    </w:p>
    <w:p w14:paraId="04AEAE67" w14:textId="77777777" w:rsidR="009D36BB" w:rsidRPr="009E23C3" w:rsidRDefault="009D36BB" w:rsidP="00957BB4">
      <w:pPr>
        <w:pStyle w:val="Numberedparagraph"/>
        <w:numPr>
          <w:ilvl w:val="0"/>
          <w:numId w:val="46"/>
        </w:numPr>
      </w:pPr>
      <w:r w:rsidRPr="009E23C3">
        <w:t xml:space="preserve">Te Tiriti o Waitangi should be front and centre of climate change matters, with a genuine partnership between Māori and the Crown. </w:t>
      </w:r>
    </w:p>
    <w:p w14:paraId="3C655380" w14:textId="590F7437" w:rsidR="009D36BB" w:rsidRPr="009E23C3" w:rsidRDefault="009D36BB" w:rsidP="009D36BB">
      <w:pPr>
        <w:pStyle w:val="Numberedparagraph"/>
      </w:pPr>
      <w:r w:rsidRPr="009E23C3">
        <w:t>Māori are diverse and identify in many ways, for example,</w:t>
      </w:r>
      <w:r w:rsidR="00CE6231">
        <w:t xml:space="preserve"> as</w:t>
      </w:r>
      <w:r w:rsidRPr="009E23C3">
        <w:t xml:space="preserve"> iwi, whānau, clustered wh</w:t>
      </w:r>
      <w:r w:rsidR="00866A30">
        <w:rPr>
          <w:rFonts w:cs="Calibri"/>
        </w:rPr>
        <w:t>ā</w:t>
      </w:r>
      <w:r w:rsidRPr="009E23C3">
        <w:t>nau,</w:t>
      </w:r>
      <w:r w:rsidR="00866A30">
        <w:t xml:space="preserve"> and</w:t>
      </w:r>
      <w:r w:rsidRPr="009E23C3">
        <w:t xml:space="preserve"> hapū. Climate risks and opportunities will be different for these different groups and communities. Some iwi</w:t>
      </w:r>
      <w:r w:rsidR="00E95629">
        <w:t xml:space="preserve">, </w:t>
      </w:r>
      <w:r w:rsidRPr="009E23C3">
        <w:t xml:space="preserve">hapū and Māori businesses are well advanced in their thinking on climate change but for others, this kaupapa (topic) is new. </w:t>
      </w:r>
    </w:p>
    <w:p w14:paraId="1641242D" w14:textId="77777777" w:rsidR="009D36BB" w:rsidRPr="009E23C3" w:rsidRDefault="009D36BB" w:rsidP="009D36BB">
      <w:pPr>
        <w:pStyle w:val="Numberedparagraph"/>
      </w:pPr>
      <w:r w:rsidRPr="009E23C3">
        <w:lastRenderedPageBreak/>
        <w:t>Māori are a resilient people who have experienced many changes over many generations. From a circular and regenerative perspective, there may be changes, and with these comes a certain level of loss. However, changes bring new opportunities, such as Māori determining alternative adaptations in terms of how they might enhance their socio-cultural and ecological values, and envisage new economic contributions.</w:t>
      </w:r>
    </w:p>
    <w:p w14:paraId="5C15A18C" w14:textId="77777777" w:rsidR="009D36BB" w:rsidRPr="009E23C3" w:rsidRDefault="009D36BB" w:rsidP="009D36BB">
      <w:pPr>
        <w:pStyle w:val="Numberedparagraph"/>
      </w:pPr>
      <w:r w:rsidRPr="009E23C3">
        <w:t xml:space="preserve">A Māori assessment of climate change would include whakapapa, identity and strength. </w:t>
      </w:r>
    </w:p>
    <w:p w14:paraId="44E35179" w14:textId="77777777" w:rsidR="009D36BB" w:rsidRPr="009E23C3" w:rsidRDefault="009D36BB" w:rsidP="009D36BB">
      <w:pPr>
        <w:pStyle w:val="Numberedparagraph"/>
      </w:pPr>
      <w:r w:rsidRPr="009E23C3">
        <w:t xml:space="preserve">Many Māori perspectives do not fit comfortably into the risk assessment framework. In particular, the division into five domains has proved a barrier to articulating the Māori view of climate change. </w:t>
      </w:r>
    </w:p>
    <w:p w14:paraId="5FB97216" w14:textId="5BECFEF1" w:rsidR="009D36BB" w:rsidRPr="009E23C3" w:rsidRDefault="009D36BB" w:rsidP="009D36BB">
      <w:pPr>
        <w:pStyle w:val="Numberedparagraph"/>
      </w:pPr>
      <w:r w:rsidRPr="009E23C3">
        <w:t>Māori are solution-focused and are generating their own climate change plans</w:t>
      </w:r>
      <w:r w:rsidR="00E95629">
        <w:t>,</w:t>
      </w:r>
      <w:r w:rsidRPr="009E23C3">
        <w:t xml:space="preserve"> which articulate values, issues and aspirations about risks and adaptation.</w:t>
      </w:r>
    </w:p>
    <w:p w14:paraId="685A9BBE" w14:textId="05CF0022" w:rsidR="009D36BB" w:rsidRPr="009E23C3" w:rsidRDefault="009D36BB" w:rsidP="009D36BB">
      <w:pPr>
        <w:pStyle w:val="Numberedparagraph"/>
      </w:pPr>
      <w:r w:rsidRPr="009E23C3">
        <w:t xml:space="preserve">Socio-economic issues make many Māori communities particularly vulnerable to climate change. This is exacerbated where </w:t>
      </w:r>
      <w:r w:rsidR="00885DA7">
        <w:t xml:space="preserve">Te Tiriti </w:t>
      </w:r>
      <w:r w:rsidR="00A50805" w:rsidRPr="009E23C3">
        <w:t xml:space="preserve">settlement </w:t>
      </w:r>
      <w:r w:rsidRPr="009E23C3">
        <w:t xml:space="preserve">land is in areas that may be affected by coastal change, for example, along the coast or on contaminated sites. </w:t>
      </w:r>
    </w:p>
    <w:p w14:paraId="7715BB7C" w14:textId="2DA0444D" w:rsidR="009D36BB" w:rsidRPr="009E23C3" w:rsidRDefault="009D36BB" w:rsidP="00207121">
      <w:pPr>
        <w:pStyle w:val="BodyText"/>
      </w:pPr>
      <w:r w:rsidRPr="009E23C3">
        <w:t>The project team, with the guidance of Sir John Clarke (Project Kaum</w:t>
      </w:r>
      <w:r w:rsidRPr="009E23C3">
        <w:rPr>
          <w:rFonts w:cs="Arial"/>
        </w:rPr>
        <w:t>ā</w:t>
      </w:r>
      <w:r w:rsidRPr="009E23C3">
        <w:t xml:space="preserve">tua), </w:t>
      </w:r>
      <w:bookmarkStart w:id="353" w:name="_Hlk38808023"/>
      <w:r w:rsidRPr="009E23C3">
        <w:t xml:space="preserve">Dr Huhana Smith and Dr </w:t>
      </w:r>
      <w:r w:rsidRPr="00207121">
        <w:t>Darren</w:t>
      </w:r>
      <w:r w:rsidRPr="009E23C3">
        <w:t xml:space="preserve"> Ngaru King (</w:t>
      </w:r>
      <w:r w:rsidRPr="009E23C3">
        <w:rPr>
          <w:rFonts w:cs="Arial"/>
        </w:rPr>
        <w:t>Lead Advisors, Māori</w:t>
      </w:r>
      <w:r w:rsidRPr="009E23C3">
        <w:t xml:space="preserve">), </w:t>
      </w:r>
      <w:bookmarkEnd w:id="353"/>
      <w:r w:rsidRPr="009E23C3">
        <w:t>built on the information from stage</w:t>
      </w:r>
      <w:r w:rsidR="00E95629">
        <w:t>s</w:t>
      </w:r>
      <w:r w:rsidRPr="009E23C3">
        <w:t xml:space="preserve"> 1 and 2 to bring the k</w:t>
      </w:r>
      <w:r w:rsidRPr="009E23C3">
        <w:rPr>
          <w:rFonts w:cs="Arial"/>
        </w:rPr>
        <w:t>ō</w:t>
      </w:r>
      <w:r w:rsidRPr="009E23C3">
        <w:t xml:space="preserve">rero from these hui and workshops into the </w:t>
      </w:r>
      <w:hyperlink r:id="rId56" w:history="1">
        <w:r w:rsidRPr="007135DE">
          <w:rPr>
            <w:rStyle w:val="Hyperlink"/>
          </w:rPr>
          <w:t>main report</w:t>
        </w:r>
      </w:hyperlink>
      <w:r w:rsidRPr="009E23C3">
        <w:t xml:space="preserve"> in terms of structure, framing and content. </w:t>
      </w:r>
    </w:p>
    <w:p w14:paraId="17C680BB" w14:textId="4D8047AD" w:rsidR="009D36BB" w:rsidRPr="0024184F" w:rsidRDefault="009D36BB" w:rsidP="00957BB4">
      <w:pPr>
        <w:pStyle w:val="Heading2"/>
        <w:numPr>
          <w:ilvl w:val="0"/>
          <w:numId w:val="44"/>
        </w:numPr>
      </w:pPr>
      <w:bookmarkStart w:id="354" w:name="_Toc35492288"/>
      <w:bookmarkStart w:id="355" w:name="_Toc37088751"/>
      <w:bookmarkStart w:id="356" w:name="_Toc37419401"/>
      <w:bookmarkStart w:id="357" w:name="_Toc40686571"/>
      <w:bookmarkStart w:id="358" w:name="_Toc45898321"/>
      <w:r w:rsidRPr="0024184F">
        <w:t xml:space="preserve">Online </w:t>
      </w:r>
      <w:bookmarkEnd w:id="351"/>
      <w:bookmarkEnd w:id="352"/>
      <w:r w:rsidRPr="0024184F">
        <w:t>survey</w:t>
      </w:r>
      <w:bookmarkEnd w:id="354"/>
      <w:r>
        <w:t>:</w:t>
      </w:r>
      <w:r w:rsidRPr="0024184F">
        <w:t xml:space="preserve"> </w:t>
      </w:r>
      <w:r>
        <w:t>s</w:t>
      </w:r>
      <w:r w:rsidRPr="0024184F">
        <w:t>tage 2</w:t>
      </w:r>
      <w:bookmarkEnd w:id="355"/>
      <w:bookmarkEnd w:id="356"/>
      <w:bookmarkEnd w:id="357"/>
      <w:bookmarkEnd w:id="358"/>
    </w:p>
    <w:p w14:paraId="35454300" w14:textId="323A5122" w:rsidR="009D36BB" w:rsidRPr="0024184F" w:rsidRDefault="009D36BB" w:rsidP="00207121">
      <w:pPr>
        <w:pStyle w:val="BodyText"/>
      </w:pPr>
      <w:r w:rsidRPr="0024184F">
        <w:t>The survey, which focused on adaptation measures, was sent to target stakeholders unable to</w:t>
      </w:r>
      <w:r w:rsidR="00643AB9">
        <w:t> </w:t>
      </w:r>
      <w:r w:rsidRPr="0024184F">
        <w:t xml:space="preserve">attend the workshops. A total of 22 </w:t>
      </w:r>
      <w:r>
        <w:t xml:space="preserve">anonymous </w:t>
      </w:r>
      <w:r w:rsidRPr="0024184F">
        <w:t xml:space="preserve">responses were received, </w:t>
      </w:r>
      <w:r>
        <w:t>addressing</w:t>
      </w:r>
      <w:r w:rsidRPr="0024184F">
        <w:t xml:space="preserve"> the following areas:</w:t>
      </w:r>
    </w:p>
    <w:p w14:paraId="3D283243" w14:textId="1CE8C6A3" w:rsidR="009D36BB" w:rsidRPr="00F5709B" w:rsidRDefault="009D36BB" w:rsidP="00F5709B">
      <w:pPr>
        <w:pStyle w:val="Bullet"/>
      </w:pPr>
      <w:r w:rsidRPr="00F5709B">
        <w:t>human</w:t>
      </w:r>
      <w:r w:rsidR="00E95629">
        <w:t xml:space="preserve"> </w:t>
      </w:r>
      <w:r w:rsidRPr="00F5709B">
        <w:t>– Māori/iwi, historic or cultural heritage</w:t>
      </w:r>
    </w:p>
    <w:p w14:paraId="4A1D1752" w14:textId="77777777" w:rsidR="009D36BB" w:rsidRPr="00F5709B" w:rsidRDefault="009D36BB" w:rsidP="00F5709B">
      <w:pPr>
        <w:pStyle w:val="Bullet"/>
      </w:pPr>
      <w:r w:rsidRPr="00F5709B">
        <w:t>natural environment – particularly biosecurity</w:t>
      </w:r>
    </w:p>
    <w:p w14:paraId="59147C9B" w14:textId="77777777" w:rsidR="009D36BB" w:rsidRPr="00F5709B" w:rsidRDefault="009D36BB" w:rsidP="00F5709B">
      <w:pPr>
        <w:pStyle w:val="Bullet"/>
      </w:pPr>
      <w:r w:rsidRPr="00F5709B">
        <w:t>economy – particularly tourism, insurance</w:t>
      </w:r>
    </w:p>
    <w:p w14:paraId="01FD1BA8" w14:textId="77777777" w:rsidR="009D36BB" w:rsidRPr="00F5709B" w:rsidRDefault="009D36BB" w:rsidP="00F5709B">
      <w:pPr>
        <w:pStyle w:val="Bullet"/>
      </w:pPr>
      <w:r w:rsidRPr="00F5709B">
        <w:t>built environment – particularly three waters</w:t>
      </w:r>
    </w:p>
    <w:p w14:paraId="661AAB3C" w14:textId="77777777" w:rsidR="009D36BB" w:rsidRPr="009E23C3" w:rsidRDefault="009D36BB" w:rsidP="00F5709B">
      <w:pPr>
        <w:pStyle w:val="Bullet"/>
      </w:pPr>
      <w:r w:rsidRPr="00F5709B">
        <w:t>governa</w:t>
      </w:r>
      <w:r w:rsidRPr="009E23C3">
        <w:t>nce.</w:t>
      </w:r>
    </w:p>
    <w:p w14:paraId="28280746" w14:textId="1E4C59A4" w:rsidR="009D36BB" w:rsidRPr="0024184F" w:rsidRDefault="009D36BB" w:rsidP="00F5709B">
      <w:pPr>
        <w:pStyle w:val="BodyText"/>
      </w:pPr>
      <w:r w:rsidRPr="0024184F">
        <w:t xml:space="preserve">These responses were collated with the adaptation information collected during the workshops, along with a review of the CCATWG </w:t>
      </w:r>
      <w:r>
        <w:t>s</w:t>
      </w:r>
      <w:r w:rsidRPr="0024184F">
        <w:t xml:space="preserve">tocktake </w:t>
      </w:r>
      <w:r>
        <w:t>r</w:t>
      </w:r>
      <w:r w:rsidRPr="0024184F">
        <w:t>eport, which fed directly into</w:t>
      </w:r>
      <w:r w:rsidR="00CB1F4D">
        <w:t> </w:t>
      </w:r>
      <w:r w:rsidRPr="0024184F">
        <w:t>the</w:t>
      </w:r>
      <w:r w:rsidR="00F5709B">
        <w:t> </w:t>
      </w:r>
      <w:r w:rsidRPr="0024184F">
        <w:t>project team’s adaptation and decision urgency assessment.</w:t>
      </w:r>
    </w:p>
    <w:p w14:paraId="22ABD72E" w14:textId="002CDDAF" w:rsidR="009D36BB" w:rsidRPr="0024184F" w:rsidRDefault="009D36BB" w:rsidP="00957BB4">
      <w:pPr>
        <w:pStyle w:val="Heading2"/>
        <w:numPr>
          <w:ilvl w:val="0"/>
          <w:numId w:val="44"/>
        </w:numPr>
      </w:pPr>
      <w:bookmarkStart w:id="359" w:name="_Focused_meetings:_stage"/>
      <w:bookmarkStart w:id="360" w:name="_Toc35492289"/>
      <w:bookmarkStart w:id="361" w:name="_Ref34342317"/>
      <w:bookmarkStart w:id="362" w:name="_Toc37088752"/>
      <w:bookmarkStart w:id="363" w:name="_Ref37412931"/>
      <w:bookmarkStart w:id="364" w:name="_Toc37419402"/>
      <w:bookmarkStart w:id="365" w:name="_Toc40686572"/>
      <w:bookmarkStart w:id="366" w:name="_Toc45898322"/>
      <w:bookmarkEnd w:id="359"/>
      <w:r w:rsidRPr="0024184F">
        <w:t xml:space="preserve">Focused </w:t>
      </w:r>
      <w:bookmarkEnd w:id="360"/>
      <w:bookmarkEnd w:id="361"/>
      <w:r w:rsidRPr="0024184F">
        <w:t>meetings</w:t>
      </w:r>
      <w:r>
        <w:t>:</w:t>
      </w:r>
      <w:r w:rsidRPr="0024184F">
        <w:t xml:space="preserve"> </w:t>
      </w:r>
      <w:r>
        <w:t>s</w:t>
      </w:r>
      <w:r w:rsidRPr="0024184F">
        <w:t>tage 2</w:t>
      </w:r>
      <w:bookmarkEnd w:id="362"/>
      <w:bookmarkEnd w:id="363"/>
      <w:bookmarkEnd w:id="364"/>
      <w:bookmarkEnd w:id="365"/>
      <w:bookmarkEnd w:id="366"/>
      <w:r>
        <w:t xml:space="preserve"> </w:t>
      </w:r>
    </w:p>
    <w:p w14:paraId="356AD5E1" w14:textId="6A2FF208" w:rsidR="009D36BB" w:rsidRPr="009E23C3" w:rsidRDefault="009D36BB" w:rsidP="00D95DBB">
      <w:pPr>
        <w:pStyle w:val="BodyText"/>
        <w:spacing w:before="100" w:after="100"/>
      </w:pPr>
      <w:bookmarkStart w:id="367" w:name="_Toc27038641"/>
      <w:bookmarkStart w:id="368" w:name="_Toc30408410"/>
      <w:r w:rsidRPr="009E23C3">
        <w:t xml:space="preserve">The project team </w:t>
      </w:r>
      <w:r w:rsidRPr="00446014">
        <w:t>undertook</w:t>
      </w:r>
      <w:r w:rsidRPr="009E23C3">
        <w:t xml:space="preserve"> specific outreach to target stakeholders and risk owners who did</w:t>
      </w:r>
      <w:r w:rsidR="00CB1F4D">
        <w:t> </w:t>
      </w:r>
      <w:r w:rsidRPr="009E23C3">
        <w:t xml:space="preserve">not participate in the workshops, hui or survey. </w:t>
      </w:r>
      <w:hyperlink w:anchor="table10" w:history="1">
        <w:r w:rsidRPr="00E95629">
          <w:rPr>
            <w:rStyle w:val="Hyperlink"/>
          </w:rPr>
          <w:t>Table 10</w:t>
        </w:r>
      </w:hyperlink>
      <w:r w:rsidRPr="009E23C3">
        <w:t xml:space="preserve"> summarises the outcomes.</w:t>
      </w:r>
    </w:p>
    <w:p w14:paraId="5E9BEE3B" w14:textId="68021E21" w:rsidR="009D36BB" w:rsidRPr="0024184F" w:rsidRDefault="009D36BB" w:rsidP="0061029E">
      <w:pPr>
        <w:pStyle w:val="Tableheading"/>
      </w:pPr>
      <w:bookmarkStart w:id="369" w:name="_Ref35668557"/>
      <w:bookmarkStart w:id="370" w:name="_Ref35611784"/>
      <w:bookmarkStart w:id="371" w:name="table10"/>
      <w:bookmarkStart w:id="372" w:name="_Toc37419425"/>
      <w:bookmarkStart w:id="373" w:name="_Toc40686598"/>
      <w:bookmarkStart w:id="374" w:name="_Toc43899326"/>
      <w:r w:rsidRPr="0024184F">
        <w:t xml:space="preserve">Table </w:t>
      </w:r>
      <w:fldSimple w:instr=" SEQ Table \* ARABIC ">
        <w:r w:rsidR="001B2025">
          <w:rPr>
            <w:noProof/>
          </w:rPr>
          <w:t>10</w:t>
        </w:r>
      </w:fldSimple>
      <w:bookmarkEnd w:id="369"/>
      <w:bookmarkEnd w:id="370"/>
      <w:r w:rsidR="00880686">
        <w:t>:</w:t>
      </w:r>
      <w:bookmarkEnd w:id="371"/>
      <w:r w:rsidRPr="0024184F">
        <w:tab/>
        <w:t>Focused outreach summary</w:t>
      </w:r>
      <w:bookmarkEnd w:id="372"/>
      <w:bookmarkEnd w:id="373"/>
      <w:bookmarkEnd w:id="374"/>
    </w:p>
    <w:tbl>
      <w:tblPr>
        <w:tblW w:w="8505" w:type="dxa"/>
        <w:tblInd w:w="10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3186"/>
        <w:gridCol w:w="5319"/>
      </w:tblGrid>
      <w:tr w:rsidR="00880686" w:rsidRPr="00880686" w14:paraId="256E6CBB" w14:textId="77777777" w:rsidTr="00880686">
        <w:trPr>
          <w:trHeight w:val="340"/>
          <w:tblHeader/>
        </w:trPr>
        <w:tc>
          <w:tcPr>
            <w:tcW w:w="1873" w:type="pct"/>
            <w:shd w:val="clear" w:color="auto" w:fill="1C556C" w:themeFill="accent1"/>
            <w:tcMar>
              <w:top w:w="0" w:type="dxa"/>
            </w:tcMar>
            <w:vAlign w:val="center"/>
          </w:tcPr>
          <w:p w14:paraId="1F0F30F1" w14:textId="77777777" w:rsidR="009D36BB" w:rsidRPr="00880686" w:rsidRDefault="009D36BB" w:rsidP="00880686">
            <w:pPr>
              <w:pStyle w:val="TableTextBold"/>
              <w:rPr>
                <w:color w:val="FFFFFF" w:themeColor="background1"/>
              </w:rPr>
            </w:pPr>
            <w:r w:rsidRPr="00880686">
              <w:rPr>
                <w:color w:val="FFFFFF" w:themeColor="background1"/>
              </w:rPr>
              <w:t>Stakeholder</w:t>
            </w:r>
          </w:p>
        </w:tc>
        <w:tc>
          <w:tcPr>
            <w:tcW w:w="3127" w:type="pct"/>
            <w:shd w:val="clear" w:color="auto" w:fill="1C556C" w:themeFill="accent1"/>
            <w:tcMar>
              <w:top w:w="0" w:type="dxa"/>
            </w:tcMar>
            <w:vAlign w:val="center"/>
          </w:tcPr>
          <w:p w14:paraId="24D5496C" w14:textId="77777777" w:rsidR="009D36BB" w:rsidRPr="00880686" w:rsidRDefault="009D36BB" w:rsidP="00880686">
            <w:pPr>
              <w:pStyle w:val="TableTextBold"/>
              <w:rPr>
                <w:color w:val="FFFFFF" w:themeColor="background1"/>
              </w:rPr>
            </w:pPr>
            <w:r w:rsidRPr="00880686">
              <w:rPr>
                <w:color w:val="FFFFFF" w:themeColor="background1"/>
              </w:rPr>
              <w:t>Contact</w:t>
            </w:r>
          </w:p>
        </w:tc>
      </w:tr>
      <w:tr w:rsidR="009D36BB" w:rsidRPr="00880686" w14:paraId="39099202" w14:textId="77777777" w:rsidTr="003C14F7">
        <w:tc>
          <w:tcPr>
            <w:tcW w:w="1873" w:type="pct"/>
            <w:shd w:val="clear" w:color="auto" w:fill="auto"/>
            <w:tcMar>
              <w:top w:w="0" w:type="dxa"/>
            </w:tcMar>
          </w:tcPr>
          <w:p w14:paraId="184E1A20" w14:textId="77777777" w:rsidR="009D36BB" w:rsidRPr="00880686" w:rsidRDefault="009D36BB" w:rsidP="00880686">
            <w:pPr>
              <w:pStyle w:val="TableText"/>
            </w:pPr>
            <w:r w:rsidRPr="00880686">
              <w:t xml:space="preserve">Central government </w:t>
            </w:r>
          </w:p>
        </w:tc>
        <w:tc>
          <w:tcPr>
            <w:tcW w:w="3127" w:type="pct"/>
            <w:shd w:val="clear" w:color="auto" w:fill="auto"/>
            <w:tcMar>
              <w:top w:w="0" w:type="dxa"/>
            </w:tcMar>
          </w:tcPr>
          <w:p w14:paraId="074D0F73" w14:textId="17AFB6A1" w:rsidR="009D36BB" w:rsidRPr="00880686" w:rsidRDefault="009D36BB" w:rsidP="00C77102">
            <w:pPr>
              <w:pStyle w:val="TableText"/>
              <w:spacing w:after="40" w:line="230" w:lineRule="atLeast"/>
            </w:pPr>
            <w:r w:rsidRPr="00880686">
              <w:t xml:space="preserve">The Ministry held an inter-agency meeting on adaptation with central government organisations. It sought input on the </w:t>
            </w:r>
            <w:r w:rsidR="00E95629" w:rsidRPr="00880686">
              <w:t xml:space="preserve">central government </w:t>
            </w:r>
            <w:r w:rsidRPr="00880686">
              <w:t xml:space="preserve">adaptation work planned or under way. </w:t>
            </w:r>
          </w:p>
          <w:p w14:paraId="32566FBE" w14:textId="53344BDE" w:rsidR="009D36BB" w:rsidRPr="00880686" w:rsidRDefault="009D36BB" w:rsidP="00E95629">
            <w:pPr>
              <w:pStyle w:val="TableText"/>
              <w:spacing w:before="40" w:line="230" w:lineRule="atLeast"/>
            </w:pPr>
            <w:r w:rsidRPr="00880686">
              <w:t>The list of adaptation actions captured through the workshops, survey and review of the CCATWG stocktake report was circulated to</w:t>
            </w:r>
            <w:r w:rsidR="004E2A24">
              <w:t> </w:t>
            </w:r>
            <w:r w:rsidRPr="00880686">
              <w:t xml:space="preserve">over 70 central government representatives before and after the </w:t>
            </w:r>
            <w:r w:rsidRPr="00880686">
              <w:lastRenderedPageBreak/>
              <w:t xml:space="preserve">meeting. Input was received after the meeting from Ministry for Culture and Heritage, Heritage New Zealand, Ministry for Primary Industries, Ministry </w:t>
            </w:r>
            <w:r w:rsidR="00E95629">
              <w:t>of</w:t>
            </w:r>
            <w:r w:rsidR="00E95629" w:rsidRPr="00880686">
              <w:t xml:space="preserve"> </w:t>
            </w:r>
            <w:r w:rsidRPr="00880686">
              <w:t>Business, Innovation and Employment, and Te</w:t>
            </w:r>
            <w:r w:rsidR="00C467E7">
              <w:t> </w:t>
            </w:r>
            <w:r w:rsidRPr="00880686">
              <w:t>Puni Kōkiri.</w:t>
            </w:r>
          </w:p>
        </w:tc>
      </w:tr>
      <w:tr w:rsidR="009D36BB" w:rsidRPr="0024184F" w14:paraId="25B9AC11" w14:textId="77777777" w:rsidTr="003C14F7">
        <w:tc>
          <w:tcPr>
            <w:tcW w:w="1873" w:type="pct"/>
            <w:shd w:val="clear" w:color="auto" w:fill="auto"/>
            <w:tcMar>
              <w:top w:w="0" w:type="dxa"/>
            </w:tcMar>
          </w:tcPr>
          <w:p w14:paraId="3F33233B" w14:textId="77777777" w:rsidR="009D36BB" w:rsidRPr="007C701C" w:rsidRDefault="009D36BB" w:rsidP="00F70A70">
            <w:pPr>
              <w:pStyle w:val="TableText"/>
            </w:pPr>
            <w:r w:rsidRPr="009E23C3">
              <w:lastRenderedPageBreak/>
              <w:t xml:space="preserve">Local government </w:t>
            </w:r>
          </w:p>
        </w:tc>
        <w:tc>
          <w:tcPr>
            <w:tcW w:w="3127" w:type="pct"/>
            <w:shd w:val="clear" w:color="auto" w:fill="auto"/>
            <w:tcMar>
              <w:top w:w="0" w:type="dxa"/>
            </w:tcMar>
          </w:tcPr>
          <w:p w14:paraId="27DB535F" w14:textId="77777777" w:rsidR="009D36BB" w:rsidRPr="009203DE" w:rsidRDefault="009D36BB" w:rsidP="00C77102">
            <w:pPr>
              <w:pStyle w:val="TableText"/>
              <w:spacing w:after="40" w:line="230" w:lineRule="atLeast"/>
            </w:pPr>
            <w:r w:rsidRPr="009203DE">
              <w:t xml:space="preserve">With the Ministry, the engagement team met on 3 March 2020 with local government </w:t>
            </w:r>
            <w:r w:rsidRPr="00880686">
              <w:t>representatives</w:t>
            </w:r>
            <w:r w:rsidRPr="009203DE">
              <w:t xml:space="preserve"> to:</w:t>
            </w:r>
          </w:p>
          <w:p w14:paraId="241A1B2F" w14:textId="5A2E8572" w:rsidR="009D36BB" w:rsidRPr="009203DE" w:rsidRDefault="009D36BB" w:rsidP="00C77102">
            <w:pPr>
              <w:pStyle w:val="TableBullet"/>
              <w:spacing w:after="40" w:line="230" w:lineRule="atLeast"/>
            </w:pPr>
            <w:r w:rsidRPr="009203DE">
              <w:t>check that the project team had sufficiently captured adapt</w:t>
            </w:r>
            <w:r w:rsidR="00E366E7">
              <w:t>at</w:t>
            </w:r>
            <w:r w:rsidRPr="009203DE">
              <w:t>ion measures by local government risk owners</w:t>
            </w:r>
          </w:p>
          <w:p w14:paraId="1891B258" w14:textId="4B1A4F42" w:rsidR="009D36BB" w:rsidRPr="009203DE" w:rsidRDefault="009D36BB" w:rsidP="00C77102">
            <w:pPr>
              <w:pStyle w:val="TableBullet"/>
              <w:spacing w:after="40" w:line="230" w:lineRule="atLeast"/>
            </w:pPr>
            <w:r w:rsidRPr="009203DE">
              <w:t>conclude discussions on the risk assessment and acknowledge local government</w:t>
            </w:r>
            <w:r w:rsidR="00E366E7">
              <w:t xml:space="preserve"> and </w:t>
            </w:r>
            <w:r w:rsidRPr="009203DE">
              <w:t>central government involvement in this work</w:t>
            </w:r>
          </w:p>
          <w:p w14:paraId="28738C66" w14:textId="77777777" w:rsidR="009D36BB" w:rsidRPr="009203DE" w:rsidRDefault="009D36BB" w:rsidP="00C77102">
            <w:pPr>
              <w:pStyle w:val="TableBullet"/>
              <w:spacing w:after="40" w:line="230" w:lineRule="atLeast"/>
            </w:pPr>
            <w:r w:rsidRPr="009203DE">
              <w:t>advise next steps for project completion.</w:t>
            </w:r>
          </w:p>
          <w:p w14:paraId="73DDE1E5" w14:textId="699343E5" w:rsidR="009D36BB" w:rsidRPr="009203DE" w:rsidRDefault="009D36BB" w:rsidP="00C77102">
            <w:pPr>
              <w:pStyle w:val="TableText"/>
              <w:spacing w:before="40" w:after="40" w:line="230" w:lineRule="atLeast"/>
            </w:pPr>
            <w:r w:rsidRPr="009203DE">
              <w:t>The meeting was attended by about 25 participants, online and in</w:t>
            </w:r>
            <w:r w:rsidR="00C467E7">
              <w:t> </w:t>
            </w:r>
            <w:r w:rsidRPr="009203DE">
              <w:t xml:space="preserve">person. </w:t>
            </w:r>
          </w:p>
          <w:p w14:paraId="222FFAEA" w14:textId="29115AEC" w:rsidR="009D36BB" w:rsidRPr="009E23C3" w:rsidRDefault="009D36BB" w:rsidP="00E366E7">
            <w:pPr>
              <w:pStyle w:val="TableText"/>
              <w:spacing w:before="40" w:line="230" w:lineRule="atLeast"/>
            </w:pPr>
            <w:r w:rsidRPr="009203DE">
              <w:t xml:space="preserve">The list of adaptation actions captured through the workshops, survey and review of the CCATWG stocktake report </w:t>
            </w:r>
            <w:r w:rsidR="00E366E7">
              <w:t>was</w:t>
            </w:r>
            <w:r w:rsidR="00E366E7" w:rsidRPr="009203DE">
              <w:t xml:space="preserve"> </w:t>
            </w:r>
            <w:r w:rsidRPr="009203DE">
              <w:t>pre</w:t>
            </w:r>
            <w:r w:rsidR="004E2A24">
              <w:noBreakHyphen/>
            </w:r>
            <w:r w:rsidRPr="009203DE">
              <w:t>circulated and comment sought on gaps and additions. Additional input was received at the meeting and follow-up input was</w:t>
            </w:r>
            <w:r w:rsidR="004E2A24">
              <w:t> </w:t>
            </w:r>
            <w:r w:rsidRPr="009203DE">
              <w:t>received from the Ministry (landfills and cultural heritage), Hawke’s Bay Regional Council and Otago Regional Council.</w:t>
            </w:r>
          </w:p>
        </w:tc>
      </w:tr>
      <w:tr w:rsidR="009D36BB" w:rsidRPr="00880686" w14:paraId="1E6C466C" w14:textId="77777777" w:rsidTr="003C14F7">
        <w:tc>
          <w:tcPr>
            <w:tcW w:w="1873" w:type="pct"/>
            <w:shd w:val="clear" w:color="auto" w:fill="auto"/>
            <w:tcMar>
              <w:top w:w="0" w:type="dxa"/>
            </w:tcMar>
          </w:tcPr>
          <w:p w14:paraId="5F0ABF79" w14:textId="77777777" w:rsidR="009D36BB" w:rsidRPr="00880686" w:rsidRDefault="009D36BB" w:rsidP="00880686">
            <w:pPr>
              <w:pStyle w:val="TableText"/>
            </w:pPr>
            <w:r w:rsidRPr="00880686">
              <w:t>Airports</w:t>
            </w:r>
          </w:p>
        </w:tc>
        <w:tc>
          <w:tcPr>
            <w:tcW w:w="3127" w:type="pct"/>
            <w:shd w:val="clear" w:color="auto" w:fill="auto"/>
            <w:tcMar>
              <w:top w:w="0" w:type="dxa"/>
            </w:tcMar>
          </w:tcPr>
          <w:p w14:paraId="3A6060BF" w14:textId="77777777" w:rsidR="009D36BB" w:rsidRPr="00880686" w:rsidRDefault="009D36BB" w:rsidP="00C77102">
            <w:pPr>
              <w:pStyle w:val="TableText"/>
              <w:spacing w:line="230" w:lineRule="atLeast"/>
            </w:pPr>
            <w:r w:rsidRPr="00880686">
              <w:t>The project team convened a conference phone call on 9 March 2020 to discuss specific risks to airports. This was attended by Auckland Airport, Christchurch Airport, Queenstown Airport and New Zealand Airports Association. The invitation also included Wellington Airport. This discussion fed straight into the assessment of the built environment risks.</w:t>
            </w:r>
          </w:p>
        </w:tc>
      </w:tr>
      <w:tr w:rsidR="009D36BB" w:rsidRPr="00880686" w14:paraId="1AFBA6D7" w14:textId="77777777" w:rsidTr="003C14F7">
        <w:tc>
          <w:tcPr>
            <w:tcW w:w="1873" w:type="pct"/>
            <w:shd w:val="clear" w:color="auto" w:fill="auto"/>
            <w:tcMar>
              <w:top w:w="0" w:type="dxa"/>
            </w:tcMar>
          </w:tcPr>
          <w:p w14:paraId="3AD65834" w14:textId="77777777" w:rsidR="009D36BB" w:rsidRPr="00880686" w:rsidRDefault="009D36BB" w:rsidP="00880686">
            <w:pPr>
              <w:pStyle w:val="TableText"/>
            </w:pPr>
            <w:r w:rsidRPr="00880686">
              <w:t>Health sector</w:t>
            </w:r>
          </w:p>
        </w:tc>
        <w:tc>
          <w:tcPr>
            <w:tcW w:w="3127" w:type="pct"/>
            <w:shd w:val="clear" w:color="auto" w:fill="auto"/>
            <w:tcMar>
              <w:top w:w="0" w:type="dxa"/>
            </w:tcMar>
          </w:tcPr>
          <w:p w14:paraId="4C029ADB" w14:textId="4B55AF28" w:rsidR="009D36BB" w:rsidRPr="00880686" w:rsidRDefault="009D36BB" w:rsidP="00E366E7">
            <w:pPr>
              <w:pStyle w:val="TableText"/>
              <w:spacing w:line="230" w:lineRule="atLeast"/>
            </w:pPr>
            <w:r w:rsidRPr="00880686">
              <w:t>A meeting was held with Auckland District Health Board (DHB) on</w:t>
            </w:r>
            <w:r w:rsidR="00C370A7">
              <w:t> </w:t>
            </w:r>
            <w:r w:rsidRPr="00880686">
              <w:t>4</w:t>
            </w:r>
            <w:r w:rsidR="00C467E7">
              <w:t> </w:t>
            </w:r>
            <w:r w:rsidRPr="00880686">
              <w:t xml:space="preserve">December 2020 to discuss </w:t>
            </w:r>
            <w:r w:rsidR="00592516">
              <w:t xml:space="preserve">the </w:t>
            </w:r>
            <w:r w:rsidRPr="00880686">
              <w:t xml:space="preserve">NCCRA process and the national workshop, which was followed up with an email detailing the stage 2 workshops. Auckland DHB later attended relevant workshops. There were email exchanges with Canterbury DHB and others in the health sector due to concern that </w:t>
            </w:r>
            <w:r w:rsidR="00E366E7" w:rsidRPr="00880686">
              <w:t>the</w:t>
            </w:r>
            <w:r w:rsidR="00E366E7">
              <w:t xml:space="preserve"> health sector </w:t>
            </w:r>
            <w:r w:rsidRPr="00880686">
              <w:t xml:space="preserve">had not been </w:t>
            </w:r>
            <w:r w:rsidR="00E366E7">
              <w:t xml:space="preserve">involved </w:t>
            </w:r>
            <w:r w:rsidRPr="00880686">
              <w:t>enough in stage</w:t>
            </w:r>
            <w:r w:rsidR="00E366E7">
              <w:t xml:space="preserve"> 1</w:t>
            </w:r>
            <w:r w:rsidRPr="00880686">
              <w:t xml:space="preserve">. </w:t>
            </w:r>
          </w:p>
        </w:tc>
      </w:tr>
      <w:tr w:rsidR="009D36BB" w:rsidRPr="0024184F" w14:paraId="12B07825" w14:textId="77777777" w:rsidTr="003C14F7">
        <w:tc>
          <w:tcPr>
            <w:tcW w:w="1873" w:type="pct"/>
            <w:shd w:val="clear" w:color="auto" w:fill="auto"/>
            <w:tcMar>
              <w:top w:w="0" w:type="dxa"/>
            </w:tcMar>
          </w:tcPr>
          <w:p w14:paraId="433C536E" w14:textId="77777777" w:rsidR="009D36BB" w:rsidRPr="007C701C" w:rsidRDefault="009D36BB" w:rsidP="00F70A70">
            <w:pPr>
              <w:pStyle w:val="TableText"/>
            </w:pPr>
            <w:r w:rsidRPr="007C701C">
              <w:t>Experts identified by the domain leads and other stakeholders as holding knowledge about specific priority risks</w:t>
            </w:r>
          </w:p>
        </w:tc>
        <w:tc>
          <w:tcPr>
            <w:tcW w:w="3127" w:type="pct"/>
            <w:shd w:val="clear" w:color="auto" w:fill="auto"/>
            <w:tcMar>
              <w:top w:w="0" w:type="dxa"/>
            </w:tcMar>
          </w:tcPr>
          <w:p w14:paraId="7C598E2E" w14:textId="77777777" w:rsidR="009D36BB" w:rsidRPr="007C701C" w:rsidRDefault="009D36BB" w:rsidP="00C77102">
            <w:pPr>
              <w:pStyle w:val="TableText"/>
              <w:spacing w:line="230" w:lineRule="atLeast"/>
            </w:pPr>
            <w:r w:rsidRPr="007C701C">
              <w:t>Key experts who could not attend the workshops were encouraged via email to complete the survey. This included specialists in lake ecology and heritage.</w:t>
            </w:r>
          </w:p>
        </w:tc>
      </w:tr>
      <w:tr w:rsidR="009D36BB" w:rsidRPr="0024184F" w14:paraId="3D09AE73" w14:textId="77777777" w:rsidTr="003C14F7">
        <w:tc>
          <w:tcPr>
            <w:tcW w:w="1873" w:type="pct"/>
            <w:shd w:val="clear" w:color="auto" w:fill="auto"/>
            <w:tcMar>
              <w:top w:w="0" w:type="dxa"/>
            </w:tcMar>
          </w:tcPr>
          <w:p w14:paraId="16FDD99E" w14:textId="77777777" w:rsidR="009D36BB" w:rsidRPr="007C701C" w:rsidRDefault="009D36BB" w:rsidP="00F70A70">
            <w:pPr>
              <w:pStyle w:val="TableText"/>
            </w:pPr>
            <w:r w:rsidRPr="007C701C">
              <w:t>Youth-led climate organisations (Generation Zero and School Strike 4 Climate)</w:t>
            </w:r>
          </w:p>
        </w:tc>
        <w:tc>
          <w:tcPr>
            <w:tcW w:w="3127" w:type="pct"/>
            <w:shd w:val="clear" w:color="auto" w:fill="auto"/>
            <w:tcMar>
              <w:top w:w="0" w:type="dxa"/>
            </w:tcMar>
          </w:tcPr>
          <w:p w14:paraId="23924264" w14:textId="2360990B" w:rsidR="009D36BB" w:rsidRPr="007C701C" w:rsidRDefault="009D36BB" w:rsidP="00C77102">
            <w:pPr>
              <w:pStyle w:val="TableText"/>
              <w:spacing w:line="230" w:lineRule="atLeast"/>
            </w:pPr>
            <w:r w:rsidRPr="007C701C">
              <w:t>Generation Zero and School Strike 4 Climate were invited to all the workshops and to join the survey. The project team attempted to contact them via phone and email a number of times in stages 1 and 2. Unfortunately, there has been no response from Generation Zero to date. Initially, School Strike 4 Climate indicated it would attend the workshops, but the times did not suit school hours. No response was received to follow-up emails to arrange a more suitable time.</w:t>
            </w:r>
            <w:r w:rsidR="00467043">
              <w:t xml:space="preserve"> </w:t>
            </w:r>
          </w:p>
        </w:tc>
      </w:tr>
      <w:tr w:rsidR="009D36BB" w:rsidRPr="0024184F" w14:paraId="643DFAC1" w14:textId="77777777" w:rsidTr="003C14F7">
        <w:trPr>
          <w:trHeight w:val="283"/>
        </w:trPr>
        <w:tc>
          <w:tcPr>
            <w:tcW w:w="1873" w:type="pct"/>
            <w:shd w:val="clear" w:color="auto" w:fill="auto"/>
            <w:tcMar>
              <w:top w:w="0" w:type="dxa"/>
            </w:tcMar>
          </w:tcPr>
          <w:p w14:paraId="37764D7E" w14:textId="77777777" w:rsidR="009D36BB" w:rsidRPr="007C701C" w:rsidRDefault="009D36BB" w:rsidP="00F70A70">
            <w:pPr>
              <w:pStyle w:val="TableText"/>
            </w:pPr>
            <w:r w:rsidRPr="007C701C">
              <w:t>Private sector peak bodies</w:t>
            </w:r>
          </w:p>
        </w:tc>
        <w:tc>
          <w:tcPr>
            <w:tcW w:w="3127" w:type="pct"/>
            <w:shd w:val="clear" w:color="auto" w:fill="auto"/>
            <w:tcMar>
              <w:top w:w="0" w:type="dxa"/>
            </w:tcMar>
          </w:tcPr>
          <w:p w14:paraId="50879AD6" w14:textId="48A49173" w:rsidR="009D36BB" w:rsidRPr="007C701C" w:rsidRDefault="009D36BB" w:rsidP="00C77102">
            <w:pPr>
              <w:pStyle w:val="TableText"/>
              <w:spacing w:line="230" w:lineRule="atLeast"/>
            </w:pPr>
            <w:r w:rsidRPr="007C701C">
              <w:t xml:space="preserve">The Insurance Council was contacted via email with a link to the online survey, which </w:t>
            </w:r>
            <w:r w:rsidR="00E366E7">
              <w:t>it</w:t>
            </w:r>
            <w:r w:rsidR="00E366E7" w:rsidRPr="007C701C">
              <w:t xml:space="preserve"> </w:t>
            </w:r>
            <w:r w:rsidRPr="007C701C">
              <w:t>completed. There was follow-up by email and phone call.</w:t>
            </w:r>
          </w:p>
          <w:p w14:paraId="7D4BE931" w14:textId="77777777" w:rsidR="009D36BB" w:rsidRPr="007C701C" w:rsidRDefault="009D36BB" w:rsidP="00C77102">
            <w:pPr>
              <w:pStyle w:val="TableText"/>
              <w:spacing w:line="230" w:lineRule="atLeast"/>
            </w:pPr>
            <w:r w:rsidRPr="007C701C">
              <w:t>Property New Zealand reviewed the online survey and commented via email.</w:t>
            </w:r>
          </w:p>
        </w:tc>
      </w:tr>
      <w:tr w:rsidR="009D36BB" w:rsidRPr="0024184F" w14:paraId="5833F86D" w14:textId="77777777" w:rsidTr="003C14F7">
        <w:trPr>
          <w:trHeight w:val="283"/>
        </w:trPr>
        <w:tc>
          <w:tcPr>
            <w:tcW w:w="1873" w:type="pct"/>
            <w:shd w:val="clear" w:color="auto" w:fill="auto"/>
            <w:tcMar>
              <w:top w:w="0" w:type="dxa"/>
            </w:tcMar>
          </w:tcPr>
          <w:p w14:paraId="38C9A4FE" w14:textId="77777777" w:rsidR="009D36BB" w:rsidRPr="007C701C" w:rsidRDefault="009D36BB" w:rsidP="00F70A70">
            <w:pPr>
              <w:pStyle w:val="TableText"/>
            </w:pPr>
            <w:r w:rsidRPr="007C701C">
              <w:t>Ports</w:t>
            </w:r>
          </w:p>
        </w:tc>
        <w:tc>
          <w:tcPr>
            <w:tcW w:w="3127" w:type="pct"/>
            <w:shd w:val="clear" w:color="auto" w:fill="auto"/>
            <w:tcMar>
              <w:top w:w="0" w:type="dxa"/>
            </w:tcMar>
          </w:tcPr>
          <w:p w14:paraId="2ACB66D0" w14:textId="6A73D64A" w:rsidR="009D36BB" w:rsidRPr="007C701C" w:rsidRDefault="009D36BB" w:rsidP="00C77102">
            <w:pPr>
              <w:pStyle w:val="TableText"/>
              <w:spacing w:line="230" w:lineRule="atLeast"/>
            </w:pPr>
            <w:r w:rsidRPr="007C701C">
              <w:t xml:space="preserve">The project team held a conference phone call on 9 March 2020 to discuss specific risks to ports. This was attended by </w:t>
            </w:r>
            <w:bookmarkStart w:id="375" w:name="_Hlk37085769"/>
            <w:r w:rsidRPr="007C701C">
              <w:t>Northport (Wh</w:t>
            </w:r>
            <w:r w:rsidR="00E366E7">
              <w:t>a</w:t>
            </w:r>
            <w:r w:rsidRPr="007C701C">
              <w:t>ngārei) and Ports of Auckland. The invit</w:t>
            </w:r>
            <w:r w:rsidR="00E366E7">
              <w:t>ation</w:t>
            </w:r>
            <w:r w:rsidRPr="007C701C">
              <w:t xml:space="preserve"> also included Port of Tauranga and Lyttelton Port</w:t>
            </w:r>
            <w:bookmarkEnd w:id="375"/>
            <w:r w:rsidRPr="007C701C">
              <w:t>, but representatives were unable to attend. This discussion fed straight into the assessment of the built environment risks.</w:t>
            </w:r>
          </w:p>
        </w:tc>
      </w:tr>
      <w:tr w:rsidR="009D36BB" w:rsidRPr="0024184F" w14:paraId="465A3C2D" w14:textId="77777777" w:rsidTr="003C14F7">
        <w:trPr>
          <w:trHeight w:val="283"/>
        </w:trPr>
        <w:tc>
          <w:tcPr>
            <w:tcW w:w="1873" w:type="pct"/>
            <w:shd w:val="clear" w:color="auto" w:fill="auto"/>
            <w:tcMar>
              <w:top w:w="0" w:type="dxa"/>
            </w:tcMar>
          </w:tcPr>
          <w:p w14:paraId="5CCE56A5" w14:textId="77777777" w:rsidR="009D36BB" w:rsidRPr="009E23C3" w:rsidRDefault="009D36BB" w:rsidP="00F70A70">
            <w:pPr>
              <w:pStyle w:val="TableText"/>
            </w:pPr>
            <w:r w:rsidRPr="009E23C3">
              <w:lastRenderedPageBreak/>
              <w:t xml:space="preserve">Primary sector </w:t>
            </w:r>
            <w:r w:rsidRPr="007C701C">
              <w:t>peak</w:t>
            </w:r>
            <w:r w:rsidRPr="009E23C3">
              <w:t xml:space="preserve"> bodies</w:t>
            </w:r>
          </w:p>
        </w:tc>
        <w:tc>
          <w:tcPr>
            <w:tcW w:w="3127" w:type="pct"/>
            <w:shd w:val="clear" w:color="auto" w:fill="auto"/>
            <w:tcMar>
              <w:top w:w="0" w:type="dxa"/>
            </w:tcMar>
          </w:tcPr>
          <w:p w14:paraId="72DEEB1A" w14:textId="105BEA3D" w:rsidR="009D36BB" w:rsidRPr="009E23C3" w:rsidRDefault="009D36BB" w:rsidP="00C77102">
            <w:pPr>
              <w:pStyle w:val="TableText"/>
              <w:spacing w:line="230" w:lineRule="atLeast"/>
            </w:pPr>
            <w:r w:rsidRPr="009E23C3">
              <w:t xml:space="preserve">The primary sector was represented at the national workshop, but representation reduced during stage 2 due to the specific nature of the risks and competing priorities at that time of year. Input from representatives was gathered in other ways, </w:t>
            </w:r>
            <w:r w:rsidR="008678C6">
              <w:t>such as through</w:t>
            </w:r>
            <w:r w:rsidRPr="009E23C3">
              <w:t xml:space="preserve"> the survey and phone calls, including from:</w:t>
            </w:r>
          </w:p>
          <w:p w14:paraId="6CEE4B9D" w14:textId="77777777" w:rsidR="009D36BB" w:rsidRPr="009E23C3" w:rsidRDefault="009D36BB" w:rsidP="00C77102">
            <w:pPr>
              <w:pStyle w:val="TableBullet"/>
              <w:spacing w:line="230" w:lineRule="atLeast"/>
            </w:pPr>
            <w:r w:rsidRPr="009E23C3">
              <w:t>DairyNZ</w:t>
            </w:r>
          </w:p>
          <w:p w14:paraId="0CD7B9F4" w14:textId="77777777" w:rsidR="009D36BB" w:rsidRPr="009E23C3" w:rsidRDefault="009D36BB" w:rsidP="00C77102">
            <w:pPr>
              <w:pStyle w:val="TableBullet"/>
              <w:spacing w:line="230" w:lineRule="atLeast"/>
            </w:pPr>
            <w:r w:rsidRPr="009E23C3">
              <w:t>Federated Farmers</w:t>
            </w:r>
          </w:p>
          <w:p w14:paraId="4B05791E" w14:textId="721087A8" w:rsidR="009D36BB" w:rsidRPr="009E23C3" w:rsidRDefault="009D36BB" w:rsidP="00C77102">
            <w:pPr>
              <w:pStyle w:val="TableBullet"/>
              <w:spacing w:line="230" w:lineRule="atLeast"/>
            </w:pPr>
            <w:r w:rsidRPr="009E23C3">
              <w:t xml:space="preserve">Fisheries Inshore </w:t>
            </w:r>
            <w:r w:rsidR="008678C6">
              <w:t>New Zealand</w:t>
            </w:r>
          </w:p>
          <w:p w14:paraId="2C044592" w14:textId="52E320E9" w:rsidR="009D36BB" w:rsidRPr="009E23C3" w:rsidRDefault="009D36BB" w:rsidP="00C77102">
            <w:pPr>
              <w:pStyle w:val="TableBullet"/>
              <w:spacing w:line="230" w:lineRule="atLeast"/>
            </w:pPr>
            <w:r w:rsidRPr="009E23C3">
              <w:t xml:space="preserve">Horticulture </w:t>
            </w:r>
            <w:r w:rsidR="008678C6">
              <w:t>New Zealand</w:t>
            </w:r>
          </w:p>
          <w:p w14:paraId="3AEDCB6E" w14:textId="189F807B" w:rsidR="009D36BB" w:rsidRPr="009E23C3" w:rsidRDefault="009D36BB" w:rsidP="00C77102">
            <w:pPr>
              <w:pStyle w:val="TableBullet"/>
              <w:spacing w:line="230" w:lineRule="atLeast"/>
            </w:pPr>
            <w:r w:rsidRPr="009E23C3">
              <w:t>New Zealand Winegrowers and Bra</w:t>
            </w:r>
            <w:r w:rsidR="00592516">
              <w:t>gat</w:t>
            </w:r>
            <w:r w:rsidRPr="009E23C3">
              <w:t>o Research Institute</w:t>
            </w:r>
          </w:p>
          <w:p w14:paraId="4FA2092F" w14:textId="77777777" w:rsidR="009D36BB" w:rsidRPr="009E23C3" w:rsidRDefault="009D36BB" w:rsidP="00C77102">
            <w:pPr>
              <w:pStyle w:val="TableBullet"/>
              <w:spacing w:line="230" w:lineRule="atLeast"/>
            </w:pPr>
            <w:r w:rsidRPr="009E23C3">
              <w:t>Rural Support National Council</w:t>
            </w:r>
          </w:p>
          <w:p w14:paraId="16474231" w14:textId="77777777" w:rsidR="009D36BB" w:rsidRPr="009E23C3" w:rsidRDefault="009D36BB" w:rsidP="00C77102">
            <w:pPr>
              <w:pStyle w:val="TableBullet"/>
              <w:spacing w:line="230" w:lineRule="atLeast"/>
            </w:pPr>
            <w:r w:rsidRPr="009E23C3">
              <w:t>Rural Women New Zealand.</w:t>
            </w:r>
          </w:p>
          <w:p w14:paraId="46C31DC7" w14:textId="77777777" w:rsidR="009D36BB" w:rsidRPr="009E23C3" w:rsidRDefault="009D36BB" w:rsidP="00C77102">
            <w:pPr>
              <w:pStyle w:val="TableText"/>
              <w:spacing w:line="230" w:lineRule="atLeast"/>
            </w:pPr>
            <w:r w:rsidRPr="009E23C3">
              <w:t xml:space="preserve">Their </w:t>
            </w:r>
            <w:r w:rsidRPr="007C701C">
              <w:t>feedback</w:t>
            </w:r>
            <w:r w:rsidRPr="009E23C3">
              <w:t xml:space="preserve"> was fed into the risk assessment work. </w:t>
            </w:r>
          </w:p>
        </w:tc>
      </w:tr>
      <w:tr w:rsidR="009D36BB" w:rsidRPr="007C701C" w14:paraId="487E4853" w14:textId="77777777" w:rsidTr="003C14F7">
        <w:trPr>
          <w:trHeight w:val="283"/>
        </w:trPr>
        <w:tc>
          <w:tcPr>
            <w:tcW w:w="1873" w:type="pct"/>
            <w:shd w:val="clear" w:color="auto" w:fill="auto"/>
            <w:tcMar>
              <w:top w:w="0" w:type="dxa"/>
            </w:tcMar>
          </w:tcPr>
          <w:p w14:paraId="0EC35EDF" w14:textId="77777777" w:rsidR="009D36BB" w:rsidRPr="007C701C" w:rsidRDefault="009D36BB" w:rsidP="00F70A70">
            <w:pPr>
              <w:pStyle w:val="TableText"/>
            </w:pPr>
            <w:r w:rsidRPr="007C701C">
              <w:t>Tourism sector</w:t>
            </w:r>
          </w:p>
        </w:tc>
        <w:tc>
          <w:tcPr>
            <w:tcW w:w="3127" w:type="pct"/>
            <w:shd w:val="clear" w:color="auto" w:fill="auto"/>
            <w:tcMar>
              <w:top w:w="0" w:type="dxa"/>
            </w:tcMar>
          </w:tcPr>
          <w:p w14:paraId="781B404A" w14:textId="40C7CD15" w:rsidR="009D36BB" w:rsidRPr="007C701C" w:rsidRDefault="009D36BB" w:rsidP="00592516">
            <w:pPr>
              <w:pStyle w:val="TableText"/>
              <w:spacing w:line="230" w:lineRule="atLeast"/>
            </w:pPr>
            <w:r w:rsidRPr="007C701C">
              <w:t xml:space="preserve">The project team followed up with Tourism Industry Aotearoa and Tourism </w:t>
            </w:r>
            <w:r w:rsidR="00592516">
              <w:t>New Zealand</w:t>
            </w:r>
            <w:r w:rsidR="00592516" w:rsidRPr="007C701C">
              <w:t xml:space="preserve"> </w:t>
            </w:r>
            <w:r w:rsidRPr="007C701C">
              <w:t xml:space="preserve">via email after the stage 2 workshops. Additional input was received via the online survey. </w:t>
            </w:r>
          </w:p>
        </w:tc>
      </w:tr>
      <w:tr w:rsidR="009D36BB" w:rsidRPr="007C701C" w14:paraId="16A33ADE" w14:textId="77777777" w:rsidTr="003C14F7">
        <w:trPr>
          <w:trHeight w:val="283"/>
        </w:trPr>
        <w:tc>
          <w:tcPr>
            <w:tcW w:w="1873" w:type="pct"/>
            <w:shd w:val="clear" w:color="auto" w:fill="auto"/>
            <w:tcMar>
              <w:top w:w="0" w:type="dxa"/>
            </w:tcMar>
          </w:tcPr>
          <w:p w14:paraId="2FA9724B" w14:textId="77777777" w:rsidR="009D36BB" w:rsidRPr="007C701C" w:rsidRDefault="009D36BB" w:rsidP="00F70A70">
            <w:pPr>
              <w:pStyle w:val="TableText"/>
            </w:pPr>
            <w:r w:rsidRPr="007C701C">
              <w:t>Electricity sector representatives</w:t>
            </w:r>
          </w:p>
        </w:tc>
        <w:tc>
          <w:tcPr>
            <w:tcW w:w="3127" w:type="pct"/>
            <w:shd w:val="clear" w:color="auto" w:fill="auto"/>
            <w:tcMar>
              <w:top w:w="0" w:type="dxa"/>
            </w:tcMar>
          </w:tcPr>
          <w:p w14:paraId="12926E6E" w14:textId="3AF85007" w:rsidR="009D36BB" w:rsidRPr="007C701C" w:rsidRDefault="009D36BB" w:rsidP="00592516">
            <w:pPr>
              <w:pStyle w:val="TableText"/>
              <w:spacing w:line="230" w:lineRule="atLeast"/>
            </w:pPr>
            <w:r w:rsidRPr="007C701C">
              <w:t xml:space="preserve">A meeting was held with Vector on 6 December 2019 to brief </w:t>
            </w:r>
            <w:r w:rsidR="00592516">
              <w:t xml:space="preserve">it </w:t>
            </w:r>
            <w:r w:rsidRPr="007C701C">
              <w:t xml:space="preserve">on the NCCRA process. Vector attended the stage 2 built environment and economy workshops. The Built Environment Domain Lead, James Hughes, discussed risks to electricity generation with Meridian in March 2020, to confirm completeness of the project team’s assessment of these risks. </w:t>
            </w:r>
          </w:p>
        </w:tc>
      </w:tr>
    </w:tbl>
    <w:p w14:paraId="4F118066" w14:textId="77777777" w:rsidR="004D2A94" w:rsidRPr="0024184F" w:rsidRDefault="004D2A94" w:rsidP="004D2A94">
      <w:pPr>
        <w:pStyle w:val="Heading2"/>
        <w:numPr>
          <w:ilvl w:val="0"/>
          <w:numId w:val="44"/>
        </w:numPr>
        <w:spacing w:before="480"/>
      </w:pPr>
      <w:bookmarkStart w:id="376" w:name="_Summary_of_engagement"/>
      <w:bookmarkStart w:id="377" w:name="_Toc45898323"/>
      <w:bookmarkEnd w:id="367"/>
      <w:bookmarkEnd w:id="368"/>
      <w:bookmarkEnd w:id="376"/>
      <w:r w:rsidRPr="0024184F">
        <w:t>Summary of engagement reach</w:t>
      </w:r>
      <w:bookmarkEnd w:id="377"/>
      <w:r w:rsidRPr="0024184F">
        <w:t xml:space="preserve"> </w:t>
      </w:r>
    </w:p>
    <w:p w14:paraId="6D779CF9" w14:textId="77777777" w:rsidR="004D2A94" w:rsidRDefault="004D2A94" w:rsidP="004D2A94">
      <w:pPr>
        <w:pStyle w:val="BodyText"/>
      </w:pPr>
      <w:r w:rsidRPr="0024184F">
        <w:t>Engagement for the NCCRA sought to be a reciprocal process</w:t>
      </w:r>
      <w:r>
        <w:t xml:space="preserve"> – a </w:t>
      </w:r>
      <w:r w:rsidRPr="0024184F">
        <w:t xml:space="preserve">mutual exchange of information. This approach aimed to foster positive relationships with and between key stakeholders, Māori/iwi and </w:t>
      </w:r>
      <w:r>
        <w:t>the Ministry</w:t>
      </w:r>
      <w:r w:rsidRPr="0024184F">
        <w:t xml:space="preserve"> to support New Zealand’s ongoing work to identify</w:t>
      </w:r>
      <w:r>
        <w:t xml:space="preserve"> </w:t>
      </w:r>
      <w:r w:rsidRPr="0024184F">
        <w:t xml:space="preserve">and respond to climate risk. </w:t>
      </w:r>
    </w:p>
    <w:p w14:paraId="20CDE715" w14:textId="77777777" w:rsidR="004D2A94" w:rsidRDefault="004D2A94" w:rsidP="004D2A94">
      <w:pPr>
        <w:pStyle w:val="BodyText"/>
      </w:pPr>
      <w:r w:rsidRPr="0024184F">
        <w:t xml:space="preserve">Engagement was based on the </w:t>
      </w:r>
      <w:r>
        <w:t xml:space="preserve">IAP2 </w:t>
      </w:r>
      <w:r w:rsidRPr="0024184F">
        <w:t xml:space="preserve">principles </w:t>
      </w:r>
      <w:r>
        <w:t>of</w:t>
      </w:r>
      <w:r w:rsidRPr="0024184F">
        <w:t xml:space="preserve"> good practice, and the guidance </w:t>
      </w:r>
      <w:r>
        <w:t>in</w:t>
      </w:r>
      <w:r w:rsidRPr="0024184F">
        <w:t xml:space="preserve"> the NCCRA </w:t>
      </w:r>
      <w:r>
        <w:t>f</w:t>
      </w:r>
      <w:r w:rsidRPr="0024184F">
        <w:t>ramework for engagement on the risk assessment.</w:t>
      </w:r>
      <w:r>
        <w:t xml:space="preserve"> </w:t>
      </w:r>
    </w:p>
    <w:p w14:paraId="1626D664" w14:textId="77777777" w:rsidR="004D2A94" w:rsidRDefault="004D2A94" w:rsidP="004D2A94">
      <w:pPr>
        <w:pStyle w:val="BodyText"/>
      </w:pPr>
      <w:r>
        <w:t xml:space="preserve">Stage 1 involved </w:t>
      </w:r>
      <w:r w:rsidRPr="0024184F">
        <w:t xml:space="preserve">a wide range of partners and stakeholders, to identify as many potential risks throughout New Zealand as possible, and to engage across different regions and disciplines. </w:t>
      </w:r>
    </w:p>
    <w:p w14:paraId="6AFB71EC" w14:textId="37E34F71" w:rsidR="004D2A94" w:rsidRDefault="004D2A94" w:rsidP="004D2A94">
      <w:pPr>
        <w:pStyle w:val="BodyText"/>
      </w:pPr>
      <w:r>
        <w:t>In stage 2</w:t>
      </w:r>
      <w:r w:rsidR="00C10755">
        <w:t>,</w:t>
      </w:r>
      <w:r>
        <w:t xml:space="preserve"> t</w:t>
      </w:r>
      <w:r w:rsidRPr="0024184F">
        <w:t xml:space="preserve">he focus </w:t>
      </w:r>
      <w:r>
        <w:t>narrowed</w:t>
      </w:r>
      <w:r w:rsidRPr="0024184F">
        <w:t>, seeking input from stakeholders with direct responsibility for managing the priority risks.</w:t>
      </w:r>
    </w:p>
    <w:p w14:paraId="4B4E6265" w14:textId="77777777" w:rsidR="004D2A94" w:rsidRDefault="004D2A94" w:rsidP="004D2A94">
      <w:pPr>
        <w:pStyle w:val="BodyText"/>
      </w:pPr>
      <w:r w:rsidRPr="0024184F">
        <w:t xml:space="preserve">Initial identification of stakeholders was based on the NCCRA </w:t>
      </w:r>
      <w:r>
        <w:t>f</w:t>
      </w:r>
      <w:r w:rsidRPr="0024184F">
        <w:t>ramework</w:t>
      </w:r>
      <w:r>
        <w:t>,</w:t>
      </w:r>
      <w:r w:rsidRPr="0024184F">
        <w:t xml:space="preserve"> which identifies key agencies, partners and stakeholders relevant to potential elements at risk. The project team refined the stakeholder list throughout the engagement period, targeting </w:t>
      </w:r>
      <w:r>
        <w:t>those</w:t>
      </w:r>
      <w:r w:rsidRPr="0024184F">
        <w:t xml:space="preserve"> identified as risk owners in each organisation. </w:t>
      </w:r>
    </w:p>
    <w:p w14:paraId="192199AE" w14:textId="77777777" w:rsidR="004D2A94" w:rsidRDefault="004D2A94" w:rsidP="004D2A94">
      <w:pPr>
        <w:pStyle w:val="BodyText"/>
      </w:pPr>
      <w:r w:rsidRPr="0024184F">
        <w:t xml:space="preserve">Stakeholders </w:t>
      </w:r>
      <w:r>
        <w:t xml:space="preserve">who were </w:t>
      </w:r>
      <w:r w:rsidRPr="0024184F">
        <w:t xml:space="preserve">consulted and involved included specialists with technical expertise relevant to the risk assessment (as identified by </w:t>
      </w:r>
      <w:r>
        <w:t>d</w:t>
      </w:r>
      <w:r w:rsidRPr="0024184F">
        <w:t xml:space="preserve">omain </w:t>
      </w:r>
      <w:r>
        <w:t>l</w:t>
      </w:r>
      <w:r w:rsidRPr="0024184F">
        <w:t xml:space="preserve">eads) and </w:t>
      </w:r>
      <w:r>
        <w:t xml:space="preserve">those </w:t>
      </w:r>
      <w:r w:rsidRPr="0024184F">
        <w:t xml:space="preserve">identified as likely risk owners and policy agencies (particularly central and local government). </w:t>
      </w:r>
    </w:p>
    <w:p w14:paraId="39116BA6" w14:textId="77777777" w:rsidR="004D2A94" w:rsidRPr="0024184F" w:rsidRDefault="004D2A94" w:rsidP="004D2A94">
      <w:pPr>
        <w:pStyle w:val="BodyText"/>
      </w:pPr>
      <w:r>
        <w:t>Participants</w:t>
      </w:r>
      <w:r w:rsidRPr="0024184F">
        <w:t xml:space="preserve"> included:</w:t>
      </w:r>
    </w:p>
    <w:p w14:paraId="6C5B8510" w14:textId="77777777" w:rsidR="004D2A94" w:rsidRPr="00C77102" w:rsidRDefault="004D2A94" w:rsidP="004D2A94">
      <w:pPr>
        <w:pStyle w:val="Bullet"/>
      </w:pPr>
      <w:r>
        <w:t>g</w:t>
      </w:r>
      <w:r w:rsidRPr="009E23C3">
        <w:t xml:space="preserve">overnment and Crown agencies, engaged as stakeholders and information providers, with input from </w:t>
      </w:r>
      <w:r w:rsidRPr="00C77102">
        <w:t>a broad range of agencies. As noted, these agencies will make adaptation decisions as risk owners and drivers of policy. Therefore, there were additional briefings with central government</w:t>
      </w:r>
    </w:p>
    <w:p w14:paraId="0E0C94C7" w14:textId="77777777" w:rsidR="004D2A94" w:rsidRPr="00C77102" w:rsidRDefault="004D2A94" w:rsidP="004D2A94">
      <w:pPr>
        <w:pStyle w:val="Bullet"/>
      </w:pPr>
      <w:r>
        <w:lastRenderedPageBreak/>
        <w:t>l</w:t>
      </w:r>
      <w:r w:rsidRPr="00C77102">
        <w:t>ocal government</w:t>
      </w:r>
      <w:r>
        <w:t>, which</w:t>
      </w:r>
      <w:r w:rsidRPr="00C77102">
        <w:t xml:space="preserve"> also provided significant input and made up about one-third of the participants. Some members attended all five risk workshops in February 2020</w:t>
      </w:r>
    </w:p>
    <w:p w14:paraId="13B44161" w14:textId="77777777" w:rsidR="004D2A94" w:rsidRPr="009E23C3" w:rsidRDefault="004D2A94" w:rsidP="004D2A94">
      <w:pPr>
        <w:pStyle w:val="Bullet"/>
      </w:pPr>
      <w:r>
        <w:t>representatives of</w:t>
      </w:r>
      <w:r w:rsidRPr="009E23C3">
        <w:t xml:space="preserve"> a range of stakeholder organisations, including:</w:t>
      </w:r>
    </w:p>
    <w:p w14:paraId="053CEABA" w14:textId="77777777" w:rsidR="004D2A94" w:rsidRPr="00C77102" w:rsidRDefault="004D2A94" w:rsidP="004D2A94">
      <w:pPr>
        <w:pStyle w:val="Sub-list"/>
      </w:pPr>
      <w:r>
        <w:t>r</w:t>
      </w:r>
      <w:r w:rsidRPr="00C77102">
        <w:t>esearch institutes such as Scion, Manaaki Whenua</w:t>
      </w:r>
      <w:r>
        <w:t xml:space="preserve"> – </w:t>
      </w:r>
      <w:r w:rsidRPr="00C77102">
        <w:t>Landcare Research</w:t>
      </w:r>
      <w:r>
        <w:t>,</w:t>
      </w:r>
      <w:r w:rsidRPr="00C77102">
        <w:t xml:space="preserve"> and Institute of Environmental Science and Research Limited</w:t>
      </w:r>
    </w:p>
    <w:p w14:paraId="0D0595CC" w14:textId="77777777" w:rsidR="004D2A94" w:rsidRPr="00C77102" w:rsidRDefault="004D2A94" w:rsidP="004D2A94">
      <w:pPr>
        <w:pStyle w:val="Sub-list"/>
      </w:pPr>
      <w:r>
        <w:t>p</w:t>
      </w:r>
      <w:r w:rsidRPr="00C77102">
        <w:t xml:space="preserve">rimary sector groups such as DairyNZ, Horticulture </w:t>
      </w:r>
      <w:r>
        <w:t>New Zealand</w:t>
      </w:r>
      <w:r w:rsidRPr="00C77102">
        <w:t xml:space="preserve">, Rural Women </w:t>
      </w:r>
      <w:r>
        <w:t>New Zealand</w:t>
      </w:r>
      <w:r w:rsidRPr="00C77102">
        <w:t>, Federated</w:t>
      </w:r>
      <w:r>
        <w:t> </w:t>
      </w:r>
      <w:r w:rsidRPr="00C77102">
        <w:t xml:space="preserve">Farmers, Fisheries Inshore </w:t>
      </w:r>
      <w:r>
        <w:t>New Zealand</w:t>
      </w:r>
      <w:r w:rsidRPr="00C77102">
        <w:t xml:space="preserve"> and New Zealand Winegrowers/Bra</w:t>
      </w:r>
      <w:r>
        <w:t>gat</w:t>
      </w:r>
      <w:r w:rsidRPr="00C77102">
        <w:t>o Research Institute.</w:t>
      </w:r>
    </w:p>
    <w:p w14:paraId="2A507DBD" w14:textId="77777777" w:rsidR="004D2A94" w:rsidRPr="00C77102" w:rsidRDefault="004D2A94" w:rsidP="004D2A94">
      <w:pPr>
        <w:pStyle w:val="Sub-list"/>
      </w:pPr>
      <w:r>
        <w:t>n</w:t>
      </w:r>
      <w:r w:rsidRPr="00C77102">
        <w:t>ational bodies and NGO</w:t>
      </w:r>
      <w:r>
        <w:t>s</w:t>
      </w:r>
      <w:r w:rsidRPr="00C77102">
        <w:t xml:space="preserve"> including Insurance Council, Water </w:t>
      </w:r>
      <w:r>
        <w:t>New Zealand</w:t>
      </w:r>
      <w:r w:rsidRPr="00C77102">
        <w:t xml:space="preserve">, Engineering </w:t>
      </w:r>
      <w:r>
        <w:t>New Zealand</w:t>
      </w:r>
      <w:r w:rsidRPr="00C77102">
        <w:t xml:space="preserve">, ICOMOS </w:t>
      </w:r>
      <w:r>
        <w:t>New Zealand</w:t>
      </w:r>
      <w:r w:rsidRPr="00C77102">
        <w:t>, Museums Aotearoa and Environmental Defence Society</w:t>
      </w:r>
    </w:p>
    <w:p w14:paraId="6CF49233" w14:textId="77777777" w:rsidR="004D2A94" w:rsidRPr="009E23C3" w:rsidRDefault="004D2A94" w:rsidP="004D2A94">
      <w:pPr>
        <w:pStyle w:val="Sub-list"/>
      </w:pPr>
      <w:r>
        <w:t>i</w:t>
      </w:r>
      <w:r w:rsidRPr="00C77102">
        <w:t>nfrastructure</w:t>
      </w:r>
      <w:r w:rsidRPr="009E23C3">
        <w:t xml:space="preserve"> providers including ports and airports, Transpower </w:t>
      </w:r>
      <w:r>
        <w:t>New Zealand</w:t>
      </w:r>
      <w:r w:rsidRPr="009E23C3">
        <w:t>, Watercare, Wellington Water, KiwiRail, and electricity generation and transmission providers</w:t>
      </w:r>
    </w:p>
    <w:p w14:paraId="7D99A6DC" w14:textId="77777777" w:rsidR="004D2A94" w:rsidRPr="009E23C3" w:rsidRDefault="004D2A94" w:rsidP="004D2A94">
      <w:pPr>
        <w:pStyle w:val="Bullet"/>
      </w:pPr>
      <w:r>
        <w:t>p</w:t>
      </w:r>
      <w:r w:rsidRPr="009E23C3">
        <w:t>rivate entities such as major banks, professional services (eg, EY) and legal firms.</w:t>
      </w:r>
    </w:p>
    <w:p w14:paraId="0AA33B57" w14:textId="77777777" w:rsidR="004D2A94" w:rsidRPr="001359B4" w:rsidRDefault="004D2A94" w:rsidP="004D2A94">
      <w:pPr>
        <w:pStyle w:val="BodyText"/>
      </w:pPr>
      <w:r w:rsidRPr="0024184F">
        <w:t>Some target stakeholders were not consulted due to the timeframe</w:t>
      </w:r>
      <w:r>
        <w:t>,</w:t>
      </w:r>
      <w:r w:rsidRPr="0024184F">
        <w:t xml:space="preserve"> despite repeated outreach by the project team. Th</w:t>
      </w:r>
      <w:r>
        <w:t>ese</w:t>
      </w:r>
      <w:r w:rsidRPr="0024184F">
        <w:t xml:space="preserve"> included </w:t>
      </w:r>
      <w:r>
        <w:t xml:space="preserve">the </w:t>
      </w:r>
      <w:r w:rsidRPr="0024184F">
        <w:t xml:space="preserve">youth groups Generation Zero and School Strike </w:t>
      </w:r>
      <w:r>
        <w:t>4</w:t>
      </w:r>
      <w:r w:rsidRPr="0024184F">
        <w:t xml:space="preserve"> </w:t>
      </w:r>
      <w:r w:rsidRPr="001359B4">
        <w:t xml:space="preserve">Climate. </w:t>
      </w:r>
    </w:p>
    <w:p w14:paraId="33281DFF" w14:textId="77777777" w:rsidR="004D2A94" w:rsidRPr="0024184F" w:rsidRDefault="004D2A94" w:rsidP="004D2A94">
      <w:pPr>
        <w:pStyle w:val="BodyText"/>
      </w:pPr>
      <w:r w:rsidRPr="001359B4">
        <w:t>The approach to Māori/iwi engagement has been to engage with Māori/iwi directly involved in climate change</w:t>
      </w:r>
      <w:r w:rsidRPr="0024184F">
        <w:t xml:space="preserve"> matters and decision-making, within the condensed timeframes. Participants noted that they will continue to work to adapt to a changing climate but would like to do this in partnership with the Crown</w:t>
      </w:r>
      <w:r>
        <w:t xml:space="preserve"> – that is, </w:t>
      </w:r>
      <w:r w:rsidRPr="0024184F">
        <w:t>Te Tiriti o Waitangi should be front and centre of climate change</w:t>
      </w:r>
      <w:r>
        <w:t xml:space="preserve"> </w:t>
      </w:r>
      <w:r w:rsidRPr="0024184F">
        <w:t>matters, with a genuine partnership between Māori and the Crown.</w:t>
      </w:r>
    </w:p>
    <w:p w14:paraId="25138B9E" w14:textId="77777777" w:rsidR="004D2A94" w:rsidRDefault="004D2A94" w:rsidP="004D2A94">
      <w:pPr>
        <w:spacing w:before="0" w:after="200" w:line="276" w:lineRule="auto"/>
        <w:jc w:val="left"/>
      </w:pPr>
      <w:r>
        <w:br w:type="page"/>
      </w:r>
    </w:p>
    <w:p w14:paraId="40905347" w14:textId="0BAE255E" w:rsidR="00BC3F65" w:rsidRDefault="005E79D0" w:rsidP="008E7AD7">
      <w:pPr>
        <w:pStyle w:val="Heading1"/>
      </w:pPr>
      <w:bookmarkStart w:id="378" w:name="_Toc45898324"/>
      <w:r w:rsidRPr="005E79D0">
        <w:lastRenderedPageBreak/>
        <w:t>Appendix A</w:t>
      </w:r>
      <w:r>
        <w:t xml:space="preserve">: </w:t>
      </w:r>
      <w:r w:rsidR="008E7AD7" w:rsidRPr="008E7AD7">
        <w:t>Glossary</w:t>
      </w:r>
      <w:bookmarkEnd w:id="378"/>
    </w:p>
    <w:tbl>
      <w:tblPr>
        <w:tblW w:w="8618" w:type="dxa"/>
        <w:tblInd w:w="57"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2179"/>
        <w:gridCol w:w="6439"/>
      </w:tblGrid>
      <w:tr w:rsidR="00237B73" w:rsidRPr="00E4441B" w14:paraId="5CA77CBD" w14:textId="77777777" w:rsidTr="00D43D78">
        <w:trPr>
          <w:tblHeader/>
        </w:trPr>
        <w:tc>
          <w:tcPr>
            <w:tcW w:w="1264" w:type="pct"/>
            <w:shd w:val="clear" w:color="auto" w:fill="1C556C" w:themeFill="accent1"/>
            <w:tcMar>
              <w:top w:w="0" w:type="dxa"/>
            </w:tcMar>
          </w:tcPr>
          <w:p w14:paraId="21C439A2" w14:textId="77777777" w:rsidR="003A679C" w:rsidRPr="00E4441B" w:rsidRDefault="003A679C" w:rsidP="00E425EA">
            <w:pPr>
              <w:pStyle w:val="Glossary"/>
              <w:spacing w:before="60" w:after="60" w:line="260" w:lineRule="atLeast"/>
              <w:rPr>
                <w:rFonts w:cs="Calibri"/>
                <w:b/>
                <w:bCs/>
                <w:color w:val="FFFFFF" w:themeColor="background1"/>
                <w:sz w:val="20"/>
                <w:szCs w:val="20"/>
              </w:rPr>
            </w:pPr>
            <w:r w:rsidRPr="00E4441B">
              <w:rPr>
                <w:rFonts w:cs="Calibri"/>
                <w:b/>
                <w:bCs/>
                <w:color w:val="FFFFFF" w:themeColor="background1"/>
                <w:sz w:val="20"/>
                <w:szCs w:val="20"/>
              </w:rPr>
              <w:t xml:space="preserve">Key term </w:t>
            </w:r>
          </w:p>
        </w:tc>
        <w:tc>
          <w:tcPr>
            <w:tcW w:w="3736" w:type="pct"/>
            <w:shd w:val="clear" w:color="auto" w:fill="1C556C" w:themeFill="accent1"/>
            <w:tcMar>
              <w:top w:w="0" w:type="dxa"/>
            </w:tcMar>
          </w:tcPr>
          <w:p w14:paraId="7FE3AE6D" w14:textId="77777777" w:rsidR="003A679C" w:rsidRPr="00E4441B" w:rsidRDefault="003A679C" w:rsidP="00E425EA">
            <w:pPr>
              <w:pStyle w:val="Glossary"/>
              <w:spacing w:before="60" w:after="60" w:line="260" w:lineRule="atLeast"/>
              <w:rPr>
                <w:rFonts w:cs="Calibri"/>
                <w:b/>
                <w:bCs/>
                <w:color w:val="FFFFFF" w:themeColor="background1"/>
                <w:sz w:val="20"/>
                <w:szCs w:val="20"/>
              </w:rPr>
            </w:pPr>
            <w:r w:rsidRPr="00E4441B">
              <w:rPr>
                <w:rFonts w:cs="Calibri"/>
                <w:b/>
                <w:bCs/>
                <w:color w:val="FFFFFF" w:themeColor="background1"/>
                <w:sz w:val="20"/>
                <w:szCs w:val="20"/>
              </w:rPr>
              <w:t>Definition</w:t>
            </w:r>
          </w:p>
        </w:tc>
      </w:tr>
      <w:tr w:rsidR="003A679C" w:rsidRPr="00E4441B" w14:paraId="2643F9A2" w14:textId="77777777" w:rsidTr="00D43D78">
        <w:tc>
          <w:tcPr>
            <w:tcW w:w="1264" w:type="pct"/>
            <w:shd w:val="clear" w:color="auto" w:fill="auto"/>
            <w:tcMar>
              <w:top w:w="0" w:type="dxa"/>
            </w:tcMar>
          </w:tcPr>
          <w:p w14:paraId="2069434B"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Adaptation</w:t>
            </w:r>
          </w:p>
        </w:tc>
        <w:tc>
          <w:tcPr>
            <w:tcW w:w="3736" w:type="pct"/>
            <w:shd w:val="clear" w:color="auto" w:fill="auto"/>
            <w:tcMar>
              <w:top w:w="0" w:type="dxa"/>
            </w:tcMar>
          </w:tcPr>
          <w:p w14:paraId="0147458E" w14:textId="33DC80F9" w:rsidR="003A679C" w:rsidRPr="004C4392" w:rsidRDefault="003A679C" w:rsidP="005D1B5E">
            <w:pPr>
              <w:pStyle w:val="Glossary"/>
              <w:spacing w:before="60" w:after="60" w:line="260" w:lineRule="atLeast"/>
              <w:rPr>
                <w:rFonts w:cs="Calibri"/>
                <w:sz w:val="20"/>
                <w:szCs w:val="20"/>
              </w:rPr>
            </w:pPr>
            <w:r w:rsidRPr="004C4392">
              <w:rPr>
                <w:rFonts w:cs="Calibri"/>
                <w:sz w:val="20"/>
                <w:szCs w:val="20"/>
              </w:rPr>
              <w:t xml:space="preserve">The process of adjustment </w:t>
            </w:r>
            <w:r w:rsidR="004C4392" w:rsidRPr="004C4392">
              <w:rPr>
                <w:rFonts w:cs="Arial"/>
                <w:sz w:val="20"/>
                <w:szCs w:val="20"/>
              </w:rPr>
              <w:t xml:space="preserve">to actual or expected climate </w:t>
            </w:r>
            <w:r w:rsidR="00183EC4">
              <w:rPr>
                <w:rFonts w:cs="Arial"/>
                <w:sz w:val="20"/>
                <w:szCs w:val="20"/>
              </w:rPr>
              <w:t xml:space="preserve">change </w:t>
            </w:r>
            <w:r w:rsidR="004C4392" w:rsidRPr="004C4392">
              <w:rPr>
                <w:rFonts w:cs="Arial"/>
                <w:sz w:val="20"/>
                <w:szCs w:val="20"/>
              </w:rPr>
              <w:t>and</w:t>
            </w:r>
            <w:r w:rsidRPr="004C4392">
              <w:rPr>
                <w:rFonts w:cs="Calibri"/>
                <w:sz w:val="20"/>
                <w:szCs w:val="20"/>
              </w:rPr>
              <w:t xml:space="preserve"> its effects. In</w:t>
            </w:r>
            <w:r w:rsidR="00E4441B" w:rsidRPr="004C4392">
              <w:rPr>
                <w:rFonts w:cs="Calibri"/>
                <w:sz w:val="20"/>
                <w:szCs w:val="20"/>
              </w:rPr>
              <w:t> </w:t>
            </w:r>
            <w:r w:rsidRPr="004C4392">
              <w:rPr>
                <w:rFonts w:cs="Calibri"/>
                <w:sz w:val="20"/>
                <w:szCs w:val="20"/>
              </w:rPr>
              <w:t>human systems, adaptation seeks to moderate or avoid harm, or exploit beneficial opportunities. In some natural systems, human intervention may</w:t>
            </w:r>
            <w:r w:rsidR="00E4441B" w:rsidRPr="004C4392">
              <w:rPr>
                <w:rFonts w:cs="Calibri"/>
                <w:sz w:val="20"/>
                <w:szCs w:val="20"/>
              </w:rPr>
              <w:t> </w:t>
            </w:r>
            <w:r w:rsidRPr="004C4392">
              <w:rPr>
                <w:rFonts w:cs="Calibri"/>
                <w:sz w:val="20"/>
                <w:szCs w:val="20"/>
              </w:rPr>
              <w:t>facilitate adjustment (IPCC, 2014</w:t>
            </w:r>
            <w:r w:rsidR="00525112">
              <w:rPr>
                <w:rFonts w:cs="Calibri"/>
                <w:sz w:val="20"/>
                <w:szCs w:val="20"/>
              </w:rPr>
              <w:t>a</w:t>
            </w:r>
            <w:r w:rsidRPr="004C4392">
              <w:rPr>
                <w:rFonts w:cs="Calibri"/>
                <w:sz w:val="20"/>
                <w:szCs w:val="20"/>
              </w:rPr>
              <w:t>).</w:t>
            </w:r>
          </w:p>
        </w:tc>
      </w:tr>
      <w:tr w:rsidR="003A679C" w:rsidRPr="00E4441B" w14:paraId="4682222E" w14:textId="77777777" w:rsidTr="00D43D78">
        <w:tc>
          <w:tcPr>
            <w:tcW w:w="1264" w:type="pct"/>
            <w:shd w:val="clear" w:color="auto" w:fill="auto"/>
            <w:tcMar>
              <w:top w:w="0" w:type="dxa"/>
            </w:tcMar>
          </w:tcPr>
          <w:p w14:paraId="18CC734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Adaptive capacity</w:t>
            </w:r>
          </w:p>
        </w:tc>
        <w:tc>
          <w:tcPr>
            <w:tcW w:w="3736" w:type="pct"/>
            <w:shd w:val="clear" w:color="auto" w:fill="auto"/>
            <w:tcMar>
              <w:top w:w="0" w:type="dxa"/>
            </w:tcMar>
          </w:tcPr>
          <w:p w14:paraId="76701FD5" w14:textId="07045482" w:rsidR="003A679C" w:rsidRPr="00E4441B" w:rsidRDefault="003A679C" w:rsidP="00B460B1">
            <w:pPr>
              <w:pStyle w:val="Glossary"/>
              <w:spacing w:before="60" w:after="60" w:line="260" w:lineRule="atLeast"/>
              <w:rPr>
                <w:rFonts w:cs="Calibri"/>
                <w:sz w:val="20"/>
                <w:szCs w:val="20"/>
              </w:rPr>
            </w:pPr>
            <w:r w:rsidRPr="00E4441B">
              <w:rPr>
                <w:rFonts w:cs="Calibri"/>
                <w:sz w:val="20"/>
                <w:szCs w:val="20"/>
              </w:rPr>
              <w:t>The ability of systems, institutions, humans and other organisms to adjust to</w:t>
            </w:r>
            <w:r w:rsidR="00E4441B">
              <w:rPr>
                <w:rFonts w:cs="Calibri"/>
                <w:sz w:val="20"/>
                <w:szCs w:val="20"/>
              </w:rPr>
              <w:t> </w:t>
            </w:r>
            <w:r w:rsidRPr="00E4441B">
              <w:rPr>
                <w:rFonts w:cs="Calibri"/>
                <w:sz w:val="20"/>
                <w:szCs w:val="20"/>
              </w:rPr>
              <w:t>potential damage, to take advantage of opportunities or to respond to consequences (IPCC, 2014</w:t>
            </w:r>
            <w:r w:rsidR="00525112">
              <w:rPr>
                <w:rFonts w:cs="Calibri"/>
                <w:sz w:val="20"/>
                <w:szCs w:val="20"/>
              </w:rPr>
              <w:t>a</w:t>
            </w:r>
            <w:r w:rsidRPr="00E4441B">
              <w:rPr>
                <w:rFonts w:cs="Calibri"/>
                <w:sz w:val="20"/>
                <w:szCs w:val="20"/>
              </w:rPr>
              <w:t>).</w:t>
            </w:r>
          </w:p>
        </w:tc>
      </w:tr>
      <w:tr w:rsidR="003A679C" w:rsidRPr="00E4441B" w14:paraId="2138E7E6" w14:textId="77777777" w:rsidTr="00D43D78">
        <w:tc>
          <w:tcPr>
            <w:tcW w:w="1264" w:type="pct"/>
            <w:shd w:val="clear" w:color="auto" w:fill="auto"/>
            <w:tcMar>
              <w:top w:w="0" w:type="dxa"/>
            </w:tcMar>
          </w:tcPr>
          <w:p w14:paraId="0966213F"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Assets</w:t>
            </w:r>
          </w:p>
        </w:tc>
        <w:tc>
          <w:tcPr>
            <w:tcW w:w="3736" w:type="pct"/>
            <w:shd w:val="clear" w:color="auto" w:fill="auto"/>
            <w:tcMar>
              <w:top w:w="0" w:type="dxa"/>
            </w:tcMar>
          </w:tcPr>
          <w:p w14:paraId="2E161BE5" w14:textId="163A3D5E" w:rsidR="003A679C" w:rsidRPr="00E4441B" w:rsidRDefault="003A679C" w:rsidP="00B460B1">
            <w:pPr>
              <w:pStyle w:val="Glossary"/>
              <w:spacing w:before="60" w:after="60" w:line="260" w:lineRule="atLeast"/>
              <w:rPr>
                <w:rFonts w:cs="Calibri"/>
                <w:sz w:val="20"/>
                <w:szCs w:val="20"/>
              </w:rPr>
            </w:pPr>
            <w:r w:rsidRPr="00E4441B">
              <w:rPr>
                <w:rFonts w:cs="Calibri"/>
                <w:sz w:val="20"/>
                <w:szCs w:val="20"/>
              </w:rPr>
              <w:t>Things of value</w:t>
            </w:r>
            <w:r w:rsidR="00B460B1">
              <w:rPr>
                <w:rFonts w:cs="Calibri"/>
                <w:sz w:val="20"/>
                <w:szCs w:val="20"/>
              </w:rPr>
              <w:t xml:space="preserve"> that</w:t>
            </w:r>
            <w:r w:rsidRPr="00E4441B">
              <w:rPr>
                <w:rFonts w:cs="Calibri"/>
                <w:sz w:val="20"/>
                <w:szCs w:val="20"/>
              </w:rPr>
              <w:t xml:space="preserve"> may be exposed or vulnerable to a hazard or risk. Physical, environmental, cultural or financial/economic element</w:t>
            </w:r>
            <w:r w:rsidR="00B460B1">
              <w:rPr>
                <w:rFonts w:cs="Calibri"/>
                <w:sz w:val="20"/>
                <w:szCs w:val="20"/>
              </w:rPr>
              <w:t>s</w:t>
            </w:r>
            <w:r w:rsidRPr="00E4441B">
              <w:rPr>
                <w:rFonts w:cs="Calibri"/>
                <w:sz w:val="20"/>
                <w:szCs w:val="20"/>
              </w:rPr>
              <w:t xml:space="preserve"> that ha</w:t>
            </w:r>
            <w:r w:rsidR="00B460B1">
              <w:rPr>
                <w:rFonts w:cs="Calibri"/>
                <w:sz w:val="20"/>
                <w:szCs w:val="20"/>
              </w:rPr>
              <w:t>ve</w:t>
            </w:r>
            <w:r w:rsidRPr="00E4441B">
              <w:rPr>
                <w:rFonts w:cs="Calibri"/>
                <w:sz w:val="20"/>
                <w:szCs w:val="20"/>
              </w:rPr>
              <w:t xml:space="preserve"> tangible, intrinsic or spiritual value (see </w:t>
            </w:r>
            <w:r w:rsidR="00B460B1">
              <w:rPr>
                <w:rFonts w:cs="Calibri"/>
                <w:sz w:val="20"/>
                <w:szCs w:val="20"/>
              </w:rPr>
              <w:t>‘</w:t>
            </w:r>
            <w:r w:rsidRPr="00E4441B">
              <w:rPr>
                <w:rFonts w:cs="Calibri"/>
                <w:sz w:val="20"/>
                <w:szCs w:val="20"/>
              </w:rPr>
              <w:t>Taonga</w:t>
            </w:r>
            <w:r w:rsidR="00B460B1" w:rsidRPr="005D6D89">
              <w:rPr>
                <w:rFonts w:cs="Arial"/>
              </w:rPr>
              <w:t xml:space="preserve"> Māori</w:t>
            </w:r>
            <w:r w:rsidR="00B460B1">
              <w:rPr>
                <w:rFonts w:cs="Arial"/>
              </w:rPr>
              <w:t>’ in appendix B</w:t>
            </w:r>
            <w:r w:rsidRPr="00E4441B">
              <w:rPr>
                <w:rFonts w:cs="Calibri"/>
                <w:sz w:val="20"/>
                <w:szCs w:val="20"/>
              </w:rPr>
              <w:t>) (Ministry for the Environment, 2019).</w:t>
            </w:r>
          </w:p>
        </w:tc>
      </w:tr>
      <w:tr w:rsidR="003A679C" w:rsidRPr="00E4441B" w14:paraId="56148CB0" w14:textId="77777777" w:rsidTr="00D43D78">
        <w:tc>
          <w:tcPr>
            <w:tcW w:w="1264" w:type="pct"/>
            <w:shd w:val="clear" w:color="auto" w:fill="auto"/>
            <w:tcMar>
              <w:top w:w="0" w:type="dxa"/>
            </w:tcMar>
          </w:tcPr>
          <w:p w14:paraId="1F2535E1"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Baseline </w:t>
            </w:r>
          </w:p>
        </w:tc>
        <w:tc>
          <w:tcPr>
            <w:tcW w:w="3736" w:type="pct"/>
            <w:shd w:val="clear" w:color="auto" w:fill="auto"/>
            <w:tcMar>
              <w:top w:w="0" w:type="dxa"/>
            </w:tcMar>
          </w:tcPr>
          <w:p w14:paraId="7190AB9D" w14:textId="77777777" w:rsidR="003A679C" w:rsidRPr="00E4441B" w:rsidRDefault="003A679C" w:rsidP="00E425EA">
            <w:pPr>
              <w:pStyle w:val="Glossary"/>
              <w:spacing w:before="60" w:after="60" w:line="260" w:lineRule="atLeast"/>
              <w:rPr>
                <w:rFonts w:cs="Calibri"/>
                <w:sz w:val="20"/>
                <w:szCs w:val="20"/>
              </w:rPr>
            </w:pPr>
            <w:r w:rsidRPr="00E4441B">
              <w:rPr>
                <w:rFonts w:cs="Calibri"/>
                <w:color w:val="333333"/>
                <w:sz w:val="20"/>
                <w:szCs w:val="20"/>
                <w:shd w:val="clear" w:color="auto" w:fill="FFFFFF"/>
              </w:rPr>
              <w:t>The baseline (or reference) is any datum against which change is measured.</w:t>
            </w:r>
          </w:p>
        </w:tc>
      </w:tr>
      <w:tr w:rsidR="003A679C" w:rsidRPr="00E4441B" w14:paraId="7EA12193" w14:textId="77777777" w:rsidTr="00D43D78">
        <w:tc>
          <w:tcPr>
            <w:tcW w:w="1264" w:type="pct"/>
            <w:shd w:val="clear" w:color="auto" w:fill="auto"/>
            <w:tcMar>
              <w:top w:w="0" w:type="dxa"/>
            </w:tcMar>
          </w:tcPr>
          <w:p w14:paraId="6D661014"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Biodiversity </w:t>
            </w:r>
          </w:p>
        </w:tc>
        <w:tc>
          <w:tcPr>
            <w:tcW w:w="3736" w:type="pct"/>
            <w:shd w:val="clear" w:color="auto" w:fill="auto"/>
            <w:tcMar>
              <w:top w:w="0" w:type="dxa"/>
            </w:tcMar>
          </w:tcPr>
          <w:p w14:paraId="7F83CECA" w14:textId="195E0E66"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variability among living organisms from terrestrial, marine and other ecosystems. Includes variability at the genetic, species and ecosystem levels (IPCC, 2014</w:t>
            </w:r>
            <w:r w:rsidR="00525112">
              <w:rPr>
                <w:rFonts w:cs="Calibri"/>
                <w:sz w:val="20"/>
                <w:szCs w:val="20"/>
              </w:rPr>
              <w:t>a</w:t>
            </w:r>
            <w:r w:rsidRPr="00E4441B">
              <w:rPr>
                <w:rFonts w:cs="Calibri"/>
                <w:sz w:val="20"/>
                <w:szCs w:val="20"/>
              </w:rPr>
              <w:t>).</w:t>
            </w:r>
          </w:p>
        </w:tc>
      </w:tr>
      <w:tr w:rsidR="003A679C" w:rsidRPr="00E4441B" w14:paraId="67A44F83" w14:textId="77777777" w:rsidTr="00D43D78">
        <w:tc>
          <w:tcPr>
            <w:tcW w:w="1264" w:type="pct"/>
            <w:shd w:val="clear" w:color="auto" w:fill="auto"/>
            <w:tcMar>
              <w:top w:w="0" w:type="dxa"/>
            </w:tcMar>
          </w:tcPr>
          <w:p w14:paraId="069210E6"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Cascading effects (of climate change) </w:t>
            </w:r>
          </w:p>
        </w:tc>
        <w:tc>
          <w:tcPr>
            <w:tcW w:w="3736" w:type="pct"/>
            <w:shd w:val="clear" w:color="auto" w:fill="auto"/>
            <w:tcMar>
              <w:top w:w="0" w:type="dxa"/>
            </w:tcMar>
          </w:tcPr>
          <w:p w14:paraId="2C9EEAD9"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Effects that flow on from a primary hazard, to compound and affect other systems in a dynamic sequence.</w:t>
            </w:r>
          </w:p>
        </w:tc>
      </w:tr>
      <w:tr w:rsidR="003A679C" w:rsidRPr="00E4441B" w14:paraId="1269C087" w14:textId="77777777" w:rsidTr="00D43D78">
        <w:tc>
          <w:tcPr>
            <w:tcW w:w="1264" w:type="pct"/>
            <w:shd w:val="clear" w:color="auto" w:fill="auto"/>
            <w:tcMar>
              <w:top w:w="0" w:type="dxa"/>
            </w:tcMar>
          </w:tcPr>
          <w:p w14:paraId="258B35C6"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Climate</w:t>
            </w:r>
          </w:p>
        </w:tc>
        <w:tc>
          <w:tcPr>
            <w:tcW w:w="3736" w:type="pct"/>
            <w:shd w:val="clear" w:color="auto" w:fill="auto"/>
            <w:tcMar>
              <w:top w:w="0" w:type="dxa"/>
            </w:tcMar>
          </w:tcPr>
          <w:p w14:paraId="689AB6F5" w14:textId="79FD5651"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narrow definition is the average weather. More rigorously, it is the statistical description in terms of the mean and variability of relevant quantities over a period of time, ranging from months to thousands or millions of years. The classical period for averaging these variables is 30</w:t>
            </w:r>
            <w:r w:rsidR="00237B73" w:rsidRPr="00E4441B">
              <w:rPr>
                <w:rFonts w:cs="Calibri"/>
                <w:sz w:val="20"/>
                <w:szCs w:val="20"/>
              </w:rPr>
              <w:t> </w:t>
            </w:r>
            <w:r w:rsidRPr="00E4441B">
              <w:rPr>
                <w:rFonts w:cs="Calibri"/>
                <w:sz w:val="20"/>
                <w:szCs w:val="20"/>
              </w:rPr>
              <w:t>years, as defined by the World Meteorological Organization. The relevant</w:t>
            </w:r>
            <w:r w:rsidR="00596757">
              <w:rPr>
                <w:rFonts w:cs="Calibri"/>
                <w:sz w:val="20"/>
                <w:szCs w:val="20"/>
              </w:rPr>
              <w:t> </w:t>
            </w:r>
            <w:r w:rsidRPr="00E4441B">
              <w:rPr>
                <w:rFonts w:cs="Calibri"/>
                <w:sz w:val="20"/>
                <w:szCs w:val="20"/>
              </w:rPr>
              <w:t>quantities are most often surface variables such as temperature, precipitation and wind. Climate in a wider sense is the state, including a statistical description, of the climate system (IPCC, 2014</w:t>
            </w:r>
            <w:r w:rsidR="00525112">
              <w:rPr>
                <w:rFonts w:cs="Calibri"/>
                <w:sz w:val="20"/>
                <w:szCs w:val="20"/>
              </w:rPr>
              <w:t>a</w:t>
            </w:r>
            <w:r w:rsidRPr="00E4441B">
              <w:rPr>
                <w:rFonts w:cs="Calibri"/>
                <w:sz w:val="20"/>
                <w:szCs w:val="20"/>
              </w:rPr>
              <w:t>).</w:t>
            </w:r>
          </w:p>
        </w:tc>
      </w:tr>
      <w:tr w:rsidR="003A679C" w:rsidRPr="00E4441B" w14:paraId="093855C0" w14:textId="77777777" w:rsidTr="00D43D78">
        <w:tc>
          <w:tcPr>
            <w:tcW w:w="1264" w:type="pct"/>
            <w:shd w:val="clear" w:color="auto" w:fill="auto"/>
            <w:tcMar>
              <w:top w:w="0" w:type="dxa"/>
            </w:tcMar>
          </w:tcPr>
          <w:p w14:paraId="7E0BC79E"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Climate change</w:t>
            </w:r>
          </w:p>
        </w:tc>
        <w:tc>
          <w:tcPr>
            <w:tcW w:w="3736" w:type="pct"/>
            <w:shd w:val="clear" w:color="auto" w:fill="auto"/>
            <w:tcMar>
              <w:top w:w="0" w:type="dxa"/>
            </w:tcMar>
          </w:tcPr>
          <w:p w14:paraId="24F5EAAB" w14:textId="2D4837F3" w:rsidR="003A679C" w:rsidRPr="00E4441B" w:rsidRDefault="003A679C" w:rsidP="00D808E8">
            <w:pPr>
              <w:pStyle w:val="Glossary"/>
              <w:spacing w:before="60" w:after="60" w:line="260" w:lineRule="atLeast"/>
              <w:rPr>
                <w:rFonts w:cs="Calibri"/>
                <w:sz w:val="20"/>
                <w:szCs w:val="20"/>
              </w:rPr>
            </w:pPr>
            <w:r w:rsidRPr="00E4441B">
              <w:rPr>
                <w:rFonts w:cs="Calibri"/>
                <w:sz w:val="20"/>
                <w:szCs w:val="20"/>
              </w:rPr>
              <w:t xml:space="preserve">A change in the state of the climate that can be identified (eg, through statistical tests) by changes or trends in the mean and/or the variability of its properties, and that persists for an extended period, typically decades to centuries. Includes natural internal climate processes </w:t>
            </w:r>
            <w:r w:rsidR="00D808E8">
              <w:rPr>
                <w:rFonts w:cs="Calibri"/>
                <w:sz w:val="20"/>
                <w:szCs w:val="20"/>
              </w:rPr>
              <w:t>and</w:t>
            </w:r>
            <w:r w:rsidR="00D808E8" w:rsidRPr="00E4441B">
              <w:rPr>
                <w:rFonts w:cs="Calibri"/>
                <w:sz w:val="20"/>
                <w:szCs w:val="20"/>
              </w:rPr>
              <w:t xml:space="preserve"> </w:t>
            </w:r>
            <w:r w:rsidRPr="00E4441B">
              <w:rPr>
                <w:rFonts w:cs="Calibri"/>
                <w:sz w:val="20"/>
                <w:szCs w:val="20"/>
              </w:rPr>
              <w:t>external climate forcings such as variations in solar cycles, volcanic eruptions and persistent anthropogenic changes in the composition of the atmosphere or in land use (IPCC, 2014</w:t>
            </w:r>
            <w:r w:rsidR="00525112">
              <w:rPr>
                <w:rFonts w:cs="Calibri"/>
                <w:sz w:val="20"/>
                <w:szCs w:val="20"/>
              </w:rPr>
              <w:t>a</w:t>
            </w:r>
            <w:r w:rsidRPr="00E4441B">
              <w:rPr>
                <w:rFonts w:cs="Calibri"/>
                <w:sz w:val="20"/>
                <w:szCs w:val="20"/>
              </w:rPr>
              <w:t>).</w:t>
            </w:r>
          </w:p>
        </w:tc>
      </w:tr>
      <w:tr w:rsidR="003A679C" w:rsidRPr="00E4441B" w14:paraId="46DA0FFE" w14:textId="77777777" w:rsidTr="00D43D78">
        <w:tc>
          <w:tcPr>
            <w:tcW w:w="1264" w:type="pct"/>
            <w:shd w:val="clear" w:color="auto" w:fill="auto"/>
            <w:tcMar>
              <w:top w:w="0" w:type="dxa"/>
            </w:tcMar>
          </w:tcPr>
          <w:p w14:paraId="513E5FFF"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Climate projection</w:t>
            </w:r>
          </w:p>
        </w:tc>
        <w:tc>
          <w:tcPr>
            <w:tcW w:w="3736" w:type="pct"/>
            <w:shd w:val="clear" w:color="auto" w:fill="auto"/>
            <w:tcMar>
              <w:top w:w="0" w:type="dxa"/>
            </w:tcMar>
          </w:tcPr>
          <w:p w14:paraId="60F58AC8" w14:textId="76942A7B" w:rsidR="003A679C" w:rsidRPr="00E4441B" w:rsidRDefault="003A679C" w:rsidP="00D45680">
            <w:pPr>
              <w:pStyle w:val="Glossary"/>
              <w:spacing w:before="60" w:after="60" w:line="260" w:lineRule="atLeast"/>
              <w:rPr>
                <w:rFonts w:cs="Calibri"/>
                <w:sz w:val="20"/>
                <w:szCs w:val="20"/>
              </w:rPr>
            </w:pPr>
            <w:r w:rsidRPr="00E4441B">
              <w:rPr>
                <w:rFonts w:cs="Calibri"/>
                <w:sz w:val="20"/>
                <w:szCs w:val="20"/>
              </w:rPr>
              <w:t>The simulated response of the climate system to a scenario of future emission or concentration of greenhouse gases and aerosols, generally derived from climate models. Climate projections are distinguished from climate predictions by their dependence on the emission</w:t>
            </w:r>
            <w:r w:rsidR="00D45680">
              <w:rPr>
                <w:rFonts w:cs="Calibri"/>
                <w:sz w:val="20"/>
                <w:szCs w:val="20"/>
              </w:rPr>
              <w:t xml:space="preserve">, </w:t>
            </w:r>
            <w:r w:rsidRPr="00E4441B">
              <w:rPr>
                <w:rFonts w:cs="Calibri"/>
                <w:sz w:val="20"/>
                <w:szCs w:val="20"/>
              </w:rPr>
              <w:t>concentration</w:t>
            </w:r>
            <w:r w:rsidR="00D45680">
              <w:rPr>
                <w:rFonts w:cs="Calibri"/>
                <w:sz w:val="20"/>
                <w:szCs w:val="20"/>
              </w:rPr>
              <w:t xml:space="preserve"> or </w:t>
            </w:r>
            <w:r w:rsidRPr="00E4441B">
              <w:rPr>
                <w:rFonts w:cs="Calibri"/>
                <w:sz w:val="20"/>
                <w:szCs w:val="20"/>
              </w:rPr>
              <w:t>radiative forcing scenario used, which is in turn based on assumptions about, for example, future socio-economic and technological developments that may or may not be realised (IPCC, 2014</w:t>
            </w:r>
            <w:r w:rsidR="00525112">
              <w:rPr>
                <w:rFonts w:cs="Calibri"/>
                <w:sz w:val="20"/>
                <w:szCs w:val="20"/>
              </w:rPr>
              <w:t>a</w:t>
            </w:r>
            <w:r w:rsidRPr="00E4441B">
              <w:rPr>
                <w:rFonts w:cs="Calibri"/>
                <w:sz w:val="20"/>
                <w:szCs w:val="20"/>
              </w:rPr>
              <w:t>).</w:t>
            </w:r>
          </w:p>
        </w:tc>
      </w:tr>
      <w:tr w:rsidR="003A679C" w:rsidRPr="00E4441B" w14:paraId="3286347F" w14:textId="77777777" w:rsidTr="00D43D78">
        <w:tc>
          <w:tcPr>
            <w:tcW w:w="1264" w:type="pct"/>
            <w:shd w:val="clear" w:color="auto" w:fill="auto"/>
            <w:tcMar>
              <w:top w:w="0" w:type="dxa"/>
            </w:tcMar>
          </w:tcPr>
          <w:p w14:paraId="36A46E59" w14:textId="77777777" w:rsidR="003A679C" w:rsidRPr="00E4441B" w:rsidRDefault="003A679C" w:rsidP="00663EDE">
            <w:pPr>
              <w:pStyle w:val="Glossary"/>
              <w:spacing w:before="60" w:after="60" w:line="260" w:lineRule="atLeast"/>
              <w:rPr>
                <w:rFonts w:cs="Calibri"/>
                <w:sz w:val="20"/>
                <w:szCs w:val="20"/>
              </w:rPr>
            </w:pPr>
            <w:r w:rsidRPr="00E4441B">
              <w:rPr>
                <w:rFonts w:cs="Calibri"/>
                <w:sz w:val="20"/>
                <w:szCs w:val="20"/>
              </w:rPr>
              <w:t>Co-benefits</w:t>
            </w:r>
          </w:p>
        </w:tc>
        <w:tc>
          <w:tcPr>
            <w:tcW w:w="3736" w:type="pct"/>
            <w:shd w:val="clear" w:color="auto" w:fill="auto"/>
            <w:tcMar>
              <w:top w:w="0" w:type="dxa"/>
            </w:tcMar>
          </w:tcPr>
          <w:p w14:paraId="5D2A1576"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positive effects a policy or measure for one objective might have on other objectives, irrespective of the net effect on overall social welfare. Often subject to uncertainty and depend on local circumstances and implementation practices, among other factors. Also known as ancillary benefits (Ministry for the Environment, 2019).</w:t>
            </w:r>
          </w:p>
        </w:tc>
      </w:tr>
      <w:tr w:rsidR="003A679C" w:rsidRPr="00E4441B" w14:paraId="5A7D9155" w14:textId="77777777" w:rsidTr="00D43D78">
        <w:tc>
          <w:tcPr>
            <w:tcW w:w="1264" w:type="pct"/>
            <w:shd w:val="clear" w:color="auto" w:fill="auto"/>
            <w:tcMar>
              <w:top w:w="0" w:type="dxa"/>
            </w:tcMar>
          </w:tcPr>
          <w:p w14:paraId="6198C3C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lastRenderedPageBreak/>
              <w:t>Community</w:t>
            </w:r>
          </w:p>
        </w:tc>
        <w:tc>
          <w:tcPr>
            <w:tcW w:w="3736" w:type="pct"/>
            <w:shd w:val="clear" w:color="auto" w:fill="auto"/>
            <w:tcMar>
              <w:top w:w="0" w:type="dxa"/>
            </w:tcMar>
          </w:tcPr>
          <w:p w14:paraId="3C9C7D3E" w14:textId="2CDE6B87" w:rsidR="003A679C" w:rsidRPr="00E4441B" w:rsidRDefault="003A679C" w:rsidP="00D45680">
            <w:pPr>
              <w:pStyle w:val="Glossary"/>
              <w:spacing w:before="60" w:after="60" w:line="260" w:lineRule="atLeast"/>
              <w:rPr>
                <w:rFonts w:cs="Calibri"/>
                <w:sz w:val="20"/>
                <w:szCs w:val="20"/>
              </w:rPr>
            </w:pPr>
            <w:r w:rsidRPr="00E4441B">
              <w:rPr>
                <w:rFonts w:cs="Calibri"/>
                <w:sz w:val="20"/>
                <w:szCs w:val="20"/>
              </w:rPr>
              <w:t>A geographic location (community of place), a community of similar interest (community of practice) or a community of affiliation or identity (such as industry) (Ministry for the Environment, 2019).</w:t>
            </w:r>
          </w:p>
        </w:tc>
      </w:tr>
      <w:tr w:rsidR="003A679C" w:rsidRPr="00E4441B" w14:paraId="3F85412A" w14:textId="77777777" w:rsidTr="00D43D78">
        <w:tc>
          <w:tcPr>
            <w:tcW w:w="1264" w:type="pct"/>
            <w:shd w:val="clear" w:color="auto" w:fill="auto"/>
            <w:tcMar>
              <w:top w:w="0" w:type="dxa"/>
            </w:tcMar>
          </w:tcPr>
          <w:p w14:paraId="1E3D539B"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Compound hazards and stressors</w:t>
            </w:r>
          </w:p>
        </w:tc>
        <w:tc>
          <w:tcPr>
            <w:tcW w:w="3736" w:type="pct"/>
            <w:shd w:val="clear" w:color="auto" w:fill="auto"/>
            <w:tcMar>
              <w:top w:w="0" w:type="dxa"/>
            </w:tcMar>
          </w:tcPr>
          <w:p w14:paraId="31BD201A" w14:textId="455AC154" w:rsidR="003A679C" w:rsidRPr="00E4441B" w:rsidRDefault="003A679C" w:rsidP="00D45680">
            <w:pPr>
              <w:pStyle w:val="Glossary"/>
              <w:spacing w:before="60" w:after="60" w:line="260" w:lineRule="atLeast"/>
              <w:rPr>
                <w:rFonts w:cs="Calibri"/>
                <w:sz w:val="20"/>
                <w:szCs w:val="20"/>
              </w:rPr>
            </w:pPr>
            <w:r w:rsidRPr="00E4441B">
              <w:rPr>
                <w:rFonts w:cs="Calibri"/>
                <w:sz w:val="20"/>
                <w:szCs w:val="20"/>
              </w:rPr>
              <w:t xml:space="preserve">Cumulative hazards and stressors </w:t>
            </w:r>
            <w:r w:rsidR="00D45680">
              <w:rPr>
                <w:rFonts w:cs="Calibri"/>
                <w:sz w:val="20"/>
                <w:szCs w:val="20"/>
              </w:rPr>
              <w:t>that</w:t>
            </w:r>
            <w:r w:rsidR="00D45680" w:rsidRPr="00E4441B">
              <w:rPr>
                <w:rFonts w:cs="Calibri"/>
                <w:sz w:val="20"/>
                <w:szCs w:val="20"/>
              </w:rPr>
              <w:t xml:space="preserve"> </w:t>
            </w:r>
            <w:r w:rsidRPr="00E4441B">
              <w:rPr>
                <w:rFonts w:cs="Calibri"/>
                <w:sz w:val="20"/>
                <w:szCs w:val="20"/>
              </w:rPr>
              <w:t>will become more significant in the future as adaptation thresholds are reached</w:t>
            </w:r>
            <w:r w:rsidR="00D45680">
              <w:rPr>
                <w:rFonts w:cs="Calibri"/>
                <w:sz w:val="20"/>
                <w:szCs w:val="20"/>
              </w:rPr>
              <w:t>. For example</w:t>
            </w:r>
            <w:r w:rsidRPr="00E4441B">
              <w:rPr>
                <w:rFonts w:cs="Calibri"/>
                <w:sz w:val="20"/>
                <w:szCs w:val="20"/>
              </w:rPr>
              <w:t>, for a low-lying coastal area,</w:t>
            </w:r>
            <w:r w:rsidR="00596757">
              <w:rPr>
                <w:rFonts w:cs="Calibri"/>
                <w:sz w:val="20"/>
                <w:szCs w:val="20"/>
              </w:rPr>
              <w:t> </w:t>
            </w:r>
            <w:r w:rsidRPr="00E4441B">
              <w:rPr>
                <w:rFonts w:cs="Calibri"/>
                <w:sz w:val="20"/>
                <w:szCs w:val="20"/>
              </w:rPr>
              <w:t>a persistent wet season (high groundwater, reduced field capacity) is followed by a coastal storm on the back of sea-level rise coincident with intense rainfall, leading to compound flooding impacts (Ministry for the Environment, 2019).</w:t>
            </w:r>
          </w:p>
        </w:tc>
      </w:tr>
      <w:tr w:rsidR="003A679C" w:rsidRPr="00E4441B" w14:paraId="0D8E2E98" w14:textId="77777777" w:rsidTr="00D43D78">
        <w:tc>
          <w:tcPr>
            <w:tcW w:w="1264" w:type="pct"/>
            <w:shd w:val="clear" w:color="auto" w:fill="auto"/>
            <w:tcMar>
              <w:top w:w="0" w:type="dxa"/>
            </w:tcMar>
          </w:tcPr>
          <w:p w14:paraId="7621B92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Confidence</w:t>
            </w:r>
          </w:p>
        </w:tc>
        <w:tc>
          <w:tcPr>
            <w:tcW w:w="3736" w:type="pct"/>
            <w:shd w:val="clear" w:color="auto" w:fill="auto"/>
            <w:tcMar>
              <w:top w:w="0" w:type="dxa"/>
            </w:tcMar>
          </w:tcPr>
          <w:p w14:paraId="06C9FA26"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 qualitative measure of the validity of a finding, based on the type, amount, quality and consistency of evidence (eg, data, mechanistic understanding, theory, models, expert judgement) and the degree of agreement (Ministry for the Environment, 2019).</w:t>
            </w:r>
          </w:p>
        </w:tc>
      </w:tr>
      <w:tr w:rsidR="003A679C" w:rsidRPr="00E4441B" w14:paraId="26E8387D" w14:textId="77777777" w:rsidTr="00D43D78">
        <w:tc>
          <w:tcPr>
            <w:tcW w:w="1264" w:type="pct"/>
            <w:shd w:val="clear" w:color="auto" w:fill="auto"/>
            <w:tcMar>
              <w:top w:w="0" w:type="dxa"/>
            </w:tcMar>
          </w:tcPr>
          <w:p w14:paraId="229E25D5"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Consequence</w:t>
            </w:r>
          </w:p>
        </w:tc>
        <w:tc>
          <w:tcPr>
            <w:tcW w:w="3736" w:type="pct"/>
            <w:shd w:val="clear" w:color="auto" w:fill="auto"/>
            <w:tcMar>
              <w:top w:w="0" w:type="dxa"/>
            </w:tcMar>
          </w:tcPr>
          <w:p w14:paraId="281E2117" w14:textId="4149D214" w:rsidR="003A679C" w:rsidRPr="00E4441B" w:rsidRDefault="003A679C" w:rsidP="00D45680">
            <w:pPr>
              <w:pStyle w:val="Glossary"/>
              <w:spacing w:before="60" w:after="60" w:line="260" w:lineRule="atLeast"/>
              <w:rPr>
                <w:rFonts w:cs="Calibri"/>
                <w:sz w:val="20"/>
                <w:szCs w:val="20"/>
              </w:rPr>
            </w:pPr>
            <w:r w:rsidRPr="00E4441B">
              <w:rPr>
                <w:rFonts w:cs="Calibri"/>
                <w:sz w:val="20"/>
                <w:szCs w:val="20"/>
              </w:rPr>
              <w:t>The outcome of an event that may result from a hazard. It can be expressed quantitatively (eg, units of damage or loss, disruption period, monetary value of impacts or environmental effect), semi-quantitatively by category (eg, high, medium</w:t>
            </w:r>
            <w:r w:rsidR="00D45680">
              <w:rPr>
                <w:rFonts w:cs="Calibri"/>
                <w:sz w:val="20"/>
                <w:szCs w:val="20"/>
              </w:rPr>
              <w:t xml:space="preserve"> or</w:t>
            </w:r>
            <w:r w:rsidRPr="00E4441B">
              <w:rPr>
                <w:rFonts w:cs="Calibri"/>
                <w:sz w:val="20"/>
                <w:szCs w:val="20"/>
              </w:rPr>
              <w:t xml:space="preserve"> low level of impact) or qualitatively (a description of the</w:t>
            </w:r>
            <w:r w:rsidR="00C039FA">
              <w:rPr>
                <w:rFonts w:cs="Calibri"/>
                <w:sz w:val="20"/>
                <w:szCs w:val="20"/>
              </w:rPr>
              <w:t> </w:t>
            </w:r>
            <w:r w:rsidRPr="00E4441B">
              <w:rPr>
                <w:rFonts w:cs="Calibri"/>
                <w:sz w:val="20"/>
                <w:szCs w:val="20"/>
              </w:rPr>
              <w:t>impacts) (adapted from Ministry of Civil Defence and Emergency Management, 2019). It is also defined as the outcome of an event</w:t>
            </w:r>
            <w:r w:rsidR="00C039FA">
              <w:rPr>
                <w:rFonts w:cs="Calibri"/>
                <w:sz w:val="20"/>
                <w:szCs w:val="20"/>
              </w:rPr>
              <w:t> </w:t>
            </w:r>
            <w:r w:rsidRPr="00E4441B">
              <w:rPr>
                <w:rFonts w:cs="Calibri"/>
                <w:sz w:val="20"/>
                <w:szCs w:val="20"/>
              </w:rPr>
              <w:t>affecting objectives (ISO/IEC 27000:2014 and ISO 31000: 2009) (Ministry for the Environment, 2019).</w:t>
            </w:r>
          </w:p>
        </w:tc>
      </w:tr>
      <w:tr w:rsidR="003A679C" w:rsidRPr="00E4441B" w14:paraId="5EA1DC5C" w14:textId="77777777" w:rsidTr="00D43D78">
        <w:tc>
          <w:tcPr>
            <w:tcW w:w="1264" w:type="pct"/>
            <w:shd w:val="clear" w:color="auto" w:fill="auto"/>
            <w:tcMar>
              <w:top w:w="0" w:type="dxa"/>
            </w:tcMar>
          </w:tcPr>
          <w:p w14:paraId="35CBD1A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Disaster </w:t>
            </w:r>
          </w:p>
        </w:tc>
        <w:tc>
          <w:tcPr>
            <w:tcW w:w="3736" w:type="pct"/>
            <w:shd w:val="clear" w:color="auto" w:fill="auto"/>
            <w:tcMar>
              <w:top w:w="0" w:type="dxa"/>
            </w:tcMar>
          </w:tcPr>
          <w:p w14:paraId="6737B183" w14:textId="78C4536F"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Severe alterations in the normal functioning of a community or a society due to hazardous physical events interacting with vulnerable social conditions, leading to widespread adverse human, material, economic or</w:t>
            </w:r>
            <w:r w:rsidR="00C039FA">
              <w:rPr>
                <w:rFonts w:cs="Calibri"/>
                <w:sz w:val="20"/>
                <w:szCs w:val="20"/>
              </w:rPr>
              <w:t> </w:t>
            </w:r>
            <w:r w:rsidRPr="00E4441B">
              <w:rPr>
                <w:rFonts w:cs="Calibri"/>
                <w:sz w:val="20"/>
                <w:szCs w:val="20"/>
              </w:rPr>
              <w:t>environmental effects that require immediate emergency response to satisfy critical human needs and that may require external support for recovery (IPCC, 2014</w:t>
            </w:r>
            <w:r w:rsidR="00525112">
              <w:rPr>
                <w:rFonts w:cs="Calibri"/>
                <w:sz w:val="20"/>
                <w:szCs w:val="20"/>
              </w:rPr>
              <w:t>a</w:t>
            </w:r>
            <w:r w:rsidRPr="00E4441B">
              <w:rPr>
                <w:rFonts w:cs="Calibri"/>
                <w:sz w:val="20"/>
                <w:szCs w:val="20"/>
              </w:rPr>
              <w:t>).</w:t>
            </w:r>
          </w:p>
        </w:tc>
      </w:tr>
      <w:tr w:rsidR="003A679C" w:rsidRPr="00E4441B" w14:paraId="5BE16BAF" w14:textId="77777777" w:rsidTr="00D43D78">
        <w:tc>
          <w:tcPr>
            <w:tcW w:w="1264" w:type="pct"/>
            <w:shd w:val="clear" w:color="auto" w:fill="auto"/>
            <w:tcMar>
              <w:top w:w="0" w:type="dxa"/>
            </w:tcMar>
          </w:tcPr>
          <w:p w14:paraId="028F933C"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Driver</w:t>
            </w:r>
          </w:p>
        </w:tc>
        <w:tc>
          <w:tcPr>
            <w:tcW w:w="3736" w:type="pct"/>
            <w:shd w:val="clear" w:color="auto" w:fill="auto"/>
            <w:tcMar>
              <w:top w:w="0" w:type="dxa"/>
            </w:tcMar>
          </w:tcPr>
          <w:p w14:paraId="59102828" w14:textId="57014AFE"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An aspect that changes a given system. Drivers can be short term but are mainly long term in their effects. Changes in both the climate system and socio-economic processes including adaptation and mitigation are drivers of</w:t>
            </w:r>
            <w:r w:rsidR="00C039FA">
              <w:rPr>
                <w:rFonts w:cs="Calibri"/>
                <w:sz w:val="20"/>
                <w:szCs w:val="20"/>
              </w:rPr>
              <w:t> </w:t>
            </w:r>
            <w:r w:rsidRPr="00E4441B">
              <w:rPr>
                <w:rFonts w:cs="Calibri"/>
                <w:sz w:val="20"/>
                <w:szCs w:val="20"/>
              </w:rPr>
              <w:t>hazards, exposure and vulnerability. Drivers can, thus, be climatic or non</w:t>
            </w:r>
            <w:r w:rsidR="00C039FA">
              <w:rPr>
                <w:rFonts w:cs="Calibri"/>
                <w:sz w:val="20"/>
                <w:szCs w:val="20"/>
              </w:rPr>
              <w:noBreakHyphen/>
            </w:r>
            <w:r w:rsidRPr="00E4441B">
              <w:rPr>
                <w:rFonts w:cs="Calibri"/>
                <w:sz w:val="20"/>
                <w:szCs w:val="20"/>
              </w:rPr>
              <w:t>climatic (Ministry for the Environment, 2019).</w:t>
            </w:r>
          </w:p>
        </w:tc>
      </w:tr>
      <w:tr w:rsidR="003A679C" w:rsidRPr="00E4441B" w14:paraId="479FA095" w14:textId="77777777" w:rsidTr="00D43D78">
        <w:tc>
          <w:tcPr>
            <w:tcW w:w="1264" w:type="pct"/>
            <w:shd w:val="clear" w:color="auto" w:fill="auto"/>
            <w:tcMar>
              <w:top w:w="0" w:type="dxa"/>
            </w:tcMar>
          </w:tcPr>
          <w:p w14:paraId="71ED11A8"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Emissions</w:t>
            </w:r>
          </w:p>
        </w:tc>
        <w:tc>
          <w:tcPr>
            <w:tcW w:w="3736" w:type="pct"/>
            <w:shd w:val="clear" w:color="auto" w:fill="auto"/>
            <w:tcMar>
              <w:top w:w="0" w:type="dxa"/>
            </w:tcMar>
          </w:tcPr>
          <w:p w14:paraId="2ECB4841" w14:textId="5A258DEC" w:rsidR="003A679C" w:rsidRPr="00E4441B" w:rsidRDefault="003A679C" w:rsidP="00D45680">
            <w:pPr>
              <w:pStyle w:val="Glossary"/>
              <w:spacing w:before="60" w:after="60" w:line="260" w:lineRule="atLeast"/>
              <w:rPr>
                <w:rFonts w:cs="Calibri"/>
                <w:sz w:val="20"/>
                <w:szCs w:val="20"/>
              </w:rPr>
            </w:pPr>
            <w:r w:rsidRPr="00E4441B">
              <w:rPr>
                <w:rFonts w:cs="Calibri"/>
                <w:sz w:val="20"/>
                <w:szCs w:val="20"/>
              </w:rPr>
              <w:t xml:space="preserve">The production and discharge of substances that are potentially radiatively active (ie, absorb and emit radiant energy) in the atmosphere (eg, </w:t>
            </w:r>
            <w:r w:rsidR="00D45680">
              <w:rPr>
                <w:rFonts w:cs="Calibri"/>
                <w:sz w:val="20"/>
                <w:szCs w:val="20"/>
              </w:rPr>
              <w:t>greenhouse gases</w:t>
            </w:r>
            <w:r w:rsidRPr="00E4441B">
              <w:rPr>
                <w:rFonts w:cs="Calibri"/>
                <w:sz w:val="20"/>
                <w:szCs w:val="20"/>
              </w:rPr>
              <w:t>, aerosols) (Ministry for the Environment, 2019).</w:t>
            </w:r>
          </w:p>
        </w:tc>
      </w:tr>
      <w:tr w:rsidR="003A679C" w:rsidRPr="00E4441B" w14:paraId="3D6CAC60" w14:textId="77777777" w:rsidTr="00D43D78">
        <w:tc>
          <w:tcPr>
            <w:tcW w:w="1264" w:type="pct"/>
            <w:shd w:val="clear" w:color="auto" w:fill="auto"/>
            <w:tcMar>
              <w:top w:w="0" w:type="dxa"/>
            </w:tcMar>
          </w:tcPr>
          <w:p w14:paraId="51E04C18"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Exposure </w:t>
            </w:r>
          </w:p>
        </w:tc>
        <w:tc>
          <w:tcPr>
            <w:tcW w:w="3736" w:type="pct"/>
            <w:shd w:val="clear" w:color="auto" w:fill="auto"/>
            <w:tcMar>
              <w:top w:w="0" w:type="dxa"/>
            </w:tcMar>
          </w:tcPr>
          <w:p w14:paraId="24D41800" w14:textId="195501A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Lack of protection, where people, livelihoods, species or ecosystems, environmental functions, services and resources, infrastructure, or economic, social or cultural assets in places and settings could be adversely affected by a change in external stresses that a system is exposed to. In the context of climate change these are normally specific climate and other biophysical variables (IPCC, 2007).</w:t>
            </w:r>
          </w:p>
          <w:p w14:paraId="77A98553" w14:textId="097CFF65" w:rsidR="003A679C" w:rsidRPr="00E4441B" w:rsidRDefault="003A679C" w:rsidP="00330FC6">
            <w:pPr>
              <w:pStyle w:val="Glossary"/>
              <w:spacing w:before="60" w:after="60" w:line="260" w:lineRule="atLeast"/>
              <w:rPr>
                <w:rFonts w:cs="Calibri"/>
                <w:sz w:val="20"/>
                <w:szCs w:val="20"/>
              </w:rPr>
            </w:pPr>
            <w:r w:rsidRPr="00E4441B">
              <w:rPr>
                <w:rFonts w:cs="Calibri"/>
                <w:sz w:val="20"/>
                <w:szCs w:val="20"/>
              </w:rPr>
              <w:t>Lack of protection against loss or harm in a hazard zone, affecting the number, density or value of people, property, services or other things we value (taonga) (</w:t>
            </w:r>
            <w:r w:rsidR="00D45680" w:rsidRPr="00E4441B">
              <w:rPr>
                <w:rFonts w:cs="Calibri"/>
                <w:sz w:val="20"/>
                <w:szCs w:val="20"/>
              </w:rPr>
              <w:t>Ministry of Civil Defence and Emergency Management</w:t>
            </w:r>
            <w:r w:rsidRPr="00E4441B">
              <w:rPr>
                <w:rFonts w:cs="Calibri"/>
                <w:sz w:val="20"/>
                <w:szCs w:val="20"/>
              </w:rPr>
              <w:t>, 2019).</w:t>
            </w:r>
          </w:p>
        </w:tc>
      </w:tr>
      <w:tr w:rsidR="003A679C" w:rsidRPr="00E4441B" w14:paraId="752BCB7E" w14:textId="77777777" w:rsidTr="00D43D78">
        <w:tc>
          <w:tcPr>
            <w:tcW w:w="1264" w:type="pct"/>
            <w:shd w:val="clear" w:color="auto" w:fill="auto"/>
            <w:tcMar>
              <w:top w:w="0" w:type="dxa"/>
            </w:tcMar>
          </w:tcPr>
          <w:p w14:paraId="0D1DB605" w14:textId="77777777" w:rsidR="003A679C" w:rsidRPr="00E4441B" w:rsidRDefault="003A679C" w:rsidP="00B17C14">
            <w:pPr>
              <w:pStyle w:val="Glossary"/>
              <w:keepNext/>
              <w:spacing w:before="60" w:after="60" w:line="260" w:lineRule="atLeast"/>
              <w:rPr>
                <w:rFonts w:cs="Calibri"/>
                <w:sz w:val="20"/>
                <w:szCs w:val="20"/>
              </w:rPr>
            </w:pPr>
            <w:r w:rsidRPr="00E4441B">
              <w:rPr>
                <w:rFonts w:cs="Calibri"/>
                <w:sz w:val="20"/>
                <w:szCs w:val="20"/>
              </w:rPr>
              <w:lastRenderedPageBreak/>
              <w:t xml:space="preserve">Extreme weather event </w:t>
            </w:r>
          </w:p>
        </w:tc>
        <w:tc>
          <w:tcPr>
            <w:tcW w:w="3736" w:type="pct"/>
            <w:shd w:val="clear" w:color="auto" w:fill="auto"/>
            <w:tcMar>
              <w:top w:w="0" w:type="dxa"/>
            </w:tcMar>
          </w:tcPr>
          <w:p w14:paraId="47DC9ACF" w14:textId="6EFF5B9C" w:rsidR="003A679C" w:rsidRPr="00E4441B" w:rsidRDefault="003A679C" w:rsidP="00330FC6">
            <w:pPr>
              <w:pStyle w:val="Glossary"/>
              <w:spacing w:before="60" w:after="60" w:line="260" w:lineRule="atLeast"/>
              <w:rPr>
                <w:rFonts w:cs="Calibri"/>
                <w:sz w:val="20"/>
                <w:szCs w:val="20"/>
              </w:rPr>
            </w:pPr>
            <w:r w:rsidRPr="00E4441B">
              <w:rPr>
                <w:rFonts w:cs="Calibri"/>
                <w:sz w:val="20"/>
                <w:szCs w:val="20"/>
              </w:rPr>
              <w:t>An event that is rare at a particular place and time of year. Rare is normally</w:t>
            </w:r>
            <w:r w:rsidR="00C039FA">
              <w:rPr>
                <w:rFonts w:cs="Calibri"/>
                <w:sz w:val="20"/>
                <w:szCs w:val="20"/>
              </w:rPr>
              <w:t> </w:t>
            </w:r>
            <w:r w:rsidRPr="00E4441B">
              <w:rPr>
                <w:rFonts w:cs="Calibri"/>
                <w:sz w:val="20"/>
                <w:szCs w:val="20"/>
              </w:rPr>
              <w:t xml:space="preserve">defined as </w:t>
            </w:r>
            <w:r w:rsidR="00330FC6">
              <w:rPr>
                <w:rFonts w:cs="Calibri"/>
                <w:sz w:val="20"/>
                <w:szCs w:val="20"/>
              </w:rPr>
              <w:t>“</w:t>
            </w:r>
            <w:r w:rsidRPr="00E4441B">
              <w:rPr>
                <w:rFonts w:cs="Calibri"/>
                <w:sz w:val="20"/>
                <w:szCs w:val="20"/>
              </w:rPr>
              <w:t>as rare as or rarer than the 10th or 90th percentile of</w:t>
            </w:r>
            <w:r w:rsidR="00C039FA">
              <w:rPr>
                <w:rFonts w:cs="Calibri"/>
                <w:sz w:val="20"/>
                <w:szCs w:val="20"/>
              </w:rPr>
              <w:t> </w:t>
            </w:r>
            <w:r w:rsidRPr="00E4441B">
              <w:rPr>
                <w:rFonts w:cs="Calibri"/>
                <w:sz w:val="20"/>
                <w:szCs w:val="20"/>
              </w:rPr>
              <w:t>a</w:t>
            </w:r>
            <w:r w:rsidR="00C039FA">
              <w:rPr>
                <w:rFonts w:cs="Calibri"/>
                <w:sz w:val="20"/>
                <w:szCs w:val="20"/>
              </w:rPr>
              <w:t> </w:t>
            </w:r>
            <w:r w:rsidRPr="00E4441B">
              <w:rPr>
                <w:rFonts w:cs="Calibri"/>
                <w:sz w:val="20"/>
                <w:szCs w:val="20"/>
              </w:rPr>
              <w:t>probability density function estimated from observations</w:t>
            </w:r>
            <w:r w:rsidR="00330FC6">
              <w:rPr>
                <w:rFonts w:cs="Calibri"/>
                <w:sz w:val="20"/>
                <w:szCs w:val="20"/>
              </w:rPr>
              <w:t>”</w:t>
            </w:r>
            <w:r w:rsidRPr="00E4441B">
              <w:rPr>
                <w:rFonts w:cs="Calibri"/>
                <w:sz w:val="20"/>
                <w:szCs w:val="20"/>
              </w:rPr>
              <w:t>. The characteristics of extreme weather may vary from place to place. When a</w:t>
            </w:r>
            <w:r w:rsidR="00C039FA">
              <w:rPr>
                <w:rFonts w:cs="Calibri"/>
                <w:sz w:val="20"/>
                <w:szCs w:val="20"/>
              </w:rPr>
              <w:t> </w:t>
            </w:r>
            <w:r w:rsidRPr="00E4441B">
              <w:rPr>
                <w:rFonts w:cs="Calibri"/>
                <w:sz w:val="20"/>
                <w:szCs w:val="20"/>
              </w:rPr>
              <w:t>pattern persists, such as a season, it may be classed as an extreme climate</w:t>
            </w:r>
            <w:r w:rsidR="00C039FA">
              <w:rPr>
                <w:rFonts w:cs="Calibri"/>
                <w:sz w:val="20"/>
                <w:szCs w:val="20"/>
              </w:rPr>
              <w:t> </w:t>
            </w:r>
            <w:r w:rsidRPr="00E4441B">
              <w:rPr>
                <w:rFonts w:cs="Calibri"/>
                <w:sz w:val="20"/>
                <w:szCs w:val="20"/>
              </w:rPr>
              <w:t>event, especially if it yields an average or total that is itself extreme</w:t>
            </w:r>
            <w:r w:rsidR="00C039FA">
              <w:rPr>
                <w:rFonts w:cs="Calibri"/>
                <w:sz w:val="20"/>
                <w:szCs w:val="20"/>
              </w:rPr>
              <w:t> </w:t>
            </w:r>
            <w:r w:rsidRPr="00E4441B">
              <w:rPr>
                <w:rFonts w:cs="Calibri"/>
                <w:sz w:val="20"/>
                <w:szCs w:val="20"/>
              </w:rPr>
              <w:t>(eg, a season of drought or heavy rainfall) (IPCC, 2014</w:t>
            </w:r>
            <w:r w:rsidR="00525112">
              <w:rPr>
                <w:rFonts w:cs="Calibri"/>
                <w:sz w:val="20"/>
                <w:szCs w:val="20"/>
              </w:rPr>
              <w:t>a</w:t>
            </w:r>
            <w:r w:rsidRPr="00E4441B">
              <w:rPr>
                <w:rFonts w:cs="Calibri"/>
                <w:sz w:val="20"/>
                <w:szCs w:val="20"/>
              </w:rPr>
              <w:t xml:space="preserve">). </w:t>
            </w:r>
          </w:p>
        </w:tc>
      </w:tr>
      <w:tr w:rsidR="003A679C" w:rsidRPr="00E4441B" w14:paraId="2A86F1CB" w14:textId="77777777" w:rsidTr="00D43D78">
        <w:tc>
          <w:tcPr>
            <w:tcW w:w="1264" w:type="pct"/>
            <w:shd w:val="clear" w:color="auto" w:fill="auto"/>
            <w:tcMar>
              <w:top w:w="0" w:type="dxa"/>
            </w:tcMar>
          </w:tcPr>
          <w:p w14:paraId="2C2A87E0"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Frequency</w:t>
            </w:r>
          </w:p>
        </w:tc>
        <w:tc>
          <w:tcPr>
            <w:tcW w:w="3736" w:type="pct"/>
            <w:shd w:val="clear" w:color="auto" w:fill="auto"/>
            <w:tcMar>
              <w:top w:w="0" w:type="dxa"/>
            </w:tcMar>
          </w:tcPr>
          <w:p w14:paraId="76AB73D0"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number or rate of occurrences of hazards, usually over a particular period (Ministry for the Environment, 2019).</w:t>
            </w:r>
          </w:p>
        </w:tc>
      </w:tr>
      <w:tr w:rsidR="003A679C" w:rsidRPr="00E4441B" w14:paraId="11B1DA94" w14:textId="77777777" w:rsidTr="00D43D78">
        <w:tc>
          <w:tcPr>
            <w:tcW w:w="1264" w:type="pct"/>
            <w:shd w:val="clear" w:color="auto" w:fill="auto"/>
            <w:tcMar>
              <w:top w:w="0" w:type="dxa"/>
            </w:tcMar>
          </w:tcPr>
          <w:p w14:paraId="15F6BCB5" w14:textId="325F2673" w:rsidR="003A679C" w:rsidRPr="00E4441B" w:rsidRDefault="003A679C" w:rsidP="00D45680">
            <w:pPr>
              <w:pStyle w:val="Glossary"/>
              <w:spacing w:before="60" w:after="60" w:line="260" w:lineRule="atLeast"/>
              <w:rPr>
                <w:rFonts w:cs="Calibri"/>
                <w:sz w:val="20"/>
                <w:szCs w:val="20"/>
              </w:rPr>
            </w:pPr>
            <w:r w:rsidRPr="00E4441B">
              <w:rPr>
                <w:rFonts w:cs="Calibri"/>
                <w:sz w:val="20"/>
                <w:szCs w:val="20"/>
              </w:rPr>
              <w:t>Greenhouse gas</w:t>
            </w:r>
          </w:p>
        </w:tc>
        <w:tc>
          <w:tcPr>
            <w:tcW w:w="3736" w:type="pct"/>
            <w:shd w:val="clear" w:color="auto" w:fill="auto"/>
            <w:tcMar>
              <w:top w:w="0" w:type="dxa"/>
            </w:tcMar>
          </w:tcPr>
          <w:p w14:paraId="35B23BEE" w14:textId="43882E88" w:rsidR="003A679C" w:rsidRPr="00E4441B" w:rsidRDefault="003A679C" w:rsidP="00330FC6">
            <w:pPr>
              <w:pStyle w:val="Glossary"/>
              <w:spacing w:before="60" w:after="60" w:line="260" w:lineRule="atLeast"/>
              <w:rPr>
                <w:rFonts w:cs="Calibri"/>
                <w:sz w:val="20"/>
                <w:szCs w:val="20"/>
              </w:rPr>
            </w:pPr>
            <w:r w:rsidRPr="00E4441B">
              <w:rPr>
                <w:rFonts w:cs="Calibri"/>
                <w:sz w:val="20"/>
                <w:szCs w:val="20"/>
              </w:rPr>
              <w:t>Gaseous constituents of the atmosphere, both natural and anthropogenic, that absorb and emit radiation at specific wavelengths within the spectrum of thermal infrared radiation emitted by the Earth's surface,</w:t>
            </w:r>
            <w:r w:rsidR="00330FC6">
              <w:rPr>
                <w:rFonts w:cs="Calibri"/>
                <w:sz w:val="20"/>
                <w:szCs w:val="20"/>
              </w:rPr>
              <w:t xml:space="preserve"> by</w:t>
            </w:r>
            <w:r w:rsidRPr="00E4441B">
              <w:rPr>
                <w:rFonts w:cs="Calibri"/>
                <w:sz w:val="20"/>
                <w:szCs w:val="20"/>
              </w:rPr>
              <w:t xml:space="preserve"> the atmosphere itself and by clouds. This property causes the greenhouse effect. Water vapour (H</w:t>
            </w:r>
            <w:r w:rsidRPr="00E4441B">
              <w:rPr>
                <w:rFonts w:cs="Calibri"/>
                <w:sz w:val="20"/>
                <w:szCs w:val="20"/>
                <w:vertAlign w:val="subscript"/>
              </w:rPr>
              <w:t>2</w:t>
            </w:r>
            <w:r w:rsidRPr="00E4441B">
              <w:rPr>
                <w:rFonts w:cs="Calibri"/>
                <w:sz w:val="20"/>
                <w:szCs w:val="20"/>
              </w:rPr>
              <w:t>O), carbon dioxide (CO</w:t>
            </w:r>
            <w:r w:rsidRPr="00E4441B">
              <w:rPr>
                <w:rFonts w:cs="Calibri"/>
                <w:sz w:val="20"/>
                <w:szCs w:val="20"/>
                <w:vertAlign w:val="subscript"/>
              </w:rPr>
              <w:t>2</w:t>
            </w:r>
            <w:r w:rsidRPr="00E4441B">
              <w:rPr>
                <w:rFonts w:cs="Calibri"/>
                <w:sz w:val="20"/>
                <w:szCs w:val="20"/>
              </w:rPr>
              <w:t>), nitrous oxide (N</w:t>
            </w:r>
            <w:r w:rsidRPr="00E4441B">
              <w:rPr>
                <w:rFonts w:cs="Calibri"/>
                <w:sz w:val="20"/>
                <w:szCs w:val="20"/>
                <w:vertAlign w:val="subscript"/>
              </w:rPr>
              <w:t>2</w:t>
            </w:r>
            <w:r w:rsidRPr="00E4441B">
              <w:rPr>
                <w:rFonts w:cs="Calibri"/>
                <w:sz w:val="20"/>
                <w:szCs w:val="20"/>
              </w:rPr>
              <w:t>O), methane (CH</w:t>
            </w:r>
            <w:r w:rsidRPr="00E4441B">
              <w:rPr>
                <w:rFonts w:cs="Calibri"/>
                <w:sz w:val="20"/>
                <w:szCs w:val="20"/>
                <w:vertAlign w:val="subscript"/>
              </w:rPr>
              <w:t>4</w:t>
            </w:r>
            <w:r w:rsidRPr="00E4441B">
              <w:rPr>
                <w:rFonts w:cs="Calibri"/>
                <w:sz w:val="20"/>
                <w:szCs w:val="20"/>
              </w:rPr>
              <w:t>) and ozone (O</w:t>
            </w:r>
            <w:r w:rsidRPr="00E4441B">
              <w:rPr>
                <w:rFonts w:cs="Calibri"/>
                <w:sz w:val="20"/>
                <w:szCs w:val="20"/>
                <w:vertAlign w:val="subscript"/>
              </w:rPr>
              <w:t>3</w:t>
            </w:r>
            <w:r w:rsidRPr="00E4441B">
              <w:rPr>
                <w:rFonts w:cs="Calibri"/>
                <w:sz w:val="20"/>
                <w:szCs w:val="20"/>
              </w:rPr>
              <w:t xml:space="preserve">) are the primary greenhouse gases in the Earth's atmosphere. </w:t>
            </w:r>
          </w:p>
        </w:tc>
      </w:tr>
      <w:tr w:rsidR="003A679C" w:rsidRPr="00E4441B" w14:paraId="684D2BBC" w14:textId="77777777" w:rsidTr="00D43D78">
        <w:tc>
          <w:tcPr>
            <w:tcW w:w="1264" w:type="pct"/>
            <w:shd w:val="clear" w:color="auto" w:fill="auto"/>
            <w:tcMar>
              <w:top w:w="0" w:type="dxa"/>
            </w:tcMar>
          </w:tcPr>
          <w:p w14:paraId="6F1B0D52"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Hazard </w:t>
            </w:r>
          </w:p>
        </w:tc>
        <w:tc>
          <w:tcPr>
            <w:tcW w:w="3736" w:type="pct"/>
            <w:shd w:val="clear" w:color="auto" w:fill="auto"/>
            <w:tcMar>
              <w:top w:w="0" w:type="dxa"/>
            </w:tcMar>
          </w:tcPr>
          <w:p w14:paraId="7BDAED69" w14:textId="21E729C5"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potential occurrence of a natural or human-induced physical event or trend or physical impact that may cause loss of life, injury or other health impacts, as well as damage and loss to property, infrastructure, livelihoods, service provision, ecosystems and environmental resources (IPCC, 2014</w:t>
            </w:r>
            <w:r w:rsidR="00525112">
              <w:rPr>
                <w:rFonts w:cs="Calibri"/>
                <w:sz w:val="20"/>
                <w:szCs w:val="20"/>
              </w:rPr>
              <w:t>a</w:t>
            </w:r>
            <w:r w:rsidRPr="00E4441B">
              <w:rPr>
                <w:rFonts w:cs="Calibri"/>
                <w:sz w:val="20"/>
                <w:szCs w:val="20"/>
              </w:rPr>
              <w:t xml:space="preserve">). </w:t>
            </w:r>
          </w:p>
          <w:p w14:paraId="18D2C145" w14:textId="1216612C" w:rsidR="003A679C" w:rsidRPr="00E4441B" w:rsidRDefault="003A679C" w:rsidP="000958E0">
            <w:pPr>
              <w:pStyle w:val="Glossary"/>
              <w:spacing w:before="60" w:after="60" w:line="260" w:lineRule="atLeast"/>
              <w:rPr>
                <w:rFonts w:cs="Calibri"/>
                <w:sz w:val="20"/>
                <w:szCs w:val="20"/>
              </w:rPr>
            </w:pPr>
            <w:r w:rsidRPr="00E4441B">
              <w:rPr>
                <w:rFonts w:cs="Calibri"/>
                <w:sz w:val="20"/>
                <w:szCs w:val="20"/>
              </w:rPr>
              <w:t xml:space="preserve">In this report, </w:t>
            </w:r>
            <w:r w:rsidR="000958E0">
              <w:rPr>
                <w:rFonts w:cs="Calibri"/>
                <w:sz w:val="20"/>
                <w:szCs w:val="20"/>
              </w:rPr>
              <w:t>hazard</w:t>
            </w:r>
            <w:r w:rsidR="000958E0" w:rsidRPr="00E4441B">
              <w:rPr>
                <w:rFonts w:cs="Calibri"/>
                <w:sz w:val="20"/>
                <w:szCs w:val="20"/>
              </w:rPr>
              <w:t xml:space="preserve"> </w:t>
            </w:r>
            <w:r w:rsidRPr="00E4441B">
              <w:rPr>
                <w:rFonts w:cs="Calibri"/>
                <w:sz w:val="20"/>
                <w:szCs w:val="20"/>
              </w:rPr>
              <w:t xml:space="preserve">usually refers broadly not only to climate-related physical hazard events (such as floods or heatwaves), but also </w:t>
            </w:r>
            <w:r w:rsidR="000958E0">
              <w:rPr>
                <w:rFonts w:cs="Calibri"/>
                <w:sz w:val="20"/>
                <w:szCs w:val="20"/>
              </w:rPr>
              <w:t xml:space="preserve">to </w:t>
            </w:r>
            <w:r w:rsidRPr="00E4441B">
              <w:rPr>
                <w:rFonts w:cs="Calibri"/>
                <w:sz w:val="20"/>
                <w:szCs w:val="20"/>
              </w:rPr>
              <w:t>evolving trends or their gradual</w:t>
            </w:r>
            <w:r w:rsidR="00D4420B">
              <w:rPr>
                <w:rFonts w:cs="Calibri"/>
                <w:sz w:val="20"/>
                <w:szCs w:val="20"/>
              </w:rPr>
              <w:t>-</w:t>
            </w:r>
            <w:r w:rsidRPr="00E4441B">
              <w:rPr>
                <w:rFonts w:cs="Calibri"/>
                <w:sz w:val="20"/>
                <w:szCs w:val="20"/>
              </w:rPr>
              <w:t>onset physical impacts (IPCC, 2014</w:t>
            </w:r>
            <w:r w:rsidR="00525112">
              <w:rPr>
                <w:rFonts w:cs="Calibri"/>
                <w:sz w:val="20"/>
                <w:szCs w:val="20"/>
              </w:rPr>
              <w:t>a</w:t>
            </w:r>
            <w:r w:rsidRPr="00E4441B">
              <w:rPr>
                <w:rFonts w:cs="Calibri"/>
                <w:sz w:val="20"/>
                <w:szCs w:val="20"/>
              </w:rPr>
              <w:t xml:space="preserve">). </w:t>
            </w:r>
          </w:p>
        </w:tc>
      </w:tr>
      <w:tr w:rsidR="003A679C" w:rsidRPr="00E4441B" w14:paraId="7AD624BE" w14:textId="77777777" w:rsidTr="00D43D78">
        <w:tc>
          <w:tcPr>
            <w:tcW w:w="1264" w:type="pct"/>
            <w:shd w:val="clear" w:color="auto" w:fill="auto"/>
            <w:tcMar>
              <w:top w:w="0" w:type="dxa"/>
            </w:tcMar>
          </w:tcPr>
          <w:p w14:paraId="7393C9EC"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Heatwave</w:t>
            </w:r>
          </w:p>
        </w:tc>
        <w:tc>
          <w:tcPr>
            <w:tcW w:w="3736" w:type="pct"/>
            <w:shd w:val="clear" w:color="auto" w:fill="auto"/>
            <w:tcMar>
              <w:top w:w="0" w:type="dxa"/>
            </w:tcMar>
          </w:tcPr>
          <w:p w14:paraId="07B661E4" w14:textId="41AB6E78"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 period of abnormally and uncomfortably hot weather (IPCC, 2014</w:t>
            </w:r>
            <w:r w:rsidR="00525112">
              <w:rPr>
                <w:rFonts w:cs="Calibri"/>
                <w:sz w:val="20"/>
                <w:szCs w:val="20"/>
              </w:rPr>
              <w:t>a</w:t>
            </w:r>
            <w:r w:rsidRPr="00E4441B">
              <w:rPr>
                <w:rFonts w:cs="Calibri"/>
                <w:sz w:val="20"/>
                <w:szCs w:val="20"/>
              </w:rPr>
              <w:t>).</w:t>
            </w:r>
          </w:p>
        </w:tc>
      </w:tr>
      <w:tr w:rsidR="003A679C" w:rsidRPr="00E4441B" w14:paraId="4A8A2DAC" w14:textId="77777777" w:rsidTr="00D43D78">
        <w:tc>
          <w:tcPr>
            <w:tcW w:w="1264" w:type="pct"/>
            <w:shd w:val="clear" w:color="auto" w:fill="auto"/>
            <w:tcMar>
              <w:top w:w="0" w:type="dxa"/>
            </w:tcMar>
          </w:tcPr>
          <w:p w14:paraId="044C80B7"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Impacts (consequences, outcomes)</w:t>
            </w:r>
          </w:p>
        </w:tc>
        <w:tc>
          <w:tcPr>
            <w:tcW w:w="3736" w:type="pct"/>
            <w:shd w:val="clear" w:color="auto" w:fill="auto"/>
            <w:tcMar>
              <w:top w:w="0" w:type="dxa"/>
            </w:tcMar>
          </w:tcPr>
          <w:p w14:paraId="05F2B158" w14:textId="0A282285"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effects on natural and human systems of extreme weather and climate events and of climate change. Generally refer to effects on lives, livelihoods, health, ecosystems, economies, societies, cultures, services and infrastructure due to the interaction of climate changes or hazardous climate events within a specific period, and the vulnerability of an exposed society or system. Impacts are also referred to as consequences and outcomes (IPCC, 2014</w:t>
            </w:r>
            <w:r w:rsidR="00525112">
              <w:rPr>
                <w:rFonts w:cs="Calibri"/>
                <w:sz w:val="20"/>
                <w:szCs w:val="20"/>
              </w:rPr>
              <w:t>a</w:t>
            </w:r>
            <w:r w:rsidRPr="00E4441B">
              <w:rPr>
                <w:rFonts w:cs="Calibri"/>
                <w:sz w:val="20"/>
                <w:szCs w:val="20"/>
              </w:rPr>
              <w:t>).</w:t>
            </w:r>
          </w:p>
        </w:tc>
      </w:tr>
      <w:tr w:rsidR="003A679C" w:rsidRPr="00E4441B" w14:paraId="0CA7A654" w14:textId="77777777" w:rsidTr="00D43D78">
        <w:tc>
          <w:tcPr>
            <w:tcW w:w="1264" w:type="pct"/>
            <w:shd w:val="clear" w:color="auto" w:fill="auto"/>
            <w:tcMar>
              <w:top w:w="0" w:type="dxa"/>
            </w:tcMar>
          </w:tcPr>
          <w:p w14:paraId="3206FBDF"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Intergovernmental Panel on Climate Change (IPCC)</w:t>
            </w:r>
          </w:p>
        </w:tc>
        <w:tc>
          <w:tcPr>
            <w:tcW w:w="3736" w:type="pct"/>
            <w:shd w:val="clear" w:color="auto" w:fill="auto"/>
            <w:tcMar>
              <w:top w:w="0" w:type="dxa"/>
            </w:tcMar>
          </w:tcPr>
          <w:p w14:paraId="50F9726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 scientific and intergovernmental body under the auspices of the United Nations.</w:t>
            </w:r>
          </w:p>
        </w:tc>
      </w:tr>
      <w:tr w:rsidR="003A679C" w:rsidRPr="00E4441B" w14:paraId="20D7EC43" w14:textId="77777777" w:rsidTr="00D43D78">
        <w:tc>
          <w:tcPr>
            <w:tcW w:w="1264" w:type="pct"/>
            <w:shd w:val="clear" w:color="auto" w:fill="auto"/>
            <w:tcMar>
              <w:top w:w="0" w:type="dxa"/>
            </w:tcMar>
          </w:tcPr>
          <w:p w14:paraId="080835AE"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Land use </w:t>
            </w:r>
          </w:p>
        </w:tc>
        <w:tc>
          <w:tcPr>
            <w:tcW w:w="3736" w:type="pct"/>
            <w:shd w:val="clear" w:color="auto" w:fill="auto"/>
            <w:tcMar>
              <w:top w:w="0" w:type="dxa"/>
            </w:tcMar>
          </w:tcPr>
          <w:p w14:paraId="3DFFFE9F" w14:textId="37BB355D" w:rsidR="003A679C" w:rsidRPr="00E4441B" w:rsidRDefault="000958E0" w:rsidP="000958E0">
            <w:pPr>
              <w:pStyle w:val="Glossary"/>
              <w:spacing w:before="60" w:after="60" w:line="260" w:lineRule="atLeast"/>
              <w:rPr>
                <w:rFonts w:cs="Calibri"/>
                <w:sz w:val="20"/>
                <w:szCs w:val="20"/>
              </w:rPr>
            </w:pPr>
            <w:r>
              <w:rPr>
                <w:rFonts w:cs="Calibri"/>
                <w:sz w:val="20"/>
                <w:szCs w:val="20"/>
              </w:rPr>
              <w:t>T</w:t>
            </w:r>
            <w:r w:rsidR="003A679C" w:rsidRPr="00E4441B">
              <w:rPr>
                <w:rFonts w:cs="Calibri"/>
                <w:sz w:val="20"/>
                <w:szCs w:val="20"/>
              </w:rPr>
              <w:t xml:space="preserve">he total of arrangements, activities and inputs undertaken in a certain land cover type (a set of human actions). The term is also used in the sense of the social and economic purposes for which land is managed (eg, grazing, timber extraction and conservation). In urban settlements it is related to land uses within cities and their hinterlands. Urban land use has implications </w:t>
            </w:r>
            <w:r>
              <w:rPr>
                <w:rFonts w:cs="Calibri"/>
                <w:sz w:val="20"/>
                <w:szCs w:val="20"/>
              </w:rPr>
              <w:t>for</w:t>
            </w:r>
            <w:r w:rsidRPr="00E4441B">
              <w:rPr>
                <w:rFonts w:cs="Calibri"/>
                <w:sz w:val="20"/>
                <w:szCs w:val="20"/>
              </w:rPr>
              <w:t xml:space="preserve"> </w:t>
            </w:r>
            <w:r w:rsidR="003A679C" w:rsidRPr="00E4441B">
              <w:rPr>
                <w:rFonts w:cs="Calibri"/>
                <w:sz w:val="20"/>
                <w:szCs w:val="20"/>
              </w:rPr>
              <w:t xml:space="preserve">city management, structure and form and thus </w:t>
            </w:r>
            <w:r>
              <w:rPr>
                <w:rFonts w:cs="Calibri"/>
                <w:sz w:val="20"/>
                <w:szCs w:val="20"/>
              </w:rPr>
              <w:t>for</w:t>
            </w:r>
            <w:r w:rsidRPr="00E4441B">
              <w:rPr>
                <w:rFonts w:cs="Calibri"/>
                <w:sz w:val="20"/>
                <w:szCs w:val="20"/>
              </w:rPr>
              <w:t xml:space="preserve"> </w:t>
            </w:r>
            <w:r w:rsidR="003A679C" w:rsidRPr="00E4441B">
              <w:rPr>
                <w:rFonts w:cs="Calibri"/>
                <w:sz w:val="20"/>
                <w:szCs w:val="20"/>
              </w:rPr>
              <w:t>energy demand, greenhouse gas emissions and mobility, among other aspects (IPCC, 2014</w:t>
            </w:r>
            <w:r w:rsidR="00525112">
              <w:rPr>
                <w:rFonts w:cs="Calibri"/>
                <w:sz w:val="20"/>
                <w:szCs w:val="20"/>
              </w:rPr>
              <w:t>a</w:t>
            </w:r>
            <w:r w:rsidR="003A679C" w:rsidRPr="00E4441B">
              <w:rPr>
                <w:rFonts w:cs="Calibri"/>
                <w:sz w:val="20"/>
                <w:szCs w:val="20"/>
              </w:rPr>
              <w:t>).</w:t>
            </w:r>
          </w:p>
        </w:tc>
      </w:tr>
      <w:tr w:rsidR="003A679C" w:rsidRPr="00E4441B" w14:paraId="6D6C99BC" w14:textId="77777777" w:rsidTr="00D43D78">
        <w:tc>
          <w:tcPr>
            <w:tcW w:w="1264" w:type="pct"/>
            <w:shd w:val="clear" w:color="auto" w:fill="auto"/>
            <w:tcMar>
              <w:top w:w="0" w:type="dxa"/>
            </w:tcMar>
          </w:tcPr>
          <w:p w14:paraId="168F794B"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Land-use change </w:t>
            </w:r>
          </w:p>
        </w:tc>
        <w:tc>
          <w:tcPr>
            <w:tcW w:w="3736" w:type="pct"/>
            <w:shd w:val="clear" w:color="auto" w:fill="auto"/>
            <w:tcMar>
              <w:top w:w="0" w:type="dxa"/>
            </w:tcMar>
          </w:tcPr>
          <w:p w14:paraId="192CF981" w14:textId="3625E09F" w:rsidR="003A679C" w:rsidRPr="00E4441B" w:rsidRDefault="003A679C" w:rsidP="00D45680">
            <w:pPr>
              <w:pStyle w:val="Glossary"/>
              <w:spacing w:before="60" w:after="60" w:line="260" w:lineRule="atLeast"/>
              <w:rPr>
                <w:rFonts w:cs="Calibri"/>
                <w:sz w:val="20"/>
                <w:szCs w:val="20"/>
              </w:rPr>
            </w:pPr>
            <w:r w:rsidRPr="00E4441B">
              <w:rPr>
                <w:rFonts w:cs="Calibri"/>
                <w:sz w:val="20"/>
                <w:szCs w:val="20"/>
              </w:rPr>
              <w:t>A change in the human use or management of land, which may change land cover. This may affect the surface albedo, evapotranspiration, sources and sinks of greenhouse gases, or other properties of the climate system and may thus give rise to radiative forcing and/or other impacts on climate, locally or globally (IPCC, 2014</w:t>
            </w:r>
            <w:r w:rsidR="00525112">
              <w:rPr>
                <w:rFonts w:cs="Calibri"/>
                <w:sz w:val="20"/>
                <w:szCs w:val="20"/>
              </w:rPr>
              <w:t>a</w:t>
            </w:r>
            <w:r w:rsidRPr="00E4441B">
              <w:rPr>
                <w:rFonts w:cs="Calibri"/>
                <w:sz w:val="20"/>
                <w:szCs w:val="20"/>
              </w:rPr>
              <w:t>).</w:t>
            </w:r>
          </w:p>
        </w:tc>
      </w:tr>
      <w:tr w:rsidR="003A679C" w:rsidRPr="00E4441B" w14:paraId="7FEA4317" w14:textId="77777777" w:rsidTr="00D43D78">
        <w:tc>
          <w:tcPr>
            <w:tcW w:w="1264" w:type="pct"/>
            <w:shd w:val="clear" w:color="auto" w:fill="auto"/>
            <w:tcMar>
              <w:top w:w="0" w:type="dxa"/>
            </w:tcMar>
          </w:tcPr>
          <w:p w14:paraId="7A52B342"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Likelihood </w:t>
            </w:r>
          </w:p>
        </w:tc>
        <w:tc>
          <w:tcPr>
            <w:tcW w:w="3736" w:type="pct"/>
            <w:shd w:val="clear" w:color="auto" w:fill="auto"/>
            <w:tcMar>
              <w:top w:w="0" w:type="dxa"/>
            </w:tcMar>
          </w:tcPr>
          <w:p w14:paraId="51B3F5D1" w14:textId="3071046B"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chance of an outcome occurring, where this might be estimated probabilistically (IPCC, 2014</w:t>
            </w:r>
            <w:r w:rsidR="00525112">
              <w:rPr>
                <w:rFonts w:cs="Calibri"/>
                <w:sz w:val="20"/>
                <w:szCs w:val="20"/>
              </w:rPr>
              <w:t>a</w:t>
            </w:r>
            <w:r w:rsidRPr="00E4441B">
              <w:rPr>
                <w:rFonts w:cs="Calibri"/>
                <w:sz w:val="20"/>
                <w:szCs w:val="20"/>
              </w:rPr>
              <w:t>).</w:t>
            </w:r>
          </w:p>
        </w:tc>
      </w:tr>
      <w:tr w:rsidR="003A679C" w:rsidRPr="00E4441B" w14:paraId="351A97DB" w14:textId="77777777" w:rsidTr="00D43D78">
        <w:tc>
          <w:tcPr>
            <w:tcW w:w="1264" w:type="pct"/>
            <w:shd w:val="clear" w:color="auto" w:fill="auto"/>
            <w:tcMar>
              <w:top w:w="0" w:type="dxa"/>
            </w:tcMar>
          </w:tcPr>
          <w:p w14:paraId="591CC656" w14:textId="4BD47CE8"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lastRenderedPageBreak/>
              <w:t>Lock</w:t>
            </w:r>
            <w:r w:rsidR="00D71302">
              <w:rPr>
                <w:rFonts w:cs="Calibri"/>
                <w:sz w:val="20"/>
                <w:szCs w:val="20"/>
              </w:rPr>
              <w:t xml:space="preserve"> </w:t>
            </w:r>
            <w:r w:rsidRPr="00E4441B">
              <w:rPr>
                <w:rFonts w:cs="Calibri"/>
                <w:sz w:val="20"/>
                <w:szCs w:val="20"/>
              </w:rPr>
              <w:t>in</w:t>
            </w:r>
          </w:p>
        </w:tc>
        <w:tc>
          <w:tcPr>
            <w:tcW w:w="3736" w:type="pct"/>
            <w:shd w:val="clear" w:color="auto" w:fill="auto"/>
            <w:tcMar>
              <w:top w:w="0" w:type="dxa"/>
            </w:tcMar>
          </w:tcPr>
          <w:p w14:paraId="3FF1AA2F" w14:textId="4A7A533E"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situation where decisions, events or outcomes at one point in time constrain adaptation, mitigation or other actions or options at a later point in time (IPCC, 2014</w:t>
            </w:r>
            <w:r w:rsidR="00525112">
              <w:rPr>
                <w:rFonts w:cs="Calibri"/>
                <w:sz w:val="20"/>
                <w:szCs w:val="20"/>
              </w:rPr>
              <w:t>a</w:t>
            </w:r>
            <w:r w:rsidRPr="00E4441B">
              <w:rPr>
                <w:rFonts w:cs="Calibri"/>
                <w:sz w:val="20"/>
                <w:szCs w:val="20"/>
              </w:rPr>
              <w:t>).</w:t>
            </w:r>
          </w:p>
        </w:tc>
      </w:tr>
      <w:tr w:rsidR="003A679C" w:rsidRPr="00E4441B" w14:paraId="260C556B" w14:textId="77777777" w:rsidTr="00D43D78">
        <w:tc>
          <w:tcPr>
            <w:tcW w:w="1264" w:type="pct"/>
            <w:shd w:val="clear" w:color="auto" w:fill="auto"/>
            <w:tcMar>
              <w:top w:w="0" w:type="dxa"/>
            </w:tcMar>
          </w:tcPr>
          <w:p w14:paraId="58406AAC" w14:textId="77777777" w:rsidR="003A679C" w:rsidRPr="00E4441B" w:rsidRDefault="003A679C" w:rsidP="00663EDE">
            <w:pPr>
              <w:pStyle w:val="Glossary"/>
              <w:keepNext/>
              <w:spacing w:before="60" w:after="60" w:line="260" w:lineRule="atLeast"/>
              <w:rPr>
                <w:rFonts w:cs="Calibri"/>
                <w:sz w:val="20"/>
                <w:szCs w:val="20"/>
              </w:rPr>
            </w:pPr>
            <w:r w:rsidRPr="00E4441B">
              <w:rPr>
                <w:rFonts w:cs="Calibri"/>
                <w:sz w:val="20"/>
                <w:szCs w:val="20"/>
              </w:rPr>
              <w:t>Māori values and principles</w:t>
            </w:r>
          </w:p>
        </w:tc>
        <w:tc>
          <w:tcPr>
            <w:tcW w:w="3736" w:type="pct"/>
            <w:shd w:val="clear" w:color="auto" w:fill="auto"/>
            <w:tcMar>
              <w:top w:w="0" w:type="dxa"/>
            </w:tcMar>
          </w:tcPr>
          <w:p w14:paraId="3A493894" w14:textId="2A20533D" w:rsidR="003A679C" w:rsidRPr="00E4441B" w:rsidRDefault="003A679C" w:rsidP="00D71302">
            <w:pPr>
              <w:pStyle w:val="Glossary"/>
              <w:spacing w:before="60" w:after="60" w:line="260" w:lineRule="atLeast"/>
              <w:rPr>
                <w:rFonts w:cs="Calibri"/>
                <w:sz w:val="20"/>
                <w:szCs w:val="20"/>
              </w:rPr>
            </w:pPr>
            <w:r w:rsidRPr="00E4441B">
              <w:rPr>
                <w:rFonts w:cs="Calibri"/>
                <w:sz w:val="20"/>
                <w:szCs w:val="20"/>
              </w:rPr>
              <w:t>Māori values and principles derive from Māori views of the world. Instruments through which Māori make sense of, experience and interpret the world. They form the basis for Māori ethics and principles (Ministry for the Environment, 2019).</w:t>
            </w:r>
          </w:p>
        </w:tc>
      </w:tr>
      <w:tr w:rsidR="003A679C" w:rsidRPr="00E4441B" w14:paraId="0AA6BC53" w14:textId="77777777" w:rsidTr="00D43D78">
        <w:tc>
          <w:tcPr>
            <w:tcW w:w="1264" w:type="pct"/>
            <w:shd w:val="clear" w:color="auto" w:fill="auto"/>
            <w:tcMar>
              <w:top w:w="0" w:type="dxa"/>
            </w:tcMar>
          </w:tcPr>
          <w:p w14:paraId="0D0CC03A"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Mitigation</w:t>
            </w:r>
          </w:p>
        </w:tc>
        <w:tc>
          <w:tcPr>
            <w:tcW w:w="3736" w:type="pct"/>
            <w:shd w:val="clear" w:color="auto" w:fill="auto"/>
            <w:tcMar>
              <w:top w:w="0" w:type="dxa"/>
            </w:tcMar>
          </w:tcPr>
          <w:p w14:paraId="3D373987" w14:textId="4C88FBA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 human intervention to reduce the sources or enhance the sinks of greenhouse gases (IPCC, 2014</w:t>
            </w:r>
            <w:r w:rsidR="00525112">
              <w:rPr>
                <w:rFonts w:cs="Calibri"/>
                <w:sz w:val="20"/>
                <w:szCs w:val="20"/>
              </w:rPr>
              <w:t>a</w:t>
            </w:r>
            <w:r w:rsidRPr="00E4441B">
              <w:rPr>
                <w:rFonts w:cs="Calibri"/>
                <w:sz w:val="20"/>
                <w:szCs w:val="20"/>
              </w:rPr>
              <w:t>).</w:t>
            </w:r>
          </w:p>
        </w:tc>
      </w:tr>
      <w:tr w:rsidR="003A679C" w:rsidRPr="00E4441B" w14:paraId="01790851" w14:textId="77777777" w:rsidTr="00D43D78">
        <w:tc>
          <w:tcPr>
            <w:tcW w:w="1264" w:type="pct"/>
            <w:shd w:val="clear" w:color="auto" w:fill="auto"/>
            <w:tcMar>
              <w:top w:w="0" w:type="dxa"/>
            </w:tcMar>
          </w:tcPr>
          <w:p w14:paraId="39936C2F" w14:textId="4F3C2CD4" w:rsidR="003A679C" w:rsidRPr="00E4441B" w:rsidRDefault="003A679C" w:rsidP="00D71302">
            <w:pPr>
              <w:pStyle w:val="Glossary"/>
              <w:spacing w:before="60" w:after="60" w:line="260" w:lineRule="atLeast"/>
              <w:rPr>
                <w:rFonts w:cs="Calibri"/>
                <w:sz w:val="20"/>
                <w:szCs w:val="20"/>
              </w:rPr>
            </w:pPr>
            <w:r w:rsidRPr="00E4441B">
              <w:rPr>
                <w:rFonts w:cs="Calibri"/>
                <w:sz w:val="20"/>
                <w:szCs w:val="20"/>
              </w:rPr>
              <w:t>Percentile</w:t>
            </w:r>
          </w:p>
        </w:tc>
        <w:tc>
          <w:tcPr>
            <w:tcW w:w="3736" w:type="pct"/>
            <w:shd w:val="clear" w:color="auto" w:fill="auto"/>
            <w:tcMar>
              <w:top w:w="0" w:type="dxa"/>
            </w:tcMar>
          </w:tcPr>
          <w:p w14:paraId="67AA0B1B" w14:textId="037B9647" w:rsidR="003A679C" w:rsidRPr="00E4441B" w:rsidRDefault="003A679C" w:rsidP="00D71302">
            <w:pPr>
              <w:pStyle w:val="Glossary"/>
              <w:spacing w:before="60" w:after="60" w:line="260" w:lineRule="atLeast"/>
              <w:rPr>
                <w:rFonts w:cs="Calibri"/>
                <w:sz w:val="20"/>
                <w:szCs w:val="20"/>
              </w:rPr>
            </w:pPr>
            <w:r w:rsidRPr="00E4441B">
              <w:rPr>
                <w:rFonts w:cs="Calibri"/>
                <w:sz w:val="20"/>
                <w:szCs w:val="20"/>
              </w:rPr>
              <w:t>A value on a scale of 100 that indicates the percentage of the data set values that is equal to or below it. The percentile is often used to estimate the extremes of a distribution. For example, the 90th (or 10th) percentile may be used to refer to the threshold for the upper (or lower) extremes.</w:t>
            </w:r>
          </w:p>
        </w:tc>
      </w:tr>
      <w:tr w:rsidR="003A679C" w:rsidRPr="00E4441B" w14:paraId="2EE28EDD" w14:textId="77777777" w:rsidTr="00D43D78">
        <w:tc>
          <w:tcPr>
            <w:tcW w:w="1264" w:type="pct"/>
            <w:shd w:val="clear" w:color="auto" w:fill="auto"/>
            <w:tcMar>
              <w:top w:w="0" w:type="dxa"/>
            </w:tcMar>
          </w:tcPr>
          <w:p w14:paraId="1B40C86C" w14:textId="39ED7994" w:rsidR="003A679C" w:rsidRPr="00E4441B" w:rsidRDefault="003A679C" w:rsidP="0008531F">
            <w:pPr>
              <w:pStyle w:val="Glossary"/>
              <w:spacing w:before="60" w:after="60" w:line="260" w:lineRule="atLeast"/>
              <w:rPr>
                <w:rFonts w:cs="Calibri"/>
                <w:sz w:val="20"/>
                <w:szCs w:val="20"/>
              </w:rPr>
            </w:pPr>
            <w:r w:rsidRPr="00E4441B">
              <w:rPr>
                <w:rFonts w:cs="Calibri"/>
                <w:sz w:val="20"/>
                <w:szCs w:val="20"/>
              </w:rPr>
              <w:t xml:space="preserve">Representative </w:t>
            </w:r>
            <w:r w:rsidR="0008531F">
              <w:rPr>
                <w:rFonts w:cs="Calibri"/>
                <w:sz w:val="20"/>
                <w:szCs w:val="20"/>
              </w:rPr>
              <w:t>c</w:t>
            </w:r>
            <w:r w:rsidR="0008531F" w:rsidRPr="00E4441B">
              <w:rPr>
                <w:rFonts w:cs="Calibri"/>
                <w:sz w:val="20"/>
                <w:szCs w:val="20"/>
              </w:rPr>
              <w:t xml:space="preserve">oncentration </w:t>
            </w:r>
            <w:r w:rsidR="0008531F">
              <w:rPr>
                <w:rFonts w:cs="Calibri"/>
                <w:sz w:val="20"/>
                <w:szCs w:val="20"/>
              </w:rPr>
              <w:t>p</w:t>
            </w:r>
            <w:r w:rsidR="0008531F" w:rsidRPr="00E4441B">
              <w:rPr>
                <w:rFonts w:cs="Calibri"/>
                <w:sz w:val="20"/>
                <w:szCs w:val="20"/>
              </w:rPr>
              <w:t xml:space="preserve">athway </w:t>
            </w:r>
            <w:r w:rsidRPr="00E4441B">
              <w:rPr>
                <w:rFonts w:cs="Calibri"/>
                <w:sz w:val="20"/>
                <w:szCs w:val="20"/>
              </w:rPr>
              <w:t>(RCP)</w:t>
            </w:r>
          </w:p>
        </w:tc>
        <w:tc>
          <w:tcPr>
            <w:tcW w:w="3736" w:type="pct"/>
            <w:shd w:val="clear" w:color="auto" w:fill="auto"/>
            <w:tcMar>
              <w:top w:w="0" w:type="dxa"/>
            </w:tcMar>
          </w:tcPr>
          <w:p w14:paraId="1F55852B" w14:textId="59687686"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 suite of future scenarios of additional radiative heat forcing at the Earth’s surface by 2100 (in Watts per square metre), which is the net change in the balance between incoming solar radiation and outgoing energy radiated back up in the atmosphere. Each RCP can be expressed as a greenhouse gas concentration (not emissions) trajectory adopted by the IPCC for its Fifth Assessment Report (AR5) in 2014 (IPCC, 2014</w:t>
            </w:r>
            <w:r w:rsidR="00525112">
              <w:rPr>
                <w:rFonts w:cs="Calibri"/>
                <w:sz w:val="20"/>
                <w:szCs w:val="20"/>
              </w:rPr>
              <w:t>a</w:t>
            </w:r>
            <w:r w:rsidRPr="00E4441B">
              <w:rPr>
                <w:rFonts w:cs="Calibri"/>
                <w:sz w:val="20"/>
                <w:szCs w:val="20"/>
              </w:rPr>
              <w:t>).</w:t>
            </w:r>
          </w:p>
        </w:tc>
      </w:tr>
      <w:tr w:rsidR="003A679C" w:rsidRPr="00E4441B" w14:paraId="317D9D11" w14:textId="77777777" w:rsidTr="00D43D78">
        <w:tc>
          <w:tcPr>
            <w:tcW w:w="1264" w:type="pct"/>
            <w:shd w:val="clear" w:color="auto" w:fill="auto"/>
            <w:tcMar>
              <w:top w:w="0" w:type="dxa"/>
            </w:tcMar>
          </w:tcPr>
          <w:p w14:paraId="448F7403"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Residual risk </w:t>
            </w:r>
          </w:p>
        </w:tc>
        <w:tc>
          <w:tcPr>
            <w:tcW w:w="3736" w:type="pct"/>
            <w:shd w:val="clear" w:color="auto" w:fill="auto"/>
            <w:tcMar>
              <w:top w:w="0" w:type="dxa"/>
            </w:tcMar>
          </w:tcPr>
          <w:p w14:paraId="4E62705E"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The risk that remains (and may continue to rise) in unmanaged form, after risk management measures and adaptation policies have been used to adapt to climate change and more frequent hazards, and for which emergency response and other actions must be maintained or limits to adaptation addressed. Policy interventions and adaptation plans will need to reconcile changing residual risks with changing (evolving) societal perceptions of tolerable risk. </w:t>
            </w:r>
          </w:p>
        </w:tc>
      </w:tr>
      <w:tr w:rsidR="003A679C" w:rsidRPr="00E4441B" w14:paraId="2B85CBA3" w14:textId="77777777" w:rsidTr="00D43D78">
        <w:tc>
          <w:tcPr>
            <w:tcW w:w="1264" w:type="pct"/>
            <w:shd w:val="clear" w:color="auto" w:fill="auto"/>
            <w:tcMar>
              <w:top w:w="0" w:type="dxa"/>
            </w:tcMar>
          </w:tcPr>
          <w:p w14:paraId="3AFF63A0"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Resilience</w:t>
            </w:r>
          </w:p>
        </w:tc>
        <w:tc>
          <w:tcPr>
            <w:tcW w:w="3736" w:type="pct"/>
            <w:shd w:val="clear" w:color="auto" w:fill="auto"/>
            <w:tcMar>
              <w:top w:w="0" w:type="dxa"/>
            </w:tcMar>
          </w:tcPr>
          <w:p w14:paraId="729DD1C8" w14:textId="47B6DCB1"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capacity of social, economic and environmental systems to cope with a</w:t>
            </w:r>
            <w:r w:rsidR="005E3DE5">
              <w:rPr>
                <w:rFonts w:cs="Calibri"/>
                <w:sz w:val="20"/>
                <w:szCs w:val="20"/>
              </w:rPr>
              <w:t> </w:t>
            </w:r>
            <w:r w:rsidRPr="00E4441B">
              <w:rPr>
                <w:rFonts w:cs="Calibri"/>
                <w:sz w:val="20"/>
                <w:szCs w:val="20"/>
              </w:rPr>
              <w:t>hazardous event, trend or disturbance by responding or reorganising in ways that maintain their essential function, identity and structure, while also maintaining the capacity for adaptation, learning and transformation (IPCC, 2014</w:t>
            </w:r>
            <w:r w:rsidR="00525112">
              <w:rPr>
                <w:rFonts w:cs="Calibri"/>
                <w:sz w:val="20"/>
                <w:szCs w:val="20"/>
              </w:rPr>
              <w:t>a</w:t>
            </w:r>
            <w:r w:rsidRPr="00E4441B">
              <w:rPr>
                <w:rFonts w:cs="Calibri"/>
                <w:sz w:val="20"/>
                <w:szCs w:val="20"/>
              </w:rPr>
              <w:t>).</w:t>
            </w:r>
          </w:p>
        </w:tc>
      </w:tr>
      <w:tr w:rsidR="003A679C" w:rsidRPr="00E4441B" w14:paraId="7BA35BD1" w14:textId="77777777" w:rsidTr="00D43D78">
        <w:tc>
          <w:tcPr>
            <w:tcW w:w="1264" w:type="pct"/>
            <w:shd w:val="clear" w:color="auto" w:fill="auto"/>
            <w:tcMar>
              <w:top w:w="0" w:type="dxa"/>
            </w:tcMar>
          </w:tcPr>
          <w:p w14:paraId="46E1E7EF"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Risk </w:t>
            </w:r>
          </w:p>
        </w:tc>
        <w:tc>
          <w:tcPr>
            <w:tcW w:w="3736" w:type="pct"/>
            <w:shd w:val="clear" w:color="auto" w:fill="auto"/>
            <w:tcMar>
              <w:top w:w="0" w:type="dxa"/>
            </w:tcMar>
          </w:tcPr>
          <w:p w14:paraId="638B8CBF" w14:textId="28DCF029"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potential for consequences where something of value is at stake and where the outcome is uncertain, recognising the diversity of values. Risk is often represented as probability or likelihood of occurrence of hazardous events or trends multiplied by the impacts if these events or trends occur. It</w:t>
            </w:r>
            <w:r w:rsidR="005E3DE5">
              <w:rPr>
                <w:rFonts w:cs="Calibri"/>
                <w:sz w:val="20"/>
                <w:szCs w:val="20"/>
              </w:rPr>
              <w:t> </w:t>
            </w:r>
            <w:r w:rsidRPr="00E4441B">
              <w:rPr>
                <w:rFonts w:cs="Calibri"/>
                <w:sz w:val="20"/>
                <w:szCs w:val="20"/>
              </w:rPr>
              <w:t>also refers to the potential, when the outcome is uncertain, for adverse consequences on lives, livelihoods, health, ecosystems and species, economic, social and cultural assets, services (including environmental services) and infrastructure. Risk results from the interaction of vulnerability, exposure and hazard. To address the evolving impacts of climate change, it can also be defined as the interplay between hazards, exposure and vulnerability (IPCC, 2014</w:t>
            </w:r>
            <w:r w:rsidR="00525112">
              <w:rPr>
                <w:rFonts w:cs="Calibri"/>
                <w:sz w:val="20"/>
                <w:szCs w:val="20"/>
              </w:rPr>
              <w:t>a</w:t>
            </w:r>
            <w:r w:rsidRPr="00E4441B">
              <w:rPr>
                <w:rFonts w:cs="Calibri"/>
                <w:sz w:val="20"/>
                <w:szCs w:val="20"/>
              </w:rPr>
              <w:t>).</w:t>
            </w:r>
          </w:p>
        </w:tc>
      </w:tr>
      <w:tr w:rsidR="003A679C" w:rsidRPr="00E4441B" w14:paraId="74028751" w14:textId="77777777" w:rsidTr="00D43D78">
        <w:tc>
          <w:tcPr>
            <w:tcW w:w="1264" w:type="pct"/>
            <w:shd w:val="clear" w:color="auto" w:fill="auto"/>
            <w:tcMar>
              <w:top w:w="0" w:type="dxa"/>
            </w:tcMar>
          </w:tcPr>
          <w:p w14:paraId="4506585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Risk assessment</w:t>
            </w:r>
          </w:p>
        </w:tc>
        <w:tc>
          <w:tcPr>
            <w:tcW w:w="3736" w:type="pct"/>
            <w:shd w:val="clear" w:color="auto" w:fill="auto"/>
            <w:tcMar>
              <w:top w:w="0" w:type="dxa"/>
            </w:tcMar>
          </w:tcPr>
          <w:p w14:paraId="1F78AFF2"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qualitative and/or quantitative process of identifying, analysing and evaluating risk, with entry points for communication and engagement, monitoring and reviews (AS/NZS ISO 31000:2009, Risk Management Standard).</w:t>
            </w:r>
          </w:p>
        </w:tc>
      </w:tr>
      <w:tr w:rsidR="003A679C" w:rsidRPr="00E4441B" w14:paraId="4F8E171C" w14:textId="77777777" w:rsidTr="00D43D78">
        <w:tc>
          <w:tcPr>
            <w:tcW w:w="1264" w:type="pct"/>
            <w:shd w:val="clear" w:color="auto" w:fill="auto"/>
            <w:tcMar>
              <w:top w:w="0" w:type="dxa"/>
            </w:tcMar>
          </w:tcPr>
          <w:p w14:paraId="200E154E"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Shock</w:t>
            </w:r>
          </w:p>
        </w:tc>
        <w:tc>
          <w:tcPr>
            <w:tcW w:w="3736" w:type="pct"/>
            <w:shd w:val="clear" w:color="auto" w:fill="auto"/>
            <w:tcMar>
              <w:top w:w="0" w:type="dxa"/>
            </w:tcMar>
          </w:tcPr>
          <w:p w14:paraId="575413F2"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 sudden, disruptive event with an important and often negative impact for New Zealand.</w:t>
            </w:r>
          </w:p>
        </w:tc>
      </w:tr>
      <w:tr w:rsidR="003A679C" w:rsidRPr="00E4441B" w14:paraId="76C5DD0B" w14:textId="77777777" w:rsidTr="00D43D78">
        <w:tc>
          <w:tcPr>
            <w:tcW w:w="1264" w:type="pct"/>
            <w:shd w:val="clear" w:color="auto" w:fill="auto"/>
            <w:tcMar>
              <w:top w:w="0" w:type="dxa"/>
            </w:tcMar>
          </w:tcPr>
          <w:p w14:paraId="1919721A"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lastRenderedPageBreak/>
              <w:t>Stress</w:t>
            </w:r>
          </w:p>
        </w:tc>
        <w:tc>
          <w:tcPr>
            <w:tcW w:w="3736" w:type="pct"/>
            <w:shd w:val="clear" w:color="auto" w:fill="auto"/>
            <w:tcMar>
              <w:top w:w="0" w:type="dxa"/>
            </w:tcMar>
          </w:tcPr>
          <w:p w14:paraId="003B1CA0" w14:textId="434B55FC" w:rsidR="003A679C" w:rsidRPr="00E4441B" w:rsidRDefault="00F26FCF" w:rsidP="00E425EA">
            <w:pPr>
              <w:pStyle w:val="Glossary"/>
              <w:spacing w:before="60" w:after="60" w:line="260" w:lineRule="atLeast"/>
              <w:rPr>
                <w:rFonts w:cs="Calibri"/>
                <w:sz w:val="20"/>
                <w:szCs w:val="20"/>
              </w:rPr>
            </w:pPr>
            <w:r w:rsidRPr="00F26FCF">
              <w:rPr>
                <w:rFonts w:cs="Arial"/>
                <w:sz w:val="20"/>
                <w:szCs w:val="20"/>
              </w:rPr>
              <w:t>A long-term issue with an important and often negative impact</w:t>
            </w:r>
            <w:r w:rsidR="00183EC4">
              <w:rPr>
                <w:rFonts w:cs="Arial"/>
                <w:sz w:val="20"/>
                <w:szCs w:val="20"/>
              </w:rPr>
              <w:t>, in this case,</w:t>
            </w:r>
            <w:r w:rsidRPr="00F26FCF">
              <w:rPr>
                <w:rFonts w:cs="Arial"/>
                <w:sz w:val="20"/>
                <w:szCs w:val="20"/>
              </w:rPr>
              <w:t xml:space="preserve"> for New</w:t>
            </w:r>
            <w:r w:rsidR="00C07B88">
              <w:rPr>
                <w:rFonts w:cs="Arial"/>
                <w:sz w:val="20"/>
                <w:szCs w:val="20"/>
              </w:rPr>
              <w:t> </w:t>
            </w:r>
            <w:r w:rsidRPr="00F26FCF">
              <w:rPr>
                <w:rFonts w:cs="Arial"/>
                <w:sz w:val="20"/>
                <w:szCs w:val="20"/>
              </w:rPr>
              <w:t xml:space="preserve">Zealand. </w:t>
            </w:r>
          </w:p>
        </w:tc>
      </w:tr>
      <w:tr w:rsidR="003A679C" w:rsidRPr="00E4441B" w14:paraId="65D71C1A" w14:textId="77777777" w:rsidTr="00D43D78">
        <w:tc>
          <w:tcPr>
            <w:tcW w:w="1264" w:type="pct"/>
            <w:shd w:val="clear" w:color="auto" w:fill="auto"/>
            <w:tcMar>
              <w:top w:w="0" w:type="dxa"/>
            </w:tcMar>
          </w:tcPr>
          <w:p w14:paraId="1FBDF4AC"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Stressor (climate)</w:t>
            </w:r>
          </w:p>
        </w:tc>
        <w:tc>
          <w:tcPr>
            <w:tcW w:w="3736" w:type="pct"/>
            <w:shd w:val="clear" w:color="auto" w:fill="auto"/>
            <w:tcMar>
              <w:top w:w="0" w:type="dxa"/>
            </w:tcMar>
          </w:tcPr>
          <w:p w14:paraId="55602E25" w14:textId="008A6DC4" w:rsidR="003A679C" w:rsidRPr="00E4441B" w:rsidRDefault="003A679C" w:rsidP="00B17678">
            <w:pPr>
              <w:pStyle w:val="Glossary"/>
              <w:spacing w:before="60" w:after="60" w:line="260" w:lineRule="atLeast"/>
              <w:rPr>
                <w:rFonts w:cs="Calibri"/>
                <w:sz w:val="20"/>
                <w:szCs w:val="20"/>
              </w:rPr>
            </w:pPr>
            <w:r w:rsidRPr="00E4441B">
              <w:rPr>
                <w:rFonts w:cs="Calibri"/>
                <w:sz w:val="20"/>
                <w:szCs w:val="20"/>
              </w:rPr>
              <w:t>Persistent climatic event (eg, change in pattern of seasonal rainfall) or rate of change or trend in climate variables, such as the mean, extremes or range (eg, ongoing rise in mean ocean temperature or acidification), which occurs over a period of time (eg, years, decades or centuries), with important effects on the system exposed, increasing vulnerability to climate change (Ministry for the Environment, 2019).</w:t>
            </w:r>
          </w:p>
        </w:tc>
      </w:tr>
      <w:tr w:rsidR="003A679C" w:rsidRPr="00E4441B" w14:paraId="6150763C" w14:textId="77777777" w:rsidTr="00D43D78">
        <w:tc>
          <w:tcPr>
            <w:tcW w:w="1264" w:type="pct"/>
            <w:shd w:val="clear" w:color="auto" w:fill="auto"/>
            <w:tcMar>
              <w:top w:w="0" w:type="dxa"/>
            </w:tcMar>
          </w:tcPr>
          <w:p w14:paraId="085E0969"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System</w:t>
            </w:r>
          </w:p>
        </w:tc>
        <w:tc>
          <w:tcPr>
            <w:tcW w:w="3736" w:type="pct"/>
            <w:shd w:val="clear" w:color="auto" w:fill="auto"/>
            <w:tcMar>
              <w:top w:w="0" w:type="dxa"/>
            </w:tcMar>
          </w:tcPr>
          <w:p w14:paraId="1A9BAD34" w14:textId="1AB21573" w:rsidR="003A679C" w:rsidRPr="00E4441B" w:rsidRDefault="003A679C" w:rsidP="00A549B9">
            <w:pPr>
              <w:pStyle w:val="Glossary"/>
              <w:spacing w:before="60" w:after="60" w:line="260" w:lineRule="atLeast"/>
              <w:rPr>
                <w:rFonts w:cs="Calibri"/>
                <w:sz w:val="20"/>
                <w:szCs w:val="20"/>
              </w:rPr>
            </w:pPr>
            <w:r w:rsidRPr="00E4441B">
              <w:rPr>
                <w:rFonts w:cs="Calibri"/>
                <w:sz w:val="20"/>
                <w:szCs w:val="20"/>
              </w:rPr>
              <w:t>A set of elements working together as parts of an interconnected network and/or a complex whole.</w:t>
            </w:r>
          </w:p>
        </w:tc>
      </w:tr>
      <w:tr w:rsidR="003A679C" w:rsidRPr="00E4441B" w14:paraId="39DBF277" w14:textId="77777777" w:rsidTr="00D43D78">
        <w:tc>
          <w:tcPr>
            <w:tcW w:w="1264" w:type="pct"/>
            <w:shd w:val="clear" w:color="auto" w:fill="auto"/>
            <w:tcMar>
              <w:top w:w="0" w:type="dxa"/>
            </w:tcMar>
          </w:tcPr>
          <w:p w14:paraId="581881D9"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 xml:space="preserve">Three waters </w:t>
            </w:r>
          </w:p>
        </w:tc>
        <w:tc>
          <w:tcPr>
            <w:tcW w:w="3736" w:type="pct"/>
            <w:shd w:val="clear" w:color="auto" w:fill="auto"/>
            <w:tcMar>
              <w:top w:w="0" w:type="dxa"/>
            </w:tcMar>
          </w:tcPr>
          <w:p w14:paraId="3F3A47A9"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Drinking water, wastewater and stormwater</w:t>
            </w:r>
            <w:r w:rsidRPr="00E4441B">
              <w:rPr>
                <w:rFonts w:cs="Calibri"/>
                <w:color w:val="333333"/>
                <w:sz w:val="20"/>
                <w:szCs w:val="20"/>
                <w:shd w:val="clear" w:color="auto" w:fill="FFFFFF"/>
              </w:rPr>
              <w:t>.</w:t>
            </w:r>
          </w:p>
        </w:tc>
      </w:tr>
      <w:tr w:rsidR="003A679C" w:rsidRPr="00E4441B" w14:paraId="3CE7D529" w14:textId="77777777" w:rsidTr="00D43D78">
        <w:tc>
          <w:tcPr>
            <w:tcW w:w="1264" w:type="pct"/>
            <w:shd w:val="clear" w:color="auto" w:fill="auto"/>
            <w:tcMar>
              <w:top w:w="0" w:type="dxa"/>
            </w:tcMar>
          </w:tcPr>
          <w:p w14:paraId="45F1916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Uncertainty</w:t>
            </w:r>
          </w:p>
        </w:tc>
        <w:tc>
          <w:tcPr>
            <w:tcW w:w="3736" w:type="pct"/>
            <w:shd w:val="clear" w:color="auto" w:fill="auto"/>
            <w:tcMar>
              <w:top w:w="0" w:type="dxa"/>
            </w:tcMar>
          </w:tcPr>
          <w:p w14:paraId="5F64E667" w14:textId="557176F6"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 state of incomplete knowledge that can result from a lack of information or from disagreement about what is known or even knowable. It may have</w:t>
            </w:r>
            <w:r w:rsidR="00C07B88">
              <w:rPr>
                <w:rFonts w:cs="Calibri"/>
                <w:sz w:val="20"/>
                <w:szCs w:val="20"/>
              </w:rPr>
              <w:t> </w:t>
            </w:r>
            <w:r w:rsidRPr="00E4441B">
              <w:rPr>
                <w:rFonts w:cs="Calibri"/>
                <w:sz w:val="20"/>
                <w:szCs w:val="20"/>
              </w:rPr>
              <w:t>many types of sources, from imprecise data to ambiguously defined concepts or terminology, or uncertain projections of human behaviour (IPCC, 2014</w:t>
            </w:r>
            <w:r w:rsidR="00525112">
              <w:rPr>
                <w:rFonts w:cs="Calibri"/>
                <w:sz w:val="20"/>
                <w:szCs w:val="20"/>
              </w:rPr>
              <w:t>a</w:t>
            </w:r>
            <w:r w:rsidRPr="00E4441B">
              <w:rPr>
                <w:rFonts w:cs="Calibri"/>
                <w:sz w:val="20"/>
                <w:szCs w:val="20"/>
              </w:rPr>
              <w:t>).</w:t>
            </w:r>
          </w:p>
        </w:tc>
      </w:tr>
      <w:tr w:rsidR="003A679C" w:rsidRPr="00E4441B" w14:paraId="4DED3A36" w14:textId="77777777" w:rsidTr="00D43D78">
        <w:tc>
          <w:tcPr>
            <w:tcW w:w="1264" w:type="pct"/>
            <w:shd w:val="clear" w:color="auto" w:fill="auto"/>
            <w:tcMar>
              <w:top w:w="0" w:type="dxa"/>
            </w:tcMar>
          </w:tcPr>
          <w:p w14:paraId="24E95446"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Value domain</w:t>
            </w:r>
          </w:p>
        </w:tc>
        <w:tc>
          <w:tcPr>
            <w:tcW w:w="3736" w:type="pct"/>
            <w:shd w:val="clear" w:color="auto" w:fill="auto"/>
            <w:tcMar>
              <w:top w:w="0" w:type="dxa"/>
            </w:tcMar>
          </w:tcPr>
          <w:p w14:paraId="2652B4C2" w14:textId="2F9E666B" w:rsidR="003A679C" w:rsidRPr="00E4441B" w:rsidRDefault="003A679C" w:rsidP="00553016">
            <w:pPr>
              <w:pStyle w:val="Glossary"/>
              <w:spacing w:before="60" w:after="60" w:line="260" w:lineRule="atLeast"/>
              <w:rPr>
                <w:rFonts w:cs="Calibri"/>
                <w:sz w:val="20"/>
                <w:szCs w:val="20"/>
                <w:lang w:eastAsia="en-AU"/>
              </w:rPr>
            </w:pPr>
            <w:r w:rsidRPr="00E4441B">
              <w:rPr>
                <w:rFonts w:cs="Calibri"/>
                <w:sz w:val="20"/>
                <w:szCs w:val="20"/>
                <w:lang w:eastAsia="en-AU"/>
              </w:rPr>
              <w:t>The NCCRA framework outlines five ‘value domains’ for assessing risks and opportunities. These represent groups of values, assets and systems that may be at risk from climate</w:t>
            </w:r>
            <w:r w:rsidR="004754DC">
              <w:rPr>
                <w:rFonts w:cs="Calibri"/>
                <w:sz w:val="20"/>
                <w:szCs w:val="20"/>
                <w:lang w:eastAsia="en-AU"/>
              </w:rPr>
              <w:t xml:space="preserve"> change</w:t>
            </w:r>
            <w:r w:rsidRPr="00E4441B">
              <w:rPr>
                <w:rFonts w:cs="Calibri"/>
                <w:sz w:val="20"/>
                <w:szCs w:val="20"/>
                <w:lang w:eastAsia="en-AU"/>
              </w:rPr>
              <w:t xml:space="preserve">-related hazards or could benefit </w:t>
            </w:r>
            <w:r w:rsidR="00553016">
              <w:rPr>
                <w:rFonts w:cs="Calibri"/>
                <w:sz w:val="20"/>
                <w:szCs w:val="20"/>
                <w:lang w:eastAsia="en-AU"/>
              </w:rPr>
              <w:t xml:space="preserve">from them </w:t>
            </w:r>
            <w:r w:rsidRPr="00E4441B">
              <w:rPr>
                <w:rFonts w:cs="Calibri"/>
                <w:sz w:val="20"/>
                <w:szCs w:val="20"/>
                <w:lang w:eastAsia="en-AU"/>
              </w:rPr>
              <w:t xml:space="preserve">(opportunities). They are a hybrid of </w:t>
            </w:r>
            <w:r w:rsidR="00553016">
              <w:rPr>
                <w:rFonts w:cs="Calibri"/>
                <w:sz w:val="20"/>
                <w:szCs w:val="20"/>
                <w:lang w:eastAsia="en-AU"/>
              </w:rPr>
              <w:t>The</w:t>
            </w:r>
            <w:r w:rsidRPr="00E4441B">
              <w:rPr>
                <w:rFonts w:cs="Calibri"/>
                <w:sz w:val="20"/>
                <w:szCs w:val="20"/>
                <w:lang w:eastAsia="en-AU"/>
              </w:rPr>
              <w:t xml:space="preserve"> Treasury’s </w:t>
            </w:r>
            <w:r w:rsidRPr="00977E44">
              <w:rPr>
                <w:rFonts w:cs="Calibri"/>
                <w:i/>
                <w:sz w:val="20"/>
                <w:szCs w:val="20"/>
                <w:lang w:eastAsia="en-AU"/>
              </w:rPr>
              <w:t>Living Standards Framework</w:t>
            </w:r>
            <w:r w:rsidRPr="00E4441B">
              <w:rPr>
                <w:rFonts w:cs="Calibri"/>
                <w:sz w:val="20"/>
                <w:szCs w:val="20"/>
                <w:lang w:eastAsia="en-AU"/>
              </w:rPr>
              <w:t xml:space="preserve"> </w:t>
            </w:r>
            <w:r w:rsidR="00553016">
              <w:rPr>
                <w:rFonts w:cs="Calibri"/>
                <w:sz w:val="20"/>
                <w:szCs w:val="20"/>
                <w:lang w:eastAsia="en-AU"/>
              </w:rPr>
              <w:t>(</w:t>
            </w:r>
            <w:r w:rsidR="00553016" w:rsidRPr="00E4441B">
              <w:rPr>
                <w:rFonts w:cs="Calibri"/>
                <w:sz w:val="20"/>
                <w:szCs w:val="20"/>
              </w:rPr>
              <w:t>The Treasury, 2018</w:t>
            </w:r>
            <w:r w:rsidR="00553016">
              <w:rPr>
                <w:rFonts w:cs="Calibri"/>
                <w:sz w:val="20"/>
                <w:szCs w:val="20"/>
                <w:lang w:eastAsia="en-AU"/>
              </w:rPr>
              <w:t xml:space="preserve">) </w:t>
            </w:r>
            <w:r w:rsidRPr="00E4441B">
              <w:rPr>
                <w:rFonts w:cs="Calibri"/>
                <w:sz w:val="20"/>
                <w:szCs w:val="20"/>
                <w:lang w:eastAsia="en-AU"/>
              </w:rPr>
              <w:t xml:space="preserve">and those used in the </w:t>
            </w:r>
            <w:r w:rsidRPr="00977E44">
              <w:rPr>
                <w:rFonts w:cs="Calibri"/>
                <w:i/>
                <w:sz w:val="20"/>
                <w:szCs w:val="20"/>
                <w:lang w:eastAsia="en-AU"/>
              </w:rPr>
              <w:t>National Disaster Resilience Strategy</w:t>
            </w:r>
            <w:r w:rsidRPr="00E4441B">
              <w:rPr>
                <w:rFonts w:cs="Calibri"/>
                <w:sz w:val="20"/>
                <w:szCs w:val="20"/>
                <w:lang w:eastAsia="en-AU"/>
              </w:rPr>
              <w:t xml:space="preserve"> </w:t>
            </w:r>
            <w:r w:rsidRPr="00E4441B">
              <w:rPr>
                <w:rFonts w:cs="Calibri"/>
                <w:sz w:val="20"/>
                <w:szCs w:val="20"/>
              </w:rPr>
              <w:t xml:space="preserve">(Ministry of Civil Defence and Emergency Management, 2019). </w:t>
            </w:r>
            <w:r w:rsidRPr="00E4441B">
              <w:rPr>
                <w:rFonts w:cs="Calibri"/>
                <w:sz w:val="20"/>
                <w:szCs w:val="20"/>
                <w:lang w:eastAsia="en-AU"/>
              </w:rPr>
              <w:t>They are interconnected and apply at the individual, community and national level</w:t>
            </w:r>
            <w:r w:rsidR="00553016">
              <w:rPr>
                <w:rFonts w:cs="Calibri"/>
                <w:sz w:val="20"/>
                <w:szCs w:val="20"/>
                <w:lang w:eastAsia="en-AU"/>
              </w:rPr>
              <w:t>s</w:t>
            </w:r>
            <w:r w:rsidRPr="00E4441B">
              <w:rPr>
                <w:rFonts w:cs="Calibri"/>
                <w:sz w:val="20"/>
                <w:szCs w:val="20"/>
                <w:lang w:eastAsia="en-AU"/>
              </w:rPr>
              <w:t xml:space="preserve">. They include tangible and intangible values. </w:t>
            </w:r>
          </w:p>
        </w:tc>
      </w:tr>
      <w:tr w:rsidR="003A679C" w:rsidRPr="00E4441B" w14:paraId="61AB49F9" w14:textId="77777777" w:rsidTr="00D43D78">
        <w:tc>
          <w:tcPr>
            <w:tcW w:w="1264" w:type="pct"/>
            <w:shd w:val="clear" w:color="auto" w:fill="auto"/>
            <w:tcMar>
              <w:top w:w="0" w:type="dxa"/>
            </w:tcMar>
          </w:tcPr>
          <w:p w14:paraId="20DF0B40"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Vulnerability</w:t>
            </w:r>
          </w:p>
        </w:tc>
        <w:tc>
          <w:tcPr>
            <w:tcW w:w="3736" w:type="pct"/>
            <w:shd w:val="clear" w:color="auto" w:fill="auto"/>
            <w:tcMar>
              <w:top w:w="0" w:type="dxa"/>
            </w:tcMar>
          </w:tcPr>
          <w:p w14:paraId="27BF63BA" w14:textId="6C58986C"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The propensity or predisposition to be adversely affected. Vulnerability encompasses a variety of concepts and elements including sensitivity or susceptibility to harm, and lack of capacity to cope and adapt (IPCC, 2014</w:t>
            </w:r>
            <w:r w:rsidR="00525112">
              <w:rPr>
                <w:rFonts w:cs="Calibri"/>
                <w:sz w:val="20"/>
                <w:szCs w:val="20"/>
              </w:rPr>
              <w:t>a</w:t>
            </w:r>
            <w:r w:rsidRPr="00E4441B">
              <w:rPr>
                <w:rFonts w:cs="Calibri"/>
                <w:sz w:val="20"/>
                <w:szCs w:val="20"/>
              </w:rPr>
              <w:t>).</w:t>
            </w:r>
          </w:p>
          <w:p w14:paraId="7461A95D" w14:textId="77777777" w:rsidR="003A679C" w:rsidRPr="00E4441B" w:rsidRDefault="003A679C" w:rsidP="00E425EA">
            <w:pPr>
              <w:pStyle w:val="Glossary"/>
              <w:spacing w:before="60" w:after="60" w:line="260" w:lineRule="atLeast"/>
              <w:rPr>
                <w:rFonts w:cs="Calibri"/>
                <w:sz w:val="20"/>
                <w:szCs w:val="20"/>
              </w:rPr>
            </w:pPr>
            <w:r w:rsidRPr="00E4441B">
              <w:rPr>
                <w:rFonts w:cs="Calibri"/>
                <w:sz w:val="20"/>
                <w:szCs w:val="20"/>
              </w:rPr>
              <w:t>Assessing vulnerability is broader than conventional risk assessments; it includes indirect and intangible consequences on the four wellbeings, and adaptive capacity (eg, communities, whānau, hapū and iwi may be resourceful and adaptive but may lack the resources, insurance access and mandate or capacity to adapt) (Ministry for the Environment, 2019).</w:t>
            </w:r>
          </w:p>
        </w:tc>
      </w:tr>
      <w:tr w:rsidR="00183EC4" w:rsidRPr="00E4441B" w14:paraId="1CA07EBD" w14:textId="77777777" w:rsidTr="00D43D78">
        <w:tc>
          <w:tcPr>
            <w:tcW w:w="1264" w:type="pct"/>
            <w:shd w:val="clear" w:color="auto" w:fill="auto"/>
            <w:tcMar>
              <w:top w:w="0" w:type="dxa"/>
            </w:tcMar>
          </w:tcPr>
          <w:p w14:paraId="0341B299" w14:textId="77777777" w:rsidR="00183EC4" w:rsidRPr="00E4441B" w:rsidRDefault="00183EC4" w:rsidP="00183EC4">
            <w:pPr>
              <w:pStyle w:val="Glossary"/>
              <w:spacing w:before="60" w:after="60" w:line="260" w:lineRule="atLeast"/>
              <w:rPr>
                <w:rFonts w:cs="Calibri"/>
                <w:sz w:val="20"/>
                <w:szCs w:val="20"/>
              </w:rPr>
            </w:pPr>
            <w:r w:rsidRPr="00E4441B">
              <w:rPr>
                <w:rFonts w:cs="Calibri"/>
                <w:sz w:val="20"/>
                <w:szCs w:val="20"/>
              </w:rPr>
              <w:t>Wellbeing</w:t>
            </w:r>
          </w:p>
        </w:tc>
        <w:tc>
          <w:tcPr>
            <w:tcW w:w="3736" w:type="pct"/>
            <w:shd w:val="clear" w:color="auto" w:fill="auto"/>
            <w:tcMar>
              <w:top w:w="0" w:type="dxa"/>
            </w:tcMar>
          </w:tcPr>
          <w:p w14:paraId="0A6D4298" w14:textId="5AF979CC" w:rsidR="00183EC4" w:rsidRPr="00E4441B" w:rsidRDefault="00183EC4" w:rsidP="00183EC4">
            <w:pPr>
              <w:pStyle w:val="Glossary"/>
              <w:spacing w:before="60" w:after="60" w:line="260" w:lineRule="atLeast"/>
              <w:rPr>
                <w:rFonts w:cs="Calibri"/>
                <w:sz w:val="20"/>
                <w:szCs w:val="20"/>
              </w:rPr>
            </w:pPr>
            <w:r w:rsidRPr="005D6D89">
              <w:rPr>
                <w:sz w:val="20"/>
                <w:szCs w:val="20"/>
              </w:rPr>
              <w:t>Wellbeing is achieved when people are able to lead fulfilling lives with purpose, balance and meaning (The Treasury 2019a). The Treasury</w:t>
            </w:r>
            <w:r w:rsidR="00553016">
              <w:rPr>
                <w:sz w:val="20"/>
                <w:szCs w:val="20"/>
              </w:rPr>
              <w:t>’s</w:t>
            </w:r>
            <w:r w:rsidRPr="005D6D89">
              <w:rPr>
                <w:sz w:val="20"/>
                <w:szCs w:val="20"/>
              </w:rPr>
              <w:t xml:space="preserve"> </w:t>
            </w:r>
            <w:r w:rsidRPr="00977E44">
              <w:rPr>
                <w:i/>
                <w:sz w:val="20"/>
                <w:szCs w:val="20"/>
              </w:rPr>
              <w:t>Living Standards Framework</w:t>
            </w:r>
            <w:r w:rsidRPr="005D6D89">
              <w:rPr>
                <w:sz w:val="20"/>
                <w:szCs w:val="20"/>
              </w:rPr>
              <w:t xml:space="preserve"> notes that intergenerational wellbeing relies on growth, distribution and sustainability of four interdependent capitals: natural, social, human and financial/physical. </w:t>
            </w:r>
            <w:r w:rsidRPr="00C75C4E">
              <w:rPr>
                <w:sz w:val="20"/>
                <w:szCs w:val="20"/>
              </w:rPr>
              <w:t>The Crown–</w:t>
            </w:r>
            <w:r w:rsidRPr="005D6D89">
              <w:rPr>
                <w:sz w:val="20"/>
                <w:szCs w:val="20"/>
              </w:rPr>
              <w:t>Māori relationship is integral to all four capitals (The Treasury, 2018). Within te ao Māori – the Māori world – the drivers of wellbeing are considered against the values that imbue te ao Māori with a holistic perspective. These values are interconnected and span multiple aspects of wellbeing. Wellbeing results from the application of these values through knowledge, beliefs and practices (The Treasury, 2019b).</w:t>
            </w:r>
          </w:p>
        </w:tc>
      </w:tr>
    </w:tbl>
    <w:p w14:paraId="29BB9157" w14:textId="7C2AB697" w:rsidR="00461471" w:rsidRDefault="00461471" w:rsidP="00106F29">
      <w:pPr>
        <w:spacing w:before="0" w:line="276" w:lineRule="auto"/>
        <w:jc w:val="left"/>
      </w:pPr>
    </w:p>
    <w:p w14:paraId="616258B4" w14:textId="3623A88D" w:rsidR="000C3E06" w:rsidRDefault="000C3E06">
      <w:pPr>
        <w:spacing w:before="0" w:after="200" w:line="276" w:lineRule="auto"/>
        <w:jc w:val="left"/>
        <w:rPr>
          <w:rFonts w:eastAsiaTheme="majorEastAsia" w:cstheme="majorBidi"/>
          <w:b/>
          <w:bCs/>
          <w:color w:val="1C556C"/>
          <w:sz w:val="48"/>
          <w:szCs w:val="28"/>
        </w:rPr>
      </w:pPr>
      <w:r>
        <w:br w:type="page"/>
      </w:r>
    </w:p>
    <w:p w14:paraId="5A5FA6EF" w14:textId="5D4AA41D" w:rsidR="000C3E06" w:rsidRPr="005D6D89" w:rsidRDefault="000C3E06" w:rsidP="000C3E06">
      <w:pPr>
        <w:spacing w:before="0" w:after="200" w:line="276" w:lineRule="auto"/>
        <w:jc w:val="left"/>
      </w:pPr>
    </w:p>
    <w:p w14:paraId="22940507" w14:textId="686CCBFD" w:rsidR="000C3E06" w:rsidRPr="005D6D89" w:rsidRDefault="000C3E06" w:rsidP="000C3E06">
      <w:pPr>
        <w:pStyle w:val="Heading1"/>
      </w:pPr>
      <w:bookmarkStart w:id="379" w:name="_Toc45898325"/>
      <w:r w:rsidRPr="005D6D89">
        <w:t>Appendix B: Te reo</w:t>
      </w:r>
      <w:r w:rsidR="00D81FF6">
        <w:t xml:space="preserve"> M</w:t>
      </w:r>
      <w:r w:rsidR="00D81FF6">
        <w:rPr>
          <w:rFonts w:cs="Calibri"/>
        </w:rPr>
        <w:t>ā</w:t>
      </w:r>
      <w:r w:rsidR="00D81FF6">
        <w:t>ori</w:t>
      </w:r>
      <w:r w:rsidRPr="005D6D89">
        <w:t xml:space="preserve"> glossary</w:t>
      </w:r>
      <w:bookmarkEnd w:id="379"/>
    </w:p>
    <w:tbl>
      <w:tblPr>
        <w:tblStyle w:val="TableGrid"/>
        <w:tblW w:w="8618" w:type="dxa"/>
        <w:tblInd w:w="108"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2127"/>
        <w:gridCol w:w="6491"/>
      </w:tblGrid>
      <w:tr w:rsidR="000C3E06" w:rsidRPr="005D6D89" w14:paraId="29A39861" w14:textId="77777777" w:rsidTr="00D81FF6">
        <w:trPr>
          <w:tblHeader/>
        </w:trPr>
        <w:tc>
          <w:tcPr>
            <w:tcW w:w="2127" w:type="dxa"/>
            <w:shd w:val="clear" w:color="auto" w:fill="1C556C" w:themeFill="accent1"/>
          </w:tcPr>
          <w:p w14:paraId="2391AE18" w14:textId="1F86BEC3" w:rsidR="000C3E06" w:rsidRPr="005D6D89" w:rsidRDefault="00D81FF6" w:rsidP="00D81FF6">
            <w:pPr>
              <w:pStyle w:val="BodyText"/>
              <w:spacing w:before="60" w:after="60" w:line="260" w:lineRule="atLeast"/>
              <w:rPr>
                <w:b/>
                <w:bCs/>
                <w:color w:val="FFFFFF" w:themeColor="background1"/>
              </w:rPr>
            </w:pPr>
            <w:r w:rsidRPr="00977E44">
              <w:rPr>
                <w:b/>
                <w:bCs/>
                <w:color w:val="FFFFFF" w:themeColor="background1"/>
              </w:rPr>
              <w:t>Māori</w:t>
            </w:r>
            <w:r w:rsidRPr="00D81FF6">
              <w:rPr>
                <w:b/>
                <w:bCs/>
                <w:color w:val="FFFFFF" w:themeColor="background1"/>
              </w:rPr>
              <w:t xml:space="preserve"> </w:t>
            </w:r>
            <w:r>
              <w:rPr>
                <w:b/>
                <w:bCs/>
                <w:color w:val="FFFFFF" w:themeColor="background1"/>
              </w:rPr>
              <w:t>k</w:t>
            </w:r>
            <w:r w:rsidR="000C3E06" w:rsidRPr="005D6D89">
              <w:rPr>
                <w:b/>
                <w:bCs/>
                <w:color w:val="FFFFFF" w:themeColor="background1"/>
              </w:rPr>
              <w:t>ey term</w:t>
            </w:r>
          </w:p>
        </w:tc>
        <w:tc>
          <w:tcPr>
            <w:tcW w:w="6491" w:type="dxa"/>
            <w:shd w:val="clear" w:color="auto" w:fill="1C556C" w:themeFill="accent1"/>
          </w:tcPr>
          <w:p w14:paraId="26D08C50" w14:textId="6E039BE2" w:rsidR="000C3E06" w:rsidRPr="005D6D89" w:rsidRDefault="000C3E06" w:rsidP="00D81FF6">
            <w:pPr>
              <w:pStyle w:val="BodyText"/>
              <w:spacing w:before="60" w:after="60" w:line="260" w:lineRule="atLeast"/>
              <w:rPr>
                <w:color w:val="FFFFFF" w:themeColor="background1"/>
              </w:rPr>
            </w:pPr>
            <w:r w:rsidRPr="005D6D89">
              <w:rPr>
                <w:b/>
                <w:bCs/>
                <w:color w:val="FFFFFF" w:themeColor="background1"/>
              </w:rPr>
              <w:t>Definition</w:t>
            </w:r>
            <w:r w:rsidR="00D81FF6">
              <w:rPr>
                <w:b/>
                <w:bCs/>
                <w:color w:val="FFFFFF" w:themeColor="background1"/>
              </w:rPr>
              <w:t xml:space="preserve"> in</w:t>
            </w:r>
            <w:r w:rsidR="00D81FF6" w:rsidRPr="00977E44">
              <w:rPr>
                <w:b/>
              </w:rPr>
              <w:t xml:space="preserve"> </w:t>
            </w:r>
            <w:r w:rsidR="00D81FF6" w:rsidRPr="00977E44">
              <w:rPr>
                <w:b/>
                <w:color w:val="FFFFFF" w:themeColor="background1"/>
              </w:rPr>
              <w:t>English</w:t>
            </w:r>
          </w:p>
        </w:tc>
      </w:tr>
      <w:tr w:rsidR="000C3E06" w:rsidRPr="005D6D89" w14:paraId="117C7A21" w14:textId="77777777" w:rsidTr="00D81FF6">
        <w:tc>
          <w:tcPr>
            <w:tcW w:w="2127" w:type="dxa"/>
          </w:tcPr>
          <w:p w14:paraId="49EA7DAA" w14:textId="77777777" w:rsidR="000C3E06" w:rsidRPr="005D6D89" w:rsidRDefault="000C3E06" w:rsidP="00D81FF6">
            <w:pPr>
              <w:pStyle w:val="BodyText"/>
              <w:spacing w:before="60" w:after="60" w:line="260" w:lineRule="atLeast"/>
              <w:rPr>
                <w:b/>
                <w:bCs/>
              </w:rPr>
            </w:pPr>
            <w:r w:rsidRPr="005D6D89">
              <w:rPr>
                <w:b/>
                <w:bCs/>
              </w:rPr>
              <w:t xml:space="preserve">Ahurea </w:t>
            </w:r>
          </w:p>
        </w:tc>
        <w:tc>
          <w:tcPr>
            <w:tcW w:w="6491" w:type="dxa"/>
          </w:tcPr>
          <w:p w14:paraId="43E3B3FB" w14:textId="77777777" w:rsidR="000C3E06" w:rsidRPr="005D6D89" w:rsidRDefault="000C3E06" w:rsidP="00D81FF6">
            <w:pPr>
              <w:pStyle w:val="BodyText"/>
              <w:spacing w:before="60" w:after="60" w:line="260" w:lineRule="atLeast"/>
            </w:pPr>
            <w:r w:rsidRPr="005D6D89">
              <w:t>Culture</w:t>
            </w:r>
          </w:p>
        </w:tc>
      </w:tr>
      <w:tr w:rsidR="000C3E06" w:rsidRPr="005D6D89" w14:paraId="6B82173F" w14:textId="77777777" w:rsidTr="00D81FF6">
        <w:tc>
          <w:tcPr>
            <w:tcW w:w="2127" w:type="dxa"/>
          </w:tcPr>
          <w:p w14:paraId="6F660493" w14:textId="2E513C50" w:rsidR="000C3E06" w:rsidRPr="005D6D89" w:rsidRDefault="00553016" w:rsidP="00D81FF6">
            <w:pPr>
              <w:pStyle w:val="BodyText"/>
              <w:spacing w:before="60" w:after="60" w:line="260" w:lineRule="atLeast"/>
              <w:rPr>
                <w:b/>
                <w:bCs/>
              </w:rPr>
            </w:pPr>
            <w:r>
              <w:rPr>
                <w:rFonts w:cs="Calibri"/>
                <w:b/>
                <w:bCs/>
              </w:rPr>
              <w:t>Ā</w:t>
            </w:r>
            <w:r w:rsidR="000C3E06" w:rsidRPr="005D6D89">
              <w:rPr>
                <w:b/>
                <w:bCs/>
              </w:rPr>
              <w:t xml:space="preserve">whina </w:t>
            </w:r>
          </w:p>
        </w:tc>
        <w:tc>
          <w:tcPr>
            <w:tcW w:w="6491" w:type="dxa"/>
          </w:tcPr>
          <w:p w14:paraId="37CA6B45" w14:textId="77777777" w:rsidR="000C3E06" w:rsidRPr="005D6D89" w:rsidRDefault="000C3E06" w:rsidP="00D81FF6">
            <w:pPr>
              <w:pStyle w:val="BodyText"/>
              <w:spacing w:before="60" w:after="60" w:line="260" w:lineRule="atLeast"/>
              <w:rPr>
                <w:color w:val="000000"/>
              </w:rPr>
            </w:pPr>
            <w:r w:rsidRPr="005D6D89">
              <w:t>Support</w:t>
            </w:r>
          </w:p>
        </w:tc>
      </w:tr>
      <w:tr w:rsidR="000C3E06" w:rsidRPr="005D6D89" w14:paraId="4B937F14" w14:textId="77777777" w:rsidTr="00D81FF6">
        <w:tc>
          <w:tcPr>
            <w:tcW w:w="2127" w:type="dxa"/>
          </w:tcPr>
          <w:p w14:paraId="78C2BC47" w14:textId="77777777" w:rsidR="000C3E06" w:rsidRPr="005D6D89" w:rsidRDefault="000C3E06" w:rsidP="00D81FF6">
            <w:pPr>
              <w:pStyle w:val="BodyText"/>
              <w:spacing w:before="60" w:after="60" w:line="260" w:lineRule="atLeast"/>
              <w:rPr>
                <w:b/>
                <w:bCs/>
              </w:rPr>
            </w:pPr>
            <w:r w:rsidRPr="005D6D89">
              <w:rPr>
                <w:b/>
                <w:bCs/>
              </w:rPr>
              <w:t xml:space="preserve">Hapū </w:t>
            </w:r>
          </w:p>
        </w:tc>
        <w:tc>
          <w:tcPr>
            <w:tcW w:w="6491" w:type="dxa"/>
          </w:tcPr>
          <w:p w14:paraId="61BDDB50" w14:textId="77777777" w:rsidR="000C3E06" w:rsidRPr="005D6D89" w:rsidRDefault="000C3E06" w:rsidP="00D81FF6">
            <w:pPr>
              <w:pStyle w:val="BodyText"/>
              <w:spacing w:before="60" w:after="60" w:line="260" w:lineRule="atLeast"/>
            </w:pPr>
            <w:r w:rsidRPr="005D6D89">
              <w:rPr>
                <w:color w:val="000000"/>
              </w:rPr>
              <w:t>A section of a tribe, secondary tribe</w:t>
            </w:r>
          </w:p>
        </w:tc>
      </w:tr>
      <w:tr w:rsidR="000C3E06" w:rsidRPr="005D6D89" w14:paraId="1D38F552" w14:textId="77777777" w:rsidTr="00D81FF6">
        <w:trPr>
          <w:trHeight w:val="326"/>
        </w:trPr>
        <w:tc>
          <w:tcPr>
            <w:tcW w:w="2127" w:type="dxa"/>
          </w:tcPr>
          <w:p w14:paraId="747EF522" w14:textId="77777777" w:rsidR="000C3E06" w:rsidRPr="005D6D89" w:rsidRDefault="000C3E06" w:rsidP="00D81FF6">
            <w:pPr>
              <w:pStyle w:val="BodyText"/>
              <w:spacing w:before="60" w:after="60" w:line="260" w:lineRule="atLeast"/>
              <w:rPr>
                <w:b/>
                <w:bCs/>
              </w:rPr>
            </w:pPr>
            <w:r w:rsidRPr="005D6D89">
              <w:rPr>
                <w:b/>
                <w:bCs/>
              </w:rPr>
              <w:t>Hui</w:t>
            </w:r>
          </w:p>
        </w:tc>
        <w:tc>
          <w:tcPr>
            <w:tcW w:w="6491" w:type="dxa"/>
          </w:tcPr>
          <w:p w14:paraId="458F1582" w14:textId="77777777" w:rsidR="000C3E06" w:rsidRPr="005D6D89" w:rsidRDefault="000C3E06" w:rsidP="00D81FF6">
            <w:pPr>
              <w:pStyle w:val="BodyText"/>
              <w:spacing w:before="60" w:after="60" w:line="260" w:lineRule="atLeast"/>
            </w:pPr>
            <w:r w:rsidRPr="005D6D89">
              <w:t>Meeting, gathering</w:t>
            </w:r>
          </w:p>
        </w:tc>
      </w:tr>
      <w:tr w:rsidR="000C3E06" w:rsidRPr="005D6D89" w14:paraId="638F2FE7" w14:textId="77777777" w:rsidTr="00D81FF6">
        <w:trPr>
          <w:trHeight w:val="326"/>
        </w:trPr>
        <w:tc>
          <w:tcPr>
            <w:tcW w:w="2127" w:type="dxa"/>
          </w:tcPr>
          <w:p w14:paraId="2D27FD24" w14:textId="77777777" w:rsidR="000C3E06" w:rsidRPr="005D6D89" w:rsidRDefault="000C3E06" w:rsidP="00D81FF6">
            <w:pPr>
              <w:pStyle w:val="BodyText"/>
              <w:spacing w:before="60" w:after="60" w:line="260" w:lineRule="atLeast"/>
              <w:rPr>
                <w:b/>
                <w:bCs/>
              </w:rPr>
            </w:pPr>
            <w:r w:rsidRPr="005D6D89">
              <w:rPr>
                <w:b/>
                <w:bCs/>
              </w:rPr>
              <w:t xml:space="preserve">Huringa āhuarangi </w:t>
            </w:r>
          </w:p>
        </w:tc>
        <w:tc>
          <w:tcPr>
            <w:tcW w:w="6491" w:type="dxa"/>
          </w:tcPr>
          <w:p w14:paraId="72272A50" w14:textId="77777777" w:rsidR="000C3E06" w:rsidRPr="005D6D89" w:rsidRDefault="000C3E06" w:rsidP="00D81FF6">
            <w:pPr>
              <w:pStyle w:val="BodyText"/>
              <w:spacing w:before="60" w:after="60" w:line="260" w:lineRule="atLeast"/>
            </w:pPr>
            <w:r w:rsidRPr="005D6D89">
              <w:t>Climate change</w:t>
            </w:r>
          </w:p>
        </w:tc>
      </w:tr>
      <w:tr w:rsidR="000C3E06" w:rsidRPr="005D6D89" w14:paraId="3EE33225" w14:textId="77777777" w:rsidTr="00D81FF6">
        <w:tc>
          <w:tcPr>
            <w:tcW w:w="2127" w:type="dxa"/>
          </w:tcPr>
          <w:p w14:paraId="072DA00A" w14:textId="77777777" w:rsidR="000C3E06" w:rsidRPr="005D6D89" w:rsidRDefault="000C3E06" w:rsidP="00D81FF6">
            <w:pPr>
              <w:pStyle w:val="BodyText"/>
              <w:spacing w:before="60" w:after="60" w:line="260" w:lineRule="atLeast"/>
              <w:rPr>
                <w:b/>
                <w:bCs/>
              </w:rPr>
            </w:pPr>
            <w:r w:rsidRPr="005D6D89">
              <w:rPr>
                <w:b/>
                <w:bCs/>
              </w:rPr>
              <w:t xml:space="preserve">Iwi </w:t>
            </w:r>
          </w:p>
        </w:tc>
        <w:tc>
          <w:tcPr>
            <w:tcW w:w="6491" w:type="dxa"/>
          </w:tcPr>
          <w:p w14:paraId="7C61616B" w14:textId="77777777" w:rsidR="000C3E06" w:rsidRPr="005D6D89" w:rsidRDefault="000C3E06" w:rsidP="00D81FF6">
            <w:pPr>
              <w:pStyle w:val="BodyText"/>
              <w:spacing w:before="60" w:after="60" w:line="260" w:lineRule="atLeast"/>
            </w:pPr>
            <w:r w:rsidRPr="005D6D89">
              <w:t>Tribe, tribal group</w:t>
            </w:r>
          </w:p>
        </w:tc>
      </w:tr>
      <w:tr w:rsidR="000C3E06" w:rsidRPr="005D6D89" w14:paraId="460085ED" w14:textId="77777777" w:rsidTr="00D81FF6">
        <w:tc>
          <w:tcPr>
            <w:tcW w:w="2127" w:type="dxa"/>
          </w:tcPr>
          <w:p w14:paraId="2D077B0D" w14:textId="77777777" w:rsidR="000C3E06" w:rsidRPr="005D6D89" w:rsidRDefault="000C3E06" w:rsidP="00D81FF6">
            <w:pPr>
              <w:pStyle w:val="BodyText"/>
              <w:spacing w:before="60" w:after="60" w:line="260" w:lineRule="atLeast"/>
              <w:rPr>
                <w:b/>
                <w:bCs/>
              </w:rPr>
            </w:pPr>
            <w:r w:rsidRPr="005D6D89">
              <w:rPr>
                <w:b/>
                <w:bCs/>
              </w:rPr>
              <w:t xml:space="preserve">Kaitiakitanga </w:t>
            </w:r>
          </w:p>
        </w:tc>
        <w:tc>
          <w:tcPr>
            <w:tcW w:w="6491" w:type="dxa"/>
          </w:tcPr>
          <w:p w14:paraId="130871C0" w14:textId="77777777" w:rsidR="000C3E06" w:rsidRPr="005D6D89" w:rsidRDefault="000C3E06" w:rsidP="00D81FF6">
            <w:pPr>
              <w:pStyle w:val="BodyText"/>
              <w:spacing w:before="60" w:after="60" w:line="260" w:lineRule="atLeast"/>
            </w:pPr>
            <w:r w:rsidRPr="005D6D89">
              <w:t>Stewardship of natural resources; intergenerational sustainability</w:t>
            </w:r>
          </w:p>
        </w:tc>
      </w:tr>
      <w:tr w:rsidR="000C3E06" w:rsidRPr="005D6D89" w14:paraId="69A9E9EB" w14:textId="77777777" w:rsidTr="00D81FF6">
        <w:tc>
          <w:tcPr>
            <w:tcW w:w="2127" w:type="dxa"/>
          </w:tcPr>
          <w:p w14:paraId="1D1EB143" w14:textId="77777777" w:rsidR="000C3E06" w:rsidRPr="005D6D89" w:rsidRDefault="000C3E06" w:rsidP="00D81FF6">
            <w:pPr>
              <w:pStyle w:val="BodyText"/>
              <w:spacing w:before="60" w:after="60" w:line="260" w:lineRule="atLeast"/>
              <w:rPr>
                <w:b/>
                <w:bCs/>
              </w:rPr>
            </w:pPr>
            <w:r w:rsidRPr="005D6D89">
              <w:rPr>
                <w:b/>
                <w:bCs/>
              </w:rPr>
              <w:t xml:space="preserve">Kaumātua </w:t>
            </w:r>
          </w:p>
        </w:tc>
        <w:tc>
          <w:tcPr>
            <w:tcW w:w="6491" w:type="dxa"/>
          </w:tcPr>
          <w:p w14:paraId="3D831ADA" w14:textId="77777777" w:rsidR="000C3E06" w:rsidRPr="005D6D89" w:rsidRDefault="000C3E06" w:rsidP="00D81FF6">
            <w:pPr>
              <w:pStyle w:val="BodyText"/>
              <w:spacing w:before="60" w:after="60" w:line="260" w:lineRule="atLeast"/>
            </w:pPr>
            <w:r w:rsidRPr="005D6D89">
              <w:t xml:space="preserve">Elder, person of status </w:t>
            </w:r>
          </w:p>
        </w:tc>
      </w:tr>
      <w:tr w:rsidR="000C3E06" w:rsidRPr="005D6D89" w14:paraId="76BE434A" w14:textId="77777777" w:rsidTr="00D81FF6">
        <w:tc>
          <w:tcPr>
            <w:tcW w:w="2127" w:type="dxa"/>
          </w:tcPr>
          <w:p w14:paraId="367FDC93" w14:textId="77777777" w:rsidR="000C3E06" w:rsidRPr="005D6D89" w:rsidRDefault="000C3E06" w:rsidP="00D81FF6">
            <w:pPr>
              <w:pStyle w:val="BodyText"/>
              <w:spacing w:before="60" w:after="60" w:line="260" w:lineRule="atLeast"/>
              <w:rPr>
                <w:b/>
                <w:bCs/>
              </w:rPr>
            </w:pPr>
            <w:r w:rsidRPr="005D6D89">
              <w:rPr>
                <w:b/>
                <w:bCs/>
              </w:rPr>
              <w:t>Kaupapa</w:t>
            </w:r>
          </w:p>
        </w:tc>
        <w:tc>
          <w:tcPr>
            <w:tcW w:w="6491" w:type="dxa"/>
          </w:tcPr>
          <w:p w14:paraId="623DC513" w14:textId="77777777" w:rsidR="000C3E06" w:rsidRPr="005D6D89" w:rsidRDefault="000C3E06" w:rsidP="00D81FF6">
            <w:pPr>
              <w:pStyle w:val="BodyText"/>
              <w:spacing w:before="60" w:after="60" w:line="260" w:lineRule="atLeast"/>
            </w:pPr>
            <w:r w:rsidRPr="005D6D89">
              <w:t>Topic, subject</w:t>
            </w:r>
          </w:p>
        </w:tc>
      </w:tr>
      <w:tr w:rsidR="000C3E06" w:rsidRPr="005D6D89" w14:paraId="76A11D2B" w14:textId="77777777" w:rsidTr="00D81FF6">
        <w:tc>
          <w:tcPr>
            <w:tcW w:w="2127" w:type="dxa"/>
          </w:tcPr>
          <w:p w14:paraId="7C286278" w14:textId="77777777" w:rsidR="000C3E06" w:rsidRPr="005D6D89" w:rsidRDefault="000C3E06" w:rsidP="00D81FF6">
            <w:pPr>
              <w:pStyle w:val="BodyText"/>
              <w:spacing w:before="60" w:after="60" w:line="260" w:lineRule="atLeast"/>
              <w:rPr>
                <w:b/>
                <w:bCs/>
              </w:rPr>
            </w:pPr>
            <w:r w:rsidRPr="005D6D89">
              <w:rPr>
                <w:b/>
                <w:bCs/>
              </w:rPr>
              <w:t>Kaupapa Māori</w:t>
            </w:r>
          </w:p>
        </w:tc>
        <w:tc>
          <w:tcPr>
            <w:tcW w:w="6491" w:type="dxa"/>
          </w:tcPr>
          <w:p w14:paraId="345687B6" w14:textId="77777777" w:rsidR="000C3E06" w:rsidRPr="005D6D89" w:rsidRDefault="000C3E06" w:rsidP="00D81FF6">
            <w:pPr>
              <w:pStyle w:val="BodyText"/>
              <w:spacing w:before="60" w:after="60" w:line="260" w:lineRule="atLeast"/>
            </w:pPr>
            <w:r w:rsidRPr="005D6D89">
              <w:t>This concept has many definitions and is used in various contexts. To ensure that nothing is left out, we offer those broader definitions here: Māori approach, topic, customary practice, institution, agenda, principles, ideology – a philosophical doctrine, incorporating the knowledge, skills, attitudes and values of Māori society (Ministry for the Environment, 2019).</w:t>
            </w:r>
          </w:p>
        </w:tc>
      </w:tr>
      <w:tr w:rsidR="000C3E06" w:rsidRPr="005D6D89" w14:paraId="15FD94D2" w14:textId="77777777" w:rsidTr="00D81FF6">
        <w:tc>
          <w:tcPr>
            <w:tcW w:w="2127" w:type="dxa"/>
          </w:tcPr>
          <w:p w14:paraId="1DE8E279" w14:textId="77777777" w:rsidR="000C3E06" w:rsidRPr="005D6D89" w:rsidRDefault="000C3E06" w:rsidP="00D81FF6">
            <w:pPr>
              <w:pStyle w:val="BodyText"/>
              <w:spacing w:before="60" w:after="60" w:line="260" w:lineRule="atLeast"/>
              <w:rPr>
                <w:b/>
                <w:bCs/>
              </w:rPr>
            </w:pPr>
            <w:r w:rsidRPr="005D6D89">
              <w:rPr>
                <w:b/>
                <w:bCs/>
              </w:rPr>
              <w:t xml:space="preserve">Kawa </w:t>
            </w:r>
          </w:p>
        </w:tc>
        <w:tc>
          <w:tcPr>
            <w:tcW w:w="6491" w:type="dxa"/>
          </w:tcPr>
          <w:p w14:paraId="0A450C82" w14:textId="77777777" w:rsidR="000C3E06" w:rsidRPr="005D6D89" w:rsidRDefault="000C3E06" w:rsidP="00D81FF6">
            <w:pPr>
              <w:pStyle w:val="BodyText"/>
              <w:spacing w:before="60" w:after="60" w:line="260" w:lineRule="atLeast"/>
            </w:pPr>
            <w:r w:rsidRPr="005D6D89">
              <w:t>Ceremony, protocol</w:t>
            </w:r>
          </w:p>
        </w:tc>
      </w:tr>
      <w:tr w:rsidR="000C3E06" w:rsidRPr="005D6D89" w14:paraId="5817DC7D" w14:textId="77777777" w:rsidTr="00D81FF6">
        <w:tc>
          <w:tcPr>
            <w:tcW w:w="2127" w:type="dxa"/>
          </w:tcPr>
          <w:p w14:paraId="3C42FB9B" w14:textId="6392F757" w:rsidR="000C3E06" w:rsidRPr="005D6D89" w:rsidRDefault="000C3E06" w:rsidP="00D81FF6">
            <w:pPr>
              <w:pStyle w:val="BodyText"/>
              <w:spacing w:before="60" w:after="60" w:line="260" w:lineRule="atLeast"/>
              <w:rPr>
                <w:rFonts w:cs="Arial"/>
                <w:b/>
                <w:bCs/>
                <w:color w:val="000000"/>
              </w:rPr>
            </w:pPr>
            <w:r w:rsidRPr="005D6D89">
              <w:rPr>
                <w:rFonts w:cs="Arial"/>
                <w:b/>
                <w:bCs/>
                <w:color w:val="000000"/>
              </w:rPr>
              <w:t>K</w:t>
            </w:r>
            <w:r w:rsidR="00B27DB8">
              <w:rPr>
                <w:rFonts w:cs="Calibri"/>
                <w:b/>
                <w:bCs/>
                <w:color w:val="000000"/>
              </w:rPr>
              <w:t>ō</w:t>
            </w:r>
            <w:r w:rsidRPr="005D6D89">
              <w:rPr>
                <w:rFonts w:cs="Arial"/>
                <w:b/>
                <w:bCs/>
                <w:color w:val="000000"/>
              </w:rPr>
              <w:t>rero</w:t>
            </w:r>
          </w:p>
        </w:tc>
        <w:tc>
          <w:tcPr>
            <w:tcW w:w="6491" w:type="dxa"/>
          </w:tcPr>
          <w:p w14:paraId="70BB2F70" w14:textId="11CFE91D" w:rsidR="000C3E06" w:rsidRPr="005D6D89" w:rsidRDefault="00270291" w:rsidP="00D81FF6">
            <w:pPr>
              <w:pStyle w:val="BodyText"/>
              <w:spacing w:before="60" w:after="60" w:line="260" w:lineRule="atLeast"/>
            </w:pPr>
            <w:r w:rsidRPr="00270291">
              <w:t>Talk, discourse, information</w:t>
            </w:r>
          </w:p>
        </w:tc>
      </w:tr>
      <w:tr w:rsidR="000C3E06" w:rsidRPr="005D6D89" w14:paraId="28039291" w14:textId="77777777" w:rsidTr="00D81FF6">
        <w:tc>
          <w:tcPr>
            <w:tcW w:w="2127" w:type="dxa"/>
          </w:tcPr>
          <w:p w14:paraId="26728A8B" w14:textId="77777777" w:rsidR="000C3E06" w:rsidRPr="005D6D89" w:rsidRDefault="000C3E06" w:rsidP="00D81FF6">
            <w:pPr>
              <w:pStyle w:val="BodyText"/>
              <w:spacing w:before="60" w:after="60" w:line="260" w:lineRule="atLeast"/>
              <w:rPr>
                <w:b/>
                <w:bCs/>
              </w:rPr>
            </w:pPr>
            <w:r w:rsidRPr="005D6D89">
              <w:rPr>
                <w:rFonts w:cs="Arial"/>
                <w:b/>
                <w:bCs/>
                <w:color w:val="000000"/>
              </w:rPr>
              <w:t>Kura taiao</w:t>
            </w:r>
          </w:p>
        </w:tc>
        <w:tc>
          <w:tcPr>
            <w:tcW w:w="6491" w:type="dxa"/>
          </w:tcPr>
          <w:p w14:paraId="1339B5E3" w14:textId="49B26B5C" w:rsidR="000C3E06" w:rsidRPr="005D6D89" w:rsidRDefault="00A333AF" w:rsidP="00977E44">
            <w:pPr>
              <w:pStyle w:val="BodyText"/>
              <w:spacing w:before="60" w:after="60" w:line="260" w:lineRule="atLeast"/>
            </w:pPr>
            <w:r>
              <w:rPr>
                <w:rFonts w:cs="Arial"/>
                <w:color w:val="000000"/>
              </w:rPr>
              <w:t>L</w:t>
            </w:r>
            <w:r w:rsidR="000C3E06" w:rsidRPr="005D6D89">
              <w:rPr>
                <w:rFonts w:cs="Arial"/>
                <w:color w:val="000000"/>
              </w:rPr>
              <w:t xml:space="preserve">iving treasures, and the ecosystems </w:t>
            </w:r>
            <w:r>
              <w:rPr>
                <w:rFonts w:cs="Arial"/>
                <w:color w:val="000000"/>
              </w:rPr>
              <w:t>that</w:t>
            </w:r>
            <w:r w:rsidRPr="005D6D89">
              <w:rPr>
                <w:rFonts w:cs="Arial"/>
                <w:color w:val="000000"/>
              </w:rPr>
              <w:t xml:space="preserve"> </w:t>
            </w:r>
            <w:r w:rsidR="000C3E06" w:rsidRPr="005D6D89">
              <w:rPr>
                <w:rFonts w:cs="Arial"/>
                <w:color w:val="000000"/>
              </w:rPr>
              <w:t>they form in terrestrial, freshwater and marine environments</w:t>
            </w:r>
          </w:p>
        </w:tc>
      </w:tr>
      <w:tr w:rsidR="000C3E06" w:rsidRPr="005D6D89" w14:paraId="375105A7" w14:textId="77777777" w:rsidTr="00D81FF6">
        <w:tc>
          <w:tcPr>
            <w:tcW w:w="2127" w:type="dxa"/>
          </w:tcPr>
          <w:p w14:paraId="2C1A9AFF" w14:textId="77777777" w:rsidR="000C3E06" w:rsidRPr="005D6D89" w:rsidRDefault="000C3E06" w:rsidP="00D81FF6">
            <w:pPr>
              <w:pStyle w:val="BodyText"/>
              <w:spacing w:before="60" w:after="60" w:line="260" w:lineRule="atLeast"/>
              <w:rPr>
                <w:b/>
                <w:bCs/>
              </w:rPr>
            </w:pPr>
            <w:r w:rsidRPr="005D6D89">
              <w:rPr>
                <w:b/>
                <w:bCs/>
              </w:rPr>
              <w:t xml:space="preserve">Mahi ngātahi </w:t>
            </w:r>
          </w:p>
        </w:tc>
        <w:tc>
          <w:tcPr>
            <w:tcW w:w="6491" w:type="dxa"/>
          </w:tcPr>
          <w:p w14:paraId="13B8E5B5" w14:textId="77777777" w:rsidR="000C3E06" w:rsidRPr="005D6D89" w:rsidRDefault="000C3E06" w:rsidP="00D81FF6">
            <w:pPr>
              <w:pStyle w:val="BodyText"/>
              <w:spacing w:before="60" w:after="60" w:line="260" w:lineRule="atLeast"/>
            </w:pPr>
            <w:r w:rsidRPr="005D6D89">
              <w:t xml:space="preserve">Engagement, participation </w:t>
            </w:r>
          </w:p>
        </w:tc>
      </w:tr>
      <w:tr w:rsidR="000C3E06" w:rsidRPr="005D6D89" w14:paraId="355B5C9B" w14:textId="77777777" w:rsidTr="00D81FF6">
        <w:tc>
          <w:tcPr>
            <w:tcW w:w="2127" w:type="dxa"/>
          </w:tcPr>
          <w:p w14:paraId="3A52BAA6" w14:textId="77777777" w:rsidR="000C3E06" w:rsidRPr="005D6D89" w:rsidRDefault="000C3E06" w:rsidP="00D81FF6">
            <w:pPr>
              <w:pStyle w:val="BodyText"/>
              <w:spacing w:before="60" w:after="60" w:line="260" w:lineRule="atLeast"/>
              <w:rPr>
                <w:b/>
                <w:bCs/>
              </w:rPr>
            </w:pPr>
            <w:r w:rsidRPr="005D6D89">
              <w:rPr>
                <w:b/>
                <w:bCs/>
              </w:rPr>
              <w:t xml:space="preserve">Mahinga kai </w:t>
            </w:r>
          </w:p>
        </w:tc>
        <w:tc>
          <w:tcPr>
            <w:tcW w:w="6491" w:type="dxa"/>
          </w:tcPr>
          <w:p w14:paraId="12CF4A20" w14:textId="77777777" w:rsidR="000C3E06" w:rsidRPr="005D6D89" w:rsidRDefault="000C3E06" w:rsidP="00D81FF6">
            <w:pPr>
              <w:pStyle w:val="BodyText"/>
              <w:spacing w:before="60" w:after="60" w:line="260" w:lineRule="atLeast"/>
            </w:pPr>
            <w:r w:rsidRPr="005D6D89">
              <w:t>Food gathering</w:t>
            </w:r>
          </w:p>
        </w:tc>
      </w:tr>
      <w:tr w:rsidR="000C3E06" w:rsidRPr="005D6D89" w14:paraId="3F5DA4F1" w14:textId="77777777" w:rsidTr="00D81FF6">
        <w:tc>
          <w:tcPr>
            <w:tcW w:w="2127" w:type="dxa"/>
          </w:tcPr>
          <w:p w14:paraId="0CFC7BE1" w14:textId="77777777" w:rsidR="000C3E06" w:rsidRPr="005D6D89" w:rsidRDefault="000C3E06" w:rsidP="00D81FF6">
            <w:pPr>
              <w:pStyle w:val="BodyText"/>
              <w:spacing w:before="60" w:after="60" w:line="260" w:lineRule="atLeast"/>
              <w:rPr>
                <w:b/>
                <w:bCs/>
              </w:rPr>
            </w:pPr>
            <w:r w:rsidRPr="005D6D89">
              <w:rPr>
                <w:b/>
                <w:bCs/>
              </w:rPr>
              <w:t>Mana</w:t>
            </w:r>
          </w:p>
        </w:tc>
        <w:tc>
          <w:tcPr>
            <w:tcW w:w="6491" w:type="dxa"/>
          </w:tcPr>
          <w:p w14:paraId="4D292AD9" w14:textId="77777777" w:rsidR="000C3E06" w:rsidRPr="005D6D89" w:rsidRDefault="000C3E06" w:rsidP="00D81FF6">
            <w:pPr>
              <w:pStyle w:val="BodyText"/>
              <w:spacing w:before="60" w:after="60" w:line="260" w:lineRule="atLeast"/>
            </w:pPr>
            <w:r w:rsidRPr="005D6D89">
              <w:t xml:space="preserve">Authority, dignity, governance, power </w:t>
            </w:r>
          </w:p>
        </w:tc>
      </w:tr>
      <w:tr w:rsidR="000C3E06" w:rsidRPr="005D6D89" w14:paraId="72499A84" w14:textId="77777777" w:rsidTr="00D81FF6">
        <w:tc>
          <w:tcPr>
            <w:tcW w:w="2127" w:type="dxa"/>
          </w:tcPr>
          <w:p w14:paraId="068D90CA" w14:textId="77777777" w:rsidR="000C3E06" w:rsidRPr="005D6D89" w:rsidRDefault="000C3E06" w:rsidP="00D81FF6">
            <w:pPr>
              <w:pStyle w:val="BodyText"/>
              <w:spacing w:before="60" w:after="60" w:line="260" w:lineRule="atLeast"/>
              <w:rPr>
                <w:b/>
                <w:bCs/>
              </w:rPr>
            </w:pPr>
            <w:r w:rsidRPr="005D6D89">
              <w:rPr>
                <w:b/>
                <w:bCs/>
              </w:rPr>
              <w:t>Mana whenua</w:t>
            </w:r>
          </w:p>
        </w:tc>
        <w:tc>
          <w:tcPr>
            <w:tcW w:w="6491" w:type="dxa"/>
          </w:tcPr>
          <w:p w14:paraId="7FF843AF" w14:textId="64235898" w:rsidR="000C3E06" w:rsidRPr="005D6D89" w:rsidRDefault="000C3E06" w:rsidP="00D81FF6">
            <w:pPr>
              <w:pStyle w:val="BodyText"/>
              <w:spacing w:before="60" w:after="60" w:line="260" w:lineRule="atLeast"/>
            </w:pPr>
            <w:r w:rsidRPr="005D6D89">
              <w:rPr>
                <w:color w:val="333333"/>
                <w:shd w:val="clear" w:color="auto" w:fill="FFFFFF"/>
              </w:rPr>
              <w:t>Power from</w:t>
            </w:r>
            <w:r w:rsidR="004308F8">
              <w:rPr>
                <w:color w:val="333333"/>
                <w:shd w:val="clear" w:color="auto" w:fill="FFFFFF"/>
              </w:rPr>
              <w:t xml:space="preserve"> or </w:t>
            </w:r>
            <w:r w:rsidRPr="005D6D89">
              <w:rPr>
                <w:color w:val="333333"/>
                <w:shd w:val="clear" w:color="auto" w:fill="FFFFFF"/>
              </w:rPr>
              <w:t>authority over land or territory </w:t>
            </w:r>
          </w:p>
        </w:tc>
      </w:tr>
      <w:tr w:rsidR="000C3E06" w:rsidRPr="005D6D89" w14:paraId="4DC78B9B" w14:textId="77777777" w:rsidTr="00D81FF6">
        <w:tc>
          <w:tcPr>
            <w:tcW w:w="2127" w:type="dxa"/>
          </w:tcPr>
          <w:p w14:paraId="0CB9A33B" w14:textId="77777777" w:rsidR="000C3E06" w:rsidRPr="005D6D89" w:rsidRDefault="000C3E06" w:rsidP="00D81FF6">
            <w:pPr>
              <w:pStyle w:val="BodyText"/>
              <w:spacing w:before="60" w:after="60" w:line="260" w:lineRule="atLeast"/>
              <w:rPr>
                <w:b/>
                <w:bCs/>
              </w:rPr>
            </w:pPr>
            <w:r w:rsidRPr="005D6D89">
              <w:rPr>
                <w:b/>
                <w:bCs/>
              </w:rPr>
              <w:t xml:space="preserve">Manaakitanga </w:t>
            </w:r>
          </w:p>
        </w:tc>
        <w:tc>
          <w:tcPr>
            <w:tcW w:w="6491" w:type="dxa"/>
          </w:tcPr>
          <w:p w14:paraId="48B7C9DA" w14:textId="77777777" w:rsidR="000C3E06" w:rsidRPr="005D6D89" w:rsidRDefault="000C3E06" w:rsidP="00D81FF6">
            <w:pPr>
              <w:pStyle w:val="BodyText"/>
              <w:spacing w:before="60" w:after="60" w:line="260" w:lineRule="atLeast"/>
            </w:pPr>
            <w:r w:rsidRPr="005D6D89">
              <w:t xml:space="preserve">Care, reciprocity </w:t>
            </w:r>
          </w:p>
        </w:tc>
      </w:tr>
      <w:tr w:rsidR="000C3E06" w:rsidRPr="005D6D89" w14:paraId="35978A2F" w14:textId="77777777" w:rsidTr="00D81FF6">
        <w:tc>
          <w:tcPr>
            <w:tcW w:w="2127" w:type="dxa"/>
          </w:tcPr>
          <w:p w14:paraId="7B43AA39" w14:textId="77777777" w:rsidR="000C3E06" w:rsidRPr="005D6D89" w:rsidRDefault="000C3E06" w:rsidP="00D81FF6">
            <w:pPr>
              <w:pStyle w:val="BodyText"/>
              <w:spacing w:before="60" w:after="60" w:line="260" w:lineRule="atLeast"/>
              <w:rPr>
                <w:b/>
                <w:bCs/>
              </w:rPr>
            </w:pPr>
            <w:r w:rsidRPr="005D6D89">
              <w:rPr>
                <w:b/>
                <w:bCs/>
              </w:rPr>
              <w:t xml:space="preserve">Mātāpono </w:t>
            </w:r>
          </w:p>
        </w:tc>
        <w:tc>
          <w:tcPr>
            <w:tcW w:w="6491" w:type="dxa"/>
          </w:tcPr>
          <w:p w14:paraId="6DE642A4" w14:textId="77777777" w:rsidR="000C3E06" w:rsidRPr="005D6D89" w:rsidRDefault="000C3E06" w:rsidP="00D81FF6">
            <w:pPr>
              <w:pStyle w:val="BodyText"/>
              <w:spacing w:before="60" w:after="60" w:line="260" w:lineRule="atLeast"/>
            </w:pPr>
            <w:r w:rsidRPr="005D6D89">
              <w:t>Principle</w:t>
            </w:r>
          </w:p>
        </w:tc>
      </w:tr>
      <w:tr w:rsidR="000C3E06" w:rsidRPr="005D6D89" w14:paraId="54B6A0AA" w14:textId="77777777" w:rsidTr="00D81FF6">
        <w:tc>
          <w:tcPr>
            <w:tcW w:w="2127" w:type="dxa"/>
          </w:tcPr>
          <w:p w14:paraId="119D099D" w14:textId="77777777" w:rsidR="000C3E06" w:rsidRPr="005D6D89" w:rsidRDefault="000C3E06" w:rsidP="00D81FF6">
            <w:pPr>
              <w:pStyle w:val="BodyText"/>
              <w:spacing w:before="60" w:after="60" w:line="260" w:lineRule="atLeast"/>
              <w:rPr>
                <w:rFonts w:cs="Arial"/>
                <w:b/>
                <w:bCs/>
              </w:rPr>
            </w:pPr>
            <w:r w:rsidRPr="005D6D89">
              <w:rPr>
                <w:rFonts w:cs="Arial"/>
                <w:b/>
                <w:bCs/>
              </w:rPr>
              <w:t>Mātauranga Māori</w:t>
            </w:r>
          </w:p>
        </w:tc>
        <w:tc>
          <w:tcPr>
            <w:tcW w:w="6491" w:type="dxa"/>
          </w:tcPr>
          <w:p w14:paraId="50868C06" w14:textId="77777777" w:rsidR="000C3E06" w:rsidRPr="005D6D89" w:rsidRDefault="000C3E06" w:rsidP="00D81FF6">
            <w:pPr>
              <w:pStyle w:val="BodyText"/>
              <w:spacing w:before="60" w:after="60" w:line="260" w:lineRule="atLeast"/>
              <w:rPr>
                <w:i/>
              </w:rPr>
            </w:pPr>
            <w:r w:rsidRPr="005D6D89">
              <w:t>Māori knowledge systems. These are context specific to indigenous Māori people, and the term has its origins in Aotearoa New Zealand. It has many definitions that cover belief systems, epistemologies, values and knowledge, in a traditional and contemporary sense. The knowledge, comprehension or understanding of everything visible and invisible in the universe (Ministry for the Environment, 2019).</w:t>
            </w:r>
          </w:p>
        </w:tc>
      </w:tr>
      <w:tr w:rsidR="000C3E06" w:rsidRPr="005D6D89" w14:paraId="483C9C58" w14:textId="77777777" w:rsidTr="00D81FF6">
        <w:tc>
          <w:tcPr>
            <w:tcW w:w="2127" w:type="dxa"/>
          </w:tcPr>
          <w:p w14:paraId="7D3E7577" w14:textId="77777777" w:rsidR="000C3E06" w:rsidRPr="005D6D89" w:rsidRDefault="000C3E06" w:rsidP="00D81FF6">
            <w:pPr>
              <w:pStyle w:val="BodyText"/>
              <w:spacing w:before="60" w:after="60" w:line="260" w:lineRule="atLeast"/>
              <w:rPr>
                <w:b/>
                <w:bCs/>
              </w:rPr>
            </w:pPr>
            <w:r w:rsidRPr="005D6D89">
              <w:rPr>
                <w:b/>
                <w:bCs/>
              </w:rPr>
              <w:t xml:space="preserve">Mauri </w:t>
            </w:r>
          </w:p>
        </w:tc>
        <w:tc>
          <w:tcPr>
            <w:tcW w:w="6491" w:type="dxa"/>
          </w:tcPr>
          <w:p w14:paraId="602D6305" w14:textId="741F043A" w:rsidR="000C3E06" w:rsidRPr="005D6D89" w:rsidRDefault="000C3E06" w:rsidP="00D81FF6">
            <w:pPr>
              <w:pStyle w:val="BodyText"/>
              <w:spacing w:before="60" w:after="60" w:line="260" w:lineRule="atLeast"/>
            </w:pPr>
            <w:r w:rsidRPr="005D6D89">
              <w:t>The life force</w:t>
            </w:r>
          </w:p>
        </w:tc>
      </w:tr>
      <w:tr w:rsidR="000C3E06" w:rsidRPr="005D6D89" w14:paraId="2D582E84" w14:textId="77777777" w:rsidTr="00D81FF6">
        <w:trPr>
          <w:trHeight w:val="297"/>
        </w:trPr>
        <w:tc>
          <w:tcPr>
            <w:tcW w:w="2127" w:type="dxa"/>
          </w:tcPr>
          <w:p w14:paraId="5846BA87" w14:textId="77777777" w:rsidR="000C3E06" w:rsidRPr="005D6D89" w:rsidRDefault="000C3E06" w:rsidP="00D81FF6">
            <w:pPr>
              <w:pStyle w:val="BodyText"/>
              <w:spacing w:before="60" w:after="60" w:line="260" w:lineRule="atLeast"/>
              <w:rPr>
                <w:b/>
                <w:bCs/>
              </w:rPr>
            </w:pPr>
            <w:r>
              <w:rPr>
                <w:rFonts w:cs="Calibri"/>
                <w:b/>
                <w:bCs/>
              </w:rPr>
              <w:t>Ō</w:t>
            </w:r>
            <w:r w:rsidRPr="005D6D89">
              <w:rPr>
                <w:b/>
                <w:bCs/>
              </w:rPr>
              <w:t xml:space="preserve">hanga </w:t>
            </w:r>
          </w:p>
        </w:tc>
        <w:tc>
          <w:tcPr>
            <w:tcW w:w="6491" w:type="dxa"/>
          </w:tcPr>
          <w:p w14:paraId="2C6EAFBA" w14:textId="40605725" w:rsidR="000C3E06" w:rsidRPr="005D6D89" w:rsidRDefault="00B27DB8" w:rsidP="00D81FF6">
            <w:pPr>
              <w:pStyle w:val="BodyText"/>
              <w:spacing w:before="60" w:after="60" w:line="260" w:lineRule="atLeast"/>
            </w:pPr>
            <w:r>
              <w:t>E</w:t>
            </w:r>
            <w:r w:rsidR="000C3E06" w:rsidRPr="005D6D89">
              <w:t xml:space="preserve">conomic, economy </w:t>
            </w:r>
          </w:p>
        </w:tc>
      </w:tr>
      <w:tr w:rsidR="000C3E06" w:rsidRPr="005D6D89" w14:paraId="7732C0BE" w14:textId="77777777" w:rsidTr="00D81FF6">
        <w:tc>
          <w:tcPr>
            <w:tcW w:w="2127" w:type="dxa"/>
          </w:tcPr>
          <w:p w14:paraId="2AFD3D6B" w14:textId="543F1FE9" w:rsidR="000C3E06" w:rsidRPr="005D6D89" w:rsidRDefault="000C3E06" w:rsidP="00D81FF6">
            <w:pPr>
              <w:pStyle w:val="BodyText"/>
              <w:spacing w:before="60" w:after="60" w:line="260" w:lineRule="atLeast"/>
              <w:rPr>
                <w:b/>
                <w:bCs/>
              </w:rPr>
            </w:pPr>
            <w:r w:rsidRPr="005D6D89">
              <w:rPr>
                <w:b/>
                <w:bCs/>
              </w:rPr>
              <w:t>P</w:t>
            </w:r>
            <w:r w:rsidR="00AB184D">
              <w:rPr>
                <w:b/>
                <w:bCs/>
              </w:rPr>
              <w:t>a</w:t>
            </w:r>
            <w:r w:rsidRPr="005D6D89">
              <w:rPr>
                <w:b/>
                <w:bCs/>
              </w:rPr>
              <w:t xml:space="preserve">keke </w:t>
            </w:r>
          </w:p>
        </w:tc>
        <w:tc>
          <w:tcPr>
            <w:tcW w:w="6491" w:type="dxa"/>
          </w:tcPr>
          <w:p w14:paraId="502A05F1" w14:textId="77777777" w:rsidR="000C3E06" w:rsidRPr="005D6D89" w:rsidRDefault="000C3E06" w:rsidP="00D81FF6">
            <w:pPr>
              <w:pStyle w:val="BodyText"/>
              <w:spacing w:before="60" w:after="60" w:line="260" w:lineRule="atLeast"/>
            </w:pPr>
            <w:r w:rsidRPr="005D6D89">
              <w:t>Adult</w:t>
            </w:r>
          </w:p>
        </w:tc>
      </w:tr>
      <w:tr w:rsidR="000C3E06" w:rsidRPr="005D6D89" w14:paraId="60BD50F2" w14:textId="77777777" w:rsidTr="00D81FF6">
        <w:tc>
          <w:tcPr>
            <w:tcW w:w="2127" w:type="dxa"/>
          </w:tcPr>
          <w:p w14:paraId="71194330" w14:textId="77777777" w:rsidR="000C3E06" w:rsidRPr="005D6D89" w:rsidRDefault="000C3E06" w:rsidP="00D81FF6">
            <w:pPr>
              <w:pStyle w:val="BodyText"/>
              <w:spacing w:before="60" w:after="60" w:line="260" w:lineRule="atLeast"/>
              <w:rPr>
                <w:b/>
                <w:bCs/>
              </w:rPr>
            </w:pPr>
            <w:r w:rsidRPr="005D6D89">
              <w:rPr>
                <w:b/>
                <w:bCs/>
              </w:rPr>
              <w:t>Rangatahi</w:t>
            </w:r>
          </w:p>
        </w:tc>
        <w:tc>
          <w:tcPr>
            <w:tcW w:w="6491" w:type="dxa"/>
          </w:tcPr>
          <w:p w14:paraId="7133868A" w14:textId="77777777" w:rsidR="000C3E06" w:rsidRPr="005D6D89" w:rsidRDefault="000C3E06" w:rsidP="00D81FF6">
            <w:pPr>
              <w:pStyle w:val="BodyText"/>
              <w:spacing w:before="60" w:after="60" w:line="260" w:lineRule="atLeast"/>
            </w:pPr>
            <w:r w:rsidRPr="005D6D89">
              <w:t>Young person</w:t>
            </w:r>
          </w:p>
        </w:tc>
      </w:tr>
      <w:tr w:rsidR="000C3E06" w:rsidRPr="005D6D89" w14:paraId="45DC045A" w14:textId="77777777" w:rsidTr="00D81FF6">
        <w:tc>
          <w:tcPr>
            <w:tcW w:w="2127" w:type="dxa"/>
          </w:tcPr>
          <w:p w14:paraId="59D734A5" w14:textId="77777777" w:rsidR="000C3E06" w:rsidRPr="005D6D89" w:rsidRDefault="000C3E06" w:rsidP="00D81FF6">
            <w:pPr>
              <w:pStyle w:val="BodyText"/>
              <w:spacing w:before="60" w:after="60" w:line="260" w:lineRule="atLeast"/>
              <w:rPr>
                <w:b/>
                <w:bCs/>
              </w:rPr>
            </w:pPr>
            <w:r w:rsidRPr="005D6D89">
              <w:rPr>
                <w:b/>
                <w:bCs/>
              </w:rPr>
              <w:t xml:space="preserve">Rangatiratanga </w:t>
            </w:r>
          </w:p>
        </w:tc>
        <w:tc>
          <w:tcPr>
            <w:tcW w:w="6491" w:type="dxa"/>
          </w:tcPr>
          <w:p w14:paraId="300B8AE3" w14:textId="77777777" w:rsidR="000C3E06" w:rsidRPr="005D6D89" w:rsidRDefault="000C3E06" w:rsidP="00D81FF6">
            <w:pPr>
              <w:pStyle w:val="BodyText"/>
              <w:spacing w:before="60" w:after="60" w:line="260" w:lineRule="atLeast"/>
            </w:pPr>
            <w:r w:rsidRPr="005D6D89">
              <w:t>Leadership, autonomy</w:t>
            </w:r>
          </w:p>
        </w:tc>
      </w:tr>
      <w:tr w:rsidR="000C3E06" w:rsidRPr="005D6D89" w14:paraId="2E191813" w14:textId="77777777" w:rsidTr="00D81FF6">
        <w:tc>
          <w:tcPr>
            <w:tcW w:w="2127" w:type="dxa"/>
          </w:tcPr>
          <w:p w14:paraId="249FBB07" w14:textId="77777777" w:rsidR="000C3E06" w:rsidRPr="005D6D89" w:rsidRDefault="000C3E06" w:rsidP="00D81FF6">
            <w:pPr>
              <w:pStyle w:val="BodyText"/>
              <w:spacing w:before="60" w:after="60" w:line="260" w:lineRule="atLeast"/>
              <w:rPr>
                <w:rFonts w:cs="Arial"/>
                <w:b/>
                <w:bCs/>
                <w:color w:val="000000" w:themeColor="text1"/>
              </w:rPr>
            </w:pPr>
            <w:r w:rsidRPr="005D6D89">
              <w:rPr>
                <w:rFonts w:cs="Arial"/>
                <w:b/>
                <w:bCs/>
                <w:color w:val="000000" w:themeColor="text1"/>
              </w:rPr>
              <w:lastRenderedPageBreak/>
              <w:t>Rohe</w:t>
            </w:r>
          </w:p>
        </w:tc>
        <w:tc>
          <w:tcPr>
            <w:tcW w:w="6491" w:type="dxa"/>
          </w:tcPr>
          <w:p w14:paraId="1ED6B637" w14:textId="77777777" w:rsidR="000C3E06" w:rsidRPr="005D6D89" w:rsidRDefault="000C3E06" w:rsidP="00D81FF6">
            <w:pPr>
              <w:pStyle w:val="BodyText"/>
              <w:spacing w:before="60" w:after="60" w:line="260" w:lineRule="atLeast"/>
              <w:rPr>
                <w:rFonts w:cs="Arial"/>
                <w:color w:val="000000" w:themeColor="text1"/>
                <w:u w:val="single"/>
              </w:rPr>
            </w:pPr>
            <w:r w:rsidRPr="005D6D89">
              <w:rPr>
                <w:color w:val="000000" w:themeColor="text1"/>
              </w:rPr>
              <w:t>Land, territory, domain, boundary</w:t>
            </w:r>
          </w:p>
        </w:tc>
      </w:tr>
      <w:tr w:rsidR="000C3E06" w:rsidRPr="005D6D89" w14:paraId="0574F835" w14:textId="77777777" w:rsidTr="00D81FF6">
        <w:tc>
          <w:tcPr>
            <w:tcW w:w="2127" w:type="dxa"/>
          </w:tcPr>
          <w:p w14:paraId="13BD5E4E" w14:textId="77777777" w:rsidR="000C3E06" w:rsidRPr="005D6D89" w:rsidRDefault="000C3E06" w:rsidP="00D81FF6">
            <w:pPr>
              <w:pStyle w:val="BodyText"/>
              <w:spacing w:before="60" w:after="60" w:line="260" w:lineRule="atLeast"/>
              <w:rPr>
                <w:rFonts w:cs="Arial"/>
                <w:b/>
                <w:bCs/>
                <w:color w:val="000000" w:themeColor="text1"/>
              </w:rPr>
            </w:pPr>
            <w:r w:rsidRPr="005D6D89">
              <w:rPr>
                <w:rFonts w:cs="Arial"/>
                <w:b/>
                <w:bCs/>
                <w:color w:val="000000" w:themeColor="text1"/>
              </w:rPr>
              <w:t>Taiao</w:t>
            </w:r>
          </w:p>
        </w:tc>
        <w:tc>
          <w:tcPr>
            <w:tcW w:w="6491" w:type="dxa"/>
          </w:tcPr>
          <w:p w14:paraId="62D7A229" w14:textId="77777777" w:rsidR="000C3E06" w:rsidRPr="005D6D89" w:rsidRDefault="000C3E06" w:rsidP="00D81FF6">
            <w:pPr>
              <w:pStyle w:val="BodyText"/>
              <w:spacing w:before="60" w:after="60" w:line="260" w:lineRule="atLeast"/>
              <w:rPr>
                <w:rFonts w:cs="Arial"/>
                <w:color w:val="000000" w:themeColor="text1"/>
              </w:rPr>
            </w:pPr>
            <w:r w:rsidRPr="005D6D89">
              <w:rPr>
                <w:rFonts w:cs="Arial"/>
                <w:color w:val="000000" w:themeColor="text1"/>
              </w:rPr>
              <w:t>Environment</w:t>
            </w:r>
          </w:p>
        </w:tc>
      </w:tr>
      <w:tr w:rsidR="000C3E06" w:rsidRPr="005D6D89" w14:paraId="16EFEC83" w14:textId="77777777" w:rsidTr="00D81FF6">
        <w:tc>
          <w:tcPr>
            <w:tcW w:w="2127" w:type="dxa"/>
          </w:tcPr>
          <w:p w14:paraId="7362BFA6" w14:textId="77777777" w:rsidR="000C3E06" w:rsidRPr="005D6D89" w:rsidRDefault="000C3E06" w:rsidP="00D81FF6">
            <w:pPr>
              <w:pStyle w:val="BodyText"/>
              <w:spacing w:before="60" w:after="60" w:line="260" w:lineRule="atLeast"/>
              <w:rPr>
                <w:rFonts w:cs="Arial"/>
                <w:b/>
                <w:bCs/>
                <w:color w:val="000000" w:themeColor="text1"/>
              </w:rPr>
            </w:pPr>
            <w:r w:rsidRPr="005D6D89">
              <w:rPr>
                <w:rFonts w:cs="Arial"/>
                <w:b/>
                <w:bCs/>
                <w:color w:val="000000" w:themeColor="text1"/>
              </w:rPr>
              <w:t>Tangata</w:t>
            </w:r>
          </w:p>
        </w:tc>
        <w:tc>
          <w:tcPr>
            <w:tcW w:w="6491" w:type="dxa"/>
          </w:tcPr>
          <w:p w14:paraId="2E5F3E90" w14:textId="77777777" w:rsidR="000C3E06" w:rsidRPr="005D6D89" w:rsidRDefault="000C3E06" w:rsidP="00D81FF6">
            <w:pPr>
              <w:pStyle w:val="BodyText"/>
              <w:spacing w:before="60" w:after="60" w:line="260" w:lineRule="atLeast"/>
              <w:rPr>
                <w:rFonts w:cs="Arial"/>
                <w:color w:val="000000" w:themeColor="text1"/>
              </w:rPr>
            </w:pPr>
            <w:r w:rsidRPr="005D6D89">
              <w:rPr>
                <w:rFonts w:cs="Arial"/>
                <w:color w:val="000000" w:themeColor="text1"/>
              </w:rPr>
              <w:t>People</w:t>
            </w:r>
          </w:p>
        </w:tc>
      </w:tr>
      <w:tr w:rsidR="000C3E06" w:rsidRPr="005D6D89" w14:paraId="4A8020CF" w14:textId="77777777" w:rsidTr="00D81FF6">
        <w:tc>
          <w:tcPr>
            <w:tcW w:w="2127" w:type="dxa"/>
          </w:tcPr>
          <w:p w14:paraId="0D511B09" w14:textId="77777777" w:rsidR="000C3E06" w:rsidRPr="005D6D89" w:rsidRDefault="000C3E06" w:rsidP="00D81FF6">
            <w:pPr>
              <w:pStyle w:val="BodyText"/>
              <w:spacing w:before="60" w:after="60" w:line="260" w:lineRule="atLeast"/>
              <w:rPr>
                <w:b/>
                <w:bCs/>
              </w:rPr>
            </w:pPr>
            <w:r w:rsidRPr="005D6D89">
              <w:rPr>
                <w:b/>
                <w:bCs/>
              </w:rPr>
              <w:t xml:space="preserve">Taonga </w:t>
            </w:r>
            <w:r w:rsidRPr="005D6D89">
              <w:rPr>
                <w:rFonts w:cs="Arial"/>
                <w:b/>
                <w:bCs/>
              </w:rPr>
              <w:t>Māori</w:t>
            </w:r>
          </w:p>
        </w:tc>
        <w:tc>
          <w:tcPr>
            <w:tcW w:w="6491" w:type="dxa"/>
          </w:tcPr>
          <w:p w14:paraId="7B86D9A5" w14:textId="77777777" w:rsidR="000C3E06" w:rsidRPr="005D6D89" w:rsidRDefault="000C3E06" w:rsidP="00D81FF6">
            <w:pPr>
              <w:pStyle w:val="BodyText"/>
              <w:spacing w:before="60" w:after="60" w:line="260" w:lineRule="atLeast"/>
              <w:rPr>
                <w:rFonts w:cs="Arial"/>
              </w:rPr>
            </w:pPr>
            <w:r w:rsidRPr="005D6D89">
              <w:rPr>
                <w:rFonts w:cs="Arial"/>
              </w:rPr>
              <w:t xml:space="preserve">Taonga are tangible and intangible items that are highly valued in Māori culture. They include: </w:t>
            </w:r>
          </w:p>
          <w:p w14:paraId="7F5883AD" w14:textId="77777777" w:rsidR="000C3E06" w:rsidRPr="005D6D89" w:rsidRDefault="000C3E06" w:rsidP="00D81FF6">
            <w:pPr>
              <w:pStyle w:val="Bullet"/>
              <w:spacing w:after="60"/>
            </w:pPr>
            <w:r w:rsidRPr="005D6D89">
              <w:t>natural environment (whenua/land, ngahere/forests, awa/rivers, maunga/mountains and moana/ocean)</w:t>
            </w:r>
          </w:p>
          <w:p w14:paraId="01C0840E" w14:textId="77777777" w:rsidR="000C3E06" w:rsidRPr="005D6D89" w:rsidRDefault="000C3E06" w:rsidP="00D81FF6">
            <w:pPr>
              <w:pStyle w:val="Bullet"/>
              <w:spacing w:after="60"/>
            </w:pPr>
            <w:r w:rsidRPr="005D6D89">
              <w:t>human and non-human capital (whānau, hapū, iwi)</w:t>
            </w:r>
            <w:r>
              <w:t xml:space="preserve"> and </w:t>
            </w:r>
            <w:r w:rsidRPr="005D6D89">
              <w:t xml:space="preserve">spiritual (mauri) </w:t>
            </w:r>
          </w:p>
          <w:p w14:paraId="5196B878" w14:textId="77777777" w:rsidR="000C3E06" w:rsidRPr="005D6D89" w:rsidRDefault="000C3E06" w:rsidP="00D81FF6">
            <w:pPr>
              <w:pStyle w:val="Bullet"/>
              <w:spacing w:after="60"/>
            </w:pPr>
            <w:r w:rsidRPr="005D6D89">
              <w:t xml:space="preserve">social capital (mātauranga Māori) </w:t>
            </w:r>
          </w:p>
          <w:p w14:paraId="1E2FB3F5" w14:textId="77777777" w:rsidR="000C3E06" w:rsidRPr="005D6D89" w:rsidRDefault="000C3E06" w:rsidP="00D81FF6">
            <w:pPr>
              <w:pStyle w:val="Bullet"/>
              <w:spacing w:after="60"/>
            </w:pPr>
            <w:r w:rsidRPr="005D6D89">
              <w:t>economic capital (financial value of assets including land holdings</w:t>
            </w:r>
            <w:r>
              <w:t>)</w:t>
            </w:r>
            <w:r w:rsidRPr="005D6D89">
              <w:t xml:space="preserve"> </w:t>
            </w:r>
          </w:p>
          <w:p w14:paraId="271778C0" w14:textId="77777777" w:rsidR="000C3E06" w:rsidRPr="005D6D89" w:rsidRDefault="000C3E06" w:rsidP="00D81FF6">
            <w:pPr>
              <w:pStyle w:val="Bullet"/>
            </w:pPr>
            <w:r w:rsidRPr="005D6D89">
              <w:t>material capital (buildings including marae, commercial investments and private homes) (Ministry for the Environment, 2019).</w:t>
            </w:r>
          </w:p>
        </w:tc>
      </w:tr>
      <w:tr w:rsidR="000C3E06" w:rsidRPr="005D6D89" w14:paraId="70F20BE8" w14:textId="77777777" w:rsidTr="00D81FF6">
        <w:tc>
          <w:tcPr>
            <w:tcW w:w="2127" w:type="dxa"/>
          </w:tcPr>
          <w:p w14:paraId="307794D8" w14:textId="77777777" w:rsidR="000C3E06" w:rsidRPr="005D6D89" w:rsidRDefault="000C3E06" w:rsidP="00D81FF6">
            <w:pPr>
              <w:pStyle w:val="BodyText"/>
              <w:spacing w:before="60" w:after="60" w:line="260" w:lineRule="atLeast"/>
              <w:rPr>
                <w:b/>
                <w:bCs/>
              </w:rPr>
            </w:pPr>
            <w:r w:rsidRPr="005D6D89">
              <w:rPr>
                <w:b/>
                <w:bCs/>
              </w:rPr>
              <w:t xml:space="preserve">Te ao Māori </w:t>
            </w:r>
          </w:p>
        </w:tc>
        <w:tc>
          <w:tcPr>
            <w:tcW w:w="6491" w:type="dxa"/>
          </w:tcPr>
          <w:p w14:paraId="7695EEAB" w14:textId="77777777" w:rsidR="000C3E06" w:rsidRPr="005D6D89" w:rsidRDefault="000C3E06" w:rsidP="00D81FF6">
            <w:pPr>
              <w:pStyle w:val="BodyText"/>
              <w:spacing w:before="60" w:after="60" w:line="260" w:lineRule="atLeast"/>
            </w:pPr>
            <w:r w:rsidRPr="005D6D89">
              <w:t xml:space="preserve">The Māori world and worldview </w:t>
            </w:r>
          </w:p>
        </w:tc>
      </w:tr>
      <w:tr w:rsidR="000C3E06" w:rsidRPr="005D6D89" w14:paraId="2C54D6E9" w14:textId="77777777" w:rsidTr="00D81FF6">
        <w:tc>
          <w:tcPr>
            <w:tcW w:w="2127" w:type="dxa"/>
          </w:tcPr>
          <w:p w14:paraId="10BFB1CE" w14:textId="77777777" w:rsidR="000C3E06" w:rsidRPr="005D6D89" w:rsidRDefault="000C3E06" w:rsidP="00D81FF6">
            <w:pPr>
              <w:pStyle w:val="BodyText"/>
              <w:spacing w:before="60" w:after="60" w:line="260" w:lineRule="atLeast"/>
              <w:rPr>
                <w:b/>
                <w:bCs/>
              </w:rPr>
            </w:pPr>
            <w:r w:rsidRPr="005D6D89">
              <w:rPr>
                <w:rFonts w:cs="Arial"/>
                <w:b/>
                <w:bCs/>
                <w:color w:val="000000" w:themeColor="text1"/>
              </w:rPr>
              <w:t>Te Tiriti o Waitangi</w:t>
            </w:r>
          </w:p>
        </w:tc>
        <w:tc>
          <w:tcPr>
            <w:tcW w:w="6491" w:type="dxa"/>
          </w:tcPr>
          <w:p w14:paraId="2514DC51" w14:textId="77777777" w:rsidR="000C3E06" w:rsidRPr="005D6D89" w:rsidRDefault="000C3E06" w:rsidP="00D81FF6">
            <w:pPr>
              <w:pStyle w:val="BodyText"/>
              <w:spacing w:before="60" w:after="60" w:line="260" w:lineRule="atLeast"/>
            </w:pPr>
            <w:r w:rsidRPr="005D6D89">
              <w:t>The Treaty of Waitangi</w:t>
            </w:r>
          </w:p>
        </w:tc>
      </w:tr>
      <w:tr w:rsidR="000C3E06" w:rsidRPr="005D6D89" w14:paraId="55162840" w14:textId="77777777" w:rsidTr="00D81FF6">
        <w:tc>
          <w:tcPr>
            <w:tcW w:w="2127" w:type="dxa"/>
          </w:tcPr>
          <w:p w14:paraId="4DC5670F" w14:textId="77777777" w:rsidR="000C3E06" w:rsidRPr="005D6D89" w:rsidRDefault="000C3E06" w:rsidP="00D81FF6">
            <w:pPr>
              <w:pStyle w:val="BodyText"/>
              <w:spacing w:before="60" w:after="60" w:line="260" w:lineRule="atLeast"/>
              <w:rPr>
                <w:b/>
                <w:bCs/>
              </w:rPr>
            </w:pPr>
            <w:r w:rsidRPr="005D6D89">
              <w:rPr>
                <w:b/>
                <w:bCs/>
              </w:rPr>
              <w:t xml:space="preserve">Tikanga </w:t>
            </w:r>
          </w:p>
        </w:tc>
        <w:tc>
          <w:tcPr>
            <w:tcW w:w="6491" w:type="dxa"/>
          </w:tcPr>
          <w:p w14:paraId="290F900E" w14:textId="77777777" w:rsidR="000C3E06" w:rsidRPr="005D6D89" w:rsidRDefault="000C3E06" w:rsidP="00D81FF6">
            <w:pPr>
              <w:pStyle w:val="BodyText"/>
              <w:spacing w:before="60" w:after="60" w:line="260" w:lineRule="atLeast"/>
            </w:pPr>
            <w:r w:rsidRPr="005D6D89">
              <w:t>Procedures, lore, practices</w:t>
            </w:r>
          </w:p>
        </w:tc>
      </w:tr>
      <w:tr w:rsidR="000C3E06" w:rsidRPr="005D6D89" w14:paraId="131D2A0C" w14:textId="77777777" w:rsidTr="00D81FF6">
        <w:tc>
          <w:tcPr>
            <w:tcW w:w="2127" w:type="dxa"/>
          </w:tcPr>
          <w:p w14:paraId="4E12FDCF" w14:textId="77777777" w:rsidR="000C3E06" w:rsidRPr="005D6D89" w:rsidRDefault="000C3E06" w:rsidP="00D81FF6">
            <w:pPr>
              <w:pStyle w:val="BodyText"/>
              <w:spacing w:before="60" w:after="60" w:line="260" w:lineRule="atLeast"/>
              <w:rPr>
                <w:b/>
                <w:bCs/>
              </w:rPr>
            </w:pPr>
            <w:r w:rsidRPr="005D6D89">
              <w:rPr>
                <w:b/>
                <w:bCs/>
              </w:rPr>
              <w:t>Tūrangawaewae</w:t>
            </w:r>
          </w:p>
        </w:tc>
        <w:tc>
          <w:tcPr>
            <w:tcW w:w="6491" w:type="dxa"/>
          </w:tcPr>
          <w:p w14:paraId="499FD0E1" w14:textId="77777777" w:rsidR="000C3E06" w:rsidRPr="005D6D89" w:rsidRDefault="000C3E06" w:rsidP="00D81FF6">
            <w:pPr>
              <w:pStyle w:val="BodyText"/>
              <w:spacing w:before="60" w:after="60" w:line="260" w:lineRule="atLeast"/>
            </w:pPr>
            <w:r w:rsidRPr="005D6D89">
              <w:rPr>
                <w:color w:val="333333"/>
                <w:shd w:val="clear" w:color="auto" w:fill="FFFFFF"/>
              </w:rPr>
              <w:t>Place where one has the right to stand</w:t>
            </w:r>
          </w:p>
        </w:tc>
      </w:tr>
      <w:tr w:rsidR="000C3E06" w:rsidRPr="005D6D89" w14:paraId="09A5EA68" w14:textId="77777777" w:rsidTr="00D81FF6">
        <w:tc>
          <w:tcPr>
            <w:tcW w:w="2127" w:type="dxa"/>
          </w:tcPr>
          <w:p w14:paraId="60E2CDD2" w14:textId="77777777" w:rsidR="000C3E06" w:rsidRPr="005D6D89" w:rsidRDefault="000C3E06" w:rsidP="00D81FF6">
            <w:pPr>
              <w:pStyle w:val="BodyText"/>
              <w:spacing w:before="60" w:after="60" w:line="260" w:lineRule="atLeast"/>
              <w:rPr>
                <w:b/>
                <w:bCs/>
              </w:rPr>
            </w:pPr>
            <w:r w:rsidRPr="005D6D89">
              <w:rPr>
                <w:rFonts w:cs="Arial"/>
                <w:b/>
                <w:bCs/>
                <w:color w:val="000000" w:themeColor="text1"/>
              </w:rPr>
              <w:t>Urupā</w:t>
            </w:r>
          </w:p>
        </w:tc>
        <w:tc>
          <w:tcPr>
            <w:tcW w:w="6491" w:type="dxa"/>
          </w:tcPr>
          <w:p w14:paraId="77FEEBB8" w14:textId="77777777" w:rsidR="000C3E06" w:rsidRPr="005D6D89" w:rsidRDefault="000C3E06" w:rsidP="00D81FF6">
            <w:pPr>
              <w:pStyle w:val="BodyText"/>
              <w:spacing w:before="60" w:after="60" w:line="260" w:lineRule="atLeast"/>
            </w:pPr>
            <w:r w:rsidRPr="005D6D89">
              <w:t>Burial ground, cemetery</w:t>
            </w:r>
          </w:p>
        </w:tc>
      </w:tr>
      <w:tr w:rsidR="000C3E06" w:rsidRPr="005D6D89" w14:paraId="5946CB0B" w14:textId="77777777" w:rsidTr="00D81FF6">
        <w:trPr>
          <w:trHeight w:val="297"/>
        </w:trPr>
        <w:tc>
          <w:tcPr>
            <w:tcW w:w="2127" w:type="dxa"/>
          </w:tcPr>
          <w:p w14:paraId="3D1E554C" w14:textId="77777777" w:rsidR="000C3E06" w:rsidRPr="005D6D89" w:rsidRDefault="000C3E06" w:rsidP="00D81FF6">
            <w:pPr>
              <w:pStyle w:val="BodyText"/>
              <w:spacing w:before="60" w:after="60" w:line="260" w:lineRule="atLeast"/>
              <w:rPr>
                <w:b/>
                <w:bCs/>
              </w:rPr>
            </w:pPr>
            <w:r w:rsidRPr="005D6D89">
              <w:rPr>
                <w:rFonts w:cs="Arial"/>
                <w:b/>
                <w:bCs/>
                <w:color w:val="000000" w:themeColor="text1"/>
              </w:rPr>
              <w:t>Wāhi taonga</w:t>
            </w:r>
          </w:p>
        </w:tc>
        <w:tc>
          <w:tcPr>
            <w:tcW w:w="6491" w:type="dxa"/>
          </w:tcPr>
          <w:p w14:paraId="4FBB2351" w14:textId="77777777" w:rsidR="000C3E06" w:rsidRPr="005D6D89" w:rsidRDefault="000C3E06" w:rsidP="00D81FF6">
            <w:pPr>
              <w:pStyle w:val="BodyText"/>
              <w:spacing w:before="60" w:after="60" w:line="260" w:lineRule="atLeast"/>
            </w:pPr>
            <w:r>
              <w:t>P</w:t>
            </w:r>
            <w:r w:rsidRPr="005D6D89">
              <w:t xml:space="preserve">lace where taonga are held or kept </w:t>
            </w:r>
          </w:p>
        </w:tc>
      </w:tr>
      <w:tr w:rsidR="000C3E06" w:rsidRPr="005D6D89" w14:paraId="000F1E93" w14:textId="77777777" w:rsidTr="00D81FF6">
        <w:tc>
          <w:tcPr>
            <w:tcW w:w="2127" w:type="dxa"/>
          </w:tcPr>
          <w:p w14:paraId="0BE83F10" w14:textId="77777777" w:rsidR="000C3E06" w:rsidRPr="005D6D89" w:rsidRDefault="000C3E06" w:rsidP="00D81FF6">
            <w:pPr>
              <w:pStyle w:val="BodyText"/>
              <w:spacing w:before="60" w:after="60" w:line="260" w:lineRule="atLeast"/>
              <w:rPr>
                <w:b/>
                <w:bCs/>
              </w:rPr>
            </w:pPr>
            <w:r w:rsidRPr="005D6D89">
              <w:rPr>
                <w:rFonts w:cs="Arial"/>
                <w:b/>
                <w:bCs/>
                <w:color w:val="000000" w:themeColor="text1"/>
              </w:rPr>
              <w:t>Wāhi tapu</w:t>
            </w:r>
          </w:p>
        </w:tc>
        <w:tc>
          <w:tcPr>
            <w:tcW w:w="6491" w:type="dxa"/>
          </w:tcPr>
          <w:p w14:paraId="67C80906" w14:textId="77777777" w:rsidR="000C3E06" w:rsidRPr="005D6D89" w:rsidRDefault="000C3E06" w:rsidP="00D81FF6">
            <w:pPr>
              <w:pStyle w:val="BodyText"/>
              <w:spacing w:before="60" w:after="60" w:line="260" w:lineRule="atLeast"/>
            </w:pPr>
            <w:r>
              <w:t>S</w:t>
            </w:r>
            <w:r w:rsidRPr="005D6D89">
              <w:t>acred place</w:t>
            </w:r>
          </w:p>
        </w:tc>
      </w:tr>
      <w:tr w:rsidR="000C3E06" w:rsidRPr="005D6D89" w14:paraId="562A1F7A" w14:textId="77777777" w:rsidTr="00D81FF6">
        <w:tc>
          <w:tcPr>
            <w:tcW w:w="2127" w:type="dxa"/>
          </w:tcPr>
          <w:p w14:paraId="5F149663" w14:textId="77777777" w:rsidR="000C3E06" w:rsidRPr="005D6D89" w:rsidRDefault="000C3E06" w:rsidP="00D81FF6">
            <w:pPr>
              <w:pStyle w:val="BodyText"/>
              <w:spacing w:before="60" w:after="60" w:line="260" w:lineRule="atLeast"/>
              <w:rPr>
                <w:b/>
                <w:bCs/>
              </w:rPr>
            </w:pPr>
            <w:r w:rsidRPr="005D6D89">
              <w:rPr>
                <w:b/>
                <w:bCs/>
              </w:rPr>
              <w:t>Whakapapa</w:t>
            </w:r>
          </w:p>
        </w:tc>
        <w:tc>
          <w:tcPr>
            <w:tcW w:w="6491" w:type="dxa"/>
          </w:tcPr>
          <w:p w14:paraId="33DA3B85" w14:textId="77777777" w:rsidR="000C3E06" w:rsidRPr="005D6D89" w:rsidRDefault="000C3E06" w:rsidP="00D81FF6">
            <w:pPr>
              <w:pStyle w:val="BodyText"/>
              <w:spacing w:before="60" w:after="60" w:line="260" w:lineRule="atLeast"/>
            </w:pPr>
            <w:r w:rsidRPr="005D6D89">
              <w:t>Genealogy that links to one</w:t>
            </w:r>
            <w:r>
              <w:t>’</w:t>
            </w:r>
            <w:r w:rsidRPr="005D6D89">
              <w:t>s ancestors</w:t>
            </w:r>
          </w:p>
        </w:tc>
      </w:tr>
      <w:tr w:rsidR="000C3E06" w:rsidRPr="005D6D89" w14:paraId="43DC8F4F" w14:textId="77777777" w:rsidTr="00D81FF6">
        <w:tc>
          <w:tcPr>
            <w:tcW w:w="2127" w:type="dxa"/>
          </w:tcPr>
          <w:p w14:paraId="29067412" w14:textId="77777777" w:rsidR="000C3E06" w:rsidRPr="005D6D89" w:rsidRDefault="000C3E06" w:rsidP="00D81FF6">
            <w:pPr>
              <w:pStyle w:val="BodyText"/>
              <w:spacing w:before="60" w:after="60" w:line="260" w:lineRule="atLeast"/>
              <w:rPr>
                <w:b/>
                <w:bCs/>
              </w:rPr>
            </w:pPr>
            <w:r w:rsidRPr="005D6D89">
              <w:rPr>
                <w:b/>
                <w:bCs/>
              </w:rPr>
              <w:t xml:space="preserve">Whakatipu rawa </w:t>
            </w:r>
          </w:p>
        </w:tc>
        <w:tc>
          <w:tcPr>
            <w:tcW w:w="6491" w:type="dxa"/>
          </w:tcPr>
          <w:p w14:paraId="779FADD4" w14:textId="77777777" w:rsidR="000C3E06" w:rsidRPr="005D6D89" w:rsidRDefault="000C3E06" w:rsidP="00D81FF6">
            <w:pPr>
              <w:pStyle w:val="BodyText"/>
              <w:spacing w:before="60" w:after="60" w:line="260" w:lineRule="atLeast"/>
            </w:pPr>
            <w:r w:rsidRPr="005D6D89">
              <w:t>Business, enterprise</w:t>
            </w:r>
          </w:p>
        </w:tc>
      </w:tr>
      <w:tr w:rsidR="000C3E06" w:rsidRPr="005D6D89" w14:paraId="7CEDBA7D" w14:textId="77777777" w:rsidTr="00D81FF6">
        <w:tc>
          <w:tcPr>
            <w:tcW w:w="2127" w:type="dxa"/>
          </w:tcPr>
          <w:p w14:paraId="7F7295BF" w14:textId="77777777" w:rsidR="000C3E06" w:rsidRPr="005D6D89" w:rsidRDefault="000C3E06" w:rsidP="00D81FF6">
            <w:pPr>
              <w:pStyle w:val="BodyText"/>
              <w:spacing w:before="60" w:after="60" w:line="260" w:lineRule="atLeast"/>
              <w:rPr>
                <w:b/>
                <w:bCs/>
                <w:u w:val="single"/>
              </w:rPr>
            </w:pPr>
            <w:r w:rsidRPr="005D6D89">
              <w:rPr>
                <w:b/>
                <w:bCs/>
              </w:rPr>
              <w:t xml:space="preserve">Whanaungatanga </w:t>
            </w:r>
          </w:p>
        </w:tc>
        <w:tc>
          <w:tcPr>
            <w:tcW w:w="6491" w:type="dxa"/>
          </w:tcPr>
          <w:p w14:paraId="69E7CE99" w14:textId="77777777" w:rsidR="000C3E06" w:rsidRPr="005D6D89" w:rsidRDefault="000C3E06" w:rsidP="00D81FF6">
            <w:pPr>
              <w:pStyle w:val="BodyText"/>
              <w:spacing w:before="60" w:after="60" w:line="260" w:lineRule="atLeast"/>
            </w:pPr>
            <w:r w:rsidRPr="005D6D89">
              <w:t xml:space="preserve">Connectedness and relationships </w:t>
            </w:r>
          </w:p>
        </w:tc>
      </w:tr>
      <w:tr w:rsidR="000C3E06" w:rsidRPr="005D6D89" w14:paraId="3980FD20" w14:textId="77777777" w:rsidTr="00D81FF6">
        <w:tc>
          <w:tcPr>
            <w:tcW w:w="2127" w:type="dxa"/>
          </w:tcPr>
          <w:p w14:paraId="471857BA" w14:textId="77777777" w:rsidR="000C3E06" w:rsidRPr="005D6D89" w:rsidRDefault="000C3E06" w:rsidP="00D81FF6">
            <w:pPr>
              <w:pStyle w:val="BodyText"/>
              <w:spacing w:before="60" w:after="60" w:line="260" w:lineRule="atLeast"/>
              <w:rPr>
                <w:b/>
                <w:bCs/>
              </w:rPr>
            </w:pPr>
            <w:r w:rsidRPr="005D6D89">
              <w:rPr>
                <w:b/>
                <w:bCs/>
              </w:rPr>
              <w:t>Whenua</w:t>
            </w:r>
          </w:p>
        </w:tc>
        <w:tc>
          <w:tcPr>
            <w:tcW w:w="6491" w:type="dxa"/>
          </w:tcPr>
          <w:p w14:paraId="0BEA6067" w14:textId="77777777" w:rsidR="000C3E06" w:rsidRPr="005D6D89" w:rsidRDefault="000C3E06" w:rsidP="00D81FF6">
            <w:pPr>
              <w:pStyle w:val="BodyText"/>
              <w:spacing w:before="60" w:after="60" w:line="260" w:lineRule="atLeast"/>
            </w:pPr>
            <w:r w:rsidRPr="005D6D89">
              <w:t>Land, territory, nation</w:t>
            </w:r>
          </w:p>
        </w:tc>
      </w:tr>
    </w:tbl>
    <w:p w14:paraId="247B86D3" w14:textId="77777777" w:rsidR="000C3E06" w:rsidRPr="005D6D89" w:rsidRDefault="000C3E06" w:rsidP="000C3E06">
      <w:pPr>
        <w:pStyle w:val="BodyText"/>
      </w:pPr>
    </w:p>
    <w:p w14:paraId="31F00A18" w14:textId="77777777" w:rsidR="000C3E06" w:rsidRDefault="000C3E06" w:rsidP="000C3E06">
      <w:pPr>
        <w:spacing w:before="0" w:after="200" w:line="276" w:lineRule="auto"/>
        <w:jc w:val="left"/>
      </w:pPr>
      <w:r>
        <w:br w:type="page"/>
      </w:r>
    </w:p>
    <w:p w14:paraId="0C282225" w14:textId="77777777" w:rsidR="00DA118D" w:rsidRDefault="00DA118D" w:rsidP="00A22CC6">
      <w:pPr>
        <w:pStyle w:val="Heading1"/>
        <w:sectPr w:rsidR="00DA118D" w:rsidSect="00FE3724">
          <w:footerReference w:type="default" r:id="rId57"/>
          <w:pgSz w:w="11907" w:h="16840" w:code="9"/>
          <w:pgMar w:top="1134" w:right="1418" w:bottom="1134" w:left="1418" w:header="567" w:footer="567" w:gutter="0"/>
          <w:cols w:space="720"/>
          <w:docGrid w:linePitch="299"/>
        </w:sectPr>
      </w:pPr>
    </w:p>
    <w:p w14:paraId="36B78C0A" w14:textId="25862983" w:rsidR="00461471" w:rsidRDefault="00461471" w:rsidP="00FC440F">
      <w:pPr>
        <w:pStyle w:val="Heading1"/>
        <w:spacing w:after="240"/>
      </w:pPr>
      <w:bookmarkStart w:id="380" w:name="_Appendix_B:_Assessment"/>
      <w:bookmarkStart w:id="381" w:name="_Appendix_C:_Assessment"/>
      <w:bookmarkStart w:id="382" w:name="_Toc45898326"/>
      <w:bookmarkEnd w:id="380"/>
      <w:bookmarkEnd w:id="381"/>
      <w:r w:rsidRPr="00461471">
        <w:lastRenderedPageBreak/>
        <w:t xml:space="preserve">Appendix </w:t>
      </w:r>
      <w:r w:rsidR="000C3E06">
        <w:t>C</w:t>
      </w:r>
      <w:r>
        <w:t xml:space="preserve">: </w:t>
      </w:r>
      <w:r w:rsidR="00A22CC6" w:rsidRPr="00A22CC6">
        <w:t>Assessment criteria</w:t>
      </w:r>
      <w:bookmarkEnd w:id="382"/>
    </w:p>
    <w:p w14:paraId="1C027950" w14:textId="299F8EDC" w:rsidR="0088644F" w:rsidRDefault="0088644F" w:rsidP="00977E44">
      <w:pPr>
        <w:pStyle w:val="Heading3"/>
      </w:pPr>
      <w:r w:rsidRPr="0024184F">
        <w:t>Magnitude of consequence criteria</w:t>
      </w:r>
    </w:p>
    <w:p w14:paraId="6938461E" w14:textId="06660D7D" w:rsidR="000B1D5D" w:rsidRPr="000B1D5D" w:rsidRDefault="000B1D5D" w:rsidP="00010D3B">
      <w:pPr>
        <w:pStyle w:val="Tableheading"/>
      </w:pPr>
      <w:bookmarkStart w:id="383" w:name="_Toc43899327"/>
      <w:r>
        <w:t xml:space="preserve">Table </w:t>
      </w:r>
      <w:fldSimple w:instr=" SEQ Table \* ARABIC ">
        <w:r w:rsidR="001B2025">
          <w:rPr>
            <w:noProof/>
          </w:rPr>
          <w:t>11</w:t>
        </w:r>
      </w:fldSimple>
      <w:r>
        <w:t>:</w:t>
      </w:r>
      <w:r>
        <w:tab/>
      </w:r>
      <w:r w:rsidRPr="000B1D5D">
        <w:t>Magnitude of consequence criteria</w:t>
      </w:r>
      <w:bookmarkEnd w:id="383"/>
    </w:p>
    <w:tbl>
      <w:tblPr>
        <w:tblStyle w:val="TableGrid"/>
        <w:tblW w:w="21541" w:type="dxa"/>
        <w:tblInd w:w="108"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572"/>
        <w:gridCol w:w="4414"/>
        <w:gridCol w:w="4138"/>
        <w:gridCol w:w="4139"/>
        <w:gridCol w:w="4139"/>
        <w:gridCol w:w="4139"/>
      </w:tblGrid>
      <w:tr w:rsidR="003910FD" w:rsidRPr="0024184F" w14:paraId="49A227BE" w14:textId="77777777" w:rsidTr="00A5220A">
        <w:trPr>
          <w:tblHeader/>
        </w:trPr>
        <w:tc>
          <w:tcPr>
            <w:tcW w:w="571" w:type="dxa"/>
            <w:shd w:val="clear" w:color="auto" w:fill="1C556C" w:themeFill="accent1"/>
          </w:tcPr>
          <w:p w14:paraId="4545960C" w14:textId="77777777" w:rsidR="003910FD" w:rsidRPr="0024184F" w:rsidRDefault="003910FD" w:rsidP="00A50B80">
            <w:pPr>
              <w:pStyle w:val="TableTextBold"/>
              <w:jc w:val="center"/>
            </w:pPr>
          </w:p>
        </w:tc>
        <w:tc>
          <w:tcPr>
            <w:tcW w:w="20970" w:type="dxa"/>
            <w:gridSpan w:val="5"/>
            <w:shd w:val="clear" w:color="auto" w:fill="1C556C" w:themeFill="accent1"/>
          </w:tcPr>
          <w:p w14:paraId="199A25A0" w14:textId="77777777" w:rsidR="003910FD" w:rsidRPr="0024184F" w:rsidRDefault="003910FD" w:rsidP="00C61326">
            <w:pPr>
              <w:pStyle w:val="TableTextBold"/>
            </w:pPr>
            <w:r w:rsidRPr="0024184F">
              <w:rPr>
                <w:rFonts w:cstheme="majorHAnsi"/>
                <w:color w:val="FFFFFF" w:themeColor="background1"/>
              </w:rPr>
              <w:t>Consequence level (national scale aggregated from the seven sub-national climate zones)</w:t>
            </w:r>
          </w:p>
        </w:tc>
      </w:tr>
      <w:tr w:rsidR="006446C1" w:rsidRPr="0024184F" w14:paraId="5EC0F3DC" w14:textId="77777777" w:rsidTr="007F740F">
        <w:trPr>
          <w:tblHeader/>
        </w:trPr>
        <w:tc>
          <w:tcPr>
            <w:tcW w:w="568" w:type="dxa"/>
            <w:shd w:val="clear" w:color="auto" w:fill="1C556C" w:themeFill="accent1"/>
          </w:tcPr>
          <w:p w14:paraId="6CDB7BD6" w14:textId="77777777" w:rsidR="003910FD" w:rsidRPr="0024184F" w:rsidRDefault="003910FD" w:rsidP="00A50B80">
            <w:pPr>
              <w:pStyle w:val="TableTextBold"/>
              <w:jc w:val="center"/>
            </w:pPr>
          </w:p>
        </w:tc>
        <w:tc>
          <w:tcPr>
            <w:tcW w:w="4414" w:type="dxa"/>
            <w:shd w:val="clear" w:color="auto" w:fill="B4E2D9"/>
          </w:tcPr>
          <w:p w14:paraId="3B2ABC73" w14:textId="77777777" w:rsidR="003910FD" w:rsidRPr="0083796C" w:rsidRDefault="003910FD" w:rsidP="00550F2A">
            <w:pPr>
              <w:pStyle w:val="TableText"/>
              <w:spacing w:after="40"/>
              <w:rPr>
                <w:rFonts w:cstheme="majorHAnsi"/>
                <w:b/>
                <w:bCs/>
              </w:rPr>
            </w:pPr>
            <w:r w:rsidRPr="0083796C">
              <w:rPr>
                <w:rFonts w:cstheme="majorHAnsi"/>
                <w:b/>
                <w:bCs/>
              </w:rPr>
              <w:t>Insignificant</w:t>
            </w:r>
          </w:p>
          <w:p w14:paraId="718C5D6B" w14:textId="197F63CD" w:rsidR="003910FD" w:rsidRPr="0024184F" w:rsidRDefault="00183EC4" w:rsidP="00B92F83">
            <w:pPr>
              <w:pStyle w:val="TableText"/>
              <w:spacing w:before="40"/>
            </w:pPr>
            <w:r w:rsidRPr="00183EC4">
              <w:rPr>
                <w:rFonts w:cstheme="majorHAnsi"/>
              </w:rPr>
              <w:t>No significant change in impact nationally – can be handled through business-as-usual; or some local or regional impacts requiring no specialised management</w:t>
            </w:r>
          </w:p>
        </w:tc>
        <w:tc>
          <w:tcPr>
            <w:tcW w:w="4139" w:type="dxa"/>
            <w:shd w:val="clear" w:color="auto" w:fill="2C9986"/>
          </w:tcPr>
          <w:p w14:paraId="30E8C350" w14:textId="77777777" w:rsidR="003910FD" w:rsidRPr="007F740F" w:rsidRDefault="003910FD" w:rsidP="0083796C">
            <w:pPr>
              <w:pStyle w:val="TableText"/>
              <w:spacing w:after="40"/>
              <w:rPr>
                <w:rFonts w:cstheme="majorHAnsi"/>
                <w:b/>
                <w:bCs/>
                <w:color w:val="FFFFFF" w:themeColor="background1"/>
              </w:rPr>
            </w:pPr>
            <w:r w:rsidRPr="007F740F">
              <w:rPr>
                <w:rFonts w:cstheme="majorHAnsi"/>
                <w:b/>
                <w:bCs/>
                <w:color w:val="FFFFFF" w:themeColor="background1"/>
              </w:rPr>
              <w:t>Minor</w:t>
            </w:r>
          </w:p>
          <w:p w14:paraId="6C99AE33" w14:textId="77777777" w:rsidR="003910FD" w:rsidRPr="0083796C" w:rsidRDefault="003910FD" w:rsidP="00B92F83">
            <w:pPr>
              <w:pStyle w:val="TableText"/>
              <w:spacing w:before="40"/>
            </w:pPr>
            <w:r w:rsidRPr="007F740F">
              <w:rPr>
                <w:rFonts w:cstheme="majorHAnsi"/>
                <w:color w:val="FFFFFF" w:themeColor="background1"/>
              </w:rPr>
              <w:t>Some minor impacts at the national scale that could be addressed through local or regional management and adaptation processes</w:t>
            </w:r>
          </w:p>
        </w:tc>
        <w:tc>
          <w:tcPr>
            <w:tcW w:w="4140" w:type="dxa"/>
            <w:shd w:val="clear" w:color="auto" w:fill="FFC715"/>
          </w:tcPr>
          <w:p w14:paraId="5EBCC812" w14:textId="77777777" w:rsidR="003910FD" w:rsidRPr="0083796C" w:rsidRDefault="003910FD" w:rsidP="0083796C">
            <w:pPr>
              <w:pStyle w:val="TableText"/>
              <w:spacing w:after="40"/>
              <w:rPr>
                <w:rFonts w:cstheme="majorHAnsi"/>
                <w:b/>
                <w:bCs/>
                <w:color w:val="000000" w:themeColor="text1"/>
              </w:rPr>
            </w:pPr>
            <w:r w:rsidRPr="0083796C">
              <w:rPr>
                <w:rFonts w:cstheme="majorHAnsi"/>
                <w:b/>
                <w:bCs/>
                <w:color w:val="000000" w:themeColor="text1"/>
              </w:rPr>
              <w:t>Moderate</w:t>
            </w:r>
          </w:p>
          <w:p w14:paraId="0B5449F6" w14:textId="77777777" w:rsidR="003910FD" w:rsidRPr="0024184F" w:rsidRDefault="003910FD" w:rsidP="00B92F83">
            <w:pPr>
              <w:pStyle w:val="TableText"/>
              <w:spacing w:before="40"/>
            </w:pPr>
            <w:r w:rsidRPr="0024184F">
              <w:rPr>
                <w:rFonts w:cstheme="majorHAnsi"/>
                <w:color w:val="000000" w:themeColor="text1"/>
              </w:rPr>
              <w:t>Significant impacts at the national scale</w:t>
            </w:r>
            <w:r>
              <w:rPr>
                <w:rFonts w:cstheme="majorHAnsi"/>
                <w:color w:val="000000" w:themeColor="text1"/>
              </w:rPr>
              <w:t>,</w:t>
            </w:r>
            <w:r w:rsidRPr="0024184F">
              <w:rPr>
                <w:rFonts w:cstheme="majorHAnsi"/>
                <w:color w:val="000000" w:themeColor="text1"/>
              </w:rPr>
              <w:t xml:space="preserve"> of interest to national agencies to address adaptation, or a major impact for 1–2 sub-national climate zones </w:t>
            </w:r>
          </w:p>
        </w:tc>
        <w:tc>
          <w:tcPr>
            <w:tcW w:w="4140" w:type="dxa"/>
            <w:shd w:val="clear" w:color="auto" w:fill="DA5A28"/>
          </w:tcPr>
          <w:p w14:paraId="3BA619AA" w14:textId="77777777" w:rsidR="003910FD" w:rsidRPr="005768E4" w:rsidRDefault="003910FD" w:rsidP="0083796C">
            <w:pPr>
              <w:pStyle w:val="TableText"/>
              <w:spacing w:after="40"/>
              <w:rPr>
                <w:rFonts w:cstheme="majorHAnsi"/>
                <w:b/>
                <w:bCs/>
                <w:color w:val="FFFFFF" w:themeColor="background1"/>
              </w:rPr>
            </w:pPr>
            <w:r w:rsidRPr="005768E4">
              <w:rPr>
                <w:rFonts w:cstheme="majorHAnsi"/>
                <w:b/>
                <w:bCs/>
                <w:color w:val="FFFFFF" w:themeColor="background1"/>
              </w:rPr>
              <w:t>Major</w:t>
            </w:r>
          </w:p>
          <w:p w14:paraId="6E336A8B" w14:textId="77777777" w:rsidR="003910FD" w:rsidRPr="0024184F" w:rsidRDefault="003910FD" w:rsidP="00B92F83">
            <w:pPr>
              <w:pStyle w:val="TableText"/>
              <w:spacing w:before="40"/>
            </w:pPr>
            <w:r w:rsidRPr="005768E4">
              <w:rPr>
                <w:rFonts w:cstheme="majorHAnsi"/>
                <w:color w:val="FFFFFF" w:themeColor="background1"/>
              </w:rPr>
              <w:t>Major impacts at the national scale, of high interest to national agencies to quickly address adaptation, or an extreme impact for 1 sub-national climate zone</w:t>
            </w:r>
          </w:p>
        </w:tc>
        <w:tc>
          <w:tcPr>
            <w:tcW w:w="4140" w:type="dxa"/>
            <w:shd w:val="clear" w:color="auto" w:fill="8B391D"/>
          </w:tcPr>
          <w:p w14:paraId="458B43E4" w14:textId="77777777" w:rsidR="003910FD" w:rsidRPr="0083796C" w:rsidRDefault="003910FD" w:rsidP="00550F2A">
            <w:pPr>
              <w:pStyle w:val="TableText"/>
              <w:spacing w:after="40"/>
              <w:rPr>
                <w:rFonts w:cstheme="majorHAnsi"/>
                <w:b/>
                <w:bCs/>
                <w:color w:val="FFFFFF" w:themeColor="background1"/>
              </w:rPr>
            </w:pPr>
            <w:r w:rsidRPr="0083796C">
              <w:rPr>
                <w:rFonts w:cstheme="majorHAnsi"/>
                <w:b/>
                <w:bCs/>
                <w:color w:val="FFFFFF" w:themeColor="background1"/>
              </w:rPr>
              <w:t>Extreme</w:t>
            </w:r>
          </w:p>
          <w:p w14:paraId="0AB8632A" w14:textId="77777777" w:rsidR="003910FD" w:rsidRPr="0024184F" w:rsidRDefault="003910FD" w:rsidP="00B92F83">
            <w:pPr>
              <w:pStyle w:val="TableText"/>
              <w:spacing w:before="40"/>
            </w:pPr>
            <w:r w:rsidRPr="0024184F">
              <w:rPr>
                <w:rFonts w:cstheme="majorHAnsi"/>
                <w:color w:val="FFFFFF" w:themeColor="background1"/>
              </w:rPr>
              <w:t>Extreme impacts at the national scale (or even in a few sub-national climate zones)</w:t>
            </w:r>
            <w:r>
              <w:rPr>
                <w:rFonts w:cstheme="majorHAnsi"/>
                <w:color w:val="FFFFFF" w:themeColor="background1"/>
              </w:rPr>
              <w:t>,</w:t>
            </w:r>
            <w:r w:rsidRPr="0024184F">
              <w:rPr>
                <w:rFonts w:cstheme="majorHAnsi"/>
                <w:color w:val="FFFFFF" w:themeColor="background1"/>
              </w:rPr>
              <w:t xml:space="preserve"> of heightened interest to national agencies to urgently address adaptation. May be of interest to international partners or financial or insurance institutions</w:t>
            </w:r>
          </w:p>
        </w:tc>
      </w:tr>
      <w:tr w:rsidR="003910FD" w:rsidRPr="0024184F" w14:paraId="033C4B4D" w14:textId="77777777" w:rsidTr="00A5220A">
        <w:trPr>
          <w:cantSplit/>
        </w:trPr>
        <w:tc>
          <w:tcPr>
            <w:tcW w:w="568" w:type="dxa"/>
            <w:shd w:val="clear" w:color="auto" w:fill="1C556C" w:themeFill="accent1"/>
            <w:textDirection w:val="btLr"/>
          </w:tcPr>
          <w:p w14:paraId="2B582234" w14:textId="77777777" w:rsidR="003910FD" w:rsidRPr="0024184F" w:rsidRDefault="003910FD" w:rsidP="00A50B80">
            <w:pPr>
              <w:pStyle w:val="TableTextBold"/>
              <w:jc w:val="center"/>
              <w:rPr>
                <w:color w:val="FFFFFF" w:themeColor="background1"/>
              </w:rPr>
            </w:pPr>
            <w:r w:rsidRPr="0024184F">
              <w:rPr>
                <w:color w:val="FFFFFF" w:themeColor="background1"/>
              </w:rPr>
              <w:t>Human</w:t>
            </w:r>
          </w:p>
        </w:tc>
        <w:tc>
          <w:tcPr>
            <w:tcW w:w="4414" w:type="dxa"/>
          </w:tcPr>
          <w:p w14:paraId="6F24F237" w14:textId="77777777" w:rsidR="003910FD" w:rsidRPr="0024184F" w:rsidRDefault="003910FD" w:rsidP="00926680">
            <w:pPr>
              <w:pStyle w:val="TableText"/>
              <w:spacing w:after="40"/>
              <w:rPr>
                <w:rFonts w:cs="Arial"/>
                <w:color w:val="000000" w:themeColor="text1"/>
              </w:rPr>
            </w:pPr>
            <w:r w:rsidRPr="0024184F">
              <w:rPr>
                <w:rFonts w:cs="Arial"/>
                <w:color w:val="000000" w:themeColor="text1"/>
              </w:rPr>
              <w:t>No discernible changes in physical health, physical safety and me</w:t>
            </w:r>
            <w:r>
              <w:rPr>
                <w:rFonts w:cs="Arial"/>
                <w:color w:val="000000" w:themeColor="text1"/>
              </w:rPr>
              <w:t>n</w:t>
            </w:r>
            <w:r w:rsidRPr="0024184F">
              <w:rPr>
                <w:rFonts w:cs="Arial"/>
                <w:color w:val="000000" w:themeColor="text1"/>
              </w:rPr>
              <w:t xml:space="preserve">tal health </w:t>
            </w:r>
          </w:p>
          <w:p w14:paraId="776D1333" w14:textId="77777777" w:rsidR="003910FD" w:rsidRPr="0024184F" w:rsidRDefault="003910FD" w:rsidP="00926680">
            <w:pPr>
              <w:pStyle w:val="TableText"/>
              <w:spacing w:after="40"/>
              <w:rPr>
                <w:rFonts w:cs="Arial"/>
                <w:color w:val="000000" w:themeColor="text1"/>
              </w:rPr>
            </w:pPr>
            <w:r w:rsidRPr="0024184F">
              <w:rPr>
                <w:rFonts w:cs="Arial"/>
                <w:color w:val="000000" w:themeColor="text1"/>
              </w:rPr>
              <w:t>No change to satisfaction of life in New Zealand</w:t>
            </w:r>
          </w:p>
          <w:p w14:paraId="2E868909" w14:textId="7AE69FD6" w:rsidR="003910FD" w:rsidRPr="0024184F" w:rsidRDefault="003910FD" w:rsidP="005C656B">
            <w:pPr>
              <w:pStyle w:val="TableText"/>
              <w:rPr>
                <w:rFonts w:cs="Arial"/>
                <w:color w:val="000000" w:themeColor="text1"/>
              </w:rPr>
            </w:pPr>
            <w:r w:rsidRPr="0024184F">
              <w:rPr>
                <w:rFonts w:cs="Arial"/>
                <w:color w:val="000000" w:themeColor="text1"/>
              </w:rPr>
              <w:t xml:space="preserve">Happiness and satisfaction of whānau </w:t>
            </w:r>
            <w:r w:rsidR="005C656B">
              <w:rPr>
                <w:rFonts w:cs="Arial"/>
                <w:color w:val="000000" w:themeColor="text1"/>
              </w:rPr>
              <w:t>are</w:t>
            </w:r>
            <w:r w:rsidR="005C656B" w:rsidRPr="0024184F">
              <w:rPr>
                <w:rFonts w:cs="Arial"/>
                <w:color w:val="000000" w:themeColor="text1"/>
              </w:rPr>
              <w:t xml:space="preserve"> </w:t>
            </w:r>
            <w:r w:rsidRPr="0024184F">
              <w:rPr>
                <w:rFonts w:cs="Arial"/>
                <w:color w:val="000000" w:themeColor="text1"/>
              </w:rPr>
              <w:t>minimally affected</w:t>
            </w:r>
          </w:p>
        </w:tc>
        <w:tc>
          <w:tcPr>
            <w:tcW w:w="4139" w:type="dxa"/>
          </w:tcPr>
          <w:p w14:paraId="7A43DB55"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Minor impact </w:t>
            </w:r>
            <w:r>
              <w:rPr>
                <w:rFonts w:cs="Arial"/>
                <w:color w:val="000000" w:themeColor="text1"/>
              </w:rPr>
              <w:t>on</w:t>
            </w:r>
            <w:r w:rsidRPr="0024184F">
              <w:rPr>
                <w:rFonts w:cs="Arial"/>
                <w:color w:val="000000" w:themeColor="text1"/>
              </w:rPr>
              <w:t xml:space="preserve"> physical health, physical safety or mental health </w:t>
            </w:r>
          </w:p>
          <w:p w14:paraId="18424D82" w14:textId="593EE3AF"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Happiness and satisfaction of whānau in some communities </w:t>
            </w:r>
            <w:r w:rsidR="005C656B">
              <w:rPr>
                <w:rFonts w:cs="Arial"/>
                <w:color w:val="000000" w:themeColor="text1"/>
              </w:rPr>
              <w:t>are</w:t>
            </w:r>
            <w:r w:rsidR="005C656B" w:rsidRPr="0024184F">
              <w:rPr>
                <w:rFonts w:cs="Arial"/>
                <w:color w:val="000000" w:themeColor="text1"/>
              </w:rPr>
              <w:t xml:space="preserve"> </w:t>
            </w:r>
            <w:r w:rsidRPr="0024184F">
              <w:rPr>
                <w:rFonts w:cs="Arial"/>
                <w:color w:val="000000" w:themeColor="text1"/>
              </w:rPr>
              <w:t xml:space="preserve">mildly affected </w:t>
            </w:r>
          </w:p>
          <w:p w14:paraId="42A430FE"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Isolated and short-term disruption to education, employment and community services</w:t>
            </w:r>
          </w:p>
          <w:p w14:paraId="676EE7A4" w14:textId="3E5FE96D"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Minor impact on patterns of daily activity and behaviour </w:t>
            </w:r>
          </w:p>
        </w:tc>
        <w:tc>
          <w:tcPr>
            <w:tcW w:w="4140" w:type="dxa"/>
          </w:tcPr>
          <w:p w14:paraId="24B97B43"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Moderate lasting impacts </w:t>
            </w:r>
            <w:r>
              <w:rPr>
                <w:rFonts w:cs="Arial"/>
                <w:color w:val="000000" w:themeColor="text1"/>
              </w:rPr>
              <w:t>on</w:t>
            </w:r>
            <w:r w:rsidRPr="0024184F">
              <w:rPr>
                <w:rFonts w:cs="Arial"/>
                <w:color w:val="000000" w:themeColor="text1"/>
              </w:rPr>
              <w:t xml:space="preserve"> physical health, physical safety or mental health</w:t>
            </w:r>
          </w:p>
          <w:p w14:paraId="7ABA7667" w14:textId="6A360812"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Happiness and satisfaction of hapū and iwi </w:t>
            </w:r>
            <w:r>
              <w:rPr>
                <w:rFonts w:cs="Arial"/>
                <w:color w:val="000000" w:themeColor="text1"/>
              </w:rPr>
              <w:t xml:space="preserve">in some communities </w:t>
            </w:r>
            <w:r w:rsidR="005C656B">
              <w:rPr>
                <w:rFonts w:cs="Arial"/>
                <w:color w:val="000000" w:themeColor="text1"/>
              </w:rPr>
              <w:t>are</w:t>
            </w:r>
            <w:r w:rsidR="005C656B" w:rsidRPr="0024184F">
              <w:rPr>
                <w:rFonts w:cs="Arial"/>
                <w:color w:val="000000" w:themeColor="text1"/>
              </w:rPr>
              <w:t xml:space="preserve"> </w:t>
            </w:r>
            <w:r w:rsidRPr="0024184F">
              <w:rPr>
                <w:rFonts w:cs="Arial"/>
                <w:color w:val="000000" w:themeColor="text1"/>
              </w:rPr>
              <w:t>moderately affected</w:t>
            </w:r>
          </w:p>
          <w:p w14:paraId="5E5D4F0B"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Moderate disruption to education, employment and community services</w:t>
            </w:r>
          </w:p>
          <w:p w14:paraId="3CAE3C20"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Moderate impacts on patterns of daily activity and behaviour</w:t>
            </w:r>
          </w:p>
          <w:p w14:paraId="03457D62" w14:textId="77777777" w:rsidR="003910FD" w:rsidRPr="0024184F" w:rsidRDefault="003910FD" w:rsidP="00F70A70">
            <w:pPr>
              <w:pStyle w:val="TableText"/>
              <w:rPr>
                <w:rFonts w:cs="Arial"/>
                <w:color w:val="000000" w:themeColor="text1"/>
              </w:rPr>
            </w:pPr>
            <w:r w:rsidRPr="0024184F">
              <w:rPr>
                <w:rFonts w:cs="Arial"/>
                <w:color w:val="000000" w:themeColor="text1"/>
              </w:rPr>
              <w:t xml:space="preserve">Coping capacity of </w:t>
            </w:r>
            <w:r>
              <w:rPr>
                <w:rFonts w:cs="Arial"/>
                <w:color w:val="000000" w:themeColor="text1"/>
              </w:rPr>
              <w:t>many</w:t>
            </w:r>
            <w:r w:rsidRPr="0024184F">
              <w:rPr>
                <w:rFonts w:cs="Arial"/>
                <w:color w:val="000000" w:themeColor="text1"/>
              </w:rPr>
              <w:t xml:space="preserve"> communities exceeded</w:t>
            </w:r>
          </w:p>
        </w:tc>
        <w:tc>
          <w:tcPr>
            <w:tcW w:w="4140" w:type="dxa"/>
          </w:tcPr>
          <w:p w14:paraId="1BE7BF58"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Physical health, physical safety and wellbeing significantly compromised in </w:t>
            </w:r>
            <w:r>
              <w:rPr>
                <w:rFonts w:cs="Arial"/>
                <w:color w:val="000000" w:themeColor="text1"/>
              </w:rPr>
              <w:t xml:space="preserve">many </w:t>
            </w:r>
            <w:r w:rsidRPr="0024184F">
              <w:rPr>
                <w:rFonts w:cs="Arial"/>
                <w:color w:val="000000" w:themeColor="text1"/>
              </w:rPr>
              <w:t>communities</w:t>
            </w:r>
          </w:p>
          <w:p w14:paraId="24A442ED" w14:textId="2D994442"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The happiness and satisfaction of hapū and iwi </w:t>
            </w:r>
            <w:r w:rsidR="005C656B">
              <w:rPr>
                <w:rFonts w:cs="Arial"/>
                <w:color w:val="000000" w:themeColor="text1"/>
              </w:rPr>
              <w:t>are</w:t>
            </w:r>
            <w:r w:rsidR="005C656B" w:rsidRPr="0024184F">
              <w:rPr>
                <w:rFonts w:cs="Arial"/>
                <w:color w:val="000000" w:themeColor="text1"/>
              </w:rPr>
              <w:t xml:space="preserve"> </w:t>
            </w:r>
            <w:r w:rsidRPr="0024184F">
              <w:rPr>
                <w:rFonts w:cs="Arial"/>
                <w:color w:val="000000" w:themeColor="text1"/>
              </w:rPr>
              <w:t>affected</w:t>
            </w:r>
            <w:r w:rsidR="005C656B">
              <w:rPr>
                <w:rFonts w:cs="Arial"/>
                <w:color w:val="000000" w:themeColor="text1"/>
              </w:rPr>
              <w:t xml:space="preserve"> in a major way</w:t>
            </w:r>
          </w:p>
          <w:p w14:paraId="4CA8522B"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Prolonged disruption to education, employment and community services</w:t>
            </w:r>
          </w:p>
          <w:p w14:paraId="70650DD1"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Major impacts on patterns of daily activity and behaviour </w:t>
            </w:r>
          </w:p>
          <w:p w14:paraId="6FCFEEBA" w14:textId="77777777" w:rsidR="003910FD" w:rsidRPr="0024184F" w:rsidRDefault="003910FD" w:rsidP="00F70A70">
            <w:pPr>
              <w:pStyle w:val="TableText"/>
              <w:rPr>
                <w:rFonts w:cs="Arial"/>
                <w:color w:val="000000" w:themeColor="text1"/>
              </w:rPr>
            </w:pPr>
            <w:r w:rsidRPr="0024184F">
              <w:rPr>
                <w:rFonts w:cs="Arial"/>
                <w:color w:val="000000" w:themeColor="text1"/>
              </w:rPr>
              <w:t>Coping range of most communities exceeded</w:t>
            </w:r>
          </w:p>
        </w:tc>
        <w:tc>
          <w:tcPr>
            <w:tcW w:w="4140" w:type="dxa"/>
          </w:tcPr>
          <w:p w14:paraId="170653AD"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Health, safety and wellbeing significantly compromised across whole of society</w:t>
            </w:r>
          </w:p>
          <w:p w14:paraId="68C4E24C" w14:textId="28F4C57E"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The happiness and satisfaction of hapū and iwi </w:t>
            </w:r>
            <w:r w:rsidR="002B3754">
              <w:rPr>
                <w:rFonts w:cs="Arial"/>
                <w:color w:val="000000" w:themeColor="text1"/>
              </w:rPr>
              <w:t>are</w:t>
            </w:r>
            <w:r w:rsidR="002B3754" w:rsidRPr="0024184F">
              <w:rPr>
                <w:rFonts w:cs="Arial"/>
                <w:color w:val="000000" w:themeColor="text1"/>
              </w:rPr>
              <w:t xml:space="preserve"> </w:t>
            </w:r>
            <w:r w:rsidRPr="0024184F">
              <w:rPr>
                <w:rFonts w:cs="Arial"/>
                <w:color w:val="000000" w:themeColor="text1"/>
              </w:rPr>
              <w:t>severely affected</w:t>
            </w:r>
          </w:p>
          <w:p w14:paraId="642A5E44"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Permanent disruption to education, employment and community services</w:t>
            </w:r>
          </w:p>
          <w:p w14:paraId="486F3CAE"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Patterns of daily activity and behaviour unable to continue</w:t>
            </w:r>
          </w:p>
          <w:p w14:paraId="6E77C137" w14:textId="77777777" w:rsidR="003910FD" w:rsidRPr="0024184F" w:rsidRDefault="003910FD" w:rsidP="00F70A70">
            <w:pPr>
              <w:pStyle w:val="TableText"/>
              <w:rPr>
                <w:rFonts w:cs="Arial"/>
                <w:color w:val="000000" w:themeColor="text1"/>
              </w:rPr>
            </w:pPr>
            <w:r w:rsidRPr="0024184F">
              <w:rPr>
                <w:rFonts w:cs="Arial"/>
                <w:color w:val="000000" w:themeColor="text1"/>
              </w:rPr>
              <w:t>Coping range of all communities exceeded</w:t>
            </w:r>
          </w:p>
        </w:tc>
      </w:tr>
      <w:tr w:rsidR="003910FD" w:rsidRPr="0024184F" w14:paraId="1F570280" w14:textId="77777777" w:rsidTr="00A5220A">
        <w:trPr>
          <w:cantSplit/>
        </w:trPr>
        <w:tc>
          <w:tcPr>
            <w:tcW w:w="568" w:type="dxa"/>
            <w:shd w:val="clear" w:color="auto" w:fill="1C556C" w:themeFill="accent1"/>
            <w:textDirection w:val="btLr"/>
          </w:tcPr>
          <w:p w14:paraId="3B21873D" w14:textId="77777777" w:rsidR="003910FD" w:rsidRPr="0024184F" w:rsidRDefault="003910FD" w:rsidP="00A50B80">
            <w:pPr>
              <w:pStyle w:val="TableTextBold"/>
              <w:jc w:val="center"/>
              <w:rPr>
                <w:color w:val="FFFFFF" w:themeColor="background1"/>
              </w:rPr>
            </w:pPr>
            <w:r w:rsidRPr="0024184F">
              <w:rPr>
                <w:color w:val="FFFFFF" w:themeColor="background1"/>
              </w:rPr>
              <w:t xml:space="preserve">Natural </w:t>
            </w:r>
            <w:r>
              <w:rPr>
                <w:color w:val="FFFFFF" w:themeColor="background1"/>
              </w:rPr>
              <w:t>e</w:t>
            </w:r>
            <w:r w:rsidRPr="0024184F">
              <w:rPr>
                <w:color w:val="FFFFFF" w:themeColor="background1"/>
              </w:rPr>
              <w:t>nvironment</w:t>
            </w:r>
          </w:p>
        </w:tc>
        <w:tc>
          <w:tcPr>
            <w:tcW w:w="4414" w:type="dxa"/>
          </w:tcPr>
          <w:p w14:paraId="104E06D5" w14:textId="77777777" w:rsidR="003910FD" w:rsidRPr="0024184F" w:rsidRDefault="003910FD" w:rsidP="00926680">
            <w:pPr>
              <w:pStyle w:val="TableText"/>
              <w:spacing w:after="40"/>
              <w:rPr>
                <w:rFonts w:cs="Arial"/>
                <w:color w:val="000000" w:themeColor="text1"/>
              </w:rPr>
            </w:pPr>
            <w:r w:rsidRPr="0024184F">
              <w:rPr>
                <w:rFonts w:cs="Arial"/>
                <w:color w:val="000000" w:themeColor="text1"/>
              </w:rPr>
              <w:t>Very short-term impacts, or having a signal that is indistinguishable from natural background variation</w:t>
            </w:r>
          </w:p>
          <w:p w14:paraId="1C68D16E" w14:textId="77777777" w:rsidR="003910FD" w:rsidRPr="0024184F" w:rsidRDefault="003910FD" w:rsidP="00F70A70">
            <w:pPr>
              <w:pStyle w:val="TableText"/>
              <w:rPr>
                <w:rFonts w:cs="Arial"/>
                <w:color w:val="000000" w:themeColor="text1"/>
              </w:rPr>
            </w:pPr>
            <w:r w:rsidRPr="0024184F">
              <w:rPr>
                <w:rFonts w:cs="Arial"/>
                <w:color w:val="000000" w:themeColor="text1"/>
              </w:rPr>
              <w:t xml:space="preserve">Negligible impact or very short-term, event-driven reversible alteration of biologically important attributes </w:t>
            </w:r>
          </w:p>
        </w:tc>
        <w:tc>
          <w:tcPr>
            <w:tcW w:w="4139" w:type="dxa"/>
          </w:tcPr>
          <w:p w14:paraId="7C371757"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Temporary localised or minor regional effects on ecosystems and/or species </w:t>
            </w:r>
          </w:p>
          <w:p w14:paraId="68874F27"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Temporary localised or minor regional alteration of biologically important attributes </w:t>
            </w:r>
          </w:p>
          <w:p w14:paraId="29F47066"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Short-term loss/minor decline in the ecological integrity/stability of a small minority of protected natural areas </w:t>
            </w:r>
          </w:p>
          <w:p w14:paraId="159734D4" w14:textId="28EB40BE" w:rsidR="003910FD" w:rsidRPr="0024184F" w:rsidRDefault="003910FD" w:rsidP="00A50B80">
            <w:pPr>
              <w:pStyle w:val="TableText"/>
              <w:rPr>
                <w:rFonts w:cs="Arial"/>
                <w:color w:val="000000" w:themeColor="text1"/>
              </w:rPr>
            </w:pPr>
            <w:r w:rsidRPr="0024184F">
              <w:rPr>
                <w:rFonts w:cs="Arial"/>
                <w:color w:val="000000" w:themeColor="text1"/>
              </w:rPr>
              <w:t>Short-term loss/minor decline in the conservation status of taonga species or sub-species</w:t>
            </w:r>
          </w:p>
        </w:tc>
        <w:tc>
          <w:tcPr>
            <w:tcW w:w="4140" w:type="dxa"/>
          </w:tcPr>
          <w:p w14:paraId="64D26375"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Sustained localised or shorter-term regional effects on ecosystems and/or species </w:t>
            </w:r>
          </w:p>
          <w:p w14:paraId="763E736A"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Sustained localised or shorter-term regional alteration of biologically important attributes </w:t>
            </w:r>
          </w:p>
          <w:p w14:paraId="54DEA9A2" w14:textId="7ACB5243" w:rsidR="003910FD" w:rsidRPr="0024184F" w:rsidRDefault="003910FD" w:rsidP="00F9502C">
            <w:pPr>
              <w:pStyle w:val="TableText"/>
              <w:spacing w:after="40"/>
              <w:rPr>
                <w:rFonts w:cs="Arial"/>
                <w:color w:val="000000" w:themeColor="text1"/>
              </w:rPr>
            </w:pPr>
            <w:r w:rsidRPr="0024184F">
              <w:rPr>
                <w:rFonts w:cs="Arial"/>
                <w:color w:val="000000" w:themeColor="text1"/>
              </w:rPr>
              <w:t>Sustained localised or shorter-term regional change in the ecological integrity/stability of high</w:t>
            </w:r>
            <w:r>
              <w:rPr>
                <w:rFonts w:cs="Arial"/>
                <w:color w:val="000000" w:themeColor="text1"/>
              </w:rPr>
              <w:t>-</w:t>
            </w:r>
            <w:r w:rsidRPr="0024184F">
              <w:rPr>
                <w:rFonts w:cs="Arial"/>
                <w:color w:val="000000" w:themeColor="text1"/>
              </w:rPr>
              <w:t xml:space="preserve">value protected natural areas (including </w:t>
            </w:r>
            <w:r w:rsidR="005C656B">
              <w:rPr>
                <w:rFonts w:cs="Arial"/>
                <w:color w:val="000000" w:themeColor="text1"/>
              </w:rPr>
              <w:t>marine protected areas</w:t>
            </w:r>
            <w:r w:rsidRPr="0024184F">
              <w:rPr>
                <w:rFonts w:cs="Arial"/>
                <w:color w:val="000000" w:themeColor="text1"/>
              </w:rPr>
              <w:t xml:space="preserve">) </w:t>
            </w:r>
          </w:p>
          <w:p w14:paraId="7D1E9D11"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Sustained localised or shorter-term regional decline in the conservation status of taonga species</w:t>
            </w:r>
          </w:p>
          <w:p w14:paraId="1A7C80A0" w14:textId="77777777" w:rsidR="003910FD" w:rsidRPr="0024184F" w:rsidRDefault="003910FD" w:rsidP="00F70A70">
            <w:pPr>
              <w:pStyle w:val="TableText"/>
              <w:rPr>
                <w:rFonts w:cs="Arial"/>
                <w:color w:val="000000" w:themeColor="text1"/>
              </w:rPr>
            </w:pPr>
            <w:r w:rsidRPr="0024184F">
              <w:rPr>
                <w:rFonts w:cs="Arial"/>
                <w:color w:val="000000" w:themeColor="text1"/>
              </w:rPr>
              <w:t>Sustained localised impacts on recreation and/or aesthetics</w:t>
            </w:r>
          </w:p>
        </w:tc>
        <w:tc>
          <w:tcPr>
            <w:tcW w:w="4140" w:type="dxa"/>
          </w:tcPr>
          <w:p w14:paraId="355F3FE2"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Widespread alteration of ecosystems and/or species at regional to national scales leading to significant ecosystem instability and/or species declines</w:t>
            </w:r>
          </w:p>
          <w:p w14:paraId="22229F10"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Widespread alteration of biologically important attributes across multiple sub-national climate zones</w:t>
            </w:r>
          </w:p>
          <w:p w14:paraId="253CFA1D" w14:textId="4849694F"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Regional/medium term reduction in the ecological integrity/stability of most protected natural areas (including </w:t>
            </w:r>
            <w:r w:rsidR="005C656B">
              <w:rPr>
                <w:rFonts w:cs="Arial"/>
                <w:color w:val="000000" w:themeColor="text1"/>
              </w:rPr>
              <w:t>marine protected areas</w:t>
            </w:r>
            <w:r w:rsidRPr="0024184F">
              <w:rPr>
                <w:rFonts w:cs="Arial"/>
                <w:color w:val="000000" w:themeColor="text1"/>
              </w:rPr>
              <w:t>)</w:t>
            </w:r>
          </w:p>
          <w:p w14:paraId="2F53E116"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Serious national declines in the conservation status of taonga species, with some at risk of complete loss</w:t>
            </w:r>
          </w:p>
          <w:p w14:paraId="3FEEC576" w14:textId="77777777" w:rsidR="003910FD" w:rsidRPr="0024184F" w:rsidRDefault="003910FD" w:rsidP="00F70A70">
            <w:pPr>
              <w:pStyle w:val="TableText"/>
              <w:rPr>
                <w:rFonts w:cs="Arial"/>
                <w:color w:val="000000" w:themeColor="text1"/>
              </w:rPr>
            </w:pPr>
            <w:r w:rsidRPr="0024184F">
              <w:rPr>
                <w:rFonts w:cs="Arial"/>
                <w:color w:val="000000" w:themeColor="text1"/>
              </w:rPr>
              <w:t>Sustained regional impacts on recreation and/or aesthetics</w:t>
            </w:r>
          </w:p>
        </w:tc>
        <w:tc>
          <w:tcPr>
            <w:tcW w:w="4140" w:type="dxa"/>
          </w:tcPr>
          <w:p w14:paraId="461A09BF"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Significant alteration of ecosystems and/or species resulting in major ecosystem instability and serious loss of species</w:t>
            </w:r>
          </w:p>
          <w:p w14:paraId="6FF4C1F8"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Significant alteration of biologically important attributes throughout New Zealand</w:t>
            </w:r>
          </w:p>
          <w:p w14:paraId="1BC24247"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Major and widespread instability in natural ecosystems, resulting in significant loss of community composition, structure and function</w:t>
            </w:r>
          </w:p>
          <w:p w14:paraId="067568F3" w14:textId="17BC48C5" w:rsidR="003910FD" w:rsidRPr="0024184F" w:rsidRDefault="003910FD" w:rsidP="00F9502C">
            <w:pPr>
              <w:pStyle w:val="TableText"/>
              <w:spacing w:after="40"/>
              <w:rPr>
                <w:rFonts w:cs="Arial"/>
                <w:color w:val="000000" w:themeColor="text1"/>
              </w:rPr>
            </w:pPr>
            <w:r w:rsidRPr="0024184F">
              <w:rPr>
                <w:rFonts w:cs="Arial"/>
                <w:color w:val="000000" w:themeColor="text1"/>
              </w:rPr>
              <w:t>Serious declines in the conservation status of taonga species</w:t>
            </w:r>
            <w:r w:rsidR="002B3754">
              <w:rPr>
                <w:rFonts w:cs="Arial"/>
                <w:color w:val="000000" w:themeColor="text1"/>
              </w:rPr>
              <w:t>,</w:t>
            </w:r>
            <w:r w:rsidRPr="0024184F">
              <w:rPr>
                <w:rFonts w:cs="Arial"/>
                <w:color w:val="000000" w:themeColor="text1"/>
              </w:rPr>
              <w:t xml:space="preserve"> with a significant proportion suffering complete loss</w:t>
            </w:r>
          </w:p>
          <w:p w14:paraId="6147ECDF" w14:textId="77777777" w:rsidR="003910FD" w:rsidRPr="0024184F" w:rsidRDefault="003910FD" w:rsidP="00F70A70">
            <w:pPr>
              <w:pStyle w:val="TableText"/>
              <w:rPr>
                <w:rFonts w:cs="Arial"/>
                <w:color w:val="000000" w:themeColor="text1"/>
              </w:rPr>
            </w:pPr>
            <w:r w:rsidRPr="0024184F">
              <w:rPr>
                <w:rFonts w:cs="Arial"/>
                <w:color w:val="000000" w:themeColor="text1"/>
              </w:rPr>
              <w:t>Sustained and serious national impacts on recreation and/or aesthetics</w:t>
            </w:r>
          </w:p>
        </w:tc>
      </w:tr>
      <w:tr w:rsidR="003910FD" w:rsidRPr="0024184F" w14:paraId="1DCBB3F5" w14:textId="77777777" w:rsidTr="00A5220A">
        <w:trPr>
          <w:cantSplit/>
        </w:trPr>
        <w:tc>
          <w:tcPr>
            <w:tcW w:w="568" w:type="dxa"/>
            <w:shd w:val="clear" w:color="auto" w:fill="1C556C" w:themeFill="accent1"/>
            <w:textDirection w:val="btLr"/>
          </w:tcPr>
          <w:p w14:paraId="6807BA05" w14:textId="77777777" w:rsidR="003910FD" w:rsidRPr="0024184F" w:rsidRDefault="003910FD" w:rsidP="00A50B80">
            <w:pPr>
              <w:pStyle w:val="TableTextBold"/>
              <w:jc w:val="center"/>
              <w:rPr>
                <w:color w:val="FFFFFF" w:themeColor="background1"/>
              </w:rPr>
            </w:pPr>
            <w:r w:rsidRPr="0024184F">
              <w:rPr>
                <w:color w:val="FFFFFF" w:themeColor="background1"/>
              </w:rPr>
              <w:t>Economy</w:t>
            </w:r>
          </w:p>
        </w:tc>
        <w:tc>
          <w:tcPr>
            <w:tcW w:w="4414" w:type="dxa"/>
          </w:tcPr>
          <w:p w14:paraId="0B7843A3" w14:textId="77777777" w:rsidR="003910FD" w:rsidRPr="0024184F" w:rsidRDefault="003910FD" w:rsidP="00926680">
            <w:pPr>
              <w:pStyle w:val="TableText"/>
              <w:spacing w:after="40"/>
              <w:rPr>
                <w:rFonts w:cs="Arial"/>
              </w:rPr>
            </w:pPr>
            <w:r w:rsidRPr="0024184F">
              <w:rPr>
                <w:rFonts w:cs="Arial"/>
              </w:rPr>
              <w:t>Limited financial losses</w:t>
            </w:r>
          </w:p>
          <w:p w14:paraId="290DC0EF" w14:textId="4DF21D03" w:rsidR="003910FD" w:rsidRPr="0024184F" w:rsidRDefault="003910FD" w:rsidP="00A50B80">
            <w:pPr>
              <w:pStyle w:val="TableText"/>
            </w:pPr>
            <w:r w:rsidRPr="0024184F">
              <w:rPr>
                <w:rFonts w:cs="Arial"/>
              </w:rPr>
              <w:t xml:space="preserve">No impact </w:t>
            </w:r>
            <w:r>
              <w:rPr>
                <w:rFonts w:cs="Arial"/>
              </w:rPr>
              <w:t>on</w:t>
            </w:r>
            <w:r w:rsidRPr="0024184F">
              <w:rPr>
                <w:rFonts w:cs="Arial"/>
              </w:rPr>
              <w:t xml:space="preserve"> businesses, livelihoods </w:t>
            </w:r>
            <w:r>
              <w:rPr>
                <w:rFonts w:cs="Arial"/>
              </w:rPr>
              <w:t>or</w:t>
            </w:r>
            <w:r w:rsidRPr="0024184F">
              <w:rPr>
                <w:rFonts w:cs="Arial"/>
              </w:rPr>
              <w:t xml:space="preserve"> consumer behaviour</w:t>
            </w:r>
          </w:p>
        </w:tc>
        <w:tc>
          <w:tcPr>
            <w:tcW w:w="4139" w:type="dxa"/>
          </w:tcPr>
          <w:p w14:paraId="0FAF61AD"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Financial losses equivalent to 1</w:t>
            </w:r>
            <w:r>
              <w:rPr>
                <w:rFonts w:cs="Arial"/>
                <w:color w:val="000000" w:themeColor="text1"/>
              </w:rPr>
              <w:t>%</w:t>
            </w:r>
            <w:r w:rsidRPr="0024184F">
              <w:rPr>
                <w:rFonts w:cs="Arial"/>
                <w:color w:val="000000" w:themeColor="text1"/>
              </w:rPr>
              <w:t xml:space="preserve"> of gross regional product (GRP)</w:t>
            </w:r>
          </w:p>
          <w:p w14:paraId="5642DCF3"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Limited impacts </w:t>
            </w:r>
            <w:r>
              <w:rPr>
                <w:rFonts w:cs="Arial"/>
                <w:color w:val="000000" w:themeColor="text1"/>
              </w:rPr>
              <w:t>on</w:t>
            </w:r>
            <w:r w:rsidRPr="0024184F">
              <w:rPr>
                <w:rFonts w:cs="Arial"/>
              </w:rPr>
              <w:t xml:space="preserve"> businesses, livelihoods and consumer behaviour</w:t>
            </w:r>
            <w:r w:rsidRPr="0024184F">
              <w:rPr>
                <w:rFonts w:cs="Arial"/>
                <w:color w:val="000000" w:themeColor="text1"/>
              </w:rPr>
              <w:t xml:space="preserve"> </w:t>
            </w:r>
          </w:p>
          <w:p w14:paraId="5E232B78"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Temporary increase in unemployment within one sector</w:t>
            </w:r>
          </w:p>
          <w:p w14:paraId="06478898" w14:textId="77777777" w:rsidR="003910FD" w:rsidRPr="0024184F" w:rsidRDefault="003910FD" w:rsidP="00F70A70">
            <w:pPr>
              <w:pStyle w:val="TableText"/>
              <w:rPr>
                <w:rFonts w:cs="Arial"/>
                <w:color w:val="000000" w:themeColor="text1"/>
              </w:rPr>
            </w:pPr>
            <w:r w:rsidRPr="0024184F">
              <w:rPr>
                <w:rFonts w:cs="Arial"/>
                <w:color w:val="000000" w:themeColor="text1"/>
              </w:rPr>
              <w:t>Short</w:t>
            </w:r>
            <w:r>
              <w:rPr>
                <w:rFonts w:cs="Arial"/>
                <w:color w:val="000000" w:themeColor="text1"/>
              </w:rPr>
              <w:t>-</w:t>
            </w:r>
            <w:r w:rsidRPr="0024184F">
              <w:rPr>
                <w:rFonts w:cs="Arial"/>
                <w:color w:val="000000" w:themeColor="text1"/>
              </w:rPr>
              <w:t>term/minor increase in local and central government costs, minimal loss of assets</w:t>
            </w:r>
          </w:p>
        </w:tc>
        <w:tc>
          <w:tcPr>
            <w:tcW w:w="4140" w:type="dxa"/>
          </w:tcPr>
          <w:p w14:paraId="014FD536" w14:textId="77777777" w:rsidR="003910FD" w:rsidRPr="0024184F" w:rsidRDefault="003910FD" w:rsidP="00F9502C">
            <w:pPr>
              <w:pStyle w:val="TableText"/>
              <w:spacing w:after="40"/>
              <w:rPr>
                <w:rFonts w:cs="Arial"/>
                <w:color w:val="000000" w:themeColor="text1"/>
              </w:rPr>
            </w:pPr>
            <w:r>
              <w:rPr>
                <w:rFonts w:cs="Arial"/>
                <w:color w:val="000000" w:themeColor="text1"/>
              </w:rPr>
              <w:t xml:space="preserve">Financial losses equivalent </w:t>
            </w:r>
            <w:r w:rsidRPr="0024184F">
              <w:rPr>
                <w:rFonts w:cs="Arial"/>
                <w:color w:val="000000" w:themeColor="text1"/>
              </w:rPr>
              <w:t>to 2–4</w:t>
            </w:r>
            <w:r>
              <w:rPr>
                <w:rFonts w:cs="Arial"/>
                <w:color w:val="000000" w:themeColor="text1"/>
              </w:rPr>
              <w:t>%</w:t>
            </w:r>
            <w:r w:rsidRPr="0024184F">
              <w:rPr>
                <w:rFonts w:cs="Arial"/>
                <w:color w:val="000000" w:themeColor="text1"/>
              </w:rPr>
              <w:t xml:space="preserve"> of GRP</w:t>
            </w:r>
          </w:p>
          <w:p w14:paraId="6EB32F9D" w14:textId="3601591C"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Ongoing losses equivalent to </w:t>
            </w:r>
            <w:r w:rsidR="009D6FA2">
              <w:rPr>
                <w:rFonts w:cs="Arial"/>
                <w:color w:val="000000" w:themeColor="text1"/>
              </w:rPr>
              <w:t>0</w:t>
            </w:r>
            <w:r w:rsidRPr="0024184F">
              <w:rPr>
                <w:rFonts w:cs="Arial"/>
                <w:color w:val="000000" w:themeColor="text1"/>
              </w:rPr>
              <w:t>.5</w:t>
            </w:r>
            <w:r>
              <w:rPr>
                <w:rFonts w:cs="Arial"/>
                <w:color w:val="000000" w:themeColor="text1"/>
              </w:rPr>
              <w:t>%</w:t>
            </w:r>
            <w:r w:rsidRPr="0024184F">
              <w:rPr>
                <w:rFonts w:cs="Arial"/>
                <w:color w:val="000000" w:themeColor="text1"/>
              </w:rPr>
              <w:t xml:space="preserve"> of GRP</w:t>
            </w:r>
          </w:p>
          <w:p w14:paraId="6B368050" w14:textId="77777777" w:rsidR="003910FD" w:rsidRPr="0024184F" w:rsidRDefault="003910FD" w:rsidP="00F9502C">
            <w:pPr>
              <w:pStyle w:val="TableText"/>
              <w:spacing w:after="40"/>
              <w:rPr>
                <w:rFonts w:cs="Arial"/>
              </w:rPr>
            </w:pPr>
            <w:r w:rsidRPr="0024184F">
              <w:rPr>
                <w:rFonts w:cs="Arial"/>
                <w:color w:val="000000" w:themeColor="text1"/>
              </w:rPr>
              <w:t xml:space="preserve">Temporary impacts </w:t>
            </w:r>
            <w:r>
              <w:rPr>
                <w:rFonts w:cs="Arial"/>
              </w:rPr>
              <w:t>on</w:t>
            </w:r>
            <w:r w:rsidRPr="0024184F">
              <w:rPr>
                <w:rFonts w:cs="Arial"/>
              </w:rPr>
              <w:t xml:space="preserve"> businesses, livelihoods and consumer behaviour</w:t>
            </w:r>
          </w:p>
          <w:p w14:paraId="24E56032" w14:textId="77777777" w:rsidR="003910FD" w:rsidRPr="0024184F" w:rsidRDefault="003910FD" w:rsidP="00F9502C">
            <w:pPr>
              <w:pStyle w:val="TableText"/>
              <w:spacing w:after="40"/>
              <w:rPr>
                <w:rFonts w:cs="Arial"/>
              </w:rPr>
            </w:pPr>
            <w:r w:rsidRPr="0024184F">
              <w:rPr>
                <w:rFonts w:cs="Arial"/>
              </w:rPr>
              <w:t xml:space="preserve">Temporary increase in unemployment in </w:t>
            </w:r>
            <w:r>
              <w:rPr>
                <w:rFonts w:cs="Arial"/>
              </w:rPr>
              <w:t>many</w:t>
            </w:r>
            <w:r w:rsidRPr="0024184F">
              <w:rPr>
                <w:rFonts w:cs="Arial"/>
              </w:rPr>
              <w:t xml:space="preserve"> sectors</w:t>
            </w:r>
          </w:p>
          <w:p w14:paraId="0EA81DA2" w14:textId="77777777" w:rsidR="003910FD" w:rsidRPr="0024184F" w:rsidRDefault="003910FD" w:rsidP="00F70A70">
            <w:pPr>
              <w:pStyle w:val="TableText"/>
              <w:rPr>
                <w:rFonts w:cs="Arial"/>
                <w:color w:val="000000" w:themeColor="text1"/>
              </w:rPr>
            </w:pPr>
            <w:r w:rsidRPr="0024184F">
              <w:rPr>
                <w:rFonts w:cs="Arial"/>
                <w:color w:val="000000" w:themeColor="text1"/>
              </w:rPr>
              <w:t>Medium-term increase in local and central government costs</w:t>
            </w:r>
          </w:p>
        </w:tc>
        <w:tc>
          <w:tcPr>
            <w:tcW w:w="4140" w:type="dxa"/>
          </w:tcPr>
          <w:p w14:paraId="62857D8E" w14:textId="5BB1A7A8" w:rsidR="003910FD" w:rsidRPr="0024184F" w:rsidRDefault="003910FD" w:rsidP="00F9502C">
            <w:pPr>
              <w:pStyle w:val="TableText"/>
              <w:spacing w:after="40"/>
              <w:rPr>
                <w:rFonts w:cs="Arial"/>
                <w:color w:val="000000" w:themeColor="text1"/>
              </w:rPr>
            </w:pPr>
            <w:r w:rsidRPr="0024184F">
              <w:rPr>
                <w:rFonts w:cs="Arial"/>
                <w:color w:val="000000" w:themeColor="text1"/>
              </w:rPr>
              <w:t>Financial losses equivalent to &gt;5</w:t>
            </w:r>
            <w:r>
              <w:rPr>
                <w:rFonts w:cs="Arial"/>
                <w:color w:val="000000" w:themeColor="text1"/>
              </w:rPr>
              <w:t>%</w:t>
            </w:r>
            <w:r w:rsidRPr="0024184F">
              <w:rPr>
                <w:rFonts w:cs="Arial"/>
                <w:color w:val="000000" w:themeColor="text1"/>
              </w:rPr>
              <w:t xml:space="preserve"> of GRP or </w:t>
            </w:r>
            <w:r w:rsidR="00F9502C">
              <w:rPr>
                <w:rFonts w:cs="Arial"/>
                <w:color w:val="000000" w:themeColor="text1"/>
              </w:rPr>
              <w:br/>
            </w:r>
            <w:r w:rsidRPr="0024184F">
              <w:rPr>
                <w:rFonts w:cs="Arial"/>
                <w:color w:val="000000" w:themeColor="text1"/>
              </w:rPr>
              <w:t>1</w:t>
            </w:r>
            <w:r w:rsidR="00F9502C">
              <w:rPr>
                <w:rFonts w:cs="Arial"/>
                <w:color w:val="000000" w:themeColor="text1"/>
              </w:rPr>
              <w:t>–</w:t>
            </w:r>
            <w:r w:rsidRPr="0024184F">
              <w:rPr>
                <w:rFonts w:cs="Arial"/>
                <w:color w:val="000000" w:themeColor="text1"/>
              </w:rPr>
              <w:t>2</w:t>
            </w:r>
            <w:r w:rsidR="002B3754">
              <w:rPr>
                <w:rFonts w:cs="Arial"/>
                <w:color w:val="000000" w:themeColor="text1"/>
              </w:rPr>
              <w:t>%</w:t>
            </w:r>
            <w:r w:rsidRPr="0024184F">
              <w:rPr>
                <w:rFonts w:cs="Arial"/>
                <w:color w:val="000000" w:themeColor="text1"/>
              </w:rPr>
              <w:t xml:space="preserve"> of gross domestic product (GDP)</w:t>
            </w:r>
          </w:p>
          <w:p w14:paraId="362EA925"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Ongoing losses equivalent to 1</w:t>
            </w:r>
            <w:r>
              <w:rPr>
                <w:rFonts w:cs="Arial"/>
                <w:color w:val="000000" w:themeColor="text1"/>
              </w:rPr>
              <w:t xml:space="preserve">% </w:t>
            </w:r>
            <w:r w:rsidRPr="0024184F">
              <w:rPr>
                <w:rFonts w:cs="Arial"/>
                <w:color w:val="000000" w:themeColor="text1"/>
              </w:rPr>
              <w:t>of GRP</w:t>
            </w:r>
          </w:p>
          <w:p w14:paraId="371BD43F" w14:textId="77777777" w:rsidR="003910FD" w:rsidRPr="0024184F" w:rsidRDefault="003910FD" w:rsidP="00F9502C">
            <w:pPr>
              <w:pStyle w:val="TableText"/>
              <w:spacing w:after="40"/>
              <w:rPr>
                <w:rFonts w:cs="Arial"/>
              </w:rPr>
            </w:pPr>
            <w:r w:rsidRPr="0024184F">
              <w:rPr>
                <w:rFonts w:cs="Arial"/>
                <w:color w:val="000000" w:themeColor="text1"/>
              </w:rPr>
              <w:t xml:space="preserve">Sustained impacts </w:t>
            </w:r>
            <w:r>
              <w:rPr>
                <w:rFonts w:cs="Arial"/>
              </w:rPr>
              <w:t>on</w:t>
            </w:r>
            <w:r w:rsidRPr="0024184F">
              <w:rPr>
                <w:rFonts w:cs="Arial"/>
              </w:rPr>
              <w:t xml:space="preserve"> businesses, livelihoods and consumer behaviour</w:t>
            </w:r>
          </w:p>
          <w:p w14:paraId="41AA4CA1"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 xml:space="preserve">Sustained increase in unemployment in </w:t>
            </w:r>
            <w:r>
              <w:rPr>
                <w:rFonts w:cs="Arial"/>
                <w:color w:val="000000" w:themeColor="text1"/>
              </w:rPr>
              <w:t>many</w:t>
            </w:r>
            <w:r w:rsidRPr="0024184F">
              <w:rPr>
                <w:rFonts w:cs="Arial"/>
                <w:color w:val="000000" w:themeColor="text1"/>
              </w:rPr>
              <w:t xml:space="preserve"> sectors</w:t>
            </w:r>
          </w:p>
          <w:p w14:paraId="3D4A8ADD" w14:textId="77777777" w:rsidR="003910FD" w:rsidRPr="0024184F" w:rsidRDefault="003910FD" w:rsidP="00F70A70">
            <w:pPr>
              <w:pStyle w:val="TableText"/>
              <w:rPr>
                <w:rFonts w:cs="Arial"/>
                <w:color w:val="000000" w:themeColor="text1"/>
              </w:rPr>
            </w:pPr>
            <w:r w:rsidRPr="0024184F">
              <w:rPr>
                <w:rFonts w:cs="Arial"/>
                <w:color w:val="000000" w:themeColor="text1"/>
              </w:rPr>
              <w:t>Long-term increases in local and central government costs, some loss of assets</w:t>
            </w:r>
          </w:p>
        </w:tc>
        <w:tc>
          <w:tcPr>
            <w:tcW w:w="4140" w:type="dxa"/>
          </w:tcPr>
          <w:p w14:paraId="6FBE19F9"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Financial losses equivalent to &gt;3</w:t>
            </w:r>
            <w:r>
              <w:rPr>
                <w:rFonts w:cs="Arial"/>
                <w:color w:val="000000" w:themeColor="text1"/>
              </w:rPr>
              <w:t>%</w:t>
            </w:r>
            <w:r w:rsidRPr="0024184F">
              <w:rPr>
                <w:rFonts w:cs="Arial"/>
                <w:color w:val="000000" w:themeColor="text1"/>
              </w:rPr>
              <w:t xml:space="preserve"> of GDP</w:t>
            </w:r>
          </w:p>
          <w:p w14:paraId="6AF74F8E" w14:textId="6735AFF9" w:rsidR="003910FD" w:rsidRPr="0024184F" w:rsidRDefault="003910FD" w:rsidP="00F9502C">
            <w:pPr>
              <w:pStyle w:val="TableText"/>
              <w:spacing w:after="40"/>
              <w:rPr>
                <w:rFonts w:cs="Arial"/>
              </w:rPr>
            </w:pPr>
            <w:r w:rsidRPr="0024184F">
              <w:rPr>
                <w:rFonts w:cs="Arial"/>
              </w:rPr>
              <w:t>Ongoing losses equivalent to &gt;</w:t>
            </w:r>
            <w:r w:rsidR="002B3754">
              <w:rPr>
                <w:rFonts w:cs="Arial"/>
              </w:rPr>
              <w:t>0</w:t>
            </w:r>
            <w:r w:rsidRPr="0024184F">
              <w:rPr>
                <w:rFonts w:cs="Arial"/>
              </w:rPr>
              <w:t>.5</w:t>
            </w:r>
            <w:r>
              <w:rPr>
                <w:rFonts w:cs="Arial"/>
              </w:rPr>
              <w:t>%</w:t>
            </w:r>
            <w:r w:rsidRPr="0024184F">
              <w:rPr>
                <w:rFonts w:cs="Arial"/>
              </w:rPr>
              <w:t xml:space="preserve"> reduction of GDP </w:t>
            </w:r>
          </w:p>
          <w:p w14:paraId="2CB3DC38" w14:textId="77777777" w:rsidR="003910FD" w:rsidRPr="0024184F" w:rsidRDefault="003910FD" w:rsidP="00F9502C">
            <w:pPr>
              <w:pStyle w:val="TableText"/>
              <w:spacing w:after="40"/>
              <w:rPr>
                <w:rFonts w:cs="Arial"/>
              </w:rPr>
            </w:pPr>
            <w:r w:rsidRPr="0024184F">
              <w:rPr>
                <w:rFonts w:cs="Arial"/>
              </w:rPr>
              <w:t xml:space="preserve">Sustained increase in unemployment across most sectors </w:t>
            </w:r>
          </w:p>
          <w:p w14:paraId="0B141DE6" w14:textId="002AF7E2" w:rsidR="003910FD" w:rsidRPr="0024184F" w:rsidRDefault="003910FD" w:rsidP="00F70A70">
            <w:pPr>
              <w:pStyle w:val="TableText"/>
              <w:rPr>
                <w:rFonts w:cs="Arial"/>
                <w:color w:val="000000" w:themeColor="text1"/>
              </w:rPr>
            </w:pPr>
            <w:r w:rsidRPr="0024184F">
              <w:rPr>
                <w:rFonts w:cs="Arial"/>
                <w:color w:val="000000" w:themeColor="text1"/>
              </w:rPr>
              <w:t>Long-term costs for local</w:t>
            </w:r>
            <w:r w:rsidR="002B3754">
              <w:rPr>
                <w:rFonts w:cs="Arial"/>
                <w:color w:val="000000" w:themeColor="text1"/>
              </w:rPr>
              <w:t xml:space="preserve"> and </w:t>
            </w:r>
            <w:r w:rsidRPr="0024184F">
              <w:rPr>
                <w:rFonts w:cs="Arial"/>
                <w:color w:val="000000" w:themeColor="text1"/>
              </w:rPr>
              <w:t>central government increase, and significant loss of assets</w:t>
            </w:r>
          </w:p>
        </w:tc>
      </w:tr>
      <w:tr w:rsidR="003910FD" w:rsidRPr="0024184F" w14:paraId="20FEDB08" w14:textId="77777777" w:rsidTr="00A5220A">
        <w:trPr>
          <w:cantSplit/>
        </w:trPr>
        <w:tc>
          <w:tcPr>
            <w:tcW w:w="568" w:type="dxa"/>
            <w:shd w:val="clear" w:color="auto" w:fill="1C556C" w:themeFill="accent1"/>
            <w:textDirection w:val="btLr"/>
          </w:tcPr>
          <w:p w14:paraId="2AC388B6" w14:textId="77777777" w:rsidR="003910FD" w:rsidRPr="0024184F" w:rsidRDefault="003910FD" w:rsidP="00A50B80">
            <w:pPr>
              <w:pStyle w:val="TableTextBold"/>
              <w:jc w:val="center"/>
              <w:rPr>
                <w:color w:val="FFFFFF" w:themeColor="background1"/>
              </w:rPr>
            </w:pPr>
            <w:r w:rsidRPr="0024184F">
              <w:rPr>
                <w:color w:val="FFFFFF" w:themeColor="background1"/>
              </w:rPr>
              <w:lastRenderedPageBreak/>
              <w:t xml:space="preserve">Built </w:t>
            </w:r>
            <w:r>
              <w:rPr>
                <w:color w:val="FFFFFF" w:themeColor="background1"/>
              </w:rPr>
              <w:t>e</w:t>
            </w:r>
            <w:r w:rsidRPr="0024184F">
              <w:rPr>
                <w:color w:val="FFFFFF" w:themeColor="background1"/>
              </w:rPr>
              <w:t>nvironment</w:t>
            </w:r>
          </w:p>
        </w:tc>
        <w:tc>
          <w:tcPr>
            <w:tcW w:w="4414" w:type="dxa"/>
          </w:tcPr>
          <w:p w14:paraId="2A606544" w14:textId="77777777" w:rsidR="003910FD" w:rsidRPr="0024184F" w:rsidRDefault="003910FD" w:rsidP="00F70A70">
            <w:pPr>
              <w:pStyle w:val="TableText"/>
              <w:rPr>
                <w:rFonts w:cs="Arial"/>
                <w:color w:val="000000" w:themeColor="text1"/>
              </w:rPr>
            </w:pPr>
            <w:r w:rsidRPr="0024184F">
              <w:rPr>
                <w:rFonts w:cs="Arial"/>
                <w:color w:val="000000" w:themeColor="text1"/>
              </w:rPr>
              <w:t xml:space="preserve">Minor or insignificant infrastructure disruption at local level </w:t>
            </w:r>
          </w:p>
          <w:p w14:paraId="4F19AF8E" w14:textId="77777777" w:rsidR="003910FD" w:rsidRPr="0024184F" w:rsidRDefault="003910FD" w:rsidP="00F70A70">
            <w:pPr>
              <w:pStyle w:val="TableText"/>
              <w:rPr>
                <w:rFonts w:cs="Arial"/>
                <w:color w:val="000000" w:themeColor="text1"/>
              </w:rPr>
            </w:pPr>
            <w:r w:rsidRPr="0024184F">
              <w:rPr>
                <w:rFonts w:cs="Arial"/>
                <w:color w:val="000000" w:themeColor="text1"/>
              </w:rPr>
              <w:t xml:space="preserve">Negligible damage to buildings </w:t>
            </w:r>
          </w:p>
          <w:p w14:paraId="2770A9DD" w14:textId="77777777" w:rsidR="003910FD" w:rsidRPr="0024184F" w:rsidRDefault="003910FD" w:rsidP="00F70A70">
            <w:pPr>
              <w:pStyle w:val="TableText"/>
              <w:rPr>
                <w:rFonts w:cs="Arial"/>
                <w:color w:val="000000" w:themeColor="text1"/>
              </w:rPr>
            </w:pPr>
            <w:r w:rsidRPr="0024184F">
              <w:rPr>
                <w:rFonts w:cs="Arial"/>
                <w:color w:val="000000" w:themeColor="text1"/>
              </w:rPr>
              <w:t>Negligible damage to Māori cultural assets, such as marae, urupā, wāhi tapu and wāhi taonga</w:t>
            </w:r>
          </w:p>
        </w:tc>
        <w:tc>
          <w:tcPr>
            <w:tcW w:w="4139" w:type="dxa"/>
          </w:tcPr>
          <w:p w14:paraId="28313D82"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Isolated and short-term infrastructure service disruption</w:t>
            </w:r>
            <w:r>
              <w:rPr>
                <w:rFonts w:cs="Arial"/>
                <w:color w:val="000000" w:themeColor="text1"/>
              </w:rPr>
              <w:t>;</w:t>
            </w:r>
            <w:r w:rsidRPr="0024184F">
              <w:rPr>
                <w:rFonts w:cs="Arial"/>
                <w:color w:val="000000" w:themeColor="text1"/>
              </w:rPr>
              <w:t xml:space="preserve"> </w:t>
            </w:r>
            <w:r>
              <w:rPr>
                <w:rFonts w:cs="Arial"/>
                <w:color w:val="000000" w:themeColor="text1"/>
              </w:rPr>
              <w:t>n</w:t>
            </w:r>
            <w:r w:rsidRPr="0024184F">
              <w:rPr>
                <w:rFonts w:cs="Arial"/>
                <w:color w:val="000000" w:themeColor="text1"/>
              </w:rPr>
              <w:t>o permanent damage</w:t>
            </w:r>
            <w:r>
              <w:rPr>
                <w:rFonts w:cs="Arial"/>
                <w:color w:val="000000" w:themeColor="text1"/>
              </w:rPr>
              <w:t>;</w:t>
            </w:r>
            <w:r w:rsidRPr="0024184F">
              <w:rPr>
                <w:rFonts w:cs="Arial"/>
                <w:color w:val="000000" w:themeColor="text1"/>
              </w:rPr>
              <w:t xml:space="preserve"> </w:t>
            </w:r>
            <w:r>
              <w:rPr>
                <w:rFonts w:cs="Arial"/>
                <w:color w:val="000000" w:themeColor="text1"/>
              </w:rPr>
              <w:t>s</w:t>
            </w:r>
            <w:r w:rsidRPr="0024184F">
              <w:rPr>
                <w:rFonts w:cs="Arial"/>
                <w:color w:val="000000" w:themeColor="text1"/>
              </w:rPr>
              <w:t xml:space="preserve">ome minor restoration work required </w:t>
            </w:r>
          </w:p>
          <w:p w14:paraId="04115CE0"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Early renewal of infrastructure by 10–20</w:t>
            </w:r>
            <w:r>
              <w:rPr>
                <w:rFonts w:cs="Arial"/>
                <w:color w:val="000000" w:themeColor="text1"/>
              </w:rPr>
              <w:t>%;</w:t>
            </w:r>
            <w:r w:rsidRPr="0024184F">
              <w:rPr>
                <w:rFonts w:cs="Arial"/>
                <w:color w:val="000000" w:themeColor="text1"/>
              </w:rPr>
              <w:t xml:space="preserve"> </w:t>
            </w:r>
            <w:r>
              <w:rPr>
                <w:rFonts w:cs="Arial"/>
                <w:color w:val="000000" w:themeColor="text1"/>
              </w:rPr>
              <w:t>n</w:t>
            </w:r>
            <w:r w:rsidRPr="0024184F">
              <w:rPr>
                <w:rFonts w:cs="Arial"/>
                <w:color w:val="000000" w:themeColor="text1"/>
              </w:rPr>
              <w:t>eed for new or modified ancillary equipment or design standards</w:t>
            </w:r>
          </w:p>
          <w:p w14:paraId="2924BD24" w14:textId="1E28E03F" w:rsidR="003910FD" w:rsidRPr="0024184F" w:rsidRDefault="003910FD" w:rsidP="00F9502C">
            <w:pPr>
              <w:pStyle w:val="TableText"/>
              <w:spacing w:after="40"/>
              <w:rPr>
                <w:rFonts w:cs="Arial"/>
                <w:color w:val="000000" w:themeColor="text1"/>
              </w:rPr>
            </w:pPr>
            <w:r w:rsidRPr="0024184F">
              <w:rPr>
                <w:rFonts w:cs="Arial"/>
                <w:color w:val="000000" w:themeColor="text1"/>
              </w:rPr>
              <w:t>Increasing temporary</w:t>
            </w:r>
            <w:r w:rsidR="002B3754">
              <w:rPr>
                <w:rFonts w:cs="Arial"/>
                <w:color w:val="000000" w:themeColor="text1"/>
              </w:rPr>
              <w:t xml:space="preserve"> or </w:t>
            </w:r>
            <w:r w:rsidRPr="0024184F">
              <w:rPr>
                <w:rFonts w:cs="Arial"/>
                <w:color w:val="000000" w:themeColor="text1"/>
              </w:rPr>
              <w:t>recoverable damage to buildings</w:t>
            </w:r>
          </w:p>
          <w:p w14:paraId="0178D7A9" w14:textId="77777777" w:rsidR="003910FD" w:rsidRPr="0024184F" w:rsidRDefault="003910FD" w:rsidP="00F9502C">
            <w:pPr>
              <w:pStyle w:val="TableText"/>
              <w:spacing w:after="40"/>
              <w:rPr>
                <w:rFonts w:cs="Arial"/>
                <w:color w:val="000000" w:themeColor="text1"/>
              </w:rPr>
            </w:pPr>
            <w:r w:rsidRPr="0024184F">
              <w:rPr>
                <w:rFonts w:cs="Arial"/>
                <w:color w:val="000000" w:themeColor="text1"/>
              </w:rPr>
              <w:t>Planning for future relocation required</w:t>
            </w:r>
          </w:p>
          <w:p w14:paraId="13F6301C" w14:textId="77777777" w:rsidR="003910FD" w:rsidRPr="0024184F" w:rsidRDefault="003910FD" w:rsidP="00F70A70">
            <w:pPr>
              <w:pStyle w:val="TableText"/>
              <w:rPr>
                <w:rFonts w:cs="Arial"/>
                <w:color w:val="000000" w:themeColor="text1"/>
              </w:rPr>
            </w:pPr>
            <w:r w:rsidRPr="0024184F">
              <w:rPr>
                <w:rFonts w:cs="Arial"/>
                <w:color w:val="000000" w:themeColor="text1"/>
              </w:rPr>
              <w:t>Some damage to a small number of Māori cultural assets</w:t>
            </w:r>
          </w:p>
        </w:tc>
        <w:tc>
          <w:tcPr>
            <w:tcW w:w="4140" w:type="dxa"/>
          </w:tcPr>
          <w:p w14:paraId="66A0611C" w14:textId="77777777" w:rsidR="003910FD" w:rsidRPr="0024184F" w:rsidRDefault="003910FD" w:rsidP="00F9502C">
            <w:pPr>
              <w:pStyle w:val="TableText"/>
              <w:spacing w:after="40"/>
              <w:rPr>
                <w:rFonts w:cs="Arial"/>
                <w:color w:val="000000"/>
                <w:szCs w:val="18"/>
              </w:rPr>
            </w:pPr>
            <w:r w:rsidRPr="0024184F">
              <w:rPr>
                <w:rFonts w:cs="Arial"/>
                <w:color w:val="000000"/>
                <w:szCs w:val="18"/>
              </w:rPr>
              <w:t>M</w:t>
            </w:r>
            <w:r>
              <w:rPr>
                <w:rFonts w:cs="Arial"/>
                <w:color w:val="000000"/>
                <w:szCs w:val="18"/>
              </w:rPr>
              <w:t xml:space="preserve">any </w:t>
            </w:r>
            <w:r w:rsidRPr="0024184F">
              <w:rPr>
                <w:rFonts w:cs="Arial"/>
                <w:color w:val="000000"/>
                <w:szCs w:val="18"/>
              </w:rPr>
              <w:t>short-term infrastructure service disruptions</w:t>
            </w:r>
            <w:r>
              <w:rPr>
                <w:rFonts w:cs="Arial"/>
                <w:color w:val="000000"/>
                <w:szCs w:val="18"/>
              </w:rPr>
              <w:t>;</w:t>
            </w:r>
            <w:r w:rsidRPr="0024184F">
              <w:rPr>
                <w:rFonts w:cs="Arial"/>
                <w:color w:val="000000"/>
                <w:szCs w:val="18"/>
              </w:rPr>
              <w:t xml:space="preserve"> </w:t>
            </w:r>
            <w:r>
              <w:rPr>
                <w:rFonts w:cs="Arial"/>
                <w:color w:val="000000"/>
                <w:szCs w:val="18"/>
              </w:rPr>
              <w:t>d</w:t>
            </w:r>
            <w:r w:rsidRPr="0024184F">
              <w:rPr>
                <w:rFonts w:cs="Arial"/>
                <w:color w:val="000000"/>
                <w:szCs w:val="18"/>
              </w:rPr>
              <w:t>amage recoverable by maintenance and minor repair</w:t>
            </w:r>
          </w:p>
          <w:p w14:paraId="31BA6AB1" w14:textId="77777777" w:rsidR="003910FD" w:rsidRPr="0024184F" w:rsidRDefault="003910FD" w:rsidP="00F9502C">
            <w:pPr>
              <w:pStyle w:val="TableText"/>
              <w:spacing w:after="40"/>
              <w:rPr>
                <w:rFonts w:cs="Arial"/>
                <w:color w:val="000000"/>
                <w:szCs w:val="18"/>
              </w:rPr>
            </w:pPr>
            <w:r w:rsidRPr="0024184F">
              <w:rPr>
                <w:rFonts w:cs="Arial"/>
                <w:color w:val="000000"/>
                <w:szCs w:val="18"/>
              </w:rPr>
              <w:t>Early renewal of infrastructure by 21–50</w:t>
            </w:r>
            <w:r>
              <w:rPr>
                <w:rFonts w:cs="Arial"/>
                <w:color w:val="000000"/>
                <w:szCs w:val="18"/>
              </w:rPr>
              <w:t>%</w:t>
            </w:r>
          </w:p>
          <w:p w14:paraId="579BDFAB" w14:textId="7EB44379" w:rsidR="003910FD" w:rsidRPr="0024184F" w:rsidRDefault="003910FD" w:rsidP="00F9502C">
            <w:pPr>
              <w:pStyle w:val="TableText"/>
              <w:spacing w:after="40"/>
              <w:rPr>
                <w:rFonts w:cs="Arial"/>
                <w:szCs w:val="18"/>
              </w:rPr>
            </w:pPr>
            <w:r w:rsidRPr="0024184F">
              <w:rPr>
                <w:rFonts w:cs="Arial"/>
                <w:szCs w:val="18"/>
              </w:rPr>
              <w:t>Moderate damage to 10</w:t>
            </w:r>
            <w:r w:rsidR="002B3754">
              <w:rPr>
                <w:rFonts w:cs="Arial"/>
                <w:szCs w:val="18"/>
              </w:rPr>
              <w:t>–</w:t>
            </w:r>
            <w:r w:rsidRPr="0024184F">
              <w:rPr>
                <w:rFonts w:cs="Arial"/>
                <w:szCs w:val="18"/>
              </w:rPr>
              <w:t xml:space="preserve">100 </w:t>
            </w:r>
            <w:r>
              <w:rPr>
                <w:rFonts w:cs="Arial"/>
                <w:szCs w:val="18"/>
              </w:rPr>
              <w:t>dwellings;</w:t>
            </w:r>
            <w:r w:rsidRPr="0024184F">
              <w:rPr>
                <w:rFonts w:cs="Arial"/>
                <w:szCs w:val="18"/>
              </w:rPr>
              <w:t xml:space="preserve"> </w:t>
            </w:r>
            <w:r>
              <w:rPr>
                <w:rFonts w:cs="Arial"/>
                <w:szCs w:val="18"/>
              </w:rPr>
              <w:t>s</w:t>
            </w:r>
            <w:r w:rsidRPr="0024184F">
              <w:rPr>
                <w:rFonts w:cs="Arial"/>
                <w:szCs w:val="18"/>
              </w:rPr>
              <w:t>ome require immediate relocation</w:t>
            </w:r>
          </w:p>
          <w:p w14:paraId="11E07505" w14:textId="77777777" w:rsidR="003910FD" w:rsidRPr="0024184F" w:rsidRDefault="003910FD" w:rsidP="00F9502C">
            <w:pPr>
              <w:pStyle w:val="TableText"/>
              <w:spacing w:after="40"/>
              <w:rPr>
                <w:rFonts w:cs="Arial"/>
                <w:szCs w:val="18"/>
              </w:rPr>
            </w:pPr>
            <w:r w:rsidRPr="0024184F">
              <w:rPr>
                <w:rFonts w:cs="Arial"/>
                <w:szCs w:val="18"/>
              </w:rPr>
              <w:t xml:space="preserve">Between 5–20 </w:t>
            </w:r>
            <w:r w:rsidRPr="00D3306E">
              <w:rPr>
                <w:rFonts w:cs="Arial"/>
                <w:szCs w:val="18"/>
              </w:rPr>
              <w:t>commercial and public buildings</w:t>
            </w:r>
            <w:r w:rsidRPr="00853ED7">
              <w:rPr>
                <w:rFonts w:cs="Arial"/>
                <w:szCs w:val="18"/>
                <w:highlight w:val="cyan"/>
              </w:rPr>
              <w:t xml:space="preserve"> </w:t>
            </w:r>
            <w:r w:rsidRPr="0024184F">
              <w:rPr>
                <w:rFonts w:cs="Arial"/>
                <w:szCs w:val="18"/>
              </w:rPr>
              <w:t>require assessment</w:t>
            </w:r>
            <w:r>
              <w:rPr>
                <w:rFonts w:cs="Arial"/>
                <w:szCs w:val="18"/>
              </w:rPr>
              <w:t>;</w:t>
            </w:r>
            <w:r w:rsidRPr="0024184F">
              <w:rPr>
                <w:rFonts w:cs="Arial"/>
                <w:szCs w:val="18"/>
              </w:rPr>
              <w:t xml:space="preserve"> </w:t>
            </w:r>
            <w:r>
              <w:rPr>
                <w:rFonts w:cs="Arial"/>
                <w:szCs w:val="18"/>
              </w:rPr>
              <w:t>s</w:t>
            </w:r>
            <w:r w:rsidRPr="0024184F">
              <w:rPr>
                <w:rFonts w:cs="Arial"/>
                <w:szCs w:val="18"/>
              </w:rPr>
              <w:t>ome require temporary relocation</w:t>
            </w:r>
          </w:p>
          <w:p w14:paraId="6AF608BF" w14:textId="77777777" w:rsidR="003910FD" w:rsidRPr="0024184F" w:rsidRDefault="003910FD" w:rsidP="00F70A70">
            <w:pPr>
              <w:pStyle w:val="TableText"/>
            </w:pPr>
            <w:r w:rsidRPr="0024184F">
              <w:rPr>
                <w:rFonts w:cs="Arial"/>
                <w:szCs w:val="18"/>
              </w:rPr>
              <w:t>Moderate, reparable damage to Māori cultural assets</w:t>
            </w:r>
          </w:p>
        </w:tc>
        <w:tc>
          <w:tcPr>
            <w:tcW w:w="4140" w:type="dxa"/>
          </w:tcPr>
          <w:p w14:paraId="7BBA6F9C" w14:textId="77777777" w:rsidR="003910FD" w:rsidRPr="0024184F" w:rsidRDefault="003910FD" w:rsidP="00550F2A">
            <w:pPr>
              <w:pStyle w:val="TableText"/>
              <w:spacing w:after="40"/>
              <w:rPr>
                <w:rFonts w:cs="Arial"/>
                <w:color w:val="000000"/>
                <w:szCs w:val="18"/>
              </w:rPr>
            </w:pPr>
            <w:r w:rsidRPr="0024184F">
              <w:rPr>
                <w:rFonts w:cs="Arial"/>
                <w:color w:val="000000"/>
                <w:szCs w:val="18"/>
              </w:rPr>
              <w:t>Widespread short-to-medium term disruptions to infrastructure service</w:t>
            </w:r>
            <w:r>
              <w:rPr>
                <w:rFonts w:cs="Arial"/>
                <w:color w:val="000000"/>
                <w:szCs w:val="18"/>
              </w:rPr>
              <w:t>;</w:t>
            </w:r>
            <w:r w:rsidRPr="0024184F">
              <w:rPr>
                <w:rFonts w:cs="Arial"/>
                <w:color w:val="000000"/>
                <w:szCs w:val="18"/>
              </w:rPr>
              <w:t xml:space="preserve"> </w:t>
            </w:r>
            <w:r>
              <w:rPr>
                <w:rFonts w:cs="Arial"/>
                <w:color w:val="000000"/>
                <w:szCs w:val="18"/>
              </w:rPr>
              <w:t>e</w:t>
            </w:r>
            <w:r w:rsidRPr="0024184F">
              <w:rPr>
                <w:rFonts w:cs="Arial"/>
                <w:color w:val="000000"/>
                <w:szCs w:val="18"/>
              </w:rPr>
              <w:t>xtensive infrastructure damage requiring major repair</w:t>
            </w:r>
          </w:p>
          <w:p w14:paraId="3A58A6FD" w14:textId="77777777" w:rsidR="003910FD" w:rsidRPr="0024184F" w:rsidRDefault="003910FD" w:rsidP="00550F2A">
            <w:pPr>
              <w:pStyle w:val="TableText"/>
              <w:spacing w:after="40"/>
              <w:rPr>
                <w:rFonts w:cs="Arial"/>
                <w:color w:val="000000"/>
                <w:szCs w:val="18"/>
              </w:rPr>
            </w:pPr>
            <w:r w:rsidRPr="0024184F">
              <w:rPr>
                <w:rFonts w:cs="Arial"/>
                <w:color w:val="000000"/>
                <w:szCs w:val="18"/>
              </w:rPr>
              <w:t>Major loss of infrastructure service</w:t>
            </w:r>
          </w:p>
          <w:p w14:paraId="760B005D" w14:textId="77777777" w:rsidR="003910FD" w:rsidRPr="0024184F" w:rsidRDefault="003910FD" w:rsidP="00550F2A">
            <w:pPr>
              <w:pStyle w:val="TableText"/>
              <w:spacing w:after="40"/>
              <w:rPr>
                <w:rFonts w:cs="Arial"/>
                <w:color w:val="000000"/>
                <w:szCs w:val="18"/>
              </w:rPr>
            </w:pPr>
            <w:r w:rsidRPr="0024184F">
              <w:rPr>
                <w:rFonts w:cs="Arial"/>
                <w:color w:val="000000"/>
                <w:szCs w:val="18"/>
              </w:rPr>
              <w:t>Early renewal of infrastructure by 51–90</w:t>
            </w:r>
            <w:r>
              <w:rPr>
                <w:rFonts w:cs="Arial"/>
                <w:color w:val="000000"/>
                <w:szCs w:val="18"/>
              </w:rPr>
              <w:t xml:space="preserve">% </w:t>
            </w:r>
          </w:p>
          <w:p w14:paraId="1F19E26E" w14:textId="77777777" w:rsidR="003910FD" w:rsidRPr="0024184F" w:rsidRDefault="003910FD" w:rsidP="00550F2A">
            <w:pPr>
              <w:pStyle w:val="TableText"/>
              <w:spacing w:after="40"/>
              <w:rPr>
                <w:rFonts w:cs="Arial"/>
                <w:szCs w:val="18"/>
              </w:rPr>
            </w:pPr>
            <w:r w:rsidRPr="0024184F">
              <w:rPr>
                <w:rFonts w:cs="Arial"/>
                <w:szCs w:val="18"/>
              </w:rPr>
              <w:t>Major damage to 100–1000 dwellings</w:t>
            </w:r>
            <w:r>
              <w:rPr>
                <w:rFonts w:cs="Arial"/>
                <w:szCs w:val="18"/>
              </w:rPr>
              <w:t>;</w:t>
            </w:r>
            <w:r w:rsidRPr="0024184F">
              <w:rPr>
                <w:rFonts w:cs="Arial"/>
                <w:szCs w:val="18"/>
              </w:rPr>
              <w:t xml:space="preserve"> </w:t>
            </w:r>
            <w:r>
              <w:rPr>
                <w:rFonts w:cs="Arial"/>
                <w:szCs w:val="18"/>
              </w:rPr>
              <w:t>s</w:t>
            </w:r>
            <w:r w:rsidRPr="0024184F">
              <w:rPr>
                <w:rFonts w:cs="Arial"/>
                <w:szCs w:val="18"/>
              </w:rPr>
              <w:t xml:space="preserve">ignificant numbers need to be immediately relocated </w:t>
            </w:r>
          </w:p>
          <w:p w14:paraId="3F104624" w14:textId="77777777" w:rsidR="003910FD" w:rsidRPr="0024184F" w:rsidRDefault="003910FD" w:rsidP="00550F2A">
            <w:pPr>
              <w:pStyle w:val="TableText"/>
              <w:spacing w:after="40"/>
              <w:rPr>
                <w:rFonts w:cs="Arial"/>
                <w:szCs w:val="18"/>
              </w:rPr>
            </w:pPr>
            <w:r w:rsidRPr="0024184F">
              <w:rPr>
                <w:rFonts w:cs="Arial"/>
                <w:szCs w:val="18"/>
              </w:rPr>
              <w:t>Costs exceed insured value</w:t>
            </w:r>
          </w:p>
          <w:p w14:paraId="6E5FA50C" w14:textId="55161605" w:rsidR="003910FD" w:rsidRPr="0024184F" w:rsidRDefault="003910FD" w:rsidP="00550F2A">
            <w:pPr>
              <w:pStyle w:val="TableText"/>
              <w:spacing w:after="40"/>
              <w:rPr>
                <w:rFonts w:cs="Arial"/>
                <w:szCs w:val="18"/>
              </w:rPr>
            </w:pPr>
            <w:r w:rsidRPr="0024184F">
              <w:rPr>
                <w:rFonts w:cs="Arial"/>
                <w:szCs w:val="18"/>
              </w:rPr>
              <w:t>Between 20</w:t>
            </w:r>
            <w:r w:rsidR="00D938D7">
              <w:rPr>
                <w:rFonts w:cs="Arial"/>
                <w:szCs w:val="18"/>
              </w:rPr>
              <w:t xml:space="preserve"> and </w:t>
            </w:r>
            <w:r w:rsidRPr="0024184F">
              <w:rPr>
                <w:rFonts w:cs="Arial"/>
                <w:szCs w:val="18"/>
              </w:rPr>
              <w:t>100 commercial and public buildings require assessment</w:t>
            </w:r>
            <w:r>
              <w:rPr>
                <w:rFonts w:cs="Arial"/>
                <w:szCs w:val="18"/>
              </w:rPr>
              <w:t>;</w:t>
            </w:r>
            <w:r w:rsidRPr="0024184F">
              <w:rPr>
                <w:rFonts w:cs="Arial"/>
                <w:szCs w:val="18"/>
              </w:rPr>
              <w:t xml:space="preserve"> </w:t>
            </w:r>
            <w:r>
              <w:rPr>
                <w:rFonts w:cs="Arial"/>
                <w:szCs w:val="18"/>
              </w:rPr>
              <w:t>m</w:t>
            </w:r>
            <w:r w:rsidRPr="0024184F">
              <w:rPr>
                <w:rFonts w:cs="Arial"/>
                <w:szCs w:val="18"/>
              </w:rPr>
              <w:t>any need to be permanently relocated</w:t>
            </w:r>
          </w:p>
          <w:p w14:paraId="664BB29F" w14:textId="77777777" w:rsidR="003910FD" w:rsidRPr="0024184F" w:rsidRDefault="003910FD" w:rsidP="00F70A70">
            <w:pPr>
              <w:pStyle w:val="TableText"/>
            </w:pPr>
            <w:r w:rsidRPr="0024184F">
              <w:rPr>
                <w:rFonts w:cs="Arial"/>
                <w:szCs w:val="18"/>
              </w:rPr>
              <w:t>Major, widespread damage to Māori cultural assets</w:t>
            </w:r>
          </w:p>
        </w:tc>
        <w:tc>
          <w:tcPr>
            <w:tcW w:w="4140" w:type="dxa"/>
          </w:tcPr>
          <w:p w14:paraId="011061F2" w14:textId="5620527E" w:rsidR="003910FD" w:rsidRPr="0024184F" w:rsidRDefault="003910FD" w:rsidP="00F9502C">
            <w:pPr>
              <w:pStyle w:val="TableText"/>
              <w:spacing w:after="40"/>
              <w:rPr>
                <w:rFonts w:cs="Arial"/>
                <w:color w:val="000000"/>
                <w:szCs w:val="18"/>
              </w:rPr>
            </w:pPr>
            <w:r w:rsidRPr="0024184F">
              <w:rPr>
                <w:rFonts w:cs="Arial"/>
                <w:color w:val="000000"/>
                <w:szCs w:val="18"/>
              </w:rPr>
              <w:t>Widespread, long-term service disruption</w:t>
            </w:r>
            <w:r w:rsidR="00D938D7">
              <w:rPr>
                <w:rFonts w:cs="Arial"/>
                <w:color w:val="000000"/>
                <w:szCs w:val="18"/>
              </w:rPr>
              <w:t>; s</w:t>
            </w:r>
            <w:r w:rsidRPr="0024184F">
              <w:rPr>
                <w:rFonts w:cs="Arial"/>
                <w:color w:val="000000"/>
                <w:szCs w:val="18"/>
              </w:rPr>
              <w:t xml:space="preserve">ignificant permanent damage </w:t>
            </w:r>
            <w:r w:rsidR="00D938D7">
              <w:rPr>
                <w:rFonts w:cs="Arial"/>
                <w:color w:val="000000"/>
                <w:szCs w:val="18"/>
              </w:rPr>
              <w:t xml:space="preserve">to </w:t>
            </w:r>
            <w:r w:rsidRPr="0024184F">
              <w:rPr>
                <w:rFonts w:cs="Arial"/>
                <w:color w:val="000000"/>
                <w:szCs w:val="18"/>
              </w:rPr>
              <w:t xml:space="preserve">and/or complete loss of infrastructure and its service </w:t>
            </w:r>
          </w:p>
          <w:p w14:paraId="6C8A2EC5" w14:textId="77777777" w:rsidR="003910FD" w:rsidRPr="0024184F" w:rsidRDefault="003910FD" w:rsidP="00F9502C">
            <w:pPr>
              <w:pStyle w:val="TableText"/>
              <w:spacing w:after="40"/>
              <w:rPr>
                <w:rFonts w:cs="Arial"/>
                <w:color w:val="000000"/>
                <w:szCs w:val="18"/>
              </w:rPr>
            </w:pPr>
            <w:r w:rsidRPr="0024184F">
              <w:rPr>
                <w:rFonts w:cs="Arial"/>
                <w:color w:val="000000"/>
                <w:szCs w:val="18"/>
              </w:rPr>
              <w:t>Loss of infrastructure support and translocation of service to other sites</w:t>
            </w:r>
            <w:r>
              <w:rPr>
                <w:rFonts w:cs="Arial"/>
                <w:color w:val="000000"/>
                <w:szCs w:val="18"/>
              </w:rPr>
              <w:t>;</w:t>
            </w:r>
            <w:r w:rsidRPr="0024184F">
              <w:rPr>
                <w:rFonts w:cs="Arial"/>
                <w:color w:val="000000"/>
                <w:szCs w:val="18"/>
              </w:rPr>
              <w:t xml:space="preserve"> </w:t>
            </w:r>
            <w:r>
              <w:rPr>
                <w:rFonts w:cs="Arial"/>
                <w:color w:val="000000"/>
                <w:szCs w:val="18"/>
              </w:rPr>
              <w:t>e</w:t>
            </w:r>
            <w:r w:rsidRPr="0024184F">
              <w:rPr>
                <w:rFonts w:cs="Arial"/>
                <w:color w:val="000000"/>
                <w:szCs w:val="18"/>
              </w:rPr>
              <w:t>arly renewal of infrastructure by more than 90</w:t>
            </w:r>
            <w:r>
              <w:rPr>
                <w:rFonts w:cs="Arial"/>
                <w:color w:val="000000"/>
                <w:szCs w:val="18"/>
              </w:rPr>
              <w:t>%</w:t>
            </w:r>
            <w:r w:rsidRPr="0024184F">
              <w:rPr>
                <w:rFonts w:cs="Arial"/>
                <w:color w:val="000000"/>
                <w:szCs w:val="18"/>
              </w:rPr>
              <w:t xml:space="preserve"> </w:t>
            </w:r>
          </w:p>
          <w:p w14:paraId="0C311BB4" w14:textId="77777777" w:rsidR="003910FD" w:rsidRPr="0024184F" w:rsidRDefault="003910FD" w:rsidP="00F9502C">
            <w:pPr>
              <w:pStyle w:val="TableText"/>
              <w:spacing w:after="40"/>
              <w:rPr>
                <w:rFonts w:cs="Arial"/>
                <w:szCs w:val="18"/>
              </w:rPr>
            </w:pPr>
            <w:bookmarkStart w:id="384" w:name="_Hlk21967819"/>
            <w:r w:rsidRPr="0024184F">
              <w:rPr>
                <w:rFonts w:cs="Arial"/>
                <w:color w:val="000000"/>
                <w:szCs w:val="18"/>
              </w:rPr>
              <w:t>More than</w:t>
            </w:r>
            <w:r w:rsidRPr="0024184F">
              <w:rPr>
                <w:rFonts w:cs="Arial"/>
                <w:szCs w:val="18"/>
              </w:rPr>
              <w:t xml:space="preserve"> 1000 dwellings require assessments for immediate relocation</w:t>
            </w:r>
            <w:bookmarkEnd w:id="384"/>
          </w:p>
          <w:p w14:paraId="53008934" w14:textId="77777777" w:rsidR="003910FD" w:rsidRPr="0024184F" w:rsidRDefault="003910FD" w:rsidP="00F9502C">
            <w:pPr>
              <w:pStyle w:val="TableText"/>
              <w:spacing w:after="40"/>
              <w:rPr>
                <w:rFonts w:cs="Arial"/>
                <w:szCs w:val="18"/>
              </w:rPr>
            </w:pPr>
            <w:r w:rsidRPr="0024184F">
              <w:rPr>
                <w:rFonts w:cs="Arial"/>
                <w:szCs w:val="18"/>
              </w:rPr>
              <w:t>More than 100 commercial buildings and more than 100 government and non-commercial buildings require assessment for permanent relocation options</w:t>
            </w:r>
          </w:p>
          <w:p w14:paraId="569C6E4D" w14:textId="77777777" w:rsidR="003910FD" w:rsidRPr="0024184F" w:rsidRDefault="003910FD" w:rsidP="00550F2A">
            <w:pPr>
              <w:pStyle w:val="TableText"/>
              <w:spacing w:after="40"/>
              <w:rPr>
                <w:rFonts w:cs="Arial"/>
                <w:szCs w:val="18"/>
              </w:rPr>
            </w:pPr>
            <w:r w:rsidRPr="0024184F">
              <w:rPr>
                <w:rFonts w:cs="Arial"/>
                <w:szCs w:val="18"/>
              </w:rPr>
              <w:t>Costs significantly exceed insured value</w:t>
            </w:r>
          </w:p>
          <w:p w14:paraId="4A4054B7" w14:textId="77777777" w:rsidR="003910FD" w:rsidRPr="0024184F" w:rsidRDefault="003910FD" w:rsidP="00F70A70">
            <w:pPr>
              <w:pStyle w:val="TableText"/>
            </w:pPr>
            <w:r w:rsidRPr="0024184F">
              <w:rPr>
                <w:rFonts w:cs="Arial"/>
                <w:szCs w:val="18"/>
              </w:rPr>
              <w:t>Damage to more than 75</w:t>
            </w:r>
            <w:r>
              <w:rPr>
                <w:rFonts w:cs="Arial"/>
                <w:szCs w:val="18"/>
              </w:rPr>
              <w:t>%</w:t>
            </w:r>
            <w:r w:rsidRPr="0024184F">
              <w:rPr>
                <w:rFonts w:cs="Arial"/>
                <w:szCs w:val="18"/>
              </w:rPr>
              <w:t xml:space="preserve"> of Māori cultural assets</w:t>
            </w:r>
          </w:p>
        </w:tc>
      </w:tr>
      <w:tr w:rsidR="003910FD" w:rsidRPr="0024184F" w14:paraId="4D0C58EA" w14:textId="77777777" w:rsidTr="00A5220A">
        <w:trPr>
          <w:cantSplit/>
        </w:trPr>
        <w:tc>
          <w:tcPr>
            <w:tcW w:w="568" w:type="dxa"/>
            <w:shd w:val="clear" w:color="auto" w:fill="1C556C" w:themeFill="accent1"/>
            <w:textDirection w:val="btLr"/>
          </w:tcPr>
          <w:p w14:paraId="6C25809E" w14:textId="77777777" w:rsidR="003910FD" w:rsidRPr="0024184F" w:rsidRDefault="003910FD" w:rsidP="00A50B80">
            <w:pPr>
              <w:pStyle w:val="TableTextBold"/>
              <w:jc w:val="center"/>
              <w:rPr>
                <w:color w:val="FFFFFF" w:themeColor="background1"/>
              </w:rPr>
            </w:pPr>
            <w:r w:rsidRPr="0024184F">
              <w:rPr>
                <w:color w:val="FFFFFF" w:themeColor="background1"/>
              </w:rPr>
              <w:t>Governance</w:t>
            </w:r>
          </w:p>
        </w:tc>
        <w:tc>
          <w:tcPr>
            <w:tcW w:w="4414" w:type="dxa"/>
          </w:tcPr>
          <w:p w14:paraId="75C42EDF" w14:textId="79E8599C" w:rsidR="003910FD" w:rsidRPr="0024184F" w:rsidRDefault="003910FD" w:rsidP="00F9502C">
            <w:pPr>
              <w:pStyle w:val="TableText"/>
              <w:spacing w:after="40"/>
              <w:rPr>
                <w:rFonts w:cs="Arial"/>
              </w:rPr>
            </w:pPr>
            <w:r w:rsidRPr="0024184F">
              <w:rPr>
                <w:rFonts w:cs="Arial"/>
              </w:rPr>
              <w:t>No impact or some low-level inconsequential impacts</w:t>
            </w:r>
          </w:p>
          <w:p w14:paraId="7D1A1500" w14:textId="35765D2D" w:rsidR="003910FD" w:rsidRPr="0024184F" w:rsidRDefault="003910FD" w:rsidP="00A50B80">
            <w:pPr>
              <w:pStyle w:val="TableText"/>
            </w:pPr>
            <w:r w:rsidRPr="0024184F">
              <w:rPr>
                <w:rFonts w:cs="Arial"/>
              </w:rPr>
              <w:t>Small increase in local demand for central government support</w:t>
            </w:r>
          </w:p>
        </w:tc>
        <w:tc>
          <w:tcPr>
            <w:tcW w:w="4139" w:type="dxa"/>
          </w:tcPr>
          <w:p w14:paraId="6CA4A2ED" w14:textId="77777777" w:rsidR="003910FD" w:rsidRPr="0024184F" w:rsidRDefault="003910FD" w:rsidP="00F9502C">
            <w:pPr>
              <w:pStyle w:val="TableText"/>
              <w:spacing w:after="40"/>
              <w:rPr>
                <w:rFonts w:cs="Arial"/>
              </w:rPr>
            </w:pPr>
            <w:r w:rsidRPr="0024184F">
              <w:rPr>
                <w:rFonts w:cs="Arial"/>
              </w:rPr>
              <w:t>Some minor impacts at the local level</w:t>
            </w:r>
            <w:r>
              <w:rPr>
                <w:rFonts w:cs="Arial"/>
              </w:rPr>
              <w:t>,</w:t>
            </w:r>
            <w:r w:rsidRPr="0024184F">
              <w:rPr>
                <w:rFonts w:cs="Arial"/>
              </w:rPr>
              <w:t xml:space="preserve"> leading to tensions between levels of government</w:t>
            </w:r>
          </w:p>
          <w:p w14:paraId="030B4DAC" w14:textId="77777777" w:rsidR="003910FD" w:rsidRPr="0024184F" w:rsidRDefault="003910FD" w:rsidP="00F9502C">
            <w:pPr>
              <w:pStyle w:val="TableText"/>
              <w:spacing w:after="40"/>
              <w:rPr>
                <w:rFonts w:cs="Arial"/>
              </w:rPr>
            </w:pPr>
            <w:r w:rsidRPr="0024184F">
              <w:rPr>
                <w:rFonts w:cs="Arial"/>
              </w:rPr>
              <w:t>Disruption to some local governance and decision-making functions (eg</w:t>
            </w:r>
            <w:r>
              <w:rPr>
                <w:rFonts w:cs="Arial"/>
              </w:rPr>
              <w:t>,</w:t>
            </w:r>
            <w:r w:rsidRPr="0024184F">
              <w:rPr>
                <w:rFonts w:cs="Arial"/>
              </w:rPr>
              <w:t xml:space="preserve"> temporary limited access to local services)</w:t>
            </w:r>
          </w:p>
          <w:p w14:paraId="63AF5E6E" w14:textId="77777777" w:rsidR="003910FD" w:rsidRPr="0024184F" w:rsidRDefault="003910FD" w:rsidP="00F9502C">
            <w:pPr>
              <w:pStyle w:val="TableText"/>
              <w:spacing w:after="40"/>
              <w:rPr>
                <w:rFonts w:cs="Arial"/>
              </w:rPr>
            </w:pPr>
            <w:r w:rsidRPr="0024184F">
              <w:rPr>
                <w:rFonts w:cs="Arial"/>
              </w:rPr>
              <w:t>Some negative impacts on perceived reputation</w:t>
            </w:r>
          </w:p>
          <w:p w14:paraId="59C67C7A" w14:textId="7168F6E9" w:rsidR="003910FD" w:rsidRPr="0024184F" w:rsidRDefault="003910FD" w:rsidP="00F70A70">
            <w:pPr>
              <w:pStyle w:val="TableText"/>
            </w:pPr>
            <w:r w:rsidRPr="0024184F">
              <w:rPr>
                <w:rFonts w:cs="Arial"/>
              </w:rPr>
              <w:t xml:space="preserve">Minimal effects </w:t>
            </w:r>
            <w:r>
              <w:rPr>
                <w:rFonts w:cs="Arial"/>
              </w:rPr>
              <w:t>on</w:t>
            </w:r>
            <w:r w:rsidRPr="0024184F">
              <w:rPr>
                <w:rFonts w:cs="Arial"/>
              </w:rPr>
              <w:t xml:space="preserve"> Te Tiriti o Waitangi rights</w:t>
            </w:r>
          </w:p>
        </w:tc>
        <w:tc>
          <w:tcPr>
            <w:tcW w:w="4140" w:type="dxa"/>
          </w:tcPr>
          <w:p w14:paraId="2EA22EFC" w14:textId="77777777" w:rsidR="003910FD" w:rsidRPr="0024184F" w:rsidRDefault="003910FD" w:rsidP="00F9502C">
            <w:pPr>
              <w:pStyle w:val="TableText"/>
              <w:spacing w:after="40"/>
              <w:rPr>
                <w:rFonts w:cs="Arial"/>
              </w:rPr>
            </w:pPr>
            <w:r w:rsidRPr="0024184F">
              <w:rPr>
                <w:rFonts w:cs="Arial"/>
              </w:rPr>
              <w:t>Moderate localised impacts on decision-making functions, service delivery and community resilience</w:t>
            </w:r>
          </w:p>
          <w:p w14:paraId="1EF14B25" w14:textId="77777777" w:rsidR="003910FD" w:rsidRPr="0024184F" w:rsidRDefault="003910FD" w:rsidP="00F9502C">
            <w:pPr>
              <w:pStyle w:val="TableText"/>
              <w:spacing w:after="40"/>
              <w:rPr>
                <w:rFonts w:cs="Arial"/>
              </w:rPr>
            </w:pPr>
            <w:r w:rsidRPr="0024184F">
              <w:rPr>
                <w:rFonts w:cs="Arial"/>
              </w:rPr>
              <w:t>Rising community unrest and litigation</w:t>
            </w:r>
          </w:p>
          <w:p w14:paraId="29DC9CDD" w14:textId="0DD9F3E8" w:rsidR="003910FD" w:rsidRPr="0024184F" w:rsidRDefault="003910FD" w:rsidP="00F9502C">
            <w:pPr>
              <w:pStyle w:val="TableText"/>
              <w:spacing w:after="40"/>
              <w:rPr>
                <w:rFonts w:cs="Arial"/>
              </w:rPr>
            </w:pPr>
            <w:r w:rsidRPr="0024184F">
              <w:rPr>
                <w:rFonts w:cs="Arial"/>
              </w:rPr>
              <w:t>Moderate impacts on perceived reputation requiring specialised management to restore</w:t>
            </w:r>
          </w:p>
          <w:p w14:paraId="0F7A9CA2" w14:textId="20C16E7A" w:rsidR="003910FD" w:rsidRPr="0024184F" w:rsidRDefault="003910FD" w:rsidP="00F70A70">
            <w:pPr>
              <w:pStyle w:val="TableText"/>
            </w:pPr>
            <w:r w:rsidRPr="0024184F">
              <w:rPr>
                <w:rFonts w:cs="Arial"/>
              </w:rPr>
              <w:t>Some Te Tiriti o Waitangi rights temporarily eroded or damaged</w:t>
            </w:r>
          </w:p>
        </w:tc>
        <w:tc>
          <w:tcPr>
            <w:tcW w:w="4140" w:type="dxa"/>
          </w:tcPr>
          <w:p w14:paraId="6DD7BE3A" w14:textId="6F981563" w:rsidR="003910FD" w:rsidRPr="0024184F" w:rsidRDefault="003910FD" w:rsidP="00F9502C">
            <w:pPr>
              <w:pStyle w:val="TableText"/>
              <w:spacing w:after="40"/>
              <w:rPr>
                <w:rFonts w:cs="Arial"/>
              </w:rPr>
            </w:pPr>
            <w:r w:rsidRPr="0024184F">
              <w:rPr>
                <w:rFonts w:cs="Arial"/>
              </w:rPr>
              <w:t>Major multifunctional impacts on decision-making and service delivery at local and national level</w:t>
            </w:r>
            <w:r w:rsidR="00D938D7">
              <w:rPr>
                <w:rFonts w:cs="Arial"/>
              </w:rPr>
              <w:t>s</w:t>
            </w:r>
          </w:p>
          <w:p w14:paraId="08A9ACF0" w14:textId="77777777" w:rsidR="003910FD" w:rsidRPr="0024184F" w:rsidRDefault="003910FD" w:rsidP="00F9502C">
            <w:pPr>
              <w:pStyle w:val="TableText"/>
              <w:spacing w:after="40"/>
              <w:rPr>
                <w:rFonts w:cs="Arial"/>
              </w:rPr>
            </w:pPr>
            <w:r w:rsidRPr="0024184F">
              <w:rPr>
                <w:rFonts w:cs="Arial"/>
              </w:rPr>
              <w:t>Policy and legislation cannot cope with the impacts</w:t>
            </w:r>
            <w:r>
              <w:rPr>
                <w:rFonts w:cs="Arial"/>
              </w:rPr>
              <w:t>,</w:t>
            </w:r>
            <w:r w:rsidRPr="0024184F">
              <w:rPr>
                <w:rFonts w:cs="Arial"/>
              </w:rPr>
              <w:t xml:space="preserve"> eg</w:t>
            </w:r>
            <w:r>
              <w:rPr>
                <w:rFonts w:cs="Arial"/>
              </w:rPr>
              <w:t>,</w:t>
            </w:r>
            <w:r w:rsidRPr="0024184F">
              <w:rPr>
                <w:rFonts w:cs="Arial"/>
              </w:rPr>
              <w:t xml:space="preserve"> funding, planning practice, emergency services</w:t>
            </w:r>
          </w:p>
          <w:p w14:paraId="705C1C05" w14:textId="46971C4C" w:rsidR="003910FD" w:rsidRPr="0024184F" w:rsidRDefault="003910FD" w:rsidP="00F9502C">
            <w:pPr>
              <w:pStyle w:val="TableText"/>
              <w:spacing w:after="40"/>
              <w:rPr>
                <w:rFonts w:cs="Arial"/>
              </w:rPr>
            </w:pPr>
            <w:r w:rsidRPr="0024184F">
              <w:rPr>
                <w:rFonts w:cs="Arial"/>
              </w:rPr>
              <w:t>Inequitable outcomes lead to loss of trust</w:t>
            </w:r>
            <w:r w:rsidR="00D938D7">
              <w:rPr>
                <w:rFonts w:cs="Arial"/>
              </w:rPr>
              <w:t xml:space="preserve"> and</w:t>
            </w:r>
            <w:r w:rsidRPr="0024184F">
              <w:rPr>
                <w:rFonts w:cs="Arial"/>
              </w:rPr>
              <w:t xml:space="preserve"> reputation</w:t>
            </w:r>
            <w:r w:rsidR="00D938D7">
              <w:rPr>
                <w:rFonts w:cs="Arial"/>
              </w:rPr>
              <w:t>,</w:t>
            </w:r>
            <w:r w:rsidRPr="0024184F">
              <w:rPr>
                <w:rFonts w:cs="Arial"/>
              </w:rPr>
              <w:t xml:space="preserve"> and greater community unrest and litigation</w:t>
            </w:r>
          </w:p>
          <w:p w14:paraId="18ABEBCC" w14:textId="77777777" w:rsidR="003910FD" w:rsidRPr="0024184F" w:rsidRDefault="003910FD" w:rsidP="00F70A70">
            <w:pPr>
              <w:pStyle w:val="TableText"/>
            </w:pPr>
            <w:r w:rsidRPr="0024184F">
              <w:rPr>
                <w:rFonts w:cs="Arial"/>
              </w:rPr>
              <w:t>Major erosion of Te Tiriti o Waitangi rights</w:t>
            </w:r>
          </w:p>
        </w:tc>
        <w:tc>
          <w:tcPr>
            <w:tcW w:w="4140" w:type="dxa"/>
          </w:tcPr>
          <w:p w14:paraId="1681ADE1" w14:textId="77777777" w:rsidR="003910FD" w:rsidRPr="0024184F" w:rsidRDefault="003910FD" w:rsidP="00550F2A">
            <w:pPr>
              <w:pStyle w:val="TableText"/>
              <w:spacing w:after="40"/>
              <w:rPr>
                <w:rFonts w:cs="Arial"/>
              </w:rPr>
            </w:pPr>
            <w:r w:rsidRPr="0024184F">
              <w:rPr>
                <w:rFonts w:cs="Arial"/>
              </w:rPr>
              <w:t>Extreme multifunctional, cascading and compounding impacts lead to inability at all levels of government to govern and provide services in an equitable and just manner</w:t>
            </w:r>
          </w:p>
          <w:p w14:paraId="07F85022" w14:textId="77777777" w:rsidR="003910FD" w:rsidRPr="0024184F" w:rsidRDefault="003910FD" w:rsidP="00550F2A">
            <w:pPr>
              <w:pStyle w:val="TableText"/>
              <w:spacing w:after="40"/>
              <w:rPr>
                <w:rFonts w:cs="Arial"/>
              </w:rPr>
            </w:pPr>
            <w:r w:rsidRPr="0024184F">
              <w:rPr>
                <w:rFonts w:cs="Arial"/>
              </w:rPr>
              <w:t>Extreme community disruption (e</w:t>
            </w:r>
            <w:r>
              <w:rPr>
                <w:rFonts w:cs="Arial"/>
              </w:rPr>
              <w:t>g,</w:t>
            </w:r>
            <w:r w:rsidRPr="0024184F">
              <w:rPr>
                <w:rFonts w:cs="Arial"/>
              </w:rPr>
              <w:t xml:space="preserve"> loss of place and community cohesion)</w:t>
            </w:r>
          </w:p>
          <w:p w14:paraId="5C26CF17" w14:textId="53A2FEC6" w:rsidR="003910FD" w:rsidRPr="0024184F" w:rsidRDefault="003910FD" w:rsidP="00550F2A">
            <w:pPr>
              <w:pStyle w:val="TableText"/>
              <w:spacing w:after="40"/>
              <w:rPr>
                <w:rFonts w:cs="Arial"/>
              </w:rPr>
            </w:pPr>
            <w:r w:rsidRPr="0024184F">
              <w:rPr>
                <w:rFonts w:cs="Arial"/>
              </w:rPr>
              <w:t>Significant damage to perceived reputation</w:t>
            </w:r>
            <w:r w:rsidR="00D938D7">
              <w:rPr>
                <w:rFonts w:cs="Arial"/>
              </w:rPr>
              <w:t xml:space="preserve"> of</w:t>
            </w:r>
            <w:r w:rsidRPr="0024184F">
              <w:rPr>
                <w:rFonts w:cs="Arial"/>
              </w:rPr>
              <w:t xml:space="preserve"> and trust in institutions</w:t>
            </w:r>
          </w:p>
          <w:p w14:paraId="57E37BAC" w14:textId="77777777" w:rsidR="003910FD" w:rsidRPr="0024184F" w:rsidRDefault="003910FD" w:rsidP="00F70A70">
            <w:pPr>
              <w:pStyle w:val="TableText"/>
            </w:pPr>
            <w:r w:rsidRPr="0024184F">
              <w:rPr>
                <w:rFonts w:cs="Arial"/>
              </w:rPr>
              <w:t>Te Tiriti o Waitangi rights overridden</w:t>
            </w:r>
          </w:p>
        </w:tc>
      </w:tr>
    </w:tbl>
    <w:p w14:paraId="255240DD" w14:textId="77777777" w:rsidR="00C446CF" w:rsidRPr="007B5BE9" w:rsidRDefault="00C446CF" w:rsidP="007B5BE9">
      <w:pPr>
        <w:pStyle w:val="Note"/>
        <w:keepNext/>
        <w:spacing w:before="240" w:after="0"/>
        <w:rPr>
          <w:b/>
          <w:bCs/>
          <w:sz w:val="22"/>
          <w:szCs w:val="26"/>
        </w:rPr>
      </w:pPr>
      <w:r w:rsidRPr="007B5BE9">
        <w:rPr>
          <w:b/>
          <w:bCs/>
          <w:sz w:val="22"/>
          <w:szCs w:val="26"/>
        </w:rPr>
        <w:t>Supplementary guidance on the consequence descriptors</w:t>
      </w:r>
    </w:p>
    <w:p w14:paraId="5F8F235E" w14:textId="77777777" w:rsidR="00C446CF" w:rsidRPr="007B5BE9" w:rsidRDefault="00C446CF" w:rsidP="00F9502C">
      <w:pPr>
        <w:pStyle w:val="Note"/>
        <w:spacing w:before="80" w:after="80"/>
        <w:rPr>
          <w:b/>
          <w:bCs/>
          <w:sz w:val="22"/>
          <w:szCs w:val="26"/>
        </w:rPr>
      </w:pPr>
      <w:r w:rsidRPr="007B5BE9">
        <w:rPr>
          <w:b/>
          <w:bCs/>
          <w:sz w:val="22"/>
          <w:szCs w:val="26"/>
        </w:rPr>
        <w:t>Human</w:t>
      </w:r>
    </w:p>
    <w:p w14:paraId="114CB920" w14:textId="77777777" w:rsidR="00C446CF" w:rsidRPr="007B5BE9" w:rsidRDefault="00C446CF" w:rsidP="00D52B59">
      <w:pPr>
        <w:pStyle w:val="Note"/>
        <w:spacing w:before="0" w:after="100"/>
        <w:rPr>
          <w:sz w:val="22"/>
          <w:szCs w:val="26"/>
        </w:rPr>
      </w:pPr>
      <w:r w:rsidRPr="007B5BE9">
        <w:rPr>
          <w:sz w:val="22"/>
          <w:szCs w:val="26"/>
        </w:rPr>
        <w:t xml:space="preserve">The areas of human wellbeing to be assessed include: </w:t>
      </w:r>
    </w:p>
    <w:p w14:paraId="4766AA49" w14:textId="260AE286" w:rsidR="00C446CF" w:rsidRPr="007B5BE9" w:rsidRDefault="00C446CF" w:rsidP="00D52B59">
      <w:pPr>
        <w:pStyle w:val="Note"/>
        <w:spacing w:before="0" w:after="100" w:line="240" w:lineRule="atLeast"/>
        <w:ind w:left="397" w:hanging="397"/>
        <w:rPr>
          <w:sz w:val="22"/>
          <w:szCs w:val="26"/>
        </w:rPr>
      </w:pPr>
      <w:r w:rsidRPr="007B5BE9">
        <w:rPr>
          <w:sz w:val="22"/>
          <w:szCs w:val="26"/>
        </w:rPr>
        <w:t>1.</w:t>
      </w:r>
      <w:r w:rsidRPr="007B5BE9">
        <w:rPr>
          <w:sz w:val="22"/>
          <w:szCs w:val="26"/>
        </w:rPr>
        <w:tab/>
      </w:r>
      <w:r w:rsidR="00D938D7">
        <w:rPr>
          <w:sz w:val="22"/>
          <w:szCs w:val="26"/>
        </w:rPr>
        <w:t>s</w:t>
      </w:r>
      <w:r w:rsidRPr="007B5BE9">
        <w:rPr>
          <w:sz w:val="22"/>
          <w:szCs w:val="26"/>
        </w:rPr>
        <w:t>afety and health (consider how the safety, physical and mental health of individual and communities are affected as a result of the increased frequency, intensity and magnitude of extreme events and slow-onset change. Such impacts could arise</w:t>
      </w:r>
      <w:r w:rsidR="00F9502C" w:rsidRPr="007B5BE9">
        <w:rPr>
          <w:sz w:val="22"/>
          <w:szCs w:val="26"/>
        </w:rPr>
        <w:t> </w:t>
      </w:r>
      <w:r w:rsidRPr="007B5BE9">
        <w:rPr>
          <w:sz w:val="22"/>
          <w:szCs w:val="26"/>
        </w:rPr>
        <w:t>from</w:t>
      </w:r>
      <w:r w:rsidR="00F9502C" w:rsidRPr="007B5BE9">
        <w:rPr>
          <w:sz w:val="22"/>
          <w:szCs w:val="26"/>
        </w:rPr>
        <w:t> </w:t>
      </w:r>
      <w:r w:rsidRPr="007B5BE9">
        <w:rPr>
          <w:sz w:val="22"/>
          <w:szCs w:val="26"/>
        </w:rPr>
        <w:t>physical</w:t>
      </w:r>
      <w:r w:rsidR="00F9502C" w:rsidRPr="007B5BE9">
        <w:rPr>
          <w:sz w:val="22"/>
          <w:szCs w:val="26"/>
        </w:rPr>
        <w:t> </w:t>
      </w:r>
      <w:r w:rsidRPr="007B5BE9">
        <w:rPr>
          <w:sz w:val="22"/>
          <w:szCs w:val="26"/>
        </w:rPr>
        <w:t>threats, individual response to economic and social change as well as chronic health impacts eg, respiratory disease, waterborne disease and new types of disease)</w:t>
      </w:r>
    </w:p>
    <w:p w14:paraId="489F8C0F" w14:textId="563CBF4B" w:rsidR="00C446CF" w:rsidRPr="007B5BE9" w:rsidRDefault="00C446CF" w:rsidP="00D52B59">
      <w:pPr>
        <w:pStyle w:val="Note"/>
        <w:spacing w:before="0" w:after="100" w:line="240" w:lineRule="atLeast"/>
        <w:ind w:left="397" w:hanging="397"/>
        <w:rPr>
          <w:sz w:val="22"/>
          <w:szCs w:val="26"/>
        </w:rPr>
      </w:pPr>
      <w:r w:rsidRPr="007B5BE9">
        <w:rPr>
          <w:sz w:val="22"/>
          <w:szCs w:val="26"/>
        </w:rPr>
        <w:t>2.</w:t>
      </w:r>
      <w:r w:rsidRPr="007B5BE9">
        <w:rPr>
          <w:sz w:val="22"/>
          <w:szCs w:val="26"/>
        </w:rPr>
        <w:tab/>
      </w:r>
      <w:r w:rsidR="00D938D7">
        <w:rPr>
          <w:sz w:val="22"/>
          <w:szCs w:val="26"/>
        </w:rPr>
        <w:t>h</w:t>
      </w:r>
      <w:r w:rsidRPr="007B5BE9">
        <w:rPr>
          <w:sz w:val="22"/>
          <w:szCs w:val="26"/>
        </w:rPr>
        <w:t xml:space="preserve">appiness (how the happiness and satisfaction of individuals, families and communities are affected by ongoing change including changes within communities and </w:t>
      </w:r>
      <w:r w:rsidR="00987CF2">
        <w:rPr>
          <w:sz w:val="22"/>
          <w:szCs w:val="26"/>
        </w:rPr>
        <w:t xml:space="preserve">to </w:t>
      </w:r>
      <w:r w:rsidRPr="007B5BE9">
        <w:rPr>
          <w:sz w:val="22"/>
          <w:szCs w:val="26"/>
        </w:rPr>
        <w:t>sense of belonging (place) as a result of physical, economic and social change)</w:t>
      </w:r>
    </w:p>
    <w:p w14:paraId="2BCCF79D" w14:textId="206F1B48" w:rsidR="00C446CF" w:rsidRPr="007B5BE9" w:rsidRDefault="00C446CF" w:rsidP="00D52B59">
      <w:pPr>
        <w:pStyle w:val="Note"/>
        <w:spacing w:before="0" w:after="100" w:line="240" w:lineRule="atLeast"/>
        <w:ind w:left="397" w:hanging="397"/>
        <w:rPr>
          <w:sz w:val="22"/>
          <w:szCs w:val="26"/>
        </w:rPr>
      </w:pPr>
      <w:r w:rsidRPr="007B5BE9">
        <w:rPr>
          <w:sz w:val="22"/>
          <w:szCs w:val="26"/>
        </w:rPr>
        <w:t>3.</w:t>
      </w:r>
      <w:r w:rsidRPr="007B5BE9">
        <w:rPr>
          <w:sz w:val="22"/>
          <w:szCs w:val="26"/>
        </w:rPr>
        <w:tab/>
      </w:r>
      <w:r w:rsidR="00D938D7">
        <w:rPr>
          <w:sz w:val="22"/>
          <w:szCs w:val="26"/>
        </w:rPr>
        <w:t>a</w:t>
      </w:r>
      <w:r w:rsidRPr="007B5BE9">
        <w:rPr>
          <w:sz w:val="22"/>
          <w:szCs w:val="26"/>
        </w:rPr>
        <w:t>ccess to services (consider how individual and community access to critical services and the ability to earn an income change, due to worsening impacts from episodic events and relocation of essential services)</w:t>
      </w:r>
    </w:p>
    <w:p w14:paraId="7144058B" w14:textId="42F542C2" w:rsidR="00C446CF" w:rsidRPr="007B5BE9" w:rsidRDefault="00C446CF" w:rsidP="00550F2A">
      <w:pPr>
        <w:pStyle w:val="Note"/>
        <w:spacing w:before="0" w:line="240" w:lineRule="atLeast"/>
        <w:ind w:left="397" w:hanging="397"/>
        <w:rPr>
          <w:sz w:val="22"/>
          <w:szCs w:val="26"/>
        </w:rPr>
      </w:pPr>
      <w:r w:rsidRPr="007B5BE9">
        <w:rPr>
          <w:sz w:val="22"/>
          <w:szCs w:val="26"/>
        </w:rPr>
        <w:t>4.</w:t>
      </w:r>
      <w:r w:rsidRPr="007B5BE9">
        <w:rPr>
          <w:sz w:val="22"/>
          <w:szCs w:val="26"/>
        </w:rPr>
        <w:tab/>
      </w:r>
      <w:r w:rsidR="00D938D7">
        <w:rPr>
          <w:sz w:val="22"/>
          <w:szCs w:val="26"/>
        </w:rPr>
        <w:t>a</w:t>
      </w:r>
      <w:r w:rsidRPr="007B5BE9">
        <w:rPr>
          <w:sz w:val="22"/>
          <w:szCs w:val="26"/>
        </w:rPr>
        <w:t xml:space="preserve">ctivity patterns (how the ability to undertake normal daily habitats and activities [eg, shopping or travelling to work] is affected, and whether these changes can be tolerated by those who live there). </w:t>
      </w:r>
    </w:p>
    <w:p w14:paraId="59959896" w14:textId="77777777" w:rsidR="00C446CF" w:rsidRPr="007B5BE9" w:rsidRDefault="00C446CF" w:rsidP="00F9502C">
      <w:pPr>
        <w:pStyle w:val="Note"/>
        <w:spacing w:before="80" w:after="80"/>
        <w:rPr>
          <w:b/>
          <w:bCs/>
          <w:sz w:val="22"/>
          <w:szCs w:val="26"/>
        </w:rPr>
      </w:pPr>
      <w:r w:rsidRPr="007B5BE9">
        <w:rPr>
          <w:b/>
          <w:bCs/>
          <w:sz w:val="22"/>
          <w:szCs w:val="26"/>
        </w:rPr>
        <w:t>Natural environment</w:t>
      </w:r>
    </w:p>
    <w:p w14:paraId="5B0B8C54" w14:textId="77777777" w:rsidR="00C446CF" w:rsidRPr="007B5BE9" w:rsidRDefault="00C446CF" w:rsidP="00D52B59">
      <w:pPr>
        <w:pStyle w:val="Note"/>
        <w:spacing w:before="0" w:after="100" w:line="240" w:lineRule="atLeast"/>
        <w:ind w:left="397" w:hanging="397"/>
        <w:rPr>
          <w:sz w:val="22"/>
          <w:szCs w:val="26"/>
        </w:rPr>
      </w:pPr>
      <w:r w:rsidRPr="007B5BE9">
        <w:rPr>
          <w:sz w:val="22"/>
          <w:szCs w:val="26"/>
        </w:rPr>
        <w:t>The areas of the natural environment to be assessed include:</w:t>
      </w:r>
    </w:p>
    <w:p w14:paraId="65136A8C" w14:textId="2C81D2AA" w:rsidR="00C446CF" w:rsidRPr="007B5BE9" w:rsidRDefault="00C446CF" w:rsidP="00D52B59">
      <w:pPr>
        <w:pStyle w:val="Note"/>
        <w:spacing w:before="0" w:after="100" w:line="240" w:lineRule="atLeast"/>
        <w:ind w:left="397" w:hanging="397"/>
        <w:rPr>
          <w:sz w:val="22"/>
          <w:szCs w:val="26"/>
        </w:rPr>
      </w:pPr>
      <w:r w:rsidRPr="007B5BE9">
        <w:rPr>
          <w:sz w:val="22"/>
          <w:szCs w:val="26"/>
        </w:rPr>
        <w:t>1.</w:t>
      </w:r>
      <w:r w:rsidRPr="007B5BE9">
        <w:rPr>
          <w:sz w:val="22"/>
          <w:szCs w:val="26"/>
        </w:rPr>
        <w:tab/>
      </w:r>
      <w:r w:rsidR="0020655A">
        <w:rPr>
          <w:sz w:val="22"/>
          <w:szCs w:val="26"/>
        </w:rPr>
        <w:t>e</w:t>
      </w:r>
      <w:r w:rsidRPr="007B5BE9">
        <w:rPr>
          <w:sz w:val="22"/>
          <w:szCs w:val="26"/>
        </w:rPr>
        <w:t>cosystems (how ecosystems will continue to provide services as impacts worsen)</w:t>
      </w:r>
    </w:p>
    <w:p w14:paraId="34EB7C9D" w14:textId="17CFBF50" w:rsidR="00C446CF" w:rsidRPr="007B5BE9" w:rsidRDefault="00C446CF" w:rsidP="00D52B59">
      <w:pPr>
        <w:pStyle w:val="Note"/>
        <w:spacing w:before="0" w:after="100" w:line="240" w:lineRule="atLeast"/>
        <w:ind w:left="397" w:hanging="397"/>
        <w:rPr>
          <w:sz w:val="22"/>
          <w:szCs w:val="26"/>
        </w:rPr>
      </w:pPr>
      <w:r w:rsidRPr="007B5BE9">
        <w:rPr>
          <w:sz w:val="22"/>
          <w:szCs w:val="26"/>
        </w:rPr>
        <w:t>2.</w:t>
      </w:r>
      <w:r w:rsidRPr="007B5BE9">
        <w:rPr>
          <w:sz w:val="22"/>
          <w:szCs w:val="26"/>
        </w:rPr>
        <w:tab/>
      </w:r>
      <w:r w:rsidR="0020655A">
        <w:rPr>
          <w:sz w:val="22"/>
          <w:szCs w:val="26"/>
        </w:rPr>
        <w:t>s</w:t>
      </w:r>
      <w:r w:rsidRPr="007B5BE9">
        <w:rPr>
          <w:sz w:val="22"/>
          <w:szCs w:val="26"/>
        </w:rPr>
        <w:t>pecies (how individual species may be affected)</w:t>
      </w:r>
    </w:p>
    <w:p w14:paraId="49186143" w14:textId="3CDD3A9D" w:rsidR="00C446CF" w:rsidRPr="007B5BE9" w:rsidRDefault="00C446CF" w:rsidP="00D52B59">
      <w:pPr>
        <w:pStyle w:val="Note"/>
        <w:spacing w:before="0" w:after="100" w:line="240" w:lineRule="atLeast"/>
        <w:ind w:left="397" w:hanging="397"/>
        <w:rPr>
          <w:sz w:val="22"/>
          <w:szCs w:val="26"/>
        </w:rPr>
      </w:pPr>
      <w:r w:rsidRPr="007B5BE9">
        <w:rPr>
          <w:sz w:val="22"/>
          <w:szCs w:val="26"/>
        </w:rPr>
        <w:lastRenderedPageBreak/>
        <w:t>3.</w:t>
      </w:r>
      <w:r w:rsidRPr="007B5BE9">
        <w:rPr>
          <w:sz w:val="22"/>
          <w:szCs w:val="26"/>
        </w:rPr>
        <w:tab/>
      </w:r>
      <w:r w:rsidR="0020655A">
        <w:rPr>
          <w:sz w:val="22"/>
          <w:szCs w:val="26"/>
        </w:rPr>
        <w:t>b</w:t>
      </w:r>
      <w:r w:rsidRPr="007B5BE9">
        <w:rPr>
          <w:sz w:val="22"/>
          <w:szCs w:val="26"/>
        </w:rPr>
        <w:t>iodiversity (including the variability within species, between species and of ecosystems)</w:t>
      </w:r>
    </w:p>
    <w:p w14:paraId="47581318" w14:textId="271601E8" w:rsidR="00C446CF" w:rsidRPr="007B5BE9" w:rsidRDefault="00C446CF" w:rsidP="00550F2A">
      <w:pPr>
        <w:pStyle w:val="Note"/>
        <w:spacing w:before="0" w:line="240" w:lineRule="atLeast"/>
        <w:ind w:left="397" w:hanging="397"/>
        <w:rPr>
          <w:sz w:val="22"/>
          <w:szCs w:val="26"/>
        </w:rPr>
      </w:pPr>
      <w:r w:rsidRPr="007B5BE9">
        <w:rPr>
          <w:sz w:val="22"/>
          <w:szCs w:val="26"/>
        </w:rPr>
        <w:t>4.</w:t>
      </w:r>
      <w:r w:rsidRPr="007B5BE9">
        <w:rPr>
          <w:sz w:val="22"/>
          <w:szCs w:val="26"/>
        </w:rPr>
        <w:tab/>
      </w:r>
      <w:r w:rsidR="0020655A">
        <w:rPr>
          <w:sz w:val="22"/>
          <w:szCs w:val="26"/>
        </w:rPr>
        <w:t>t</w:t>
      </w:r>
      <w:r w:rsidRPr="007B5BE9">
        <w:rPr>
          <w:sz w:val="22"/>
          <w:szCs w:val="26"/>
        </w:rPr>
        <w:t xml:space="preserve">aonga species. </w:t>
      </w:r>
    </w:p>
    <w:p w14:paraId="18E14BB3" w14:textId="77777777" w:rsidR="00C446CF" w:rsidRPr="007B5BE9" w:rsidRDefault="00C446CF" w:rsidP="00F9502C">
      <w:pPr>
        <w:pStyle w:val="Note"/>
        <w:spacing w:after="80"/>
        <w:rPr>
          <w:b/>
          <w:bCs/>
          <w:sz w:val="22"/>
          <w:szCs w:val="26"/>
        </w:rPr>
      </w:pPr>
      <w:r w:rsidRPr="007B5BE9">
        <w:rPr>
          <w:b/>
          <w:bCs/>
          <w:sz w:val="22"/>
          <w:szCs w:val="26"/>
        </w:rPr>
        <w:t>Economy</w:t>
      </w:r>
    </w:p>
    <w:p w14:paraId="1621CC8D" w14:textId="77777777" w:rsidR="00C446CF" w:rsidRPr="007B5BE9" w:rsidRDefault="00C446CF" w:rsidP="00E8734C">
      <w:pPr>
        <w:pStyle w:val="Note"/>
        <w:spacing w:before="0" w:after="100"/>
        <w:rPr>
          <w:sz w:val="22"/>
          <w:szCs w:val="26"/>
        </w:rPr>
      </w:pPr>
      <w:r w:rsidRPr="007B5BE9">
        <w:rPr>
          <w:sz w:val="22"/>
          <w:szCs w:val="26"/>
        </w:rPr>
        <w:t>The areas of the economy to be assessed include:</w:t>
      </w:r>
    </w:p>
    <w:p w14:paraId="29B0EB61" w14:textId="0E8D9D63" w:rsidR="00C446CF" w:rsidRPr="007B5BE9" w:rsidRDefault="00C446CF" w:rsidP="00E8734C">
      <w:pPr>
        <w:pStyle w:val="Note"/>
        <w:spacing w:before="0" w:after="100" w:line="240" w:lineRule="atLeast"/>
        <w:ind w:left="397" w:hanging="397"/>
        <w:rPr>
          <w:sz w:val="22"/>
          <w:szCs w:val="26"/>
        </w:rPr>
      </w:pPr>
      <w:r w:rsidRPr="007B5BE9">
        <w:rPr>
          <w:sz w:val="22"/>
          <w:szCs w:val="26"/>
        </w:rPr>
        <w:t>1.</w:t>
      </w:r>
      <w:r w:rsidRPr="007B5BE9">
        <w:rPr>
          <w:sz w:val="22"/>
          <w:szCs w:val="26"/>
        </w:rPr>
        <w:tab/>
      </w:r>
      <w:r w:rsidR="0020655A">
        <w:rPr>
          <w:sz w:val="22"/>
          <w:szCs w:val="26"/>
        </w:rPr>
        <w:t>b</w:t>
      </w:r>
      <w:r w:rsidRPr="007B5BE9">
        <w:rPr>
          <w:sz w:val="22"/>
          <w:szCs w:val="26"/>
        </w:rPr>
        <w:t>usinesses (how they perform as impacts worsen in frequency, intensity and magnitude, considering episodic and ongoing changes)</w:t>
      </w:r>
    </w:p>
    <w:p w14:paraId="0342BDE3" w14:textId="1AA8A29B" w:rsidR="00C446CF" w:rsidRPr="007B5BE9" w:rsidRDefault="00C446CF" w:rsidP="00E8734C">
      <w:pPr>
        <w:pStyle w:val="Note"/>
        <w:spacing w:before="0" w:after="100" w:line="240" w:lineRule="atLeast"/>
        <w:ind w:left="397" w:hanging="397"/>
        <w:rPr>
          <w:sz w:val="22"/>
          <w:szCs w:val="26"/>
        </w:rPr>
      </w:pPr>
      <w:r w:rsidRPr="007B5BE9">
        <w:rPr>
          <w:sz w:val="22"/>
          <w:szCs w:val="26"/>
        </w:rPr>
        <w:t>2.</w:t>
      </w:r>
      <w:r w:rsidRPr="007B5BE9">
        <w:rPr>
          <w:sz w:val="22"/>
          <w:szCs w:val="26"/>
        </w:rPr>
        <w:tab/>
      </w:r>
      <w:r w:rsidR="0020655A">
        <w:rPr>
          <w:sz w:val="22"/>
          <w:szCs w:val="26"/>
        </w:rPr>
        <w:t>l</w:t>
      </w:r>
      <w:r w:rsidRPr="007B5BE9">
        <w:rPr>
          <w:sz w:val="22"/>
          <w:szCs w:val="26"/>
        </w:rPr>
        <w:t>ocal and central government assets (how these are affected by impacts and their potential costs)</w:t>
      </w:r>
    </w:p>
    <w:p w14:paraId="327B522E" w14:textId="4FF4ABBC" w:rsidR="00C446CF" w:rsidRPr="007B5BE9" w:rsidRDefault="00C446CF" w:rsidP="00550F2A">
      <w:pPr>
        <w:pStyle w:val="Note"/>
        <w:spacing w:before="0" w:line="240" w:lineRule="atLeast"/>
        <w:ind w:left="397" w:hanging="397"/>
        <w:rPr>
          <w:sz w:val="22"/>
          <w:szCs w:val="26"/>
        </w:rPr>
      </w:pPr>
      <w:r w:rsidRPr="007B5BE9">
        <w:rPr>
          <w:sz w:val="22"/>
          <w:szCs w:val="26"/>
        </w:rPr>
        <w:t>3.</w:t>
      </w:r>
      <w:r w:rsidRPr="007B5BE9">
        <w:rPr>
          <w:sz w:val="22"/>
          <w:szCs w:val="26"/>
        </w:rPr>
        <w:tab/>
      </w:r>
      <w:r w:rsidR="0020655A">
        <w:rPr>
          <w:sz w:val="22"/>
          <w:szCs w:val="26"/>
        </w:rPr>
        <w:t>f</w:t>
      </w:r>
      <w:r w:rsidRPr="007B5BE9">
        <w:rPr>
          <w:sz w:val="22"/>
          <w:szCs w:val="26"/>
        </w:rPr>
        <w:t>inancial institutions (how liabilities change and emerge from worsening impacts)</w:t>
      </w:r>
    </w:p>
    <w:p w14:paraId="400C88B4" w14:textId="159E3FA8" w:rsidR="00C446CF" w:rsidRPr="007B5BE9" w:rsidRDefault="00C446CF" w:rsidP="00550F2A">
      <w:pPr>
        <w:pStyle w:val="Note"/>
        <w:spacing w:before="0" w:line="240" w:lineRule="atLeast"/>
        <w:ind w:left="397" w:hanging="397"/>
        <w:rPr>
          <w:sz w:val="22"/>
          <w:szCs w:val="26"/>
        </w:rPr>
      </w:pPr>
      <w:r w:rsidRPr="007B5BE9">
        <w:rPr>
          <w:sz w:val="22"/>
          <w:szCs w:val="26"/>
        </w:rPr>
        <w:t>4.</w:t>
      </w:r>
      <w:r w:rsidRPr="007B5BE9">
        <w:rPr>
          <w:sz w:val="22"/>
          <w:szCs w:val="26"/>
        </w:rPr>
        <w:tab/>
      </w:r>
      <w:r w:rsidR="0020655A">
        <w:rPr>
          <w:sz w:val="22"/>
          <w:szCs w:val="26"/>
        </w:rPr>
        <w:t>c</w:t>
      </w:r>
      <w:r w:rsidRPr="007B5BE9">
        <w:rPr>
          <w:sz w:val="22"/>
          <w:szCs w:val="26"/>
        </w:rPr>
        <w:t>onsumption patterns (including tourism).</w:t>
      </w:r>
    </w:p>
    <w:p w14:paraId="3BE531A4" w14:textId="77777777" w:rsidR="00C446CF" w:rsidRPr="007B5BE9" w:rsidRDefault="00C446CF" w:rsidP="00550F2A">
      <w:pPr>
        <w:pStyle w:val="Note"/>
        <w:spacing w:before="0"/>
        <w:rPr>
          <w:sz w:val="22"/>
          <w:szCs w:val="26"/>
        </w:rPr>
      </w:pPr>
      <w:r w:rsidRPr="007B5BE9">
        <w:rPr>
          <w:sz w:val="22"/>
          <w:szCs w:val="26"/>
        </w:rPr>
        <w:t>Consider the duration and permanence of the effect: temporary changes are likely to be more minor than sustained or permanent effects.</w:t>
      </w:r>
    </w:p>
    <w:p w14:paraId="62AE28A8" w14:textId="77777777" w:rsidR="00C446CF" w:rsidRPr="007B5BE9" w:rsidRDefault="00C446CF" w:rsidP="00550F2A">
      <w:pPr>
        <w:pStyle w:val="Note"/>
        <w:spacing w:before="0"/>
        <w:rPr>
          <w:sz w:val="22"/>
          <w:szCs w:val="26"/>
        </w:rPr>
      </w:pPr>
      <w:r w:rsidRPr="007B5BE9">
        <w:rPr>
          <w:sz w:val="22"/>
          <w:szCs w:val="26"/>
        </w:rPr>
        <w:t>Consider the criticality of the business or sector.</w:t>
      </w:r>
    </w:p>
    <w:p w14:paraId="4E5AAB31" w14:textId="77777777" w:rsidR="00C446CF" w:rsidRPr="007B5BE9" w:rsidRDefault="00C446CF" w:rsidP="00F9502C">
      <w:pPr>
        <w:pStyle w:val="Note"/>
        <w:spacing w:after="80"/>
        <w:rPr>
          <w:b/>
          <w:bCs/>
          <w:sz w:val="22"/>
          <w:szCs w:val="26"/>
        </w:rPr>
      </w:pPr>
      <w:r w:rsidRPr="007B5BE9">
        <w:rPr>
          <w:b/>
          <w:bCs/>
          <w:sz w:val="22"/>
          <w:szCs w:val="26"/>
        </w:rPr>
        <w:t>Built environment</w:t>
      </w:r>
    </w:p>
    <w:p w14:paraId="076661CD" w14:textId="77777777" w:rsidR="00C446CF" w:rsidRPr="007B5BE9" w:rsidRDefault="00C446CF" w:rsidP="00E8734C">
      <w:pPr>
        <w:pStyle w:val="Note"/>
        <w:spacing w:before="0" w:after="100"/>
        <w:rPr>
          <w:sz w:val="22"/>
          <w:szCs w:val="26"/>
        </w:rPr>
      </w:pPr>
      <w:r w:rsidRPr="007B5BE9">
        <w:rPr>
          <w:sz w:val="22"/>
          <w:szCs w:val="26"/>
        </w:rPr>
        <w:t>The areas of the built environment to be assessed include:</w:t>
      </w:r>
    </w:p>
    <w:p w14:paraId="7DC2B7A2" w14:textId="16831AD3" w:rsidR="00C446CF" w:rsidRPr="007B5BE9" w:rsidRDefault="00C446CF" w:rsidP="00E8734C">
      <w:pPr>
        <w:pStyle w:val="Note"/>
        <w:spacing w:before="0" w:after="100" w:line="240" w:lineRule="atLeast"/>
        <w:ind w:left="397" w:hanging="397"/>
        <w:rPr>
          <w:sz w:val="22"/>
          <w:szCs w:val="26"/>
        </w:rPr>
      </w:pPr>
      <w:r w:rsidRPr="007B5BE9">
        <w:rPr>
          <w:sz w:val="22"/>
          <w:szCs w:val="26"/>
        </w:rPr>
        <w:t>1.</w:t>
      </w:r>
      <w:r w:rsidRPr="007B5BE9">
        <w:rPr>
          <w:sz w:val="22"/>
          <w:szCs w:val="26"/>
        </w:rPr>
        <w:tab/>
      </w:r>
      <w:r w:rsidR="004F1EFF">
        <w:rPr>
          <w:sz w:val="22"/>
          <w:szCs w:val="26"/>
        </w:rPr>
        <w:t>r</w:t>
      </w:r>
      <w:r w:rsidRPr="007B5BE9">
        <w:rPr>
          <w:sz w:val="22"/>
          <w:szCs w:val="26"/>
        </w:rPr>
        <w:t>esidential dwellings</w:t>
      </w:r>
    </w:p>
    <w:p w14:paraId="320BAA9A" w14:textId="1BC4E77F" w:rsidR="00C446CF" w:rsidRPr="007B5BE9" w:rsidRDefault="00C446CF" w:rsidP="00E8734C">
      <w:pPr>
        <w:pStyle w:val="Note"/>
        <w:spacing w:before="0" w:after="100" w:line="240" w:lineRule="atLeast"/>
        <w:ind w:left="397" w:hanging="397"/>
        <w:rPr>
          <w:sz w:val="22"/>
          <w:szCs w:val="26"/>
        </w:rPr>
      </w:pPr>
      <w:r w:rsidRPr="007B5BE9">
        <w:rPr>
          <w:sz w:val="22"/>
          <w:szCs w:val="26"/>
        </w:rPr>
        <w:t>2.</w:t>
      </w:r>
      <w:r w:rsidRPr="007B5BE9">
        <w:rPr>
          <w:sz w:val="22"/>
          <w:szCs w:val="26"/>
        </w:rPr>
        <w:tab/>
      </w:r>
      <w:r w:rsidR="004F1EFF">
        <w:rPr>
          <w:sz w:val="22"/>
          <w:szCs w:val="26"/>
        </w:rPr>
        <w:t>c</w:t>
      </w:r>
      <w:r w:rsidRPr="007B5BE9">
        <w:rPr>
          <w:sz w:val="22"/>
          <w:szCs w:val="26"/>
        </w:rPr>
        <w:t>ommercial and government buildings</w:t>
      </w:r>
    </w:p>
    <w:p w14:paraId="049CAD64" w14:textId="6F1BF027" w:rsidR="00C446CF" w:rsidRPr="007B5BE9" w:rsidRDefault="00C446CF" w:rsidP="00E8734C">
      <w:pPr>
        <w:pStyle w:val="Note"/>
        <w:spacing w:before="0" w:after="100" w:line="240" w:lineRule="atLeast"/>
        <w:ind w:left="397" w:hanging="397"/>
        <w:rPr>
          <w:sz w:val="22"/>
          <w:szCs w:val="26"/>
        </w:rPr>
      </w:pPr>
      <w:r w:rsidRPr="007B5BE9">
        <w:rPr>
          <w:sz w:val="22"/>
          <w:szCs w:val="26"/>
        </w:rPr>
        <w:t>3.</w:t>
      </w:r>
      <w:r w:rsidRPr="007B5BE9">
        <w:rPr>
          <w:sz w:val="22"/>
          <w:szCs w:val="26"/>
        </w:rPr>
        <w:tab/>
      </w:r>
      <w:r w:rsidR="004F1EFF">
        <w:rPr>
          <w:sz w:val="22"/>
          <w:szCs w:val="26"/>
        </w:rPr>
        <w:t>i</w:t>
      </w:r>
      <w:r w:rsidRPr="007B5BE9">
        <w:rPr>
          <w:sz w:val="22"/>
          <w:szCs w:val="26"/>
        </w:rPr>
        <w:t>nfrastructure (including transport, energy, communications, water)</w:t>
      </w:r>
    </w:p>
    <w:p w14:paraId="09B487D5" w14:textId="77DB9A4B" w:rsidR="00C446CF" w:rsidRPr="007B5BE9" w:rsidRDefault="00C446CF" w:rsidP="00550F2A">
      <w:pPr>
        <w:pStyle w:val="Note"/>
        <w:spacing w:before="0" w:line="240" w:lineRule="atLeast"/>
        <w:ind w:left="397" w:hanging="397"/>
        <w:rPr>
          <w:sz w:val="22"/>
          <w:szCs w:val="26"/>
        </w:rPr>
      </w:pPr>
      <w:r w:rsidRPr="007B5BE9">
        <w:rPr>
          <w:sz w:val="22"/>
          <w:szCs w:val="26"/>
        </w:rPr>
        <w:t>4.</w:t>
      </w:r>
      <w:r w:rsidRPr="007B5BE9">
        <w:rPr>
          <w:sz w:val="22"/>
          <w:szCs w:val="26"/>
        </w:rPr>
        <w:tab/>
      </w:r>
      <w:r w:rsidR="004F1EFF">
        <w:rPr>
          <w:sz w:val="22"/>
          <w:szCs w:val="26"/>
        </w:rPr>
        <w:t>b</w:t>
      </w:r>
      <w:r w:rsidRPr="007B5BE9">
        <w:rPr>
          <w:sz w:val="22"/>
          <w:szCs w:val="26"/>
        </w:rPr>
        <w:t xml:space="preserve">uilt Māori cultural assets (such as marae, urupā, wāhi tapu and wāhi taonga). </w:t>
      </w:r>
    </w:p>
    <w:p w14:paraId="6DCBBA30" w14:textId="77777777" w:rsidR="00C446CF" w:rsidRPr="007B5BE9" w:rsidRDefault="00C446CF" w:rsidP="00F9502C">
      <w:pPr>
        <w:pStyle w:val="Note"/>
        <w:spacing w:after="80"/>
        <w:rPr>
          <w:b/>
          <w:bCs/>
          <w:sz w:val="22"/>
          <w:szCs w:val="26"/>
        </w:rPr>
      </w:pPr>
      <w:r w:rsidRPr="007B5BE9">
        <w:rPr>
          <w:b/>
          <w:bCs/>
          <w:sz w:val="22"/>
          <w:szCs w:val="26"/>
        </w:rPr>
        <w:t>Governance</w:t>
      </w:r>
    </w:p>
    <w:p w14:paraId="3BB2AC0A" w14:textId="77777777" w:rsidR="00C446CF" w:rsidRPr="007B5BE9" w:rsidRDefault="00C446CF" w:rsidP="00E8734C">
      <w:pPr>
        <w:pStyle w:val="Note"/>
        <w:spacing w:before="0" w:after="100"/>
        <w:rPr>
          <w:sz w:val="22"/>
          <w:szCs w:val="26"/>
        </w:rPr>
      </w:pPr>
      <w:r w:rsidRPr="007B5BE9">
        <w:rPr>
          <w:sz w:val="22"/>
          <w:szCs w:val="26"/>
        </w:rPr>
        <w:t>The areas of governance to be assessed include:</w:t>
      </w:r>
    </w:p>
    <w:p w14:paraId="507EC4FD" w14:textId="3A538C62" w:rsidR="00C446CF" w:rsidRPr="007B5BE9" w:rsidRDefault="00C446CF" w:rsidP="00E8734C">
      <w:pPr>
        <w:pStyle w:val="Note"/>
        <w:spacing w:before="0" w:after="100" w:line="240" w:lineRule="atLeast"/>
        <w:ind w:left="397" w:hanging="397"/>
        <w:rPr>
          <w:sz w:val="22"/>
          <w:szCs w:val="26"/>
        </w:rPr>
      </w:pPr>
      <w:r w:rsidRPr="007B5BE9">
        <w:rPr>
          <w:sz w:val="22"/>
          <w:szCs w:val="26"/>
        </w:rPr>
        <w:t>1.</w:t>
      </w:r>
      <w:r w:rsidRPr="007B5BE9">
        <w:rPr>
          <w:sz w:val="22"/>
          <w:szCs w:val="26"/>
        </w:rPr>
        <w:tab/>
      </w:r>
      <w:r w:rsidR="004F1EFF">
        <w:rPr>
          <w:sz w:val="22"/>
          <w:szCs w:val="26"/>
        </w:rPr>
        <w:t>p</w:t>
      </w:r>
      <w:r w:rsidRPr="007B5BE9">
        <w:rPr>
          <w:sz w:val="22"/>
          <w:szCs w:val="26"/>
        </w:rPr>
        <w:t>olicies, rules and laws (how they perform as impacts worsen in frequency, intensity and magnitude, considering episodic and ongoing changes)</w:t>
      </w:r>
    </w:p>
    <w:p w14:paraId="2A57F115" w14:textId="25A42604" w:rsidR="00C446CF" w:rsidRPr="007B5BE9" w:rsidRDefault="00C446CF" w:rsidP="00E8734C">
      <w:pPr>
        <w:pStyle w:val="Note"/>
        <w:spacing w:before="0" w:after="100" w:line="240" w:lineRule="atLeast"/>
        <w:ind w:left="397" w:hanging="397"/>
        <w:rPr>
          <w:sz w:val="22"/>
          <w:szCs w:val="26"/>
        </w:rPr>
      </w:pPr>
      <w:r w:rsidRPr="007B5BE9">
        <w:rPr>
          <w:sz w:val="22"/>
          <w:szCs w:val="26"/>
        </w:rPr>
        <w:t>2.</w:t>
      </w:r>
      <w:r w:rsidRPr="007B5BE9">
        <w:rPr>
          <w:sz w:val="22"/>
          <w:szCs w:val="26"/>
        </w:rPr>
        <w:tab/>
      </w:r>
      <w:r w:rsidR="004F1EFF">
        <w:rPr>
          <w:sz w:val="22"/>
          <w:szCs w:val="26"/>
        </w:rPr>
        <w:t>i</w:t>
      </w:r>
      <w:r w:rsidRPr="007B5BE9">
        <w:rPr>
          <w:sz w:val="22"/>
          <w:szCs w:val="26"/>
        </w:rPr>
        <w:t>nformal norms and practices (how individuals and communities change as the impacts worsen)</w:t>
      </w:r>
    </w:p>
    <w:p w14:paraId="0AC87DEF" w14:textId="39A77554" w:rsidR="00C446CF" w:rsidRPr="007B5BE9" w:rsidRDefault="00C446CF" w:rsidP="00E8734C">
      <w:pPr>
        <w:pStyle w:val="Note"/>
        <w:spacing w:before="0" w:after="100" w:line="240" w:lineRule="atLeast"/>
        <w:ind w:left="397" w:hanging="397"/>
        <w:rPr>
          <w:sz w:val="22"/>
          <w:szCs w:val="26"/>
        </w:rPr>
      </w:pPr>
      <w:r w:rsidRPr="007B5BE9">
        <w:rPr>
          <w:sz w:val="22"/>
          <w:szCs w:val="26"/>
        </w:rPr>
        <w:t>3.</w:t>
      </w:r>
      <w:r w:rsidRPr="007B5BE9">
        <w:rPr>
          <w:sz w:val="22"/>
          <w:szCs w:val="26"/>
        </w:rPr>
        <w:tab/>
      </w:r>
      <w:r w:rsidR="004F1EFF">
        <w:rPr>
          <w:sz w:val="22"/>
          <w:szCs w:val="26"/>
        </w:rPr>
        <w:t>l</w:t>
      </w:r>
      <w:r w:rsidRPr="007B5BE9">
        <w:rPr>
          <w:sz w:val="22"/>
          <w:szCs w:val="26"/>
        </w:rPr>
        <w:t>egal responsibilities and litigation (how liabilities play out under community pressures that emerge from worsening impacts)</w:t>
      </w:r>
    </w:p>
    <w:p w14:paraId="4894025B" w14:textId="66CE3940" w:rsidR="00C446CF" w:rsidRPr="007B5BE9" w:rsidRDefault="00C446CF" w:rsidP="00E8734C">
      <w:pPr>
        <w:pStyle w:val="Note"/>
        <w:spacing w:before="0" w:after="100" w:line="240" w:lineRule="atLeast"/>
        <w:ind w:left="397" w:hanging="397"/>
        <w:rPr>
          <w:sz w:val="22"/>
          <w:szCs w:val="26"/>
        </w:rPr>
      </w:pPr>
      <w:r w:rsidRPr="007B5BE9">
        <w:rPr>
          <w:sz w:val="22"/>
          <w:szCs w:val="26"/>
        </w:rPr>
        <w:t>4.</w:t>
      </w:r>
      <w:r w:rsidRPr="007B5BE9">
        <w:rPr>
          <w:sz w:val="22"/>
          <w:szCs w:val="26"/>
        </w:rPr>
        <w:tab/>
      </w:r>
      <w:r w:rsidR="004F1EFF">
        <w:rPr>
          <w:sz w:val="22"/>
          <w:szCs w:val="26"/>
        </w:rPr>
        <w:t>t</w:t>
      </w:r>
      <w:r w:rsidRPr="007B5BE9">
        <w:rPr>
          <w:sz w:val="22"/>
          <w:szCs w:val="26"/>
        </w:rPr>
        <w:t>rust in institutions (how relationships between national and local governments and between governments, communities and sectors play out)</w:t>
      </w:r>
    </w:p>
    <w:p w14:paraId="6DBBE445" w14:textId="03670FB6" w:rsidR="003910FD" w:rsidRPr="007B5BE9" w:rsidRDefault="00C446CF" w:rsidP="00550F2A">
      <w:pPr>
        <w:pStyle w:val="Note"/>
        <w:spacing w:before="0" w:line="240" w:lineRule="atLeast"/>
        <w:ind w:left="397" w:hanging="397"/>
        <w:rPr>
          <w:sz w:val="22"/>
          <w:szCs w:val="26"/>
        </w:rPr>
      </w:pPr>
      <w:r w:rsidRPr="007B5BE9">
        <w:rPr>
          <w:sz w:val="22"/>
          <w:szCs w:val="26"/>
        </w:rPr>
        <w:t>5.</w:t>
      </w:r>
      <w:r w:rsidRPr="007B5BE9">
        <w:rPr>
          <w:sz w:val="22"/>
          <w:szCs w:val="26"/>
        </w:rPr>
        <w:tab/>
      </w:r>
      <w:r w:rsidR="000A4130">
        <w:rPr>
          <w:sz w:val="22"/>
          <w:szCs w:val="26"/>
        </w:rPr>
        <w:t xml:space="preserve">Te Tiriti o </w:t>
      </w:r>
      <w:r w:rsidRPr="007B5BE9">
        <w:rPr>
          <w:sz w:val="22"/>
          <w:szCs w:val="26"/>
        </w:rPr>
        <w:t>Waitangi (how partnership and</w:t>
      </w:r>
      <w:r w:rsidR="00987CF2">
        <w:rPr>
          <w:sz w:val="22"/>
          <w:szCs w:val="26"/>
        </w:rPr>
        <w:t xml:space="preserve"> Te</w:t>
      </w:r>
      <w:r w:rsidRPr="007B5BE9">
        <w:rPr>
          <w:sz w:val="22"/>
          <w:szCs w:val="26"/>
        </w:rPr>
        <w:t xml:space="preserve"> </w:t>
      </w:r>
      <w:r w:rsidR="000A4130">
        <w:rPr>
          <w:sz w:val="22"/>
          <w:szCs w:val="26"/>
        </w:rPr>
        <w:t>Tiriti</w:t>
      </w:r>
      <w:r w:rsidR="000A4130" w:rsidRPr="007B5BE9">
        <w:rPr>
          <w:sz w:val="22"/>
          <w:szCs w:val="26"/>
        </w:rPr>
        <w:t xml:space="preserve"> </w:t>
      </w:r>
      <w:r w:rsidRPr="007B5BE9">
        <w:rPr>
          <w:sz w:val="22"/>
          <w:szCs w:val="26"/>
        </w:rPr>
        <w:t>rights are affected as impacts worsen).</w:t>
      </w:r>
    </w:p>
    <w:p w14:paraId="601F2263" w14:textId="4363CA74" w:rsidR="00A22CC6" w:rsidRPr="007B5BE9" w:rsidRDefault="00A22CC6" w:rsidP="00550F2A">
      <w:pPr>
        <w:pStyle w:val="BodyText"/>
        <w:spacing w:before="0"/>
        <w:rPr>
          <w:sz w:val="24"/>
          <w:szCs w:val="24"/>
        </w:rPr>
      </w:pPr>
    </w:p>
    <w:p w14:paraId="665AAD6A" w14:textId="32F251D4" w:rsidR="00DA118D" w:rsidRDefault="00DA118D" w:rsidP="00A22CC6">
      <w:pPr>
        <w:pStyle w:val="BodyText"/>
      </w:pPr>
    </w:p>
    <w:p w14:paraId="4E5B4DA5" w14:textId="77777777" w:rsidR="00DA118D" w:rsidRDefault="00DA118D" w:rsidP="00A22CC6">
      <w:pPr>
        <w:pStyle w:val="BodyText"/>
        <w:sectPr w:rsidR="00DA118D" w:rsidSect="00FE3724">
          <w:footerReference w:type="default" r:id="rId58"/>
          <w:pgSz w:w="23808" w:h="16840" w:orient="landscape" w:code="8"/>
          <w:pgMar w:top="1701" w:right="1134" w:bottom="1701" w:left="1134" w:header="567" w:footer="567" w:gutter="0"/>
          <w:cols w:space="720"/>
          <w:docGrid w:linePitch="299"/>
        </w:sectPr>
      </w:pPr>
    </w:p>
    <w:p w14:paraId="21606A75" w14:textId="77777777" w:rsidR="00D21530" w:rsidRPr="0024184F" w:rsidRDefault="00D21530" w:rsidP="0083796C">
      <w:pPr>
        <w:pStyle w:val="Heading3"/>
        <w:spacing w:before="120"/>
      </w:pPr>
      <w:r w:rsidRPr="0024184F">
        <w:lastRenderedPageBreak/>
        <w:t>Confidence</w:t>
      </w:r>
    </w:p>
    <w:p w14:paraId="0AE0CED8" w14:textId="798CCCF4" w:rsidR="00D21530" w:rsidRPr="0024184F" w:rsidRDefault="00D21530" w:rsidP="00D21530">
      <w:pPr>
        <w:pStyle w:val="BodyText"/>
      </w:pPr>
      <w:r w:rsidRPr="0024184F">
        <w:t xml:space="preserve">The confidence rating used in this assessment follows the Guidance Note for Lead Authors of the IPCC Fifth Assessment Report on Consistent Treatment of Uncertainties (Mastrandrea et al, 2010). </w:t>
      </w:r>
      <w:r w:rsidR="00B23A54">
        <w:t>In line with</w:t>
      </w:r>
      <w:r w:rsidR="000A4130" w:rsidRPr="0024184F">
        <w:t xml:space="preserve"> </w:t>
      </w:r>
      <w:r w:rsidRPr="0024184F">
        <w:t xml:space="preserve">this guidance, this assessment uses two metrics for communicating the degree of certainty in key findings: </w:t>
      </w:r>
    </w:p>
    <w:p w14:paraId="6D6BDAC1" w14:textId="3C376F96" w:rsidR="00D21530" w:rsidRPr="00D21530" w:rsidRDefault="000A4130" w:rsidP="00D21530">
      <w:pPr>
        <w:pStyle w:val="Bullet"/>
      </w:pPr>
      <w:r>
        <w:t>c</w:t>
      </w:r>
      <w:r w:rsidR="00D21530" w:rsidRPr="00B30D51">
        <w:t xml:space="preserve">onfidence in the validity of a finding, based on the type, amount, quality and consistency of evidence (eg, </w:t>
      </w:r>
      <w:r w:rsidR="00D21530" w:rsidRPr="00D21530">
        <w:t>mechanistic understanding, theory, data, models, expert judgement) and the degree of agreement. Confidence is expressed qualitatively</w:t>
      </w:r>
      <w:r w:rsidR="00B23A54">
        <w:t xml:space="preserve"> (</w:t>
      </w:r>
      <w:bookmarkStart w:id="385" w:name="table12"/>
      <w:r w:rsidR="00B23A54">
        <w:fldChar w:fldCharType="begin"/>
      </w:r>
      <w:r w:rsidR="00B23A54">
        <w:instrText xml:space="preserve"> HYPERLINK  \l "table12" </w:instrText>
      </w:r>
      <w:r w:rsidR="00B23A54">
        <w:fldChar w:fldCharType="separate"/>
      </w:r>
      <w:r w:rsidR="00B23A54" w:rsidRPr="00B23A54">
        <w:rPr>
          <w:rStyle w:val="Hyperlink"/>
        </w:rPr>
        <w:t>table 12</w:t>
      </w:r>
      <w:bookmarkEnd w:id="385"/>
      <w:r w:rsidR="00B23A54">
        <w:fldChar w:fldCharType="end"/>
      </w:r>
      <w:r w:rsidR="00B23A54">
        <w:t>)</w:t>
      </w:r>
    </w:p>
    <w:p w14:paraId="5DB41759" w14:textId="240915A6" w:rsidR="00D21530" w:rsidRPr="00B30D51" w:rsidRDefault="000A4130" w:rsidP="00D21530">
      <w:pPr>
        <w:pStyle w:val="Bullet"/>
      </w:pPr>
      <w:r>
        <w:t>q</w:t>
      </w:r>
      <w:r w:rsidR="00D21530" w:rsidRPr="00D21530">
        <w:t>uantified measu</w:t>
      </w:r>
      <w:r w:rsidR="00D21530" w:rsidRPr="00B30D51">
        <w:t>res of uncertainty in a finding (where appropriate) expressed probabilistically (based on statistical analysis of observations or model results, or expert</w:t>
      </w:r>
      <w:r w:rsidR="0083796C">
        <w:t> </w:t>
      </w:r>
      <w:r w:rsidR="00D21530" w:rsidRPr="00B30D51">
        <w:t>judgement).</w:t>
      </w:r>
    </w:p>
    <w:p w14:paraId="60F08746" w14:textId="29D32E53" w:rsidR="00D21530" w:rsidRPr="0024184F" w:rsidRDefault="00D56787" w:rsidP="00B23A54">
      <w:pPr>
        <w:pStyle w:val="Tableheading"/>
      </w:pPr>
      <w:bookmarkStart w:id="386" w:name="_Toc43899328"/>
      <w:r>
        <w:t xml:space="preserve">Table </w:t>
      </w:r>
      <w:fldSimple w:instr=" SEQ Table \* ARABIC ">
        <w:r w:rsidR="001B2025">
          <w:rPr>
            <w:noProof/>
          </w:rPr>
          <w:t>12</w:t>
        </w:r>
      </w:fldSimple>
      <w:r>
        <w:t xml:space="preserve">: </w:t>
      </w:r>
      <w:r w:rsidR="00A316E3">
        <w:tab/>
      </w:r>
      <w:r w:rsidR="00D10F83">
        <w:t>C</w:t>
      </w:r>
      <w:r w:rsidR="008D588F">
        <w:t>onfidence scale</w:t>
      </w:r>
      <w:bookmarkEnd w:id="386"/>
    </w:p>
    <w:p w14:paraId="06826F63" w14:textId="77777777" w:rsidR="00D21530" w:rsidRPr="0024184F" w:rsidRDefault="00D21530" w:rsidP="00D21530">
      <w:pPr>
        <w:pStyle w:val="BodyText"/>
      </w:pPr>
      <w:r w:rsidRPr="0024184F">
        <w:rPr>
          <w:noProof/>
        </w:rPr>
        <w:drawing>
          <wp:inline distT="0" distB="0" distL="0" distR="0" wp14:anchorId="4F88E26E" wp14:editId="04CD84EE">
            <wp:extent cx="5400000" cy="2304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63"/>
                    <a:stretch/>
                  </pic:blipFill>
                  <pic:spPr bwMode="auto">
                    <a:xfrm>
                      <a:off x="0" y="0"/>
                      <a:ext cx="5400000" cy="2304000"/>
                    </a:xfrm>
                    <a:prstGeom prst="rect">
                      <a:avLst/>
                    </a:prstGeom>
                    <a:ln>
                      <a:noFill/>
                    </a:ln>
                    <a:extLst>
                      <a:ext uri="{53640926-AAD7-44D8-BBD7-CCE9431645EC}">
                        <a14:shadowObscured xmlns:a14="http://schemas.microsoft.com/office/drawing/2010/main"/>
                      </a:ext>
                    </a:extLst>
                  </pic:spPr>
                </pic:pic>
              </a:graphicData>
            </a:graphic>
          </wp:inline>
        </w:drawing>
      </w:r>
    </w:p>
    <w:p w14:paraId="54F7CC1B" w14:textId="77777777" w:rsidR="00D21530" w:rsidRPr="0024184F" w:rsidRDefault="00D21530" w:rsidP="0083796C">
      <w:pPr>
        <w:pStyle w:val="Heading3"/>
        <w:spacing w:before="280"/>
      </w:pPr>
      <w:r w:rsidRPr="0024184F">
        <w:t>Urgency criteria</w:t>
      </w:r>
    </w:p>
    <w:p w14:paraId="415E08EA" w14:textId="4C7CB1DE" w:rsidR="00D21530" w:rsidRPr="00C37173" w:rsidRDefault="00ED027C" w:rsidP="00977E44">
      <w:pPr>
        <w:pStyle w:val="Tableheading"/>
      </w:pPr>
      <w:bookmarkStart w:id="387" w:name="_Toc43899329"/>
      <w:r>
        <w:t xml:space="preserve">Table </w:t>
      </w:r>
      <w:fldSimple w:instr=" SEQ Table \* ARABIC ">
        <w:r w:rsidR="001B2025">
          <w:rPr>
            <w:noProof/>
          </w:rPr>
          <w:t>13</w:t>
        </w:r>
      </w:fldSimple>
      <w:r>
        <w:t>:</w:t>
      </w:r>
      <w:r>
        <w:tab/>
      </w:r>
      <w:r w:rsidR="00D21530" w:rsidRPr="0024184F">
        <w:t>Urgency criteria from the 2017 UK Climate Change Risk Assessment (Committee on Climate Change, 2017)</w:t>
      </w:r>
      <w:bookmarkEnd w:id="387"/>
    </w:p>
    <w:p w14:paraId="38139AEC" w14:textId="77777777" w:rsidR="00221877" w:rsidRPr="00221877" w:rsidRDefault="00221877" w:rsidP="00221877">
      <w:pPr>
        <w:pStyle w:val="BodyText"/>
        <w:jc w:val="both"/>
      </w:pPr>
      <w:r w:rsidRPr="0024184F">
        <w:rPr>
          <w:noProof/>
        </w:rPr>
        <w:drawing>
          <wp:inline distT="0" distB="0" distL="0" distR="0" wp14:anchorId="359673E6" wp14:editId="1F5B5B9E">
            <wp:extent cx="5400000" cy="29052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lide5.JPG"/>
                    <pic:cNvPicPr/>
                  </pic:nvPicPr>
                  <pic:blipFill rotWithShape="1">
                    <a:blip r:embed="rId60">
                      <a:extLst>
                        <a:ext uri="{28A0092B-C50C-407E-A947-70E740481C1C}">
                          <a14:useLocalDpi xmlns:a14="http://schemas.microsoft.com/office/drawing/2010/main" val="0"/>
                        </a:ext>
                      </a:extLst>
                    </a:blip>
                    <a:srcRect/>
                    <a:stretch/>
                  </pic:blipFill>
                  <pic:spPr bwMode="auto">
                    <a:xfrm>
                      <a:off x="0" y="0"/>
                      <a:ext cx="5400000" cy="2905200"/>
                    </a:xfrm>
                    <a:prstGeom prst="rect">
                      <a:avLst/>
                    </a:prstGeom>
                    <a:ln>
                      <a:noFill/>
                    </a:ln>
                    <a:extLst>
                      <a:ext uri="{53640926-AAD7-44D8-BBD7-CCE9431645EC}">
                        <a14:shadowObscured xmlns:a14="http://schemas.microsoft.com/office/drawing/2010/main"/>
                      </a:ext>
                    </a:extLst>
                  </pic:spPr>
                </pic:pic>
              </a:graphicData>
            </a:graphic>
          </wp:inline>
        </w:drawing>
      </w:r>
    </w:p>
    <w:p w14:paraId="632B2800" w14:textId="49778305" w:rsidR="00221877" w:rsidRDefault="00221877" w:rsidP="0083796C">
      <w:pPr>
        <w:pStyle w:val="AppendixSubheading"/>
        <w:spacing w:before="240" w:after="240"/>
        <w:rPr>
          <w:rFonts w:ascii="Calibri" w:hAnsi="Calibri"/>
          <w:sz w:val="32"/>
          <w:szCs w:val="32"/>
        </w:rPr>
      </w:pPr>
      <w:bookmarkStart w:id="388" w:name="_Hlk32391403"/>
      <w:r w:rsidRPr="0024184F">
        <w:rPr>
          <w:rFonts w:ascii="Calibri" w:hAnsi="Calibri"/>
          <w:sz w:val="32"/>
          <w:szCs w:val="32"/>
        </w:rPr>
        <w:lastRenderedPageBreak/>
        <w:t>Vulnerability and exposure criteria</w:t>
      </w:r>
    </w:p>
    <w:p w14:paraId="08EA40FE" w14:textId="0322EFEE" w:rsidR="0068011A" w:rsidRPr="0068011A" w:rsidRDefault="0068011A" w:rsidP="00977E44">
      <w:pPr>
        <w:pStyle w:val="Tableheading"/>
      </w:pPr>
      <w:bookmarkStart w:id="389" w:name="_Toc43899330"/>
      <w:r>
        <w:t xml:space="preserve">Table </w:t>
      </w:r>
      <w:fldSimple w:instr=" SEQ Table \* ARABIC ">
        <w:r w:rsidR="001B2025">
          <w:rPr>
            <w:noProof/>
          </w:rPr>
          <w:t>14</w:t>
        </w:r>
      </w:fldSimple>
      <w:r>
        <w:t>:</w:t>
      </w:r>
      <w:r>
        <w:tab/>
      </w:r>
      <w:r w:rsidRPr="0068011A">
        <w:t>Vulnerability and exposure criteria</w:t>
      </w:r>
      <w:bookmarkEnd w:id="389"/>
    </w:p>
    <w:tbl>
      <w:tblPr>
        <w:tblW w:w="8613"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000" w:firstRow="0" w:lastRow="0" w:firstColumn="0" w:lastColumn="0" w:noHBand="0" w:noVBand="0"/>
      </w:tblPr>
      <w:tblGrid>
        <w:gridCol w:w="1244"/>
        <w:gridCol w:w="3116"/>
        <w:gridCol w:w="4253"/>
      </w:tblGrid>
      <w:tr w:rsidR="0083796C" w:rsidRPr="0083796C" w14:paraId="2CF9B9F6" w14:textId="77777777" w:rsidTr="00834758">
        <w:trPr>
          <w:trHeight w:val="340"/>
          <w:tblHeader/>
        </w:trPr>
        <w:tc>
          <w:tcPr>
            <w:tcW w:w="722" w:type="pct"/>
            <w:shd w:val="clear" w:color="auto" w:fill="1C556C" w:themeFill="accent1"/>
            <w:tcMar>
              <w:top w:w="0" w:type="dxa"/>
            </w:tcMar>
            <w:vAlign w:val="center"/>
          </w:tcPr>
          <w:p w14:paraId="09AA60CB" w14:textId="77777777" w:rsidR="00221877" w:rsidRPr="0083796C" w:rsidRDefault="00221877" w:rsidP="0083796C">
            <w:pPr>
              <w:pStyle w:val="TableTextBold"/>
              <w:rPr>
                <w:color w:val="FFFFFF" w:themeColor="background1"/>
              </w:rPr>
            </w:pPr>
            <w:r w:rsidRPr="0083796C">
              <w:rPr>
                <w:color w:val="FFFFFF" w:themeColor="background1"/>
              </w:rPr>
              <w:t>Level</w:t>
            </w:r>
          </w:p>
        </w:tc>
        <w:tc>
          <w:tcPr>
            <w:tcW w:w="1809" w:type="pct"/>
            <w:shd w:val="clear" w:color="auto" w:fill="1C556C" w:themeFill="accent1"/>
            <w:tcMar>
              <w:top w:w="0" w:type="dxa"/>
            </w:tcMar>
            <w:vAlign w:val="center"/>
          </w:tcPr>
          <w:p w14:paraId="68500896" w14:textId="77777777" w:rsidR="00221877" w:rsidRPr="0083796C" w:rsidRDefault="00221877" w:rsidP="0083796C">
            <w:pPr>
              <w:pStyle w:val="TableTextBold"/>
              <w:rPr>
                <w:color w:val="FFFFFF" w:themeColor="background1"/>
              </w:rPr>
            </w:pPr>
            <w:r w:rsidRPr="0083796C">
              <w:rPr>
                <w:color w:val="FFFFFF" w:themeColor="background1"/>
              </w:rPr>
              <w:t xml:space="preserve">Exposure definition </w:t>
            </w:r>
          </w:p>
        </w:tc>
        <w:tc>
          <w:tcPr>
            <w:tcW w:w="2469" w:type="pct"/>
            <w:shd w:val="clear" w:color="auto" w:fill="1C556C" w:themeFill="accent1"/>
            <w:tcMar>
              <w:top w:w="0" w:type="dxa"/>
            </w:tcMar>
            <w:vAlign w:val="center"/>
          </w:tcPr>
          <w:p w14:paraId="61664F36" w14:textId="77777777" w:rsidR="00221877" w:rsidRPr="0083796C" w:rsidRDefault="00221877" w:rsidP="0083796C">
            <w:pPr>
              <w:pStyle w:val="TableTextBold"/>
              <w:rPr>
                <w:color w:val="FFFFFF" w:themeColor="background1"/>
              </w:rPr>
            </w:pPr>
            <w:r w:rsidRPr="0083796C">
              <w:rPr>
                <w:color w:val="FFFFFF" w:themeColor="background1"/>
              </w:rPr>
              <w:t>Vulnerability definition</w:t>
            </w:r>
          </w:p>
        </w:tc>
      </w:tr>
      <w:tr w:rsidR="00221877" w:rsidRPr="0024184F" w14:paraId="78C0181E" w14:textId="77777777" w:rsidTr="007F740F">
        <w:trPr>
          <w:trHeight w:val="283"/>
        </w:trPr>
        <w:tc>
          <w:tcPr>
            <w:tcW w:w="722" w:type="pct"/>
            <w:shd w:val="clear" w:color="auto" w:fill="8B391D"/>
            <w:tcMar>
              <w:top w:w="0" w:type="dxa"/>
            </w:tcMar>
          </w:tcPr>
          <w:p w14:paraId="035FE910" w14:textId="77777777" w:rsidR="00221877" w:rsidRPr="0083796C" w:rsidRDefault="00221877" w:rsidP="00F70A70">
            <w:pPr>
              <w:pStyle w:val="TableText"/>
              <w:rPr>
                <w:b/>
                <w:bCs/>
              </w:rPr>
            </w:pPr>
            <w:r w:rsidRPr="007F740F">
              <w:rPr>
                <w:b/>
                <w:bCs/>
                <w:color w:val="FFFFFF" w:themeColor="background1"/>
              </w:rPr>
              <w:t xml:space="preserve">Extreme </w:t>
            </w:r>
          </w:p>
        </w:tc>
        <w:tc>
          <w:tcPr>
            <w:tcW w:w="1809" w:type="pct"/>
            <w:shd w:val="clear" w:color="auto" w:fill="auto"/>
            <w:tcMar>
              <w:top w:w="0" w:type="dxa"/>
            </w:tcMar>
          </w:tcPr>
          <w:p w14:paraId="117CC45C" w14:textId="23DCD667" w:rsidR="00221877" w:rsidRPr="0024184F" w:rsidRDefault="00221877" w:rsidP="0026436E">
            <w:pPr>
              <w:pStyle w:val="TableText"/>
            </w:pPr>
            <w:r w:rsidRPr="0024184F">
              <w:rPr>
                <w:rFonts w:cs="Arial"/>
              </w:rPr>
              <w:t>The majority (&gt;75</w:t>
            </w:r>
            <w:r>
              <w:rPr>
                <w:rFonts w:cs="Arial"/>
              </w:rPr>
              <w:t>%</w:t>
            </w:r>
            <w:r w:rsidRPr="0024184F">
              <w:rPr>
                <w:rFonts w:cs="Arial"/>
              </w:rPr>
              <w:t>) of the sub-category or element</w:t>
            </w:r>
            <w:r w:rsidR="0026436E">
              <w:rPr>
                <w:rFonts w:cs="Arial"/>
              </w:rPr>
              <w:t xml:space="preserve"> </w:t>
            </w:r>
            <w:r w:rsidRPr="0024184F">
              <w:rPr>
                <w:rFonts w:cs="Arial"/>
              </w:rPr>
              <w:t>at</w:t>
            </w:r>
            <w:r w:rsidR="0026436E">
              <w:rPr>
                <w:rFonts w:cs="Arial"/>
              </w:rPr>
              <w:t xml:space="preserve"> </w:t>
            </w:r>
            <w:r w:rsidRPr="0024184F">
              <w:rPr>
                <w:rFonts w:cs="Arial"/>
              </w:rPr>
              <w:t>risk is exposed to the hazard</w:t>
            </w:r>
            <w:r>
              <w:rPr>
                <w:rFonts w:cs="Arial"/>
              </w:rPr>
              <w:t>.</w:t>
            </w:r>
          </w:p>
        </w:tc>
        <w:tc>
          <w:tcPr>
            <w:tcW w:w="2469" w:type="pct"/>
            <w:shd w:val="clear" w:color="auto" w:fill="auto"/>
            <w:tcMar>
              <w:top w:w="0" w:type="dxa"/>
            </w:tcMar>
          </w:tcPr>
          <w:p w14:paraId="7A85C413" w14:textId="4A4D7462" w:rsidR="00221877" w:rsidRPr="0024184F" w:rsidRDefault="00221877" w:rsidP="0026436E">
            <w:pPr>
              <w:pStyle w:val="TableText"/>
            </w:pPr>
            <w:r w:rsidRPr="0024184F">
              <w:t xml:space="preserve">Extremely likely to be adversely affected, because the </w:t>
            </w:r>
            <w:r>
              <w:t>‘</w:t>
            </w:r>
            <w:r w:rsidRPr="0024184F">
              <w:t>sub-category or element</w:t>
            </w:r>
            <w:r w:rsidR="0026436E">
              <w:t xml:space="preserve"> </w:t>
            </w:r>
            <w:r w:rsidRPr="0024184F">
              <w:t>at</w:t>
            </w:r>
            <w:r w:rsidR="0026436E">
              <w:t xml:space="preserve"> </w:t>
            </w:r>
            <w:r w:rsidRPr="0024184F">
              <w:t>risk</w:t>
            </w:r>
            <w:r>
              <w:t>’</w:t>
            </w:r>
            <w:r w:rsidRPr="0024184F">
              <w:t xml:space="preserve"> is highly sensitive to a given hazard and has a low capacity to adapt.</w:t>
            </w:r>
          </w:p>
        </w:tc>
      </w:tr>
      <w:tr w:rsidR="00221877" w:rsidRPr="0024184F" w14:paraId="76827426" w14:textId="77777777" w:rsidTr="007F740F">
        <w:trPr>
          <w:trHeight w:val="283"/>
        </w:trPr>
        <w:tc>
          <w:tcPr>
            <w:tcW w:w="722" w:type="pct"/>
            <w:shd w:val="clear" w:color="auto" w:fill="DA5A28"/>
            <w:tcMar>
              <w:top w:w="0" w:type="dxa"/>
            </w:tcMar>
          </w:tcPr>
          <w:p w14:paraId="7C6A239E" w14:textId="77777777" w:rsidR="00221877" w:rsidRPr="0083796C" w:rsidRDefault="00221877" w:rsidP="00F70A70">
            <w:pPr>
              <w:pStyle w:val="TableText"/>
              <w:rPr>
                <w:b/>
                <w:bCs/>
              </w:rPr>
            </w:pPr>
            <w:r w:rsidRPr="007F740F">
              <w:rPr>
                <w:b/>
                <w:bCs/>
                <w:color w:val="FFFFFF" w:themeColor="background1"/>
              </w:rPr>
              <w:t xml:space="preserve">High </w:t>
            </w:r>
          </w:p>
        </w:tc>
        <w:tc>
          <w:tcPr>
            <w:tcW w:w="1809" w:type="pct"/>
            <w:shd w:val="clear" w:color="auto" w:fill="auto"/>
            <w:tcMar>
              <w:top w:w="0" w:type="dxa"/>
            </w:tcMar>
          </w:tcPr>
          <w:p w14:paraId="0EE553D2" w14:textId="09B86F44" w:rsidR="00221877" w:rsidRPr="0024184F" w:rsidRDefault="00221877" w:rsidP="0026436E">
            <w:pPr>
              <w:pStyle w:val="TableText"/>
            </w:pPr>
            <w:r w:rsidRPr="0024184F">
              <w:rPr>
                <w:rFonts w:cs="Arial"/>
              </w:rPr>
              <w:t>A high proportion (50–70</w:t>
            </w:r>
            <w:r>
              <w:rPr>
                <w:rFonts w:cs="Arial"/>
              </w:rPr>
              <w:t>%</w:t>
            </w:r>
            <w:r w:rsidRPr="0024184F">
              <w:rPr>
                <w:rFonts w:cs="Arial"/>
              </w:rPr>
              <w:t>) of the sub</w:t>
            </w:r>
            <w:r w:rsidR="004E52A1">
              <w:rPr>
                <w:rFonts w:cs="Arial"/>
              </w:rPr>
              <w:noBreakHyphen/>
            </w:r>
            <w:r w:rsidRPr="0024184F">
              <w:rPr>
                <w:rFonts w:cs="Arial"/>
              </w:rPr>
              <w:t>category or element</w:t>
            </w:r>
            <w:r w:rsidR="0026436E">
              <w:rPr>
                <w:rFonts w:cs="Arial"/>
              </w:rPr>
              <w:t xml:space="preserve"> </w:t>
            </w:r>
            <w:r w:rsidRPr="0024184F">
              <w:rPr>
                <w:rFonts w:cs="Arial"/>
              </w:rPr>
              <w:t>at</w:t>
            </w:r>
            <w:r w:rsidR="0026436E">
              <w:rPr>
                <w:rFonts w:cs="Arial"/>
              </w:rPr>
              <w:t xml:space="preserve"> </w:t>
            </w:r>
            <w:r w:rsidRPr="0024184F">
              <w:rPr>
                <w:rFonts w:cs="Arial"/>
              </w:rPr>
              <w:t>risk is exposed to the hazard</w:t>
            </w:r>
            <w:r>
              <w:rPr>
                <w:rFonts w:cs="Arial"/>
              </w:rPr>
              <w:t>.</w:t>
            </w:r>
          </w:p>
        </w:tc>
        <w:tc>
          <w:tcPr>
            <w:tcW w:w="2469" w:type="pct"/>
            <w:shd w:val="clear" w:color="auto" w:fill="auto"/>
            <w:tcMar>
              <w:top w:w="0" w:type="dxa"/>
            </w:tcMar>
          </w:tcPr>
          <w:p w14:paraId="0ECD56AA" w14:textId="6FAB48BC" w:rsidR="00221877" w:rsidRPr="0024184F" w:rsidRDefault="00221877" w:rsidP="0026436E">
            <w:pPr>
              <w:pStyle w:val="TableText"/>
            </w:pPr>
            <w:r w:rsidRPr="0024184F">
              <w:t xml:space="preserve">Highly likely to be adversely affected, because the </w:t>
            </w:r>
            <w:r>
              <w:t>‘</w:t>
            </w:r>
            <w:r w:rsidRPr="0024184F">
              <w:t>sub-category or element</w:t>
            </w:r>
            <w:r w:rsidR="0026436E">
              <w:t xml:space="preserve"> </w:t>
            </w:r>
            <w:r w:rsidRPr="0024184F">
              <w:t>at</w:t>
            </w:r>
            <w:r w:rsidR="0026436E">
              <w:t xml:space="preserve"> </w:t>
            </w:r>
            <w:r w:rsidRPr="0024184F">
              <w:t>risk</w:t>
            </w:r>
            <w:r>
              <w:t>’</w:t>
            </w:r>
            <w:r w:rsidRPr="0024184F">
              <w:t xml:space="preserve"> is highly sensitive to a given hazard and has a low capacity to adapt.</w:t>
            </w:r>
          </w:p>
        </w:tc>
      </w:tr>
      <w:tr w:rsidR="00221877" w:rsidRPr="0024184F" w14:paraId="027D857D" w14:textId="77777777" w:rsidTr="007F740F">
        <w:trPr>
          <w:trHeight w:val="283"/>
        </w:trPr>
        <w:tc>
          <w:tcPr>
            <w:tcW w:w="722" w:type="pct"/>
            <w:shd w:val="clear" w:color="auto" w:fill="FFC000"/>
            <w:tcMar>
              <w:top w:w="0" w:type="dxa"/>
            </w:tcMar>
          </w:tcPr>
          <w:p w14:paraId="05AEBF15" w14:textId="77777777" w:rsidR="00221877" w:rsidRPr="0083796C" w:rsidRDefault="00221877" w:rsidP="00F70A70">
            <w:pPr>
              <w:pStyle w:val="TableText"/>
              <w:rPr>
                <w:b/>
                <w:bCs/>
              </w:rPr>
            </w:pPr>
            <w:r w:rsidRPr="007F740F">
              <w:rPr>
                <w:b/>
                <w:bCs/>
                <w:color w:val="FFFFFF" w:themeColor="background1"/>
              </w:rPr>
              <w:t xml:space="preserve">Moderate </w:t>
            </w:r>
          </w:p>
        </w:tc>
        <w:tc>
          <w:tcPr>
            <w:tcW w:w="1809" w:type="pct"/>
            <w:shd w:val="clear" w:color="auto" w:fill="auto"/>
            <w:tcMar>
              <w:top w:w="0" w:type="dxa"/>
            </w:tcMar>
          </w:tcPr>
          <w:p w14:paraId="1BE5440D" w14:textId="59A0D87B" w:rsidR="00221877" w:rsidRPr="0024184F" w:rsidRDefault="00221877" w:rsidP="0026436E">
            <w:pPr>
              <w:pStyle w:val="TableText"/>
            </w:pPr>
            <w:r w:rsidRPr="0024184F">
              <w:rPr>
                <w:rFonts w:cs="Arial"/>
              </w:rPr>
              <w:t>Up to half (25–50</w:t>
            </w:r>
            <w:r>
              <w:rPr>
                <w:rFonts w:cs="Arial"/>
              </w:rPr>
              <w:t>%</w:t>
            </w:r>
            <w:r w:rsidRPr="0024184F">
              <w:rPr>
                <w:rFonts w:cs="Arial"/>
              </w:rPr>
              <w:t>) of the sub</w:t>
            </w:r>
            <w:r w:rsidR="004E52A1">
              <w:rPr>
                <w:rFonts w:cs="Arial"/>
              </w:rPr>
              <w:noBreakHyphen/>
            </w:r>
            <w:r w:rsidRPr="0024184F">
              <w:rPr>
                <w:rFonts w:cs="Arial"/>
              </w:rPr>
              <w:t>category or element</w:t>
            </w:r>
            <w:r w:rsidR="0026436E">
              <w:rPr>
                <w:rFonts w:cs="Arial"/>
              </w:rPr>
              <w:t xml:space="preserve"> </w:t>
            </w:r>
            <w:r w:rsidRPr="0024184F">
              <w:rPr>
                <w:rFonts w:cs="Arial"/>
              </w:rPr>
              <w:t>at</w:t>
            </w:r>
            <w:r w:rsidR="0026436E">
              <w:rPr>
                <w:rFonts w:cs="Arial"/>
              </w:rPr>
              <w:t xml:space="preserve"> </w:t>
            </w:r>
            <w:r w:rsidRPr="0024184F">
              <w:rPr>
                <w:rFonts w:cs="Arial"/>
              </w:rPr>
              <w:t>risk is exposed to the hazard</w:t>
            </w:r>
            <w:r>
              <w:rPr>
                <w:rFonts w:cs="Arial"/>
              </w:rPr>
              <w:t>.</w:t>
            </w:r>
          </w:p>
        </w:tc>
        <w:tc>
          <w:tcPr>
            <w:tcW w:w="2469" w:type="pct"/>
            <w:shd w:val="clear" w:color="auto" w:fill="auto"/>
            <w:tcMar>
              <w:top w:w="0" w:type="dxa"/>
            </w:tcMar>
          </w:tcPr>
          <w:p w14:paraId="45705BC6" w14:textId="38884A28" w:rsidR="00221877" w:rsidRPr="0024184F" w:rsidRDefault="00221877" w:rsidP="0026436E">
            <w:pPr>
              <w:pStyle w:val="TableText"/>
            </w:pPr>
            <w:r w:rsidRPr="0024184F">
              <w:t xml:space="preserve">Moderately likely to be adversely affected, because the </w:t>
            </w:r>
            <w:r>
              <w:t>‘</w:t>
            </w:r>
            <w:r w:rsidRPr="0024184F">
              <w:t>sub-category or element</w:t>
            </w:r>
            <w:r w:rsidR="0026436E">
              <w:t xml:space="preserve"> </w:t>
            </w:r>
            <w:r w:rsidRPr="0024184F">
              <w:t>at</w:t>
            </w:r>
            <w:r w:rsidR="0026436E">
              <w:t xml:space="preserve"> </w:t>
            </w:r>
            <w:r w:rsidRPr="0024184F">
              <w:t>risk</w:t>
            </w:r>
            <w:r>
              <w:t>’</w:t>
            </w:r>
            <w:r w:rsidRPr="0024184F">
              <w:t xml:space="preserve"> is moderately sensitive to a given hazard and has a low or moderate capacity to adapt.</w:t>
            </w:r>
          </w:p>
        </w:tc>
      </w:tr>
      <w:tr w:rsidR="00221877" w:rsidRPr="0024184F" w14:paraId="5E1CDFA0" w14:textId="77777777" w:rsidTr="007F740F">
        <w:trPr>
          <w:trHeight w:val="283"/>
        </w:trPr>
        <w:tc>
          <w:tcPr>
            <w:tcW w:w="722" w:type="pct"/>
            <w:shd w:val="clear" w:color="auto" w:fill="2C9986"/>
            <w:tcMar>
              <w:top w:w="0" w:type="dxa"/>
            </w:tcMar>
          </w:tcPr>
          <w:p w14:paraId="2476B59F" w14:textId="77777777" w:rsidR="00221877" w:rsidRPr="0083796C" w:rsidRDefault="00221877" w:rsidP="00F70A70">
            <w:pPr>
              <w:pStyle w:val="TableText"/>
              <w:rPr>
                <w:b/>
                <w:bCs/>
              </w:rPr>
            </w:pPr>
            <w:r w:rsidRPr="007F740F">
              <w:rPr>
                <w:b/>
                <w:bCs/>
                <w:color w:val="FFFFFF" w:themeColor="background1"/>
              </w:rPr>
              <w:t xml:space="preserve">Low </w:t>
            </w:r>
          </w:p>
        </w:tc>
        <w:tc>
          <w:tcPr>
            <w:tcW w:w="1809" w:type="pct"/>
            <w:shd w:val="clear" w:color="auto" w:fill="auto"/>
            <w:tcMar>
              <w:top w:w="0" w:type="dxa"/>
            </w:tcMar>
          </w:tcPr>
          <w:p w14:paraId="79226ADA" w14:textId="4DD802C7" w:rsidR="00221877" w:rsidRPr="0024184F" w:rsidRDefault="00221877" w:rsidP="0026436E">
            <w:pPr>
              <w:pStyle w:val="TableText"/>
            </w:pPr>
            <w:r w:rsidRPr="0024184F">
              <w:rPr>
                <w:rFonts w:cs="Arial"/>
              </w:rPr>
              <w:t>A small proportion (5–25</w:t>
            </w:r>
            <w:r>
              <w:rPr>
                <w:rFonts w:cs="Arial"/>
              </w:rPr>
              <w:t>%</w:t>
            </w:r>
            <w:r w:rsidRPr="0024184F">
              <w:rPr>
                <w:rFonts w:cs="Arial"/>
              </w:rPr>
              <w:t>) of the sub</w:t>
            </w:r>
            <w:r w:rsidR="00EF14C6">
              <w:rPr>
                <w:rFonts w:cs="Arial"/>
              </w:rPr>
              <w:noBreakHyphen/>
            </w:r>
            <w:r w:rsidRPr="0024184F">
              <w:rPr>
                <w:rFonts w:cs="Arial"/>
              </w:rPr>
              <w:t>category or element</w:t>
            </w:r>
            <w:r w:rsidR="0026436E">
              <w:rPr>
                <w:rFonts w:cs="Arial"/>
              </w:rPr>
              <w:t xml:space="preserve"> </w:t>
            </w:r>
            <w:r w:rsidRPr="0024184F">
              <w:rPr>
                <w:rFonts w:cs="Arial"/>
              </w:rPr>
              <w:t>at</w:t>
            </w:r>
            <w:r w:rsidR="0026436E">
              <w:rPr>
                <w:rFonts w:cs="Arial"/>
              </w:rPr>
              <w:t xml:space="preserve"> </w:t>
            </w:r>
            <w:r w:rsidRPr="0024184F">
              <w:rPr>
                <w:rFonts w:cs="Arial"/>
              </w:rPr>
              <w:t>risk is exposed to the hazard</w:t>
            </w:r>
            <w:r>
              <w:rPr>
                <w:rFonts w:cs="Arial"/>
              </w:rPr>
              <w:t>.</w:t>
            </w:r>
          </w:p>
        </w:tc>
        <w:tc>
          <w:tcPr>
            <w:tcW w:w="2469" w:type="pct"/>
            <w:shd w:val="clear" w:color="auto" w:fill="auto"/>
            <w:tcMar>
              <w:top w:w="0" w:type="dxa"/>
            </w:tcMar>
          </w:tcPr>
          <w:p w14:paraId="386A3916" w14:textId="0EDE0DE9" w:rsidR="00221877" w:rsidRPr="0024184F" w:rsidRDefault="00221877" w:rsidP="0026436E">
            <w:pPr>
              <w:pStyle w:val="TableText"/>
            </w:pPr>
            <w:r w:rsidRPr="0024184F">
              <w:t xml:space="preserve">Low likelihood of being adversely affected, because the </w:t>
            </w:r>
            <w:r>
              <w:t>‘</w:t>
            </w:r>
            <w:r w:rsidRPr="0024184F">
              <w:t>sub-category or element</w:t>
            </w:r>
            <w:r w:rsidR="0026436E">
              <w:t xml:space="preserve"> </w:t>
            </w:r>
            <w:r w:rsidRPr="0024184F">
              <w:t>at</w:t>
            </w:r>
            <w:r w:rsidR="0026436E">
              <w:t xml:space="preserve"> </w:t>
            </w:r>
            <w:r w:rsidRPr="0024184F">
              <w:t>risk</w:t>
            </w:r>
            <w:r>
              <w:t>’</w:t>
            </w:r>
            <w:r w:rsidRPr="0024184F">
              <w:t xml:space="preserve"> has low sensitivity to a given hazard and a high capacity to</w:t>
            </w:r>
            <w:r w:rsidR="0083796C">
              <w:t> </w:t>
            </w:r>
            <w:r w:rsidRPr="0024184F">
              <w:t>adapt.</w:t>
            </w:r>
          </w:p>
        </w:tc>
      </w:tr>
    </w:tbl>
    <w:bookmarkEnd w:id="388"/>
    <w:p w14:paraId="0791181E" w14:textId="77777777" w:rsidR="00221877" w:rsidRPr="0024184F" w:rsidRDefault="00221877" w:rsidP="0083796C">
      <w:pPr>
        <w:pStyle w:val="Heading3"/>
      </w:pPr>
      <w:r w:rsidRPr="0024184F">
        <w:t xml:space="preserve">Supplementary guidance for exposure and vulnerability descriptions </w:t>
      </w:r>
    </w:p>
    <w:p w14:paraId="6456F6BC" w14:textId="77777777" w:rsidR="00221877" w:rsidRPr="0024184F" w:rsidRDefault="00221877" w:rsidP="00805CA1">
      <w:pPr>
        <w:pStyle w:val="Heading4"/>
        <w:spacing w:before="180"/>
      </w:pPr>
      <w:r w:rsidRPr="0024184F">
        <w:t xml:space="preserve">Natural </w:t>
      </w:r>
      <w:r>
        <w:t>e</w:t>
      </w:r>
      <w:r w:rsidRPr="0024184F">
        <w:t>nvironment</w:t>
      </w:r>
    </w:p>
    <w:p w14:paraId="77448134" w14:textId="77777777" w:rsidR="00221877" w:rsidRPr="0024184F" w:rsidRDefault="00221877" w:rsidP="0083796C">
      <w:pPr>
        <w:pStyle w:val="BodyText"/>
      </w:pPr>
      <w:r w:rsidRPr="0024184F">
        <w:t xml:space="preserve">The areas of the natural environment that could be adversely affected include: </w:t>
      </w:r>
    </w:p>
    <w:p w14:paraId="1A1DB236" w14:textId="5F737409" w:rsidR="00221877" w:rsidRPr="0083796C" w:rsidRDefault="00B23A54" w:rsidP="00957BB4">
      <w:pPr>
        <w:pStyle w:val="Numberedparagraph"/>
        <w:numPr>
          <w:ilvl w:val="0"/>
          <w:numId w:val="47"/>
        </w:numPr>
      </w:pPr>
      <w:r>
        <w:t>e</w:t>
      </w:r>
      <w:r w:rsidR="00221877" w:rsidRPr="0083796C">
        <w:t>cosystems (including their composition, functions and processes, and the services that</w:t>
      </w:r>
      <w:r w:rsidR="0083796C">
        <w:t> </w:t>
      </w:r>
      <w:r w:rsidR="00221877" w:rsidRPr="0083796C">
        <w:t>they provide)</w:t>
      </w:r>
    </w:p>
    <w:p w14:paraId="004A8116" w14:textId="2A0633AA" w:rsidR="00221877" w:rsidRPr="0083796C" w:rsidRDefault="00B23A54" w:rsidP="00957BB4">
      <w:pPr>
        <w:pStyle w:val="Numberedparagraph"/>
        <w:numPr>
          <w:ilvl w:val="0"/>
          <w:numId w:val="47"/>
        </w:numPr>
      </w:pPr>
      <w:r>
        <w:t>s</w:t>
      </w:r>
      <w:r w:rsidR="00221877" w:rsidRPr="0083796C">
        <w:t>pecies (how individual species may be affected)</w:t>
      </w:r>
    </w:p>
    <w:p w14:paraId="4546D6B3" w14:textId="09D0BF3E" w:rsidR="00221877" w:rsidRPr="00B30D51" w:rsidRDefault="00B23A54" w:rsidP="00957BB4">
      <w:pPr>
        <w:pStyle w:val="Numberedparagraph"/>
        <w:numPr>
          <w:ilvl w:val="0"/>
          <w:numId w:val="47"/>
        </w:numPr>
      </w:pPr>
      <w:r>
        <w:t>t</w:t>
      </w:r>
      <w:r w:rsidR="00221877" w:rsidRPr="0083796C">
        <w:t>aonga</w:t>
      </w:r>
      <w:r w:rsidR="00221877" w:rsidRPr="00B30D51">
        <w:t xml:space="preserve"> species.</w:t>
      </w:r>
    </w:p>
    <w:p w14:paraId="153A09C2" w14:textId="3F4A4098" w:rsidR="00DA118D" w:rsidRDefault="00221877" w:rsidP="006C076C">
      <w:pPr>
        <w:pStyle w:val="BodyText"/>
        <w:spacing w:after="60"/>
      </w:pPr>
      <w:r w:rsidRPr="0024184F">
        <w:t xml:space="preserve">Vulnerability </w:t>
      </w:r>
      <w:r w:rsidR="00472343">
        <w:rPr>
          <w:rFonts w:cs="Arial"/>
        </w:rPr>
        <w:t xml:space="preserve">to climate change </w:t>
      </w:r>
      <w:r w:rsidR="00472343" w:rsidRPr="0024184F">
        <w:rPr>
          <w:rFonts w:cs="Arial"/>
        </w:rPr>
        <w:t>is</w:t>
      </w:r>
      <w:r w:rsidR="00472343" w:rsidRPr="0024184F">
        <w:t xml:space="preserve"> </w:t>
      </w:r>
      <w:r w:rsidRPr="0024184F">
        <w:t xml:space="preserve">derived from the interplay of sensitivity and adaptive </w:t>
      </w:r>
      <w:r w:rsidRPr="0083796C">
        <w:t>capacity</w:t>
      </w:r>
      <w:r w:rsidRPr="0024184F">
        <w:t>. Sensitivity and adaptive capacity in relation to the natural environment include the considerations</w:t>
      </w:r>
      <w:r w:rsidR="00B23A54">
        <w:t xml:space="preserve"> that </w:t>
      </w:r>
      <w:hyperlink w:anchor="table15" w:history="1">
        <w:r w:rsidR="00B23A54" w:rsidRPr="00B23A54">
          <w:rPr>
            <w:rStyle w:val="Hyperlink"/>
          </w:rPr>
          <w:t>table 15</w:t>
        </w:r>
      </w:hyperlink>
      <w:r w:rsidR="00B23A54">
        <w:t xml:space="preserve"> identifies</w:t>
      </w:r>
      <w:r w:rsidR="00D1543B">
        <w:t>.</w:t>
      </w:r>
    </w:p>
    <w:p w14:paraId="16FA7366" w14:textId="14404D16" w:rsidR="00D1543B" w:rsidRDefault="00D1543B" w:rsidP="00B23A54">
      <w:pPr>
        <w:pStyle w:val="Tableheading"/>
      </w:pPr>
      <w:bookmarkStart w:id="390" w:name="table15"/>
      <w:bookmarkStart w:id="391" w:name="_Toc43899331"/>
      <w:r>
        <w:t xml:space="preserve">Table </w:t>
      </w:r>
      <w:fldSimple w:instr=" SEQ Table \* ARABIC ">
        <w:r w:rsidR="001B2025">
          <w:rPr>
            <w:noProof/>
          </w:rPr>
          <w:t>15</w:t>
        </w:r>
      </w:fldSimple>
      <w:r>
        <w:t>:</w:t>
      </w:r>
      <w:bookmarkEnd w:id="390"/>
      <w:r>
        <w:t xml:space="preserve"> </w:t>
      </w:r>
      <w:r>
        <w:tab/>
      </w:r>
      <w:r w:rsidR="00183EC4">
        <w:t>Sensitivity and adaptive capacity in the natural environment domain</w:t>
      </w:r>
      <w:bookmarkEnd w:id="391"/>
    </w:p>
    <w:tbl>
      <w:tblPr>
        <w:tblStyle w:val="TableGrid"/>
        <w:tblW w:w="8505" w:type="dxa"/>
        <w:tblInd w:w="108"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CellMar>
          <w:left w:w="85" w:type="dxa"/>
          <w:right w:w="85" w:type="dxa"/>
        </w:tblCellMar>
        <w:tblLook w:val="04A0" w:firstRow="1" w:lastRow="0" w:firstColumn="1" w:lastColumn="0" w:noHBand="0" w:noVBand="1"/>
      </w:tblPr>
      <w:tblGrid>
        <w:gridCol w:w="4395"/>
        <w:gridCol w:w="4110"/>
      </w:tblGrid>
      <w:tr w:rsidR="00C94C6D" w:rsidRPr="00C94C6D" w14:paraId="60120330" w14:textId="77777777" w:rsidTr="00F53DCC">
        <w:trPr>
          <w:tblHeader/>
        </w:trPr>
        <w:tc>
          <w:tcPr>
            <w:tcW w:w="4395" w:type="dxa"/>
            <w:shd w:val="clear" w:color="auto" w:fill="1C556C" w:themeFill="accent1"/>
          </w:tcPr>
          <w:p w14:paraId="4F2149C2" w14:textId="77777777" w:rsidR="00C94C6D" w:rsidRPr="00C94C6D" w:rsidRDefault="00C94C6D" w:rsidP="00F70A70">
            <w:pPr>
              <w:pStyle w:val="TableTextBold"/>
              <w:rPr>
                <w:color w:val="FFFFFF" w:themeColor="background1"/>
              </w:rPr>
            </w:pPr>
            <w:r w:rsidRPr="00C94C6D">
              <w:rPr>
                <w:color w:val="FFFFFF" w:themeColor="background1"/>
              </w:rPr>
              <w:t>Sensitivity</w:t>
            </w:r>
          </w:p>
        </w:tc>
        <w:tc>
          <w:tcPr>
            <w:tcW w:w="4110" w:type="dxa"/>
            <w:shd w:val="clear" w:color="auto" w:fill="1C556C" w:themeFill="accent1"/>
          </w:tcPr>
          <w:p w14:paraId="4B178339" w14:textId="77777777" w:rsidR="00C94C6D" w:rsidRPr="00C94C6D" w:rsidRDefault="00C94C6D" w:rsidP="00F70A70">
            <w:pPr>
              <w:pStyle w:val="TableTextBold"/>
              <w:rPr>
                <w:color w:val="FFFFFF" w:themeColor="background1"/>
              </w:rPr>
            </w:pPr>
            <w:r w:rsidRPr="00C94C6D">
              <w:rPr>
                <w:color w:val="FFFFFF" w:themeColor="background1"/>
              </w:rPr>
              <w:t xml:space="preserve">Adaptive capacity </w:t>
            </w:r>
          </w:p>
        </w:tc>
      </w:tr>
      <w:tr w:rsidR="00C94C6D" w:rsidRPr="0024184F" w14:paraId="4607C94E" w14:textId="77777777" w:rsidTr="00B81E54">
        <w:trPr>
          <w:trHeight w:val="3676"/>
        </w:trPr>
        <w:tc>
          <w:tcPr>
            <w:tcW w:w="4395" w:type="dxa"/>
          </w:tcPr>
          <w:p w14:paraId="2E112E57" w14:textId="673CEAA7" w:rsidR="00C94C6D" w:rsidRPr="00B30D51" w:rsidRDefault="00C94C6D" w:rsidP="00C94C6D">
            <w:pPr>
              <w:pStyle w:val="TableBullet"/>
              <w:spacing w:before="60"/>
            </w:pPr>
            <w:bookmarkStart w:id="392" w:name="_Hlk31787880"/>
            <w:r w:rsidRPr="00B30D51">
              <w:rPr>
                <w:b/>
              </w:rPr>
              <w:t>Environmental tolerance and geographic range</w:t>
            </w:r>
            <w:r w:rsidRPr="00B30D51">
              <w:t>: Species and ecosystems that have a wide environmental tolerance – generally reflected in a wide geographic range – will likely be less sensitive to the impacts of climate change. By contrast, species and ecosystems that have narrow environmental ranges and/or are restricted to unusual combinations of environment are likely to be less tolerant (Thuiller</w:t>
            </w:r>
            <w:r w:rsidR="005725B8">
              <w:t xml:space="preserve"> et al</w:t>
            </w:r>
            <w:r w:rsidR="004F4B83">
              <w:t>,</w:t>
            </w:r>
            <w:r w:rsidRPr="00B30D51">
              <w:t xml:space="preserve"> 2005). </w:t>
            </w:r>
          </w:p>
          <w:p w14:paraId="508F53F0" w14:textId="4B9DB0A6" w:rsidR="00C94C6D" w:rsidRPr="00B30D51" w:rsidRDefault="00C94C6D" w:rsidP="00805CA1">
            <w:pPr>
              <w:pStyle w:val="TableBullet"/>
            </w:pPr>
            <w:r w:rsidRPr="0068011A">
              <w:rPr>
                <w:b/>
              </w:rPr>
              <w:t xml:space="preserve">Species/ecosystems with specific climate requirements: </w:t>
            </w:r>
            <w:r w:rsidRPr="00B30D51">
              <w:t>Ecosystems and species that have</w:t>
            </w:r>
            <w:r w:rsidR="009C2DEE">
              <w:t> </w:t>
            </w:r>
            <w:r w:rsidRPr="00B30D51">
              <w:t>highly specific climate requirements (eg, persistent winter snow cover, winter chilling for flower initiation or hibernation, frost for exclusion of competing tree species) will likely be</w:t>
            </w:r>
            <w:r w:rsidR="009C2DEE">
              <w:t> </w:t>
            </w:r>
            <w:r w:rsidRPr="00B30D51">
              <w:t xml:space="preserve">more sensitive. </w:t>
            </w:r>
            <w:bookmarkEnd w:id="392"/>
          </w:p>
        </w:tc>
        <w:tc>
          <w:tcPr>
            <w:tcW w:w="4110" w:type="dxa"/>
          </w:tcPr>
          <w:p w14:paraId="2593F721" w14:textId="3ED1B3BE" w:rsidR="00C94C6D" w:rsidRPr="00B30D51" w:rsidRDefault="00C94C6D" w:rsidP="00C94C6D">
            <w:pPr>
              <w:pStyle w:val="TableBullet"/>
              <w:spacing w:before="60"/>
            </w:pPr>
            <w:r w:rsidRPr="00B30D51">
              <w:rPr>
                <w:b/>
              </w:rPr>
              <w:t>Genetic adap</w:t>
            </w:r>
            <w:r w:rsidR="005725B8">
              <w:rPr>
                <w:b/>
              </w:rPr>
              <w:t>ta</w:t>
            </w:r>
            <w:r w:rsidRPr="00B30D51">
              <w:rPr>
                <w:b/>
              </w:rPr>
              <w:t>tion/evolutionary mechanisms</w:t>
            </w:r>
            <w:r w:rsidRPr="00B30D51">
              <w:t>: Species that have historically been subjected to changes in the natural environment will have a capacity to adapt to future changes. Genetic adaptation at individual, population and species levels</w:t>
            </w:r>
            <w:r w:rsidR="005725B8">
              <w:t>,</w:t>
            </w:r>
            <w:r w:rsidRPr="00B30D51">
              <w:t xml:space="preserve"> including natural selection and gene flow, allow</w:t>
            </w:r>
            <w:r w:rsidR="005725B8">
              <w:t>s</w:t>
            </w:r>
            <w:r w:rsidRPr="00B30D51">
              <w:t xml:space="preserve"> for greater population fitness and adaptive capacity (Lidner et al, 2010).</w:t>
            </w:r>
          </w:p>
          <w:p w14:paraId="1A0B7EAF" w14:textId="05D24529" w:rsidR="00C94C6D" w:rsidRPr="00B30D51" w:rsidRDefault="00C94C6D" w:rsidP="005725B8">
            <w:pPr>
              <w:pStyle w:val="TableBullet"/>
            </w:pPr>
            <w:r w:rsidRPr="00B30D51">
              <w:rPr>
                <w:b/>
              </w:rPr>
              <w:t>Reproductive rates:</w:t>
            </w:r>
            <w:r w:rsidRPr="00B30D51">
              <w:t xml:space="preserve"> Reproductive rates are an important factor in</w:t>
            </w:r>
            <w:r w:rsidR="005725B8" w:rsidRPr="00B30D51">
              <w:t xml:space="preserve"> </w:t>
            </w:r>
            <w:r w:rsidR="005725B8">
              <w:t xml:space="preserve">the </w:t>
            </w:r>
            <w:r w:rsidR="005725B8" w:rsidRPr="00B30D51">
              <w:t>ability</w:t>
            </w:r>
            <w:r w:rsidR="005725B8">
              <w:t xml:space="preserve"> of</w:t>
            </w:r>
            <w:r w:rsidRPr="00B30D51">
              <w:t xml:space="preserve"> species or ecosystems to</w:t>
            </w:r>
            <w:r w:rsidR="00EF14C6">
              <w:t> </w:t>
            </w:r>
            <w:r w:rsidRPr="00B30D51">
              <w:t>adapt after a disturbance or climate hazards (Williams et al, 2008). Higher reproductive rates will allow for a greater ability</w:t>
            </w:r>
            <w:r w:rsidR="00E722BB">
              <w:t> </w:t>
            </w:r>
            <w:r w:rsidRPr="00B30D51">
              <w:t xml:space="preserve">to recover and adapt. </w:t>
            </w:r>
          </w:p>
        </w:tc>
      </w:tr>
      <w:tr w:rsidR="00B81E54" w:rsidRPr="0024184F" w14:paraId="44977C8B" w14:textId="77777777" w:rsidTr="00F53DCC">
        <w:trPr>
          <w:trHeight w:val="329"/>
        </w:trPr>
        <w:tc>
          <w:tcPr>
            <w:tcW w:w="4395" w:type="dxa"/>
          </w:tcPr>
          <w:p w14:paraId="376B8633" w14:textId="77777777" w:rsidR="00B81E54" w:rsidRPr="00B30D51" w:rsidRDefault="00B81E54" w:rsidP="00B81E54">
            <w:pPr>
              <w:pStyle w:val="TableBullet"/>
              <w:keepNext/>
              <w:rPr>
                <w:b/>
              </w:rPr>
            </w:pPr>
            <w:r w:rsidRPr="00B30D51">
              <w:rPr>
                <w:b/>
              </w:rPr>
              <w:lastRenderedPageBreak/>
              <w:t>Dispersal ability:</w:t>
            </w:r>
            <w:r w:rsidRPr="00B30D51">
              <w:t xml:space="preserve"> Species with poor dispersal ability and/or occupying environments with significant barriers to dispersal (eg, lowland forest fragments) are likely to be more sensitive than those with good dispersal ability and/or those that occupy environments with fewer barriers to dispersal (eg, many marine environments) (Williams et al, 2008).</w:t>
            </w:r>
          </w:p>
          <w:p w14:paraId="33081B35" w14:textId="77777777" w:rsidR="00B81E54" w:rsidRPr="00B30D51" w:rsidRDefault="00B81E54" w:rsidP="00B81E54">
            <w:pPr>
              <w:pStyle w:val="TableBullet"/>
              <w:keepNext/>
            </w:pPr>
            <w:r w:rsidRPr="00B30D51">
              <w:rPr>
                <w:b/>
              </w:rPr>
              <w:t>Abundance:</w:t>
            </w:r>
            <w:r w:rsidRPr="00B30D51">
              <w:t xml:space="preserve"> Species that are naturally rare may be more sensitive due to their limited population size. Species that are limited both in their distribution and abundance will likely be the most</w:t>
            </w:r>
            <w:r>
              <w:t> </w:t>
            </w:r>
            <w:r w:rsidRPr="00B30D51">
              <w:t>sensitive (Johnson,</w:t>
            </w:r>
            <w:r>
              <w:t> </w:t>
            </w:r>
            <w:r w:rsidRPr="00B30D51">
              <w:t xml:space="preserve">1998). </w:t>
            </w:r>
          </w:p>
          <w:p w14:paraId="5908A16F" w14:textId="77777777" w:rsidR="00B81E54" w:rsidRPr="00B30D51" w:rsidRDefault="00B81E54" w:rsidP="00B81E54">
            <w:pPr>
              <w:pStyle w:val="TableBullet"/>
              <w:keepNext/>
            </w:pPr>
            <w:r w:rsidRPr="00B30D51">
              <w:rPr>
                <w:b/>
              </w:rPr>
              <w:t>Geographic isolation</w:t>
            </w:r>
            <w:r w:rsidRPr="00B30D51">
              <w:t>: Geographic isolation of species</w:t>
            </w:r>
            <w:r>
              <w:t> </w:t>
            </w:r>
            <w:r w:rsidRPr="00B30D51">
              <w:t>and ecosystems will render them more sensitive and susceptible.</w:t>
            </w:r>
            <w:r w:rsidRPr="00B30D51" w:rsidDel="00BF73B0">
              <w:t xml:space="preserve"> </w:t>
            </w:r>
            <w:r w:rsidRPr="00B30D51">
              <w:t>This is particularly relevant to endemic species that are restricted to</w:t>
            </w:r>
            <w:r>
              <w:t> </w:t>
            </w:r>
            <w:r w:rsidRPr="00B30D51">
              <w:t xml:space="preserve">a defined geographic location. </w:t>
            </w:r>
          </w:p>
          <w:p w14:paraId="3B260FB8" w14:textId="77777777" w:rsidR="00B81E54" w:rsidRPr="00B30D51" w:rsidRDefault="00B81E54" w:rsidP="00B81E54">
            <w:pPr>
              <w:pStyle w:val="TableBullet"/>
              <w:keepNext/>
            </w:pPr>
            <w:r w:rsidRPr="00B30D51">
              <w:rPr>
                <w:b/>
              </w:rPr>
              <w:t>Genetic diversity:</w:t>
            </w:r>
            <w:r w:rsidRPr="00B30D51">
              <w:t xml:space="preserve"> Species with less genetic diversity (eg, threatened species that have passed through population bottlenecks) will likely</w:t>
            </w:r>
            <w:r>
              <w:t> </w:t>
            </w:r>
            <w:r w:rsidRPr="00B30D51">
              <w:t>be more sensitive because of their reduced</w:t>
            </w:r>
            <w:r>
              <w:t> </w:t>
            </w:r>
            <w:r w:rsidRPr="00B30D51">
              <w:t xml:space="preserve">capacity for adaptation (Reed and Frankham, 2003). </w:t>
            </w:r>
          </w:p>
          <w:p w14:paraId="411D9B0D" w14:textId="3E35CB01" w:rsidR="00B81E54" w:rsidRPr="00B30D51" w:rsidRDefault="00B81E54" w:rsidP="00B81E54">
            <w:pPr>
              <w:pStyle w:val="TableBullet"/>
              <w:keepNext/>
              <w:rPr>
                <w:b/>
              </w:rPr>
            </w:pPr>
            <w:r w:rsidRPr="00B30D51">
              <w:rPr>
                <w:b/>
              </w:rPr>
              <w:t>Ocean acidification</w:t>
            </w:r>
            <w:r w:rsidRPr="00B30D51">
              <w:t>: Species dependent on calcium carbonate for the maintenance of exoskeletons will</w:t>
            </w:r>
            <w:r>
              <w:t> </w:t>
            </w:r>
            <w:r w:rsidRPr="00B30D51">
              <w:t>be particularly susceptible to</w:t>
            </w:r>
            <w:r>
              <w:t> </w:t>
            </w:r>
            <w:r w:rsidRPr="00B30D51">
              <w:t>the effects of ocean</w:t>
            </w:r>
            <w:r>
              <w:t> </w:t>
            </w:r>
            <w:r w:rsidRPr="00B30D51">
              <w:t xml:space="preserve">acidification. </w:t>
            </w:r>
          </w:p>
        </w:tc>
        <w:tc>
          <w:tcPr>
            <w:tcW w:w="4110" w:type="dxa"/>
          </w:tcPr>
          <w:p w14:paraId="27D229BA" w14:textId="1BDF4272" w:rsidR="00B81E54" w:rsidRPr="00B30D51" w:rsidRDefault="00B81E54" w:rsidP="00B81E54">
            <w:pPr>
              <w:pStyle w:val="TableBullet"/>
              <w:keepNext/>
              <w:rPr>
                <w:b/>
              </w:rPr>
            </w:pPr>
            <w:r w:rsidRPr="00B30D51">
              <w:rPr>
                <w:b/>
              </w:rPr>
              <w:t>Behavioural plasticity:</w:t>
            </w:r>
            <w:r w:rsidRPr="00B30D51">
              <w:t xml:space="preserve"> The ability of species and ecosystems to change behaviours based on environmental conditions will contribute greatly to adaptive capacity. Such behaviours involve shifts in distribution or seasonal activity, acclimation and changes in habitats (Williams et</w:t>
            </w:r>
            <w:r>
              <w:t> </w:t>
            </w:r>
            <w:r w:rsidRPr="00B30D51">
              <w:t>al, 2008). Behavioural changes favoured by</w:t>
            </w:r>
            <w:r>
              <w:t> </w:t>
            </w:r>
            <w:r w:rsidRPr="00B30D51">
              <w:t>natural selection through survival and reproduction may become fixed in populations over time.</w:t>
            </w:r>
          </w:p>
        </w:tc>
      </w:tr>
    </w:tbl>
    <w:p w14:paraId="4874949C" w14:textId="77777777" w:rsidR="00C94C6D" w:rsidRPr="0024184F" w:rsidRDefault="00C94C6D" w:rsidP="006F710D">
      <w:pPr>
        <w:pStyle w:val="Heading4"/>
        <w:spacing w:before="360"/>
      </w:pPr>
      <w:r w:rsidRPr="0024184F">
        <w:t xml:space="preserve">Human </w:t>
      </w:r>
    </w:p>
    <w:p w14:paraId="3B75EF14" w14:textId="56863669" w:rsidR="00C94C6D" w:rsidRPr="0024184F" w:rsidRDefault="00C94C6D" w:rsidP="006F710D">
      <w:pPr>
        <w:pStyle w:val="BodyText"/>
        <w:rPr>
          <w:b/>
        </w:rPr>
      </w:pPr>
      <w:r w:rsidRPr="0024184F">
        <w:t>The areas of human wellbeing that could be adversely affected include</w:t>
      </w:r>
      <w:r w:rsidR="005725B8">
        <w:t xml:space="preserve"> the following.</w:t>
      </w:r>
    </w:p>
    <w:p w14:paraId="366193E7" w14:textId="4B2F8A93" w:rsidR="00C94C6D" w:rsidRPr="00B30D51" w:rsidRDefault="00C94C6D" w:rsidP="00957BB4">
      <w:pPr>
        <w:pStyle w:val="Numberedparagraph"/>
        <w:numPr>
          <w:ilvl w:val="0"/>
          <w:numId w:val="48"/>
        </w:numPr>
      </w:pPr>
      <w:r w:rsidRPr="00B30D51">
        <w:t>Safety and health – Consider how the safety, physical and mental health of individual</w:t>
      </w:r>
      <w:r w:rsidR="005725B8">
        <w:t>s</w:t>
      </w:r>
      <w:r w:rsidRPr="00B30D51">
        <w:t xml:space="preserve"> and communities are affected by the increased frequency, intensity and magnitude of extreme events and slow-onset change. Such impacts could arise from physical threats, individual, community and policy responses to economic and social change, and chronic health impacts </w:t>
      </w:r>
      <w:r w:rsidR="005725B8">
        <w:t>(</w:t>
      </w:r>
      <w:r w:rsidRPr="00B30D51">
        <w:t>eg, respiratory disease, waterborne disease and new types of disease</w:t>
      </w:r>
      <w:r w:rsidR="005725B8">
        <w:t>)</w:t>
      </w:r>
      <w:r w:rsidRPr="00B30D51">
        <w:t>.</w:t>
      </w:r>
      <w:r w:rsidR="00467043">
        <w:t xml:space="preserve"> </w:t>
      </w:r>
    </w:p>
    <w:p w14:paraId="5873E340" w14:textId="77777777" w:rsidR="00C94C6D" w:rsidRPr="00B30D51" w:rsidRDefault="00C94C6D" w:rsidP="00C94C6D">
      <w:pPr>
        <w:pStyle w:val="Numberedparagraph"/>
      </w:pPr>
      <w:r w:rsidRPr="00B30D51">
        <w:t>Happiness – Consider how</w:t>
      </w:r>
      <w:r w:rsidRPr="00B30D51" w:rsidDel="00A27771">
        <w:t xml:space="preserve"> </w:t>
      </w:r>
      <w:r w:rsidRPr="00B30D51">
        <w:t xml:space="preserve">the happiness and satisfaction of individuals, families and communities are affected by ongoing change, including changes within communities and sense of belonging (place) as a result of physical, economic and social change. </w:t>
      </w:r>
    </w:p>
    <w:p w14:paraId="70E20263" w14:textId="08CB47A5" w:rsidR="00C94C6D" w:rsidRPr="00B30D51" w:rsidRDefault="00C94C6D" w:rsidP="00C94C6D">
      <w:pPr>
        <w:pStyle w:val="Numberedparagraph"/>
      </w:pPr>
      <w:r w:rsidRPr="00B30D51">
        <w:t>Access to services – Consider how individual and community access to critical services and the ability to earn an income change due to worsening impacts</w:t>
      </w:r>
      <w:r w:rsidR="00EF14C6">
        <w:t xml:space="preserve"> </w:t>
      </w:r>
      <w:r>
        <w:t>from</w:t>
      </w:r>
      <w:r w:rsidRPr="00B30D51">
        <w:t xml:space="preserve"> episodic events, slow</w:t>
      </w:r>
      <w:r w:rsidR="005725B8">
        <w:t>-</w:t>
      </w:r>
      <w:r w:rsidRPr="00B30D51">
        <w:t>onset changes and relocation of essential services.</w:t>
      </w:r>
    </w:p>
    <w:p w14:paraId="29827EA3" w14:textId="067E3785" w:rsidR="00C94C6D" w:rsidRPr="00B30D51" w:rsidRDefault="00C94C6D" w:rsidP="00C94C6D">
      <w:pPr>
        <w:pStyle w:val="Numberedparagraph"/>
      </w:pPr>
      <w:r w:rsidRPr="00B30D51">
        <w:t>Access to resources – Consider the ability to obtain and secure resources</w:t>
      </w:r>
      <w:r w:rsidR="005725B8">
        <w:t xml:space="preserve"> (eg,</w:t>
      </w:r>
      <w:r w:rsidRPr="00B30D51">
        <w:t xml:space="preserve"> clean water, finance, insurance, </w:t>
      </w:r>
      <w:r w:rsidR="005725B8">
        <w:t xml:space="preserve">and </w:t>
      </w:r>
      <w:r w:rsidRPr="00B30D51">
        <w:t>safe and dry homes</w:t>
      </w:r>
      <w:r w:rsidR="005725B8">
        <w:t>)</w:t>
      </w:r>
      <w:r w:rsidRPr="00B30D51">
        <w:t>.</w:t>
      </w:r>
    </w:p>
    <w:p w14:paraId="0E40F1A2" w14:textId="00BDFE8A" w:rsidR="00C94C6D" w:rsidRPr="00B30D51" w:rsidRDefault="00C94C6D" w:rsidP="00C94C6D">
      <w:pPr>
        <w:pStyle w:val="Numberedparagraph"/>
      </w:pPr>
      <w:r w:rsidRPr="00B30D51">
        <w:t xml:space="preserve">Activity patterns – Consider how the ability to undertake normal daily habits and activities (eg, shopping or travelling to work, engaging in community or cultural activities) is affected and whether these changes can be tolerated by those who live there. </w:t>
      </w:r>
    </w:p>
    <w:p w14:paraId="6C829317" w14:textId="56C8ECC2" w:rsidR="00C94C6D" w:rsidRPr="008D0115" w:rsidRDefault="00C94C6D" w:rsidP="00C94C6D">
      <w:pPr>
        <w:pStyle w:val="Numberedparagraph"/>
      </w:pPr>
      <w:r w:rsidRPr="008D0115">
        <w:t>Ability of Māori</w:t>
      </w:r>
      <w:r w:rsidR="00A45B76">
        <w:t xml:space="preserve">, </w:t>
      </w:r>
      <w:r w:rsidRPr="008D0115">
        <w:t>iwi</w:t>
      </w:r>
      <w:r w:rsidR="00A45B76">
        <w:t xml:space="preserve"> and </w:t>
      </w:r>
      <w:r w:rsidRPr="008D0115">
        <w:t>hapū to carry out cultural practices, express kaitiakitanga and pass on</w:t>
      </w:r>
      <w:r w:rsidR="006F710D">
        <w:t> </w:t>
      </w:r>
      <w:r w:rsidRPr="008D0115">
        <w:t>mātauranga.</w:t>
      </w:r>
    </w:p>
    <w:p w14:paraId="6851BEE2" w14:textId="2F1A6BD2" w:rsidR="00C94C6D" w:rsidRDefault="00C94C6D" w:rsidP="006F710D">
      <w:pPr>
        <w:pStyle w:val="BodyText"/>
        <w:spacing w:after="240"/>
      </w:pPr>
      <w:r w:rsidRPr="0024184F">
        <w:t>Vulnerability is derived from the interplay of sensitivity and adaptive capacity. Sensitivity and adaptive capacity in relation to human wellbeing include the considerations</w:t>
      </w:r>
      <w:r w:rsidR="005725B8">
        <w:t xml:space="preserve"> that </w:t>
      </w:r>
      <w:hyperlink w:anchor="table16" w:history="1">
        <w:r w:rsidR="005725B8" w:rsidRPr="005725B8">
          <w:rPr>
            <w:rStyle w:val="Hyperlink"/>
          </w:rPr>
          <w:t>table 16</w:t>
        </w:r>
      </w:hyperlink>
      <w:r w:rsidR="005725B8">
        <w:t xml:space="preserve"> identifies.</w:t>
      </w:r>
    </w:p>
    <w:p w14:paraId="30AEEFDC" w14:textId="13D83967" w:rsidR="00EB3411" w:rsidRPr="0024184F" w:rsidRDefault="00EB3411" w:rsidP="005725B8">
      <w:pPr>
        <w:pStyle w:val="Tableheading"/>
      </w:pPr>
      <w:bookmarkStart w:id="393" w:name="table16"/>
      <w:bookmarkStart w:id="394" w:name="_Toc43899332"/>
      <w:r>
        <w:lastRenderedPageBreak/>
        <w:t xml:space="preserve">Table </w:t>
      </w:r>
      <w:fldSimple w:instr=" SEQ Table \* ARABIC ">
        <w:r w:rsidR="001B2025">
          <w:rPr>
            <w:noProof/>
          </w:rPr>
          <w:t>16</w:t>
        </w:r>
      </w:fldSimple>
      <w:r>
        <w:t xml:space="preserve">: </w:t>
      </w:r>
      <w:bookmarkEnd w:id="393"/>
      <w:r>
        <w:tab/>
      </w:r>
      <w:r w:rsidR="00183EC4">
        <w:t>Sensitivity and adaptive capacity in the human domain</w:t>
      </w:r>
      <w:bookmarkEnd w:id="394"/>
    </w:p>
    <w:tbl>
      <w:tblPr>
        <w:tblStyle w:val="TableGrid"/>
        <w:tblW w:w="8613"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4274"/>
        <w:gridCol w:w="4339"/>
      </w:tblGrid>
      <w:tr w:rsidR="009018A0" w:rsidRPr="009018A0" w14:paraId="2EC2151A" w14:textId="77777777" w:rsidTr="00834758">
        <w:tc>
          <w:tcPr>
            <w:tcW w:w="4274" w:type="dxa"/>
            <w:shd w:val="clear" w:color="auto" w:fill="1C556C" w:themeFill="accent1"/>
            <w:hideMark/>
          </w:tcPr>
          <w:p w14:paraId="2314C2BD" w14:textId="61415629" w:rsidR="00C94C6D" w:rsidRPr="009018A0" w:rsidRDefault="00C94C6D" w:rsidP="00F70A70">
            <w:pPr>
              <w:pStyle w:val="TableTextBold"/>
              <w:rPr>
                <w:color w:val="FFFFFF" w:themeColor="background1"/>
              </w:rPr>
            </w:pPr>
            <w:r w:rsidRPr="009018A0">
              <w:rPr>
                <w:color w:val="FFFFFF" w:themeColor="background1"/>
              </w:rPr>
              <w:t>Sensitivity</w:t>
            </w:r>
            <w:r w:rsidR="00467043">
              <w:rPr>
                <w:color w:val="FFFFFF" w:themeColor="background1"/>
              </w:rPr>
              <w:t xml:space="preserve"> </w:t>
            </w:r>
          </w:p>
        </w:tc>
        <w:tc>
          <w:tcPr>
            <w:tcW w:w="4339" w:type="dxa"/>
            <w:shd w:val="clear" w:color="auto" w:fill="1C556C" w:themeFill="accent1"/>
            <w:hideMark/>
          </w:tcPr>
          <w:p w14:paraId="6E7F8FF1" w14:textId="77777777" w:rsidR="00C94C6D" w:rsidRPr="009018A0" w:rsidRDefault="00C94C6D" w:rsidP="00F70A70">
            <w:pPr>
              <w:pStyle w:val="TableTextBold"/>
              <w:rPr>
                <w:color w:val="FFFFFF" w:themeColor="background1"/>
              </w:rPr>
            </w:pPr>
            <w:r w:rsidRPr="009018A0">
              <w:rPr>
                <w:color w:val="FFFFFF" w:themeColor="background1"/>
              </w:rPr>
              <w:t xml:space="preserve">Adaptive capacity </w:t>
            </w:r>
          </w:p>
        </w:tc>
      </w:tr>
      <w:tr w:rsidR="00C94C6D" w:rsidRPr="008D0115" w14:paraId="3C45162E" w14:textId="77777777" w:rsidTr="00834758">
        <w:tc>
          <w:tcPr>
            <w:tcW w:w="4274" w:type="dxa"/>
            <w:hideMark/>
          </w:tcPr>
          <w:p w14:paraId="66B0465B" w14:textId="52BE2E8D" w:rsidR="00C94C6D" w:rsidRPr="008D0115" w:rsidRDefault="00C94C6D" w:rsidP="009018A0">
            <w:pPr>
              <w:pStyle w:val="TableBullet"/>
              <w:spacing w:before="60"/>
            </w:pPr>
            <w:r w:rsidRPr="008D0115">
              <w:t>Debt levels</w:t>
            </w:r>
            <w:r w:rsidR="00CC3A9F">
              <w:t>:</w:t>
            </w:r>
            <w:r w:rsidRPr="008D0115">
              <w:t xml:space="preserve"> </w:t>
            </w:r>
            <w:r w:rsidR="00CC3A9F">
              <w:t>T</w:t>
            </w:r>
            <w:r w:rsidRPr="008D0115">
              <w:t>hose who are overcapitalised may be more sensitive.</w:t>
            </w:r>
          </w:p>
          <w:p w14:paraId="13880EF1" w14:textId="0EABA347" w:rsidR="00C94C6D" w:rsidRPr="008D0115" w:rsidRDefault="00C94C6D" w:rsidP="00F70A70">
            <w:pPr>
              <w:pStyle w:val="TableBullet"/>
            </w:pPr>
            <w:r w:rsidRPr="008D0115">
              <w:t>Socio-economic status: In general, people living in</w:t>
            </w:r>
            <w:r w:rsidR="009018A0">
              <w:t> </w:t>
            </w:r>
            <w:r w:rsidRPr="008D0115">
              <w:t>poverty are more exposed and sensitive than the wealthy to hazard impacts (Fothergill and Peek, 2004).</w:t>
            </w:r>
          </w:p>
          <w:p w14:paraId="65B1ED05" w14:textId="0EC25F71" w:rsidR="00C94C6D" w:rsidRPr="008D0115" w:rsidRDefault="00C94C6D" w:rsidP="00F70A70">
            <w:pPr>
              <w:pStyle w:val="TableBullet"/>
            </w:pPr>
            <w:r w:rsidRPr="008D0115">
              <w:t>Race and ethnicity: Ethnic communities are often geographically and economically isolated from jobs, services and institutions. Discrimination also plays a major role in increasing the vulnerability of racial and ethnic minorities (</w:t>
            </w:r>
            <w:r w:rsidR="00803E92" w:rsidRPr="008D0115">
              <w:t>Bolin, 2006</w:t>
            </w:r>
            <w:r w:rsidR="00803E92">
              <w:t xml:space="preserve">; </w:t>
            </w:r>
            <w:r w:rsidRPr="008D0115">
              <w:t>Fothergill</w:t>
            </w:r>
            <w:r w:rsidR="00CC3A9F">
              <w:t xml:space="preserve"> et al</w:t>
            </w:r>
            <w:r w:rsidRPr="008D0115">
              <w:t>, 1999). Where minorities are immigrants from non-English-speaking countries, language barriers can greatly increase vulnerability to a disaster and recovery (Tru</w:t>
            </w:r>
            <w:r w:rsidR="00803E92">
              <w:t>j</w:t>
            </w:r>
            <w:r w:rsidRPr="008D0115">
              <w:t>illo-Pagan, 2007).</w:t>
            </w:r>
          </w:p>
          <w:p w14:paraId="75DEBEDE" w14:textId="173B33DD" w:rsidR="00C94C6D" w:rsidRPr="009018A0" w:rsidRDefault="00C94C6D" w:rsidP="00F70A70">
            <w:pPr>
              <w:pStyle w:val="TableBullet"/>
              <w:rPr>
                <w:rFonts w:cs="Calibri"/>
                <w:szCs w:val="18"/>
              </w:rPr>
            </w:pPr>
            <w:r w:rsidRPr="009018A0">
              <w:rPr>
                <w:rFonts w:cs="Calibri"/>
                <w:szCs w:val="18"/>
              </w:rPr>
              <w:t>Gender: Following disasters, d</w:t>
            </w:r>
            <w:r w:rsidRPr="009018A0">
              <w:rPr>
                <w:rFonts w:cs="Calibri"/>
                <w:szCs w:val="18"/>
                <w:shd w:val="clear" w:color="auto" w:fill="FFFFFF"/>
              </w:rPr>
              <w:t xml:space="preserve">isplaced women and children are often at greater risk of sexual </w:t>
            </w:r>
            <w:r w:rsidRPr="00834758">
              <w:rPr>
                <w:rStyle w:val="Emphasis"/>
                <w:rFonts w:cs="Calibri"/>
                <w:bCs/>
                <w:i w:val="0"/>
                <w:szCs w:val="18"/>
                <w:shd w:val="clear" w:color="auto" w:fill="FFFFFF"/>
              </w:rPr>
              <w:t>violence</w:t>
            </w:r>
            <w:r w:rsidRPr="009018A0">
              <w:rPr>
                <w:rStyle w:val="Emphasis"/>
                <w:rFonts w:cs="Calibri"/>
                <w:bCs/>
                <w:szCs w:val="18"/>
                <w:shd w:val="clear" w:color="auto" w:fill="FFFFFF"/>
              </w:rPr>
              <w:t xml:space="preserve">. </w:t>
            </w:r>
            <w:r w:rsidRPr="009018A0">
              <w:rPr>
                <w:rFonts w:cs="Calibri"/>
                <w:szCs w:val="18"/>
                <w:shd w:val="clear" w:color="auto" w:fill="FFFFFF"/>
              </w:rPr>
              <w:t>U</w:t>
            </w:r>
            <w:r w:rsidRPr="009018A0">
              <w:rPr>
                <w:rFonts w:cs="Calibri"/>
                <w:szCs w:val="18"/>
              </w:rPr>
              <w:t>nequal participation in labour markets and decision-making compounds inequalities (Enarson, 2007). Relocation due to slow</w:t>
            </w:r>
            <w:r w:rsidR="005725B8">
              <w:rPr>
                <w:rFonts w:cs="Calibri"/>
                <w:szCs w:val="18"/>
              </w:rPr>
              <w:t>-</w:t>
            </w:r>
            <w:r w:rsidRPr="009018A0">
              <w:rPr>
                <w:rFonts w:cs="Calibri"/>
                <w:szCs w:val="18"/>
              </w:rPr>
              <w:t>onset change may present similar challenges.</w:t>
            </w:r>
            <w:r w:rsidR="00467043">
              <w:rPr>
                <w:rFonts w:cs="Calibri"/>
                <w:szCs w:val="18"/>
              </w:rPr>
              <w:t xml:space="preserve"> </w:t>
            </w:r>
          </w:p>
          <w:p w14:paraId="7D4D339F" w14:textId="47471C92" w:rsidR="00C94C6D" w:rsidRPr="008D0115" w:rsidRDefault="00C94C6D" w:rsidP="00F70A70">
            <w:pPr>
              <w:pStyle w:val="TableBullet"/>
            </w:pPr>
            <w:r w:rsidRPr="008D0115">
              <w:t>Age: Disruptions created by a disaster can have significant psychological and physical impacts on children. The elderly are likely to experience health problems and a slower recovery, and tend to be more reluctant to evacuate their homes in a disaster or move from their community due to slow</w:t>
            </w:r>
            <w:r w:rsidR="005725B8">
              <w:t>-</w:t>
            </w:r>
            <w:r w:rsidRPr="008D0115">
              <w:t>onset change.</w:t>
            </w:r>
          </w:p>
          <w:p w14:paraId="15C24709" w14:textId="277262FA" w:rsidR="00C94C6D" w:rsidRPr="008D0115" w:rsidRDefault="00C94C6D" w:rsidP="00F70A70">
            <w:pPr>
              <w:pStyle w:val="TableBullet"/>
            </w:pPr>
            <w:r w:rsidRPr="008D0115">
              <w:t xml:space="preserve">Disability and physical health: </w:t>
            </w:r>
            <w:r w:rsidR="00A45B76">
              <w:t>P</w:t>
            </w:r>
            <w:r w:rsidRPr="008D0115">
              <w:t>eople living with mental or physical disabilities are less able to respond effectively to disasters and additional stress, and require additional help in preparing for and recovering from disasters, and adapting to slow</w:t>
            </w:r>
            <w:r w:rsidR="005725B8">
              <w:t>-</w:t>
            </w:r>
            <w:r w:rsidRPr="008D0115">
              <w:t>onset change (McGuire</w:t>
            </w:r>
            <w:r w:rsidR="00803E92">
              <w:t xml:space="preserve"> et al</w:t>
            </w:r>
            <w:r w:rsidRPr="008D0115">
              <w:t>,</w:t>
            </w:r>
            <w:r w:rsidR="00171F73">
              <w:t> </w:t>
            </w:r>
            <w:r w:rsidRPr="008D0115">
              <w:t>2007).</w:t>
            </w:r>
          </w:p>
          <w:p w14:paraId="592BE9E0" w14:textId="17F2BDD4" w:rsidR="00C94C6D" w:rsidRPr="008D0115" w:rsidRDefault="00C94C6D" w:rsidP="00F70A70">
            <w:pPr>
              <w:pStyle w:val="TableBullet"/>
            </w:pPr>
            <w:r w:rsidRPr="008D0115">
              <w:t>The number of impacts an individual</w:t>
            </w:r>
            <w:r w:rsidR="00803E92">
              <w:t>,</w:t>
            </w:r>
            <w:r w:rsidRPr="008D0115">
              <w:t xml:space="preserve"> community or hapū is exposed to</w:t>
            </w:r>
            <w:r w:rsidR="00803E92">
              <w:t>,</w:t>
            </w:r>
            <w:r w:rsidRPr="008D0115">
              <w:t xml:space="preserve"> either simultaneously or in</w:t>
            </w:r>
            <w:r w:rsidR="00DB41B0">
              <w:t> </w:t>
            </w:r>
            <w:r w:rsidRPr="008D0115">
              <w:t xml:space="preserve">a short period, affects their sensitivity. For example, a family may own property </w:t>
            </w:r>
            <w:r w:rsidR="00803E92">
              <w:t>that</w:t>
            </w:r>
            <w:r w:rsidR="00803E92" w:rsidRPr="008D0115">
              <w:t xml:space="preserve"> </w:t>
            </w:r>
            <w:r w:rsidRPr="008D0115">
              <w:t>is simultaneously affected by flooding and pests, or</w:t>
            </w:r>
            <w:r w:rsidR="00DB41B0">
              <w:t> </w:t>
            </w:r>
            <w:r w:rsidRPr="008D0115">
              <w:t>coastal inundation then drought in quick succession.</w:t>
            </w:r>
            <w:r w:rsidR="00467043">
              <w:t xml:space="preserve"> </w:t>
            </w:r>
          </w:p>
          <w:p w14:paraId="04B82CC4" w14:textId="27E9D7F0" w:rsidR="00C94C6D" w:rsidRPr="008D0115" w:rsidRDefault="00C94C6D" w:rsidP="00F70A70">
            <w:pPr>
              <w:pStyle w:val="TableBullet"/>
            </w:pPr>
            <w:r w:rsidRPr="008D0115">
              <w:t>Strength of identity</w:t>
            </w:r>
            <w:r w:rsidR="00803E92">
              <w:t xml:space="preserve"> is</w:t>
            </w:r>
            <w:r w:rsidRPr="008D0115">
              <w:t xml:space="preserve"> linked to the ability to undertake cultural practices and assert kaitiakitanga or live in a particular place, or do a</w:t>
            </w:r>
            <w:r w:rsidR="00DB41B0">
              <w:t> </w:t>
            </w:r>
            <w:r w:rsidRPr="008D0115">
              <w:t>particular job (eg, self-identity in farmers)</w:t>
            </w:r>
            <w:r w:rsidR="00DB41B0">
              <w:t>.</w:t>
            </w:r>
          </w:p>
        </w:tc>
        <w:tc>
          <w:tcPr>
            <w:tcW w:w="4339" w:type="dxa"/>
            <w:hideMark/>
          </w:tcPr>
          <w:p w14:paraId="289A0E62" w14:textId="2FF475C8" w:rsidR="00C94C6D" w:rsidRPr="008D0115" w:rsidRDefault="00C94C6D" w:rsidP="009018A0">
            <w:pPr>
              <w:pStyle w:val="TableBullet"/>
              <w:spacing w:before="60"/>
            </w:pPr>
            <w:r w:rsidRPr="008D0115">
              <w:t>Social capital (the interpersonal relationships, shared identities, understandings, values and norms,</w:t>
            </w:r>
            <w:r w:rsidR="00DB41B0">
              <w:t> </w:t>
            </w:r>
            <w:r w:rsidRPr="008D0115">
              <w:t>and trust, cooperation and reciprocity present in a social group) can have both a positive and</w:t>
            </w:r>
            <w:r w:rsidR="00D81A10">
              <w:t xml:space="preserve"> a</w:t>
            </w:r>
            <w:r w:rsidRPr="008D0115">
              <w:t xml:space="preserve"> detrimental impact on adaptive capacity (Adger,</w:t>
            </w:r>
            <w:r w:rsidR="009018A0">
              <w:t> </w:t>
            </w:r>
            <w:r w:rsidRPr="008D0115">
              <w:t>2003).</w:t>
            </w:r>
          </w:p>
          <w:p w14:paraId="39267B67" w14:textId="77777777" w:rsidR="00C94C6D" w:rsidRPr="008D0115" w:rsidRDefault="00C94C6D" w:rsidP="00F70A70">
            <w:pPr>
              <w:pStyle w:val="TableBullet"/>
            </w:pPr>
            <w:r w:rsidRPr="008D0115">
              <w:t>Management capacity (ability to engage in risk management, planning and adaptive management) (Smit and Wandel, 2006).</w:t>
            </w:r>
          </w:p>
          <w:p w14:paraId="1458E1EE" w14:textId="77777777" w:rsidR="00C94C6D" w:rsidRPr="008D0115" w:rsidRDefault="00C94C6D" w:rsidP="00F70A70">
            <w:pPr>
              <w:pStyle w:val="TableBullet"/>
            </w:pPr>
            <w:r w:rsidRPr="008D0115">
              <w:t>Access to financial, technological and information resources.</w:t>
            </w:r>
          </w:p>
          <w:p w14:paraId="30E03430" w14:textId="77777777" w:rsidR="00C94C6D" w:rsidRPr="008D0115" w:rsidRDefault="00C94C6D" w:rsidP="00F70A70">
            <w:pPr>
              <w:pStyle w:val="TableBullet"/>
            </w:pPr>
            <w:r w:rsidRPr="008D0115">
              <w:t xml:space="preserve">The institutional environment within which adaptation occurs. </w:t>
            </w:r>
          </w:p>
          <w:p w14:paraId="243EEF47" w14:textId="77777777" w:rsidR="00C94C6D" w:rsidRPr="008D0115" w:rsidRDefault="00C94C6D" w:rsidP="00F70A70">
            <w:pPr>
              <w:pStyle w:val="TableBullet"/>
            </w:pPr>
            <w:r w:rsidRPr="008D0115">
              <w:t>Political influence.</w:t>
            </w:r>
          </w:p>
          <w:p w14:paraId="1D6E4878" w14:textId="77777777" w:rsidR="00C94C6D" w:rsidRPr="008D0115" w:rsidRDefault="00C94C6D" w:rsidP="00F70A70">
            <w:pPr>
              <w:pStyle w:val="TableBullet"/>
            </w:pPr>
            <w:r w:rsidRPr="008D0115">
              <w:t>Kinship networks.</w:t>
            </w:r>
          </w:p>
          <w:p w14:paraId="2ADED69F" w14:textId="6D363777" w:rsidR="00C94C6D" w:rsidRPr="008D0115" w:rsidRDefault="00C94C6D" w:rsidP="00F70A70">
            <w:pPr>
              <w:pStyle w:val="TableBullet"/>
            </w:pPr>
            <w:r w:rsidRPr="008D0115">
              <w:t>Socio-economic status influences the ability of individuals and communities to absorb the losses from hazards or the disruption of relocation (Masozera</w:t>
            </w:r>
            <w:r w:rsidR="00D81A10">
              <w:t xml:space="preserve"> et al</w:t>
            </w:r>
            <w:r w:rsidRPr="008D0115">
              <w:t>, 2007).</w:t>
            </w:r>
          </w:p>
          <w:p w14:paraId="41DC5FFD" w14:textId="77777777" w:rsidR="00C94C6D" w:rsidRPr="008D0115" w:rsidRDefault="00C94C6D" w:rsidP="00F70A70">
            <w:pPr>
              <w:pStyle w:val="TableBullet"/>
            </w:pPr>
            <w:r w:rsidRPr="008D0115">
              <w:t>Age: Both the young and the elderly may be unable to respond to disasters without outside support. Children who lack adequate family support are at a major disadvantage. Generally, the elderly are more likely to lack the necessary physical and economic resources to respond effectively.</w:t>
            </w:r>
          </w:p>
          <w:p w14:paraId="3E5B38AA" w14:textId="00E50B65" w:rsidR="00C94C6D" w:rsidRPr="008D0115" w:rsidRDefault="00C94C6D" w:rsidP="00F70A70">
            <w:pPr>
              <w:pStyle w:val="TableBullet"/>
            </w:pPr>
            <w:r w:rsidRPr="008D0115">
              <w:t>Personal resilience and characteristics</w:t>
            </w:r>
            <w:r w:rsidR="00D81A10">
              <w:t xml:space="preserve"> affect</w:t>
            </w:r>
            <w:r w:rsidRPr="008D0115">
              <w:t xml:space="preserve"> </w:t>
            </w:r>
            <w:r w:rsidRPr="008D0115">
              <w:rPr>
                <w:color w:val="000000"/>
                <w:shd w:val="clear" w:color="auto" w:fill="FFFFFF"/>
              </w:rPr>
              <w:t>the process of adapting well in the face of adversity, trauma, tragedy, threats or significant sources of stress.</w:t>
            </w:r>
            <w:r w:rsidR="00467043">
              <w:rPr>
                <w:color w:val="000000"/>
                <w:shd w:val="clear" w:color="auto" w:fill="FFFFFF"/>
              </w:rPr>
              <w:t xml:space="preserve"> </w:t>
            </w:r>
          </w:p>
          <w:p w14:paraId="4C999DBC" w14:textId="489EF93E" w:rsidR="00C94C6D" w:rsidRPr="008D0115" w:rsidRDefault="00C94C6D" w:rsidP="00D81A10">
            <w:pPr>
              <w:pStyle w:val="TableBullet"/>
            </w:pPr>
            <w:r w:rsidRPr="008D0115">
              <w:t xml:space="preserve">Mobility and flexible self-identity: </w:t>
            </w:r>
            <w:r w:rsidR="00D81A10">
              <w:t>A</w:t>
            </w:r>
            <w:r w:rsidRPr="008D0115">
              <w:t>ttachment to a place may be closely linked to a sense of belonging to a community. Individuals with a strong attachment to their community are often unwilling to migrate to maintain their income levels, because they are reluctant to leave behind their social and emotional support groups and adapt to a new community. Individuals with a high level of place attachment can be distressed at the prospect of moving from their home communities (Adger</w:t>
            </w:r>
            <w:r w:rsidR="00D81A10">
              <w:t xml:space="preserve"> et al</w:t>
            </w:r>
            <w:r w:rsidRPr="008D0115">
              <w:t>, 2013).</w:t>
            </w:r>
          </w:p>
        </w:tc>
      </w:tr>
    </w:tbl>
    <w:p w14:paraId="1C322814" w14:textId="77777777" w:rsidR="00C94C6D" w:rsidRPr="0024184F" w:rsidRDefault="00C94C6D" w:rsidP="00171F73">
      <w:pPr>
        <w:pStyle w:val="Heading4"/>
        <w:spacing w:before="360"/>
      </w:pPr>
      <w:r w:rsidRPr="0024184F">
        <w:t>Economy</w:t>
      </w:r>
    </w:p>
    <w:p w14:paraId="4B385258" w14:textId="77777777" w:rsidR="00C94C6D" w:rsidRPr="0024184F" w:rsidRDefault="00C94C6D" w:rsidP="00171F73">
      <w:pPr>
        <w:pStyle w:val="BodyText"/>
        <w:keepNext/>
      </w:pPr>
      <w:r w:rsidRPr="0024184F">
        <w:t xml:space="preserve">The areas of the economy that could be adversely affected include: </w:t>
      </w:r>
    </w:p>
    <w:p w14:paraId="4ABBD3F5" w14:textId="2B542759" w:rsidR="00C94C6D" w:rsidRPr="008D0115" w:rsidRDefault="00D81A10" w:rsidP="00957BB4">
      <w:pPr>
        <w:pStyle w:val="Numberedparagraph"/>
        <w:numPr>
          <w:ilvl w:val="0"/>
          <w:numId w:val="49"/>
        </w:numPr>
      </w:pPr>
      <w:r>
        <w:t>b</w:t>
      </w:r>
      <w:r w:rsidR="00C94C6D" w:rsidRPr="008D0115">
        <w:t xml:space="preserve">usinesses (including </w:t>
      </w:r>
      <w:r w:rsidR="000147EF">
        <w:t xml:space="preserve">the </w:t>
      </w:r>
      <w:r w:rsidR="00C94C6D" w:rsidRPr="008D0115">
        <w:t>primary sector), including how they perform as impacts worsen in frequency, intensity and magnitude, considering episodic and ongoing changes</w:t>
      </w:r>
    </w:p>
    <w:p w14:paraId="22BF3D9D" w14:textId="46D612AB" w:rsidR="00C94C6D" w:rsidRPr="008D0115" w:rsidRDefault="00D81A10" w:rsidP="00C94C6D">
      <w:pPr>
        <w:pStyle w:val="Numberedparagraph"/>
      </w:pPr>
      <w:r>
        <w:t>l</w:t>
      </w:r>
      <w:r w:rsidR="00C94C6D" w:rsidRPr="008D0115">
        <w:t>ocal and central government finances and assets, including how these are affected by impacts and potential costs of climate change</w:t>
      </w:r>
      <w:r w:rsidR="000147EF">
        <w:t>, and h</w:t>
      </w:r>
      <w:r w:rsidR="00C94C6D" w:rsidRPr="008D0115">
        <w:t>ow the economy performs as a whole as</w:t>
      </w:r>
      <w:r w:rsidR="00171F73">
        <w:t> </w:t>
      </w:r>
      <w:r w:rsidR="00C94C6D" w:rsidRPr="008D0115">
        <w:t>key sectors (eg, dairy and tourism) begin to be adversely affected</w:t>
      </w:r>
    </w:p>
    <w:p w14:paraId="1DAB812F" w14:textId="39A11B2F" w:rsidR="00C94C6D" w:rsidRPr="008D0115" w:rsidRDefault="00D81A10" w:rsidP="00C94C6D">
      <w:pPr>
        <w:pStyle w:val="Numberedparagraph"/>
      </w:pPr>
      <w:r>
        <w:lastRenderedPageBreak/>
        <w:t>f</w:t>
      </w:r>
      <w:r w:rsidR="00C94C6D" w:rsidRPr="008D0115">
        <w:t>inancial institutions, including how liabilities change and emerge from worsening impacts.</w:t>
      </w:r>
    </w:p>
    <w:p w14:paraId="044DEC09" w14:textId="6AB26343" w:rsidR="00D62331" w:rsidRDefault="00C94C6D" w:rsidP="00D62331">
      <w:pPr>
        <w:pStyle w:val="BodyText"/>
      </w:pPr>
      <w:r w:rsidRPr="0024184F">
        <w:t>Vulnerability is derived from the interplay of sensitivity and adaptive capacity. Sensitivity and adaptive capacity in relation to the economy include the considerations</w:t>
      </w:r>
      <w:r w:rsidR="000147EF">
        <w:t xml:space="preserve"> that </w:t>
      </w:r>
      <w:hyperlink w:anchor="table17" w:history="1">
        <w:r w:rsidR="000147EF" w:rsidRPr="000147EF">
          <w:rPr>
            <w:rStyle w:val="Hyperlink"/>
          </w:rPr>
          <w:t>table 17</w:t>
        </w:r>
      </w:hyperlink>
      <w:r w:rsidR="000147EF">
        <w:t xml:space="preserve"> identifies</w:t>
      </w:r>
      <w:r w:rsidR="00D62331">
        <w:t>.</w:t>
      </w:r>
    </w:p>
    <w:p w14:paraId="5787B70C" w14:textId="44730ADF" w:rsidR="00C94C6D" w:rsidRPr="0024184F" w:rsidRDefault="00D62331" w:rsidP="000147EF">
      <w:pPr>
        <w:pStyle w:val="Tableheading"/>
      </w:pPr>
      <w:bookmarkStart w:id="395" w:name="table17"/>
      <w:bookmarkStart w:id="396" w:name="_Toc43899333"/>
      <w:r>
        <w:t xml:space="preserve">Table </w:t>
      </w:r>
      <w:fldSimple w:instr=" SEQ Table \* ARABIC ">
        <w:r w:rsidR="001B2025">
          <w:rPr>
            <w:noProof/>
          </w:rPr>
          <w:t>17</w:t>
        </w:r>
      </w:fldSimple>
      <w:r>
        <w:t>:</w:t>
      </w:r>
      <w:bookmarkEnd w:id="395"/>
      <w:r>
        <w:t xml:space="preserve"> </w:t>
      </w:r>
      <w:r>
        <w:tab/>
      </w:r>
      <w:r w:rsidR="00183EC4">
        <w:t>Sensitivity and adaptive capacity in the economy domain</w:t>
      </w:r>
      <w:bookmarkEnd w:id="396"/>
      <w:r w:rsidR="00C94C6D" w:rsidRPr="0024184F">
        <w:t xml:space="preserve"> </w:t>
      </w:r>
    </w:p>
    <w:tbl>
      <w:tblPr>
        <w:tblStyle w:val="TableGrid"/>
        <w:tblW w:w="8613"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4266"/>
        <w:gridCol w:w="4347"/>
      </w:tblGrid>
      <w:tr w:rsidR="00DB41B0" w:rsidRPr="00DB41B0" w14:paraId="08F767C6" w14:textId="77777777" w:rsidTr="00834758">
        <w:tc>
          <w:tcPr>
            <w:tcW w:w="4266" w:type="dxa"/>
            <w:shd w:val="clear" w:color="auto" w:fill="1C556C" w:themeFill="accent1"/>
            <w:hideMark/>
          </w:tcPr>
          <w:p w14:paraId="0C86326F" w14:textId="1AA62644" w:rsidR="00C94C6D" w:rsidRPr="00DB41B0" w:rsidRDefault="00C94C6D" w:rsidP="00F70A70">
            <w:pPr>
              <w:pStyle w:val="TableTextBold"/>
              <w:rPr>
                <w:color w:val="FFFFFF" w:themeColor="background1"/>
              </w:rPr>
            </w:pPr>
            <w:r w:rsidRPr="00DB41B0">
              <w:rPr>
                <w:color w:val="FFFFFF" w:themeColor="background1"/>
              </w:rPr>
              <w:t>Sensitivity</w:t>
            </w:r>
            <w:r w:rsidR="00467043">
              <w:rPr>
                <w:color w:val="FFFFFF" w:themeColor="background1"/>
              </w:rPr>
              <w:t xml:space="preserve"> </w:t>
            </w:r>
          </w:p>
        </w:tc>
        <w:tc>
          <w:tcPr>
            <w:tcW w:w="4347" w:type="dxa"/>
            <w:shd w:val="clear" w:color="auto" w:fill="1C556C" w:themeFill="accent1"/>
            <w:hideMark/>
          </w:tcPr>
          <w:p w14:paraId="13499575" w14:textId="77777777" w:rsidR="00C94C6D" w:rsidRPr="00DB41B0" w:rsidRDefault="00C94C6D" w:rsidP="00F70A70">
            <w:pPr>
              <w:pStyle w:val="TableTextBold"/>
              <w:rPr>
                <w:color w:val="FFFFFF" w:themeColor="background1"/>
              </w:rPr>
            </w:pPr>
            <w:r w:rsidRPr="00DB41B0">
              <w:rPr>
                <w:color w:val="FFFFFF" w:themeColor="background1"/>
              </w:rPr>
              <w:t xml:space="preserve">Adaptive capacity </w:t>
            </w:r>
          </w:p>
        </w:tc>
      </w:tr>
      <w:tr w:rsidR="00C94C6D" w:rsidRPr="0024184F" w14:paraId="18F5B31E" w14:textId="77777777" w:rsidTr="00834758">
        <w:tc>
          <w:tcPr>
            <w:tcW w:w="4266" w:type="dxa"/>
          </w:tcPr>
          <w:p w14:paraId="1654C83C" w14:textId="08368708" w:rsidR="00C94C6D" w:rsidRPr="0024184F" w:rsidRDefault="00C94C6D" w:rsidP="00DB41B0">
            <w:pPr>
              <w:pStyle w:val="TableBullet"/>
              <w:spacing w:before="60"/>
            </w:pPr>
            <w:r w:rsidRPr="0024184F">
              <w:t xml:space="preserve">Dependence on ecological systems: </w:t>
            </w:r>
            <w:r w:rsidR="00A45B76">
              <w:t>I</w:t>
            </w:r>
            <w:r w:rsidRPr="0024184F">
              <w:t>f elements or</w:t>
            </w:r>
            <w:r w:rsidR="00DB41B0">
              <w:t> </w:t>
            </w:r>
            <w:r w:rsidRPr="0024184F">
              <w:t>subcategories are dependent on ecological systems, they are likely to be highly sensitive to</w:t>
            </w:r>
            <w:r w:rsidR="00CF188D">
              <w:t> </w:t>
            </w:r>
            <w:r w:rsidRPr="0024184F">
              <w:t>changes in such systems.</w:t>
            </w:r>
          </w:p>
          <w:p w14:paraId="4D926D34" w14:textId="7661D04C" w:rsidR="00C94C6D" w:rsidRPr="0024184F" w:rsidRDefault="00C94C6D" w:rsidP="00F70A70">
            <w:pPr>
              <w:pStyle w:val="TableBullet"/>
            </w:pPr>
            <w:r w:rsidRPr="0024184F">
              <w:t>Leverage and risk</w:t>
            </w:r>
            <w:r w:rsidR="000147EF">
              <w:t>-</w:t>
            </w:r>
            <w:r w:rsidRPr="0024184F">
              <w:t xml:space="preserve">taking: </w:t>
            </w:r>
            <w:r w:rsidR="000147EF">
              <w:t>B</w:t>
            </w:r>
            <w:r w:rsidRPr="0024184F">
              <w:t>orrowed capital increases sensitivity to unexpected economic perturbations.</w:t>
            </w:r>
          </w:p>
          <w:p w14:paraId="057441B4" w14:textId="65F3BB7A" w:rsidR="00C94C6D" w:rsidRPr="0024184F" w:rsidRDefault="00C94C6D" w:rsidP="00F70A70">
            <w:pPr>
              <w:pStyle w:val="TableBullet"/>
            </w:pPr>
            <w:r w:rsidRPr="0024184F">
              <w:t xml:space="preserve">Interconnectedness and common exposures: </w:t>
            </w:r>
            <w:r w:rsidR="00A45B76">
              <w:t>I</w:t>
            </w:r>
            <w:r w:rsidRPr="0024184F">
              <w:t>nterconnectedness with other exposed and vulnerable elements, through supply chains for</w:t>
            </w:r>
            <w:r w:rsidR="00DB41B0">
              <w:t> </w:t>
            </w:r>
            <w:r w:rsidRPr="0024184F">
              <w:t>example, influences sensitivity. Multiple, concurrent or successive hazards will increase</w:t>
            </w:r>
            <w:r w:rsidR="00E722BB">
              <w:t> </w:t>
            </w:r>
            <w:r w:rsidRPr="0024184F">
              <w:t>sensitivity.</w:t>
            </w:r>
          </w:p>
          <w:p w14:paraId="79C4FFE6" w14:textId="02692FE8" w:rsidR="00C94C6D" w:rsidRPr="0024184F" w:rsidRDefault="00C94C6D" w:rsidP="00DB41B0">
            <w:pPr>
              <w:pStyle w:val="TableBullet"/>
            </w:pPr>
            <w:r w:rsidRPr="0024184F">
              <w:t xml:space="preserve">System characteristics: </w:t>
            </w:r>
            <w:r w:rsidR="00A45B76">
              <w:t>I</w:t>
            </w:r>
            <w:r w:rsidRPr="0024184F">
              <w:t>n the primary sector particularly, different systems have differing sensitivities</w:t>
            </w:r>
            <w:r>
              <w:t xml:space="preserve"> – for example</w:t>
            </w:r>
            <w:r w:rsidR="000147EF">
              <w:t>,</w:t>
            </w:r>
            <w:r w:rsidRPr="0024184F">
              <w:t xml:space="preserve"> </w:t>
            </w:r>
            <w:r>
              <w:t>i</w:t>
            </w:r>
            <w:r w:rsidRPr="0024184F">
              <w:t>ntensive livestock production may be more sensitive to heat stress than extensive systems. Certain crops are more sensitive to water stress.</w:t>
            </w:r>
          </w:p>
        </w:tc>
        <w:tc>
          <w:tcPr>
            <w:tcW w:w="4347" w:type="dxa"/>
            <w:hideMark/>
          </w:tcPr>
          <w:p w14:paraId="159A2301" w14:textId="57160902" w:rsidR="00C94C6D" w:rsidRPr="0024184F" w:rsidRDefault="00C94C6D" w:rsidP="00DB41B0">
            <w:pPr>
              <w:pStyle w:val="TableBullet"/>
              <w:spacing w:before="60"/>
            </w:pPr>
            <w:r w:rsidRPr="0024184F">
              <w:t xml:space="preserve">Wealth: </w:t>
            </w:r>
            <w:r w:rsidR="000147EF">
              <w:t>N</w:t>
            </w:r>
            <w:r w:rsidRPr="0024184F">
              <w:t>ational wealth and the state of the economy determine the ability to finance public sector adaptation. Similarly, in the private sector, financial performance, cash flow and solvency will affect the ability to cope with shocks and stressors.</w:t>
            </w:r>
          </w:p>
          <w:p w14:paraId="553D87FF" w14:textId="4F096AE8" w:rsidR="00C94C6D" w:rsidRPr="0024184F" w:rsidRDefault="00C94C6D" w:rsidP="00F70A70">
            <w:pPr>
              <w:pStyle w:val="TableBullet"/>
            </w:pPr>
            <w:r w:rsidRPr="0024184F">
              <w:t xml:space="preserve">Innovation: </w:t>
            </w:r>
            <w:r w:rsidR="000147EF">
              <w:t>E</w:t>
            </w:r>
            <w:r w:rsidRPr="0024184F">
              <w:t>lements with innovative potential are likely to be better positioned to adapt to change.</w:t>
            </w:r>
          </w:p>
          <w:p w14:paraId="3497290A" w14:textId="151F1FD5" w:rsidR="00C94C6D" w:rsidRPr="0024184F" w:rsidRDefault="00C94C6D" w:rsidP="00F70A70">
            <w:pPr>
              <w:pStyle w:val="TableBullet"/>
            </w:pPr>
            <w:r w:rsidRPr="0024184F">
              <w:t xml:space="preserve">Supply chain control: </w:t>
            </w:r>
            <w:r w:rsidR="000147EF">
              <w:t>T</w:t>
            </w:r>
            <w:r w:rsidRPr="0024184F">
              <w:t xml:space="preserve">he ability to exert influence over supply and distribution networks can bolster resilience to shocks. </w:t>
            </w:r>
          </w:p>
          <w:p w14:paraId="260E3196" w14:textId="65D5D3CB" w:rsidR="00C94C6D" w:rsidRPr="0024184F" w:rsidRDefault="00C94C6D" w:rsidP="00F70A70">
            <w:pPr>
              <w:pStyle w:val="TableBullet"/>
            </w:pPr>
            <w:r w:rsidRPr="0024184F">
              <w:t xml:space="preserve">Sound macroeconomic management: </w:t>
            </w:r>
            <w:r w:rsidR="000147EF">
              <w:t>M</w:t>
            </w:r>
            <w:r w:rsidRPr="0024184F">
              <w:t>acroeconomic stability (ie</w:t>
            </w:r>
            <w:r>
              <w:t>,</w:t>
            </w:r>
            <w:r w:rsidRPr="0024184F">
              <w:t xml:space="preserve"> sustainable fiscal position, low price inflation and low unemployment) contributes to economic resilience. </w:t>
            </w:r>
          </w:p>
          <w:p w14:paraId="09910FE0" w14:textId="692B5802" w:rsidR="00C94C6D" w:rsidRPr="0024184F" w:rsidRDefault="00C94C6D" w:rsidP="00F70A70">
            <w:pPr>
              <w:pStyle w:val="TableBullet"/>
            </w:pPr>
            <w:r w:rsidRPr="0024184F">
              <w:t xml:space="preserve">Liquidity: </w:t>
            </w:r>
            <w:r w:rsidR="000147EF">
              <w:t>T</w:t>
            </w:r>
            <w:r w:rsidRPr="0024184F">
              <w:t>he ability to liquidate assets can support adaptive capacity.</w:t>
            </w:r>
            <w:r w:rsidR="00467043">
              <w:t xml:space="preserve"> </w:t>
            </w:r>
          </w:p>
          <w:p w14:paraId="1D1AC9B0" w14:textId="2F77BA98" w:rsidR="00C94C6D" w:rsidRPr="0024184F" w:rsidRDefault="00C94C6D" w:rsidP="00F70A70">
            <w:pPr>
              <w:pStyle w:val="TableBullet"/>
            </w:pPr>
            <w:r w:rsidRPr="0024184F">
              <w:t xml:space="preserve">Knowledge and skills: </w:t>
            </w:r>
            <w:r w:rsidR="000147EF">
              <w:t>K</w:t>
            </w:r>
            <w:r w:rsidRPr="0024184F">
              <w:t>nowing the risks and adaptation options, and</w:t>
            </w:r>
            <w:r w:rsidR="000147EF">
              <w:t xml:space="preserve"> having</w:t>
            </w:r>
            <w:r w:rsidRPr="0024184F">
              <w:t xml:space="preserve"> the skills to implement them, are essential for adaptive capacity.</w:t>
            </w:r>
          </w:p>
          <w:p w14:paraId="27B81917" w14:textId="418FD967" w:rsidR="00C94C6D" w:rsidRPr="0024184F" w:rsidRDefault="00C94C6D" w:rsidP="00F70A70">
            <w:pPr>
              <w:pStyle w:val="TableBullet"/>
            </w:pPr>
            <w:r w:rsidRPr="0024184F">
              <w:t xml:space="preserve">Absence of barriers: </w:t>
            </w:r>
            <w:r w:rsidR="000147EF">
              <w:t>B</w:t>
            </w:r>
            <w:r w:rsidRPr="0024184F">
              <w:t>ehavioural, financial, structural and governance</w:t>
            </w:r>
            <w:r>
              <w:t xml:space="preserve"> barriers</w:t>
            </w:r>
            <w:r w:rsidRPr="0024184F">
              <w:t xml:space="preserve"> may constrain adaptation. These may include physical barriers, such as </w:t>
            </w:r>
            <w:r>
              <w:t>the location of</w:t>
            </w:r>
            <w:r w:rsidRPr="0024184F">
              <w:t xml:space="preserve"> a business (or farm).</w:t>
            </w:r>
          </w:p>
          <w:p w14:paraId="5CA74B04" w14:textId="3EEFFB3A" w:rsidR="00C94C6D" w:rsidRPr="0024184F" w:rsidRDefault="00C94C6D" w:rsidP="00F70A70">
            <w:pPr>
              <w:pStyle w:val="TableBullet"/>
            </w:pPr>
            <w:r w:rsidRPr="0024184F">
              <w:t xml:space="preserve">Access to insurance: </w:t>
            </w:r>
            <w:r w:rsidR="000147EF">
              <w:t>T</w:t>
            </w:r>
            <w:r w:rsidRPr="0024184F">
              <w:t xml:space="preserve">he availability of insurance is an important component of the ability to adapt. </w:t>
            </w:r>
          </w:p>
        </w:tc>
      </w:tr>
    </w:tbl>
    <w:p w14:paraId="0D5A7590" w14:textId="77777777" w:rsidR="00C94C6D" w:rsidRPr="0024184F" w:rsidRDefault="00C94C6D" w:rsidP="00DB41B0">
      <w:pPr>
        <w:pStyle w:val="Heading4"/>
        <w:spacing w:before="360"/>
      </w:pPr>
      <w:r w:rsidRPr="0024184F">
        <w:t xml:space="preserve">Built </w:t>
      </w:r>
      <w:r>
        <w:t>e</w:t>
      </w:r>
      <w:r w:rsidRPr="0024184F">
        <w:t>nvironment</w:t>
      </w:r>
    </w:p>
    <w:p w14:paraId="625CC14B" w14:textId="77777777" w:rsidR="00C94C6D" w:rsidRPr="0024184F" w:rsidRDefault="00C94C6D" w:rsidP="00DB41B0">
      <w:pPr>
        <w:pStyle w:val="BodyText"/>
      </w:pPr>
      <w:r w:rsidRPr="0024184F">
        <w:t xml:space="preserve">The areas of </w:t>
      </w:r>
      <w:r>
        <w:t>the b</w:t>
      </w:r>
      <w:r w:rsidRPr="0024184F">
        <w:t xml:space="preserve">uilt </w:t>
      </w:r>
      <w:r>
        <w:t>e</w:t>
      </w:r>
      <w:r w:rsidRPr="0024184F">
        <w:t xml:space="preserve">nvironment </w:t>
      </w:r>
      <w:r>
        <w:t xml:space="preserve">that </w:t>
      </w:r>
      <w:r w:rsidRPr="0024184F">
        <w:t>could be adversely affected include:</w:t>
      </w:r>
    </w:p>
    <w:p w14:paraId="1B704BFD" w14:textId="74845EA6" w:rsidR="00C94C6D" w:rsidRPr="008D0115" w:rsidRDefault="000147EF" w:rsidP="00957BB4">
      <w:pPr>
        <w:pStyle w:val="Numberedparagraph"/>
        <w:numPr>
          <w:ilvl w:val="0"/>
          <w:numId w:val="50"/>
        </w:numPr>
      </w:pPr>
      <w:r>
        <w:t>r</w:t>
      </w:r>
      <w:r w:rsidR="00C94C6D" w:rsidRPr="008D0115">
        <w:t>esidential dwellings</w:t>
      </w:r>
    </w:p>
    <w:p w14:paraId="3E1FF869" w14:textId="36B906F6" w:rsidR="00C94C6D" w:rsidRPr="008D0115" w:rsidRDefault="000147EF" w:rsidP="00C94C6D">
      <w:pPr>
        <w:pStyle w:val="Numberedparagraph"/>
      </w:pPr>
      <w:r>
        <w:t>c</w:t>
      </w:r>
      <w:r w:rsidR="00C94C6D" w:rsidRPr="008D0115">
        <w:t>ommercial and government buildings</w:t>
      </w:r>
    </w:p>
    <w:p w14:paraId="6B89A344" w14:textId="0C77CBC7" w:rsidR="00C94C6D" w:rsidRPr="008D0115" w:rsidRDefault="000147EF" w:rsidP="00C94C6D">
      <w:pPr>
        <w:pStyle w:val="Numberedparagraph"/>
      </w:pPr>
      <w:r>
        <w:t>i</w:t>
      </w:r>
      <w:r w:rsidR="00C94C6D" w:rsidRPr="008D0115">
        <w:t xml:space="preserve">nfrastructure (including transport, energy, communications, </w:t>
      </w:r>
      <w:r>
        <w:t xml:space="preserve">and </w:t>
      </w:r>
      <w:r w:rsidR="00C94C6D" w:rsidRPr="008D0115">
        <w:t>the three waters)</w:t>
      </w:r>
    </w:p>
    <w:p w14:paraId="1A4960B7" w14:textId="3F4D92F4" w:rsidR="00C94C6D" w:rsidRPr="008D0115" w:rsidRDefault="000147EF" w:rsidP="00C94C6D">
      <w:pPr>
        <w:pStyle w:val="Numberedparagraph"/>
      </w:pPr>
      <w:r>
        <w:t>b</w:t>
      </w:r>
      <w:r w:rsidR="00C94C6D" w:rsidRPr="008D0115">
        <w:t xml:space="preserve">uilt </w:t>
      </w:r>
      <w:r w:rsidR="00C94C6D" w:rsidRPr="008D0115">
        <w:rPr>
          <w:color w:val="000000" w:themeColor="text1"/>
        </w:rPr>
        <w:t>Māori cultural assets (such as marae, urupā, wāhi tapu and wāhi taonga).</w:t>
      </w:r>
      <w:r w:rsidR="00C94C6D" w:rsidRPr="008D0115">
        <w:t xml:space="preserve"> </w:t>
      </w:r>
    </w:p>
    <w:p w14:paraId="1A29F6FA" w14:textId="03FA6F2C" w:rsidR="00D62331" w:rsidRDefault="00C94C6D" w:rsidP="00DB41B0">
      <w:pPr>
        <w:pStyle w:val="BodyText"/>
      </w:pPr>
      <w:r w:rsidRPr="0024184F">
        <w:t>Vulnerability is derived from the interplay of sensitivity and adaptive capacity. Sensitivity and adaptive capacity in relation to the built environment include the considerations</w:t>
      </w:r>
      <w:r w:rsidR="000147EF">
        <w:t xml:space="preserve"> that </w:t>
      </w:r>
      <w:hyperlink w:anchor="table18" w:history="1">
        <w:r w:rsidR="000147EF" w:rsidRPr="000147EF">
          <w:rPr>
            <w:rStyle w:val="Hyperlink"/>
          </w:rPr>
          <w:t>table 18</w:t>
        </w:r>
      </w:hyperlink>
      <w:r w:rsidR="000147EF">
        <w:t xml:space="preserve"> identifies</w:t>
      </w:r>
      <w:r w:rsidR="00D62331">
        <w:t>.</w:t>
      </w:r>
    </w:p>
    <w:p w14:paraId="0C100D72" w14:textId="100728D5" w:rsidR="00C94C6D" w:rsidRPr="0024184F" w:rsidRDefault="00D62331" w:rsidP="000147EF">
      <w:pPr>
        <w:pStyle w:val="Tableheading"/>
      </w:pPr>
      <w:bookmarkStart w:id="397" w:name="table18"/>
      <w:bookmarkStart w:id="398" w:name="_Toc43899334"/>
      <w:r>
        <w:t xml:space="preserve">Table </w:t>
      </w:r>
      <w:fldSimple w:instr=" SEQ Table \* ARABIC ">
        <w:r w:rsidR="001B2025">
          <w:rPr>
            <w:noProof/>
          </w:rPr>
          <w:t>18</w:t>
        </w:r>
      </w:fldSimple>
      <w:r>
        <w:t xml:space="preserve">: </w:t>
      </w:r>
      <w:bookmarkEnd w:id="397"/>
      <w:r>
        <w:tab/>
      </w:r>
      <w:r w:rsidR="00183EC4">
        <w:t>Sensitivity and adaptive capacity in the built environment domain</w:t>
      </w:r>
      <w:bookmarkEnd w:id="398"/>
      <w:r w:rsidR="00E548F3">
        <w:t xml:space="preserve"> </w:t>
      </w:r>
    </w:p>
    <w:tbl>
      <w:tblPr>
        <w:tblStyle w:val="TableGrid"/>
        <w:tblW w:w="8505" w:type="dxa"/>
        <w:tblInd w:w="108"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4125"/>
        <w:gridCol w:w="4380"/>
      </w:tblGrid>
      <w:tr w:rsidR="00DB41B0" w:rsidRPr="00DB41B0" w14:paraId="570C07E2" w14:textId="77777777" w:rsidTr="00C67AD4">
        <w:tc>
          <w:tcPr>
            <w:tcW w:w="4390" w:type="dxa"/>
            <w:shd w:val="clear" w:color="auto" w:fill="1C556C" w:themeFill="accent1"/>
          </w:tcPr>
          <w:p w14:paraId="5EE09465" w14:textId="5B2FCDFB" w:rsidR="00C94C6D" w:rsidRPr="00DB41B0" w:rsidRDefault="00C94C6D" w:rsidP="00D62331">
            <w:pPr>
              <w:pStyle w:val="TableTextBold"/>
              <w:keepNext/>
              <w:rPr>
                <w:color w:val="FFFFFF" w:themeColor="background1"/>
              </w:rPr>
            </w:pPr>
            <w:r w:rsidRPr="00DB41B0">
              <w:rPr>
                <w:color w:val="FFFFFF" w:themeColor="background1"/>
              </w:rPr>
              <w:t>Sensitivity</w:t>
            </w:r>
            <w:r w:rsidR="00467043">
              <w:rPr>
                <w:color w:val="FFFFFF" w:themeColor="background1"/>
              </w:rPr>
              <w:t xml:space="preserve"> </w:t>
            </w:r>
          </w:p>
        </w:tc>
        <w:tc>
          <w:tcPr>
            <w:tcW w:w="4626" w:type="dxa"/>
            <w:shd w:val="clear" w:color="auto" w:fill="1C556C" w:themeFill="accent1"/>
          </w:tcPr>
          <w:p w14:paraId="68A9D98E" w14:textId="77777777" w:rsidR="00C94C6D" w:rsidRPr="00DB41B0" w:rsidRDefault="00C94C6D" w:rsidP="00F70A70">
            <w:pPr>
              <w:pStyle w:val="TableTextBold"/>
              <w:rPr>
                <w:color w:val="FFFFFF" w:themeColor="background1"/>
              </w:rPr>
            </w:pPr>
            <w:r w:rsidRPr="00DB41B0">
              <w:rPr>
                <w:color w:val="FFFFFF" w:themeColor="background1"/>
              </w:rPr>
              <w:t xml:space="preserve">Adaptive capacity </w:t>
            </w:r>
          </w:p>
        </w:tc>
      </w:tr>
      <w:tr w:rsidR="00C94C6D" w:rsidRPr="0024184F" w14:paraId="54E8D6F9" w14:textId="77777777" w:rsidTr="00C67AD4">
        <w:tc>
          <w:tcPr>
            <w:tcW w:w="4390" w:type="dxa"/>
          </w:tcPr>
          <w:p w14:paraId="03974724" w14:textId="7D60B2A8" w:rsidR="00C94C6D" w:rsidRPr="0024184F" w:rsidRDefault="00C94C6D" w:rsidP="00DB41B0">
            <w:pPr>
              <w:pStyle w:val="TableText"/>
            </w:pPr>
            <w:r w:rsidRPr="0024184F">
              <w:t xml:space="preserve">Physical </w:t>
            </w:r>
            <w:r w:rsidRPr="00DB41B0">
              <w:t>characteristics</w:t>
            </w:r>
            <w:r w:rsidRPr="0024184F">
              <w:t xml:space="preserve"> of assets and infrastructure more generally have a controlling factor on sensitivity. The key characteristics are</w:t>
            </w:r>
            <w:r w:rsidR="000147EF">
              <w:t xml:space="preserve"> the following.</w:t>
            </w:r>
          </w:p>
          <w:p w14:paraId="5D90E1FB" w14:textId="1094E323" w:rsidR="00C94C6D" w:rsidRPr="0024184F" w:rsidRDefault="00C94C6D" w:rsidP="00C67AD4">
            <w:pPr>
              <w:pStyle w:val="TableBullet"/>
              <w:spacing w:after="40"/>
            </w:pPr>
            <w:r w:rsidRPr="0024184F">
              <w:rPr>
                <w:b/>
                <w:bCs/>
              </w:rPr>
              <w:lastRenderedPageBreak/>
              <w:t>Design (materials):</w:t>
            </w:r>
            <w:r w:rsidRPr="0024184F">
              <w:t xml:space="preserve"> </w:t>
            </w:r>
            <w:r w:rsidR="000147EF">
              <w:t>T</w:t>
            </w:r>
            <w:r w:rsidRPr="0024184F">
              <w:t>ypes of construction materials are fundamental for considering asset sensitivity.</w:t>
            </w:r>
          </w:p>
          <w:p w14:paraId="1A3A32FA" w14:textId="3E0FA4FC" w:rsidR="00C94C6D" w:rsidRPr="0024184F" w:rsidRDefault="00C94C6D" w:rsidP="00C67AD4">
            <w:pPr>
              <w:pStyle w:val="TableBullet"/>
              <w:spacing w:after="40"/>
              <w:rPr>
                <w:b/>
                <w:bCs/>
              </w:rPr>
            </w:pPr>
            <w:r w:rsidRPr="0024184F">
              <w:rPr>
                <w:b/>
                <w:bCs/>
              </w:rPr>
              <w:t>Age</w:t>
            </w:r>
            <w:r w:rsidRPr="0024184F">
              <w:t xml:space="preserve">: </w:t>
            </w:r>
            <w:r w:rsidR="000147EF">
              <w:t>T</w:t>
            </w:r>
            <w:r w:rsidRPr="0024184F">
              <w:t>his is often used as a proxy for condition</w:t>
            </w:r>
            <w:r w:rsidR="000147EF">
              <w:t>;</w:t>
            </w:r>
            <w:r w:rsidRPr="0024184F">
              <w:t xml:space="preserve"> however</w:t>
            </w:r>
            <w:r w:rsidR="000147EF">
              <w:t>,</w:t>
            </w:r>
            <w:r w:rsidRPr="0024184F">
              <w:t xml:space="preserve"> age is a key criterion in its own right. </w:t>
            </w:r>
            <w:r>
              <w:t>It</w:t>
            </w:r>
            <w:r w:rsidRPr="0024184F">
              <w:t xml:space="preserve"> should be considered along with design life</w:t>
            </w:r>
            <w:r>
              <w:t xml:space="preserve"> to </w:t>
            </w:r>
            <w:r w:rsidRPr="0024184F">
              <w:t>account for changing physical characteristics with</w:t>
            </w:r>
            <w:r w:rsidR="00DB41B0">
              <w:t> </w:t>
            </w:r>
            <w:r w:rsidRPr="0024184F">
              <w:t xml:space="preserve">time. </w:t>
            </w:r>
          </w:p>
          <w:p w14:paraId="45C25DA9" w14:textId="7AF7489C" w:rsidR="00C94C6D" w:rsidRPr="0024184F" w:rsidRDefault="00C94C6D" w:rsidP="00DB41B0">
            <w:pPr>
              <w:pStyle w:val="TableBullet"/>
              <w:rPr>
                <w:b/>
                <w:bCs/>
              </w:rPr>
            </w:pPr>
            <w:r w:rsidRPr="0024184F">
              <w:rPr>
                <w:b/>
                <w:bCs/>
              </w:rPr>
              <w:t>Condition:</w:t>
            </w:r>
            <w:r w:rsidRPr="0024184F">
              <w:t xml:space="preserve"> </w:t>
            </w:r>
            <w:r w:rsidR="000147EF">
              <w:t>T</w:t>
            </w:r>
            <w:r>
              <w:t>his</w:t>
            </w:r>
            <w:r w:rsidRPr="0024184F">
              <w:t xml:space="preserve"> is intrinsically linked to sensitivity. </w:t>
            </w:r>
            <w:r>
              <w:t>It</w:t>
            </w:r>
            <w:r w:rsidRPr="0024184F">
              <w:t xml:space="preserve"> provides </w:t>
            </w:r>
            <w:r w:rsidRPr="00DB41B0">
              <w:t>accountability</w:t>
            </w:r>
            <w:r w:rsidRPr="0024184F">
              <w:t xml:space="preserve"> for the current physical state of an asset</w:t>
            </w:r>
            <w:r w:rsidRPr="0024184F">
              <w:rPr>
                <w:b/>
                <w:bCs/>
              </w:rPr>
              <w:t>.</w:t>
            </w:r>
          </w:p>
        </w:tc>
        <w:tc>
          <w:tcPr>
            <w:tcW w:w="4626" w:type="dxa"/>
          </w:tcPr>
          <w:p w14:paraId="6B3A7B22" w14:textId="2A702C6C" w:rsidR="000147EF" w:rsidRDefault="000147EF" w:rsidP="00CE7ED9">
            <w:pPr>
              <w:pStyle w:val="TableText"/>
            </w:pPr>
            <w:r>
              <w:lastRenderedPageBreak/>
              <w:t>Factors affecting adaptive capacity are:</w:t>
            </w:r>
          </w:p>
          <w:p w14:paraId="4C90091D" w14:textId="61F422C5" w:rsidR="00C94C6D" w:rsidRPr="0024184F" w:rsidRDefault="000147EF" w:rsidP="00C67AD4">
            <w:pPr>
              <w:pStyle w:val="TableBullet"/>
              <w:spacing w:before="60" w:after="40"/>
            </w:pPr>
            <w:r>
              <w:lastRenderedPageBreak/>
              <w:t>t</w:t>
            </w:r>
            <w:r w:rsidR="00C94C6D" w:rsidRPr="0024184F">
              <w:t>he design life and resilience of the asset to impacts</w:t>
            </w:r>
            <w:r w:rsidR="00DB41B0">
              <w:t> </w:t>
            </w:r>
            <w:r w:rsidR="00C94C6D" w:rsidRPr="0024184F">
              <w:t>(particularly if it is not a permanent asset or</w:t>
            </w:r>
            <w:r w:rsidR="00DB41B0">
              <w:t> </w:t>
            </w:r>
            <w:r w:rsidR="00C94C6D" w:rsidRPr="0024184F">
              <w:t>structure)</w:t>
            </w:r>
          </w:p>
          <w:p w14:paraId="4CBA8CE1" w14:textId="7A0F4BEE" w:rsidR="00C94C6D" w:rsidRPr="0024184F" w:rsidRDefault="000147EF" w:rsidP="00C67AD4">
            <w:pPr>
              <w:pStyle w:val="TableBullet"/>
              <w:spacing w:after="40"/>
            </w:pPr>
            <w:r>
              <w:t>p</w:t>
            </w:r>
            <w:r w:rsidR="00C94C6D" w:rsidRPr="0024184F">
              <w:t xml:space="preserve">lanning controls and design standards for new infrastructure and facilities </w:t>
            </w:r>
            <w:r>
              <w:t>that</w:t>
            </w:r>
            <w:r w:rsidRPr="0024184F">
              <w:t xml:space="preserve"> </w:t>
            </w:r>
            <w:r w:rsidR="00C94C6D" w:rsidRPr="0024184F">
              <w:t>take into account extreme weather</w:t>
            </w:r>
            <w:r w:rsidR="00C94C6D">
              <w:t>,</w:t>
            </w:r>
            <w:r w:rsidR="00C94C6D" w:rsidRPr="0024184F">
              <w:t xml:space="preserve"> rising seas and groundwater</w:t>
            </w:r>
          </w:p>
          <w:p w14:paraId="2BBB6A6F" w14:textId="3B944B1B" w:rsidR="00C94C6D" w:rsidRPr="0024184F" w:rsidRDefault="000147EF" w:rsidP="00C67AD4">
            <w:pPr>
              <w:pStyle w:val="TableBullet"/>
              <w:spacing w:after="40"/>
            </w:pPr>
            <w:r>
              <w:t>t</w:t>
            </w:r>
            <w:r w:rsidR="00C94C6D" w:rsidRPr="0024184F">
              <w:t>he degree to which the asset can be reconfigured or</w:t>
            </w:r>
            <w:r w:rsidR="00DB41B0">
              <w:t> </w:t>
            </w:r>
            <w:r w:rsidR="00C94C6D" w:rsidRPr="0024184F">
              <w:t>redesigned to accommodate changes in climate, extreme weather events</w:t>
            </w:r>
            <w:r w:rsidR="001A2005">
              <w:t>,</w:t>
            </w:r>
            <w:r w:rsidR="00C94C6D" w:rsidRPr="0024184F">
              <w:t xml:space="preserve"> and rising seas and groundwater</w:t>
            </w:r>
          </w:p>
          <w:p w14:paraId="4FEEDDDE" w14:textId="6A08D31A" w:rsidR="00C94C6D" w:rsidRPr="0024184F" w:rsidRDefault="000147EF" w:rsidP="00F70A70">
            <w:pPr>
              <w:pStyle w:val="TableBullet"/>
            </w:pPr>
            <w:r>
              <w:t>e</w:t>
            </w:r>
            <w:r w:rsidR="00C94C6D" w:rsidRPr="0024184F">
              <w:t xml:space="preserve">xisting policies and procedures </w:t>
            </w:r>
            <w:r w:rsidR="00C94C6D">
              <w:t>for</w:t>
            </w:r>
            <w:r w:rsidR="00C94C6D" w:rsidRPr="0024184F">
              <w:t xml:space="preserve"> workplace health and safety</w:t>
            </w:r>
            <w:r w:rsidR="00C94C6D">
              <w:t>,</w:t>
            </w:r>
            <w:r w:rsidR="00C94C6D" w:rsidRPr="0024184F">
              <w:t xml:space="preserve"> for example</w:t>
            </w:r>
            <w:r w:rsidR="00C94C6D">
              <w:t>,</w:t>
            </w:r>
            <w:r w:rsidR="00C94C6D" w:rsidRPr="0024184F">
              <w:t xml:space="preserve"> operations in storm, wind, wave, heat and low</w:t>
            </w:r>
            <w:r w:rsidR="001A2005">
              <w:t>-</w:t>
            </w:r>
            <w:r w:rsidR="00C94C6D" w:rsidRPr="0024184F">
              <w:t>visibility conditions</w:t>
            </w:r>
          </w:p>
          <w:p w14:paraId="19C27AAC" w14:textId="5827BD16" w:rsidR="00C94C6D" w:rsidRPr="0024184F" w:rsidRDefault="000147EF" w:rsidP="00F70A70">
            <w:pPr>
              <w:pStyle w:val="TableBullet"/>
            </w:pPr>
            <w:r>
              <w:t>t</w:t>
            </w:r>
            <w:r w:rsidR="00C94C6D" w:rsidRPr="0024184F">
              <w:t>echnological changes</w:t>
            </w:r>
            <w:r w:rsidR="001A2005">
              <w:t>,</w:t>
            </w:r>
            <w:r w:rsidR="00C94C6D" w:rsidRPr="0024184F">
              <w:t xml:space="preserve"> including the ability to work longer and function during periods of more challenging conditions.</w:t>
            </w:r>
          </w:p>
        </w:tc>
      </w:tr>
    </w:tbl>
    <w:p w14:paraId="2C2A1CF4" w14:textId="77777777" w:rsidR="00C94C6D" w:rsidRPr="0024184F" w:rsidRDefault="00C94C6D" w:rsidP="00DB41B0">
      <w:pPr>
        <w:pStyle w:val="Heading4"/>
        <w:spacing w:before="360"/>
      </w:pPr>
      <w:bookmarkStart w:id="399" w:name="_Hlk34405576"/>
      <w:r w:rsidRPr="0024184F">
        <w:lastRenderedPageBreak/>
        <w:t xml:space="preserve">Governance </w:t>
      </w:r>
    </w:p>
    <w:p w14:paraId="66A57536" w14:textId="77777777" w:rsidR="00C94C6D" w:rsidRPr="0024184F" w:rsidRDefault="00C94C6D" w:rsidP="00C67AD4">
      <w:pPr>
        <w:pStyle w:val="BodyText"/>
        <w:spacing w:before="80" w:after="100"/>
      </w:pPr>
      <w:r w:rsidRPr="0024184F">
        <w:t xml:space="preserve">The areas of </w:t>
      </w:r>
      <w:r>
        <w:t>g</w:t>
      </w:r>
      <w:r w:rsidRPr="0024184F">
        <w:t>overnance adversely affected by climate change impacts include:</w:t>
      </w:r>
    </w:p>
    <w:p w14:paraId="748E77C6" w14:textId="0B7B403A" w:rsidR="00C94C6D" w:rsidRPr="0024184F" w:rsidRDefault="001A2005" w:rsidP="00C67AD4">
      <w:pPr>
        <w:pStyle w:val="Bullet"/>
        <w:spacing w:after="100"/>
      </w:pPr>
      <w:r>
        <w:t>p</w:t>
      </w:r>
      <w:r w:rsidR="00C94C6D" w:rsidRPr="0024184F">
        <w:t>olicies, rules and laws, including how they perform as impacts worsen in frequency, intensity and magnitude, considering episodic and ongoing changes</w:t>
      </w:r>
    </w:p>
    <w:p w14:paraId="1895DAFF" w14:textId="404E4DE0" w:rsidR="00C94C6D" w:rsidRPr="0024184F" w:rsidRDefault="001A2005" w:rsidP="00C67AD4">
      <w:pPr>
        <w:pStyle w:val="Bullet"/>
        <w:spacing w:after="100"/>
      </w:pPr>
      <w:r>
        <w:t>i</w:t>
      </w:r>
      <w:r w:rsidR="00C94C6D" w:rsidRPr="0024184F">
        <w:t>nformal norms and practices, including how individuals and communities change and respond as the impacts worsen</w:t>
      </w:r>
    </w:p>
    <w:p w14:paraId="47FF2A0D" w14:textId="01885A4D" w:rsidR="00C94C6D" w:rsidRPr="0024184F" w:rsidRDefault="001A2005" w:rsidP="00C67AD4">
      <w:pPr>
        <w:pStyle w:val="Bullet"/>
        <w:spacing w:after="100"/>
      </w:pPr>
      <w:r>
        <w:t>l</w:t>
      </w:r>
      <w:r w:rsidR="00C94C6D" w:rsidRPr="0024184F">
        <w:t>egal responsibilities and litigation, including how liabilities play out under community pressures that emerge from worsening impacts</w:t>
      </w:r>
    </w:p>
    <w:p w14:paraId="22FCFE28" w14:textId="4144565F" w:rsidR="00C94C6D" w:rsidRPr="0024184F" w:rsidRDefault="001A2005" w:rsidP="00C67AD4">
      <w:pPr>
        <w:pStyle w:val="Bullet"/>
        <w:spacing w:after="100"/>
      </w:pPr>
      <w:r>
        <w:t>t</w:t>
      </w:r>
      <w:r w:rsidR="00C94C6D" w:rsidRPr="0024184F">
        <w:t>rust in institutions, including how relationships between national and local governments and between governments, communities and sectors play out</w:t>
      </w:r>
    </w:p>
    <w:p w14:paraId="5EAEF84E" w14:textId="62ACFB8A" w:rsidR="00C94C6D" w:rsidRPr="0024184F" w:rsidRDefault="001A2005" w:rsidP="00C67AD4">
      <w:pPr>
        <w:pStyle w:val="Bullet"/>
        <w:spacing w:after="100"/>
      </w:pPr>
      <w:r>
        <w:t>Te Tiriti o</w:t>
      </w:r>
      <w:r w:rsidR="00C94C6D" w:rsidRPr="0024184F">
        <w:t xml:space="preserve"> Waitangi, including how partnership and </w:t>
      </w:r>
      <w:r w:rsidR="003670A4">
        <w:t xml:space="preserve">Te </w:t>
      </w:r>
      <w:r w:rsidR="00737BCF">
        <w:t>Tiriti</w:t>
      </w:r>
      <w:r w:rsidR="00737BCF" w:rsidRPr="0024184F">
        <w:t xml:space="preserve"> </w:t>
      </w:r>
      <w:r w:rsidR="00C94C6D" w:rsidRPr="0024184F">
        <w:t>rights are affected as impacts</w:t>
      </w:r>
      <w:r w:rsidR="00DB41B0">
        <w:t> </w:t>
      </w:r>
      <w:r w:rsidR="00C94C6D" w:rsidRPr="0024184F">
        <w:t>worse</w:t>
      </w:r>
      <w:r w:rsidR="00C94C6D">
        <w:t>n</w:t>
      </w:r>
      <w:r w:rsidR="00C94C6D" w:rsidRPr="0024184F">
        <w:t>.</w:t>
      </w:r>
    </w:p>
    <w:p w14:paraId="26E66802" w14:textId="557250AA" w:rsidR="00C94C6D" w:rsidRPr="0024184F" w:rsidRDefault="00C94C6D" w:rsidP="00C67AD4">
      <w:pPr>
        <w:pStyle w:val="BodyText"/>
        <w:spacing w:before="100" w:after="100"/>
      </w:pPr>
      <w:r w:rsidRPr="0024184F">
        <w:t xml:space="preserve">The adaptive capacity of the governance system has been assessed across the </w:t>
      </w:r>
      <w:r>
        <w:t>five</w:t>
      </w:r>
      <w:r w:rsidRPr="0024184F">
        <w:t xml:space="preserve"> areas</w:t>
      </w:r>
      <w:r w:rsidR="003670A4">
        <w:t xml:space="preserve"> above</w:t>
      </w:r>
      <w:r w:rsidRPr="0024184F">
        <w:t>. The</w:t>
      </w:r>
      <w:r w:rsidR="00DB41B0">
        <w:t> </w:t>
      </w:r>
      <w:r w:rsidRPr="0024184F">
        <w:t xml:space="preserve">interdependencies between the capacity to address the four other domain risks and the </w:t>
      </w:r>
      <w:r>
        <w:t>g</w:t>
      </w:r>
      <w:r w:rsidRPr="0024184F">
        <w:t xml:space="preserve">overnance </w:t>
      </w:r>
      <w:r>
        <w:t>d</w:t>
      </w:r>
      <w:r w:rsidRPr="0024184F">
        <w:t xml:space="preserve">omain risks </w:t>
      </w:r>
      <w:r>
        <w:t>are</w:t>
      </w:r>
      <w:r w:rsidRPr="0024184F">
        <w:t xml:space="preserve"> fundamental. The following dependencies are highlighted. </w:t>
      </w:r>
    </w:p>
    <w:p w14:paraId="7030E486" w14:textId="4E064F52" w:rsidR="00C94C6D" w:rsidRPr="003C578F" w:rsidRDefault="00C94C6D" w:rsidP="00C67AD4">
      <w:pPr>
        <w:pStyle w:val="Bullet"/>
        <w:spacing w:after="100"/>
      </w:pPr>
      <w:r w:rsidRPr="008D0115">
        <w:t xml:space="preserve">New policies, rule and laws are needed that can anticipate the domain risks, to enable adaptation </w:t>
      </w:r>
      <w:r w:rsidRPr="003C578F">
        <w:t>to ongoing climate</w:t>
      </w:r>
      <w:r w:rsidR="004754DC">
        <w:t xml:space="preserve"> change</w:t>
      </w:r>
      <w:r w:rsidRPr="003C578F">
        <w:t>-related hazards, episodic events that become more frequent, and climate surprises.</w:t>
      </w:r>
    </w:p>
    <w:p w14:paraId="1EBBD3AE" w14:textId="55AD809D" w:rsidR="00C94C6D" w:rsidRPr="003C578F" w:rsidRDefault="00C94C6D" w:rsidP="00C67AD4">
      <w:pPr>
        <w:pStyle w:val="Bullet"/>
        <w:spacing w:after="100"/>
      </w:pPr>
      <w:r w:rsidRPr="003C578F">
        <w:t xml:space="preserve">The capacity </w:t>
      </w:r>
      <w:r w:rsidR="003670A4">
        <w:t>to change</w:t>
      </w:r>
      <w:r w:rsidR="003670A4" w:rsidRPr="003C578F">
        <w:t xml:space="preserve"> </w:t>
      </w:r>
      <w:r w:rsidRPr="003C578F">
        <w:t>policies, rules and laws to address the greater scale, frequency and speed of climate change and its impacts is constrained by the speed of</w:t>
      </w:r>
      <w:r w:rsidR="003C578F">
        <w:t> </w:t>
      </w:r>
      <w:r w:rsidRPr="003C578F">
        <w:t>policy and rule change,</w:t>
      </w:r>
      <w:r w:rsidRPr="003C578F" w:rsidDel="00285CA0">
        <w:t xml:space="preserve"> </w:t>
      </w:r>
      <w:r w:rsidRPr="003C578F">
        <w:t xml:space="preserve">which in turn relies on cross-party agreement. </w:t>
      </w:r>
    </w:p>
    <w:p w14:paraId="26B47C60" w14:textId="0BC06EEB" w:rsidR="00C94C6D" w:rsidRPr="003C578F" w:rsidRDefault="00C94C6D" w:rsidP="00C67AD4">
      <w:pPr>
        <w:pStyle w:val="Bullet"/>
        <w:spacing w:after="100"/>
      </w:pPr>
      <w:r w:rsidRPr="003C578F">
        <w:t xml:space="preserve">The governance risks highlight </w:t>
      </w:r>
      <w:r w:rsidR="00737BCF">
        <w:t>how</w:t>
      </w:r>
      <w:r w:rsidRPr="003C578F">
        <w:t xml:space="preserve"> effective adaptation to the other domain risks</w:t>
      </w:r>
      <w:r w:rsidR="00737BCF">
        <w:t xml:space="preserve"> depends</w:t>
      </w:r>
      <w:r w:rsidRPr="003C578F">
        <w:t xml:space="preserve"> on statutory changes, adequate capability development and funding mechanisms, the provision of nationally consistent and accessible information, and the uptake of tools to anticipate and respond to the risks.</w:t>
      </w:r>
    </w:p>
    <w:p w14:paraId="75143142" w14:textId="1AAC075D" w:rsidR="00C94C6D" w:rsidRPr="008D0115" w:rsidRDefault="00C94C6D" w:rsidP="003C578F">
      <w:pPr>
        <w:pStyle w:val="Bullet"/>
      </w:pPr>
      <w:r w:rsidRPr="003C578F">
        <w:t>Adapting to new</w:t>
      </w:r>
      <w:r w:rsidRPr="008D0115">
        <w:t xml:space="preserve"> and unexpected changes that increase the residual risk in climate change</w:t>
      </w:r>
      <w:r w:rsidR="003C578F">
        <w:t> </w:t>
      </w:r>
      <w:r w:rsidRPr="008D0115">
        <w:t>impacts also depends on the response capacity of adaptation planning and emergency management at all levels of government in a way that reduces risk, rather than</w:t>
      </w:r>
      <w:r w:rsidR="003C578F">
        <w:t> </w:t>
      </w:r>
      <w:r w:rsidRPr="008D0115">
        <w:t>increases it.</w:t>
      </w:r>
    </w:p>
    <w:p w14:paraId="22B2AEA2" w14:textId="740D3034" w:rsidR="00C94C6D" w:rsidRPr="008D0115" w:rsidRDefault="00C94C6D" w:rsidP="00C94C6D">
      <w:pPr>
        <w:pStyle w:val="Bullet"/>
      </w:pPr>
      <w:r w:rsidRPr="008D0115">
        <w:t xml:space="preserve">The capacity to build trust in government as climate change impacts worsen will depend on collaborative governance between all levels of government, between </w:t>
      </w:r>
      <w:r w:rsidR="00737BCF">
        <w:t>Te Tiriti</w:t>
      </w:r>
      <w:r w:rsidR="00737BCF" w:rsidRPr="008D0115">
        <w:t xml:space="preserve"> </w:t>
      </w:r>
      <w:r w:rsidRPr="008D0115">
        <w:t xml:space="preserve">partners, and with communities nationally and locally. </w:t>
      </w:r>
    </w:p>
    <w:p w14:paraId="3BE247DB" w14:textId="27783357" w:rsidR="00C94C6D" w:rsidRPr="008D0115" w:rsidRDefault="00C94C6D" w:rsidP="00C94C6D">
      <w:pPr>
        <w:pStyle w:val="Bullet"/>
      </w:pPr>
      <w:r w:rsidRPr="008D0115">
        <w:lastRenderedPageBreak/>
        <w:t xml:space="preserve">The burden from the impacts will not fall equitably. Shared understanding and responses will need to be codified between levels of government and between </w:t>
      </w:r>
      <w:r w:rsidR="00737BCF">
        <w:t>Te Tiriti</w:t>
      </w:r>
      <w:r w:rsidR="00737BCF" w:rsidRPr="008D0115">
        <w:t xml:space="preserve"> </w:t>
      </w:r>
      <w:r w:rsidRPr="008D0115">
        <w:t xml:space="preserve">partners, communities and individuals. </w:t>
      </w:r>
    </w:p>
    <w:p w14:paraId="72EB6F94" w14:textId="77777777" w:rsidR="00C94C6D" w:rsidRPr="008D0115" w:rsidRDefault="00C94C6D" w:rsidP="00C94C6D">
      <w:pPr>
        <w:pStyle w:val="Bullet"/>
      </w:pPr>
      <w:r w:rsidRPr="008D0115">
        <w:t>Addressing the capacity of local government will be critical to effective adaptation that addresses all climate change risks. This will necessitate resources and ongoing capacity and capability building.</w:t>
      </w:r>
      <w:bookmarkEnd w:id="399"/>
    </w:p>
    <w:p w14:paraId="58324034" w14:textId="77777777" w:rsidR="00D13E34" w:rsidRDefault="00D13E34">
      <w:pPr>
        <w:spacing w:before="0" w:after="200" w:line="276" w:lineRule="auto"/>
        <w:jc w:val="left"/>
        <w:rPr>
          <w:rFonts w:eastAsiaTheme="majorEastAsia" w:cstheme="majorBidi"/>
          <w:b/>
          <w:bCs/>
          <w:sz w:val="28"/>
        </w:rPr>
      </w:pPr>
      <w:r>
        <w:br w:type="page"/>
      </w:r>
    </w:p>
    <w:p w14:paraId="4D24647F" w14:textId="53C16730" w:rsidR="00C94C6D" w:rsidRPr="0024184F" w:rsidRDefault="00C94C6D" w:rsidP="000C3E06">
      <w:pPr>
        <w:pStyle w:val="Heading1"/>
      </w:pPr>
      <w:bookmarkStart w:id="400" w:name="_Toc45898327"/>
      <w:r w:rsidRPr="0024184F">
        <w:lastRenderedPageBreak/>
        <w:t xml:space="preserve">Appendix </w:t>
      </w:r>
      <w:r w:rsidR="00C92E74">
        <w:t>D</w:t>
      </w:r>
      <w:r w:rsidR="004218AE">
        <w:t>: R</w:t>
      </w:r>
      <w:r w:rsidRPr="0024184F">
        <w:t>eferences</w:t>
      </w:r>
      <w:bookmarkEnd w:id="400"/>
      <w:r w:rsidRPr="0024184F">
        <w:t xml:space="preserve"> </w:t>
      </w:r>
    </w:p>
    <w:p w14:paraId="08302CFD" w14:textId="24440A17" w:rsidR="00C94C6D" w:rsidRPr="0024184F" w:rsidRDefault="00C94C6D" w:rsidP="003C578F">
      <w:pPr>
        <w:pStyle w:val="References"/>
      </w:pPr>
      <w:r w:rsidRPr="0024184F">
        <w:t xml:space="preserve">Adger W. 2003. </w:t>
      </w:r>
      <w:r w:rsidRPr="00CE7ED9">
        <w:t xml:space="preserve">Social </w:t>
      </w:r>
      <w:r w:rsidR="00650DA2" w:rsidRPr="00650DA2">
        <w:t xml:space="preserve">aspects </w:t>
      </w:r>
      <w:r w:rsidRPr="00CE7ED9">
        <w:t xml:space="preserve">of </w:t>
      </w:r>
      <w:r w:rsidR="00650DA2" w:rsidRPr="00650DA2">
        <w:t>adaptive cap</w:t>
      </w:r>
      <w:r w:rsidRPr="00CE7ED9">
        <w:t>acity.</w:t>
      </w:r>
      <w:r w:rsidR="00F86BCC">
        <w:t xml:space="preserve"> </w:t>
      </w:r>
      <w:r w:rsidR="000913AD">
        <w:rPr>
          <w:i/>
        </w:rPr>
        <w:t>Climate change, adaptive c</w:t>
      </w:r>
      <w:r w:rsidR="00F86BCC">
        <w:rPr>
          <w:i/>
        </w:rPr>
        <w:t xml:space="preserve">apacity and </w:t>
      </w:r>
      <w:r w:rsidR="000913AD">
        <w:rPr>
          <w:i/>
        </w:rPr>
        <w:t>d</w:t>
      </w:r>
      <w:r w:rsidR="00F86BCC">
        <w:rPr>
          <w:i/>
        </w:rPr>
        <w:t>evelopment</w:t>
      </w:r>
      <w:r w:rsidR="0065224F">
        <w:t xml:space="preserve"> 29–49</w:t>
      </w:r>
      <w:r w:rsidR="00F86BCC">
        <w:rPr>
          <w:i/>
        </w:rPr>
        <w:t>.</w:t>
      </w:r>
      <w:r w:rsidRPr="00CE7ED9">
        <w:t xml:space="preserve"> </w:t>
      </w:r>
      <w:r w:rsidR="00F86BCC">
        <w:t>Retrieved from</w:t>
      </w:r>
      <w:r w:rsidR="00650DA2">
        <w:t xml:space="preserve"> </w:t>
      </w:r>
      <w:r w:rsidRPr="00CE7ED9">
        <w:rPr>
          <w:rStyle w:val="Hyperlink"/>
        </w:rPr>
        <w:t>10.1142/9781860945816_0003</w:t>
      </w:r>
      <w:r w:rsidR="00F86BCC">
        <w:t xml:space="preserve"> (24 June 2020).</w:t>
      </w:r>
    </w:p>
    <w:p w14:paraId="3B3A9903" w14:textId="74A8128E" w:rsidR="00C94C6D" w:rsidRPr="0024184F" w:rsidRDefault="00C94C6D" w:rsidP="003C578F">
      <w:pPr>
        <w:pStyle w:val="References"/>
      </w:pPr>
      <w:r w:rsidRPr="0024184F">
        <w:t>Adger WN, Barnett J, Brown K, Marshall N</w:t>
      </w:r>
      <w:r w:rsidR="005935F6">
        <w:t>,</w:t>
      </w:r>
      <w:r w:rsidRPr="0024184F">
        <w:t xml:space="preserve"> O’Brien K. 2013. Cultural dimensions of climate change impacts and adaptation. </w:t>
      </w:r>
      <w:r w:rsidRPr="00E53794">
        <w:rPr>
          <w:i/>
          <w:iCs/>
        </w:rPr>
        <w:t>Nature Climate Change</w:t>
      </w:r>
      <w:r w:rsidRPr="0024184F">
        <w:t xml:space="preserve"> 3(2)</w:t>
      </w:r>
      <w:r w:rsidR="00D12BE3">
        <w:t>:</w:t>
      </w:r>
      <w:r w:rsidRPr="0024184F">
        <w:t xml:space="preserve"> 112–117. </w:t>
      </w:r>
      <w:r w:rsidR="00F86BCC">
        <w:t xml:space="preserve">Retrieved from </w:t>
      </w:r>
      <w:r w:rsidRPr="00CE7ED9">
        <w:rPr>
          <w:rStyle w:val="Hyperlink"/>
        </w:rPr>
        <w:t>https://doi.org/10.1038/nclimate1666</w:t>
      </w:r>
      <w:r w:rsidR="00D12BE3">
        <w:t xml:space="preserve"> (24 June 2020)</w:t>
      </w:r>
      <w:r w:rsidRPr="0024184F">
        <w:t>.</w:t>
      </w:r>
    </w:p>
    <w:p w14:paraId="520CDD48" w14:textId="61587D5C" w:rsidR="00C94C6D" w:rsidRPr="0024184F" w:rsidRDefault="00C94C6D" w:rsidP="00E53794">
      <w:pPr>
        <w:pStyle w:val="References"/>
      </w:pPr>
      <w:r w:rsidRPr="0024184F">
        <w:t xml:space="preserve">Bolin R. 2006. Race, </w:t>
      </w:r>
      <w:r w:rsidR="00F86BCC">
        <w:t>c</w:t>
      </w:r>
      <w:r w:rsidRPr="0024184F">
        <w:t>lass, and disaster vulnerability. In</w:t>
      </w:r>
      <w:r w:rsidR="00F86BCC">
        <w:t>:</w:t>
      </w:r>
      <w:r w:rsidRPr="0024184F">
        <w:t xml:space="preserve"> E</w:t>
      </w:r>
      <w:r w:rsidR="000913AD">
        <w:t xml:space="preserve"> </w:t>
      </w:r>
      <w:r w:rsidRPr="0024184F">
        <w:t>L Quarantelli, R Dynes (</w:t>
      </w:r>
      <w:r w:rsidR="00F86BCC">
        <w:t>e</w:t>
      </w:r>
      <w:r w:rsidRPr="0024184F">
        <w:t>ds)</w:t>
      </w:r>
      <w:r w:rsidR="000913AD">
        <w:t>.</w:t>
      </w:r>
      <w:r w:rsidRPr="0024184F">
        <w:t xml:space="preserve"> </w:t>
      </w:r>
      <w:r w:rsidRPr="0024184F">
        <w:rPr>
          <w:i/>
          <w:iCs/>
        </w:rPr>
        <w:t>Handbook of Disaster Research</w:t>
      </w:r>
      <w:r w:rsidRPr="0024184F">
        <w:t>. New York: Springer.</w:t>
      </w:r>
      <w:r w:rsidR="00F86BCC" w:rsidRPr="00F86BCC">
        <w:t xml:space="preserve"> </w:t>
      </w:r>
      <w:r w:rsidR="00F86BCC">
        <w:t>pp</w:t>
      </w:r>
      <w:r w:rsidR="00F86BCC" w:rsidRPr="0024184F">
        <w:t xml:space="preserve"> 113</w:t>
      </w:r>
      <w:r w:rsidR="00F86BCC">
        <w:t>–</w:t>
      </w:r>
      <w:r w:rsidR="00F86BCC" w:rsidRPr="0024184F">
        <w:t>129</w:t>
      </w:r>
      <w:r w:rsidR="00F86BCC">
        <w:t>.</w:t>
      </w:r>
    </w:p>
    <w:p w14:paraId="0EF9C5B4" w14:textId="0BC6974F" w:rsidR="00923E5A" w:rsidRPr="004C38F7" w:rsidRDefault="00923E5A" w:rsidP="00C41AF4">
      <w:pPr>
        <w:pStyle w:val="References"/>
      </w:pPr>
      <w:r w:rsidRPr="004C38F7">
        <w:t>Climate Change Adaptation Technical Working Group. 2017.</w:t>
      </w:r>
      <w:r w:rsidR="00C41AF4" w:rsidRPr="004C38F7">
        <w:t xml:space="preserve"> </w:t>
      </w:r>
      <w:r w:rsidR="00C41AF4" w:rsidRPr="004C38F7">
        <w:rPr>
          <w:i/>
        </w:rPr>
        <w:t xml:space="preserve">Adapting to </w:t>
      </w:r>
      <w:r w:rsidR="004C38F7" w:rsidRPr="004C38F7">
        <w:rPr>
          <w:i/>
        </w:rPr>
        <w:t>c</w:t>
      </w:r>
      <w:r w:rsidR="00C41AF4" w:rsidRPr="004C38F7">
        <w:rPr>
          <w:i/>
        </w:rPr>
        <w:t xml:space="preserve">limate </w:t>
      </w:r>
      <w:r w:rsidR="004C38F7" w:rsidRPr="004C38F7">
        <w:rPr>
          <w:i/>
        </w:rPr>
        <w:t>c</w:t>
      </w:r>
      <w:r w:rsidR="00C41AF4" w:rsidRPr="004C38F7">
        <w:rPr>
          <w:i/>
        </w:rPr>
        <w:t xml:space="preserve">hange in New Zealand: Stocktake </w:t>
      </w:r>
      <w:r w:rsidR="004C38F7" w:rsidRPr="004C38F7">
        <w:rPr>
          <w:i/>
        </w:rPr>
        <w:t>r</w:t>
      </w:r>
      <w:r w:rsidR="00C41AF4" w:rsidRPr="004C38F7">
        <w:rPr>
          <w:i/>
        </w:rPr>
        <w:t xml:space="preserve">eport from the Climate Change Adaptation Technical Working Group. </w:t>
      </w:r>
      <w:r w:rsidR="00C41AF4" w:rsidRPr="004C38F7">
        <w:t>Wellington: Ministry for the Environment.</w:t>
      </w:r>
    </w:p>
    <w:p w14:paraId="0B543143" w14:textId="6BF69FC9" w:rsidR="00C41AF4" w:rsidRPr="004C38F7" w:rsidRDefault="00C41AF4" w:rsidP="00C41AF4">
      <w:pPr>
        <w:pStyle w:val="References"/>
        <w:rPr>
          <w:i/>
        </w:rPr>
      </w:pPr>
      <w:r w:rsidRPr="004C38F7">
        <w:t xml:space="preserve">Climate Change Adaptation Technical Working Group. 2018. </w:t>
      </w:r>
      <w:r w:rsidR="004C38F7">
        <w:rPr>
          <w:i/>
        </w:rPr>
        <w:t>Adapting to climate c</w:t>
      </w:r>
      <w:r w:rsidRPr="00AD18C0">
        <w:rPr>
          <w:i/>
        </w:rPr>
        <w:t xml:space="preserve">hange in New Zealand: </w:t>
      </w:r>
      <w:r w:rsidRPr="00C41AF4">
        <w:rPr>
          <w:i/>
        </w:rPr>
        <w:t>Recommen</w:t>
      </w:r>
      <w:r>
        <w:rPr>
          <w:i/>
        </w:rPr>
        <w:t xml:space="preserve">dations from the Climate Change </w:t>
      </w:r>
      <w:r w:rsidRPr="00C41AF4">
        <w:rPr>
          <w:i/>
        </w:rPr>
        <w:t>Adaptation Technical Working Group</w:t>
      </w:r>
      <w:r w:rsidRPr="00AD18C0">
        <w:rPr>
          <w:i/>
        </w:rPr>
        <w:t>.</w:t>
      </w:r>
      <w:r>
        <w:rPr>
          <w:i/>
        </w:rPr>
        <w:t xml:space="preserve"> </w:t>
      </w:r>
      <w:r>
        <w:t>Wellington: Ministry for the Environment.</w:t>
      </w:r>
    </w:p>
    <w:p w14:paraId="52920126" w14:textId="39181E23" w:rsidR="00C94C6D" w:rsidRPr="0024184F" w:rsidRDefault="00C94C6D" w:rsidP="00E53794">
      <w:pPr>
        <w:pStyle w:val="References"/>
      </w:pPr>
      <w:r w:rsidRPr="0024184F">
        <w:t xml:space="preserve">Committee on Climate Change. 2017. </w:t>
      </w:r>
      <w:r w:rsidRPr="00E53794">
        <w:rPr>
          <w:i/>
          <w:iCs/>
        </w:rPr>
        <w:t>UK Climate Change Risk Assessment 2017: Synthe</w:t>
      </w:r>
      <w:r w:rsidR="000913AD">
        <w:rPr>
          <w:i/>
          <w:iCs/>
        </w:rPr>
        <w:t>sis report: Priorities for the n</w:t>
      </w:r>
      <w:r w:rsidRPr="00E53794">
        <w:rPr>
          <w:i/>
          <w:iCs/>
        </w:rPr>
        <w:t xml:space="preserve">ext </w:t>
      </w:r>
      <w:r w:rsidR="000913AD">
        <w:rPr>
          <w:i/>
          <w:iCs/>
        </w:rPr>
        <w:t>five y</w:t>
      </w:r>
      <w:r w:rsidRPr="00E53794">
        <w:rPr>
          <w:i/>
          <w:iCs/>
        </w:rPr>
        <w:t>ears</w:t>
      </w:r>
      <w:r w:rsidRPr="0024184F">
        <w:t xml:space="preserve">. London: Committee on Climate Change. Retrieved from </w:t>
      </w:r>
      <w:r w:rsidRPr="00CE7ED9">
        <w:rPr>
          <w:rStyle w:val="Hyperlink"/>
        </w:rPr>
        <w:t>www.theccc.org.uk/wp-content/uploads/2016/07/UK-CCRA-2017-Synthesis-Report-Committee-on-Climate-Change.pdf</w:t>
      </w:r>
      <w:r w:rsidRPr="0024184F">
        <w:t xml:space="preserve"> (19 July 2019).</w:t>
      </w:r>
    </w:p>
    <w:p w14:paraId="46430185" w14:textId="475DE27E" w:rsidR="00C94C6D" w:rsidRPr="0024184F" w:rsidRDefault="00C94C6D" w:rsidP="00E53794">
      <w:pPr>
        <w:pStyle w:val="References"/>
      </w:pPr>
      <w:r w:rsidRPr="0024184F">
        <w:t>Enarson E. 2007. Identifying and addressing social vulnerabilities. In</w:t>
      </w:r>
      <w:r w:rsidR="00D12BE3">
        <w:t>:</w:t>
      </w:r>
      <w:r w:rsidRPr="0024184F">
        <w:t xml:space="preserve"> W</w:t>
      </w:r>
      <w:r w:rsidR="000913AD">
        <w:t xml:space="preserve"> </w:t>
      </w:r>
      <w:r w:rsidRPr="0024184F">
        <w:t>L Waugh</w:t>
      </w:r>
      <w:r w:rsidR="00D12BE3">
        <w:t>,</w:t>
      </w:r>
      <w:r w:rsidRPr="0024184F">
        <w:t xml:space="preserve"> K</w:t>
      </w:r>
      <w:r w:rsidR="00084CF8">
        <w:t> </w:t>
      </w:r>
      <w:r w:rsidRPr="0024184F">
        <w:t>Tierney (</w:t>
      </w:r>
      <w:r w:rsidR="00D12BE3">
        <w:t>e</w:t>
      </w:r>
      <w:r w:rsidRPr="0024184F">
        <w:t>ds)</w:t>
      </w:r>
      <w:r w:rsidR="000913AD">
        <w:t>.</w:t>
      </w:r>
      <w:r w:rsidRPr="0024184F">
        <w:t xml:space="preserve"> </w:t>
      </w:r>
      <w:r w:rsidRPr="0024184F">
        <w:rPr>
          <w:i/>
        </w:rPr>
        <w:t>Emerge</w:t>
      </w:r>
      <w:r w:rsidR="000913AD">
        <w:rPr>
          <w:i/>
        </w:rPr>
        <w:t>ncy management: Principles and practices for local g</w:t>
      </w:r>
      <w:r w:rsidRPr="0024184F">
        <w:rPr>
          <w:i/>
        </w:rPr>
        <w:t>overnment</w:t>
      </w:r>
      <w:r w:rsidRPr="0024184F">
        <w:t xml:space="preserve"> (2nd </w:t>
      </w:r>
      <w:r w:rsidR="00D12BE3">
        <w:t>e</w:t>
      </w:r>
      <w:r w:rsidRPr="0024184F">
        <w:t xml:space="preserve">d). Washington DC: ICMA Press. </w:t>
      </w:r>
      <w:r w:rsidR="00D12BE3" w:rsidRPr="0024184F">
        <w:t>pp</w:t>
      </w:r>
      <w:r w:rsidR="00D12BE3">
        <w:t> </w:t>
      </w:r>
      <w:r w:rsidR="00D12BE3" w:rsidRPr="0024184F">
        <w:t>257</w:t>
      </w:r>
      <w:r w:rsidR="00D12BE3">
        <w:t>–</w:t>
      </w:r>
      <w:r w:rsidR="00D12BE3" w:rsidRPr="0024184F">
        <w:t>278</w:t>
      </w:r>
      <w:r w:rsidR="00D12BE3">
        <w:t>.</w:t>
      </w:r>
    </w:p>
    <w:p w14:paraId="139E28AE" w14:textId="2133CCE2" w:rsidR="00C94C6D" w:rsidRPr="0024184F" w:rsidRDefault="00C94C6D" w:rsidP="00E53794">
      <w:pPr>
        <w:pStyle w:val="References"/>
      </w:pPr>
      <w:r w:rsidRPr="0024184F">
        <w:t>Fothergill</w:t>
      </w:r>
      <w:r>
        <w:t xml:space="preserve"> </w:t>
      </w:r>
      <w:r w:rsidRPr="0024184F">
        <w:t xml:space="preserve">A, Peek L. 2004. Poverty and disasters in the United States: A review of recent sociological findings. </w:t>
      </w:r>
      <w:r w:rsidRPr="0024184F">
        <w:rPr>
          <w:i/>
          <w:iCs/>
        </w:rPr>
        <w:t xml:space="preserve">Natural Hazards </w:t>
      </w:r>
      <w:r w:rsidRPr="00366F49">
        <w:t>23</w:t>
      </w:r>
      <w:r w:rsidRPr="0024184F">
        <w:t>(2)</w:t>
      </w:r>
      <w:r w:rsidR="00D12BE3">
        <w:t>:</w:t>
      </w:r>
      <w:r w:rsidRPr="0024184F">
        <w:t xml:space="preserve"> 89</w:t>
      </w:r>
      <w:r>
        <w:t>–</w:t>
      </w:r>
      <w:r w:rsidRPr="0024184F">
        <w:t>110.</w:t>
      </w:r>
    </w:p>
    <w:p w14:paraId="358B5B20" w14:textId="1EBE82D6" w:rsidR="00C94C6D" w:rsidRPr="0024184F" w:rsidRDefault="00C94C6D" w:rsidP="00E53794">
      <w:pPr>
        <w:pStyle w:val="References"/>
      </w:pPr>
      <w:r w:rsidRPr="0024184F">
        <w:t>Fothergill A, Maestras E, Darlington J. 1999. Race, ethnicity, and disasters in the United States: A</w:t>
      </w:r>
      <w:r w:rsidR="00084CF8">
        <w:t> </w:t>
      </w:r>
      <w:r w:rsidRPr="0024184F">
        <w:t xml:space="preserve">review of the literature. </w:t>
      </w:r>
      <w:r w:rsidRPr="0024184F">
        <w:rPr>
          <w:i/>
          <w:iCs/>
        </w:rPr>
        <w:t>Disasters</w:t>
      </w:r>
      <w:r w:rsidRPr="00366F49">
        <w:t xml:space="preserve"> 23</w:t>
      </w:r>
      <w:r w:rsidRPr="0024184F">
        <w:t>(2)</w:t>
      </w:r>
      <w:r w:rsidR="00D12BE3">
        <w:t>:</w:t>
      </w:r>
      <w:r w:rsidRPr="0024184F">
        <w:t xml:space="preserve"> 156</w:t>
      </w:r>
      <w:r>
        <w:t>–</w:t>
      </w:r>
      <w:r w:rsidRPr="0024184F">
        <w:t>173.</w:t>
      </w:r>
    </w:p>
    <w:p w14:paraId="5B222049" w14:textId="53EDCEC1" w:rsidR="00F86BCC" w:rsidRPr="009E23C3" w:rsidRDefault="00F86BCC" w:rsidP="00F86BCC">
      <w:pPr>
        <w:pStyle w:val="References"/>
      </w:pPr>
      <w:r w:rsidRPr="009E23C3">
        <w:t>IPCC</w:t>
      </w:r>
      <w:r>
        <w:t>.</w:t>
      </w:r>
      <w:r w:rsidRPr="009E23C3">
        <w:t xml:space="preserve"> 2014</w:t>
      </w:r>
      <w:r w:rsidR="00525112">
        <w:t>a</w:t>
      </w:r>
      <w:r>
        <w:t>.</w:t>
      </w:r>
      <w:r w:rsidRPr="009E23C3">
        <w:t xml:space="preserve"> Annex II: Glossary [Mach K</w:t>
      </w:r>
      <w:r w:rsidR="000913AD">
        <w:t xml:space="preserve"> </w:t>
      </w:r>
      <w:r w:rsidRPr="009E23C3">
        <w:t xml:space="preserve">J, Planton </w:t>
      </w:r>
      <w:r w:rsidR="00D12BE3">
        <w:t xml:space="preserve">S, </w:t>
      </w:r>
      <w:r w:rsidRPr="009E23C3">
        <w:t xml:space="preserve">von </w:t>
      </w:r>
      <w:r w:rsidRPr="00BC3F65">
        <w:t>Stechow</w:t>
      </w:r>
      <w:r w:rsidR="00D12BE3">
        <w:t xml:space="preserve"> C</w:t>
      </w:r>
      <w:r w:rsidRPr="009E23C3">
        <w:t xml:space="preserve"> (eds)]. In: Core Writing Team, R</w:t>
      </w:r>
      <w:r w:rsidR="000913AD">
        <w:t xml:space="preserve"> </w:t>
      </w:r>
      <w:r w:rsidRPr="009E23C3">
        <w:t>K Pachauri</w:t>
      </w:r>
      <w:r w:rsidR="00D12BE3">
        <w:t>,</w:t>
      </w:r>
      <w:r w:rsidRPr="009E23C3">
        <w:t xml:space="preserve"> L</w:t>
      </w:r>
      <w:r w:rsidR="000913AD">
        <w:t xml:space="preserve"> </w:t>
      </w:r>
      <w:r w:rsidRPr="009E23C3">
        <w:t>A Meyer (eds)</w:t>
      </w:r>
      <w:r w:rsidR="000913AD">
        <w:t>.</w:t>
      </w:r>
      <w:r>
        <w:t xml:space="preserve"> </w:t>
      </w:r>
      <w:r w:rsidR="000913AD">
        <w:rPr>
          <w:i/>
          <w:iCs/>
        </w:rPr>
        <w:t>Climate Change 2014: Synthesis r</w:t>
      </w:r>
      <w:r w:rsidRPr="00BC3F65">
        <w:rPr>
          <w:i/>
          <w:iCs/>
        </w:rPr>
        <w:t>eport. Contribution of Working Groups I, II and III to the Fifth Assessment Report of the Intergovernmental Panel on Climate Change</w:t>
      </w:r>
      <w:r w:rsidRPr="009E23C3">
        <w:t>. Geneva</w:t>
      </w:r>
      <w:r>
        <w:t xml:space="preserve">: </w:t>
      </w:r>
      <w:r w:rsidRPr="004C4392">
        <w:rPr>
          <w:rFonts w:cs="Calibri"/>
          <w:szCs w:val="20"/>
        </w:rPr>
        <w:t>Intergovernmental Panel on Climate Change</w:t>
      </w:r>
      <w:r>
        <w:t>.</w:t>
      </w:r>
      <w:r w:rsidRPr="009E23C3">
        <w:t xml:space="preserve"> pp 117</w:t>
      </w:r>
      <w:r>
        <w:t>–</w:t>
      </w:r>
      <w:r w:rsidRPr="009E23C3">
        <w:t>130.</w:t>
      </w:r>
    </w:p>
    <w:p w14:paraId="66DE3E7B" w14:textId="7816B096" w:rsidR="004953CE" w:rsidRPr="004C38F7" w:rsidRDefault="004953CE" w:rsidP="004C38F7">
      <w:pPr>
        <w:jc w:val="left"/>
        <w:rPr>
          <w:sz w:val="20"/>
        </w:rPr>
      </w:pPr>
      <w:r w:rsidRPr="004C38F7">
        <w:rPr>
          <w:sz w:val="20"/>
        </w:rPr>
        <w:t xml:space="preserve">IPCC. </w:t>
      </w:r>
      <w:r w:rsidR="00951F0B" w:rsidRPr="004C38F7">
        <w:rPr>
          <w:sz w:val="20"/>
        </w:rPr>
        <w:t>2014</w:t>
      </w:r>
      <w:r w:rsidR="00525112" w:rsidRPr="004C38F7">
        <w:rPr>
          <w:sz w:val="20"/>
        </w:rPr>
        <w:t>b</w:t>
      </w:r>
      <w:r w:rsidRPr="004C38F7">
        <w:rPr>
          <w:sz w:val="20"/>
        </w:rPr>
        <w:t>.</w:t>
      </w:r>
      <w:r w:rsidR="00951F0B" w:rsidRPr="004C38F7">
        <w:rPr>
          <w:sz w:val="20"/>
        </w:rPr>
        <w:t xml:space="preserve"> Annex I: Glossary [Allwood J</w:t>
      </w:r>
      <w:r w:rsidR="004C38F7">
        <w:rPr>
          <w:sz w:val="20"/>
        </w:rPr>
        <w:t xml:space="preserve"> </w:t>
      </w:r>
      <w:r w:rsidR="00951F0B" w:rsidRPr="004C38F7">
        <w:rPr>
          <w:sz w:val="20"/>
        </w:rPr>
        <w:t>M, Bosetti V, Dubash N</w:t>
      </w:r>
      <w:r w:rsidR="004C38F7">
        <w:rPr>
          <w:sz w:val="20"/>
        </w:rPr>
        <w:t xml:space="preserve"> </w:t>
      </w:r>
      <w:r w:rsidR="00951F0B" w:rsidRPr="004C38F7">
        <w:rPr>
          <w:sz w:val="20"/>
        </w:rPr>
        <w:t>K, Gómez-Echeverri L, von Stechow C (eds)]. In: Edenhofer O, Pichs-Madruga R, Sokona Y, Farahani E, Kadner S, Seyboth K, Adler A, Baum I, Brunner S</w:t>
      </w:r>
      <w:r w:rsidR="004C38F7">
        <w:rPr>
          <w:sz w:val="20"/>
        </w:rPr>
        <w:t xml:space="preserve">, </w:t>
      </w:r>
      <w:r w:rsidR="00951F0B" w:rsidRPr="004C38F7">
        <w:rPr>
          <w:sz w:val="20"/>
        </w:rPr>
        <w:t>Eickemeier P, Kriemann B, Savolainen J, Schlömer S, von Stechow C, Zwickel</w:t>
      </w:r>
      <w:r w:rsidR="00525112" w:rsidRPr="004C38F7">
        <w:rPr>
          <w:sz w:val="20"/>
        </w:rPr>
        <w:t xml:space="preserve"> T</w:t>
      </w:r>
      <w:r w:rsidR="00951F0B" w:rsidRPr="004C38F7">
        <w:rPr>
          <w:sz w:val="20"/>
        </w:rPr>
        <w:t xml:space="preserve"> and Minx</w:t>
      </w:r>
      <w:r w:rsidR="00525112" w:rsidRPr="004C38F7">
        <w:rPr>
          <w:sz w:val="20"/>
        </w:rPr>
        <w:t xml:space="preserve"> J</w:t>
      </w:r>
      <w:r w:rsidR="004C38F7">
        <w:rPr>
          <w:sz w:val="20"/>
        </w:rPr>
        <w:t xml:space="preserve"> </w:t>
      </w:r>
      <w:r w:rsidR="00525112" w:rsidRPr="004C38F7">
        <w:rPr>
          <w:sz w:val="20"/>
        </w:rPr>
        <w:t xml:space="preserve">C (eds.) </w:t>
      </w:r>
      <w:r w:rsidR="00525112" w:rsidRPr="004C38F7">
        <w:rPr>
          <w:i/>
          <w:sz w:val="20"/>
        </w:rPr>
        <w:t>Climate Change 2014: Mitigation of Climate Change. Contribution of Working Group III to the Fifth Assessment Report of the Intergovernmental Panel on Climate Change</w:t>
      </w:r>
      <w:r w:rsidR="00525112" w:rsidRPr="004C38F7">
        <w:rPr>
          <w:sz w:val="20"/>
        </w:rPr>
        <w:t>. Cambridge University Press, Cambridge, United Kingdom and New York, NY, USA.</w:t>
      </w:r>
    </w:p>
    <w:p w14:paraId="3E33B224" w14:textId="359145EF" w:rsidR="00C94C6D" w:rsidRPr="0024184F" w:rsidRDefault="00C94C6D" w:rsidP="00E53794">
      <w:pPr>
        <w:pStyle w:val="References"/>
      </w:pPr>
      <w:r w:rsidRPr="0024184F">
        <w:t xml:space="preserve">Johnson C. 1998. Species extinction and the relationship between distribution and abundance. </w:t>
      </w:r>
      <w:r w:rsidRPr="0024184F">
        <w:rPr>
          <w:i/>
          <w:iCs/>
        </w:rPr>
        <w:t>Nature</w:t>
      </w:r>
      <w:r w:rsidR="00834BFF">
        <w:t> </w:t>
      </w:r>
      <w:r w:rsidRPr="00366F49">
        <w:t>394</w:t>
      </w:r>
      <w:r w:rsidR="00D12BE3">
        <w:t>:</w:t>
      </w:r>
      <w:r w:rsidRPr="0024184F">
        <w:t xml:space="preserve"> 272</w:t>
      </w:r>
      <w:r>
        <w:t>–</w:t>
      </w:r>
      <w:r w:rsidRPr="0024184F">
        <w:t>274.</w:t>
      </w:r>
    </w:p>
    <w:p w14:paraId="76DC5C07" w14:textId="3E0EB8D1" w:rsidR="00623AE6" w:rsidRPr="00D66195" w:rsidRDefault="00623AE6" w:rsidP="00623AE6">
      <w:pPr>
        <w:pStyle w:val="References"/>
      </w:pPr>
      <w:r w:rsidRPr="00D66195">
        <w:rPr>
          <w:lang w:eastAsia="en-AU"/>
        </w:rPr>
        <w:t>Lawrence J, Blackett P, Cradock-Henry N</w:t>
      </w:r>
      <w:r>
        <w:rPr>
          <w:lang w:eastAsia="en-AU"/>
        </w:rPr>
        <w:t>,</w:t>
      </w:r>
      <w:r w:rsidRPr="00D66195">
        <w:rPr>
          <w:lang w:eastAsia="en-AU"/>
        </w:rPr>
        <w:t xml:space="preserve"> Nistor B</w:t>
      </w:r>
      <w:r w:rsidR="004C38F7">
        <w:rPr>
          <w:lang w:eastAsia="en-AU"/>
        </w:rPr>
        <w:t xml:space="preserve"> </w:t>
      </w:r>
      <w:r w:rsidRPr="00D66195">
        <w:rPr>
          <w:lang w:eastAsia="en-AU"/>
        </w:rPr>
        <w:t xml:space="preserve">J. 2018. </w:t>
      </w:r>
      <w:r w:rsidRPr="00D47FB1">
        <w:rPr>
          <w:i/>
          <w:iCs/>
          <w:lang w:eastAsia="en-AU"/>
        </w:rPr>
        <w:t>Climate Change: The Cascade Effect. Cascading impacts and implications for Aotearoa New Zealand</w:t>
      </w:r>
      <w:r w:rsidRPr="00D66195">
        <w:rPr>
          <w:lang w:eastAsia="en-AU"/>
        </w:rPr>
        <w:t xml:space="preserve">. Wellington: </w:t>
      </w:r>
      <w:r w:rsidRPr="00D66195">
        <w:t>Deep South National Science Challenge</w:t>
      </w:r>
      <w:r w:rsidRPr="00D66195">
        <w:rPr>
          <w:lang w:eastAsia="en-AU"/>
        </w:rPr>
        <w:t>.</w:t>
      </w:r>
    </w:p>
    <w:p w14:paraId="6045EEE9" w14:textId="1E0949CD" w:rsidR="00C94C6D" w:rsidRPr="0024184F" w:rsidRDefault="00C94C6D" w:rsidP="00E53794">
      <w:pPr>
        <w:pStyle w:val="References"/>
      </w:pPr>
      <w:r w:rsidRPr="0024184F">
        <w:t xml:space="preserve">Lidner </w:t>
      </w:r>
      <w:r>
        <w:t>M</w:t>
      </w:r>
      <w:r w:rsidRPr="0024184F">
        <w:t>, Maroschek</w:t>
      </w:r>
      <w:r>
        <w:t xml:space="preserve"> </w:t>
      </w:r>
      <w:r w:rsidRPr="0024184F">
        <w:t xml:space="preserve">M, Netherer S, Kremer A, Barbati A, Carcia-Gozalo J, </w:t>
      </w:r>
      <w:r w:rsidR="00D12BE3">
        <w:t>…</w:t>
      </w:r>
      <w:r w:rsidRPr="0024184F">
        <w:t>. Marchetti M. 2010. Climate change impacts, adaptive capacity, and vulnerab</w:t>
      </w:r>
      <w:r w:rsidR="00E95EF4">
        <w:t>i</w:t>
      </w:r>
      <w:r w:rsidRPr="0024184F">
        <w:t xml:space="preserve">lity of European forest ecosystems. </w:t>
      </w:r>
      <w:r w:rsidRPr="00B478CC">
        <w:rPr>
          <w:i/>
          <w:iCs/>
        </w:rPr>
        <w:t>Forest Ecology and Management</w:t>
      </w:r>
      <w:r w:rsidRPr="0024184F">
        <w:t xml:space="preserve"> 259</w:t>
      </w:r>
      <w:r w:rsidR="00D12BE3">
        <w:t>:</w:t>
      </w:r>
      <w:r w:rsidRPr="0024184F">
        <w:t xml:space="preserve"> 689</w:t>
      </w:r>
      <w:r>
        <w:t>–</w:t>
      </w:r>
      <w:r w:rsidRPr="0024184F">
        <w:t>709.</w:t>
      </w:r>
    </w:p>
    <w:p w14:paraId="75EB46B2" w14:textId="5761B8F2" w:rsidR="00C94C6D" w:rsidRPr="0024184F" w:rsidRDefault="00C94C6D" w:rsidP="00E53794">
      <w:pPr>
        <w:pStyle w:val="References"/>
      </w:pPr>
      <w:r w:rsidRPr="0024184F">
        <w:t>Masozera M, Bailey M</w:t>
      </w:r>
      <w:r w:rsidR="00D12BE3">
        <w:t>,</w:t>
      </w:r>
      <w:r w:rsidRPr="0024184F">
        <w:t xml:space="preserve"> Kerchner C. 2007. Distribution of impacts of natural disasters across income groups: </w:t>
      </w:r>
      <w:r w:rsidR="00D12BE3" w:rsidRPr="0024184F">
        <w:t xml:space="preserve">A </w:t>
      </w:r>
      <w:r w:rsidRPr="0024184F">
        <w:t xml:space="preserve">case study of New Orleans. </w:t>
      </w:r>
      <w:r w:rsidRPr="0024184F">
        <w:rPr>
          <w:i/>
          <w:iCs/>
        </w:rPr>
        <w:t xml:space="preserve">Ecological Economics </w:t>
      </w:r>
      <w:r w:rsidRPr="00B478CC">
        <w:t>63</w:t>
      </w:r>
      <w:r w:rsidR="00D12BE3">
        <w:t>:</w:t>
      </w:r>
      <w:r w:rsidRPr="0024184F">
        <w:t xml:space="preserve"> 299</w:t>
      </w:r>
      <w:r>
        <w:t>–</w:t>
      </w:r>
      <w:r w:rsidRPr="0024184F">
        <w:t>306.</w:t>
      </w:r>
    </w:p>
    <w:p w14:paraId="5E0403A3" w14:textId="6A1768D1" w:rsidR="00C94C6D" w:rsidRPr="0024184F" w:rsidRDefault="00C94C6D" w:rsidP="00E53794">
      <w:pPr>
        <w:pStyle w:val="References"/>
      </w:pPr>
      <w:r w:rsidRPr="0024184F">
        <w:t>Mastrandrea M</w:t>
      </w:r>
      <w:r w:rsidR="000913AD">
        <w:t xml:space="preserve"> </w:t>
      </w:r>
      <w:r w:rsidRPr="0024184F">
        <w:t>D, Field</w:t>
      </w:r>
      <w:r w:rsidR="00D12BE3">
        <w:t xml:space="preserve"> C</w:t>
      </w:r>
      <w:r w:rsidR="000913AD">
        <w:t xml:space="preserve"> </w:t>
      </w:r>
      <w:r w:rsidR="00D12BE3">
        <w:t>B</w:t>
      </w:r>
      <w:r w:rsidRPr="0024184F">
        <w:t>, Stocker</w:t>
      </w:r>
      <w:r w:rsidR="00D12BE3">
        <w:t xml:space="preserve"> T</w:t>
      </w:r>
      <w:r w:rsidR="000913AD">
        <w:t xml:space="preserve"> </w:t>
      </w:r>
      <w:r w:rsidR="00D12BE3">
        <w:t>F</w:t>
      </w:r>
      <w:r w:rsidRPr="0024184F">
        <w:t>, Edenhofer</w:t>
      </w:r>
      <w:r w:rsidR="00D12BE3">
        <w:t xml:space="preserve"> O</w:t>
      </w:r>
      <w:r w:rsidRPr="0024184F">
        <w:t>, Ebi</w:t>
      </w:r>
      <w:r w:rsidR="00D12BE3">
        <w:t xml:space="preserve"> K</w:t>
      </w:r>
      <w:r w:rsidR="000913AD">
        <w:t xml:space="preserve"> </w:t>
      </w:r>
      <w:r w:rsidR="00D12BE3">
        <w:t>L</w:t>
      </w:r>
      <w:r w:rsidRPr="0024184F">
        <w:t>, Frame</w:t>
      </w:r>
      <w:r w:rsidR="00D12BE3">
        <w:t xml:space="preserve"> D</w:t>
      </w:r>
      <w:r w:rsidR="000913AD">
        <w:t xml:space="preserve"> </w:t>
      </w:r>
      <w:r w:rsidR="00D12BE3">
        <w:t>J</w:t>
      </w:r>
      <w:r w:rsidRPr="0024184F">
        <w:t xml:space="preserve"> </w:t>
      </w:r>
      <w:r w:rsidR="00D12BE3">
        <w:t>…</w:t>
      </w:r>
      <w:r w:rsidRPr="0024184F">
        <w:t xml:space="preserve"> Zwiers</w:t>
      </w:r>
      <w:r w:rsidR="00D12BE3">
        <w:t xml:space="preserve"> F</w:t>
      </w:r>
      <w:r w:rsidR="000913AD">
        <w:t xml:space="preserve"> </w:t>
      </w:r>
      <w:r w:rsidR="00D12BE3">
        <w:t>W.</w:t>
      </w:r>
      <w:r w:rsidRPr="0024184F">
        <w:t xml:space="preserve"> 2010</w:t>
      </w:r>
      <w:r w:rsidR="00734CDD">
        <w:t>.</w:t>
      </w:r>
      <w:r w:rsidR="000913AD">
        <w:t xml:space="preserve"> Guidance Note for lead a</w:t>
      </w:r>
      <w:r w:rsidRPr="0024184F">
        <w:t>uthors of the I</w:t>
      </w:r>
      <w:r w:rsidR="000913AD">
        <w:t>PCC Fifth Assessment Report on consistent treatment of u</w:t>
      </w:r>
      <w:r w:rsidRPr="0024184F">
        <w:t xml:space="preserve">ncertainties. Intergovernmental Panel on Climate Change (IPCC). </w:t>
      </w:r>
      <w:r w:rsidR="00D12BE3">
        <w:t xml:space="preserve">Retrieved from </w:t>
      </w:r>
      <w:r w:rsidRPr="00CE7ED9">
        <w:rPr>
          <w:rStyle w:val="Hyperlink"/>
        </w:rPr>
        <w:t>http://www.ipcc.ch</w:t>
      </w:r>
      <w:r w:rsidRPr="0024184F">
        <w:t>.</w:t>
      </w:r>
    </w:p>
    <w:p w14:paraId="5B0C707C" w14:textId="4414B9A0" w:rsidR="00C94C6D" w:rsidRDefault="00C94C6D" w:rsidP="00E53794">
      <w:pPr>
        <w:pStyle w:val="References"/>
      </w:pPr>
      <w:r w:rsidRPr="0024184F">
        <w:lastRenderedPageBreak/>
        <w:t>McGuire L, Ford E</w:t>
      </w:r>
      <w:r w:rsidR="00D12BE3">
        <w:t>,</w:t>
      </w:r>
      <w:r w:rsidRPr="0024184F">
        <w:t xml:space="preserve"> Okoro C. 2007. Natural disasters and older US adults with disabilities: </w:t>
      </w:r>
      <w:r w:rsidR="00734CDD">
        <w:t>I</w:t>
      </w:r>
      <w:r w:rsidRPr="0024184F">
        <w:t xml:space="preserve">mplications for evacuation. </w:t>
      </w:r>
      <w:r w:rsidRPr="0024184F">
        <w:rPr>
          <w:i/>
          <w:iCs/>
        </w:rPr>
        <w:t>Disasters</w:t>
      </w:r>
      <w:r w:rsidRPr="00B478CC">
        <w:t xml:space="preserve"> 31</w:t>
      </w:r>
      <w:r w:rsidRPr="0024184F">
        <w:t>(1)</w:t>
      </w:r>
      <w:r w:rsidR="00D12BE3">
        <w:t>:</w:t>
      </w:r>
      <w:r w:rsidRPr="0024184F">
        <w:t xml:space="preserve"> 49</w:t>
      </w:r>
      <w:r>
        <w:t>–</w:t>
      </w:r>
      <w:r w:rsidRPr="0024184F">
        <w:t>56.</w:t>
      </w:r>
    </w:p>
    <w:p w14:paraId="41A45792" w14:textId="77777777" w:rsidR="00734CDD" w:rsidRPr="009E23C3" w:rsidRDefault="00734CDD" w:rsidP="00734CDD">
      <w:pPr>
        <w:pStyle w:val="References"/>
      </w:pPr>
      <w:r w:rsidRPr="009E23C3">
        <w:t>Ministry for the Environment</w:t>
      </w:r>
      <w:r>
        <w:t>.</w:t>
      </w:r>
      <w:r w:rsidRPr="009E23C3">
        <w:t xml:space="preserve"> 2019. </w:t>
      </w:r>
      <w:r w:rsidRPr="00BC3F65">
        <w:rPr>
          <w:i/>
          <w:iCs/>
        </w:rPr>
        <w:t xml:space="preserve">Arotakenga Huringa </w:t>
      </w:r>
      <w:r>
        <w:rPr>
          <w:rFonts w:cs="Calibri"/>
          <w:i/>
          <w:iCs/>
        </w:rPr>
        <w:t>Ā</w:t>
      </w:r>
      <w:r w:rsidRPr="00BC3F65">
        <w:rPr>
          <w:i/>
          <w:iCs/>
        </w:rPr>
        <w:t>huarangi: A Framework for the National Climate Change Risk Assessment for Aotearoa New Zealand</w:t>
      </w:r>
      <w:r>
        <w:t>.</w:t>
      </w:r>
      <w:r w:rsidRPr="009E23C3">
        <w:t xml:space="preserve"> Wellington</w:t>
      </w:r>
      <w:r>
        <w:t>:</w:t>
      </w:r>
      <w:r w:rsidRPr="009E23C3">
        <w:t xml:space="preserve"> Ministry for the Environment</w:t>
      </w:r>
      <w:r>
        <w:t>.</w:t>
      </w:r>
      <w:r w:rsidRPr="009E23C3">
        <w:t xml:space="preserve"> </w:t>
      </w:r>
    </w:p>
    <w:p w14:paraId="20600467" w14:textId="77777777" w:rsidR="00AE5904" w:rsidRPr="009E23C3" w:rsidRDefault="00AE5904" w:rsidP="00AE5904">
      <w:pPr>
        <w:pStyle w:val="References"/>
      </w:pPr>
      <w:r w:rsidRPr="009E23C3">
        <w:t xml:space="preserve">Ministry of Civil Defence and Emergency Management. 2019. </w:t>
      </w:r>
      <w:r w:rsidRPr="00BC3F65">
        <w:rPr>
          <w:i/>
          <w:iCs/>
        </w:rPr>
        <w:t>National Disaster Resilience Strategy: Rautaki ā-Motu Manawaroa Aituā. Wellington: Ministry of Civil Defence and Emergency Management</w:t>
      </w:r>
      <w:r w:rsidRPr="009E23C3">
        <w:t xml:space="preserve">. Retrieved from </w:t>
      </w:r>
      <w:r w:rsidRPr="00CE7ED9">
        <w:rPr>
          <w:rStyle w:val="Hyperlink"/>
        </w:rPr>
        <w:t>www.civildefence.govt.nz/assets/Uploads/publications/National-Disaster-Resilience-Strategy/National-Disaster-Resilience-Strategy-10-April-2019.pdf</w:t>
      </w:r>
      <w:r w:rsidRPr="009E23C3">
        <w:t xml:space="preserve"> (19 July 2019).</w:t>
      </w:r>
    </w:p>
    <w:p w14:paraId="4D29F08D" w14:textId="0751BEFE" w:rsidR="00871DEA" w:rsidRDefault="00871DEA" w:rsidP="00E53794">
      <w:pPr>
        <w:pStyle w:val="References"/>
      </w:pPr>
      <w:r w:rsidRPr="000162C7">
        <w:t>NIWA. 2019.</w:t>
      </w:r>
      <w:r w:rsidR="00302BFD">
        <w:t xml:space="preserve"> Climate change scenarios for New Zealand. Available at </w:t>
      </w:r>
      <w:hyperlink r:id="rId61" w:history="1">
        <w:r w:rsidR="00302BFD">
          <w:rPr>
            <w:rStyle w:val="Hyperlink"/>
          </w:rPr>
          <w:t>https://niwa.co.nz/our-science/climate/information-and-resources/clivar/scenarios</w:t>
        </w:r>
      </w:hyperlink>
    </w:p>
    <w:p w14:paraId="5E167CF8" w14:textId="39A5E105" w:rsidR="00C94C6D" w:rsidRPr="0024184F" w:rsidRDefault="00C94C6D" w:rsidP="00E53794">
      <w:pPr>
        <w:pStyle w:val="References"/>
      </w:pPr>
      <w:r w:rsidRPr="0024184F">
        <w:t>Reed D</w:t>
      </w:r>
      <w:r w:rsidR="000913AD">
        <w:t xml:space="preserve"> </w:t>
      </w:r>
      <w:r w:rsidRPr="0024184F">
        <w:t>H</w:t>
      </w:r>
      <w:r w:rsidR="00D12BE3">
        <w:t>,</w:t>
      </w:r>
      <w:r w:rsidRPr="0024184F">
        <w:t xml:space="preserve"> Frankham R. 2003. Correlation between </w:t>
      </w:r>
      <w:r w:rsidR="00D12BE3" w:rsidRPr="0024184F">
        <w:t>fitness and genetic di</w:t>
      </w:r>
      <w:r w:rsidRPr="0024184F">
        <w:t xml:space="preserve">versity. </w:t>
      </w:r>
      <w:r w:rsidRPr="0024184F">
        <w:rPr>
          <w:i/>
          <w:iCs/>
        </w:rPr>
        <w:t xml:space="preserve">Conservation Biology </w:t>
      </w:r>
      <w:r w:rsidRPr="00802DDE">
        <w:t>17</w:t>
      </w:r>
      <w:r w:rsidRPr="0024184F">
        <w:t>(1)</w:t>
      </w:r>
      <w:r w:rsidR="00D12BE3">
        <w:t>:</w:t>
      </w:r>
      <w:r w:rsidRPr="0024184F">
        <w:t xml:space="preserve"> 203</w:t>
      </w:r>
      <w:r>
        <w:t>–</w:t>
      </w:r>
      <w:r w:rsidRPr="0024184F">
        <w:t>237.</w:t>
      </w:r>
    </w:p>
    <w:p w14:paraId="6693AEE6" w14:textId="427F51DB" w:rsidR="00C94C6D" w:rsidRDefault="00C94C6D" w:rsidP="00E53794">
      <w:pPr>
        <w:pStyle w:val="References"/>
      </w:pPr>
      <w:r w:rsidRPr="0024184F">
        <w:t>Smit B</w:t>
      </w:r>
      <w:r w:rsidR="00D12BE3">
        <w:t>,</w:t>
      </w:r>
      <w:r w:rsidRPr="0024184F">
        <w:t xml:space="preserve"> Wandel J. 2006. Adaptation, adaptive capacity and vulnerability. </w:t>
      </w:r>
      <w:r w:rsidRPr="0024184F">
        <w:rPr>
          <w:i/>
          <w:iCs/>
        </w:rPr>
        <w:t xml:space="preserve">Global Environmental Change </w:t>
      </w:r>
      <w:r w:rsidRPr="00802DDE">
        <w:t>16</w:t>
      </w:r>
      <w:r w:rsidRPr="0024184F">
        <w:t>(3)</w:t>
      </w:r>
      <w:r w:rsidR="00D12BE3">
        <w:t>:</w:t>
      </w:r>
      <w:r w:rsidRPr="0024184F">
        <w:t xml:space="preserve"> 282</w:t>
      </w:r>
      <w:r w:rsidR="00802DDE">
        <w:t>–</w:t>
      </w:r>
      <w:r w:rsidRPr="0024184F">
        <w:t>292.</w:t>
      </w:r>
      <w:r w:rsidR="00D12BE3">
        <w:t xml:space="preserve"> Retrieved from</w:t>
      </w:r>
      <w:r w:rsidRPr="0024184F">
        <w:t xml:space="preserve"> </w:t>
      </w:r>
      <w:hyperlink r:id="rId62" w:history="1">
        <w:r w:rsidR="00871DEA" w:rsidRPr="00CE7ED9">
          <w:rPr>
            <w:rStyle w:val="Hyperlink"/>
          </w:rPr>
          <w:t>https://doi.org/10.1016/j.gloenvcha.2006.03.008</w:t>
        </w:r>
      </w:hyperlink>
      <w:r w:rsidR="00D12BE3">
        <w:t>.</w:t>
      </w:r>
    </w:p>
    <w:p w14:paraId="347E9E0F" w14:textId="18172DD9" w:rsidR="004D2A94" w:rsidRPr="005D6D89" w:rsidRDefault="004D2A94" w:rsidP="004D2A94">
      <w:pPr>
        <w:pStyle w:val="References"/>
        <w:rPr>
          <w:rStyle w:val="Hyperlink"/>
          <w:rFonts w:cs="Arial"/>
          <w:color w:val="000000" w:themeColor="text1"/>
        </w:rPr>
      </w:pPr>
      <w:r w:rsidRPr="005D6D89">
        <w:rPr>
          <w:rFonts w:cs="Arial"/>
        </w:rPr>
        <w:t>Task Force on Climate</w:t>
      </w:r>
      <w:r w:rsidR="004C38F7">
        <w:rPr>
          <w:rFonts w:cs="Arial"/>
        </w:rPr>
        <w:t>-related Financial Disclosures (TCFD). 2017</w:t>
      </w:r>
      <w:r w:rsidRPr="005D6D89">
        <w:rPr>
          <w:rFonts w:cs="Arial"/>
        </w:rPr>
        <w:t xml:space="preserve">. </w:t>
      </w:r>
      <w:r w:rsidRPr="005D6D89">
        <w:rPr>
          <w:rFonts w:cs="Arial"/>
          <w:i/>
          <w:iCs/>
        </w:rPr>
        <w:t>Recommendations of the Task Force on Climate-related Financial Disclosures – Final Report</w:t>
      </w:r>
      <w:r w:rsidRPr="005D6D89">
        <w:rPr>
          <w:rFonts w:cs="Arial"/>
        </w:rPr>
        <w:t xml:space="preserve">. Available at </w:t>
      </w:r>
      <w:hyperlink r:id="rId63" w:history="1">
        <w:r w:rsidRPr="005D6D89">
          <w:rPr>
            <w:rStyle w:val="Hyperlink"/>
          </w:rPr>
          <w:t>https://www.fsb-tcfd.org/wp-content/uploads/2017/06/FINAL-2017-TCFD-Report-11052018.pdf</w:t>
        </w:r>
      </w:hyperlink>
      <w:r w:rsidRPr="005D6D89">
        <w:rPr>
          <w:rStyle w:val="Hyperlink"/>
          <w:rFonts w:cs="Arial"/>
          <w:color w:val="000000" w:themeColor="text1"/>
        </w:rPr>
        <w:t xml:space="preserve"> </w:t>
      </w:r>
    </w:p>
    <w:p w14:paraId="2FB0BEA2" w14:textId="089376B0" w:rsidR="00F86BCC" w:rsidRDefault="00F86BCC" w:rsidP="00F86BCC">
      <w:pPr>
        <w:pStyle w:val="References"/>
      </w:pPr>
      <w:r w:rsidRPr="009E23C3">
        <w:t xml:space="preserve">The Treasury. 2018. </w:t>
      </w:r>
      <w:r w:rsidRPr="00BC3F65">
        <w:rPr>
          <w:i/>
          <w:iCs/>
        </w:rPr>
        <w:t>Our Living Standards Framework</w:t>
      </w:r>
      <w:r w:rsidRPr="009E23C3">
        <w:t xml:space="preserve">. </w:t>
      </w:r>
      <w:r>
        <w:t xml:space="preserve">Wellington: The Treasury. </w:t>
      </w:r>
      <w:r w:rsidRPr="009E23C3">
        <w:t xml:space="preserve">Retrieved from </w:t>
      </w:r>
      <w:hyperlink r:id="rId64" w:history="1">
        <w:r w:rsidRPr="004F7EEA">
          <w:rPr>
            <w:rStyle w:val="Hyperlink"/>
          </w:rPr>
          <w:t>https://treasury.govt.nz/information-and-services/nz-economy/living-standards/our-living-standards-framework</w:t>
        </w:r>
      </w:hyperlink>
      <w:r w:rsidRPr="009E23C3">
        <w:t xml:space="preserve"> (19 July 2019). </w:t>
      </w:r>
    </w:p>
    <w:p w14:paraId="4C3D5F5B" w14:textId="671F2AC6" w:rsidR="004D2A94" w:rsidRPr="005D6D89" w:rsidRDefault="004D2A94" w:rsidP="004D2A94">
      <w:pPr>
        <w:pStyle w:val="References"/>
        <w:rPr>
          <w:rFonts w:cs="Arial"/>
          <w:color w:val="000000" w:themeColor="text1"/>
        </w:rPr>
      </w:pPr>
      <w:r w:rsidRPr="005D6D89">
        <w:rPr>
          <w:rFonts w:cs="Arial"/>
          <w:color w:val="000000" w:themeColor="text1"/>
        </w:rPr>
        <w:t>The Treasury</w:t>
      </w:r>
      <w:r w:rsidR="004C38F7">
        <w:rPr>
          <w:rFonts w:cs="Arial"/>
          <w:color w:val="000000" w:themeColor="text1"/>
        </w:rPr>
        <w:t xml:space="preserve">. </w:t>
      </w:r>
      <w:r w:rsidRPr="005D6D89">
        <w:rPr>
          <w:rFonts w:cs="Arial"/>
          <w:color w:val="000000" w:themeColor="text1"/>
        </w:rPr>
        <w:t>2019a</w:t>
      </w:r>
      <w:r>
        <w:rPr>
          <w:rFonts w:cs="Arial"/>
          <w:color w:val="000000" w:themeColor="text1"/>
        </w:rPr>
        <w:t>.</w:t>
      </w:r>
      <w:r w:rsidRPr="005D6D89">
        <w:rPr>
          <w:rFonts w:cs="Arial"/>
          <w:color w:val="000000" w:themeColor="text1"/>
        </w:rPr>
        <w:t xml:space="preserve"> </w:t>
      </w:r>
      <w:r w:rsidRPr="005D6D89">
        <w:rPr>
          <w:rFonts w:cs="Arial"/>
          <w:i/>
          <w:iCs/>
          <w:color w:val="000000" w:themeColor="text1"/>
        </w:rPr>
        <w:t>The Wellbeing Budget 2019</w:t>
      </w:r>
      <w:r>
        <w:rPr>
          <w:rFonts w:cs="Arial"/>
          <w:i/>
          <w:iCs/>
          <w:color w:val="000000" w:themeColor="text1"/>
        </w:rPr>
        <w:t>.</w:t>
      </w:r>
      <w:r w:rsidRPr="005D6D89">
        <w:rPr>
          <w:rFonts w:cs="Arial"/>
          <w:color w:val="000000" w:themeColor="text1"/>
        </w:rPr>
        <w:t xml:space="preserve"> </w:t>
      </w:r>
      <w:hyperlink r:id="rId65" w:history="1">
        <w:r w:rsidRPr="005D6D89">
          <w:rPr>
            <w:rStyle w:val="Hyperlink"/>
          </w:rPr>
          <w:t>https://treasury.govt.nz/sites/default/files/2019-05/b19-wellbeing-budget.pdf</w:t>
        </w:r>
      </w:hyperlink>
      <w:r w:rsidRPr="005D6D89">
        <w:rPr>
          <w:rFonts w:cs="Arial"/>
          <w:color w:val="000000" w:themeColor="text1"/>
        </w:rPr>
        <w:t xml:space="preserve"> </w:t>
      </w:r>
    </w:p>
    <w:p w14:paraId="69800404" w14:textId="68F81A3B" w:rsidR="004D2A94" w:rsidRPr="005D6D89" w:rsidRDefault="004D2A94" w:rsidP="004D2A94">
      <w:pPr>
        <w:pStyle w:val="References"/>
        <w:rPr>
          <w:rFonts w:cs="Arial"/>
          <w:color w:val="000000" w:themeColor="text1"/>
          <w:lang w:eastAsia="en-AU"/>
        </w:rPr>
      </w:pPr>
      <w:r w:rsidRPr="005D6D89">
        <w:rPr>
          <w:rFonts w:cs="Arial"/>
          <w:color w:val="000000" w:themeColor="text1"/>
          <w:lang w:eastAsia="en-AU"/>
        </w:rPr>
        <w:t>The Treasury</w:t>
      </w:r>
      <w:r w:rsidR="004C38F7">
        <w:rPr>
          <w:rFonts w:cs="Arial"/>
          <w:color w:val="000000" w:themeColor="text1"/>
          <w:lang w:eastAsia="en-AU"/>
        </w:rPr>
        <w:t xml:space="preserve">. </w:t>
      </w:r>
      <w:r w:rsidRPr="005D6D89">
        <w:rPr>
          <w:rFonts w:cs="Arial"/>
          <w:color w:val="000000" w:themeColor="text1"/>
          <w:lang w:eastAsia="en-AU"/>
        </w:rPr>
        <w:t>2019b</w:t>
      </w:r>
      <w:r>
        <w:rPr>
          <w:rFonts w:cs="Arial"/>
          <w:color w:val="000000" w:themeColor="text1"/>
          <w:lang w:eastAsia="en-AU"/>
        </w:rPr>
        <w:t>.</w:t>
      </w:r>
      <w:r w:rsidRPr="005D6D89">
        <w:rPr>
          <w:rFonts w:cs="Arial"/>
          <w:color w:val="000000" w:themeColor="text1"/>
          <w:lang w:eastAsia="en-AU"/>
        </w:rPr>
        <w:t xml:space="preserve"> </w:t>
      </w:r>
      <w:r w:rsidR="004C38F7">
        <w:rPr>
          <w:rFonts w:cs="Arial"/>
          <w:i/>
          <w:iCs/>
          <w:color w:val="000000" w:themeColor="text1"/>
          <w:lang w:eastAsia="en-AU"/>
        </w:rPr>
        <w:t>An i</w:t>
      </w:r>
      <w:r w:rsidRPr="005D6D89">
        <w:rPr>
          <w:rFonts w:cs="Arial"/>
          <w:i/>
          <w:iCs/>
          <w:color w:val="000000" w:themeColor="text1"/>
          <w:lang w:eastAsia="en-AU"/>
        </w:rPr>
        <w:t xml:space="preserve">ndigenous </w:t>
      </w:r>
      <w:r w:rsidR="004C38F7">
        <w:rPr>
          <w:rFonts w:cs="Arial"/>
          <w:i/>
          <w:iCs/>
          <w:color w:val="000000" w:themeColor="text1"/>
          <w:lang w:eastAsia="en-AU"/>
        </w:rPr>
        <w:t>a</w:t>
      </w:r>
      <w:r w:rsidRPr="005D6D89">
        <w:rPr>
          <w:rFonts w:cs="Arial"/>
          <w:i/>
          <w:iCs/>
          <w:color w:val="000000" w:themeColor="text1"/>
          <w:lang w:eastAsia="en-AU"/>
        </w:rPr>
        <w:t>pproach to the Living Standards Framework</w:t>
      </w:r>
      <w:r>
        <w:rPr>
          <w:rFonts w:cs="Arial"/>
          <w:i/>
          <w:iCs/>
          <w:color w:val="000000" w:themeColor="text1"/>
          <w:lang w:eastAsia="en-AU"/>
        </w:rPr>
        <w:t>.</w:t>
      </w:r>
      <w:r w:rsidRPr="005D6D89">
        <w:rPr>
          <w:rFonts w:cs="Arial"/>
          <w:color w:val="000000" w:themeColor="text1"/>
          <w:lang w:eastAsia="en-AU"/>
        </w:rPr>
        <w:t xml:space="preserve"> </w:t>
      </w:r>
      <w:hyperlink r:id="rId66" w:history="1">
        <w:r w:rsidRPr="005D6D89">
          <w:rPr>
            <w:rStyle w:val="Hyperlink"/>
          </w:rPr>
          <w:t>https://treasury.govt.nz/sites/default/files/2019-01/dp19-01.pdf</w:t>
        </w:r>
      </w:hyperlink>
      <w:r w:rsidRPr="005D6D89">
        <w:rPr>
          <w:color w:val="000000" w:themeColor="text1"/>
        </w:rPr>
        <w:t xml:space="preserve"> </w:t>
      </w:r>
    </w:p>
    <w:p w14:paraId="4AA99AF3" w14:textId="79B0C3FC" w:rsidR="00C94C6D" w:rsidRPr="0024184F" w:rsidRDefault="00C94C6D" w:rsidP="00E53794">
      <w:pPr>
        <w:pStyle w:val="References"/>
      </w:pPr>
      <w:r w:rsidRPr="0024184F">
        <w:t>Thuiller W, Lavorel S</w:t>
      </w:r>
      <w:r w:rsidR="00D12BE3">
        <w:t>,</w:t>
      </w:r>
      <w:r w:rsidRPr="0024184F">
        <w:t xml:space="preserve"> Araújo M</w:t>
      </w:r>
      <w:r w:rsidR="000913AD">
        <w:t xml:space="preserve"> </w:t>
      </w:r>
      <w:r w:rsidRPr="0024184F">
        <w:t xml:space="preserve">B. 2005. Niche properties and geographical extent as predictors of species sensitivity to climate change. </w:t>
      </w:r>
      <w:r w:rsidRPr="00802DDE">
        <w:rPr>
          <w:i/>
          <w:iCs/>
        </w:rPr>
        <w:t>Global Ecology and Biogeography</w:t>
      </w:r>
      <w:r w:rsidRPr="0024184F">
        <w:t xml:space="preserve"> 14</w:t>
      </w:r>
      <w:r w:rsidR="00D12BE3">
        <w:t>:</w:t>
      </w:r>
      <w:r w:rsidRPr="0024184F">
        <w:t xml:space="preserve"> 347</w:t>
      </w:r>
      <w:r>
        <w:t>–</w:t>
      </w:r>
      <w:r w:rsidRPr="0024184F">
        <w:t>357.</w:t>
      </w:r>
    </w:p>
    <w:p w14:paraId="67AA3D9B" w14:textId="57D05893" w:rsidR="00C94C6D" w:rsidRPr="0024184F" w:rsidRDefault="00C94C6D" w:rsidP="00E53794">
      <w:pPr>
        <w:pStyle w:val="References"/>
      </w:pPr>
      <w:r w:rsidRPr="0024184F">
        <w:t xml:space="preserve">Trujillo-Pagan N. 2007. Katrina's Latinos: </w:t>
      </w:r>
      <w:r w:rsidR="00D12BE3" w:rsidRPr="0024184F">
        <w:t xml:space="preserve">Vulnerability </w:t>
      </w:r>
      <w:r w:rsidRPr="0024184F">
        <w:t>and disasters in relief and recovery. In</w:t>
      </w:r>
      <w:r w:rsidR="00D12BE3">
        <w:t>:</w:t>
      </w:r>
      <w:r w:rsidRPr="0024184F">
        <w:t xml:space="preserve"> KA Bates</w:t>
      </w:r>
      <w:r w:rsidR="00D12BE3">
        <w:t>,</w:t>
      </w:r>
      <w:r w:rsidRPr="0024184F">
        <w:t xml:space="preserve"> RS Swan (</w:t>
      </w:r>
      <w:r w:rsidR="00D12BE3">
        <w:t>e</w:t>
      </w:r>
      <w:r w:rsidRPr="0024184F">
        <w:t xml:space="preserve">ds) </w:t>
      </w:r>
      <w:r w:rsidRPr="0024184F">
        <w:rPr>
          <w:i/>
          <w:iCs/>
        </w:rPr>
        <w:t xml:space="preserve">Through the </w:t>
      </w:r>
      <w:r w:rsidR="00D12BE3" w:rsidRPr="0024184F">
        <w:rPr>
          <w:i/>
          <w:iCs/>
        </w:rPr>
        <w:t xml:space="preserve">Eye </w:t>
      </w:r>
      <w:r w:rsidRPr="0024184F">
        <w:rPr>
          <w:i/>
          <w:iCs/>
        </w:rPr>
        <w:t>of Katrina: Social Justice in the United States</w:t>
      </w:r>
      <w:r w:rsidRPr="0024184F">
        <w:t>. Durham: Carolina Academic Press.</w:t>
      </w:r>
      <w:r w:rsidR="00D12BE3" w:rsidRPr="00D12BE3">
        <w:t xml:space="preserve"> </w:t>
      </w:r>
      <w:r w:rsidR="00D12BE3">
        <w:t>pp</w:t>
      </w:r>
      <w:r w:rsidR="00D12BE3" w:rsidRPr="0024184F">
        <w:t xml:space="preserve"> 147</w:t>
      </w:r>
      <w:r w:rsidR="00D12BE3">
        <w:t>–</w:t>
      </w:r>
      <w:r w:rsidR="00D12BE3" w:rsidRPr="0024184F">
        <w:t>168</w:t>
      </w:r>
      <w:r w:rsidR="00D12BE3">
        <w:t>.</w:t>
      </w:r>
    </w:p>
    <w:p w14:paraId="090A61A4" w14:textId="28A417A8" w:rsidR="00C94C6D" w:rsidRDefault="00C94C6D" w:rsidP="00E53794">
      <w:pPr>
        <w:pStyle w:val="References"/>
      </w:pPr>
      <w:r w:rsidRPr="0024184F">
        <w:t>Williams S</w:t>
      </w:r>
      <w:r w:rsidR="004C38F7">
        <w:t xml:space="preserve"> </w:t>
      </w:r>
      <w:r w:rsidRPr="0024184F">
        <w:t>E, Shoo L</w:t>
      </w:r>
      <w:r w:rsidR="004C38F7">
        <w:t xml:space="preserve"> </w:t>
      </w:r>
      <w:r w:rsidRPr="0024184F">
        <w:t>P, Isaac J</w:t>
      </w:r>
      <w:r w:rsidR="004C38F7">
        <w:t xml:space="preserve"> </w:t>
      </w:r>
      <w:r w:rsidRPr="0024184F">
        <w:t>L, Hoffmann A</w:t>
      </w:r>
      <w:r w:rsidR="004C38F7">
        <w:t xml:space="preserve"> </w:t>
      </w:r>
      <w:r w:rsidRPr="0024184F">
        <w:t>A</w:t>
      </w:r>
      <w:r w:rsidR="00D12BE3">
        <w:t>,</w:t>
      </w:r>
      <w:r w:rsidRPr="0024184F">
        <w:t xml:space="preserve"> Langham G. 2008. Towards an I</w:t>
      </w:r>
      <w:r w:rsidR="00D12BE3" w:rsidRPr="0024184F">
        <w:t>ntegrated framework for assessing the vulnerability of species to climate c</w:t>
      </w:r>
      <w:r w:rsidRPr="0024184F">
        <w:t xml:space="preserve">hange. </w:t>
      </w:r>
      <w:r w:rsidRPr="00802DDE">
        <w:rPr>
          <w:i/>
          <w:iCs/>
        </w:rPr>
        <w:t>PLoS Biology</w:t>
      </w:r>
      <w:r w:rsidRPr="0024184F">
        <w:t xml:space="preserve"> 6(12)</w:t>
      </w:r>
      <w:r w:rsidR="00D12BE3">
        <w:t>:</w:t>
      </w:r>
      <w:r w:rsidRPr="0024184F">
        <w:t xml:space="preserve"> 2621</w:t>
      </w:r>
      <w:r>
        <w:t>–</w:t>
      </w:r>
      <w:r w:rsidRPr="0024184F">
        <w:t>2626.</w:t>
      </w:r>
    </w:p>
    <w:p w14:paraId="3F2EA5B3" w14:textId="77777777" w:rsidR="000C3E06" w:rsidRDefault="000C3E06">
      <w:pPr>
        <w:spacing w:before="0" w:after="200" w:line="276" w:lineRule="auto"/>
        <w:jc w:val="left"/>
        <w:rPr>
          <w:rFonts w:eastAsiaTheme="majorEastAsia" w:cstheme="majorBidi"/>
          <w:b/>
          <w:bCs/>
          <w:color w:val="1C556C"/>
          <w:sz w:val="48"/>
          <w:szCs w:val="28"/>
        </w:rPr>
      </w:pPr>
      <w:bookmarkStart w:id="401" w:name="_Appendix_C:_Organisations"/>
      <w:bookmarkEnd w:id="401"/>
      <w:r>
        <w:br w:type="page"/>
      </w:r>
    </w:p>
    <w:p w14:paraId="1F40AD6B" w14:textId="0F823FA3" w:rsidR="00B95138" w:rsidRDefault="00D70520" w:rsidP="00D13E34">
      <w:pPr>
        <w:pStyle w:val="Heading1"/>
      </w:pPr>
      <w:bookmarkStart w:id="402" w:name="_Appendix_E:_Organisations"/>
      <w:bookmarkStart w:id="403" w:name="_Toc45898328"/>
      <w:bookmarkEnd w:id="402"/>
      <w:r w:rsidRPr="00D70520">
        <w:lastRenderedPageBreak/>
        <w:t xml:space="preserve">Appendix </w:t>
      </w:r>
      <w:r w:rsidR="00C92E74">
        <w:t>E</w:t>
      </w:r>
      <w:r>
        <w:t xml:space="preserve">: </w:t>
      </w:r>
      <w:r w:rsidR="007626C6" w:rsidRPr="007626C6">
        <w:t>Organisations and groups</w:t>
      </w:r>
      <w:r w:rsidR="007626C6">
        <w:t> </w:t>
      </w:r>
      <w:r w:rsidR="007626C6" w:rsidRPr="007626C6">
        <w:t>contacted</w:t>
      </w:r>
      <w:bookmarkEnd w:id="403"/>
    </w:p>
    <w:p w14:paraId="22754E9D" w14:textId="280D873A" w:rsidR="007626C6" w:rsidRDefault="00407F15" w:rsidP="00B32E2D">
      <w:pPr>
        <w:pStyle w:val="Heading3"/>
        <w:spacing w:before="120" w:after="240"/>
      </w:pPr>
      <w:r w:rsidRPr="00407F15">
        <w:t>Organisations and groups contacted</w:t>
      </w:r>
    </w:p>
    <w:tbl>
      <w:tblPr>
        <w:tblW w:w="8562" w:type="dxa"/>
        <w:tblInd w:w="113" w:type="dxa"/>
        <w:tblBorders>
          <w:top w:val="single" w:sz="4" w:space="0" w:color="1C556C" w:themeColor="accent1"/>
          <w:bottom w:val="single" w:sz="4" w:space="0" w:color="1C556C" w:themeColor="accent1"/>
          <w:insideV w:val="single" w:sz="4" w:space="0" w:color="1C556C" w:themeColor="accent1"/>
        </w:tblBorders>
        <w:tblLayout w:type="fixed"/>
        <w:tblLook w:val="0000" w:firstRow="0" w:lastRow="0" w:firstColumn="0" w:lastColumn="0" w:noHBand="0" w:noVBand="0"/>
      </w:tblPr>
      <w:tblGrid>
        <w:gridCol w:w="4281"/>
        <w:gridCol w:w="4281"/>
      </w:tblGrid>
      <w:tr w:rsidR="00FF5BE1" w:rsidRPr="00FF5BE1" w14:paraId="480DE795" w14:textId="77777777" w:rsidTr="00FF5BE1">
        <w:trPr>
          <w:tblHeader/>
        </w:trPr>
        <w:tc>
          <w:tcPr>
            <w:tcW w:w="5000" w:type="pct"/>
            <w:gridSpan w:val="2"/>
            <w:tcBorders>
              <w:bottom w:val="nil"/>
            </w:tcBorders>
            <w:shd w:val="clear" w:color="auto" w:fill="1C556C" w:themeFill="accent1"/>
            <w:tcMar>
              <w:top w:w="0" w:type="dxa"/>
            </w:tcMar>
            <w:vAlign w:val="center"/>
          </w:tcPr>
          <w:p w14:paraId="7045FD28" w14:textId="77777777" w:rsidR="00913AA6" w:rsidRPr="00FF5BE1" w:rsidRDefault="00913AA6" w:rsidP="00B01C7C">
            <w:pPr>
              <w:pStyle w:val="TableTextBold"/>
              <w:spacing w:line="230" w:lineRule="atLeast"/>
              <w:rPr>
                <w:color w:val="FFFFFF" w:themeColor="background1"/>
              </w:rPr>
            </w:pPr>
            <w:r w:rsidRPr="00FF5BE1">
              <w:rPr>
                <w:color w:val="FFFFFF" w:themeColor="background1"/>
              </w:rPr>
              <w:t>Organisation</w:t>
            </w:r>
          </w:p>
        </w:tc>
      </w:tr>
      <w:tr w:rsidR="00913AA6" w:rsidRPr="005B40EC" w14:paraId="618F5792" w14:textId="77777777" w:rsidTr="00FF5BE1">
        <w:tc>
          <w:tcPr>
            <w:tcW w:w="5000" w:type="pct"/>
            <w:gridSpan w:val="2"/>
            <w:tcBorders>
              <w:top w:val="nil"/>
              <w:bottom w:val="nil"/>
            </w:tcBorders>
            <w:shd w:val="clear" w:color="auto" w:fill="D2DDE2" w:themeFill="accent3"/>
            <w:tcMar>
              <w:top w:w="0" w:type="dxa"/>
            </w:tcMar>
            <w:vAlign w:val="center"/>
          </w:tcPr>
          <w:p w14:paraId="587A294D" w14:textId="77777777" w:rsidR="00913AA6" w:rsidRPr="005B40EC" w:rsidRDefault="00913AA6" w:rsidP="00B01C7C">
            <w:pPr>
              <w:pStyle w:val="TableTextBold"/>
              <w:spacing w:line="230" w:lineRule="atLeast"/>
            </w:pPr>
            <w:r w:rsidRPr="005B40EC">
              <w:t>Central government</w:t>
            </w:r>
          </w:p>
        </w:tc>
      </w:tr>
      <w:tr w:rsidR="00B01C7C" w:rsidRPr="005B40EC" w14:paraId="7775C4A5" w14:textId="77777777" w:rsidTr="00B01C7C">
        <w:tc>
          <w:tcPr>
            <w:tcW w:w="2500" w:type="pct"/>
            <w:tcBorders>
              <w:top w:val="nil"/>
            </w:tcBorders>
            <w:shd w:val="clear" w:color="auto" w:fill="auto"/>
            <w:tcMar>
              <w:top w:w="0" w:type="dxa"/>
            </w:tcMar>
          </w:tcPr>
          <w:p w14:paraId="1AF11BFF" w14:textId="77777777" w:rsidR="00B01C7C" w:rsidRPr="005B40EC" w:rsidRDefault="00B01C7C" w:rsidP="00B01C7C">
            <w:pPr>
              <w:pStyle w:val="TableText"/>
              <w:spacing w:before="40" w:after="0" w:line="230" w:lineRule="atLeast"/>
            </w:pPr>
            <w:r w:rsidRPr="005B40EC">
              <w:t xml:space="preserve">Department of Conservation </w:t>
            </w:r>
          </w:p>
          <w:p w14:paraId="2ECBD7E9" w14:textId="77777777" w:rsidR="00B01C7C" w:rsidRPr="005B40EC" w:rsidRDefault="00B01C7C" w:rsidP="00B01C7C">
            <w:pPr>
              <w:pStyle w:val="TableText"/>
              <w:spacing w:before="40" w:after="0" w:line="230" w:lineRule="atLeast"/>
            </w:pPr>
            <w:r w:rsidRPr="005B40EC">
              <w:t>Department of Internal Affairs</w:t>
            </w:r>
          </w:p>
          <w:p w14:paraId="5D26CA0D" w14:textId="3FFE1F18" w:rsidR="00B01C7C" w:rsidRPr="005B40EC" w:rsidRDefault="00B01C7C" w:rsidP="00B01C7C">
            <w:pPr>
              <w:pStyle w:val="TableText"/>
              <w:spacing w:before="40" w:after="0" w:line="230" w:lineRule="atLeast"/>
            </w:pPr>
            <w:r w:rsidRPr="005B40EC">
              <w:t xml:space="preserve">Department of </w:t>
            </w:r>
            <w:r w:rsidR="00737BCF">
              <w:t xml:space="preserve">the </w:t>
            </w:r>
            <w:r w:rsidRPr="005B40EC">
              <w:t xml:space="preserve">Prime Minister and Cabinet </w:t>
            </w:r>
          </w:p>
          <w:p w14:paraId="34224EB5" w14:textId="77777777" w:rsidR="00B01C7C" w:rsidRPr="005B40EC" w:rsidRDefault="00B01C7C" w:rsidP="00B01C7C">
            <w:pPr>
              <w:pStyle w:val="TableText"/>
              <w:spacing w:before="40" w:after="0" w:line="230" w:lineRule="atLeast"/>
            </w:pPr>
            <w:r w:rsidRPr="005B40EC">
              <w:t>Earthquake Commission</w:t>
            </w:r>
          </w:p>
          <w:p w14:paraId="23324481" w14:textId="77777777" w:rsidR="00B01C7C" w:rsidRPr="005B40EC" w:rsidRDefault="00B01C7C" w:rsidP="00B01C7C">
            <w:pPr>
              <w:pStyle w:val="TableText"/>
              <w:spacing w:before="40" w:after="0" w:line="230" w:lineRule="atLeast"/>
            </w:pPr>
            <w:r w:rsidRPr="005B40EC">
              <w:t>Heritage New Zealand</w:t>
            </w:r>
          </w:p>
          <w:p w14:paraId="5A7ADF08" w14:textId="77777777" w:rsidR="00B01C7C" w:rsidRPr="005B40EC" w:rsidRDefault="00B01C7C" w:rsidP="00B01C7C">
            <w:pPr>
              <w:pStyle w:val="TableText"/>
              <w:spacing w:before="40" w:after="0" w:line="230" w:lineRule="atLeast"/>
            </w:pPr>
            <w:r w:rsidRPr="005B40EC">
              <w:t xml:space="preserve">Land Information New Zealand </w:t>
            </w:r>
          </w:p>
          <w:p w14:paraId="36CB0B66" w14:textId="77777777" w:rsidR="00B01C7C" w:rsidRPr="005B40EC" w:rsidRDefault="00B01C7C" w:rsidP="00B01C7C">
            <w:pPr>
              <w:pStyle w:val="TableText"/>
              <w:spacing w:before="40" w:after="0" w:line="230" w:lineRule="atLeast"/>
            </w:pPr>
            <w:r w:rsidRPr="005B40EC">
              <w:t xml:space="preserve">Ministry for Culture and Heritage </w:t>
            </w:r>
          </w:p>
          <w:p w14:paraId="26812B90" w14:textId="77777777" w:rsidR="00B01C7C" w:rsidRPr="005B40EC" w:rsidRDefault="00B01C7C" w:rsidP="00B01C7C">
            <w:pPr>
              <w:pStyle w:val="TableText"/>
              <w:spacing w:before="40" w:after="0" w:line="230" w:lineRule="atLeast"/>
            </w:pPr>
            <w:r w:rsidRPr="005B40EC">
              <w:t>Ministry for Primary Industries</w:t>
            </w:r>
          </w:p>
          <w:p w14:paraId="4470EF2E" w14:textId="77777777" w:rsidR="00B01C7C" w:rsidRPr="005B40EC" w:rsidRDefault="00B01C7C" w:rsidP="00B01C7C">
            <w:pPr>
              <w:pStyle w:val="TableText"/>
              <w:spacing w:before="40" w:after="0" w:line="230" w:lineRule="atLeast"/>
            </w:pPr>
            <w:r w:rsidRPr="005B40EC">
              <w:t xml:space="preserve">Ministry for the Environment </w:t>
            </w:r>
          </w:p>
          <w:p w14:paraId="3B949692" w14:textId="77777777" w:rsidR="00B01C7C" w:rsidRPr="005B40EC" w:rsidRDefault="00B01C7C" w:rsidP="00B01C7C">
            <w:pPr>
              <w:pStyle w:val="TableText"/>
              <w:spacing w:before="40" w:after="0" w:line="230" w:lineRule="atLeast"/>
            </w:pPr>
            <w:r w:rsidRPr="005B40EC">
              <w:t>Ministry for Women</w:t>
            </w:r>
          </w:p>
          <w:p w14:paraId="4E61373B" w14:textId="77777777" w:rsidR="00B01C7C" w:rsidRPr="005B40EC" w:rsidRDefault="00B01C7C" w:rsidP="00B01C7C">
            <w:pPr>
              <w:pStyle w:val="TableText"/>
              <w:spacing w:before="40" w:after="0" w:line="230" w:lineRule="atLeast"/>
            </w:pPr>
            <w:r w:rsidRPr="005B40EC">
              <w:t xml:space="preserve">Ministry of Business, Innovation and Employment </w:t>
            </w:r>
          </w:p>
          <w:p w14:paraId="0290A442" w14:textId="77777777" w:rsidR="00B01C7C" w:rsidRPr="005B40EC" w:rsidRDefault="00B01C7C" w:rsidP="00B01C7C">
            <w:pPr>
              <w:pStyle w:val="TableText"/>
              <w:spacing w:before="40" w:after="0" w:line="230" w:lineRule="atLeast"/>
            </w:pPr>
            <w:r w:rsidRPr="005B40EC">
              <w:t>Ministry of Defence</w:t>
            </w:r>
          </w:p>
          <w:p w14:paraId="73873A16" w14:textId="01FA38F2" w:rsidR="00B01C7C" w:rsidRPr="005B40EC" w:rsidRDefault="00B01C7C" w:rsidP="00B01C7C">
            <w:pPr>
              <w:pStyle w:val="TableText"/>
              <w:spacing w:before="40" w:line="230" w:lineRule="atLeast"/>
            </w:pPr>
            <w:r w:rsidRPr="005B40EC">
              <w:t>Ministry of Education</w:t>
            </w:r>
          </w:p>
        </w:tc>
        <w:tc>
          <w:tcPr>
            <w:tcW w:w="2500" w:type="pct"/>
            <w:tcBorders>
              <w:top w:val="nil"/>
            </w:tcBorders>
            <w:shd w:val="clear" w:color="auto" w:fill="auto"/>
          </w:tcPr>
          <w:p w14:paraId="3F950136" w14:textId="77777777" w:rsidR="00B01C7C" w:rsidRPr="005B40EC" w:rsidRDefault="00B01C7C" w:rsidP="00B01C7C">
            <w:pPr>
              <w:pStyle w:val="TableText"/>
              <w:spacing w:before="40" w:after="0" w:line="230" w:lineRule="atLeast"/>
            </w:pPr>
            <w:r w:rsidRPr="005B40EC">
              <w:t>Ministry of Foreign Affairs and Trade</w:t>
            </w:r>
          </w:p>
          <w:p w14:paraId="525C4E61" w14:textId="77777777" w:rsidR="00B01C7C" w:rsidRPr="005B40EC" w:rsidRDefault="00B01C7C" w:rsidP="00B01C7C">
            <w:pPr>
              <w:pStyle w:val="TableText"/>
              <w:spacing w:before="40" w:after="0" w:line="230" w:lineRule="atLeast"/>
            </w:pPr>
            <w:r w:rsidRPr="005B40EC">
              <w:t>Ministry of Health</w:t>
            </w:r>
          </w:p>
          <w:p w14:paraId="3A37D04E" w14:textId="77777777" w:rsidR="00B01C7C" w:rsidRPr="005B40EC" w:rsidRDefault="00B01C7C" w:rsidP="00B01C7C">
            <w:pPr>
              <w:pStyle w:val="TableText"/>
              <w:spacing w:before="40" w:after="0" w:line="230" w:lineRule="atLeast"/>
            </w:pPr>
            <w:r w:rsidRPr="005B40EC">
              <w:t>Ministry of Housing and Urban Development</w:t>
            </w:r>
          </w:p>
          <w:p w14:paraId="0A3F1DDA" w14:textId="77777777" w:rsidR="00B01C7C" w:rsidRPr="005B40EC" w:rsidRDefault="00B01C7C" w:rsidP="00B01C7C">
            <w:pPr>
              <w:pStyle w:val="TableText"/>
              <w:spacing w:before="40" w:after="0" w:line="230" w:lineRule="atLeast"/>
            </w:pPr>
            <w:r w:rsidRPr="005B40EC">
              <w:t>Ministry of Justice</w:t>
            </w:r>
          </w:p>
          <w:p w14:paraId="3268DBAF" w14:textId="77777777" w:rsidR="00B01C7C" w:rsidRPr="005B40EC" w:rsidRDefault="00B01C7C" w:rsidP="00B01C7C">
            <w:pPr>
              <w:pStyle w:val="TableText"/>
              <w:spacing w:before="40" w:after="0" w:line="230" w:lineRule="atLeast"/>
            </w:pPr>
            <w:r w:rsidRPr="005B40EC">
              <w:t xml:space="preserve">Ministry of Transport </w:t>
            </w:r>
          </w:p>
          <w:p w14:paraId="7BC097D8" w14:textId="77777777" w:rsidR="00B01C7C" w:rsidRPr="005B40EC" w:rsidRDefault="00B01C7C" w:rsidP="00B01C7C">
            <w:pPr>
              <w:pStyle w:val="TableText"/>
              <w:spacing w:before="40" w:after="0" w:line="230" w:lineRule="atLeast"/>
            </w:pPr>
            <w:r w:rsidRPr="005B40EC">
              <w:t>National Emergency Management Agency</w:t>
            </w:r>
          </w:p>
          <w:p w14:paraId="268E406B" w14:textId="77777777" w:rsidR="00B01C7C" w:rsidRPr="005B40EC" w:rsidRDefault="00B01C7C" w:rsidP="00B01C7C">
            <w:pPr>
              <w:pStyle w:val="TableText"/>
              <w:spacing w:before="40" w:after="0" w:line="230" w:lineRule="atLeast"/>
            </w:pPr>
            <w:r w:rsidRPr="005B40EC">
              <w:t xml:space="preserve">New Zealand Defence Force </w:t>
            </w:r>
          </w:p>
          <w:p w14:paraId="3A4A0198" w14:textId="77777777" w:rsidR="00B01C7C" w:rsidRPr="005B40EC" w:rsidRDefault="00B01C7C" w:rsidP="00B01C7C">
            <w:pPr>
              <w:pStyle w:val="TableText"/>
              <w:spacing w:before="40" w:after="0" w:line="230" w:lineRule="atLeast"/>
            </w:pPr>
            <w:r w:rsidRPr="005B40EC">
              <w:t xml:space="preserve">New Zealand Transport Agency </w:t>
            </w:r>
          </w:p>
          <w:p w14:paraId="442BEAF3" w14:textId="77777777" w:rsidR="00B01C7C" w:rsidRPr="005B40EC" w:rsidRDefault="00B01C7C" w:rsidP="00B01C7C">
            <w:pPr>
              <w:pStyle w:val="TableText"/>
              <w:spacing w:before="40" w:after="0" w:line="230" w:lineRule="atLeast"/>
            </w:pPr>
            <w:r w:rsidRPr="005B40EC">
              <w:t xml:space="preserve">New Zealand Treasury </w:t>
            </w:r>
          </w:p>
          <w:p w14:paraId="63E15819" w14:textId="77777777" w:rsidR="00B01C7C" w:rsidRPr="005B40EC" w:rsidRDefault="00B01C7C" w:rsidP="00B01C7C">
            <w:pPr>
              <w:pStyle w:val="TableText"/>
              <w:spacing w:before="40" w:after="0" w:line="230" w:lineRule="atLeast"/>
            </w:pPr>
            <w:r w:rsidRPr="005B40EC">
              <w:t>Reserve Bank of New Zealand</w:t>
            </w:r>
          </w:p>
          <w:p w14:paraId="56FD9F88" w14:textId="77777777" w:rsidR="00B01C7C" w:rsidRPr="005B40EC" w:rsidRDefault="00B01C7C" w:rsidP="00B01C7C">
            <w:pPr>
              <w:pStyle w:val="TableText"/>
              <w:spacing w:before="40" w:after="0" w:line="230" w:lineRule="atLeast"/>
            </w:pPr>
            <w:r w:rsidRPr="005B40EC">
              <w:t>Statistics New Zealand</w:t>
            </w:r>
          </w:p>
          <w:p w14:paraId="531F6BC2" w14:textId="5ADE0630" w:rsidR="00B01C7C" w:rsidRPr="005B40EC" w:rsidRDefault="00B01C7C" w:rsidP="00B01C7C">
            <w:pPr>
              <w:pStyle w:val="TableText"/>
              <w:spacing w:before="40" w:after="0" w:line="230" w:lineRule="atLeast"/>
            </w:pPr>
            <w:r w:rsidRPr="005B40EC">
              <w:t xml:space="preserve">Te Puni Kōkiri </w:t>
            </w:r>
          </w:p>
        </w:tc>
      </w:tr>
      <w:tr w:rsidR="00913AA6" w:rsidRPr="005B40EC" w14:paraId="1E8DFDA8" w14:textId="77777777" w:rsidTr="00FF5BE1">
        <w:tc>
          <w:tcPr>
            <w:tcW w:w="5000" w:type="pct"/>
            <w:gridSpan w:val="2"/>
            <w:tcBorders>
              <w:top w:val="nil"/>
              <w:bottom w:val="nil"/>
            </w:tcBorders>
            <w:shd w:val="clear" w:color="auto" w:fill="D2DDE2" w:themeFill="accent3"/>
            <w:tcMar>
              <w:top w:w="0" w:type="dxa"/>
            </w:tcMar>
            <w:vAlign w:val="center"/>
          </w:tcPr>
          <w:p w14:paraId="68B90F54" w14:textId="73D3E176" w:rsidR="00913AA6" w:rsidRPr="005B40EC" w:rsidRDefault="00913AA6" w:rsidP="00B01C7C">
            <w:pPr>
              <w:pStyle w:val="TableTextBold"/>
              <w:spacing w:line="230" w:lineRule="atLeast"/>
            </w:pPr>
            <w:r w:rsidRPr="005B40EC">
              <w:t>Crown entities</w:t>
            </w:r>
            <w:r w:rsidR="00592516">
              <w:t xml:space="preserve"> and r</w:t>
            </w:r>
            <w:r w:rsidRPr="005B40EC">
              <w:t>esearch institutes</w:t>
            </w:r>
          </w:p>
        </w:tc>
      </w:tr>
      <w:tr w:rsidR="00BB019E" w:rsidRPr="005B40EC" w14:paraId="2E866DF2" w14:textId="77777777" w:rsidTr="00B01C7C">
        <w:tc>
          <w:tcPr>
            <w:tcW w:w="2500" w:type="pct"/>
            <w:tcBorders>
              <w:top w:val="nil"/>
              <w:bottom w:val="nil"/>
            </w:tcBorders>
            <w:shd w:val="clear" w:color="auto" w:fill="auto"/>
            <w:tcMar>
              <w:top w:w="0" w:type="dxa"/>
            </w:tcMar>
          </w:tcPr>
          <w:p w14:paraId="1956CFE2" w14:textId="47713958" w:rsidR="00BB019E" w:rsidRPr="005B40EC" w:rsidRDefault="00BB019E" w:rsidP="00B01C7C">
            <w:pPr>
              <w:pStyle w:val="TableText"/>
              <w:spacing w:before="40" w:after="0" w:line="230" w:lineRule="atLeast"/>
            </w:pPr>
            <w:r w:rsidRPr="005B40EC">
              <w:t>N</w:t>
            </w:r>
            <w:r w:rsidR="00B96FB8">
              <w:t>ew Zealand</w:t>
            </w:r>
            <w:r w:rsidRPr="005B40EC">
              <w:t xml:space="preserve"> Archaeological Association</w:t>
            </w:r>
          </w:p>
          <w:p w14:paraId="3271C9F9" w14:textId="77777777" w:rsidR="00BB019E" w:rsidRPr="005B40EC" w:rsidRDefault="00BB019E" w:rsidP="00B01C7C">
            <w:pPr>
              <w:pStyle w:val="TableText"/>
              <w:spacing w:before="40" w:after="0" w:line="230" w:lineRule="atLeast"/>
            </w:pPr>
            <w:r w:rsidRPr="005B40EC">
              <w:t>AgResearch Limited</w:t>
            </w:r>
          </w:p>
          <w:p w14:paraId="525E2A20" w14:textId="77777777" w:rsidR="00BB019E" w:rsidRPr="005B40EC" w:rsidRDefault="00BB019E" w:rsidP="00B01C7C">
            <w:pPr>
              <w:pStyle w:val="TableText"/>
              <w:spacing w:before="40" w:after="0" w:line="230" w:lineRule="atLeast"/>
            </w:pPr>
            <w:r w:rsidRPr="005B40EC">
              <w:t>Electricity Authority</w:t>
            </w:r>
          </w:p>
          <w:p w14:paraId="0182F135" w14:textId="77777777" w:rsidR="00BB019E" w:rsidRPr="005B40EC" w:rsidRDefault="00BB019E" w:rsidP="00B01C7C">
            <w:pPr>
              <w:pStyle w:val="TableText"/>
              <w:spacing w:before="40" w:after="0" w:line="230" w:lineRule="atLeast"/>
            </w:pPr>
            <w:r w:rsidRPr="005B40EC">
              <w:t>Energy Efficiency and Conservation Authority</w:t>
            </w:r>
          </w:p>
          <w:p w14:paraId="176C4118" w14:textId="77777777" w:rsidR="00BB019E" w:rsidRPr="005B40EC" w:rsidRDefault="00BB019E" w:rsidP="00B01C7C">
            <w:pPr>
              <w:pStyle w:val="TableText"/>
              <w:spacing w:before="40" w:after="0" w:line="230" w:lineRule="atLeast"/>
            </w:pPr>
            <w:r w:rsidRPr="005B40EC">
              <w:t>Financial Markets Authority</w:t>
            </w:r>
          </w:p>
          <w:p w14:paraId="2F09EA19" w14:textId="785B0EC1" w:rsidR="00BB019E" w:rsidRPr="005B40EC" w:rsidRDefault="00BB019E" w:rsidP="00B01C7C">
            <w:pPr>
              <w:pStyle w:val="TableText"/>
              <w:spacing w:before="40" w:after="0" w:line="230" w:lineRule="atLeast"/>
            </w:pPr>
            <w:r w:rsidRPr="005B40EC">
              <w:t>Fire and Emergency</w:t>
            </w:r>
            <w:r w:rsidR="00486B71" w:rsidRPr="005B40EC">
              <w:t xml:space="preserve"> New Zealand</w:t>
            </w:r>
          </w:p>
          <w:p w14:paraId="2A667ECA" w14:textId="2CBDC36D" w:rsidR="00BB019E" w:rsidRPr="005B40EC" w:rsidRDefault="00BB019E" w:rsidP="00B01C7C">
            <w:pPr>
              <w:pStyle w:val="TableText"/>
              <w:spacing w:before="40" w:after="0" w:line="230" w:lineRule="atLeast"/>
            </w:pPr>
            <w:r w:rsidRPr="005B40EC">
              <w:t xml:space="preserve">Fisheries Inshore New Zealand </w:t>
            </w:r>
          </w:p>
          <w:p w14:paraId="391AC1F8" w14:textId="77777777" w:rsidR="00BB019E" w:rsidRPr="005B40EC" w:rsidRDefault="00BB019E" w:rsidP="00B01C7C">
            <w:pPr>
              <w:pStyle w:val="TableText"/>
              <w:spacing w:before="40" w:after="0" w:line="230" w:lineRule="atLeast"/>
            </w:pPr>
            <w:r w:rsidRPr="005B40EC">
              <w:t>GNS Science</w:t>
            </w:r>
          </w:p>
          <w:p w14:paraId="52901A3A" w14:textId="77777777" w:rsidR="00BB019E" w:rsidRPr="005B40EC" w:rsidRDefault="00BB019E" w:rsidP="00B01C7C">
            <w:pPr>
              <w:pStyle w:val="TableText"/>
              <w:spacing w:before="40" w:after="0" w:line="230" w:lineRule="atLeast"/>
            </w:pPr>
            <w:r w:rsidRPr="005B40EC">
              <w:t>Health Research Council of New Zealand</w:t>
            </w:r>
          </w:p>
          <w:p w14:paraId="7D4AFE08" w14:textId="45EED1B0" w:rsidR="00BB019E" w:rsidRPr="005B40EC" w:rsidRDefault="00BB019E" w:rsidP="00B01C7C">
            <w:pPr>
              <w:pStyle w:val="TableText"/>
              <w:spacing w:before="40" w:after="0" w:line="230" w:lineRule="atLeast"/>
            </w:pPr>
            <w:r w:rsidRPr="005B40EC">
              <w:t>Institute of Environmental Science and Research Limited</w:t>
            </w:r>
          </w:p>
          <w:p w14:paraId="41006660" w14:textId="77777777" w:rsidR="00BB019E" w:rsidRPr="005B40EC" w:rsidRDefault="00BB019E" w:rsidP="00B01C7C">
            <w:pPr>
              <w:pStyle w:val="TableText"/>
              <w:spacing w:before="40" w:after="0" w:line="230" w:lineRule="atLeast"/>
            </w:pPr>
            <w:r w:rsidRPr="005B40EC">
              <w:t>Kainga Ora – Homes and Communities</w:t>
            </w:r>
          </w:p>
          <w:p w14:paraId="47645940" w14:textId="77777777" w:rsidR="00BB019E" w:rsidRPr="005B40EC" w:rsidRDefault="00BB019E" w:rsidP="00B01C7C">
            <w:pPr>
              <w:pStyle w:val="TableText"/>
              <w:spacing w:before="40" w:after="0" w:line="230" w:lineRule="atLeast"/>
            </w:pPr>
            <w:r w:rsidRPr="005B40EC">
              <w:t xml:space="preserve">Local Government New Zealand </w:t>
            </w:r>
          </w:p>
          <w:p w14:paraId="6FC0C70F" w14:textId="77777777" w:rsidR="00BB019E" w:rsidRPr="005B40EC" w:rsidRDefault="00BB019E" w:rsidP="00B01C7C">
            <w:pPr>
              <w:pStyle w:val="TableText"/>
              <w:spacing w:before="40" w:after="0" w:line="230" w:lineRule="atLeast"/>
            </w:pPr>
            <w:r w:rsidRPr="005B40EC">
              <w:t xml:space="preserve">Manaaki Whenua </w:t>
            </w:r>
            <w:r>
              <w:t>–</w:t>
            </w:r>
            <w:r w:rsidRPr="005B40EC">
              <w:t xml:space="preserve"> Landcare Research New Zealand Limited</w:t>
            </w:r>
          </w:p>
          <w:p w14:paraId="51A19058" w14:textId="77777777" w:rsidR="00BB019E" w:rsidRPr="005B40EC" w:rsidRDefault="00BB019E" w:rsidP="00B01C7C">
            <w:pPr>
              <w:pStyle w:val="TableText"/>
              <w:spacing w:before="40" w:after="0" w:line="230" w:lineRule="atLeast"/>
            </w:pPr>
            <w:r w:rsidRPr="005B40EC">
              <w:t>New Zealand Lifelines Council</w:t>
            </w:r>
          </w:p>
          <w:p w14:paraId="3E2B7096" w14:textId="596E338F" w:rsidR="00BB019E" w:rsidRPr="005B40EC" w:rsidRDefault="00BB019E" w:rsidP="00B01C7C">
            <w:pPr>
              <w:pStyle w:val="TableText"/>
              <w:spacing w:before="40" w:after="0" w:line="230" w:lineRule="atLeast"/>
            </w:pPr>
            <w:r w:rsidRPr="005B40EC">
              <w:t>New Zealand Society of Local Government Management</w:t>
            </w:r>
          </w:p>
          <w:p w14:paraId="238B048F" w14:textId="77777777" w:rsidR="00BB019E" w:rsidRPr="005B40EC" w:rsidRDefault="00BB019E" w:rsidP="00B01C7C">
            <w:pPr>
              <w:pStyle w:val="TableText"/>
              <w:spacing w:before="40" w:after="0" w:line="230" w:lineRule="atLeast"/>
            </w:pPr>
            <w:r w:rsidRPr="005B40EC">
              <w:t>NIWA</w:t>
            </w:r>
          </w:p>
          <w:p w14:paraId="273AA22A" w14:textId="48568C5D" w:rsidR="00BB019E" w:rsidRPr="005B40EC" w:rsidRDefault="00BB019E" w:rsidP="00B01C7C">
            <w:pPr>
              <w:pStyle w:val="TableText"/>
              <w:spacing w:before="40" w:after="0" w:line="230" w:lineRule="atLeast"/>
            </w:pPr>
            <w:r w:rsidRPr="005B40EC">
              <w:t>Office of the Auditor</w:t>
            </w:r>
            <w:r w:rsidR="00486B71">
              <w:t>-</w:t>
            </w:r>
            <w:r w:rsidRPr="005B40EC">
              <w:t>General</w:t>
            </w:r>
          </w:p>
          <w:p w14:paraId="0F6BF24A" w14:textId="77777777" w:rsidR="00BB019E" w:rsidRPr="005B40EC" w:rsidRDefault="00BB019E" w:rsidP="00B01C7C">
            <w:pPr>
              <w:pStyle w:val="TableText"/>
              <w:spacing w:before="40" w:after="0" w:line="230" w:lineRule="atLeast"/>
            </w:pPr>
            <w:r w:rsidRPr="005B40EC">
              <w:t>Parliamentary Commissioner for the Environment</w:t>
            </w:r>
          </w:p>
          <w:p w14:paraId="49FCF816" w14:textId="674554F1" w:rsidR="00BB019E" w:rsidRPr="005B40EC" w:rsidRDefault="00BB019E" w:rsidP="00B01C7C">
            <w:pPr>
              <w:pStyle w:val="TableText"/>
              <w:spacing w:before="40" w:after="0" w:line="230" w:lineRule="atLeast"/>
            </w:pPr>
            <w:r w:rsidRPr="005B40EC">
              <w:t>Productivity Commission of New Zealand</w:t>
            </w:r>
          </w:p>
        </w:tc>
        <w:tc>
          <w:tcPr>
            <w:tcW w:w="2500" w:type="pct"/>
            <w:tcBorders>
              <w:top w:val="nil"/>
              <w:bottom w:val="nil"/>
            </w:tcBorders>
            <w:shd w:val="clear" w:color="auto" w:fill="auto"/>
          </w:tcPr>
          <w:p w14:paraId="4DCB55A4" w14:textId="77777777" w:rsidR="0053433B" w:rsidRDefault="0053433B" w:rsidP="00B01C7C">
            <w:pPr>
              <w:pStyle w:val="TableText"/>
              <w:spacing w:before="40" w:after="0" w:line="230" w:lineRule="atLeast"/>
            </w:pPr>
            <w:r w:rsidRPr="005B40EC">
              <w:t>Scion</w:t>
            </w:r>
            <w:r>
              <w:t xml:space="preserve"> </w:t>
            </w:r>
            <w:r w:rsidRPr="005B40EC">
              <w:t>(New Zealand Forest Research Institute Limited)</w:t>
            </w:r>
          </w:p>
          <w:p w14:paraId="3C362C6A" w14:textId="020325BC" w:rsidR="00BB019E" w:rsidRPr="005B40EC" w:rsidRDefault="00BB019E" w:rsidP="00B01C7C">
            <w:pPr>
              <w:pStyle w:val="TableText"/>
              <w:spacing w:before="40" w:after="0" w:line="230" w:lineRule="atLeast"/>
            </w:pPr>
            <w:r w:rsidRPr="005B40EC">
              <w:t>Sport New Zealand</w:t>
            </w:r>
          </w:p>
          <w:p w14:paraId="0552C503" w14:textId="77777777" w:rsidR="00BB019E" w:rsidRPr="005B40EC" w:rsidRDefault="00BB019E" w:rsidP="00B01C7C">
            <w:pPr>
              <w:pStyle w:val="TableText"/>
              <w:spacing w:before="40" w:after="0" w:line="230" w:lineRule="atLeast"/>
            </w:pPr>
            <w:r w:rsidRPr="005B40EC">
              <w:t>State Services Commission</w:t>
            </w:r>
          </w:p>
          <w:p w14:paraId="535CCA26" w14:textId="18DA0D2F" w:rsidR="00BB019E" w:rsidRPr="005B40EC" w:rsidRDefault="00BB019E" w:rsidP="00B01C7C">
            <w:pPr>
              <w:pStyle w:val="TableText"/>
              <w:spacing w:before="40" w:after="0" w:line="230" w:lineRule="atLeast"/>
            </w:pPr>
            <w:r w:rsidRPr="005B40EC">
              <w:t>The New Zealand Institute for Plant and Food Research</w:t>
            </w:r>
            <w:r w:rsidR="0053433B">
              <w:t> </w:t>
            </w:r>
            <w:r w:rsidRPr="005B40EC">
              <w:t>Limited</w:t>
            </w:r>
          </w:p>
          <w:p w14:paraId="29C3E747" w14:textId="21B73F5C" w:rsidR="00BB019E" w:rsidRPr="005B40EC" w:rsidRDefault="00BB019E" w:rsidP="00B01C7C">
            <w:pPr>
              <w:pStyle w:val="TableText"/>
              <w:spacing w:before="40" w:after="0" w:line="230" w:lineRule="atLeast"/>
            </w:pPr>
            <w:r w:rsidRPr="005B40EC">
              <w:t>Toit</w:t>
            </w:r>
            <w:r w:rsidR="00486B71">
              <w:rPr>
                <w:rFonts w:cs="Calibri"/>
              </w:rPr>
              <w:t>ū</w:t>
            </w:r>
            <w:r w:rsidRPr="005B40EC">
              <w:t xml:space="preserve"> Envirocare</w:t>
            </w:r>
          </w:p>
          <w:p w14:paraId="5B8C4F9B" w14:textId="0B5272B4" w:rsidR="00BB019E" w:rsidRPr="005B40EC" w:rsidRDefault="00BB019E" w:rsidP="00B01C7C">
            <w:pPr>
              <w:pStyle w:val="TableText"/>
              <w:spacing w:before="40" w:after="0" w:line="230" w:lineRule="atLeast"/>
            </w:pPr>
            <w:r w:rsidRPr="005B40EC">
              <w:t xml:space="preserve">Tourism </w:t>
            </w:r>
            <w:r w:rsidR="00592516">
              <w:t>New Zealand</w:t>
            </w:r>
          </w:p>
          <w:p w14:paraId="30D6CBB8" w14:textId="77777777" w:rsidR="00BB019E" w:rsidRPr="005B40EC" w:rsidRDefault="00BB019E" w:rsidP="00B01C7C">
            <w:pPr>
              <w:pStyle w:val="TableText"/>
              <w:spacing w:before="40" w:after="0" w:line="230" w:lineRule="atLeast"/>
            </w:pPr>
            <w:r w:rsidRPr="005B40EC">
              <w:t>Transpower New Zealand Ltd</w:t>
            </w:r>
          </w:p>
          <w:p w14:paraId="3B522697" w14:textId="77777777" w:rsidR="00BB019E" w:rsidRPr="005B40EC" w:rsidRDefault="00BB019E" w:rsidP="00B01C7C">
            <w:pPr>
              <w:pStyle w:val="TableText"/>
              <w:spacing w:before="40" w:after="0" w:line="230" w:lineRule="atLeast"/>
            </w:pPr>
            <w:r w:rsidRPr="005B40EC">
              <w:t>Auckland District Health Board</w:t>
            </w:r>
          </w:p>
          <w:p w14:paraId="599F330A" w14:textId="77777777" w:rsidR="00BB019E" w:rsidRPr="005B40EC" w:rsidRDefault="00BB019E" w:rsidP="00B01C7C">
            <w:pPr>
              <w:pStyle w:val="TableText"/>
              <w:spacing w:before="40" w:after="0" w:line="230" w:lineRule="atLeast"/>
            </w:pPr>
            <w:r w:rsidRPr="005B40EC">
              <w:t>Canterbury District Health Board</w:t>
            </w:r>
          </w:p>
          <w:p w14:paraId="4B75EBB6" w14:textId="77777777" w:rsidR="00BB019E" w:rsidRPr="005B40EC" w:rsidRDefault="00BB019E" w:rsidP="00B01C7C">
            <w:pPr>
              <w:pStyle w:val="TableText"/>
              <w:spacing w:before="40" w:after="0" w:line="230" w:lineRule="atLeast"/>
            </w:pPr>
            <w:r w:rsidRPr="005B40EC">
              <w:t>Nelson Marlborough Health</w:t>
            </w:r>
          </w:p>
          <w:p w14:paraId="05E0803C" w14:textId="77777777" w:rsidR="00BB019E" w:rsidRPr="005B40EC" w:rsidRDefault="00BB019E" w:rsidP="00B01C7C">
            <w:pPr>
              <w:pStyle w:val="TableText"/>
              <w:spacing w:before="40" w:after="0" w:line="230" w:lineRule="atLeast"/>
            </w:pPr>
            <w:r w:rsidRPr="005B40EC">
              <w:t>Cawthron Institute</w:t>
            </w:r>
          </w:p>
          <w:p w14:paraId="10A42C7B" w14:textId="49A6EA45" w:rsidR="00BB019E" w:rsidRPr="005B40EC" w:rsidRDefault="00BB019E" w:rsidP="00B01C7C">
            <w:pPr>
              <w:pStyle w:val="TableText"/>
              <w:spacing w:before="40" w:after="0" w:line="230" w:lineRule="atLeast"/>
            </w:pPr>
            <w:r w:rsidRPr="005B40EC">
              <w:t>Engineering N</w:t>
            </w:r>
            <w:r w:rsidR="00023F1C">
              <w:t>ew Zealand</w:t>
            </w:r>
          </w:p>
          <w:p w14:paraId="054B2462" w14:textId="2C1474F8" w:rsidR="00BB019E" w:rsidRPr="005B40EC" w:rsidRDefault="00BB019E" w:rsidP="00B01C7C">
            <w:pPr>
              <w:pStyle w:val="TableText"/>
              <w:spacing w:before="40" w:after="0" w:line="230" w:lineRule="atLeast"/>
            </w:pPr>
            <w:r w:rsidRPr="005B40EC">
              <w:t>Environmental Defence Society</w:t>
            </w:r>
          </w:p>
          <w:p w14:paraId="2EBF71D5" w14:textId="7CA3DB45" w:rsidR="00BB019E" w:rsidRPr="005B40EC" w:rsidRDefault="00BB019E" w:rsidP="00B01C7C">
            <w:pPr>
              <w:pStyle w:val="TableText"/>
              <w:spacing w:before="40" w:after="0" w:line="230" w:lineRule="atLeast"/>
            </w:pPr>
            <w:r w:rsidRPr="005B40EC">
              <w:t>Fish &amp; Game N</w:t>
            </w:r>
            <w:r w:rsidR="00486B71">
              <w:t>ew Zealand</w:t>
            </w:r>
          </w:p>
          <w:p w14:paraId="017ED4FF" w14:textId="77777777" w:rsidR="00BB019E" w:rsidRPr="005B40EC" w:rsidRDefault="00BB019E" w:rsidP="00B01C7C">
            <w:pPr>
              <w:pStyle w:val="TableText"/>
              <w:spacing w:before="40" w:after="0" w:line="230" w:lineRule="atLeast"/>
            </w:pPr>
            <w:r w:rsidRPr="005B40EC">
              <w:t>Forest &amp; Bird NZ</w:t>
            </w:r>
          </w:p>
          <w:p w14:paraId="79BDDB3A" w14:textId="77777777" w:rsidR="00BB019E" w:rsidRPr="005B40EC" w:rsidRDefault="00BB019E" w:rsidP="00B01C7C">
            <w:pPr>
              <w:pStyle w:val="TableText"/>
              <w:spacing w:before="40" w:after="0" w:line="230" w:lineRule="atLeast"/>
            </w:pPr>
            <w:r w:rsidRPr="005B40EC">
              <w:t>Generation Zero</w:t>
            </w:r>
          </w:p>
          <w:p w14:paraId="039040CD" w14:textId="47A1FBCF" w:rsidR="00BB019E" w:rsidRPr="005B40EC" w:rsidRDefault="00BB019E" w:rsidP="00B01C7C">
            <w:pPr>
              <w:pStyle w:val="TableText"/>
              <w:spacing w:before="40" w:after="0" w:line="230" w:lineRule="atLeast"/>
            </w:pPr>
            <w:r w:rsidRPr="005B40EC">
              <w:t>ICOMOS New Zealand/Te Mana o Nga Pouwhenua o</w:t>
            </w:r>
            <w:r w:rsidR="0053433B">
              <w:t> </w:t>
            </w:r>
            <w:r w:rsidRPr="005B40EC">
              <w:t>Te</w:t>
            </w:r>
            <w:r w:rsidR="0053433B">
              <w:t> </w:t>
            </w:r>
            <w:r w:rsidRPr="005B40EC">
              <w:t>Ao</w:t>
            </w:r>
          </w:p>
          <w:p w14:paraId="5012B9BC" w14:textId="77777777" w:rsidR="00BB019E" w:rsidRPr="005B40EC" w:rsidRDefault="00BB019E" w:rsidP="00B01C7C">
            <w:pPr>
              <w:pStyle w:val="TableText"/>
              <w:spacing w:before="40" w:after="0" w:line="230" w:lineRule="atLeast"/>
            </w:pPr>
            <w:r w:rsidRPr="005B40EC">
              <w:t>Museums Aotearoa</w:t>
            </w:r>
          </w:p>
          <w:p w14:paraId="796C4326" w14:textId="219302BE" w:rsidR="00BB019E" w:rsidRPr="005B40EC" w:rsidRDefault="00BB019E" w:rsidP="00B01C7C">
            <w:pPr>
              <w:pStyle w:val="TableText"/>
              <w:spacing w:before="40" w:after="0" w:line="230" w:lineRule="atLeast"/>
            </w:pPr>
            <w:r w:rsidRPr="005B40EC">
              <w:t xml:space="preserve">School Strike </w:t>
            </w:r>
            <w:r w:rsidR="00E366E7">
              <w:t>4</w:t>
            </w:r>
            <w:r w:rsidR="00E366E7" w:rsidRPr="005B40EC">
              <w:t xml:space="preserve"> </w:t>
            </w:r>
            <w:r w:rsidRPr="005B40EC">
              <w:t>Climate</w:t>
            </w:r>
          </w:p>
          <w:p w14:paraId="4848DE56" w14:textId="4959118C" w:rsidR="00BB019E" w:rsidRPr="005B40EC" w:rsidRDefault="00BB019E" w:rsidP="00B01C7C">
            <w:pPr>
              <w:pStyle w:val="TableText"/>
              <w:spacing w:before="40" w:line="230" w:lineRule="atLeast"/>
            </w:pPr>
            <w:r w:rsidRPr="005B40EC">
              <w:t>Water New Zealand</w:t>
            </w:r>
          </w:p>
        </w:tc>
      </w:tr>
      <w:tr w:rsidR="00913AA6" w:rsidRPr="005B40EC" w14:paraId="329CE207" w14:textId="77777777" w:rsidTr="00EA26E2">
        <w:tc>
          <w:tcPr>
            <w:tcW w:w="5000" w:type="pct"/>
            <w:gridSpan w:val="2"/>
            <w:tcBorders>
              <w:top w:val="nil"/>
              <w:bottom w:val="nil"/>
            </w:tcBorders>
            <w:shd w:val="clear" w:color="auto" w:fill="D2DDE2" w:themeFill="accent3"/>
            <w:tcMar>
              <w:top w:w="0" w:type="dxa"/>
            </w:tcMar>
            <w:vAlign w:val="center"/>
          </w:tcPr>
          <w:p w14:paraId="21D99103" w14:textId="68283DEB" w:rsidR="00913AA6" w:rsidRPr="005B40EC" w:rsidRDefault="00913AA6" w:rsidP="00486B71">
            <w:pPr>
              <w:pStyle w:val="TableTextBold"/>
              <w:spacing w:line="230" w:lineRule="atLeast"/>
            </w:pPr>
            <w:r w:rsidRPr="005B40EC">
              <w:t>Infrastructure</w:t>
            </w:r>
            <w:r w:rsidR="00486B71">
              <w:t>, i</w:t>
            </w:r>
            <w:r w:rsidRPr="005B40EC">
              <w:t>ndustry</w:t>
            </w:r>
            <w:r w:rsidR="00486B71">
              <w:t xml:space="preserve"> and b</w:t>
            </w:r>
            <w:r w:rsidRPr="005B40EC">
              <w:t>usiness</w:t>
            </w:r>
          </w:p>
        </w:tc>
      </w:tr>
      <w:tr w:rsidR="005D23F7" w:rsidRPr="005B40EC" w14:paraId="2C6D8B9F" w14:textId="77777777" w:rsidTr="005D23F7">
        <w:trPr>
          <w:trHeight w:val="235"/>
        </w:trPr>
        <w:tc>
          <w:tcPr>
            <w:tcW w:w="2500" w:type="pct"/>
            <w:tcBorders>
              <w:top w:val="nil"/>
              <w:bottom w:val="nil"/>
            </w:tcBorders>
            <w:shd w:val="clear" w:color="auto" w:fill="auto"/>
            <w:tcMar>
              <w:top w:w="0" w:type="dxa"/>
            </w:tcMar>
          </w:tcPr>
          <w:p w14:paraId="3F0F0B93" w14:textId="77777777" w:rsidR="005D23F7" w:rsidRPr="005B40EC" w:rsidRDefault="005D23F7" w:rsidP="00B01C7C">
            <w:pPr>
              <w:pStyle w:val="TableText"/>
              <w:spacing w:before="40" w:after="0" w:line="230" w:lineRule="atLeast"/>
            </w:pPr>
            <w:r w:rsidRPr="005B40EC">
              <w:t>ANZ</w:t>
            </w:r>
          </w:p>
          <w:p w14:paraId="3F3BDEF8" w14:textId="77777777" w:rsidR="005D23F7" w:rsidRPr="005B40EC" w:rsidRDefault="005D23F7" w:rsidP="00B01C7C">
            <w:pPr>
              <w:pStyle w:val="TableText"/>
              <w:spacing w:before="40" w:after="0" w:line="230" w:lineRule="atLeast"/>
            </w:pPr>
            <w:r w:rsidRPr="005B40EC">
              <w:t>AON New Zealand</w:t>
            </w:r>
          </w:p>
          <w:p w14:paraId="76E59E64" w14:textId="77777777" w:rsidR="005D23F7" w:rsidRPr="005B40EC" w:rsidRDefault="005D23F7" w:rsidP="00B01C7C">
            <w:pPr>
              <w:pStyle w:val="TableText"/>
              <w:spacing w:before="40" w:after="0" w:line="230" w:lineRule="atLeast"/>
            </w:pPr>
            <w:r w:rsidRPr="005B40EC">
              <w:t>ASB</w:t>
            </w:r>
          </w:p>
          <w:p w14:paraId="61FA5B69" w14:textId="181CBCE8" w:rsidR="005D23F7" w:rsidRPr="005B40EC" w:rsidRDefault="005D23F7" w:rsidP="00B01C7C">
            <w:pPr>
              <w:pStyle w:val="TableText"/>
              <w:spacing w:before="40" w:after="0" w:line="230" w:lineRule="atLeast"/>
            </w:pPr>
            <w:r w:rsidRPr="005B40EC">
              <w:t>Auckland Airport</w:t>
            </w:r>
          </w:p>
          <w:p w14:paraId="5C91B95D" w14:textId="77777777" w:rsidR="005D23F7" w:rsidRPr="005B40EC" w:rsidRDefault="005D23F7" w:rsidP="00B01C7C">
            <w:pPr>
              <w:pStyle w:val="TableText"/>
              <w:spacing w:before="40" w:after="0" w:line="230" w:lineRule="atLeast"/>
            </w:pPr>
            <w:r w:rsidRPr="005B40EC">
              <w:t>BNZ</w:t>
            </w:r>
          </w:p>
          <w:p w14:paraId="5D81060A" w14:textId="77777777" w:rsidR="005D23F7" w:rsidRPr="005B40EC" w:rsidRDefault="005D23F7" w:rsidP="00B01C7C">
            <w:pPr>
              <w:pStyle w:val="TableText"/>
              <w:spacing w:before="40" w:after="0" w:line="230" w:lineRule="atLeast"/>
            </w:pPr>
            <w:r w:rsidRPr="005B40EC">
              <w:lastRenderedPageBreak/>
              <w:t>BRANZ</w:t>
            </w:r>
          </w:p>
          <w:p w14:paraId="39D1A4FF" w14:textId="77777777" w:rsidR="005D23F7" w:rsidRPr="005B40EC" w:rsidRDefault="005D23F7" w:rsidP="00B01C7C">
            <w:pPr>
              <w:pStyle w:val="TableText"/>
              <w:spacing w:before="40" w:after="0" w:line="230" w:lineRule="atLeast"/>
            </w:pPr>
            <w:r w:rsidRPr="005B40EC">
              <w:t xml:space="preserve">Business NZ </w:t>
            </w:r>
          </w:p>
          <w:p w14:paraId="3AB38BAD" w14:textId="77777777" w:rsidR="005D23F7" w:rsidRPr="005B40EC" w:rsidRDefault="005D23F7" w:rsidP="00B01C7C">
            <w:pPr>
              <w:pStyle w:val="TableText"/>
              <w:spacing w:before="40" w:after="0" w:line="230" w:lineRule="atLeast"/>
            </w:pPr>
            <w:r w:rsidRPr="005B40EC">
              <w:t>CentrePort</w:t>
            </w:r>
          </w:p>
          <w:p w14:paraId="150238CD" w14:textId="77777777" w:rsidR="005D23F7" w:rsidRPr="005B40EC" w:rsidRDefault="005D23F7" w:rsidP="00B01C7C">
            <w:pPr>
              <w:pStyle w:val="TableText"/>
              <w:spacing w:before="40" w:after="0" w:line="230" w:lineRule="atLeast"/>
            </w:pPr>
            <w:r w:rsidRPr="005B40EC">
              <w:t>Chapman Tripp</w:t>
            </w:r>
          </w:p>
          <w:p w14:paraId="1149D8DB" w14:textId="1F22A9DF" w:rsidR="005D23F7" w:rsidRPr="005B40EC" w:rsidRDefault="005D23F7" w:rsidP="00B01C7C">
            <w:pPr>
              <w:pStyle w:val="TableText"/>
              <w:spacing w:before="40" w:after="0" w:line="230" w:lineRule="atLeast"/>
            </w:pPr>
            <w:r w:rsidRPr="005B40EC">
              <w:t>Christchurch Airport</w:t>
            </w:r>
          </w:p>
          <w:p w14:paraId="59110EDE" w14:textId="68756059" w:rsidR="005D23F7" w:rsidRPr="005B40EC" w:rsidRDefault="005D23F7" w:rsidP="00B01C7C">
            <w:pPr>
              <w:pStyle w:val="TableText"/>
              <w:spacing w:before="40" w:after="0" w:line="230" w:lineRule="atLeast"/>
            </w:pPr>
            <w:r w:rsidRPr="005B40EC">
              <w:t>Economic Development New Zealand</w:t>
            </w:r>
          </w:p>
          <w:p w14:paraId="7E743529" w14:textId="77777777" w:rsidR="005D23F7" w:rsidRPr="005B40EC" w:rsidRDefault="005D23F7" w:rsidP="00B01C7C">
            <w:pPr>
              <w:pStyle w:val="TableText"/>
              <w:spacing w:before="40" w:after="0" w:line="230" w:lineRule="atLeast"/>
            </w:pPr>
            <w:r w:rsidRPr="005B40EC">
              <w:t>Electricity Networks Association</w:t>
            </w:r>
          </w:p>
          <w:p w14:paraId="4B284FEB" w14:textId="50251B36" w:rsidR="005D23F7" w:rsidRPr="005B40EC" w:rsidRDefault="005D23F7" w:rsidP="00B01C7C">
            <w:pPr>
              <w:pStyle w:val="TableText"/>
              <w:spacing w:before="40" w:after="0" w:line="230" w:lineRule="atLeast"/>
            </w:pPr>
            <w:r w:rsidRPr="005B40EC">
              <w:t>Employers and Manufacturers Association</w:t>
            </w:r>
          </w:p>
          <w:p w14:paraId="648EC51B" w14:textId="77777777" w:rsidR="005D23F7" w:rsidRPr="005B40EC" w:rsidRDefault="005D23F7" w:rsidP="00B01C7C">
            <w:pPr>
              <w:pStyle w:val="TableText"/>
              <w:spacing w:before="40" w:after="0" w:line="230" w:lineRule="atLeast"/>
            </w:pPr>
            <w:r w:rsidRPr="005B40EC">
              <w:t>EY</w:t>
            </w:r>
          </w:p>
          <w:p w14:paraId="542C9BBC" w14:textId="77777777" w:rsidR="005D23F7" w:rsidRPr="005B40EC" w:rsidRDefault="005D23F7" w:rsidP="00B01C7C">
            <w:pPr>
              <w:pStyle w:val="TableText"/>
              <w:spacing w:before="40" w:after="0" w:line="230" w:lineRule="atLeast"/>
            </w:pPr>
            <w:r w:rsidRPr="005B40EC">
              <w:t>GHC Consulting Ltd</w:t>
            </w:r>
          </w:p>
          <w:p w14:paraId="4E5F6FF6" w14:textId="77777777" w:rsidR="005D23F7" w:rsidRPr="005B40EC" w:rsidRDefault="005D23F7" w:rsidP="00B01C7C">
            <w:pPr>
              <w:pStyle w:val="TableText"/>
              <w:spacing w:before="40" w:after="0" w:line="230" w:lineRule="atLeast"/>
            </w:pPr>
            <w:r w:rsidRPr="005B40EC">
              <w:t>IAG</w:t>
            </w:r>
          </w:p>
          <w:p w14:paraId="3E570317" w14:textId="0AE12359" w:rsidR="005D23F7" w:rsidRPr="005B40EC" w:rsidRDefault="005D23F7" w:rsidP="00B01C7C">
            <w:pPr>
              <w:pStyle w:val="TableText"/>
              <w:spacing w:before="40" w:after="0" w:line="230" w:lineRule="atLeast"/>
            </w:pPr>
            <w:r w:rsidRPr="005B40EC">
              <w:t xml:space="preserve">Infrastructure </w:t>
            </w:r>
            <w:r w:rsidR="00486B71">
              <w:t>New Zealand</w:t>
            </w:r>
          </w:p>
          <w:p w14:paraId="2B1E5137" w14:textId="77777777" w:rsidR="005D23F7" w:rsidRPr="005B40EC" w:rsidRDefault="005D23F7" w:rsidP="00B01C7C">
            <w:pPr>
              <w:pStyle w:val="TableText"/>
              <w:spacing w:before="40" w:after="0" w:line="230" w:lineRule="atLeast"/>
            </w:pPr>
            <w:r w:rsidRPr="005B40EC">
              <w:t>Institute of Directors</w:t>
            </w:r>
          </w:p>
          <w:p w14:paraId="451E65E0" w14:textId="77777777" w:rsidR="005D23F7" w:rsidRPr="005B40EC" w:rsidRDefault="005D23F7" w:rsidP="00B01C7C">
            <w:pPr>
              <w:pStyle w:val="TableText"/>
              <w:spacing w:before="40" w:after="0" w:line="230" w:lineRule="atLeast"/>
            </w:pPr>
            <w:r w:rsidRPr="005B40EC">
              <w:t>Jacana Consulting</w:t>
            </w:r>
          </w:p>
          <w:p w14:paraId="3A371360" w14:textId="77777777" w:rsidR="005D23F7" w:rsidRPr="005B40EC" w:rsidRDefault="005D23F7" w:rsidP="00B01C7C">
            <w:pPr>
              <w:pStyle w:val="TableText"/>
              <w:spacing w:before="40" w:after="0" w:line="230" w:lineRule="atLeast"/>
            </w:pPr>
            <w:r w:rsidRPr="005B40EC">
              <w:t>Kiwibank</w:t>
            </w:r>
          </w:p>
          <w:p w14:paraId="6DEF0AE9" w14:textId="77777777" w:rsidR="005D23F7" w:rsidRPr="005B40EC" w:rsidRDefault="005D23F7" w:rsidP="00B01C7C">
            <w:pPr>
              <w:pStyle w:val="TableText"/>
              <w:spacing w:before="40" w:after="0" w:line="230" w:lineRule="atLeast"/>
            </w:pPr>
            <w:r w:rsidRPr="005B40EC">
              <w:t>KiwiRail</w:t>
            </w:r>
          </w:p>
          <w:p w14:paraId="06827FF7" w14:textId="77777777" w:rsidR="005D23F7" w:rsidRPr="005B40EC" w:rsidRDefault="005D23F7" w:rsidP="00B01C7C">
            <w:pPr>
              <w:pStyle w:val="TableText"/>
              <w:spacing w:before="40" w:after="0" w:line="230" w:lineRule="atLeast"/>
            </w:pPr>
            <w:r w:rsidRPr="005B40EC">
              <w:t>KPMG</w:t>
            </w:r>
          </w:p>
          <w:p w14:paraId="5773C8D2" w14:textId="77777777" w:rsidR="005D23F7" w:rsidRPr="005B40EC" w:rsidRDefault="005D23F7" w:rsidP="00B01C7C">
            <w:pPr>
              <w:pStyle w:val="TableText"/>
              <w:spacing w:before="40" w:after="0" w:line="230" w:lineRule="atLeast"/>
            </w:pPr>
            <w:r w:rsidRPr="005B40EC">
              <w:t>LWCM</w:t>
            </w:r>
          </w:p>
          <w:p w14:paraId="0FEC12EF" w14:textId="77777777" w:rsidR="005D23F7" w:rsidRPr="005B40EC" w:rsidRDefault="005D23F7" w:rsidP="00B01C7C">
            <w:pPr>
              <w:pStyle w:val="TableText"/>
              <w:spacing w:before="40" w:after="0" w:line="230" w:lineRule="atLeast"/>
            </w:pPr>
            <w:r w:rsidRPr="005B40EC">
              <w:t>Lyttelton Port</w:t>
            </w:r>
          </w:p>
          <w:p w14:paraId="6E9F0ADA" w14:textId="77777777" w:rsidR="005D23F7" w:rsidRPr="005B40EC" w:rsidRDefault="005D23F7" w:rsidP="00B01C7C">
            <w:pPr>
              <w:pStyle w:val="TableText"/>
              <w:spacing w:before="40" w:after="0" w:line="230" w:lineRule="atLeast"/>
            </w:pPr>
            <w:r w:rsidRPr="005B40EC">
              <w:t>Major Electricity Users Group</w:t>
            </w:r>
          </w:p>
          <w:p w14:paraId="66703797" w14:textId="77777777" w:rsidR="005D23F7" w:rsidRPr="005B40EC" w:rsidRDefault="005D23F7" w:rsidP="00B01C7C">
            <w:pPr>
              <w:pStyle w:val="TableText"/>
              <w:spacing w:before="40" w:after="0" w:line="230" w:lineRule="atLeast"/>
            </w:pPr>
            <w:r w:rsidRPr="005B40EC">
              <w:t>Meridian Energy</w:t>
            </w:r>
          </w:p>
          <w:p w14:paraId="7A11995B" w14:textId="77777777" w:rsidR="005D23F7" w:rsidRPr="005B40EC" w:rsidRDefault="005D23F7" w:rsidP="00B01C7C">
            <w:pPr>
              <w:pStyle w:val="TableText"/>
              <w:spacing w:before="40" w:after="0" w:line="230" w:lineRule="atLeast"/>
            </w:pPr>
            <w:r w:rsidRPr="005B40EC">
              <w:t>Nelson Airport</w:t>
            </w:r>
          </w:p>
          <w:p w14:paraId="631998B1" w14:textId="77777777" w:rsidR="005D23F7" w:rsidRPr="005B40EC" w:rsidRDefault="005D23F7" w:rsidP="00B01C7C">
            <w:pPr>
              <w:pStyle w:val="TableText"/>
              <w:spacing w:before="40" w:line="230" w:lineRule="atLeast"/>
            </w:pPr>
            <w:r w:rsidRPr="005B40EC">
              <w:t>New Zealand Airports Association</w:t>
            </w:r>
          </w:p>
        </w:tc>
        <w:tc>
          <w:tcPr>
            <w:tcW w:w="2500" w:type="pct"/>
            <w:tcBorders>
              <w:top w:val="nil"/>
              <w:bottom w:val="nil"/>
            </w:tcBorders>
            <w:shd w:val="clear" w:color="auto" w:fill="auto"/>
          </w:tcPr>
          <w:p w14:paraId="662943BC" w14:textId="3D4D8CA6" w:rsidR="005D23F7" w:rsidRPr="005B40EC" w:rsidRDefault="005D23F7" w:rsidP="00B01C7C">
            <w:pPr>
              <w:pStyle w:val="TableText"/>
              <w:spacing w:before="40" w:after="0" w:line="230" w:lineRule="atLeast"/>
            </w:pPr>
            <w:r w:rsidRPr="005B40EC">
              <w:lastRenderedPageBreak/>
              <w:t xml:space="preserve">New Zealand Bankers Association </w:t>
            </w:r>
          </w:p>
          <w:p w14:paraId="58187855" w14:textId="77777777" w:rsidR="005D23F7" w:rsidRPr="005B40EC" w:rsidRDefault="005D23F7" w:rsidP="00B01C7C">
            <w:pPr>
              <w:pStyle w:val="TableText"/>
              <w:spacing w:before="40" w:after="0" w:line="230" w:lineRule="atLeast"/>
            </w:pPr>
            <w:r w:rsidRPr="005B40EC">
              <w:t>New Zealand Insurance Council</w:t>
            </w:r>
          </w:p>
          <w:p w14:paraId="3DCD4A71" w14:textId="77777777" w:rsidR="005D23F7" w:rsidRPr="005B40EC" w:rsidRDefault="005D23F7" w:rsidP="00B01C7C">
            <w:pPr>
              <w:pStyle w:val="TableText"/>
              <w:spacing w:before="40" w:after="0" w:line="230" w:lineRule="atLeast"/>
            </w:pPr>
            <w:r w:rsidRPr="005B40EC">
              <w:t>Northport</w:t>
            </w:r>
          </w:p>
          <w:p w14:paraId="07ADAAAB" w14:textId="77777777" w:rsidR="005D23F7" w:rsidRPr="005B40EC" w:rsidRDefault="005D23F7" w:rsidP="00B01C7C">
            <w:pPr>
              <w:pStyle w:val="TableText"/>
              <w:spacing w:before="40" w:after="0" w:line="230" w:lineRule="atLeast"/>
            </w:pPr>
            <w:r w:rsidRPr="005B40EC">
              <w:t>NZ Institute of Economic Research Inc</w:t>
            </w:r>
          </w:p>
          <w:p w14:paraId="2C791EE4" w14:textId="77777777" w:rsidR="005D23F7" w:rsidRPr="005B40EC" w:rsidRDefault="005D23F7" w:rsidP="00B01C7C">
            <w:pPr>
              <w:pStyle w:val="TableText"/>
              <w:spacing w:before="40" w:after="0" w:line="230" w:lineRule="atLeast"/>
            </w:pPr>
            <w:r w:rsidRPr="005B40EC">
              <w:t>Pattle Delamore Partners (PDP)</w:t>
            </w:r>
          </w:p>
          <w:p w14:paraId="3DA2D038" w14:textId="77777777" w:rsidR="005D23F7" w:rsidRPr="005B40EC" w:rsidRDefault="005D23F7" w:rsidP="00B01C7C">
            <w:pPr>
              <w:pStyle w:val="TableText"/>
              <w:spacing w:before="40" w:after="0" w:line="230" w:lineRule="atLeast"/>
            </w:pPr>
            <w:r w:rsidRPr="005B40EC">
              <w:lastRenderedPageBreak/>
              <w:t xml:space="preserve">Pepanz </w:t>
            </w:r>
          </w:p>
          <w:p w14:paraId="2A1AC172" w14:textId="77777777" w:rsidR="005D23F7" w:rsidRPr="005B40EC" w:rsidRDefault="005D23F7" w:rsidP="00B01C7C">
            <w:pPr>
              <w:pStyle w:val="TableText"/>
              <w:spacing w:before="40" w:after="0" w:line="230" w:lineRule="atLeast"/>
            </w:pPr>
            <w:r w:rsidRPr="005B40EC">
              <w:t>Port of Tauranga</w:t>
            </w:r>
          </w:p>
          <w:p w14:paraId="5F7C08BB" w14:textId="77777777" w:rsidR="005D23F7" w:rsidRPr="005B40EC" w:rsidRDefault="005D23F7" w:rsidP="00B01C7C">
            <w:pPr>
              <w:pStyle w:val="TableText"/>
              <w:spacing w:before="40" w:after="0" w:line="230" w:lineRule="atLeast"/>
            </w:pPr>
            <w:r w:rsidRPr="005B40EC">
              <w:t>Ports of Auckland</w:t>
            </w:r>
          </w:p>
          <w:p w14:paraId="0DD7B80D" w14:textId="49113BC5" w:rsidR="005D23F7" w:rsidRPr="005B40EC" w:rsidRDefault="005D23F7" w:rsidP="00B01C7C">
            <w:pPr>
              <w:pStyle w:val="TableText"/>
              <w:spacing w:before="40" w:after="0" w:line="230" w:lineRule="atLeast"/>
            </w:pPr>
            <w:r w:rsidRPr="005B40EC">
              <w:t xml:space="preserve">Property Council </w:t>
            </w:r>
            <w:r w:rsidR="00493BCA">
              <w:t>New Zealand</w:t>
            </w:r>
          </w:p>
          <w:p w14:paraId="27BC8757" w14:textId="77777777" w:rsidR="005D23F7" w:rsidRPr="005B40EC" w:rsidRDefault="005D23F7" w:rsidP="00B01C7C">
            <w:pPr>
              <w:pStyle w:val="TableText"/>
              <w:spacing w:before="40" w:after="0" w:line="230" w:lineRule="atLeast"/>
            </w:pPr>
            <w:r w:rsidRPr="005B40EC">
              <w:t>Queenstown Airport</w:t>
            </w:r>
          </w:p>
          <w:p w14:paraId="06A0EC6D" w14:textId="77777777" w:rsidR="005D23F7" w:rsidRPr="005B40EC" w:rsidRDefault="005D23F7" w:rsidP="00B01C7C">
            <w:pPr>
              <w:pStyle w:val="TableText"/>
              <w:spacing w:before="40" w:after="0" w:line="230" w:lineRule="atLeast"/>
            </w:pPr>
            <w:r w:rsidRPr="005B40EC">
              <w:t>Rabobank</w:t>
            </w:r>
          </w:p>
          <w:p w14:paraId="669AC093" w14:textId="77777777" w:rsidR="005D23F7" w:rsidRPr="005B40EC" w:rsidRDefault="005D23F7" w:rsidP="00B01C7C">
            <w:pPr>
              <w:pStyle w:val="TableText"/>
              <w:spacing w:before="40" w:after="0" w:line="230" w:lineRule="atLeast"/>
            </w:pPr>
            <w:r w:rsidRPr="005B40EC">
              <w:t>Recreation Aotearoa</w:t>
            </w:r>
          </w:p>
          <w:p w14:paraId="59DAC355" w14:textId="77777777" w:rsidR="005D23F7" w:rsidRPr="005B40EC" w:rsidRDefault="005D23F7" w:rsidP="00B01C7C">
            <w:pPr>
              <w:pStyle w:val="TableText"/>
              <w:spacing w:before="40" w:after="0" w:line="230" w:lineRule="atLeast"/>
            </w:pPr>
            <w:r w:rsidRPr="005B40EC">
              <w:t>Sanford</w:t>
            </w:r>
          </w:p>
          <w:p w14:paraId="38847E5A" w14:textId="77777777" w:rsidR="005D23F7" w:rsidRPr="005B40EC" w:rsidRDefault="005D23F7" w:rsidP="00B01C7C">
            <w:pPr>
              <w:pStyle w:val="TableText"/>
              <w:spacing w:before="40" w:after="0" w:line="230" w:lineRule="atLeast"/>
            </w:pPr>
            <w:r w:rsidRPr="005B40EC">
              <w:t>Simpson Grierson</w:t>
            </w:r>
          </w:p>
          <w:p w14:paraId="4DF020CE" w14:textId="77777777" w:rsidR="005D23F7" w:rsidRPr="005B40EC" w:rsidRDefault="005D23F7" w:rsidP="00B01C7C">
            <w:pPr>
              <w:pStyle w:val="TableText"/>
              <w:spacing w:before="40" w:after="0" w:line="230" w:lineRule="atLeast"/>
            </w:pPr>
            <w:r w:rsidRPr="005B40EC">
              <w:t>Straterra</w:t>
            </w:r>
          </w:p>
          <w:p w14:paraId="10275E13" w14:textId="77777777" w:rsidR="005D23F7" w:rsidRPr="005B40EC" w:rsidRDefault="005D23F7" w:rsidP="00B01C7C">
            <w:pPr>
              <w:pStyle w:val="TableText"/>
              <w:spacing w:before="40" w:after="0" w:line="230" w:lineRule="atLeast"/>
            </w:pPr>
            <w:r w:rsidRPr="005B40EC">
              <w:t>Sustainable Business Council</w:t>
            </w:r>
          </w:p>
          <w:p w14:paraId="5150AD35" w14:textId="77777777" w:rsidR="005D23F7" w:rsidRPr="005B40EC" w:rsidRDefault="005D23F7" w:rsidP="00B01C7C">
            <w:pPr>
              <w:pStyle w:val="TableText"/>
              <w:spacing w:before="40" w:after="0" w:line="230" w:lineRule="atLeast"/>
            </w:pPr>
            <w:r w:rsidRPr="005B40EC">
              <w:t>Sustainable Business Network</w:t>
            </w:r>
          </w:p>
          <w:p w14:paraId="1F11ADD6" w14:textId="77777777" w:rsidR="005D23F7" w:rsidRPr="005B40EC" w:rsidRDefault="005D23F7" w:rsidP="00B01C7C">
            <w:pPr>
              <w:pStyle w:val="TableText"/>
              <w:spacing w:before="40" w:after="0" w:line="230" w:lineRule="atLeast"/>
            </w:pPr>
            <w:r w:rsidRPr="005B40EC">
              <w:t>The Aotearoa Circle</w:t>
            </w:r>
          </w:p>
          <w:p w14:paraId="0446AD95" w14:textId="77777777" w:rsidR="005D23F7" w:rsidRPr="005B40EC" w:rsidRDefault="005D23F7" w:rsidP="00B01C7C">
            <w:pPr>
              <w:pStyle w:val="TableText"/>
              <w:spacing w:before="40" w:after="0" w:line="230" w:lineRule="atLeast"/>
            </w:pPr>
            <w:r w:rsidRPr="005B40EC">
              <w:t>Tourism Industry Aotearoa</w:t>
            </w:r>
          </w:p>
          <w:p w14:paraId="267DE181" w14:textId="77777777" w:rsidR="005D23F7" w:rsidRPr="005B40EC" w:rsidRDefault="005D23F7" w:rsidP="00B01C7C">
            <w:pPr>
              <w:pStyle w:val="TableText"/>
              <w:spacing w:before="40" w:after="0" w:line="230" w:lineRule="atLeast"/>
            </w:pPr>
            <w:r w:rsidRPr="005B40EC">
              <w:t>Traverse Environmental</w:t>
            </w:r>
          </w:p>
          <w:p w14:paraId="4640EA6E" w14:textId="77777777" w:rsidR="005D23F7" w:rsidRPr="005B40EC" w:rsidRDefault="005D23F7" w:rsidP="00B01C7C">
            <w:pPr>
              <w:pStyle w:val="TableText"/>
              <w:spacing w:before="40" w:after="0" w:line="230" w:lineRule="atLeast"/>
            </w:pPr>
            <w:r w:rsidRPr="005B40EC">
              <w:t>TSB</w:t>
            </w:r>
          </w:p>
          <w:p w14:paraId="436E4C43" w14:textId="77777777" w:rsidR="005D23F7" w:rsidRPr="005B40EC" w:rsidRDefault="005D23F7" w:rsidP="00B01C7C">
            <w:pPr>
              <w:pStyle w:val="TableText"/>
              <w:spacing w:before="40" w:after="0" w:line="230" w:lineRule="atLeast"/>
            </w:pPr>
            <w:r w:rsidRPr="005B40EC">
              <w:t>Vector</w:t>
            </w:r>
          </w:p>
          <w:p w14:paraId="7970790F" w14:textId="07593534" w:rsidR="005D23F7" w:rsidRPr="005B40EC" w:rsidRDefault="005D23F7" w:rsidP="00B01C7C">
            <w:pPr>
              <w:pStyle w:val="TableText"/>
              <w:spacing w:before="40" w:after="0" w:line="230" w:lineRule="atLeast"/>
            </w:pPr>
            <w:r w:rsidRPr="005B40EC">
              <w:t>Waste Management Institute of N</w:t>
            </w:r>
            <w:r w:rsidR="00493BCA">
              <w:t>ew Zealand</w:t>
            </w:r>
          </w:p>
          <w:p w14:paraId="6AE122AB" w14:textId="77777777" w:rsidR="005D23F7" w:rsidRPr="005B40EC" w:rsidRDefault="005D23F7" w:rsidP="00B01C7C">
            <w:pPr>
              <w:pStyle w:val="TableText"/>
              <w:spacing w:before="40" w:after="0" w:line="230" w:lineRule="atLeast"/>
            </w:pPr>
            <w:r w:rsidRPr="005B40EC">
              <w:t>Watercare Services Limited</w:t>
            </w:r>
          </w:p>
          <w:p w14:paraId="59FBDB74" w14:textId="77777777" w:rsidR="005D23F7" w:rsidRPr="005B40EC" w:rsidRDefault="005D23F7" w:rsidP="00B01C7C">
            <w:pPr>
              <w:pStyle w:val="TableText"/>
              <w:spacing w:before="40" w:after="0" w:line="230" w:lineRule="atLeast"/>
            </w:pPr>
            <w:r w:rsidRPr="005B40EC">
              <w:t>Wellington Water</w:t>
            </w:r>
          </w:p>
          <w:p w14:paraId="2E1EC92F" w14:textId="77777777" w:rsidR="005D23F7" w:rsidRPr="005B40EC" w:rsidRDefault="005D23F7" w:rsidP="00B01C7C">
            <w:pPr>
              <w:pStyle w:val="TableText"/>
              <w:spacing w:before="40" w:after="0" w:line="230" w:lineRule="atLeast"/>
            </w:pPr>
            <w:r w:rsidRPr="005B40EC">
              <w:t>Westpac</w:t>
            </w:r>
          </w:p>
          <w:p w14:paraId="4797FA63" w14:textId="6E18D3F5" w:rsidR="005D23F7" w:rsidRPr="005B40EC" w:rsidRDefault="005D23F7" w:rsidP="00B01C7C">
            <w:pPr>
              <w:pStyle w:val="TableText"/>
              <w:spacing w:before="40" w:line="230" w:lineRule="atLeast"/>
            </w:pPr>
            <w:r w:rsidRPr="005B40EC">
              <w:t>Wollemi Consulting limited</w:t>
            </w:r>
          </w:p>
        </w:tc>
      </w:tr>
      <w:tr w:rsidR="00913AA6" w:rsidRPr="005B40EC" w14:paraId="6F5D6AC6" w14:textId="77777777" w:rsidTr="007A6B10">
        <w:tc>
          <w:tcPr>
            <w:tcW w:w="5000" w:type="pct"/>
            <w:gridSpan w:val="2"/>
            <w:tcBorders>
              <w:top w:val="nil"/>
              <w:bottom w:val="nil"/>
            </w:tcBorders>
            <w:shd w:val="clear" w:color="auto" w:fill="D2DDE2" w:themeFill="accent3"/>
            <w:tcMar>
              <w:top w:w="0" w:type="dxa"/>
            </w:tcMar>
            <w:vAlign w:val="center"/>
          </w:tcPr>
          <w:p w14:paraId="0794B7D7" w14:textId="03A5DE04" w:rsidR="00913AA6" w:rsidRPr="005B40EC" w:rsidRDefault="00493BCA" w:rsidP="00B01C7C">
            <w:pPr>
              <w:pStyle w:val="TableTextBold"/>
              <w:spacing w:line="230" w:lineRule="atLeast"/>
            </w:pPr>
            <w:r>
              <w:lastRenderedPageBreak/>
              <w:t>Other organisations</w:t>
            </w:r>
          </w:p>
        </w:tc>
      </w:tr>
      <w:tr w:rsidR="009B00C4" w:rsidRPr="005B40EC" w14:paraId="4C7842E4" w14:textId="77777777" w:rsidTr="007A6B10">
        <w:trPr>
          <w:trHeight w:val="227"/>
        </w:trPr>
        <w:tc>
          <w:tcPr>
            <w:tcW w:w="2500" w:type="pct"/>
            <w:tcBorders>
              <w:top w:val="nil"/>
              <w:bottom w:val="single" w:sz="4" w:space="0" w:color="1C556C" w:themeColor="accent1"/>
            </w:tcBorders>
            <w:shd w:val="clear" w:color="auto" w:fill="auto"/>
            <w:tcMar>
              <w:top w:w="0" w:type="dxa"/>
            </w:tcMar>
          </w:tcPr>
          <w:p w14:paraId="4BE02BC8" w14:textId="0245B892" w:rsidR="00493BCA" w:rsidRPr="00CE7ED9" w:rsidRDefault="00493BCA" w:rsidP="00B01C7C">
            <w:pPr>
              <w:pStyle w:val="TableText"/>
              <w:spacing w:before="40" w:after="0" w:line="230" w:lineRule="atLeast"/>
              <w:rPr>
                <w:b/>
              </w:rPr>
            </w:pPr>
            <w:r w:rsidRPr="00CE7ED9">
              <w:rPr>
                <w:b/>
              </w:rPr>
              <w:t>Iwi organisations</w:t>
            </w:r>
          </w:p>
          <w:p w14:paraId="27B33AF7" w14:textId="38183FB0" w:rsidR="009B00C4" w:rsidRPr="005B40EC" w:rsidRDefault="009B00C4" w:rsidP="00B01C7C">
            <w:pPr>
              <w:pStyle w:val="TableText"/>
              <w:spacing w:before="40" w:after="0" w:line="230" w:lineRule="atLeast"/>
            </w:pPr>
            <w:r w:rsidRPr="005B40EC">
              <w:t xml:space="preserve">Federation of Māori Authorities </w:t>
            </w:r>
          </w:p>
          <w:p w14:paraId="21E9D20D" w14:textId="77777777" w:rsidR="009B00C4" w:rsidRPr="005B40EC" w:rsidRDefault="009B00C4" w:rsidP="00B01C7C">
            <w:pPr>
              <w:pStyle w:val="TableText"/>
              <w:spacing w:before="40" w:after="0" w:line="230" w:lineRule="atLeast"/>
            </w:pPr>
            <w:r w:rsidRPr="005B40EC">
              <w:t>Independent Māori Statutory Board</w:t>
            </w:r>
          </w:p>
          <w:p w14:paraId="222BF8AB" w14:textId="77777777" w:rsidR="009B00C4" w:rsidRPr="005B40EC" w:rsidRDefault="009B00C4" w:rsidP="00B01C7C">
            <w:pPr>
              <w:pStyle w:val="TableText"/>
              <w:spacing w:before="40" w:after="0" w:line="230" w:lineRule="atLeast"/>
            </w:pPr>
            <w:r w:rsidRPr="005B40EC">
              <w:t>Individuals (Māori expertise)</w:t>
            </w:r>
          </w:p>
          <w:p w14:paraId="0BEF7797" w14:textId="77777777" w:rsidR="009B00C4" w:rsidRPr="005B40EC" w:rsidRDefault="009B00C4" w:rsidP="00B01C7C">
            <w:pPr>
              <w:pStyle w:val="TableText"/>
              <w:spacing w:before="40" w:after="0" w:line="230" w:lineRule="atLeast"/>
            </w:pPr>
            <w:r w:rsidRPr="005B40EC">
              <w:t>Iwi Chairs Forum</w:t>
            </w:r>
          </w:p>
          <w:p w14:paraId="7CCB898F" w14:textId="77777777" w:rsidR="009B00C4" w:rsidRPr="005B40EC" w:rsidRDefault="009B00C4" w:rsidP="00B01C7C">
            <w:pPr>
              <w:pStyle w:val="TableText"/>
              <w:spacing w:before="40" w:after="0" w:line="230" w:lineRule="atLeast"/>
            </w:pPr>
            <w:r w:rsidRPr="005B40EC">
              <w:t>JS Consulting</w:t>
            </w:r>
          </w:p>
          <w:p w14:paraId="27692B83" w14:textId="518CE6A4" w:rsidR="009B00C4" w:rsidRPr="005B40EC" w:rsidRDefault="009B00C4" w:rsidP="00B01C7C">
            <w:pPr>
              <w:pStyle w:val="TableText"/>
              <w:spacing w:before="40" w:after="0" w:line="230" w:lineRule="atLeast"/>
            </w:pPr>
            <w:r w:rsidRPr="005B40EC">
              <w:t>Kaitiaki o Ng</w:t>
            </w:r>
            <w:r w:rsidR="00493BCA">
              <w:rPr>
                <w:rFonts w:cs="Calibri"/>
              </w:rPr>
              <w:t>ā</w:t>
            </w:r>
            <w:r w:rsidRPr="005B40EC">
              <w:t xml:space="preserve">ti Paoa </w:t>
            </w:r>
            <w:r w:rsidR="00493BCA">
              <w:t>I</w:t>
            </w:r>
            <w:r w:rsidRPr="005B40EC">
              <w:t>wi Trust</w:t>
            </w:r>
          </w:p>
          <w:p w14:paraId="08B6FE1C" w14:textId="77777777" w:rsidR="009B00C4" w:rsidRPr="005B40EC" w:rsidRDefault="009B00C4" w:rsidP="00B01C7C">
            <w:pPr>
              <w:pStyle w:val="TableText"/>
              <w:spacing w:before="40" w:after="0" w:line="230" w:lineRule="atLeast"/>
            </w:pPr>
            <w:r w:rsidRPr="005B40EC">
              <w:t>Kurae Moana (fisheries and aquaculture)</w:t>
            </w:r>
          </w:p>
          <w:p w14:paraId="6F3F3084" w14:textId="77777777" w:rsidR="009B00C4" w:rsidRPr="005B40EC" w:rsidRDefault="009B00C4" w:rsidP="00B01C7C">
            <w:pPr>
              <w:pStyle w:val="TableText"/>
              <w:spacing w:before="40" w:after="0" w:line="230" w:lineRule="atLeast"/>
            </w:pPr>
            <w:r w:rsidRPr="005B40EC">
              <w:t>Luff Consultants</w:t>
            </w:r>
          </w:p>
          <w:p w14:paraId="66352891" w14:textId="3E35C9F0" w:rsidR="009B00C4" w:rsidRPr="005B40EC" w:rsidRDefault="009B00C4" w:rsidP="00B01C7C">
            <w:pPr>
              <w:pStyle w:val="TableText"/>
              <w:spacing w:before="40" w:after="0" w:line="230" w:lineRule="atLeast"/>
            </w:pPr>
            <w:r w:rsidRPr="005B40EC">
              <w:t>Manukau Urban Māori Authority</w:t>
            </w:r>
          </w:p>
          <w:p w14:paraId="2062432E" w14:textId="77777777" w:rsidR="009B00C4" w:rsidRPr="005B40EC" w:rsidRDefault="009B00C4" w:rsidP="00B01C7C">
            <w:pPr>
              <w:pStyle w:val="TableText"/>
              <w:spacing w:before="40" w:after="0" w:line="230" w:lineRule="atLeast"/>
            </w:pPr>
            <w:r w:rsidRPr="005B40EC">
              <w:t>Māori Carbon Foundation / Collective</w:t>
            </w:r>
          </w:p>
          <w:p w14:paraId="74B802E4" w14:textId="77777777" w:rsidR="009B00C4" w:rsidRPr="005B40EC" w:rsidRDefault="009B00C4" w:rsidP="00B01C7C">
            <w:pPr>
              <w:pStyle w:val="TableText"/>
              <w:spacing w:before="40" w:after="0" w:line="230" w:lineRule="atLeast"/>
            </w:pPr>
            <w:r w:rsidRPr="005B40EC">
              <w:t>Māori Women’s Welfare League</w:t>
            </w:r>
          </w:p>
          <w:p w14:paraId="5253D419" w14:textId="77777777" w:rsidR="009B00C4" w:rsidRPr="005B40EC" w:rsidRDefault="009B00C4" w:rsidP="00B01C7C">
            <w:pPr>
              <w:pStyle w:val="TableText"/>
              <w:spacing w:before="40" w:after="0" w:line="230" w:lineRule="atLeast"/>
            </w:pPr>
            <w:r w:rsidRPr="005B40EC">
              <w:t>Maungaharuru-Tangitū Trust</w:t>
            </w:r>
          </w:p>
          <w:p w14:paraId="74FC92E1" w14:textId="77777777" w:rsidR="009B00C4" w:rsidRPr="005B40EC" w:rsidRDefault="009B00C4" w:rsidP="00B01C7C">
            <w:pPr>
              <w:pStyle w:val="TableText"/>
              <w:spacing w:before="40" w:after="0" w:line="230" w:lineRule="atLeast"/>
            </w:pPr>
            <w:r w:rsidRPr="005B40EC">
              <w:t xml:space="preserve">National Hauora Coalition </w:t>
            </w:r>
          </w:p>
          <w:p w14:paraId="189BACBD" w14:textId="77777777" w:rsidR="009B00C4" w:rsidRPr="005B40EC" w:rsidRDefault="009B00C4" w:rsidP="00B01C7C">
            <w:pPr>
              <w:pStyle w:val="TableText"/>
              <w:spacing w:before="40" w:after="0" w:line="230" w:lineRule="atLeast"/>
            </w:pPr>
            <w:r w:rsidRPr="005B40EC">
              <w:t xml:space="preserve">National Māori Climate Network </w:t>
            </w:r>
          </w:p>
          <w:p w14:paraId="273E90D3" w14:textId="77777777" w:rsidR="009B00C4" w:rsidRPr="005B40EC" w:rsidRDefault="009B00C4" w:rsidP="00B01C7C">
            <w:pPr>
              <w:pStyle w:val="TableText"/>
              <w:spacing w:before="40" w:after="0" w:line="230" w:lineRule="atLeast"/>
            </w:pPr>
            <w:r w:rsidRPr="005B40EC">
              <w:t>New Zealand Māori Council</w:t>
            </w:r>
          </w:p>
          <w:p w14:paraId="2646B10A" w14:textId="77777777" w:rsidR="009B00C4" w:rsidRPr="005B40EC" w:rsidRDefault="009B00C4" w:rsidP="00B01C7C">
            <w:pPr>
              <w:pStyle w:val="TableText"/>
              <w:spacing w:before="40" w:after="0" w:line="230" w:lineRule="atLeast"/>
            </w:pPr>
            <w:r w:rsidRPr="005B40EC">
              <w:t>Ngā Maunga Whakahii o Kaipara Development Trust</w:t>
            </w:r>
          </w:p>
          <w:p w14:paraId="0102A3EE" w14:textId="77777777" w:rsidR="009B00C4" w:rsidRPr="005B40EC" w:rsidRDefault="009B00C4" w:rsidP="00B01C7C">
            <w:pPr>
              <w:pStyle w:val="TableText"/>
              <w:spacing w:before="40" w:after="0" w:line="230" w:lineRule="atLeast"/>
            </w:pPr>
            <w:r w:rsidRPr="005B40EC">
              <w:t>Ngā Maunga Whakahii o Kaipara Whenua Hoko Holdings Ltd</w:t>
            </w:r>
          </w:p>
          <w:p w14:paraId="5D578606" w14:textId="77777777" w:rsidR="009B00C4" w:rsidRPr="005B40EC" w:rsidRDefault="009B00C4" w:rsidP="00B01C7C">
            <w:pPr>
              <w:pStyle w:val="TableText"/>
              <w:spacing w:before="40" w:after="0" w:line="230" w:lineRule="atLeast"/>
            </w:pPr>
            <w:r w:rsidRPr="005B40EC">
              <w:t>Ngā Puhi Iwi (WAI2523)</w:t>
            </w:r>
          </w:p>
          <w:p w14:paraId="01BD869A" w14:textId="77777777" w:rsidR="009B00C4" w:rsidRPr="005B40EC" w:rsidRDefault="009B00C4" w:rsidP="00B01C7C">
            <w:pPr>
              <w:pStyle w:val="TableText"/>
              <w:spacing w:before="40" w:after="0" w:line="230" w:lineRule="atLeast"/>
            </w:pPr>
            <w:r w:rsidRPr="005B40EC">
              <w:t>Ngaa Rauru Kiitahi</w:t>
            </w:r>
          </w:p>
          <w:p w14:paraId="5EE16888" w14:textId="77777777" w:rsidR="009B00C4" w:rsidRPr="005B40EC" w:rsidRDefault="009B00C4" w:rsidP="00B01C7C">
            <w:pPr>
              <w:pStyle w:val="TableText"/>
              <w:spacing w:before="40" w:after="0" w:line="230" w:lineRule="atLeast"/>
            </w:pPr>
            <w:r w:rsidRPr="005B40EC">
              <w:t>Ngaati Makirangi</w:t>
            </w:r>
          </w:p>
          <w:p w14:paraId="08741828" w14:textId="77777777" w:rsidR="009B00C4" w:rsidRPr="005B40EC" w:rsidRDefault="009B00C4" w:rsidP="00B01C7C">
            <w:pPr>
              <w:pStyle w:val="TableText"/>
              <w:spacing w:before="40" w:after="0" w:line="230" w:lineRule="atLeast"/>
            </w:pPr>
            <w:r w:rsidRPr="005B40EC">
              <w:t>Ngāi Tahu</w:t>
            </w:r>
          </w:p>
          <w:p w14:paraId="68CF6C7A" w14:textId="77777777" w:rsidR="009B00C4" w:rsidRPr="005B40EC" w:rsidRDefault="009B00C4" w:rsidP="00B01C7C">
            <w:pPr>
              <w:pStyle w:val="TableText"/>
              <w:spacing w:before="40" w:after="0" w:line="230" w:lineRule="atLeast"/>
            </w:pPr>
            <w:r w:rsidRPr="005B40EC">
              <w:t xml:space="preserve">Ngāti Paoa Iwi Trust </w:t>
            </w:r>
          </w:p>
          <w:p w14:paraId="78817C21" w14:textId="77777777" w:rsidR="009B00C4" w:rsidRPr="005B40EC" w:rsidRDefault="009B00C4" w:rsidP="00B01C7C">
            <w:pPr>
              <w:pStyle w:val="TableText"/>
              <w:spacing w:before="40" w:after="0" w:line="230" w:lineRule="atLeast"/>
            </w:pPr>
            <w:r w:rsidRPr="005B40EC">
              <w:t>Ngāti Rangi</w:t>
            </w:r>
          </w:p>
          <w:p w14:paraId="1A83E8D7" w14:textId="70D31394" w:rsidR="009B00C4" w:rsidRPr="005B40EC" w:rsidRDefault="009B00C4" w:rsidP="00B01C7C">
            <w:pPr>
              <w:pStyle w:val="TableText"/>
              <w:spacing w:before="40" w:after="0" w:line="230" w:lineRule="atLeast"/>
            </w:pPr>
            <w:r w:rsidRPr="005B40EC">
              <w:t>Ng</w:t>
            </w:r>
            <w:r w:rsidR="00493BCA">
              <w:rPr>
                <w:rFonts w:cs="Calibri"/>
              </w:rPr>
              <w:t>ā</w:t>
            </w:r>
            <w:r w:rsidRPr="005B40EC">
              <w:t>ti Te Ata</w:t>
            </w:r>
          </w:p>
          <w:p w14:paraId="5188347B" w14:textId="77777777" w:rsidR="009B00C4" w:rsidRPr="005B40EC" w:rsidRDefault="009B00C4" w:rsidP="00B01C7C">
            <w:pPr>
              <w:pStyle w:val="TableText"/>
              <w:spacing w:before="40" w:after="0" w:line="230" w:lineRule="atLeast"/>
            </w:pPr>
            <w:r w:rsidRPr="005B40EC">
              <w:t>Ngāti Whātua Ōrakei</w:t>
            </w:r>
          </w:p>
          <w:p w14:paraId="71522B3F" w14:textId="77777777" w:rsidR="009B00C4" w:rsidRPr="005B40EC" w:rsidRDefault="009B00C4" w:rsidP="00B01C7C">
            <w:pPr>
              <w:pStyle w:val="TableText"/>
              <w:spacing w:before="40" w:after="0" w:line="230" w:lineRule="atLeast"/>
            </w:pPr>
            <w:r w:rsidRPr="005B40EC">
              <w:t>Office of the Māori Climate Commission</w:t>
            </w:r>
          </w:p>
          <w:p w14:paraId="7852048C" w14:textId="77777777" w:rsidR="009B00C4" w:rsidRPr="005B40EC" w:rsidRDefault="009B00C4" w:rsidP="00B01C7C">
            <w:pPr>
              <w:pStyle w:val="TableText"/>
              <w:spacing w:before="40" w:after="0" w:line="230" w:lineRule="atLeast"/>
            </w:pPr>
            <w:r w:rsidRPr="005B40EC">
              <w:lastRenderedPageBreak/>
              <w:t>Ora Taio</w:t>
            </w:r>
          </w:p>
          <w:p w14:paraId="7D856804" w14:textId="77777777" w:rsidR="009B00C4" w:rsidRPr="005B40EC" w:rsidRDefault="009B00C4" w:rsidP="00B01C7C">
            <w:pPr>
              <w:pStyle w:val="TableText"/>
              <w:spacing w:before="40" w:after="0" w:line="230" w:lineRule="atLeast"/>
            </w:pPr>
            <w:r w:rsidRPr="005B40EC">
              <w:t>Taiao Practitioners’ Forum (Te Tau Ihu)</w:t>
            </w:r>
          </w:p>
          <w:p w14:paraId="01F456B8" w14:textId="77777777" w:rsidR="009B00C4" w:rsidRPr="00CE7ED9" w:rsidRDefault="009B00C4" w:rsidP="00B01C7C">
            <w:pPr>
              <w:pStyle w:val="TableText"/>
              <w:spacing w:before="40" w:after="0" w:line="230" w:lineRule="atLeast"/>
            </w:pPr>
            <w:r w:rsidRPr="00CE7ED9">
              <w:t>Te Arawa</w:t>
            </w:r>
          </w:p>
          <w:p w14:paraId="15AF8EAA" w14:textId="77777777" w:rsidR="009B00C4" w:rsidRPr="00CE7ED9" w:rsidRDefault="009B00C4" w:rsidP="00B01C7C">
            <w:pPr>
              <w:pStyle w:val="TableText"/>
              <w:spacing w:before="40" w:after="0" w:line="230" w:lineRule="atLeast"/>
            </w:pPr>
            <w:r w:rsidRPr="00CE7ED9">
              <w:t>Te Ātiawa Manawhenua Ki Te Tau Ihu Trust</w:t>
            </w:r>
          </w:p>
          <w:p w14:paraId="0B00BD9F" w14:textId="77777777" w:rsidR="009B00C4" w:rsidRPr="00CE7ED9" w:rsidRDefault="009B00C4" w:rsidP="00B01C7C">
            <w:pPr>
              <w:pStyle w:val="TableText"/>
              <w:spacing w:before="40" w:after="0" w:line="230" w:lineRule="atLeast"/>
            </w:pPr>
            <w:r w:rsidRPr="00CE7ED9">
              <w:t>Te Ohu Kaimoana</w:t>
            </w:r>
          </w:p>
          <w:p w14:paraId="3677272C" w14:textId="77777777" w:rsidR="009B00C4" w:rsidRPr="00CE7ED9" w:rsidRDefault="009B00C4" w:rsidP="00B01C7C">
            <w:pPr>
              <w:pStyle w:val="TableText"/>
              <w:spacing w:before="40" w:after="0" w:line="230" w:lineRule="atLeast"/>
            </w:pPr>
            <w:r w:rsidRPr="00CE7ED9">
              <w:t>Te Rūnanga o Ngāti Kuia Trust</w:t>
            </w:r>
          </w:p>
          <w:p w14:paraId="1426957C" w14:textId="77777777" w:rsidR="009B00C4" w:rsidRPr="00CE7ED9" w:rsidRDefault="009B00C4" w:rsidP="00B01C7C">
            <w:pPr>
              <w:pStyle w:val="TableText"/>
              <w:spacing w:before="40" w:after="0" w:line="230" w:lineRule="atLeast"/>
            </w:pPr>
            <w:r w:rsidRPr="00CE7ED9">
              <w:t>Te Rūnanga o Ngāti Manawa</w:t>
            </w:r>
          </w:p>
          <w:p w14:paraId="27416900" w14:textId="77777777" w:rsidR="009B00C4" w:rsidRPr="00CE7ED9" w:rsidRDefault="009B00C4" w:rsidP="00B01C7C">
            <w:pPr>
              <w:pStyle w:val="TableText"/>
              <w:spacing w:before="40" w:after="0" w:line="230" w:lineRule="atLeast"/>
            </w:pPr>
            <w:r w:rsidRPr="00CE7ED9">
              <w:t>Te Rūnanga o Ngāti Rārua</w:t>
            </w:r>
          </w:p>
          <w:p w14:paraId="1365EC43" w14:textId="77777777" w:rsidR="009B00C4" w:rsidRPr="00CE7ED9" w:rsidRDefault="009B00C4" w:rsidP="00B01C7C">
            <w:pPr>
              <w:pStyle w:val="TableText"/>
              <w:spacing w:before="40" w:after="0" w:line="230" w:lineRule="atLeast"/>
            </w:pPr>
            <w:r w:rsidRPr="00CE7ED9">
              <w:t>Te Rūnanga-Ā-Iwi-O-Ngāpuhi</w:t>
            </w:r>
          </w:p>
          <w:p w14:paraId="48256FDA" w14:textId="77777777" w:rsidR="009B00C4" w:rsidRPr="00CE7ED9" w:rsidRDefault="009B00C4" w:rsidP="00B01C7C">
            <w:pPr>
              <w:pStyle w:val="TableText"/>
              <w:spacing w:before="40" w:after="0" w:line="230" w:lineRule="atLeast"/>
            </w:pPr>
            <w:r w:rsidRPr="00CE7ED9">
              <w:t>Te Taumata (Māori International Trade)</w:t>
            </w:r>
          </w:p>
          <w:p w14:paraId="5F40C9CC" w14:textId="77777777" w:rsidR="009B00C4" w:rsidRPr="00CE7ED9" w:rsidRDefault="009B00C4" w:rsidP="00B01C7C">
            <w:pPr>
              <w:pStyle w:val="TableText"/>
              <w:spacing w:before="40" w:after="0" w:line="230" w:lineRule="atLeast"/>
            </w:pPr>
            <w:r w:rsidRPr="00CE7ED9">
              <w:t>Te Waiariki, Ngati Korora, Ngati Takapari, Ngati Hine, Ngati Kawiti</w:t>
            </w:r>
          </w:p>
          <w:p w14:paraId="538A7B83" w14:textId="77777777" w:rsidR="009B00C4" w:rsidRPr="00CE7ED9" w:rsidRDefault="009B00C4" w:rsidP="00B01C7C">
            <w:pPr>
              <w:pStyle w:val="TableText"/>
              <w:spacing w:before="40" w:after="0" w:line="230" w:lineRule="atLeast"/>
            </w:pPr>
            <w:r w:rsidRPr="00CE7ED9">
              <w:t>Te Whānau o Waipareira Trust</w:t>
            </w:r>
          </w:p>
          <w:p w14:paraId="02B139B8" w14:textId="77777777" w:rsidR="009B00C4" w:rsidRPr="005B40EC" w:rsidRDefault="009B00C4" w:rsidP="00B01C7C">
            <w:pPr>
              <w:pStyle w:val="TableText"/>
              <w:spacing w:before="40" w:after="0" w:line="230" w:lineRule="atLeast"/>
            </w:pPr>
            <w:r w:rsidRPr="005B40EC">
              <w:t>Toitangata</w:t>
            </w:r>
          </w:p>
          <w:p w14:paraId="63FFF540" w14:textId="087C74F3" w:rsidR="009B00C4" w:rsidRPr="005B40EC" w:rsidRDefault="009B00C4" w:rsidP="00B01C7C">
            <w:pPr>
              <w:pStyle w:val="TableText"/>
              <w:spacing w:before="40" w:after="0" w:line="230" w:lineRule="atLeast"/>
            </w:pPr>
            <w:r w:rsidRPr="005B40EC">
              <w:t>T</w:t>
            </w:r>
            <w:r w:rsidR="002A40F0">
              <w:rPr>
                <w:rFonts w:cs="Calibri"/>
              </w:rPr>
              <w:t>ū</w:t>
            </w:r>
            <w:r w:rsidRPr="005B40EC">
              <w:t>wharetoa Māori Trust Board</w:t>
            </w:r>
          </w:p>
          <w:p w14:paraId="6D7074F0" w14:textId="77777777" w:rsidR="009B00C4" w:rsidRPr="005B40EC" w:rsidRDefault="009B00C4" w:rsidP="00B01C7C">
            <w:pPr>
              <w:pStyle w:val="TableText"/>
              <w:spacing w:before="40" w:after="0" w:line="230" w:lineRule="atLeast"/>
            </w:pPr>
            <w:r w:rsidRPr="005B40EC">
              <w:t>Waikato-Tainui</w:t>
            </w:r>
          </w:p>
          <w:p w14:paraId="0E43001F" w14:textId="77777777" w:rsidR="009B00C4" w:rsidRPr="005B40EC" w:rsidRDefault="009B00C4" w:rsidP="00B01C7C">
            <w:pPr>
              <w:pStyle w:val="TableText"/>
              <w:spacing w:before="40" w:after="0" w:line="230" w:lineRule="atLeast"/>
            </w:pPr>
            <w:r w:rsidRPr="005B40EC">
              <w:t>Te Kapu Ō Waitaha</w:t>
            </w:r>
          </w:p>
          <w:p w14:paraId="3B684C26" w14:textId="77777777" w:rsidR="009B00C4" w:rsidRPr="005B40EC" w:rsidRDefault="009B00C4" w:rsidP="00B01C7C">
            <w:pPr>
              <w:pStyle w:val="TableText"/>
              <w:spacing w:before="40" w:after="40" w:line="230" w:lineRule="atLeast"/>
            </w:pPr>
            <w:r w:rsidRPr="005B40EC">
              <w:t>Wright Partners</w:t>
            </w:r>
          </w:p>
          <w:p w14:paraId="2B3E320F" w14:textId="77777777" w:rsidR="009B00C4" w:rsidRPr="005B40EC" w:rsidRDefault="009B00C4" w:rsidP="00B01C7C">
            <w:pPr>
              <w:pStyle w:val="TableTextBold"/>
              <w:spacing w:after="0" w:line="230" w:lineRule="atLeast"/>
            </w:pPr>
            <w:r w:rsidRPr="005B40EC">
              <w:t>Local government</w:t>
            </w:r>
          </w:p>
          <w:p w14:paraId="0C1344A4" w14:textId="77777777" w:rsidR="009B00C4" w:rsidRPr="005B40EC" w:rsidRDefault="009B00C4" w:rsidP="00B01C7C">
            <w:pPr>
              <w:pStyle w:val="TableText"/>
              <w:spacing w:before="40" w:after="0" w:line="230" w:lineRule="atLeast"/>
            </w:pPr>
            <w:r w:rsidRPr="005B40EC">
              <w:t>Ashburton District Council</w:t>
            </w:r>
          </w:p>
          <w:p w14:paraId="5A3CFD3A" w14:textId="77777777" w:rsidR="009B00C4" w:rsidRPr="005B40EC" w:rsidRDefault="009B00C4" w:rsidP="00B01C7C">
            <w:pPr>
              <w:pStyle w:val="TableText"/>
              <w:spacing w:before="40" w:after="0" w:line="230" w:lineRule="atLeast"/>
            </w:pPr>
            <w:r w:rsidRPr="005B40EC">
              <w:t>Auckland Council</w:t>
            </w:r>
          </w:p>
          <w:p w14:paraId="70CB7601" w14:textId="77777777" w:rsidR="009B00C4" w:rsidRPr="005B40EC" w:rsidRDefault="009B00C4" w:rsidP="00B01C7C">
            <w:pPr>
              <w:pStyle w:val="TableText"/>
              <w:spacing w:before="40" w:after="0" w:line="230" w:lineRule="atLeast"/>
            </w:pPr>
            <w:r w:rsidRPr="005B40EC">
              <w:t>Bay of Plenty District Council</w:t>
            </w:r>
          </w:p>
          <w:p w14:paraId="487AFFB2" w14:textId="77777777" w:rsidR="009B00C4" w:rsidRPr="005B40EC" w:rsidRDefault="009B00C4" w:rsidP="00B01C7C">
            <w:pPr>
              <w:pStyle w:val="TableText"/>
              <w:spacing w:before="40" w:after="0" w:line="230" w:lineRule="atLeast"/>
            </w:pPr>
            <w:r w:rsidRPr="005B40EC">
              <w:t>Buller District Council</w:t>
            </w:r>
          </w:p>
          <w:p w14:paraId="31B028E8" w14:textId="77777777" w:rsidR="009B00C4" w:rsidRPr="005B40EC" w:rsidRDefault="009B00C4" w:rsidP="00B01C7C">
            <w:pPr>
              <w:pStyle w:val="TableText"/>
              <w:spacing w:before="40" w:after="0" w:line="230" w:lineRule="atLeast"/>
            </w:pPr>
            <w:r w:rsidRPr="005B40EC">
              <w:t>Carterton District Council</w:t>
            </w:r>
          </w:p>
          <w:p w14:paraId="4E1E0C92" w14:textId="77777777" w:rsidR="009B00C4" w:rsidRPr="005B40EC" w:rsidRDefault="009B00C4" w:rsidP="00B01C7C">
            <w:pPr>
              <w:pStyle w:val="TableText"/>
              <w:spacing w:before="40" w:after="0" w:line="230" w:lineRule="atLeast"/>
            </w:pPr>
            <w:r w:rsidRPr="005B40EC">
              <w:t>Central Hawke’s Bay District Council</w:t>
            </w:r>
          </w:p>
          <w:p w14:paraId="71D51108" w14:textId="77777777" w:rsidR="009B00C4" w:rsidRPr="005B40EC" w:rsidRDefault="009B00C4" w:rsidP="00B01C7C">
            <w:pPr>
              <w:pStyle w:val="TableText"/>
              <w:spacing w:before="40" w:after="0" w:line="230" w:lineRule="atLeast"/>
            </w:pPr>
            <w:r w:rsidRPr="005B40EC">
              <w:t>Central Otago District Council</w:t>
            </w:r>
          </w:p>
          <w:p w14:paraId="15FB5180" w14:textId="77777777" w:rsidR="009B00C4" w:rsidRPr="005B40EC" w:rsidRDefault="009B00C4" w:rsidP="00B01C7C">
            <w:pPr>
              <w:pStyle w:val="TableText"/>
              <w:spacing w:before="40" w:after="0" w:line="230" w:lineRule="atLeast"/>
            </w:pPr>
            <w:r w:rsidRPr="005B40EC">
              <w:t>Chatham Islands Council</w:t>
            </w:r>
          </w:p>
          <w:p w14:paraId="65725D0F" w14:textId="77777777" w:rsidR="009B00C4" w:rsidRPr="005B40EC" w:rsidRDefault="009B00C4" w:rsidP="00B01C7C">
            <w:pPr>
              <w:pStyle w:val="TableText"/>
              <w:spacing w:before="40" w:after="0" w:line="230" w:lineRule="atLeast"/>
            </w:pPr>
            <w:r w:rsidRPr="005B40EC">
              <w:t>Christchurch City Council</w:t>
            </w:r>
          </w:p>
          <w:p w14:paraId="6F69062D" w14:textId="77777777" w:rsidR="009B00C4" w:rsidRPr="005B40EC" w:rsidRDefault="009B00C4" w:rsidP="00B01C7C">
            <w:pPr>
              <w:pStyle w:val="TableText"/>
              <w:spacing w:before="40" w:after="0" w:line="230" w:lineRule="atLeast"/>
            </w:pPr>
            <w:r w:rsidRPr="005B40EC">
              <w:t>Clutha District Council</w:t>
            </w:r>
          </w:p>
          <w:p w14:paraId="2B1EE49C" w14:textId="77777777" w:rsidR="009B00C4" w:rsidRPr="005B40EC" w:rsidRDefault="009B00C4" w:rsidP="00B01C7C">
            <w:pPr>
              <w:pStyle w:val="TableText"/>
              <w:spacing w:before="40" w:after="0" w:line="230" w:lineRule="atLeast"/>
            </w:pPr>
            <w:r w:rsidRPr="005B40EC">
              <w:t>Dunedin City Council</w:t>
            </w:r>
          </w:p>
          <w:p w14:paraId="5B34FCAD" w14:textId="77777777" w:rsidR="009B00C4" w:rsidRPr="005B40EC" w:rsidRDefault="009B00C4" w:rsidP="00B01C7C">
            <w:pPr>
              <w:pStyle w:val="TableText"/>
              <w:spacing w:before="40" w:after="0" w:line="230" w:lineRule="atLeast"/>
            </w:pPr>
            <w:r w:rsidRPr="005B40EC">
              <w:t>Environment Canterbury</w:t>
            </w:r>
          </w:p>
          <w:p w14:paraId="1ACE680B" w14:textId="77777777" w:rsidR="009B00C4" w:rsidRPr="005B40EC" w:rsidRDefault="009B00C4" w:rsidP="00B01C7C">
            <w:pPr>
              <w:pStyle w:val="TableText"/>
              <w:spacing w:before="40" w:after="0" w:line="230" w:lineRule="atLeast"/>
            </w:pPr>
            <w:r w:rsidRPr="005B40EC">
              <w:t>Environment Southland</w:t>
            </w:r>
          </w:p>
          <w:p w14:paraId="7B7A36C0" w14:textId="77777777" w:rsidR="009B00C4" w:rsidRPr="005B40EC" w:rsidRDefault="009B00C4" w:rsidP="00B01C7C">
            <w:pPr>
              <w:pStyle w:val="TableText"/>
              <w:spacing w:before="40" w:after="0" w:line="230" w:lineRule="atLeast"/>
            </w:pPr>
            <w:r w:rsidRPr="005B40EC">
              <w:t>Far North District Council</w:t>
            </w:r>
          </w:p>
          <w:p w14:paraId="1A934BE7" w14:textId="77777777" w:rsidR="009B00C4" w:rsidRPr="005B40EC" w:rsidRDefault="009B00C4" w:rsidP="00B01C7C">
            <w:pPr>
              <w:pStyle w:val="TableText"/>
              <w:spacing w:before="40" w:after="0" w:line="230" w:lineRule="atLeast"/>
            </w:pPr>
            <w:r w:rsidRPr="005B40EC">
              <w:t>Gisborne District Council</w:t>
            </w:r>
          </w:p>
          <w:p w14:paraId="1FD3A2FA" w14:textId="77777777" w:rsidR="009B00C4" w:rsidRPr="005B40EC" w:rsidRDefault="009B00C4" w:rsidP="00B01C7C">
            <w:pPr>
              <w:pStyle w:val="TableText"/>
              <w:spacing w:before="40" w:after="0" w:line="230" w:lineRule="atLeast"/>
            </w:pPr>
            <w:r w:rsidRPr="005B40EC">
              <w:t>Gore District Council</w:t>
            </w:r>
          </w:p>
          <w:p w14:paraId="1520244B" w14:textId="77777777" w:rsidR="009B00C4" w:rsidRPr="005B40EC" w:rsidRDefault="009B00C4" w:rsidP="00B01C7C">
            <w:pPr>
              <w:pStyle w:val="TableText"/>
              <w:spacing w:before="40" w:after="0" w:line="230" w:lineRule="atLeast"/>
            </w:pPr>
            <w:r w:rsidRPr="005B40EC">
              <w:t>Greater Wellington Regional Council</w:t>
            </w:r>
          </w:p>
          <w:p w14:paraId="0D1D1210" w14:textId="77777777" w:rsidR="009B00C4" w:rsidRPr="005B40EC" w:rsidRDefault="009B00C4" w:rsidP="00B01C7C">
            <w:pPr>
              <w:pStyle w:val="TableText"/>
              <w:spacing w:before="40" w:after="0" w:line="230" w:lineRule="atLeast"/>
            </w:pPr>
            <w:r w:rsidRPr="005B40EC">
              <w:t>Grey District Council</w:t>
            </w:r>
          </w:p>
          <w:p w14:paraId="2F4AA7DC" w14:textId="77777777" w:rsidR="009B00C4" w:rsidRPr="005B40EC" w:rsidRDefault="009B00C4" w:rsidP="00B01C7C">
            <w:pPr>
              <w:pStyle w:val="TableText"/>
              <w:spacing w:before="40" w:after="0" w:line="230" w:lineRule="atLeast"/>
            </w:pPr>
            <w:r w:rsidRPr="005B40EC">
              <w:t>Hastings District Council</w:t>
            </w:r>
          </w:p>
          <w:p w14:paraId="5E1677AA" w14:textId="77777777" w:rsidR="009B00C4" w:rsidRPr="005B40EC" w:rsidRDefault="009B00C4" w:rsidP="00B01C7C">
            <w:pPr>
              <w:pStyle w:val="TableText"/>
              <w:spacing w:before="40" w:after="0" w:line="230" w:lineRule="atLeast"/>
            </w:pPr>
            <w:r w:rsidRPr="005B40EC">
              <w:t>Hauraki District Council</w:t>
            </w:r>
          </w:p>
          <w:p w14:paraId="1EF99F4F" w14:textId="77777777" w:rsidR="009B00C4" w:rsidRPr="005B40EC" w:rsidRDefault="009B00C4" w:rsidP="00B01C7C">
            <w:pPr>
              <w:pStyle w:val="TableText"/>
              <w:spacing w:before="40" w:after="0" w:line="230" w:lineRule="atLeast"/>
            </w:pPr>
            <w:r w:rsidRPr="005B40EC">
              <w:t>Hawke’s Bay Regional Council</w:t>
            </w:r>
          </w:p>
          <w:p w14:paraId="69615869" w14:textId="77777777" w:rsidR="009B00C4" w:rsidRPr="005B40EC" w:rsidRDefault="009B00C4" w:rsidP="00B01C7C">
            <w:pPr>
              <w:pStyle w:val="TableText"/>
              <w:spacing w:before="40" w:after="0" w:line="230" w:lineRule="atLeast"/>
            </w:pPr>
            <w:r w:rsidRPr="005B40EC">
              <w:t>Horizons Regional Council</w:t>
            </w:r>
          </w:p>
          <w:p w14:paraId="5689B59F" w14:textId="77777777" w:rsidR="009B00C4" w:rsidRPr="005B40EC" w:rsidRDefault="009B00C4" w:rsidP="00B01C7C">
            <w:pPr>
              <w:pStyle w:val="TableText"/>
              <w:spacing w:before="40" w:after="0" w:line="230" w:lineRule="atLeast"/>
            </w:pPr>
            <w:r w:rsidRPr="005B40EC">
              <w:t>Horowhenua District Council</w:t>
            </w:r>
          </w:p>
          <w:p w14:paraId="7C0969CD" w14:textId="77777777" w:rsidR="009B00C4" w:rsidRPr="005B40EC" w:rsidRDefault="009B00C4" w:rsidP="00B01C7C">
            <w:pPr>
              <w:pStyle w:val="TableText"/>
              <w:spacing w:before="40" w:after="0" w:line="230" w:lineRule="atLeast"/>
            </w:pPr>
            <w:r w:rsidRPr="005B40EC">
              <w:t>Hurunui District Council</w:t>
            </w:r>
          </w:p>
          <w:p w14:paraId="102CE3E6" w14:textId="77777777" w:rsidR="009B00C4" w:rsidRPr="005B40EC" w:rsidRDefault="009B00C4" w:rsidP="00B01C7C">
            <w:pPr>
              <w:pStyle w:val="TableText"/>
              <w:spacing w:before="40" w:after="0" w:line="230" w:lineRule="atLeast"/>
            </w:pPr>
            <w:r w:rsidRPr="005B40EC">
              <w:t>Hutt City Council</w:t>
            </w:r>
          </w:p>
          <w:p w14:paraId="252F9CF0" w14:textId="77777777" w:rsidR="009B00C4" w:rsidRPr="005B40EC" w:rsidRDefault="009B00C4" w:rsidP="00B01C7C">
            <w:pPr>
              <w:pStyle w:val="TableText"/>
              <w:spacing w:before="40" w:after="0" w:line="230" w:lineRule="atLeast"/>
            </w:pPr>
            <w:r w:rsidRPr="005B40EC">
              <w:t>Invercargill City Council</w:t>
            </w:r>
          </w:p>
          <w:p w14:paraId="2EA46760" w14:textId="1B08DE3C" w:rsidR="009B00C4" w:rsidRPr="005B40EC" w:rsidRDefault="009B00C4" w:rsidP="00B01C7C">
            <w:pPr>
              <w:pStyle w:val="TableText"/>
              <w:spacing w:before="40" w:after="0" w:line="230" w:lineRule="atLeast"/>
            </w:pPr>
            <w:r w:rsidRPr="005B40EC">
              <w:t>Kaik</w:t>
            </w:r>
            <w:r w:rsidR="002A40F0">
              <w:rPr>
                <w:rFonts w:cs="Calibri"/>
              </w:rPr>
              <w:t>ō</w:t>
            </w:r>
            <w:r w:rsidRPr="005B40EC">
              <w:t>ura District Council</w:t>
            </w:r>
          </w:p>
          <w:p w14:paraId="741E8C96" w14:textId="77777777" w:rsidR="009B00C4" w:rsidRPr="005B40EC" w:rsidRDefault="009B00C4" w:rsidP="00B01C7C">
            <w:pPr>
              <w:pStyle w:val="TableText"/>
              <w:spacing w:before="40" w:after="0" w:line="230" w:lineRule="atLeast"/>
            </w:pPr>
            <w:r w:rsidRPr="005B40EC">
              <w:t>Kaipara District Council</w:t>
            </w:r>
          </w:p>
          <w:p w14:paraId="530457F8" w14:textId="157D80E9" w:rsidR="009B00C4" w:rsidRPr="005B40EC" w:rsidRDefault="009B00C4" w:rsidP="00B01C7C">
            <w:pPr>
              <w:pStyle w:val="TableText"/>
              <w:spacing w:before="40" w:after="0" w:line="230" w:lineRule="atLeast"/>
            </w:pPr>
            <w:r w:rsidRPr="005B40EC">
              <w:t>K</w:t>
            </w:r>
            <w:r w:rsidR="00CF307F">
              <w:rPr>
                <w:rFonts w:cs="Calibri"/>
              </w:rPr>
              <w:t>ā</w:t>
            </w:r>
            <w:r w:rsidRPr="005B40EC">
              <w:t>piti Coast District Council</w:t>
            </w:r>
          </w:p>
          <w:p w14:paraId="68AF9A23" w14:textId="77777777" w:rsidR="009B00C4" w:rsidRPr="005B40EC" w:rsidRDefault="009B00C4" w:rsidP="00B01C7C">
            <w:pPr>
              <w:pStyle w:val="TableText"/>
              <w:spacing w:before="40" w:after="0" w:line="230" w:lineRule="atLeast"/>
            </w:pPr>
            <w:r w:rsidRPr="005B40EC">
              <w:t>Kawerau District Council</w:t>
            </w:r>
          </w:p>
          <w:p w14:paraId="0756EAC3" w14:textId="77777777" w:rsidR="009B00C4" w:rsidRPr="005B40EC" w:rsidRDefault="009B00C4" w:rsidP="00B01C7C">
            <w:pPr>
              <w:pStyle w:val="TableText"/>
              <w:spacing w:before="40" w:after="0" w:line="230" w:lineRule="atLeast"/>
            </w:pPr>
            <w:r w:rsidRPr="005B40EC">
              <w:t>Mackenzie District Council</w:t>
            </w:r>
          </w:p>
        </w:tc>
        <w:tc>
          <w:tcPr>
            <w:tcW w:w="2500" w:type="pct"/>
            <w:tcBorders>
              <w:top w:val="nil"/>
              <w:bottom w:val="single" w:sz="4" w:space="0" w:color="1C556C" w:themeColor="accent1"/>
            </w:tcBorders>
            <w:shd w:val="clear" w:color="auto" w:fill="auto"/>
          </w:tcPr>
          <w:p w14:paraId="5DC55086" w14:textId="75D4FF66" w:rsidR="009B00C4" w:rsidRPr="005B40EC" w:rsidRDefault="009B00C4" w:rsidP="00B01C7C">
            <w:pPr>
              <w:pStyle w:val="TableText"/>
              <w:spacing w:before="40" w:after="0" w:line="230" w:lineRule="atLeast"/>
            </w:pPr>
            <w:r w:rsidRPr="005B40EC">
              <w:lastRenderedPageBreak/>
              <w:t>Manawatu District Council</w:t>
            </w:r>
          </w:p>
          <w:p w14:paraId="75AF014A" w14:textId="77777777" w:rsidR="009B00C4" w:rsidRPr="005B40EC" w:rsidRDefault="009B00C4" w:rsidP="00B01C7C">
            <w:pPr>
              <w:pStyle w:val="TableText"/>
              <w:spacing w:before="40" w:after="0" w:line="230" w:lineRule="atLeast"/>
            </w:pPr>
            <w:r w:rsidRPr="005B40EC">
              <w:t>Marlborough District Council</w:t>
            </w:r>
          </w:p>
          <w:p w14:paraId="55D16134" w14:textId="77777777" w:rsidR="009B00C4" w:rsidRPr="005B40EC" w:rsidRDefault="009B00C4" w:rsidP="00B01C7C">
            <w:pPr>
              <w:pStyle w:val="TableText"/>
              <w:spacing w:before="40" w:after="0" w:line="230" w:lineRule="atLeast"/>
            </w:pPr>
            <w:r w:rsidRPr="005B40EC">
              <w:t>Masterton District Council</w:t>
            </w:r>
          </w:p>
          <w:p w14:paraId="5C8AE254" w14:textId="77777777" w:rsidR="009B00C4" w:rsidRPr="005B40EC" w:rsidRDefault="009B00C4" w:rsidP="00B01C7C">
            <w:pPr>
              <w:pStyle w:val="TableText"/>
              <w:spacing w:before="40" w:after="0" w:line="230" w:lineRule="atLeast"/>
            </w:pPr>
            <w:r w:rsidRPr="005B40EC">
              <w:t>Matamata-Piako District Council</w:t>
            </w:r>
          </w:p>
          <w:p w14:paraId="57199392" w14:textId="77777777" w:rsidR="009B00C4" w:rsidRPr="005B40EC" w:rsidRDefault="009B00C4" w:rsidP="00B01C7C">
            <w:pPr>
              <w:pStyle w:val="TableText"/>
              <w:spacing w:before="40" w:after="0" w:line="230" w:lineRule="atLeast"/>
            </w:pPr>
            <w:r w:rsidRPr="005B40EC">
              <w:t>Napier City Council</w:t>
            </w:r>
          </w:p>
          <w:p w14:paraId="0B3F26D4" w14:textId="77777777" w:rsidR="009B00C4" w:rsidRPr="005B40EC" w:rsidRDefault="009B00C4" w:rsidP="00B01C7C">
            <w:pPr>
              <w:pStyle w:val="TableText"/>
              <w:spacing w:before="40" w:after="0" w:line="230" w:lineRule="atLeast"/>
            </w:pPr>
            <w:r w:rsidRPr="005B40EC">
              <w:t>Nelson City Council</w:t>
            </w:r>
          </w:p>
          <w:p w14:paraId="10C13DE1" w14:textId="77777777" w:rsidR="009B00C4" w:rsidRPr="005B40EC" w:rsidRDefault="009B00C4" w:rsidP="00B01C7C">
            <w:pPr>
              <w:pStyle w:val="TableText"/>
              <w:spacing w:before="40" w:after="0" w:line="230" w:lineRule="atLeast"/>
            </w:pPr>
            <w:r w:rsidRPr="005B40EC">
              <w:t>New Plymouth District Council</w:t>
            </w:r>
          </w:p>
          <w:p w14:paraId="606F9051" w14:textId="77777777" w:rsidR="009B00C4" w:rsidRPr="005B40EC" w:rsidRDefault="009B00C4" w:rsidP="00B01C7C">
            <w:pPr>
              <w:pStyle w:val="TableText"/>
              <w:spacing w:before="40" w:after="0" w:line="230" w:lineRule="atLeast"/>
            </w:pPr>
            <w:r w:rsidRPr="005B40EC">
              <w:t>Northland Regional Council</w:t>
            </w:r>
          </w:p>
          <w:p w14:paraId="33005A61" w14:textId="77777777" w:rsidR="009B00C4" w:rsidRPr="005B40EC" w:rsidRDefault="009B00C4" w:rsidP="00B01C7C">
            <w:pPr>
              <w:pStyle w:val="TableText"/>
              <w:spacing w:before="40" w:after="0" w:line="230" w:lineRule="atLeast"/>
            </w:pPr>
            <w:r w:rsidRPr="005B40EC">
              <w:t xml:space="preserve">Ōpōtiki District Council </w:t>
            </w:r>
          </w:p>
          <w:p w14:paraId="2F9804BF" w14:textId="77777777" w:rsidR="009B00C4" w:rsidRPr="005B40EC" w:rsidRDefault="009B00C4" w:rsidP="00B01C7C">
            <w:pPr>
              <w:pStyle w:val="TableText"/>
              <w:spacing w:before="40" w:after="0" w:line="230" w:lineRule="atLeast"/>
            </w:pPr>
            <w:r w:rsidRPr="005B40EC">
              <w:t>Otago Regional Council</w:t>
            </w:r>
          </w:p>
          <w:p w14:paraId="75FACE21" w14:textId="77777777" w:rsidR="009B00C4" w:rsidRPr="005B40EC" w:rsidRDefault="009B00C4" w:rsidP="00B01C7C">
            <w:pPr>
              <w:pStyle w:val="TableText"/>
              <w:spacing w:before="40" w:after="0" w:line="230" w:lineRule="atLeast"/>
            </w:pPr>
            <w:r w:rsidRPr="005B40EC">
              <w:t>Otorohanga District Council</w:t>
            </w:r>
          </w:p>
          <w:p w14:paraId="31C2B16A" w14:textId="77777777" w:rsidR="009B00C4" w:rsidRPr="005B40EC" w:rsidRDefault="009B00C4" w:rsidP="00B01C7C">
            <w:pPr>
              <w:pStyle w:val="TableText"/>
              <w:spacing w:before="40" w:after="0" w:line="230" w:lineRule="atLeast"/>
            </w:pPr>
            <w:r w:rsidRPr="005B40EC">
              <w:t>Palmerston North City Council</w:t>
            </w:r>
          </w:p>
          <w:p w14:paraId="151CF8DE" w14:textId="77777777" w:rsidR="009B00C4" w:rsidRPr="005B40EC" w:rsidRDefault="009B00C4" w:rsidP="00B01C7C">
            <w:pPr>
              <w:pStyle w:val="TableText"/>
              <w:spacing w:before="40" w:after="0" w:line="230" w:lineRule="atLeast"/>
            </w:pPr>
            <w:r w:rsidRPr="005B40EC">
              <w:t>Porirua City Council</w:t>
            </w:r>
          </w:p>
          <w:p w14:paraId="13840975" w14:textId="77777777" w:rsidR="009B00C4" w:rsidRPr="005B40EC" w:rsidRDefault="009B00C4" w:rsidP="00B01C7C">
            <w:pPr>
              <w:pStyle w:val="TableText"/>
              <w:spacing w:before="40" w:after="0" w:line="230" w:lineRule="atLeast"/>
            </w:pPr>
            <w:r w:rsidRPr="005B40EC">
              <w:t>Queenstown-Lakes District Council</w:t>
            </w:r>
          </w:p>
          <w:p w14:paraId="4B6B98CE" w14:textId="77777777" w:rsidR="009B00C4" w:rsidRPr="005B40EC" w:rsidRDefault="009B00C4" w:rsidP="00B01C7C">
            <w:pPr>
              <w:pStyle w:val="TableText"/>
              <w:spacing w:before="40" w:after="0" w:line="230" w:lineRule="atLeast"/>
            </w:pPr>
            <w:r w:rsidRPr="005B40EC">
              <w:t>Rangitikei District Council</w:t>
            </w:r>
          </w:p>
          <w:p w14:paraId="79D205BA" w14:textId="77777777" w:rsidR="009B00C4" w:rsidRPr="005B40EC" w:rsidRDefault="009B00C4" w:rsidP="00B01C7C">
            <w:pPr>
              <w:pStyle w:val="TableText"/>
              <w:spacing w:before="40" w:after="0" w:line="230" w:lineRule="atLeast"/>
            </w:pPr>
            <w:r w:rsidRPr="005B40EC">
              <w:t>Rotorua Lakes Council</w:t>
            </w:r>
          </w:p>
          <w:p w14:paraId="0932AA2F" w14:textId="77777777" w:rsidR="009B00C4" w:rsidRPr="005B40EC" w:rsidRDefault="009B00C4" w:rsidP="00B01C7C">
            <w:pPr>
              <w:pStyle w:val="TableText"/>
              <w:spacing w:before="40" w:after="0" w:line="230" w:lineRule="atLeast"/>
            </w:pPr>
            <w:r w:rsidRPr="005B40EC">
              <w:t>Ruapehu District Council</w:t>
            </w:r>
          </w:p>
          <w:p w14:paraId="77B7790E" w14:textId="77777777" w:rsidR="009B00C4" w:rsidRPr="005B40EC" w:rsidRDefault="009B00C4" w:rsidP="00B01C7C">
            <w:pPr>
              <w:pStyle w:val="TableText"/>
              <w:spacing w:before="40" w:after="0" w:line="230" w:lineRule="atLeast"/>
            </w:pPr>
            <w:r w:rsidRPr="005B40EC">
              <w:t>Selwyn District Council</w:t>
            </w:r>
          </w:p>
          <w:p w14:paraId="54ABFFD3" w14:textId="77777777" w:rsidR="009B00C4" w:rsidRPr="005B40EC" w:rsidRDefault="009B00C4" w:rsidP="00B01C7C">
            <w:pPr>
              <w:pStyle w:val="TableText"/>
              <w:spacing w:before="40" w:after="0" w:line="230" w:lineRule="atLeast"/>
            </w:pPr>
            <w:r w:rsidRPr="005B40EC">
              <w:t>South Taranaki District Council</w:t>
            </w:r>
          </w:p>
          <w:p w14:paraId="658237AA" w14:textId="77777777" w:rsidR="009B00C4" w:rsidRPr="005B40EC" w:rsidRDefault="009B00C4" w:rsidP="00B01C7C">
            <w:pPr>
              <w:pStyle w:val="TableText"/>
              <w:spacing w:before="40" w:after="0" w:line="230" w:lineRule="atLeast"/>
            </w:pPr>
            <w:r w:rsidRPr="005B40EC">
              <w:t>South Waikato District Council</w:t>
            </w:r>
          </w:p>
          <w:p w14:paraId="4F9E51D1" w14:textId="77777777" w:rsidR="009B00C4" w:rsidRPr="005B40EC" w:rsidRDefault="009B00C4" w:rsidP="00B01C7C">
            <w:pPr>
              <w:pStyle w:val="TableText"/>
              <w:spacing w:before="40" w:after="0" w:line="230" w:lineRule="atLeast"/>
            </w:pPr>
            <w:r w:rsidRPr="005B40EC">
              <w:t>South Wairarapa District Council</w:t>
            </w:r>
          </w:p>
          <w:p w14:paraId="07B5AFB2" w14:textId="77777777" w:rsidR="009B00C4" w:rsidRPr="005B40EC" w:rsidRDefault="009B00C4" w:rsidP="00B01C7C">
            <w:pPr>
              <w:pStyle w:val="TableText"/>
              <w:spacing w:before="40" w:after="0" w:line="230" w:lineRule="atLeast"/>
            </w:pPr>
            <w:r w:rsidRPr="005B40EC">
              <w:t>Southland District Council</w:t>
            </w:r>
          </w:p>
          <w:p w14:paraId="6022014D" w14:textId="77777777" w:rsidR="009B00C4" w:rsidRPr="005B40EC" w:rsidRDefault="009B00C4" w:rsidP="00B01C7C">
            <w:pPr>
              <w:pStyle w:val="TableText"/>
              <w:spacing w:before="40" w:after="0" w:line="230" w:lineRule="atLeast"/>
            </w:pPr>
            <w:r w:rsidRPr="005B40EC">
              <w:t>Stratford District Council</w:t>
            </w:r>
          </w:p>
          <w:p w14:paraId="1398C54F" w14:textId="77777777" w:rsidR="009B00C4" w:rsidRPr="005B40EC" w:rsidRDefault="009B00C4" w:rsidP="00B01C7C">
            <w:pPr>
              <w:pStyle w:val="TableText"/>
              <w:spacing w:before="40" w:after="0" w:line="230" w:lineRule="atLeast"/>
            </w:pPr>
            <w:r w:rsidRPr="005B40EC">
              <w:t>Taranaki Regional Council</w:t>
            </w:r>
          </w:p>
          <w:p w14:paraId="66D63579" w14:textId="77777777" w:rsidR="009B00C4" w:rsidRPr="005B40EC" w:rsidRDefault="009B00C4" w:rsidP="00B01C7C">
            <w:pPr>
              <w:pStyle w:val="TableText"/>
              <w:spacing w:before="40" w:after="0" w:line="230" w:lineRule="atLeast"/>
            </w:pPr>
            <w:r w:rsidRPr="005B40EC">
              <w:t>Tararua District Council</w:t>
            </w:r>
          </w:p>
          <w:p w14:paraId="42CE51A0" w14:textId="77777777" w:rsidR="009B00C4" w:rsidRPr="005B40EC" w:rsidRDefault="009B00C4" w:rsidP="00B01C7C">
            <w:pPr>
              <w:pStyle w:val="TableText"/>
              <w:spacing w:before="40" w:after="0" w:line="230" w:lineRule="atLeast"/>
            </w:pPr>
            <w:r w:rsidRPr="005B40EC">
              <w:t>Tasman District Council</w:t>
            </w:r>
          </w:p>
          <w:p w14:paraId="001E4BD5" w14:textId="5DAB35B8" w:rsidR="009B00C4" w:rsidRPr="005B40EC" w:rsidRDefault="009B00C4" w:rsidP="00B01C7C">
            <w:pPr>
              <w:pStyle w:val="TableText"/>
              <w:spacing w:before="40" w:after="0" w:line="230" w:lineRule="atLeast"/>
            </w:pPr>
            <w:r w:rsidRPr="005B40EC">
              <w:t>Taup</w:t>
            </w:r>
            <w:r w:rsidR="00493BCA">
              <w:rPr>
                <w:rFonts w:cs="Calibri"/>
              </w:rPr>
              <w:t>ō</w:t>
            </w:r>
            <w:r w:rsidRPr="005B40EC">
              <w:t xml:space="preserve"> District Council</w:t>
            </w:r>
          </w:p>
          <w:p w14:paraId="254FE2A7" w14:textId="77777777" w:rsidR="009B00C4" w:rsidRPr="005B40EC" w:rsidRDefault="009B00C4" w:rsidP="00B01C7C">
            <w:pPr>
              <w:pStyle w:val="TableText"/>
              <w:spacing w:before="40" w:after="0" w:line="230" w:lineRule="atLeast"/>
            </w:pPr>
            <w:r w:rsidRPr="005B40EC">
              <w:t>Tauranga City Council</w:t>
            </w:r>
          </w:p>
          <w:p w14:paraId="04B6E3F6" w14:textId="77777777" w:rsidR="009B00C4" w:rsidRPr="005B40EC" w:rsidRDefault="009B00C4" w:rsidP="00B01C7C">
            <w:pPr>
              <w:pStyle w:val="TableText"/>
              <w:spacing w:before="40" w:after="0" w:line="230" w:lineRule="atLeast"/>
            </w:pPr>
            <w:r w:rsidRPr="005B40EC">
              <w:lastRenderedPageBreak/>
              <w:t>Thames-Coromandel District Council</w:t>
            </w:r>
          </w:p>
          <w:p w14:paraId="7753F435" w14:textId="77777777" w:rsidR="009B00C4" w:rsidRPr="005B40EC" w:rsidRDefault="009B00C4" w:rsidP="00B01C7C">
            <w:pPr>
              <w:pStyle w:val="TableText"/>
              <w:spacing w:before="40" w:after="0" w:line="230" w:lineRule="atLeast"/>
            </w:pPr>
            <w:r w:rsidRPr="005B40EC">
              <w:t>Timaru District Council</w:t>
            </w:r>
          </w:p>
          <w:p w14:paraId="6ACC9D06" w14:textId="77777777" w:rsidR="009B00C4" w:rsidRPr="005B40EC" w:rsidRDefault="009B00C4" w:rsidP="00B01C7C">
            <w:pPr>
              <w:pStyle w:val="TableText"/>
              <w:spacing w:before="40" w:after="0" w:line="230" w:lineRule="atLeast"/>
            </w:pPr>
            <w:r w:rsidRPr="005B40EC">
              <w:t>Upper Hutt City Council</w:t>
            </w:r>
          </w:p>
          <w:p w14:paraId="46B0CE1D" w14:textId="77777777" w:rsidR="009B00C4" w:rsidRPr="005B40EC" w:rsidRDefault="009B00C4" w:rsidP="00B01C7C">
            <w:pPr>
              <w:pStyle w:val="TableText"/>
              <w:spacing w:before="40" w:after="0" w:line="230" w:lineRule="atLeast"/>
            </w:pPr>
            <w:r w:rsidRPr="005B40EC">
              <w:t>Waikato District Council</w:t>
            </w:r>
          </w:p>
          <w:p w14:paraId="07E00DC6" w14:textId="77777777" w:rsidR="009B00C4" w:rsidRPr="005B40EC" w:rsidRDefault="009B00C4" w:rsidP="00B01C7C">
            <w:pPr>
              <w:pStyle w:val="TableText"/>
              <w:spacing w:before="40" w:after="0" w:line="230" w:lineRule="atLeast"/>
            </w:pPr>
            <w:r w:rsidRPr="005B40EC">
              <w:t>Waikato Regional Council</w:t>
            </w:r>
          </w:p>
          <w:p w14:paraId="397D133C" w14:textId="77777777" w:rsidR="009B00C4" w:rsidRPr="005B40EC" w:rsidRDefault="009B00C4" w:rsidP="00B01C7C">
            <w:pPr>
              <w:pStyle w:val="TableText"/>
              <w:spacing w:before="40" w:after="0" w:line="230" w:lineRule="atLeast"/>
            </w:pPr>
            <w:r w:rsidRPr="005B40EC">
              <w:t>Waimakariri District Council</w:t>
            </w:r>
          </w:p>
          <w:p w14:paraId="0E57C861" w14:textId="77777777" w:rsidR="009B00C4" w:rsidRPr="005B40EC" w:rsidRDefault="009B00C4" w:rsidP="00B01C7C">
            <w:pPr>
              <w:pStyle w:val="TableText"/>
              <w:spacing w:before="40" w:after="0" w:line="230" w:lineRule="atLeast"/>
            </w:pPr>
            <w:r w:rsidRPr="005B40EC">
              <w:t>Waimate District Council</w:t>
            </w:r>
          </w:p>
          <w:p w14:paraId="58AEF413" w14:textId="6F66E9EC" w:rsidR="009B00C4" w:rsidRPr="005B40EC" w:rsidRDefault="009B00C4" w:rsidP="00B01C7C">
            <w:pPr>
              <w:pStyle w:val="TableText"/>
              <w:spacing w:before="40" w:after="0" w:line="230" w:lineRule="atLeast"/>
            </w:pPr>
            <w:r w:rsidRPr="005B40EC">
              <w:t>Waip</w:t>
            </w:r>
            <w:r w:rsidR="00B05359">
              <w:rPr>
                <w:rFonts w:cs="Calibri"/>
              </w:rPr>
              <w:t>ā</w:t>
            </w:r>
            <w:r w:rsidRPr="005B40EC">
              <w:t xml:space="preserve"> District Council</w:t>
            </w:r>
          </w:p>
          <w:p w14:paraId="4AD657A4" w14:textId="77777777" w:rsidR="009B00C4" w:rsidRPr="005B40EC" w:rsidRDefault="009B00C4" w:rsidP="00B01C7C">
            <w:pPr>
              <w:pStyle w:val="TableText"/>
              <w:spacing w:before="40" w:after="0" w:line="230" w:lineRule="atLeast"/>
            </w:pPr>
            <w:r w:rsidRPr="005B40EC">
              <w:t>Wairoa District Council</w:t>
            </w:r>
          </w:p>
          <w:p w14:paraId="1BED0725" w14:textId="77777777" w:rsidR="009B00C4" w:rsidRPr="005B40EC" w:rsidRDefault="009B00C4" w:rsidP="00B01C7C">
            <w:pPr>
              <w:pStyle w:val="TableText"/>
              <w:spacing w:before="40" w:after="0" w:line="230" w:lineRule="atLeast"/>
            </w:pPr>
            <w:r w:rsidRPr="005B40EC">
              <w:t>Waitaki District Council</w:t>
            </w:r>
          </w:p>
          <w:p w14:paraId="6F37E4BD" w14:textId="77777777" w:rsidR="009B00C4" w:rsidRPr="005B40EC" w:rsidRDefault="009B00C4" w:rsidP="00B01C7C">
            <w:pPr>
              <w:pStyle w:val="TableText"/>
              <w:spacing w:before="40" w:after="0" w:line="230" w:lineRule="atLeast"/>
            </w:pPr>
            <w:r w:rsidRPr="005B40EC">
              <w:t>Waitomo District Council</w:t>
            </w:r>
          </w:p>
          <w:p w14:paraId="4E4F1FBE" w14:textId="77777777" w:rsidR="009B00C4" w:rsidRPr="005B40EC" w:rsidRDefault="009B00C4" w:rsidP="00B01C7C">
            <w:pPr>
              <w:pStyle w:val="TableText"/>
              <w:spacing w:before="40" w:after="0" w:line="230" w:lineRule="atLeast"/>
            </w:pPr>
            <w:r w:rsidRPr="005B40EC">
              <w:t>Wellington City Council</w:t>
            </w:r>
          </w:p>
          <w:p w14:paraId="4C81AA3E" w14:textId="77777777" w:rsidR="009B00C4" w:rsidRPr="005B40EC" w:rsidRDefault="009B00C4" w:rsidP="00B01C7C">
            <w:pPr>
              <w:pStyle w:val="TableText"/>
              <w:spacing w:before="40" w:after="0" w:line="230" w:lineRule="atLeast"/>
            </w:pPr>
            <w:r w:rsidRPr="005B40EC">
              <w:t>West Coast Regional Council</w:t>
            </w:r>
          </w:p>
          <w:p w14:paraId="256CEDC8" w14:textId="77777777" w:rsidR="009B00C4" w:rsidRPr="005B40EC" w:rsidRDefault="009B00C4" w:rsidP="00B01C7C">
            <w:pPr>
              <w:pStyle w:val="TableText"/>
              <w:spacing w:before="40" w:after="0" w:line="230" w:lineRule="atLeast"/>
            </w:pPr>
            <w:r w:rsidRPr="005B40EC">
              <w:t>Western Bay of Plenty District Council</w:t>
            </w:r>
          </w:p>
          <w:p w14:paraId="5EEAE2A7" w14:textId="77777777" w:rsidR="009B00C4" w:rsidRPr="005B40EC" w:rsidRDefault="009B00C4" w:rsidP="00B01C7C">
            <w:pPr>
              <w:pStyle w:val="TableText"/>
              <w:spacing w:before="40" w:after="0" w:line="230" w:lineRule="atLeast"/>
            </w:pPr>
            <w:r w:rsidRPr="005B40EC">
              <w:t>Westland District Council</w:t>
            </w:r>
          </w:p>
          <w:p w14:paraId="74060811" w14:textId="23E7D9C2" w:rsidR="009B00C4" w:rsidRPr="005B40EC" w:rsidRDefault="009B00C4" w:rsidP="00B01C7C">
            <w:pPr>
              <w:pStyle w:val="TableText"/>
              <w:spacing w:before="40" w:after="0" w:line="230" w:lineRule="atLeast"/>
            </w:pPr>
            <w:r w:rsidRPr="005B40EC">
              <w:t>Whakat</w:t>
            </w:r>
            <w:r w:rsidR="00CF307F">
              <w:rPr>
                <w:rFonts w:cs="Calibri"/>
              </w:rPr>
              <w:t>ā</w:t>
            </w:r>
            <w:r w:rsidRPr="005B40EC">
              <w:t>ne District Council</w:t>
            </w:r>
          </w:p>
          <w:p w14:paraId="2670677E" w14:textId="77777777" w:rsidR="009B00C4" w:rsidRPr="005B40EC" w:rsidRDefault="009B00C4" w:rsidP="00B01C7C">
            <w:pPr>
              <w:pStyle w:val="TableText"/>
              <w:spacing w:before="40" w:after="0" w:line="230" w:lineRule="atLeast"/>
            </w:pPr>
            <w:r w:rsidRPr="005B40EC">
              <w:t>Whanganui District Council</w:t>
            </w:r>
          </w:p>
          <w:p w14:paraId="413F153B" w14:textId="77777777" w:rsidR="009B00C4" w:rsidRPr="005B40EC" w:rsidRDefault="009B00C4" w:rsidP="00B01C7C">
            <w:pPr>
              <w:pStyle w:val="TableText"/>
              <w:spacing w:before="40" w:after="40" w:line="230" w:lineRule="atLeast"/>
            </w:pPr>
            <w:r w:rsidRPr="005B40EC">
              <w:t>Whangarei District Council</w:t>
            </w:r>
          </w:p>
          <w:p w14:paraId="2C1E44B6" w14:textId="2D35DC67" w:rsidR="009B00C4" w:rsidRPr="005B40EC" w:rsidRDefault="009B00C4" w:rsidP="00B01C7C">
            <w:pPr>
              <w:pStyle w:val="TableTextBold"/>
              <w:spacing w:after="0" w:line="230" w:lineRule="atLeast"/>
            </w:pPr>
            <w:r w:rsidRPr="005B40EC">
              <w:t xml:space="preserve">Primary </w:t>
            </w:r>
            <w:r w:rsidR="008678C6">
              <w:t>s</w:t>
            </w:r>
            <w:r w:rsidRPr="005B40EC">
              <w:t>ector</w:t>
            </w:r>
          </w:p>
          <w:p w14:paraId="203ED083" w14:textId="77777777" w:rsidR="009B00C4" w:rsidRPr="005B40EC" w:rsidRDefault="009B00C4" w:rsidP="00B01C7C">
            <w:pPr>
              <w:pStyle w:val="TableText"/>
              <w:spacing w:before="40" w:after="0" w:line="230" w:lineRule="atLeast"/>
            </w:pPr>
            <w:r w:rsidRPr="005B40EC">
              <w:t>Apples and Pears</w:t>
            </w:r>
          </w:p>
          <w:p w14:paraId="24D1F5A0" w14:textId="77777777" w:rsidR="009B00C4" w:rsidRPr="005B40EC" w:rsidRDefault="009B00C4" w:rsidP="00B01C7C">
            <w:pPr>
              <w:pStyle w:val="TableText"/>
              <w:spacing w:before="40" w:after="0" w:line="230" w:lineRule="atLeast"/>
            </w:pPr>
            <w:r w:rsidRPr="005B40EC">
              <w:t>Aquaculture New Zealand</w:t>
            </w:r>
          </w:p>
          <w:p w14:paraId="25C8D245" w14:textId="77777777" w:rsidR="009B00C4" w:rsidRPr="005B40EC" w:rsidRDefault="009B00C4" w:rsidP="00B01C7C">
            <w:pPr>
              <w:pStyle w:val="TableText"/>
              <w:spacing w:before="40" w:after="0" w:line="230" w:lineRule="atLeast"/>
            </w:pPr>
            <w:r w:rsidRPr="005B40EC">
              <w:t>Beef + Lamb NZ</w:t>
            </w:r>
          </w:p>
          <w:p w14:paraId="24375E0F" w14:textId="77777777" w:rsidR="009B00C4" w:rsidRPr="005B40EC" w:rsidRDefault="009B00C4" w:rsidP="00B01C7C">
            <w:pPr>
              <w:pStyle w:val="TableText"/>
              <w:spacing w:before="40" w:after="0" w:line="230" w:lineRule="atLeast"/>
            </w:pPr>
            <w:r w:rsidRPr="005B40EC">
              <w:t>DairyNZ</w:t>
            </w:r>
          </w:p>
          <w:p w14:paraId="7B2039BE" w14:textId="77777777" w:rsidR="009B00C4" w:rsidRPr="005B40EC" w:rsidRDefault="009B00C4" w:rsidP="00B01C7C">
            <w:pPr>
              <w:pStyle w:val="TableText"/>
              <w:spacing w:before="40" w:after="0" w:line="230" w:lineRule="atLeast"/>
            </w:pPr>
            <w:r w:rsidRPr="005B40EC">
              <w:t>Federated Farmers</w:t>
            </w:r>
          </w:p>
          <w:p w14:paraId="1E541521" w14:textId="77777777" w:rsidR="009B00C4" w:rsidRPr="005B40EC" w:rsidRDefault="009B00C4" w:rsidP="00B01C7C">
            <w:pPr>
              <w:pStyle w:val="TableText"/>
              <w:spacing w:before="40" w:after="0" w:line="230" w:lineRule="atLeast"/>
            </w:pPr>
            <w:r w:rsidRPr="005B40EC">
              <w:t>Fertiliser Association</w:t>
            </w:r>
          </w:p>
          <w:p w14:paraId="1ABB4412" w14:textId="14E3CD5D" w:rsidR="009B00C4" w:rsidRPr="005B40EC" w:rsidRDefault="009B00C4" w:rsidP="00B01C7C">
            <w:pPr>
              <w:pStyle w:val="TableText"/>
              <w:spacing w:before="40" w:after="0" w:line="230" w:lineRule="atLeast"/>
            </w:pPr>
            <w:r w:rsidRPr="005B40EC">
              <w:t xml:space="preserve">Fisheries Inshore </w:t>
            </w:r>
            <w:r w:rsidR="008678C6">
              <w:t>New Zealand</w:t>
            </w:r>
          </w:p>
          <w:p w14:paraId="1D2F190B" w14:textId="77777777" w:rsidR="009B00C4" w:rsidRPr="005B40EC" w:rsidRDefault="009B00C4" w:rsidP="00B01C7C">
            <w:pPr>
              <w:pStyle w:val="TableText"/>
              <w:spacing w:before="40" w:after="0" w:line="230" w:lineRule="atLeast"/>
            </w:pPr>
            <w:r w:rsidRPr="005B40EC">
              <w:t>Fonterra</w:t>
            </w:r>
          </w:p>
          <w:p w14:paraId="32E07ECF" w14:textId="77777777" w:rsidR="009B00C4" w:rsidRPr="005B40EC" w:rsidRDefault="009B00C4" w:rsidP="00B01C7C">
            <w:pPr>
              <w:pStyle w:val="TableText"/>
              <w:spacing w:before="40" w:after="0" w:line="230" w:lineRule="atLeast"/>
            </w:pPr>
            <w:r w:rsidRPr="005B40EC">
              <w:t>Foundation for Arable Research</w:t>
            </w:r>
          </w:p>
          <w:p w14:paraId="2AD7CB0B" w14:textId="36AE4EE1" w:rsidR="009B00C4" w:rsidRPr="005B40EC" w:rsidRDefault="009B00C4" w:rsidP="00B01C7C">
            <w:pPr>
              <w:pStyle w:val="TableText"/>
              <w:spacing w:before="40" w:after="0" w:line="230" w:lineRule="atLeast"/>
            </w:pPr>
            <w:r w:rsidRPr="005B40EC">
              <w:t xml:space="preserve">Horticulture </w:t>
            </w:r>
            <w:r w:rsidR="008678C6">
              <w:t>New Zealand</w:t>
            </w:r>
          </w:p>
          <w:p w14:paraId="3395382B" w14:textId="7E27776D" w:rsidR="009B00C4" w:rsidRPr="005B40EC" w:rsidRDefault="009B00C4" w:rsidP="00B01C7C">
            <w:pPr>
              <w:pStyle w:val="TableText"/>
              <w:spacing w:before="40" w:after="0" w:line="230" w:lineRule="atLeast"/>
            </w:pPr>
            <w:r w:rsidRPr="005B40EC">
              <w:t>Irrigation N</w:t>
            </w:r>
            <w:r w:rsidR="002A40F0">
              <w:t>ew Zealand</w:t>
            </w:r>
          </w:p>
          <w:p w14:paraId="7E9894EC" w14:textId="77777777" w:rsidR="009B00C4" w:rsidRPr="005B40EC" w:rsidRDefault="009B00C4" w:rsidP="00B01C7C">
            <w:pPr>
              <w:pStyle w:val="TableText"/>
              <w:spacing w:before="40" w:after="0" w:line="230" w:lineRule="atLeast"/>
            </w:pPr>
            <w:r w:rsidRPr="005B40EC">
              <w:t>Meat Industry Association</w:t>
            </w:r>
          </w:p>
          <w:p w14:paraId="3E9610A1" w14:textId="20016B38" w:rsidR="009B00C4" w:rsidRPr="005B40EC" w:rsidRDefault="009B00C4" w:rsidP="00B01C7C">
            <w:pPr>
              <w:pStyle w:val="TableText"/>
              <w:spacing w:before="40" w:after="0" w:line="230" w:lineRule="atLeast"/>
            </w:pPr>
            <w:r w:rsidRPr="005B40EC">
              <w:t xml:space="preserve">New Zealand Winegrowers </w:t>
            </w:r>
            <w:r w:rsidR="00592516">
              <w:t>and</w:t>
            </w:r>
            <w:r w:rsidRPr="005B40EC">
              <w:t xml:space="preserve"> Bra</w:t>
            </w:r>
            <w:r w:rsidR="00592516">
              <w:t>gat</w:t>
            </w:r>
            <w:r w:rsidRPr="005B40EC">
              <w:t>o Research Institute</w:t>
            </w:r>
          </w:p>
          <w:p w14:paraId="1E08C3BC" w14:textId="0C89CD0F" w:rsidR="009B00C4" w:rsidRPr="005B40EC" w:rsidRDefault="002A40F0" w:rsidP="00B01C7C">
            <w:pPr>
              <w:pStyle w:val="TableText"/>
              <w:spacing w:before="40" w:after="0" w:line="230" w:lineRule="atLeast"/>
            </w:pPr>
            <w:r>
              <w:t>New Zealand</w:t>
            </w:r>
            <w:r w:rsidRPr="005B40EC">
              <w:t xml:space="preserve"> </w:t>
            </w:r>
            <w:r w:rsidR="009B00C4" w:rsidRPr="005B40EC">
              <w:t>Forest Owners Association</w:t>
            </w:r>
          </w:p>
          <w:p w14:paraId="5149D591" w14:textId="2ABDC289" w:rsidR="009B00C4" w:rsidRPr="005B40EC" w:rsidRDefault="002A40F0" w:rsidP="00B01C7C">
            <w:pPr>
              <w:pStyle w:val="TableText"/>
              <w:spacing w:before="40" w:after="0" w:line="230" w:lineRule="atLeast"/>
            </w:pPr>
            <w:r>
              <w:t>New Zealand</w:t>
            </w:r>
            <w:r w:rsidRPr="005B40EC">
              <w:t xml:space="preserve"> </w:t>
            </w:r>
            <w:r w:rsidR="009B00C4" w:rsidRPr="005B40EC">
              <w:t>Young Farmers</w:t>
            </w:r>
          </w:p>
          <w:p w14:paraId="18930674" w14:textId="77777777" w:rsidR="009B00C4" w:rsidRPr="005B40EC" w:rsidRDefault="009B00C4" w:rsidP="00B01C7C">
            <w:pPr>
              <w:pStyle w:val="TableText"/>
              <w:spacing w:before="40" w:after="0" w:line="230" w:lineRule="atLeast"/>
            </w:pPr>
            <w:r w:rsidRPr="005B40EC">
              <w:t xml:space="preserve">Rural Support National Council </w:t>
            </w:r>
          </w:p>
          <w:p w14:paraId="5B6B3D65" w14:textId="77777777" w:rsidR="009B00C4" w:rsidRPr="005B40EC" w:rsidRDefault="009B00C4" w:rsidP="00B01C7C">
            <w:pPr>
              <w:pStyle w:val="TableText"/>
              <w:spacing w:before="40" w:after="0" w:line="230" w:lineRule="atLeast"/>
            </w:pPr>
            <w:r w:rsidRPr="005B40EC">
              <w:t>Rural Women New Zealand</w:t>
            </w:r>
          </w:p>
          <w:p w14:paraId="3C1F40CE" w14:textId="77777777" w:rsidR="009B00C4" w:rsidRPr="005B40EC" w:rsidRDefault="009B00C4" w:rsidP="00B01C7C">
            <w:pPr>
              <w:pStyle w:val="TableText"/>
              <w:spacing w:before="40" w:after="40" w:line="230" w:lineRule="atLeast"/>
            </w:pPr>
            <w:r w:rsidRPr="005B40EC">
              <w:t>Zespri</w:t>
            </w:r>
          </w:p>
          <w:p w14:paraId="1605F502" w14:textId="77777777" w:rsidR="009B00C4" w:rsidRPr="005B40EC" w:rsidRDefault="009B00C4" w:rsidP="00B01C7C">
            <w:pPr>
              <w:pStyle w:val="TableTextBold"/>
              <w:spacing w:after="0" w:line="230" w:lineRule="atLeast"/>
            </w:pPr>
            <w:r w:rsidRPr="005B40EC">
              <w:t>Universities</w:t>
            </w:r>
          </w:p>
          <w:p w14:paraId="7D94FCDA" w14:textId="77777777" w:rsidR="009B00C4" w:rsidRPr="005B40EC" w:rsidRDefault="009B00C4" w:rsidP="00B01C7C">
            <w:pPr>
              <w:pStyle w:val="TableText"/>
              <w:spacing w:before="40" w:after="0" w:line="230" w:lineRule="atLeast"/>
            </w:pPr>
            <w:r w:rsidRPr="005B40EC">
              <w:t>AUT</w:t>
            </w:r>
          </w:p>
          <w:p w14:paraId="57B54110" w14:textId="77777777" w:rsidR="009B00C4" w:rsidRPr="005B40EC" w:rsidRDefault="009B00C4" w:rsidP="00B01C7C">
            <w:pPr>
              <w:pStyle w:val="TableText"/>
              <w:spacing w:before="40" w:after="0" w:line="230" w:lineRule="atLeast"/>
            </w:pPr>
            <w:r w:rsidRPr="005B40EC">
              <w:t>Massey University</w:t>
            </w:r>
          </w:p>
          <w:p w14:paraId="5F8DE50B" w14:textId="77777777" w:rsidR="009B00C4" w:rsidRPr="005B40EC" w:rsidRDefault="009B00C4" w:rsidP="00B01C7C">
            <w:pPr>
              <w:pStyle w:val="TableText"/>
              <w:spacing w:before="40" w:after="0" w:line="230" w:lineRule="atLeast"/>
            </w:pPr>
            <w:r w:rsidRPr="005B40EC">
              <w:t>Otago University</w:t>
            </w:r>
          </w:p>
          <w:p w14:paraId="6198B5DB" w14:textId="77777777" w:rsidR="009B00C4" w:rsidRPr="005B40EC" w:rsidRDefault="009B00C4" w:rsidP="00B01C7C">
            <w:pPr>
              <w:pStyle w:val="TableText"/>
              <w:spacing w:before="40" w:after="0" w:line="230" w:lineRule="atLeast"/>
            </w:pPr>
            <w:r w:rsidRPr="005B40EC">
              <w:t>University of Auckland</w:t>
            </w:r>
          </w:p>
          <w:p w14:paraId="3A856AC0" w14:textId="77777777" w:rsidR="009B00C4" w:rsidRPr="005B40EC" w:rsidRDefault="009B00C4" w:rsidP="00B01C7C">
            <w:pPr>
              <w:pStyle w:val="TableText"/>
              <w:spacing w:before="40" w:after="0" w:line="230" w:lineRule="atLeast"/>
            </w:pPr>
            <w:r w:rsidRPr="005B40EC">
              <w:t>University of Canterbury</w:t>
            </w:r>
          </w:p>
          <w:p w14:paraId="2B5D1993" w14:textId="77777777" w:rsidR="009B00C4" w:rsidRPr="005B40EC" w:rsidRDefault="009B00C4" w:rsidP="00B01C7C">
            <w:pPr>
              <w:pStyle w:val="TableText"/>
              <w:spacing w:before="40" w:after="0" w:line="230" w:lineRule="atLeast"/>
            </w:pPr>
            <w:r w:rsidRPr="005B40EC">
              <w:t>University of Otago</w:t>
            </w:r>
          </w:p>
          <w:p w14:paraId="2DAADD5E" w14:textId="77777777" w:rsidR="009B00C4" w:rsidRPr="005B40EC" w:rsidRDefault="009B00C4" w:rsidP="00B01C7C">
            <w:pPr>
              <w:pStyle w:val="TableText"/>
              <w:spacing w:before="40" w:after="0" w:line="230" w:lineRule="atLeast"/>
            </w:pPr>
            <w:r w:rsidRPr="005B40EC">
              <w:t>University of Waikato</w:t>
            </w:r>
          </w:p>
          <w:p w14:paraId="6DD62C8E" w14:textId="0EFB2523" w:rsidR="009B00C4" w:rsidRPr="005B40EC" w:rsidRDefault="009B00C4" w:rsidP="00B01C7C">
            <w:pPr>
              <w:pStyle w:val="TableText"/>
              <w:spacing w:before="40" w:after="40" w:line="230" w:lineRule="atLeast"/>
            </w:pPr>
            <w:r w:rsidRPr="005B40EC">
              <w:t>Victoria University of Wellington</w:t>
            </w:r>
          </w:p>
        </w:tc>
      </w:tr>
    </w:tbl>
    <w:p w14:paraId="13DF62FC" w14:textId="77777777" w:rsidR="00F14DB4" w:rsidRPr="00B01C7C" w:rsidRDefault="00F14DB4" w:rsidP="00B01C7C">
      <w:pPr>
        <w:pStyle w:val="Note"/>
        <w:keepNext/>
        <w:spacing w:after="60"/>
        <w:rPr>
          <w:b/>
          <w:bCs/>
        </w:rPr>
      </w:pPr>
      <w:r w:rsidRPr="00B01C7C">
        <w:rPr>
          <w:b/>
          <w:bCs/>
        </w:rPr>
        <w:lastRenderedPageBreak/>
        <w:t xml:space="preserve">Notes: </w:t>
      </w:r>
    </w:p>
    <w:p w14:paraId="7BE52AF2" w14:textId="7B6036C8" w:rsidR="00F14DB4" w:rsidRPr="0024184F" w:rsidRDefault="00F14DB4" w:rsidP="00F14DB4">
      <w:pPr>
        <w:pStyle w:val="TableBullet"/>
      </w:pPr>
      <w:r w:rsidRPr="0024184F">
        <w:t>This table does not reflect the full extent of M</w:t>
      </w:r>
      <w:r w:rsidRPr="0024184F">
        <w:rPr>
          <w:rFonts w:cs="Calibri"/>
        </w:rPr>
        <w:t>ā</w:t>
      </w:r>
      <w:r w:rsidRPr="0024184F">
        <w:t>ori/iwi organisations that received the p</w:t>
      </w:r>
      <w:r w:rsidRPr="0024184F">
        <w:rPr>
          <w:rFonts w:cs="Calibri"/>
        </w:rPr>
        <w:t>ā</w:t>
      </w:r>
      <w:r w:rsidRPr="0024184F">
        <w:t xml:space="preserve">nui </w:t>
      </w:r>
      <w:r>
        <w:t xml:space="preserve">(announcement) </w:t>
      </w:r>
      <w:r w:rsidRPr="0024184F">
        <w:t>for</w:t>
      </w:r>
      <w:r>
        <w:t> </w:t>
      </w:r>
      <w:r w:rsidRPr="0024184F">
        <w:t xml:space="preserve">the </w:t>
      </w:r>
      <w:r>
        <w:t>s</w:t>
      </w:r>
      <w:r w:rsidRPr="0024184F">
        <w:t xml:space="preserve">tage 1 hui or other communication from </w:t>
      </w:r>
      <w:r>
        <w:t>the Ministry</w:t>
      </w:r>
      <w:r w:rsidRPr="0024184F">
        <w:t xml:space="preserve"> on the NCCRA, as this database is held by </w:t>
      </w:r>
      <w:r>
        <w:t>the</w:t>
      </w:r>
      <w:r w:rsidR="00F82FDD">
        <w:t> </w:t>
      </w:r>
      <w:r>
        <w:t>Ministry</w:t>
      </w:r>
      <w:r w:rsidRPr="0024184F">
        <w:t xml:space="preserve">. </w:t>
      </w:r>
    </w:p>
    <w:p w14:paraId="21AD781B" w14:textId="2A8C9E68" w:rsidR="00F14DB4" w:rsidRPr="0024184F" w:rsidRDefault="00183EC4" w:rsidP="00F14DB4">
      <w:pPr>
        <w:pStyle w:val="TableBullet"/>
      </w:pPr>
      <w:r>
        <w:t>This</w:t>
      </w:r>
      <w:r w:rsidR="00F14DB4" w:rsidRPr="0024184F">
        <w:t xml:space="preserve"> table reflects organisations</w:t>
      </w:r>
      <w:r w:rsidR="002A40F0">
        <w:t xml:space="preserve"> and </w:t>
      </w:r>
      <w:r w:rsidR="00F14DB4" w:rsidRPr="0024184F">
        <w:t>individuals that the project team had direct contact with throughout the project (including where invitations or p</w:t>
      </w:r>
      <w:r w:rsidR="00F14DB4" w:rsidRPr="0024184F">
        <w:rPr>
          <w:rFonts w:cs="Calibri"/>
        </w:rPr>
        <w:t>ā</w:t>
      </w:r>
      <w:r w:rsidR="00F14DB4" w:rsidRPr="0024184F">
        <w:t xml:space="preserve">nui were declined). </w:t>
      </w:r>
    </w:p>
    <w:p w14:paraId="16E576C2" w14:textId="77777777" w:rsidR="00F14DB4" w:rsidRPr="0024184F" w:rsidRDefault="00F14DB4" w:rsidP="00F14DB4">
      <w:pPr>
        <w:pStyle w:val="TableBullet"/>
      </w:pPr>
      <w:r w:rsidRPr="0024184F">
        <w:t>A number of organisations sent multiple representatives to workshops. This particularly applies to government and research organisations.</w:t>
      </w:r>
    </w:p>
    <w:p w14:paraId="2A09940A" w14:textId="3A2A9C2D" w:rsidR="00407F15" w:rsidRPr="00B01C7C" w:rsidRDefault="00407F15" w:rsidP="00B01C7C">
      <w:pPr>
        <w:pStyle w:val="BodyText"/>
      </w:pPr>
    </w:p>
    <w:p w14:paraId="0FB6490F" w14:textId="5F1D8EB4" w:rsidR="004467F7" w:rsidRDefault="004467F7">
      <w:pPr>
        <w:spacing w:before="0" w:after="200" w:line="276" w:lineRule="auto"/>
        <w:jc w:val="left"/>
      </w:pPr>
      <w:r>
        <w:br w:type="page"/>
      </w:r>
    </w:p>
    <w:p w14:paraId="0BF86975" w14:textId="050357CD" w:rsidR="004467F7" w:rsidRDefault="000C3E06" w:rsidP="00BC1EE3">
      <w:pPr>
        <w:pStyle w:val="Heading1"/>
      </w:pPr>
      <w:bookmarkStart w:id="404" w:name="_Appendix_D:_NCCRA"/>
      <w:bookmarkStart w:id="405" w:name="_Appendix_F:_NCCRA"/>
      <w:bookmarkStart w:id="406" w:name="_Toc45898329"/>
      <w:bookmarkEnd w:id="404"/>
      <w:bookmarkEnd w:id="405"/>
      <w:r w:rsidRPr="004467F7">
        <w:lastRenderedPageBreak/>
        <w:t>Appendix</w:t>
      </w:r>
      <w:r>
        <w:t xml:space="preserve"> </w:t>
      </w:r>
      <w:r w:rsidR="00C92E74">
        <w:t>F</w:t>
      </w:r>
      <w:r w:rsidR="00961647">
        <w:t xml:space="preserve">: </w:t>
      </w:r>
      <w:r w:rsidR="007971B9" w:rsidRPr="007971B9">
        <w:t xml:space="preserve">NCCRA </w:t>
      </w:r>
      <w:r w:rsidR="000913AD">
        <w:t xml:space="preserve">project </w:t>
      </w:r>
      <w:r w:rsidR="007971B9" w:rsidRPr="007971B9">
        <w:t>team</w:t>
      </w:r>
      <w:bookmarkEnd w:id="406"/>
    </w:p>
    <w:p w14:paraId="1D88A550" w14:textId="094D01A6" w:rsidR="00806515" w:rsidRPr="00806515" w:rsidRDefault="00155A06" w:rsidP="00155A06">
      <w:pPr>
        <w:pStyle w:val="BodyText"/>
        <w:spacing w:before="360"/>
      </w:pPr>
      <w:r w:rsidRPr="0024184F">
        <w:rPr>
          <w:noProof/>
        </w:rPr>
        <w:drawing>
          <wp:inline distT="0" distB="0" distL="0" distR="0" wp14:anchorId="6A44E072" wp14:editId="5F2D3BF1">
            <wp:extent cx="5400040" cy="286062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Team structure.jpg"/>
                    <pic:cNvPicPr/>
                  </pic:nvPicPr>
                  <pic:blipFill>
                    <a:blip r:embed="rId67">
                      <a:extLst>
                        <a:ext uri="{28A0092B-C50C-407E-A947-70E740481C1C}">
                          <a14:useLocalDpi xmlns:a14="http://schemas.microsoft.com/office/drawing/2010/main" val="0"/>
                        </a:ext>
                      </a:extLst>
                    </a:blip>
                    <a:stretch>
                      <a:fillRect/>
                    </a:stretch>
                  </pic:blipFill>
                  <pic:spPr>
                    <a:xfrm>
                      <a:off x="0" y="0"/>
                      <a:ext cx="5400040" cy="2860629"/>
                    </a:xfrm>
                    <a:prstGeom prst="rect">
                      <a:avLst/>
                    </a:prstGeom>
                  </pic:spPr>
                </pic:pic>
              </a:graphicData>
            </a:graphic>
          </wp:inline>
        </w:drawing>
      </w:r>
    </w:p>
    <w:p w14:paraId="13AF72CA" w14:textId="77777777" w:rsidR="006B1B20" w:rsidRPr="00155A06" w:rsidRDefault="006B1B20" w:rsidP="00155A06">
      <w:pPr>
        <w:pStyle w:val="BodyText"/>
      </w:pPr>
    </w:p>
    <w:sectPr w:rsidR="006B1B20" w:rsidRPr="00155A06" w:rsidSect="00FE3724">
      <w:footerReference w:type="default" r:id="rId68"/>
      <w:pgSz w:w="11907" w:h="16840" w:code="9"/>
      <w:pgMar w:top="1134" w:right="1418" w:bottom="1134" w:left="1418" w:header="567" w:footer="567"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776AE" w16cex:dateUtc="2020-06-19T05:38:00Z"/>
  <w16cex:commentExtensible w16cex:durableId="2295F679" w16cex:dateUtc="2020-06-18T02:19:00Z"/>
  <w16cex:commentExtensible w16cex:durableId="2299FE34" w16cex:dateUtc="2020-06-21T03:41:00Z"/>
  <w16cex:commentExtensible w16cex:durableId="22976B9A" w16cex:dateUtc="2020-06-19T04:51:00Z"/>
  <w16cex:commentExtensible w16cex:durableId="22976DB1" w16cex:dateUtc="2020-06-19T05:00:00Z"/>
  <w16cex:commentExtensible w16cex:durableId="2297793E" w16cex:dateUtc="2020-06-19T05:49:00Z"/>
  <w16cex:commentExtensible w16cex:durableId="2297712A" w16cex:dateUtc="2020-06-19T05:15:00Z"/>
  <w16cex:commentExtensible w16cex:durableId="22977167" w16cex:dateUtc="2020-06-19T05:16:00Z"/>
  <w16cex:commentExtensible w16cex:durableId="22977579" w16cex:dateUtc="2020-06-19T05:33:00Z"/>
  <w16cex:commentExtensible w16cex:durableId="2297758C" w16cex:dateUtc="2020-06-19T05:34:00Z"/>
  <w16cex:commentExtensible w16cex:durableId="229775AB" w16cex:dateUtc="2020-06-19T05:34:00Z"/>
  <w16cex:commentExtensible w16cex:durableId="229775D0" w16cex:dateUtc="2020-06-19T05: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CC4F8BF" w16cid:durableId="229776AE"/>
  <w16cid:commentId w16cid:paraId="0108B167" w16cid:durableId="2296F0E4"/>
  <w16cid:commentId w16cid:paraId="458A694D" w16cid:durableId="2297555F"/>
  <w16cid:commentId w16cid:paraId="77216D09" w16cid:durableId="2295E44D"/>
  <w16cid:commentId w16cid:paraId="38458FD2" w16cid:durableId="2295E44E"/>
  <w16cid:commentId w16cid:paraId="5FAB3099" w16cid:durableId="2295E44F"/>
  <w16cid:commentId w16cid:paraId="114BCD9C" w16cid:durableId="2295F679"/>
  <w16cid:commentId w16cid:paraId="73C0AC41" w16cid:durableId="2299FE34"/>
  <w16cid:commentId w16cid:paraId="4C4DCCD5" w16cid:durableId="2295E451"/>
  <w16cid:commentId w16cid:paraId="5FB7DEBE" w16cid:durableId="2295E452"/>
  <w16cid:commentId w16cid:paraId="76B76642" w16cid:durableId="2298C6A5"/>
  <w16cid:commentId w16cid:paraId="74DAF087" w16cid:durableId="22975613"/>
  <w16cid:commentId w16cid:paraId="5D607AFC" w16cid:durableId="2296F0EC"/>
  <w16cid:commentId w16cid:paraId="595B1047" w16cid:durableId="22975650"/>
  <w16cid:commentId w16cid:paraId="5C8EE33E" w16cid:durableId="2296F0ED"/>
  <w16cid:commentId w16cid:paraId="70B09E35" w16cid:durableId="2297569F"/>
  <w16cid:commentId w16cid:paraId="310A0B01" w16cid:durableId="2295E455"/>
  <w16cid:commentId w16cid:paraId="59E1FCBE" w16cid:durableId="2296F0EE"/>
  <w16cid:commentId w16cid:paraId="4DA9EA8D" w16cid:durableId="229756F6"/>
  <w16cid:commentId w16cid:paraId="6EECDEA8" w16cid:durableId="2296F0EF"/>
  <w16cid:commentId w16cid:paraId="1026D45C" w16cid:durableId="2296F0F0"/>
  <w16cid:commentId w16cid:paraId="3CAD94AE" w16cid:durableId="22975710"/>
  <w16cid:commentId w16cid:paraId="003EAD73" w16cid:durableId="2296F0F1"/>
  <w16cid:commentId w16cid:paraId="7F90C7CD" w16cid:durableId="2297575F"/>
  <w16cid:commentId w16cid:paraId="6A0B814B" w16cid:durableId="2295E459"/>
  <w16cid:commentId w16cid:paraId="37C5A7F8" w16cid:durableId="2296F0F2"/>
  <w16cid:commentId w16cid:paraId="34C99B87" w16cid:durableId="2297580E"/>
  <w16cid:commentId w16cid:paraId="3C109024" w16cid:durableId="2295E45B"/>
  <w16cid:commentId w16cid:paraId="62768E3E" w16cid:durableId="2295E45C"/>
  <w16cid:commentId w16cid:paraId="793BC034" w16cid:durableId="2295E45D"/>
  <w16cid:commentId w16cid:paraId="04498960" w16cid:durableId="2295E45E"/>
  <w16cid:commentId w16cid:paraId="67C7CE0B" w16cid:durableId="2296F0F7"/>
  <w16cid:commentId w16cid:paraId="7738766D" w16cid:durableId="2297582E"/>
  <w16cid:commentId w16cid:paraId="5741D705" w16cid:durableId="2296F0F8"/>
  <w16cid:commentId w16cid:paraId="13E2C61E" w16cid:durableId="22975AFC"/>
  <w16cid:commentId w16cid:paraId="2F031D00" w16cid:durableId="2296F0F9"/>
  <w16cid:commentId w16cid:paraId="257C5B93" w16cid:durableId="22975B0C"/>
  <w16cid:commentId w16cid:paraId="3F97A4EC" w16cid:durableId="2296F0FA"/>
  <w16cid:commentId w16cid:paraId="379EB6AB" w16cid:durableId="22975B55"/>
  <w16cid:commentId w16cid:paraId="30B200D7" w16cid:durableId="2296F0FB"/>
  <w16cid:commentId w16cid:paraId="37D6FE77" w16cid:durableId="22975B65"/>
  <w16cid:commentId w16cid:paraId="3521716E" w16cid:durableId="2296F0FC"/>
  <w16cid:commentId w16cid:paraId="5F0964AC" w16cid:durableId="22975B9F"/>
  <w16cid:commentId w16cid:paraId="24FBB5F3" w16cid:durableId="2296F0FD"/>
  <w16cid:commentId w16cid:paraId="677FEF76" w16cid:durableId="22975BB2"/>
  <w16cid:commentId w16cid:paraId="4917E34E" w16cid:durableId="22976B9A"/>
  <w16cid:commentId w16cid:paraId="51075E33" w16cid:durableId="2295E466"/>
  <w16cid:commentId w16cid:paraId="22B5A066" w16cid:durableId="2295E467"/>
  <w16cid:commentId w16cid:paraId="6AC989E3" w16cid:durableId="2296F100"/>
  <w16cid:commentId w16cid:paraId="50BBC818" w16cid:durableId="22975BCA"/>
  <w16cid:commentId w16cid:paraId="4AE927F0" w16cid:durableId="22976DB1"/>
  <w16cid:commentId w16cid:paraId="1447B619" w16cid:durableId="2296F101"/>
  <w16cid:commentId w16cid:paraId="1E21AC35" w16cid:durableId="22975BEA"/>
  <w16cid:commentId w16cid:paraId="041B259B" w16cid:durableId="2295E46A"/>
  <w16cid:commentId w16cid:paraId="207E6634" w16cid:durableId="2295E46B"/>
  <w16cid:commentId w16cid:paraId="338D918B" w16cid:durableId="2296F104"/>
  <w16cid:commentId w16cid:paraId="59155E2E" w16cid:durableId="22975BFE"/>
  <w16cid:commentId w16cid:paraId="737862A1" w16cid:durableId="2296F105"/>
  <w16cid:commentId w16cid:paraId="6C6CC2EE" w16cid:durableId="22975C12"/>
  <w16cid:commentId w16cid:paraId="31CB1978" w16cid:durableId="2295E46E"/>
  <w16cid:commentId w16cid:paraId="579CCEDC" w16cid:durableId="2295E46F"/>
  <w16cid:commentId w16cid:paraId="07B55944" w16cid:durableId="2295E470"/>
  <w16cid:commentId w16cid:paraId="2FECC488" w16cid:durableId="2295E471"/>
  <w16cid:commentId w16cid:paraId="5F01DE88" w16cid:durableId="2296F10A"/>
  <w16cid:commentId w16cid:paraId="65C301D6" w16cid:durableId="22975C27"/>
  <w16cid:commentId w16cid:paraId="0E1F15D0" w16cid:durableId="2295E473"/>
  <w16cid:commentId w16cid:paraId="5BAF0979" w16cid:durableId="2296F10C"/>
  <w16cid:commentId w16cid:paraId="650B4DE8" w16cid:durableId="22975C37"/>
  <w16cid:commentId w16cid:paraId="769EC2C2" w16cid:durableId="2295E475"/>
  <w16cid:commentId w16cid:paraId="2AAB9B2C" w16cid:durableId="2297793E"/>
  <w16cid:commentId w16cid:paraId="71D7ACE7" w16cid:durableId="2296F10E"/>
  <w16cid:commentId w16cid:paraId="7A110C2E" w16cid:durableId="22975C57"/>
  <w16cid:commentId w16cid:paraId="080BD1C2" w16cid:durableId="2295E477"/>
  <w16cid:commentId w16cid:paraId="487ABD4B" w16cid:durableId="2295E478"/>
  <w16cid:commentId w16cid:paraId="27BCBA78" w16cid:durableId="2295E479"/>
  <w16cid:commentId w16cid:paraId="0E4A475E" w16cid:durableId="2295E47A"/>
  <w16cid:commentId w16cid:paraId="52A09659" w16cid:durableId="2295E47B"/>
  <w16cid:commentId w16cid:paraId="64B8F9F7" w16cid:durableId="2296F114"/>
  <w16cid:commentId w16cid:paraId="275A738A" w16cid:durableId="22975C77"/>
  <w16cid:commentId w16cid:paraId="66CEAFA3" w16cid:durableId="2297712A"/>
  <w16cid:commentId w16cid:paraId="291CF4DA" w16cid:durableId="22977167"/>
  <w16cid:commentId w16cid:paraId="730DCC69" w16cid:durableId="2296F115"/>
  <w16cid:commentId w16cid:paraId="7367CD1B" w16cid:durableId="22975C8A"/>
  <w16cid:commentId w16cid:paraId="2D85A0DE" w16cid:durableId="22977579"/>
  <w16cid:commentId w16cid:paraId="761C2AA2" w16cid:durableId="2297758C"/>
  <w16cid:commentId w16cid:paraId="6E508D7E" w16cid:durableId="2295E47E"/>
  <w16cid:commentId w16cid:paraId="09E235DB" w16cid:durableId="229775AB"/>
  <w16cid:commentId w16cid:paraId="2BADBE7F" w16cid:durableId="229775D0"/>
  <w16cid:commentId w16cid:paraId="7C09A6DF" w16cid:durableId="2295E47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EC8363" w14:textId="77777777" w:rsidR="00FE3724" w:rsidRDefault="00FE3724" w:rsidP="0080531E">
      <w:pPr>
        <w:spacing w:before="0" w:after="0" w:line="240" w:lineRule="auto"/>
      </w:pPr>
      <w:r>
        <w:separator/>
      </w:r>
    </w:p>
    <w:p w14:paraId="1D795112" w14:textId="77777777" w:rsidR="00FE3724" w:rsidRDefault="00FE3724"/>
  </w:endnote>
  <w:endnote w:type="continuationSeparator" w:id="0">
    <w:p w14:paraId="60B3E5A3" w14:textId="77777777" w:rsidR="00FE3724" w:rsidRDefault="00FE3724" w:rsidP="0080531E">
      <w:pPr>
        <w:spacing w:before="0" w:after="0" w:line="240" w:lineRule="auto"/>
      </w:pPr>
      <w:r>
        <w:continuationSeparator/>
      </w:r>
    </w:p>
    <w:p w14:paraId="707D7966" w14:textId="77777777" w:rsidR="00FE3724" w:rsidRDefault="00FE37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ECOM Sans">
    <w:charset w:val="00"/>
    <w:family w:val="swiss"/>
    <w:pitch w:val="variable"/>
    <w:sig w:usb0="00000000" w:usb1="D000FFFB" w:usb2="00000028" w:usb3="00000000" w:csb0="000001FF" w:csb1="00000000"/>
  </w:font>
  <w:font w:name="SabonLTStd-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240153" w14:textId="77777777" w:rsidR="001B2025" w:rsidRDefault="001B202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D545CE" w14:textId="1BC3DCCF" w:rsidR="00FE3724" w:rsidRDefault="00FE3724" w:rsidP="000D68FC">
    <w:pPr>
      <w:pStyle w:val="Footerodd"/>
      <w:tabs>
        <w:tab w:val="clear" w:pos="7938"/>
        <w:tab w:val="clear" w:pos="8505"/>
        <w:tab w:val="right" w:pos="20979"/>
        <w:tab w:val="right" w:pos="21546"/>
      </w:tabs>
    </w:pPr>
    <w:r>
      <w:tab/>
    </w:r>
    <w:r w:rsidRPr="00D8564D">
      <w:t>National Climate Change Risk Assessment for New Zealand</w:t>
    </w:r>
    <w:r>
      <w:t>:</w:t>
    </w:r>
    <w:r w:rsidRPr="0052237B">
      <w:t xml:space="preserve"> </w:t>
    </w:r>
    <w:r>
      <w:t>Method report</w:t>
    </w:r>
    <w:r>
      <w:tab/>
    </w:r>
    <w:r>
      <w:fldChar w:fldCharType="begin"/>
    </w:r>
    <w:r>
      <w:instrText xml:space="preserve"> PAGE   \* MERGEFORMAT </w:instrText>
    </w:r>
    <w:r>
      <w:fldChar w:fldCharType="separate"/>
    </w:r>
    <w:r w:rsidR="00F30418">
      <w:rPr>
        <w:noProof/>
      </w:rPr>
      <w:t>59</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24B8F" w14:textId="7C505645" w:rsidR="00FE3724" w:rsidRDefault="00FE3724" w:rsidP="00CD25E1">
    <w:pPr>
      <w:pStyle w:val="Footerodd"/>
    </w:pPr>
    <w:r>
      <w:tab/>
    </w:r>
    <w:r w:rsidRPr="00D8564D">
      <w:t>National Climate Change Risk Assessment for New Zealand</w:t>
    </w:r>
    <w:r>
      <w:t>:</w:t>
    </w:r>
    <w:r w:rsidRPr="0052237B">
      <w:t xml:space="preserve"> </w:t>
    </w:r>
    <w:r>
      <w:t>Method report</w:t>
    </w:r>
    <w:r>
      <w:tab/>
    </w:r>
    <w:r>
      <w:fldChar w:fldCharType="begin"/>
    </w:r>
    <w:r>
      <w:instrText xml:space="preserve"> PAGE   \* MERGEFORMAT </w:instrText>
    </w:r>
    <w:r>
      <w:fldChar w:fldCharType="separate"/>
    </w:r>
    <w:r w:rsidR="00F30418">
      <w:rPr>
        <w:noProof/>
      </w:rPr>
      <w:t>73</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4729B" w14:textId="5BEBDD14" w:rsidR="00FE3724" w:rsidRDefault="00FE3724" w:rsidP="00734B9A">
    <w:pPr>
      <w:spacing w:before="0" w:after="0" w:line="240" w:lineRule="auto"/>
      <w:ind w:left="-57"/>
      <w:jc w:val="lef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18A19B" w14:textId="77777777" w:rsidR="001B2025" w:rsidRDefault="001B20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F94A2" w14:textId="77777777" w:rsidR="00FE3724" w:rsidRDefault="00FE3724" w:rsidP="00E65427">
    <w:pPr>
      <w:spacing w:before="240"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0CEB9B" w14:textId="77777777" w:rsidR="00FE3724" w:rsidRDefault="00FE3724"/>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1DD74D" w14:textId="6E7B4E07" w:rsidR="00FE3724" w:rsidRDefault="00FE3724" w:rsidP="00CD25E1">
    <w:pPr>
      <w:pStyle w:val="Footereven"/>
    </w:pPr>
    <w:r w:rsidRPr="004F458A">
      <w:rPr>
        <w:b/>
      </w:rPr>
      <w:fldChar w:fldCharType="begin"/>
    </w:r>
    <w:r w:rsidRPr="004F458A">
      <w:instrText xml:space="preserve"> PAGE </w:instrText>
    </w:r>
    <w:r w:rsidRPr="004F458A">
      <w:rPr>
        <w:b/>
      </w:rPr>
      <w:fldChar w:fldCharType="separate"/>
    </w:r>
    <w:r w:rsidR="00F30418">
      <w:rPr>
        <w:noProof/>
      </w:rPr>
      <w:t>18</w:t>
    </w:r>
    <w:r w:rsidRPr="004F458A">
      <w:rPr>
        <w:b/>
      </w:rPr>
      <w:fldChar w:fldCharType="end"/>
    </w:r>
    <w:r>
      <w:tab/>
    </w:r>
    <w:r w:rsidRPr="00D8564D">
      <w:t>National Climate Change Risk Assessment for New Zealand</w:t>
    </w:r>
    <w:r>
      <w:t>:</w:t>
    </w:r>
    <w:r w:rsidRPr="0052237B">
      <w:t xml:space="preserve"> </w:t>
    </w:r>
    <w:r>
      <w:t>Method report</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F812E6" w14:textId="19347F0B" w:rsidR="00FE3724" w:rsidRDefault="00FE3724" w:rsidP="00CD25E1">
    <w:pPr>
      <w:pStyle w:val="Footerodd"/>
    </w:pPr>
    <w:r>
      <w:tab/>
    </w:r>
    <w:r w:rsidRPr="00D8564D">
      <w:t>National Climate Change Risk Assessment for New Zealand</w:t>
    </w:r>
    <w:r>
      <w:t>:</w:t>
    </w:r>
    <w:r w:rsidRPr="0052237B">
      <w:t xml:space="preserve"> </w:t>
    </w:r>
    <w:r>
      <w:t>Method report</w:t>
    </w:r>
    <w:r>
      <w:tab/>
    </w:r>
    <w:r>
      <w:fldChar w:fldCharType="begin"/>
    </w:r>
    <w:r>
      <w:instrText xml:space="preserve"> PAGE   \* MERGEFORMAT </w:instrText>
    </w:r>
    <w:r>
      <w:fldChar w:fldCharType="separate"/>
    </w:r>
    <w:r w:rsidR="00F30418">
      <w:rPr>
        <w:noProof/>
      </w:rPr>
      <w:t>7</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DAD225" w14:textId="4DC1206C" w:rsidR="00FE3724" w:rsidRDefault="00FE3724" w:rsidP="00467043">
    <w:pPr>
      <w:pStyle w:val="Footerodd"/>
      <w:tabs>
        <w:tab w:val="clear" w:pos="7938"/>
        <w:tab w:val="clear" w:pos="8505"/>
        <w:tab w:val="right" w:pos="20979"/>
        <w:tab w:val="right" w:pos="21546"/>
      </w:tabs>
    </w:pPr>
    <w:r>
      <w:tab/>
    </w:r>
    <w:r w:rsidRPr="00D8564D">
      <w:t>National Climate Change Risk Assessment for New Zealand</w:t>
    </w:r>
    <w:r>
      <w:t>:</w:t>
    </w:r>
    <w:r w:rsidRPr="0052237B">
      <w:t xml:space="preserve"> </w:t>
    </w:r>
    <w:r>
      <w:t>Method report</w:t>
    </w:r>
    <w:r>
      <w:tab/>
    </w:r>
    <w:r>
      <w:fldChar w:fldCharType="begin"/>
    </w:r>
    <w:r>
      <w:instrText xml:space="preserve"> PAGE   \* MERGEFORMAT </w:instrText>
    </w:r>
    <w:r>
      <w:fldChar w:fldCharType="separate"/>
    </w:r>
    <w:r w:rsidR="00F30418">
      <w:rPr>
        <w:noProof/>
      </w:rPr>
      <w:t>9</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603B0B" w14:textId="6F396E92" w:rsidR="00FE3724" w:rsidRDefault="00FE3724" w:rsidP="00CD25E1">
    <w:pPr>
      <w:pStyle w:val="Footerodd"/>
    </w:pPr>
    <w:r>
      <w:tab/>
    </w:r>
    <w:r w:rsidRPr="00D8564D">
      <w:t>National Climate Change Risk Assessment for New Zealand</w:t>
    </w:r>
    <w:r>
      <w:t>:</w:t>
    </w:r>
    <w:r w:rsidRPr="0052237B">
      <w:t xml:space="preserve"> </w:t>
    </w:r>
    <w:r>
      <w:t>Method report</w:t>
    </w:r>
    <w:r>
      <w:tab/>
    </w:r>
    <w:r>
      <w:fldChar w:fldCharType="begin"/>
    </w:r>
    <w:r>
      <w:instrText xml:space="preserve"> PAGE   \* MERGEFORMAT </w:instrText>
    </w:r>
    <w:r>
      <w:fldChar w:fldCharType="separate"/>
    </w:r>
    <w:r w:rsidR="00F30418">
      <w:rPr>
        <w:noProof/>
      </w:rPr>
      <w:t>17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0C9433" w14:textId="77777777" w:rsidR="00FE3724" w:rsidRDefault="00FE3724" w:rsidP="00CB5C5F">
      <w:pPr>
        <w:spacing w:before="0" w:after="80" w:line="240" w:lineRule="auto"/>
      </w:pPr>
      <w:r>
        <w:separator/>
      </w:r>
    </w:p>
  </w:footnote>
  <w:footnote w:type="continuationSeparator" w:id="0">
    <w:p w14:paraId="7995CE01" w14:textId="77777777" w:rsidR="00FE3724" w:rsidRDefault="00FE3724" w:rsidP="0080531E">
      <w:pPr>
        <w:spacing w:before="0" w:after="0" w:line="240" w:lineRule="auto"/>
      </w:pPr>
      <w:r>
        <w:continuationSeparator/>
      </w:r>
    </w:p>
    <w:p w14:paraId="030CFDFE" w14:textId="77777777" w:rsidR="00FE3724" w:rsidRDefault="00FE3724"/>
  </w:footnote>
  <w:footnote w:id="1">
    <w:p w14:paraId="7ADDF5EF" w14:textId="3428E3D1" w:rsidR="00FE3724" w:rsidRPr="009C6805" w:rsidRDefault="00FE3724" w:rsidP="003603D6">
      <w:pPr>
        <w:pStyle w:val="FootnoteText"/>
      </w:pPr>
      <w:r>
        <w:rPr>
          <w:rStyle w:val="FootnoteReference"/>
        </w:rPr>
        <w:footnoteRef/>
      </w:r>
      <w:r>
        <w:t xml:space="preserve"> </w:t>
      </w:r>
      <w:r>
        <w:tab/>
      </w:r>
      <w:r w:rsidRPr="003603D6">
        <w:t>The</w:t>
      </w:r>
      <w:r>
        <w:t xml:space="preserve"> application of urgency ratings in the NCCRA draws on the </w:t>
      </w:r>
      <w:r w:rsidRPr="0024184F">
        <w:rPr>
          <w:i/>
        </w:rPr>
        <w:t>UK Climate Change Risk Assessment</w:t>
      </w:r>
      <w:r>
        <w:rPr>
          <w:i/>
        </w:rPr>
        <w:t xml:space="preserve"> 2017</w:t>
      </w:r>
      <w:r w:rsidDel="00B22CFA">
        <w:t xml:space="preserve"> </w:t>
      </w:r>
      <w:r>
        <w:t>but differs in how it</w:t>
      </w:r>
      <w:r w:rsidRPr="00B22CFA">
        <w:t xml:space="preserve"> </w:t>
      </w:r>
      <w:r>
        <w:t xml:space="preserve">developed the urgency profiles. A full description of this method is </w:t>
      </w:r>
      <w:r w:rsidRPr="00732D7A">
        <w:t xml:space="preserve">in </w:t>
      </w:r>
      <w:hyperlink w:anchor="_Task_2:_Assess" w:history="1">
        <w:r w:rsidRPr="008C508E">
          <w:rPr>
            <w:rStyle w:val="Hyperlink"/>
          </w:rPr>
          <w:t>section 2.4.2</w:t>
        </w:r>
      </w:hyperlink>
      <w:r w:rsidRPr="00732D7A">
        <w:t>.</w:t>
      </w:r>
      <w:r>
        <w:t xml:space="preserve"> </w:t>
      </w:r>
    </w:p>
  </w:footnote>
  <w:footnote w:id="2">
    <w:p w14:paraId="5980A489" w14:textId="3A326CA4" w:rsidR="00FE3724" w:rsidRPr="00D65871" w:rsidRDefault="00FE3724" w:rsidP="006B2EC0">
      <w:pPr>
        <w:pStyle w:val="FootnoteText"/>
      </w:pPr>
      <w:r>
        <w:rPr>
          <w:rStyle w:val="FootnoteReference"/>
        </w:rPr>
        <w:footnoteRef/>
      </w:r>
      <w:r>
        <w:t xml:space="preserve"> </w:t>
      </w:r>
      <w:r>
        <w:tab/>
      </w:r>
      <w:r w:rsidRPr="00DA2D78">
        <w:rPr>
          <w:rFonts w:cs="Arial"/>
          <w:shd w:val="clear" w:color="auto" w:fill="FFFFFF"/>
        </w:rPr>
        <w:t>Radiative forcing is the change in the net, downward minus upward, radiative flux (expressed in Watts per</w:t>
      </w:r>
      <w:r>
        <w:rPr>
          <w:rFonts w:cs="Arial"/>
          <w:shd w:val="clear" w:color="auto" w:fill="FFFFFF"/>
        </w:rPr>
        <w:t> </w:t>
      </w:r>
      <w:r w:rsidRPr="00DA2D78">
        <w:rPr>
          <w:rFonts w:cs="Arial"/>
          <w:shd w:val="clear" w:color="auto" w:fill="FFFFFF"/>
        </w:rPr>
        <w:t>square metre; W m</w:t>
      </w:r>
      <w:r w:rsidRPr="00DA2D78">
        <w:rPr>
          <w:rFonts w:cs="Arial"/>
          <w:shd w:val="clear" w:color="auto" w:fill="FFFFFF"/>
          <w:vertAlign w:val="superscript"/>
        </w:rPr>
        <w:t>-2</w:t>
      </w:r>
      <w:r w:rsidRPr="00DA2D78">
        <w:rPr>
          <w:rFonts w:cs="Arial"/>
          <w:shd w:val="clear" w:color="auto" w:fill="FFFFFF"/>
        </w:rPr>
        <w:t>) at the </w:t>
      </w:r>
      <w:hyperlink r:id="rId1" w:anchor="tropopause" w:history="1">
        <w:r w:rsidRPr="00DA2D78">
          <w:rPr>
            <w:rStyle w:val="Hyperlink"/>
            <w:rFonts w:cs="Arial"/>
            <w:shd w:val="clear" w:color="auto" w:fill="FFFFFF"/>
          </w:rPr>
          <w:t>tropopause</w:t>
        </w:r>
      </w:hyperlink>
      <w:r w:rsidRPr="00DA2D78">
        <w:rPr>
          <w:rFonts w:cs="Arial"/>
          <w:shd w:val="clear" w:color="auto" w:fill="FFFFFF"/>
        </w:rPr>
        <w:t> or top of </w:t>
      </w:r>
      <w:hyperlink r:id="rId2" w:anchor="atmosphere" w:history="1">
        <w:r w:rsidRPr="00DA2D78">
          <w:rPr>
            <w:rStyle w:val="Hyperlink"/>
            <w:rFonts w:cs="Arial"/>
            <w:shd w:val="clear" w:color="auto" w:fill="FFFFFF"/>
          </w:rPr>
          <w:t>atmosphere</w:t>
        </w:r>
      </w:hyperlink>
      <w:r w:rsidRPr="00DA2D78">
        <w:rPr>
          <w:rFonts w:cs="Arial"/>
          <w:shd w:val="clear" w:color="auto" w:fill="FFFFFF"/>
        </w:rPr>
        <w:t> due to a change in an external driver of </w:t>
      </w:r>
      <w:hyperlink r:id="rId3" w:anchor="climateChange" w:history="1">
        <w:r w:rsidRPr="00DA2D78">
          <w:rPr>
            <w:rStyle w:val="Hyperlink"/>
            <w:rFonts w:cs="Arial"/>
            <w:shd w:val="clear" w:color="auto" w:fill="FFFFFF"/>
          </w:rPr>
          <w:t>climate change</w:t>
        </w:r>
      </w:hyperlink>
      <w:r w:rsidRPr="00DA2D78">
        <w:rPr>
          <w:rFonts w:cs="Arial"/>
          <w:shd w:val="clear" w:color="auto" w:fill="FFFFFF"/>
        </w:rPr>
        <w:t>, such as a change in the concentration of </w:t>
      </w:r>
      <w:hyperlink r:id="rId4" w:anchor="co2" w:history="1">
        <w:r w:rsidRPr="00DA2D78">
          <w:rPr>
            <w:rStyle w:val="Hyperlink"/>
            <w:rFonts w:cs="Arial"/>
            <w:shd w:val="clear" w:color="auto" w:fill="FFFFFF"/>
          </w:rPr>
          <w:t>carbon dioxide (CO</w:t>
        </w:r>
        <w:r w:rsidRPr="00DA2D78">
          <w:rPr>
            <w:rStyle w:val="Hyperlink"/>
            <w:rFonts w:cs="Arial"/>
            <w:shd w:val="clear" w:color="auto" w:fill="FFFFFF"/>
            <w:vertAlign w:val="subscript"/>
          </w:rPr>
          <w:t>2</w:t>
        </w:r>
        <w:r w:rsidRPr="00DA2D78">
          <w:rPr>
            <w:rStyle w:val="Hyperlink"/>
            <w:rFonts w:cs="Arial"/>
            <w:shd w:val="clear" w:color="auto" w:fill="FFFFFF"/>
          </w:rPr>
          <w:t>)</w:t>
        </w:r>
      </w:hyperlink>
      <w:r w:rsidRPr="00DA2D78">
        <w:rPr>
          <w:rFonts w:cs="Arial"/>
          <w:shd w:val="clear" w:color="auto" w:fill="FFFFFF"/>
        </w:rPr>
        <w:t xml:space="preserve"> or the output of the </w:t>
      </w:r>
      <w:r>
        <w:rPr>
          <w:rFonts w:cs="Arial"/>
          <w:shd w:val="clear" w:color="auto" w:fill="FFFFFF"/>
        </w:rPr>
        <w:t>s</w:t>
      </w:r>
      <w:r w:rsidRPr="00DA2D78">
        <w:rPr>
          <w:rFonts w:cs="Arial"/>
          <w:shd w:val="clear" w:color="auto" w:fill="FFFFFF"/>
        </w:rPr>
        <w:t>un</w:t>
      </w:r>
      <w:r>
        <w:rPr>
          <w:rFonts w:cs="Arial"/>
          <w:shd w:val="clear" w:color="auto" w:fill="FFFFFF"/>
        </w:rPr>
        <w:t> (</w:t>
      </w:r>
      <w:r w:rsidRPr="00CE7ED9">
        <w:rPr>
          <w:rFonts w:cs="Arial"/>
          <w:shd w:val="clear" w:color="auto" w:fill="FFFFFF"/>
        </w:rPr>
        <w:t>IPCC, 20</w:t>
      </w:r>
      <w:r>
        <w:rPr>
          <w:rFonts w:cs="Arial"/>
          <w:shd w:val="clear" w:color="auto" w:fill="FFFFFF"/>
        </w:rPr>
        <w:t>14b)</w:t>
      </w:r>
      <w:r w:rsidRPr="00DA2D78">
        <w:rPr>
          <w:rFonts w:cs="Arial"/>
          <w:shd w:val="clear" w:color="auto" w:fill="FFFFFF"/>
        </w:rPr>
        <w:t>.</w:t>
      </w:r>
    </w:p>
  </w:footnote>
  <w:footnote w:id="3">
    <w:p w14:paraId="11415E66" w14:textId="59B2B8B3" w:rsidR="00FE3724" w:rsidRDefault="00FE3724" w:rsidP="00834758">
      <w:pPr>
        <w:pStyle w:val="FootnoteText"/>
        <w:ind w:left="426" w:hanging="426"/>
      </w:pPr>
      <w:r>
        <w:rPr>
          <w:rStyle w:val="FootnoteReference"/>
        </w:rPr>
        <w:footnoteRef/>
      </w:r>
      <w:r>
        <w:t xml:space="preserve"> </w:t>
      </w:r>
      <w:r>
        <w:tab/>
        <w:t>Adaptation that does not constitute a conscious response to climatic stimuli but is triggered by ecological changes in natural systems and by market or welfare changes in human systems. Also referred to as spontaneous adaptation (</w:t>
      </w:r>
      <w:r w:rsidRPr="009E23C3">
        <w:t>Ministry for the Environment, 2019</w:t>
      </w:r>
      <w:r>
        <w:t>).</w:t>
      </w:r>
    </w:p>
  </w:footnote>
  <w:footnote w:id="4">
    <w:p w14:paraId="6F3950DD" w14:textId="0BE6B187" w:rsidR="00FE3724" w:rsidRPr="00866A30" w:rsidRDefault="00FE3724" w:rsidP="00535FCA">
      <w:pPr>
        <w:pStyle w:val="FootnoteText"/>
      </w:pPr>
      <w:r>
        <w:rPr>
          <w:rStyle w:val="FootnoteReference"/>
        </w:rPr>
        <w:footnoteRef/>
      </w:r>
      <w:r>
        <w:t xml:space="preserve"> </w:t>
      </w:r>
      <w:r>
        <w:tab/>
        <w:t xml:space="preserve">See, for example, </w:t>
      </w:r>
      <w:hyperlink r:id="rId5" w:history="1">
        <w:r w:rsidRPr="00A1749B">
          <w:rPr>
            <w:rStyle w:val="Hyperlink"/>
          </w:rPr>
          <w:t>https://www.health.govt.nz/our-work/populations/Māori-health/Māori-health-models/Māori-health-models-te-whare-tapa-wha</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E1D00" w14:textId="77777777" w:rsidR="001B2025" w:rsidRDefault="001B20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179F87" w14:textId="4958FF49" w:rsidR="00FE3724" w:rsidRPr="00DE7BF8" w:rsidRDefault="00FE3724" w:rsidP="00734B9A">
    <w:pPr>
      <w:pStyle w:val="Header"/>
      <w:ind w:left="-57"/>
      <w:jc w:val="left"/>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54E02" w14:textId="77777777" w:rsidR="001B2025" w:rsidRDefault="001B20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DA8490" w14:textId="77777777" w:rsidR="00FE3724" w:rsidRDefault="00FE3724" w:rsidP="0036151C"/>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44A0C" w14:textId="77777777" w:rsidR="00FE3724" w:rsidRDefault="00FE37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0148"/>
    <w:multiLevelType w:val="multilevel"/>
    <w:tmpl w:val="955EA98C"/>
    <w:lvl w:ilvl="0">
      <w:start w:val="1"/>
      <w:numFmt w:val="decimal"/>
      <w:lvlText w:val="%1"/>
      <w:lvlJc w:val="left"/>
      <w:pPr>
        <w:ind w:left="851" w:hanging="851"/>
      </w:pPr>
      <w:rPr>
        <w:rFonts w:ascii="Calibri" w:hAnsi="Calibri" w:hint="default"/>
        <w:b/>
        <w:i w:val="0"/>
        <w:sz w:val="48"/>
        <w:szCs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9D304E7"/>
    <w:multiLevelType w:val="multilevel"/>
    <w:tmpl w:val="98E4F0F0"/>
    <w:lvl w:ilvl="0">
      <w:start w:val="1"/>
      <w:numFmt w:val="decimal"/>
      <w:lvlText w:val="3.2.%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0E7B30DE"/>
    <w:multiLevelType w:val="multilevel"/>
    <w:tmpl w:val="32509308"/>
    <w:lvl w:ilvl="0">
      <w:start w:val="1"/>
      <w:numFmt w:val="decimal"/>
      <w:lvlText w:val="3.%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6D21A84"/>
    <w:multiLevelType w:val="multilevel"/>
    <w:tmpl w:val="69A07D02"/>
    <w:numStyleLink w:val="TTListNumber"/>
  </w:abstractNum>
  <w:abstractNum w:abstractNumId="6" w15:restartNumberingAfterBreak="0">
    <w:nsid w:val="191D2DE8"/>
    <w:multiLevelType w:val="multilevel"/>
    <w:tmpl w:val="642413A6"/>
    <w:lvl w:ilvl="0">
      <w:start w:val="1"/>
      <w:numFmt w:val="decimal"/>
      <w:lvlText w:val="1.%1."/>
      <w:lvlJc w:val="left"/>
      <w:pPr>
        <w:ind w:left="851" w:hanging="851"/>
      </w:pPr>
      <w:rPr>
        <w:rFonts w:hint="default"/>
        <w:b/>
        <w:i w:val="0"/>
        <w:sz w:val="36"/>
        <w:szCs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1E474939"/>
    <w:multiLevelType w:val="multilevel"/>
    <w:tmpl w:val="7C5C35EC"/>
    <w:lvl w:ilvl="0">
      <w:start w:val="1"/>
      <w:numFmt w:val="decimal"/>
      <w:lvlText w:val="3.3.%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04F1D2E"/>
    <w:multiLevelType w:val="multilevel"/>
    <w:tmpl w:val="78387896"/>
    <w:lvl w:ilvl="0">
      <w:start w:val="1"/>
      <w:numFmt w:val="bullet"/>
      <w:pStyle w:val="Blue-boxsub-bullet"/>
      <w:lvlText w:val="‒"/>
      <w:lvlJc w:val="left"/>
      <w:pPr>
        <w:ind w:left="1077" w:hanging="397"/>
      </w:pPr>
      <w:rPr>
        <w:rFonts w:ascii="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9" w15:restartNumberingAfterBreak="0">
    <w:nsid w:val="208C5CF5"/>
    <w:multiLevelType w:val="multilevel"/>
    <w:tmpl w:val="315614E2"/>
    <w:lvl w:ilvl="0">
      <w:start w:val="1"/>
      <w:numFmt w:val="lowerLetter"/>
      <w:pStyle w:val="Sub-lista"/>
      <w:lvlText w:val="(%1)"/>
      <w:lvlJc w:val="left"/>
      <w:pPr>
        <w:ind w:left="794" w:hanging="397"/>
      </w:pPr>
      <w:rPr>
        <w:rFonts w:ascii="Calibri" w:hAnsi="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C0746D0"/>
    <w:multiLevelType w:val="multilevel"/>
    <w:tmpl w:val="B470B63E"/>
    <w:lvl w:ilvl="0">
      <w:start w:val="2"/>
      <w:numFmt w:val="decimal"/>
      <w:lvlText w:val="%1"/>
      <w:lvlJc w:val="left"/>
      <w:pPr>
        <w:ind w:left="851" w:hanging="851"/>
      </w:pPr>
      <w:rPr>
        <w:rFonts w:ascii="Calibri" w:hAnsi="Calibri" w:hint="default"/>
        <w:b/>
        <w:i w:val="0"/>
        <w:sz w:val="48"/>
        <w:szCs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CBA1FDA"/>
    <w:multiLevelType w:val="multilevel"/>
    <w:tmpl w:val="69A07D02"/>
    <w:styleLink w:val="TTListNumber"/>
    <w:lvl w:ilvl="0">
      <w:start w:val="1"/>
      <w:numFmt w:val="decimal"/>
      <w:pStyle w:val="ListNumber"/>
      <w:lvlText w:val="%1"/>
      <w:lvlJc w:val="left"/>
      <w:pPr>
        <w:tabs>
          <w:tab w:val="num" w:pos="567"/>
        </w:tabs>
        <w:ind w:left="567" w:hanging="567"/>
      </w:pPr>
      <w:rPr>
        <w:rFonts w:hint="default"/>
        <w:b w:val="0"/>
      </w:rPr>
    </w:lvl>
    <w:lvl w:ilvl="1">
      <w:start w:val="1"/>
      <w:numFmt w:val="bullet"/>
      <w:lvlText w:val=""/>
      <w:lvlJc w:val="left"/>
      <w:pPr>
        <w:tabs>
          <w:tab w:val="num" w:pos="1134"/>
        </w:tabs>
        <w:ind w:left="1134" w:hanging="567"/>
      </w:pPr>
      <w:rPr>
        <w:rFonts w:ascii="Symbol" w:hAnsi="Symbol" w:hint="default"/>
      </w:rPr>
    </w:lvl>
    <w:lvl w:ilvl="2">
      <w:start w:val="1"/>
      <w:numFmt w:val="bullet"/>
      <w:lvlText w:val="o"/>
      <w:lvlJc w:val="left"/>
      <w:pPr>
        <w:tabs>
          <w:tab w:val="num" w:pos="1701"/>
        </w:tabs>
        <w:ind w:left="1701" w:hanging="567"/>
      </w:pPr>
      <w:rPr>
        <w:rFonts w:hint="default"/>
      </w:rPr>
    </w:lvl>
    <w:lvl w:ilvl="3">
      <w:start w:val="1"/>
      <w:numFmt w:val="bullet"/>
      <w:lvlText w:val=""/>
      <w:lvlJc w:val="left"/>
      <w:pPr>
        <w:tabs>
          <w:tab w:val="num" w:pos="2268"/>
        </w:tabs>
        <w:ind w:left="2268" w:hanging="567"/>
      </w:pPr>
      <w:rPr>
        <w:rFonts w:ascii="Wingdings" w:hAnsi="Wingdings" w:hint="default"/>
      </w:rPr>
    </w:lvl>
    <w:lvl w:ilvl="4">
      <w:start w:val="1"/>
      <w:numFmt w:val="none"/>
      <w:lvlText w:val=""/>
      <w:lvlJc w:val="left"/>
      <w:pPr>
        <w:tabs>
          <w:tab w:val="num" w:pos="567"/>
        </w:tabs>
        <w:ind w:left="567" w:hanging="567"/>
      </w:pPr>
      <w:rPr>
        <w:rFonts w:hint="default"/>
      </w:rPr>
    </w:lvl>
    <w:lvl w:ilvl="5">
      <w:start w:val="1"/>
      <w:numFmt w:val="none"/>
      <w:lvlText w:val=""/>
      <w:lvlJc w:val="left"/>
      <w:pPr>
        <w:tabs>
          <w:tab w:val="num" w:pos="567"/>
        </w:tabs>
        <w:ind w:left="567" w:hanging="567"/>
      </w:pPr>
      <w:rPr>
        <w:rFonts w:hint="default"/>
      </w:rPr>
    </w:lvl>
    <w:lvl w:ilvl="6">
      <w:start w:val="1"/>
      <w:numFmt w:val="none"/>
      <w:lvlText w:val=""/>
      <w:lvlJc w:val="left"/>
      <w:pPr>
        <w:tabs>
          <w:tab w:val="num" w:pos="567"/>
        </w:tabs>
        <w:ind w:left="567" w:hanging="567"/>
      </w:pPr>
      <w:rPr>
        <w:rFonts w:hint="default"/>
      </w:rPr>
    </w:lvl>
    <w:lvl w:ilvl="7">
      <w:start w:val="1"/>
      <w:numFmt w:val="none"/>
      <w:lvlText w:val=""/>
      <w:lvlJc w:val="left"/>
      <w:pPr>
        <w:tabs>
          <w:tab w:val="num" w:pos="567"/>
        </w:tabs>
        <w:ind w:left="567" w:hanging="567"/>
      </w:pPr>
      <w:rPr>
        <w:rFonts w:hint="default"/>
      </w:rPr>
    </w:lvl>
    <w:lvl w:ilvl="8">
      <w:start w:val="1"/>
      <w:numFmt w:val="none"/>
      <w:lvlText w:val=""/>
      <w:lvlJc w:val="left"/>
      <w:pPr>
        <w:tabs>
          <w:tab w:val="num" w:pos="567"/>
        </w:tabs>
        <w:ind w:left="567" w:hanging="567"/>
      </w:pPr>
      <w:rPr>
        <w:rFonts w:hint="default"/>
      </w:rPr>
    </w:lvl>
  </w:abstractNum>
  <w:abstractNum w:abstractNumId="13"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D1A6BE2"/>
    <w:multiLevelType w:val="multilevel"/>
    <w:tmpl w:val="EE7CD296"/>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5" w15:restartNumberingAfterBreak="0">
    <w:nsid w:val="2F062917"/>
    <w:multiLevelType w:val="multilevel"/>
    <w:tmpl w:val="D10C3BFA"/>
    <w:lvl w:ilvl="0">
      <w:start w:val="1"/>
      <w:numFmt w:val="decimal"/>
      <w:lvlText w:val="2.3.%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lvlText w:val="%1.%2.%3.%4.%5.%6.%7.%8.%9"/>
      <w:lvlJc w:val="left"/>
      <w:pPr>
        <w:tabs>
          <w:tab w:val="num" w:pos="3850"/>
        </w:tabs>
        <w:ind w:left="3850" w:hanging="1582"/>
      </w:pPr>
      <w:rPr>
        <w:rFonts w:hint="default"/>
      </w:rPr>
    </w:lvl>
  </w:abstractNum>
  <w:abstractNum w:abstractNumId="17" w15:restartNumberingAfterBreak="0">
    <w:nsid w:val="36646631"/>
    <w:multiLevelType w:val="multilevel"/>
    <w:tmpl w:val="8E642586"/>
    <w:lvl w:ilvl="0">
      <w:start w:val="1"/>
      <w:numFmt w:val="decimal"/>
      <w:lvlText w:val="3.1.%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3AE524B7"/>
    <w:multiLevelType w:val="multilevel"/>
    <w:tmpl w:val="9F983BEC"/>
    <w:lvl w:ilvl="0">
      <w:start w:val="1"/>
      <w:numFmt w:val="decimal"/>
      <w:lvlText w:val="2.4.%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13D04D1"/>
    <w:multiLevelType w:val="multilevel"/>
    <w:tmpl w:val="2F44BE0E"/>
    <w:lvl w:ilvl="0">
      <w:start w:val="1"/>
      <w:numFmt w:val="decimal"/>
      <w:lvlText w:val="2.%1"/>
      <w:lvlJc w:val="left"/>
      <w:pPr>
        <w:ind w:left="851" w:hanging="851"/>
      </w:pPr>
      <w:rPr>
        <w:rFonts w:ascii="Calibri" w:hAnsi="Calibri"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63D6104"/>
    <w:multiLevelType w:val="multilevel"/>
    <w:tmpl w:val="5CA6DE52"/>
    <w:lvl w:ilvl="0">
      <w:start w:val="1"/>
      <w:numFmt w:val="lowerRoman"/>
      <w:pStyle w:val="Sub-listi"/>
      <w:lvlText w:val="%1."/>
      <w:lvlJc w:val="left"/>
      <w:pPr>
        <w:ind w:left="1191" w:hanging="397"/>
      </w:pPr>
      <w:rPr>
        <w:rFonts w:ascii="Calibri" w:hAnsi="Calibri" w:cs="Calibri" w:hint="default"/>
        <w:b w:val="0"/>
        <w:i w:val="0"/>
        <w:sz w:val="22"/>
        <w:szCs w:val="22"/>
      </w:rPr>
    </w:lvl>
    <w:lvl w:ilvl="1">
      <w:start w:val="1"/>
      <w:numFmt w:val="lowerLetter"/>
      <w:lvlText w:val="%2."/>
      <w:lvlJc w:val="left"/>
      <w:pPr>
        <w:tabs>
          <w:tab w:val="num" w:pos="1043"/>
        </w:tabs>
        <w:ind w:left="1043" w:hanging="360"/>
      </w:pPr>
      <w:rPr>
        <w:rFonts w:hint="default"/>
      </w:rPr>
    </w:lvl>
    <w:lvl w:ilvl="2">
      <w:start w:val="1"/>
      <w:numFmt w:val="lowerRoman"/>
      <w:lvlText w:val="%3."/>
      <w:lvlJc w:val="right"/>
      <w:pPr>
        <w:tabs>
          <w:tab w:val="num" w:pos="1763"/>
        </w:tabs>
        <w:ind w:left="1763" w:hanging="180"/>
      </w:pPr>
      <w:rPr>
        <w:rFonts w:hint="default"/>
      </w:rPr>
    </w:lvl>
    <w:lvl w:ilvl="3">
      <w:start w:val="1"/>
      <w:numFmt w:val="decimal"/>
      <w:lvlText w:val="%4."/>
      <w:lvlJc w:val="left"/>
      <w:pPr>
        <w:tabs>
          <w:tab w:val="num" w:pos="2483"/>
        </w:tabs>
        <w:ind w:left="2483" w:hanging="360"/>
      </w:pPr>
      <w:rPr>
        <w:rFonts w:hint="default"/>
      </w:rPr>
    </w:lvl>
    <w:lvl w:ilvl="4">
      <w:start w:val="1"/>
      <w:numFmt w:val="lowerLetter"/>
      <w:lvlText w:val="%5."/>
      <w:lvlJc w:val="left"/>
      <w:pPr>
        <w:tabs>
          <w:tab w:val="num" w:pos="3203"/>
        </w:tabs>
        <w:ind w:left="3203" w:hanging="360"/>
      </w:pPr>
      <w:rPr>
        <w:rFonts w:hint="default"/>
      </w:rPr>
    </w:lvl>
    <w:lvl w:ilvl="5">
      <w:start w:val="1"/>
      <w:numFmt w:val="lowerRoman"/>
      <w:lvlText w:val="%6."/>
      <w:lvlJc w:val="right"/>
      <w:pPr>
        <w:tabs>
          <w:tab w:val="num" w:pos="3923"/>
        </w:tabs>
        <w:ind w:left="3923" w:hanging="180"/>
      </w:pPr>
      <w:rPr>
        <w:rFonts w:hint="default"/>
      </w:rPr>
    </w:lvl>
    <w:lvl w:ilvl="6">
      <w:start w:val="1"/>
      <w:numFmt w:val="decimal"/>
      <w:lvlText w:val="%7."/>
      <w:lvlJc w:val="left"/>
      <w:pPr>
        <w:tabs>
          <w:tab w:val="num" w:pos="4643"/>
        </w:tabs>
        <w:ind w:left="4643" w:hanging="360"/>
      </w:pPr>
      <w:rPr>
        <w:rFonts w:hint="default"/>
      </w:rPr>
    </w:lvl>
    <w:lvl w:ilvl="7">
      <w:start w:val="1"/>
      <w:numFmt w:val="lowerLetter"/>
      <w:lvlText w:val="%8."/>
      <w:lvlJc w:val="left"/>
      <w:pPr>
        <w:tabs>
          <w:tab w:val="num" w:pos="5363"/>
        </w:tabs>
        <w:ind w:left="5363" w:hanging="360"/>
      </w:pPr>
      <w:rPr>
        <w:rFonts w:hint="default"/>
      </w:rPr>
    </w:lvl>
    <w:lvl w:ilvl="8">
      <w:start w:val="1"/>
      <w:numFmt w:val="lowerRoman"/>
      <w:lvlText w:val="%9."/>
      <w:lvlJc w:val="right"/>
      <w:pPr>
        <w:tabs>
          <w:tab w:val="num" w:pos="6083"/>
        </w:tabs>
        <w:ind w:left="6083" w:hanging="180"/>
      </w:pPr>
      <w:rPr>
        <w:rFonts w:hint="default"/>
      </w:rPr>
    </w:lvl>
  </w:abstractNum>
  <w:abstractNum w:abstractNumId="24" w15:restartNumberingAfterBreak="0">
    <w:nsid w:val="464C2154"/>
    <w:multiLevelType w:val="multilevel"/>
    <w:tmpl w:val="D4962CD0"/>
    <w:lvl w:ilvl="0">
      <w:start w:val="1"/>
      <w:numFmt w:val="decimal"/>
      <w:lvlText w:val="%1.0"/>
      <w:lvlJc w:val="left"/>
      <w:pPr>
        <w:tabs>
          <w:tab w:val="num" w:pos="992"/>
        </w:tabs>
        <w:ind w:left="992" w:hanging="992"/>
      </w:pPr>
      <w:rPr>
        <w:rFonts w:hint="default"/>
      </w:rPr>
    </w:lvl>
    <w:lvl w:ilvl="1">
      <w:start w:val="1"/>
      <w:numFmt w:val="decimal"/>
      <w:lvlText w:val="1.%2"/>
      <w:lvlJc w:val="left"/>
      <w:pPr>
        <w:ind w:left="851" w:hanging="851"/>
      </w:pPr>
      <w:rPr>
        <w:rFonts w:ascii="Calibri" w:hAnsi="Calibri" w:hint="default"/>
        <w:b/>
        <w:i w:val="0"/>
        <w:sz w:val="36"/>
        <w:szCs w:val="36"/>
      </w:rPr>
    </w:lvl>
    <w:lvl w:ilvl="2">
      <w:start w:val="1"/>
      <w:numFmt w:val="decimal"/>
      <w:lvlText w:val="2.1.%3"/>
      <w:lvlJc w:val="left"/>
      <w:pPr>
        <w:ind w:left="851" w:hanging="851"/>
      </w:pPr>
      <w:rPr>
        <w:rFonts w:hint="default"/>
        <w:b/>
        <w:i w:val="0"/>
        <w:sz w:val="28"/>
      </w:rPr>
    </w:lvl>
    <w:lvl w:ilvl="3">
      <w:start w:val="1"/>
      <w:numFmt w:val="decimal"/>
      <w:lvlText w:val="%1.%2.%3.%4"/>
      <w:lvlJc w:val="left"/>
      <w:pPr>
        <w:tabs>
          <w:tab w:val="num" w:pos="1440"/>
        </w:tabs>
        <w:ind w:left="1134" w:hanging="1134"/>
      </w:pPr>
      <w:rPr>
        <w:rFonts w:hint="default"/>
      </w:rPr>
    </w:lvl>
    <w:lvl w:ilvl="4">
      <w:start w:val="1"/>
      <w:numFmt w:val="decimal"/>
      <w:lvlText w:val="%1.%2.%3.%4.%5"/>
      <w:lvlJc w:val="left"/>
      <w:pPr>
        <w:tabs>
          <w:tab w:val="num" w:pos="992"/>
        </w:tabs>
        <w:ind w:left="992" w:hanging="992"/>
      </w:pPr>
      <w:rPr>
        <w:rFonts w:hint="default"/>
      </w:rPr>
    </w:lvl>
    <w:lvl w:ilvl="5">
      <w:start w:val="1"/>
      <w:numFmt w:val="decimal"/>
      <w:lvlText w:val="%1.%2.%3.%4.%5.%6"/>
      <w:lvlJc w:val="left"/>
      <w:pPr>
        <w:tabs>
          <w:tab w:val="num" w:pos="-261"/>
        </w:tabs>
        <w:ind w:left="-549" w:hanging="1152"/>
      </w:pPr>
      <w:rPr>
        <w:rFonts w:hint="default"/>
      </w:rPr>
    </w:lvl>
    <w:lvl w:ilvl="6">
      <w:start w:val="1"/>
      <w:numFmt w:val="decimal"/>
      <w:lvlText w:val="%1.%2.%3.%4.%5.%6.%7"/>
      <w:lvlJc w:val="left"/>
      <w:pPr>
        <w:tabs>
          <w:tab w:val="num" w:pos="99"/>
        </w:tabs>
        <w:ind w:left="-405" w:hanging="1296"/>
      </w:pPr>
      <w:rPr>
        <w:rFonts w:hint="default"/>
      </w:rPr>
    </w:lvl>
    <w:lvl w:ilvl="7">
      <w:start w:val="1"/>
      <w:numFmt w:val="decimal"/>
      <w:lvlText w:val="%1.%2.%3.%4.%5.%6.%7.%8"/>
      <w:lvlJc w:val="left"/>
      <w:pPr>
        <w:tabs>
          <w:tab w:val="num" w:pos="459"/>
        </w:tabs>
        <w:ind w:left="-261" w:hanging="1440"/>
      </w:pPr>
      <w:rPr>
        <w:rFonts w:hint="default"/>
      </w:rPr>
    </w:lvl>
    <w:lvl w:ilvl="8">
      <w:start w:val="1"/>
      <w:numFmt w:val="upperLetter"/>
      <w:pStyle w:val="Heading9"/>
      <w:suff w:val="nothing"/>
      <w:lvlText w:val=""/>
      <w:lvlJc w:val="left"/>
      <w:pPr>
        <w:ind w:left="0" w:firstLine="0"/>
      </w:pPr>
      <w:rPr>
        <w:rFonts w:hint="default"/>
        <w:vanish w:val="0"/>
        <w:color w:val="FFFFFF"/>
        <w:sz w:val="2"/>
      </w:rPr>
    </w:lvl>
  </w:abstractNum>
  <w:abstractNum w:abstractNumId="25" w15:restartNumberingAfterBreak="0">
    <w:nsid w:val="53535234"/>
    <w:multiLevelType w:val="singleLevel"/>
    <w:tmpl w:val="D1A2CC06"/>
    <w:lvl w:ilvl="0">
      <w:start w:val="1"/>
      <w:numFmt w:val="bullet"/>
      <w:pStyle w:val="Blue-boxbullet"/>
      <w:lvlText w:val=""/>
      <w:lvlJc w:val="left"/>
      <w:pPr>
        <w:ind w:left="644" w:hanging="360"/>
      </w:pPr>
      <w:rPr>
        <w:rFonts w:ascii="Symbol" w:hAnsi="Symbol" w:hint="default"/>
        <w:color w:val="1C556C"/>
        <w:sz w:val="16"/>
      </w:rPr>
    </w:lvl>
  </w:abstractNum>
  <w:abstractNum w:abstractNumId="26" w15:restartNumberingAfterBreak="0">
    <w:nsid w:val="666F0710"/>
    <w:multiLevelType w:val="multilevel"/>
    <w:tmpl w:val="F454E1DC"/>
    <w:lvl w:ilvl="0">
      <w:start w:val="1"/>
      <w:numFmt w:val="decimal"/>
      <w:lvlText w:val="4.2.%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9"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6626048"/>
    <w:multiLevelType w:val="hybridMultilevel"/>
    <w:tmpl w:val="FBD6E33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1" w15:restartNumberingAfterBreak="0">
    <w:nsid w:val="770A035B"/>
    <w:multiLevelType w:val="multilevel"/>
    <w:tmpl w:val="AC9459B0"/>
    <w:lvl w:ilvl="0">
      <w:start w:val="1"/>
      <w:numFmt w:val="decimal"/>
      <w:lvlText w:val="4.%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7CB20486"/>
    <w:multiLevelType w:val="multilevel"/>
    <w:tmpl w:val="C862E270"/>
    <w:lvl w:ilvl="0">
      <w:start w:val="1"/>
      <w:numFmt w:val="decimal"/>
      <w:lvlText w:val="2.2.%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16"/>
  </w:num>
  <w:num w:numId="2">
    <w:abstractNumId w:val="25"/>
  </w:num>
  <w:num w:numId="3">
    <w:abstractNumId w:val="21"/>
  </w:num>
  <w:num w:numId="4">
    <w:abstractNumId w:val="14"/>
  </w:num>
  <w:num w:numId="5">
    <w:abstractNumId w:val="9"/>
  </w:num>
  <w:num w:numId="6">
    <w:abstractNumId w:val="22"/>
  </w:num>
  <w:num w:numId="7">
    <w:abstractNumId w:val="29"/>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27"/>
  </w:num>
  <w:num w:numId="11">
    <w:abstractNumId w:val="3"/>
  </w:num>
  <w:num w:numId="12">
    <w:abstractNumId w:val="10"/>
  </w:num>
  <w:num w:numId="13">
    <w:abstractNumId w:val="19"/>
  </w:num>
  <w:num w:numId="14">
    <w:abstractNumId w:val="8"/>
  </w:num>
  <w:num w:numId="15">
    <w:abstractNumId w:val="28"/>
  </w:num>
  <w:num w:numId="16">
    <w:abstractNumId w:val="24"/>
  </w:num>
  <w:num w:numId="17">
    <w:abstractNumId w:val="12"/>
  </w:num>
  <w:num w:numId="18">
    <w:abstractNumId w:val="5"/>
  </w:num>
  <w:num w:numId="19">
    <w:abstractNumId w:val="0"/>
  </w:num>
  <w:num w:numId="20">
    <w:abstractNumId w:val="6"/>
  </w:num>
  <w:num w:numId="21">
    <w:abstractNumId w:val="11"/>
  </w:num>
  <w:num w:numId="22">
    <w:abstractNumId w:val="20"/>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startOverride w:val="1"/>
    </w:lvlOverride>
  </w:num>
  <w:num w:numId="26">
    <w:abstractNumId w:val="9"/>
    <w:lvlOverride w:ilvl="0">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lvlOverride w:ilvl="0">
      <w:startOverride w:val="1"/>
    </w:lvlOverride>
  </w:num>
  <w:num w:numId="35">
    <w:abstractNumId w:val="23"/>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
  </w:num>
  <w:num w:numId="41">
    <w:abstractNumId w:val="17"/>
  </w:num>
  <w:num w:numId="42">
    <w:abstractNumId w:val="1"/>
  </w:num>
  <w:num w:numId="43">
    <w:abstractNumId w:val="7"/>
  </w:num>
  <w:num w:numId="44">
    <w:abstractNumId w:val="31"/>
  </w:num>
  <w:num w:numId="45">
    <w:abstractNumId w:val="26"/>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2"/>
  </w:num>
  <w:num w:numId="52">
    <w:abstractNumId w:val="30"/>
  </w:num>
  <w:num w:numId="53">
    <w:abstractNumId w:val="14"/>
  </w:num>
  <w:num w:numId="54">
    <w:abstractNumId w:val="14"/>
  </w:num>
  <w:num w:numId="55">
    <w:abstractNumId w:val="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397"/>
  <w:evenAndOddHeaders/>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09D"/>
    <w:rsid w:val="00000792"/>
    <w:rsid w:val="00000B92"/>
    <w:rsid w:val="00000F04"/>
    <w:rsid w:val="00003C4F"/>
    <w:rsid w:val="00004E0A"/>
    <w:rsid w:val="00004FD3"/>
    <w:rsid w:val="000058F9"/>
    <w:rsid w:val="00006DF5"/>
    <w:rsid w:val="00006F95"/>
    <w:rsid w:val="00007023"/>
    <w:rsid w:val="0000709F"/>
    <w:rsid w:val="000071D6"/>
    <w:rsid w:val="00007F2D"/>
    <w:rsid w:val="00007FAC"/>
    <w:rsid w:val="00010A9C"/>
    <w:rsid w:val="00010ABA"/>
    <w:rsid w:val="00010D3B"/>
    <w:rsid w:val="00010E15"/>
    <w:rsid w:val="00010F57"/>
    <w:rsid w:val="0001100C"/>
    <w:rsid w:val="00011188"/>
    <w:rsid w:val="00012555"/>
    <w:rsid w:val="00014236"/>
    <w:rsid w:val="000147EF"/>
    <w:rsid w:val="000148F6"/>
    <w:rsid w:val="00015217"/>
    <w:rsid w:val="000159D2"/>
    <w:rsid w:val="00016264"/>
    <w:rsid w:val="0001627A"/>
    <w:rsid w:val="000162C7"/>
    <w:rsid w:val="00016993"/>
    <w:rsid w:val="00016CAB"/>
    <w:rsid w:val="00016E5B"/>
    <w:rsid w:val="0001749B"/>
    <w:rsid w:val="00017D75"/>
    <w:rsid w:val="00017FE5"/>
    <w:rsid w:val="00021910"/>
    <w:rsid w:val="00022E8D"/>
    <w:rsid w:val="0002348A"/>
    <w:rsid w:val="00023BDA"/>
    <w:rsid w:val="00023F1C"/>
    <w:rsid w:val="0002403B"/>
    <w:rsid w:val="0002456D"/>
    <w:rsid w:val="00024708"/>
    <w:rsid w:val="00024EE7"/>
    <w:rsid w:val="00025F96"/>
    <w:rsid w:val="00025FAB"/>
    <w:rsid w:val="00026E89"/>
    <w:rsid w:val="000275A3"/>
    <w:rsid w:val="00030558"/>
    <w:rsid w:val="00030699"/>
    <w:rsid w:val="00030725"/>
    <w:rsid w:val="00030DB8"/>
    <w:rsid w:val="00031A83"/>
    <w:rsid w:val="00031F5D"/>
    <w:rsid w:val="0003213A"/>
    <w:rsid w:val="00032A81"/>
    <w:rsid w:val="00032CB6"/>
    <w:rsid w:val="00033D32"/>
    <w:rsid w:val="000340D8"/>
    <w:rsid w:val="0003427D"/>
    <w:rsid w:val="0003480B"/>
    <w:rsid w:val="00034DFA"/>
    <w:rsid w:val="000357ED"/>
    <w:rsid w:val="00035E15"/>
    <w:rsid w:val="0003640E"/>
    <w:rsid w:val="0003688A"/>
    <w:rsid w:val="000368FC"/>
    <w:rsid w:val="00036DA3"/>
    <w:rsid w:val="000379BF"/>
    <w:rsid w:val="00037BEC"/>
    <w:rsid w:val="000400D9"/>
    <w:rsid w:val="0004035C"/>
    <w:rsid w:val="00040860"/>
    <w:rsid w:val="00040CED"/>
    <w:rsid w:val="00040EA1"/>
    <w:rsid w:val="0004205F"/>
    <w:rsid w:val="000423C6"/>
    <w:rsid w:val="00042EDB"/>
    <w:rsid w:val="00044362"/>
    <w:rsid w:val="00044A50"/>
    <w:rsid w:val="00044C65"/>
    <w:rsid w:val="000458C7"/>
    <w:rsid w:val="00045991"/>
    <w:rsid w:val="00045E5C"/>
    <w:rsid w:val="00046288"/>
    <w:rsid w:val="00047941"/>
    <w:rsid w:val="00047A12"/>
    <w:rsid w:val="00050A22"/>
    <w:rsid w:val="00050E27"/>
    <w:rsid w:val="0005144F"/>
    <w:rsid w:val="00051AF1"/>
    <w:rsid w:val="00051D42"/>
    <w:rsid w:val="000538A1"/>
    <w:rsid w:val="00053DD4"/>
    <w:rsid w:val="00054CD2"/>
    <w:rsid w:val="00055375"/>
    <w:rsid w:val="00056319"/>
    <w:rsid w:val="000564E7"/>
    <w:rsid w:val="00056770"/>
    <w:rsid w:val="00056A10"/>
    <w:rsid w:val="00057386"/>
    <w:rsid w:val="00057EEF"/>
    <w:rsid w:val="000619CB"/>
    <w:rsid w:val="00062387"/>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35A2"/>
    <w:rsid w:val="0007517E"/>
    <w:rsid w:val="00075FE1"/>
    <w:rsid w:val="00076667"/>
    <w:rsid w:val="00077473"/>
    <w:rsid w:val="00077481"/>
    <w:rsid w:val="000776F9"/>
    <w:rsid w:val="00077EE0"/>
    <w:rsid w:val="00077FF7"/>
    <w:rsid w:val="000802F9"/>
    <w:rsid w:val="0008145A"/>
    <w:rsid w:val="0008162D"/>
    <w:rsid w:val="000831C8"/>
    <w:rsid w:val="00083E07"/>
    <w:rsid w:val="00083F5E"/>
    <w:rsid w:val="00084CF8"/>
    <w:rsid w:val="00084FDB"/>
    <w:rsid w:val="0008505C"/>
    <w:rsid w:val="0008531F"/>
    <w:rsid w:val="00085C46"/>
    <w:rsid w:val="0008686A"/>
    <w:rsid w:val="00087175"/>
    <w:rsid w:val="00087D35"/>
    <w:rsid w:val="00090B0C"/>
    <w:rsid w:val="000913AD"/>
    <w:rsid w:val="00091796"/>
    <w:rsid w:val="00091BA2"/>
    <w:rsid w:val="00091CB0"/>
    <w:rsid w:val="00094344"/>
    <w:rsid w:val="000953C6"/>
    <w:rsid w:val="000953F4"/>
    <w:rsid w:val="000958E0"/>
    <w:rsid w:val="0009590C"/>
    <w:rsid w:val="000959E7"/>
    <w:rsid w:val="00095E7D"/>
    <w:rsid w:val="000964DE"/>
    <w:rsid w:val="000972AB"/>
    <w:rsid w:val="00097B40"/>
    <w:rsid w:val="00097D0E"/>
    <w:rsid w:val="000A17EA"/>
    <w:rsid w:val="000A1C7A"/>
    <w:rsid w:val="000A2345"/>
    <w:rsid w:val="000A2394"/>
    <w:rsid w:val="000A31C1"/>
    <w:rsid w:val="000A32C5"/>
    <w:rsid w:val="000A3411"/>
    <w:rsid w:val="000A34CA"/>
    <w:rsid w:val="000A36E7"/>
    <w:rsid w:val="000A4130"/>
    <w:rsid w:val="000A426F"/>
    <w:rsid w:val="000A4559"/>
    <w:rsid w:val="000A45FD"/>
    <w:rsid w:val="000A477B"/>
    <w:rsid w:val="000A558D"/>
    <w:rsid w:val="000A5611"/>
    <w:rsid w:val="000A563C"/>
    <w:rsid w:val="000A59C5"/>
    <w:rsid w:val="000A5DEA"/>
    <w:rsid w:val="000A5EB7"/>
    <w:rsid w:val="000A5EBD"/>
    <w:rsid w:val="000A7658"/>
    <w:rsid w:val="000A7F0F"/>
    <w:rsid w:val="000A7F4C"/>
    <w:rsid w:val="000B02BC"/>
    <w:rsid w:val="000B0498"/>
    <w:rsid w:val="000B0F36"/>
    <w:rsid w:val="000B1942"/>
    <w:rsid w:val="000B1BED"/>
    <w:rsid w:val="000B1D5D"/>
    <w:rsid w:val="000B2240"/>
    <w:rsid w:val="000B2477"/>
    <w:rsid w:val="000B2600"/>
    <w:rsid w:val="000B36F9"/>
    <w:rsid w:val="000B4074"/>
    <w:rsid w:val="000B4732"/>
    <w:rsid w:val="000B4BCD"/>
    <w:rsid w:val="000B5372"/>
    <w:rsid w:val="000B66DC"/>
    <w:rsid w:val="000B6D1F"/>
    <w:rsid w:val="000C062F"/>
    <w:rsid w:val="000C17E7"/>
    <w:rsid w:val="000C1F7E"/>
    <w:rsid w:val="000C26A2"/>
    <w:rsid w:val="000C30F8"/>
    <w:rsid w:val="000C3270"/>
    <w:rsid w:val="000C3E06"/>
    <w:rsid w:val="000C577E"/>
    <w:rsid w:val="000C67CD"/>
    <w:rsid w:val="000C7EB7"/>
    <w:rsid w:val="000D04BA"/>
    <w:rsid w:val="000D0B6E"/>
    <w:rsid w:val="000D0D65"/>
    <w:rsid w:val="000D12E0"/>
    <w:rsid w:val="000D1944"/>
    <w:rsid w:val="000D1DD9"/>
    <w:rsid w:val="000D1FEE"/>
    <w:rsid w:val="000D2172"/>
    <w:rsid w:val="000D293C"/>
    <w:rsid w:val="000D2BC1"/>
    <w:rsid w:val="000D337B"/>
    <w:rsid w:val="000D385A"/>
    <w:rsid w:val="000D38C2"/>
    <w:rsid w:val="000D3CA7"/>
    <w:rsid w:val="000D5B16"/>
    <w:rsid w:val="000D5FD6"/>
    <w:rsid w:val="000D6201"/>
    <w:rsid w:val="000D6488"/>
    <w:rsid w:val="000D68FC"/>
    <w:rsid w:val="000D7088"/>
    <w:rsid w:val="000D7513"/>
    <w:rsid w:val="000D770B"/>
    <w:rsid w:val="000D788E"/>
    <w:rsid w:val="000E0A53"/>
    <w:rsid w:val="000E12B0"/>
    <w:rsid w:val="000E1AEC"/>
    <w:rsid w:val="000E1BC8"/>
    <w:rsid w:val="000E1D32"/>
    <w:rsid w:val="000E26D8"/>
    <w:rsid w:val="000E2B94"/>
    <w:rsid w:val="000E3156"/>
    <w:rsid w:val="000E33C0"/>
    <w:rsid w:val="000E35B6"/>
    <w:rsid w:val="000E3BB8"/>
    <w:rsid w:val="000E3D9B"/>
    <w:rsid w:val="000E3DFD"/>
    <w:rsid w:val="000E4261"/>
    <w:rsid w:val="000E4289"/>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DAD"/>
    <w:rsid w:val="000F1FFF"/>
    <w:rsid w:val="000F20AA"/>
    <w:rsid w:val="000F2651"/>
    <w:rsid w:val="000F348D"/>
    <w:rsid w:val="000F369A"/>
    <w:rsid w:val="000F4463"/>
    <w:rsid w:val="000F5285"/>
    <w:rsid w:val="000F52E0"/>
    <w:rsid w:val="000F53A9"/>
    <w:rsid w:val="000F6464"/>
    <w:rsid w:val="000F6628"/>
    <w:rsid w:val="000F6C25"/>
    <w:rsid w:val="000F76EB"/>
    <w:rsid w:val="000F78AE"/>
    <w:rsid w:val="000F7E25"/>
    <w:rsid w:val="001007EE"/>
    <w:rsid w:val="00100DA6"/>
    <w:rsid w:val="00100EE3"/>
    <w:rsid w:val="00100F76"/>
    <w:rsid w:val="0010148E"/>
    <w:rsid w:val="00102480"/>
    <w:rsid w:val="0010253C"/>
    <w:rsid w:val="00102BD1"/>
    <w:rsid w:val="0010486A"/>
    <w:rsid w:val="0010561C"/>
    <w:rsid w:val="00105C0F"/>
    <w:rsid w:val="00105E39"/>
    <w:rsid w:val="00106561"/>
    <w:rsid w:val="00106D63"/>
    <w:rsid w:val="00106F29"/>
    <w:rsid w:val="001075F3"/>
    <w:rsid w:val="00107A01"/>
    <w:rsid w:val="00107C23"/>
    <w:rsid w:val="00110307"/>
    <w:rsid w:val="00110C7F"/>
    <w:rsid w:val="00110EE2"/>
    <w:rsid w:val="001115BB"/>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546"/>
    <w:rsid w:val="00116ACF"/>
    <w:rsid w:val="00116D5C"/>
    <w:rsid w:val="001172B2"/>
    <w:rsid w:val="00117F9B"/>
    <w:rsid w:val="00121211"/>
    <w:rsid w:val="00121628"/>
    <w:rsid w:val="0012167D"/>
    <w:rsid w:val="00122189"/>
    <w:rsid w:val="00122280"/>
    <w:rsid w:val="00122D42"/>
    <w:rsid w:val="00123345"/>
    <w:rsid w:val="00123C46"/>
    <w:rsid w:val="0012470B"/>
    <w:rsid w:val="00125C75"/>
    <w:rsid w:val="00125C7E"/>
    <w:rsid w:val="00127945"/>
    <w:rsid w:val="00127D94"/>
    <w:rsid w:val="00127E90"/>
    <w:rsid w:val="001302C1"/>
    <w:rsid w:val="001306D3"/>
    <w:rsid w:val="001310BF"/>
    <w:rsid w:val="00131C9F"/>
    <w:rsid w:val="00133E73"/>
    <w:rsid w:val="00133FDB"/>
    <w:rsid w:val="00134F4A"/>
    <w:rsid w:val="0013570B"/>
    <w:rsid w:val="001359B4"/>
    <w:rsid w:val="00135E4E"/>
    <w:rsid w:val="00136246"/>
    <w:rsid w:val="001364D4"/>
    <w:rsid w:val="001371C8"/>
    <w:rsid w:val="001372ED"/>
    <w:rsid w:val="00142B50"/>
    <w:rsid w:val="00143873"/>
    <w:rsid w:val="001439E9"/>
    <w:rsid w:val="00143C55"/>
    <w:rsid w:val="00144C6F"/>
    <w:rsid w:val="00145089"/>
    <w:rsid w:val="001451E7"/>
    <w:rsid w:val="001462E3"/>
    <w:rsid w:val="0014720C"/>
    <w:rsid w:val="001472C2"/>
    <w:rsid w:val="00147458"/>
    <w:rsid w:val="00147E21"/>
    <w:rsid w:val="00150BA8"/>
    <w:rsid w:val="00150D19"/>
    <w:rsid w:val="0015181B"/>
    <w:rsid w:val="00151A9F"/>
    <w:rsid w:val="00152B87"/>
    <w:rsid w:val="00153A96"/>
    <w:rsid w:val="00153D1C"/>
    <w:rsid w:val="001543E2"/>
    <w:rsid w:val="00155A06"/>
    <w:rsid w:val="00155B43"/>
    <w:rsid w:val="001565A2"/>
    <w:rsid w:val="001567C3"/>
    <w:rsid w:val="00156A12"/>
    <w:rsid w:val="00157B3F"/>
    <w:rsid w:val="00157F8A"/>
    <w:rsid w:val="00160C3D"/>
    <w:rsid w:val="00161367"/>
    <w:rsid w:val="00161B24"/>
    <w:rsid w:val="00161C41"/>
    <w:rsid w:val="00161DD5"/>
    <w:rsid w:val="00162AE7"/>
    <w:rsid w:val="001633A4"/>
    <w:rsid w:val="001634D6"/>
    <w:rsid w:val="001648DD"/>
    <w:rsid w:val="00165705"/>
    <w:rsid w:val="00166389"/>
    <w:rsid w:val="00166E03"/>
    <w:rsid w:val="00167E4C"/>
    <w:rsid w:val="00170048"/>
    <w:rsid w:val="001700AA"/>
    <w:rsid w:val="00171449"/>
    <w:rsid w:val="0017199C"/>
    <w:rsid w:val="00171C7E"/>
    <w:rsid w:val="00171F35"/>
    <w:rsid w:val="00171F73"/>
    <w:rsid w:val="00172552"/>
    <w:rsid w:val="00172873"/>
    <w:rsid w:val="00172CF7"/>
    <w:rsid w:val="0017319E"/>
    <w:rsid w:val="00173A1F"/>
    <w:rsid w:val="00173BC3"/>
    <w:rsid w:val="00174128"/>
    <w:rsid w:val="00175C34"/>
    <w:rsid w:val="00175F9A"/>
    <w:rsid w:val="00176BAE"/>
    <w:rsid w:val="00176E98"/>
    <w:rsid w:val="0017796D"/>
    <w:rsid w:val="00177996"/>
    <w:rsid w:val="00180B3F"/>
    <w:rsid w:val="00180C83"/>
    <w:rsid w:val="00180CE5"/>
    <w:rsid w:val="00181206"/>
    <w:rsid w:val="0018175B"/>
    <w:rsid w:val="001820A3"/>
    <w:rsid w:val="00182DA0"/>
    <w:rsid w:val="0018332A"/>
    <w:rsid w:val="00183D80"/>
    <w:rsid w:val="00183EC4"/>
    <w:rsid w:val="001842C8"/>
    <w:rsid w:val="00185044"/>
    <w:rsid w:val="001850DB"/>
    <w:rsid w:val="0018599C"/>
    <w:rsid w:val="001869EE"/>
    <w:rsid w:val="00186D00"/>
    <w:rsid w:val="00187116"/>
    <w:rsid w:val="0018743A"/>
    <w:rsid w:val="00190A57"/>
    <w:rsid w:val="00190B3F"/>
    <w:rsid w:val="0019122C"/>
    <w:rsid w:val="00191908"/>
    <w:rsid w:val="00192DF3"/>
    <w:rsid w:val="0019301F"/>
    <w:rsid w:val="00193286"/>
    <w:rsid w:val="001937B8"/>
    <w:rsid w:val="00194BB7"/>
    <w:rsid w:val="00194CC5"/>
    <w:rsid w:val="001951B2"/>
    <w:rsid w:val="0019565D"/>
    <w:rsid w:val="00195DF4"/>
    <w:rsid w:val="0019663B"/>
    <w:rsid w:val="00197564"/>
    <w:rsid w:val="00197EC2"/>
    <w:rsid w:val="00197ECE"/>
    <w:rsid w:val="001A0BD9"/>
    <w:rsid w:val="001A1CED"/>
    <w:rsid w:val="001A2005"/>
    <w:rsid w:val="001A279B"/>
    <w:rsid w:val="001A2DC3"/>
    <w:rsid w:val="001A2E87"/>
    <w:rsid w:val="001A3869"/>
    <w:rsid w:val="001A38C2"/>
    <w:rsid w:val="001A4B60"/>
    <w:rsid w:val="001A508B"/>
    <w:rsid w:val="001A65C8"/>
    <w:rsid w:val="001A6B47"/>
    <w:rsid w:val="001A6F16"/>
    <w:rsid w:val="001A732E"/>
    <w:rsid w:val="001A7F30"/>
    <w:rsid w:val="001B06E2"/>
    <w:rsid w:val="001B103A"/>
    <w:rsid w:val="001B103D"/>
    <w:rsid w:val="001B1513"/>
    <w:rsid w:val="001B1767"/>
    <w:rsid w:val="001B2025"/>
    <w:rsid w:val="001B2453"/>
    <w:rsid w:val="001B3D48"/>
    <w:rsid w:val="001B5AF9"/>
    <w:rsid w:val="001B6600"/>
    <w:rsid w:val="001B6B9B"/>
    <w:rsid w:val="001B6C27"/>
    <w:rsid w:val="001B7144"/>
    <w:rsid w:val="001B7E91"/>
    <w:rsid w:val="001C147E"/>
    <w:rsid w:val="001C151B"/>
    <w:rsid w:val="001C19E5"/>
    <w:rsid w:val="001C3800"/>
    <w:rsid w:val="001C3C7B"/>
    <w:rsid w:val="001C6122"/>
    <w:rsid w:val="001C6587"/>
    <w:rsid w:val="001C69BE"/>
    <w:rsid w:val="001C6DB5"/>
    <w:rsid w:val="001C71AC"/>
    <w:rsid w:val="001C7316"/>
    <w:rsid w:val="001C7E5C"/>
    <w:rsid w:val="001D00CC"/>
    <w:rsid w:val="001D02B8"/>
    <w:rsid w:val="001D0494"/>
    <w:rsid w:val="001D07B7"/>
    <w:rsid w:val="001D1719"/>
    <w:rsid w:val="001D171B"/>
    <w:rsid w:val="001D1732"/>
    <w:rsid w:val="001D1E2E"/>
    <w:rsid w:val="001D2203"/>
    <w:rsid w:val="001D255C"/>
    <w:rsid w:val="001D2DEF"/>
    <w:rsid w:val="001D30BB"/>
    <w:rsid w:val="001D488C"/>
    <w:rsid w:val="001D4CDF"/>
    <w:rsid w:val="001D4F88"/>
    <w:rsid w:val="001D578D"/>
    <w:rsid w:val="001D5818"/>
    <w:rsid w:val="001D653A"/>
    <w:rsid w:val="001D7DEE"/>
    <w:rsid w:val="001E02CB"/>
    <w:rsid w:val="001E14FD"/>
    <w:rsid w:val="001E180F"/>
    <w:rsid w:val="001E1C64"/>
    <w:rsid w:val="001E1CEC"/>
    <w:rsid w:val="001E2ECB"/>
    <w:rsid w:val="001E320D"/>
    <w:rsid w:val="001E4B64"/>
    <w:rsid w:val="001E552A"/>
    <w:rsid w:val="001E57B9"/>
    <w:rsid w:val="001E6E8D"/>
    <w:rsid w:val="001E7EE4"/>
    <w:rsid w:val="001E7F76"/>
    <w:rsid w:val="001F0FAF"/>
    <w:rsid w:val="001F139F"/>
    <w:rsid w:val="001F16DE"/>
    <w:rsid w:val="001F2805"/>
    <w:rsid w:val="001F2E79"/>
    <w:rsid w:val="001F2F07"/>
    <w:rsid w:val="001F3123"/>
    <w:rsid w:val="001F376D"/>
    <w:rsid w:val="001F418C"/>
    <w:rsid w:val="001F4B2D"/>
    <w:rsid w:val="001F4F40"/>
    <w:rsid w:val="001F50E0"/>
    <w:rsid w:val="001F594C"/>
    <w:rsid w:val="001F69FC"/>
    <w:rsid w:val="001F6D62"/>
    <w:rsid w:val="001F7675"/>
    <w:rsid w:val="00200FAE"/>
    <w:rsid w:val="0020102D"/>
    <w:rsid w:val="002010E2"/>
    <w:rsid w:val="00201813"/>
    <w:rsid w:val="00201B73"/>
    <w:rsid w:val="00202517"/>
    <w:rsid w:val="00202ADB"/>
    <w:rsid w:val="00202BB7"/>
    <w:rsid w:val="0020435B"/>
    <w:rsid w:val="00204533"/>
    <w:rsid w:val="00204F2D"/>
    <w:rsid w:val="00205566"/>
    <w:rsid w:val="002063AA"/>
    <w:rsid w:val="0020655A"/>
    <w:rsid w:val="00206B3E"/>
    <w:rsid w:val="00207121"/>
    <w:rsid w:val="00210549"/>
    <w:rsid w:val="0021069E"/>
    <w:rsid w:val="00210804"/>
    <w:rsid w:val="0021088F"/>
    <w:rsid w:val="002113FE"/>
    <w:rsid w:val="00211737"/>
    <w:rsid w:val="0021181B"/>
    <w:rsid w:val="0021230F"/>
    <w:rsid w:val="00212519"/>
    <w:rsid w:val="002125B0"/>
    <w:rsid w:val="002128B9"/>
    <w:rsid w:val="00212A82"/>
    <w:rsid w:val="002131FC"/>
    <w:rsid w:val="00214EA2"/>
    <w:rsid w:val="00215675"/>
    <w:rsid w:val="002160FA"/>
    <w:rsid w:val="002166DD"/>
    <w:rsid w:val="002168A2"/>
    <w:rsid w:val="00217867"/>
    <w:rsid w:val="002205E4"/>
    <w:rsid w:val="00220D67"/>
    <w:rsid w:val="002215F8"/>
    <w:rsid w:val="00221877"/>
    <w:rsid w:val="00221F80"/>
    <w:rsid w:val="0022273A"/>
    <w:rsid w:val="00222D28"/>
    <w:rsid w:val="00223CF4"/>
    <w:rsid w:val="00224220"/>
    <w:rsid w:val="00224398"/>
    <w:rsid w:val="00224A81"/>
    <w:rsid w:val="00224E91"/>
    <w:rsid w:val="00225632"/>
    <w:rsid w:val="00225B4C"/>
    <w:rsid w:val="00225E1E"/>
    <w:rsid w:val="00226129"/>
    <w:rsid w:val="0022614D"/>
    <w:rsid w:val="00226AA2"/>
    <w:rsid w:val="00227218"/>
    <w:rsid w:val="0022770A"/>
    <w:rsid w:val="00227BEE"/>
    <w:rsid w:val="00227FB4"/>
    <w:rsid w:val="0023057E"/>
    <w:rsid w:val="002312BC"/>
    <w:rsid w:val="002314B2"/>
    <w:rsid w:val="0023242A"/>
    <w:rsid w:val="002337E5"/>
    <w:rsid w:val="00233C06"/>
    <w:rsid w:val="00233F24"/>
    <w:rsid w:val="00234BBB"/>
    <w:rsid w:val="002356F4"/>
    <w:rsid w:val="00235F02"/>
    <w:rsid w:val="00236D28"/>
    <w:rsid w:val="00237B73"/>
    <w:rsid w:val="00237FE4"/>
    <w:rsid w:val="00240656"/>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AE"/>
    <w:rsid w:val="00247116"/>
    <w:rsid w:val="002471E5"/>
    <w:rsid w:val="00250945"/>
    <w:rsid w:val="00251168"/>
    <w:rsid w:val="002517A8"/>
    <w:rsid w:val="00251EEE"/>
    <w:rsid w:val="00253177"/>
    <w:rsid w:val="002538B8"/>
    <w:rsid w:val="0025396F"/>
    <w:rsid w:val="00254319"/>
    <w:rsid w:val="0025539F"/>
    <w:rsid w:val="00256388"/>
    <w:rsid w:val="00256E44"/>
    <w:rsid w:val="0026010B"/>
    <w:rsid w:val="00260919"/>
    <w:rsid w:val="002612FD"/>
    <w:rsid w:val="002613DC"/>
    <w:rsid w:val="00261755"/>
    <w:rsid w:val="00261AAA"/>
    <w:rsid w:val="00262097"/>
    <w:rsid w:val="00262D20"/>
    <w:rsid w:val="002634AB"/>
    <w:rsid w:val="002638E0"/>
    <w:rsid w:val="00263C19"/>
    <w:rsid w:val="00263E9F"/>
    <w:rsid w:val="0026436E"/>
    <w:rsid w:val="00264F03"/>
    <w:rsid w:val="00264F8F"/>
    <w:rsid w:val="002655AE"/>
    <w:rsid w:val="0026591F"/>
    <w:rsid w:val="00265A65"/>
    <w:rsid w:val="002660F0"/>
    <w:rsid w:val="00266390"/>
    <w:rsid w:val="002675B6"/>
    <w:rsid w:val="00267A99"/>
    <w:rsid w:val="00270271"/>
    <w:rsid w:val="00270291"/>
    <w:rsid w:val="00272174"/>
    <w:rsid w:val="002721A6"/>
    <w:rsid w:val="002722E0"/>
    <w:rsid w:val="00272EE5"/>
    <w:rsid w:val="002730EC"/>
    <w:rsid w:val="00273100"/>
    <w:rsid w:val="002735CC"/>
    <w:rsid w:val="00274588"/>
    <w:rsid w:val="00274A67"/>
    <w:rsid w:val="00274AA2"/>
    <w:rsid w:val="002756EF"/>
    <w:rsid w:val="00275708"/>
    <w:rsid w:val="00276278"/>
    <w:rsid w:val="002768CF"/>
    <w:rsid w:val="00276E31"/>
    <w:rsid w:val="00276F82"/>
    <w:rsid w:val="00280354"/>
    <w:rsid w:val="002805DF"/>
    <w:rsid w:val="0028092D"/>
    <w:rsid w:val="00280A49"/>
    <w:rsid w:val="002815D9"/>
    <w:rsid w:val="00282317"/>
    <w:rsid w:val="00282D25"/>
    <w:rsid w:val="00282DF9"/>
    <w:rsid w:val="00283A44"/>
    <w:rsid w:val="0028529F"/>
    <w:rsid w:val="00285687"/>
    <w:rsid w:val="00285B45"/>
    <w:rsid w:val="00287649"/>
    <w:rsid w:val="00287DAB"/>
    <w:rsid w:val="00287FB6"/>
    <w:rsid w:val="002900C5"/>
    <w:rsid w:val="002901E0"/>
    <w:rsid w:val="0029075B"/>
    <w:rsid w:val="00290BB1"/>
    <w:rsid w:val="00290CCF"/>
    <w:rsid w:val="00291BC1"/>
    <w:rsid w:val="002933CA"/>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402A"/>
    <w:rsid w:val="002A40F0"/>
    <w:rsid w:val="002A45AA"/>
    <w:rsid w:val="002A4B0B"/>
    <w:rsid w:val="002A4B6F"/>
    <w:rsid w:val="002A4FFF"/>
    <w:rsid w:val="002A533C"/>
    <w:rsid w:val="002A56E1"/>
    <w:rsid w:val="002A59BD"/>
    <w:rsid w:val="002A75CA"/>
    <w:rsid w:val="002A7889"/>
    <w:rsid w:val="002A799A"/>
    <w:rsid w:val="002B097D"/>
    <w:rsid w:val="002B11B2"/>
    <w:rsid w:val="002B18F7"/>
    <w:rsid w:val="002B3754"/>
    <w:rsid w:val="002B3ED7"/>
    <w:rsid w:val="002B4778"/>
    <w:rsid w:val="002B5085"/>
    <w:rsid w:val="002B7408"/>
    <w:rsid w:val="002B75B2"/>
    <w:rsid w:val="002B79B7"/>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D43"/>
    <w:rsid w:val="002D15C2"/>
    <w:rsid w:val="002D1F43"/>
    <w:rsid w:val="002D2B10"/>
    <w:rsid w:val="002D386A"/>
    <w:rsid w:val="002D4100"/>
    <w:rsid w:val="002D477F"/>
    <w:rsid w:val="002D4904"/>
    <w:rsid w:val="002D4F48"/>
    <w:rsid w:val="002D519B"/>
    <w:rsid w:val="002D6185"/>
    <w:rsid w:val="002D621E"/>
    <w:rsid w:val="002D66DA"/>
    <w:rsid w:val="002D7027"/>
    <w:rsid w:val="002D70DC"/>
    <w:rsid w:val="002D758B"/>
    <w:rsid w:val="002D79BC"/>
    <w:rsid w:val="002D7E58"/>
    <w:rsid w:val="002E0D31"/>
    <w:rsid w:val="002E0EFA"/>
    <w:rsid w:val="002E1073"/>
    <w:rsid w:val="002E12EC"/>
    <w:rsid w:val="002E146D"/>
    <w:rsid w:val="002E272B"/>
    <w:rsid w:val="002E29F8"/>
    <w:rsid w:val="002E2C52"/>
    <w:rsid w:val="002E342B"/>
    <w:rsid w:val="002E3B81"/>
    <w:rsid w:val="002E3D08"/>
    <w:rsid w:val="002E3E1D"/>
    <w:rsid w:val="002E3EEA"/>
    <w:rsid w:val="002E4D08"/>
    <w:rsid w:val="002E4DA5"/>
    <w:rsid w:val="002E52B8"/>
    <w:rsid w:val="002E532F"/>
    <w:rsid w:val="002E5DBF"/>
    <w:rsid w:val="002E5E01"/>
    <w:rsid w:val="002E60F5"/>
    <w:rsid w:val="002E6536"/>
    <w:rsid w:val="002E69F5"/>
    <w:rsid w:val="002E6CAA"/>
    <w:rsid w:val="002E73EC"/>
    <w:rsid w:val="002F023D"/>
    <w:rsid w:val="002F10EC"/>
    <w:rsid w:val="002F1136"/>
    <w:rsid w:val="002F1231"/>
    <w:rsid w:val="002F1521"/>
    <w:rsid w:val="002F15EE"/>
    <w:rsid w:val="002F3632"/>
    <w:rsid w:val="002F3AFB"/>
    <w:rsid w:val="002F3C41"/>
    <w:rsid w:val="002F42C8"/>
    <w:rsid w:val="002F4C41"/>
    <w:rsid w:val="002F4C8E"/>
    <w:rsid w:val="002F5076"/>
    <w:rsid w:val="002F5839"/>
    <w:rsid w:val="002F596F"/>
    <w:rsid w:val="002F64D9"/>
    <w:rsid w:val="002F651D"/>
    <w:rsid w:val="002F6648"/>
    <w:rsid w:val="002F6E44"/>
    <w:rsid w:val="002F74FD"/>
    <w:rsid w:val="002F787B"/>
    <w:rsid w:val="002F7974"/>
    <w:rsid w:val="002F7D01"/>
    <w:rsid w:val="0030005C"/>
    <w:rsid w:val="00300369"/>
    <w:rsid w:val="00301D0A"/>
    <w:rsid w:val="003027B8"/>
    <w:rsid w:val="0030293F"/>
    <w:rsid w:val="00302947"/>
    <w:rsid w:val="00302BFD"/>
    <w:rsid w:val="00302C50"/>
    <w:rsid w:val="003031C2"/>
    <w:rsid w:val="00303861"/>
    <w:rsid w:val="00304FFF"/>
    <w:rsid w:val="00305557"/>
    <w:rsid w:val="0030561F"/>
    <w:rsid w:val="00305CA3"/>
    <w:rsid w:val="00306E5C"/>
    <w:rsid w:val="00307C19"/>
    <w:rsid w:val="00310732"/>
    <w:rsid w:val="00310BC9"/>
    <w:rsid w:val="00311762"/>
    <w:rsid w:val="00311E98"/>
    <w:rsid w:val="00312215"/>
    <w:rsid w:val="0031249C"/>
    <w:rsid w:val="003125C3"/>
    <w:rsid w:val="00312896"/>
    <w:rsid w:val="00313D32"/>
    <w:rsid w:val="00313EAC"/>
    <w:rsid w:val="003142F4"/>
    <w:rsid w:val="0031454E"/>
    <w:rsid w:val="0031611F"/>
    <w:rsid w:val="00316881"/>
    <w:rsid w:val="003168DB"/>
    <w:rsid w:val="00317A33"/>
    <w:rsid w:val="00320339"/>
    <w:rsid w:val="00321214"/>
    <w:rsid w:val="003213D5"/>
    <w:rsid w:val="003232EA"/>
    <w:rsid w:val="00323737"/>
    <w:rsid w:val="00323AD6"/>
    <w:rsid w:val="00323F27"/>
    <w:rsid w:val="003242EF"/>
    <w:rsid w:val="00325339"/>
    <w:rsid w:val="003255AA"/>
    <w:rsid w:val="00325981"/>
    <w:rsid w:val="00330FC6"/>
    <w:rsid w:val="003314B6"/>
    <w:rsid w:val="00331A20"/>
    <w:rsid w:val="00331E65"/>
    <w:rsid w:val="00333107"/>
    <w:rsid w:val="0033343B"/>
    <w:rsid w:val="0033393C"/>
    <w:rsid w:val="003357EE"/>
    <w:rsid w:val="00337368"/>
    <w:rsid w:val="00337B4D"/>
    <w:rsid w:val="00337E00"/>
    <w:rsid w:val="003407A9"/>
    <w:rsid w:val="00340BA3"/>
    <w:rsid w:val="00340BAF"/>
    <w:rsid w:val="00340C2B"/>
    <w:rsid w:val="00340F9A"/>
    <w:rsid w:val="00341018"/>
    <w:rsid w:val="003420D9"/>
    <w:rsid w:val="003423E0"/>
    <w:rsid w:val="00342957"/>
    <w:rsid w:val="0034301A"/>
    <w:rsid w:val="00343D76"/>
    <w:rsid w:val="00344DFD"/>
    <w:rsid w:val="003451D3"/>
    <w:rsid w:val="00346631"/>
    <w:rsid w:val="00346AAD"/>
    <w:rsid w:val="00346D96"/>
    <w:rsid w:val="0034736A"/>
    <w:rsid w:val="0034747C"/>
    <w:rsid w:val="00347B6C"/>
    <w:rsid w:val="00350A25"/>
    <w:rsid w:val="0035151C"/>
    <w:rsid w:val="00352254"/>
    <w:rsid w:val="003522A3"/>
    <w:rsid w:val="00353929"/>
    <w:rsid w:val="00353F9E"/>
    <w:rsid w:val="003540D1"/>
    <w:rsid w:val="003545BF"/>
    <w:rsid w:val="0035586A"/>
    <w:rsid w:val="0035611A"/>
    <w:rsid w:val="00356C3D"/>
    <w:rsid w:val="003603D6"/>
    <w:rsid w:val="00360B75"/>
    <w:rsid w:val="0036151C"/>
    <w:rsid w:val="00361A9B"/>
    <w:rsid w:val="00362665"/>
    <w:rsid w:val="00362CCF"/>
    <w:rsid w:val="003631DB"/>
    <w:rsid w:val="00364524"/>
    <w:rsid w:val="0036513A"/>
    <w:rsid w:val="00365237"/>
    <w:rsid w:val="0036559C"/>
    <w:rsid w:val="0036587E"/>
    <w:rsid w:val="003660CD"/>
    <w:rsid w:val="00366AC2"/>
    <w:rsid w:val="00366B08"/>
    <w:rsid w:val="00366F49"/>
    <w:rsid w:val="003670A4"/>
    <w:rsid w:val="00367496"/>
    <w:rsid w:val="003678BE"/>
    <w:rsid w:val="0036792A"/>
    <w:rsid w:val="003700F8"/>
    <w:rsid w:val="00370949"/>
    <w:rsid w:val="00370FE0"/>
    <w:rsid w:val="00371A54"/>
    <w:rsid w:val="00371B60"/>
    <w:rsid w:val="0037243B"/>
    <w:rsid w:val="0037251C"/>
    <w:rsid w:val="0037272C"/>
    <w:rsid w:val="00372942"/>
    <w:rsid w:val="00372B9A"/>
    <w:rsid w:val="003731BF"/>
    <w:rsid w:val="00375287"/>
    <w:rsid w:val="00375791"/>
    <w:rsid w:val="00375826"/>
    <w:rsid w:val="00375994"/>
    <w:rsid w:val="00375C59"/>
    <w:rsid w:val="00375E05"/>
    <w:rsid w:val="00376BB7"/>
    <w:rsid w:val="00376EEE"/>
    <w:rsid w:val="00377BA1"/>
    <w:rsid w:val="00377FF0"/>
    <w:rsid w:val="00380616"/>
    <w:rsid w:val="00381022"/>
    <w:rsid w:val="003814B8"/>
    <w:rsid w:val="00381971"/>
    <w:rsid w:val="00382909"/>
    <w:rsid w:val="00382EE1"/>
    <w:rsid w:val="00384258"/>
    <w:rsid w:val="003850CD"/>
    <w:rsid w:val="00385131"/>
    <w:rsid w:val="0038620B"/>
    <w:rsid w:val="00387647"/>
    <w:rsid w:val="0038791A"/>
    <w:rsid w:val="00390056"/>
    <w:rsid w:val="0039055C"/>
    <w:rsid w:val="00390718"/>
    <w:rsid w:val="00390767"/>
    <w:rsid w:val="00390883"/>
    <w:rsid w:val="003910FD"/>
    <w:rsid w:val="00391470"/>
    <w:rsid w:val="003920C4"/>
    <w:rsid w:val="00392184"/>
    <w:rsid w:val="00392652"/>
    <w:rsid w:val="00392B41"/>
    <w:rsid w:val="00394067"/>
    <w:rsid w:val="0039456F"/>
    <w:rsid w:val="003945C8"/>
    <w:rsid w:val="0039480D"/>
    <w:rsid w:val="00395446"/>
    <w:rsid w:val="003956E3"/>
    <w:rsid w:val="00396725"/>
    <w:rsid w:val="00397A28"/>
    <w:rsid w:val="00397E94"/>
    <w:rsid w:val="00397F05"/>
    <w:rsid w:val="003A003B"/>
    <w:rsid w:val="003A0442"/>
    <w:rsid w:val="003A0899"/>
    <w:rsid w:val="003A1512"/>
    <w:rsid w:val="003A1EB7"/>
    <w:rsid w:val="003A23F3"/>
    <w:rsid w:val="003A2D82"/>
    <w:rsid w:val="003A337C"/>
    <w:rsid w:val="003A36DA"/>
    <w:rsid w:val="003A38F1"/>
    <w:rsid w:val="003A3D1B"/>
    <w:rsid w:val="003A3F39"/>
    <w:rsid w:val="003A4296"/>
    <w:rsid w:val="003A4549"/>
    <w:rsid w:val="003A49B3"/>
    <w:rsid w:val="003A55B4"/>
    <w:rsid w:val="003A61B6"/>
    <w:rsid w:val="003A623F"/>
    <w:rsid w:val="003A679C"/>
    <w:rsid w:val="003A6E77"/>
    <w:rsid w:val="003A71AD"/>
    <w:rsid w:val="003A770F"/>
    <w:rsid w:val="003A7D1D"/>
    <w:rsid w:val="003B1688"/>
    <w:rsid w:val="003B1B66"/>
    <w:rsid w:val="003B1E4A"/>
    <w:rsid w:val="003B1FA4"/>
    <w:rsid w:val="003B1FE6"/>
    <w:rsid w:val="003B3106"/>
    <w:rsid w:val="003B3974"/>
    <w:rsid w:val="003B39E0"/>
    <w:rsid w:val="003B3DAB"/>
    <w:rsid w:val="003B404D"/>
    <w:rsid w:val="003B4B34"/>
    <w:rsid w:val="003B4CDA"/>
    <w:rsid w:val="003B4F2D"/>
    <w:rsid w:val="003B5BD9"/>
    <w:rsid w:val="003B64A3"/>
    <w:rsid w:val="003B6DB8"/>
    <w:rsid w:val="003B72B9"/>
    <w:rsid w:val="003B7E06"/>
    <w:rsid w:val="003C0514"/>
    <w:rsid w:val="003C0887"/>
    <w:rsid w:val="003C08AF"/>
    <w:rsid w:val="003C14F7"/>
    <w:rsid w:val="003C2EDD"/>
    <w:rsid w:val="003C3220"/>
    <w:rsid w:val="003C3A47"/>
    <w:rsid w:val="003C3A79"/>
    <w:rsid w:val="003C3F42"/>
    <w:rsid w:val="003C41E9"/>
    <w:rsid w:val="003C48F2"/>
    <w:rsid w:val="003C4F4B"/>
    <w:rsid w:val="003C5177"/>
    <w:rsid w:val="003C52B0"/>
    <w:rsid w:val="003C578F"/>
    <w:rsid w:val="003C5911"/>
    <w:rsid w:val="003C5CDB"/>
    <w:rsid w:val="003C6465"/>
    <w:rsid w:val="003C65E4"/>
    <w:rsid w:val="003C7712"/>
    <w:rsid w:val="003C7862"/>
    <w:rsid w:val="003C7ECD"/>
    <w:rsid w:val="003D007D"/>
    <w:rsid w:val="003D01A1"/>
    <w:rsid w:val="003D04D6"/>
    <w:rsid w:val="003D04F6"/>
    <w:rsid w:val="003D18CC"/>
    <w:rsid w:val="003D3583"/>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3C"/>
    <w:rsid w:val="003E6B95"/>
    <w:rsid w:val="003E70FF"/>
    <w:rsid w:val="003E7F1B"/>
    <w:rsid w:val="003F0B41"/>
    <w:rsid w:val="003F0B99"/>
    <w:rsid w:val="003F1E39"/>
    <w:rsid w:val="003F229D"/>
    <w:rsid w:val="003F25F0"/>
    <w:rsid w:val="003F2D5B"/>
    <w:rsid w:val="003F4E55"/>
    <w:rsid w:val="003F5AD2"/>
    <w:rsid w:val="003F5CA4"/>
    <w:rsid w:val="003F6D50"/>
    <w:rsid w:val="003F7006"/>
    <w:rsid w:val="003F7507"/>
    <w:rsid w:val="003F7C72"/>
    <w:rsid w:val="003F7D10"/>
    <w:rsid w:val="00400445"/>
    <w:rsid w:val="00401000"/>
    <w:rsid w:val="004016C6"/>
    <w:rsid w:val="0040179A"/>
    <w:rsid w:val="00401856"/>
    <w:rsid w:val="00401CDD"/>
    <w:rsid w:val="004028A2"/>
    <w:rsid w:val="00402FEB"/>
    <w:rsid w:val="00403344"/>
    <w:rsid w:val="00403C82"/>
    <w:rsid w:val="00404C44"/>
    <w:rsid w:val="00404EE8"/>
    <w:rsid w:val="0040510D"/>
    <w:rsid w:val="0040512D"/>
    <w:rsid w:val="00405A51"/>
    <w:rsid w:val="0040602F"/>
    <w:rsid w:val="00406AFB"/>
    <w:rsid w:val="00407382"/>
    <w:rsid w:val="0040791B"/>
    <w:rsid w:val="00407F15"/>
    <w:rsid w:val="00411958"/>
    <w:rsid w:val="00411B2A"/>
    <w:rsid w:val="00412973"/>
    <w:rsid w:val="00412D42"/>
    <w:rsid w:val="00412DA4"/>
    <w:rsid w:val="00412EB6"/>
    <w:rsid w:val="0041351F"/>
    <w:rsid w:val="004137C8"/>
    <w:rsid w:val="00413BF9"/>
    <w:rsid w:val="00413C25"/>
    <w:rsid w:val="00415531"/>
    <w:rsid w:val="00416330"/>
    <w:rsid w:val="0041712D"/>
    <w:rsid w:val="004173CD"/>
    <w:rsid w:val="004176C7"/>
    <w:rsid w:val="00417877"/>
    <w:rsid w:val="00417D9F"/>
    <w:rsid w:val="00420229"/>
    <w:rsid w:val="00420DBA"/>
    <w:rsid w:val="00421311"/>
    <w:rsid w:val="004218AE"/>
    <w:rsid w:val="00422E13"/>
    <w:rsid w:val="0042350F"/>
    <w:rsid w:val="00423599"/>
    <w:rsid w:val="0042384C"/>
    <w:rsid w:val="00423893"/>
    <w:rsid w:val="00423BC9"/>
    <w:rsid w:val="004255B4"/>
    <w:rsid w:val="00426766"/>
    <w:rsid w:val="004267D0"/>
    <w:rsid w:val="004279CA"/>
    <w:rsid w:val="00427A82"/>
    <w:rsid w:val="00427EA2"/>
    <w:rsid w:val="00430115"/>
    <w:rsid w:val="004308F8"/>
    <w:rsid w:val="00430A4B"/>
    <w:rsid w:val="00431C46"/>
    <w:rsid w:val="00432039"/>
    <w:rsid w:val="004327E6"/>
    <w:rsid w:val="004329DC"/>
    <w:rsid w:val="00432AC6"/>
    <w:rsid w:val="00434C5E"/>
    <w:rsid w:val="004350DE"/>
    <w:rsid w:val="00435765"/>
    <w:rsid w:val="004360B6"/>
    <w:rsid w:val="004362E5"/>
    <w:rsid w:val="00436356"/>
    <w:rsid w:val="00440722"/>
    <w:rsid w:val="00441CBD"/>
    <w:rsid w:val="004425D9"/>
    <w:rsid w:val="00443244"/>
    <w:rsid w:val="00444AF6"/>
    <w:rsid w:val="0044519D"/>
    <w:rsid w:val="00445544"/>
    <w:rsid w:val="00445C0B"/>
    <w:rsid w:val="00446014"/>
    <w:rsid w:val="00446195"/>
    <w:rsid w:val="004464C4"/>
    <w:rsid w:val="004467F7"/>
    <w:rsid w:val="00447CD0"/>
    <w:rsid w:val="00447FC2"/>
    <w:rsid w:val="004502F4"/>
    <w:rsid w:val="004506F4"/>
    <w:rsid w:val="004509D1"/>
    <w:rsid w:val="00450A42"/>
    <w:rsid w:val="004513A5"/>
    <w:rsid w:val="00451D50"/>
    <w:rsid w:val="00452EC4"/>
    <w:rsid w:val="00453340"/>
    <w:rsid w:val="00453775"/>
    <w:rsid w:val="00453890"/>
    <w:rsid w:val="00454380"/>
    <w:rsid w:val="0045470C"/>
    <w:rsid w:val="004552C8"/>
    <w:rsid w:val="0045536C"/>
    <w:rsid w:val="00455A07"/>
    <w:rsid w:val="00455AEB"/>
    <w:rsid w:val="0045603C"/>
    <w:rsid w:val="00456053"/>
    <w:rsid w:val="00456068"/>
    <w:rsid w:val="00456896"/>
    <w:rsid w:val="00456ADA"/>
    <w:rsid w:val="00456B0D"/>
    <w:rsid w:val="0045770D"/>
    <w:rsid w:val="0045790F"/>
    <w:rsid w:val="00457D63"/>
    <w:rsid w:val="00457E21"/>
    <w:rsid w:val="0046007E"/>
    <w:rsid w:val="0046024B"/>
    <w:rsid w:val="00460E36"/>
    <w:rsid w:val="00461155"/>
    <w:rsid w:val="00461471"/>
    <w:rsid w:val="0046218C"/>
    <w:rsid w:val="00462374"/>
    <w:rsid w:val="004623D4"/>
    <w:rsid w:val="00463944"/>
    <w:rsid w:val="0046512A"/>
    <w:rsid w:val="00465234"/>
    <w:rsid w:val="00465B24"/>
    <w:rsid w:val="00466858"/>
    <w:rsid w:val="00466D0F"/>
    <w:rsid w:val="00467043"/>
    <w:rsid w:val="00467544"/>
    <w:rsid w:val="004676BA"/>
    <w:rsid w:val="0046784C"/>
    <w:rsid w:val="00467ECB"/>
    <w:rsid w:val="004710C3"/>
    <w:rsid w:val="00471459"/>
    <w:rsid w:val="00472274"/>
    <w:rsid w:val="004722D4"/>
    <w:rsid w:val="00472343"/>
    <w:rsid w:val="00472D9C"/>
    <w:rsid w:val="00473B60"/>
    <w:rsid w:val="004754DC"/>
    <w:rsid w:val="0047569E"/>
    <w:rsid w:val="00475AFF"/>
    <w:rsid w:val="00475D30"/>
    <w:rsid w:val="004765F4"/>
    <w:rsid w:val="00476B4D"/>
    <w:rsid w:val="00476CBC"/>
    <w:rsid w:val="00476E6C"/>
    <w:rsid w:val="00477282"/>
    <w:rsid w:val="00477947"/>
    <w:rsid w:val="00480863"/>
    <w:rsid w:val="00480FA1"/>
    <w:rsid w:val="00481FD7"/>
    <w:rsid w:val="004823CE"/>
    <w:rsid w:val="00482DE5"/>
    <w:rsid w:val="00483266"/>
    <w:rsid w:val="0048352E"/>
    <w:rsid w:val="004836A9"/>
    <w:rsid w:val="00483B23"/>
    <w:rsid w:val="004840D7"/>
    <w:rsid w:val="004846F4"/>
    <w:rsid w:val="00485C26"/>
    <w:rsid w:val="00485EC0"/>
    <w:rsid w:val="00486B71"/>
    <w:rsid w:val="004875E1"/>
    <w:rsid w:val="00487B37"/>
    <w:rsid w:val="004902BA"/>
    <w:rsid w:val="00490636"/>
    <w:rsid w:val="00490FF0"/>
    <w:rsid w:val="004910FE"/>
    <w:rsid w:val="00491198"/>
    <w:rsid w:val="004917E0"/>
    <w:rsid w:val="00491BF6"/>
    <w:rsid w:val="00491FED"/>
    <w:rsid w:val="00492F82"/>
    <w:rsid w:val="00493BCA"/>
    <w:rsid w:val="004943C2"/>
    <w:rsid w:val="00494918"/>
    <w:rsid w:val="00494C65"/>
    <w:rsid w:val="00494F0C"/>
    <w:rsid w:val="004953CE"/>
    <w:rsid w:val="00495557"/>
    <w:rsid w:val="0049618D"/>
    <w:rsid w:val="004965EF"/>
    <w:rsid w:val="00497194"/>
    <w:rsid w:val="0049719D"/>
    <w:rsid w:val="00497FCD"/>
    <w:rsid w:val="004A0588"/>
    <w:rsid w:val="004A0D1E"/>
    <w:rsid w:val="004A0E66"/>
    <w:rsid w:val="004A0EEC"/>
    <w:rsid w:val="004A119B"/>
    <w:rsid w:val="004A130F"/>
    <w:rsid w:val="004A17EF"/>
    <w:rsid w:val="004A1BDA"/>
    <w:rsid w:val="004A22DA"/>
    <w:rsid w:val="004A2700"/>
    <w:rsid w:val="004A34A2"/>
    <w:rsid w:val="004A36C8"/>
    <w:rsid w:val="004A3721"/>
    <w:rsid w:val="004A3742"/>
    <w:rsid w:val="004A37B8"/>
    <w:rsid w:val="004A3ED3"/>
    <w:rsid w:val="004A47BC"/>
    <w:rsid w:val="004A4AC6"/>
    <w:rsid w:val="004B03DD"/>
    <w:rsid w:val="004B1199"/>
    <w:rsid w:val="004B122C"/>
    <w:rsid w:val="004B16C4"/>
    <w:rsid w:val="004B1867"/>
    <w:rsid w:val="004B230D"/>
    <w:rsid w:val="004B2A64"/>
    <w:rsid w:val="004B41DA"/>
    <w:rsid w:val="004B470D"/>
    <w:rsid w:val="004B4764"/>
    <w:rsid w:val="004B4846"/>
    <w:rsid w:val="004B4AE6"/>
    <w:rsid w:val="004B5394"/>
    <w:rsid w:val="004B548B"/>
    <w:rsid w:val="004B5BDD"/>
    <w:rsid w:val="004B6E9E"/>
    <w:rsid w:val="004B6F83"/>
    <w:rsid w:val="004B7C29"/>
    <w:rsid w:val="004C029A"/>
    <w:rsid w:val="004C06E5"/>
    <w:rsid w:val="004C1B7D"/>
    <w:rsid w:val="004C1E3C"/>
    <w:rsid w:val="004C25F0"/>
    <w:rsid w:val="004C26DD"/>
    <w:rsid w:val="004C2B5D"/>
    <w:rsid w:val="004C2D68"/>
    <w:rsid w:val="004C2F56"/>
    <w:rsid w:val="004C339D"/>
    <w:rsid w:val="004C33E8"/>
    <w:rsid w:val="004C38F7"/>
    <w:rsid w:val="004C39E3"/>
    <w:rsid w:val="004C4307"/>
    <w:rsid w:val="004C4309"/>
    <w:rsid w:val="004C4392"/>
    <w:rsid w:val="004C49E3"/>
    <w:rsid w:val="004C4E8A"/>
    <w:rsid w:val="004C514A"/>
    <w:rsid w:val="004C6572"/>
    <w:rsid w:val="004C6D4F"/>
    <w:rsid w:val="004C7541"/>
    <w:rsid w:val="004D1E71"/>
    <w:rsid w:val="004D2A94"/>
    <w:rsid w:val="004D2CDF"/>
    <w:rsid w:val="004D33CE"/>
    <w:rsid w:val="004D3787"/>
    <w:rsid w:val="004D4AAE"/>
    <w:rsid w:val="004D57B0"/>
    <w:rsid w:val="004D7C86"/>
    <w:rsid w:val="004E0197"/>
    <w:rsid w:val="004E1122"/>
    <w:rsid w:val="004E1409"/>
    <w:rsid w:val="004E1A87"/>
    <w:rsid w:val="004E1BB0"/>
    <w:rsid w:val="004E2A24"/>
    <w:rsid w:val="004E3030"/>
    <w:rsid w:val="004E3311"/>
    <w:rsid w:val="004E38EC"/>
    <w:rsid w:val="004E3933"/>
    <w:rsid w:val="004E4549"/>
    <w:rsid w:val="004E4807"/>
    <w:rsid w:val="004E4C83"/>
    <w:rsid w:val="004E4D53"/>
    <w:rsid w:val="004E4D84"/>
    <w:rsid w:val="004E4EBC"/>
    <w:rsid w:val="004E5104"/>
    <w:rsid w:val="004E52A1"/>
    <w:rsid w:val="004E5B06"/>
    <w:rsid w:val="004E5FA8"/>
    <w:rsid w:val="004E684C"/>
    <w:rsid w:val="004E6FF1"/>
    <w:rsid w:val="004E76DB"/>
    <w:rsid w:val="004F1EFF"/>
    <w:rsid w:val="004F1F90"/>
    <w:rsid w:val="004F2401"/>
    <w:rsid w:val="004F2A44"/>
    <w:rsid w:val="004F2DAD"/>
    <w:rsid w:val="004F34F7"/>
    <w:rsid w:val="004F4B83"/>
    <w:rsid w:val="004F55D6"/>
    <w:rsid w:val="004F565A"/>
    <w:rsid w:val="004F571B"/>
    <w:rsid w:val="004F64EB"/>
    <w:rsid w:val="004F7A74"/>
    <w:rsid w:val="00500250"/>
    <w:rsid w:val="00500264"/>
    <w:rsid w:val="005004F3"/>
    <w:rsid w:val="00500824"/>
    <w:rsid w:val="00500DAB"/>
    <w:rsid w:val="00501144"/>
    <w:rsid w:val="005013EF"/>
    <w:rsid w:val="005019E0"/>
    <w:rsid w:val="0050211F"/>
    <w:rsid w:val="005022E7"/>
    <w:rsid w:val="00502A93"/>
    <w:rsid w:val="00506083"/>
    <w:rsid w:val="005061F8"/>
    <w:rsid w:val="005068D6"/>
    <w:rsid w:val="00506B86"/>
    <w:rsid w:val="00506EEC"/>
    <w:rsid w:val="00506FD4"/>
    <w:rsid w:val="005107FF"/>
    <w:rsid w:val="00510A27"/>
    <w:rsid w:val="00510CBC"/>
    <w:rsid w:val="0051102D"/>
    <w:rsid w:val="005112A5"/>
    <w:rsid w:val="00511CD6"/>
    <w:rsid w:val="00511F48"/>
    <w:rsid w:val="00512448"/>
    <w:rsid w:val="0051253A"/>
    <w:rsid w:val="0051266C"/>
    <w:rsid w:val="00513B72"/>
    <w:rsid w:val="00515277"/>
    <w:rsid w:val="005158C2"/>
    <w:rsid w:val="005169DE"/>
    <w:rsid w:val="0051754D"/>
    <w:rsid w:val="0051785D"/>
    <w:rsid w:val="00517913"/>
    <w:rsid w:val="0052005F"/>
    <w:rsid w:val="00520200"/>
    <w:rsid w:val="00520840"/>
    <w:rsid w:val="00520E2D"/>
    <w:rsid w:val="00520F04"/>
    <w:rsid w:val="00521717"/>
    <w:rsid w:val="0052237B"/>
    <w:rsid w:val="005224B2"/>
    <w:rsid w:val="00523B23"/>
    <w:rsid w:val="00523DFA"/>
    <w:rsid w:val="00525112"/>
    <w:rsid w:val="005252B2"/>
    <w:rsid w:val="005254BC"/>
    <w:rsid w:val="005256FC"/>
    <w:rsid w:val="00526C27"/>
    <w:rsid w:val="00526DFF"/>
    <w:rsid w:val="00527473"/>
    <w:rsid w:val="00527EF9"/>
    <w:rsid w:val="005305FF"/>
    <w:rsid w:val="00530C9B"/>
    <w:rsid w:val="00532334"/>
    <w:rsid w:val="005324AF"/>
    <w:rsid w:val="0053402C"/>
    <w:rsid w:val="00534090"/>
    <w:rsid w:val="0053433B"/>
    <w:rsid w:val="00534ABA"/>
    <w:rsid w:val="00535FCA"/>
    <w:rsid w:val="00535FFF"/>
    <w:rsid w:val="0053616F"/>
    <w:rsid w:val="005368AD"/>
    <w:rsid w:val="00536C2B"/>
    <w:rsid w:val="005370BC"/>
    <w:rsid w:val="00537B35"/>
    <w:rsid w:val="00537DE7"/>
    <w:rsid w:val="00537EC4"/>
    <w:rsid w:val="00537FE4"/>
    <w:rsid w:val="0054027D"/>
    <w:rsid w:val="00541222"/>
    <w:rsid w:val="00541A8D"/>
    <w:rsid w:val="00541F7F"/>
    <w:rsid w:val="00543516"/>
    <w:rsid w:val="00544DA0"/>
    <w:rsid w:val="005454BD"/>
    <w:rsid w:val="005457E4"/>
    <w:rsid w:val="00546C49"/>
    <w:rsid w:val="00547942"/>
    <w:rsid w:val="0055010B"/>
    <w:rsid w:val="00550D59"/>
    <w:rsid w:val="00550F2A"/>
    <w:rsid w:val="0055110D"/>
    <w:rsid w:val="00551F81"/>
    <w:rsid w:val="0055210F"/>
    <w:rsid w:val="00552CD7"/>
    <w:rsid w:val="00552CDD"/>
    <w:rsid w:val="00553016"/>
    <w:rsid w:val="005533BE"/>
    <w:rsid w:val="00554B30"/>
    <w:rsid w:val="00554FFB"/>
    <w:rsid w:val="005568DE"/>
    <w:rsid w:val="00557C50"/>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4E56"/>
    <w:rsid w:val="00565406"/>
    <w:rsid w:val="00565570"/>
    <w:rsid w:val="005657DD"/>
    <w:rsid w:val="00565B29"/>
    <w:rsid w:val="00566468"/>
    <w:rsid w:val="005664CC"/>
    <w:rsid w:val="0056664B"/>
    <w:rsid w:val="00567588"/>
    <w:rsid w:val="00567992"/>
    <w:rsid w:val="00567C3C"/>
    <w:rsid w:val="005702F8"/>
    <w:rsid w:val="00571231"/>
    <w:rsid w:val="00571767"/>
    <w:rsid w:val="00571E44"/>
    <w:rsid w:val="005725B8"/>
    <w:rsid w:val="00573E61"/>
    <w:rsid w:val="0057411B"/>
    <w:rsid w:val="00574525"/>
    <w:rsid w:val="00574778"/>
    <w:rsid w:val="0057498F"/>
    <w:rsid w:val="00574DE9"/>
    <w:rsid w:val="00575DF4"/>
    <w:rsid w:val="005768E4"/>
    <w:rsid w:val="0057765D"/>
    <w:rsid w:val="005777FC"/>
    <w:rsid w:val="005808EB"/>
    <w:rsid w:val="00580D37"/>
    <w:rsid w:val="00581FA0"/>
    <w:rsid w:val="00582B90"/>
    <w:rsid w:val="005831A7"/>
    <w:rsid w:val="00583321"/>
    <w:rsid w:val="0058341E"/>
    <w:rsid w:val="00583D34"/>
    <w:rsid w:val="00584F3A"/>
    <w:rsid w:val="005853AB"/>
    <w:rsid w:val="00585748"/>
    <w:rsid w:val="005859C5"/>
    <w:rsid w:val="00585C79"/>
    <w:rsid w:val="00586144"/>
    <w:rsid w:val="00587785"/>
    <w:rsid w:val="0058788D"/>
    <w:rsid w:val="00587E29"/>
    <w:rsid w:val="00587FE6"/>
    <w:rsid w:val="00590580"/>
    <w:rsid w:val="00591698"/>
    <w:rsid w:val="00592516"/>
    <w:rsid w:val="005935F6"/>
    <w:rsid w:val="00593B87"/>
    <w:rsid w:val="00593C1C"/>
    <w:rsid w:val="00593E94"/>
    <w:rsid w:val="00594143"/>
    <w:rsid w:val="00594543"/>
    <w:rsid w:val="00594612"/>
    <w:rsid w:val="00595873"/>
    <w:rsid w:val="00595CDD"/>
    <w:rsid w:val="005964BB"/>
    <w:rsid w:val="00596757"/>
    <w:rsid w:val="00596A70"/>
    <w:rsid w:val="00596BD3"/>
    <w:rsid w:val="00596BE7"/>
    <w:rsid w:val="00596C3E"/>
    <w:rsid w:val="005977DD"/>
    <w:rsid w:val="005A04BD"/>
    <w:rsid w:val="005A0A3F"/>
    <w:rsid w:val="005A0E43"/>
    <w:rsid w:val="005A114F"/>
    <w:rsid w:val="005A1F49"/>
    <w:rsid w:val="005A2364"/>
    <w:rsid w:val="005A2480"/>
    <w:rsid w:val="005A2B2C"/>
    <w:rsid w:val="005A2D6B"/>
    <w:rsid w:val="005A3252"/>
    <w:rsid w:val="005A33F7"/>
    <w:rsid w:val="005A3E45"/>
    <w:rsid w:val="005A40CF"/>
    <w:rsid w:val="005A4A7C"/>
    <w:rsid w:val="005A4A9C"/>
    <w:rsid w:val="005A4BAE"/>
    <w:rsid w:val="005A4F39"/>
    <w:rsid w:val="005A574D"/>
    <w:rsid w:val="005A5B5C"/>
    <w:rsid w:val="005A6E93"/>
    <w:rsid w:val="005A707A"/>
    <w:rsid w:val="005A7340"/>
    <w:rsid w:val="005A7F93"/>
    <w:rsid w:val="005B07EA"/>
    <w:rsid w:val="005B0B20"/>
    <w:rsid w:val="005B0BD6"/>
    <w:rsid w:val="005B0EFB"/>
    <w:rsid w:val="005B1060"/>
    <w:rsid w:val="005B12B9"/>
    <w:rsid w:val="005B17C1"/>
    <w:rsid w:val="005B3737"/>
    <w:rsid w:val="005B3A42"/>
    <w:rsid w:val="005B5D40"/>
    <w:rsid w:val="005B5EFC"/>
    <w:rsid w:val="005B6412"/>
    <w:rsid w:val="005B6698"/>
    <w:rsid w:val="005B68A7"/>
    <w:rsid w:val="005B6AC3"/>
    <w:rsid w:val="005C055E"/>
    <w:rsid w:val="005C0FA1"/>
    <w:rsid w:val="005C1615"/>
    <w:rsid w:val="005C1D98"/>
    <w:rsid w:val="005C1DA5"/>
    <w:rsid w:val="005C2559"/>
    <w:rsid w:val="005C2873"/>
    <w:rsid w:val="005C34FC"/>
    <w:rsid w:val="005C3B5C"/>
    <w:rsid w:val="005C3C7F"/>
    <w:rsid w:val="005C4486"/>
    <w:rsid w:val="005C5143"/>
    <w:rsid w:val="005C5639"/>
    <w:rsid w:val="005C5742"/>
    <w:rsid w:val="005C5DAA"/>
    <w:rsid w:val="005C656B"/>
    <w:rsid w:val="005C760E"/>
    <w:rsid w:val="005C7E9E"/>
    <w:rsid w:val="005D18C9"/>
    <w:rsid w:val="005D1B5E"/>
    <w:rsid w:val="005D1B72"/>
    <w:rsid w:val="005D23F7"/>
    <w:rsid w:val="005D2471"/>
    <w:rsid w:val="005D25A3"/>
    <w:rsid w:val="005D2779"/>
    <w:rsid w:val="005D3242"/>
    <w:rsid w:val="005D610C"/>
    <w:rsid w:val="005D6B64"/>
    <w:rsid w:val="005D74E7"/>
    <w:rsid w:val="005D7F7B"/>
    <w:rsid w:val="005E24EC"/>
    <w:rsid w:val="005E3BCD"/>
    <w:rsid w:val="005E3DE5"/>
    <w:rsid w:val="005E4A87"/>
    <w:rsid w:val="005E4DA5"/>
    <w:rsid w:val="005E503E"/>
    <w:rsid w:val="005E59C7"/>
    <w:rsid w:val="005E5E7B"/>
    <w:rsid w:val="005E6095"/>
    <w:rsid w:val="005E6A3F"/>
    <w:rsid w:val="005E6DB8"/>
    <w:rsid w:val="005E7228"/>
    <w:rsid w:val="005E7284"/>
    <w:rsid w:val="005E79D0"/>
    <w:rsid w:val="005E7BAC"/>
    <w:rsid w:val="005F0E5C"/>
    <w:rsid w:val="005F134E"/>
    <w:rsid w:val="005F1365"/>
    <w:rsid w:val="005F1AC5"/>
    <w:rsid w:val="005F293A"/>
    <w:rsid w:val="005F2C1F"/>
    <w:rsid w:val="005F2E44"/>
    <w:rsid w:val="005F3690"/>
    <w:rsid w:val="005F3986"/>
    <w:rsid w:val="005F4C57"/>
    <w:rsid w:val="005F6774"/>
    <w:rsid w:val="005F79AA"/>
    <w:rsid w:val="0060044B"/>
    <w:rsid w:val="006013D7"/>
    <w:rsid w:val="006014DB"/>
    <w:rsid w:val="00601587"/>
    <w:rsid w:val="00602079"/>
    <w:rsid w:val="006022F3"/>
    <w:rsid w:val="00602579"/>
    <w:rsid w:val="00602BA4"/>
    <w:rsid w:val="00602DA2"/>
    <w:rsid w:val="00602FF4"/>
    <w:rsid w:val="00603228"/>
    <w:rsid w:val="00604ACD"/>
    <w:rsid w:val="00604B02"/>
    <w:rsid w:val="00604C15"/>
    <w:rsid w:val="00604DC2"/>
    <w:rsid w:val="00605D84"/>
    <w:rsid w:val="00605ED7"/>
    <w:rsid w:val="006060C4"/>
    <w:rsid w:val="00606AF2"/>
    <w:rsid w:val="00607C35"/>
    <w:rsid w:val="00607EFA"/>
    <w:rsid w:val="0061029E"/>
    <w:rsid w:val="006109E9"/>
    <w:rsid w:val="00610A63"/>
    <w:rsid w:val="00611777"/>
    <w:rsid w:val="0061189F"/>
    <w:rsid w:val="00612170"/>
    <w:rsid w:val="0061219B"/>
    <w:rsid w:val="00612D05"/>
    <w:rsid w:val="00613FB6"/>
    <w:rsid w:val="006140C6"/>
    <w:rsid w:val="00614134"/>
    <w:rsid w:val="00614241"/>
    <w:rsid w:val="0061428D"/>
    <w:rsid w:val="00615040"/>
    <w:rsid w:val="00615411"/>
    <w:rsid w:val="0061599E"/>
    <w:rsid w:val="00615AC7"/>
    <w:rsid w:val="006162E6"/>
    <w:rsid w:val="006171A5"/>
    <w:rsid w:val="00620309"/>
    <w:rsid w:val="0062159D"/>
    <w:rsid w:val="00621680"/>
    <w:rsid w:val="00621EC5"/>
    <w:rsid w:val="006223E0"/>
    <w:rsid w:val="006224D0"/>
    <w:rsid w:val="00622BCE"/>
    <w:rsid w:val="00622E29"/>
    <w:rsid w:val="00623643"/>
    <w:rsid w:val="00623AE6"/>
    <w:rsid w:val="00624018"/>
    <w:rsid w:val="006240C4"/>
    <w:rsid w:val="00625304"/>
    <w:rsid w:val="0062581B"/>
    <w:rsid w:val="006261F4"/>
    <w:rsid w:val="0063164E"/>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404D1"/>
    <w:rsid w:val="00640F43"/>
    <w:rsid w:val="006412CA"/>
    <w:rsid w:val="006420DA"/>
    <w:rsid w:val="006425AC"/>
    <w:rsid w:val="00642A0A"/>
    <w:rsid w:val="00643AB9"/>
    <w:rsid w:val="00643AC1"/>
    <w:rsid w:val="00643D62"/>
    <w:rsid w:val="006446C1"/>
    <w:rsid w:val="00644A5E"/>
    <w:rsid w:val="00644A6C"/>
    <w:rsid w:val="00644D69"/>
    <w:rsid w:val="006457A8"/>
    <w:rsid w:val="00645EA0"/>
    <w:rsid w:val="00645F76"/>
    <w:rsid w:val="00646EB0"/>
    <w:rsid w:val="0064714D"/>
    <w:rsid w:val="0064727D"/>
    <w:rsid w:val="00647B32"/>
    <w:rsid w:val="00647C27"/>
    <w:rsid w:val="00650DA2"/>
    <w:rsid w:val="006519E6"/>
    <w:rsid w:val="00651CDE"/>
    <w:rsid w:val="0065224F"/>
    <w:rsid w:val="00652326"/>
    <w:rsid w:val="00652907"/>
    <w:rsid w:val="00652E06"/>
    <w:rsid w:val="00653FC4"/>
    <w:rsid w:val="00654F91"/>
    <w:rsid w:val="00655361"/>
    <w:rsid w:val="00656253"/>
    <w:rsid w:val="00656799"/>
    <w:rsid w:val="00656B77"/>
    <w:rsid w:val="00656E72"/>
    <w:rsid w:val="006578A1"/>
    <w:rsid w:val="0066137B"/>
    <w:rsid w:val="0066174E"/>
    <w:rsid w:val="00661BBB"/>
    <w:rsid w:val="00661E57"/>
    <w:rsid w:val="006629E4"/>
    <w:rsid w:val="00663783"/>
    <w:rsid w:val="00663E47"/>
    <w:rsid w:val="00663EDE"/>
    <w:rsid w:val="006644A7"/>
    <w:rsid w:val="00664BDE"/>
    <w:rsid w:val="00664F0E"/>
    <w:rsid w:val="0066565B"/>
    <w:rsid w:val="00665C44"/>
    <w:rsid w:val="00666284"/>
    <w:rsid w:val="006667F3"/>
    <w:rsid w:val="00667AEA"/>
    <w:rsid w:val="006704FA"/>
    <w:rsid w:val="00670687"/>
    <w:rsid w:val="00670DC5"/>
    <w:rsid w:val="00671652"/>
    <w:rsid w:val="00671887"/>
    <w:rsid w:val="00671FAA"/>
    <w:rsid w:val="0067381D"/>
    <w:rsid w:val="00675DA5"/>
    <w:rsid w:val="0068011A"/>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4310"/>
    <w:rsid w:val="00694700"/>
    <w:rsid w:val="00694803"/>
    <w:rsid w:val="00694CE8"/>
    <w:rsid w:val="0069569E"/>
    <w:rsid w:val="006956C6"/>
    <w:rsid w:val="0069658E"/>
    <w:rsid w:val="00696D7D"/>
    <w:rsid w:val="00696EE3"/>
    <w:rsid w:val="0069715D"/>
    <w:rsid w:val="00697392"/>
    <w:rsid w:val="006973E5"/>
    <w:rsid w:val="00697664"/>
    <w:rsid w:val="00697681"/>
    <w:rsid w:val="0069770C"/>
    <w:rsid w:val="006979C6"/>
    <w:rsid w:val="006A0757"/>
    <w:rsid w:val="006A08F2"/>
    <w:rsid w:val="006A151A"/>
    <w:rsid w:val="006A1E62"/>
    <w:rsid w:val="006A2A12"/>
    <w:rsid w:val="006A2E9C"/>
    <w:rsid w:val="006A35E0"/>
    <w:rsid w:val="006A377F"/>
    <w:rsid w:val="006A384A"/>
    <w:rsid w:val="006A3875"/>
    <w:rsid w:val="006A3D40"/>
    <w:rsid w:val="006A46B1"/>
    <w:rsid w:val="006A561D"/>
    <w:rsid w:val="006A5A0C"/>
    <w:rsid w:val="006A5BA0"/>
    <w:rsid w:val="006A5BB1"/>
    <w:rsid w:val="006A5F88"/>
    <w:rsid w:val="006A70C4"/>
    <w:rsid w:val="006A7D95"/>
    <w:rsid w:val="006B034F"/>
    <w:rsid w:val="006B120D"/>
    <w:rsid w:val="006B13C1"/>
    <w:rsid w:val="006B175C"/>
    <w:rsid w:val="006B1B20"/>
    <w:rsid w:val="006B22A5"/>
    <w:rsid w:val="006B2CC7"/>
    <w:rsid w:val="006B2EC0"/>
    <w:rsid w:val="006B3AF9"/>
    <w:rsid w:val="006B44C5"/>
    <w:rsid w:val="006B555F"/>
    <w:rsid w:val="006B616F"/>
    <w:rsid w:val="006B6242"/>
    <w:rsid w:val="006B6C7C"/>
    <w:rsid w:val="006B6EA4"/>
    <w:rsid w:val="006B77BB"/>
    <w:rsid w:val="006B7F8F"/>
    <w:rsid w:val="006B7FC5"/>
    <w:rsid w:val="006C055E"/>
    <w:rsid w:val="006C076C"/>
    <w:rsid w:val="006C0D13"/>
    <w:rsid w:val="006C187F"/>
    <w:rsid w:val="006C19BC"/>
    <w:rsid w:val="006C19D5"/>
    <w:rsid w:val="006C1B44"/>
    <w:rsid w:val="006C1F77"/>
    <w:rsid w:val="006C2211"/>
    <w:rsid w:val="006C3031"/>
    <w:rsid w:val="006C3607"/>
    <w:rsid w:val="006C3990"/>
    <w:rsid w:val="006C3D63"/>
    <w:rsid w:val="006C3ED2"/>
    <w:rsid w:val="006C4233"/>
    <w:rsid w:val="006C42E7"/>
    <w:rsid w:val="006C4422"/>
    <w:rsid w:val="006C4454"/>
    <w:rsid w:val="006C581F"/>
    <w:rsid w:val="006C5CCA"/>
    <w:rsid w:val="006C625F"/>
    <w:rsid w:val="006C78A6"/>
    <w:rsid w:val="006C7AB4"/>
    <w:rsid w:val="006D006B"/>
    <w:rsid w:val="006D008A"/>
    <w:rsid w:val="006D105C"/>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3CB2"/>
    <w:rsid w:val="006E3DA8"/>
    <w:rsid w:val="006E4A94"/>
    <w:rsid w:val="006E5DAA"/>
    <w:rsid w:val="006E7006"/>
    <w:rsid w:val="006F00E7"/>
    <w:rsid w:val="006F0F6E"/>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BAC"/>
    <w:rsid w:val="006F5CC1"/>
    <w:rsid w:val="006F67A5"/>
    <w:rsid w:val="006F710D"/>
    <w:rsid w:val="006F762D"/>
    <w:rsid w:val="00700492"/>
    <w:rsid w:val="0070167E"/>
    <w:rsid w:val="00701E1B"/>
    <w:rsid w:val="00702ED0"/>
    <w:rsid w:val="007039A0"/>
    <w:rsid w:val="00703C09"/>
    <w:rsid w:val="0070434A"/>
    <w:rsid w:val="007048C4"/>
    <w:rsid w:val="00704934"/>
    <w:rsid w:val="00704CC4"/>
    <w:rsid w:val="00705345"/>
    <w:rsid w:val="0070638D"/>
    <w:rsid w:val="00706DBF"/>
    <w:rsid w:val="00707A59"/>
    <w:rsid w:val="0071046B"/>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5DE"/>
    <w:rsid w:val="00713779"/>
    <w:rsid w:val="00713989"/>
    <w:rsid w:val="00713DCF"/>
    <w:rsid w:val="00714004"/>
    <w:rsid w:val="0071458E"/>
    <w:rsid w:val="007145C9"/>
    <w:rsid w:val="00714631"/>
    <w:rsid w:val="00714B6E"/>
    <w:rsid w:val="0071512F"/>
    <w:rsid w:val="007169AC"/>
    <w:rsid w:val="007169DD"/>
    <w:rsid w:val="00717679"/>
    <w:rsid w:val="00717B67"/>
    <w:rsid w:val="007202BB"/>
    <w:rsid w:val="00720475"/>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4C7"/>
    <w:rsid w:val="00725A19"/>
    <w:rsid w:val="00726356"/>
    <w:rsid w:val="007268C7"/>
    <w:rsid w:val="00726AAB"/>
    <w:rsid w:val="00727077"/>
    <w:rsid w:val="00730EA6"/>
    <w:rsid w:val="00731C15"/>
    <w:rsid w:val="00732045"/>
    <w:rsid w:val="007322A0"/>
    <w:rsid w:val="00732C1A"/>
    <w:rsid w:val="00733CDC"/>
    <w:rsid w:val="00734657"/>
    <w:rsid w:val="00734B9A"/>
    <w:rsid w:val="00734CDD"/>
    <w:rsid w:val="00735695"/>
    <w:rsid w:val="007360CB"/>
    <w:rsid w:val="00736742"/>
    <w:rsid w:val="00737566"/>
    <w:rsid w:val="00737BCF"/>
    <w:rsid w:val="00741BA2"/>
    <w:rsid w:val="00741CF4"/>
    <w:rsid w:val="00741DCC"/>
    <w:rsid w:val="00741DE2"/>
    <w:rsid w:val="007421A1"/>
    <w:rsid w:val="007427FE"/>
    <w:rsid w:val="00742C51"/>
    <w:rsid w:val="00743445"/>
    <w:rsid w:val="00745E01"/>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921"/>
    <w:rsid w:val="00753A93"/>
    <w:rsid w:val="00753E79"/>
    <w:rsid w:val="0075508B"/>
    <w:rsid w:val="00755663"/>
    <w:rsid w:val="00756386"/>
    <w:rsid w:val="00756603"/>
    <w:rsid w:val="007575C0"/>
    <w:rsid w:val="00757D2F"/>
    <w:rsid w:val="0076000E"/>
    <w:rsid w:val="00760C00"/>
    <w:rsid w:val="007610E9"/>
    <w:rsid w:val="00761728"/>
    <w:rsid w:val="00761C6C"/>
    <w:rsid w:val="007626C6"/>
    <w:rsid w:val="00762B72"/>
    <w:rsid w:val="00763CCB"/>
    <w:rsid w:val="007642B4"/>
    <w:rsid w:val="00764C45"/>
    <w:rsid w:val="00766277"/>
    <w:rsid w:val="0076656A"/>
    <w:rsid w:val="00766701"/>
    <w:rsid w:val="00766911"/>
    <w:rsid w:val="00767793"/>
    <w:rsid w:val="007679D8"/>
    <w:rsid w:val="00770803"/>
    <w:rsid w:val="00771319"/>
    <w:rsid w:val="007713E8"/>
    <w:rsid w:val="00771794"/>
    <w:rsid w:val="00771907"/>
    <w:rsid w:val="00771CCF"/>
    <w:rsid w:val="00771F7D"/>
    <w:rsid w:val="00772C3E"/>
    <w:rsid w:val="007736E8"/>
    <w:rsid w:val="00774ACE"/>
    <w:rsid w:val="00775823"/>
    <w:rsid w:val="00775F57"/>
    <w:rsid w:val="00776584"/>
    <w:rsid w:val="007769EF"/>
    <w:rsid w:val="00776D4F"/>
    <w:rsid w:val="00776DDC"/>
    <w:rsid w:val="007770F9"/>
    <w:rsid w:val="00777179"/>
    <w:rsid w:val="00777945"/>
    <w:rsid w:val="00777D40"/>
    <w:rsid w:val="00780B8D"/>
    <w:rsid w:val="00780B8E"/>
    <w:rsid w:val="0078142A"/>
    <w:rsid w:val="00781649"/>
    <w:rsid w:val="00781CB1"/>
    <w:rsid w:val="007823D6"/>
    <w:rsid w:val="0078254E"/>
    <w:rsid w:val="00782628"/>
    <w:rsid w:val="007826AB"/>
    <w:rsid w:val="00783FE6"/>
    <w:rsid w:val="007840E2"/>
    <w:rsid w:val="0078569F"/>
    <w:rsid w:val="00785803"/>
    <w:rsid w:val="00785EB4"/>
    <w:rsid w:val="0078609A"/>
    <w:rsid w:val="00786F85"/>
    <w:rsid w:val="0078731A"/>
    <w:rsid w:val="00787487"/>
    <w:rsid w:val="007906F1"/>
    <w:rsid w:val="00790EDA"/>
    <w:rsid w:val="00791349"/>
    <w:rsid w:val="007918EA"/>
    <w:rsid w:val="00791D85"/>
    <w:rsid w:val="00791DAF"/>
    <w:rsid w:val="007924CA"/>
    <w:rsid w:val="00794CBF"/>
    <w:rsid w:val="00795365"/>
    <w:rsid w:val="0079567E"/>
    <w:rsid w:val="007961D5"/>
    <w:rsid w:val="00796A6F"/>
    <w:rsid w:val="00796C5D"/>
    <w:rsid w:val="007971B9"/>
    <w:rsid w:val="00797B06"/>
    <w:rsid w:val="00797B9C"/>
    <w:rsid w:val="007A0483"/>
    <w:rsid w:val="007A0C05"/>
    <w:rsid w:val="007A1065"/>
    <w:rsid w:val="007A1D86"/>
    <w:rsid w:val="007A20A3"/>
    <w:rsid w:val="007A2A97"/>
    <w:rsid w:val="007A2CDC"/>
    <w:rsid w:val="007A371B"/>
    <w:rsid w:val="007A3832"/>
    <w:rsid w:val="007A3A0F"/>
    <w:rsid w:val="007A3E60"/>
    <w:rsid w:val="007A407D"/>
    <w:rsid w:val="007A464F"/>
    <w:rsid w:val="007A4E6D"/>
    <w:rsid w:val="007A6196"/>
    <w:rsid w:val="007A63D5"/>
    <w:rsid w:val="007A689A"/>
    <w:rsid w:val="007A68EA"/>
    <w:rsid w:val="007A6B10"/>
    <w:rsid w:val="007A6B7D"/>
    <w:rsid w:val="007A7629"/>
    <w:rsid w:val="007B1027"/>
    <w:rsid w:val="007B1691"/>
    <w:rsid w:val="007B174F"/>
    <w:rsid w:val="007B1863"/>
    <w:rsid w:val="007B22E0"/>
    <w:rsid w:val="007B28CA"/>
    <w:rsid w:val="007B358D"/>
    <w:rsid w:val="007B3C23"/>
    <w:rsid w:val="007B3CF3"/>
    <w:rsid w:val="007B5401"/>
    <w:rsid w:val="007B5BE9"/>
    <w:rsid w:val="007B5FB4"/>
    <w:rsid w:val="007B6B2B"/>
    <w:rsid w:val="007B7949"/>
    <w:rsid w:val="007B7D30"/>
    <w:rsid w:val="007C0FA9"/>
    <w:rsid w:val="007C2413"/>
    <w:rsid w:val="007C25AE"/>
    <w:rsid w:val="007C3152"/>
    <w:rsid w:val="007C333B"/>
    <w:rsid w:val="007C3914"/>
    <w:rsid w:val="007C3CEA"/>
    <w:rsid w:val="007C3D10"/>
    <w:rsid w:val="007C3D92"/>
    <w:rsid w:val="007C3E98"/>
    <w:rsid w:val="007C5A8F"/>
    <w:rsid w:val="007C5B38"/>
    <w:rsid w:val="007C5DAC"/>
    <w:rsid w:val="007C76E8"/>
    <w:rsid w:val="007C7977"/>
    <w:rsid w:val="007C7AEA"/>
    <w:rsid w:val="007D01E6"/>
    <w:rsid w:val="007D035E"/>
    <w:rsid w:val="007D0396"/>
    <w:rsid w:val="007D0644"/>
    <w:rsid w:val="007D1801"/>
    <w:rsid w:val="007D1FE0"/>
    <w:rsid w:val="007D20BB"/>
    <w:rsid w:val="007D261E"/>
    <w:rsid w:val="007D2F61"/>
    <w:rsid w:val="007D3004"/>
    <w:rsid w:val="007D31E5"/>
    <w:rsid w:val="007D3D0E"/>
    <w:rsid w:val="007D3D33"/>
    <w:rsid w:val="007D3E56"/>
    <w:rsid w:val="007D41C2"/>
    <w:rsid w:val="007D4F02"/>
    <w:rsid w:val="007D674C"/>
    <w:rsid w:val="007D6B7B"/>
    <w:rsid w:val="007D6CF1"/>
    <w:rsid w:val="007D7131"/>
    <w:rsid w:val="007D7BEC"/>
    <w:rsid w:val="007D7CE3"/>
    <w:rsid w:val="007E04B2"/>
    <w:rsid w:val="007E051A"/>
    <w:rsid w:val="007E0798"/>
    <w:rsid w:val="007E1423"/>
    <w:rsid w:val="007E1B72"/>
    <w:rsid w:val="007E3EE3"/>
    <w:rsid w:val="007E57DE"/>
    <w:rsid w:val="007E5902"/>
    <w:rsid w:val="007E6719"/>
    <w:rsid w:val="007E68ED"/>
    <w:rsid w:val="007E69ED"/>
    <w:rsid w:val="007E6FD2"/>
    <w:rsid w:val="007E7B2D"/>
    <w:rsid w:val="007F0221"/>
    <w:rsid w:val="007F034B"/>
    <w:rsid w:val="007F07B9"/>
    <w:rsid w:val="007F0928"/>
    <w:rsid w:val="007F09F8"/>
    <w:rsid w:val="007F15CE"/>
    <w:rsid w:val="007F1E88"/>
    <w:rsid w:val="007F2CD7"/>
    <w:rsid w:val="007F33DF"/>
    <w:rsid w:val="007F3568"/>
    <w:rsid w:val="007F422D"/>
    <w:rsid w:val="007F4DBA"/>
    <w:rsid w:val="007F519C"/>
    <w:rsid w:val="007F534D"/>
    <w:rsid w:val="007F54A2"/>
    <w:rsid w:val="007F54FE"/>
    <w:rsid w:val="007F5535"/>
    <w:rsid w:val="007F5B50"/>
    <w:rsid w:val="007F5D32"/>
    <w:rsid w:val="007F6834"/>
    <w:rsid w:val="007F72DC"/>
    <w:rsid w:val="007F740F"/>
    <w:rsid w:val="007F795F"/>
    <w:rsid w:val="0080069C"/>
    <w:rsid w:val="008006FD"/>
    <w:rsid w:val="0080148D"/>
    <w:rsid w:val="0080156B"/>
    <w:rsid w:val="00801A3A"/>
    <w:rsid w:val="00802DDE"/>
    <w:rsid w:val="00803E92"/>
    <w:rsid w:val="00804114"/>
    <w:rsid w:val="00804634"/>
    <w:rsid w:val="008047E8"/>
    <w:rsid w:val="008051ED"/>
    <w:rsid w:val="0080531E"/>
    <w:rsid w:val="00805C3D"/>
    <w:rsid w:val="00805CA1"/>
    <w:rsid w:val="00806515"/>
    <w:rsid w:val="00806F1D"/>
    <w:rsid w:val="008077ED"/>
    <w:rsid w:val="00807B6F"/>
    <w:rsid w:val="00807E93"/>
    <w:rsid w:val="00810172"/>
    <w:rsid w:val="00810762"/>
    <w:rsid w:val="00810858"/>
    <w:rsid w:val="00810EFF"/>
    <w:rsid w:val="00811314"/>
    <w:rsid w:val="008116CE"/>
    <w:rsid w:val="0081184A"/>
    <w:rsid w:val="00811A39"/>
    <w:rsid w:val="0081291B"/>
    <w:rsid w:val="00813622"/>
    <w:rsid w:val="00813DCF"/>
    <w:rsid w:val="00813FAB"/>
    <w:rsid w:val="0081498C"/>
    <w:rsid w:val="00814AE1"/>
    <w:rsid w:val="00815D31"/>
    <w:rsid w:val="0081601F"/>
    <w:rsid w:val="00816064"/>
    <w:rsid w:val="008174B2"/>
    <w:rsid w:val="008178A9"/>
    <w:rsid w:val="00817CFF"/>
    <w:rsid w:val="0082000D"/>
    <w:rsid w:val="0082037E"/>
    <w:rsid w:val="00820C9C"/>
    <w:rsid w:val="00820F55"/>
    <w:rsid w:val="00821572"/>
    <w:rsid w:val="00822310"/>
    <w:rsid w:val="008235F8"/>
    <w:rsid w:val="0082360B"/>
    <w:rsid w:val="00823794"/>
    <w:rsid w:val="008237F4"/>
    <w:rsid w:val="00823F67"/>
    <w:rsid w:val="00824022"/>
    <w:rsid w:val="0082483A"/>
    <w:rsid w:val="00824A81"/>
    <w:rsid w:val="008257B8"/>
    <w:rsid w:val="008260ED"/>
    <w:rsid w:val="0082699D"/>
    <w:rsid w:val="00826E6B"/>
    <w:rsid w:val="008275FD"/>
    <w:rsid w:val="00830BA1"/>
    <w:rsid w:val="00830EB2"/>
    <w:rsid w:val="00831652"/>
    <w:rsid w:val="00831EBC"/>
    <w:rsid w:val="0083202E"/>
    <w:rsid w:val="0083304F"/>
    <w:rsid w:val="008334C9"/>
    <w:rsid w:val="00833883"/>
    <w:rsid w:val="00834122"/>
    <w:rsid w:val="00834758"/>
    <w:rsid w:val="00834BFF"/>
    <w:rsid w:val="008352C5"/>
    <w:rsid w:val="008358A6"/>
    <w:rsid w:val="008359FB"/>
    <w:rsid w:val="00835C56"/>
    <w:rsid w:val="008360FC"/>
    <w:rsid w:val="00836E81"/>
    <w:rsid w:val="008377C1"/>
    <w:rsid w:val="0083796C"/>
    <w:rsid w:val="00837C90"/>
    <w:rsid w:val="00837EB1"/>
    <w:rsid w:val="0084042B"/>
    <w:rsid w:val="008409BB"/>
    <w:rsid w:val="0084184A"/>
    <w:rsid w:val="00841BC6"/>
    <w:rsid w:val="008423F2"/>
    <w:rsid w:val="00842A30"/>
    <w:rsid w:val="00842F71"/>
    <w:rsid w:val="00843179"/>
    <w:rsid w:val="0084386A"/>
    <w:rsid w:val="00843E0E"/>
    <w:rsid w:val="008442EA"/>
    <w:rsid w:val="00844589"/>
    <w:rsid w:val="008445F1"/>
    <w:rsid w:val="00844794"/>
    <w:rsid w:val="00844B47"/>
    <w:rsid w:val="00844E75"/>
    <w:rsid w:val="00844FE7"/>
    <w:rsid w:val="00845969"/>
    <w:rsid w:val="00845A0C"/>
    <w:rsid w:val="00845F37"/>
    <w:rsid w:val="00845FF5"/>
    <w:rsid w:val="00846001"/>
    <w:rsid w:val="0084615D"/>
    <w:rsid w:val="0084642A"/>
    <w:rsid w:val="008465C4"/>
    <w:rsid w:val="00846710"/>
    <w:rsid w:val="008478ED"/>
    <w:rsid w:val="00847C6B"/>
    <w:rsid w:val="00851728"/>
    <w:rsid w:val="00851DFF"/>
    <w:rsid w:val="00853084"/>
    <w:rsid w:val="00853142"/>
    <w:rsid w:val="00853CCF"/>
    <w:rsid w:val="008540A6"/>
    <w:rsid w:val="00854420"/>
    <w:rsid w:val="00854481"/>
    <w:rsid w:val="00855BFF"/>
    <w:rsid w:val="00856E17"/>
    <w:rsid w:val="00857591"/>
    <w:rsid w:val="00857E88"/>
    <w:rsid w:val="008612DB"/>
    <w:rsid w:val="00861B57"/>
    <w:rsid w:val="00862AC4"/>
    <w:rsid w:val="00862FD0"/>
    <w:rsid w:val="008633AC"/>
    <w:rsid w:val="008634E3"/>
    <w:rsid w:val="00864627"/>
    <w:rsid w:val="00864635"/>
    <w:rsid w:val="00864678"/>
    <w:rsid w:val="00864C1A"/>
    <w:rsid w:val="00865217"/>
    <w:rsid w:val="008658AA"/>
    <w:rsid w:val="00865CBD"/>
    <w:rsid w:val="00866A30"/>
    <w:rsid w:val="00866E37"/>
    <w:rsid w:val="00866F9E"/>
    <w:rsid w:val="008672E2"/>
    <w:rsid w:val="00867841"/>
    <w:rsid w:val="008678C6"/>
    <w:rsid w:val="0086793D"/>
    <w:rsid w:val="00867B1C"/>
    <w:rsid w:val="0087002B"/>
    <w:rsid w:val="008713D6"/>
    <w:rsid w:val="00871643"/>
    <w:rsid w:val="00871DEA"/>
    <w:rsid w:val="0087281D"/>
    <w:rsid w:val="008732D8"/>
    <w:rsid w:val="00873377"/>
    <w:rsid w:val="00873577"/>
    <w:rsid w:val="0087409F"/>
    <w:rsid w:val="00874D58"/>
    <w:rsid w:val="008750D2"/>
    <w:rsid w:val="00875AB5"/>
    <w:rsid w:val="00875C91"/>
    <w:rsid w:val="00875F85"/>
    <w:rsid w:val="00876C6B"/>
    <w:rsid w:val="00876DC9"/>
    <w:rsid w:val="00877125"/>
    <w:rsid w:val="008777C2"/>
    <w:rsid w:val="00880686"/>
    <w:rsid w:val="00880CB8"/>
    <w:rsid w:val="00881511"/>
    <w:rsid w:val="00882448"/>
    <w:rsid w:val="00882F1D"/>
    <w:rsid w:val="00883A4D"/>
    <w:rsid w:val="00883B21"/>
    <w:rsid w:val="00883F8F"/>
    <w:rsid w:val="00884235"/>
    <w:rsid w:val="00885285"/>
    <w:rsid w:val="00885985"/>
    <w:rsid w:val="00885DA7"/>
    <w:rsid w:val="0088644F"/>
    <w:rsid w:val="00886699"/>
    <w:rsid w:val="0088709A"/>
    <w:rsid w:val="0089199F"/>
    <w:rsid w:val="00891C32"/>
    <w:rsid w:val="00891D7F"/>
    <w:rsid w:val="00892265"/>
    <w:rsid w:val="0089233E"/>
    <w:rsid w:val="0089330E"/>
    <w:rsid w:val="00893A8E"/>
    <w:rsid w:val="00893E27"/>
    <w:rsid w:val="008945F7"/>
    <w:rsid w:val="0089463D"/>
    <w:rsid w:val="00894D0A"/>
    <w:rsid w:val="00894DBB"/>
    <w:rsid w:val="0089554F"/>
    <w:rsid w:val="008955E6"/>
    <w:rsid w:val="00895B5F"/>
    <w:rsid w:val="0089637C"/>
    <w:rsid w:val="00896712"/>
    <w:rsid w:val="00896870"/>
    <w:rsid w:val="008969BD"/>
    <w:rsid w:val="008A015E"/>
    <w:rsid w:val="008A0DD3"/>
    <w:rsid w:val="008A13BD"/>
    <w:rsid w:val="008A1596"/>
    <w:rsid w:val="008A1EDF"/>
    <w:rsid w:val="008A2695"/>
    <w:rsid w:val="008A2DC9"/>
    <w:rsid w:val="008A2FF1"/>
    <w:rsid w:val="008A32D4"/>
    <w:rsid w:val="008A367F"/>
    <w:rsid w:val="008A37AF"/>
    <w:rsid w:val="008A3D62"/>
    <w:rsid w:val="008A4390"/>
    <w:rsid w:val="008A448D"/>
    <w:rsid w:val="008A4A55"/>
    <w:rsid w:val="008A506F"/>
    <w:rsid w:val="008A528A"/>
    <w:rsid w:val="008A5298"/>
    <w:rsid w:val="008A535A"/>
    <w:rsid w:val="008A5679"/>
    <w:rsid w:val="008A720F"/>
    <w:rsid w:val="008A7C72"/>
    <w:rsid w:val="008B04F2"/>
    <w:rsid w:val="008B0D0E"/>
    <w:rsid w:val="008B12BB"/>
    <w:rsid w:val="008B1411"/>
    <w:rsid w:val="008B17A2"/>
    <w:rsid w:val="008B25F2"/>
    <w:rsid w:val="008B2643"/>
    <w:rsid w:val="008B2A31"/>
    <w:rsid w:val="008B2FAE"/>
    <w:rsid w:val="008B3317"/>
    <w:rsid w:val="008B414B"/>
    <w:rsid w:val="008B4E0E"/>
    <w:rsid w:val="008B4FB9"/>
    <w:rsid w:val="008B5715"/>
    <w:rsid w:val="008B5A2D"/>
    <w:rsid w:val="008B5BC2"/>
    <w:rsid w:val="008B60BB"/>
    <w:rsid w:val="008B6732"/>
    <w:rsid w:val="008B68EC"/>
    <w:rsid w:val="008B711E"/>
    <w:rsid w:val="008B7FE3"/>
    <w:rsid w:val="008C001F"/>
    <w:rsid w:val="008C042F"/>
    <w:rsid w:val="008C057B"/>
    <w:rsid w:val="008C0CAC"/>
    <w:rsid w:val="008C0FF0"/>
    <w:rsid w:val="008C13B4"/>
    <w:rsid w:val="008C1557"/>
    <w:rsid w:val="008C1B8C"/>
    <w:rsid w:val="008C203A"/>
    <w:rsid w:val="008C2306"/>
    <w:rsid w:val="008C26D1"/>
    <w:rsid w:val="008C2B7F"/>
    <w:rsid w:val="008C36AC"/>
    <w:rsid w:val="008C4953"/>
    <w:rsid w:val="008C4E44"/>
    <w:rsid w:val="008C508E"/>
    <w:rsid w:val="008C6255"/>
    <w:rsid w:val="008C6499"/>
    <w:rsid w:val="008C684B"/>
    <w:rsid w:val="008C6ABD"/>
    <w:rsid w:val="008C6F18"/>
    <w:rsid w:val="008C7685"/>
    <w:rsid w:val="008D007A"/>
    <w:rsid w:val="008D07DE"/>
    <w:rsid w:val="008D0831"/>
    <w:rsid w:val="008D0E40"/>
    <w:rsid w:val="008D10DF"/>
    <w:rsid w:val="008D1D74"/>
    <w:rsid w:val="008D1E7F"/>
    <w:rsid w:val="008D2367"/>
    <w:rsid w:val="008D427A"/>
    <w:rsid w:val="008D4902"/>
    <w:rsid w:val="008D4DD5"/>
    <w:rsid w:val="008D53D6"/>
    <w:rsid w:val="008D5657"/>
    <w:rsid w:val="008D588F"/>
    <w:rsid w:val="008D6752"/>
    <w:rsid w:val="008D69E7"/>
    <w:rsid w:val="008D6FC1"/>
    <w:rsid w:val="008E0140"/>
    <w:rsid w:val="008E0688"/>
    <w:rsid w:val="008E0BEF"/>
    <w:rsid w:val="008E266D"/>
    <w:rsid w:val="008E2F0C"/>
    <w:rsid w:val="008E3E23"/>
    <w:rsid w:val="008E547B"/>
    <w:rsid w:val="008E5DF8"/>
    <w:rsid w:val="008E78F8"/>
    <w:rsid w:val="008E7AD7"/>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8F7EEA"/>
    <w:rsid w:val="00900947"/>
    <w:rsid w:val="00900EB8"/>
    <w:rsid w:val="00900FBA"/>
    <w:rsid w:val="009018A0"/>
    <w:rsid w:val="00902E5B"/>
    <w:rsid w:val="00903FD9"/>
    <w:rsid w:val="00904CF5"/>
    <w:rsid w:val="00905259"/>
    <w:rsid w:val="0090556C"/>
    <w:rsid w:val="00905633"/>
    <w:rsid w:val="00905EAE"/>
    <w:rsid w:val="009060C4"/>
    <w:rsid w:val="00906C91"/>
    <w:rsid w:val="00906C95"/>
    <w:rsid w:val="00907656"/>
    <w:rsid w:val="00907E47"/>
    <w:rsid w:val="009115EF"/>
    <w:rsid w:val="009116DD"/>
    <w:rsid w:val="00912D1C"/>
    <w:rsid w:val="00913019"/>
    <w:rsid w:val="00913AA6"/>
    <w:rsid w:val="00913F1E"/>
    <w:rsid w:val="00913FB2"/>
    <w:rsid w:val="009140C4"/>
    <w:rsid w:val="009144A9"/>
    <w:rsid w:val="0091468B"/>
    <w:rsid w:val="0091526F"/>
    <w:rsid w:val="009153D2"/>
    <w:rsid w:val="00916286"/>
    <w:rsid w:val="00916595"/>
    <w:rsid w:val="00916C47"/>
    <w:rsid w:val="009171AD"/>
    <w:rsid w:val="00917569"/>
    <w:rsid w:val="00920174"/>
    <w:rsid w:val="0092078D"/>
    <w:rsid w:val="009219D2"/>
    <w:rsid w:val="00921A4E"/>
    <w:rsid w:val="00921E37"/>
    <w:rsid w:val="00922511"/>
    <w:rsid w:val="00922F07"/>
    <w:rsid w:val="00923463"/>
    <w:rsid w:val="00923E5A"/>
    <w:rsid w:val="00925238"/>
    <w:rsid w:val="00925ACF"/>
    <w:rsid w:val="0092615D"/>
    <w:rsid w:val="00926546"/>
    <w:rsid w:val="009265A1"/>
    <w:rsid w:val="00926680"/>
    <w:rsid w:val="00927700"/>
    <w:rsid w:val="0093036E"/>
    <w:rsid w:val="00930AC2"/>
    <w:rsid w:val="00931224"/>
    <w:rsid w:val="009333D3"/>
    <w:rsid w:val="009339B6"/>
    <w:rsid w:val="00933B4C"/>
    <w:rsid w:val="00933DC4"/>
    <w:rsid w:val="0093431B"/>
    <w:rsid w:val="009346D6"/>
    <w:rsid w:val="00934743"/>
    <w:rsid w:val="0093487E"/>
    <w:rsid w:val="00934FFE"/>
    <w:rsid w:val="00936405"/>
    <w:rsid w:val="00936B64"/>
    <w:rsid w:val="009379C4"/>
    <w:rsid w:val="0094041A"/>
    <w:rsid w:val="00940D32"/>
    <w:rsid w:val="0094190D"/>
    <w:rsid w:val="00942354"/>
    <w:rsid w:val="00942681"/>
    <w:rsid w:val="00943A7E"/>
    <w:rsid w:val="00943E42"/>
    <w:rsid w:val="00943E5D"/>
    <w:rsid w:val="00944728"/>
    <w:rsid w:val="009453E8"/>
    <w:rsid w:val="00945664"/>
    <w:rsid w:val="00945AD1"/>
    <w:rsid w:val="00946ECB"/>
    <w:rsid w:val="00947268"/>
    <w:rsid w:val="0094750E"/>
    <w:rsid w:val="00947C94"/>
    <w:rsid w:val="009507C8"/>
    <w:rsid w:val="0095115E"/>
    <w:rsid w:val="0095118A"/>
    <w:rsid w:val="00951F0B"/>
    <w:rsid w:val="00952468"/>
    <w:rsid w:val="00954767"/>
    <w:rsid w:val="0095487A"/>
    <w:rsid w:val="009548FB"/>
    <w:rsid w:val="0095538B"/>
    <w:rsid w:val="0095617C"/>
    <w:rsid w:val="00957AF7"/>
    <w:rsid w:val="00957BB4"/>
    <w:rsid w:val="00960ACA"/>
    <w:rsid w:val="00960C4F"/>
    <w:rsid w:val="00960D1B"/>
    <w:rsid w:val="00961647"/>
    <w:rsid w:val="0096217C"/>
    <w:rsid w:val="00962441"/>
    <w:rsid w:val="00963277"/>
    <w:rsid w:val="00964B53"/>
    <w:rsid w:val="00964C3F"/>
    <w:rsid w:val="00964C6C"/>
    <w:rsid w:val="00965176"/>
    <w:rsid w:val="00965240"/>
    <w:rsid w:val="00965847"/>
    <w:rsid w:val="00965A3E"/>
    <w:rsid w:val="00965C48"/>
    <w:rsid w:val="00966D9D"/>
    <w:rsid w:val="00966E4A"/>
    <w:rsid w:val="00967041"/>
    <w:rsid w:val="00970918"/>
    <w:rsid w:val="0097099E"/>
    <w:rsid w:val="00971761"/>
    <w:rsid w:val="00971FE9"/>
    <w:rsid w:val="0097216F"/>
    <w:rsid w:val="00972C3B"/>
    <w:rsid w:val="00973057"/>
    <w:rsid w:val="00974D50"/>
    <w:rsid w:val="009751AF"/>
    <w:rsid w:val="00975326"/>
    <w:rsid w:val="00975DEA"/>
    <w:rsid w:val="009767C6"/>
    <w:rsid w:val="00977CDF"/>
    <w:rsid w:val="00977E44"/>
    <w:rsid w:val="0098043F"/>
    <w:rsid w:val="00981038"/>
    <w:rsid w:val="0098106E"/>
    <w:rsid w:val="00981511"/>
    <w:rsid w:val="00981D1C"/>
    <w:rsid w:val="00981E1C"/>
    <w:rsid w:val="00982118"/>
    <w:rsid w:val="00982C62"/>
    <w:rsid w:val="00982C91"/>
    <w:rsid w:val="00982F76"/>
    <w:rsid w:val="00982FA3"/>
    <w:rsid w:val="00983081"/>
    <w:rsid w:val="009840FD"/>
    <w:rsid w:val="00984701"/>
    <w:rsid w:val="00984847"/>
    <w:rsid w:val="00984BEC"/>
    <w:rsid w:val="00985EB8"/>
    <w:rsid w:val="00985FB3"/>
    <w:rsid w:val="00986566"/>
    <w:rsid w:val="00986711"/>
    <w:rsid w:val="00986CC1"/>
    <w:rsid w:val="00986F4E"/>
    <w:rsid w:val="00987191"/>
    <w:rsid w:val="00987A5A"/>
    <w:rsid w:val="00987CB4"/>
    <w:rsid w:val="00987CF2"/>
    <w:rsid w:val="00990264"/>
    <w:rsid w:val="0099097E"/>
    <w:rsid w:val="009921FC"/>
    <w:rsid w:val="0099272B"/>
    <w:rsid w:val="00992A0E"/>
    <w:rsid w:val="0099399E"/>
    <w:rsid w:val="0099413C"/>
    <w:rsid w:val="00994230"/>
    <w:rsid w:val="0099479E"/>
    <w:rsid w:val="009951D8"/>
    <w:rsid w:val="00995355"/>
    <w:rsid w:val="0099586F"/>
    <w:rsid w:val="00996CB5"/>
    <w:rsid w:val="0099719E"/>
    <w:rsid w:val="009A0169"/>
    <w:rsid w:val="009A1B56"/>
    <w:rsid w:val="009A3C93"/>
    <w:rsid w:val="009A3FD0"/>
    <w:rsid w:val="009A51C7"/>
    <w:rsid w:val="009A59EC"/>
    <w:rsid w:val="009A5C56"/>
    <w:rsid w:val="009A5CA8"/>
    <w:rsid w:val="009A6163"/>
    <w:rsid w:val="009A6ED0"/>
    <w:rsid w:val="009A706A"/>
    <w:rsid w:val="009A71AB"/>
    <w:rsid w:val="009A7745"/>
    <w:rsid w:val="009A7C3D"/>
    <w:rsid w:val="009B00C4"/>
    <w:rsid w:val="009B0156"/>
    <w:rsid w:val="009B0295"/>
    <w:rsid w:val="009B05BA"/>
    <w:rsid w:val="009B1B0E"/>
    <w:rsid w:val="009B2596"/>
    <w:rsid w:val="009B42B6"/>
    <w:rsid w:val="009B42CC"/>
    <w:rsid w:val="009B43D6"/>
    <w:rsid w:val="009B5081"/>
    <w:rsid w:val="009B6985"/>
    <w:rsid w:val="009B69B3"/>
    <w:rsid w:val="009B7011"/>
    <w:rsid w:val="009B71E4"/>
    <w:rsid w:val="009C04EE"/>
    <w:rsid w:val="009C0CD4"/>
    <w:rsid w:val="009C15E7"/>
    <w:rsid w:val="009C17C8"/>
    <w:rsid w:val="009C22AC"/>
    <w:rsid w:val="009C2DEE"/>
    <w:rsid w:val="009C385B"/>
    <w:rsid w:val="009C3E3C"/>
    <w:rsid w:val="009C4353"/>
    <w:rsid w:val="009C49C2"/>
    <w:rsid w:val="009C4E2D"/>
    <w:rsid w:val="009C62C0"/>
    <w:rsid w:val="009C69DD"/>
    <w:rsid w:val="009C6A88"/>
    <w:rsid w:val="009C765D"/>
    <w:rsid w:val="009C7ADA"/>
    <w:rsid w:val="009C7E8B"/>
    <w:rsid w:val="009D000A"/>
    <w:rsid w:val="009D1A86"/>
    <w:rsid w:val="009D1E12"/>
    <w:rsid w:val="009D2DA9"/>
    <w:rsid w:val="009D2E93"/>
    <w:rsid w:val="009D2EA9"/>
    <w:rsid w:val="009D3038"/>
    <w:rsid w:val="009D34C0"/>
    <w:rsid w:val="009D35FB"/>
    <w:rsid w:val="009D36BB"/>
    <w:rsid w:val="009D4BBE"/>
    <w:rsid w:val="009D4E16"/>
    <w:rsid w:val="009D5893"/>
    <w:rsid w:val="009D6620"/>
    <w:rsid w:val="009D6C54"/>
    <w:rsid w:val="009D6FA2"/>
    <w:rsid w:val="009D72B0"/>
    <w:rsid w:val="009D77CE"/>
    <w:rsid w:val="009D7DE3"/>
    <w:rsid w:val="009E004A"/>
    <w:rsid w:val="009E066B"/>
    <w:rsid w:val="009E1515"/>
    <w:rsid w:val="009E1CFF"/>
    <w:rsid w:val="009E1EB2"/>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245B"/>
    <w:rsid w:val="009F25E6"/>
    <w:rsid w:val="009F2BE8"/>
    <w:rsid w:val="009F2E24"/>
    <w:rsid w:val="009F2F09"/>
    <w:rsid w:val="009F39A7"/>
    <w:rsid w:val="009F40B7"/>
    <w:rsid w:val="009F4188"/>
    <w:rsid w:val="009F4302"/>
    <w:rsid w:val="009F4393"/>
    <w:rsid w:val="009F4BE9"/>
    <w:rsid w:val="009F6286"/>
    <w:rsid w:val="009F62D3"/>
    <w:rsid w:val="00A00112"/>
    <w:rsid w:val="00A00707"/>
    <w:rsid w:val="00A008B5"/>
    <w:rsid w:val="00A017B4"/>
    <w:rsid w:val="00A01C53"/>
    <w:rsid w:val="00A01D38"/>
    <w:rsid w:val="00A02414"/>
    <w:rsid w:val="00A025B9"/>
    <w:rsid w:val="00A0355C"/>
    <w:rsid w:val="00A03A13"/>
    <w:rsid w:val="00A040CD"/>
    <w:rsid w:val="00A04429"/>
    <w:rsid w:val="00A06014"/>
    <w:rsid w:val="00A06446"/>
    <w:rsid w:val="00A06697"/>
    <w:rsid w:val="00A06C40"/>
    <w:rsid w:val="00A10586"/>
    <w:rsid w:val="00A10A48"/>
    <w:rsid w:val="00A110DA"/>
    <w:rsid w:val="00A1132B"/>
    <w:rsid w:val="00A11930"/>
    <w:rsid w:val="00A11B29"/>
    <w:rsid w:val="00A11B54"/>
    <w:rsid w:val="00A11CDC"/>
    <w:rsid w:val="00A1238C"/>
    <w:rsid w:val="00A1263D"/>
    <w:rsid w:val="00A12AF2"/>
    <w:rsid w:val="00A12D8A"/>
    <w:rsid w:val="00A12E6C"/>
    <w:rsid w:val="00A136D0"/>
    <w:rsid w:val="00A13D1A"/>
    <w:rsid w:val="00A13FE2"/>
    <w:rsid w:val="00A14DC2"/>
    <w:rsid w:val="00A14DD6"/>
    <w:rsid w:val="00A15D5E"/>
    <w:rsid w:val="00A15EBB"/>
    <w:rsid w:val="00A161F8"/>
    <w:rsid w:val="00A169FA"/>
    <w:rsid w:val="00A1749B"/>
    <w:rsid w:val="00A1766A"/>
    <w:rsid w:val="00A200F4"/>
    <w:rsid w:val="00A206C9"/>
    <w:rsid w:val="00A20C27"/>
    <w:rsid w:val="00A20E7D"/>
    <w:rsid w:val="00A216BC"/>
    <w:rsid w:val="00A22CC6"/>
    <w:rsid w:val="00A236B3"/>
    <w:rsid w:val="00A23931"/>
    <w:rsid w:val="00A23FD6"/>
    <w:rsid w:val="00A25317"/>
    <w:rsid w:val="00A25706"/>
    <w:rsid w:val="00A25D84"/>
    <w:rsid w:val="00A25FD2"/>
    <w:rsid w:val="00A26029"/>
    <w:rsid w:val="00A262E4"/>
    <w:rsid w:val="00A268EA"/>
    <w:rsid w:val="00A316E3"/>
    <w:rsid w:val="00A31CE0"/>
    <w:rsid w:val="00A31FA9"/>
    <w:rsid w:val="00A333AF"/>
    <w:rsid w:val="00A333BF"/>
    <w:rsid w:val="00A33825"/>
    <w:rsid w:val="00A3398F"/>
    <w:rsid w:val="00A35583"/>
    <w:rsid w:val="00A363EF"/>
    <w:rsid w:val="00A36DFE"/>
    <w:rsid w:val="00A370FD"/>
    <w:rsid w:val="00A3798C"/>
    <w:rsid w:val="00A37DD9"/>
    <w:rsid w:val="00A40ED7"/>
    <w:rsid w:val="00A40F83"/>
    <w:rsid w:val="00A412BA"/>
    <w:rsid w:val="00A41416"/>
    <w:rsid w:val="00A4200D"/>
    <w:rsid w:val="00A424BF"/>
    <w:rsid w:val="00A4258E"/>
    <w:rsid w:val="00A432D1"/>
    <w:rsid w:val="00A43716"/>
    <w:rsid w:val="00A442C5"/>
    <w:rsid w:val="00A44712"/>
    <w:rsid w:val="00A44AF5"/>
    <w:rsid w:val="00A44B8B"/>
    <w:rsid w:val="00A45B76"/>
    <w:rsid w:val="00A45EC4"/>
    <w:rsid w:val="00A47212"/>
    <w:rsid w:val="00A472E0"/>
    <w:rsid w:val="00A474EA"/>
    <w:rsid w:val="00A501B2"/>
    <w:rsid w:val="00A5034A"/>
    <w:rsid w:val="00A50805"/>
    <w:rsid w:val="00A50B80"/>
    <w:rsid w:val="00A50FFA"/>
    <w:rsid w:val="00A5220A"/>
    <w:rsid w:val="00A539D1"/>
    <w:rsid w:val="00A549B9"/>
    <w:rsid w:val="00A54B24"/>
    <w:rsid w:val="00A54DAE"/>
    <w:rsid w:val="00A5590A"/>
    <w:rsid w:val="00A56D3B"/>
    <w:rsid w:val="00A57450"/>
    <w:rsid w:val="00A57479"/>
    <w:rsid w:val="00A57C08"/>
    <w:rsid w:val="00A600D9"/>
    <w:rsid w:val="00A604CD"/>
    <w:rsid w:val="00A630BD"/>
    <w:rsid w:val="00A637A0"/>
    <w:rsid w:val="00A63ECD"/>
    <w:rsid w:val="00A64093"/>
    <w:rsid w:val="00A640EB"/>
    <w:rsid w:val="00A64815"/>
    <w:rsid w:val="00A65043"/>
    <w:rsid w:val="00A66DF9"/>
    <w:rsid w:val="00A704C6"/>
    <w:rsid w:val="00A704E4"/>
    <w:rsid w:val="00A7136A"/>
    <w:rsid w:val="00A71AF1"/>
    <w:rsid w:val="00A71C44"/>
    <w:rsid w:val="00A72296"/>
    <w:rsid w:val="00A7388E"/>
    <w:rsid w:val="00A73CE0"/>
    <w:rsid w:val="00A74544"/>
    <w:rsid w:val="00A74548"/>
    <w:rsid w:val="00A74DAA"/>
    <w:rsid w:val="00A74DF2"/>
    <w:rsid w:val="00A74E4D"/>
    <w:rsid w:val="00A75076"/>
    <w:rsid w:val="00A7592E"/>
    <w:rsid w:val="00A76C1F"/>
    <w:rsid w:val="00A770E4"/>
    <w:rsid w:val="00A77813"/>
    <w:rsid w:val="00A803FC"/>
    <w:rsid w:val="00A8071A"/>
    <w:rsid w:val="00A80DD9"/>
    <w:rsid w:val="00A80FCA"/>
    <w:rsid w:val="00A81CBC"/>
    <w:rsid w:val="00A82506"/>
    <w:rsid w:val="00A837CE"/>
    <w:rsid w:val="00A83DB5"/>
    <w:rsid w:val="00A83FBA"/>
    <w:rsid w:val="00A84636"/>
    <w:rsid w:val="00A84FE1"/>
    <w:rsid w:val="00A85080"/>
    <w:rsid w:val="00A86406"/>
    <w:rsid w:val="00A86853"/>
    <w:rsid w:val="00A86B75"/>
    <w:rsid w:val="00A86E75"/>
    <w:rsid w:val="00A86F33"/>
    <w:rsid w:val="00A9065F"/>
    <w:rsid w:val="00A90B0E"/>
    <w:rsid w:val="00A91AA1"/>
    <w:rsid w:val="00A91C8C"/>
    <w:rsid w:val="00A91F0D"/>
    <w:rsid w:val="00A9235A"/>
    <w:rsid w:val="00A92B2F"/>
    <w:rsid w:val="00A92FF7"/>
    <w:rsid w:val="00A93069"/>
    <w:rsid w:val="00A9468F"/>
    <w:rsid w:val="00A9494B"/>
    <w:rsid w:val="00A9498D"/>
    <w:rsid w:val="00A95335"/>
    <w:rsid w:val="00A9566B"/>
    <w:rsid w:val="00A9657F"/>
    <w:rsid w:val="00A9797D"/>
    <w:rsid w:val="00AA015F"/>
    <w:rsid w:val="00AA0C3A"/>
    <w:rsid w:val="00AA1723"/>
    <w:rsid w:val="00AA190D"/>
    <w:rsid w:val="00AA1FDD"/>
    <w:rsid w:val="00AA22C3"/>
    <w:rsid w:val="00AA230D"/>
    <w:rsid w:val="00AA25A5"/>
    <w:rsid w:val="00AA2DED"/>
    <w:rsid w:val="00AA4941"/>
    <w:rsid w:val="00AA49E9"/>
    <w:rsid w:val="00AA5475"/>
    <w:rsid w:val="00AA5876"/>
    <w:rsid w:val="00AA6A8A"/>
    <w:rsid w:val="00AA6DD8"/>
    <w:rsid w:val="00AA6FA3"/>
    <w:rsid w:val="00AA70BB"/>
    <w:rsid w:val="00AA757C"/>
    <w:rsid w:val="00AA7F10"/>
    <w:rsid w:val="00AB0391"/>
    <w:rsid w:val="00AB184D"/>
    <w:rsid w:val="00AB2151"/>
    <w:rsid w:val="00AB2C59"/>
    <w:rsid w:val="00AB2C8A"/>
    <w:rsid w:val="00AB42B6"/>
    <w:rsid w:val="00AB4D67"/>
    <w:rsid w:val="00AB545D"/>
    <w:rsid w:val="00AB54D7"/>
    <w:rsid w:val="00AB57D3"/>
    <w:rsid w:val="00AB6886"/>
    <w:rsid w:val="00AB6AE4"/>
    <w:rsid w:val="00AB6E00"/>
    <w:rsid w:val="00AB6F37"/>
    <w:rsid w:val="00AB769E"/>
    <w:rsid w:val="00AB7D55"/>
    <w:rsid w:val="00AC0681"/>
    <w:rsid w:val="00AC154B"/>
    <w:rsid w:val="00AC1B72"/>
    <w:rsid w:val="00AC26FE"/>
    <w:rsid w:val="00AC350D"/>
    <w:rsid w:val="00AC3568"/>
    <w:rsid w:val="00AC3CF2"/>
    <w:rsid w:val="00AC458E"/>
    <w:rsid w:val="00AC47EC"/>
    <w:rsid w:val="00AC4E5D"/>
    <w:rsid w:val="00AC6C53"/>
    <w:rsid w:val="00AC6E85"/>
    <w:rsid w:val="00AC7284"/>
    <w:rsid w:val="00AC7CE6"/>
    <w:rsid w:val="00AD0828"/>
    <w:rsid w:val="00AD0B13"/>
    <w:rsid w:val="00AD0E69"/>
    <w:rsid w:val="00AD103D"/>
    <w:rsid w:val="00AD159C"/>
    <w:rsid w:val="00AD17FA"/>
    <w:rsid w:val="00AD19EC"/>
    <w:rsid w:val="00AD2717"/>
    <w:rsid w:val="00AD3DC4"/>
    <w:rsid w:val="00AD4D0D"/>
    <w:rsid w:val="00AD4FF4"/>
    <w:rsid w:val="00AD531D"/>
    <w:rsid w:val="00AD600C"/>
    <w:rsid w:val="00AD63D6"/>
    <w:rsid w:val="00AD6CD5"/>
    <w:rsid w:val="00AD733B"/>
    <w:rsid w:val="00AD7CA7"/>
    <w:rsid w:val="00AE0040"/>
    <w:rsid w:val="00AE09B1"/>
    <w:rsid w:val="00AE0CCB"/>
    <w:rsid w:val="00AE184D"/>
    <w:rsid w:val="00AE1C03"/>
    <w:rsid w:val="00AE23E3"/>
    <w:rsid w:val="00AE2F65"/>
    <w:rsid w:val="00AE317E"/>
    <w:rsid w:val="00AE35A5"/>
    <w:rsid w:val="00AE4E2A"/>
    <w:rsid w:val="00AE5904"/>
    <w:rsid w:val="00AE5CF9"/>
    <w:rsid w:val="00AE5DB6"/>
    <w:rsid w:val="00AE5DE5"/>
    <w:rsid w:val="00AE6C3C"/>
    <w:rsid w:val="00AE702E"/>
    <w:rsid w:val="00AE73E0"/>
    <w:rsid w:val="00AF03C0"/>
    <w:rsid w:val="00AF166F"/>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830"/>
    <w:rsid w:val="00B00AB5"/>
    <w:rsid w:val="00B00CC0"/>
    <w:rsid w:val="00B00F5C"/>
    <w:rsid w:val="00B019C1"/>
    <w:rsid w:val="00B01C7C"/>
    <w:rsid w:val="00B0236E"/>
    <w:rsid w:val="00B02506"/>
    <w:rsid w:val="00B02ACE"/>
    <w:rsid w:val="00B03913"/>
    <w:rsid w:val="00B04CEA"/>
    <w:rsid w:val="00B05359"/>
    <w:rsid w:val="00B05607"/>
    <w:rsid w:val="00B05A08"/>
    <w:rsid w:val="00B05C85"/>
    <w:rsid w:val="00B05F14"/>
    <w:rsid w:val="00B06348"/>
    <w:rsid w:val="00B06737"/>
    <w:rsid w:val="00B0784C"/>
    <w:rsid w:val="00B07CE9"/>
    <w:rsid w:val="00B101D5"/>
    <w:rsid w:val="00B10633"/>
    <w:rsid w:val="00B10B08"/>
    <w:rsid w:val="00B114E4"/>
    <w:rsid w:val="00B11A78"/>
    <w:rsid w:val="00B11CFB"/>
    <w:rsid w:val="00B12111"/>
    <w:rsid w:val="00B13858"/>
    <w:rsid w:val="00B13E18"/>
    <w:rsid w:val="00B14109"/>
    <w:rsid w:val="00B14410"/>
    <w:rsid w:val="00B1486D"/>
    <w:rsid w:val="00B150D6"/>
    <w:rsid w:val="00B15373"/>
    <w:rsid w:val="00B15639"/>
    <w:rsid w:val="00B15D15"/>
    <w:rsid w:val="00B15E42"/>
    <w:rsid w:val="00B15EEE"/>
    <w:rsid w:val="00B16198"/>
    <w:rsid w:val="00B16A2C"/>
    <w:rsid w:val="00B16FB6"/>
    <w:rsid w:val="00B17022"/>
    <w:rsid w:val="00B17678"/>
    <w:rsid w:val="00B17C14"/>
    <w:rsid w:val="00B2139A"/>
    <w:rsid w:val="00B21736"/>
    <w:rsid w:val="00B218B1"/>
    <w:rsid w:val="00B21A33"/>
    <w:rsid w:val="00B224AA"/>
    <w:rsid w:val="00B22998"/>
    <w:rsid w:val="00B229FE"/>
    <w:rsid w:val="00B22CFA"/>
    <w:rsid w:val="00B2302B"/>
    <w:rsid w:val="00B23A54"/>
    <w:rsid w:val="00B24363"/>
    <w:rsid w:val="00B2456E"/>
    <w:rsid w:val="00B24979"/>
    <w:rsid w:val="00B250A5"/>
    <w:rsid w:val="00B25651"/>
    <w:rsid w:val="00B26937"/>
    <w:rsid w:val="00B27DB8"/>
    <w:rsid w:val="00B30243"/>
    <w:rsid w:val="00B30421"/>
    <w:rsid w:val="00B30D76"/>
    <w:rsid w:val="00B30DC8"/>
    <w:rsid w:val="00B31340"/>
    <w:rsid w:val="00B315BB"/>
    <w:rsid w:val="00B31977"/>
    <w:rsid w:val="00B3235A"/>
    <w:rsid w:val="00B32A89"/>
    <w:rsid w:val="00B32E2D"/>
    <w:rsid w:val="00B333FE"/>
    <w:rsid w:val="00B3382B"/>
    <w:rsid w:val="00B3436F"/>
    <w:rsid w:val="00B35094"/>
    <w:rsid w:val="00B350F0"/>
    <w:rsid w:val="00B357AC"/>
    <w:rsid w:val="00B35992"/>
    <w:rsid w:val="00B35E4B"/>
    <w:rsid w:val="00B35FCC"/>
    <w:rsid w:val="00B36518"/>
    <w:rsid w:val="00B378CC"/>
    <w:rsid w:val="00B41615"/>
    <w:rsid w:val="00B41FD8"/>
    <w:rsid w:val="00B420DF"/>
    <w:rsid w:val="00B428E2"/>
    <w:rsid w:val="00B42A2C"/>
    <w:rsid w:val="00B42A5C"/>
    <w:rsid w:val="00B42A98"/>
    <w:rsid w:val="00B42C64"/>
    <w:rsid w:val="00B448EF"/>
    <w:rsid w:val="00B460B1"/>
    <w:rsid w:val="00B473D2"/>
    <w:rsid w:val="00B47493"/>
    <w:rsid w:val="00B474C8"/>
    <w:rsid w:val="00B474DF"/>
    <w:rsid w:val="00B478CC"/>
    <w:rsid w:val="00B47915"/>
    <w:rsid w:val="00B50E18"/>
    <w:rsid w:val="00B513A9"/>
    <w:rsid w:val="00B51568"/>
    <w:rsid w:val="00B51610"/>
    <w:rsid w:val="00B5167B"/>
    <w:rsid w:val="00B520E3"/>
    <w:rsid w:val="00B52336"/>
    <w:rsid w:val="00B5388C"/>
    <w:rsid w:val="00B55CED"/>
    <w:rsid w:val="00B55D57"/>
    <w:rsid w:val="00B55F80"/>
    <w:rsid w:val="00B56480"/>
    <w:rsid w:val="00B565D6"/>
    <w:rsid w:val="00B576A4"/>
    <w:rsid w:val="00B57998"/>
    <w:rsid w:val="00B57CD0"/>
    <w:rsid w:val="00B57DA9"/>
    <w:rsid w:val="00B60177"/>
    <w:rsid w:val="00B60639"/>
    <w:rsid w:val="00B62A43"/>
    <w:rsid w:val="00B6308E"/>
    <w:rsid w:val="00B63D58"/>
    <w:rsid w:val="00B64E8A"/>
    <w:rsid w:val="00B65588"/>
    <w:rsid w:val="00B658D1"/>
    <w:rsid w:val="00B66064"/>
    <w:rsid w:val="00B6649D"/>
    <w:rsid w:val="00B66995"/>
    <w:rsid w:val="00B671A1"/>
    <w:rsid w:val="00B675A6"/>
    <w:rsid w:val="00B6794D"/>
    <w:rsid w:val="00B67B55"/>
    <w:rsid w:val="00B67C6C"/>
    <w:rsid w:val="00B70C61"/>
    <w:rsid w:val="00B70E5A"/>
    <w:rsid w:val="00B7220D"/>
    <w:rsid w:val="00B72805"/>
    <w:rsid w:val="00B749B6"/>
    <w:rsid w:val="00B7509A"/>
    <w:rsid w:val="00B754E5"/>
    <w:rsid w:val="00B7613E"/>
    <w:rsid w:val="00B766C1"/>
    <w:rsid w:val="00B76719"/>
    <w:rsid w:val="00B76966"/>
    <w:rsid w:val="00B76B96"/>
    <w:rsid w:val="00B76EFB"/>
    <w:rsid w:val="00B77129"/>
    <w:rsid w:val="00B77C37"/>
    <w:rsid w:val="00B80636"/>
    <w:rsid w:val="00B807BF"/>
    <w:rsid w:val="00B808BC"/>
    <w:rsid w:val="00B809B1"/>
    <w:rsid w:val="00B81E54"/>
    <w:rsid w:val="00B82543"/>
    <w:rsid w:val="00B8256B"/>
    <w:rsid w:val="00B82998"/>
    <w:rsid w:val="00B834B0"/>
    <w:rsid w:val="00B837F6"/>
    <w:rsid w:val="00B83DAE"/>
    <w:rsid w:val="00B84DCF"/>
    <w:rsid w:val="00B84FB4"/>
    <w:rsid w:val="00B86863"/>
    <w:rsid w:val="00B8756E"/>
    <w:rsid w:val="00B87DF9"/>
    <w:rsid w:val="00B91951"/>
    <w:rsid w:val="00B91A58"/>
    <w:rsid w:val="00B91EAD"/>
    <w:rsid w:val="00B920B9"/>
    <w:rsid w:val="00B92F83"/>
    <w:rsid w:val="00B930D2"/>
    <w:rsid w:val="00B937CD"/>
    <w:rsid w:val="00B938BC"/>
    <w:rsid w:val="00B93997"/>
    <w:rsid w:val="00B93C98"/>
    <w:rsid w:val="00B94625"/>
    <w:rsid w:val="00B94A20"/>
    <w:rsid w:val="00B95138"/>
    <w:rsid w:val="00B95707"/>
    <w:rsid w:val="00B96FB8"/>
    <w:rsid w:val="00B976BB"/>
    <w:rsid w:val="00BA01A7"/>
    <w:rsid w:val="00BA0224"/>
    <w:rsid w:val="00BA05C8"/>
    <w:rsid w:val="00BA065D"/>
    <w:rsid w:val="00BA09AA"/>
    <w:rsid w:val="00BA0AD5"/>
    <w:rsid w:val="00BA0CA0"/>
    <w:rsid w:val="00BA0E3C"/>
    <w:rsid w:val="00BA1F74"/>
    <w:rsid w:val="00BA1FE7"/>
    <w:rsid w:val="00BA2B1D"/>
    <w:rsid w:val="00BA3D14"/>
    <w:rsid w:val="00BA435A"/>
    <w:rsid w:val="00BA4AAD"/>
    <w:rsid w:val="00BA54BA"/>
    <w:rsid w:val="00BA5603"/>
    <w:rsid w:val="00BA56D9"/>
    <w:rsid w:val="00BA6194"/>
    <w:rsid w:val="00BA7EEE"/>
    <w:rsid w:val="00BB019E"/>
    <w:rsid w:val="00BB2008"/>
    <w:rsid w:val="00BB29DF"/>
    <w:rsid w:val="00BB2CFC"/>
    <w:rsid w:val="00BB34DC"/>
    <w:rsid w:val="00BB35D0"/>
    <w:rsid w:val="00BB3AC4"/>
    <w:rsid w:val="00BB4999"/>
    <w:rsid w:val="00BB4BCD"/>
    <w:rsid w:val="00BB56C7"/>
    <w:rsid w:val="00BB5B62"/>
    <w:rsid w:val="00BB6502"/>
    <w:rsid w:val="00BB6BCD"/>
    <w:rsid w:val="00BB70F9"/>
    <w:rsid w:val="00BB7C9B"/>
    <w:rsid w:val="00BC0B2C"/>
    <w:rsid w:val="00BC1527"/>
    <w:rsid w:val="00BC1EE3"/>
    <w:rsid w:val="00BC2306"/>
    <w:rsid w:val="00BC2F31"/>
    <w:rsid w:val="00BC3F65"/>
    <w:rsid w:val="00BC4036"/>
    <w:rsid w:val="00BC4F0A"/>
    <w:rsid w:val="00BC509F"/>
    <w:rsid w:val="00BC51D2"/>
    <w:rsid w:val="00BC6190"/>
    <w:rsid w:val="00BC64BE"/>
    <w:rsid w:val="00BC7155"/>
    <w:rsid w:val="00BC7550"/>
    <w:rsid w:val="00BD0B72"/>
    <w:rsid w:val="00BD2668"/>
    <w:rsid w:val="00BD3924"/>
    <w:rsid w:val="00BD450F"/>
    <w:rsid w:val="00BD4512"/>
    <w:rsid w:val="00BD52AA"/>
    <w:rsid w:val="00BE1061"/>
    <w:rsid w:val="00BE1321"/>
    <w:rsid w:val="00BE2893"/>
    <w:rsid w:val="00BE2EB4"/>
    <w:rsid w:val="00BE2F5A"/>
    <w:rsid w:val="00BE37D3"/>
    <w:rsid w:val="00BE522A"/>
    <w:rsid w:val="00BE57B5"/>
    <w:rsid w:val="00BE588E"/>
    <w:rsid w:val="00BE7A7C"/>
    <w:rsid w:val="00BF0A44"/>
    <w:rsid w:val="00BF0CEC"/>
    <w:rsid w:val="00BF1A44"/>
    <w:rsid w:val="00BF1EDF"/>
    <w:rsid w:val="00BF4D3D"/>
    <w:rsid w:val="00BF4EF5"/>
    <w:rsid w:val="00BF5353"/>
    <w:rsid w:val="00BF5B8C"/>
    <w:rsid w:val="00BF66B7"/>
    <w:rsid w:val="00BF6A68"/>
    <w:rsid w:val="00BF7152"/>
    <w:rsid w:val="00BF73F0"/>
    <w:rsid w:val="00BF75B1"/>
    <w:rsid w:val="00BF75C9"/>
    <w:rsid w:val="00BF7BD3"/>
    <w:rsid w:val="00C00352"/>
    <w:rsid w:val="00C007CE"/>
    <w:rsid w:val="00C00A22"/>
    <w:rsid w:val="00C00F18"/>
    <w:rsid w:val="00C01D39"/>
    <w:rsid w:val="00C0200C"/>
    <w:rsid w:val="00C020A8"/>
    <w:rsid w:val="00C034A4"/>
    <w:rsid w:val="00C039FA"/>
    <w:rsid w:val="00C03DD0"/>
    <w:rsid w:val="00C04445"/>
    <w:rsid w:val="00C04705"/>
    <w:rsid w:val="00C04A7F"/>
    <w:rsid w:val="00C04E2B"/>
    <w:rsid w:val="00C051AA"/>
    <w:rsid w:val="00C060A0"/>
    <w:rsid w:val="00C06875"/>
    <w:rsid w:val="00C07187"/>
    <w:rsid w:val="00C075C9"/>
    <w:rsid w:val="00C07B88"/>
    <w:rsid w:val="00C07FAD"/>
    <w:rsid w:val="00C106C4"/>
    <w:rsid w:val="00C10755"/>
    <w:rsid w:val="00C111EA"/>
    <w:rsid w:val="00C119AD"/>
    <w:rsid w:val="00C1228D"/>
    <w:rsid w:val="00C13FED"/>
    <w:rsid w:val="00C14E7D"/>
    <w:rsid w:val="00C15722"/>
    <w:rsid w:val="00C16897"/>
    <w:rsid w:val="00C200C9"/>
    <w:rsid w:val="00C21D8E"/>
    <w:rsid w:val="00C22525"/>
    <w:rsid w:val="00C22D4E"/>
    <w:rsid w:val="00C23DBB"/>
    <w:rsid w:val="00C23FE1"/>
    <w:rsid w:val="00C2410D"/>
    <w:rsid w:val="00C2458B"/>
    <w:rsid w:val="00C24BAF"/>
    <w:rsid w:val="00C25B8D"/>
    <w:rsid w:val="00C25F8B"/>
    <w:rsid w:val="00C265C0"/>
    <w:rsid w:val="00C26994"/>
    <w:rsid w:val="00C26B9E"/>
    <w:rsid w:val="00C272EF"/>
    <w:rsid w:val="00C2732B"/>
    <w:rsid w:val="00C2753F"/>
    <w:rsid w:val="00C276A8"/>
    <w:rsid w:val="00C27975"/>
    <w:rsid w:val="00C27F3C"/>
    <w:rsid w:val="00C300BC"/>
    <w:rsid w:val="00C318F7"/>
    <w:rsid w:val="00C319D2"/>
    <w:rsid w:val="00C31F85"/>
    <w:rsid w:val="00C32534"/>
    <w:rsid w:val="00C326EE"/>
    <w:rsid w:val="00C32951"/>
    <w:rsid w:val="00C32C02"/>
    <w:rsid w:val="00C33235"/>
    <w:rsid w:val="00C33677"/>
    <w:rsid w:val="00C34137"/>
    <w:rsid w:val="00C3476B"/>
    <w:rsid w:val="00C35240"/>
    <w:rsid w:val="00C368B3"/>
    <w:rsid w:val="00C36F07"/>
    <w:rsid w:val="00C370A7"/>
    <w:rsid w:val="00C37173"/>
    <w:rsid w:val="00C37214"/>
    <w:rsid w:val="00C372E8"/>
    <w:rsid w:val="00C409DC"/>
    <w:rsid w:val="00C40B1B"/>
    <w:rsid w:val="00C40E88"/>
    <w:rsid w:val="00C416A3"/>
    <w:rsid w:val="00C41785"/>
    <w:rsid w:val="00C41AF4"/>
    <w:rsid w:val="00C41FC1"/>
    <w:rsid w:val="00C434C2"/>
    <w:rsid w:val="00C43940"/>
    <w:rsid w:val="00C44342"/>
    <w:rsid w:val="00C44694"/>
    <w:rsid w:val="00C446CF"/>
    <w:rsid w:val="00C44744"/>
    <w:rsid w:val="00C457C1"/>
    <w:rsid w:val="00C46625"/>
    <w:rsid w:val="00C467E7"/>
    <w:rsid w:val="00C46870"/>
    <w:rsid w:val="00C47545"/>
    <w:rsid w:val="00C47593"/>
    <w:rsid w:val="00C47748"/>
    <w:rsid w:val="00C5044B"/>
    <w:rsid w:val="00C506BD"/>
    <w:rsid w:val="00C50E55"/>
    <w:rsid w:val="00C51426"/>
    <w:rsid w:val="00C51622"/>
    <w:rsid w:val="00C51FB3"/>
    <w:rsid w:val="00C5223C"/>
    <w:rsid w:val="00C52A35"/>
    <w:rsid w:val="00C53213"/>
    <w:rsid w:val="00C53917"/>
    <w:rsid w:val="00C541DE"/>
    <w:rsid w:val="00C54C11"/>
    <w:rsid w:val="00C54C67"/>
    <w:rsid w:val="00C54E65"/>
    <w:rsid w:val="00C56324"/>
    <w:rsid w:val="00C5653B"/>
    <w:rsid w:val="00C565A3"/>
    <w:rsid w:val="00C5741A"/>
    <w:rsid w:val="00C577F7"/>
    <w:rsid w:val="00C57BB3"/>
    <w:rsid w:val="00C60667"/>
    <w:rsid w:val="00C61326"/>
    <w:rsid w:val="00C61AB9"/>
    <w:rsid w:val="00C61F84"/>
    <w:rsid w:val="00C62FF7"/>
    <w:rsid w:val="00C63135"/>
    <w:rsid w:val="00C637DC"/>
    <w:rsid w:val="00C63EE8"/>
    <w:rsid w:val="00C6432E"/>
    <w:rsid w:val="00C65718"/>
    <w:rsid w:val="00C65C81"/>
    <w:rsid w:val="00C661F3"/>
    <w:rsid w:val="00C66772"/>
    <w:rsid w:val="00C66D2B"/>
    <w:rsid w:val="00C67580"/>
    <w:rsid w:val="00C6781C"/>
    <w:rsid w:val="00C67AD4"/>
    <w:rsid w:val="00C67EA1"/>
    <w:rsid w:val="00C70AEE"/>
    <w:rsid w:val="00C71D15"/>
    <w:rsid w:val="00C7234D"/>
    <w:rsid w:val="00C7244E"/>
    <w:rsid w:val="00C726C9"/>
    <w:rsid w:val="00C72801"/>
    <w:rsid w:val="00C72C0A"/>
    <w:rsid w:val="00C73E67"/>
    <w:rsid w:val="00C73FAD"/>
    <w:rsid w:val="00C74AE1"/>
    <w:rsid w:val="00C757B8"/>
    <w:rsid w:val="00C76906"/>
    <w:rsid w:val="00C76B7C"/>
    <w:rsid w:val="00C76CC7"/>
    <w:rsid w:val="00C76F81"/>
    <w:rsid w:val="00C77102"/>
    <w:rsid w:val="00C776A4"/>
    <w:rsid w:val="00C800C5"/>
    <w:rsid w:val="00C800DD"/>
    <w:rsid w:val="00C80920"/>
    <w:rsid w:val="00C80B03"/>
    <w:rsid w:val="00C81B5F"/>
    <w:rsid w:val="00C8243F"/>
    <w:rsid w:val="00C8289B"/>
    <w:rsid w:val="00C82D54"/>
    <w:rsid w:val="00C82F3B"/>
    <w:rsid w:val="00C837C4"/>
    <w:rsid w:val="00C83829"/>
    <w:rsid w:val="00C83EDD"/>
    <w:rsid w:val="00C842FE"/>
    <w:rsid w:val="00C84BF1"/>
    <w:rsid w:val="00C84CA2"/>
    <w:rsid w:val="00C85A36"/>
    <w:rsid w:val="00C85CD1"/>
    <w:rsid w:val="00C86C56"/>
    <w:rsid w:val="00C87306"/>
    <w:rsid w:val="00C8773E"/>
    <w:rsid w:val="00C90601"/>
    <w:rsid w:val="00C90AAC"/>
    <w:rsid w:val="00C90D16"/>
    <w:rsid w:val="00C9116A"/>
    <w:rsid w:val="00C9265D"/>
    <w:rsid w:val="00C92824"/>
    <w:rsid w:val="00C92E74"/>
    <w:rsid w:val="00C937BA"/>
    <w:rsid w:val="00C939BE"/>
    <w:rsid w:val="00C93AA4"/>
    <w:rsid w:val="00C93B5E"/>
    <w:rsid w:val="00C949FC"/>
    <w:rsid w:val="00C94C6D"/>
    <w:rsid w:val="00C94EE5"/>
    <w:rsid w:val="00C960CF"/>
    <w:rsid w:val="00C96672"/>
    <w:rsid w:val="00C96678"/>
    <w:rsid w:val="00C96772"/>
    <w:rsid w:val="00C96CFA"/>
    <w:rsid w:val="00C96E5A"/>
    <w:rsid w:val="00C96EB5"/>
    <w:rsid w:val="00CA0257"/>
    <w:rsid w:val="00CA0917"/>
    <w:rsid w:val="00CA102B"/>
    <w:rsid w:val="00CA283D"/>
    <w:rsid w:val="00CA29D1"/>
    <w:rsid w:val="00CA2DD6"/>
    <w:rsid w:val="00CA3247"/>
    <w:rsid w:val="00CA3752"/>
    <w:rsid w:val="00CA3999"/>
    <w:rsid w:val="00CA39C0"/>
    <w:rsid w:val="00CA427F"/>
    <w:rsid w:val="00CA5628"/>
    <w:rsid w:val="00CA5AD3"/>
    <w:rsid w:val="00CA62DD"/>
    <w:rsid w:val="00CA69BA"/>
    <w:rsid w:val="00CA7DE6"/>
    <w:rsid w:val="00CB0339"/>
    <w:rsid w:val="00CB110E"/>
    <w:rsid w:val="00CB11F8"/>
    <w:rsid w:val="00CB1F4D"/>
    <w:rsid w:val="00CB225B"/>
    <w:rsid w:val="00CB2EF5"/>
    <w:rsid w:val="00CB33E4"/>
    <w:rsid w:val="00CB4230"/>
    <w:rsid w:val="00CB431B"/>
    <w:rsid w:val="00CB4A77"/>
    <w:rsid w:val="00CB4EA5"/>
    <w:rsid w:val="00CB557F"/>
    <w:rsid w:val="00CB592B"/>
    <w:rsid w:val="00CB5C5F"/>
    <w:rsid w:val="00CB600E"/>
    <w:rsid w:val="00CB65B8"/>
    <w:rsid w:val="00CB6CDF"/>
    <w:rsid w:val="00CB7264"/>
    <w:rsid w:val="00CB730F"/>
    <w:rsid w:val="00CB761C"/>
    <w:rsid w:val="00CB76B5"/>
    <w:rsid w:val="00CB7A17"/>
    <w:rsid w:val="00CB7AD6"/>
    <w:rsid w:val="00CC0495"/>
    <w:rsid w:val="00CC110F"/>
    <w:rsid w:val="00CC11B8"/>
    <w:rsid w:val="00CC1AF9"/>
    <w:rsid w:val="00CC20E0"/>
    <w:rsid w:val="00CC24DE"/>
    <w:rsid w:val="00CC2602"/>
    <w:rsid w:val="00CC2818"/>
    <w:rsid w:val="00CC2F7A"/>
    <w:rsid w:val="00CC3A70"/>
    <w:rsid w:val="00CC3A9F"/>
    <w:rsid w:val="00CC4033"/>
    <w:rsid w:val="00CC40B8"/>
    <w:rsid w:val="00CC5444"/>
    <w:rsid w:val="00CC5631"/>
    <w:rsid w:val="00CC62A6"/>
    <w:rsid w:val="00CC676C"/>
    <w:rsid w:val="00CC7A11"/>
    <w:rsid w:val="00CD04A8"/>
    <w:rsid w:val="00CD051B"/>
    <w:rsid w:val="00CD1DB1"/>
    <w:rsid w:val="00CD22B5"/>
    <w:rsid w:val="00CD22F4"/>
    <w:rsid w:val="00CD25E1"/>
    <w:rsid w:val="00CD367C"/>
    <w:rsid w:val="00CD454A"/>
    <w:rsid w:val="00CD4F54"/>
    <w:rsid w:val="00CD4FFE"/>
    <w:rsid w:val="00CD57FA"/>
    <w:rsid w:val="00CD5A6E"/>
    <w:rsid w:val="00CD5D6B"/>
    <w:rsid w:val="00CD711F"/>
    <w:rsid w:val="00CD74A7"/>
    <w:rsid w:val="00CD79B2"/>
    <w:rsid w:val="00CE139F"/>
    <w:rsid w:val="00CE157C"/>
    <w:rsid w:val="00CE1AF6"/>
    <w:rsid w:val="00CE2298"/>
    <w:rsid w:val="00CE24D3"/>
    <w:rsid w:val="00CE3064"/>
    <w:rsid w:val="00CE39E4"/>
    <w:rsid w:val="00CE4282"/>
    <w:rsid w:val="00CE54E1"/>
    <w:rsid w:val="00CE55B6"/>
    <w:rsid w:val="00CE5856"/>
    <w:rsid w:val="00CE5BDE"/>
    <w:rsid w:val="00CE6231"/>
    <w:rsid w:val="00CE6A6D"/>
    <w:rsid w:val="00CE774C"/>
    <w:rsid w:val="00CE7ED9"/>
    <w:rsid w:val="00CF012E"/>
    <w:rsid w:val="00CF04D4"/>
    <w:rsid w:val="00CF0B4C"/>
    <w:rsid w:val="00CF1680"/>
    <w:rsid w:val="00CF188D"/>
    <w:rsid w:val="00CF1BD7"/>
    <w:rsid w:val="00CF21A5"/>
    <w:rsid w:val="00CF2518"/>
    <w:rsid w:val="00CF2DDE"/>
    <w:rsid w:val="00CF307F"/>
    <w:rsid w:val="00CF344A"/>
    <w:rsid w:val="00CF39A0"/>
    <w:rsid w:val="00CF3D1C"/>
    <w:rsid w:val="00CF4713"/>
    <w:rsid w:val="00CF4B12"/>
    <w:rsid w:val="00CF58FE"/>
    <w:rsid w:val="00CF5EBE"/>
    <w:rsid w:val="00CF6036"/>
    <w:rsid w:val="00CF783B"/>
    <w:rsid w:val="00CF7D97"/>
    <w:rsid w:val="00CF7EEC"/>
    <w:rsid w:val="00D001C2"/>
    <w:rsid w:val="00D00779"/>
    <w:rsid w:val="00D009D8"/>
    <w:rsid w:val="00D012E1"/>
    <w:rsid w:val="00D01318"/>
    <w:rsid w:val="00D01665"/>
    <w:rsid w:val="00D01D1E"/>
    <w:rsid w:val="00D02580"/>
    <w:rsid w:val="00D0335B"/>
    <w:rsid w:val="00D03BF7"/>
    <w:rsid w:val="00D03F1E"/>
    <w:rsid w:val="00D0428E"/>
    <w:rsid w:val="00D04426"/>
    <w:rsid w:val="00D0482F"/>
    <w:rsid w:val="00D04A33"/>
    <w:rsid w:val="00D05892"/>
    <w:rsid w:val="00D06824"/>
    <w:rsid w:val="00D06C03"/>
    <w:rsid w:val="00D1037A"/>
    <w:rsid w:val="00D10D09"/>
    <w:rsid w:val="00D10F83"/>
    <w:rsid w:val="00D1163E"/>
    <w:rsid w:val="00D12362"/>
    <w:rsid w:val="00D12841"/>
    <w:rsid w:val="00D12A4F"/>
    <w:rsid w:val="00D12BE3"/>
    <w:rsid w:val="00D13E34"/>
    <w:rsid w:val="00D14C15"/>
    <w:rsid w:val="00D15305"/>
    <w:rsid w:val="00D1543B"/>
    <w:rsid w:val="00D15CB3"/>
    <w:rsid w:val="00D15F51"/>
    <w:rsid w:val="00D16BFE"/>
    <w:rsid w:val="00D16ED5"/>
    <w:rsid w:val="00D17960"/>
    <w:rsid w:val="00D202B1"/>
    <w:rsid w:val="00D20662"/>
    <w:rsid w:val="00D21291"/>
    <w:rsid w:val="00D21530"/>
    <w:rsid w:val="00D21C8A"/>
    <w:rsid w:val="00D2297E"/>
    <w:rsid w:val="00D22B47"/>
    <w:rsid w:val="00D22DE5"/>
    <w:rsid w:val="00D233BD"/>
    <w:rsid w:val="00D233D7"/>
    <w:rsid w:val="00D23CBB"/>
    <w:rsid w:val="00D25806"/>
    <w:rsid w:val="00D25E9D"/>
    <w:rsid w:val="00D25F1C"/>
    <w:rsid w:val="00D26DE6"/>
    <w:rsid w:val="00D26EE7"/>
    <w:rsid w:val="00D30718"/>
    <w:rsid w:val="00D322FB"/>
    <w:rsid w:val="00D32475"/>
    <w:rsid w:val="00D325FD"/>
    <w:rsid w:val="00D32EF4"/>
    <w:rsid w:val="00D3376B"/>
    <w:rsid w:val="00D33F81"/>
    <w:rsid w:val="00D34850"/>
    <w:rsid w:val="00D35060"/>
    <w:rsid w:val="00D36648"/>
    <w:rsid w:val="00D369D4"/>
    <w:rsid w:val="00D36AD7"/>
    <w:rsid w:val="00D373E9"/>
    <w:rsid w:val="00D37404"/>
    <w:rsid w:val="00D37C61"/>
    <w:rsid w:val="00D403FF"/>
    <w:rsid w:val="00D404C4"/>
    <w:rsid w:val="00D40552"/>
    <w:rsid w:val="00D40CE9"/>
    <w:rsid w:val="00D419ED"/>
    <w:rsid w:val="00D42115"/>
    <w:rsid w:val="00D42EFD"/>
    <w:rsid w:val="00D43D78"/>
    <w:rsid w:val="00D4420B"/>
    <w:rsid w:val="00D45680"/>
    <w:rsid w:val="00D457D1"/>
    <w:rsid w:val="00D458AA"/>
    <w:rsid w:val="00D46338"/>
    <w:rsid w:val="00D46BA2"/>
    <w:rsid w:val="00D47234"/>
    <w:rsid w:val="00D47281"/>
    <w:rsid w:val="00D47581"/>
    <w:rsid w:val="00D50295"/>
    <w:rsid w:val="00D5069A"/>
    <w:rsid w:val="00D50E43"/>
    <w:rsid w:val="00D51469"/>
    <w:rsid w:val="00D52B45"/>
    <w:rsid w:val="00D52B59"/>
    <w:rsid w:val="00D52E95"/>
    <w:rsid w:val="00D530EB"/>
    <w:rsid w:val="00D53393"/>
    <w:rsid w:val="00D535B6"/>
    <w:rsid w:val="00D55235"/>
    <w:rsid w:val="00D55D78"/>
    <w:rsid w:val="00D56787"/>
    <w:rsid w:val="00D572B2"/>
    <w:rsid w:val="00D57F53"/>
    <w:rsid w:val="00D60AAB"/>
    <w:rsid w:val="00D60CAB"/>
    <w:rsid w:val="00D610FD"/>
    <w:rsid w:val="00D612AF"/>
    <w:rsid w:val="00D619F3"/>
    <w:rsid w:val="00D62331"/>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520"/>
    <w:rsid w:val="00D70DE7"/>
    <w:rsid w:val="00D70F17"/>
    <w:rsid w:val="00D712DA"/>
    <w:rsid w:val="00D71302"/>
    <w:rsid w:val="00D719EF"/>
    <w:rsid w:val="00D7224E"/>
    <w:rsid w:val="00D72327"/>
    <w:rsid w:val="00D727E0"/>
    <w:rsid w:val="00D72B87"/>
    <w:rsid w:val="00D72C72"/>
    <w:rsid w:val="00D74160"/>
    <w:rsid w:val="00D75D22"/>
    <w:rsid w:val="00D75DA5"/>
    <w:rsid w:val="00D76C58"/>
    <w:rsid w:val="00D76CF2"/>
    <w:rsid w:val="00D76E7C"/>
    <w:rsid w:val="00D808E8"/>
    <w:rsid w:val="00D80B40"/>
    <w:rsid w:val="00D8155B"/>
    <w:rsid w:val="00D81A10"/>
    <w:rsid w:val="00D81E79"/>
    <w:rsid w:val="00D81FF6"/>
    <w:rsid w:val="00D825A5"/>
    <w:rsid w:val="00D825B7"/>
    <w:rsid w:val="00D8290E"/>
    <w:rsid w:val="00D82AD1"/>
    <w:rsid w:val="00D82E6E"/>
    <w:rsid w:val="00D83040"/>
    <w:rsid w:val="00D8323B"/>
    <w:rsid w:val="00D83489"/>
    <w:rsid w:val="00D8399B"/>
    <w:rsid w:val="00D83D13"/>
    <w:rsid w:val="00D841AC"/>
    <w:rsid w:val="00D8559D"/>
    <w:rsid w:val="00D8564D"/>
    <w:rsid w:val="00D8589D"/>
    <w:rsid w:val="00D85A81"/>
    <w:rsid w:val="00D86466"/>
    <w:rsid w:val="00D864CD"/>
    <w:rsid w:val="00D870E8"/>
    <w:rsid w:val="00D87423"/>
    <w:rsid w:val="00D87452"/>
    <w:rsid w:val="00D87485"/>
    <w:rsid w:val="00D9073C"/>
    <w:rsid w:val="00D907CB"/>
    <w:rsid w:val="00D91BF2"/>
    <w:rsid w:val="00D938D7"/>
    <w:rsid w:val="00D93C1C"/>
    <w:rsid w:val="00D94026"/>
    <w:rsid w:val="00D94120"/>
    <w:rsid w:val="00D951DD"/>
    <w:rsid w:val="00D952ED"/>
    <w:rsid w:val="00D957FA"/>
    <w:rsid w:val="00D95DBB"/>
    <w:rsid w:val="00D9664C"/>
    <w:rsid w:val="00D97404"/>
    <w:rsid w:val="00D975A3"/>
    <w:rsid w:val="00D979D0"/>
    <w:rsid w:val="00DA08CA"/>
    <w:rsid w:val="00DA0F37"/>
    <w:rsid w:val="00DA101A"/>
    <w:rsid w:val="00DA118D"/>
    <w:rsid w:val="00DA122C"/>
    <w:rsid w:val="00DA2FD5"/>
    <w:rsid w:val="00DA4838"/>
    <w:rsid w:val="00DA4989"/>
    <w:rsid w:val="00DA5721"/>
    <w:rsid w:val="00DA6173"/>
    <w:rsid w:val="00DA6AF7"/>
    <w:rsid w:val="00DA7477"/>
    <w:rsid w:val="00DA7573"/>
    <w:rsid w:val="00DA7BD4"/>
    <w:rsid w:val="00DB0191"/>
    <w:rsid w:val="00DB0359"/>
    <w:rsid w:val="00DB0EF6"/>
    <w:rsid w:val="00DB0F8A"/>
    <w:rsid w:val="00DB1E66"/>
    <w:rsid w:val="00DB26A8"/>
    <w:rsid w:val="00DB27CF"/>
    <w:rsid w:val="00DB324C"/>
    <w:rsid w:val="00DB3FD3"/>
    <w:rsid w:val="00DB41B0"/>
    <w:rsid w:val="00DB5F2A"/>
    <w:rsid w:val="00DB6F45"/>
    <w:rsid w:val="00DB72B7"/>
    <w:rsid w:val="00DB7546"/>
    <w:rsid w:val="00DC0624"/>
    <w:rsid w:val="00DC0FC3"/>
    <w:rsid w:val="00DC1A58"/>
    <w:rsid w:val="00DC1AC0"/>
    <w:rsid w:val="00DC1CDD"/>
    <w:rsid w:val="00DC1D8E"/>
    <w:rsid w:val="00DC20C3"/>
    <w:rsid w:val="00DC227A"/>
    <w:rsid w:val="00DC2360"/>
    <w:rsid w:val="00DC26E4"/>
    <w:rsid w:val="00DC2BAE"/>
    <w:rsid w:val="00DC2CEE"/>
    <w:rsid w:val="00DC3001"/>
    <w:rsid w:val="00DC3257"/>
    <w:rsid w:val="00DC3279"/>
    <w:rsid w:val="00DC3BF1"/>
    <w:rsid w:val="00DC4D1D"/>
    <w:rsid w:val="00DC4D87"/>
    <w:rsid w:val="00DC54EB"/>
    <w:rsid w:val="00DC55E7"/>
    <w:rsid w:val="00DC580A"/>
    <w:rsid w:val="00DC5B50"/>
    <w:rsid w:val="00DC66BC"/>
    <w:rsid w:val="00DC727F"/>
    <w:rsid w:val="00DC7E78"/>
    <w:rsid w:val="00DD0493"/>
    <w:rsid w:val="00DD0924"/>
    <w:rsid w:val="00DD0CBF"/>
    <w:rsid w:val="00DD1071"/>
    <w:rsid w:val="00DD12FD"/>
    <w:rsid w:val="00DD1576"/>
    <w:rsid w:val="00DD2893"/>
    <w:rsid w:val="00DD4717"/>
    <w:rsid w:val="00DD4F74"/>
    <w:rsid w:val="00DD531F"/>
    <w:rsid w:val="00DD556C"/>
    <w:rsid w:val="00DD5737"/>
    <w:rsid w:val="00DD5E81"/>
    <w:rsid w:val="00DD6C46"/>
    <w:rsid w:val="00DD6C7A"/>
    <w:rsid w:val="00DD6F44"/>
    <w:rsid w:val="00DD7CCA"/>
    <w:rsid w:val="00DE0BDE"/>
    <w:rsid w:val="00DE10CF"/>
    <w:rsid w:val="00DE1270"/>
    <w:rsid w:val="00DE1E1E"/>
    <w:rsid w:val="00DE223E"/>
    <w:rsid w:val="00DE2D33"/>
    <w:rsid w:val="00DE34EB"/>
    <w:rsid w:val="00DE3592"/>
    <w:rsid w:val="00DE3E78"/>
    <w:rsid w:val="00DE41F8"/>
    <w:rsid w:val="00DE44A9"/>
    <w:rsid w:val="00DE4B9D"/>
    <w:rsid w:val="00DE50EA"/>
    <w:rsid w:val="00DE545C"/>
    <w:rsid w:val="00DE5C9F"/>
    <w:rsid w:val="00DE734E"/>
    <w:rsid w:val="00DE73D1"/>
    <w:rsid w:val="00DE7887"/>
    <w:rsid w:val="00DE7BF8"/>
    <w:rsid w:val="00DF0D9A"/>
    <w:rsid w:val="00DF0DC3"/>
    <w:rsid w:val="00DF14F9"/>
    <w:rsid w:val="00DF16DA"/>
    <w:rsid w:val="00DF1C2D"/>
    <w:rsid w:val="00DF1FAE"/>
    <w:rsid w:val="00DF2AD9"/>
    <w:rsid w:val="00DF54D0"/>
    <w:rsid w:val="00DF580C"/>
    <w:rsid w:val="00DF5C1A"/>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73D"/>
    <w:rsid w:val="00E038F5"/>
    <w:rsid w:val="00E03D67"/>
    <w:rsid w:val="00E04510"/>
    <w:rsid w:val="00E04784"/>
    <w:rsid w:val="00E05569"/>
    <w:rsid w:val="00E05A6C"/>
    <w:rsid w:val="00E05F59"/>
    <w:rsid w:val="00E0655D"/>
    <w:rsid w:val="00E0672B"/>
    <w:rsid w:val="00E1024A"/>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20CC5"/>
    <w:rsid w:val="00E21ACA"/>
    <w:rsid w:val="00E22B80"/>
    <w:rsid w:val="00E22C0E"/>
    <w:rsid w:val="00E22CFF"/>
    <w:rsid w:val="00E231CD"/>
    <w:rsid w:val="00E231E1"/>
    <w:rsid w:val="00E23888"/>
    <w:rsid w:val="00E23B9C"/>
    <w:rsid w:val="00E23CE3"/>
    <w:rsid w:val="00E23CF7"/>
    <w:rsid w:val="00E23E76"/>
    <w:rsid w:val="00E249DB"/>
    <w:rsid w:val="00E253A3"/>
    <w:rsid w:val="00E25402"/>
    <w:rsid w:val="00E259B0"/>
    <w:rsid w:val="00E25AF8"/>
    <w:rsid w:val="00E25EA4"/>
    <w:rsid w:val="00E2676D"/>
    <w:rsid w:val="00E26AEC"/>
    <w:rsid w:val="00E2757B"/>
    <w:rsid w:val="00E2792D"/>
    <w:rsid w:val="00E30828"/>
    <w:rsid w:val="00E30B37"/>
    <w:rsid w:val="00E3109C"/>
    <w:rsid w:val="00E311D1"/>
    <w:rsid w:val="00E31C2D"/>
    <w:rsid w:val="00E32432"/>
    <w:rsid w:val="00E33B1E"/>
    <w:rsid w:val="00E34277"/>
    <w:rsid w:val="00E3621B"/>
    <w:rsid w:val="00E366E7"/>
    <w:rsid w:val="00E36F43"/>
    <w:rsid w:val="00E37F0C"/>
    <w:rsid w:val="00E40ADF"/>
    <w:rsid w:val="00E418E3"/>
    <w:rsid w:val="00E423DE"/>
    <w:rsid w:val="00E425EA"/>
    <w:rsid w:val="00E42F07"/>
    <w:rsid w:val="00E4370F"/>
    <w:rsid w:val="00E4441B"/>
    <w:rsid w:val="00E4441D"/>
    <w:rsid w:val="00E453AB"/>
    <w:rsid w:val="00E462E6"/>
    <w:rsid w:val="00E463A0"/>
    <w:rsid w:val="00E47839"/>
    <w:rsid w:val="00E51CDE"/>
    <w:rsid w:val="00E5210B"/>
    <w:rsid w:val="00E53631"/>
    <w:rsid w:val="00E53794"/>
    <w:rsid w:val="00E5388F"/>
    <w:rsid w:val="00E54239"/>
    <w:rsid w:val="00E54272"/>
    <w:rsid w:val="00E542BC"/>
    <w:rsid w:val="00E54521"/>
    <w:rsid w:val="00E54617"/>
    <w:rsid w:val="00E5484B"/>
    <w:rsid w:val="00E548F3"/>
    <w:rsid w:val="00E56023"/>
    <w:rsid w:val="00E56D6E"/>
    <w:rsid w:val="00E56FEF"/>
    <w:rsid w:val="00E577F9"/>
    <w:rsid w:val="00E57FB5"/>
    <w:rsid w:val="00E60F14"/>
    <w:rsid w:val="00E61B23"/>
    <w:rsid w:val="00E625BE"/>
    <w:rsid w:val="00E6284B"/>
    <w:rsid w:val="00E62D07"/>
    <w:rsid w:val="00E62DF6"/>
    <w:rsid w:val="00E63A22"/>
    <w:rsid w:val="00E63B8F"/>
    <w:rsid w:val="00E646B5"/>
    <w:rsid w:val="00E65427"/>
    <w:rsid w:val="00E6543F"/>
    <w:rsid w:val="00E65A54"/>
    <w:rsid w:val="00E661C0"/>
    <w:rsid w:val="00E663F5"/>
    <w:rsid w:val="00E66E97"/>
    <w:rsid w:val="00E70BD6"/>
    <w:rsid w:val="00E71305"/>
    <w:rsid w:val="00E722BB"/>
    <w:rsid w:val="00E72383"/>
    <w:rsid w:val="00E724D2"/>
    <w:rsid w:val="00E72D9F"/>
    <w:rsid w:val="00E73C41"/>
    <w:rsid w:val="00E74933"/>
    <w:rsid w:val="00E74EDC"/>
    <w:rsid w:val="00E75103"/>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4C89"/>
    <w:rsid w:val="00E85D32"/>
    <w:rsid w:val="00E85E56"/>
    <w:rsid w:val="00E860DD"/>
    <w:rsid w:val="00E8713D"/>
    <w:rsid w:val="00E8734C"/>
    <w:rsid w:val="00E90329"/>
    <w:rsid w:val="00E910D5"/>
    <w:rsid w:val="00E922A5"/>
    <w:rsid w:val="00E922C4"/>
    <w:rsid w:val="00E943AE"/>
    <w:rsid w:val="00E947B0"/>
    <w:rsid w:val="00E95629"/>
    <w:rsid w:val="00E95D82"/>
    <w:rsid w:val="00E95EF4"/>
    <w:rsid w:val="00E95F21"/>
    <w:rsid w:val="00E96273"/>
    <w:rsid w:val="00E96E97"/>
    <w:rsid w:val="00E97D49"/>
    <w:rsid w:val="00EA01D6"/>
    <w:rsid w:val="00EA0251"/>
    <w:rsid w:val="00EA1065"/>
    <w:rsid w:val="00EA1434"/>
    <w:rsid w:val="00EA26E2"/>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411"/>
    <w:rsid w:val="00EB3E22"/>
    <w:rsid w:val="00EB693B"/>
    <w:rsid w:val="00EB7BA9"/>
    <w:rsid w:val="00EB7D75"/>
    <w:rsid w:val="00EC0B20"/>
    <w:rsid w:val="00EC0EE7"/>
    <w:rsid w:val="00EC1C3A"/>
    <w:rsid w:val="00EC1D04"/>
    <w:rsid w:val="00EC1F51"/>
    <w:rsid w:val="00EC2B1D"/>
    <w:rsid w:val="00EC4233"/>
    <w:rsid w:val="00EC4544"/>
    <w:rsid w:val="00EC4A85"/>
    <w:rsid w:val="00EC57B2"/>
    <w:rsid w:val="00EC58F4"/>
    <w:rsid w:val="00EC5966"/>
    <w:rsid w:val="00EC650B"/>
    <w:rsid w:val="00EC7808"/>
    <w:rsid w:val="00EC7BFA"/>
    <w:rsid w:val="00ED027C"/>
    <w:rsid w:val="00ED042E"/>
    <w:rsid w:val="00ED1295"/>
    <w:rsid w:val="00ED2725"/>
    <w:rsid w:val="00ED34D1"/>
    <w:rsid w:val="00ED367F"/>
    <w:rsid w:val="00ED4206"/>
    <w:rsid w:val="00ED58A2"/>
    <w:rsid w:val="00ED58C3"/>
    <w:rsid w:val="00ED5C71"/>
    <w:rsid w:val="00ED5EEE"/>
    <w:rsid w:val="00ED667C"/>
    <w:rsid w:val="00ED7966"/>
    <w:rsid w:val="00EE01CC"/>
    <w:rsid w:val="00EE04EE"/>
    <w:rsid w:val="00EE1760"/>
    <w:rsid w:val="00EE287D"/>
    <w:rsid w:val="00EE3B32"/>
    <w:rsid w:val="00EE3CFF"/>
    <w:rsid w:val="00EE3F39"/>
    <w:rsid w:val="00EE414C"/>
    <w:rsid w:val="00EE44FE"/>
    <w:rsid w:val="00EE5406"/>
    <w:rsid w:val="00EE5EF8"/>
    <w:rsid w:val="00EE67C7"/>
    <w:rsid w:val="00EE6964"/>
    <w:rsid w:val="00EE6A1D"/>
    <w:rsid w:val="00EE6D18"/>
    <w:rsid w:val="00EE7E7A"/>
    <w:rsid w:val="00EF1110"/>
    <w:rsid w:val="00EF1230"/>
    <w:rsid w:val="00EF14C6"/>
    <w:rsid w:val="00EF223B"/>
    <w:rsid w:val="00EF29DE"/>
    <w:rsid w:val="00EF3978"/>
    <w:rsid w:val="00EF3AAC"/>
    <w:rsid w:val="00EF4D42"/>
    <w:rsid w:val="00EF4FD1"/>
    <w:rsid w:val="00EF5318"/>
    <w:rsid w:val="00EF708A"/>
    <w:rsid w:val="00EF72C3"/>
    <w:rsid w:val="00EF79CE"/>
    <w:rsid w:val="00F00152"/>
    <w:rsid w:val="00F00352"/>
    <w:rsid w:val="00F00B1B"/>
    <w:rsid w:val="00F00E37"/>
    <w:rsid w:val="00F010EE"/>
    <w:rsid w:val="00F01383"/>
    <w:rsid w:val="00F014D6"/>
    <w:rsid w:val="00F0167D"/>
    <w:rsid w:val="00F0177A"/>
    <w:rsid w:val="00F019D5"/>
    <w:rsid w:val="00F02500"/>
    <w:rsid w:val="00F032E2"/>
    <w:rsid w:val="00F03571"/>
    <w:rsid w:val="00F0370F"/>
    <w:rsid w:val="00F037E3"/>
    <w:rsid w:val="00F0398D"/>
    <w:rsid w:val="00F03FF2"/>
    <w:rsid w:val="00F04F9E"/>
    <w:rsid w:val="00F06A47"/>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4DB4"/>
    <w:rsid w:val="00F15884"/>
    <w:rsid w:val="00F15B8E"/>
    <w:rsid w:val="00F16665"/>
    <w:rsid w:val="00F16FB0"/>
    <w:rsid w:val="00F1733B"/>
    <w:rsid w:val="00F17474"/>
    <w:rsid w:val="00F201CC"/>
    <w:rsid w:val="00F20487"/>
    <w:rsid w:val="00F20F65"/>
    <w:rsid w:val="00F2106D"/>
    <w:rsid w:val="00F22337"/>
    <w:rsid w:val="00F22D65"/>
    <w:rsid w:val="00F23175"/>
    <w:rsid w:val="00F23FB0"/>
    <w:rsid w:val="00F2480A"/>
    <w:rsid w:val="00F24891"/>
    <w:rsid w:val="00F24B9F"/>
    <w:rsid w:val="00F24CA6"/>
    <w:rsid w:val="00F256AE"/>
    <w:rsid w:val="00F25773"/>
    <w:rsid w:val="00F257FA"/>
    <w:rsid w:val="00F26004"/>
    <w:rsid w:val="00F26FCF"/>
    <w:rsid w:val="00F270E8"/>
    <w:rsid w:val="00F27EF5"/>
    <w:rsid w:val="00F27FDB"/>
    <w:rsid w:val="00F30251"/>
    <w:rsid w:val="00F30418"/>
    <w:rsid w:val="00F305CC"/>
    <w:rsid w:val="00F3179A"/>
    <w:rsid w:val="00F31D54"/>
    <w:rsid w:val="00F32357"/>
    <w:rsid w:val="00F32C70"/>
    <w:rsid w:val="00F34E02"/>
    <w:rsid w:val="00F3549E"/>
    <w:rsid w:val="00F3609D"/>
    <w:rsid w:val="00F365A7"/>
    <w:rsid w:val="00F3681C"/>
    <w:rsid w:val="00F3769D"/>
    <w:rsid w:val="00F404F4"/>
    <w:rsid w:val="00F4143E"/>
    <w:rsid w:val="00F415F6"/>
    <w:rsid w:val="00F41CC5"/>
    <w:rsid w:val="00F41D25"/>
    <w:rsid w:val="00F423C2"/>
    <w:rsid w:val="00F433F8"/>
    <w:rsid w:val="00F433FE"/>
    <w:rsid w:val="00F43627"/>
    <w:rsid w:val="00F43781"/>
    <w:rsid w:val="00F443EF"/>
    <w:rsid w:val="00F4463C"/>
    <w:rsid w:val="00F473A5"/>
    <w:rsid w:val="00F473F3"/>
    <w:rsid w:val="00F474B8"/>
    <w:rsid w:val="00F478CA"/>
    <w:rsid w:val="00F47CE2"/>
    <w:rsid w:val="00F501F3"/>
    <w:rsid w:val="00F50A98"/>
    <w:rsid w:val="00F50E5F"/>
    <w:rsid w:val="00F511D1"/>
    <w:rsid w:val="00F51460"/>
    <w:rsid w:val="00F51667"/>
    <w:rsid w:val="00F521DC"/>
    <w:rsid w:val="00F53199"/>
    <w:rsid w:val="00F53DCC"/>
    <w:rsid w:val="00F541A1"/>
    <w:rsid w:val="00F54B09"/>
    <w:rsid w:val="00F54BEA"/>
    <w:rsid w:val="00F54E8A"/>
    <w:rsid w:val="00F559A8"/>
    <w:rsid w:val="00F55C21"/>
    <w:rsid w:val="00F55E5F"/>
    <w:rsid w:val="00F55F6D"/>
    <w:rsid w:val="00F5709B"/>
    <w:rsid w:val="00F5736B"/>
    <w:rsid w:val="00F57880"/>
    <w:rsid w:val="00F608AB"/>
    <w:rsid w:val="00F60BE7"/>
    <w:rsid w:val="00F6159C"/>
    <w:rsid w:val="00F61714"/>
    <w:rsid w:val="00F61917"/>
    <w:rsid w:val="00F6201A"/>
    <w:rsid w:val="00F6205C"/>
    <w:rsid w:val="00F6238F"/>
    <w:rsid w:val="00F63E59"/>
    <w:rsid w:val="00F64BE0"/>
    <w:rsid w:val="00F65B68"/>
    <w:rsid w:val="00F66518"/>
    <w:rsid w:val="00F67846"/>
    <w:rsid w:val="00F67B42"/>
    <w:rsid w:val="00F70A70"/>
    <w:rsid w:val="00F70B72"/>
    <w:rsid w:val="00F70DEF"/>
    <w:rsid w:val="00F70EA3"/>
    <w:rsid w:val="00F71398"/>
    <w:rsid w:val="00F7294C"/>
    <w:rsid w:val="00F72C5F"/>
    <w:rsid w:val="00F73549"/>
    <w:rsid w:val="00F7408E"/>
    <w:rsid w:val="00F7446C"/>
    <w:rsid w:val="00F75782"/>
    <w:rsid w:val="00F80C1D"/>
    <w:rsid w:val="00F81130"/>
    <w:rsid w:val="00F818F7"/>
    <w:rsid w:val="00F82FDD"/>
    <w:rsid w:val="00F8325D"/>
    <w:rsid w:val="00F832A9"/>
    <w:rsid w:val="00F832B0"/>
    <w:rsid w:val="00F83307"/>
    <w:rsid w:val="00F833A5"/>
    <w:rsid w:val="00F844D3"/>
    <w:rsid w:val="00F84629"/>
    <w:rsid w:val="00F84B71"/>
    <w:rsid w:val="00F84F0E"/>
    <w:rsid w:val="00F8519E"/>
    <w:rsid w:val="00F85FF5"/>
    <w:rsid w:val="00F86BB4"/>
    <w:rsid w:val="00F86BCC"/>
    <w:rsid w:val="00F870F5"/>
    <w:rsid w:val="00F902D2"/>
    <w:rsid w:val="00F90B12"/>
    <w:rsid w:val="00F90CBD"/>
    <w:rsid w:val="00F9109E"/>
    <w:rsid w:val="00F9177E"/>
    <w:rsid w:val="00F91E4F"/>
    <w:rsid w:val="00F91FDF"/>
    <w:rsid w:val="00F92AA1"/>
    <w:rsid w:val="00F92FDC"/>
    <w:rsid w:val="00F931D2"/>
    <w:rsid w:val="00F93431"/>
    <w:rsid w:val="00F93A4A"/>
    <w:rsid w:val="00F93D27"/>
    <w:rsid w:val="00F9470C"/>
    <w:rsid w:val="00F9502C"/>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03"/>
    <w:rsid w:val="00FA4763"/>
    <w:rsid w:val="00FA4830"/>
    <w:rsid w:val="00FA5032"/>
    <w:rsid w:val="00FA6980"/>
    <w:rsid w:val="00FA6CDF"/>
    <w:rsid w:val="00FA6D09"/>
    <w:rsid w:val="00FA7BB5"/>
    <w:rsid w:val="00FA7C85"/>
    <w:rsid w:val="00FB0EA2"/>
    <w:rsid w:val="00FB12D8"/>
    <w:rsid w:val="00FB143C"/>
    <w:rsid w:val="00FB176A"/>
    <w:rsid w:val="00FB1CDC"/>
    <w:rsid w:val="00FB238A"/>
    <w:rsid w:val="00FB2446"/>
    <w:rsid w:val="00FB2C81"/>
    <w:rsid w:val="00FB369F"/>
    <w:rsid w:val="00FB3BC4"/>
    <w:rsid w:val="00FB3F9C"/>
    <w:rsid w:val="00FB3FDE"/>
    <w:rsid w:val="00FB4676"/>
    <w:rsid w:val="00FB5552"/>
    <w:rsid w:val="00FB5789"/>
    <w:rsid w:val="00FB5F3A"/>
    <w:rsid w:val="00FB6AA9"/>
    <w:rsid w:val="00FB6AD4"/>
    <w:rsid w:val="00FB6D2D"/>
    <w:rsid w:val="00FB7F22"/>
    <w:rsid w:val="00FC00F3"/>
    <w:rsid w:val="00FC0A33"/>
    <w:rsid w:val="00FC1416"/>
    <w:rsid w:val="00FC14B2"/>
    <w:rsid w:val="00FC1823"/>
    <w:rsid w:val="00FC2198"/>
    <w:rsid w:val="00FC26A4"/>
    <w:rsid w:val="00FC2C93"/>
    <w:rsid w:val="00FC325A"/>
    <w:rsid w:val="00FC33ED"/>
    <w:rsid w:val="00FC43AD"/>
    <w:rsid w:val="00FC440F"/>
    <w:rsid w:val="00FC5876"/>
    <w:rsid w:val="00FC62F5"/>
    <w:rsid w:val="00FC731E"/>
    <w:rsid w:val="00FC7DB8"/>
    <w:rsid w:val="00FD035A"/>
    <w:rsid w:val="00FD19F1"/>
    <w:rsid w:val="00FD1A7E"/>
    <w:rsid w:val="00FD2CC3"/>
    <w:rsid w:val="00FD31BF"/>
    <w:rsid w:val="00FD3CC7"/>
    <w:rsid w:val="00FD4148"/>
    <w:rsid w:val="00FD4D5B"/>
    <w:rsid w:val="00FD6453"/>
    <w:rsid w:val="00FD67FD"/>
    <w:rsid w:val="00FD7CB2"/>
    <w:rsid w:val="00FD7D46"/>
    <w:rsid w:val="00FD7D8B"/>
    <w:rsid w:val="00FE03BD"/>
    <w:rsid w:val="00FE0AF2"/>
    <w:rsid w:val="00FE0B84"/>
    <w:rsid w:val="00FE1C47"/>
    <w:rsid w:val="00FE22DD"/>
    <w:rsid w:val="00FE2CFB"/>
    <w:rsid w:val="00FE3724"/>
    <w:rsid w:val="00FE4A60"/>
    <w:rsid w:val="00FE54E0"/>
    <w:rsid w:val="00FE55F0"/>
    <w:rsid w:val="00FE6331"/>
    <w:rsid w:val="00FE685B"/>
    <w:rsid w:val="00FE6C12"/>
    <w:rsid w:val="00FE7894"/>
    <w:rsid w:val="00FF01FA"/>
    <w:rsid w:val="00FF21B5"/>
    <w:rsid w:val="00FF21C3"/>
    <w:rsid w:val="00FF2A11"/>
    <w:rsid w:val="00FF2AA0"/>
    <w:rsid w:val="00FF3F6C"/>
    <w:rsid w:val="00FF4603"/>
    <w:rsid w:val="00FF4B07"/>
    <w:rsid w:val="00FF4BFC"/>
    <w:rsid w:val="00FF4C11"/>
    <w:rsid w:val="00FF56B9"/>
    <w:rsid w:val="00FF57E8"/>
    <w:rsid w:val="00FF58C0"/>
    <w:rsid w:val="00FF5948"/>
    <w:rsid w:val="00FF5BE1"/>
    <w:rsid w:val="00FF6B71"/>
    <w:rsid w:val="00FF6EDF"/>
    <w:rsid w:val="00FF6EEA"/>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33F18CA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qFormat="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053DD4"/>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23242A"/>
    <w:pPr>
      <w:keepNext/>
      <w:tabs>
        <w:tab w:val="left" w:pos="851"/>
      </w:tabs>
      <w:spacing w:before="0" w:after="360" w:line="240" w:lineRule="auto"/>
      <w:jc w:val="left"/>
      <w:outlineLvl w:val="0"/>
    </w:pPr>
    <w:rPr>
      <w:rFonts w:eastAsiaTheme="majorEastAsia" w:cstheme="majorBidi"/>
      <w:b/>
      <w:bCs/>
      <w:color w:val="1C556C"/>
      <w:sz w:val="48"/>
      <w:szCs w:val="28"/>
    </w:rPr>
  </w:style>
  <w:style w:type="paragraph" w:styleId="Heading2">
    <w:name w:val="heading 2"/>
    <w:basedOn w:val="Normal"/>
    <w:next w:val="BodyText"/>
    <w:link w:val="Heading2Char"/>
    <w:qFormat/>
    <w:rsid w:val="00844B47"/>
    <w:pPr>
      <w:keepNext/>
      <w:tabs>
        <w:tab w:val="left" w:pos="851"/>
      </w:tabs>
      <w:spacing w:before="360" w:after="0" w:line="240" w:lineRule="auto"/>
      <w:jc w:val="left"/>
      <w:outlineLvl w:val="1"/>
    </w:pPr>
    <w:rPr>
      <w:rFonts w:eastAsiaTheme="majorEastAsia" w:cstheme="majorBidi"/>
      <w:b/>
      <w:bCs/>
      <w:color w:val="0F7B7D"/>
      <w:sz w:val="36"/>
      <w:szCs w:val="26"/>
    </w:rPr>
  </w:style>
  <w:style w:type="paragraph" w:styleId="Heading3">
    <w:name w:val="heading 3"/>
    <w:basedOn w:val="Normal"/>
    <w:next w:val="BodyText"/>
    <w:link w:val="Heading3Char"/>
    <w:qFormat/>
    <w:rsid w:val="008B68EC"/>
    <w:pPr>
      <w:keepNext/>
      <w:tabs>
        <w:tab w:val="left" w:pos="851"/>
      </w:tabs>
      <w:spacing w:before="360" w:after="0" w:line="240" w:lineRule="auto"/>
      <w:jc w:val="left"/>
      <w:outlineLvl w:val="2"/>
    </w:pPr>
    <w:rPr>
      <w:rFonts w:eastAsiaTheme="majorEastAsia" w:cstheme="majorBidi"/>
      <w:b/>
      <w:bCs/>
      <w:sz w:val="28"/>
    </w:rPr>
  </w:style>
  <w:style w:type="paragraph" w:styleId="Heading4">
    <w:name w:val="heading 4"/>
    <w:basedOn w:val="Heading3"/>
    <w:next w:val="BodyText"/>
    <w:link w:val="Heading4Char"/>
    <w:qFormat/>
    <w:rsid w:val="00DF16DA"/>
    <w:pPr>
      <w:spacing w:before="240"/>
      <w:outlineLvl w:val="3"/>
    </w:pPr>
    <w:rPr>
      <w:color w:val="0F7B7D"/>
      <w:sz w:val="24"/>
    </w:rPr>
  </w:style>
  <w:style w:type="paragraph" w:styleId="Heading5">
    <w:name w:val="heading 5"/>
    <w:basedOn w:val="Normal"/>
    <w:next w:val="BodyText"/>
    <w:link w:val="Heading5Char"/>
    <w:qFormat/>
    <w:rsid w:val="00C446CF"/>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uiPriority w:val="7"/>
    <w:semiHidden/>
    <w:qFormat/>
    <w:rsid w:val="00EA64B4"/>
    <w:pPr>
      <w:numPr>
        <w:ilvl w:val="8"/>
        <w:numId w:val="16"/>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68EC"/>
    <w:rPr>
      <w:rFonts w:ascii="Calibri" w:eastAsiaTheme="majorEastAsia" w:hAnsi="Calibri" w:cstheme="majorBidi"/>
      <w:b/>
      <w:bCs/>
      <w:color w:val="1C556C"/>
      <w:sz w:val="48"/>
      <w:szCs w:val="28"/>
      <w:lang w:eastAsia="en-NZ"/>
    </w:rPr>
  </w:style>
  <w:style w:type="character" w:customStyle="1" w:styleId="Heading2Char">
    <w:name w:val="Heading 2 Char"/>
    <w:basedOn w:val="DefaultParagraphFont"/>
    <w:link w:val="Heading2"/>
    <w:rsid w:val="00B51610"/>
    <w:rPr>
      <w:rFonts w:ascii="Calibri" w:eastAsiaTheme="majorEastAsia" w:hAnsi="Calibri" w:cstheme="majorBidi"/>
      <w:b/>
      <w:bCs/>
      <w:color w:val="0F7B7D"/>
      <w:sz w:val="36"/>
      <w:szCs w:val="26"/>
      <w:lang w:eastAsia="en-NZ"/>
    </w:rPr>
  </w:style>
  <w:style w:type="character" w:customStyle="1" w:styleId="Heading3Char">
    <w:name w:val="Heading 3 Char"/>
    <w:basedOn w:val="DefaultParagraphFont"/>
    <w:link w:val="Heading3"/>
    <w:rsid w:val="008B68EC"/>
    <w:rPr>
      <w:rFonts w:ascii="Calibri" w:eastAsiaTheme="majorEastAsia" w:hAnsi="Calibri" w:cstheme="majorBidi"/>
      <w:b/>
      <w:bCs/>
      <w:sz w:val="28"/>
      <w:lang w:eastAsia="en-NZ"/>
    </w:rPr>
  </w:style>
  <w:style w:type="character" w:customStyle="1" w:styleId="Heading4Char">
    <w:name w:val="Heading 4 Char"/>
    <w:basedOn w:val="DefaultParagraphFont"/>
    <w:link w:val="Heading4"/>
    <w:rsid w:val="00DF16DA"/>
    <w:rPr>
      <w:rFonts w:ascii="Calibri" w:eastAsiaTheme="majorEastAsia" w:hAnsi="Calibri" w:cstheme="majorBidi"/>
      <w:b/>
      <w:bCs/>
      <w:color w:val="0F7B7D"/>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aliases w:val="RS Table Grid a"/>
    <w:basedOn w:val="TableNormal"/>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ox">
    <w:name w:val="Box"/>
    <w:basedOn w:val="Normal"/>
    <w:uiPriority w:val="1"/>
    <w:semiHidden/>
    <w:qFormat/>
    <w:rsid w:val="001820A3"/>
    <w:pPr>
      <w:pBdr>
        <w:top w:val="single" w:sz="4" w:space="15" w:color="D2DDE2"/>
        <w:left w:val="single" w:sz="4" w:space="15" w:color="D2DDE2"/>
        <w:bottom w:val="single" w:sz="4" w:space="15" w:color="D2DDE2"/>
        <w:right w:val="single" w:sz="4" w:space="15" w:color="D2DDE2"/>
      </w:pBdr>
      <w:shd w:val="clear" w:color="auto" w:fill="D2DDE2"/>
      <w:ind w:left="284" w:right="284"/>
      <w:jc w:val="left"/>
    </w:pPr>
    <w:rPr>
      <w:color w:val="1C556C"/>
      <w:sz w:val="20"/>
    </w:rPr>
  </w:style>
  <w:style w:type="paragraph" w:customStyle="1" w:styleId="Boxbullet">
    <w:name w:val="Box bullet"/>
    <w:basedOn w:val="Box"/>
    <w:uiPriority w:val="1"/>
    <w:semiHidden/>
    <w:qFormat/>
    <w:rsid w:val="00A56D3B"/>
    <w:pPr>
      <w:tabs>
        <w:tab w:val="left" w:pos="680"/>
      </w:tabs>
      <w:spacing w:before="0"/>
      <w:ind w:left="681" w:hanging="397"/>
    </w:pPr>
  </w:style>
  <w:style w:type="paragraph" w:customStyle="1" w:styleId="Boxheading">
    <w:name w:val="Box heading"/>
    <w:basedOn w:val="Box"/>
    <w:next w:val="Box"/>
    <w:uiPriority w:val="1"/>
    <w:semiHidden/>
    <w:qFormat/>
    <w:rsid w:val="001820A3"/>
    <w:pPr>
      <w:keepNext/>
      <w:spacing w:after="0"/>
    </w:pPr>
    <w:rPr>
      <w:b/>
    </w:rPr>
  </w:style>
  <w:style w:type="paragraph" w:customStyle="1" w:styleId="Bullet">
    <w:name w:val="Bullet"/>
    <w:basedOn w:val="Normal"/>
    <w:link w:val="BulletChar"/>
    <w:qFormat/>
    <w:rsid w:val="008B5A2D"/>
    <w:pPr>
      <w:numPr>
        <w:numId w:val="13"/>
      </w:numPr>
      <w:tabs>
        <w:tab w:val="left" w:pos="397"/>
      </w:tabs>
      <w:spacing w:before="0" w:line="280" w:lineRule="exact"/>
      <w:jc w:val="left"/>
    </w:pPr>
    <w:rPr>
      <w:rFonts w:eastAsia="Times New Roman" w:cs="Times New Roman"/>
      <w:szCs w:val="20"/>
    </w:rPr>
  </w:style>
  <w:style w:type="paragraph" w:customStyle="1" w:styleId="Heading">
    <w:name w:val="Heading"/>
    <w:basedOn w:val="Heading1"/>
    <w:next w:val="Normal"/>
    <w:uiPriority w:val="3"/>
    <w:semiHidden/>
    <w:rsid w:val="008B68EC"/>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qFormat/>
    <w:rsid w:val="0061029E"/>
    <w:pPr>
      <w:keepNext/>
      <w:spacing w:line="260" w:lineRule="atLeast"/>
      <w:ind w:left="1134" w:hanging="1134"/>
      <w:jc w:val="left"/>
    </w:pPr>
    <w:rPr>
      <w:b/>
      <w:sz w:val="20"/>
    </w:rPr>
  </w:style>
  <w:style w:type="character" w:styleId="FootnoteReference">
    <w:name w:val="footnote reference"/>
    <w:uiPriority w:val="99"/>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semiHidden/>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semiHidden/>
    <w:rsid w:val="00624018"/>
    <w:pPr>
      <w:spacing w:line="360" w:lineRule="auto"/>
      <w:jc w:val="center"/>
    </w:pPr>
    <w:rPr>
      <w:b/>
      <w:color w:val="17556C"/>
      <w:sz w:val="52"/>
    </w:rPr>
  </w:style>
  <w:style w:type="character" w:customStyle="1" w:styleId="TitleChar">
    <w:name w:val="Title Char"/>
    <w:basedOn w:val="DefaultParagraphFont"/>
    <w:link w:val="Title"/>
    <w:uiPriority w:val="2"/>
    <w:semiHidden/>
    <w:rsid w:val="00B94A20"/>
    <w:rPr>
      <w:rFonts w:ascii="Calibri" w:eastAsiaTheme="minorEastAsia" w:hAnsi="Calibri"/>
      <w:b/>
      <w:color w:val="17556C"/>
      <w:sz w:val="52"/>
      <w:lang w:eastAsia="en-NZ"/>
    </w:rPr>
  </w:style>
  <w:style w:type="paragraph" w:styleId="Subtitle">
    <w:name w:val="Subtitle"/>
    <w:basedOn w:val="Title"/>
    <w:link w:val="SubtitleChar"/>
    <w:uiPriority w:val="2"/>
    <w:semiHidden/>
    <w:rsid w:val="00D94120"/>
    <w:pPr>
      <w:spacing w:before="600" w:line="240" w:lineRule="auto"/>
    </w:pPr>
    <w:rPr>
      <w:sz w:val="36"/>
      <w:szCs w:val="36"/>
    </w:rPr>
  </w:style>
  <w:style w:type="character" w:customStyle="1" w:styleId="SubtitleChar">
    <w:name w:val="Subtitle Char"/>
    <w:basedOn w:val="DefaultParagraphFont"/>
    <w:link w:val="Subtitle"/>
    <w:uiPriority w:val="2"/>
    <w:semiHidden/>
    <w:rsid w:val="00B94A20"/>
    <w:rPr>
      <w:rFonts w:ascii="Calibri" w:eastAsiaTheme="minorEastAsia" w:hAnsi="Calibri"/>
      <w:b/>
      <w:color w:val="17556C"/>
      <w:sz w:val="36"/>
      <w:szCs w:val="36"/>
      <w:lang w:eastAsia="en-NZ"/>
    </w:rPr>
  </w:style>
  <w:style w:type="paragraph" w:customStyle="1" w:styleId="Tableheading">
    <w:name w:val="Table heading"/>
    <w:basedOn w:val="Normal"/>
    <w:next w:val="Normal"/>
    <w:qFormat/>
    <w:rsid w:val="0061029E"/>
    <w:pPr>
      <w:keepNext/>
      <w:spacing w:line="260" w:lineRule="atLeast"/>
      <w:ind w:left="1134" w:hanging="1134"/>
      <w:jc w:val="left"/>
    </w:pPr>
    <w:rPr>
      <w:b/>
      <w:sz w:val="20"/>
    </w:rPr>
  </w:style>
  <w:style w:type="paragraph" w:customStyle="1" w:styleId="TableText">
    <w:name w:val="TableText"/>
    <w:basedOn w:val="Normal"/>
    <w:link w:val="TableTextChar"/>
    <w:qFormat/>
    <w:rsid w:val="00EA64B4"/>
    <w:pPr>
      <w:spacing w:before="60" w:after="60" w:line="240" w:lineRule="atLeast"/>
      <w:jc w:val="left"/>
    </w:pPr>
    <w:rPr>
      <w:sz w:val="18"/>
    </w:rPr>
  </w:style>
  <w:style w:type="paragraph" w:styleId="NoSpacing">
    <w:name w:val="No Spacing"/>
    <w:uiPriority w:val="1"/>
    <w:semiHidden/>
    <w:qFormat/>
    <w:rsid w:val="006B2EC0"/>
    <w:pPr>
      <w:spacing w:after="0" w:line="230" w:lineRule="atLeast"/>
    </w:pPr>
    <w:rPr>
      <w:rFonts w:eastAsia="Times New Roman" w:cstheme="minorHAnsi"/>
      <w:sz w:val="20"/>
      <w:szCs w:val="20"/>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237B73"/>
    <w:pPr>
      <w:spacing w:after="0"/>
      <w:jc w:val="left"/>
    </w:pPr>
  </w:style>
  <w:style w:type="paragraph" w:customStyle="1" w:styleId="Footerodd">
    <w:name w:val="Footer odd"/>
    <w:basedOn w:val="Normal"/>
    <w:uiPriority w:val="99"/>
    <w:rsid w:val="00EA64B4"/>
    <w:pPr>
      <w:tabs>
        <w:tab w:val="right" w:pos="7938"/>
        <w:tab w:val="right" w:pos="8505"/>
      </w:tabs>
      <w:jc w:val="left"/>
    </w:pPr>
    <w:rPr>
      <w:sz w:val="16"/>
    </w:rPr>
  </w:style>
  <w:style w:type="paragraph" w:customStyle="1" w:styleId="Footereven">
    <w:name w:val="Footer even"/>
    <w:basedOn w:val="Normal"/>
    <w:uiPriority w:val="99"/>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F9470C"/>
    <w:pPr>
      <w:numPr>
        <w:numId w:val="5"/>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rsid w:val="00C939BE"/>
    <w:pPr>
      <w:numPr>
        <w:numId w:val="35"/>
      </w:numPr>
      <w:spacing w:before="0"/>
    </w:pPr>
  </w:style>
  <w:style w:type="paragraph" w:customStyle="1" w:styleId="TableBullet">
    <w:name w:val="TableBullet"/>
    <w:basedOn w:val="Normal"/>
    <w:qFormat/>
    <w:rsid w:val="00523DFA"/>
    <w:pPr>
      <w:numPr>
        <w:numId w:val="6"/>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7"/>
      </w:numPr>
      <w:ind w:left="568" w:hanging="284"/>
    </w:pPr>
  </w:style>
  <w:style w:type="paragraph" w:styleId="ListParagraph">
    <w:name w:val="List Paragraph"/>
    <w:basedOn w:val="Normal"/>
    <w:link w:val="ListParagraphChar"/>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8"/>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Box"/>
    <w:semiHidden/>
    <w:rsid w:val="00EA64B4"/>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EA64B4"/>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uiPriority w:val="7"/>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link w:val="CaptionChar"/>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8B5A2D"/>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B07CE9"/>
    <w:pPr>
      <w:numPr>
        <w:numId w:val="9"/>
      </w:numPr>
    </w:pPr>
  </w:style>
  <w:style w:type="numbering" w:customStyle="1" w:styleId="Style2">
    <w:name w:val="Style2"/>
    <w:uiPriority w:val="99"/>
    <w:rsid w:val="008E0688"/>
    <w:pPr>
      <w:numPr>
        <w:numId w:val="10"/>
      </w:numPr>
    </w:pPr>
  </w:style>
  <w:style w:type="paragraph" w:customStyle="1" w:styleId="Greenbullet-casestudytables">
    <w:name w:val="Green bullet - case study tables"/>
    <w:basedOn w:val="Greentext-casestudytables"/>
    <w:uiPriority w:val="1"/>
    <w:semiHidden/>
    <w:rsid w:val="00C15722"/>
    <w:pPr>
      <w:numPr>
        <w:numId w:val="1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51754D"/>
    <w:pPr>
      <w:keepNext/>
      <w:spacing w:before="240" w:after="0"/>
    </w:pPr>
    <w:rPr>
      <w:rFonts w:eastAsia="Times New Roman"/>
      <w:b/>
    </w:rPr>
  </w:style>
  <w:style w:type="numbering" w:customStyle="1" w:styleId="Style3">
    <w:name w:val="Style3"/>
    <w:uiPriority w:val="99"/>
    <w:rsid w:val="008B5A2D"/>
    <w:pPr>
      <w:numPr>
        <w:numId w:val="12"/>
      </w:numPr>
    </w:pPr>
  </w:style>
  <w:style w:type="paragraph" w:customStyle="1" w:styleId="Blueboxtext">
    <w:name w:val="Blue box text"/>
    <w:basedOn w:val="Normal"/>
    <w:uiPriority w:val="1"/>
    <w:qFormat/>
    <w:rsid w:val="007823D6"/>
    <w:pPr>
      <w:spacing w:line="260" w:lineRule="atLeast"/>
      <w:ind w:left="284" w:right="284"/>
      <w:jc w:val="left"/>
    </w:pPr>
    <w:rPr>
      <w:color w:val="1C556C"/>
      <w:sz w:val="20"/>
    </w:rPr>
  </w:style>
  <w:style w:type="paragraph" w:customStyle="1" w:styleId="Blue-boxbullet">
    <w:name w:val="Blue-box bullet"/>
    <w:basedOn w:val="Blueboxtext"/>
    <w:uiPriority w:val="1"/>
    <w:qFormat/>
    <w:rsid w:val="005D3242"/>
    <w:pPr>
      <w:numPr>
        <w:numId w:val="2"/>
      </w:numPr>
      <w:tabs>
        <w:tab w:val="left" w:pos="680"/>
      </w:tabs>
      <w:spacing w:before="0"/>
      <w:ind w:left="681" w:hanging="397"/>
    </w:pPr>
    <w:rPr>
      <w:rFonts w:cs="Times New Roman"/>
      <w:szCs w:val="20"/>
    </w:rPr>
  </w:style>
  <w:style w:type="paragraph" w:customStyle="1" w:styleId="Blueboxheading">
    <w:name w:val="Blue box heading"/>
    <w:basedOn w:val="Blueboxtext"/>
    <w:next w:val="Blueboxtext"/>
    <w:uiPriority w:val="1"/>
    <w:qFormat/>
    <w:rsid w:val="007823D6"/>
    <w:pPr>
      <w:keepNext/>
      <w:spacing w:before="240" w:after="0"/>
    </w:pPr>
    <w:rPr>
      <w:rFonts w:cs="Times New Roman"/>
      <w:b/>
      <w:szCs w:val="20"/>
    </w:rPr>
  </w:style>
  <w:style w:type="paragraph" w:customStyle="1" w:styleId="Blue-boxsub-bullet">
    <w:name w:val="Blue-box sub-bullet"/>
    <w:basedOn w:val="Blueboxtext"/>
    <w:uiPriority w:val="1"/>
    <w:qFormat/>
    <w:rsid w:val="007823D6"/>
    <w:pPr>
      <w:numPr>
        <w:numId w:val="14"/>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5"/>
      </w:numPr>
      <w:spacing w:before="0"/>
      <w:ind w:left="1077" w:hanging="397"/>
    </w:pPr>
  </w:style>
  <w:style w:type="paragraph" w:styleId="CommentText">
    <w:name w:val="annotation text"/>
    <w:aliases w:val=" Char7,Char7"/>
    <w:basedOn w:val="Normal"/>
    <w:link w:val="CommentTextChar"/>
    <w:uiPriority w:val="99"/>
    <w:unhideWhenUsed/>
    <w:qFormat/>
    <w:rsid w:val="00894D0A"/>
    <w:pPr>
      <w:spacing w:before="0" w:line="240" w:lineRule="auto"/>
      <w:jc w:val="left"/>
    </w:pPr>
    <w:rPr>
      <w:rFonts w:ascii="Arial" w:eastAsia="Times New Roman" w:hAnsi="Arial" w:cs="Times New Roman"/>
      <w:sz w:val="20"/>
      <w:szCs w:val="20"/>
    </w:rPr>
  </w:style>
  <w:style w:type="character" w:customStyle="1" w:styleId="CommentTextChar">
    <w:name w:val="Comment Text Char"/>
    <w:aliases w:val=" Char7 Char,Char7 Char"/>
    <w:basedOn w:val="DefaultParagraphFont"/>
    <w:link w:val="CommentText"/>
    <w:uiPriority w:val="99"/>
    <w:qFormat/>
    <w:rsid w:val="00894D0A"/>
    <w:rPr>
      <w:rFonts w:ascii="Arial" w:eastAsia="Times New Roman" w:hAnsi="Arial" w:cs="Times New Roman"/>
      <w:sz w:val="20"/>
      <w:szCs w:val="20"/>
      <w:lang w:eastAsia="en-NZ"/>
    </w:rPr>
  </w:style>
  <w:style w:type="character" w:customStyle="1" w:styleId="TableTextChar">
    <w:name w:val="TableText Char"/>
    <w:link w:val="TableText"/>
    <w:uiPriority w:val="2"/>
    <w:rsid w:val="00077FF7"/>
    <w:rPr>
      <w:rFonts w:ascii="Calibri" w:eastAsiaTheme="minorEastAsia" w:hAnsi="Calibri"/>
      <w:sz w:val="18"/>
      <w:lang w:eastAsia="en-NZ"/>
    </w:rPr>
  </w:style>
  <w:style w:type="paragraph" w:styleId="ListNumber">
    <w:name w:val="List Number"/>
    <w:basedOn w:val="Normal"/>
    <w:uiPriority w:val="1"/>
    <w:semiHidden/>
    <w:qFormat/>
    <w:rsid w:val="00077FF7"/>
    <w:pPr>
      <w:numPr>
        <w:numId w:val="18"/>
      </w:numPr>
      <w:spacing w:before="60" w:after="60" w:line="240" w:lineRule="auto"/>
      <w:jc w:val="left"/>
    </w:pPr>
    <w:rPr>
      <w:rFonts w:asciiTheme="minorHAnsi" w:eastAsia="Times New Roman" w:hAnsiTheme="minorHAnsi" w:cs="Times New Roman"/>
      <w:szCs w:val="24"/>
      <w:lang w:eastAsia="en-US"/>
    </w:rPr>
  </w:style>
  <w:style w:type="numbering" w:customStyle="1" w:styleId="TTListNumber">
    <w:name w:val="TT List Number"/>
    <w:uiPriority w:val="99"/>
    <w:rsid w:val="00077FF7"/>
    <w:pPr>
      <w:numPr>
        <w:numId w:val="17"/>
      </w:numPr>
    </w:pPr>
  </w:style>
  <w:style w:type="paragraph" w:customStyle="1" w:styleId="TableTextBold">
    <w:name w:val="TableText Bold"/>
    <w:basedOn w:val="TableText"/>
    <w:rsid w:val="003B1E4A"/>
    <w:pPr>
      <w:tabs>
        <w:tab w:val="left" w:pos="567"/>
      </w:tabs>
      <w:spacing w:line="240" w:lineRule="auto"/>
    </w:pPr>
    <w:rPr>
      <w:rFonts w:eastAsia="Times New Roman" w:cs="Times New Roman"/>
      <w:b/>
      <w:szCs w:val="20"/>
      <w:lang w:eastAsia="en-US"/>
    </w:rPr>
  </w:style>
  <w:style w:type="character" w:customStyle="1" w:styleId="CaptionChar">
    <w:name w:val="Caption Char"/>
    <w:link w:val="Caption"/>
    <w:uiPriority w:val="35"/>
    <w:semiHidden/>
    <w:rsid w:val="006B2EC0"/>
    <w:rPr>
      <w:rFonts w:ascii="Times New Roman" w:eastAsia="Times New Roman" w:hAnsi="Times New Roman" w:cs="Times New Roman"/>
      <w:b/>
      <w:bCs/>
      <w:color w:val="1C556C" w:themeColor="accent1"/>
      <w:sz w:val="18"/>
      <w:szCs w:val="18"/>
    </w:rPr>
  </w:style>
  <w:style w:type="character" w:customStyle="1" w:styleId="ListParagraphChar">
    <w:name w:val="List Paragraph Char"/>
    <w:link w:val="ListParagraph"/>
    <w:uiPriority w:val="34"/>
    <w:semiHidden/>
    <w:rsid w:val="0003480B"/>
    <w:rPr>
      <w:rFonts w:ascii="Times New Roman" w:eastAsiaTheme="minorEastAsia" w:hAnsi="Times New Roman"/>
      <w:szCs w:val="20"/>
      <w:lang w:eastAsia="en-GB"/>
    </w:rPr>
  </w:style>
  <w:style w:type="character" w:customStyle="1" w:styleId="UnresolvedMention">
    <w:name w:val="Unresolved Mention"/>
    <w:basedOn w:val="DefaultParagraphFont"/>
    <w:uiPriority w:val="99"/>
    <w:semiHidden/>
    <w:unhideWhenUsed/>
    <w:rsid w:val="00BC3F65"/>
    <w:rPr>
      <w:color w:val="605E5C"/>
      <w:shd w:val="clear" w:color="auto" w:fill="E1DFDD"/>
    </w:rPr>
  </w:style>
  <w:style w:type="paragraph" w:customStyle="1" w:styleId="AppendixSubheading">
    <w:name w:val="Appendix Subheading"/>
    <w:basedOn w:val="Normal"/>
    <w:next w:val="Normal"/>
    <w:uiPriority w:val="14"/>
    <w:semiHidden/>
    <w:qFormat/>
    <w:rsid w:val="0088644F"/>
    <w:pPr>
      <w:spacing w:line="230" w:lineRule="atLeast"/>
      <w:jc w:val="left"/>
    </w:pPr>
    <w:rPr>
      <w:rFonts w:ascii="Arial" w:eastAsia="Times New Roman" w:hAnsi="Arial" w:cs="Times New Roman"/>
      <w:b/>
      <w:sz w:val="20"/>
      <w:szCs w:val="20"/>
    </w:rPr>
  </w:style>
  <w:style w:type="character" w:styleId="Emphasis">
    <w:name w:val="Emphasis"/>
    <w:basedOn w:val="DefaultParagraphFont"/>
    <w:uiPriority w:val="20"/>
    <w:semiHidden/>
    <w:qFormat/>
    <w:rsid w:val="00C94C6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footer" Target="footer7.xml"/><Relationship Id="rId39" Type="http://schemas.openxmlformats.org/officeDocument/2006/relationships/image" Target="media/image6.jpeg"/><Relationship Id="rId21" Type="http://schemas.openxmlformats.org/officeDocument/2006/relationships/hyperlink" Target="https://tepuna.mfe.govt.nz/otcs/cs.dll?func=ll&amp;objaction=overview&amp;objid=4968406https://www.mfe.govt.nz/publications/climate-change/national-climate-change-risk-assessment-new-zealand-main-report" TargetMode="External"/><Relationship Id="rId34" Type="http://schemas.openxmlformats.org/officeDocument/2006/relationships/hyperlink" Target="https://www.mfe.govt.nz/publications/climate-change/national-climate-change-risk-assessment-new-zealand-technical-report" TargetMode="External"/><Relationship Id="rId42" Type="http://schemas.openxmlformats.org/officeDocument/2006/relationships/diagramLayout" Target="diagrams/layout1.xml"/><Relationship Id="rId47" Type="http://schemas.openxmlformats.org/officeDocument/2006/relationships/image" Target="media/image9.jpeg"/><Relationship Id="rId50" Type="http://schemas.openxmlformats.org/officeDocument/2006/relationships/image" Target="media/image12.jpeg"/><Relationship Id="rId55" Type="http://schemas.openxmlformats.org/officeDocument/2006/relationships/image" Target="media/image15.jpeg"/><Relationship Id="rId63" Type="http://schemas.openxmlformats.org/officeDocument/2006/relationships/hyperlink" Target="https://www.fsb-tcfd.org/wp-content/uploads/2017/06/FINAL-2017-TCFD-Report-11052018.pdf" TargetMode="External"/><Relationship Id="rId68" Type="http://schemas.openxmlformats.org/officeDocument/2006/relationships/footer" Target="footer11.xml"/><Relationship Id="rId7" Type="http://schemas.openxmlformats.org/officeDocument/2006/relationships/endnotes" Target="endnotes.xml"/><Relationship Id="rId71"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https://www.mfe.govt.nz/publications/climate-change/national-climate-change-risk-assessment-new-zealand-main-repor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mfe.govt.nz/publications/climate-change/national-climate-change-risk-assessment-new-zealand-technical-report" TargetMode="External"/><Relationship Id="rId32" Type="http://schemas.openxmlformats.org/officeDocument/2006/relationships/hyperlink" Target="https://www.mfe.govt.nz/publications/climate-change/national-climate-change-risk-assessment-new-zealand-main-report" TargetMode="External"/><Relationship Id="rId37" Type="http://schemas.openxmlformats.org/officeDocument/2006/relationships/image" Target="media/image5.png"/><Relationship Id="rId40" Type="http://schemas.openxmlformats.org/officeDocument/2006/relationships/image" Target="media/image7.jpeg"/><Relationship Id="rId45" Type="http://schemas.microsoft.com/office/2007/relationships/diagramDrawing" Target="diagrams/drawing1.xml"/><Relationship Id="rId53" Type="http://schemas.openxmlformats.org/officeDocument/2006/relationships/hyperlink" Target="https://www.mfe.govt.nz/publications/climate-change/national-climate-change-risk-assessment-new-zealand-main-report" TargetMode="External"/><Relationship Id="rId58" Type="http://schemas.openxmlformats.org/officeDocument/2006/relationships/footer" Target="footer10.xml"/><Relationship Id="rId66" Type="http://schemas.openxmlformats.org/officeDocument/2006/relationships/hyperlink" Target="https://treasury.govt.nz/sites/default/files/2019-01/dp19-01.pdf" TargetMode="External"/><Relationship Id="rId5" Type="http://schemas.openxmlformats.org/officeDocument/2006/relationships/webSettings" Target="webSettings.xml"/><Relationship Id="rId15" Type="http://schemas.openxmlformats.org/officeDocument/2006/relationships/hyperlink" Target="http://www.mfe.govt.nz" TargetMode="External"/><Relationship Id="rId23" Type="http://schemas.openxmlformats.org/officeDocument/2006/relationships/hyperlink" Target="https://www.mfe.govt.nz/publications/climate-change/national-climate-change-risk-assessment-new-zealand-main-report" TargetMode="External"/><Relationship Id="rId28" Type="http://schemas.openxmlformats.org/officeDocument/2006/relationships/footer" Target="footer8.xml"/><Relationship Id="rId36" Type="http://schemas.openxmlformats.org/officeDocument/2006/relationships/image" Target="media/image4.png"/><Relationship Id="rId49" Type="http://schemas.openxmlformats.org/officeDocument/2006/relationships/image" Target="media/image11.png"/><Relationship Id="rId57" Type="http://schemas.openxmlformats.org/officeDocument/2006/relationships/footer" Target="footer9.xml"/><Relationship Id="rId61" Type="http://schemas.openxmlformats.org/officeDocument/2006/relationships/hyperlink" Target="https://niwa.co.nz/our-science/climate/information-and-resources/clivar/scenarios" TargetMode="External"/><Relationship Id="rId10" Type="http://schemas.openxmlformats.org/officeDocument/2006/relationships/header" Target="header2.xml"/><Relationship Id="rId19" Type="http://schemas.openxmlformats.org/officeDocument/2006/relationships/footer" Target="footer4.xml"/><Relationship Id="rId31" Type="http://schemas.openxmlformats.org/officeDocument/2006/relationships/hyperlink" Target="https://www.mfe.govt.nz/publications/climate-change/national-climate-change-risk-assessment-new-zealand-main-report" TargetMode="External"/><Relationship Id="rId44" Type="http://schemas.openxmlformats.org/officeDocument/2006/relationships/diagramColors" Target="diagrams/colors1.xml"/><Relationship Id="rId52" Type="http://schemas.openxmlformats.org/officeDocument/2006/relationships/image" Target="media/image14.png"/><Relationship Id="rId60" Type="http://schemas.openxmlformats.org/officeDocument/2006/relationships/image" Target="media/image17.jpeg"/><Relationship Id="rId65" Type="http://schemas.openxmlformats.org/officeDocument/2006/relationships/hyperlink" Target="https://treasury.govt.nz/sites/default/files/2019-05/b19-wellbeing-budget.pdf"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www.mfe.govt.nz/publications/climate-change/national-climate-change-risk-assessment-new-zealand-technical-report" TargetMode="External"/><Relationship Id="rId27" Type="http://schemas.openxmlformats.org/officeDocument/2006/relationships/image" Target="media/image3.jpeg"/><Relationship Id="rId30" Type="http://schemas.openxmlformats.org/officeDocument/2006/relationships/hyperlink" Target="https://www.mfe.govt.nz/publications/climate-change/national-climate-change-risk-assessment-new-zealand-technical-report" TargetMode="External"/><Relationship Id="rId35" Type="http://schemas.openxmlformats.org/officeDocument/2006/relationships/hyperlink" Target="https://www.mfe.govt.nz/publications/climate-change/national-climate-change-risk-assessment-new-zealand-technical-report" TargetMode="External"/><Relationship Id="rId43" Type="http://schemas.openxmlformats.org/officeDocument/2006/relationships/diagramQuickStyle" Target="diagrams/quickStyle1.xml"/><Relationship Id="rId48" Type="http://schemas.openxmlformats.org/officeDocument/2006/relationships/image" Target="media/image10.jpeg"/><Relationship Id="rId56" Type="http://schemas.openxmlformats.org/officeDocument/2006/relationships/hyperlink" Target="https://www.mfe.govt.nz/publications/climate-change/national-climate-change-risk-assessment-new-zealand-main-report" TargetMode="External"/><Relationship Id="rId64" Type="http://schemas.openxmlformats.org/officeDocument/2006/relationships/hyperlink" Target="https://treasury.govt.nz/information-and-services/nz-economy/living-standards/our-living-standards-framework"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3.jpeg"/><Relationship Id="rId72" Type="http://schemas.microsoft.com/office/2018/08/relationships/commentsExtensible" Target="commentsExtensi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footer" Target="footer6.xml"/><Relationship Id="rId33" Type="http://schemas.openxmlformats.org/officeDocument/2006/relationships/hyperlink" Target="https://www.mfe.govt.nz/publications/climate-change/national-climate-change-risk-assessment-new-zealand-main-report" TargetMode="External"/><Relationship Id="rId38" Type="http://schemas.openxmlformats.org/officeDocument/2006/relationships/hyperlink" Target="https://www.mfe.govt.nz/publications/climate-change/national-climate-change-risk-assessment-new-zealand-technical-report" TargetMode="External"/><Relationship Id="rId46" Type="http://schemas.openxmlformats.org/officeDocument/2006/relationships/image" Target="media/image8.jpeg"/><Relationship Id="rId59" Type="http://schemas.openxmlformats.org/officeDocument/2006/relationships/image" Target="media/image16.png"/><Relationship Id="rId67" Type="http://schemas.openxmlformats.org/officeDocument/2006/relationships/image" Target="media/image18.jpg"/><Relationship Id="rId20" Type="http://schemas.openxmlformats.org/officeDocument/2006/relationships/footer" Target="footer5.xml"/><Relationship Id="rId41" Type="http://schemas.openxmlformats.org/officeDocument/2006/relationships/diagramData" Target="diagrams/data1.xml"/><Relationship Id="rId54" Type="http://schemas.openxmlformats.org/officeDocument/2006/relationships/hyperlink" Target="https://www.mfe.govt.nz/publications/climate-change/national-climate-change-risk-assessment-new-zealand-main-report" TargetMode="External"/><Relationship Id="rId62" Type="http://schemas.openxmlformats.org/officeDocument/2006/relationships/hyperlink" Target="https://doi.org/10.1016/j.gloenvcha.2006.03.008" TargetMode="Externa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ipcc-data.org/guidelines/pages/glossary/glossary_c.html" TargetMode="External"/><Relationship Id="rId2" Type="http://schemas.openxmlformats.org/officeDocument/2006/relationships/hyperlink" Target="https://www.ipcc-data.org/guidelines/pages/glossary/glossary_a.html" TargetMode="External"/><Relationship Id="rId1" Type="http://schemas.openxmlformats.org/officeDocument/2006/relationships/hyperlink" Target="https://www.ipcc-data.org/guidelines/pages/glossary/glossary_t.html" TargetMode="External"/><Relationship Id="rId5" Type="http://schemas.openxmlformats.org/officeDocument/2006/relationships/hyperlink" Target="https://www.health.govt.nz/our-work/populations/M&#257;ori-health/M&#257;ori-health-models/M&#257;ori-health-models-te-whare-tapa-wha" TargetMode="External"/><Relationship Id="rId4" Type="http://schemas.openxmlformats.org/officeDocument/2006/relationships/hyperlink" Target="https://www.ipcc-data.org/guidelines/pages/glossary/glossary_c.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EFC8BC5-EB27-423A-A29D-6DF40848D656}" type="doc">
      <dgm:prSet loTypeId="urn:microsoft.com/office/officeart/2005/8/layout/process1" loCatId="process" qsTypeId="urn:microsoft.com/office/officeart/2005/8/quickstyle/simple1" qsCatId="simple" csTypeId="urn:microsoft.com/office/officeart/2005/8/colors/accent1_2" csCatId="accent1" phldr="1"/>
      <dgm:spPr/>
    </dgm:pt>
    <dgm:pt modelId="{FC59646C-25B5-448A-BCB5-3F6D64C537F5}">
      <dgm:prSet phldrT="[Text]" custT="1"/>
      <dgm:spPr/>
      <dgm:t>
        <a:bodyPr/>
        <a:lstStyle/>
        <a:p>
          <a:pPr algn="l">
            <a:buSzPts val="1000"/>
            <a:buFont typeface="Symbol" panose="05050102010706020507" pitchFamily="18" charset="2"/>
            <a:buNone/>
          </a:pPr>
          <a:r>
            <a:rPr lang="en-AU" sz="1100" b="1"/>
            <a:t>Inform: </a:t>
          </a:r>
        </a:p>
        <a:p>
          <a:pPr algn="l">
            <a:buSzPts val="1000"/>
            <a:buFont typeface="Symbol" panose="05050102010706020507" pitchFamily="18" charset="2"/>
            <a:buNone/>
          </a:pPr>
          <a:r>
            <a:rPr lang="en-AU" sz="1100"/>
            <a:t>Provide objective and current information to interested parties, to support stakeholders to better understand the wide range of risks that NZ will face due to climate change, and which risks need to be addressed most urgently.</a:t>
          </a:r>
          <a:endParaRPr lang="en-NZ" sz="1100"/>
        </a:p>
      </dgm:t>
    </dgm:pt>
    <dgm:pt modelId="{DA4B6FF9-297A-4D8A-AE9C-E385D4D2FA29}" type="parTrans" cxnId="{0A6D7073-63FF-4B57-BB47-99F5E9A65858}">
      <dgm:prSet/>
      <dgm:spPr/>
      <dgm:t>
        <a:bodyPr/>
        <a:lstStyle/>
        <a:p>
          <a:endParaRPr lang="en-NZ"/>
        </a:p>
      </dgm:t>
    </dgm:pt>
    <dgm:pt modelId="{FED06E08-D24C-4939-AF6A-AC019B1F6070}" type="sibTrans" cxnId="{0A6D7073-63FF-4B57-BB47-99F5E9A65858}">
      <dgm:prSet/>
      <dgm:spPr>
        <a:solidFill>
          <a:schemeClr val="accent3"/>
        </a:solidFill>
        <a:ln>
          <a:solidFill>
            <a:schemeClr val="accent3"/>
          </a:solidFill>
        </a:ln>
      </dgm:spPr>
      <dgm:t>
        <a:bodyPr/>
        <a:lstStyle/>
        <a:p>
          <a:endParaRPr lang="en-NZ"/>
        </a:p>
      </dgm:t>
    </dgm:pt>
    <dgm:pt modelId="{7E88AE21-C258-49C9-8889-6A772A5F8CB3}">
      <dgm:prSet phldrT="[Text]" custT="1"/>
      <dgm:spPr/>
      <dgm:t>
        <a:bodyPr/>
        <a:lstStyle/>
        <a:p>
          <a:pPr algn="l"/>
          <a:r>
            <a:rPr lang="en-AU" sz="1100" b="1"/>
            <a:t>Consult and involve:</a:t>
          </a:r>
        </a:p>
        <a:p>
          <a:pPr algn="l"/>
          <a:r>
            <a:rPr lang="en-AU" sz="1100"/>
            <a:t>Work with identified stakeholders to ensure that their concerns and information are factored into the risk assessment, to identify gaps in the assessment and provide feedback on how input influenced the assessment. </a:t>
          </a:r>
          <a:endParaRPr lang="en-NZ" sz="1100"/>
        </a:p>
      </dgm:t>
    </dgm:pt>
    <dgm:pt modelId="{EF9B279F-A51C-4460-A630-904D4D8B2610}" type="parTrans" cxnId="{6F048D91-6EF2-4729-AD48-CF33A36517FE}">
      <dgm:prSet/>
      <dgm:spPr/>
      <dgm:t>
        <a:bodyPr/>
        <a:lstStyle/>
        <a:p>
          <a:endParaRPr lang="en-NZ"/>
        </a:p>
      </dgm:t>
    </dgm:pt>
    <dgm:pt modelId="{55D073DF-67EC-480A-9BE1-0999349E500B}" type="sibTrans" cxnId="{6F048D91-6EF2-4729-AD48-CF33A36517FE}">
      <dgm:prSet/>
      <dgm:spPr/>
      <dgm:t>
        <a:bodyPr/>
        <a:lstStyle/>
        <a:p>
          <a:endParaRPr lang="en-NZ"/>
        </a:p>
      </dgm:t>
    </dgm:pt>
    <dgm:pt modelId="{FBAABC1E-BD6F-4AF2-8B6D-478B309E1607}" type="pres">
      <dgm:prSet presAssocID="{EEFC8BC5-EB27-423A-A29D-6DF40848D656}" presName="Name0" presStyleCnt="0">
        <dgm:presLayoutVars>
          <dgm:dir/>
          <dgm:resizeHandles val="exact"/>
        </dgm:presLayoutVars>
      </dgm:prSet>
      <dgm:spPr/>
    </dgm:pt>
    <dgm:pt modelId="{68A2D82F-D2EA-4C4F-8846-45AECCB0BBF7}" type="pres">
      <dgm:prSet presAssocID="{FC59646C-25B5-448A-BCB5-3F6D64C537F5}" presName="node" presStyleLbl="node1" presStyleIdx="0" presStyleCnt="2">
        <dgm:presLayoutVars>
          <dgm:bulletEnabled val="1"/>
        </dgm:presLayoutVars>
      </dgm:prSet>
      <dgm:spPr/>
      <dgm:t>
        <a:bodyPr/>
        <a:lstStyle/>
        <a:p>
          <a:endParaRPr lang="en-US"/>
        </a:p>
      </dgm:t>
    </dgm:pt>
    <dgm:pt modelId="{1151F66F-C875-4953-ADD1-D6A5B1703354}" type="pres">
      <dgm:prSet presAssocID="{FED06E08-D24C-4939-AF6A-AC019B1F6070}" presName="sibTrans" presStyleLbl="sibTrans2D1" presStyleIdx="0" presStyleCnt="1"/>
      <dgm:spPr/>
      <dgm:t>
        <a:bodyPr/>
        <a:lstStyle/>
        <a:p>
          <a:endParaRPr lang="en-US"/>
        </a:p>
      </dgm:t>
    </dgm:pt>
    <dgm:pt modelId="{15F499B3-BC6A-4714-85A0-CD007DA8F326}" type="pres">
      <dgm:prSet presAssocID="{FED06E08-D24C-4939-AF6A-AC019B1F6070}" presName="connectorText" presStyleLbl="sibTrans2D1" presStyleIdx="0" presStyleCnt="1"/>
      <dgm:spPr/>
      <dgm:t>
        <a:bodyPr/>
        <a:lstStyle/>
        <a:p>
          <a:endParaRPr lang="en-US"/>
        </a:p>
      </dgm:t>
    </dgm:pt>
    <dgm:pt modelId="{114C3EB4-1506-4D7C-A5BB-0C4B2329B9B2}" type="pres">
      <dgm:prSet presAssocID="{7E88AE21-C258-49C9-8889-6A772A5F8CB3}" presName="node" presStyleLbl="node1" presStyleIdx="1" presStyleCnt="2">
        <dgm:presLayoutVars>
          <dgm:bulletEnabled val="1"/>
        </dgm:presLayoutVars>
      </dgm:prSet>
      <dgm:spPr/>
      <dgm:t>
        <a:bodyPr/>
        <a:lstStyle/>
        <a:p>
          <a:endParaRPr lang="en-US"/>
        </a:p>
      </dgm:t>
    </dgm:pt>
  </dgm:ptLst>
  <dgm:cxnLst>
    <dgm:cxn modelId="{0A6D7073-63FF-4B57-BB47-99F5E9A65858}" srcId="{EEFC8BC5-EB27-423A-A29D-6DF40848D656}" destId="{FC59646C-25B5-448A-BCB5-3F6D64C537F5}" srcOrd="0" destOrd="0" parTransId="{DA4B6FF9-297A-4D8A-AE9C-E385D4D2FA29}" sibTransId="{FED06E08-D24C-4939-AF6A-AC019B1F6070}"/>
    <dgm:cxn modelId="{FBC022A8-0AC4-496F-9623-9479D6BE194B}" type="presOf" srcId="{FED06E08-D24C-4939-AF6A-AC019B1F6070}" destId="{15F499B3-BC6A-4714-85A0-CD007DA8F326}" srcOrd="1" destOrd="0" presId="urn:microsoft.com/office/officeart/2005/8/layout/process1"/>
    <dgm:cxn modelId="{D5D06F1B-028A-4517-8168-668E0964F6EF}" type="presOf" srcId="{EEFC8BC5-EB27-423A-A29D-6DF40848D656}" destId="{FBAABC1E-BD6F-4AF2-8B6D-478B309E1607}" srcOrd="0" destOrd="0" presId="urn:microsoft.com/office/officeart/2005/8/layout/process1"/>
    <dgm:cxn modelId="{6F048D91-6EF2-4729-AD48-CF33A36517FE}" srcId="{EEFC8BC5-EB27-423A-A29D-6DF40848D656}" destId="{7E88AE21-C258-49C9-8889-6A772A5F8CB3}" srcOrd="1" destOrd="0" parTransId="{EF9B279F-A51C-4460-A630-904D4D8B2610}" sibTransId="{55D073DF-67EC-480A-9BE1-0999349E500B}"/>
    <dgm:cxn modelId="{220073C6-F668-476B-B42F-A0FA07B5E948}" type="presOf" srcId="{FC59646C-25B5-448A-BCB5-3F6D64C537F5}" destId="{68A2D82F-D2EA-4C4F-8846-45AECCB0BBF7}" srcOrd="0" destOrd="0" presId="urn:microsoft.com/office/officeart/2005/8/layout/process1"/>
    <dgm:cxn modelId="{53F03181-B496-420B-8FB4-A9949ADF102C}" type="presOf" srcId="{7E88AE21-C258-49C9-8889-6A772A5F8CB3}" destId="{114C3EB4-1506-4D7C-A5BB-0C4B2329B9B2}" srcOrd="0" destOrd="0" presId="urn:microsoft.com/office/officeart/2005/8/layout/process1"/>
    <dgm:cxn modelId="{9D26B111-1D83-40CF-B8DB-2E012118DDA3}" type="presOf" srcId="{FED06E08-D24C-4939-AF6A-AC019B1F6070}" destId="{1151F66F-C875-4953-ADD1-D6A5B1703354}" srcOrd="0" destOrd="0" presId="urn:microsoft.com/office/officeart/2005/8/layout/process1"/>
    <dgm:cxn modelId="{48D26326-B1EB-469B-8A33-916B30502F41}" type="presParOf" srcId="{FBAABC1E-BD6F-4AF2-8B6D-478B309E1607}" destId="{68A2D82F-D2EA-4C4F-8846-45AECCB0BBF7}" srcOrd="0" destOrd="0" presId="urn:microsoft.com/office/officeart/2005/8/layout/process1"/>
    <dgm:cxn modelId="{C5837539-E980-4EC1-BBBA-3A75F360F7F3}" type="presParOf" srcId="{FBAABC1E-BD6F-4AF2-8B6D-478B309E1607}" destId="{1151F66F-C875-4953-ADD1-D6A5B1703354}" srcOrd="1" destOrd="0" presId="urn:microsoft.com/office/officeart/2005/8/layout/process1"/>
    <dgm:cxn modelId="{14A464A2-307F-434A-A98E-8964DA16F6FD}" type="presParOf" srcId="{1151F66F-C875-4953-ADD1-D6A5B1703354}" destId="{15F499B3-BC6A-4714-85A0-CD007DA8F326}" srcOrd="0" destOrd="0" presId="urn:microsoft.com/office/officeart/2005/8/layout/process1"/>
    <dgm:cxn modelId="{12067E08-D084-458A-90B4-363DB93787E1}" type="presParOf" srcId="{FBAABC1E-BD6F-4AF2-8B6D-478B309E1607}" destId="{114C3EB4-1506-4D7C-A5BB-0C4B2329B9B2}" srcOrd="2" destOrd="0" presId="urn:microsoft.com/office/officeart/2005/8/layout/process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A2D82F-D2EA-4C4F-8846-45AECCB0BBF7}">
      <dsp:nvSpPr>
        <dsp:cNvPr id="0" name=""/>
        <dsp:cNvSpPr/>
      </dsp:nvSpPr>
      <dsp:spPr>
        <a:xfrm>
          <a:off x="919" y="90995"/>
          <a:ext cx="1959796" cy="18373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buSzPts val="1000"/>
            <a:buFont typeface="Symbol" panose="05050102010706020507" pitchFamily="18" charset="2"/>
            <a:buNone/>
          </a:pPr>
          <a:r>
            <a:rPr lang="en-AU" sz="1100" b="1" kern="1200"/>
            <a:t>Inform: </a:t>
          </a:r>
        </a:p>
        <a:p>
          <a:pPr lvl="0" algn="l" defTabSz="488950">
            <a:lnSpc>
              <a:spcPct val="90000"/>
            </a:lnSpc>
            <a:spcBef>
              <a:spcPct val="0"/>
            </a:spcBef>
            <a:spcAft>
              <a:spcPct val="35000"/>
            </a:spcAft>
            <a:buSzPts val="1000"/>
            <a:buFont typeface="Symbol" panose="05050102010706020507" pitchFamily="18" charset="2"/>
            <a:buNone/>
          </a:pPr>
          <a:r>
            <a:rPr lang="en-AU" sz="1100" kern="1200"/>
            <a:t>Provide objective and current information to interested parties, to support stakeholders to better understand the wide range of risks that NZ will face due to climate change, and which risks need to be addressed most urgently.</a:t>
          </a:r>
          <a:endParaRPr lang="en-NZ" sz="1100" kern="1200"/>
        </a:p>
      </dsp:txBody>
      <dsp:txXfrm>
        <a:off x="54732" y="144808"/>
        <a:ext cx="1852170" cy="1729683"/>
      </dsp:txXfrm>
    </dsp:sp>
    <dsp:sp modelId="{1151F66F-C875-4953-ADD1-D6A5B1703354}">
      <dsp:nvSpPr>
        <dsp:cNvPr id="0" name=""/>
        <dsp:cNvSpPr/>
      </dsp:nvSpPr>
      <dsp:spPr>
        <a:xfrm>
          <a:off x="2156695" y="766635"/>
          <a:ext cx="415476" cy="486029"/>
        </a:xfrm>
        <a:prstGeom prst="rightArrow">
          <a:avLst>
            <a:gd name="adj1" fmla="val 60000"/>
            <a:gd name="adj2" fmla="val 50000"/>
          </a:avLst>
        </a:prstGeom>
        <a:solidFill>
          <a:schemeClr val="accent3"/>
        </a:solidFill>
        <a:ln>
          <a:solidFill>
            <a:schemeClr val="accent3"/>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89000">
            <a:lnSpc>
              <a:spcPct val="90000"/>
            </a:lnSpc>
            <a:spcBef>
              <a:spcPct val="0"/>
            </a:spcBef>
            <a:spcAft>
              <a:spcPct val="35000"/>
            </a:spcAft>
          </a:pPr>
          <a:endParaRPr lang="en-NZ" sz="2000" kern="1200"/>
        </a:p>
      </dsp:txBody>
      <dsp:txXfrm>
        <a:off x="2156695" y="863841"/>
        <a:ext cx="290833" cy="291617"/>
      </dsp:txXfrm>
    </dsp:sp>
    <dsp:sp modelId="{114C3EB4-1506-4D7C-A5BB-0C4B2329B9B2}">
      <dsp:nvSpPr>
        <dsp:cNvPr id="0" name=""/>
        <dsp:cNvSpPr/>
      </dsp:nvSpPr>
      <dsp:spPr>
        <a:xfrm>
          <a:off x="2744634" y="90995"/>
          <a:ext cx="1959796" cy="18373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t>Consult and involve:</a:t>
          </a:r>
        </a:p>
        <a:p>
          <a:pPr lvl="0" algn="l" defTabSz="488950">
            <a:lnSpc>
              <a:spcPct val="90000"/>
            </a:lnSpc>
            <a:spcBef>
              <a:spcPct val="0"/>
            </a:spcBef>
            <a:spcAft>
              <a:spcPct val="35000"/>
            </a:spcAft>
          </a:pPr>
          <a:r>
            <a:rPr lang="en-AU" sz="1100" kern="1200"/>
            <a:t>Work with identified stakeholders to ensure that their concerns and information are factored into the risk assessment, to identify gaps in the assessment and provide feedback on how input influenced the assessment. </a:t>
          </a:r>
          <a:endParaRPr lang="en-NZ" sz="1100" kern="1200"/>
        </a:p>
      </dsp:txBody>
      <dsp:txXfrm>
        <a:off x="2798447" y="144808"/>
        <a:ext cx="1852170" cy="172968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FE">
  <a:themeElements>
    <a:clrScheme name="MFE colours">
      <a:dk1>
        <a:sysClr val="windowText" lastClr="000000"/>
      </a:dk1>
      <a:lt1>
        <a:sysClr val="window" lastClr="FFFFFF"/>
      </a:lt1>
      <a:dk2>
        <a:srgbClr val="1F497D"/>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382042-1BFE-450A-A29D-C39E21751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27183</Words>
  <Characters>154945</Characters>
  <Application>Microsoft Office Word</Application>
  <DocSecurity>0</DocSecurity>
  <Lines>1291</Lines>
  <Paragraphs>363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2020-07-21T22:49:00Z</dcterms:created>
  <dcterms:modified xsi:type="dcterms:W3CDTF">2020-07-28T00:16:00Z</dcterms:modified>
</cp:coreProperties>
</file>