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9223" w14:textId="345C28C9" w:rsidR="00C76DA1" w:rsidRPr="005373EB" w:rsidRDefault="00176C71">
      <w:pPr>
        <w:rPr>
          <w:rFonts w:ascii="Georgia" w:eastAsiaTheme="majorEastAsia" w:hAnsi="Georgia" w:cstheme="majorBidi"/>
          <w:b/>
          <w:bCs/>
          <w:color w:val="1B556B"/>
          <w:sz w:val="52"/>
          <w:szCs w:val="28"/>
          <w:lang w:eastAsia="en-NZ"/>
        </w:rPr>
      </w:pPr>
      <w:r>
        <w:rPr>
          <w:rFonts w:ascii="Georgia" w:eastAsiaTheme="majorEastAsia" w:hAnsi="Georgia" w:cstheme="majorBidi"/>
          <w:b/>
          <w:bCs/>
          <w:noProof/>
          <w:color w:val="1B556B"/>
          <w:sz w:val="48"/>
          <w:szCs w:val="28"/>
          <w:lang w:eastAsia="en-NZ"/>
        </w:rPr>
        <w:drawing>
          <wp:anchor distT="0" distB="0" distL="114300" distR="114300" simplePos="0" relativeHeight="251658240" behindDoc="0" locked="0" layoutInCell="1" allowOverlap="1" wp14:anchorId="47190788" wp14:editId="19EBEEDE">
            <wp:simplePos x="0" y="0"/>
            <wp:positionH relativeFrom="column">
              <wp:posOffset>-1108710</wp:posOffset>
            </wp:positionH>
            <wp:positionV relativeFrom="paragraph">
              <wp:posOffset>-748665</wp:posOffset>
            </wp:positionV>
            <wp:extent cx="7648575" cy="108051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9003" cy="1080573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DA1" w:rsidRPr="005373EB">
        <w:br w:type="page"/>
      </w:r>
    </w:p>
    <w:p w14:paraId="32BAE8FF" w14:textId="77777777" w:rsidR="00C76DA1" w:rsidRPr="005373EB" w:rsidRDefault="00C76DA1" w:rsidP="00C76DA1">
      <w:pPr>
        <w:pStyle w:val="Imprint"/>
        <w:spacing w:before="0" w:after="0"/>
        <w:rPr>
          <w:b/>
        </w:rPr>
      </w:pPr>
      <w:r w:rsidRPr="005373EB">
        <w:rPr>
          <w:b/>
        </w:rPr>
        <w:lastRenderedPageBreak/>
        <w:t>Disclaimer</w:t>
      </w:r>
    </w:p>
    <w:p w14:paraId="6D9DDD7F" w14:textId="77777777" w:rsidR="00B635F5" w:rsidRDefault="00B635F5" w:rsidP="00B635F5">
      <w:pPr>
        <w:pStyle w:val="Bullets"/>
        <w:numPr>
          <w:ilvl w:val="0"/>
          <w:numId w:val="0"/>
        </w:numPr>
      </w:pPr>
      <w:bookmarkStart w:id="0" w:name="_Hlk103078660"/>
      <w:r w:rsidRPr="008F26BC">
        <w:t>The information in this publication is, according to the Ministry for the Environment’s best efforts, accurate at the time of publication.</w:t>
      </w:r>
    </w:p>
    <w:p w14:paraId="5C4752B0" w14:textId="77777777" w:rsidR="00B635F5" w:rsidRDefault="00B635F5" w:rsidP="00B635F5">
      <w:pPr>
        <w:pStyle w:val="Bullets"/>
        <w:tabs>
          <w:tab w:val="clear" w:pos="360"/>
        </w:tabs>
      </w:pPr>
      <w:r>
        <w:t xml:space="preserve">It is not legal advice. Users should take specific advice from qualified professionals on the information in this publication. </w:t>
      </w:r>
    </w:p>
    <w:p w14:paraId="373C0606" w14:textId="77777777" w:rsidR="00B635F5" w:rsidRDefault="00B635F5" w:rsidP="00B635F5">
      <w:pPr>
        <w:pStyle w:val="Bullets"/>
        <w:tabs>
          <w:tab w:val="clear" w:pos="360"/>
        </w:tabs>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0D9C490C" w14:textId="1CAF76B8" w:rsidR="00976389" w:rsidRDefault="00B635F5" w:rsidP="002132EE">
      <w:pPr>
        <w:pStyle w:val="Bullets"/>
        <w:tabs>
          <w:tab w:val="clear" w:pos="360"/>
        </w:tabs>
        <w:spacing w:after="240"/>
      </w:pPr>
      <w:r>
        <w:t>All references to websites, organisations or people not within the Ministry are for convenience only and should not be taken as endorsement of those websites or information contained in those websites nor of organisations or people referred to.</w:t>
      </w:r>
      <w:bookmarkEnd w:id="0"/>
    </w:p>
    <w:p w14:paraId="126A2752" w14:textId="77777777" w:rsidR="00B635F5" w:rsidRPr="005373EB" w:rsidRDefault="00B635F5" w:rsidP="00B635F5">
      <w:pPr>
        <w:pStyle w:val="Bullets"/>
        <w:numPr>
          <w:ilvl w:val="0"/>
          <w:numId w:val="0"/>
        </w:numPr>
        <w:spacing w:after="240"/>
        <w:ind w:left="397"/>
      </w:pPr>
    </w:p>
    <w:p w14:paraId="4A97FD78" w14:textId="1E899671" w:rsidR="00C76DA1" w:rsidRPr="005373EB" w:rsidRDefault="00C76DA1" w:rsidP="002132EE">
      <w:pPr>
        <w:pStyle w:val="Imprint"/>
      </w:pPr>
      <w:r w:rsidRPr="005373EB">
        <w:t xml:space="preserve">This document may be cited as: Ministry for the Environment. 2022. </w:t>
      </w:r>
      <w:r w:rsidR="00B635F5" w:rsidRPr="00B635F5">
        <w:rPr>
          <w:i/>
          <w:iCs/>
        </w:rPr>
        <w:t xml:space="preserve">Aotearoa New Zealand's first emissions reduction plan: Technical </w:t>
      </w:r>
      <w:r w:rsidR="00176C71">
        <w:rPr>
          <w:i/>
          <w:iCs/>
        </w:rPr>
        <w:t xml:space="preserve">information </w:t>
      </w:r>
      <w:r w:rsidR="00B635F5" w:rsidRPr="00B635F5">
        <w:rPr>
          <w:i/>
          <w:iCs/>
        </w:rPr>
        <w:t>annex</w:t>
      </w:r>
      <w:r w:rsidRPr="005373EB">
        <w:t>. Wellington: Ministry for the Environment.</w:t>
      </w:r>
    </w:p>
    <w:p w14:paraId="43E3D450" w14:textId="77777777" w:rsidR="00C76DA1" w:rsidRPr="005373EB" w:rsidRDefault="00C76DA1" w:rsidP="00C76DA1">
      <w:pPr>
        <w:pStyle w:val="Imprint"/>
      </w:pPr>
    </w:p>
    <w:p w14:paraId="1654D43C" w14:textId="77777777" w:rsidR="00C76DA1" w:rsidRPr="005373EB" w:rsidRDefault="00C76DA1" w:rsidP="00C76DA1">
      <w:pPr>
        <w:pStyle w:val="Imprint"/>
      </w:pPr>
    </w:p>
    <w:p w14:paraId="02EF26FB" w14:textId="77777777" w:rsidR="00C76DA1" w:rsidRPr="005373EB" w:rsidRDefault="00C76DA1" w:rsidP="00C76DA1">
      <w:pPr>
        <w:pStyle w:val="Imprint"/>
      </w:pPr>
    </w:p>
    <w:p w14:paraId="2BB71811" w14:textId="77777777" w:rsidR="00C76DA1" w:rsidRPr="005373EB" w:rsidRDefault="00C76DA1" w:rsidP="00C76DA1">
      <w:pPr>
        <w:pStyle w:val="Imprint"/>
      </w:pPr>
    </w:p>
    <w:p w14:paraId="2A231673" w14:textId="77777777" w:rsidR="00C76DA1" w:rsidRPr="005373EB" w:rsidRDefault="00C76DA1" w:rsidP="00C76DA1">
      <w:pPr>
        <w:pStyle w:val="Imprint"/>
      </w:pPr>
    </w:p>
    <w:p w14:paraId="1F211531" w14:textId="77777777" w:rsidR="00C76DA1" w:rsidRPr="005373EB" w:rsidRDefault="00C76DA1" w:rsidP="00C76DA1">
      <w:pPr>
        <w:pStyle w:val="Imprint"/>
      </w:pPr>
    </w:p>
    <w:p w14:paraId="1A397959" w14:textId="77777777" w:rsidR="00176C71" w:rsidRPr="005373EB" w:rsidRDefault="00176C71" w:rsidP="00C76DA1">
      <w:pPr>
        <w:pStyle w:val="Imprint"/>
      </w:pPr>
    </w:p>
    <w:p w14:paraId="76F149A1" w14:textId="77777777" w:rsidR="00DA6DC4" w:rsidRPr="005373EB" w:rsidRDefault="00DA6DC4" w:rsidP="00C76DA1">
      <w:pPr>
        <w:pStyle w:val="Imprint"/>
      </w:pPr>
    </w:p>
    <w:p w14:paraId="6F859594" w14:textId="77777777" w:rsidR="00976389" w:rsidRPr="005373EB" w:rsidRDefault="00976389" w:rsidP="00C76DA1">
      <w:pPr>
        <w:pStyle w:val="Imprint"/>
      </w:pPr>
    </w:p>
    <w:p w14:paraId="5D2D832F" w14:textId="77777777" w:rsidR="00C76DA1" w:rsidRPr="005373EB" w:rsidRDefault="00C76DA1" w:rsidP="00976389">
      <w:pPr>
        <w:pStyle w:val="Imprint"/>
        <w:spacing w:after="0"/>
      </w:pPr>
    </w:p>
    <w:p w14:paraId="360E7FCF" w14:textId="77777777" w:rsidR="00C76DA1" w:rsidRPr="005373EB" w:rsidRDefault="00C76DA1" w:rsidP="0039032E">
      <w:pPr>
        <w:pStyle w:val="Imprint"/>
        <w:spacing w:before="0"/>
      </w:pPr>
      <w:r w:rsidRPr="005373EB">
        <w:t>Published in May 2022 by the</w:t>
      </w:r>
      <w:r w:rsidRPr="005373EB">
        <w:br/>
        <w:t xml:space="preserve">Ministry for the Environment </w:t>
      </w:r>
      <w:r w:rsidRPr="005373EB">
        <w:br/>
        <w:t>Manatū Mō Te Taiao</w:t>
      </w:r>
      <w:r w:rsidRPr="005373EB">
        <w:br/>
        <w:t>PO Box 10362, Wellington 6143, New Zealand</w:t>
      </w:r>
    </w:p>
    <w:p w14:paraId="654A0AF4" w14:textId="0AD35E23" w:rsidR="00C76DA1" w:rsidRPr="005373EB" w:rsidRDefault="00C76DA1" w:rsidP="0039032E">
      <w:pPr>
        <w:pStyle w:val="Imprint"/>
      </w:pPr>
      <w:r w:rsidRPr="005373EB">
        <w:t>ISBN: 978-1-99-102538-8</w:t>
      </w:r>
    </w:p>
    <w:p w14:paraId="64931BEA" w14:textId="68C6DD54" w:rsidR="00C76DA1" w:rsidRPr="005373EB" w:rsidRDefault="00C76DA1" w:rsidP="0039032E">
      <w:pPr>
        <w:pStyle w:val="Imprint"/>
      </w:pPr>
      <w:r w:rsidRPr="005373EB">
        <w:t>Publication number: ME 1650</w:t>
      </w:r>
    </w:p>
    <w:p w14:paraId="7AA2C1B6" w14:textId="49B33D37" w:rsidR="00C76DA1" w:rsidRPr="005373EB" w:rsidRDefault="00C76DA1" w:rsidP="0039032E">
      <w:pPr>
        <w:pStyle w:val="Imprint"/>
      </w:pPr>
      <w:r w:rsidRPr="005373EB">
        <w:t>© Crown copyright New Zealand 202</w:t>
      </w:r>
      <w:r w:rsidR="00FD59CE">
        <w:t>2</w:t>
      </w:r>
    </w:p>
    <w:p w14:paraId="50EE5DED" w14:textId="3B76E21A" w:rsidR="00C76DA1" w:rsidRPr="005373EB" w:rsidRDefault="00C76DA1" w:rsidP="00C76DA1">
      <w:pPr>
        <w:pStyle w:val="Imprint"/>
        <w:spacing w:before="240" w:after="0"/>
        <w:rPr>
          <w:color w:val="32809C"/>
        </w:rPr>
        <w:sectPr w:rsidR="00C76DA1" w:rsidRPr="005373EB" w:rsidSect="00881B70">
          <w:headerReference w:type="even" r:id="rId12"/>
          <w:headerReference w:type="default" r:id="rId13"/>
          <w:footerReference w:type="even" r:id="rId14"/>
          <w:footerReference w:type="default" r:id="rId15"/>
          <w:headerReference w:type="first" r:id="rId16"/>
          <w:footerReference w:type="first" r:id="rId17"/>
          <w:pgSz w:w="11907" w:h="16840" w:code="9"/>
          <w:pgMar w:top="1134" w:right="1701" w:bottom="1134" w:left="1701" w:header="567" w:footer="567" w:gutter="0"/>
          <w:cols w:space="720"/>
          <w:docGrid w:linePitch="299"/>
        </w:sectPr>
      </w:pPr>
      <w:r w:rsidRPr="005373EB">
        <w:t xml:space="preserve">This document is available on the Ministry for the Environment website: </w:t>
      </w:r>
      <w:hyperlink r:id="rId18" w:history="1">
        <w:r w:rsidRPr="005373EB">
          <w:rPr>
            <w:rStyle w:val="Hyperlink"/>
          </w:rPr>
          <w:t>environment.govt.nz</w:t>
        </w:r>
      </w:hyperlink>
      <w:r w:rsidR="009A5EC7" w:rsidRPr="005373EB">
        <w:rPr>
          <w:rStyle w:val="Hyperlink"/>
        </w:rPr>
        <w:t xml:space="preserve"> </w:t>
      </w:r>
    </w:p>
    <w:p w14:paraId="20C1C3DC" w14:textId="1ECDCFEF" w:rsidR="00CD679A" w:rsidRPr="005373EB" w:rsidRDefault="00CD679A" w:rsidP="00CD679A">
      <w:pPr>
        <w:pStyle w:val="Heading"/>
      </w:pPr>
      <w:r w:rsidRPr="005373EB">
        <w:lastRenderedPageBreak/>
        <w:t>Contents</w:t>
      </w:r>
    </w:p>
    <w:p w14:paraId="3102B60E" w14:textId="738AB217" w:rsidR="00761C40" w:rsidRDefault="00CD679A">
      <w:pPr>
        <w:pStyle w:val="TOC1"/>
        <w:rPr>
          <w:rFonts w:asciiTheme="minorHAnsi" w:hAnsiTheme="minorHAnsi"/>
          <w:noProof/>
        </w:rPr>
      </w:pPr>
      <w:r w:rsidRPr="005373EB">
        <w:fldChar w:fldCharType="begin"/>
      </w:r>
      <w:r w:rsidRPr="005373EB">
        <w:instrText xml:space="preserve"> TOC \o "2-2" \h \z \t "Heading 1,1" </w:instrText>
      </w:r>
      <w:r w:rsidRPr="005373EB">
        <w:fldChar w:fldCharType="separate"/>
      </w:r>
      <w:hyperlink w:anchor="_Toc103773248" w:history="1">
        <w:r w:rsidR="00761C40" w:rsidRPr="00AA5E85">
          <w:rPr>
            <w:rStyle w:val="Hyperlink"/>
            <w:noProof/>
          </w:rPr>
          <w:t>Introduction</w:t>
        </w:r>
        <w:r w:rsidR="00761C40">
          <w:rPr>
            <w:noProof/>
            <w:webHidden/>
          </w:rPr>
          <w:tab/>
        </w:r>
        <w:r w:rsidR="00761C40">
          <w:rPr>
            <w:noProof/>
            <w:webHidden/>
          </w:rPr>
          <w:fldChar w:fldCharType="begin"/>
        </w:r>
        <w:r w:rsidR="00761C40">
          <w:rPr>
            <w:noProof/>
            <w:webHidden/>
          </w:rPr>
          <w:instrText xml:space="preserve"> PAGEREF _Toc103773248 \h </w:instrText>
        </w:r>
        <w:r w:rsidR="00761C40">
          <w:rPr>
            <w:noProof/>
            <w:webHidden/>
          </w:rPr>
        </w:r>
        <w:r w:rsidR="00761C40">
          <w:rPr>
            <w:noProof/>
            <w:webHidden/>
          </w:rPr>
          <w:fldChar w:fldCharType="separate"/>
        </w:r>
        <w:r w:rsidR="00761C40">
          <w:rPr>
            <w:noProof/>
            <w:webHidden/>
          </w:rPr>
          <w:t>5</w:t>
        </w:r>
        <w:r w:rsidR="00761C40">
          <w:rPr>
            <w:noProof/>
            <w:webHidden/>
          </w:rPr>
          <w:fldChar w:fldCharType="end"/>
        </w:r>
      </w:hyperlink>
    </w:p>
    <w:p w14:paraId="500EF67A" w14:textId="43CD20B6" w:rsidR="00761C40" w:rsidRDefault="00FF47C9">
      <w:pPr>
        <w:pStyle w:val="TOC1"/>
        <w:rPr>
          <w:rFonts w:asciiTheme="minorHAnsi" w:hAnsiTheme="minorHAnsi"/>
          <w:noProof/>
        </w:rPr>
      </w:pPr>
      <w:hyperlink w:anchor="_Toc103773249" w:history="1">
        <w:r w:rsidR="00761C40" w:rsidRPr="00AA5E85">
          <w:rPr>
            <w:rStyle w:val="Hyperlink"/>
            <w:noProof/>
          </w:rPr>
          <w:t>Emissions estimates</w:t>
        </w:r>
        <w:r w:rsidR="00761C40">
          <w:rPr>
            <w:noProof/>
            <w:webHidden/>
          </w:rPr>
          <w:tab/>
        </w:r>
        <w:r w:rsidR="00761C40">
          <w:rPr>
            <w:noProof/>
            <w:webHidden/>
          </w:rPr>
          <w:fldChar w:fldCharType="begin"/>
        </w:r>
        <w:r w:rsidR="00761C40">
          <w:rPr>
            <w:noProof/>
            <w:webHidden/>
          </w:rPr>
          <w:instrText xml:space="preserve"> PAGEREF _Toc103773249 \h </w:instrText>
        </w:r>
        <w:r w:rsidR="00761C40">
          <w:rPr>
            <w:noProof/>
            <w:webHidden/>
          </w:rPr>
        </w:r>
        <w:r w:rsidR="00761C40">
          <w:rPr>
            <w:noProof/>
            <w:webHidden/>
          </w:rPr>
          <w:fldChar w:fldCharType="separate"/>
        </w:r>
        <w:r w:rsidR="00761C40">
          <w:rPr>
            <w:noProof/>
            <w:webHidden/>
          </w:rPr>
          <w:t>6</w:t>
        </w:r>
        <w:r w:rsidR="00761C40">
          <w:rPr>
            <w:noProof/>
            <w:webHidden/>
          </w:rPr>
          <w:fldChar w:fldCharType="end"/>
        </w:r>
      </w:hyperlink>
    </w:p>
    <w:p w14:paraId="6912736B" w14:textId="3823BA63" w:rsidR="00761C40" w:rsidRDefault="00FF47C9">
      <w:pPr>
        <w:pStyle w:val="TOC2"/>
        <w:rPr>
          <w:rFonts w:asciiTheme="minorHAnsi" w:hAnsiTheme="minorHAnsi"/>
          <w:noProof/>
        </w:rPr>
      </w:pPr>
      <w:hyperlink w:anchor="_Toc103773250" w:history="1">
        <w:r w:rsidR="00761C40" w:rsidRPr="00AA5E85">
          <w:rPr>
            <w:rStyle w:val="Hyperlink"/>
            <w:noProof/>
          </w:rPr>
          <w:t>Estimated emissions abatement</w:t>
        </w:r>
        <w:r w:rsidR="00761C40">
          <w:rPr>
            <w:noProof/>
            <w:webHidden/>
          </w:rPr>
          <w:tab/>
        </w:r>
        <w:r w:rsidR="00761C40">
          <w:rPr>
            <w:noProof/>
            <w:webHidden/>
          </w:rPr>
          <w:fldChar w:fldCharType="begin"/>
        </w:r>
        <w:r w:rsidR="00761C40">
          <w:rPr>
            <w:noProof/>
            <w:webHidden/>
          </w:rPr>
          <w:instrText xml:space="preserve"> PAGEREF _Toc103773250 \h </w:instrText>
        </w:r>
        <w:r w:rsidR="00761C40">
          <w:rPr>
            <w:noProof/>
            <w:webHidden/>
          </w:rPr>
        </w:r>
        <w:r w:rsidR="00761C40">
          <w:rPr>
            <w:noProof/>
            <w:webHidden/>
          </w:rPr>
          <w:fldChar w:fldCharType="separate"/>
        </w:r>
        <w:r w:rsidR="00761C40">
          <w:rPr>
            <w:noProof/>
            <w:webHidden/>
          </w:rPr>
          <w:t>6</w:t>
        </w:r>
        <w:r w:rsidR="00761C40">
          <w:rPr>
            <w:noProof/>
            <w:webHidden/>
          </w:rPr>
          <w:fldChar w:fldCharType="end"/>
        </w:r>
      </w:hyperlink>
    </w:p>
    <w:p w14:paraId="03E2CC8E" w14:textId="2B45068B" w:rsidR="00761C40" w:rsidRDefault="00FF47C9">
      <w:pPr>
        <w:pStyle w:val="TOC2"/>
        <w:rPr>
          <w:rFonts w:asciiTheme="minorHAnsi" w:hAnsiTheme="minorHAnsi"/>
          <w:noProof/>
        </w:rPr>
      </w:pPr>
      <w:hyperlink w:anchor="_Toc103773251" w:history="1">
        <w:r w:rsidR="00761C40" w:rsidRPr="00AA5E85">
          <w:rPr>
            <w:rStyle w:val="Hyperlink"/>
            <w:noProof/>
          </w:rPr>
          <w:t>Estimated emissions levels against emissions budgets</w:t>
        </w:r>
        <w:r w:rsidR="00761C40">
          <w:rPr>
            <w:noProof/>
            <w:webHidden/>
          </w:rPr>
          <w:tab/>
        </w:r>
        <w:r w:rsidR="00761C40">
          <w:rPr>
            <w:noProof/>
            <w:webHidden/>
          </w:rPr>
          <w:fldChar w:fldCharType="begin"/>
        </w:r>
        <w:r w:rsidR="00761C40">
          <w:rPr>
            <w:noProof/>
            <w:webHidden/>
          </w:rPr>
          <w:instrText xml:space="preserve"> PAGEREF _Toc103773251 \h </w:instrText>
        </w:r>
        <w:r w:rsidR="00761C40">
          <w:rPr>
            <w:noProof/>
            <w:webHidden/>
          </w:rPr>
        </w:r>
        <w:r w:rsidR="00761C40">
          <w:rPr>
            <w:noProof/>
            <w:webHidden/>
          </w:rPr>
          <w:fldChar w:fldCharType="separate"/>
        </w:r>
        <w:r w:rsidR="00761C40">
          <w:rPr>
            <w:noProof/>
            <w:webHidden/>
          </w:rPr>
          <w:t>8</w:t>
        </w:r>
        <w:r w:rsidR="00761C40">
          <w:rPr>
            <w:noProof/>
            <w:webHidden/>
          </w:rPr>
          <w:fldChar w:fldCharType="end"/>
        </w:r>
      </w:hyperlink>
    </w:p>
    <w:p w14:paraId="2ECE20A7" w14:textId="59A980E2" w:rsidR="00761C40" w:rsidRDefault="00FF47C9">
      <w:pPr>
        <w:pStyle w:val="TOC1"/>
        <w:rPr>
          <w:rFonts w:asciiTheme="minorHAnsi" w:hAnsiTheme="minorHAnsi"/>
          <w:noProof/>
        </w:rPr>
      </w:pPr>
      <w:hyperlink w:anchor="_Toc103773252" w:history="1">
        <w:r w:rsidR="00761C40" w:rsidRPr="00AA5E85">
          <w:rPr>
            <w:rStyle w:val="Hyperlink"/>
            <w:noProof/>
          </w:rPr>
          <w:t>Approach</w:t>
        </w:r>
        <w:r w:rsidR="00761C40">
          <w:rPr>
            <w:noProof/>
            <w:webHidden/>
          </w:rPr>
          <w:tab/>
        </w:r>
        <w:r w:rsidR="00761C40">
          <w:rPr>
            <w:noProof/>
            <w:webHidden/>
          </w:rPr>
          <w:fldChar w:fldCharType="begin"/>
        </w:r>
        <w:r w:rsidR="00761C40">
          <w:rPr>
            <w:noProof/>
            <w:webHidden/>
          </w:rPr>
          <w:instrText xml:space="preserve"> PAGEREF _Toc103773252 \h </w:instrText>
        </w:r>
        <w:r w:rsidR="00761C40">
          <w:rPr>
            <w:noProof/>
            <w:webHidden/>
          </w:rPr>
        </w:r>
        <w:r w:rsidR="00761C40">
          <w:rPr>
            <w:noProof/>
            <w:webHidden/>
          </w:rPr>
          <w:fldChar w:fldCharType="separate"/>
        </w:r>
        <w:r w:rsidR="00761C40">
          <w:rPr>
            <w:noProof/>
            <w:webHidden/>
          </w:rPr>
          <w:t>10</w:t>
        </w:r>
        <w:r w:rsidR="00761C40">
          <w:rPr>
            <w:noProof/>
            <w:webHidden/>
          </w:rPr>
          <w:fldChar w:fldCharType="end"/>
        </w:r>
      </w:hyperlink>
    </w:p>
    <w:p w14:paraId="34C781EE" w14:textId="211B23A6" w:rsidR="00761C40" w:rsidRDefault="00FF47C9">
      <w:pPr>
        <w:pStyle w:val="TOC2"/>
        <w:rPr>
          <w:rFonts w:asciiTheme="minorHAnsi" w:hAnsiTheme="minorHAnsi"/>
          <w:noProof/>
        </w:rPr>
      </w:pPr>
      <w:hyperlink w:anchor="_Toc103773253" w:history="1">
        <w:r w:rsidR="00761C40" w:rsidRPr="00AA5E85">
          <w:rPr>
            <w:rStyle w:val="Hyperlink"/>
            <w:noProof/>
          </w:rPr>
          <w:t>Greenhouse gas emissions projections</w:t>
        </w:r>
        <w:r w:rsidR="00761C40">
          <w:rPr>
            <w:noProof/>
            <w:webHidden/>
          </w:rPr>
          <w:tab/>
        </w:r>
        <w:r w:rsidR="00761C40">
          <w:rPr>
            <w:noProof/>
            <w:webHidden/>
          </w:rPr>
          <w:fldChar w:fldCharType="begin"/>
        </w:r>
        <w:r w:rsidR="00761C40">
          <w:rPr>
            <w:noProof/>
            <w:webHidden/>
          </w:rPr>
          <w:instrText xml:space="preserve"> PAGEREF _Toc103773253 \h </w:instrText>
        </w:r>
        <w:r w:rsidR="00761C40">
          <w:rPr>
            <w:noProof/>
            <w:webHidden/>
          </w:rPr>
        </w:r>
        <w:r w:rsidR="00761C40">
          <w:rPr>
            <w:noProof/>
            <w:webHidden/>
          </w:rPr>
          <w:fldChar w:fldCharType="separate"/>
        </w:r>
        <w:r w:rsidR="00761C40">
          <w:rPr>
            <w:noProof/>
            <w:webHidden/>
          </w:rPr>
          <w:t>10</w:t>
        </w:r>
        <w:r w:rsidR="00761C40">
          <w:rPr>
            <w:noProof/>
            <w:webHidden/>
          </w:rPr>
          <w:fldChar w:fldCharType="end"/>
        </w:r>
      </w:hyperlink>
    </w:p>
    <w:p w14:paraId="64D06A70" w14:textId="29666F44" w:rsidR="00761C40" w:rsidRDefault="00FF47C9">
      <w:pPr>
        <w:pStyle w:val="TOC2"/>
        <w:rPr>
          <w:rFonts w:asciiTheme="minorHAnsi" w:hAnsiTheme="minorHAnsi"/>
          <w:noProof/>
        </w:rPr>
      </w:pPr>
      <w:hyperlink w:anchor="_Toc103773254" w:history="1">
        <w:r w:rsidR="00761C40" w:rsidRPr="00AA5E85">
          <w:rPr>
            <w:rStyle w:val="Hyperlink"/>
            <w:noProof/>
          </w:rPr>
          <w:t>Differences from the Climate Change Commission’s analysis</w:t>
        </w:r>
        <w:r w:rsidR="00761C40">
          <w:rPr>
            <w:noProof/>
            <w:webHidden/>
          </w:rPr>
          <w:tab/>
        </w:r>
        <w:r w:rsidR="00761C40">
          <w:rPr>
            <w:noProof/>
            <w:webHidden/>
          </w:rPr>
          <w:fldChar w:fldCharType="begin"/>
        </w:r>
        <w:r w:rsidR="00761C40">
          <w:rPr>
            <w:noProof/>
            <w:webHidden/>
          </w:rPr>
          <w:instrText xml:space="preserve"> PAGEREF _Toc103773254 \h </w:instrText>
        </w:r>
        <w:r w:rsidR="00761C40">
          <w:rPr>
            <w:noProof/>
            <w:webHidden/>
          </w:rPr>
        </w:r>
        <w:r w:rsidR="00761C40">
          <w:rPr>
            <w:noProof/>
            <w:webHidden/>
          </w:rPr>
          <w:fldChar w:fldCharType="separate"/>
        </w:r>
        <w:r w:rsidR="00761C40">
          <w:rPr>
            <w:noProof/>
            <w:webHidden/>
          </w:rPr>
          <w:t>11</w:t>
        </w:r>
        <w:r w:rsidR="00761C40">
          <w:rPr>
            <w:noProof/>
            <w:webHidden/>
          </w:rPr>
          <w:fldChar w:fldCharType="end"/>
        </w:r>
      </w:hyperlink>
    </w:p>
    <w:p w14:paraId="2A9048DE" w14:textId="519FB659" w:rsidR="00761C40" w:rsidRDefault="00FF47C9">
      <w:pPr>
        <w:pStyle w:val="TOC2"/>
        <w:rPr>
          <w:rFonts w:asciiTheme="minorHAnsi" w:hAnsiTheme="minorHAnsi"/>
          <w:noProof/>
        </w:rPr>
      </w:pPr>
      <w:hyperlink w:anchor="_Toc103773255" w:history="1">
        <w:r w:rsidR="00761C40" w:rsidRPr="00AA5E85">
          <w:rPr>
            <w:rStyle w:val="Hyperlink"/>
            <w:noProof/>
          </w:rPr>
          <w:t>Emissions budgets</w:t>
        </w:r>
        <w:r w:rsidR="00761C40">
          <w:rPr>
            <w:noProof/>
            <w:webHidden/>
          </w:rPr>
          <w:tab/>
        </w:r>
        <w:r w:rsidR="00761C40">
          <w:rPr>
            <w:noProof/>
            <w:webHidden/>
          </w:rPr>
          <w:fldChar w:fldCharType="begin"/>
        </w:r>
        <w:r w:rsidR="00761C40">
          <w:rPr>
            <w:noProof/>
            <w:webHidden/>
          </w:rPr>
          <w:instrText xml:space="preserve"> PAGEREF _Toc103773255 \h </w:instrText>
        </w:r>
        <w:r w:rsidR="00761C40">
          <w:rPr>
            <w:noProof/>
            <w:webHidden/>
          </w:rPr>
        </w:r>
        <w:r w:rsidR="00761C40">
          <w:rPr>
            <w:noProof/>
            <w:webHidden/>
          </w:rPr>
          <w:fldChar w:fldCharType="separate"/>
        </w:r>
        <w:r w:rsidR="00761C40">
          <w:rPr>
            <w:noProof/>
            <w:webHidden/>
          </w:rPr>
          <w:t>12</w:t>
        </w:r>
        <w:r w:rsidR="00761C40">
          <w:rPr>
            <w:noProof/>
            <w:webHidden/>
          </w:rPr>
          <w:fldChar w:fldCharType="end"/>
        </w:r>
      </w:hyperlink>
    </w:p>
    <w:p w14:paraId="7C4841FD" w14:textId="24670A29" w:rsidR="00761C40" w:rsidRDefault="00FF47C9">
      <w:pPr>
        <w:pStyle w:val="TOC1"/>
        <w:rPr>
          <w:rFonts w:asciiTheme="minorHAnsi" w:hAnsiTheme="minorHAnsi"/>
          <w:noProof/>
        </w:rPr>
      </w:pPr>
      <w:hyperlink w:anchor="_Toc103773256" w:history="1">
        <w:r w:rsidR="00761C40" w:rsidRPr="00AA5E85">
          <w:rPr>
            <w:rStyle w:val="Hyperlink"/>
            <w:noProof/>
          </w:rPr>
          <w:t>Modelling limitations and uncertainty</w:t>
        </w:r>
        <w:r w:rsidR="00761C40">
          <w:rPr>
            <w:noProof/>
            <w:webHidden/>
          </w:rPr>
          <w:tab/>
        </w:r>
        <w:r w:rsidR="00761C40">
          <w:rPr>
            <w:noProof/>
            <w:webHidden/>
          </w:rPr>
          <w:fldChar w:fldCharType="begin"/>
        </w:r>
        <w:r w:rsidR="00761C40">
          <w:rPr>
            <w:noProof/>
            <w:webHidden/>
          </w:rPr>
          <w:instrText xml:space="preserve"> PAGEREF _Toc103773256 \h </w:instrText>
        </w:r>
        <w:r w:rsidR="00761C40">
          <w:rPr>
            <w:noProof/>
            <w:webHidden/>
          </w:rPr>
        </w:r>
        <w:r w:rsidR="00761C40">
          <w:rPr>
            <w:noProof/>
            <w:webHidden/>
          </w:rPr>
          <w:fldChar w:fldCharType="separate"/>
        </w:r>
        <w:r w:rsidR="00761C40">
          <w:rPr>
            <w:noProof/>
            <w:webHidden/>
          </w:rPr>
          <w:t>13</w:t>
        </w:r>
        <w:r w:rsidR="00761C40">
          <w:rPr>
            <w:noProof/>
            <w:webHidden/>
          </w:rPr>
          <w:fldChar w:fldCharType="end"/>
        </w:r>
      </w:hyperlink>
    </w:p>
    <w:p w14:paraId="7B1882D7" w14:textId="579CF29B" w:rsidR="00761C40" w:rsidRDefault="00FF47C9">
      <w:pPr>
        <w:pStyle w:val="TOC2"/>
        <w:rPr>
          <w:rFonts w:asciiTheme="minorHAnsi" w:hAnsiTheme="minorHAnsi"/>
          <w:noProof/>
        </w:rPr>
      </w:pPr>
      <w:hyperlink w:anchor="_Toc103773257" w:history="1">
        <w:r w:rsidR="00761C40" w:rsidRPr="00AA5E85">
          <w:rPr>
            <w:rStyle w:val="Hyperlink"/>
            <w:noProof/>
          </w:rPr>
          <w:t>Modelling limitations</w:t>
        </w:r>
        <w:r w:rsidR="00761C40">
          <w:rPr>
            <w:noProof/>
            <w:webHidden/>
          </w:rPr>
          <w:tab/>
        </w:r>
        <w:r w:rsidR="00761C40">
          <w:rPr>
            <w:noProof/>
            <w:webHidden/>
          </w:rPr>
          <w:fldChar w:fldCharType="begin"/>
        </w:r>
        <w:r w:rsidR="00761C40">
          <w:rPr>
            <w:noProof/>
            <w:webHidden/>
          </w:rPr>
          <w:instrText xml:space="preserve"> PAGEREF _Toc103773257 \h </w:instrText>
        </w:r>
        <w:r w:rsidR="00761C40">
          <w:rPr>
            <w:noProof/>
            <w:webHidden/>
          </w:rPr>
        </w:r>
        <w:r w:rsidR="00761C40">
          <w:rPr>
            <w:noProof/>
            <w:webHidden/>
          </w:rPr>
          <w:fldChar w:fldCharType="separate"/>
        </w:r>
        <w:r w:rsidR="00761C40">
          <w:rPr>
            <w:noProof/>
            <w:webHidden/>
          </w:rPr>
          <w:t>13</w:t>
        </w:r>
        <w:r w:rsidR="00761C40">
          <w:rPr>
            <w:noProof/>
            <w:webHidden/>
          </w:rPr>
          <w:fldChar w:fldCharType="end"/>
        </w:r>
      </w:hyperlink>
    </w:p>
    <w:p w14:paraId="76605CBA" w14:textId="3238A947" w:rsidR="00761C40" w:rsidRDefault="00FF47C9">
      <w:pPr>
        <w:pStyle w:val="TOC2"/>
        <w:rPr>
          <w:rFonts w:asciiTheme="minorHAnsi" w:hAnsiTheme="minorHAnsi"/>
          <w:noProof/>
        </w:rPr>
      </w:pPr>
      <w:hyperlink w:anchor="_Toc103773258" w:history="1">
        <w:r w:rsidR="00761C40" w:rsidRPr="00AA5E85">
          <w:rPr>
            <w:rStyle w:val="Hyperlink"/>
            <w:noProof/>
          </w:rPr>
          <w:t>Uncertainty</w:t>
        </w:r>
        <w:r w:rsidR="00761C40">
          <w:rPr>
            <w:noProof/>
            <w:webHidden/>
          </w:rPr>
          <w:tab/>
        </w:r>
        <w:r w:rsidR="00761C40">
          <w:rPr>
            <w:noProof/>
            <w:webHidden/>
          </w:rPr>
          <w:fldChar w:fldCharType="begin"/>
        </w:r>
        <w:r w:rsidR="00761C40">
          <w:rPr>
            <w:noProof/>
            <w:webHidden/>
          </w:rPr>
          <w:instrText xml:space="preserve"> PAGEREF _Toc103773258 \h </w:instrText>
        </w:r>
        <w:r w:rsidR="00761C40">
          <w:rPr>
            <w:noProof/>
            <w:webHidden/>
          </w:rPr>
        </w:r>
        <w:r w:rsidR="00761C40">
          <w:rPr>
            <w:noProof/>
            <w:webHidden/>
          </w:rPr>
          <w:fldChar w:fldCharType="separate"/>
        </w:r>
        <w:r w:rsidR="00761C40">
          <w:rPr>
            <w:noProof/>
            <w:webHidden/>
          </w:rPr>
          <w:t>14</w:t>
        </w:r>
        <w:r w:rsidR="00761C40">
          <w:rPr>
            <w:noProof/>
            <w:webHidden/>
          </w:rPr>
          <w:fldChar w:fldCharType="end"/>
        </w:r>
      </w:hyperlink>
    </w:p>
    <w:p w14:paraId="69D237B1" w14:textId="4618C743" w:rsidR="00761C40" w:rsidRDefault="00FF47C9">
      <w:pPr>
        <w:pStyle w:val="TOC1"/>
        <w:rPr>
          <w:rFonts w:asciiTheme="minorHAnsi" w:hAnsiTheme="minorHAnsi"/>
          <w:noProof/>
        </w:rPr>
      </w:pPr>
      <w:hyperlink w:anchor="_Toc103773259" w:history="1">
        <w:r w:rsidR="00761C40" w:rsidRPr="00AA5E85">
          <w:rPr>
            <w:rStyle w:val="Hyperlink"/>
            <w:noProof/>
          </w:rPr>
          <w:t>Accounting approach and global warming potentials</w:t>
        </w:r>
        <w:r w:rsidR="00761C40">
          <w:rPr>
            <w:noProof/>
            <w:webHidden/>
          </w:rPr>
          <w:tab/>
        </w:r>
        <w:r w:rsidR="00761C40">
          <w:rPr>
            <w:noProof/>
            <w:webHidden/>
          </w:rPr>
          <w:fldChar w:fldCharType="begin"/>
        </w:r>
        <w:r w:rsidR="00761C40">
          <w:rPr>
            <w:noProof/>
            <w:webHidden/>
          </w:rPr>
          <w:instrText xml:space="preserve"> PAGEREF _Toc103773259 \h </w:instrText>
        </w:r>
        <w:r w:rsidR="00761C40">
          <w:rPr>
            <w:noProof/>
            <w:webHidden/>
          </w:rPr>
        </w:r>
        <w:r w:rsidR="00761C40">
          <w:rPr>
            <w:noProof/>
            <w:webHidden/>
          </w:rPr>
          <w:fldChar w:fldCharType="separate"/>
        </w:r>
        <w:r w:rsidR="00761C40">
          <w:rPr>
            <w:noProof/>
            <w:webHidden/>
          </w:rPr>
          <w:t>16</w:t>
        </w:r>
        <w:r w:rsidR="00761C40">
          <w:rPr>
            <w:noProof/>
            <w:webHidden/>
          </w:rPr>
          <w:fldChar w:fldCharType="end"/>
        </w:r>
      </w:hyperlink>
    </w:p>
    <w:p w14:paraId="40AF5F56" w14:textId="2E28D446" w:rsidR="00761C40" w:rsidRDefault="00FF47C9">
      <w:pPr>
        <w:pStyle w:val="TOC2"/>
        <w:rPr>
          <w:rFonts w:asciiTheme="minorHAnsi" w:hAnsiTheme="minorHAnsi"/>
          <w:noProof/>
        </w:rPr>
      </w:pPr>
      <w:hyperlink w:anchor="_Toc103773260" w:history="1">
        <w:r w:rsidR="00761C40" w:rsidRPr="00AA5E85">
          <w:rPr>
            <w:rStyle w:val="Hyperlink"/>
            <w:noProof/>
          </w:rPr>
          <w:t>Accounting approach</w:t>
        </w:r>
        <w:r w:rsidR="00761C40">
          <w:rPr>
            <w:noProof/>
            <w:webHidden/>
          </w:rPr>
          <w:tab/>
        </w:r>
        <w:r w:rsidR="00761C40">
          <w:rPr>
            <w:noProof/>
            <w:webHidden/>
          </w:rPr>
          <w:fldChar w:fldCharType="begin"/>
        </w:r>
        <w:r w:rsidR="00761C40">
          <w:rPr>
            <w:noProof/>
            <w:webHidden/>
          </w:rPr>
          <w:instrText xml:space="preserve"> PAGEREF _Toc103773260 \h </w:instrText>
        </w:r>
        <w:r w:rsidR="00761C40">
          <w:rPr>
            <w:noProof/>
            <w:webHidden/>
          </w:rPr>
        </w:r>
        <w:r w:rsidR="00761C40">
          <w:rPr>
            <w:noProof/>
            <w:webHidden/>
          </w:rPr>
          <w:fldChar w:fldCharType="separate"/>
        </w:r>
        <w:r w:rsidR="00761C40">
          <w:rPr>
            <w:noProof/>
            <w:webHidden/>
          </w:rPr>
          <w:t>16</w:t>
        </w:r>
        <w:r w:rsidR="00761C40">
          <w:rPr>
            <w:noProof/>
            <w:webHidden/>
          </w:rPr>
          <w:fldChar w:fldCharType="end"/>
        </w:r>
      </w:hyperlink>
    </w:p>
    <w:p w14:paraId="22E93E83" w14:textId="581CF76A" w:rsidR="00761C40" w:rsidRDefault="00FF47C9">
      <w:pPr>
        <w:pStyle w:val="TOC2"/>
        <w:rPr>
          <w:rFonts w:asciiTheme="minorHAnsi" w:hAnsiTheme="minorHAnsi"/>
          <w:noProof/>
        </w:rPr>
      </w:pPr>
      <w:hyperlink w:anchor="_Toc103773261" w:history="1">
        <w:r w:rsidR="00761C40" w:rsidRPr="00AA5E85">
          <w:rPr>
            <w:rStyle w:val="Hyperlink"/>
            <w:noProof/>
          </w:rPr>
          <w:t>Global warming potentials</w:t>
        </w:r>
        <w:r w:rsidR="00761C40">
          <w:rPr>
            <w:noProof/>
            <w:webHidden/>
          </w:rPr>
          <w:tab/>
        </w:r>
        <w:r w:rsidR="00761C40">
          <w:rPr>
            <w:noProof/>
            <w:webHidden/>
          </w:rPr>
          <w:fldChar w:fldCharType="begin"/>
        </w:r>
        <w:r w:rsidR="00761C40">
          <w:rPr>
            <w:noProof/>
            <w:webHidden/>
          </w:rPr>
          <w:instrText xml:space="preserve"> PAGEREF _Toc103773261 \h </w:instrText>
        </w:r>
        <w:r w:rsidR="00761C40">
          <w:rPr>
            <w:noProof/>
            <w:webHidden/>
          </w:rPr>
        </w:r>
        <w:r w:rsidR="00761C40">
          <w:rPr>
            <w:noProof/>
            <w:webHidden/>
          </w:rPr>
          <w:fldChar w:fldCharType="separate"/>
        </w:r>
        <w:r w:rsidR="00761C40">
          <w:rPr>
            <w:noProof/>
            <w:webHidden/>
          </w:rPr>
          <w:t>17</w:t>
        </w:r>
        <w:r w:rsidR="00761C40">
          <w:rPr>
            <w:noProof/>
            <w:webHidden/>
          </w:rPr>
          <w:fldChar w:fldCharType="end"/>
        </w:r>
      </w:hyperlink>
    </w:p>
    <w:p w14:paraId="690FDA04" w14:textId="5A1E23AB" w:rsidR="00761C40" w:rsidRDefault="00FF47C9">
      <w:pPr>
        <w:pStyle w:val="TOC1"/>
        <w:rPr>
          <w:rFonts w:asciiTheme="minorHAnsi" w:hAnsiTheme="minorHAnsi"/>
          <w:noProof/>
        </w:rPr>
      </w:pPr>
      <w:hyperlink w:anchor="_Toc103773262" w:history="1">
        <w:r w:rsidR="00761C40" w:rsidRPr="00AA5E85">
          <w:rPr>
            <w:rStyle w:val="Hyperlink"/>
            <w:noProof/>
          </w:rPr>
          <w:t>Summary of methods and assumptions</w:t>
        </w:r>
        <w:r w:rsidR="00761C40">
          <w:rPr>
            <w:noProof/>
            <w:webHidden/>
          </w:rPr>
          <w:tab/>
        </w:r>
        <w:r w:rsidR="00761C40">
          <w:rPr>
            <w:noProof/>
            <w:webHidden/>
          </w:rPr>
          <w:fldChar w:fldCharType="begin"/>
        </w:r>
        <w:r w:rsidR="00761C40">
          <w:rPr>
            <w:noProof/>
            <w:webHidden/>
          </w:rPr>
          <w:instrText xml:space="preserve"> PAGEREF _Toc103773262 \h </w:instrText>
        </w:r>
        <w:r w:rsidR="00761C40">
          <w:rPr>
            <w:noProof/>
            <w:webHidden/>
          </w:rPr>
        </w:r>
        <w:r w:rsidR="00761C40">
          <w:rPr>
            <w:noProof/>
            <w:webHidden/>
          </w:rPr>
          <w:fldChar w:fldCharType="separate"/>
        </w:r>
        <w:r w:rsidR="00761C40">
          <w:rPr>
            <w:noProof/>
            <w:webHidden/>
          </w:rPr>
          <w:t>18</w:t>
        </w:r>
        <w:r w:rsidR="00761C40">
          <w:rPr>
            <w:noProof/>
            <w:webHidden/>
          </w:rPr>
          <w:fldChar w:fldCharType="end"/>
        </w:r>
      </w:hyperlink>
    </w:p>
    <w:p w14:paraId="202BAEA9" w14:textId="0A4E7662" w:rsidR="00761C40" w:rsidRDefault="00FF47C9">
      <w:pPr>
        <w:pStyle w:val="TOC2"/>
        <w:rPr>
          <w:rFonts w:asciiTheme="minorHAnsi" w:hAnsiTheme="minorHAnsi"/>
          <w:noProof/>
        </w:rPr>
      </w:pPr>
      <w:hyperlink w:anchor="_Toc103773263" w:history="1">
        <w:r w:rsidR="00761C40" w:rsidRPr="00AA5E85">
          <w:rPr>
            <w:rStyle w:val="Hyperlink"/>
            <w:noProof/>
          </w:rPr>
          <w:t>Transport</w:t>
        </w:r>
        <w:r w:rsidR="00761C40">
          <w:rPr>
            <w:noProof/>
            <w:webHidden/>
          </w:rPr>
          <w:tab/>
        </w:r>
        <w:r w:rsidR="00761C40">
          <w:rPr>
            <w:noProof/>
            <w:webHidden/>
          </w:rPr>
          <w:fldChar w:fldCharType="begin"/>
        </w:r>
        <w:r w:rsidR="00761C40">
          <w:rPr>
            <w:noProof/>
            <w:webHidden/>
          </w:rPr>
          <w:instrText xml:space="preserve"> PAGEREF _Toc103773263 \h </w:instrText>
        </w:r>
        <w:r w:rsidR="00761C40">
          <w:rPr>
            <w:noProof/>
            <w:webHidden/>
          </w:rPr>
        </w:r>
        <w:r w:rsidR="00761C40">
          <w:rPr>
            <w:noProof/>
            <w:webHidden/>
          </w:rPr>
          <w:fldChar w:fldCharType="separate"/>
        </w:r>
        <w:r w:rsidR="00761C40">
          <w:rPr>
            <w:noProof/>
            <w:webHidden/>
          </w:rPr>
          <w:t>18</w:t>
        </w:r>
        <w:r w:rsidR="00761C40">
          <w:rPr>
            <w:noProof/>
            <w:webHidden/>
          </w:rPr>
          <w:fldChar w:fldCharType="end"/>
        </w:r>
      </w:hyperlink>
    </w:p>
    <w:p w14:paraId="46D84FC1" w14:textId="2DD11EF4" w:rsidR="00761C40" w:rsidRDefault="00FF47C9">
      <w:pPr>
        <w:pStyle w:val="TOC2"/>
        <w:rPr>
          <w:rFonts w:asciiTheme="minorHAnsi" w:hAnsiTheme="minorHAnsi"/>
          <w:noProof/>
        </w:rPr>
      </w:pPr>
      <w:hyperlink w:anchor="_Toc103773264" w:history="1">
        <w:r w:rsidR="00761C40" w:rsidRPr="00AA5E85">
          <w:rPr>
            <w:rStyle w:val="Hyperlink"/>
            <w:noProof/>
          </w:rPr>
          <w:t>Energy and industry</w:t>
        </w:r>
        <w:r w:rsidR="00761C40">
          <w:rPr>
            <w:noProof/>
            <w:webHidden/>
          </w:rPr>
          <w:tab/>
        </w:r>
        <w:r w:rsidR="00761C40">
          <w:rPr>
            <w:noProof/>
            <w:webHidden/>
          </w:rPr>
          <w:fldChar w:fldCharType="begin"/>
        </w:r>
        <w:r w:rsidR="00761C40">
          <w:rPr>
            <w:noProof/>
            <w:webHidden/>
          </w:rPr>
          <w:instrText xml:space="preserve"> PAGEREF _Toc103773264 \h </w:instrText>
        </w:r>
        <w:r w:rsidR="00761C40">
          <w:rPr>
            <w:noProof/>
            <w:webHidden/>
          </w:rPr>
        </w:r>
        <w:r w:rsidR="00761C40">
          <w:rPr>
            <w:noProof/>
            <w:webHidden/>
          </w:rPr>
          <w:fldChar w:fldCharType="separate"/>
        </w:r>
        <w:r w:rsidR="00761C40">
          <w:rPr>
            <w:noProof/>
            <w:webHidden/>
          </w:rPr>
          <w:t>23</w:t>
        </w:r>
        <w:r w:rsidR="00761C40">
          <w:rPr>
            <w:noProof/>
            <w:webHidden/>
          </w:rPr>
          <w:fldChar w:fldCharType="end"/>
        </w:r>
      </w:hyperlink>
    </w:p>
    <w:p w14:paraId="73786817" w14:textId="2FE229E1" w:rsidR="00761C40" w:rsidRDefault="00FF47C9">
      <w:pPr>
        <w:pStyle w:val="TOC2"/>
        <w:rPr>
          <w:rFonts w:asciiTheme="minorHAnsi" w:hAnsiTheme="minorHAnsi"/>
          <w:noProof/>
        </w:rPr>
      </w:pPr>
      <w:hyperlink w:anchor="_Toc103773265" w:history="1">
        <w:r w:rsidR="00761C40" w:rsidRPr="00AA5E85">
          <w:rPr>
            <w:rStyle w:val="Hyperlink"/>
            <w:noProof/>
          </w:rPr>
          <w:t>Building and construction</w:t>
        </w:r>
        <w:r w:rsidR="00761C40">
          <w:rPr>
            <w:noProof/>
            <w:webHidden/>
          </w:rPr>
          <w:tab/>
        </w:r>
        <w:r w:rsidR="00761C40">
          <w:rPr>
            <w:noProof/>
            <w:webHidden/>
          </w:rPr>
          <w:fldChar w:fldCharType="begin"/>
        </w:r>
        <w:r w:rsidR="00761C40">
          <w:rPr>
            <w:noProof/>
            <w:webHidden/>
          </w:rPr>
          <w:instrText xml:space="preserve"> PAGEREF _Toc103773265 \h </w:instrText>
        </w:r>
        <w:r w:rsidR="00761C40">
          <w:rPr>
            <w:noProof/>
            <w:webHidden/>
          </w:rPr>
        </w:r>
        <w:r w:rsidR="00761C40">
          <w:rPr>
            <w:noProof/>
            <w:webHidden/>
          </w:rPr>
          <w:fldChar w:fldCharType="separate"/>
        </w:r>
        <w:r w:rsidR="00761C40">
          <w:rPr>
            <w:noProof/>
            <w:webHidden/>
          </w:rPr>
          <w:t>25</w:t>
        </w:r>
        <w:r w:rsidR="00761C40">
          <w:rPr>
            <w:noProof/>
            <w:webHidden/>
          </w:rPr>
          <w:fldChar w:fldCharType="end"/>
        </w:r>
      </w:hyperlink>
    </w:p>
    <w:p w14:paraId="6D3E3769" w14:textId="540BDE5F" w:rsidR="00761C40" w:rsidRDefault="00FF47C9">
      <w:pPr>
        <w:pStyle w:val="TOC2"/>
        <w:rPr>
          <w:rFonts w:asciiTheme="minorHAnsi" w:hAnsiTheme="minorHAnsi"/>
          <w:noProof/>
        </w:rPr>
      </w:pPr>
      <w:hyperlink w:anchor="_Toc103773266" w:history="1">
        <w:r w:rsidR="00761C40" w:rsidRPr="00AA5E85">
          <w:rPr>
            <w:rStyle w:val="Hyperlink"/>
            <w:noProof/>
          </w:rPr>
          <w:t>Waste</w:t>
        </w:r>
        <w:r w:rsidR="00761C40">
          <w:rPr>
            <w:noProof/>
            <w:webHidden/>
          </w:rPr>
          <w:tab/>
        </w:r>
        <w:r w:rsidR="00761C40">
          <w:rPr>
            <w:noProof/>
            <w:webHidden/>
          </w:rPr>
          <w:fldChar w:fldCharType="begin"/>
        </w:r>
        <w:r w:rsidR="00761C40">
          <w:rPr>
            <w:noProof/>
            <w:webHidden/>
          </w:rPr>
          <w:instrText xml:space="preserve"> PAGEREF _Toc103773266 \h </w:instrText>
        </w:r>
        <w:r w:rsidR="00761C40">
          <w:rPr>
            <w:noProof/>
            <w:webHidden/>
          </w:rPr>
        </w:r>
        <w:r w:rsidR="00761C40">
          <w:rPr>
            <w:noProof/>
            <w:webHidden/>
          </w:rPr>
          <w:fldChar w:fldCharType="separate"/>
        </w:r>
        <w:r w:rsidR="00761C40">
          <w:rPr>
            <w:noProof/>
            <w:webHidden/>
          </w:rPr>
          <w:t>27</w:t>
        </w:r>
        <w:r w:rsidR="00761C40">
          <w:rPr>
            <w:noProof/>
            <w:webHidden/>
          </w:rPr>
          <w:fldChar w:fldCharType="end"/>
        </w:r>
      </w:hyperlink>
    </w:p>
    <w:p w14:paraId="06E09722" w14:textId="5AA01951" w:rsidR="00761C40" w:rsidRDefault="00FF47C9">
      <w:pPr>
        <w:pStyle w:val="TOC2"/>
        <w:rPr>
          <w:rFonts w:asciiTheme="minorHAnsi" w:hAnsiTheme="minorHAnsi"/>
          <w:noProof/>
        </w:rPr>
      </w:pPr>
      <w:hyperlink w:anchor="_Toc103773267" w:history="1">
        <w:r w:rsidR="00761C40" w:rsidRPr="00AA5E85">
          <w:rPr>
            <w:rStyle w:val="Hyperlink"/>
            <w:noProof/>
          </w:rPr>
          <w:t>Fluorinated gases</w:t>
        </w:r>
        <w:r w:rsidR="00761C40">
          <w:rPr>
            <w:noProof/>
            <w:webHidden/>
          </w:rPr>
          <w:tab/>
        </w:r>
        <w:r w:rsidR="00761C40">
          <w:rPr>
            <w:noProof/>
            <w:webHidden/>
          </w:rPr>
          <w:fldChar w:fldCharType="begin"/>
        </w:r>
        <w:r w:rsidR="00761C40">
          <w:rPr>
            <w:noProof/>
            <w:webHidden/>
          </w:rPr>
          <w:instrText xml:space="preserve"> PAGEREF _Toc103773267 \h </w:instrText>
        </w:r>
        <w:r w:rsidR="00761C40">
          <w:rPr>
            <w:noProof/>
            <w:webHidden/>
          </w:rPr>
        </w:r>
        <w:r w:rsidR="00761C40">
          <w:rPr>
            <w:noProof/>
            <w:webHidden/>
          </w:rPr>
          <w:fldChar w:fldCharType="separate"/>
        </w:r>
        <w:r w:rsidR="00761C40">
          <w:rPr>
            <w:noProof/>
            <w:webHidden/>
          </w:rPr>
          <w:t>29</w:t>
        </w:r>
        <w:r w:rsidR="00761C40">
          <w:rPr>
            <w:noProof/>
            <w:webHidden/>
          </w:rPr>
          <w:fldChar w:fldCharType="end"/>
        </w:r>
      </w:hyperlink>
    </w:p>
    <w:p w14:paraId="71129AB0" w14:textId="6C34B824" w:rsidR="00761C40" w:rsidRDefault="00FF47C9">
      <w:pPr>
        <w:pStyle w:val="TOC2"/>
        <w:rPr>
          <w:rFonts w:asciiTheme="minorHAnsi" w:hAnsiTheme="minorHAnsi"/>
          <w:noProof/>
        </w:rPr>
      </w:pPr>
      <w:hyperlink w:anchor="_Toc103773268" w:history="1">
        <w:r w:rsidR="00761C40" w:rsidRPr="00AA5E85">
          <w:rPr>
            <w:rStyle w:val="Hyperlink"/>
            <w:noProof/>
          </w:rPr>
          <w:t>Agriculture</w:t>
        </w:r>
        <w:r w:rsidR="00761C40">
          <w:rPr>
            <w:noProof/>
            <w:webHidden/>
          </w:rPr>
          <w:tab/>
        </w:r>
        <w:r w:rsidR="00761C40">
          <w:rPr>
            <w:noProof/>
            <w:webHidden/>
          </w:rPr>
          <w:fldChar w:fldCharType="begin"/>
        </w:r>
        <w:r w:rsidR="00761C40">
          <w:rPr>
            <w:noProof/>
            <w:webHidden/>
          </w:rPr>
          <w:instrText xml:space="preserve"> PAGEREF _Toc103773268 \h </w:instrText>
        </w:r>
        <w:r w:rsidR="00761C40">
          <w:rPr>
            <w:noProof/>
            <w:webHidden/>
          </w:rPr>
        </w:r>
        <w:r w:rsidR="00761C40">
          <w:rPr>
            <w:noProof/>
            <w:webHidden/>
          </w:rPr>
          <w:fldChar w:fldCharType="separate"/>
        </w:r>
        <w:r w:rsidR="00761C40">
          <w:rPr>
            <w:noProof/>
            <w:webHidden/>
          </w:rPr>
          <w:t>30</w:t>
        </w:r>
        <w:r w:rsidR="00761C40">
          <w:rPr>
            <w:noProof/>
            <w:webHidden/>
          </w:rPr>
          <w:fldChar w:fldCharType="end"/>
        </w:r>
      </w:hyperlink>
    </w:p>
    <w:p w14:paraId="71C539A3" w14:textId="72A9BE19" w:rsidR="00761C40" w:rsidRDefault="00FF47C9">
      <w:pPr>
        <w:pStyle w:val="TOC2"/>
        <w:rPr>
          <w:rFonts w:asciiTheme="minorHAnsi" w:hAnsiTheme="minorHAnsi"/>
          <w:noProof/>
        </w:rPr>
      </w:pPr>
      <w:hyperlink w:anchor="_Toc103773269" w:history="1">
        <w:r w:rsidR="00761C40" w:rsidRPr="00AA5E85">
          <w:rPr>
            <w:rStyle w:val="Hyperlink"/>
            <w:noProof/>
          </w:rPr>
          <w:t>Forestry and other land use</w:t>
        </w:r>
        <w:r w:rsidR="00761C40">
          <w:rPr>
            <w:noProof/>
            <w:webHidden/>
          </w:rPr>
          <w:tab/>
        </w:r>
        <w:r w:rsidR="00761C40">
          <w:rPr>
            <w:noProof/>
            <w:webHidden/>
          </w:rPr>
          <w:fldChar w:fldCharType="begin"/>
        </w:r>
        <w:r w:rsidR="00761C40">
          <w:rPr>
            <w:noProof/>
            <w:webHidden/>
          </w:rPr>
          <w:instrText xml:space="preserve"> PAGEREF _Toc103773269 \h </w:instrText>
        </w:r>
        <w:r w:rsidR="00761C40">
          <w:rPr>
            <w:noProof/>
            <w:webHidden/>
          </w:rPr>
        </w:r>
        <w:r w:rsidR="00761C40">
          <w:rPr>
            <w:noProof/>
            <w:webHidden/>
          </w:rPr>
          <w:fldChar w:fldCharType="separate"/>
        </w:r>
        <w:r w:rsidR="00761C40">
          <w:rPr>
            <w:noProof/>
            <w:webHidden/>
          </w:rPr>
          <w:t>32</w:t>
        </w:r>
        <w:r w:rsidR="00761C40">
          <w:rPr>
            <w:noProof/>
            <w:webHidden/>
          </w:rPr>
          <w:fldChar w:fldCharType="end"/>
        </w:r>
      </w:hyperlink>
    </w:p>
    <w:p w14:paraId="3EBAA9E0" w14:textId="36410B0A" w:rsidR="00B635F5" w:rsidRDefault="00CD679A" w:rsidP="00CD679A">
      <w:pPr>
        <w:rPr>
          <w:lang w:eastAsia="en-NZ"/>
        </w:rPr>
      </w:pPr>
      <w:r w:rsidRPr="005373EB">
        <w:rPr>
          <w:lang w:eastAsia="en-NZ"/>
        </w:rPr>
        <w:fldChar w:fldCharType="end"/>
      </w:r>
    </w:p>
    <w:p w14:paraId="4BDF4D30" w14:textId="77777777" w:rsidR="00B635F5" w:rsidRDefault="00B635F5">
      <w:pPr>
        <w:rPr>
          <w:lang w:eastAsia="en-NZ"/>
        </w:rPr>
      </w:pPr>
      <w:r>
        <w:rPr>
          <w:lang w:eastAsia="en-NZ"/>
        </w:rPr>
        <w:br w:type="page"/>
      </w:r>
    </w:p>
    <w:p w14:paraId="59FF3559" w14:textId="15A827E7" w:rsidR="00CD679A" w:rsidRPr="005373EB" w:rsidRDefault="00E6312C" w:rsidP="00E6312C">
      <w:pPr>
        <w:pStyle w:val="Heading"/>
      </w:pPr>
      <w:r w:rsidRPr="005373EB">
        <w:lastRenderedPageBreak/>
        <w:t>Tables</w:t>
      </w:r>
    </w:p>
    <w:p w14:paraId="774B9B55" w14:textId="2725B473" w:rsidR="00761C40" w:rsidRDefault="00E6312C">
      <w:pPr>
        <w:pStyle w:val="TableofFigures"/>
        <w:rPr>
          <w:rFonts w:eastAsiaTheme="minorEastAsia"/>
          <w:lang w:eastAsia="en-NZ"/>
        </w:rPr>
      </w:pPr>
      <w:r w:rsidRPr="005373EB">
        <w:rPr>
          <w:rFonts w:ascii="Calibri" w:hAnsi="Calibri" w:cs="Calibri"/>
          <w:noProof w:val="0"/>
        </w:rPr>
        <w:fldChar w:fldCharType="begin"/>
      </w:r>
      <w:r w:rsidRPr="005373EB">
        <w:rPr>
          <w:rFonts w:ascii="Calibri" w:hAnsi="Calibri" w:cs="Calibri"/>
          <w:noProof w:val="0"/>
        </w:rPr>
        <w:instrText xml:space="preserve"> TOC \h \z \t "Table heading" \c </w:instrText>
      </w:r>
      <w:r w:rsidRPr="005373EB">
        <w:rPr>
          <w:rFonts w:ascii="Calibri" w:hAnsi="Calibri" w:cs="Calibri"/>
          <w:noProof w:val="0"/>
        </w:rPr>
        <w:fldChar w:fldCharType="separate"/>
      </w:r>
      <w:hyperlink w:anchor="_Toc103773270" w:history="1">
        <w:r w:rsidR="00761C40" w:rsidRPr="00B93E26">
          <w:rPr>
            <w:rStyle w:val="Hyperlink"/>
          </w:rPr>
          <w:t xml:space="preserve">Table 1: </w:t>
        </w:r>
        <w:r w:rsidR="00761C40">
          <w:rPr>
            <w:rFonts w:eastAsiaTheme="minorEastAsia"/>
            <w:lang w:eastAsia="en-NZ"/>
          </w:rPr>
          <w:tab/>
        </w:r>
        <w:r w:rsidR="00761C40" w:rsidRPr="00B93E26">
          <w:rPr>
            <w:rStyle w:val="Hyperlink"/>
          </w:rPr>
          <w:t>Estimated emissions abatement from policies and measures by sector</w:t>
        </w:r>
        <w:r w:rsidR="00761C40">
          <w:rPr>
            <w:webHidden/>
          </w:rPr>
          <w:tab/>
        </w:r>
        <w:r w:rsidR="00761C40">
          <w:rPr>
            <w:webHidden/>
          </w:rPr>
          <w:fldChar w:fldCharType="begin"/>
        </w:r>
        <w:r w:rsidR="00761C40">
          <w:rPr>
            <w:webHidden/>
          </w:rPr>
          <w:instrText xml:space="preserve"> PAGEREF _Toc103773270 \h </w:instrText>
        </w:r>
        <w:r w:rsidR="00761C40">
          <w:rPr>
            <w:webHidden/>
          </w:rPr>
        </w:r>
        <w:r w:rsidR="00761C40">
          <w:rPr>
            <w:webHidden/>
          </w:rPr>
          <w:fldChar w:fldCharType="separate"/>
        </w:r>
        <w:r w:rsidR="00761C40">
          <w:rPr>
            <w:webHidden/>
          </w:rPr>
          <w:t>6</w:t>
        </w:r>
        <w:r w:rsidR="00761C40">
          <w:rPr>
            <w:webHidden/>
          </w:rPr>
          <w:fldChar w:fldCharType="end"/>
        </w:r>
      </w:hyperlink>
    </w:p>
    <w:p w14:paraId="2A930EDB" w14:textId="79264F6F" w:rsidR="00761C40" w:rsidRDefault="00FF47C9">
      <w:pPr>
        <w:pStyle w:val="TableofFigures"/>
        <w:rPr>
          <w:rFonts w:eastAsiaTheme="minorEastAsia"/>
          <w:lang w:eastAsia="en-NZ"/>
        </w:rPr>
      </w:pPr>
      <w:hyperlink w:anchor="_Toc103773271" w:history="1">
        <w:r w:rsidR="00761C40" w:rsidRPr="00B93E26">
          <w:rPr>
            <w:rStyle w:val="Hyperlink"/>
          </w:rPr>
          <w:t xml:space="preserve">Table 1a: </w:t>
        </w:r>
        <w:r w:rsidR="00761C40">
          <w:rPr>
            <w:rFonts w:eastAsiaTheme="minorEastAsia"/>
            <w:lang w:eastAsia="en-NZ"/>
          </w:rPr>
          <w:tab/>
        </w:r>
        <w:r w:rsidR="00761C40" w:rsidRPr="00B93E26">
          <w:rPr>
            <w:rStyle w:val="Hyperlink"/>
          </w:rPr>
          <w:t>Incorporating low and high forestry policy impact ranges</w:t>
        </w:r>
        <w:r w:rsidR="00761C40">
          <w:rPr>
            <w:webHidden/>
          </w:rPr>
          <w:tab/>
        </w:r>
        <w:r w:rsidR="00761C40">
          <w:rPr>
            <w:webHidden/>
          </w:rPr>
          <w:fldChar w:fldCharType="begin"/>
        </w:r>
        <w:r w:rsidR="00761C40">
          <w:rPr>
            <w:webHidden/>
          </w:rPr>
          <w:instrText xml:space="preserve"> PAGEREF _Toc103773271 \h </w:instrText>
        </w:r>
        <w:r w:rsidR="00761C40">
          <w:rPr>
            <w:webHidden/>
          </w:rPr>
        </w:r>
        <w:r w:rsidR="00761C40">
          <w:rPr>
            <w:webHidden/>
          </w:rPr>
          <w:fldChar w:fldCharType="separate"/>
        </w:r>
        <w:r w:rsidR="00761C40">
          <w:rPr>
            <w:webHidden/>
          </w:rPr>
          <w:t>8</w:t>
        </w:r>
        <w:r w:rsidR="00761C40">
          <w:rPr>
            <w:webHidden/>
          </w:rPr>
          <w:fldChar w:fldCharType="end"/>
        </w:r>
      </w:hyperlink>
    </w:p>
    <w:p w14:paraId="66ADAE83" w14:textId="017D6BD3" w:rsidR="00761C40" w:rsidRDefault="00FF47C9">
      <w:pPr>
        <w:pStyle w:val="TableofFigures"/>
        <w:rPr>
          <w:rFonts w:eastAsiaTheme="minorEastAsia"/>
          <w:lang w:eastAsia="en-NZ"/>
        </w:rPr>
      </w:pPr>
      <w:hyperlink w:anchor="_Toc103773272" w:history="1">
        <w:r w:rsidR="00761C40" w:rsidRPr="00B93E26">
          <w:rPr>
            <w:rStyle w:val="Hyperlink"/>
          </w:rPr>
          <w:t xml:space="preserve">Table 2: </w:t>
        </w:r>
        <w:r w:rsidR="00761C40">
          <w:rPr>
            <w:rFonts w:eastAsiaTheme="minorEastAsia"/>
            <w:lang w:eastAsia="en-NZ"/>
          </w:rPr>
          <w:tab/>
        </w:r>
        <w:r w:rsidR="00761C40" w:rsidRPr="00B93E26">
          <w:rPr>
            <w:rStyle w:val="Hyperlink"/>
          </w:rPr>
          <w:t>Comparison of estimated emissions levels against emissions budgets</w:t>
        </w:r>
        <w:r w:rsidR="00761C40">
          <w:rPr>
            <w:webHidden/>
          </w:rPr>
          <w:tab/>
        </w:r>
        <w:r w:rsidR="00761C40">
          <w:rPr>
            <w:webHidden/>
          </w:rPr>
          <w:fldChar w:fldCharType="begin"/>
        </w:r>
        <w:r w:rsidR="00761C40">
          <w:rPr>
            <w:webHidden/>
          </w:rPr>
          <w:instrText xml:space="preserve"> PAGEREF _Toc103773272 \h </w:instrText>
        </w:r>
        <w:r w:rsidR="00761C40">
          <w:rPr>
            <w:webHidden/>
          </w:rPr>
        </w:r>
        <w:r w:rsidR="00761C40">
          <w:rPr>
            <w:webHidden/>
          </w:rPr>
          <w:fldChar w:fldCharType="separate"/>
        </w:r>
        <w:r w:rsidR="00761C40">
          <w:rPr>
            <w:webHidden/>
          </w:rPr>
          <w:t>8</w:t>
        </w:r>
        <w:r w:rsidR="00761C40">
          <w:rPr>
            <w:webHidden/>
          </w:rPr>
          <w:fldChar w:fldCharType="end"/>
        </w:r>
      </w:hyperlink>
    </w:p>
    <w:p w14:paraId="300CD851" w14:textId="6F086B97" w:rsidR="00761C40" w:rsidRDefault="00FF47C9">
      <w:pPr>
        <w:pStyle w:val="TableofFigures"/>
        <w:rPr>
          <w:rFonts w:eastAsiaTheme="minorEastAsia"/>
          <w:lang w:eastAsia="en-NZ"/>
        </w:rPr>
      </w:pPr>
      <w:hyperlink w:anchor="_Toc103773273" w:history="1">
        <w:r w:rsidR="00761C40" w:rsidRPr="00B93E26">
          <w:rPr>
            <w:rStyle w:val="Hyperlink"/>
          </w:rPr>
          <w:t>Table 3</w:t>
        </w:r>
        <w:r w:rsidR="00761C40">
          <w:rPr>
            <w:rFonts w:eastAsiaTheme="minorEastAsia"/>
            <w:lang w:eastAsia="en-NZ"/>
          </w:rPr>
          <w:tab/>
        </w:r>
        <w:r w:rsidR="00761C40" w:rsidRPr="00B93E26">
          <w:rPr>
            <w:rStyle w:val="Hyperlink"/>
          </w:rPr>
          <w:t>Comparison of the Climate Change Commission’s recommended emissions budgets with the emissions budgets as set by the Minister of Climate Change</w:t>
        </w:r>
        <w:r w:rsidR="00761C40">
          <w:rPr>
            <w:webHidden/>
          </w:rPr>
          <w:tab/>
        </w:r>
        <w:r w:rsidR="00761C40">
          <w:rPr>
            <w:webHidden/>
          </w:rPr>
          <w:fldChar w:fldCharType="begin"/>
        </w:r>
        <w:r w:rsidR="00761C40">
          <w:rPr>
            <w:webHidden/>
          </w:rPr>
          <w:instrText xml:space="preserve"> PAGEREF _Toc103773273 \h </w:instrText>
        </w:r>
        <w:r w:rsidR="00761C40">
          <w:rPr>
            <w:webHidden/>
          </w:rPr>
        </w:r>
        <w:r w:rsidR="00761C40">
          <w:rPr>
            <w:webHidden/>
          </w:rPr>
          <w:fldChar w:fldCharType="separate"/>
        </w:r>
        <w:r w:rsidR="00761C40">
          <w:rPr>
            <w:webHidden/>
          </w:rPr>
          <w:t>12</w:t>
        </w:r>
        <w:r w:rsidR="00761C40">
          <w:rPr>
            <w:webHidden/>
          </w:rPr>
          <w:fldChar w:fldCharType="end"/>
        </w:r>
      </w:hyperlink>
    </w:p>
    <w:p w14:paraId="77D37782" w14:textId="14FBADDB" w:rsidR="00761C40" w:rsidRDefault="00FF47C9">
      <w:pPr>
        <w:pStyle w:val="TableofFigures"/>
        <w:rPr>
          <w:rFonts w:eastAsiaTheme="minorEastAsia"/>
          <w:lang w:eastAsia="en-NZ"/>
        </w:rPr>
      </w:pPr>
      <w:hyperlink w:anchor="_Toc103773274" w:history="1">
        <w:r w:rsidR="00761C40" w:rsidRPr="00B93E26">
          <w:rPr>
            <w:rStyle w:val="Hyperlink"/>
          </w:rPr>
          <w:t xml:space="preserve">Table 4: </w:t>
        </w:r>
        <w:r w:rsidR="00761C40">
          <w:rPr>
            <w:rFonts w:eastAsiaTheme="minorEastAsia"/>
            <w:lang w:eastAsia="en-NZ"/>
          </w:rPr>
          <w:tab/>
        </w:r>
        <w:r w:rsidR="00761C40" w:rsidRPr="00B93E26">
          <w:rPr>
            <w:rStyle w:val="Hyperlink"/>
          </w:rPr>
          <w:t>How uncertainty influences the level of abatement required to meet emissions budgets</w:t>
        </w:r>
        <w:r w:rsidR="00761C40">
          <w:rPr>
            <w:webHidden/>
          </w:rPr>
          <w:tab/>
        </w:r>
        <w:r w:rsidR="00761C40">
          <w:rPr>
            <w:webHidden/>
          </w:rPr>
          <w:fldChar w:fldCharType="begin"/>
        </w:r>
        <w:r w:rsidR="00761C40">
          <w:rPr>
            <w:webHidden/>
          </w:rPr>
          <w:instrText xml:space="preserve"> PAGEREF _Toc103773274 \h </w:instrText>
        </w:r>
        <w:r w:rsidR="00761C40">
          <w:rPr>
            <w:webHidden/>
          </w:rPr>
        </w:r>
        <w:r w:rsidR="00761C40">
          <w:rPr>
            <w:webHidden/>
          </w:rPr>
          <w:fldChar w:fldCharType="separate"/>
        </w:r>
        <w:r w:rsidR="00761C40">
          <w:rPr>
            <w:webHidden/>
          </w:rPr>
          <w:t>14</w:t>
        </w:r>
        <w:r w:rsidR="00761C40">
          <w:rPr>
            <w:webHidden/>
          </w:rPr>
          <w:fldChar w:fldCharType="end"/>
        </w:r>
      </w:hyperlink>
    </w:p>
    <w:p w14:paraId="75695474" w14:textId="069CBF80" w:rsidR="00CD679A" w:rsidRPr="005373EB" w:rsidRDefault="00E6312C" w:rsidP="009E0F28">
      <w:pPr>
        <w:spacing w:after="120" w:line="280" w:lineRule="atLeast"/>
        <w:ind w:left="1134" w:hanging="1134"/>
      </w:pPr>
      <w:r w:rsidRPr="005373EB">
        <w:rPr>
          <w:rFonts w:ascii="Calibri" w:hAnsi="Calibri" w:cs="Calibri"/>
        </w:rPr>
        <w:fldChar w:fldCharType="end"/>
      </w:r>
    </w:p>
    <w:p w14:paraId="1755250F" w14:textId="77777777" w:rsidR="00CD679A" w:rsidRPr="005373EB" w:rsidRDefault="00CD679A"/>
    <w:p w14:paraId="4159C258" w14:textId="76C4A8EC" w:rsidR="00CD679A" w:rsidRPr="005373EB" w:rsidRDefault="00CD679A">
      <w:pPr>
        <w:rPr>
          <w:rFonts w:ascii="Calibri" w:eastAsiaTheme="minorEastAsia" w:hAnsi="Calibri"/>
          <w:lang w:eastAsia="en-NZ"/>
        </w:rPr>
      </w:pPr>
      <w:r w:rsidRPr="005373EB">
        <w:br w:type="page"/>
      </w:r>
    </w:p>
    <w:p w14:paraId="4427B956" w14:textId="78B43333" w:rsidR="00F107ED" w:rsidRPr="005373EB" w:rsidRDefault="00F107ED" w:rsidP="00E646B1">
      <w:pPr>
        <w:pStyle w:val="Heading1"/>
      </w:pPr>
      <w:bookmarkStart w:id="1" w:name="_Toc103773248"/>
      <w:r w:rsidRPr="005373EB">
        <w:lastRenderedPageBreak/>
        <w:t>Introduction</w:t>
      </w:r>
      <w:bookmarkEnd w:id="1"/>
    </w:p>
    <w:p w14:paraId="3BD42379" w14:textId="21F96875" w:rsidR="0067581D" w:rsidRPr="005373EB" w:rsidRDefault="0067581D" w:rsidP="00B94FCA">
      <w:pPr>
        <w:pStyle w:val="BodyText"/>
      </w:pPr>
      <w:r w:rsidRPr="005373EB">
        <w:t xml:space="preserve">This </w:t>
      </w:r>
      <w:r w:rsidR="002E0E43" w:rsidRPr="005373EB">
        <w:t>a</w:t>
      </w:r>
      <w:r w:rsidRPr="005373EB">
        <w:t>ppendix contains:</w:t>
      </w:r>
    </w:p>
    <w:p w14:paraId="7582A506" w14:textId="5640E8DF" w:rsidR="00EB58A9" w:rsidRDefault="00EB58A9" w:rsidP="00EB58A9">
      <w:pPr>
        <w:pStyle w:val="Bullet"/>
        <w:numPr>
          <w:ilvl w:val="0"/>
          <w:numId w:val="2"/>
        </w:numPr>
        <w:tabs>
          <w:tab w:val="left" w:pos="397"/>
        </w:tabs>
      </w:pPr>
      <w:r>
        <w:t>sector-specific and economy-wide emissions estimates reflecting the anticipated abatement from key policies and measures in the emissions reduction plan</w:t>
      </w:r>
    </w:p>
    <w:p w14:paraId="3001D848" w14:textId="16AB44AE" w:rsidR="00EB58A9" w:rsidRDefault="00EB58A9" w:rsidP="00EB58A9">
      <w:pPr>
        <w:pStyle w:val="Bullet"/>
        <w:numPr>
          <w:ilvl w:val="0"/>
          <w:numId w:val="2"/>
        </w:numPr>
        <w:tabs>
          <w:tab w:val="left" w:pos="397"/>
        </w:tabs>
      </w:pPr>
      <w:r>
        <w:t xml:space="preserve">a comparison of projected emissions levels, including the anticipated abatement from </w:t>
      </w:r>
      <w:r w:rsidR="005E2223">
        <w:t>emissions reduction plan</w:t>
      </w:r>
      <w:r>
        <w:t> policies and measures to the first three emissions budgets</w:t>
      </w:r>
    </w:p>
    <w:p w14:paraId="713DC178" w14:textId="09E6E6FE" w:rsidR="007D418B" w:rsidRPr="005373EB" w:rsidRDefault="00EB58A9" w:rsidP="007D418B">
      <w:pPr>
        <w:pStyle w:val="Bullet"/>
        <w:numPr>
          <w:ilvl w:val="0"/>
          <w:numId w:val="2"/>
        </w:numPr>
        <w:tabs>
          <w:tab w:val="left" w:pos="397"/>
        </w:tabs>
      </w:pPr>
      <w:r>
        <w:t>supporting information for the approach and methodology with which these estimates were calculated, including modelling limitations and uncertainties.</w:t>
      </w:r>
      <w:r w:rsidR="007D418B" w:rsidRPr="005373EB">
        <w:br w:type="page"/>
      </w:r>
    </w:p>
    <w:p w14:paraId="1B62A3CA" w14:textId="1EF9D3C4" w:rsidR="00937ED3" w:rsidRPr="005373EB" w:rsidRDefault="00606B5C" w:rsidP="007D418B">
      <w:pPr>
        <w:pStyle w:val="Heading1"/>
      </w:pPr>
      <w:bookmarkStart w:id="2" w:name="_Toc103773249"/>
      <w:r w:rsidRPr="005373EB">
        <w:lastRenderedPageBreak/>
        <w:t>Emissions estimates</w:t>
      </w:r>
      <w:bookmarkEnd w:id="2"/>
    </w:p>
    <w:p w14:paraId="722945CB" w14:textId="16496CDF" w:rsidR="00DF7F18" w:rsidRDefault="0067581D" w:rsidP="00AE6B2A">
      <w:pPr>
        <w:pStyle w:val="BodyText"/>
      </w:pPr>
      <w:r w:rsidRPr="005373EB">
        <w:t xml:space="preserve">The </w:t>
      </w:r>
      <w:r w:rsidR="00B63F11" w:rsidRPr="005373EB">
        <w:t xml:space="preserve">figures </w:t>
      </w:r>
      <w:r w:rsidRPr="005373EB">
        <w:t>presented below reflect our best estimates of future emissions levels in New</w:t>
      </w:r>
      <w:r w:rsidR="005C72C7" w:rsidRPr="005373EB">
        <w:t> </w:t>
      </w:r>
      <w:r w:rsidRPr="005373EB">
        <w:t xml:space="preserve">Zealand, including the anticipated abatement impact of </w:t>
      </w:r>
      <w:r w:rsidR="00723FC6" w:rsidRPr="005373EB">
        <w:t>quantified</w:t>
      </w:r>
      <w:r w:rsidRPr="005373EB">
        <w:t xml:space="preserve"> policies and measures </w:t>
      </w:r>
      <w:r w:rsidR="0014607D" w:rsidRPr="005373EB">
        <w:t>in</w:t>
      </w:r>
      <w:r w:rsidRPr="005373EB">
        <w:t xml:space="preserve"> our first </w:t>
      </w:r>
      <w:r w:rsidR="005E2223">
        <w:t>emissions reduction plan</w:t>
      </w:r>
      <w:r w:rsidRPr="005373EB">
        <w:t xml:space="preserve">. Our estimates are based on </w:t>
      </w:r>
      <w:r w:rsidR="0014607D" w:rsidRPr="005373EB">
        <w:t xml:space="preserve">emissions </w:t>
      </w:r>
      <w:r w:rsidRPr="005373EB">
        <w:t>projections and the modelled impact of</w:t>
      </w:r>
      <w:r w:rsidR="005C72C7" w:rsidRPr="005373EB">
        <w:t> </w:t>
      </w:r>
      <w:r w:rsidR="00723FC6" w:rsidRPr="005373EB">
        <w:t>quantified</w:t>
      </w:r>
      <w:r w:rsidRPr="005373EB">
        <w:t xml:space="preserve"> policies and measures across </w:t>
      </w:r>
      <w:r w:rsidR="00F92634" w:rsidRPr="005373EB">
        <w:t>i</w:t>
      </w:r>
      <w:r w:rsidR="00CE4235" w:rsidRPr="005373EB">
        <w:t>mportant</w:t>
      </w:r>
      <w:r w:rsidR="00F92634" w:rsidRPr="005373EB">
        <w:t xml:space="preserve"> </w:t>
      </w:r>
      <w:r w:rsidRPr="005373EB">
        <w:t xml:space="preserve">sectors of the economy. </w:t>
      </w:r>
      <w:r w:rsidR="006A4C82" w:rsidRPr="005373EB">
        <w:t>T</w:t>
      </w:r>
      <w:r w:rsidRPr="005373EB">
        <w:t xml:space="preserve">hese estimates reflect our best understanding of our future emissions levels, including the </w:t>
      </w:r>
      <w:r w:rsidR="006A4C82" w:rsidRPr="005373EB">
        <w:t xml:space="preserve">anticipated </w:t>
      </w:r>
      <w:r w:rsidRPr="005373EB">
        <w:t xml:space="preserve">future impact of </w:t>
      </w:r>
      <w:r w:rsidR="00D749D0" w:rsidRPr="005373EB">
        <w:t>quantified</w:t>
      </w:r>
      <w:r w:rsidRPr="005373EB">
        <w:t xml:space="preserve"> policies</w:t>
      </w:r>
      <w:r w:rsidR="006A4C82" w:rsidRPr="005373EB">
        <w:t>. However,</w:t>
      </w:r>
      <w:r w:rsidRPr="005373EB">
        <w:t xml:space="preserve"> they are subject to significant levels of uncertainty.</w:t>
      </w:r>
    </w:p>
    <w:p w14:paraId="645691A9" w14:textId="0581CA09" w:rsidR="00DF7F18" w:rsidRDefault="00DF7F18" w:rsidP="00B635F5">
      <w:pPr>
        <w:pStyle w:val="Heading2"/>
      </w:pPr>
      <w:bookmarkStart w:id="3" w:name="_Toc103773250"/>
      <w:r w:rsidRPr="00DF7F18">
        <w:t>Estimated emissions abatement</w:t>
      </w:r>
      <w:bookmarkEnd w:id="3"/>
    </w:p>
    <w:p w14:paraId="17000028" w14:textId="180D22F2" w:rsidR="0067581D" w:rsidRPr="005373EB" w:rsidRDefault="0067581D" w:rsidP="00AE6B2A">
      <w:pPr>
        <w:pStyle w:val="BodyText"/>
      </w:pPr>
      <w:r w:rsidRPr="005373EB">
        <w:t xml:space="preserve">To reflect </w:t>
      </w:r>
      <w:r w:rsidR="006A4C82" w:rsidRPr="005373EB">
        <w:t xml:space="preserve">the impact of </w:t>
      </w:r>
      <w:r w:rsidRPr="005373EB">
        <w:t>elements of uncertainty</w:t>
      </w:r>
      <w:r w:rsidR="006A4C82" w:rsidRPr="005373EB">
        <w:t xml:space="preserve"> on our estimates</w:t>
      </w:r>
      <w:r w:rsidRPr="005373EB">
        <w:t xml:space="preserve">, </w:t>
      </w:r>
      <w:r w:rsidR="00955633" w:rsidRPr="005373EB">
        <w:t>t</w:t>
      </w:r>
      <w:r w:rsidRPr="005373EB">
        <w:t xml:space="preserve">able 1 presents modelled emissions abatement impact from quantified policies and measures across sectors as a range from low to high policy impact </w:t>
      </w:r>
      <w:r w:rsidR="00D749D0" w:rsidRPr="005373EB">
        <w:t>over</w:t>
      </w:r>
      <w:r w:rsidRPr="005373EB">
        <w:t xml:space="preserve"> the first three emissions budgets</w:t>
      </w:r>
      <w:r w:rsidR="00D71867" w:rsidRPr="005373EB">
        <w:t xml:space="preserve"> except for the forestry sector (see </w:t>
      </w:r>
      <w:hyperlink w:anchor="table1a" w:history="1">
        <w:r w:rsidR="00A823E3" w:rsidRPr="005373EB">
          <w:rPr>
            <w:rStyle w:val="Hyperlink"/>
          </w:rPr>
          <w:t>t</w:t>
        </w:r>
        <w:r w:rsidR="00D71867" w:rsidRPr="005373EB">
          <w:rPr>
            <w:rStyle w:val="Hyperlink"/>
          </w:rPr>
          <w:t>able 1a</w:t>
        </w:r>
      </w:hyperlink>
      <w:r w:rsidR="00D71867" w:rsidRPr="005373EB">
        <w:t>)</w:t>
      </w:r>
      <w:r w:rsidRPr="005373EB">
        <w:t xml:space="preserve">. </w:t>
      </w:r>
      <w:r w:rsidR="003B5B6E" w:rsidRPr="005373EB">
        <w:t>Importantly, t</w:t>
      </w:r>
      <w:r w:rsidR="00BD2C9B" w:rsidRPr="005373EB">
        <w:t xml:space="preserve">he figures in </w:t>
      </w:r>
      <w:r w:rsidR="00A823E3" w:rsidRPr="005373EB">
        <w:t>t</w:t>
      </w:r>
      <w:r w:rsidR="00BD2C9B" w:rsidRPr="005373EB">
        <w:t xml:space="preserve">able 1 do not include the impact of </w:t>
      </w:r>
      <w:r w:rsidR="003B5B6E" w:rsidRPr="005373EB">
        <w:t>any</w:t>
      </w:r>
      <w:r w:rsidR="00BD2C9B" w:rsidRPr="005373EB">
        <w:t xml:space="preserve"> uncertaint</w:t>
      </w:r>
      <w:r w:rsidR="003B5B6E" w:rsidRPr="005373EB">
        <w:t>ies</w:t>
      </w:r>
      <w:r w:rsidR="00BD2C9B" w:rsidRPr="005373EB">
        <w:t xml:space="preserve"> </w:t>
      </w:r>
      <w:r w:rsidR="003B5B6E" w:rsidRPr="005373EB">
        <w:t>regarding</w:t>
      </w:r>
      <w:r w:rsidR="00BD2C9B" w:rsidRPr="005373EB">
        <w:t xml:space="preserve"> the underlying </w:t>
      </w:r>
      <w:r w:rsidR="001674CF" w:rsidRPr="005373EB">
        <w:t>greenhouse gas (</w:t>
      </w:r>
      <w:r w:rsidR="00BD2C9B" w:rsidRPr="005373EB">
        <w:t>GHG</w:t>
      </w:r>
      <w:r w:rsidR="001674CF" w:rsidRPr="005373EB">
        <w:t>)</w:t>
      </w:r>
      <w:r w:rsidR="00BD2C9B" w:rsidRPr="005373EB">
        <w:t xml:space="preserve"> </w:t>
      </w:r>
      <w:r w:rsidR="001E56F2" w:rsidRPr="005373EB">
        <w:t xml:space="preserve">emissions </w:t>
      </w:r>
      <w:r w:rsidR="00BD2C9B" w:rsidRPr="005373EB">
        <w:t xml:space="preserve">projections nor do they include the impacts of policies and measures </w:t>
      </w:r>
      <w:r w:rsidR="003B5B6E" w:rsidRPr="005373EB">
        <w:t xml:space="preserve">in the </w:t>
      </w:r>
      <w:r w:rsidR="005E2223">
        <w:t>emissions reduction plan</w:t>
      </w:r>
      <w:r w:rsidR="005E2223" w:rsidRPr="005373EB">
        <w:t xml:space="preserve"> </w:t>
      </w:r>
      <w:r w:rsidR="00BD2C9B" w:rsidRPr="005373EB">
        <w:t>that have not been quantified.</w:t>
      </w:r>
    </w:p>
    <w:p w14:paraId="47948666" w14:textId="3E6AEC9C" w:rsidR="00D71867" w:rsidRPr="005373EB" w:rsidRDefault="00D71867" w:rsidP="00B94FCA">
      <w:pPr>
        <w:pStyle w:val="BodyText"/>
      </w:pPr>
      <w:r w:rsidRPr="005373EB">
        <w:t xml:space="preserve">The forestry policy impact ranges are presented in </w:t>
      </w:r>
      <w:hyperlink w:anchor="table1a" w:history="1">
        <w:r w:rsidR="003F4F7A" w:rsidRPr="005373EB">
          <w:rPr>
            <w:rStyle w:val="Hyperlink"/>
          </w:rPr>
          <w:t>t</w:t>
        </w:r>
        <w:r w:rsidRPr="005373EB">
          <w:rPr>
            <w:rStyle w:val="Hyperlink"/>
          </w:rPr>
          <w:t>able 1a</w:t>
        </w:r>
      </w:hyperlink>
      <w:r w:rsidRPr="005373EB">
        <w:t>.</w:t>
      </w:r>
    </w:p>
    <w:p w14:paraId="7C09CF3B" w14:textId="71B911C2" w:rsidR="004048D6" w:rsidRPr="005373EB" w:rsidRDefault="00B33D09" w:rsidP="00AE6B2A">
      <w:pPr>
        <w:pStyle w:val="Tableheading"/>
      </w:pPr>
      <w:bookmarkStart w:id="4" w:name="table1"/>
      <w:bookmarkStart w:id="5" w:name="_Toc103773270"/>
      <w:r w:rsidRPr="005373EB">
        <w:t>Table 1</w:t>
      </w:r>
      <w:bookmarkEnd w:id="4"/>
      <w:r w:rsidRPr="005373EB">
        <w:t xml:space="preserve">: </w:t>
      </w:r>
      <w:r w:rsidR="00AE6B2A" w:rsidRPr="005373EB">
        <w:tab/>
      </w:r>
      <w:bookmarkStart w:id="6" w:name="_Hlk103174932"/>
      <w:bookmarkStart w:id="7" w:name="_Hlk103174511"/>
      <w:r w:rsidR="004048D6" w:rsidRPr="005373EB">
        <w:t xml:space="preserve">Estimated emissions abatement </w:t>
      </w:r>
      <w:bookmarkEnd w:id="6"/>
      <w:r w:rsidR="004048D6" w:rsidRPr="005373EB">
        <w:t>from policies and measures by sector</w:t>
      </w:r>
      <w:bookmarkEnd w:id="5"/>
      <w:r w:rsidR="004048D6" w:rsidRPr="005373EB">
        <w:t xml:space="preserve"> </w:t>
      </w:r>
      <w:bookmarkEnd w:id="7"/>
    </w:p>
    <w:tbl>
      <w:tblPr>
        <w:tblW w:w="8505" w:type="dxa"/>
        <w:tblBorders>
          <w:top w:val="single" w:sz="4" w:space="0" w:color="1B556B" w:themeColor="text2"/>
          <w:bottom w:val="single" w:sz="4" w:space="0" w:color="1B556B" w:themeColor="text2"/>
          <w:insideH w:val="single" w:sz="4" w:space="0" w:color="1B556B" w:themeColor="text2"/>
          <w:insideV w:val="single" w:sz="4" w:space="0" w:color="1B556B" w:themeColor="text2"/>
        </w:tblBorders>
        <w:tblLook w:val="04A0" w:firstRow="1" w:lastRow="0" w:firstColumn="1" w:lastColumn="0" w:noHBand="0" w:noVBand="1"/>
      </w:tblPr>
      <w:tblGrid>
        <w:gridCol w:w="3792"/>
        <w:gridCol w:w="1571"/>
        <w:gridCol w:w="1571"/>
        <w:gridCol w:w="1571"/>
      </w:tblGrid>
      <w:tr w:rsidR="003A11CA" w:rsidRPr="005373EB" w14:paraId="7FF78DF8" w14:textId="77777777" w:rsidTr="00111335">
        <w:trPr>
          <w:tblHeader/>
        </w:trPr>
        <w:tc>
          <w:tcPr>
            <w:tcW w:w="3792" w:type="dxa"/>
            <w:tcBorders>
              <w:bottom w:val="single" w:sz="4" w:space="0" w:color="1B556B" w:themeColor="text2"/>
            </w:tcBorders>
            <w:shd w:val="clear" w:color="auto" w:fill="1B556B" w:themeFill="text2"/>
            <w:hideMark/>
          </w:tcPr>
          <w:p w14:paraId="1F6010EF" w14:textId="77777777" w:rsidR="00AE6B2A" w:rsidRPr="005373EB" w:rsidRDefault="00AE6B2A" w:rsidP="00AE6B2A">
            <w:pPr>
              <w:pStyle w:val="TableTextbold"/>
              <w:rPr>
                <w:color w:val="FFFFFF" w:themeColor="background1"/>
              </w:rPr>
            </w:pPr>
            <w:r w:rsidRPr="005373EB">
              <w:rPr>
                <w:color w:val="FFFFFF" w:themeColor="background1"/>
              </w:rPr>
              <w:t>Emissions abatement from policies and measures (AR5 Mt CO</w:t>
            </w:r>
            <w:r w:rsidRPr="005373EB">
              <w:rPr>
                <w:color w:val="FFFFFF" w:themeColor="background1"/>
                <w:vertAlign w:val="subscript"/>
              </w:rPr>
              <w:t>2</w:t>
            </w:r>
            <w:r w:rsidRPr="005373EB">
              <w:rPr>
                <w:color w:val="FFFFFF" w:themeColor="background1"/>
              </w:rPr>
              <w:t>-e)</w:t>
            </w:r>
          </w:p>
        </w:tc>
        <w:tc>
          <w:tcPr>
            <w:tcW w:w="1571" w:type="dxa"/>
            <w:tcBorders>
              <w:bottom w:val="single" w:sz="4" w:space="0" w:color="1B556B" w:themeColor="text2"/>
            </w:tcBorders>
            <w:shd w:val="clear" w:color="auto" w:fill="1B556B" w:themeFill="text2"/>
            <w:vAlign w:val="center"/>
            <w:hideMark/>
          </w:tcPr>
          <w:p w14:paraId="43765619" w14:textId="29A56042" w:rsidR="00AE6B2A" w:rsidRPr="005373EB" w:rsidRDefault="00AE6B2A" w:rsidP="00832112">
            <w:pPr>
              <w:pStyle w:val="TableTextbold"/>
              <w:jc w:val="right"/>
              <w:rPr>
                <w:color w:val="FFFFFF" w:themeColor="background1"/>
              </w:rPr>
            </w:pPr>
            <w:r w:rsidRPr="005373EB">
              <w:rPr>
                <w:color w:val="FFFFFF" w:themeColor="background1"/>
              </w:rPr>
              <w:t xml:space="preserve">1st Budget </w:t>
            </w:r>
            <w:r w:rsidRPr="005373EB">
              <w:rPr>
                <w:color w:val="FFFFFF" w:themeColor="background1"/>
              </w:rPr>
              <w:br/>
              <w:t>2022–25</w:t>
            </w:r>
          </w:p>
        </w:tc>
        <w:tc>
          <w:tcPr>
            <w:tcW w:w="1571" w:type="dxa"/>
            <w:tcBorders>
              <w:bottom w:val="single" w:sz="4" w:space="0" w:color="1B556B" w:themeColor="text2"/>
            </w:tcBorders>
            <w:shd w:val="clear" w:color="auto" w:fill="1B556B" w:themeFill="text2"/>
            <w:vAlign w:val="center"/>
            <w:hideMark/>
          </w:tcPr>
          <w:p w14:paraId="2DD1DC8B" w14:textId="5FA36E17" w:rsidR="00AE6B2A" w:rsidRPr="005373EB" w:rsidRDefault="00AE6B2A" w:rsidP="00832112">
            <w:pPr>
              <w:pStyle w:val="TableTextbold"/>
              <w:jc w:val="right"/>
              <w:rPr>
                <w:color w:val="FFFFFF" w:themeColor="background1"/>
              </w:rPr>
            </w:pPr>
            <w:r w:rsidRPr="005373EB">
              <w:rPr>
                <w:color w:val="FFFFFF" w:themeColor="background1"/>
              </w:rPr>
              <w:t xml:space="preserve">2nd Budget </w:t>
            </w:r>
            <w:r w:rsidRPr="005373EB">
              <w:rPr>
                <w:color w:val="FFFFFF" w:themeColor="background1"/>
              </w:rPr>
              <w:br/>
              <w:t xml:space="preserve">2026–30 </w:t>
            </w:r>
          </w:p>
        </w:tc>
        <w:tc>
          <w:tcPr>
            <w:tcW w:w="1571" w:type="dxa"/>
            <w:tcBorders>
              <w:bottom w:val="single" w:sz="4" w:space="0" w:color="1B556B" w:themeColor="text2"/>
            </w:tcBorders>
            <w:shd w:val="clear" w:color="auto" w:fill="1B556B" w:themeFill="text2"/>
            <w:vAlign w:val="center"/>
            <w:hideMark/>
          </w:tcPr>
          <w:p w14:paraId="670683B4" w14:textId="5B2DE2B7" w:rsidR="00AE6B2A" w:rsidRPr="005373EB" w:rsidRDefault="00AE6B2A" w:rsidP="00832112">
            <w:pPr>
              <w:pStyle w:val="TableTextbold"/>
              <w:jc w:val="right"/>
              <w:rPr>
                <w:color w:val="FFFFFF" w:themeColor="background1"/>
              </w:rPr>
            </w:pPr>
            <w:r w:rsidRPr="005373EB">
              <w:rPr>
                <w:color w:val="FFFFFF" w:themeColor="background1"/>
              </w:rPr>
              <w:t xml:space="preserve">3rd Budget </w:t>
            </w:r>
            <w:r w:rsidRPr="005373EB">
              <w:rPr>
                <w:color w:val="FFFFFF" w:themeColor="background1"/>
              </w:rPr>
              <w:br/>
              <w:t>2031–35</w:t>
            </w:r>
          </w:p>
        </w:tc>
      </w:tr>
      <w:tr w:rsidR="004048D6" w:rsidRPr="005373EB" w14:paraId="16059BC4" w14:textId="77777777" w:rsidTr="00111335">
        <w:tc>
          <w:tcPr>
            <w:tcW w:w="3792" w:type="dxa"/>
            <w:shd w:val="clear" w:color="auto" w:fill="FFFFFF" w:themeFill="background1"/>
            <w:vAlign w:val="center"/>
            <w:hideMark/>
          </w:tcPr>
          <w:p w14:paraId="423E390D" w14:textId="77777777" w:rsidR="004048D6" w:rsidRPr="005373EB" w:rsidRDefault="004048D6" w:rsidP="0062216A">
            <w:pPr>
              <w:pStyle w:val="TableTextbold"/>
              <w:spacing w:before="40"/>
              <w:rPr>
                <w:rFonts w:cs="Calibri"/>
                <w:szCs w:val="18"/>
              </w:rPr>
            </w:pPr>
            <w:r w:rsidRPr="005373EB">
              <w:rPr>
                <w:rFonts w:cs="Calibri"/>
                <w:szCs w:val="18"/>
              </w:rPr>
              <w:t>Transport</w:t>
            </w:r>
          </w:p>
        </w:tc>
        <w:tc>
          <w:tcPr>
            <w:tcW w:w="1571" w:type="dxa"/>
            <w:shd w:val="clear" w:color="auto" w:fill="FFFFFF" w:themeFill="background1"/>
            <w:vAlign w:val="center"/>
            <w:hideMark/>
          </w:tcPr>
          <w:p w14:paraId="681F9078" w14:textId="77777777" w:rsidR="004048D6" w:rsidRPr="005373EB" w:rsidRDefault="004048D6" w:rsidP="0062216A">
            <w:pPr>
              <w:pStyle w:val="TableTextbold"/>
              <w:spacing w:before="40"/>
              <w:rPr>
                <w:rFonts w:cs="Calibri"/>
                <w:szCs w:val="18"/>
              </w:rPr>
            </w:pPr>
            <w:r w:rsidRPr="005373EB">
              <w:rPr>
                <w:rFonts w:cs="Calibri"/>
                <w:szCs w:val="18"/>
              </w:rPr>
              <w:t> </w:t>
            </w:r>
          </w:p>
        </w:tc>
        <w:tc>
          <w:tcPr>
            <w:tcW w:w="1571" w:type="dxa"/>
            <w:shd w:val="clear" w:color="auto" w:fill="FFFFFF" w:themeFill="background1"/>
            <w:vAlign w:val="center"/>
            <w:hideMark/>
          </w:tcPr>
          <w:p w14:paraId="1DF64940" w14:textId="77777777" w:rsidR="004048D6" w:rsidRPr="005373EB" w:rsidRDefault="004048D6" w:rsidP="0062216A">
            <w:pPr>
              <w:pStyle w:val="TableTextbold"/>
              <w:spacing w:before="40"/>
              <w:rPr>
                <w:rFonts w:cs="Calibri"/>
                <w:szCs w:val="18"/>
              </w:rPr>
            </w:pPr>
            <w:r w:rsidRPr="005373EB">
              <w:rPr>
                <w:rFonts w:cs="Calibri"/>
                <w:szCs w:val="18"/>
              </w:rPr>
              <w:t> </w:t>
            </w:r>
          </w:p>
        </w:tc>
        <w:tc>
          <w:tcPr>
            <w:tcW w:w="1571" w:type="dxa"/>
            <w:shd w:val="clear" w:color="auto" w:fill="FFFFFF" w:themeFill="background1"/>
            <w:vAlign w:val="center"/>
            <w:hideMark/>
          </w:tcPr>
          <w:p w14:paraId="0C64E72F" w14:textId="77777777" w:rsidR="004048D6" w:rsidRPr="005373EB" w:rsidRDefault="004048D6" w:rsidP="0062216A">
            <w:pPr>
              <w:pStyle w:val="TableTextbold"/>
              <w:spacing w:before="40"/>
              <w:rPr>
                <w:rFonts w:cs="Calibri"/>
                <w:szCs w:val="18"/>
              </w:rPr>
            </w:pPr>
            <w:r w:rsidRPr="005373EB">
              <w:rPr>
                <w:rFonts w:cs="Calibri"/>
                <w:szCs w:val="18"/>
              </w:rPr>
              <w:t> </w:t>
            </w:r>
          </w:p>
        </w:tc>
      </w:tr>
      <w:tr w:rsidR="00D52BA5" w:rsidRPr="005373EB" w14:paraId="58B9CBA5" w14:textId="77777777" w:rsidTr="00AE6B2A">
        <w:tc>
          <w:tcPr>
            <w:tcW w:w="3792" w:type="dxa"/>
            <w:shd w:val="clear" w:color="auto" w:fill="auto"/>
            <w:vAlign w:val="center"/>
            <w:hideMark/>
          </w:tcPr>
          <w:p w14:paraId="70356FB0" w14:textId="77777777" w:rsidR="00D52BA5" w:rsidRPr="005373EB" w:rsidRDefault="00D52BA5" w:rsidP="004003AA">
            <w:pPr>
              <w:pStyle w:val="TableBullet"/>
              <w:rPr>
                <w:rFonts w:cs="Calibri"/>
                <w:szCs w:val="18"/>
              </w:rPr>
            </w:pPr>
            <w:r w:rsidRPr="005373EB">
              <w:rPr>
                <w:rFonts w:cs="Calibri"/>
                <w:szCs w:val="18"/>
              </w:rPr>
              <w:t>Low impact estimate</w:t>
            </w:r>
          </w:p>
        </w:tc>
        <w:tc>
          <w:tcPr>
            <w:tcW w:w="1571" w:type="dxa"/>
            <w:shd w:val="clear" w:color="auto" w:fill="auto"/>
          </w:tcPr>
          <w:p w14:paraId="4D0AA9B3" w14:textId="5E70D4F4" w:rsidR="00D52BA5" w:rsidRPr="005373EB" w:rsidRDefault="00832112" w:rsidP="004003AA">
            <w:pPr>
              <w:pStyle w:val="TableText"/>
              <w:jc w:val="right"/>
              <w:rPr>
                <w:rFonts w:cs="Calibri"/>
                <w:szCs w:val="18"/>
              </w:rPr>
            </w:pPr>
            <w:r w:rsidRPr="005373EB">
              <w:rPr>
                <w:rFonts w:cs="Calibri"/>
                <w:szCs w:val="18"/>
              </w:rPr>
              <w:t>–</w:t>
            </w:r>
            <w:r w:rsidR="00D52BA5" w:rsidRPr="005373EB">
              <w:rPr>
                <w:rFonts w:cs="Calibri"/>
                <w:szCs w:val="18"/>
              </w:rPr>
              <w:t>1.7</w:t>
            </w:r>
          </w:p>
        </w:tc>
        <w:tc>
          <w:tcPr>
            <w:tcW w:w="1571" w:type="dxa"/>
            <w:shd w:val="clear" w:color="auto" w:fill="auto"/>
          </w:tcPr>
          <w:p w14:paraId="2D1D0E1F" w14:textId="52EF9A60" w:rsidR="00D52BA5" w:rsidRPr="005373EB" w:rsidRDefault="00832112" w:rsidP="004003AA">
            <w:pPr>
              <w:pStyle w:val="TableText"/>
              <w:jc w:val="right"/>
              <w:rPr>
                <w:rFonts w:cs="Calibri"/>
                <w:szCs w:val="18"/>
              </w:rPr>
            </w:pPr>
            <w:r w:rsidRPr="005373EB">
              <w:rPr>
                <w:rFonts w:cs="Calibri"/>
                <w:szCs w:val="18"/>
              </w:rPr>
              <w:t>–</w:t>
            </w:r>
            <w:r w:rsidR="00D52BA5" w:rsidRPr="005373EB">
              <w:rPr>
                <w:rFonts w:cs="Calibri"/>
                <w:szCs w:val="18"/>
              </w:rPr>
              <w:t>5.9</w:t>
            </w:r>
          </w:p>
        </w:tc>
        <w:tc>
          <w:tcPr>
            <w:tcW w:w="1571" w:type="dxa"/>
            <w:shd w:val="clear" w:color="auto" w:fill="auto"/>
          </w:tcPr>
          <w:p w14:paraId="4EB389C9" w14:textId="4F63C0B1" w:rsidR="00D52BA5" w:rsidRPr="005373EB" w:rsidRDefault="00832112" w:rsidP="004003AA">
            <w:pPr>
              <w:pStyle w:val="TableText"/>
              <w:jc w:val="right"/>
              <w:rPr>
                <w:rFonts w:cs="Calibri"/>
                <w:szCs w:val="18"/>
              </w:rPr>
            </w:pPr>
            <w:r w:rsidRPr="005373EB">
              <w:rPr>
                <w:rFonts w:cs="Calibri"/>
                <w:szCs w:val="18"/>
              </w:rPr>
              <w:t>–</w:t>
            </w:r>
            <w:r w:rsidR="00D52BA5" w:rsidRPr="005373EB">
              <w:rPr>
                <w:rFonts w:cs="Calibri"/>
                <w:szCs w:val="18"/>
              </w:rPr>
              <w:t>8.</w:t>
            </w:r>
            <w:r w:rsidR="00E817C9" w:rsidRPr="005373EB">
              <w:rPr>
                <w:rFonts w:cs="Calibri"/>
                <w:szCs w:val="18"/>
              </w:rPr>
              <w:t>3</w:t>
            </w:r>
          </w:p>
        </w:tc>
      </w:tr>
      <w:tr w:rsidR="00D52BA5" w:rsidRPr="005373EB" w14:paraId="480CCA5A" w14:textId="77777777" w:rsidTr="00AE6B2A">
        <w:tc>
          <w:tcPr>
            <w:tcW w:w="3792" w:type="dxa"/>
            <w:shd w:val="clear" w:color="auto" w:fill="auto"/>
            <w:vAlign w:val="center"/>
            <w:hideMark/>
          </w:tcPr>
          <w:p w14:paraId="6AC65ACC" w14:textId="77777777" w:rsidR="00D52BA5" w:rsidRPr="005373EB" w:rsidRDefault="00D52BA5" w:rsidP="004003AA">
            <w:pPr>
              <w:pStyle w:val="TableBullet"/>
              <w:rPr>
                <w:rFonts w:cs="Calibri"/>
                <w:szCs w:val="18"/>
              </w:rPr>
            </w:pPr>
            <w:r w:rsidRPr="005373EB">
              <w:rPr>
                <w:rFonts w:cs="Calibri"/>
                <w:szCs w:val="18"/>
              </w:rPr>
              <w:t xml:space="preserve">High impact estimate </w:t>
            </w:r>
          </w:p>
        </w:tc>
        <w:tc>
          <w:tcPr>
            <w:tcW w:w="1571" w:type="dxa"/>
            <w:shd w:val="clear" w:color="auto" w:fill="auto"/>
          </w:tcPr>
          <w:p w14:paraId="5696267D" w14:textId="7D49FE9B" w:rsidR="00D52BA5" w:rsidRPr="005373EB" w:rsidRDefault="00832112" w:rsidP="004003AA">
            <w:pPr>
              <w:pStyle w:val="TableText"/>
              <w:jc w:val="right"/>
              <w:rPr>
                <w:rFonts w:cs="Calibri"/>
                <w:szCs w:val="18"/>
              </w:rPr>
            </w:pPr>
            <w:r w:rsidRPr="005373EB">
              <w:rPr>
                <w:rFonts w:cs="Calibri"/>
                <w:szCs w:val="18"/>
              </w:rPr>
              <w:t>–</w:t>
            </w:r>
            <w:r w:rsidR="00D52BA5" w:rsidRPr="005373EB">
              <w:rPr>
                <w:rFonts w:cs="Calibri"/>
                <w:szCs w:val="18"/>
              </w:rPr>
              <w:t>1.9</w:t>
            </w:r>
          </w:p>
        </w:tc>
        <w:tc>
          <w:tcPr>
            <w:tcW w:w="1571" w:type="dxa"/>
            <w:shd w:val="clear" w:color="auto" w:fill="auto"/>
          </w:tcPr>
          <w:p w14:paraId="594F7648" w14:textId="0E447930" w:rsidR="00D52BA5" w:rsidRPr="005373EB" w:rsidRDefault="00832112" w:rsidP="004003AA">
            <w:pPr>
              <w:pStyle w:val="TableText"/>
              <w:jc w:val="right"/>
              <w:rPr>
                <w:rFonts w:cs="Calibri"/>
                <w:szCs w:val="18"/>
              </w:rPr>
            </w:pPr>
            <w:r w:rsidRPr="005373EB">
              <w:rPr>
                <w:rFonts w:cs="Calibri"/>
                <w:szCs w:val="18"/>
              </w:rPr>
              <w:t>–</w:t>
            </w:r>
            <w:r w:rsidR="00D52BA5" w:rsidRPr="005373EB">
              <w:rPr>
                <w:rFonts w:cs="Calibri"/>
                <w:szCs w:val="18"/>
              </w:rPr>
              <w:t>6.</w:t>
            </w:r>
            <w:r w:rsidR="6588D264" w:rsidRPr="005373EB">
              <w:rPr>
                <w:rFonts w:cs="Calibri"/>
                <w:szCs w:val="18"/>
              </w:rPr>
              <w:t>8</w:t>
            </w:r>
          </w:p>
        </w:tc>
        <w:tc>
          <w:tcPr>
            <w:tcW w:w="1571" w:type="dxa"/>
            <w:shd w:val="clear" w:color="auto" w:fill="auto"/>
          </w:tcPr>
          <w:p w14:paraId="58797F12" w14:textId="20947836" w:rsidR="00D52BA5" w:rsidRPr="005373EB" w:rsidRDefault="00832112" w:rsidP="004003AA">
            <w:pPr>
              <w:pStyle w:val="TableText"/>
              <w:jc w:val="right"/>
              <w:rPr>
                <w:rFonts w:cs="Calibri"/>
                <w:szCs w:val="18"/>
              </w:rPr>
            </w:pPr>
            <w:r w:rsidRPr="005373EB">
              <w:rPr>
                <w:rFonts w:cs="Calibri"/>
                <w:szCs w:val="18"/>
              </w:rPr>
              <w:t>–</w:t>
            </w:r>
            <w:r w:rsidR="00D52BA5" w:rsidRPr="005373EB">
              <w:rPr>
                <w:rFonts w:cs="Calibri"/>
                <w:szCs w:val="18"/>
              </w:rPr>
              <w:t>10.</w:t>
            </w:r>
            <w:r w:rsidR="00E817C9" w:rsidRPr="005373EB">
              <w:rPr>
                <w:rFonts w:cs="Calibri"/>
                <w:szCs w:val="18"/>
              </w:rPr>
              <w:t>6</w:t>
            </w:r>
          </w:p>
        </w:tc>
      </w:tr>
      <w:tr w:rsidR="00D52BA5" w:rsidRPr="005373EB" w14:paraId="06A1A421" w14:textId="77777777" w:rsidTr="00AE6B2A">
        <w:tc>
          <w:tcPr>
            <w:tcW w:w="3792" w:type="dxa"/>
            <w:shd w:val="clear" w:color="auto" w:fill="auto"/>
            <w:vAlign w:val="center"/>
            <w:hideMark/>
          </w:tcPr>
          <w:p w14:paraId="2DBBBF5B" w14:textId="363EB94B" w:rsidR="00D52BA5" w:rsidRPr="005373EB" w:rsidRDefault="00D52BA5" w:rsidP="0062216A">
            <w:pPr>
              <w:pStyle w:val="TableTextbold"/>
              <w:spacing w:before="40"/>
              <w:rPr>
                <w:rFonts w:cs="Calibri"/>
                <w:szCs w:val="18"/>
              </w:rPr>
            </w:pPr>
            <w:r w:rsidRPr="005373EB">
              <w:rPr>
                <w:rFonts w:cs="Calibri"/>
                <w:szCs w:val="18"/>
              </w:rPr>
              <w:t>Energy and Industry</w:t>
            </w:r>
            <w:r w:rsidRPr="005373EB">
              <w:rPr>
                <w:rFonts w:cs="Calibri"/>
                <w:szCs w:val="18"/>
                <w:vertAlign w:val="superscript"/>
              </w:rPr>
              <w:footnoteReference w:id="2"/>
            </w:r>
          </w:p>
        </w:tc>
        <w:tc>
          <w:tcPr>
            <w:tcW w:w="1571" w:type="dxa"/>
            <w:shd w:val="clear" w:color="auto" w:fill="auto"/>
          </w:tcPr>
          <w:p w14:paraId="16A8C5AD" w14:textId="360C26FD" w:rsidR="00D52BA5" w:rsidRPr="005373EB" w:rsidRDefault="00D52BA5" w:rsidP="0062216A">
            <w:pPr>
              <w:pStyle w:val="TableTextbold"/>
              <w:spacing w:before="40"/>
              <w:rPr>
                <w:rFonts w:eastAsia="Times New Roman" w:cs="Calibri"/>
                <w:szCs w:val="18"/>
              </w:rPr>
            </w:pPr>
          </w:p>
        </w:tc>
        <w:tc>
          <w:tcPr>
            <w:tcW w:w="1571" w:type="dxa"/>
            <w:shd w:val="clear" w:color="auto" w:fill="auto"/>
          </w:tcPr>
          <w:p w14:paraId="63B4397D" w14:textId="086960AE" w:rsidR="00D52BA5" w:rsidRPr="005373EB" w:rsidRDefault="00D52BA5" w:rsidP="0062216A">
            <w:pPr>
              <w:pStyle w:val="TableTextbold"/>
              <w:spacing w:before="40"/>
              <w:rPr>
                <w:rFonts w:eastAsia="Times New Roman" w:cs="Calibri"/>
                <w:szCs w:val="18"/>
              </w:rPr>
            </w:pPr>
          </w:p>
        </w:tc>
        <w:tc>
          <w:tcPr>
            <w:tcW w:w="1571" w:type="dxa"/>
            <w:shd w:val="clear" w:color="auto" w:fill="auto"/>
          </w:tcPr>
          <w:p w14:paraId="140E60BB" w14:textId="4DAE96CD" w:rsidR="00D52BA5" w:rsidRPr="005373EB" w:rsidRDefault="00D52BA5" w:rsidP="0062216A">
            <w:pPr>
              <w:pStyle w:val="TableTextbold"/>
              <w:spacing w:before="40"/>
              <w:rPr>
                <w:rFonts w:eastAsia="Times New Roman" w:cs="Calibri"/>
                <w:szCs w:val="18"/>
              </w:rPr>
            </w:pPr>
          </w:p>
        </w:tc>
      </w:tr>
      <w:tr w:rsidR="00D52BA5" w:rsidRPr="005373EB" w14:paraId="108FEF35" w14:textId="77777777" w:rsidTr="00AE6B2A">
        <w:tc>
          <w:tcPr>
            <w:tcW w:w="3792" w:type="dxa"/>
            <w:shd w:val="clear" w:color="auto" w:fill="auto"/>
            <w:vAlign w:val="center"/>
            <w:hideMark/>
          </w:tcPr>
          <w:p w14:paraId="02223054" w14:textId="77777777" w:rsidR="00D52BA5" w:rsidRPr="005373EB" w:rsidRDefault="00D52BA5" w:rsidP="004003AA">
            <w:pPr>
              <w:pStyle w:val="TableBullet"/>
              <w:rPr>
                <w:rFonts w:cs="Calibri"/>
                <w:szCs w:val="18"/>
              </w:rPr>
            </w:pPr>
            <w:r w:rsidRPr="005373EB">
              <w:rPr>
                <w:rFonts w:cs="Calibri"/>
                <w:szCs w:val="18"/>
              </w:rPr>
              <w:t>Low impact estimate</w:t>
            </w:r>
          </w:p>
        </w:tc>
        <w:tc>
          <w:tcPr>
            <w:tcW w:w="1571" w:type="dxa"/>
            <w:shd w:val="clear" w:color="auto" w:fill="auto"/>
          </w:tcPr>
          <w:p w14:paraId="74A4ABAD" w14:textId="2BC7D2C8"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2.7</w:t>
            </w:r>
          </w:p>
        </w:tc>
        <w:tc>
          <w:tcPr>
            <w:tcW w:w="1571" w:type="dxa"/>
            <w:shd w:val="clear" w:color="auto" w:fill="auto"/>
          </w:tcPr>
          <w:p w14:paraId="6C5B0FA5" w14:textId="5861337F"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16.1</w:t>
            </w:r>
          </w:p>
        </w:tc>
        <w:tc>
          <w:tcPr>
            <w:tcW w:w="1571" w:type="dxa"/>
            <w:shd w:val="clear" w:color="auto" w:fill="auto"/>
          </w:tcPr>
          <w:p w14:paraId="7C743130" w14:textId="32884BBB"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19.3</w:t>
            </w:r>
          </w:p>
        </w:tc>
      </w:tr>
      <w:tr w:rsidR="00D52BA5" w:rsidRPr="005373EB" w14:paraId="6D7A239F" w14:textId="77777777" w:rsidTr="00AE6B2A">
        <w:tc>
          <w:tcPr>
            <w:tcW w:w="3792" w:type="dxa"/>
            <w:shd w:val="clear" w:color="auto" w:fill="auto"/>
            <w:vAlign w:val="center"/>
            <w:hideMark/>
          </w:tcPr>
          <w:p w14:paraId="7CD885F6" w14:textId="77777777" w:rsidR="00D52BA5" w:rsidRPr="005373EB" w:rsidRDefault="00D52BA5" w:rsidP="004003AA">
            <w:pPr>
              <w:pStyle w:val="TableBullet"/>
              <w:rPr>
                <w:rFonts w:cs="Calibri"/>
                <w:szCs w:val="18"/>
              </w:rPr>
            </w:pPr>
            <w:r w:rsidRPr="005373EB">
              <w:rPr>
                <w:rFonts w:cs="Calibri"/>
                <w:szCs w:val="18"/>
              </w:rPr>
              <w:t xml:space="preserve">High impact estimate </w:t>
            </w:r>
          </w:p>
        </w:tc>
        <w:tc>
          <w:tcPr>
            <w:tcW w:w="1571" w:type="dxa"/>
            <w:shd w:val="clear" w:color="auto" w:fill="auto"/>
          </w:tcPr>
          <w:p w14:paraId="19983A09" w14:textId="5DC14012"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6.2</w:t>
            </w:r>
          </w:p>
        </w:tc>
        <w:tc>
          <w:tcPr>
            <w:tcW w:w="1571" w:type="dxa"/>
            <w:shd w:val="clear" w:color="auto" w:fill="auto"/>
          </w:tcPr>
          <w:p w14:paraId="7FF734EC" w14:textId="1D4507EB"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27.6</w:t>
            </w:r>
          </w:p>
        </w:tc>
        <w:tc>
          <w:tcPr>
            <w:tcW w:w="1571" w:type="dxa"/>
            <w:shd w:val="clear" w:color="auto" w:fill="auto"/>
          </w:tcPr>
          <w:p w14:paraId="49B630C7" w14:textId="47DBC99E"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33.2</w:t>
            </w:r>
          </w:p>
        </w:tc>
      </w:tr>
      <w:tr w:rsidR="00D52BA5" w:rsidRPr="005373EB" w14:paraId="772A33D3" w14:textId="77777777" w:rsidTr="00AE6B2A">
        <w:tc>
          <w:tcPr>
            <w:tcW w:w="3792" w:type="dxa"/>
            <w:shd w:val="clear" w:color="auto" w:fill="auto"/>
            <w:vAlign w:val="center"/>
            <w:hideMark/>
          </w:tcPr>
          <w:p w14:paraId="01B58918" w14:textId="77777777" w:rsidR="00D52BA5" w:rsidRPr="005373EB" w:rsidRDefault="00D52BA5" w:rsidP="0062216A">
            <w:pPr>
              <w:pStyle w:val="TableTextbold"/>
              <w:spacing w:before="40"/>
              <w:rPr>
                <w:rFonts w:cs="Calibri"/>
                <w:szCs w:val="18"/>
              </w:rPr>
            </w:pPr>
            <w:r w:rsidRPr="005373EB">
              <w:rPr>
                <w:rFonts w:cs="Calibri"/>
                <w:szCs w:val="18"/>
              </w:rPr>
              <w:t>Waste</w:t>
            </w:r>
          </w:p>
        </w:tc>
        <w:tc>
          <w:tcPr>
            <w:tcW w:w="1571" w:type="dxa"/>
            <w:shd w:val="clear" w:color="auto" w:fill="auto"/>
          </w:tcPr>
          <w:p w14:paraId="2C591AC9" w14:textId="5E8251A5" w:rsidR="00D52BA5" w:rsidRPr="005373EB" w:rsidRDefault="00D52BA5" w:rsidP="0062216A">
            <w:pPr>
              <w:pStyle w:val="TableText"/>
              <w:spacing w:before="40"/>
              <w:jc w:val="right"/>
              <w:rPr>
                <w:rFonts w:cs="Calibri"/>
                <w:szCs w:val="18"/>
              </w:rPr>
            </w:pPr>
          </w:p>
        </w:tc>
        <w:tc>
          <w:tcPr>
            <w:tcW w:w="1571" w:type="dxa"/>
            <w:shd w:val="clear" w:color="auto" w:fill="auto"/>
          </w:tcPr>
          <w:p w14:paraId="71656C48" w14:textId="48830C52" w:rsidR="00D52BA5" w:rsidRPr="005373EB" w:rsidRDefault="00D52BA5" w:rsidP="0062216A">
            <w:pPr>
              <w:pStyle w:val="TableText"/>
              <w:spacing w:before="40"/>
              <w:jc w:val="right"/>
              <w:rPr>
                <w:rFonts w:cs="Calibri"/>
                <w:szCs w:val="18"/>
              </w:rPr>
            </w:pPr>
          </w:p>
        </w:tc>
        <w:tc>
          <w:tcPr>
            <w:tcW w:w="1571" w:type="dxa"/>
            <w:shd w:val="clear" w:color="auto" w:fill="auto"/>
          </w:tcPr>
          <w:p w14:paraId="5AF80023" w14:textId="667C7669" w:rsidR="00D52BA5" w:rsidRPr="005373EB" w:rsidRDefault="00D52BA5" w:rsidP="0062216A">
            <w:pPr>
              <w:pStyle w:val="TableText"/>
              <w:spacing w:before="40"/>
              <w:jc w:val="right"/>
              <w:rPr>
                <w:rFonts w:cs="Calibri"/>
                <w:szCs w:val="18"/>
              </w:rPr>
            </w:pPr>
          </w:p>
        </w:tc>
      </w:tr>
      <w:tr w:rsidR="00D52BA5" w:rsidRPr="005373EB" w14:paraId="4FE0BAD1" w14:textId="77777777" w:rsidTr="00AE6B2A">
        <w:tc>
          <w:tcPr>
            <w:tcW w:w="3792" w:type="dxa"/>
            <w:shd w:val="clear" w:color="auto" w:fill="auto"/>
            <w:vAlign w:val="center"/>
            <w:hideMark/>
          </w:tcPr>
          <w:p w14:paraId="2913222F" w14:textId="77777777" w:rsidR="00D52BA5" w:rsidRPr="005373EB" w:rsidRDefault="00D52BA5" w:rsidP="004003AA">
            <w:pPr>
              <w:pStyle w:val="TableBullet"/>
              <w:rPr>
                <w:rFonts w:cs="Calibri"/>
                <w:szCs w:val="18"/>
              </w:rPr>
            </w:pPr>
            <w:r w:rsidRPr="005373EB">
              <w:rPr>
                <w:rFonts w:cs="Calibri"/>
                <w:szCs w:val="18"/>
              </w:rPr>
              <w:t>Low impact estimate</w:t>
            </w:r>
          </w:p>
        </w:tc>
        <w:tc>
          <w:tcPr>
            <w:tcW w:w="1571" w:type="dxa"/>
            <w:shd w:val="clear" w:color="auto" w:fill="auto"/>
          </w:tcPr>
          <w:p w14:paraId="5E133AB7" w14:textId="66D23C35"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0.2</w:t>
            </w:r>
          </w:p>
        </w:tc>
        <w:tc>
          <w:tcPr>
            <w:tcW w:w="1571" w:type="dxa"/>
            <w:shd w:val="clear" w:color="auto" w:fill="auto"/>
          </w:tcPr>
          <w:p w14:paraId="22C06FED" w14:textId="4FA74AB3"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1.9</w:t>
            </w:r>
          </w:p>
        </w:tc>
        <w:tc>
          <w:tcPr>
            <w:tcW w:w="1571" w:type="dxa"/>
            <w:shd w:val="clear" w:color="auto" w:fill="auto"/>
          </w:tcPr>
          <w:p w14:paraId="4B928AB9" w14:textId="34BCF1BF"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3.8</w:t>
            </w:r>
          </w:p>
        </w:tc>
      </w:tr>
      <w:tr w:rsidR="00D52BA5" w:rsidRPr="005373EB" w14:paraId="12D23491" w14:textId="77777777" w:rsidTr="00AE6B2A">
        <w:tc>
          <w:tcPr>
            <w:tcW w:w="3792" w:type="dxa"/>
            <w:shd w:val="clear" w:color="auto" w:fill="auto"/>
            <w:vAlign w:val="center"/>
            <w:hideMark/>
          </w:tcPr>
          <w:p w14:paraId="7B6BB512" w14:textId="77777777" w:rsidR="00D52BA5" w:rsidRPr="005373EB" w:rsidRDefault="00D52BA5" w:rsidP="004003AA">
            <w:pPr>
              <w:pStyle w:val="TableBullet"/>
              <w:rPr>
                <w:rFonts w:cs="Calibri"/>
                <w:szCs w:val="18"/>
              </w:rPr>
            </w:pPr>
            <w:r w:rsidRPr="005373EB">
              <w:rPr>
                <w:rFonts w:cs="Calibri"/>
                <w:szCs w:val="18"/>
              </w:rPr>
              <w:t xml:space="preserve">High impact estimate </w:t>
            </w:r>
          </w:p>
        </w:tc>
        <w:tc>
          <w:tcPr>
            <w:tcW w:w="1571" w:type="dxa"/>
            <w:shd w:val="clear" w:color="auto" w:fill="auto"/>
          </w:tcPr>
          <w:p w14:paraId="6E0E68E0" w14:textId="3482822B"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0.4</w:t>
            </w:r>
          </w:p>
        </w:tc>
        <w:tc>
          <w:tcPr>
            <w:tcW w:w="1571" w:type="dxa"/>
            <w:shd w:val="clear" w:color="auto" w:fill="auto"/>
          </w:tcPr>
          <w:p w14:paraId="39DA4499" w14:textId="6D1F4B25"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2.7</w:t>
            </w:r>
          </w:p>
        </w:tc>
        <w:tc>
          <w:tcPr>
            <w:tcW w:w="1571" w:type="dxa"/>
            <w:shd w:val="clear" w:color="auto" w:fill="auto"/>
          </w:tcPr>
          <w:p w14:paraId="058678BA" w14:textId="7B817038"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4.5</w:t>
            </w:r>
          </w:p>
        </w:tc>
      </w:tr>
      <w:tr w:rsidR="00D52BA5" w:rsidRPr="005373EB" w14:paraId="5A6DD03B" w14:textId="77777777" w:rsidTr="00AE6B2A">
        <w:tc>
          <w:tcPr>
            <w:tcW w:w="3792" w:type="dxa"/>
            <w:shd w:val="clear" w:color="auto" w:fill="auto"/>
            <w:vAlign w:val="center"/>
            <w:hideMark/>
          </w:tcPr>
          <w:p w14:paraId="25374C9C" w14:textId="00110BA9" w:rsidR="00D52BA5" w:rsidRPr="005373EB" w:rsidRDefault="00D52BA5" w:rsidP="0062216A">
            <w:pPr>
              <w:pStyle w:val="TableTextbold"/>
              <w:spacing w:before="40"/>
              <w:rPr>
                <w:rFonts w:cs="Calibri"/>
                <w:szCs w:val="18"/>
              </w:rPr>
            </w:pPr>
            <w:r w:rsidRPr="005373EB">
              <w:rPr>
                <w:rFonts w:cs="Calibri"/>
                <w:szCs w:val="18"/>
              </w:rPr>
              <w:t>F</w:t>
            </w:r>
            <w:r w:rsidR="00E96042" w:rsidRPr="005373EB">
              <w:rPr>
                <w:rFonts w:cs="Calibri"/>
                <w:szCs w:val="18"/>
              </w:rPr>
              <w:t>luorinated</w:t>
            </w:r>
            <w:r w:rsidR="00E96042" w:rsidRPr="005373EB" w:rsidDel="00E96042">
              <w:rPr>
                <w:rFonts w:cs="Calibri"/>
                <w:szCs w:val="18"/>
              </w:rPr>
              <w:t xml:space="preserve"> </w:t>
            </w:r>
            <w:r w:rsidRPr="005373EB">
              <w:rPr>
                <w:rFonts w:cs="Calibri"/>
                <w:szCs w:val="18"/>
              </w:rPr>
              <w:t>gases</w:t>
            </w:r>
          </w:p>
        </w:tc>
        <w:tc>
          <w:tcPr>
            <w:tcW w:w="1571" w:type="dxa"/>
            <w:shd w:val="clear" w:color="auto" w:fill="auto"/>
          </w:tcPr>
          <w:p w14:paraId="5582BD69" w14:textId="19CD7AD6" w:rsidR="00D52BA5" w:rsidRPr="005373EB" w:rsidRDefault="00D52BA5" w:rsidP="0062216A">
            <w:pPr>
              <w:pStyle w:val="TableText"/>
              <w:spacing w:before="40"/>
              <w:jc w:val="right"/>
              <w:rPr>
                <w:rFonts w:cs="Calibri"/>
                <w:szCs w:val="18"/>
              </w:rPr>
            </w:pPr>
          </w:p>
        </w:tc>
        <w:tc>
          <w:tcPr>
            <w:tcW w:w="1571" w:type="dxa"/>
            <w:shd w:val="clear" w:color="auto" w:fill="auto"/>
          </w:tcPr>
          <w:p w14:paraId="13A93C97" w14:textId="7AEE1AE3" w:rsidR="00D52BA5" w:rsidRPr="005373EB" w:rsidRDefault="00D52BA5" w:rsidP="0062216A">
            <w:pPr>
              <w:pStyle w:val="TableText"/>
              <w:spacing w:before="40"/>
              <w:jc w:val="right"/>
              <w:rPr>
                <w:rFonts w:cs="Calibri"/>
                <w:szCs w:val="18"/>
              </w:rPr>
            </w:pPr>
          </w:p>
        </w:tc>
        <w:tc>
          <w:tcPr>
            <w:tcW w:w="1571" w:type="dxa"/>
            <w:shd w:val="clear" w:color="auto" w:fill="auto"/>
          </w:tcPr>
          <w:p w14:paraId="5E861F5B" w14:textId="1B8A6AAE" w:rsidR="00D52BA5" w:rsidRPr="005373EB" w:rsidRDefault="00D52BA5" w:rsidP="0062216A">
            <w:pPr>
              <w:pStyle w:val="TableText"/>
              <w:spacing w:before="40"/>
              <w:jc w:val="right"/>
              <w:rPr>
                <w:rFonts w:cs="Calibri"/>
                <w:szCs w:val="18"/>
              </w:rPr>
            </w:pPr>
          </w:p>
        </w:tc>
      </w:tr>
      <w:tr w:rsidR="00D52BA5" w:rsidRPr="005373EB" w14:paraId="29523E48" w14:textId="77777777" w:rsidTr="00AE6B2A">
        <w:tc>
          <w:tcPr>
            <w:tcW w:w="3792" w:type="dxa"/>
            <w:shd w:val="clear" w:color="auto" w:fill="auto"/>
            <w:vAlign w:val="center"/>
            <w:hideMark/>
          </w:tcPr>
          <w:p w14:paraId="41DA5009" w14:textId="77777777" w:rsidR="00D52BA5" w:rsidRPr="005373EB" w:rsidRDefault="00D52BA5" w:rsidP="004003AA">
            <w:pPr>
              <w:pStyle w:val="TableBullet"/>
              <w:rPr>
                <w:rFonts w:cs="Calibri"/>
                <w:szCs w:val="18"/>
              </w:rPr>
            </w:pPr>
            <w:r w:rsidRPr="005373EB">
              <w:rPr>
                <w:rFonts w:cs="Calibri"/>
                <w:szCs w:val="18"/>
              </w:rPr>
              <w:t>Low impact estimate</w:t>
            </w:r>
          </w:p>
        </w:tc>
        <w:tc>
          <w:tcPr>
            <w:tcW w:w="1571" w:type="dxa"/>
            <w:shd w:val="clear" w:color="auto" w:fill="auto"/>
          </w:tcPr>
          <w:p w14:paraId="6F3D329F" w14:textId="3609819A"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0.1</w:t>
            </w:r>
          </w:p>
        </w:tc>
        <w:tc>
          <w:tcPr>
            <w:tcW w:w="1571" w:type="dxa"/>
            <w:shd w:val="clear" w:color="auto" w:fill="auto"/>
          </w:tcPr>
          <w:p w14:paraId="19CBF74C" w14:textId="57C08DB0"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0.3</w:t>
            </w:r>
          </w:p>
        </w:tc>
        <w:tc>
          <w:tcPr>
            <w:tcW w:w="1571" w:type="dxa"/>
            <w:shd w:val="clear" w:color="auto" w:fill="auto"/>
          </w:tcPr>
          <w:p w14:paraId="40DAEA10" w14:textId="242723EA"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0.9</w:t>
            </w:r>
          </w:p>
        </w:tc>
      </w:tr>
      <w:tr w:rsidR="00D52BA5" w:rsidRPr="005373EB" w14:paraId="53419DD2" w14:textId="77777777" w:rsidTr="00AE6B2A">
        <w:tc>
          <w:tcPr>
            <w:tcW w:w="3792" w:type="dxa"/>
            <w:shd w:val="clear" w:color="auto" w:fill="auto"/>
            <w:vAlign w:val="center"/>
            <w:hideMark/>
          </w:tcPr>
          <w:p w14:paraId="532C1B29" w14:textId="77777777" w:rsidR="00D52BA5" w:rsidRPr="005373EB" w:rsidRDefault="00D52BA5" w:rsidP="004003AA">
            <w:pPr>
              <w:pStyle w:val="TableBullet"/>
              <w:rPr>
                <w:rFonts w:cs="Calibri"/>
                <w:szCs w:val="18"/>
              </w:rPr>
            </w:pPr>
            <w:r w:rsidRPr="005373EB">
              <w:rPr>
                <w:rFonts w:cs="Calibri"/>
                <w:szCs w:val="18"/>
              </w:rPr>
              <w:t xml:space="preserve">High impact estimate </w:t>
            </w:r>
          </w:p>
        </w:tc>
        <w:tc>
          <w:tcPr>
            <w:tcW w:w="1571" w:type="dxa"/>
            <w:shd w:val="clear" w:color="auto" w:fill="auto"/>
          </w:tcPr>
          <w:p w14:paraId="5E1AC6EA" w14:textId="20A214A7"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0.5</w:t>
            </w:r>
          </w:p>
        </w:tc>
        <w:tc>
          <w:tcPr>
            <w:tcW w:w="1571" w:type="dxa"/>
            <w:shd w:val="clear" w:color="auto" w:fill="auto"/>
          </w:tcPr>
          <w:p w14:paraId="444DE2BD" w14:textId="2F28725A"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1.0</w:t>
            </w:r>
          </w:p>
        </w:tc>
        <w:tc>
          <w:tcPr>
            <w:tcW w:w="1571" w:type="dxa"/>
            <w:shd w:val="clear" w:color="auto" w:fill="auto"/>
          </w:tcPr>
          <w:p w14:paraId="7B003D6E" w14:textId="584D0478" w:rsidR="00D52BA5" w:rsidRPr="005373EB" w:rsidRDefault="00832112" w:rsidP="004003AA">
            <w:pPr>
              <w:pStyle w:val="TableText"/>
              <w:jc w:val="right"/>
              <w:rPr>
                <w:rFonts w:eastAsia="MS Mincho" w:cs="Calibri"/>
                <w:szCs w:val="18"/>
              </w:rPr>
            </w:pPr>
            <w:r w:rsidRPr="005373EB">
              <w:rPr>
                <w:rFonts w:cs="Calibri"/>
                <w:szCs w:val="18"/>
              </w:rPr>
              <w:t>–</w:t>
            </w:r>
            <w:r w:rsidR="00D52BA5" w:rsidRPr="005373EB">
              <w:rPr>
                <w:rFonts w:cs="Calibri"/>
                <w:szCs w:val="18"/>
              </w:rPr>
              <w:t>1.7</w:t>
            </w:r>
          </w:p>
        </w:tc>
      </w:tr>
      <w:tr w:rsidR="00D52BA5" w:rsidRPr="005373EB" w14:paraId="6273FAEC" w14:textId="77777777" w:rsidTr="00AE6B2A">
        <w:tc>
          <w:tcPr>
            <w:tcW w:w="3792" w:type="dxa"/>
            <w:shd w:val="clear" w:color="auto" w:fill="auto"/>
            <w:vAlign w:val="center"/>
            <w:hideMark/>
          </w:tcPr>
          <w:p w14:paraId="17505AAE" w14:textId="77777777" w:rsidR="00D52BA5" w:rsidRPr="005373EB" w:rsidRDefault="00D52BA5" w:rsidP="0062216A">
            <w:pPr>
              <w:pStyle w:val="TableTextbold"/>
              <w:keepNext/>
              <w:spacing w:before="40"/>
              <w:rPr>
                <w:rFonts w:cs="Calibri"/>
                <w:szCs w:val="18"/>
              </w:rPr>
            </w:pPr>
            <w:r w:rsidRPr="005373EB">
              <w:rPr>
                <w:rFonts w:cs="Calibri"/>
                <w:szCs w:val="18"/>
              </w:rPr>
              <w:t>Agriculture</w:t>
            </w:r>
          </w:p>
        </w:tc>
        <w:tc>
          <w:tcPr>
            <w:tcW w:w="1571" w:type="dxa"/>
            <w:shd w:val="clear" w:color="auto" w:fill="auto"/>
          </w:tcPr>
          <w:p w14:paraId="00B39371" w14:textId="7B943865" w:rsidR="00D52BA5" w:rsidRPr="005373EB" w:rsidRDefault="00D52BA5" w:rsidP="0062216A">
            <w:pPr>
              <w:pStyle w:val="TableText"/>
              <w:keepNext/>
              <w:spacing w:before="40"/>
              <w:jc w:val="right"/>
              <w:rPr>
                <w:rFonts w:cs="Calibri"/>
                <w:szCs w:val="18"/>
              </w:rPr>
            </w:pPr>
          </w:p>
        </w:tc>
        <w:tc>
          <w:tcPr>
            <w:tcW w:w="1571" w:type="dxa"/>
            <w:shd w:val="clear" w:color="auto" w:fill="auto"/>
          </w:tcPr>
          <w:p w14:paraId="042BFB72" w14:textId="004483AA" w:rsidR="00D52BA5" w:rsidRPr="005373EB" w:rsidRDefault="00D52BA5" w:rsidP="0062216A">
            <w:pPr>
              <w:pStyle w:val="TableText"/>
              <w:keepNext/>
              <w:spacing w:before="40"/>
              <w:jc w:val="right"/>
              <w:rPr>
                <w:rFonts w:cs="Calibri"/>
                <w:szCs w:val="18"/>
              </w:rPr>
            </w:pPr>
          </w:p>
        </w:tc>
        <w:tc>
          <w:tcPr>
            <w:tcW w:w="1571" w:type="dxa"/>
            <w:shd w:val="clear" w:color="auto" w:fill="auto"/>
          </w:tcPr>
          <w:p w14:paraId="2659EA08" w14:textId="5F7BC5BB" w:rsidR="00D52BA5" w:rsidRPr="005373EB" w:rsidRDefault="00D52BA5" w:rsidP="0062216A">
            <w:pPr>
              <w:pStyle w:val="TableText"/>
              <w:keepNext/>
              <w:spacing w:before="40"/>
              <w:jc w:val="right"/>
              <w:rPr>
                <w:rFonts w:cs="Calibri"/>
                <w:szCs w:val="18"/>
              </w:rPr>
            </w:pPr>
          </w:p>
        </w:tc>
      </w:tr>
      <w:tr w:rsidR="00D52BA5" w:rsidRPr="005373EB" w14:paraId="4D610A69" w14:textId="77777777" w:rsidTr="00AE6B2A">
        <w:tc>
          <w:tcPr>
            <w:tcW w:w="3792" w:type="dxa"/>
            <w:shd w:val="clear" w:color="auto" w:fill="auto"/>
            <w:vAlign w:val="center"/>
            <w:hideMark/>
          </w:tcPr>
          <w:p w14:paraId="166E0B43" w14:textId="77777777" w:rsidR="00D52BA5" w:rsidRPr="005373EB" w:rsidRDefault="00D52BA5" w:rsidP="004003AA">
            <w:pPr>
              <w:pStyle w:val="TableBullet"/>
              <w:rPr>
                <w:rFonts w:cs="Calibri"/>
                <w:szCs w:val="18"/>
              </w:rPr>
            </w:pPr>
            <w:r w:rsidRPr="005373EB">
              <w:rPr>
                <w:rFonts w:cs="Calibri"/>
                <w:szCs w:val="18"/>
              </w:rPr>
              <w:t>Low impact estimate</w:t>
            </w:r>
          </w:p>
        </w:tc>
        <w:tc>
          <w:tcPr>
            <w:tcW w:w="1571" w:type="dxa"/>
            <w:shd w:val="clear" w:color="auto" w:fill="auto"/>
          </w:tcPr>
          <w:p w14:paraId="16B2CB21" w14:textId="498842F0" w:rsidR="00D52BA5" w:rsidRPr="005373EB" w:rsidRDefault="00832112" w:rsidP="004003AA">
            <w:pPr>
              <w:pStyle w:val="TableText"/>
              <w:jc w:val="right"/>
              <w:rPr>
                <w:rFonts w:cs="Calibri"/>
                <w:szCs w:val="18"/>
              </w:rPr>
            </w:pPr>
            <w:r w:rsidRPr="005373EB">
              <w:rPr>
                <w:rFonts w:cs="Calibri"/>
                <w:szCs w:val="18"/>
              </w:rPr>
              <w:t>–</w:t>
            </w:r>
            <w:r w:rsidR="00D52BA5" w:rsidRPr="005373EB">
              <w:rPr>
                <w:rFonts w:cs="Calibri"/>
                <w:szCs w:val="18"/>
              </w:rPr>
              <w:t>0.3</w:t>
            </w:r>
          </w:p>
        </w:tc>
        <w:tc>
          <w:tcPr>
            <w:tcW w:w="1571" w:type="dxa"/>
            <w:shd w:val="clear" w:color="auto" w:fill="auto"/>
          </w:tcPr>
          <w:p w14:paraId="642776E5" w14:textId="5B2F1A1B" w:rsidR="00D52BA5" w:rsidRPr="005373EB" w:rsidRDefault="00832112" w:rsidP="004003AA">
            <w:pPr>
              <w:pStyle w:val="TableText"/>
              <w:jc w:val="right"/>
              <w:rPr>
                <w:rFonts w:cs="Calibri"/>
                <w:szCs w:val="18"/>
              </w:rPr>
            </w:pPr>
            <w:r w:rsidRPr="005373EB">
              <w:rPr>
                <w:rFonts w:cs="Calibri"/>
                <w:szCs w:val="18"/>
              </w:rPr>
              <w:t>–</w:t>
            </w:r>
            <w:r w:rsidR="00D52BA5" w:rsidRPr="005373EB">
              <w:rPr>
                <w:rFonts w:cs="Calibri"/>
                <w:szCs w:val="18"/>
              </w:rPr>
              <w:t>3.8</w:t>
            </w:r>
          </w:p>
        </w:tc>
        <w:tc>
          <w:tcPr>
            <w:tcW w:w="1571" w:type="dxa"/>
            <w:shd w:val="clear" w:color="auto" w:fill="auto"/>
          </w:tcPr>
          <w:p w14:paraId="59091B16" w14:textId="6AB0E2F5" w:rsidR="00D52BA5" w:rsidRPr="005373EB" w:rsidRDefault="00832112" w:rsidP="004003AA">
            <w:pPr>
              <w:pStyle w:val="TableText"/>
              <w:jc w:val="right"/>
              <w:rPr>
                <w:rFonts w:cs="Calibri"/>
                <w:szCs w:val="18"/>
              </w:rPr>
            </w:pPr>
            <w:r w:rsidRPr="005373EB">
              <w:rPr>
                <w:rFonts w:cs="Calibri"/>
                <w:szCs w:val="18"/>
              </w:rPr>
              <w:t>–</w:t>
            </w:r>
            <w:r w:rsidR="00D52BA5" w:rsidRPr="005373EB">
              <w:rPr>
                <w:rFonts w:cs="Calibri"/>
                <w:szCs w:val="18"/>
              </w:rPr>
              <w:t>19.1</w:t>
            </w:r>
          </w:p>
        </w:tc>
      </w:tr>
      <w:tr w:rsidR="00D52BA5" w:rsidRPr="005373EB" w14:paraId="24BC4F41" w14:textId="77777777" w:rsidTr="00AE6B2A">
        <w:tc>
          <w:tcPr>
            <w:tcW w:w="3792" w:type="dxa"/>
            <w:shd w:val="clear" w:color="auto" w:fill="auto"/>
            <w:vAlign w:val="center"/>
            <w:hideMark/>
          </w:tcPr>
          <w:p w14:paraId="1ED93BCF" w14:textId="77777777" w:rsidR="00D52BA5" w:rsidRPr="005373EB" w:rsidRDefault="00D52BA5" w:rsidP="004003AA">
            <w:pPr>
              <w:pStyle w:val="TableBullet"/>
              <w:rPr>
                <w:rFonts w:cs="Calibri"/>
                <w:szCs w:val="18"/>
              </w:rPr>
            </w:pPr>
            <w:r w:rsidRPr="005373EB">
              <w:rPr>
                <w:rFonts w:cs="Calibri"/>
                <w:szCs w:val="18"/>
              </w:rPr>
              <w:t xml:space="preserve">High impact estimate </w:t>
            </w:r>
          </w:p>
        </w:tc>
        <w:tc>
          <w:tcPr>
            <w:tcW w:w="1571" w:type="dxa"/>
            <w:shd w:val="clear" w:color="auto" w:fill="auto"/>
          </w:tcPr>
          <w:p w14:paraId="0ED829A0" w14:textId="0B2F5469" w:rsidR="00D52BA5" w:rsidRPr="005373EB" w:rsidRDefault="00832112" w:rsidP="004003AA">
            <w:pPr>
              <w:pStyle w:val="TableText"/>
              <w:jc w:val="right"/>
              <w:rPr>
                <w:rFonts w:cs="Calibri"/>
                <w:szCs w:val="18"/>
              </w:rPr>
            </w:pPr>
            <w:r w:rsidRPr="005373EB">
              <w:rPr>
                <w:rFonts w:cs="Calibri"/>
                <w:szCs w:val="18"/>
              </w:rPr>
              <w:t>–</w:t>
            </w:r>
            <w:r w:rsidR="00D52BA5" w:rsidRPr="005373EB">
              <w:rPr>
                <w:rFonts w:cs="Calibri"/>
                <w:szCs w:val="18"/>
              </w:rPr>
              <w:t>2.7</w:t>
            </w:r>
          </w:p>
        </w:tc>
        <w:tc>
          <w:tcPr>
            <w:tcW w:w="1571" w:type="dxa"/>
            <w:shd w:val="clear" w:color="auto" w:fill="auto"/>
          </w:tcPr>
          <w:p w14:paraId="15C1A629" w14:textId="5869AE48" w:rsidR="00D52BA5" w:rsidRPr="005373EB" w:rsidRDefault="00832112" w:rsidP="004003AA">
            <w:pPr>
              <w:pStyle w:val="TableText"/>
              <w:jc w:val="right"/>
              <w:rPr>
                <w:rFonts w:cs="Calibri"/>
                <w:szCs w:val="18"/>
              </w:rPr>
            </w:pPr>
            <w:r w:rsidRPr="005373EB">
              <w:rPr>
                <w:rFonts w:cs="Calibri"/>
                <w:szCs w:val="18"/>
              </w:rPr>
              <w:t>–</w:t>
            </w:r>
            <w:r w:rsidR="00D52BA5" w:rsidRPr="005373EB">
              <w:rPr>
                <w:rFonts w:cs="Calibri"/>
                <w:szCs w:val="18"/>
              </w:rPr>
              <w:t>53.8</w:t>
            </w:r>
          </w:p>
        </w:tc>
        <w:tc>
          <w:tcPr>
            <w:tcW w:w="1571" w:type="dxa"/>
            <w:shd w:val="clear" w:color="auto" w:fill="auto"/>
          </w:tcPr>
          <w:p w14:paraId="41102DDD" w14:textId="3E80E246" w:rsidR="00D52BA5" w:rsidRPr="005373EB" w:rsidRDefault="00832112" w:rsidP="004003AA">
            <w:pPr>
              <w:pStyle w:val="TableText"/>
              <w:jc w:val="right"/>
              <w:rPr>
                <w:rFonts w:cs="Calibri"/>
                <w:szCs w:val="18"/>
              </w:rPr>
            </w:pPr>
            <w:r w:rsidRPr="005373EB">
              <w:rPr>
                <w:rFonts w:cs="Calibri"/>
                <w:szCs w:val="18"/>
              </w:rPr>
              <w:t>–</w:t>
            </w:r>
            <w:r w:rsidR="00D52BA5" w:rsidRPr="005373EB">
              <w:rPr>
                <w:rFonts w:cs="Calibri"/>
                <w:szCs w:val="18"/>
              </w:rPr>
              <w:t>64.1</w:t>
            </w:r>
          </w:p>
        </w:tc>
      </w:tr>
      <w:tr w:rsidR="00D52BA5" w:rsidRPr="005373EB" w14:paraId="5D0A06F8" w14:textId="77777777" w:rsidTr="00AE6B2A">
        <w:tc>
          <w:tcPr>
            <w:tcW w:w="3792" w:type="dxa"/>
            <w:shd w:val="clear" w:color="auto" w:fill="auto"/>
            <w:vAlign w:val="center"/>
            <w:hideMark/>
          </w:tcPr>
          <w:p w14:paraId="67392D87" w14:textId="788E79CB" w:rsidR="00D52BA5" w:rsidRPr="005373EB" w:rsidRDefault="00D52BA5" w:rsidP="0062216A">
            <w:pPr>
              <w:pStyle w:val="TableTextbold"/>
              <w:spacing w:before="40"/>
              <w:rPr>
                <w:rFonts w:cs="Calibri"/>
                <w:szCs w:val="18"/>
              </w:rPr>
            </w:pPr>
            <w:r w:rsidRPr="005373EB">
              <w:rPr>
                <w:rFonts w:cs="Calibri"/>
                <w:szCs w:val="18"/>
              </w:rPr>
              <w:lastRenderedPageBreak/>
              <w:t>Forestry</w:t>
            </w:r>
            <w:r w:rsidR="002561A1" w:rsidRPr="005373EB">
              <w:rPr>
                <w:rStyle w:val="FootnoteReference"/>
                <w:rFonts w:eastAsia="MS Mincho" w:cs="Calibri"/>
                <w:bCs/>
                <w:sz w:val="18"/>
                <w:szCs w:val="18"/>
              </w:rPr>
              <w:footnoteReference w:id="3"/>
            </w:r>
          </w:p>
        </w:tc>
        <w:tc>
          <w:tcPr>
            <w:tcW w:w="1571" w:type="dxa"/>
            <w:shd w:val="clear" w:color="auto" w:fill="auto"/>
          </w:tcPr>
          <w:p w14:paraId="179487BC" w14:textId="54F7CEA7" w:rsidR="00D52BA5" w:rsidRPr="005373EB" w:rsidRDefault="00D52BA5" w:rsidP="0062216A">
            <w:pPr>
              <w:pStyle w:val="TableText"/>
              <w:spacing w:before="40"/>
              <w:rPr>
                <w:rFonts w:cs="Calibri"/>
                <w:szCs w:val="18"/>
              </w:rPr>
            </w:pPr>
          </w:p>
        </w:tc>
        <w:tc>
          <w:tcPr>
            <w:tcW w:w="1571" w:type="dxa"/>
            <w:shd w:val="clear" w:color="auto" w:fill="auto"/>
          </w:tcPr>
          <w:p w14:paraId="3827FC28" w14:textId="41BFD261" w:rsidR="00D52BA5" w:rsidRPr="005373EB" w:rsidRDefault="00D52BA5" w:rsidP="0062216A">
            <w:pPr>
              <w:pStyle w:val="TableText"/>
              <w:spacing w:before="40"/>
              <w:rPr>
                <w:rFonts w:cs="Calibri"/>
                <w:szCs w:val="18"/>
              </w:rPr>
            </w:pPr>
          </w:p>
        </w:tc>
        <w:tc>
          <w:tcPr>
            <w:tcW w:w="1571" w:type="dxa"/>
            <w:shd w:val="clear" w:color="auto" w:fill="auto"/>
          </w:tcPr>
          <w:p w14:paraId="71016198" w14:textId="76F6BAC9" w:rsidR="00D52BA5" w:rsidRPr="005373EB" w:rsidRDefault="00D52BA5" w:rsidP="0062216A">
            <w:pPr>
              <w:pStyle w:val="TableText"/>
              <w:spacing w:before="40"/>
              <w:rPr>
                <w:rFonts w:cs="Calibri"/>
                <w:szCs w:val="18"/>
              </w:rPr>
            </w:pPr>
          </w:p>
        </w:tc>
      </w:tr>
      <w:tr w:rsidR="00D52BA5" w:rsidRPr="005373EB" w14:paraId="6C7F172D" w14:textId="77777777" w:rsidTr="00AE6B2A">
        <w:tc>
          <w:tcPr>
            <w:tcW w:w="3792" w:type="dxa"/>
            <w:shd w:val="clear" w:color="auto" w:fill="auto"/>
            <w:vAlign w:val="center"/>
            <w:hideMark/>
          </w:tcPr>
          <w:p w14:paraId="64BA3095" w14:textId="62B3251E" w:rsidR="00D52BA5" w:rsidRPr="005373EB" w:rsidRDefault="00D52BA5" w:rsidP="004003AA">
            <w:pPr>
              <w:pStyle w:val="TableBullet"/>
              <w:rPr>
                <w:rFonts w:cs="Calibri"/>
                <w:szCs w:val="18"/>
              </w:rPr>
            </w:pPr>
            <w:r w:rsidRPr="005373EB">
              <w:rPr>
                <w:rFonts w:cs="Calibri"/>
                <w:szCs w:val="18"/>
              </w:rPr>
              <w:t>Low impact estimate</w:t>
            </w:r>
          </w:p>
        </w:tc>
        <w:tc>
          <w:tcPr>
            <w:tcW w:w="1571" w:type="dxa"/>
            <w:shd w:val="clear" w:color="auto" w:fill="auto"/>
          </w:tcPr>
          <w:p w14:paraId="55E6B1D3" w14:textId="31E097F8" w:rsidR="00D52BA5" w:rsidRPr="005373EB" w:rsidRDefault="00832112" w:rsidP="004003AA">
            <w:pPr>
              <w:pStyle w:val="TableText"/>
              <w:jc w:val="right"/>
              <w:rPr>
                <w:rFonts w:cs="Calibri"/>
                <w:szCs w:val="18"/>
              </w:rPr>
            </w:pPr>
            <w:r w:rsidRPr="005373EB">
              <w:rPr>
                <w:rFonts w:cs="Calibri"/>
                <w:szCs w:val="18"/>
              </w:rPr>
              <w:t>–</w:t>
            </w:r>
            <w:r w:rsidR="00D52BA5" w:rsidRPr="005373EB">
              <w:rPr>
                <w:rFonts w:cs="Calibri"/>
                <w:szCs w:val="18"/>
              </w:rPr>
              <w:t>0.3</w:t>
            </w:r>
          </w:p>
        </w:tc>
        <w:tc>
          <w:tcPr>
            <w:tcW w:w="1571" w:type="dxa"/>
            <w:shd w:val="clear" w:color="auto" w:fill="auto"/>
          </w:tcPr>
          <w:p w14:paraId="0E40C27F" w14:textId="7F2BFAC3" w:rsidR="00D52BA5" w:rsidRPr="005373EB" w:rsidRDefault="00832112" w:rsidP="004003AA">
            <w:pPr>
              <w:pStyle w:val="TableText"/>
              <w:jc w:val="right"/>
              <w:rPr>
                <w:rFonts w:cs="Calibri"/>
                <w:szCs w:val="18"/>
              </w:rPr>
            </w:pPr>
            <w:r w:rsidRPr="005373EB">
              <w:rPr>
                <w:rFonts w:cs="Calibri"/>
                <w:szCs w:val="18"/>
              </w:rPr>
              <w:t>–</w:t>
            </w:r>
            <w:r w:rsidR="00D52BA5" w:rsidRPr="005373EB">
              <w:rPr>
                <w:rFonts w:cs="Calibri"/>
                <w:szCs w:val="18"/>
              </w:rPr>
              <w:t>2.8</w:t>
            </w:r>
          </w:p>
        </w:tc>
        <w:tc>
          <w:tcPr>
            <w:tcW w:w="1571" w:type="dxa"/>
            <w:shd w:val="clear" w:color="auto" w:fill="auto"/>
          </w:tcPr>
          <w:p w14:paraId="6572499E" w14:textId="7496B1F2" w:rsidR="00D52BA5" w:rsidRPr="005373EB" w:rsidRDefault="00832112" w:rsidP="004003AA">
            <w:pPr>
              <w:pStyle w:val="TableText"/>
              <w:jc w:val="right"/>
              <w:rPr>
                <w:rFonts w:cs="Calibri"/>
                <w:szCs w:val="18"/>
              </w:rPr>
            </w:pPr>
            <w:r w:rsidRPr="005373EB">
              <w:rPr>
                <w:rFonts w:cs="Calibri"/>
                <w:szCs w:val="18"/>
              </w:rPr>
              <w:t>–</w:t>
            </w:r>
            <w:r w:rsidR="65B096FB" w:rsidRPr="005373EB">
              <w:rPr>
                <w:rFonts w:cs="Calibri"/>
                <w:szCs w:val="18"/>
              </w:rPr>
              <w:t>7.1</w:t>
            </w:r>
          </w:p>
        </w:tc>
      </w:tr>
      <w:tr w:rsidR="00D52BA5" w:rsidRPr="005373EB" w14:paraId="34BF3DD2" w14:textId="77777777" w:rsidTr="00AE6B2A">
        <w:tc>
          <w:tcPr>
            <w:tcW w:w="3792" w:type="dxa"/>
            <w:shd w:val="clear" w:color="auto" w:fill="auto"/>
            <w:vAlign w:val="center"/>
            <w:hideMark/>
          </w:tcPr>
          <w:p w14:paraId="62A8FEF3" w14:textId="77777777" w:rsidR="00D52BA5" w:rsidRPr="005373EB" w:rsidRDefault="00D52BA5" w:rsidP="004003AA">
            <w:pPr>
              <w:pStyle w:val="TableBullet"/>
              <w:rPr>
                <w:rFonts w:cs="Calibri"/>
                <w:szCs w:val="18"/>
              </w:rPr>
            </w:pPr>
            <w:r w:rsidRPr="005373EB">
              <w:rPr>
                <w:rFonts w:cs="Calibri"/>
                <w:szCs w:val="18"/>
              </w:rPr>
              <w:t xml:space="preserve">High impact estimate </w:t>
            </w:r>
          </w:p>
        </w:tc>
        <w:tc>
          <w:tcPr>
            <w:tcW w:w="1571" w:type="dxa"/>
            <w:shd w:val="clear" w:color="auto" w:fill="auto"/>
          </w:tcPr>
          <w:p w14:paraId="084995CF" w14:textId="07F484EA" w:rsidR="00D52BA5" w:rsidRPr="005373EB" w:rsidRDefault="00945872" w:rsidP="004003AA">
            <w:pPr>
              <w:pStyle w:val="TableText"/>
              <w:jc w:val="right"/>
              <w:rPr>
                <w:rFonts w:cs="Calibri"/>
                <w:szCs w:val="18"/>
              </w:rPr>
            </w:pPr>
            <w:r w:rsidRPr="005373EB">
              <w:rPr>
                <w:rFonts w:cs="Calibri"/>
                <w:szCs w:val="18"/>
              </w:rPr>
              <w:t>–</w:t>
            </w:r>
            <w:r w:rsidR="00D52BA5" w:rsidRPr="005373EB">
              <w:rPr>
                <w:rFonts w:cs="Calibri"/>
                <w:szCs w:val="18"/>
              </w:rPr>
              <w:t>0.3</w:t>
            </w:r>
          </w:p>
        </w:tc>
        <w:tc>
          <w:tcPr>
            <w:tcW w:w="1571" w:type="dxa"/>
            <w:shd w:val="clear" w:color="auto" w:fill="auto"/>
          </w:tcPr>
          <w:p w14:paraId="0A04DE66" w14:textId="75E18E70" w:rsidR="00D52BA5" w:rsidRPr="005373EB" w:rsidRDefault="00945872" w:rsidP="004003AA">
            <w:pPr>
              <w:pStyle w:val="TableText"/>
              <w:jc w:val="right"/>
              <w:rPr>
                <w:rFonts w:cs="Calibri"/>
                <w:szCs w:val="18"/>
              </w:rPr>
            </w:pPr>
            <w:r w:rsidRPr="005373EB">
              <w:rPr>
                <w:rFonts w:cs="Calibri"/>
                <w:szCs w:val="18"/>
              </w:rPr>
              <w:t>–</w:t>
            </w:r>
            <w:r w:rsidR="00D52BA5" w:rsidRPr="005373EB">
              <w:rPr>
                <w:rFonts w:cs="Calibri"/>
                <w:szCs w:val="18"/>
              </w:rPr>
              <w:t>2.8</w:t>
            </w:r>
          </w:p>
        </w:tc>
        <w:tc>
          <w:tcPr>
            <w:tcW w:w="1571" w:type="dxa"/>
            <w:shd w:val="clear" w:color="auto" w:fill="auto"/>
          </w:tcPr>
          <w:p w14:paraId="77D4AB5E" w14:textId="25ACDEC8" w:rsidR="00D52BA5" w:rsidRPr="005373EB" w:rsidRDefault="00945872" w:rsidP="004003AA">
            <w:pPr>
              <w:pStyle w:val="TableText"/>
              <w:jc w:val="right"/>
              <w:rPr>
                <w:rFonts w:cs="Calibri"/>
                <w:szCs w:val="18"/>
              </w:rPr>
            </w:pPr>
            <w:r w:rsidRPr="005373EB">
              <w:rPr>
                <w:rFonts w:cs="Calibri"/>
                <w:szCs w:val="18"/>
              </w:rPr>
              <w:t>–</w:t>
            </w:r>
            <w:r w:rsidR="65B096FB" w:rsidRPr="005373EB">
              <w:rPr>
                <w:rFonts w:cs="Calibri"/>
                <w:szCs w:val="18"/>
              </w:rPr>
              <w:t>7.1</w:t>
            </w:r>
          </w:p>
        </w:tc>
      </w:tr>
      <w:tr w:rsidR="00D52BA5" w:rsidRPr="005373EB" w14:paraId="2FDDF9C1" w14:textId="77777777" w:rsidTr="00AE6B2A">
        <w:tc>
          <w:tcPr>
            <w:tcW w:w="3792" w:type="dxa"/>
            <w:shd w:val="clear" w:color="auto" w:fill="auto"/>
            <w:vAlign w:val="center"/>
            <w:hideMark/>
          </w:tcPr>
          <w:p w14:paraId="27B360C1" w14:textId="4990CD17" w:rsidR="00D52BA5" w:rsidRPr="005373EB" w:rsidRDefault="00D52BA5" w:rsidP="00AE6B2A">
            <w:pPr>
              <w:pStyle w:val="TableTextbold"/>
              <w:rPr>
                <w:rFonts w:cs="Calibri"/>
                <w:szCs w:val="18"/>
              </w:rPr>
            </w:pPr>
            <w:r w:rsidRPr="005373EB">
              <w:rPr>
                <w:rFonts w:cs="Calibri"/>
                <w:szCs w:val="18"/>
              </w:rPr>
              <w:t>Total</w:t>
            </w:r>
            <w:r w:rsidR="007F4331" w:rsidRPr="005373EB">
              <w:rPr>
                <w:rFonts w:cs="Calibri"/>
                <w:szCs w:val="18"/>
              </w:rPr>
              <w:t xml:space="preserve"> from all sectors</w:t>
            </w:r>
          </w:p>
        </w:tc>
        <w:tc>
          <w:tcPr>
            <w:tcW w:w="1571" w:type="dxa"/>
            <w:shd w:val="clear" w:color="auto" w:fill="auto"/>
          </w:tcPr>
          <w:p w14:paraId="2793A02F" w14:textId="4493D253" w:rsidR="00D52BA5" w:rsidRPr="005373EB" w:rsidRDefault="00D52BA5" w:rsidP="004003AA">
            <w:pPr>
              <w:pStyle w:val="TableTextbold"/>
              <w:rPr>
                <w:rFonts w:cs="Calibri"/>
                <w:szCs w:val="18"/>
              </w:rPr>
            </w:pPr>
          </w:p>
        </w:tc>
        <w:tc>
          <w:tcPr>
            <w:tcW w:w="1571" w:type="dxa"/>
            <w:shd w:val="clear" w:color="auto" w:fill="auto"/>
          </w:tcPr>
          <w:p w14:paraId="6574FD45" w14:textId="75F88767" w:rsidR="00D52BA5" w:rsidRPr="005373EB" w:rsidRDefault="00D52BA5" w:rsidP="004003AA">
            <w:pPr>
              <w:pStyle w:val="TableTextbold"/>
              <w:rPr>
                <w:rFonts w:cs="Calibri"/>
                <w:szCs w:val="18"/>
              </w:rPr>
            </w:pPr>
          </w:p>
        </w:tc>
        <w:tc>
          <w:tcPr>
            <w:tcW w:w="1571" w:type="dxa"/>
            <w:shd w:val="clear" w:color="auto" w:fill="auto"/>
          </w:tcPr>
          <w:p w14:paraId="542523DF" w14:textId="5A6F5EAC" w:rsidR="00D52BA5" w:rsidRPr="005373EB" w:rsidRDefault="00D52BA5" w:rsidP="004003AA">
            <w:pPr>
              <w:pStyle w:val="TableTextbold"/>
              <w:rPr>
                <w:rFonts w:cs="Calibri"/>
                <w:szCs w:val="18"/>
              </w:rPr>
            </w:pPr>
          </w:p>
        </w:tc>
      </w:tr>
      <w:tr w:rsidR="00D52BA5" w:rsidRPr="005373EB" w14:paraId="3E154E56" w14:textId="77777777" w:rsidTr="00AE6B2A">
        <w:tc>
          <w:tcPr>
            <w:tcW w:w="3792" w:type="dxa"/>
            <w:shd w:val="clear" w:color="auto" w:fill="auto"/>
            <w:vAlign w:val="center"/>
            <w:hideMark/>
          </w:tcPr>
          <w:p w14:paraId="71C32F7C" w14:textId="77777777" w:rsidR="00D52BA5" w:rsidRPr="005373EB" w:rsidRDefault="00D52BA5" w:rsidP="004003AA">
            <w:pPr>
              <w:pStyle w:val="TableBullet"/>
              <w:rPr>
                <w:rFonts w:cs="Calibri"/>
                <w:szCs w:val="18"/>
              </w:rPr>
            </w:pPr>
            <w:r w:rsidRPr="005373EB">
              <w:rPr>
                <w:rFonts w:cs="Calibri"/>
                <w:szCs w:val="18"/>
              </w:rPr>
              <w:t>Low impact estimate</w:t>
            </w:r>
          </w:p>
        </w:tc>
        <w:tc>
          <w:tcPr>
            <w:tcW w:w="1571" w:type="dxa"/>
            <w:shd w:val="clear" w:color="auto" w:fill="auto"/>
          </w:tcPr>
          <w:p w14:paraId="6801A819" w14:textId="68DBB19D" w:rsidR="00D52BA5" w:rsidRPr="005373EB" w:rsidRDefault="00DB6EA6" w:rsidP="004003AA">
            <w:pPr>
              <w:pStyle w:val="TableText"/>
              <w:jc w:val="right"/>
              <w:rPr>
                <w:rFonts w:cs="Calibri"/>
                <w:szCs w:val="18"/>
              </w:rPr>
            </w:pPr>
            <w:r w:rsidRPr="005373EB">
              <w:rPr>
                <w:rFonts w:cs="Calibri"/>
                <w:szCs w:val="18"/>
              </w:rPr>
              <w:t>–</w:t>
            </w:r>
            <w:r w:rsidR="65B096FB" w:rsidRPr="005373EB">
              <w:rPr>
                <w:rFonts w:cs="Calibri"/>
                <w:szCs w:val="18"/>
              </w:rPr>
              <w:t>5.4</w:t>
            </w:r>
          </w:p>
        </w:tc>
        <w:tc>
          <w:tcPr>
            <w:tcW w:w="1571" w:type="dxa"/>
            <w:shd w:val="clear" w:color="auto" w:fill="auto"/>
          </w:tcPr>
          <w:p w14:paraId="229AB142" w14:textId="5490FCF3" w:rsidR="00D52BA5" w:rsidRPr="005373EB" w:rsidRDefault="00DB6EA6" w:rsidP="004003AA">
            <w:pPr>
              <w:pStyle w:val="TableText"/>
              <w:jc w:val="right"/>
              <w:rPr>
                <w:rFonts w:eastAsia="MS Mincho" w:cs="Calibri"/>
                <w:szCs w:val="18"/>
              </w:rPr>
            </w:pPr>
            <w:r w:rsidRPr="005373EB">
              <w:rPr>
                <w:rFonts w:cs="Calibri"/>
                <w:szCs w:val="18"/>
              </w:rPr>
              <w:t>–</w:t>
            </w:r>
            <w:r w:rsidR="00D52BA5" w:rsidRPr="005373EB">
              <w:rPr>
                <w:rFonts w:cs="Calibri"/>
                <w:szCs w:val="18"/>
              </w:rPr>
              <w:t>30.9</w:t>
            </w:r>
          </w:p>
        </w:tc>
        <w:tc>
          <w:tcPr>
            <w:tcW w:w="1571" w:type="dxa"/>
            <w:shd w:val="clear" w:color="auto" w:fill="auto"/>
          </w:tcPr>
          <w:p w14:paraId="238EF337" w14:textId="5944EA57" w:rsidR="00D52BA5" w:rsidRPr="005373EB" w:rsidRDefault="00DB6EA6" w:rsidP="004003AA">
            <w:pPr>
              <w:pStyle w:val="TableText"/>
              <w:jc w:val="right"/>
              <w:rPr>
                <w:rFonts w:eastAsia="MS Mincho" w:cs="Calibri"/>
                <w:szCs w:val="18"/>
              </w:rPr>
            </w:pPr>
            <w:r w:rsidRPr="005373EB">
              <w:rPr>
                <w:rFonts w:cs="Calibri"/>
                <w:szCs w:val="18"/>
              </w:rPr>
              <w:t>–</w:t>
            </w:r>
            <w:r w:rsidR="65B096FB" w:rsidRPr="005373EB">
              <w:rPr>
                <w:rFonts w:cs="Calibri"/>
                <w:szCs w:val="18"/>
              </w:rPr>
              <w:t>58.4</w:t>
            </w:r>
          </w:p>
        </w:tc>
      </w:tr>
      <w:tr w:rsidR="00D52BA5" w:rsidRPr="005373EB" w14:paraId="15A17601" w14:textId="77777777" w:rsidTr="00AE6B2A">
        <w:tc>
          <w:tcPr>
            <w:tcW w:w="3792" w:type="dxa"/>
            <w:shd w:val="clear" w:color="auto" w:fill="auto"/>
            <w:vAlign w:val="center"/>
            <w:hideMark/>
          </w:tcPr>
          <w:p w14:paraId="526B0C69" w14:textId="77777777" w:rsidR="00D52BA5" w:rsidRPr="005373EB" w:rsidRDefault="00D52BA5" w:rsidP="004003AA">
            <w:pPr>
              <w:pStyle w:val="TableBullet"/>
              <w:rPr>
                <w:rFonts w:cs="Calibri"/>
                <w:szCs w:val="18"/>
              </w:rPr>
            </w:pPr>
            <w:r w:rsidRPr="005373EB">
              <w:rPr>
                <w:rFonts w:cs="Calibri"/>
                <w:szCs w:val="18"/>
              </w:rPr>
              <w:t xml:space="preserve">High impact estimate </w:t>
            </w:r>
          </w:p>
        </w:tc>
        <w:tc>
          <w:tcPr>
            <w:tcW w:w="1571" w:type="dxa"/>
            <w:shd w:val="clear" w:color="auto" w:fill="auto"/>
          </w:tcPr>
          <w:p w14:paraId="6FC809CF" w14:textId="43DEF34E" w:rsidR="00D52BA5" w:rsidRPr="005373EB" w:rsidRDefault="00DB6EA6" w:rsidP="004003AA">
            <w:pPr>
              <w:pStyle w:val="TableText"/>
              <w:jc w:val="right"/>
              <w:rPr>
                <w:rFonts w:eastAsia="MS Mincho" w:cs="Calibri"/>
                <w:szCs w:val="18"/>
              </w:rPr>
            </w:pPr>
            <w:r w:rsidRPr="005373EB">
              <w:rPr>
                <w:rFonts w:cs="Calibri"/>
                <w:szCs w:val="18"/>
              </w:rPr>
              <w:t>–</w:t>
            </w:r>
            <w:r w:rsidR="00D52BA5" w:rsidRPr="005373EB">
              <w:rPr>
                <w:rFonts w:cs="Calibri"/>
                <w:szCs w:val="18"/>
              </w:rPr>
              <w:t>11.9</w:t>
            </w:r>
          </w:p>
        </w:tc>
        <w:tc>
          <w:tcPr>
            <w:tcW w:w="1571" w:type="dxa"/>
            <w:shd w:val="clear" w:color="auto" w:fill="auto"/>
          </w:tcPr>
          <w:p w14:paraId="682D3917" w14:textId="5B28E029" w:rsidR="00D52BA5" w:rsidRPr="005373EB" w:rsidRDefault="00DB6EA6" w:rsidP="004003AA">
            <w:pPr>
              <w:pStyle w:val="TableText"/>
              <w:jc w:val="right"/>
              <w:rPr>
                <w:rFonts w:cs="Calibri"/>
                <w:szCs w:val="18"/>
              </w:rPr>
            </w:pPr>
            <w:r w:rsidRPr="005373EB">
              <w:rPr>
                <w:rFonts w:cs="Calibri"/>
                <w:szCs w:val="18"/>
              </w:rPr>
              <w:t>–</w:t>
            </w:r>
            <w:r w:rsidR="00D52BA5" w:rsidRPr="005373EB">
              <w:rPr>
                <w:rFonts w:cs="Calibri"/>
                <w:szCs w:val="18"/>
              </w:rPr>
              <w:t>94.</w:t>
            </w:r>
            <w:r w:rsidR="6588D264" w:rsidRPr="005373EB">
              <w:rPr>
                <w:rFonts w:cs="Calibri"/>
                <w:szCs w:val="18"/>
              </w:rPr>
              <w:t>7</w:t>
            </w:r>
          </w:p>
        </w:tc>
        <w:tc>
          <w:tcPr>
            <w:tcW w:w="1571" w:type="dxa"/>
            <w:shd w:val="clear" w:color="auto" w:fill="auto"/>
          </w:tcPr>
          <w:p w14:paraId="29F420F7" w14:textId="4A2C6327" w:rsidR="00D52BA5" w:rsidRPr="005373EB" w:rsidRDefault="00DB6EA6" w:rsidP="004003AA">
            <w:pPr>
              <w:pStyle w:val="TableText"/>
              <w:jc w:val="right"/>
              <w:rPr>
                <w:rFonts w:cs="Calibri"/>
                <w:szCs w:val="18"/>
              </w:rPr>
            </w:pPr>
            <w:r w:rsidRPr="005373EB">
              <w:rPr>
                <w:rFonts w:cs="Calibri"/>
                <w:szCs w:val="18"/>
              </w:rPr>
              <w:t>–</w:t>
            </w:r>
            <w:r w:rsidR="00D52BA5" w:rsidRPr="005373EB">
              <w:rPr>
                <w:rFonts w:cs="Calibri"/>
                <w:szCs w:val="18"/>
              </w:rPr>
              <w:t>121.</w:t>
            </w:r>
            <w:r w:rsidR="00E817C9" w:rsidRPr="005373EB">
              <w:rPr>
                <w:rFonts w:cs="Calibri"/>
                <w:szCs w:val="18"/>
              </w:rPr>
              <w:t>3</w:t>
            </w:r>
          </w:p>
        </w:tc>
      </w:tr>
    </w:tbl>
    <w:p w14:paraId="3DDA665F" w14:textId="227CE97B" w:rsidR="003659B7" w:rsidRPr="005373EB" w:rsidRDefault="003659B7" w:rsidP="00FC2ADE">
      <w:pPr>
        <w:pStyle w:val="Source"/>
      </w:pPr>
      <w:r w:rsidRPr="005373EB">
        <w:t xml:space="preserve">Note: </w:t>
      </w:r>
      <w:r w:rsidR="00AD26B3" w:rsidRPr="005373EB">
        <w:t xml:space="preserve">AR5 = </w:t>
      </w:r>
      <w:r w:rsidR="004D635F" w:rsidRPr="004D635F">
        <w:t>Intergovernmental Panel on Climate Change (IPCC) Fifth Assessment Report, 2014</w:t>
      </w:r>
      <w:r w:rsidR="008952B7" w:rsidRPr="008952B7">
        <w:t>; Mt CO2-e = million tonnes of carbon dioxide equivalent.</w:t>
      </w:r>
    </w:p>
    <w:p w14:paraId="26FC687E" w14:textId="30823C93" w:rsidR="00E43D42" w:rsidRPr="005373EB" w:rsidRDefault="00E43D42" w:rsidP="009E37C3">
      <w:pPr>
        <w:pStyle w:val="BodyText"/>
      </w:pPr>
      <w:r w:rsidRPr="005373EB">
        <w:t>Each sector has modelled a low and high policy impact scenario. In reality</w:t>
      </w:r>
      <w:r w:rsidR="00D43E83" w:rsidRPr="005373EB">
        <w:t>,</w:t>
      </w:r>
      <w:r w:rsidRPr="005373EB">
        <w:t xml:space="preserve"> it is likely that actual abatement in some sectors is more aligned to a ‘high policy impact’ scenario while the actual abatement in other sectors may be more aligned to a ‘low policy impact’ scenario. It is therefore unlikely that actual total abatement falls at either the low or the high end of the modelled range. In </w:t>
      </w:r>
      <w:r w:rsidR="009D7233" w:rsidRPr="005373EB">
        <w:t>fact</w:t>
      </w:r>
      <w:r w:rsidRPr="005373EB">
        <w:t xml:space="preserve">, it is more likely to fall somewhere in the middle. </w:t>
      </w:r>
    </w:p>
    <w:p w14:paraId="00FD444E" w14:textId="1399AF81" w:rsidR="001D7821" w:rsidRPr="00F75C58" w:rsidRDefault="001D7821" w:rsidP="00B635F5">
      <w:pPr>
        <w:pStyle w:val="Heading4"/>
        <w:rPr>
          <w:szCs w:val="24"/>
        </w:rPr>
      </w:pPr>
      <w:r w:rsidRPr="00F75C58">
        <w:t>Benchmarking to New Zealand’s Greenhouse Gas Inventory</w:t>
      </w:r>
      <w:r w:rsidRPr="00F75C58">
        <w:rPr>
          <w:szCs w:val="24"/>
        </w:rPr>
        <w:t xml:space="preserve"> </w:t>
      </w:r>
    </w:p>
    <w:p w14:paraId="0C112BDB" w14:textId="5728FFA2" w:rsidR="00604CC4" w:rsidRPr="005373EB" w:rsidRDefault="001D7821" w:rsidP="004003AA">
      <w:pPr>
        <w:pStyle w:val="BodyText"/>
      </w:pPr>
      <w:r w:rsidRPr="005373EB">
        <w:t xml:space="preserve">The </w:t>
      </w:r>
      <w:bookmarkStart w:id="8" w:name="_Hlk102674977"/>
      <w:r w:rsidRPr="005373EB">
        <w:t xml:space="preserve">GHG projections and policy impact estimates </w:t>
      </w:r>
      <w:bookmarkEnd w:id="8"/>
      <w:r w:rsidRPr="005373EB">
        <w:t xml:space="preserve">that inform </w:t>
      </w:r>
      <w:hyperlink w:anchor="table1" w:history="1">
        <w:r w:rsidR="00A71AF0" w:rsidRPr="005373EB">
          <w:rPr>
            <w:rStyle w:val="Hyperlink"/>
          </w:rPr>
          <w:t>t</w:t>
        </w:r>
        <w:r w:rsidRPr="005373EB">
          <w:rPr>
            <w:rStyle w:val="Hyperlink"/>
          </w:rPr>
          <w:t>able 1</w:t>
        </w:r>
      </w:hyperlink>
      <w:r w:rsidRPr="005373EB">
        <w:t xml:space="preserve">, </w:t>
      </w:r>
      <w:hyperlink w:anchor="table1a" w:history="1">
        <w:r w:rsidR="00A71AF0" w:rsidRPr="00EA0D6E">
          <w:rPr>
            <w:rStyle w:val="Hyperlink"/>
          </w:rPr>
          <w:t xml:space="preserve">table </w:t>
        </w:r>
        <w:r w:rsidRPr="00EA0D6E">
          <w:rPr>
            <w:rStyle w:val="Hyperlink"/>
          </w:rPr>
          <w:t>1a</w:t>
        </w:r>
      </w:hyperlink>
      <w:r w:rsidRPr="005373EB">
        <w:t xml:space="preserve"> and </w:t>
      </w:r>
      <w:hyperlink w:anchor="table2" w:history="1">
        <w:r w:rsidR="00A71AF0" w:rsidRPr="005373EB">
          <w:rPr>
            <w:rStyle w:val="Hyperlink"/>
          </w:rPr>
          <w:t xml:space="preserve">table </w:t>
        </w:r>
        <w:r w:rsidRPr="005373EB">
          <w:rPr>
            <w:rStyle w:val="Hyperlink"/>
          </w:rPr>
          <w:t>2</w:t>
        </w:r>
      </w:hyperlink>
      <w:r w:rsidRPr="005373EB">
        <w:t xml:space="preserve"> are largely benchmarked to </w:t>
      </w:r>
      <w:r w:rsidR="007C67F2" w:rsidRPr="005373EB">
        <w:t>New Zealand</w:t>
      </w:r>
      <w:r w:rsidR="004D635F">
        <w:t>’s</w:t>
      </w:r>
      <w:r w:rsidR="007C67F2" w:rsidRPr="005373EB">
        <w:t xml:space="preserve"> </w:t>
      </w:r>
      <w:r w:rsidRPr="005373EB">
        <w:t>G</w:t>
      </w:r>
      <w:r w:rsidR="004D635F">
        <w:t>reenhouse Gas</w:t>
      </w:r>
      <w:r w:rsidRPr="005373EB">
        <w:t xml:space="preserve"> Inventory</w:t>
      </w:r>
      <w:r w:rsidR="004D635F">
        <w:t xml:space="preserve"> (GHG Inventory)</w:t>
      </w:r>
      <w:r w:rsidR="00423B25" w:rsidRPr="005373EB">
        <w:t>. The GHG projections and policy impact estimates are benchmarked to the previous version of the GHG Inventory 1990</w:t>
      </w:r>
      <w:r w:rsidR="00A71AF0" w:rsidRPr="005373EB">
        <w:t>–</w:t>
      </w:r>
      <w:r w:rsidR="00423B25" w:rsidRPr="005373EB">
        <w:t>2019</w:t>
      </w:r>
      <w:r w:rsidR="00693E45" w:rsidRPr="005373EB">
        <w:t>,</w:t>
      </w:r>
      <w:r w:rsidR="00423B25" w:rsidRPr="005373EB">
        <w:t xml:space="preserve"> published in April 2021. A more recent GHG Inventory </w:t>
      </w:r>
      <w:r w:rsidR="00486FE8" w:rsidRPr="005373EB">
        <w:t>(</w:t>
      </w:r>
      <w:r w:rsidR="00423B25" w:rsidRPr="005373EB">
        <w:t>1990</w:t>
      </w:r>
      <w:r w:rsidR="00F6069D" w:rsidRPr="005373EB">
        <w:t>–</w:t>
      </w:r>
      <w:r w:rsidR="00423B25" w:rsidRPr="005373EB">
        <w:t>2020</w:t>
      </w:r>
      <w:r w:rsidR="00486FE8" w:rsidRPr="005373EB">
        <w:t>)</w:t>
      </w:r>
      <w:r w:rsidR="00423B25" w:rsidRPr="005373EB">
        <w:t xml:space="preserve"> </w:t>
      </w:r>
      <w:r w:rsidR="00604CC4" w:rsidRPr="005373EB">
        <w:t>w</w:t>
      </w:r>
      <w:r w:rsidR="00423B25" w:rsidRPr="005373EB">
        <w:t xml:space="preserve">as </w:t>
      </w:r>
      <w:r w:rsidR="00325A5F" w:rsidRPr="005373EB">
        <w:t>published</w:t>
      </w:r>
      <w:r w:rsidR="00423B25" w:rsidRPr="005373EB">
        <w:t xml:space="preserve"> </w:t>
      </w:r>
      <w:r w:rsidR="00604CC4" w:rsidRPr="005373EB">
        <w:t xml:space="preserve">in April 2022 but has not been incorporated into the GHG projections and policy impact estimates due to </w:t>
      </w:r>
      <w:r w:rsidR="005A3C0A" w:rsidRPr="005373EB">
        <w:t>its</w:t>
      </w:r>
      <w:r w:rsidR="001E3EE2" w:rsidRPr="005373EB">
        <w:t xml:space="preserve"> recent</w:t>
      </w:r>
      <w:r w:rsidR="00321C56" w:rsidRPr="005373EB">
        <w:t xml:space="preserve"> </w:t>
      </w:r>
      <w:r w:rsidR="00325A5F" w:rsidRPr="005373EB">
        <w:t>release</w:t>
      </w:r>
      <w:r w:rsidR="00604CC4" w:rsidRPr="005373EB">
        <w:t>.</w:t>
      </w:r>
    </w:p>
    <w:p w14:paraId="3A16E3F9" w14:textId="77777777" w:rsidR="00E43D42" w:rsidRPr="00137FDF" w:rsidRDefault="00E43D42" w:rsidP="00B635F5">
      <w:pPr>
        <w:pStyle w:val="Heading4"/>
        <w:rPr>
          <w:szCs w:val="24"/>
        </w:rPr>
      </w:pPr>
      <w:r w:rsidRPr="00F75C58">
        <w:t>Uncertainty in forestry sector estimates</w:t>
      </w:r>
    </w:p>
    <w:p w14:paraId="2B4749E1" w14:textId="2DA1D21E" w:rsidR="30F60B48" w:rsidRPr="005373EB" w:rsidRDefault="20DDDD28" w:rsidP="004003AA">
      <w:pPr>
        <w:pStyle w:val="BodyText"/>
      </w:pPr>
      <w:r w:rsidRPr="005373EB">
        <w:t>The</w:t>
      </w:r>
      <w:r w:rsidR="3B968607" w:rsidRPr="005373EB">
        <w:t xml:space="preserve"> uncertainty range around policy impact estimates for the forestry sector (6.5</w:t>
      </w:r>
      <w:r w:rsidR="000D199A" w:rsidRPr="005373EB">
        <w:t> </w:t>
      </w:r>
      <w:r w:rsidR="003C6A0E" w:rsidRPr="005373EB">
        <w:t>million tonnes (</w:t>
      </w:r>
      <w:r w:rsidR="3B968607" w:rsidRPr="005373EB">
        <w:t>Mt</w:t>
      </w:r>
      <w:r w:rsidR="003C6A0E" w:rsidRPr="005373EB">
        <w:t>)</w:t>
      </w:r>
      <w:r w:rsidR="3B968607" w:rsidRPr="005373EB">
        <w:t>) is very high relative to other sectors</w:t>
      </w:r>
      <w:r w:rsidR="00E43D42" w:rsidRPr="005373EB">
        <w:t>.</w:t>
      </w:r>
      <w:r w:rsidR="3B968607" w:rsidRPr="005373EB">
        <w:t xml:space="preserve"> This is primarily due to the uncertainties around deforestation, which can have high emissions impacts. </w:t>
      </w:r>
      <w:r w:rsidR="00E52699" w:rsidRPr="005373EB">
        <w:t xml:space="preserve">To mitigate the impact of this significant range on the aggregate estimates, we have used a central estimate for abatement in the forestry sector for all considered scenarios in </w:t>
      </w:r>
      <w:hyperlink w:anchor="table1" w:history="1">
        <w:r w:rsidR="00C92813" w:rsidRPr="005373EB">
          <w:rPr>
            <w:rStyle w:val="Hyperlink"/>
          </w:rPr>
          <w:t>t</w:t>
        </w:r>
        <w:r w:rsidR="00E52699" w:rsidRPr="005373EB">
          <w:rPr>
            <w:rStyle w:val="Hyperlink"/>
          </w:rPr>
          <w:t>able 1</w:t>
        </w:r>
      </w:hyperlink>
      <w:r w:rsidR="00E52699" w:rsidRPr="005373EB">
        <w:t xml:space="preserve"> and </w:t>
      </w:r>
      <w:hyperlink w:anchor="table2" w:history="1">
        <w:r w:rsidR="00C92813" w:rsidRPr="005373EB">
          <w:rPr>
            <w:rStyle w:val="Hyperlink"/>
          </w:rPr>
          <w:t xml:space="preserve">table </w:t>
        </w:r>
        <w:r w:rsidR="00E52699" w:rsidRPr="005373EB">
          <w:rPr>
            <w:rStyle w:val="Hyperlink"/>
          </w:rPr>
          <w:t>2</w:t>
        </w:r>
      </w:hyperlink>
      <w:r w:rsidR="00E52699" w:rsidRPr="005373EB">
        <w:t>. The full range of estimates for the forestry sector, including the ‘low’ and ‘high’ policy impact scenarios, is captured in the sub-table below</w:t>
      </w:r>
      <w:r w:rsidR="00621EEA" w:rsidRPr="005373EB">
        <w:t>. This table</w:t>
      </w:r>
      <w:r w:rsidR="00E52699" w:rsidRPr="005373EB">
        <w:t xml:space="preserve"> presents the full range of modelled forestry estimates under two forestry scenarios: one including a proposed restriction to registering exotic forestry in the new Permanent Post-1989 E</w:t>
      </w:r>
      <w:r w:rsidR="004D635F">
        <w:t xml:space="preserve">missions </w:t>
      </w:r>
      <w:r w:rsidR="00E52699" w:rsidRPr="005373EB">
        <w:t>T</w:t>
      </w:r>
      <w:r w:rsidR="00562F33">
        <w:t xml:space="preserve">rading </w:t>
      </w:r>
      <w:r w:rsidR="00E52699" w:rsidRPr="005373EB">
        <w:t>S</w:t>
      </w:r>
      <w:r w:rsidR="00562F33">
        <w:t>cheme (ETS)</w:t>
      </w:r>
      <w:r w:rsidR="00E52699" w:rsidRPr="005373EB">
        <w:t xml:space="preserve"> category and the other allowing for registration of exotic forestry in this category. Policy decisions in this area are yet to be made. Given the large scale of the potential impact of these policy decisions on the abatement estimates from the forestry sector, we have presented both scenarios in </w:t>
      </w:r>
      <w:r w:rsidR="0027258F" w:rsidRPr="005373EB">
        <w:t>table 1a</w:t>
      </w:r>
      <w:r w:rsidR="00E52699" w:rsidRPr="005373EB">
        <w:t>.</w:t>
      </w:r>
    </w:p>
    <w:p w14:paraId="605A47D3" w14:textId="6B9F1F54" w:rsidR="00D52BA5" w:rsidRPr="005373EB" w:rsidRDefault="00F22992" w:rsidP="004003AA">
      <w:pPr>
        <w:pStyle w:val="Tableheading"/>
      </w:pPr>
      <w:bookmarkStart w:id="9" w:name="table1a"/>
      <w:bookmarkStart w:id="10" w:name="_Toc103773271"/>
      <w:r w:rsidRPr="005373EB">
        <w:lastRenderedPageBreak/>
        <w:t>Table 1a</w:t>
      </w:r>
      <w:bookmarkEnd w:id="9"/>
      <w:r w:rsidR="0027258F" w:rsidRPr="005373EB">
        <w:t>:</w:t>
      </w:r>
      <w:r w:rsidR="00A00BC0" w:rsidRPr="005373EB">
        <w:t xml:space="preserve"> </w:t>
      </w:r>
      <w:r w:rsidR="004003AA" w:rsidRPr="005373EB">
        <w:tab/>
      </w:r>
      <w:r w:rsidRPr="005373EB">
        <w:t>I</w:t>
      </w:r>
      <w:r w:rsidR="00A00BC0" w:rsidRPr="005373EB">
        <w:t>ncorporating low and high forestry policy impact ranges</w:t>
      </w:r>
      <w:bookmarkEnd w:id="10"/>
      <w:r w:rsidR="00A00BC0" w:rsidRPr="005373EB">
        <w:t xml:space="preserve"> </w:t>
      </w:r>
    </w:p>
    <w:tbl>
      <w:tblPr>
        <w:tblW w:w="8120" w:type="dxa"/>
        <w:tblBorders>
          <w:top w:val="single" w:sz="4" w:space="0" w:color="1B556B" w:themeColor="text2"/>
          <w:bottom w:val="single" w:sz="4" w:space="0" w:color="1B556B" w:themeColor="text2"/>
          <w:insideH w:val="single" w:sz="4" w:space="0" w:color="1B556B" w:themeColor="text2"/>
          <w:insideV w:val="single" w:sz="4" w:space="0" w:color="1B556B" w:themeColor="text2"/>
        </w:tblBorders>
        <w:tblLook w:val="04A0" w:firstRow="1" w:lastRow="0" w:firstColumn="1" w:lastColumn="0" w:noHBand="0" w:noVBand="1"/>
      </w:tblPr>
      <w:tblGrid>
        <w:gridCol w:w="4678"/>
        <w:gridCol w:w="1134"/>
        <w:gridCol w:w="1134"/>
        <w:gridCol w:w="1174"/>
      </w:tblGrid>
      <w:tr w:rsidR="004003AA" w:rsidRPr="005373EB" w14:paraId="1AC523DC" w14:textId="77777777" w:rsidTr="0062216A">
        <w:trPr>
          <w:tblHeader/>
        </w:trPr>
        <w:tc>
          <w:tcPr>
            <w:tcW w:w="4678" w:type="dxa"/>
            <w:shd w:val="clear" w:color="auto" w:fill="1B556B" w:themeFill="text2"/>
            <w:vAlign w:val="bottom"/>
          </w:tcPr>
          <w:p w14:paraId="7D9F6BEB" w14:textId="76CC6D69" w:rsidR="00D52BA5" w:rsidRPr="005373EB" w:rsidRDefault="007F4331" w:rsidP="004003AA">
            <w:pPr>
              <w:pStyle w:val="TableTextbold"/>
              <w:keepNext/>
              <w:rPr>
                <w:rFonts w:cs="Calibri"/>
                <w:color w:val="FFFFFF" w:themeColor="background1"/>
                <w:szCs w:val="18"/>
              </w:rPr>
            </w:pPr>
            <w:r w:rsidRPr="005373EB">
              <w:rPr>
                <w:rFonts w:cs="Calibri"/>
                <w:color w:val="FFFFFF" w:themeColor="background1"/>
                <w:szCs w:val="18"/>
              </w:rPr>
              <w:t xml:space="preserve">Emissions abatement from policies and measures </w:t>
            </w:r>
            <w:r w:rsidR="004003AA" w:rsidRPr="005373EB">
              <w:rPr>
                <w:rFonts w:cs="Calibri"/>
                <w:color w:val="FFFFFF" w:themeColor="background1"/>
                <w:szCs w:val="18"/>
              </w:rPr>
              <w:br/>
            </w:r>
            <w:r w:rsidRPr="005373EB">
              <w:rPr>
                <w:rFonts w:cs="Calibri"/>
                <w:color w:val="FFFFFF" w:themeColor="background1"/>
                <w:szCs w:val="18"/>
              </w:rPr>
              <w:t>(AR5 Mt CO</w:t>
            </w:r>
            <w:r w:rsidRPr="005373EB">
              <w:rPr>
                <w:rFonts w:cs="Calibri"/>
                <w:color w:val="FFFFFF" w:themeColor="background1"/>
                <w:szCs w:val="18"/>
                <w:vertAlign w:val="subscript"/>
              </w:rPr>
              <w:t>2</w:t>
            </w:r>
            <w:r w:rsidRPr="005373EB">
              <w:rPr>
                <w:rFonts w:cs="Calibri"/>
                <w:color w:val="FFFFFF" w:themeColor="background1"/>
                <w:szCs w:val="18"/>
              </w:rPr>
              <w:t>-e)</w:t>
            </w:r>
          </w:p>
        </w:tc>
        <w:tc>
          <w:tcPr>
            <w:tcW w:w="1134" w:type="dxa"/>
            <w:shd w:val="clear" w:color="auto" w:fill="1B556B" w:themeFill="text2"/>
            <w:vAlign w:val="bottom"/>
          </w:tcPr>
          <w:p w14:paraId="67FC1E84" w14:textId="17CA825F" w:rsidR="00D52BA5" w:rsidRPr="005373EB" w:rsidRDefault="00A00BC0" w:rsidP="004003AA">
            <w:pPr>
              <w:pStyle w:val="TableTextbold"/>
              <w:keepNext/>
              <w:jc w:val="right"/>
              <w:rPr>
                <w:rFonts w:cs="Calibri"/>
                <w:color w:val="FFFFFF" w:themeColor="background1"/>
                <w:szCs w:val="18"/>
              </w:rPr>
            </w:pPr>
            <w:r w:rsidRPr="005373EB">
              <w:rPr>
                <w:rFonts w:cs="Calibri"/>
                <w:color w:val="FFFFFF" w:themeColor="background1"/>
                <w:szCs w:val="18"/>
              </w:rPr>
              <w:t>1st Budget</w:t>
            </w:r>
          </w:p>
        </w:tc>
        <w:tc>
          <w:tcPr>
            <w:tcW w:w="1134" w:type="dxa"/>
            <w:shd w:val="clear" w:color="auto" w:fill="1B556B" w:themeFill="text2"/>
            <w:vAlign w:val="bottom"/>
          </w:tcPr>
          <w:p w14:paraId="4E2B8971" w14:textId="6A585B64" w:rsidR="00D52BA5" w:rsidRPr="005373EB" w:rsidRDefault="00A00BC0" w:rsidP="004003AA">
            <w:pPr>
              <w:pStyle w:val="TableTextbold"/>
              <w:keepNext/>
              <w:jc w:val="right"/>
              <w:rPr>
                <w:rFonts w:cs="Calibri"/>
                <w:color w:val="FFFFFF" w:themeColor="background1"/>
                <w:szCs w:val="18"/>
              </w:rPr>
            </w:pPr>
            <w:r w:rsidRPr="005373EB">
              <w:rPr>
                <w:rFonts w:cs="Calibri"/>
                <w:color w:val="FFFFFF" w:themeColor="background1"/>
                <w:szCs w:val="18"/>
              </w:rPr>
              <w:t>2nd Budget</w:t>
            </w:r>
          </w:p>
        </w:tc>
        <w:tc>
          <w:tcPr>
            <w:tcW w:w="1174" w:type="dxa"/>
            <w:shd w:val="clear" w:color="auto" w:fill="1B556B" w:themeFill="text2"/>
            <w:vAlign w:val="bottom"/>
          </w:tcPr>
          <w:p w14:paraId="77448592" w14:textId="58AB76FC" w:rsidR="00D52BA5" w:rsidRPr="005373EB" w:rsidRDefault="00A00BC0" w:rsidP="004003AA">
            <w:pPr>
              <w:pStyle w:val="TableTextbold"/>
              <w:keepNext/>
              <w:jc w:val="right"/>
              <w:rPr>
                <w:rFonts w:cs="Calibri"/>
                <w:color w:val="FFFFFF" w:themeColor="background1"/>
                <w:szCs w:val="18"/>
              </w:rPr>
            </w:pPr>
            <w:r w:rsidRPr="005373EB">
              <w:rPr>
                <w:rFonts w:cs="Calibri"/>
                <w:color w:val="FFFFFF" w:themeColor="background1"/>
                <w:szCs w:val="18"/>
              </w:rPr>
              <w:t>3rd Budget</w:t>
            </w:r>
          </w:p>
        </w:tc>
      </w:tr>
      <w:tr w:rsidR="00D52BA5" w:rsidRPr="005373EB" w14:paraId="5B64E864" w14:textId="77777777" w:rsidTr="004003AA">
        <w:tc>
          <w:tcPr>
            <w:tcW w:w="4678" w:type="dxa"/>
            <w:shd w:val="clear" w:color="auto" w:fill="auto"/>
            <w:vAlign w:val="center"/>
            <w:hideMark/>
          </w:tcPr>
          <w:p w14:paraId="50871FE4" w14:textId="690994A6" w:rsidR="00D52BA5" w:rsidRPr="005373EB" w:rsidRDefault="008031DC" w:rsidP="004003AA">
            <w:pPr>
              <w:pStyle w:val="TableTextbold"/>
              <w:rPr>
                <w:rFonts w:cs="Calibri"/>
                <w:szCs w:val="18"/>
              </w:rPr>
            </w:pPr>
            <w:r w:rsidRPr="005373EB">
              <w:rPr>
                <w:rFonts w:cs="Calibri"/>
                <w:szCs w:val="18"/>
              </w:rPr>
              <w:t xml:space="preserve">Impact of forestry policies – assuming exotics are restricted </w:t>
            </w:r>
            <w:r w:rsidR="009D1210" w:rsidRPr="005373EB">
              <w:rPr>
                <w:rFonts w:cs="Calibri"/>
                <w:szCs w:val="18"/>
              </w:rPr>
              <w:t xml:space="preserve">from registering </w:t>
            </w:r>
            <w:r w:rsidRPr="005373EB">
              <w:rPr>
                <w:rFonts w:cs="Calibri"/>
                <w:szCs w:val="18"/>
              </w:rPr>
              <w:t>in the Permanent Post-1989 ETS category</w:t>
            </w:r>
          </w:p>
        </w:tc>
        <w:tc>
          <w:tcPr>
            <w:tcW w:w="1134" w:type="dxa"/>
            <w:shd w:val="clear" w:color="auto" w:fill="auto"/>
          </w:tcPr>
          <w:p w14:paraId="6ADF4724" w14:textId="77777777" w:rsidR="00D52BA5" w:rsidRPr="005373EB" w:rsidRDefault="00D52BA5" w:rsidP="004003AA">
            <w:pPr>
              <w:pStyle w:val="TableText"/>
              <w:rPr>
                <w:rFonts w:cs="Calibri"/>
                <w:szCs w:val="18"/>
              </w:rPr>
            </w:pPr>
          </w:p>
        </w:tc>
        <w:tc>
          <w:tcPr>
            <w:tcW w:w="1134" w:type="dxa"/>
            <w:shd w:val="clear" w:color="auto" w:fill="auto"/>
          </w:tcPr>
          <w:p w14:paraId="12B91DB4" w14:textId="77777777" w:rsidR="00D52BA5" w:rsidRPr="005373EB" w:rsidRDefault="00D52BA5" w:rsidP="004003AA">
            <w:pPr>
              <w:pStyle w:val="TableText"/>
              <w:rPr>
                <w:rFonts w:cs="Calibri"/>
                <w:szCs w:val="18"/>
              </w:rPr>
            </w:pPr>
          </w:p>
        </w:tc>
        <w:tc>
          <w:tcPr>
            <w:tcW w:w="1174" w:type="dxa"/>
            <w:shd w:val="clear" w:color="auto" w:fill="auto"/>
          </w:tcPr>
          <w:p w14:paraId="62B52BF9" w14:textId="77777777" w:rsidR="00D52BA5" w:rsidRPr="005373EB" w:rsidRDefault="00D52BA5" w:rsidP="004003AA">
            <w:pPr>
              <w:pStyle w:val="TableText"/>
              <w:rPr>
                <w:rFonts w:cs="Calibri"/>
                <w:szCs w:val="18"/>
              </w:rPr>
            </w:pPr>
          </w:p>
        </w:tc>
      </w:tr>
      <w:tr w:rsidR="00D52BA5" w:rsidRPr="005373EB" w14:paraId="78EF7668" w14:textId="77777777" w:rsidTr="004003AA">
        <w:tc>
          <w:tcPr>
            <w:tcW w:w="4678" w:type="dxa"/>
            <w:shd w:val="clear" w:color="auto" w:fill="auto"/>
            <w:vAlign w:val="center"/>
            <w:hideMark/>
          </w:tcPr>
          <w:p w14:paraId="4934249C" w14:textId="77777777" w:rsidR="00D52BA5" w:rsidRPr="005373EB" w:rsidRDefault="00D52BA5" w:rsidP="009E37C3">
            <w:pPr>
              <w:pStyle w:val="TableBullet"/>
              <w:spacing w:before="60"/>
              <w:rPr>
                <w:rFonts w:cs="Calibri"/>
                <w:szCs w:val="18"/>
              </w:rPr>
            </w:pPr>
            <w:r w:rsidRPr="005373EB">
              <w:rPr>
                <w:rFonts w:cs="Calibri"/>
                <w:szCs w:val="18"/>
              </w:rPr>
              <w:t>Low impact estimate</w:t>
            </w:r>
          </w:p>
        </w:tc>
        <w:tc>
          <w:tcPr>
            <w:tcW w:w="1134" w:type="dxa"/>
            <w:shd w:val="clear" w:color="auto" w:fill="auto"/>
          </w:tcPr>
          <w:p w14:paraId="706D5E2B" w14:textId="177CAE8D" w:rsidR="00D52BA5" w:rsidRPr="005373EB" w:rsidRDefault="00D52BA5" w:rsidP="004003AA">
            <w:pPr>
              <w:pStyle w:val="TableText"/>
              <w:jc w:val="right"/>
              <w:rPr>
                <w:rFonts w:eastAsia="MS Mincho" w:cs="Calibri"/>
                <w:szCs w:val="18"/>
              </w:rPr>
            </w:pPr>
            <w:r w:rsidRPr="005373EB">
              <w:rPr>
                <w:rFonts w:cs="Calibri"/>
                <w:szCs w:val="18"/>
              </w:rPr>
              <w:t>3</w:t>
            </w:r>
            <w:r w:rsidR="008C5780" w:rsidRPr="005373EB">
              <w:rPr>
                <w:rFonts w:cs="Calibri"/>
                <w:szCs w:val="18"/>
              </w:rPr>
              <w:t>.5</w:t>
            </w:r>
          </w:p>
        </w:tc>
        <w:tc>
          <w:tcPr>
            <w:tcW w:w="1134" w:type="dxa"/>
            <w:shd w:val="clear" w:color="auto" w:fill="auto"/>
          </w:tcPr>
          <w:p w14:paraId="2EC28E3C" w14:textId="4D946C0F" w:rsidR="00D52BA5" w:rsidRPr="005373EB" w:rsidRDefault="00D52BA5" w:rsidP="004003AA">
            <w:pPr>
              <w:pStyle w:val="TableText"/>
              <w:jc w:val="right"/>
              <w:rPr>
                <w:rFonts w:eastAsia="MS Mincho" w:cs="Calibri"/>
                <w:szCs w:val="18"/>
              </w:rPr>
            </w:pPr>
            <w:r w:rsidRPr="005373EB">
              <w:rPr>
                <w:rFonts w:cs="Calibri"/>
                <w:szCs w:val="18"/>
              </w:rPr>
              <w:t>2.8</w:t>
            </w:r>
          </w:p>
        </w:tc>
        <w:tc>
          <w:tcPr>
            <w:tcW w:w="1174" w:type="dxa"/>
            <w:shd w:val="clear" w:color="auto" w:fill="auto"/>
          </w:tcPr>
          <w:p w14:paraId="78D75BF3" w14:textId="008E006E" w:rsidR="00D52BA5" w:rsidRPr="005373EB" w:rsidRDefault="00C35F5C" w:rsidP="004003AA">
            <w:pPr>
              <w:pStyle w:val="TableText"/>
              <w:jc w:val="right"/>
              <w:rPr>
                <w:rFonts w:eastAsia="MS Mincho" w:cs="Calibri"/>
                <w:szCs w:val="18"/>
              </w:rPr>
            </w:pPr>
            <w:r w:rsidRPr="005373EB">
              <w:rPr>
                <w:rFonts w:cs="Calibri"/>
                <w:szCs w:val="18"/>
              </w:rPr>
              <w:t>7</w:t>
            </w:r>
            <w:r w:rsidR="008C5780" w:rsidRPr="005373EB">
              <w:rPr>
                <w:rFonts w:cs="Calibri"/>
                <w:szCs w:val="18"/>
              </w:rPr>
              <w:t>.8</w:t>
            </w:r>
          </w:p>
        </w:tc>
      </w:tr>
      <w:tr w:rsidR="00147B6C" w:rsidRPr="005373EB" w14:paraId="1E233196" w14:textId="77777777" w:rsidTr="004003AA">
        <w:tc>
          <w:tcPr>
            <w:tcW w:w="4678" w:type="dxa"/>
            <w:shd w:val="clear" w:color="auto" w:fill="auto"/>
            <w:vAlign w:val="center"/>
          </w:tcPr>
          <w:p w14:paraId="0B3CBC0E" w14:textId="40948238" w:rsidR="00147B6C" w:rsidRPr="005373EB" w:rsidRDefault="00147B6C" w:rsidP="009E37C3">
            <w:pPr>
              <w:pStyle w:val="TableBullet"/>
              <w:spacing w:before="60"/>
              <w:rPr>
                <w:rFonts w:cs="Calibri"/>
                <w:szCs w:val="18"/>
              </w:rPr>
            </w:pPr>
            <w:r w:rsidRPr="005373EB">
              <w:rPr>
                <w:rFonts w:cs="Calibri"/>
                <w:szCs w:val="18"/>
              </w:rPr>
              <w:t>Central impact estimate</w:t>
            </w:r>
          </w:p>
        </w:tc>
        <w:tc>
          <w:tcPr>
            <w:tcW w:w="1134" w:type="dxa"/>
            <w:shd w:val="clear" w:color="auto" w:fill="auto"/>
          </w:tcPr>
          <w:p w14:paraId="3407229A" w14:textId="09C21A12" w:rsidR="00147B6C" w:rsidRPr="005373EB" w:rsidRDefault="00491234" w:rsidP="004003AA">
            <w:pPr>
              <w:pStyle w:val="TableText"/>
              <w:jc w:val="right"/>
              <w:rPr>
                <w:rFonts w:cs="Calibri"/>
                <w:szCs w:val="18"/>
              </w:rPr>
            </w:pPr>
            <w:r w:rsidRPr="005373EB">
              <w:rPr>
                <w:rFonts w:cs="Calibri"/>
                <w:szCs w:val="18"/>
              </w:rPr>
              <w:t>–</w:t>
            </w:r>
            <w:r w:rsidR="00147B6C" w:rsidRPr="005373EB">
              <w:rPr>
                <w:rFonts w:cs="Calibri"/>
                <w:szCs w:val="18"/>
              </w:rPr>
              <w:t>0.3</w:t>
            </w:r>
          </w:p>
        </w:tc>
        <w:tc>
          <w:tcPr>
            <w:tcW w:w="1134" w:type="dxa"/>
            <w:shd w:val="clear" w:color="auto" w:fill="auto"/>
          </w:tcPr>
          <w:p w14:paraId="10C74CA8" w14:textId="0F747AC3" w:rsidR="00147B6C" w:rsidRPr="005373EB" w:rsidRDefault="00491234" w:rsidP="004003AA">
            <w:pPr>
              <w:pStyle w:val="TableText"/>
              <w:jc w:val="right"/>
              <w:rPr>
                <w:rFonts w:cs="Calibri"/>
                <w:szCs w:val="18"/>
              </w:rPr>
            </w:pPr>
            <w:r w:rsidRPr="005373EB">
              <w:rPr>
                <w:rFonts w:cs="Calibri"/>
                <w:szCs w:val="18"/>
              </w:rPr>
              <w:t>–</w:t>
            </w:r>
            <w:r w:rsidR="00147B6C" w:rsidRPr="005373EB">
              <w:rPr>
                <w:rFonts w:cs="Calibri"/>
                <w:szCs w:val="18"/>
              </w:rPr>
              <w:t>2.8</w:t>
            </w:r>
          </w:p>
        </w:tc>
        <w:tc>
          <w:tcPr>
            <w:tcW w:w="1174" w:type="dxa"/>
            <w:shd w:val="clear" w:color="auto" w:fill="auto"/>
          </w:tcPr>
          <w:p w14:paraId="48D49349" w14:textId="165EB52B" w:rsidR="00147B6C" w:rsidRPr="005373EB" w:rsidRDefault="00491234" w:rsidP="004003AA">
            <w:pPr>
              <w:pStyle w:val="TableText"/>
              <w:jc w:val="right"/>
              <w:rPr>
                <w:rFonts w:cs="Calibri"/>
                <w:szCs w:val="18"/>
              </w:rPr>
            </w:pPr>
            <w:r w:rsidRPr="005373EB">
              <w:rPr>
                <w:rFonts w:cs="Calibri"/>
                <w:szCs w:val="18"/>
              </w:rPr>
              <w:t>–</w:t>
            </w:r>
            <w:r w:rsidR="00C35F5C" w:rsidRPr="005373EB">
              <w:rPr>
                <w:rFonts w:cs="Calibri"/>
                <w:szCs w:val="18"/>
              </w:rPr>
              <w:t>7</w:t>
            </w:r>
            <w:r w:rsidR="00147B6C" w:rsidRPr="005373EB">
              <w:rPr>
                <w:rFonts w:cs="Calibri"/>
                <w:szCs w:val="18"/>
              </w:rPr>
              <w:t>.1</w:t>
            </w:r>
          </w:p>
        </w:tc>
      </w:tr>
      <w:tr w:rsidR="00D52BA5" w:rsidRPr="005373EB" w14:paraId="7512C764" w14:textId="77777777" w:rsidTr="004003AA">
        <w:tc>
          <w:tcPr>
            <w:tcW w:w="4678" w:type="dxa"/>
            <w:shd w:val="clear" w:color="auto" w:fill="auto"/>
            <w:vAlign w:val="center"/>
            <w:hideMark/>
          </w:tcPr>
          <w:p w14:paraId="159E5AD0" w14:textId="77777777" w:rsidR="00D52BA5" w:rsidRPr="005373EB" w:rsidRDefault="00D52BA5" w:rsidP="009E37C3">
            <w:pPr>
              <w:pStyle w:val="TableBullet"/>
              <w:spacing w:before="60"/>
              <w:rPr>
                <w:rFonts w:cs="Calibri"/>
                <w:szCs w:val="18"/>
              </w:rPr>
            </w:pPr>
            <w:r w:rsidRPr="005373EB">
              <w:rPr>
                <w:rFonts w:cs="Calibri"/>
                <w:szCs w:val="18"/>
              </w:rPr>
              <w:t xml:space="preserve">High impact estimate </w:t>
            </w:r>
          </w:p>
        </w:tc>
        <w:tc>
          <w:tcPr>
            <w:tcW w:w="1134" w:type="dxa"/>
            <w:shd w:val="clear" w:color="auto" w:fill="auto"/>
          </w:tcPr>
          <w:p w14:paraId="770E87BE" w14:textId="3A47CDCC" w:rsidR="00D52BA5" w:rsidRPr="005373EB" w:rsidRDefault="00491234" w:rsidP="004003AA">
            <w:pPr>
              <w:pStyle w:val="TableText"/>
              <w:jc w:val="right"/>
              <w:rPr>
                <w:rFonts w:eastAsia="MS Mincho" w:cs="Calibri"/>
                <w:szCs w:val="18"/>
              </w:rPr>
            </w:pPr>
            <w:r w:rsidRPr="005373EB">
              <w:rPr>
                <w:rFonts w:cs="Calibri"/>
                <w:szCs w:val="18"/>
              </w:rPr>
              <w:t>–</w:t>
            </w:r>
            <w:r w:rsidR="00C35F5C" w:rsidRPr="005373EB">
              <w:rPr>
                <w:rFonts w:cs="Calibri"/>
                <w:szCs w:val="18"/>
              </w:rPr>
              <w:t>2.9</w:t>
            </w:r>
          </w:p>
        </w:tc>
        <w:tc>
          <w:tcPr>
            <w:tcW w:w="1134" w:type="dxa"/>
            <w:shd w:val="clear" w:color="auto" w:fill="auto"/>
          </w:tcPr>
          <w:p w14:paraId="037A8E58" w14:textId="75CB5E59" w:rsidR="00D52BA5" w:rsidRPr="005373EB" w:rsidRDefault="00491234" w:rsidP="004003AA">
            <w:pPr>
              <w:pStyle w:val="TableText"/>
              <w:jc w:val="right"/>
              <w:rPr>
                <w:rFonts w:eastAsia="MS Mincho" w:cs="Calibri"/>
                <w:szCs w:val="18"/>
              </w:rPr>
            </w:pPr>
            <w:r w:rsidRPr="005373EB">
              <w:rPr>
                <w:rFonts w:cs="Calibri"/>
                <w:szCs w:val="18"/>
              </w:rPr>
              <w:t>–</w:t>
            </w:r>
            <w:r w:rsidR="00147B6C" w:rsidRPr="005373EB">
              <w:rPr>
                <w:rFonts w:cs="Calibri"/>
                <w:szCs w:val="18"/>
              </w:rPr>
              <w:t>9.7</w:t>
            </w:r>
          </w:p>
        </w:tc>
        <w:tc>
          <w:tcPr>
            <w:tcW w:w="1174" w:type="dxa"/>
            <w:shd w:val="clear" w:color="auto" w:fill="auto"/>
          </w:tcPr>
          <w:p w14:paraId="0FB38570" w14:textId="4836CAB6" w:rsidR="00D52BA5" w:rsidRPr="005373EB" w:rsidRDefault="00491234" w:rsidP="004003AA">
            <w:pPr>
              <w:pStyle w:val="TableText"/>
              <w:jc w:val="right"/>
              <w:rPr>
                <w:rFonts w:eastAsia="MS Mincho" w:cs="Calibri"/>
                <w:szCs w:val="18"/>
              </w:rPr>
            </w:pPr>
            <w:r w:rsidRPr="005373EB">
              <w:rPr>
                <w:rFonts w:cs="Calibri"/>
                <w:szCs w:val="18"/>
              </w:rPr>
              <w:t>–</w:t>
            </w:r>
            <w:r w:rsidR="00C35F5C" w:rsidRPr="005373EB">
              <w:rPr>
                <w:rFonts w:cs="Calibri"/>
                <w:szCs w:val="18"/>
              </w:rPr>
              <w:t>24</w:t>
            </w:r>
            <w:r w:rsidR="00147B6C" w:rsidRPr="005373EB">
              <w:rPr>
                <w:rFonts w:cs="Calibri"/>
                <w:szCs w:val="18"/>
              </w:rPr>
              <w:t>.7</w:t>
            </w:r>
          </w:p>
        </w:tc>
      </w:tr>
      <w:tr w:rsidR="00D52BA5" w:rsidRPr="005373EB" w14:paraId="55CB572F" w14:textId="77777777" w:rsidTr="004003AA">
        <w:tc>
          <w:tcPr>
            <w:tcW w:w="4678" w:type="dxa"/>
            <w:shd w:val="clear" w:color="auto" w:fill="auto"/>
            <w:vAlign w:val="center"/>
            <w:hideMark/>
          </w:tcPr>
          <w:p w14:paraId="6C783FE3" w14:textId="0A76EF74" w:rsidR="00D52BA5" w:rsidRPr="005373EB" w:rsidRDefault="00D52BA5" w:rsidP="00C21401">
            <w:pPr>
              <w:pStyle w:val="TableTextbold"/>
              <w:spacing w:before="40" w:after="40"/>
              <w:rPr>
                <w:rFonts w:cs="Calibri"/>
                <w:szCs w:val="18"/>
              </w:rPr>
            </w:pPr>
            <w:r w:rsidRPr="005373EB">
              <w:rPr>
                <w:rFonts w:cs="Calibri"/>
                <w:szCs w:val="18"/>
              </w:rPr>
              <w:t>Total</w:t>
            </w:r>
            <w:r w:rsidR="007F4331" w:rsidRPr="005373EB">
              <w:rPr>
                <w:rFonts w:cs="Calibri"/>
                <w:szCs w:val="18"/>
              </w:rPr>
              <w:t xml:space="preserve"> from all sectors</w:t>
            </w:r>
          </w:p>
        </w:tc>
        <w:tc>
          <w:tcPr>
            <w:tcW w:w="1134" w:type="dxa"/>
            <w:shd w:val="clear" w:color="auto" w:fill="auto"/>
          </w:tcPr>
          <w:p w14:paraId="5C37CB58" w14:textId="736566D8" w:rsidR="00D52BA5" w:rsidRPr="005373EB" w:rsidRDefault="00D52BA5" w:rsidP="00C21401">
            <w:pPr>
              <w:pStyle w:val="TableTextbold"/>
              <w:spacing w:before="40" w:after="40"/>
              <w:rPr>
                <w:rFonts w:cs="Calibri"/>
                <w:szCs w:val="18"/>
              </w:rPr>
            </w:pPr>
          </w:p>
        </w:tc>
        <w:tc>
          <w:tcPr>
            <w:tcW w:w="1134" w:type="dxa"/>
            <w:shd w:val="clear" w:color="auto" w:fill="auto"/>
          </w:tcPr>
          <w:p w14:paraId="6380CDC0" w14:textId="1427707F" w:rsidR="00D52BA5" w:rsidRPr="005373EB" w:rsidRDefault="00D52BA5" w:rsidP="00C21401">
            <w:pPr>
              <w:pStyle w:val="TableTextbold"/>
              <w:spacing w:before="40" w:after="40"/>
              <w:rPr>
                <w:rFonts w:cs="Calibri"/>
                <w:szCs w:val="18"/>
              </w:rPr>
            </w:pPr>
          </w:p>
        </w:tc>
        <w:tc>
          <w:tcPr>
            <w:tcW w:w="1174" w:type="dxa"/>
            <w:shd w:val="clear" w:color="auto" w:fill="auto"/>
          </w:tcPr>
          <w:p w14:paraId="5F623655" w14:textId="48136DB6" w:rsidR="00D52BA5" w:rsidRPr="005373EB" w:rsidRDefault="00D52BA5" w:rsidP="00C21401">
            <w:pPr>
              <w:pStyle w:val="TableTextbold"/>
              <w:spacing w:before="40" w:after="40"/>
              <w:rPr>
                <w:rFonts w:cs="Calibri"/>
                <w:szCs w:val="18"/>
              </w:rPr>
            </w:pPr>
          </w:p>
        </w:tc>
      </w:tr>
      <w:tr w:rsidR="00D52BA5" w:rsidRPr="005373EB" w14:paraId="18498634" w14:textId="77777777" w:rsidTr="004003AA">
        <w:tc>
          <w:tcPr>
            <w:tcW w:w="4678" w:type="dxa"/>
            <w:shd w:val="clear" w:color="auto" w:fill="auto"/>
            <w:vAlign w:val="center"/>
            <w:hideMark/>
          </w:tcPr>
          <w:p w14:paraId="74DC8D06" w14:textId="77777777" w:rsidR="00D52BA5" w:rsidRPr="005373EB" w:rsidRDefault="00D52BA5" w:rsidP="00C21401">
            <w:pPr>
              <w:pStyle w:val="TableBullet"/>
              <w:spacing w:before="40" w:after="40"/>
              <w:rPr>
                <w:rFonts w:cs="Calibri"/>
                <w:szCs w:val="18"/>
              </w:rPr>
            </w:pPr>
            <w:r w:rsidRPr="005373EB">
              <w:rPr>
                <w:rFonts w:cs="Calibri"/>
                <w:szCs w:val="18"/>
              </w:rPr>
              <w:t>Low impact estimate</w:t>
            </w:r>
          </w:p>
        </w:tc>
        <w:tc>
          <w:tcPr>
            <w:tcW w:w="1134" w:type="dxa"/>
            <w:shd w:val="clear" w:color="auto" w:fill="auto"/>
          </w:tcPr>
          <w:p w14:paraId="4C1B0F0C" w14:textId="155B72F6" w:rsidR="00D52BA5" w:rsidRPr="005373EB" w:rsidRDefault="00491234" w:rsidP="00C21401">
            <w:pPr>
              <w:pStyle w:val="TableText"/>
              <w:spacing w:before="40" w:after="40"/>
              <w:jc w:val="right"/>
              <w:rPr>
                <w:rFonts w:eastAsia="MS Mincho" w:cs="Calibri"/>
                <w:szCs w:val="18"/>
              </w:rPr>
            </w:pPr>
            <w:r w:rsidRPr="005373EB">
              <w:rPr>
                <w:rFonts w:cs="Calibri"/>
                <w:szCs w:val="18"/>
              </w:rPr>
              <w:t>–</w:t>
            </w:r>
            <w:r w:rsidR="00147B6C" w:rsidRPr="005373EB">
              <w:rPr>
                <w:rFonts w:cs="Calibri"/>
                <w:szCs w:val="18"/>
              </w:rPr>
              <w:t>1.</w:t>
            </w:r>
            <w:r w:rsidR="00C35F5C" w:rsidRPr="005373EB">
              <w:rPr>
                <w:rFonts w:cs="Calibri"/>
                <w:szCs w:val="18"/>
              </w:rPr>
              <w:t>6</w:t>
            </w:r>
          </w:p>
        </w:tc>
        <w:tc>
          <w:tcPr>
            <w:tcW w:w="1134" w:type="dxa"/>
            <w:shd w:val="clear" w:color="auto" w:fill="auto"/>
          </w:tcPr>
          <w:p w14:paraId="451D208B" w14:textId="1DC5D144" w:rsidR="00D52BA5" w:rsidRPr="005373EB" w:rsidRDefault="00491234" w:rsidP="00C21401">
            <w:pPr>
              <w:pStyle w:val="TableText"/>
              <w:spacing w:before="40" w:after="40"/>
              <w:jc w:val="right"/>
              <w:rPr>
                <w:rFonts w:eastAsia="MS Mincho" w:cs="Calibri"/>
                <w:szCs w:val="18"/>
              </w:rPr>
            </w:pPr>
            <w:r w:rsidRPr="005373EB">
              <w:rPr>
                <w:rFonts w:cs="Calibri"/>
                <w:szCs w:val="18"/>
              </w:rPr>
              <w:t>–</w:t>
            </w:r>
            <w:r w:rsidR="00147B6C" w:rsidRPr="005373EB">
              <w:rPr>
                <w:rFonts w:cs="Calibri"/>
                <w:szCs w:val="18"/>
              </w:rPr>
              <w:t>25.3</w:t>
            </w:r>
          </w:p>
        </w:tc>
        <w:tc>
          <w:tcPr>
            <w:tcW w:w="1174" w:type="dxa"/>
            <w:shd w:val="clear" w:color="auto" w:fill="auto"/>
          </w:tcPr>
          <w:p w14:paraId="09763E87" w14:textId="0C521634" w:rsidR="00D52BA5" w:rsidRPr="005373EB" w:rsidRDefault="00491234" w:rsidP="00C21401">
            <w:pPr>
              <w:pStyle w:val="TableText"/>
              <w:spacing w:before="40" w:after="40"/>
              <w:jc w:val="right"/>
              <w:rPr>
                <w:rFonts w:eastAsia="MS Mincho" w:cs="Calibri"/>
                <w:szCs w:val="18"/>
              </w:rPr>
            </w:pPr>
            <w:r w:rsidRPr="005373EB">
              <w:rPr>
                <w:rFonts w:cs="Calibri"/>
                <w:szCs w:val="18"/>
              </w:rPr>
              <w:t>–</w:t>
            </w:r>
            <w:r w:rsidR="00C35F5C" w:rsidRPr="005373EB">
              <w:rPr>
                <w:rFonts w:cs="Calibri"/>
                <w:szCs w:val="18"/>
              </w:rPr>
              <w:t>43</w:t>
            </w:r>
            <w:r w:rsidR="00147B6C" w:rsidRPr="005373EB">
              <w:rPr>
                <w:rFonts w:cs="Calibri"/>
                <w:szCs w:val="18"/>
              </w:rPr>
              <w:t>.</w:t>
            </w:r>
            <w:r w:rsidR="00E817C9" w:rsidRPr="005373EB">
              <w:rPr>
                <w:rFonts w:cs="Calibri"/>
                <w:szCs w:val="18"/>
              </w:rPr>
              <w:t>6</w:t>
            </w:r>
          </w:p>
        </w:tc>
      </w:tr>
      <w:tr w:rsidR="00D52BA5" w:rsidRPr="005373EB" w14:paraId="009A2E0F" w14:textId="77777777" w:rsidTr="004003AA">
        <w:tc>
          <w:tcPr>
            <w:tcW w:w="4678" w:type="dxa"/>
            <w:shd w:val="clear" w:color="auto" w:fill="auto"/>
            <w:vAlign w:val="center"/>
            <w:hideMark/>
          </w:tcPr>
          <w:p w14:paraId="57AE4577" w14:textId="77777777" w:rsidR="00D52BA5" w:rsidRPr="005373EB" w:rsidRDefault="00D52BA5" w:rsidP="00C21401">
            <w:pPr>
              <w:pStyle w:val="TableBullet"/>
              <w:spacing w:before="40" w:after="40"/>
              <w:rPr>
                <w:rFonts w:cs="Calibri"/>
                <w:szCs w:val="18"/>
              </w:rPr>
            </w:pPr>
            <w:r w:rsidRPr="005373EB">
              <w:rPr>
                <w:rFonts w:cs="Calibri"/>
                <w:szCs w:val="18"/>
              </w:rPr>
              <w:t xml:space="preserve">High impact estimate </w:t>
            </w:r>
          </w:p>
        </w:tc>
        <w:tc>
          <w:tcPr>
            <w:tcW w:w="1134" w:type="dxa"/>
            <w:shd w:val="clear" w:color="auto" w:fill="auto"/>
          </w:tcPr>
          <w:p w14:paraId="53ABD87F" w14:textId="442A8EF3" w:rsidR="00D52BA5" w:rsidRPr="005373EB" w:rsidRDefault="00491234" w:rsidP="00C21401">
            <w:pPr>
              <w:pStyle w:val="TableText"/>
              <w:spacing w:before="40" w:after="40"/>
              <w:jc w:val="right"/>
              <w:rPr>
                <w:rFonts w:eastAsia="MS Mincho" w:cs="Calibri"/>
                <w:szCs w:val="18"/>
              </w:rPr>
            </w:pPr>
            <w:r w:rsidRPr="005373EB">
              <w:rPr>
                <w:rFonts w:cs="Calibri"/>
                <w:szCs w:val="18"/>
              </w:rPr>
              <w:t>–</w:t>
            </w:r>
            <w:r w:rsidR="00147B6C" w:rsidRPr="005373EB">
              <w:rPr>
                <w:rFonts w:cs="Calibri"/>
                <w:szCs w:val="18"/>
              </w:rPr>
              <w:t>14.</w:t>
            </w:r>
            <w:r w:rsidR="00C35F5C" w:rsidRPr="005373EB">
              <w:rPr>
                <w:rFonts w:cs="Calibri"/>
                <w:szCs w:val="18"/>
              </w:rPr>
              <w:t>5</w:t>
            </w:r>
          </w:p>
        </w:tc>
        <w:tc>
          <w:tcPr>
            <w:tcW w:w="1134" w:type="dxa"/>
            <w:shd w:val="clear" w:color="auto" w:fill="auto"/>
          </w:tcPr>
          <w:p w14:paraId="029D5A0E" w14:textId="00CDCBD9" w:rsidR="00D52BA5" w:rsidRPr="005373EB" w:rsidRDefault="00491234" w:rsidP="00C21401">
            <w:pPr>
              <w:pStyle w:val="TableText"/>
              <w:spacing w:before="40" w:after="40"/>
              <w:jc w:val="right"/>
              <w:rPr>
                <w:rFonts w:eastAsia="MS Mincho" w:cs="Calibri"/>
                <w:szCs w:val="18"/>
              </w:rPr>
            </w:pPr>
            <w:r w:rsidRPr="005373EB">
              <w:rPr>
                <w:rFonts w:cs="Calibri"/>
                <w:szCs w:val="18"/>
              </w:rPr>
              <w:t>–</w:t>
            </w:r>
            <w:r w:rsidR="00147B6C" w:rsidRPr="005373EB">
              <w:rPr>
                <w:rFonts w:cs="Calibri"/>
                <w:szCs w:val="18"/>
              </w:rPr>
              <w:t>101.6</w:t>
            </w:r>
          </w:p>
        </w:tc>
        <w:tc>
          <w:tcPr>
            <w:tcW w:w="1174" w:type="dxa"/>
            <w:shd w:val="clear" w:color="auto" w:fill="auto"/>
          </w:tcPr>
          <w:p w14:paraId="69947D5C" w14:textId="267B1EF3" w:rsidR="00D52BA5" w:rsidRPr="005373EB" w:rsidRDefault="00491234" w:rsidP="00C21401">
            <w:pPr>
              <w:pStyle w:val="TableText"/>
              <w:spacing w:before="40" w:after="40"/>
              <w:jc w:val="right"/>
              <w:rPr>
                <w:rFonts w:eastAsia="MS Mincho" w:cs="Calibri"/>
                <w:szCs w:val="18"/>
              </w:rPr>
            </w:pPr>
            <w:r w:rsidRPr="005373EB">
              <w:rPr>
                <w:rFonts w:cs="Calibri"/>
                <w:szCs w:val="18"/>
              </w:rPr>
              <w:t>–</w:t>
            </w:r>
            <w:r w:rsidR="00C35F5C" w:rsidRPr="005373EB">
              <w:rPr>
                <w:rFonts w:cs="Calibri"/>
                <w:szCs w:val="18"/>
              </w:rPr>
              <w:t>138</w:t>
            </w:r>
            <w:r w:rsidR="00147B6C" w:rsidRPr="005373EB">
              <w:rPr>
                <w:rFonts w:cs="Calibri"/>
                <w:szCs w:val="18"/>
              </w:rPr>
              <w:t>.</w:t>
            </w:r>
            <w:r w:rsidR="00E817C9" w:rsidRPr="005373EB">
              <w:rPr>
                <w:rFonts w:cs="Calibri"/>
                <w:szCs w:val="18"/>
              </w:rPr>
              <w:t>8</w:t>
            </w:r>
          </w:p>
        </w:tc>
      </w:tr>
      <w:tr w:rsidR="00A64878" w:rsidRPr="005373EB" w14:paraId="00EC3443" w14:textId="77777777" w:rsidTr="004003AA">
        <w:tc>
          <w:tcPr>
            <w:tcW w:w="4678" w:type="dxa"/>
            <w:shd w:val="clear" w:color="auto" w:fill="auto"/>
            <w:vAlign w:val="center"/>
          </w:tcPr>
          <w:p w14:paraId="2D789BF8" w14:textId="77777777" w:rsidR="00A64878" w:rsidRPr="005373EB" w:rsidRDefault="00A64878" w:rsidP="00562F33">
            <w:pPr>
              <w:pStyle w:val="TableDash"/>
              <w:tabs>
                <w:tab w:val="clear" w:pos="720"/>
              </w:tabs>
              <w:spacing w:before="40" w:after="40"/>
              <w:ind w:left="77" w:firstLine="0"/>
              <w:rPr>
                <w:rFonts w:cs="Calibri"/>
                <w:szCs w:val="18"/>
              </w:rPr>
            </w:pPr>
          </w:p>
        </w:tc>
        <w:tc>
          <w:tcPr>
            <w:tcW w:w="1134" w:type="dxa"/>
            <w:shd w:val="clear" w:color="auto" w:fill="auto"/>
          </w:tcPr>
          <w:p w14:paraId="070447D9" w14:textId="0A9EEB86" w:rsidR="00A64878" w:rsidRPr="005373EB" w:rsidRDefault="00A64878" w:rsidP="00C21401">
            <w:pPr>
              <w:pStyle w:val="TableText"/>
              <w:spacing w:before="40" w:after="40"/>
              <w:jc w:val="right"/>
              <w:rPr>
                <w:rFonts w:cs="Calibri"/>
                <w:szCs w:val="18"/>
              </w:rPr>
            </w:pPr>
          </w:p>
        </w:tc>
        <w:tc>
          <w:tcPr>
            <w:tcW w:w="1134" w:type="dxa"/>
            <w:shd w:val="clear" w:color="auto" w:fill="auto"/>
          </w:tcPr>
          <w:p w14:paraId="4A44FFA3" w14:textId="77777777" w:rsidR="00A64878" w:rsidRPr="005373EB" w:rsidRDefault="00A64878" w:rsidP="00C21401">
            <w:pPr>
              <w:pStyle w:val="TableText"/>
              <w:spacing w:before="40" w:after="40"/>
              <w:jc w:val="right"/>
              <w:rPr>
                <w:rFonts w:cs="Calibri"/>
                <w:szCs w:val="18"/>
              </w:rPr>
            </w:pPr>
          </w:p>
        </w:tc>
        <w:tc>
          <w:tcPr>
            <w:tcW w:w="1174" w:type="dxa"/>
            <w:shd w:val="clear" w:color="auto" w:fill="auto"/>
          </w:tcPr>
          <w:p w14:paraId="540FE5B5" w14:textId="77777777" w:rsidR="00A64878" w:rsidRPr="005373EB" w:rsidRDefault="00A64878" w:rsidP="00C21401">
            <w:pPr>
              <w:pStyle w:val="TableText"/>
              <w:spacing w:before="40" w:after="40"/>
              <w:jc w:val="right"/>
              <w:rPr>
                <w:rFonts w:cs="Calibri"/>
                <w:szCs w:val="18"/>
              </w:rPr>
            </w:pPr>
          </w:p>
        </w:tc>
      </w:tr>
      <w:tr w:rsidR="00A64878" w:rsidRPr="005373EB" w14:paraId="71E4DDAE" w14:textId="77777777" w:rsidTr="004003AA">
        <w:tc>
          <w:tcPr>
            <w:tcW w:w="4678" w:type="dxa"/>
            <w:shd w:val="clear" w:color="auto" w:fill="auto"/>
            <w:vAlign w:val="center"/>
          </w:tcPr>
          <w:p w14:paraId="6C879AA9" w14:textId="6AB41365" w:rsidR="00A64878" w:rsidRPr="005373EB" w:rsidRDefault="008031DC" w:rsidP="00562F33">
            <w:pPr>
              <w:pStyle w:val="TableDash"/>
              <w:tabs>
                <w:tab w:val="clear" w:pos="720"/>
              </w:tabs>
              <w:spacing w:before="40" w:after="40" w:line="220" w:lineRule="atLeast"/>
              <w:ind w:left="0" w:firstLine="0"/>
              <w:rPr>
                <w:rFonts w:cs="Calibri"/>
                <w:b/>
                <w:bCs/>
                <w:szCs w:val="18"/>
              </w:rPr>
            </w:pPr>
            <w:r w:rsidRPr="005373EB">
              <w:rPr>
                <w:rFonts w:cs="Calibri"/>
                <w:b/>
                <w:bCs/>
                <w:szCs w:val="18"/>
              </w:rPr>
              <w:t>Impact of forestry policies</w:t>
            </w:r>
            <w:r w:rsidR="00491234" w:rsidRPr="005373EB">
              <w:rPr>
                <w:rFonts w:cs="Calibri"/>
                <w:b/>
                <w:bCs/>
                <w:szCs w:val="18"/>
              </w:rPr>
              <w:t>,</w:t>
            </w:r>
            <w:r w:rsidRPr="005373EB">
              <w:rPr>
                <w:rFonts w:cs="Calibri"/>
                <w:b/>
                <w:bCs/>
                <w:szCs w:val="18"/>
              </w:rPr>
              <w:t xml:space="preserve"> assuming exotics are not restricted </w:t>
            </w:r>
            <w:r w:rsidR="00F83557" w:rsidRPr="005373EB">
              <w:rPr>
                <w:rFonts w:cs="Calibri"/>
                <w:b/>
                <w:bCs/>
                <w:szCs w:val="18"/>
              </w:rPr>
              <w:t xml:space="preserve">from registering </w:t>
            </w:r>
            <w:r w:rsidRPr="005373EB">
              <w:rPr>
                <w:rFonts w:cs="Calibri"/>
                <w:b/>
                <w:bCs/>
                <w:szCs w:val="18"/>
              </w:rPr>
              <w:t>in the Permanent Post-1989 ETS category</w:t>
            </w:r>
          </w:p>
        </w:tc>
        <w:tc>
          <w:tcPr>
            <w:tcW w:w="1134" w:type="dxa"/>
            <w:shd w:val="clear" w:color="auto" w:fill="auto"/>
          </w:tcPr>
          <w:p w14:paraId="2945356A" w14:textId="77777777" w:rsidR="00A64878" w:rsidRPr="005373EB" w:rsidRDefault="00A64878" w:rsidP="00C21401">
            <w:pPr>
              <w:pStyle w:val="TableText"/>
              <w:spacing w:before="40" w:after="40"/>
              <w:jc w:val="right"/>
              <w:rPr>
                <w:rFonts w:cs="Calibri"/>
                <w:szCs w:val="18"/>
              </w:rPr>
            </w:pPr>
          </w:p>
        </w:tc>
        <w:tc>
          <w:tcPr>
            <w:tcW w:w="1134" w:type="dxa"/>
            <w:shd w:val="clear" w:color="auto" w:fill="auto"/>
          </w:tcPr>
          <w:p w14:paraId="5F1EEC43" w14:textId="77777777" w:rsidR="00A64878" w:rsidRPr="005373EB" w:rsidRDefault="00A64878" w:rsidP="00C21401">
            <w:pPr>
              <w:pStyle w:val="TableText"/>
              <w:spacing w:before="40" w:after="40"/>
              <w:jc w:val="right"/>
              <w:rPr>
                <w:rFonts w:cs="Calibri"/>
                <w:szCs w:val="18"/>
              </w:rPr>
            </w:pPr>
          </w:p>
        </w:tc>
        <w:tc>
          <w:tcPr>
            <w:tcW w:w="1174" w:type="dxa"/>
            <w:shd w:val="clear" w:color="auto" w:fill="auto"/>
          </w:tcPr>
          <w:p w14:paraId="405AAE7E" w14:textId="77777777" w:rsidR="00A64878" w:rsidRPr="005373EB" w:rsidRDefault="00A64878" w:rsidP="00C21401">
            <w:pPr>
              <w:pStyle w:val="TableText"/>
              <w:spacing w:before="40" w:after="40"/>
              <w:jc w:val="right"/>
              <w:rPr>
                <w:rFonts w:cs="Calibri"/>
                <w:szCs w:val="18"/>
              </w:rPr>
            </w:pPr>
          </w:p>
        </w:tc>
      </w:tr>
      <w:tr w:rsidR="00A64878" w:rsidRPr="005373EB" w14:paraId="5C65D9FA" w14:textId="77777777" w:rsidTr="004003AA">
        <w:tc>
          <w:tcPr>
            <w:tcW w:w="4678" w:type="dxa"/>
            <w:shd w:val="clear" w:color="auto" w:fill="auto"/>
            <w:vAlign w:val="center"/>
          </w:tcPr>
          <w:p w14:paraId="166521BF" w14:textId="0F2FDF86" w:rsidR="00A64878" w:rsidRPr="005373EB" w:rsidRDefault="00A64878" w:rsidP="00C21401">
            <w:pPr>
              <w:pStyle w:val="TableBullet"/>
              <w:spacing w:before="40" w:after="40"/>
              <w:rPr>
                <w:rFonts w:cs="Calibri"/>
                <w:szCs w:val="18"/>
              </w:rPr>
            </w:pPr>
            <w:r w:rsidRPr="005373EB">
              <w:rPr>
                <w:rFonts w:cs="Calibri"/>
                <w:szCs w:val="18"/>
              </w:rPr>
              <w:t>Low impact estimate</w:t>
            </w:r>
          </w:p>
        </w:tc>
        <w:tc>
          <w:tcPr>
            <w:tcW w:w="1134" w:type="dxa"/>
            <w:shd w:val="clear" w:color="auto" w:fill="auto"/>
          </w:tcPr>
          <w:p w14:paraId="40CC5854" w14:textId="1A3E2A64" w:rsidR="00A64878" w:rsidRPr="005373EB" w:rsidRDefault="00A64878" w:rsidP="00C21401">
            <w:pPr>
              <w:pStyle w:val="TableText"/>
              <w:spacing w:before="40" w:after="40"/>
              <w:jc w:val="right"/>
              <w:rPr>
                <w:rFonts w:cs="Calibri"/>
                <w:szCs w:val="18"/>
              </w:rPr>
            </w:pPr>
            <w:r w:rsidRPr="005373EB">
              <w:rPr>
                <w:rFonts w:cs="Calibri"/>
                <w:szCs w:val="18"/>
              </w:rPr>
              <w:t>3.7</w:t>
            </w:r>
          </w:p>
        </w:tc>
        <w:tc>
          <w:tcPr>
            <w:tcW w:w="1134" w:type="dxa"/>
            <w:shd w:val="clear" w:color="auto" w:fill="auto"/>
          </w:tcPr>
          <w:p w14:paraId="7A657457" w14:textId="31513143" w:rsidR="00A64878" w:rsidRPr="005373EB" w:rsidRDefault="00A64878" w:rsidP="00C21401">
            <w:pPr>
              <w:pStyle w:val="TableText"/>
              <w:spacing w:before="40" w:after="40"/>
              <w:jc w:val="right"/>
              <w:rPr>
                <w:rFonts w:cs="Calibri"/>
                <w:szCs w:val="18"/>
              </w:rPr>
            </w:pPr>
            <w:r w:rsidRPr="005373EB">
              <w:rPr>
                <w:rFonts w:cs="Calibri"/>
                <w:szCs w:val="18"/>
              </w:rPr>
              <w:t>0.8</w:t>
            </w:r>
          </w:p>
        </w:tc>
        <w:tc>
          <w:tcPr>
            <w:tcW w:w="1174" w:type="dxa"/>
            <w:shd w:val="clear" w:color="auto" w:fill="auto"/>
          </w:tcPr>
          <w:p w14:paraId="212D280A" w14:textId="6A0111DE" w:rsidR="00A64878" w:rsidRPr="005373EB" w:rsidRDefault="00230DEC" w:rsidP="00C21401">
            <w:pPr>
              <w:pStyle w:val="TableText"/>
              <w:spacing w:before="40" w:after="40"/>
              <w:jc w:val="right"/>
              <w:rPr>
                <w:rFonts w:cs="Calibri"/>
                <w:szCs w:val="18"/>
              </w:rPr>
            </w:pPr>
            <w:r w:rsidRPr="005373EB">
              <w:rPr>
                <w:rFonts w:cs="Calibri"/>
                <w:szCs w:val="18"/>
              </w:rPr>
              <w:t>–</w:t>
            </w:r>
            <w:r w:rsidR="00A64878" w:rsidRPr="005373EB">
              <w:rPr>
                <w:rFonts w:cs="Calibri"/>
                <w:szCs w:val="18"/>
              </w:rPr>
              <w:t>13.5</w:t>
            </w:r>
          </w:p>
        </w:tc>
      </w:tr>
      <w:tr w:rsidR="00A64878" w:rsidRPr="005373EB" w14:paraId="672CE69A" w14:textId="77777777" w:rsidTr="004003AA">
        <w:tc>
          <w:tcPr>
            <w:tcW w:w="4678" w:type="dxa"/>
            <w:shd w:val="clear" w:color="auto" w:fill="auto"/>
            <w:vAlign w:val="center"/>
          </w:tcPr>
          <w:p w14:paraId="55AFCE9F" w14:textId="0AEE46CB" w:rsidR="00A64878" w:rsidRPr="005373EB" w:rsidRDefault="00A64878" w:rsidP="00C21401">
            <w:pPr>
              <w:pStyle w:val="TableBullet"/>
              <w:spacing w:before="40" w:after="40"/>
              <w:rPr>
                <w:rFonts w:cs="Calibri"/>
                <w:szCs w:val="18"/>
              </w:rPr>
            </w:pPr>
            <w:r w:rsidRPr="005373EB">
              <w:rPr>
                <w:rFonts w:cs="Calibri"/>
                <w:szCs w:val="18"/>
              </w:rPr>
              <w:t>Central impact estimate</w:t>
            </w:r>
          </w:p>
        </w:tc>
        <w:tc>
          <w:tcPr>
            <w:tcW w:w="1134" w:type="dxa"/>
            <w:shd w:val="clear" w:color="auto" w:fill="auto"/>
          </w:tcPr>
          <w:p w14:paraId="54969E93" w14:textId="7E79D440" w:rsidR="00A64878" w:rsidRPr="005373EB" w:rsidRDefault="00A64878" w:rsidP="00C21401">
            <w:pPr>
              <w:pStyle w:val="TableText"/>
              <w:spacing w:before="40" w:after="40"/>
              <w:jc w:val="right"/>
              <w:rPr>
                <w:rFonts w:cs="Calibri"/>
                <w:szCs w:val="18"/>
              </w:rPr>
            </w:pPr>
            <w:r w:rsidRPr="005373EB">
              <w:rPr>
                <w:rFonts w:cs="Calibri"/>
                <w:szCs w:val="18"/>
              </w:rPr>
              <w:t>0.1</w:t>
            </w:r>
          </w:p>
        </w:tc>
        <w:tc>
          <w:tcPr>
            <w:tcW w:w="1134" w:type="dxa"/>
            <w:shd w:val="clear" w:color="auto" w:fill="auto"/>
          </w:tcPr>
          <w:p w14:paraId="314E4E10" w14:textId="562C834A" w:rsidR="00A64878" w:rsidRPr="005373EB" w:rsidRDefault="00230DEC" w:rsidP="00C21401">
            <w:pPr>
              <w:pStyle w:val="TableText"/>
              <w:spacing w:before="40" w:after="40"/>
              <w:jc w:val="right"/>
              <w:rPr>
                <w:rFonts w:cs="Calibri"/>
                <w:szCs w:val="18"/>
              </w:rPr>
            </w:pPr>
            <w:r w:rsidRPr="005373EB">
              <w:rPr>
                <w:rFonts w:cs="Calibri"/>
                <w:szCs w:val="18"/>
              </w:rPr>
              <w:t>–</w:t>
            </w:r>
            <w:r w:rsidR="00A64878" w:rsidRPr="005373EB">
              <w:rPr>
                <w:rFonts w:cs="Calibri"/>
                <w:szCs w:val="18"/>
              </w:rPr>
              <w:t>6.2</w:t>
            </w:r>
          </w:p>
        </w:tc>
        <w:tc>
          <w:tcPr>
            <w:tcW w:w="1174" w:type="dxa"/>
            <w:shd w:val="clear" w:color="auto" w:fill="auto"/>
          </w:tcPr>
          <w:p w14:paraId="24157B6E" w14:textId="56EC4C53" w:rsidR="00A64878" w:rsidRPr="005373EB" w:rsidRDefault="00230DEC" w:rsidP="00C21401">
            <w:pPr>
              <w:pStyle w:val="TableText"/>
              <w:spacing w:before="40" w:after="40"/>
              <w:jc w:val="right"/>
              <w:rPr>
                <w:rFonts w:cs="Calibri"/>
                <w:szCs w:val="18"/>
              </w:rPr>
            </w:pPr>
            <w:r w:rsidRPr="005373EB">
              <w:rPr>
                <w:rFonts w:cs="Calibri"/>
                <w:szCs w:val="18"/>
              </w:rPr>
              <w:t>–</w:t>
            </w:r>
            <w:r w:rsidR="00A64878" w:rsidRPr="005373EB">
              <w:rPr>
                <w:rFonts w:cs="Calibri"/>
                <w:szCs w:val="18"/>
              </w:rPr>
              <w:t>48.5</w:t>
            </w:r>
          </w:p>
        </w:tc>
      </w:tr>
      <w:tr w:rsidR="00A64878" w:rsidRPr="005373EB" w14:paraId="7ED000D6" w14:textId="77777777" w:rsidTr="004003AA">
        <w:tc>
          <w:tcPr>
            <w:tcW w:w="4678" w:type="dxa"/>
            <w:shd w:val="clear" w:color="auto" w:fill="auto"/>
            <w:vAlign w:val="center"/>
          </w:tcPr>
          <w:p w14:paraId="223CBFD0" w14:textId="4E08D166" w:rsidR="00A64878" w:rsidRPr="005373EB" w:rsidRDefault="00A64878" w:rsidP="00C21401">
            <w:pPr>
              <w:pStyle w:val="TableBullet"/>
              <w:spacing w:before="40" w:after="40"/>
              <w:rPr>
                <w:rFonts w:cs="Calibri"/>
                <w:szCs w:val="18"/>
              </w:rPr>
            </w:pPr>
            <w:r w:rsidRPr="005373EB">
              <w:rPr>
                <w:rFonts w:cs="Calibri"/>
                <w:szCs w:val="18"/>
              </w:rPr>
              <w:t xml:space="preserve">High impact estimate </w:t>
            </w:r>
          </w:p>
        </w:tc>
        <w:tc>
          <w:tcPr>
            <w:tcW w:w="1134" w:type="dxa"/>
            <w:shd w:val="clear" w:color="auto" w:fill="auto"/>
          </w:tcPr>
          <w:p w14:paraId="0F9763AF" w14:textId="4238EF22" w:rsidR="00A64878" w:rsidRPr="005373EB" w:rsidRDefault="00230DEC" w:rsidP="00C21401">
            <w:pPr>
              <w:pStyle w:val="TableText"/>
              <w:spacing w:before="40" w:after="40"/>
              <w:jc w:val="right"/>
              <w:rPr>
                <w:rFonts w:cs="Calibri"/>
                <w:szCs w:val="18"/>
              </w:rPr>
            </w:pPr>
            <w:r w:rsidRPr="005373EB">
              <w:rPr>
                <w:rFonts w:cs="Calibri"/>
                <w:szCs w:val="18"/>
              </w:rPr>
              <w:t>–</w:t>
            </w:r>
            <w:r w:rsidR="00A64878" w:rsidRPr="005373EB">
              <w:rPr>
                <w:rFonts w:cs="Calibri"/>
                <w:szCs w:val="18"/>
              </w:rPr>
              <w:t>2.3</w:t>
            </w:r>
          </w:p>
        </w:tc>
        <w:tc>
          <w:tcPr>
            <w:tcW w:w="1134" w:type="dxa"/>
            <w:shd w:val="clear" w:color="auto" w:fill="auto"/>
          </w:tcPr>
          <w:p w14:paraId="3DD7F13D" w14:textId="50A57644" w:rsidR="00A64878" w:rsidRPr="005373EB" w:rsidRDefault="00230DEC" w:rsidP="00C21401">
            <w:pPr>
              <w:pStyle w:val="TableText"/>
              <w:spacing w:before="40" w:after="40"/>
              <w:jc w:val="right"/>
              <w:rPr>
                <w:rFonts w:cs="Calibri"/>
                <w:szCs w:val="18"/>
              </w:rPr>
            </w:pPr>
            <w:r w:rsidRPr="005373EB">
              <w:rPr>
                <w:rFonts w:cs="Calibri"/>
                <w:szCs w:val="18"/>
              </w:rPr>
              <w:t>–</w:t>
            </w:r>
            <w:r w:rsidR="00A64878" w:rsidRPr="005373EB">
              <w:rPr>
                <w:rFonts w:cs="Calibri"/>
                <w:szCs w:val="18"/>
              </w:rPr>
              <w:t>15.3</w:t>
            </w:r>
          </w:p>
        </w:tc>
        <w:tc>
          <w:tcPr>
            <w:tcW w:w="1174" w:type="dxa"/>
            <w:shd w:val="clear" w:color="auto" w:fill="auto"/>
          </w:tcPr>
          <w:p w14:paraId="204E81A3" w14:textId="0806C25A" w:rsidR="00A64878" w:rsidRPr="005373EB" w:rsidRDefault="00230DEC" w:rsidP="00C21401">
            <w:pPr>
              <w:pStyle w:val="TableText"/>
              <w:spacing w:before="40" w:after="40"/>
              <w:jc w:val="right"/>
              <w:rPr>
                <w:rFonts w:cs="Calibri"/>
                <w:szCs w:val="18"/>
              </w:rPr>
            </w:pPr>
            <w:r w:rsidRPr="005373EB">
              <w:rPr>
                <w:rFonts w:cs="Calibri"/>
                <w:szCs w:val="18"/>
              </w:rPr>
              <w:t>–</w:t>
            </w:r>
            <w:r w:rsidR="00A64878" w:rsidRPr="005373EB">
              <w:rPr>
                <w:rFonts w:cs="Calibri"/>
                <w:szCs w:val="18"/>
              </w:rPr>
              <w:t>83.4</w:t>
            </w:r>
          </w:p>
        </w:tc>
      </w:tr>
      <w:tr w:rsidR="00A64878" w:rsidRPr="005373EB" w14:paraId="3FED0E12" w14:textId="77777777" w:rsidTr="004003AA">
        <w:tc>
          <w:tcPr>
            <w:tcW w:w="4678" w:type="dxa"/>
            <w:shd w:val="clear" w:color="auto" w:fill="auto"/>
            <w:vAlign w:val="center"/>
          </w:tcPr>
          <w:p w14:paraId="6E2FA937" w14:textId="2E19960A" w:rsidR="00A64878" w:rsidRPr="005373EB" w:rsidRDefault="00A64878" w:rsidP="00562F33">
            <w:pPr>
              <w:pStyle w:val="TableDash"/>
              <w:tabs>
                <w:tab w:val="clear" w:pos="720"/>
              </w:tabs>
              <w:spacing w:before="40" w:after="40"/>
              <w:ind w:left="0" w:firstLine="0"/>
              <w:rPr>
                <w:rFonts w:cs="Calibri"/>
                <w:b/>
                <w:bCs/>
                <w:szCs w:val="18"/>
              </w:rPr>
            </w:pPr>
            <w:r w:rsidRPr="005373EB">
              <w:rPr>
                <w:rFonts w:cs="Calibri"/>
                <w:b/>
                <w:bCs/>
                <w:szCs w:val="18"/>
              </w:rPr>
              <w:t>Total</w:t>
            </w:r>
            <w:r w:rsidR="007F4331" w:rsidRPr="005373EB">
              <w:rPr>
                <w:rFonts w:cs="Calibri"/>
                <w:b/>
                <w:bCs/>
                <w:szCs w:val="18"/>
              </w:rPr>
              <w:t xml:space="preserve"> from all sectors</w:t>
            </w:r>
          </w:p>
        </w:tc>
        <w:tc>
          <w:tcPr>
            <w:tcW w:w="1134" w:type="dxa"/>
            <w:shd w:val="clear" w:color="auto" w:fill="auto"/>
          </w:tcPr>
          <w:p w14:paraId="357B90C1" w14:textId="77777777" w:rsidR="00A64878" w:rsidRPr="005373EB" w:rsidRDefault="00A64878" w:rsidP="00C21401">
            <w:pPr>
              <w:pStyle w:val="TableText"/>
              <w:spacing w:before="40" w:after="40"/>
              <w:jc w:val="right"/>
              <w:rPr>
                <w:rFonts w:cs="Calibri"/>
                <w:szCs w:val="18"/>
              </w:rPr>
            </w:pPr>
          </w:p>
        </w:tc>
        <w:tc>
          <w:tcPr>
            <w:tcW w:w="1134" w:type="dxa"/>
            <w:shd w:val="clear" w:color="auto" w:fill="auto"/>
          </w:tcPr>
          <w:p w14:paraId="606D0A90" w14:textId="77777777" w:rsidR="00A64878" w:rsidRPr="005373EB" w:rsidRDefault="00A64878" w:rsidP="00C21401">
            <w:pPr>
              <w:pStyle w:val="TableText"/>
              <w:spacing w:before="40" w:after="40"/>
              <w:jc w:val="right"/>
              <w:rPr>
                <w:rFonts w:cs="Calibri"/>
                <w:szCs w:val="18"/>
              </w:rPr>
            </w:pPr>
          </w:p>
        </w:tc>
        <w:tc>
          <w:tcPr>
            <w:tcW w:w="1174" w:type="dxa"/>
            <w:shd w:val="clear" w:color="auto" w:fill="auto"/>
          </w:tcPr>
          <w:p w14:paraId="523B16F8" w14:textId="77777777" w:rsidR="00A64878" w:rsidRPr="005373EB" w:rsidRDefault="00A64878" w:rsidP="00C21401">
            <w:pPr>
              <w:pStyle w:val="TableText"/>
              <w:spacing w:before="40" w:after="40"/>
              <w:jc w:val="right"/>
              <w:rPr>
                <w:rFonts w:cs="Calibri"/>
                <w:szCs w:val="18"/>
              </w:rPr>
            </w:pPr>
          </w:p>
        </w:tc>
      </w:tr>
      <w:tr w:rsidR="00A64878" w:rsidRPr="005373EB" w14:paraId="35A45DB1" w14:textId="77777777" w:rsidTr="004003AA">
        <w:tc>
          <w:tcPr>
            <w:tcW w:w="4678" w:type="dxa"/>
            <w:shd w:val="clear" w:color="auto" w:fill="auto"/>
            <w:vAlign w:val="center"/>
          </w:tcPr>
          <w:p w14:paraId="76D72A82" w14:textId="085C3BCA" w:rsidR="00A64878" w:rsidRPr="005373EB" w:rsidRDefault="00A64878" w:rsidP="00C21401">
            <w:pPr>
              <w:pStyle w:val="TableBullet"/>
              <w:spacing w:before="40" w:after="40"/>
              <w:rPr>
                <w:rFonts w:cs="Calibri"/>
                <w:szCs w:val="18"/>
              </w:rPr>
            </w:pPr>
            <w:r w:rsidRPr="005373EB">
              <w:rPr>
                <w:rFonts w:cs="Calibri"/>
                <w:szCs w:val="18"/>
              </w:rPr>
              <w:t>Low impact estimate</w:t>
            </w:r>
          </w:p>
        </w:tc>
        <w:tc>
          <w:tcPr>
            <w:tcW w:w="1134" w:type="dxa"/>
            <w:shd w:val="clear" w:color="auto" w:fill="auto"/>
          </w:tcPr>
          <w:p w14:paraId="3786B962" w14:textId="6C402E3B" w:rsidR="00A64878" w:rsidRPr="005373EB" w:rsidRDefault="00230DEC" w:rsidP="00C21401">
            <w:pPr>
              <w:pStyle w:val="TableText"/>
              <w:spacing w:before="40" w:after="40"/>
              <w:jc w:val="right"/>
              <w:rPr>
                <w:rFonts w:cs="Calibri"/>
                <w:szCs w:val="18"/>
              </w:rPr>
            </w:pPr>
            <w:r w:rsidRPr="005373EB">
              <w:rPr>
                <w:rFonts w:cs="Calibri"/>
                <w:szCs w:val="18"/>
              </w:rPr>
              <w:t>–</w:t>
            </w:r>
            <w:r w:rsidR="00E817C9" w:rsidRPr="005373EB">
              <w:rPr>
                <w:rFonts w:cs="Calibri"/>
                <w:szCs w:val="18"/>
              </w:rPr>
              <w:t>1.4</w:t>
            </w:r>
          </w:p>
        </w:tc>
        <w:tc>
          <w:tcPr>
            <w:tcW w:w="1134" w:type="dxa"/>
            <w:shd w:val="clear" w:color="auto" w:fill="auto"/>
          </w:tcPr>
          <w:p w14:paraId="4682BDB1" w14:textId="6024E8A2" w:rsidR="00A64878" w:rsidRPr="005373EB" w:rsidRDefault="00230DEC" w:rsidP="00C21401">
            <w:pPr>
              <w:pStyle w:val="TableText"/>
              <w:spacing w:before="40" w:after="40"/>
              <w:jc w:val="right"/>
              <w:rPr>
                <w:rFonts w:cs="Calibri"/>
                <w:szCs w:val="18"/>
              </w:rPr>
            </w:pPr>
            <w:r w:rsidRPr="005373EB">
              <w:rPr>
                <w:rFonts w:cs="Calibri"/>
                <w:szCs w:val="18"/>
              </w:rPr>
              <w:t>–</w:t>
            </w:r>
            <w:r w:rsidR="00E817C9" w:rsidRPr="005373EB">
              <w:rPr>
                <w:rFonts w:cs="Calibri"/>
                <w:szCs w:val="18"/>
              </w:rPr>
              <w:t>27.3</w:t>
            </w:r>
          </w:p>
        </w:tc>
        <w:tc>
          <w:tcPr>
            <w:tcW w:w="1174" w:type="dxa"/>
            <w:shd w:val="clear" w:color="auto" w:fill="auto"/>
          </w:tcPr>
          <w:p w14:paraId="20B40805" w14:textId="02FD6F37" w:rsidR="00A64878" w:rsidRPr="005373EB" w:rsidRDefault="00230DEC" w:rsidP="00C21401">
            <w:pPr>
              <w:pStyle w:val="TableText"/>
              <w:spacing w:before="40" w:after="40"/>
              <w:jc w:val="right"/>
              <w:rPr>
                <w:rFonts w:cs="Calibri"/>
                <w:szCs w:val="18"/>
              </w:rPr>
            </w:pPr>
            <w:r w:rsidRPr="005373EB">
              <w:rPr>
                <w:rFonts w:cs="Calibri"/>
                <w:szCs w:val="18"/>
              </w:rPr>
              <w:t>–</w:t>
            </w:r>
            <w:r w:rsidR="00E817C9" w:rsidRPr="005373EB">
              <w:rPr>
                <w:rFonts w:cs="Calibri"/>
                <w:szCs w:val="18"/>
              </w:rPr>
              <w:t>64.8</w:t>
            </w:r>
          </w:p>
        </w:tc>
      </w:tr>
      <w:tr w:rsidR="00A64878" w:rsidRPr="005373EB" w14:paraId="3E71E5AD" w14:textId="77777777" w:rsidTr="004003AA">
        <w:tc>
          <w:tcPr>
            <w:tcW w:w="4678" w:type="dxa"/>
            <w:shd w:val="clear" w:color="auto" w:fill="auto"/>
            <w:vAlign w:val="center"/>
          </w:tcPr>
          <w:p w14:paraId="0FA59C4C" w14:textId="58EDA559" w:rsidR="00A64878" w:rsidRPr="005373EB" w:rsidRDefault="00A64878" w:rsidP="00C21401">
            <w:pPr>
              <w:pStyle w:val="TableBullet"/>
              <w:spacing w:before="40" w:after="40"/>
              <w:rPr>
                <w:rFonts w:cs="Calibri"/>
                <w:szCs w:val="18"/>
              </w:rPr>
            </w:pPr>
            <w:r w:rsidRPr="005373EB">
              <w:rPr>
                <w:rFonts w:cs="Calibri"/>
                <w:szCs w:val="18"/>
              </w:rPr>
              <w:t xml:space="preserve">High impact estimate </w:t>
            </w:r>
          </w:p>
        </w:tc>
        <w:tc>
          <w:tcPr>
            <w:tcW w:w="1134" w:type="dxa"/>
            <w:shd w:val="clear" w:color="auto" w:fill="auto"/>
          </w:tcPr>
          <w:p w14:paraId="5F69B693" w14:textId="72BE6D84" w:rsidR="00A64878" w:rsidRPr="005373EB" w:rsidRDefault="00230DEC" w:rsidP="00C21401">
            <w:pPr>
              <w:pStyle w:val="TableText"/>
              <w:spacing w:before="40" w:after="40"/>
              <w:jc w:val="right"/>
              <w:rPr>
                <w:rFonts w:cs="Calibri"/>
                <w:szCs w:val="18"/>
              </w:rPr>
            </w:pPr>
            <w:r w:rsidRPr="005373EB">
              <w:rPr>
                <w:rFonts w:cs="Calibri"/>
                <w:szCs w:val="18"/>
              </w:rPr>
              <w:t>–</w:t>
            </w:r>
            <w:r w:rsidR="00E817C9" w:rsidRPr="005373EB">
              <w:rPr>
                <w:rFonts w:cs="Calibri"/>
                <w:szCs w:val="18"/>
              </w:rPr>
              <w:t>14.0</w:t>
            </w:r>
          </w:p>
        </w:tc>
        <w:tc>
          <w:tcPr>
            <w:tcW w:w="1134" w:type="dxa"/>
            <w:shd w:val="clear" w:color="auto" w:fill="auto"/>
          </w:tcPr>
          <w:p w14:paraId="758E0143" w14:textId="0E7C486F" w:rsidR="00A64878" w:rsidRPr="005373EB" w:rsidRDefault="00230DEC" w:rsidP="00C21401">
            <w:pPr>
              <w:pStyle w:val="TableText"/>
              <w:spacing w:before="40" w:after="40"/>
              <w:jc w:val="right"/>
              <w:rPr>
                <w:rFonts w:cs="Calibri"/>
                <w:szCs w:val="18"/>
              </w:rPr>
            </w:pPr>
            <w:r w:rsidRPr="005373EB">
              <w:rPr>
                <w:rFonts w:cs="Calibri"/>
                <w:szCs w:val="18"/>
              </w:rPr>
              <w:t>–</w:t>
            </w:r>
            <w:r w:rsidR="00E817C9" w:rsidRPr="005373EB">
              <w:rPr>
                <w:rFonts w:cs="Calibri"/>
                <w:szCs w:val="18"/>
              </w:rPr>
              <w:t>107.2</w:t>
            </w:r>
          </w:p>
        </w:tc>
        <w:tc>
          <w:tcPr>
            <w:tcW w:w="1174" w:type="dxa"/>
            <w:shd w:val="clear" w:color="auto" w:fill="auto"/>
          </w:tcPr>
          <w:p w14:paraId="63D35BB4" w14:textId="50F377F4" w:rsidR="00A64878" w:rsidRPr="005373EB" w:rsidRDefault="004D230A" w:rsidP="00C21401">
            <w:pPr>
              <w:pStyle w:val="TableText"/>
              <w:spacing w:before="40" w:after="40"/>
              <w:jc w:val="right"/>
              <w:rPr>
                <w:rFonts w:cs="Calibri"/>
                <w:szCs w:val="18"/>
              </w:rPr>
            </w:pPr>
            <w:r w:rsidRPr="005373EB">
              <w:rPr>
                <w:rFonts w:cs="Calibri"/>
                <w:szCs w:val="18"/>
              </w:rPr>
              <w:t>–</w:t>
            </w:r>
            <w:r w:rsidR="00E817C9" w:rsidRPr="005373EB">
              <w:rPr>
                <w:rFonts w:cs="Calibri"/>
                <w:szCs w:val="18"/>
              </w:rPr>
              <w:t>197.5</w:t>
            </w:r>
          </w:p>
        </w:tc>
      </w:tr>
    </w:tbl>
    <w:p w14:paraId="2008ED4B" w14:textId="77777777" w:rsidR="00761C40" w:rsidRDefault="00761C40" w:rsidP="00B635F5">
      <w:pPr>
        <w:pStyle w:val="Heading2"/>
      </w:pPr>
      <w:bookmarkStart w:id="11" w:name="_Toc103773251"/>
    </w:p>
    <w:p w14:paraId="4BCF2FF5" w14:textId="19E27756" w:rsidR="00DF7F18" w:rsidRDefault="00DF7F18" w:rsidP="00B635F5">
      <w:pPr>
        <w:pStyle w:val="Heading2"/>
      </w:pPr>
      <w:r>
        <w:t>E</w:t>
      </w:r>
      <w:r w:rsidRPr="00DF7F18">
        <w:t>stimated emissions levels against emissions budgets</w:t>
      </w:r>
      <w:bookmarkEnd w:id="11"/>
    </w:p>
    <w:p w14:paraId="57FA7938" w14:textId="53CC70A2" w:rsidR="00D82C6F" w:rsidRPr="005373EB" w:rsidRDefault="00D82C6F" w:rsidP="009E37C3">
      <w:pPr>
        <w:pStyle w:val="BodyText"/>
      </w:pPr>
      <w:r w:rsidRPr="005373EB">
        <w:t xml:space="preserve">Table 2 provides a comparison of projected emissions levels for each of the first three emissions budgets, taking the range of potential abatement anticipated from quantified </w:t>
      </w:r>
      <w:r w:rsidR="009C2E61">
        <w:t>emissions reduction plan</w:t>
      </w:r>
      <w:r w:rsidR="009C2E61" w:rsidRPr="005373EB">
        <w:t xml:space="preserve"> </w:t>
      </w:r>
      <w:r w:rsidRPr="005373EB">
        <w:t>policies and measures</w:t>
      </w:r>
      <w:r w:rsidR="004D230A" w:rsidRPr="005373EB">
        <w:t>,</w:t>
      </w:r>
      <w:r w:rsidRPr="005373EB">
        <w:t xml:space="preserve"> as reflected in </w:t>
      </w:r>
      <w:hyperlink w:anchor="table1" w:history="1">
        <w:r w:rsidR="004D230A" w:rsidRPr="00EA0D6E">
          <w:rPr>
            <w:rStyle w:val="Hyperlink"/>
          </w:rPr>
          <w:t>t</w:t>
        </w:r>
        <w:r w:rsidRPr="00EA0D6E">
          <w:rPr>
            <w:rStyle w:val="Hyperlink"/>
          </w:rPr>
          <w:t>able 1</w:t>
        </w:r>
      </w:hyperlink>
      <w:r w:rsidR="004D230A" w:rsidRPr="005373EB">
        <w:t>,</w:t>
      </w:r>
      <w:r w:rsidRPr="005373EB">
        <w:t xml:space="preserve"> into account.</w:t>
      </w:r>
      <w:r w:rsidR="00353197" w:rsidRPr="005373EB">
        <w:t xml:space="preserve"> </w:t>
      </w:r>
      <w:r w:rsidRPr="005373EB">
        <w:t>These estimates are provided for a</w:t>
      </w:r>
      <w:r w:rsidR="003F3160" w:rsidRPr="005373EB">
        <w:t> </w:t>
      </w:r>
      <w:r w:rsidRPr="005373EB">
        <w:t>scenario in which the New Zealand’s Aluminium Smelter</w:t>
      </w:r>
      <w:r w:rsidR="003E48F4" w:rsidRPr="005373EB">
        <w:t xml:space="preserve"> </w:t>
      </w:r>
      <w:r w:rsidRPr="005373EB">
        <w:t>at Tiwai Point closes in 2024 and for</w:t>
      </w:r>
      <w:r w:rsidR="003F3160" w:rsidRPr="005373EB">
        <w:t> </w:t>
      </w:r>
      <w:r w:rsidRPr="005373EB">
        <w:t>a scenario in which it remains open after this date, reflecting the impact of this specific uncertainty on the overall estimates.</w:t>
      </w:r>
    </w:p>
    <w:p w14:paraId="137B278D" w14:textId="505CB473" w:rsidR="004048D6" w:rsidRPr="005373EB" w:rsidRDefault="00B33D09" w:rsidP="003F3160">
      <w:pPr>
        <w:pStyle w:val="Tableheading"/>
      </w:pPr>
      <w:bookmarkStart w:id="12" w:name="table2"/>
      <w:bookmarkStart w:id="13" w:name="_Toc103773272"/>
      <w:r w:rsidRPr="005373EB">
        <w:t>Table 2</w:t>
      </w:r>
      <w:bookmarkEnd w:id="12"/>
      <w:r w:rsidRPr="005373EB">
        <w:t xml:space="preserve">: </w:t>
      </w:r>
      <w:r w:rsidR="003F3160" w:rsidRPr="005373EB">
        <w:tab/>
      </w:r>
      <w:r w:rsidR="004048D6" w:rsidRPr="005373EB">
        <w:t>Comparison of estimated emissions levels against emissions budgets</w:t>
      </w:r>
      <w:r w:rsidR="00D806D3" w:rsidRPr="005373EB">
        <w:rPr>
          <w:rStyle w:val="FootnoteReference"/>
          <w:sz w:val="20"/>
        </w:rPr>
        <w:footnoteReference w:id="4"/>
      </w:r>
      <w:bookmarkEnd w:id="13"/>
    </w:p>
    <w:tbl>
      <w:tblPr>
        <w:tblW w:w="8505" w:type="dxa"/>
        <w:tblBorders>
          <w:top w:val="single" w:sz="4" w:space="0" w:color="1B556B" w:themeColor="text2"/>
          <w:bottom w:val="single" w:sz="4" w:space="0" w:color="1B556B" w:themeColor="text2"/>
          <w:insideH w:val="single" w:sz="4" w:space="0" w:color="1B556B" w:themeColor="text2"/>
          <w:insideV w:val="single" w:sz="4" w:space="0" w:color="1B556B" w:themeColor="text2"/>
        </w:tblBorders>
        <w:tblLook w:val="04A0" w:firstRow="1" w:lastRow="0" w:firstColumn="1" w:lastColumn="0" w:noHBand="0" w:noVBand="1"/>
      </w:tblPr>
      <w:tblGrid>
        <w:gridCol w:w="5103"/>
        <w:gridCol w:w="1134"/>
        <w:gridCol w:w="1134"/>
        <w:gridCol w:w="1134"/>
      </w:tblGrid>
      <w:tr w:rsidR="00C35D3C" w:rsidRPr="005373EB" w14:paraId="604D22EE" w14:textId="77777777" w:rsidTr="00C04241">
        <w:trPr>
          <w:tblHeader/>
        </w:trPr>
        <w:tc>
          <w:tcPr>
            <w:tcW w:w="5103" w:type="dxa"/>
            <w:shd w:val="clear" w:color="auto" w:fill="1B556B" w:themeFill="text2"/>
            <w:vAlign w:val="center"/>
            <w:hideMark/>
          </w:tcPr>
          <w:p w14:paraId="76A91AF8" w14:textId="77777777" w:rsidR="003F3160" w:rsidRPr="005373EB" w:rsidRDefault="003F3160" w:rsidP="002878AD">
            <w:pPr>
              <w:pStyle w:val="TableTextbold"/>
              <w:spacing w:before="40" w:after="40"/>
              <w:rPr>
                <w:color w:val="FFFFFF" w:themeColor="background1"/>
              </w:rPr>
            </w:pPr>
            <w:r w:rsidRPr="005373EB">
              <w:rPr>
                <w:color w:val="FFFFFF" w:themeColor="background1"/>
              </w:rPr>
              <w:t>Comparison of estimated emissions levels against emissions budgets (AR5 Mt CO</w:t>
            </w:r>
            <w:r w:rsidRPr="005373EB">
              <w:rPr>
                <w:color w:val="FFFFFF" w:themeColor="background1"/>
                <w:vertAlign w:val="subscript"/>
              </w:rPr>
              <w:t>2</w:t>
            </w:r>
            <w:r w:rsidRPr="005373EB">
              <w:rPr>
                <w:color w:val="FFFFFF" w:themeColor="background1"/>
              </w:rPr>
              <w:t>-e)</w:t>
            </w:r>
          </w:p>
        </w:tc>
        <w:tc>
          <w:tcPr>
            <w:tcW w:w="1134" w:type="dxa"/>
            <w:shd w:val="clear" w:color="auto" w:fill="1B556B" w:themeFill="text2"/>
            <w:vAlign w:val="center"/>
            <w:hideMark/>
          </w:tcPr>
          <w:p w14:paraId="507C98A0" w14:textId="6A06948D" w:rsidR="003F3160" w:rsidRPr="005373EB" w:rsidRDefault="003F3160" w:rsidP="002878AD">
            <w:pPr>
              <w:pStyle w:val="TableTextbold"/>
              <w:spacing w:before="40" w:after="40"/>
              <w:jc w:val="right"/>
              <w:rPr>
                <w:color w:val="FFFFFF" w:themeColor="background1"/>
              </w:rPr>
            </w:pPr>
            <w:r w:rsidRPr="005373EB">
              <w:rPr>
                <w:color w:val="FFFFFF" w:themeColor="background1"/>
              </w:rPr>
              <w:t>1st Budget</w:t>
            </w:r>
            <w:r w:rsidRPr="005373EB">
              <w:rPr>
                <w:color w:val="FFFFFF" w:themeColor="background1"/>
              </w:rPr>
              <w:br/>
              <w:t>2022</w:t>
            </w:r>
            <w:r w:rsidR="00A47C39" w:rsidRPr="005373EB">
              <w:rPr>
                <w:color w:val="FFFFFF" w:themeColor="background1"/>
              </w:rPr>
              <w:t>–</w:t>
            </w:r>
            <w:r w:rsidRPr="005373EB">
              <w:rPr>
                <w:color w:val="FFFFFF" w:themeColor="background1"/>
              </w:rPr>
              <w:t>25</w:t>
            </w:r>
          </w:p>
        </w:tc>
        <w:tc>
          <w:tcPr>
            <w:tcW w:w="1134" w:type="dxa"/>
            <w:shd w:val="clear" w:color="auto" w:fill="1B556B" w:themeFill="text2"/>
            <w:vAlign w:val="center"/>
            <w:hideMark/>
          </w:tcPr>
          <w:p w14:paraId="56F807C4" w14:textId="22C36DBC" w:rsidR="003F3160" w:rsidRPr="005373EB" w:rsidRDefault="003F3160" w:rsidP="002878AD">
            <w:pPr>
              <w:pStyle w:val="TableTextbold"/>
              <w:spacing w:before="40" w:after="40"/>
              <w:jc w:val="right"/>
              <w:rPr>
                <w:color w:val="FFFFFF" w:themeColor="background1"/>
              </w:rPr>
            </w:pPr>
            <w:r w:rsidRPr="005373EB">
              <w:rPr>
                <w:color w:val="FFFFFF" w:themeColor="background1"/>
              </w:rPr>
              <w:t>2nd Budget</w:t>
            </w:r>
            <w:r w:rsidRPr="005373EB">
              <w:rPr>
                <w:color w:val="FFFFFF" w:themeColor="background1"/>
              </w:rPr>
              <w:br/>
              <w:t>2026</w:t>
            </w:r>
            <w:r w:rsidR="00A47C39" w:rsidRPr="005373EB">
              <w:rPr>
                <w:color w:val="FFFFFF" w:themeColor="background1"/>
              </w:rPr>
              <w:t>–</w:t>
            </w:r>
            <w:r w:rsidRPr="005373EB">
              <w:rPr>
                <w:color w:val="FFFFFF" w:themeColor="background1"/>
              </w:rPr>
              <w:t>30</w:t>
            </w:r>
          </w:p>
        </w:tc>
        <w:tc>
          <w:tcPr>
            <w:tcW w:w="1134" w:type="dxa"/>
            <w:shd w:val="clear" w:color="auto" w:fill="1B556B" w:themeFill="text2"/>
            <w:vAlign w:val="center"/>
            <w:hideMark/>
          </w:tcPr>
          <w:p w14:paraId="044EDBA6" w14:textId="46D1FD26" w:rsidR="003F3160" w:rsidRPr="005373EB" w:rsidRDefault="003F3160" w:rsidP="002878AD">
            <w:pPr>
              <w:pStyle w:val="TableTextbold"/>
              <w:spacing w:before="40" w:after="40"/>
              <w:jc w:val="right"/>
              <w:rPr>
                <w:color w:val="FFFFFF" w:themeColor="background1"/>
              </w:rPr>
            </w:pPr>
            <w:r w:rsidRPr="005373EB">
              <w:rPr>
                <w:color w:val="FFFFFF" w:themeColor="background1"/>
              </w:rPr>
              <w:t>3rd Budget</w:t>
            </w:r>
            <w:r w:rsidRPr="005373EB">
              <w:rPr>
                <w:color w:val="FFFFFF" w:themeColor="background1"/>
              </w:rPr>
              <w:br/>
              <w:t>2013</w:t>
            </w:r>
            <w:r w:rsidR="00A47C39" w:rsidRPr="005373EB">
              <w:rPr>
                <w:color w:val="FFFFFF" w:themeColor="background1"/>
              </w:rPr>
              <w:t>–</w:t>
            </w:r>
            <w:r w:rsidRPr="005373EB">
              <w:rPr>
                <w:color w:val="FFFFFF" w:themeColor="background1"/>
              </w:rPr>
              <w:t>35</w:t>
            </w:r>
          </w:p>
        </w:tc>
      </w:tr>
      <w:tr w:rsidR="00D52BA5" w:rsidRPr="005373EB" w14:paraId="4B42F22B" w14:textId="77777777" w:rsidTr="00C04241">
        <w:tc>
          <w:tcPr>
            <w:tcW w:w="5103" w:type="dxa"/>
            <w:shd w:val="clear" w:color="auto" w:fill="auto"/>
            <w:vAlign w:val="center"/>
            <w:hideMark/>
          </w:tcPr>
          <w:p w14:paraId="6AD454E4" w14:textId="60CFA638" w:rsidR="00D52BA5" w:rsidRPr="005373EB" w:rsidRDefault="00D52BA5" w:rsidP="002878AD">
            <w:pPr>
              <w:pStyle w:val="TableText"/>
              <w:spacing w:before="40" w:after="40"/>
            </w:pPr>
            <w:r w:rsidRPr="005373EB">
              <w:t xml:space="preserve">Projected </w:t>
            </w:r>
            <w:r w:rsidR="00A47C39" w:rsidRPr="005373EB">
              <w:t>e</w:t>
            </w:r>
            <w:r w:rsidRPr="005373EB">
              <w:t xml:space="preserve">missions without </w:t>
            </w:r>
            <w:r w:rsidR="009C2E61">
              <w:t>emissions reduction plan</w:t>
            </w:r>
            <w:r w:rsidR="009C2E61" w:rsidRPr="005373EB">
              <w:t xml:space="preserve"> </w:t>
            </w:r>
            <w:r w:rsidRPr="005373EB">
              <w:t>abatement measures (counterfactual)</w:t>
            </w:r>
          </w:p>
        </w:tc>
        <w:tc>
          <w:tcPr>
            <w:tcW w:w="1134" w:type="dxa"/>
            <w:shd w:val="clear" w:color="auto" w:fill="auto"/>
          </w:tcPr>
          <w:p w14:paraId="6EC990E8" w14:textId="0E7A2F31" w:rsidR="00D52BA5" w:rsidRPr="005373EB" w:rsidRDefault="00D52BA5" w:rsidP="002878AD">
            <w:pPr>
              <w:pStyle w:val="TableText"/>
              <w:spacing w:before="40" w:after="40"/>
              <w:jc w:val="right"/>
            </w:pPr>
            <w:r w:rsidRPr="005373EB">
              <w:t>299.1</w:t>
            </w:r>
          </w:p>
        </w:tc>
        <w:tc>
          <w:tcPr>
            <w:tcW w:w="1134" w:type="dxa"/>
            <w:shd w:val="clear" w:color="auto" w:fill="auto"/>
          </w:tcPr>
          <w:p w14:paraId="45C9172E" w14:textId="00712027" w:rsidR="00D52BA5" w:rsidRPr="005373EB" w:rsidRDefault="00D52BA5" w:rsidP="002878AD">
            <w:pPr>
              <w:pStyle w:val="TableText"/>
              <w:spacing w:before="40" w:after="40"/>
              <w:jc w:val="right"/>
            </w:pPr>
            <w:r w:rsidRPr="005373EB">
              <w:t>339.2</w:t>
            </w:r>
          </w:p>
        </w:tc>
        <w:tc>
          <w:tcPr>
            <w:tcW w:w="1134" w:type="dxa"/>
            <w:shd w:val="clear" w:color="auto" w:fill="auto"/>
          </w:tcPr>
          <w:p w14:paraId="4E8B2623" w14:textId="0EEB383C" w:rsidR="00D52BA5" w:rsidRPr="005373EB" w:rsidRDefault="00D52BA5" w:rsidP="002878AD">
            <w:pPr>
              <w:pStyle w:val="TableText"/>
              <w:spacing w:before="40" w:after="40"/>
              <w:jc w:val="right"/>
            </w:pPr>
            <w:r w:rsidRPr="005373EB">
              <w:t>310.7</w:t>
            </w:r>
          </w:p>
        </w:tc>
      </w:tr>
      <w:tr w:rsidR="00D52BA5" w:rsidRPr="005373EB" w14:paraId="440A30F7" w14:textId="77777777" w:rsidTr="00C04241">
        <w:tc>
          <w:tcPr>
            <w:tcW w:w="5103" w:type="dxa"/>
            <w:shd w:val="clear" w:color="auto" w:fill="auto"/>
            <w:vAlign w:val="center"/>
            <w:hideMark/>
          </w:tcPr>
          <w:p w14:paraId="62513336" w14:textId="23D3B287" w:rsidR="00D52BA5" w:rsidRPr="005373EB" w:rsidRDefault="00D52BA5" w:rsidP="002878AD">
            <w:pPr>
              <w:pStyle w:val="TableText"/>
              <w:spacing w:before="40" w:after="40"/>
            </w:pPr>
            <w:r w:rsidRPr="005373EB">
              <w:t xml:space="preserve">Projected </w:t>
            </w:r>
            <w:r w:rsidR="00A47C39" w:rsidRPr="005373EB">
              <w:t>e</w:t>
            </w:r>
            <w:r w:rsidRPr="005373EB">
              <w:t xml:space="preserve">missions with </w:t>
            </w:r>
            <w:r w:rsidR="009C2E61">
              <w:t>emissions reduction plan</w:t>
            </w:r>
            <w:r w:rsidR="009C2E61" w:rsidRPr="005373EB">
              <w:t xml:space="preserve"> </w:t>
            </w:r>
            <w:r w:rsidRPr="005373EB">
              <w:t xml:space="preserve">abatement measures </w:t>
            </w:r>
            <w:r w:rsidR="00A47C39" w:rsidRPr="005373EB">
              <w:t>–</w:t>
            </w:r>
            <w:r w:rsidRPr="005373EB">
              <w:t xml:space="preserve"> </w:t>
            </w:r>
            <w:r w:rsidR="00A47C39" w:rsidRPr="005373EB">
              <w:t>l</w:t>
            </w:r>
            <w:r w:rsidRPr="005373EB">
              <w:t>ow impact estimate</w:t>
            </w:r>
          </w:p>
        </w:tc>
        <w:tc>
          <w:tcPr>
            <w:tcW w:w="1134" w:type="dxa"/>
            <w:shd w:val="clear" w:color="auto" w:fill="auto"/>
          </w:tcPr>
          <w:p w14:paraId="6026856B" w14:textId="62E14836" w:rsidR="00D52BA5" w:rsidRPr="005373EB" w:rsidRDefault="00D52BA5" w:rsidP="002878AD">
            <w:pPr>
              <w:pStyle w:val="TableText"/>
              <w:spacing w:before="40" w:after="40"/>
              <w:jc w:val="right"/>
            </w:pPr>
            <w:r w:rsidRPr="005373EB">
              <w:t>293.</w:t>
            </w:r>
            <w:r w:rsidR="00C35F5C" w:rsidRPr="005373EB">
              <w:t>7</w:t>
            </w:r>
          </w:p>
        </w:tc>
        <w:tc>
          <w:tcPr>
            <w:tcW w:w="1134" w:type="dxa"/>
            <w:shd w:val="clear" w:color="auto" w:fill="auto"/>
          </w:tcPr>
          <w:p w14:paraId="40D93BCD" w14:textId="799D3044" w:rsidR="00D52BA5" w:rsidRPr="005373EB" w:rsidRDefault="00D52BA5" w:rsidP="002878AD">
            <w:pPr>
              <w:pStyle w:val="TableText"/>
              <w:spacing w:before="40" w:after="40"/>
              <w:jc w:val="right"/>
            </w:pPr>
            <w:r w:rsidRPr="005373EB">
              <w:t>308.3</w:t>
            </w:r>
          </w:p>
        </w:tc>
        <w:tc>
          <w:tcPr>
            <w:tcW w:w="1134" w:type="dxa"/>
            <w:shd w:val="clear" w:color="auto" w:fill="auto"/>
          </w:tcPr>
          <w:p w14:paraId="68D810D2" w14:textId="4A790284" w:rsidR="00D52BA5" w:rsidRPr="005373EB" w:rsidRDefault="00D52BA5" w:rsidP="002878AD">
            <w:pPr>
              <w:pStyle w:val="TableText"/>
              <w:spacing w:before="40" w:after="40"/>
              <w:jc w:val="right"/>
            </w:pPr>
            <w:r w:rsidRPr="005373EB">
              <w:t>25</w:t>
            </w:r>
            <w:r w:rsidR="00C35F5C" w:rsidRPr="005373EB">
              <w:t>2</w:t>
            </w:r>
            <w:r w:rsidRPr="005373EB">
              <w:t>.3</w:t>
            </w:r>
          </w:p>
        </w:tc>
      </w:tr>
      <w:tr w:rsidR="00D52BA5" w:rsidRPr="005373EB" w14:paraId="5E538907" w14:textId="77777777" w:rsidTr="00C04241">
        <w:tc>
          <w:tcPr>
            <w:tcW w:w="5103" w:type="dxa"/>
            <w:shd w:val="clear" w:color="auto" w:fill="auto"/>
            <w:vAlign w:val="center"/>
            <w:hideMark/>
          </w:tcPr>
          <w:p w14:paraId="5605440D" w14:textId="1F661204" w:rsidR="00D52BA5" w:rsidRPr="005373EB" w:rsidRDefault="00D52BA5" w:rsidP="002878AD">
            <w:pPr>
              <w:pStyle w:val="TableText"/>
              <w:spacing w:before="40" w:after="40"/>
            </w:pPr>
            <w:r w:rsidRPr="005373EB">
              <w:t xml:space="preserve">Projected </w:t>
            </w:r>
            <w:r w:rsidR="00A47C39" w:rsidRPr="005373EB">
              <w:t>e</w:t>
            </w:r>
            <w:r w:rsidRPr="005373EB">
              <w:t xml:space="preserve">missions with </w:t>
            </w:r>
            <w:r w:rsidR="009C2E61">
              <w:t>emissions reduction plan</w:t>
            </w:r>
            <w:r w:rsidR="009C2E61" w:rsidRPr="005373EB">
              <w:t xml:space="preserve"> </w:t>
            </w:r>
            <w:r w:rsidRPr="005373EB">
              <w:t xml:space="preserve">abatement measures </w:t>
            </w:r>
            <w:r w:rsidR="00A47C39" w:rsidRPr="005373EB">
              <w:t>–</w:t>
            </w:r>
            <w:r w:rsidRPr="005373EB">
              <w:t xml:space="preserve"> </w:t>
            </w:r>
            <w:r w:rsidR="00A47C39" w:rsidRPr="005373EB">
              <w:t>h</w:t>
            </w:r>
            <w:r w:rsidRPr="005373EB">
              <w:t>igh impact estimate</w:t>
            </w:r>
          </w:p>
        </w:tc>
        <w:tc>
          <w:tcPr>
            <w:tcW w:w="1134" w:type="dxa"/>
            <w:shd w:val="clear" w:color="auto" w:fill="auto"/>
          </w:tcPr>
          <w:p w14:paraId="23109C23" w14:textId="7B97ECF3" w:rsidR="00D52BA5" w:rsidRPr="005373EB" w:rsidRDefault="00D52BA5" w:rsidP="002878AD">
            <w:pPr>
              <w:pStyle w:val="TableText"/>
              <w:spacing w:before="40" w:after="40"/>
              <w:jc w:val="right"/>
            </w:pPr>
            <w:r w:rsidRPr="005373EB">
              <w:t>287.</w:t>
            </w:r>
            <w:r w:rsidR="00221DCA" w:rsidRPr="005373EB">
              <w:t>2</w:t>
            </w:r>
          </w:p>
        </w:tc>
        <w:tc>
          <w:tcPr>
            <w:tcW w:w="1134" w:type="dxa"/>
            <w:shd w:val="clear" w:color="auto" w:fill="auto"/>
          </w:tcPr>
          <w:p w14:paraId="4F42B664" w14:textId="00F93E8A" w:rsidR="00D52BA5" w:rsidRPr="005373EB" w:rsidRDefault="00D52BA5" w:rsidP="002878AD">
            <w:pPr>
              <w:pStyle w:val="TableText"/>
              <w:spacing w:before="40" w:after="40"/>
              <w:jc w:val="right"/>
            </w:pPr>
            <w:r w:rsidRPr="005373EB">
              <w:t>244.</w:t>
            </w:r>
            <w:r w:rsidR="6588D264" w:rsidRPr="005373EB">
              <w:t>5</w:t>
            </w:r>
          </w:p>
        </w:tc>
        <w:tc>
          <w:tcPr>
            <w:tcW w:w="1134" w:type="dxa"/>
            <w:shd w:val="clear" w:color="auto" w:fill="auto"/>
          </w:tcPr>
          <w:p w14:paraId="4D5C05B3" w14:textId="28DFFE57" w:rsidR="00D52BA5" w:rsidRPr="005373EB" w:rsidRDefault="00D52BA5" w:rsidP="002878AD">
            <w:pPr>
              <w:pStyle w:val="TableText"/>
              <w:spacing w:before="40" w:after="40"/>
              <w:jc w:val="right"/>
            </w:pPr>
            <w:r w:rsidRPr="005373EB">
              <w:t>18</w:t>
            </w:r>
            <w:r w:rsidR="00C35F5C" w:rsidRPr="005373EB">
              <w:t>9</w:t>
            </w:r>
            <w:r w:rsidRPr="005373EB">
              <w:t>.</w:t>
            </w:r>
            <w:r w:rsidR="6588D264" w:rsidRPr="005373EB">
              <w:t>5</w:t>
            </w:r>
          </w:p>
        </w:tc>
      </w:tr>
      <w:tr w:rsidR="00D52BA5" w:rsidRPr="005373EB" w14:paraId="0F825489" w14:textId="77777777" w:rsidTr="00C04241">
        <w:tc>
          <w:tcPr>
            <w:tcW w:w="5103" w:type="dxa"/>
            <w:shd w:val="clear" w:color="auto" w:fill="auto"/>
            <w:vAlign w:val="center"/>
            <w:hideMark/>
          </w:tcPr>
          <w:p w14:paraId="45BCCC0D" w14:textId="77777777" w:rsidR="00D52BA5" w:rsidRPr="005373EB" w:rsidRDefault="00D52BA5" w:rsidP="002878AD">
            <w:pPr>
              <w:pStyle w:val="TableText"/>
              <w:spacing w:before="40" w:after="40"/>
            </w:pPr>
            <w:r w:rsidRPr="005373EB">
              <w:t>Emissions budgets</w:t>
            </w:r>
          </w:p>
        </w:tc>
        <w:tc>
          <w:tcPr>
            <w:tcW w:w="1134" w:type="dxa"/>
            <w:shd w:val="clear" w:color="auto" w:fill="auto"/>
          </w:tcPr>
          <w:p w14:paraId="76ECE7E2" w14:textId="1200C2C3" w:rsidR="00D52BA5" w:rsidRPr="005373EB" w:rsidRDefault="00D52BA5" w:rsidP="002878AD">
            <w:pPr>
              <w:pStyle w:val="TableText"/>
              <w:spacing w:before="40" w:after="40"/>
              <w:jc w:val="right"/>
            </w:pPr>
            <w:r w:rsidRPr="005373EB">
              <w:t>290.0</w:t>
            </w:r>
          </w:p>
        </w:tc>
        <w:tc>
          <w:tcPr>
            <w:tcW w:w="1134" w:type="dxa"/>
            <w:shd w:val="clear" w:color="auto" w:fill="auto"/>
          </w:tcPr>
          <w:p w14:paraId="7988CF25" w14:textId="423C6544" w:rsidR="00D52BA5" w:rsidRPr="005373EB" w:rsidRDefault="00D52BA5" w:rsidP="002878AD">
            <w:pPr>
              <w:pStyle w:val="TableText"/>
              <w:spacing w:before="40" w:after="40"/>
              <w:jc w:val="right"/>
            </w:pPr>
            <w:r w:rsidRPr="005373EB">
              <w:t>305.0</w:t>
            </w:r>
          </w:p>
        </w:tc>
        <w:tc>
          <w:tcPr>
            <w:tcW w:w="1134" w:type="dxa"/>
            <w:shd w:val="clear" w:color="auto" w:fill="auto"/>
          </w:tcPr>
          <w:p w14:paraId="107FBD00" w14:textId="2205C4E9" w:rsidR="00D52BA5" w:rsidRPr="005373EB" w:rsidRDefault="00D52BA5" w:rsidP="002878AD">
            <w:pPr>
              <w:pStyle w:val="TableText"/>
              <w:spacing w:before="40" w:after="40"/>
              <w:jc w:val="right"/>
            </w:pPr>
            <w:r w:rsidRPr="005373EB">
              <w:t>240.0</w:t>
            </w:r>
          </w:p>
        </w:tc>
      </w:tr>
      <w:tr w:rsidR="00D52BA5" w:rsidRPr="005373EB" w14:paraId="4F8F359C" w14:textId="77777777" w:rsidTr="00C04241">
        <w:tc>
          <w:tcPr>
            <w:tcW w:w="5103" w:type="dxa"/>
            <w:shd w:val="clear" w:color="auto" w:fill="auto"/>
            <w:vAlign w:val="center"/>
            <w:hideMark/>
          </w:tcPr>
          <w:p w14:paraId="15F1D3B4" w14:textId="05534160" w:rsidR="00D52BA5" w:rsidRPr="005373EB" w:rsidRDefault="00D52BA5" w:rsidP="002878AD">
            <w:pPr>
              <w:pStyle w:val="TableTextbold"/>
              <w:spacing w:before="40" w:after="40"/>
            </w:pPr>
            <w:r w:rsidRPr="005373EB">
              <w:lastRenderedPageBreak/>
              <w:t xml:space="preserve">If </w:t>
            </w:r>
            <w:r w:rsidR="003E48F4" w:rsidRPr="005373EB">
              <w:t xml:space="preserve">New Zealand’s Aluminium Smelter </w:t>
            </w:r>
            <w:r w:rsidRPr="005373EB">
              <w:t>was assumed to remain open beyond 2024:</w:t>
            </w:r>
          </w:p>
        </w:tc>
        <w:tc>
          <w:tcPr>
            <w:tcW w:w="1134" w:type="dxa"/>
            <w:shd w:val="clear" w:color="auto" w:fill="auto"/>
          </w:tcPr>
          <w:p w14:paraId="79536240" w14:textId="525FE500" w:rsidR="00D52BA5" w:rsidRPr="005373EB" w:rsidRDefault="00D52BA5" w:rsidP="002878AD">
            <w:pPr>
              <w:pStyle w:val="TableTextbold"/>
              <w:spacing w:before="40" w:after="40"/>
            </w:pPr>
          </w:p>
        </w:tc>
        <w:tc>
          <w:tcPr>
            <w:tcW w:w="1134" w:type="dxa"/>
            <w:shd w:val="clear" w:color="auto" w:fill="auto"/>
          </w:tcPr>
          <w:p w14:paraId="0EED247E" w14:textId="43E12058" w:rsidR="00D52BA5" w:rsidRPr="005373EB" w:rsidRDefault="00D52BA5" w:rsidP="002878AD">
            <w:pPr>
              <w:pStyle w:val="TableTextbold"/>
              <w:spacing w:before="40" w:after="40"/>
            </w:pPr>
          </w:p>
        </w:tc>
        <w:tc>
          <w:tcPr>
            <w:tcW w:w="1134" w:type="dxa"/>
            <w:shd w:val="clear" w:color="auto" w:fill="auto"/>
          </w:tcPr>
          <w:p w14:paraId="3A9DB756" w14:textId="5A4A0D49" w:rsidR="00D52BA5" w:rsidRPr="005373EB" w:rsidRDefault="00D52BA5" w:rsidP="002878AD">
            <w:pPr>
              <w:pStyle w:val="TableTextbold"/>
              <w:spacing w:before="40" w:after="40"/>
            </w:pPr>
          </w:p>
        </w:tc>
      </w:tr>
      <w:tr w:rsidR="00D52BA5" w:rsidRPr="005373EB" w14:paraId="3276C140" w14:textId="77777777" w:rsidTr="00C04241">
        <w:tc>
          <w:tcPr>
            <w:tcW w:w="5103" w:type="dxa"/>
            <w:shd w:val="clear" w:color="auto" w:fill="auto"/>
            <w:vAlign w:val="center"/>
            <w:hideMark/>
          </w:tcPr>
          <w:p w14:paraId="4F9CCD33" w14:textId="5E5B3937" w:rsidR="00D52BA5" w:rsidRPr="005373EB" w:rsidRDefault="00D52BA5" w:rsidP="002878AD">
            <w:pPr>
              <w:pStyle w:val="TableText"/>
              <w:spacing w:before="40" w:after="40"/>
            </w:pPr>
            <w:r w:rsidRPr="005373EB">
              <w:t xml:space="preserve">Projected </w:t>
            </w:r>
            <w:r w:rsidR="00941CB3" w:rsidRPr="005373EB">
              <w:t>e</w:t>
            </w:r>
            <w:r w:rsidRPr="005373EB">
              <w:t xml:space="preserve">missions without </w:t>
            </w:r>
            <w:r w:rsidR="009C2E61">
              <w:t>emissions reduction plan</w:t>
            </w:r>
            <w:r w:rsidR="009C2E61" w:rsidRPr="005373EB">
              <w:t xml:space="preserve"> </w:t>
            </w:r>
            <w:r w:rsidRPr="005373EB">
              <w:t>abatement measures (counterfactual)</w:t>
            </w:r>
          </w:p>
        </w:tc>
        <w:tc>
          <w:tcPr>
            <w:tcW w:w="1134" w:type="dxa"/>
            <w:shd w:val="clear" w:color="auto" w:fill="auto"/>
          </w:tcPr>
          <w:p w14:paraId="4D78F7AA" w14:textId="3771A58B" w:rsidR="00D52BA5" w:rsidRPr="005373EB" w:rsidRDefault="00D52BA5" w:rsidP="002878AD">
            <w:pPr>
              <w:pStyle w:val="TableText"/>
              <w:spacing w:before="40" w:after="40"/>
              <w:jc w:val="right"/>
            </w:pPr>
            <w:r w:rsidRPr="005373EB">
              <w:t>301.5</w:t>
            </w:r>
          </w:p>
        </w:tc>
        <w:tc>
          <w:tcPr>
            <w:tcW w:w="1134" w:type="dxa"/>
            <w:shd w:val="clear" w:color="auto" w:fill="auto"/>
          </w:tcPr>
          <w:p w14:paraId="34C2224E" w14:textId="1DE8A375" w:rsidR="00D52BA5" w:rsidRPr="005373EB" w:rsidRDefault="00D52BA5" w:rsidP="002878AD">
            <w:pPr>
              <w:pStyle w:val="TableText"/>
              <w:spacing w:before="40" w:after="40"/>
              <w:jc w:val="right"/>
            </w:pPr>
            <w:r w:rsidRPr="005373EB">
              <w:t>348.5</w:t>
            </w:r>
          </w:p>
        </w:tc>
        <w:tc>
          <w:tcPr>
            <w:tcW w:w="1134" w:type="dxa"/>
            <w:shd w:val="clear" w:color="auto" w:fill="auto"/>
          </w:tcPr>
          <w:p w14:paraId="16AAD33E" w14:textId="3F80BC4D" w:rsidR="00D52BA5" w:rsidRPr="005373EB" w:rsidRDefault="00D52BA5" w:rsidP="002878AD">
            <w:pPr>
              <w:pStyle w:val="TableText"/>
              <w:spacing w:before="40" w:after="40"/>
              <w:jc w:val="right"/>
            </w:pPr>
            <w:r w:rsidRPr="005373EB">
              <w:t>313.7</w:t>
            </w:r>
          </w:p>
        </w:tc>
      </w:tr>
      <w:tr w:rsidR="00D52BA5" w:rsidRPr="005373EB" w14:paraId="7AF73DBB" w14:textId="77777777" w:rsidTr="00C04241">
        <w:tc>
          <w:tcPr>
            <w:tcW w:w="5103" w:type="dxa"/>
            <w:shd w:val="clear" w:color="auto" w:fill="auto"/>
            <w:vAlign w:val="center"/>
            <w:hideMark/>
          </w:tcPr>
          <w:p w14:paraId="10E071EB" w14:textId="00D08E25" w:rsidR="00D52BA5" w:rsidRPr="005373EB" w:rsidRDefault="00D52BA5" w:rsidP="002878AD">
            <w:pPr>
              <w:pStyle w:val="TableText"/>
              <w:spacing w:before="40" w:after="40"/>
            </w:pPr>
            <w:r w:rsidRPr="005373EB">
              <w:t xml:space="preserve">Projected </w:t>
            </w:r>
            <w:r w:rsidR="00941CB3" w:rsidRPr="005373EB">
              <w:t>e</w:t>
            </w:r>
            <w:r w:rsidRPr="005373EB">
              <w:t xml:space="preserve">missions with </w:t>
            </w:r>
            <w:r w:rsidR="009C2E61">
              <w:t>emissions reduction plan</w:t>
            </w:r>
            <w:r w:rsidR="009C2E61" w:rsidRPr="005373EB">
              <w:t xml:space="preserve"> </w:t>
            </w:r>
            <w:r w:rsidRPr="005373EB">
              <w:t xml:space="preserve">abatement measures </w:t>
            </w:r>
            <w:r w:rsidR="00941CB3" w:rsidRPr="005373EB">
              <w:t>–</w:t>
            </w:r>
            <w:r w:rsidRPr="005373EB">
              <w:t xml:space="preserve"> </w:t>
            </w:r>
            <w:r w:rsidR="00941CB3" w:rsidRPr="005373EB">
              <w:t>l</w:t>
            </w:r>
            <w:r w:rsidRPr="005373EB">
              <w:t>ow impact estimate</w:t>
            </w:r>
          </w:p>
        </w:tc>
        <w:tc>
          <w:tcPr>
            <w:tcW w:w="1134" w:type="dxa"/>
            <w:shd w:val="clear" w:color="auto" w:fill="auto"/>
          </w:tcPr>
          <w:p w14:paraId="0D7F0AA8" w14:textId="74DFA4FE" w:rsidR="00D52BA5" w:rsidRPr="005373EB" w:rsidRDefault="00D52BA5" w:rsidP="002878AD">
            <w:pPr>
              <w:pStyle w:val="TableText"/>
              <w:spacing w:before="40" w:after="40"/>
              <w:jc w:val="right"/>
            </w:pPr>
            <w:r w:rsidRPr="005373EB">
              <w:t>296.</w:t>
            </w:r>
            <w:r w:rsidR="00904BE4" w:rsidRPr="005373EB">
              <w:t>1</w:t>
            </w:r>
          </w:p>
        </w:tc>
        <w:tc>
          <w:tcPr>
            <w:tcW w:w="1134" w:type="dxa"/>
            <w:shd w:val="clear" w:color="auto" w:fill="auto"/>
          </w:tcPr>
          <w:p w14:paraId="5DC8910B" w14:textId="21149727" w:rsidR="00D52BA5" w:rsidRPr="005373EB" w:rsidRDefault="00D52BA5" w:rsidP="002878AD">
            <w:pPr>
              <w:pStyle w:val="TableText"/>
              <w:spacing w:before="40" w:after="40"/>
              <w:jc w:val="right"/>
            </w:pPr>
            <w:r w:rsidRPr="005373EB">
              <w:t>317.6</w:t>
            </w:r>
          </w:p>
        </w:tc>
        <w:tc>
          <w:tcPr>
            <w:tcW w:w="1134" w:type="dxa"/>
            <w:shd w:val="clear" w:color="auto" w:fill="auto"/>
          </w:tcPr>
          <w:p w14:paraId="72712DCE" w14:textId="0EEF0693" w:rsidR="00D52BA5" w:rsidRPr="005373EB" w:rsidRDefault="00904BE4" w:rsidP="002878AD">
            <w:pPr>
              <w:pStyle w:val="TableText"/>
              <w:spacing w:before="40" w:after="40"/>
              <w:jc w:val="right"/>
            </w:pPr>
            <w:r w:rsidRPr="005373EB">
              <w:t>255</w:t>
            </w:r>
            <w:r w:rsidR="00D52BA5" w:rsidRPr="005373EB">
              <w:t>.3</w:t>
            </w:r>
          </w:p>
        </w:tc>
      </w:tr>
      <w:tr w:rsidR="00D52BA5" w:rsidRPr="005373EB" w14:paraId="58BD9CC3" w14:textId="77777777" w:rsidTr="00C04241">
        <w:tc>
          <w:tcPr>
            <w:tcW w:w="5103" w:type="dxa"/>
            <w:shd w:val="clear" w:color="auto" w:fill="auto"/>
            <w:vAlign w:val="center"/>
            <w:hideMark/>
          </w:tcPr>
          <w:p w14:paraId="7A081F8C" w14:textId="0EA30620" w:rsidR="00D52BA5" w:rsidRPr="005373EB" w:rsidRDefault="00D52BA5" w:rsidP="002878AD">
            <w:pPr>
              <w:pStyle w:val="TableText"/>
              <w:spacing w:before="40" w:after="40"/>
            </w:pPr>
            <w:r w:rsidRPr="005373EB">
              <w:t xml:space="preserve">Projected </w:t>
            </w:r>
            <w:r w:rsidR="00941CB3" w:rsidRPr="005373EB">
              <w:t>e</w:t>
            </w:r>
            <w:r w:rsidRPr="005373EB">
              <w:t xml:space="preserve">missions with </w:t>
            </w:r>
            <w:r w:rsidR="009C2E61">
              <w:t>emissions reduction plan</w:t>
            </w:r>
            <w:r w:rsidR="009C2E61" w:rsidRPr="005373EB">
              <w:t xml:space="preserve"> </w:t>
            </w:r>
            <w:r w:rsidRPr="005373EB">
              <w:t xml:space="preserve">abatement measures </w:t>
            </w:r>
            <w:r w:rsidR="00941CB3" w:rsidRPr="005373EB">
              <w:t>–</w:t>
            </w:r>
            <w:r w:rsidRPr="005373EB">
              <w:t xml:space="preserve"> </w:t>
            </w:r>
            <w:r w:rsidR="00941CB3" w:rsidRPr="005373EB">
              <w:t>h</w:t>
            </w:r>
            <w:r w:rsidRPr="005373EB">
              <w:t>igh impact estimate</w:t>
            </w:r>
          </w:p>
        </w:tc>
        <w:tc>
          <w:tcPr>
            <w:tcW w:w="1134" w:type="dxa"/>
            <w:shd w:val="clear" w:color="auto" w:fill="auto"/>
          </w:tcPr>
          <w:p w14:paraId="24AF3E5D" w14:textId="1CB86AF3" w:rsidR="00D52BA5" w:rsidRPr="005373EB" w:rsidRDefault="00D52BA5" w:rsidP="002878AD">
            <w:pPr>
              <w:pStyle w:val="TableText"/>
              <w:spacing w:before="40" w:after="40"/>
              <w:jc w:val="right"/>
            </w:pPr>
            <w:r w:rsidRPr="005373EB">
              <w:t>289.</w:t>
            </w:r>
            <w:r w:rsidR="00904BE4" w:rsidRPr="005373EB">
              <w:t>6</w:t>
            </w:r>
          </w:p>
        </w:tc>
        <w:tc>
          <w:tcPr>
            <w:tcW w:w="1134" w:type="dxa"/>
            <w:shd w:val="clear" w:color="auto" w:fill="auto"/>
          </w:tcPr>
          <w:p w14:paraId="71F83D0A" w14:textId="18AFAC58" w:rsidR="00D52BA5" w:rsidRPr="005373EB" w:rsidRDefault="00D52BA5" w:rsidP="002878AD">
            <w:pPr>
              <w:pStyle w:val="TableText"/>
              <w:spacing w:before="40" w:after="40"/>
              <w:jc w:val="right"/>
            </w:pPr>
            <w:r w:rsidRPr="005373EB">
              <w:t>253.</w:t>
            </w:r>
            <w:r w:rsidR="6588D264" w:rsidRPr="005373EB">
              <w:t>8</w:t>
            </w:r>
          </w:p>
        </w:tc>
        <w:tc>
          <w:tcPr>
            <w:tcW w:w="1134" w:type="dxa"/>
            <w:shd w:val="clear" w:color="auto" w:fill="auto"/>
          </w:tcPr>
          <w:p w14:paraId="5B4A9EDE" w14:textId="11870A1B" w:rsidR="00D52BA5" w:rsidRPr="005373EB" w:rsidRDefault="00904BE4" w:rsidP="002878AD">
            <w:pPr>
              <w:pStyle w:val="TableText"/>
              <w:spacing w:before="40" w:after="40"/>
              <w:jc w:val="right"/>
            </w:pPr>
            <w:r w:rsidRPr="005373EB" w:rsidDel="006D2781">
              <w:t>19</w:t>
            </w:r>
            <w:r w:rsidRPr="005373EB">
              <w:t>2</w:t>
            </w:r>
            <w:r w:rsidR="00D52BA5" w:rsidRPr="005373EB">
              <w:t>.</w:t>
            </w:r>
            <w:r w:rsidR="6588D264" w:rsidRPr="005373EB">
              <w:t>5</w:t>
            </w:r>
          </w:p>
        </w:tc>
      </w:tr>
      <w:tr w:rsidR="00D52BA5" w:rsidRPr="005373EB" w14:paraId="0BC4804F" w14:textId="77777777" w:rsidTr="00C04241">
        <w:tc>
          <w:tcPr>
            <w:tcW w:w="5103" w:type="dxa"/>
            <w:shd w:val="clear" w:color="auto" w:fill="auto"/>
            <w:vAlign w:val="center"/>
            <w:hideMark/>
          </w:tcPr>
          <w:p w14:paraId="7D33D72D" w14:textId="77777777" w:rsidR="00D52BA5" w:rsidRPr="005373EB" w:rsidRDefault="00D52BA5" w:rsidP="002878AD">
            <w:pPr>
              <w:pStyle w:val="TableText"/>
              <w:spacing w:before="40" w:after="40"/>
            </w:pPr>
            <w:r w:rsidRPr="005373EB">
              <w:t>Emissions budgets</w:t>
            </w:r>
          </w:p>
        </w:tc>
        <w:tc>
          <w:tcPr>
            <w:tcW w:w="1134" w:type="dxa"/>
            <w:shd w:val="clear" w:color="auto" w:fill="auto"/>
          </w:tcPr>
          <w:p w14:paraId="48D2E098" w14:textId="0446F5CB" w:rsidR="00D52BA5" w:rsidRPr="005373EB" w:rsidRDefault="00D52BA5" w:rsidP="002878AD">
            <w:pPr>
              <w:pStyle w:val="TableText"/>
              <w:spacing w:before="40" w:after="40"/>
              <w:jc w:val="right"/>
            </w:pPr>
            <w:r w:rsidRPr="005373EB">
              <w:t>290.0</w:t>
            </w:r>
          </w:p>
        </w:tc>
        <w:tc>
          <w:tcPr>
            <w:tcW w:w="1134" w:type="dxa"/>
            <w:shd w:val="clear" w:color="auto" w:fill="auto"/>
          </w:tcPr>
          <w:p w14:paraId="5CFEFBD0" w14:textId="315020F9" w:rsidR="00D52BA5" w:rsidRPr="005373EB" w:rsidRDefault="00D52BA5" w:rsidP="002878AD">
            <w:pPr>
              <w:pStyle w:val="TableText"/>
              <w:spacing w:before="40" w:after="40"/>
              <w:jc w:val="right"/>
            </w:pPr>
            <w:r w:rsidRPr="005373EB">
              <w:t>305.0</w:t>
            </w:r>
          </w:p>
        </w:tc>
        <w:tc>
          <w:tcPr>
            <w:tcW w:w="1134" w:type="dxa"/>
            <w:shd w:val="clear" w:color="auto" w:fill="auto"/>
          </w:tcPr>
          <w:p w14:paraId="3D0F372D" w14:textId="6A0DBB15" w:rsidR="00D52BA5" w:rsidRPr="005373EB" w:rsidRDefault="00D52BA5" w:rsidP="002878AD">
            <w:pPr>
              <w:pStyle w:val="TableText"/>
              <w:spacing w:before="40" w:after="40"/>
              <w:jc w:val="right"/>
            </w:pPr>
            <w:r w:rsidRPr="005373EB">
              <w:t>240.0</w:t>
            </w:r>
          </w:p>
        </w:tc>
      </w:tr>
    </w:tbl>
    <w:p w14:paraId="4889129F" w14:textId="5373A9D0" w:rsidR="00F03EFD" w:rsidRPr="005373EB" w:rsidRDefault="00F03EFD" w:rsidP="00AD155D">
      <w:pPr>
        <w:pStyle w:val="Heading1"/>
        <w:pageBreakBefore/>
      </w:pPr>
      <w:bookmarkStart w:id="14" w:name="_Toc103773252"/>
      <w:r w:rsidRPr="005373EB">
        <w:lastRenderedPageBreak/>
        <w:t>Approach</w:t>
      </w:r>
      <w:bookmarkEnd w:id="14"/>
    </w:p>
    <w:p w14:paraId="61821CE8" w14:textId="6D9F4615" w:rsidR="008E71B7" w:rsidRPr="005373EB" w:rsidRDefault="008E71B7" w:rsidP="00110A18">
      <w:pPr>
        <w:pStyle w:val="Heading2"/>
        <w:spacing w:before="180"/>
      </w:pPr>
      <w:bookmarkStart w:id="15" w:name="_Toc103773253"/>
      <w:r w:rsidRPr="005373EB">
        <w:t xml:space="preserve">Greenhouse </w:t>
      </w:r>
      <w:r w:rsidR="00AD155D" w:rsidRPr="005373EB">
        <w:t>g</w:t>
      </w:r>
      <w:r w:rsidRPr="005373EB">
        <w:t>as</w:t>
      </w:r>
      <w:r w:rsidR="00A87290" w:rsidRPr="005373EB">
        <w:t xml:space="preserve"> </w:t>
      </w:r>
      <w:r w:rsidR="00AD155D" w:rsidRPr="005373EB">
        <w:t>e</w:t>
      </w:r>
      <w:r w:rsidR="00B23773" w:rsidRPr="005373EB">
        <w:t xml:space="preserve">missions </w:t>
      </w:r>
      <w:r w:rsidR="00AD155D" w:rsidRPr="005373EB">
        <w:t>p</w:t>
      </w:r>
      <w:r w:rsidRPr="005373EB">
        <w:t>rojections</w:t>
      </w:r>
      <w:bookmarkEnd w:id="15"/>
    </w:p>
    <w:p w14:paraId="4B2DCF2A" w14:textId="373A79A0" w:rsidR="006B69FB" w:rsidRPr="005373EB" w:rsidRDefault="008575B5" w:rsidP="00D37C90">
      <w:pPr>
        <w:pStyle w:val="BodyText"/>
        <w:spacing w:before="100" w:after="100"/>
      </w:pPr>
      <w:r w:rsidRPr="005373EB">
        <w:t xml:space="preserve">The </w:t>
      </w:r>
      <w:r w:rsidR="009C2E61">
        <w:t>emissions reduction plan</w:t>
      </w:r>
      <w:r w:rsidR="009C2E61" w:rsidRPr="005373EB">
        <w:t xml:space="preserve"> </w:t>
      </w:r>
      <w:r w:rsidRPr="005373EB">
        <w:t xml:space="preserve">uses New Zealand’s </w:t>
      </w:r>
      <w:r w:rsidR="00831CB8" w:rsidRPr="005373EB">
        <w:t>GHG</w:t>
      </w:r>
      <w:r w:rsidRPr="005373EB">
        <w:t xml:space="preserve"> </w:t>
      </w:r>
      <w:r w:rsidR="00C46799" w:rsidRPr="005373EB">
        <w:t xml:space="preserve">emissions </w:t>
      </w:r>
      <w:r w:rsidRPr="005373EB">
        <w:t>projections</w:t>
      </w:r>
      <w:r w:rsidR="00402B80" w:rsidRPr="005373EB">
        <w:t xml:space="preserve"> </w:t>
      </w:r>
      <w:r w:rsidRPr="005373EB">
        <w:t xml:space="preserve">as </w:t>
      </w:r>
      <w:r w:rsidR="00B52C48" w:rsidRPr="005373EB">
        <w:t>its</w:t>
      </w:r>
      <w:r w:rsidR="00B52C48" w:rsidRPr="005373EB" w:rsidDel="00AC25A5">
        <w:t xml:space="preserve"> </w:t>
      </w:r>
      <w:r w:rsidRPr="005373EB">
        <w:t>start</w:t>
      </w:r>
      <w:r w:rsidR="00402B80" w:rsidRPr="005373EB">
        <w:t>ing</w:t>
      </w:r>
      <w:r w:rsidRPr="005373EB">
        <w:t xml:space="preserve"> point</w:t>
      </w:r>
      <w:r w:rsidR="00C11CF4" w:rsidRPr="005373EB">
        <w:t>.</w:t>
      </w:r>
      <w:r w:rsidR="00783502" w:rsidRPr="005373EB">
        <w:t xml:space="preserve"> </w:t>
      </w:r>
      <w:r w:rsidR="00C11CF4" w:rsidRPr="005373EB">
        <w:t>These</w:t>
      </w:r>
      <w:r w:rsidR="00783502" w:rsidRPr="005373EB">
        <w:t xml:space="preserve"> </w:t>
      </w:r>
      <w:r w:rsidR="000D0E4C" w:rsidRPr="005373EB">
        <w:t xml:space="preserve">provide </w:t>
      </w:r>
      <w:r w:rsidR="00C11CF4" w:rsidRPr="005373EB">
        <w:t>a</w:t>
      </w:r>
      <w:r w:rsidR="000D0E4C" w:rsidRPr="005373EB">
        <w:t xml:space="preserve"> business-as-usual projection</w:t>
      </w:r>
      <w:r w:rsidR="00110F6A" w:rsidRPr="005373EB">
        <w:t xml:space="preserve"> </w:t>
      </w:r>
      <w:r w:rsidR="00237BEE" w:rsidRPr="005373EB">
        <w:t xml:space="preserve">of our anticipated </w:t>
      </w:r>
      <w:r w:rsidR="00B52C48" w:rsidRPr="005373EB">
        <w:t>future</w:t>
      </w:r>
      <w:r w:rsidR="00237BEE" w:rsidRPr="005373EB">
        <w:t xml:space="preserve"> emissions levels that</w:t>
      </w:r>
      <w:r w:rsidR="00110F6A" w:rsidRPr="005373EB">
        <w:t xml:space="preserve"> can </w:t>
      </w:r>
      <w:r w:rsidR="00237BEE" w:rsidRPr="005373EB">
        <w:t>help</w:t>
      </w:r>
      <w:r w:rsidR="00237BEE" w:rsidRPr="005373EB" w:rsidDel="00237BEE">
        <w:t xml:space="preserve"> </w:t>
      </w:r>
      <w:r w:rsidR="00237BEE" w:rsidRPr="005373EB">
        <w:t xml:space="preserve">us </w:t>
      </w:r>
      <w:r w:rsidR="00110F6A" w:rsidRPr="005373EB">
        <w:t xml:space="preserve">understand </w:t>
      </w:r>
      <w:r w:rsidR="008C398C" w:rsidRPr="005373EB">
        <w:t xml:space="preserve">the </w:t>
      </w:r>
      <w:r w:rsidR="00B52C48" w:rsidRPr="005373EB">
        <w:t>additional</w:t>
      </w:r>
      <w:r w:rsidR="008C398C" w:rsidRPr="005373EB">
        <w:t xml:space="preserve"> </w:t>
      </w:r>
      <w:r w:rsidR="00EF3492" w:rsidRPr="005373EB">
        <w:t>emission</w:t>
      </w:r>
      <w:r w:rsidR="00EC7728" w:rsidRPr="005373EB">
        <w:t>s</w:t>
      </w:r>
      <w:r w:rsidR="00EF3492" w:rsidRPr="005373EB">
        <w:t xml:space="preserve"> reductions required to meet </w:t>
      </w:r>
      <w:r w:rsidR="00402B80" w:rsidRPr="005373EB">
        <w:t>the emissions budgets. Th</w:t>
      </w:r>
      <w:r w:rsidR="000D4EF9" w:rsidRPr="005373EB">
        <w:t>es</w:t>
      </w:r>
      <w:r w:rsidR="00402B80" w:rsidRPr="005373EB">
        <w:t xml:space="preserve">e projections </w:t>
      </w:r>
      <w:r w:rsidR="00AF233C" w:rsidRPr="005373EB">
        <w:t xml:space="preserve">provide </w:t>
      </w:r>
      <w:r w:rsidR="006738A9" w:rsidRPr="005373EB">
        <w:t>a</w:t>
      </w:r>
      <w:r w:rsidR="00AF233C" w:rsidRPr="005373EB">
        <w:t>n</w:t>
      </w:r>
      <w:r w:rsidR="006738A9" w:rsidRPr="005373EB">
        <w:t xml:space="preserve"> </w:t>
      </w:r>
      <w:r w:rsidR="00402B80" w:rsidRPr="005373EB">
        <w:t xml:space="preserve">estimate of </w:t>
      </w:r>
      <w:r w:rsidR="005E3712" w:rsidRPr="005373EB">
        <w:t xml:space="preserve">the counterfactual </w:t>
      </w:r>
      <w:r w:rsidR="00AF233C" w:rsidRPr="005373EB">
        <w:t xml:space="preserve">(or baseline scenario) </w:t>
      </w:r>
      <w:r w:rsidR="005E3712" w:rsidRPr="005373EB">
        <w:t>of a world in</w:t>
      </w:r>
      <w:r w:rsidR="00DD4722" w:rsidRPr="005373EB">
        <w:t> </w:t>
      </w:r>
      <w:r w:rsidR="005E3712" w:rsidRPr="005373EB">
        <w:t xml:space="preserve">which there was no </w:t>
      </w:r>
      <w:r w:rsidR="009C2E61">
        <w:t>emissions reduction plan</w:t>
      </w:r>
      <w:r w:rsidR="00FD0B61" w:rsidRPr="005373EB">
        <w:t>;</w:t>
      </w:r>
      <w:r w:rsidR="005E3712" w:rsidRPr="005373EB">
        <w:t xml:space="preserve"> in other words, </w:t>
      </w:r>
      <w:r w:rsidR="00402B80" w:rsidRPr="005373EB">
        <w:t>what would</w:t>
      </w:r>
      <w:r w:rsidR="005E3712" w:rsidRPr="005373EB">
        <w:t xml:space="preserve"> be expected to</w:t>
      </w:r>
      <w:r w:rsidR="00402B80" w:rsidRPr="005373EB">
        <w:t xml:space="preserve"> occur </w:t>
      </w:r>
      <w:r w:rsidR="008E71B7" w:rsidRPr="005373EB">
        <w:t xml:space="preserve">if </w:t>
      </w:r>
      <w:r w:rsidR="00402B80" w:rsidRPr="005373EB">
        <w:t>no further actions were undertaken to reduce domestic emissions</w:t>
      </w:r>
      <w:r w:rsidR="00AF233C" w:rsidRPr="005373EB">
        <w:t xml:space="preserve"> other than those policies and measures already in place</w:t>
      </w:r>
      <w:r w:rsidR="00DD4722" w:rsidRPr="005373EB">
        <w:t>.</w:t>
      </w:r>
      <w:r w:rsidR="00D54874" w:rsidRPr="005373EB">
        <w:rPr>
          <w:rStyle w:val="FootnoteReference"/>
        </w:rPr>
        <w:footnoteReference w:id="5"/>
      </w:r>
    </w:p>
    <w:p w14:paraId="471F252E" w14:textId="5BB47D92" w:rsidR="00402B80" w:rsidRPr="005373EB" w:rsidRDefault="00C57CA7" w:rsidP="00D37C90">
      <w:pPr>
        <w:pStyle w:val="BodyText"/>
        <w:spacing w:before="100" w:after="100"/>
      </w:pPr>
      <w:r w:rsidRPr="005373EB">
        <w:t xml:space="preserve">The Climate Change Commission </w:t>
      </w:r>
      <w:r w:rsidR="00865069" w:rsidRPr="005373EB">
        <w:t>(</w:t>
      </w:r>
      <w:r w:rsidR="003C003A">
        <w:t xml:space="preserve">the </w:t>
      </w:r>
      <w:r w:rsidR="00865069" w:rsidRPr="005373EB">
        <w:t>Commission)</w:t>
      </w:r>
      <w:r w:rsidRPr="005373EB">
        <w:t xml:space="preserve"> took a similar approach in modelling </w:t>
      </w:r>
      <w:r w:rsidR="007742C6" w:rsidRPr="005373EB">
        <w:t xml:space="preserve">its </w:t>
      </w:r>
      <w:r w:rsidRPr="005373EB">
        <w:t>‘Current Policy Reference’ case projections</w:t>
      </w:r>
      <w:r w:rsidR="00E1425E" w:rsidRPr="005373EB">
        <w:t>.</w:t>
      </w:r>
      <w:r w:rsidRPr="005373EB">
        <w:t xml:space="preserve"> </w:t>
      </w:r>
      <w:r w:rsidR="00E1425E" w:rsidRPr="005373EB">
        <w:t>T</w:t>
      </w:r>
      <w:r w:rsidRPr="005373EB">
        <w:t>hese were</w:t>
      </w:r>
      <w:r w:rsidR="00916B46" w:rsidRPr="005373EB">
        <w:t xml:space="preserve"> largely aligned to the latest Government GHG projections </w:t>
      </w:r>
      <w:r w:rsidR="00E1425E" w:rsidRPr="005373EB">
        <w:t xml:space="preserve">available </w:t>
      </w:r>
      <w:r w:rsidR="00916B46" w:rsidRPr="005373EB">
        <w:t xml:space="preserve">at the time </w:t>
      </w:r>
      <w:r w:rsidR="006738A9" w:rsidRPr="005373EB">
        <w:t xml:space="preserve">(May 2021) </w:t>
      </w:r>
      <w:r w:rsidR="00916B46" w:rsidRPr="005373EB">
        <w:t xml:space="preserve">although </w:t>
      </w:r>
      <w:r w:rsidRPr="005373EB">
        <w:t xml:space="preserve">differed </w:t>
      </w:r>
      <w:r w:rsidR="00916B46" w:rsidRPr="005373EB">
        <w:t xml:space="preserve">in some </w:t>
      </w:r>
      <w:r w:rsidR="005E3712" w:rsidRPr="005373EB">
        <w:t>areas</w:t>
      </w:r>
      <w:r w:rsidR="00916B46" w:rsidRPr="005373EB">
        <w:t>.</w:t>
      </w:r>
      <w:r w:rsidRPr="005373EB">
        <w:t xml:space="preserve"> These differences are described </w:t>
      </w:r>
      <w:r w:rsidR="007E2020" w:rsidRPr="005373EB">
        <w:t xml:space="preserve">in </w:t>
      </w:r>
      <w:r w:rsidRPr="005373EB">
        <w:t xml:space="preserve">more </w:t>
      </w:r>
      <w:r w:rsidR="007E2020" w:rsidRPr="005373EB">
        <w:t xml:space="preserve">detail </w:t>
      </w:r>
      <w:r w:rsidRPr="005373EB">
        <w:t xml:space="preserve">in the </w:t>
      </w:r>
      <w:r w:rsidR="003D3F88" w:rsidRPr="005373EB">
        <w:t>‘</w:t>
      </w:r>
      <w:hyperlink w:anchor="_Differences_from_the" w:history="1">
        <w:r w:rsidR="00A87290" w:rsidRPr="005373EB">
          <w:rPr>
            <w:rStyle w:val="Hyperlink"/>
          </w:rPr>
          <w:t xml:space="preserve">Differences from the </w:t>
        </w:r>
        <w:r w:rsidR="00865069" w:rsidRPr="005373EB">
          <w:rPr>
            <w:rStyle w:val="Hyperlink"/>
          </w:rPr>
          <w:t xml:space="preserve">Climate Change </w:t>
        </w:r>
        <w:r w:rsidR="00A87290" w:rsidRPr="005373EB">
          <w:rPr>
            <w:rStyle w:val="Hyperlink"/>
          </w:rPr>
          <w:t>Commission</w:t>
        </w:r>
        <w:r w:rsidR="00865069" w:rsidRPr="005373EB">
          <w:rPr>
            <w:rStyle w:val="Hyperlink"/>
          </w:rPr>
          <w:t>’</w:t>
        </w:r>
        <w:r w:rsidR="00A87290" w:rsidRPr="005373EB">
          <w:rPr>
            <w:rStyle w:val="Hyperlink"/>
          </w:rPr>
          <w:t>s analysis</w:t>
        </w:r>
      </w:hyperlink>
      <w:r w:rsidR="003D3F88" w:rsidRPr="005373EB">
        <w:t>’</w:t>
      </w:r>
      <w:r w:rsidR="003C003A">
        <w:t xml:space="preserve"> section</w:t>
      </w:r>
      <w:r w:rsidRPr="005373EB">
        <w:t>.</w:t>
      </w:r>
    </w:p>
    <w:p w14:paraId="7FE78390" w14:textId="1F5E11AB" w:rsidR="00091BF2" w:rsidRPr="005373EB" w:rsidRDefault="008E71B7" w:rsidP="00D37C90">
      <w:pPr>
        <w:pStyle w:val="BodyText"/>
        <w:spacing w:before="100" w:after="100"/>
      </w:pPr>
      <w:r w:rsidRPr="005373EB">
        <w:t xml:space="preserve">The projections used </w:t>
      </w:r>
      <w:r w:rsidR="00237BEE" w:rsidRPr="005373EB">
        <w:t xml:space="preserve">to support </w:t>
      </w:r>
      <w:r w:rsidRPr="005373EB">
        <w:t xml:space="preserve">the </w:t>
      </w:r>
      <w:r w:rsidR="00237BEE" w:rsidRPr="005373EB">
        <w:t xml:space="preserve">modelling of </w:t>
      </w:r>
      <w:r w:rsidR="009C2E61">
        <w:t>emissions reduction plan</w:t>
      </w:r>
      <w:r w:rsidR="009C2E61" w:rsidRPr="005373EB">
        <w:t xml:space="preserve"> </w:t>
      </w:r>
      <w:r w:rsidR="00237BEE" w:rsidRPr="005373EB">
        <w:t xml:space="preserve">policies as presented in </w:t>
      </w:r>
      <w:hyperlink w:anchor="table1" w:history="1">
        <w:r w:rsidR="00D8649E" w:rsidRPr="00A33C10">
          <w:rPr>
            <w:rStyle w:val="Hyperlink"/>
          </w:rPr>
          <w:t>t</w:t>
        </w:r>
        <w:r w:rsidR="00237BEE" w:rsidRPr="00A33C10">
          <w:rPr>
            <w:rStyle w:val="Hyperlink"/>
          </w:rPr>
          <w:t>able 1</w:t>
        </w:r>
      </w:hyperlink>
      <w:r w:rsidR="00237BEE" w:rsidRPr="005373EB">
        <w:t xml:space="preserve"> and </w:t>
      </w:r>
      <w:hyperlink w:anchor="table2" w:history="1">
        <w:r w:rsidR="00D8649E" w:rsidRPr="00A33C10">
          <w:rPr>
            <w:rStyle w:val="Hyperlink"/>
          </w:rPr>
          <w:t>table </w:t>
        </w:r>
        <w:r w:rsidR="00237BEE" w:rsidRPr="00A33C10">
          <w:rPr>
            <w:rStyle w:val="Hyperlink"/>
          </w:rPr>
          <w:t>2</w:t>
        </w:r>
      </w:hyperlink>
      <w:r w:rsidRPr="005373EB">
        <w:t xml:space="preserve"> are based on the </w:t>
      </w:r>
      <w:r w:rsidR="006738A9" w:rsidRPr="005373EB">
        <w:t xml:space="preserve">latest </w:t>
      </w:r>
      <w:r w:rsidRPr="005373EB">
        <w:t xml:space="preserve">GHG projections </w:t>
      </w:r>
      <w:r w:rsidR="001A7BDF" w:rsidRPr="005373EB">
        <w:t xml:space="preserve">finalised by </w:t>
      </w:r>
      <w:r w:rsidR="00D8649E" w:rsidRPr="005373EB">
        <w:t xml:space="preserve">the </w:t>
      </w:r>
      <w:r w:rsidR="001A7BDF" w:rsidRPr="005373EB">
        <w:t>Government in June 2021 and published</w:t>
      </w:r>
      <w:r w:rsidRPr="005373EB">
        <w:t xml:space="preserve"> by </w:t>
      </w:r>
      <w:r w:rsidR="00D8649E" w:rsidRPr="005373EB">
        <w:t>the Ministry for the Environme</w:t>
      </w:r>
      <w:r w:rsidR="00A91B6F" w:rsidRPr="005373EB">
        <w:t>nt</w:t>
      </w:r>
      <w:r w:rsidRPr="005373EB">
        <w:t xml:space="preserve"> in March 2022</w:t>
      </w:r>
      <w:r w:rsidR="00A91B6F" w:rsidRPr="005373EB">
        <w:t>.</w:t>
      </w:r>
      <w:r w:rsidR="00121B88" w:rsidRPr="005373EB">
        <w:rPr>
          <w:rStyle w:val="FootnoteReference"/>
        </w:rPr>
        <w:footnoteReference w:id="6"/>
      </w:r>
      <w:r w:rsidR="001A7BDF" w:rsidRPr="005373EB">
        <w:t xml:space="preserve"> </w:t>
      </w:r>
      <w:r w:rsidR="00F237C9" w:rsidRPr="005373EB">
        <w:t xml:space="preserve">The </w:t>
      </w:r>
      <w:r w:rsidR="00B27921" w:rsidRPr="005373EB">
        <w:t xml:space="preserve">June 2021 </w:t>
      </w:r>
      <w:r w:rsidR="00F237C9" w:rsidRPr="005373EB">
        <w:t>Government projections included assumptions about two large industrial emitters that have material implications for New Zealand’s anticipated emissions trajectory</w:t>
      </w:r>
      <w:r w:rsidR="00A91B6F" w:rsidRPr="005373EB">
        <w:t>:</w:t>
      </w:r>
      <w:r w:rsidR="00F237C9" w:rsidRPr="005373EB">
        <w:t xml:space="preserve"> </w:t>
      </w:r>
      <w:r w:rsidR="00D806D3" w:rsidRPr="005373EB">
        <w:t xml:space="preserve">Refining New Zealand </w:t>
      </w:r>
      <w:r w:rsidR="00EA6BCE" w:rsidRPr="005373EB">
        <w:t xml:space="preserve">(the </w:t>
      </w:r>
      <w:r w:rsidR="00D806D3" w:rsidRPr="005373EB">
        <w:t>oil refinery at Marsden Point</w:t>
      </w:r>
      <w:r w:rsidR="00EA6BCE" w:rsidRPr="005373EB">
        <w:t>)</w:t>
      </w:r>
      <w:r w:rsidR="00D806D3" w:rsidRPr="005373EB">
        <w:t xml:space="preserve"> </w:t>
      </w:r>
      <w:r w:rsidR="00F237C9" w:rsidRPr="005373EB">
        <w:t xml:space="preserve">and </w:t>
      </w:r>
      <w:r w:rsidR="003E48F4" w:rsidRPr="005373EB">
        <w:t xml:space="preserve">New Zealand’s Aluminium </w:t>
      </w:r>
      <w:r w:rsidR="35751A77" w:rsidRPr="005373EB">
        <w:t>Smelter</w:t>
      </w:r>
      <w:r w:rsidR="00F237C9" w:rsidRPr="005373EB">
        <w:t xml:space="preserve">. </w:t>
      </w:r>
      <w:r w:rsidR="00E9649C" w:rsidRPr="005373EB">
        <w:t>For</w:t>
      </w:r>
      <w:r w:rsidR="00F237C9" w:rsidRPr="005373EB">
        <w:t xml:space="preserve"> our analysis to support the development of the </w:t>
      </w:r>
      <w:r w:rsidR="009C2E61">
        <w:t>emissions reduction plan</w:t>
      </w:r>
      <w:r w:rsidR="00F237C9" w:rsidRPr="005373EB">
        <w:t xml:space="preserve">, we have adjusted the </w:t>
      </w:r>
      <w:r w:rsidR="00072902" w:rsidRPr="005373EB">
        <w:t xml:space="preserve">June 2021 Government </w:t>
      </w:r>
      <w:r w:rsidR="00F237C9" w:rsidRPr="005373EB">
        <w:t xml:space="preserve">projections, as described below. </w:t>
      </w:r>
    </w:p>
    <w:p w14:paraId="40369D45" w14:textId="7BBF5954" w:rsidR="006B69FB" w:rsidRPr="005373EB" w:rsidRDefault="00E95F3F" w:rsidP="00D37C90">
      <w:pPr>
        <w:pStyle w:val="BodyText"/>
        <w:spacing w:before="100" w:after="100"/>
      </w:pPr>
      <w:r w:rsidRPr="005373EB">
        <w:t>Refining New Zealand</w:t>
      </w:r>
      <w:r w:rsidR="002070DF" w:rsidRPr="005373EB">
        <w:t xml:space="preserve"> announced and subsequently </w:t>
      </w:r>
      <w:r w:rsidR="00B52C48" w:rsidRPr="005373EB">
        <w:t xml:space="preserve">began </w:t>
      </w:r>
      <w:r w:rsidRPr="005373EB">
        <w:t>the oil refinery’s</w:t>
      </w:r>
      <w:r w:rsidR="002070DF" w:rsidRPr="005373EB">
        <w:t xml:space="preserve"> transition to an import-only terminal</w:t>
      </w:r>
      <w:r w:rsidR="00B52C48" w:rsidRPr="005373EB">
        <w:t xml:space="preserve"> on 1 April 2022</w:t>
      </w:r>
      <w:r w:rsidR="002070DF" w:rsidRPr="005373EB">
        <w:t xml:space="preserve">. The </w:t>
      </w:r>
      <w:r w:rsidR="00B27921" w:rsidRPr="005373EB">
        <w:t xml:space="preserve">June 2021 </w:t>
      </w:r>
      <w:r w:rsidR="002070DF" w:rsidRPr="005373EB">
        <w:t xml:space="preserve">Government’s </w:t>
      </w:r>
      <w:r w:rsidR="004E3405" w:rsidRPr="005373EB">
        <w:t>GHG</w:t>
      </w:r>
      <w:r w:rsidR="002070DF" w:rsidRPr="005373EB">
        <w:t xml:space="preserve"> projections have previously assumed the refinery would continue to operate indefinitely</w:t>
      </w:r>
      <w:r w:rsidR="004B79F3" w:rsidRPr="005373EB">
        <w:t xml:space="preserve">. </w:t>
      </w:r>
      <w:r w:rsidR="002070DF" w:rsidRPr="005373EB">
        <w:t>The estimated impact of the closure of the refinery is to reduce projected emissions by 3</w:t>
      </w:r>
      <w:r w:rsidR="00CB766D" w:rsidRPr="005373EB">
        <w:t> </w:t>
      </w:r>
      <w:r w:rsidR="002070DF" w:rsidRPr="005373EB">
        <w:t xml:space="preserve">Mt </w:t>
      </w:r>
      <w:r w:rsidR="00665B48" w:rsidRPr="005373EB">
        <w:t>CO</w:t>
      </w:r>
      <w:r w:rsidR="00665B48" w:rsidRPr="005373EB">
        <w:rPr>
          <w:vertAlign w:val="subscript"/>
        </w:rPr>
        <w:t>2</w:t>
      </w:r>
      <w:r w:rsidR="00665B48" w:rsidRPr="005373EB">
        <w:t>-e</w:t>
      </w:r>
      <w:r w:rsidR="002070DF" w:rsidRPr="005373EB">
        <w:t xml:space="preserve"> in emissions budget 1</w:t>
      </w:r>
      <w:r w:rsidR="00CB766D" w:rsidRPr="005373EB">
        <w:t xml:space="preserve"> (EB1</w:t>
      </w:r>
      <w:r w:rsidR="002070DF" w:rsidRPr="005373EB">
        <w:t>) and by 4.25</w:t>
      </w:r>
      <w:r w:rsidR="00CB766D" w:rsidRPr="005373EB">
        <w:t> </w:t>
      </w:r>
      <w:r w:rsidR="002070DF" w:rsidRPr="005373EB">
        <w:t xml:space="preserve">Mt </w:t>
      </w:r>
      <w:r w:rsidR="00665B48" w:rsidRPr="005373EB">
        <w:t>CO</w:t>
      </w:r>
      <w:r w:rsidR="00665B48" w:rsidRPr="005373EB">
        <w:rPr>
          <w:vertAlign w:val="subscript"/>
        </w:rPr>
        <w:t>2</w:t>
      </w:r>
      <w:r w:rsidR="00665B48" w:rsidRPr="005373EB">
        <w:t>-e</w:t>
      </w:r>
      <w:r w:rsidR="002070DF" w:rsidRPr="005373EB">
        <w:t xml:space="preserve"> in each future emissions budget period (including, and beyond, EB2 and EB3). </w:t>
      </w:r>
      <w:r w:rsidR="004B79F3" w:rsidRPr="005373EB">
        <w:t>In response to the refinery’s announcement</w:t>
      </w:r>
      <w:r w:rsidR="00656FF9" w:rsidRPr="005373EB">
        <w:t>,</w:t>
      </w:r>
      <w:r w:rsidR="004B79F3" w:rsidRPr="005373EB">
        <w:t xml:space="preserve"> we have adjusted our emissions projections downwards</w:t>
      </w:r>
      <w:r w:rsidR="00656FF9" w:rsidRPr="005373EB">
        <w:t>,</w:t>
      </w:r>
      <w:r w:rsidR="004B79F3" w:rsidRPr="005373EB">
        <w:t xml:space="preserve"> to account for this estimated impact.</w:t>
      </w:r>
      <w:r w:rsidR="002070DF" w:rsidRPr="005373EB">
        <w:t xml:space="preserve"> </w:t>
      </w:r>
      <w:r w:rsidR="00D54874" w:rsidRPr="005373EB">
        <w:t xml:space="preserve">The </w:t>
      </w:r>
      <w:r w:rsidR="00B27921" w:rsidRPr="005373EB">
        <w:t xml:space="preserve">June 2021 </w:t>
      </w:r>
      <w:r w:rsidR="00D54874" w:rsidRPr="005373EB">
        <w:t xml:space="preserve">Government’s projections assumed </w:t>
      </w:r>
      <w:r w:rsidR="003E48F4" w:rsidRPr="005373EB">
        <w:t xml:space="preserve">New Zealand’s Aluminium Smelter </w:t>
      </w:r>
      <w:r w:rsidR="00D54874" w:rsidRPr="005373EB">
        <w:t>would close at the end</w:t>
      </w:r>
      <w:r w:rsidR="00942CE2" w:rsidRPr="005373EB">
        <w:t> </w:t>
      </w:r>
      <w:r w:rsidR="00D54874" w:rsidRPr="005373EB">
        <w:t>of 2024. Since the Government’s projections were finalised in June 2021</w:t>
      </w:r>
      <w:r w:rsidR="00FF5A20" w:rsidRPr="005373EB">
        <w:t>,</w:t>
      </w:r>
      <w:r w:rsidR="00D54874" w:rsidRPr="005373EB">
        <w:t xml:space="preserve"> </w:t>
      </w:r>
      <w:r w:rsidR="00293070" w:rsidRPr="005373EB">
        <w:t xml:space="preserve">expectations around future aluminium prices have increased and </w:t>
      </w:r>
      <w:r w:rsidR="00D54874" w:rsidRPr="005373EB">
        <w:t>the outlook for the smelter has changed.</w:t>
      </w:r>
      <w:r w:rsidR="00D54874" w:rsidRPr="005373EB" w:rsidDel="001416BB">
        <w:t xml:space="preserve"> </w:t>
      </w:r>
      <w:r w:rsidR="00C71B82" w:rsidRPr="005373EB">
        <w:t>A</w:t>
      </w:r>
      <w:r w:rsidR="00942CE2" w:rsidRPr="005373EB">
        <w:t> </w:t>
      </w:r>
      <w:r w:rsidR="00D54874" w:rsidRPr="005373EB" w:rsidDel="001416BB">
        <w:t xml:space="preserve">significant chance </w:t>
      </w:r>
      <w:r w:rsidR="00C71B82" w:rsidRPr="005373EB">
        <w:t xml:space="preserve">exists </w:t>
      </w:r>
      <w:r w:rsidR="00D54874" w:rsidRPr="005373EB" w:rsidDel="001416BB">
        <w:t>that it will close in 2024</w:t>
      </w:r>
      <w:r w:rsidR="00913EEC" w:rsidRPr="005373EB">
        <w:t>;</w:t>
      </w:r>
      <w:r w:rsidR="00D54874" w:rsidRPr="005373EB" w:rsidDel="001416BB">
        <w:t xml:space="preserve"> however</w:t>
      </w:r>
      <w:r w:rsidR="006C3A7C" w:rsidRPr="005373EB">
        <w:t>,</w:t>
      </w:r>
      <w:r w:rsidR="00D54874" w:rsidRPr="005373EB" w:rsidDel="001416BB">
        <w:t xml:space="preserve"> the likelihood it will continue to</w:t>
      </w:r>
      <w:r w:rsidR="007100F5" w:rsidRPr="005373EB">
        <w:t> </w:t>
      </w:r>
      <w:r w:rsidR="00D54874" w:rsidRPr="005373EB" w:rsidDel="001416BB">
        <w:t>operate has substantially increased.</w:t>
      </w:r>
      <w:r w:rsidR="00D54874" w:rsidRPr="005373EB">
        <w:t xml:space="preserve"> Due to the uncertainty around the continued operation of the smelter, we have considered a scenario in which the smelter closes (reflecting our underlying assumption) alongside a scenario in which the smelter remains open beyond 2024.</w:t>
      </w:r>
      <w:r w:rsidR="007100F5" w:rsidRPr="005373EB">
        <w:t> </w:t>
      </w:r>
      <w:r w:rsidR="00D54874" w:rsidRPr="005373EB">
        <w:t>The estimated impact of the continued operation of the smelter beyond 2024 is to increase our projected emissions levels by 2.4</w:t>
      </w:r>
      <w:r w:rsidR="00942CE2" w:rsidRPr="005373EB">
        <w:t> </w:t>
      </w:r>
      <w:r w:rsidR="00D54874" w:rsidRPr="005373EB">
        <w:t xml:space="preserve">Mt </w:t>
      </w:r>
      <w:r w:rsidR="00C031BC" w:rsidRPr="005373EB">
        <w:t>CO</w:t>
      </w:r>
      <w:r w:rsidR="00C031BC" w:rsidRPr="005373EB">
        <w:rPr>
          <w:vertAlign w:val="subscript"/>
        </w:rPr>
        <w:t>2</w:t>
      </w:r>
      <w:r w:rsidR="00C031BC" w:rsidRPr="005373EB">
        <w:t xml:space="preserve">-e </w:t>
      </w:r>
      <w:r w:rsidR="00D54874" w:rsidRPr="005373EB">
        <w:t>in EB1, by 9.3</w:t>
      </w:r>
      <w:r w:rsidR="00942CE2" w:rsidRPr="005373EB">
        <w:t> </w:t>
      </w:r>
      <w:r w:rsidR="00D54874" w:rsidRPr="005373EB">
        <w:t xml:space="preserve">Mt </w:t>
      </w:r>
      <w:r w:rsidR="00C031BC" w:rsidRPr="005373EB">
        <w:t>CO</w:t>
      </w:r>
      <w:r w:rsidR="00C031BC" w:rsidRPr="005373EB">
        <w:rPr>
          <w:vertAlign w:val="subscript"/>
        </w:rPr>
        <w:t>2</w:t>
      </w:r>
      <w:r w:rsidR="00C031BC" w:rsidRPr="005373EB">
        <w:t xml:space="preserve">-e </w:t>
      </w:r>
      <w:r w:rsidR="00D54874" w:rsidRPr="005373EB">
        <w:t>in EB2 and 3</w:t>
      </w:r>
      <w:r w:rsidR="00DD4722" w:rsidRPr="005373EB">
        <w:t> </w:t>
      </w:r>
      <w:r w:rsidR="00D54874" w:rsidRPr="005373EB">
        <w:t>Mt</w:t>
      </w:r>
      <w:r w:rsidR="00DD4722" w:rsidRPr="005373EB">
        <w:t> </w:t>
      </w:r>
      <w:r w:rsidR="00C031BC" w:rsidRPr="005373EB">
        <w:t>CO</w:t>
      </w:r>
      <w:r w:rsidR="00C031BC" w:rsidRPr="005373EB">
        <w:rPr>
          <w:vertAlign w:val="subscript"/>
        </w:rPr>
        <w:t>2</w:t>
      </w:r>
      <w:r w:rsidR="00C031BC" w:rsidRPr="005373EB">
        <w:t xml:space="preserve">-e </w:t>
      </w:r>
      <w:r w:rsidR="00D54874" w:rsidRPr="005373EB">
        <w:t>in EB3.</w:t>
      </w:r>
      <w:r w:rsidR="00D54874" w:rsidRPr="005373EB" w:rsidDel="00352796">
        <w:t xml:space="preserve"> </w:t>
      </w:r>
    </w:p>
    <w:p w14:paraId="34DC2BC7" w14:textId="61E44F04" w:rsidR="004B79F3" w:rsidRPr="005373EB" w:rsidRDefault="004B79F3" w:rsidP="00D37C90">
      <w:pPr>
        <w:pStyle w:val="Heading3"/>
      </w:pPr>
      <w:r w:rsidRPr="005373EB">
        <w:lastRenderedPageBreak/>
        <w:t xml:space="preserve">Using the GHG emissions projections to support </w:t>
      </w:r>
      <w:r w:rsidR="009C2E61">
        <w:t>emissions reduction plan</w:t>
      </w:r>
      <w:r w:rsidR="009C2E61" w:rsidRPr="005373EB">
        <w:t xml:space="preserve"> </w:t>
      </w:r>
      <w:r w:rsidRPr="005373EB">
        <w:t xml:space="preserve">policy modelling </w:t>
      </w:r>
    </w:p>
    <w:p w14:paraId="7D884176" w14:textId="19165AC5" w:rsidR="004B79F3" w:rsidRPr="005373EB" w:rsidRDefault="004B79F3" w:rsidP="00DD4722">
      <w:pPr>
        <w:pStyle w:val="BodyText"/>
      </w:pPr>
      <w:r w:rsidRPr="005373EB">
        <w:t>The Government’s GHG projections, with the amendments referenced above, provide a base</w:t>
      </w:r>
      <w:r w:rsidR="00D37C90" w:rsidRPr="005373EB">
        <w:t> </w:t>
      </w:r>
      <w:r w:rsidRPr="005373EB">
        <w:t>case</w:t>
      </w:r>
      <w:r w:rsidR="00BC5BFD">
        <w:t>. Upon the base case</w:t>
      </w:r>
      <w:r w:rsidR="00D45E2B">
        <w:t>,</w:t>
      </w:r>
      <w:r w:rsidRPr="005373EB">
        <w:t xml:space="preserve"> we can consider the anticipated impact of quantified </w:t>
      </w:r>
      <w:r w:rsidR="009C2E61">
        <w:t>emissions reduction plan</w:t>
      </w:r>
      <w:r w:rsidR="009C2E61" w:rsidRPr="005373EB">
        <w:t xml:space="preserve"> </w:t>
      </w:r>
      <w:r w:rsidRPr="005373EB">
        <w:t>policies and measures and compare New Zealand’s anticipated future emissions levels under the impact of</w:t>
      </w:r>
      <w:r w:rsidR="005656A6" w:rsidRPr="005373EB">
        <w:t> </w:t>
      </w:r>
      <w:r w:rsidRPr="005373EB">
        <w:t xml:space="preserve">quantified </w:t>
      </w:r>
      <w:r w:rsidR="009C2E61">
        <w:t>emissions reduction plan</w:t>
      </w:r>
      <w:r w:rsidR="009C2E61" w:rsidRPr="005373EB">
        <w:t xml:space="preserve"> </w:t>
      </w:r>
      <w:r w:rsidRPr="005373EB">
        <w:t>policies and measures with the emissions budgets. The quantification of the</w:t>
      </w:r>
      <w:r w:rsidR="005656A6" w:rsidRPr="005373EB">
        <w:t> </w:t>
      </w:r>
      <w:r w:rsidRPr="005373EB">
        <w:t xml:space="preserve">abatement impact of </w:t>
      </w:r>
      <w:r w:rsidR="00660682">
        <w:t>emissions reduction plan</w:t>
      </w:r>
      <w:r w:rsidR="00660682" w:rsidRPr="005373EB">
        <w:t xml:space="preserve"> </w:t>
      </w:r>
      <w:r w:rsidRPr="005373EB">
        <w:t xml:space="preserve">policies and measures was undertaken by agencies, including </w:t>
      </w:r>
      <w:r w:rsidR="005A0B66" w:rsidRPr="005373EB">
        <w:t>the Ministry for the Environment</w:t>
      </w:r>
      <w:r w:rsidR="007E2476" w:rsidRPr="005373EB">
        <w:t xml:space="preserve"> (</w:t>
      </w:r>
      <w:r w:rsidRPr="005373EB">
        <w:t>M</w:t>
      </w:r>
      <w:r w:rsidR="007E2476" w:rsidRPr="005373EB">
        <w:t>f</w:t>
      </w:r>
      <w:r w:rsidRPr="005373EB">
        <w:t>E</w:t>
      </w:r>
      <w:r w:rsidR="007E2476" w:rsidRPr="005373EB">
        <w:t>)</w:t>
      </w:r>
      <w:r w:rsidRPr="005373EB">
        <w:t xml:space="preserve">, </w:t>
      </w:r>
      <w:r w:rsidR="0046226F" w:rsidRPr="005373EB">
        <w:t>Ministry of Business, Innovation and Employment</w:t>
      </w:r>
      <w:r w:rsidR="004E47F5" w:rsidRPr="005373EB">
        <w:t xml:space="preserve"> (</w:t>
      </w:r>
      <w:r w:rsidRPr="005373EB">
        <w:t>MBIE</w:t>
      </w:r>
      <w:r w:rsidR="004E47F5" w:rsidRPr="005373EB">
        <w:t>)</w:t>
      </w:r>
      <w:r w:rsidRPr="005373EB">
        <w:t xml:space="preserve">, </w:t>
      </w:r>
      <w:r w:rsidR="00F9183B" w:rsidRPr="005373EB">
        <w:t>Ministry of Transport</w:t>
      </w:r>
      <w:r w:rsidR="004E47F5" w:rsidRPr="005373EB">
        <w:t xml:space="preserve"> (</w:t>
      </w:r>
      <w:r w:rsidRPr="005373EB">
        <w:t>M</w:t>
      </w:r>
      <w:r w:rsidR="004E47F5" w:rsidRPr="005373EB">
        <w:t>o</w:t>
      </w:r>
      <w:r w:rsidRPr="005373EB">
        <w:t>T</w:t>
      </w:r>
      <w:r w:rsidR="004E47F5" w:rsidRPr="005373EB">
        <w:t>)</w:t>
      </w:r>
      <w:r w:rsidRPr="005373EB">
        <w:t xml:space="preserve">, </w:t>
      </w:r>
      <w:r w:rsidR="00612EDB" w:rsidRPr="005373EB">
        <w:t>Ministry for Primary Industries</w:t>
      </w:r>
      <w:r w:rsidR="004E47F5" w:rsidRPr="005373EB">
        <w:t xml:space="preserve"> (</w:t>
      </w:r>
      <w:r w:rsidRPr="005373EB">
        <w:t>MPI</w:t>
      </w:r>
      <w:r w:rsidR="00246580" w:rsidRPr="005373EB">
        <w:t>)</w:t>
      </w:r>
      <w:r w:rsidRPr="005373EB">
        <w:t xml:space="preserve"> and </w:t>
      </w:r>
      <w:r w:rsidR="004220F0" w:rsidRPr="005373EB">
        <w:t xml:space="preserve">Energy Efficiency and </w:t>
      </w:r>
      <w:r w:rsidR="004220F0" w:rsidRPr="005373EB">
        <w:rPr>
          <w:spacing w:val="-2"/>
        </w:rPr>
        <w:t>Conservation Authority</w:t>
      </w:r>
      <w:r w:rsidR="004E47F5" w:rsidRPr="005373EB">
        <w:rPr>
          <w:spacing w:val="-2"/>
        </w:rPr>
        <w:t xml:space="preserve"> (</w:t>
      </w:r>
      <w:r w:rsidRPr="005373EB">
        <w:rPr>
          <w:spacing w:val="-2"/>
        </w:rPr>
        <w:t>EECA</w:t>
      </w:r>
      <w:r w:rsidR="004E47F5" w:rsidRPr="005373EB">
        <w:rPr>
          <w:spacing w:val="-2"/>
        </w:rPr>
        <w:t>)</w:t>
      </w:r>
      <w:r w:rsidRPr="005373EB">
        <w:rPr>
          <w:spacing w:val="-2"/>
        </w:rPr>
        <w:t>, with a focus on policies and measures in their respective sectors.</w:t>
      </w:r>
      <w:r w:rsidRPr="005373EB">
        <w:t xml:space="preserve"> </w:t>
      </w:r>
    </w:p>
    <w:p w14:paraId="0D8E84E2" w14:textId="252DE233" w:rsidR="00A87290" w:rsidRPr="005373EB" w:rsidRDefault="00A87290" w:rsidP="007D418B">
      <w:pPr>
        <w:pStyle w:val="Heading2"/>
      </w:pPr>
      <w:bookmarkStart w:id="16" w:name="_Differences_from_the"/>
      <w:bookmarkStart w:id="17" w:name="_Toc103773254"/>
      <w:bookmarkEnd w:id="16"/>
      <w:r w:rsidRPr="005373EB">
        <w:t xml:space="preserve">Differences from the </w:t>
      </w:r>
      <w:r w:rsidR="00865069" w:rsidRPr="005373EB">
        <w:t xml:space="preserve">Climate Change </w:t>
      </w:r>
      <w:r w:rsidRPr="005373EB">
        <w:t>Commission</w:t>
      </w:r>
      <w:r w:rsidR="00865069" w:rsidRPr="005373EB">
        <w:t>’</w:t>
      </w:r>
      <w:r w:rsidRPr="005373EB">
        <w:t>s analysis</w:t>
      </w:r>
      <w:bookmarkEnd w:id="17"/>
    </w:p>
    <w:p w14:paraId="09BB0790" w14:textId="4AB90308" w:rsidR="003D3F86" w:rsidRPr="005373EB" w:rsidRDefault="001E3105" w:rsidP="00DD4722">
      <w:pPr>
        <w:pStyle w:val="BodyText"/>
      </w:pPr>
      <w:r w:rsidRPr="005373EB">
        <w:t xml:space="preserve">While differences </w:t>
      </w:r>
      <w:r w:rsidR="00B014BD" w:rsidRPr="005373EB">
        <w:t xml:space="preserve">exist </w:t>
      </w:r>
      <w:r w:rsidRPr="005373EB">
        <w:t>between the Commission</w:t>
      </w:r>
      <w:r w:rsidR="000C7B8E" w:rsidRPr="005373EB">
        <w:t>’s</w:t>
      </w:r>
      <w:r w:rsidRPr="005373EB">
        <w:t xml:space="preserve"> and the Government’s evidence bases</w:t>
      </w:r>
      <w:r w:rsidR="00F21757" w:rsidRPr="005373EB">
        <w:t xml:space="preserve"> and models</w:t>
      </w:r>
      <w:r w:rsidRPr="005373EB">
        <w:t xml:space="preserve">, the data used to support the Government’s </w:t>
      </w:r>
      <w:r w:rsidR="00B014BD" w:rsidRPr="005373EB">
        <w:t>GHG</w:t>
      </w:r>
      <w:r w:rsidRPr="005373EB">
        <w:t xml:space="preserve"> </w:t>
      </w:r>
      <w:r w:rsidR="00AA1A73" w:rsidRPr="005373EB">
        <w:t>emission</w:t>
      </w:r>
      <w:r w:rsidR="002A0232" w:rsidRPr="005373EB">
        <w:t>s</w:t>
      </w:r>
      <w:r w:rsidR="00AA1A73" w:rsidRPr="005373EB">
        <w:t xml:space="preserve"> </w:t>
      </w:r>
      <w:r w:rsidRPr="005373EB">
        <w:t xml:space="preserve">projections and the Commission’s advice </w:t>
      </w:r>
      <w:r w:rsidR="00D559C0" w:rsidRPr="005373EB">
        <w:t xml:space="preserve">were </w:t>
      </w:r>
      <w:r w:rsidRPr="005373EB">
        <w:t>broadly aligned at the time of the publication of the Commission’s May 2021 advice: ‘Ināia tonu nei: a low emissions future for Aotearoa’</w:t>
      </w:r>
      <w:r w:rsidR="00687194">
        <w:rPr>
          <w:rStyle w:val="FootnoteReference"/>
        </w:rPr>
        <w:footnoteReference w:id="7"/>
      </w:r>
      <w:r w:rsidRPr="005373EB">
        <w:t>.</w:t>
      </w:r>
      <w:r w:rsidR="00BC2171" w:rsidRPr="005373EB">
        <w:t xml:space="preserve"> </w:t>
      </w:r>
      <w:r w:rsidRPr="005373EB">
        <w:t xml:space="preserve">However, since the Commission’s final advice was delivered, several updates </w:t>
      </w:r>
      <w:r w:rsidR="00921B1B" w:rsidRPr="005373EB">
        <w:t xml:space="preserve">have been made </w:t>
      </w:r>
      <w:r w:rsidRPr="005373EB">
        <w:t>to the evidence base used to support their analysis</w:t>
      </w:r>
      <w:r w:rsidR="00BA03B9" w:rsidRPr="005373EB">
        <w:t xml:space="preserve">. </w:t>
      </w:r>
    </w:p>
    <w:p w14:paraId="1C1E7EBB" w14:textId="6266F610" w:rsidR="000C7B8E" w:rsidRPr="005373EB" w:rsidRDefault="00C7612C" w:rsidP="00DD4722">
      <w:pPr>
        <w:pStyle w:val="BodyText"/>
      </w:pPr>
      <w:r w:rsidRPr="005373EB">
        <w:t xml:space="preserve">Significant </w:t>
      </w:r>
      <w:r w:rsidR="000C7B8E" w:rsidRPr="005373EB">
        <w:t xml:space="preserve">revisions to the Government’s </w:t>
      </w:r>
      <w:r w:rsidR="00687194">
        <w:t>GHG</w:t>
      </w:r>
      <w:r w:rsidR="00687194" w:rsidRPr="005373EB">
        <w:t xml:space="preserve"> </w:t>
      </w:r>
      <w:r w:rsidR="000C7B8E" w:rsidRPr="005373EB">
        <w:t>projections that were undertaken following the Commission’s final advice are</w:t>
      </w:r>
      <w:r w:rsidRPr="005373EB">
        <w:t xml:space="preserve"> as follows.</w:t>
      </w:r>
    </w:p>
    <w:p w14:paraId="6E73493D" w14:textId="3667185C" w:rsidR="001E3105" w:rsidRPr="005373EB" w:rsidRDefault="00B01F32" w:rsidP="00FF6AA8">
      <w:pPr>
        <w:pStyle w:val="Bulletmfe"/>
      </w:pPr>
      <w:r w:rsidRPr="005373EB">
        <w:t>N</w:t>
      </w:r>
      <w:r w:rsidR="00E9649C" w:rsidRPr="005373EB">
        <w:t>ew</w:t>
      </w:r>
      <w:r w:rsidR="001E3105" w:rsidRPr="005373EB">
        <w:t xml:space="preserve"> survey information was received that led to </w:t>
      </w:r>
      <w:r w:rsidR="00AC51A3" w:rsidRPr="005373EB">
        <w:t xml:space="preserve">a </w:t>
      </w:r>
      <w:r w:rsidR="00865069" w:rsidRPr="005373EB">
        <w:t>significant</w:t>
      </w:r>
      <w:r w:rsidR="00AC51A3" w:rsidRPr="005373EB">
        <w:t xml:space="preserve"> revision of the </w:t>
      </w:r>
      <w:r w:rsidR="007E4DCB" w:rsidRPr="005373EB">
        <w:t>June 2021 Government</w:t>
      </w:r>
      <w:r w:rsidR="00AC51A3" w:rsidRPr="005373EB">
        <w:t xml:space="preserve"> </w:t>
      </w:r>
      <w:r w:rsidR="000C7B8E" w:rsidRPr="005373EB">
        <w:t xml:space="preserve">GHG </w:t>
      </w:r>
      <w:r w:rsidR="001E3105" w:rsidRPr="005373EB">
        <w:t xml:space="preserve">projections for the </w:t>
      </w:r>
      <w:r w:rsidR="003A52C8" w:rsidRPr="005373EB">
        <w:t>f</w:t>
      </w:r>
      <w:r w:rsidR="001E3105" w:rsidRPr="005373EB">
        <w:t xml:space="preserve">orestry sector. The impact of these revisions was </w:t>
      </w:r>
      <w:r w:rsidR="00F220CB" w:rsidRPr="005373EB">
        <w:t>that the gap</w:t>
      </w:r>
      <w:r w:rsidR="001E3105" w:rsidRPr="005373EB">
        <w:t xml:space="preserve"> between </w:t>
      </w:r>
      <w:r w:rsidR="004B3E01" w:rsidRPr="005373EB">
        <w:t xml:space="preserve">these projections and </w:t>
      </w:r>
      <w:r w:rsidR="00AC60F7" w:rsidRPr="005373EB">
        <w:t xml:space="preserve">the Commission’s </w:t>
      </w:r>
      <w:r w:rsidR="00395D65" w:rsidRPr="005373EB">
        <w:t xml:space="preserve">recommended </w:t>
      </w:r>
      <w:r w:rsidR="001E3105" w:rsidRPr="005373EB">
        <w:t xml:space="preserve">first emissions budget </w:t>
      </w:r>
      <w:r w:rsidR="00AD1F92" w:rsidRPr="005373EB">
        <w:t xml:space="preserve">was widened </w:t>
      </w:r>
      <w:r w:rsidR="001E3105" w:rsidRPr="005373EB">
        <w:t>by 1.</w:t>
      </w:r>
      <w:r w:rsidR="00060522" w:rsidRPr="005373EB">
        <w:t>5</w:t>
      </w:r>
      <w:r w:rsidR="003456D2" w:rsidRPr="005373EB">
        <w:t> </w:t>
      </w:r>
      <w:r w:rsidR="00060522" w:rsidRPr="005373EB">
        <w:t xml:space="preserve">Mt </w:t>
      </w:r>
      <w:r w:rsidR="00C031BC" w:rsidRPr="005373EB">
        <w:t>CO</w:t>
      </w:r>
      <w:r w:rsidR="00C031BC" w:rsidRPr="005373EB">
        <w:rPr>
          <w:vertAlign w:val="subscript"/>
        </w:rPr>
        <w:t>2</w:t>
      </w:r>
      <w:r w:rsidR="00C031BC" w:rsidRPr="005373EB">
        <w:t>-e</w:t>
      </w:r>
      <w:r w:rsidR="00BD0BBD" w:rsidRPr="005373EB">
        <w:t>,</w:t>
      </w:r>
      <w:r w:rsidR="00C031BC" w:rsidRPr="005373EB">
        <w:t xml:space="preserve"> </w:t>
      </w:r>
      <w:r w:rsidR="00060522" w:rsidRPr="005373EB">
        <w:t>and</w:t>
      </w:r>
      <w:r w:rsidR="001E3105" w:rsidRPr="005373EB">
        <w:t xml:space="preserve"> narrow</w:t>
      </w:r>
      <w:r w:rsidR="00D46FAC" w:rsidRPr="005373EB">
        <w:t>ed</w:t>
      </w:r>
      <w:r w:rsidR="001E3105" w:rsidRPr="005373EB">
        <w:t xml:space="preserve"> </w:t>
      </w:r>
      <w:r w:rsidR="008D08DA" w:rsidRPr="005373EB">
        <w:t xml:space="preserve">for the </w:t>
      </w:r>
      <w:r w:rsidR="001E3105" w:rsidRPr="005373EB">
        <w:t xml:space="preserve">second and third emissions budgets by 5.0 </w:t>
      </w:r>
      <w:r w:rsidR="002B09ED" w:rsidRPr="005373EB">
        <w:t xml:space="preserve">Mt </w:t>
      </w:r>
      <w:r w:rsidR="00C031BC" w:rsidRPr="005373EB">
        <w:t>CO</w:t>
      </w:r>
      <w:r w:rsidR="00C031BC" w:rsidRPr="005373EB">
        <w:rPr>
          <w:vertAlign w:val="subscript"/>
        </w:rPr>
        <w:t>2</w:t>
      </w:r>
      <w:r w:rsidR="00C031BC" w:rsidRPr="005373EB">
        <w:t xml:space="preserve">-e </w:t>
      </w:r>
      <w:r w:rsidR="001E3105" w:rsidRPr="005373EB">
        <w:t>and 10.7</w:t>
      </w:r>
      <w:r w:rsidR="003456D2" w:rsidRPr="005373EB">
        <w:t> </w:t>
      </w:r>
      <w:r w:rsidR="001E3105" w:rsidRPr="005373EB">
        <w:t>Mt</w:t>
      </w:r>
      <w:r w:rsidR="00C031BC" w:rsidRPr="005373EB">
        <w:t xml:space="preserve"> CO</w:t>
      </w:r>
      <w:r w:rsidR="00C031BC" w:rsidRPr="005373EB">
        <w:rPr>
          <w:vertAlign w:val="subscript"/>
        </w:rPr>
        <w:t>2</w:t>
      </w:r>
      <w:r w:rsidR="00C031BC" w:rsidRPr="005373EB">
        <w:t>-e</w:t>
      </w:r>
      <w:r w:rsidR="001E3105" w:rsidRPr="005373EB">
        <w:t xml:space="preserve"> respectively.</w:t>
      </w:r>
      <w:r w:rsidR="00EC59B6" w:rsidRPr="005373EB">
        <w:t xml:space="preserve"> This revision </w:t>
      </w:r>
      <w:r w:rsidR="003D1ABE" w:rsidRPr="005373EB">
        <w:t>indicate</w:t>
      </w:r>
      <w:r w:rsidR="00FA3B03" w:rsidRPr="005373EB">
        <w:t>d</w:t>
      </w:r>
      <w:r w:rsidR="003D1ABE" w:rsidRPr="005373EB">
        <w:t xml:space="preserve"> that</w:t>
      </w:r>
      <w:r w:rsidR="00EC59B6" w:rsidRPr="005373EB">
        <w:t xml:space="preserve"> EB1 </w:t>
      </w:r>
      <w:r w:rsidR="000629F4" w:rsidRPr="005373EB">
        <w:t xml:space="preserve">is </w:t>
      </w:r>
      <w:r w:rsidR="00EC59B6" w:rsidRPr="005373EB">
        <w:t xml:space="preserve">more difficult to achieve and EB2 and EB3 </w:t>
      </w:r>
      <w:r w:rsidR="006F4EBF" w:rsidRPr="005373EB">
        <w:t>are</w:t>
      </w:r>
      <w:r w:rsidR="00D824A6" w:rsidRPr="005373EB">
        <w:t xml:space="preserve"> </w:t>
      </w:r>
      <w:r w:rsidR="00EC59B6" w:rsidRPr="005373EB">
        <w:t>less difficult to achieve than the Commission’s analysis suggested.</w:t>
      </w:r>
    </w:p>
    <w:p w14:paraId="57CD9475" w14:textId="733043B6" w:rsidR="001E3105" w:rsidRPr="005373EB" w:rsidRDefault="00D12341" w:rsidP="00FF6AA8">
      <w:pPr>
        <w:pStyle w:val="Bulletmfe"/>
      </w:pPr>
      <w:r w:rsidRPr="005373EB">
        <w:t xml:space="preserve">The </w:t>
      </w:r>
      <w:r w:rsidR="00AC51A3" w:rsidRPr="005373EB">
        <w:t>June 2021 Government p</w:t>
      </w:r>
      <w:r w:rsidR="001E3105" w:rsidRPr="005373EB">
        <w:t xml:space="preserve">rojections </w:t>
      </w:r>
      <w:r w:rsidR="00353009" w:rsidRPr="005373EB">
        <w:t>for</w:t>
      </w:r>
      <w:r w:rsidR="001E3105" w:rsidRPr="005373EB">
        <w:t xml:space="preserve"> </w:t>
      </w:r>
      <w:r w:rsidR="00687194">
        <w:t xml:space="preserve">the </w:t>
      </w:r>
      <w:r w:rsidR="001E3105" w:rsidRPr="005373EB">
        <w:t xml:space="preserve">agriculture </w:t>
      </w:r>
      <w:r w:rsidR="00687194">
        <w:t xml:space="preserve">sector </w:t>
      </w:r>
      <w:r w:rsidR="00433147" w:rsidRPr="005373EB">
        <w:t xml:space="preserve">were </w:t>
      </w:r>
      <w:r w:rsidR="00353009" w:rsidRPr="005373EB">
        <w:t xml:space="preserve">also </w:t>
      </w:r>
      <w:r w:rsidR="001E3105" w:rsidRPr="005373EB">
        <w:t xml:space="preserve">revised substantively, </w:t>
      </w:r>
      <w:r w:rsidR="00EC59B6" w:rsidRPr="005373EB">
        <w:t>widen</w:t>
      </w:r>
      <w:r w:rsidR="001E3105" w:rsidRPr="005373EB">
        <w:t xml:space="preserve">ing the gap between </w:t>
      </w:r>
      <w:r w:rsidR="00060522" w:rsidRPr="005373EB">
        <w:t xml:space="preserve">these </w:t>
      </w:r>
      <w:r w:rsidR="001E3105" w:rsidRPr="005373EB">
        <w:t xml:space="preserve">projections and the </w:t>
      </w:r>
      <w:r w:rsidR="00EC59B6" w:rsidRPr="005373EB">
        <w:t>Commission’s recommended</w:t>
      </w:r>
      <w:r w:rsidR="001E3105" w:rsidRPr="005373EB">
        <w:t xml:space="preserve"> first and second emissions budget</w:t>
      </w:r>
      <w:r w:rsidR="00353009" w:rsidRPr="005373EB">
        <w:t>s</w:t>
      </w:r>
      <w:r w:rsidR="001E3105" w:rsidRPr="005373EB">
        <w:t xml:space="preserve"> by 2.4</w:t>
      </w:r>
      <w:r w:rsidR="00433147" w:rsidRPr="005373EB">
        <w:t> </w:t>
      </w:r>
      <w:r w:rsidR="001E3105" w:rsidRPr="005373EB">
        <w:t xml:space="preserve">Mt </w:t>
      </w:r>
      <w:r w:rsidR="00C031BC" w:rsidRPr="005373EB">
        <w:t>CO</w:t>
      </w:r>
      <w:r w:rsidR="00C031BC" w:rsidRPr="005373EB">
        <w:rPr>
          <w:vertAlign w:val="subscript"/>
        </w:rPr>
        <w:t>2</w:t>
      </w:r>
      <w:r w:rsidR="00C031BC" w:rsidRPr="005373EB">
        <w:t xml:space="preserve">-e </w:t>
      </w:r>
      <w:r w:rsidR="001E3105" w:rsidRPr="005373EB">
        <w:t>and 1.6</w:t>
      </w:r>
      <w:r w:rsidR="00433147" w:rsidRPr="005373EB">
        <w:t> </w:t>
      </w:r>
      <w:r w:rsidR="001E3105" w:rsidRPr="005373EB">
        <w:t>Mt</w:t>
      </w:r>
      <w:r w:rsidR="00C031BC" w:rsidRPr="005373EB">
        <w:t xml:space="preserve"> CO</w:t>
      </w:r>
      <w:r w:rsidR="00C031BC" w:rsidRPr="005373EB">
        <w:rPr>
          <w:vertAlign w:val="subscript"/>
        </w:rPr>
        <w:t>2</w:t>
      </w:r>
      <w:r w:rsidR="00C031BC" w:rsidRPr="005373EB">
        <w:t>-e</w:t>
      </w:r>
      <w:r w:rsidR="001E3105" w:rsidRPr="005373EB">
        <w:t xml:space="preserve"> respectively</w:t>
      </w:r>
      <w:r w:rsidR="00F8170F" w:rsidRPr="005373EB">
        <w:t>,</w:t>
      </w:r>
      <w:r w:rsidR="001E3105" w:rsidRPr="005373EB">
        <w:t xml:space="preserve"> and narrowing the gap between </w:t>
      </w:r>
      <w:r w:rsidR="00060522" w:rsidRPr="005373EB">
        <w:t xml:space="preserve">these </w:t>
      </w:r>
      <w:r w:rsidR="001E3105" w:rsidRPr="005373EB">
        <w:t>projections and the third emissions budget by 0.2</w:t>
      </w:r>
      <w:r w:rsidR="009C6434" w:rsidRPr="005373EB">
        <w:t> </w:t>
      </w:r>
      <w:r w:rsidR="001E3105" w:rsidRPr="005373EB">
        <w:t>Mt</w:t>
      </w:r>
      <w:r w:rsidR="009C6434" w:rsidRPr="005373EB">
        <w:t> </w:t>
      </w:r>
      <w:r w:rsidR="009E37C1" w:rsidRPr="005373EB">
        <w:t>CO</w:t>
      </w:r>
      <w:r w:rsidR="009E37C1" w:rsidRPr="005373EB">
        <w:rPr>
          <w:vertAlign w:val="subscript"/>
        </w:rPr>
        <w:t>2</w:t>
      </w:r>
      <w:r w:rsidR="009E37C1" w:rsidRPr="005373EB">
        <w:t>-e</w:t>
      </w:r>
      <w:r w:rsidR="001E3105" w:rsidRPr="005373EB">
        <w:t>.</w:t>
      </w:r>
      <w:r w:rsidR="001C3BA3" w:rsidRPr="005373EB">
        <w:t xml:space="preserve"> This revision </w:t>
      </w:r>
      <w:r w:rsidR="00F66753" w:rsidRPr="005373EB">
        <w:t>indicate</w:t>
      </w:r>
      <w:r w:rsidR="0097784D" w:rsidRPr="005373EB">
        <w:t>d</w:t>
      </w:r>
      <w:r w:rsidR="003F56ED" w:rsidRPr="005373EB">
        <w:t xml:space="preserve"> that</w:t>
      </w:r>
      <w:r w:rsidR="001C3BA3" w:rsidRPr="005373EB">
        <w:t xml:space="preserve"> EB1 and EB2</w:t>
      </w:r>
      <w:r w:rsidR="00AD3917" w:rsidRPr="005373EB">
        <w:t xml:space="preserve"> </w:t>
      </w:r>
      <w:r w:rsidR="009C6434" w:rsidRPr="005373EB">
        <w:t xml:space="preserve">are </w:t>
      </w:r>
      <w:r w:rsidR="001C3BA3" w:rsidRPr="005373EB">
        <w:t xml:space="preserve">more difficult to achieve and EB3 </w:t>
      </w:r>
      <w:r w:rsidR="00080A17" w:rsidRPr="005373EB">
        <w:t xml:space="preserve">is </w:t>
      </w:r>
      <w:r w:rsidR="001C3BA3" w:rsidRPr="005373EB">
        <w:t>less difficult to achieve than the Commission’s analysis suggested.</w:t>
      </w:r>
    </w:p>
    <w:p w14:paraId="05B53E6F" w14:textId="45CD4AF8" w:rsidR="001E3105" w:rsidRPr="005373EB" w:rsidRDefault="001E3105" w:rsidP="00C76DA1">
      <w:pPr>
        <w:pStyle w:val="Bullet"/>
        <w:numPr>
          <w:ilvl w:val="0"/>
          <w:numId w:val="2"/>
        </w:numPr>
      </w:pPr>
      <w:r w:rsidRPr="005373EB">
        <w:t xml:space="preserve">As noted in the section above, </w:t>
      </w:r>
      <w:r w:rsidR="00E95F3F" w:rsidRPr="005373EB">
        <w:t>Refining New Zealand</w:t>
      </w:r>
      <w:r w:rsidRPr="005373EB">
        <w:t xml:space="preserve"> announced and subsequently </w:t>
      </w:r>
      <w:r w:rsidR="000C7B8E" w:rsidRPr="005373EB">
        <w:t xml:space="preserve">began </w:t>
      </w:r>
      <w:r w:rsidR="00E95F3F" w:rsidRPr="005373EB">
        <w:t xml:space="preserve">the oil refinery’s </w:t>
      </w:r>
      <w:r w:rsidRPr="005373EB">
        <w:t xml:space="preserve">transition to an import-only terminal. The impact of this </w:t>
      </w:r>
      <w:r w:rsidR="000C7B8E" w:rsidRPr="005373EB">
        <w:t xml:space="preserve">transition </w:t>
      </w:r>
      <w:r w:rsidRPr="005373EB">
        <w:t>is estimated to reduce emissions by 3</w:t>
      </w:r>
      <w:r w:rsidR="00996BA6" w:rsidRPr="005373EB">
        <w:t> </w:t>
      </w:r>
      <w:r w:rsidRPr="005373EB">
        <w:t xml:space="preserve">Mt </w:t>
      </w:r>
      <w:r w:rsidR="009E37C1" w:rsidRPr="005373EB">
        <w:t>CO</w:t>
      </w:r>
      <w:r w:rsidR="009E37C1" w:rsidRPr="005373EB">
        <w:rPr>
          <w:vertAlign w:val="subscript"/>
        </w:rPr>
        <w:t>2</w:t>
      </w:r>
      <w:r w:rsidR="009E37C1" w:rsidRPr="005373EB">
        <w:t xml:space="preserve">-e </w:t>
      </w:r>
      <w:r w:rsidRPr="005373EB">
        <w:t>in EB1 and by 4.25</w:t>
      </w:r>
      <w:r w:rsidR="00996BA6" w:rsidRPr="005373EB">
        <w:t> </w:t>
      </w:r>
      <w:r w:rsidRPr="005373EB">
        <w:t xml:space="preserve">Mt </w:t>
      </w:r>
      <w:r w:rsidR="009E37C1" w:rsidRPr="005373EB">
        <w:t>CO</w:t>
      </w:r>
      <w:r w:rsidR="009E37C1" w:rsidRPr="005373EB">
        <w:rPr>
          <w:vertAlign w:val="subscript"/>
        </w:rPr>
        <w:t>2</w:t>
      </w:r>
      <w:r w:rsidR="009E37C1" w:rsidRPr="005373EB">
        <w:t xml:space="preserve">-e </w:t>
      </w:r>
      <w:r w:rsidRPr="005373EB">
        <w:t xml:space="preserve">in each future budget period (including, and beyond, each of EB2 and EB3). </w:t>
      </w:r>
      <w:r w:rsidR="001C3BA3" w:rsidRPr="005373EB">
        <w:t xml:space="preserve">This </w:t>
      </w:r>
      <w:r w:rsidR="00CA2A08" w:rsidRPr="005373EB">
        <w:t>has resulted in</w:t>
      </w:r>
      <w:r w:rsidR="001C3BA3" w:rsidRPr="005373EB">
        <w:t xml:space="preserve"> EB1, EB2 and EB3 </w:t>
      </w:r>
      <w:r w:rsidR="00C41CE0" w:rsidRPr="005373EB">
        <w:t xml:space="preserve">being </w:t>
      </w:r>
      <w:r w:rsidR="001C3BA3" w:rsidRPr="005373EB">
        <w:t>less difficult to achieve than the Commission’s analysis suggested.</w:t>
      </w:r>
    </w:p>
    <w:p w14:paraId="1528C938" w14:textId="1B635BAA" w:rsidR="001E3105" w:rsidRPr="005373EB" w:rsidRDefault="001E3105" w:rsidP="00C76DA1">
      <w:pPr>
        <w:pStyle w:val="Bullet"/>
        <w:numPr>
          <w:ilvl w:val="0"/>
          <w:numId w:val="2"/>
        </w:numPr>
      </w:pPr>
      <w:r w:rsidRPr="005373EB">
        <w:t xml:space="preserve">Also as noted in the section above, </w:t>
      </w:r>
      <w:r w:rsidR="003E48F4" w:rsidRPr="005373EB">
        <w:t xml:space="preserve">New Zealand’s Aluminium Smelter </w:t>
      </w:r>
      <w:r w:rsidRPr="005373EB">
        <w:t>was assumed to</w:t>
      </w:r>
      <w:r w:rsidR="003E6497" w:rsidRPr="005373EB">
        <w:t> </w:t>
      </w:r>
      <w:r w:rsidRPr="005373EB">
        <w:t>close at the end of 2024. Since the time of publication of the Commission’s advice</w:t>
      </w:r>
      <w:r w:rsidR="004B55B8" w:rsidRPr="005373EB">
        <w:t>,</w:t>
      </w:r>
      <w:r w:rsidRPr="005373EB">
        <w:t xml:space="preserve"> the</w:t>
      </w:r>
      <w:r w:rsidR="003E6497" w:rsidRPr="005373EB">
        <w:t> </w:t>
      </w:r>
      <w:r w:rsidRPr="005373EB">
        <w:t xml:space="preserve">likelihood of the smelter continuing to operate beyond 2024 has greatly increased. </w:t>
      </w:r>
      <w:r w:rsidRPr="005373EB">
        <w:lastRenderedPageBreak/>
        <w:t>The estimated impact of th</w:t>
      </w:r>
      <w:r w:rsidR="000824E3" w:rsidRPr="005373EB">
        <w:t>e</w:t>
      </w:r>
      <w:r w:rsidR="00FB5746" w:rsidRPr="005373EB">
        <w:t xml:space="preserve"> smelter remain</w:t>
      </w:r>
      <w:r w:rsidR="00AA0B70" w:rsidRPr="005373EB">
        <w:t>ing</w:t>
      </w:r>
      <w:r w:rsidR="00FB5746" w:rsidRPr="005373EB">
        <w:t xml:space="preserve"> open </w:t>
      </w:r>
      <w:r w:rsidRPr="005373EB">
        <w:t xml:space="preserve">is </w:t>
      </w:r>
      <w:r w:rsidR="0031060D" w:rsidRPr="005373EB">
        <w:t xml:space="preserve">an </w:t>
      </w:r>
      <w:r w:rsidRPr="005373EB">
        <w:t xml:space="preserve">increase </w:t>
      </w:r>
      <w:r w:rsidR="000D2647" w:rsidRPr="005373EB">
        <w:t xml:space="preserve">in </w:t>
      </w:r>
      <w:r w:rsidRPr="005373EB">
        <w:t xml:space="preserve">emissions </w:t>
      </w:r>
      <w:r w:rsidR="000D2647" w:rsidRPr="005373EB">
        <w:t xml:space="preserve">of </w:t>
      </w:r>
      <w:r w:rsidRPr="005373EB">
        <w:t>2.4</w:t>
      </w:r>
      <w:r w:rsidR="003E6497" w:rsidRPr="005373EB">
        <w:t> </w:t>
      </w:r>
      <w:r w:rsidRPr="005373EB">
        <w:t>Mt</w:t>
      </w:r>
      <w:r w:rsidR="003E6497" w:rsidRPr="005373EB">
        <w:t> </w:t>
      </w:r>
      <w:r w:rsidR="009E37C1" w:rsidRPr="005373EB">
        <w:t>CO</w:t>
      </w:r>
      <w:r w:rsidR="009E37C1" w:rsidRPr="005373EB">
        <w:rPr>
          <w:vertAlign w:val="subscript"/>
        </w:rPr>
        <w:t>2</w:t>
      </w:r>
      <w:r w:rsidR="009E37C1" w:rsidRPr="005373EB">
        <w:t xml:space="preserve">-e </w:t>
      </w:r>
      <w:r w:rsidRPr="005373EB">
        <w:t>in EB1, 9.3</w:t>
      </w:r>
      <w:r w:rsidR="004B55B8" w:rsidRPr="005373EB">
        <w:t> </w:t>
      </w:r>
      <w:r w:rsidRPr="005373EB">
        <w:t xml:space="preserve">Mt </w:t>
      </w:r>
      <w:r w:rsidR="009E37C1" w:rsidRPr="005373EB">
        <w:t>CO</w:t>
      </w:r>
      <w:r w:rsidR="009E37C1" w:rsidRPr="005373EB">
        <w:rPr>
          <w:vertAlign w:val="subscript"/>
        </w:rPr>
        <w:t>2</w:t>
      </w:r>
      <w:r w:rsidR="009E37C1" w:rsidRPr="005373EB">
        <w:t xml:space="preserve">-e </w:t>
      </w:r>
      <w:r w:rsidRPr="005373EB">
        <w:t>in EB2 and 3</w:t>
      </w:r>
      <w:r w:rsidR="004B55B8" w:rsidRPr="005373EB">
        <w:t> </w:t>
      </w:r>
      <w:r w:rsidRPr="005373EB">
        <w:t>Mt</w:t>
      </w:r>
      <w:r w:rsidR="009E37C1" w:rsidRPr="005373EB">
        <w:t xml:space="preserve"> CO</w:t>
      </w:r>
      <w:r w:rsidR="009E37C1" w:rsidRPr="005373EB">
        <w:rPr>
          <w:vertAlign w:val="subscript"/>
        </w:rPr>
        <w:t>2</w:t>
      </w:r>
      <w:r w:rsidR="009E37C1" w:rsidRPr="005373EB">
        <w:t>-e</w:t>
      </w:r>
      <w:r w:rsidRPr="005373EB">
        <w:t xml:space="preserve"> in EB3. </w:t>
      </w:r>
      <w:r w:rsidR="00ED03C6" w:rsidRPr="005373EB">
        <w:t>If the aluminium smelter were to continue to operate indefinitely</w:t>
      </w:r>
      <w:r w:rsidR="0063046E" w:rsidRPr="005373EB">
        <w:t xml:space="preserve">, it would result in </w:t>
      </w:r>
      <w:r w:rsidR="00ED03C6" w:rsidRPr="005373EB">
        <w:t xml:space="preserve">EB1, EB2 and EB3 </w:t>
      </w:r>
      <w:r w:rsidR="0063046E" w:rsidRPr="005373EB">
        <w:t xml:space="preserve">being </w:t>
      </w:r>
      <w:r w:rsidR="00ED03C6" w:rsidRPr="005373EB">
        <w:t>more difficult to achieve than the Commission’s analysis suggested.</w:t>
      </w:r>
    </w:p>
    <w:p w14:paraId="00EF9E4E" w14:textId="5ADC3443" w:rsidR="00060522" w:rsidRPr="005373EB" w:rsidRDefault="00060522" w:rsidP="00C76DA1">
      <w:pPr>
        <w:pStyle w:val="Bullet"/>
        <w:numPr>
          <w:ilvl w:val="0"/>
          <w:numId w:val="2"/>
        </w:numPr>
      </w:pPr>
      <w:r w:rsidRPr="005373EB">
        <w:t xml:space="preserve">The collective impact of the differences noted above </w:t>
      </w:r>
      <w:r w:rsidR="00ED03C6" w:rsidRPr="005373EB">
        <w:t>(assuming the smelter remains open)</w:t>
      </w:r>
      <w:r w:rsidRPr="005373EB">
        <w:t xml:space="preserve"> is that achieving the first emissions budget, as recommended by the Commission, would require an additional 3.</w:t>
      </w:r>
      <w:r w:rsidR="00E26174" w:rsidRPr="005373EB">
        <w:t>3</w:t>
      </w:r>
      <w:r w:rsidR="003E6497" w:rsidRPr="005373EB">
        <w:t> </w:t>
      </w:r>
      <w:r w:rsidR="00E26174" w:rsidRPr="005373EB">
        <w:t xml:space="preserve">Mt </w:t>
      </w:r>
      <w:r w:rsidR="000C7B8E" w:rsidRPr="005373EB">
        <w:t>CO</w:t>
      </w:r>
      <w:r w:rsidR="000C7B8E" w:rsidRPr="005373EB">
        <w:rPr>
          <w:vertAlign w:val="subscript"/>
        </w:rPr>
        <w:t>2</w:t>
      </w:r>
      <w:r w:rsidR="000C7B8E" w:rsidRPr="005373EB">
        <w:t>-e</w:t>
      </w:r>
      <w:r w:rsidRPr="005373EB">
        <w:t xml:space="preserve"> of emissions reductions.</w:t>
      </w:r>
    </w:p>
    <w:p w14:paraId="5C07810E" w14:textId="6DCF5619" w:rsidR="00E5733F" w:rsidRPr="005373EB" w:rsidRDefault="00E5733F" w:rsidP="002B57EF">
      <w:pPr>
        <w:pStyle w:val="Heading2"/>
        <w:spacing w:before="280"/>
      </w:pPr>
      <w:bookmarkStart w:id="18" w:name="_Toc103773255"/>
      <w:r w:rsidRPr="005373EB">
        <w:t>Emissions budgets</w:t>
      </w:r>
      <w:bookmarkEnd w:id="18"/>
    </w:p>
    <w:p w14:paraId="1A49BC73" w14:textId="38568966" w:rsidR="00E964A0" w:rsidRPr="005373EB" w:rsidRDefault="00B5211D" w:rsidP="003E6497">
      <w:pPr>
        <w:pStyle w:val="BodyText"/>
      </w:pPr>
      <w:r w:rsidRPr="005373EB">
        <w:t xml:space="preserve">Emissions budgets are our ‘stepping stones’ between where we are now and our long-term 2050 targets. At the end of each emissions budget period, we will compare our emissions levels to </w:t>
      </w:r>
      <w:r w:rsidR="00C8148F" w:rsidRPr="005373EB">
        <w:t>our emissions budget</w:t>
      </w:r>
      <w:r w:rsidRPr="005373EB">
        <w:t xml:space="preserve"> to measure our progress. </w:t>
      </w:r>
      <w:r w:rsidR="0027314D" w:rsidRPr="005373EB">
        <w:t xml:space="preserve">Once set by the Minister of Climate Change, </w:t>
      </w:r>
      <w:r w:rsidR="006C3A57" w:rsidRPr="005373EB">
        <w:t xml:space="preserve">the </w:t>
      </w:r>
      <w:r w:rsidR="0027314D" w:rsidRPr="005373EB">
        <w:t>ability to revise emissions budgets</w:t>
      </w:r>
      <w:r w:rsidR="006C3A57" w:rsidRPr="005373EB">
        <w:t xml:space="preserve"> is limited</w:t>
      </w:r>
      <w:r w:rsidR="0027314D" w:rsidRPr="005373EB">
        <w:t>. Any revision must take place following a recommendation from the Commission.</w:t>
      </w:r>
      <w:r w:rsidR="008B1FDB" w:rsidRPr="005373EB">
        <w:t xml:space="preserve"> Only </w:t>
      </w:r>
      <w:r w:rsidR="00996965" w:rsidRPr="005373EB">
        <w:t xml:space="preserve">emissions budgets </w:t>
      </w:r>
      <w:r w:rsidR="0091157F" w:rsidRPr="005373EB">
        <w:t xml:space="preserve">for </w:t>
      </w:r>
      <w:r w:rsidR="00C31DB1" w:rsidRPr="005373EB">
        <w:t xml:space="preserve">future </w:t>
      </w:r>
      <w:r w:rsidR="0091157F" w:rsidRPr="005373EB">
        <w:t xml:space="preserve">periods can be </w:t>
      </w:r>
      <w:r w:rsidR="00C31DB1" w:rsidRPr="005373EB">
        <w:t>revised</w:t>
      </w:r>
      <w:r w:rsidR="0091157F" w:rsidRPr="005373EB">
        <w:t>.</w:t>
      </w:r>
    </w:p>
    <w:p w14:paraId="3EE60097" w14:textId="61E5C741" w:rsidR="00623730" w:rsidRPr="005373EB" w:rsidRDefault="00E964A0" w:rsidP="00663695">
      <w:pPr>
        <w:pStyle w:val="BodyText"/>
      </w:pPr>
      <w:r w:rsidRPr="005373EB">
        <w:t>The Commission recommended emissions budgets of 290</w:t>
      </w:r>
      <w:r w:rsidR="004F318D" w:rsidRPr="005373EB">
        <w:t xml:space="preserve"> Mt</w:t>
      </w:r>
      <w:r w:rsidRPr="005373EB">
        <w:t>, 312</w:t>
      </w:r>
      <w:r w:rsidR="004F318D" w:rsidRPr="005373EB">
        <w:t xml:space="preserve"> Mt</w:t>
      </w:r>
      <w:r w:rsidR="00AE0F3E" w:rsidRPr="005373EB">
        <w:rPr>
          <w:vertAlign w:val="superscript"/>
        </w:rPr>
        <w:footnoteReference w:id="8"/>
      </w:r>
      <w:r w:rsidRPr="005373EB">
        <w:rPr>
          <w:vertAlign w:val="superscript"/>
        </w:rPr>
        <w:t xml:space="preserve"> </w:t>
      </w:r>
      <w:r w:rsidRPr="005373EB">
        <w:t>and 253</w:t>
      </w:r>
      <w:r w:rsidR="004F318D" w:rsidRPr="005373EB">
        <w:t> </w:t>
      </w:r>
      <w:r w:rsidRPr="005373EB">
        <w:t xml:space="preserve">Mt for EB1, </w:t>
      </w:r>
      <w:r w:rsidR="004F318D" w:rsidRPr="005373EB">
        <w:t>EB</w:t>
      </w:r>
      <w:r w:rsidRPr="005373EB">
        <w:t>2</w:t>
      </w:r>
      <w:r w:rsidR="004F318D" w:rsidRPr="005373EB">
        <w:t xml:space="preserve"> and EB</w:t>
      </w:r>
      <w:r w:rsidRPr="005373EB">
        <w:t>3 respectively.</w:t>
      </w:r>
      <w:r w:rsidR="00D5158B" w:rsidRPr="005373EB">
        <w:t xml:space="preserve"> </w:t>
      </w:r>
      <w:r w:rsidRPr="005373EB">
        <w:t xml:space="preserve">The emissions budgets set by </w:t>
      </w:r>
      <w:r w:rsidR="009E18CF" w:rsidRPr="005373EB">
        <w:t>the Minister of Climate Change</w:t>
      </w:r>
      <w:r w:rsidR="009E18CF" w:rsidRPr="005373EB" w:rsidDel="009E18CF">
        <w:t xml:space="preserve"> </w:t>
      </w:r>
      <w:r w:rsidR="00663695" w:rsidRPr="005373EB">
        <w:t>differ</w:t>
      </w:r>
      <w:r w:rsidR="00623730" w:rsidRPr="005373EB">
        <w:t xml:space="preserve"> from the Commission’s recommendations, to take account of information from the latest Afforestation and Deforestation Intentions Survey published in June 2021</w:t>
      </w:r>
      <w:r w:rsidR="00CA5088">
        <w:t xml:space="preserve"> (table 3)</w:t>
      </w:r>
      <w:r w:rsidR="00623730" w:rsidRPr="005373EB">
        <w:t>. This information was not available to the Commission when it delivered its final advice in May 2021. </w:t>
      </w:r>
      <w:r w:rsidR="00663695" w:rsidRPr="005373EB">
        <w:t xml:space="preserve">This adjustment was made only for the new information on afforestation, </w:t>
      </w:r>
      <w:r w:rsidR="1AFBF9FA" w:rsidRPr="005373EB">
        <w:t>which</w:t>
      </w:r>
      <w:r w:rsidR="00663695" w:rsidRPr="005373EB">
        <w:t xml:space="preserve"> meant the </w:t>
      </w:r>
      <w:r w:rsidR="009E18CF" w:rsidRPr="005373EB">
        <w:t>e</w:t>
      </w:r>
      <w:r w:rsidR="00663695" w:rsidRPr="005373EB">
        <w:t>mission</w:t>
      </w:r>
      <w:r w:rsidR="00FB16CF" w:rsidRPr="005373EB">
        <w:t>s</w:t>
      </w:r>
      <w:r w:rsidR="00663695" w:rsidRPr="005373EB">
        <w:t xml:space="preserve"> budgets</w:t>
      </w:r>
      <w:r w:rsidR="009E18CF" w:rsidRPr="005373EB">
        <w:t xml:space="preserve"> set</w:t>
      </w:r>
      <w:r w:rsidR="00663695" w:rsidRPr="005373EB">
        <w:t xml:space="preserve"> </w:t>
      </w:r>
      <w:r w:rsidR="00FB16CF" w:rsidRPr="005373EB">
        <w:t>are</w:t>
      </w:r>
      <w:r w:rsidR="00663695" w:rsidRPr="005373EB">
        <w:t xml:space="preserve"> 7</w:t>
      </w:r>
      <w:r w:rsidR="00BE7AEB" w:rsidRPr="005373EB">
        <w:t xml:space="preserve"> Mt CO</w:t>
      </w:r>
      <w:r w:rsidR="00BE7AEB" w:rsidRPr="005373EB">
        <w:rPr>
          <w:vertAlign w:val="subscript"/>
        </w:rPr>
        <w:t>2</w:t>
      </w:r>
      <w:r w:rsidR="00BE7AEB" w:rsidRPr="005373EB">
        <w:t>-e</w:t>
      </w:r>
      <w:r w:rsidR="00663695" w:rsidRPr="005373EB">
        <w:t xml:space="preserve"> and 13</w:t>
      </w:r>
      <w:r w:rsidR="00BE7AEB" w:rsidRPr="005373EB">
        <w:t> </w:t>
      </w:r>
      <w:r w:rsidR="00663695" w:rsidRPr="005373EB">
        <w:t>Mt CO</w:t>
      </w:r>
      <w:r w:rsidR="00663695" w:rsidRPr="005373EB">
        <w:rPr>
          <w:vertAlign w:val="subscript"/>
        </w:rPr>
        <w:t>2</w:t>
      </w:r>
      <w:r w:rsidR="00663695" w:rsidRPr="005373EB">
        <w:t xml:space="preserve">-e </w:t>
      </w:r>
      <w:r w:rsidR="00FB16CF" w:rsidRPr="005373EB">
        <w:t xml:space="preserve">lower </w:t>
      </w:r>
      <w:r w:rsidR="00663695" w:rsidRPr="005373EB">
        <w:t xml:space="preserve">in EB2 </w:t>
      </w:r>
      <w:r w:rsidR="00BE7AEB" w:rsidRPr="005373EB">
        <w:t>and</w:t>
      </w:r>
      <w:r w:rsidR="00663695" w:rsidRPr="005373EB">
        <w:t xml:space="preserve"> </w:t>
      </w:r>
      <w:r w:rsidR="00BE7AEB" w:rsidRPr="005373EB">
        <w:t>EB</w:t>
      </w:r>
      <w:r w:rsidR="00663695" w:rsidRPr="005373EB">
        <w:t xml:space="preserve">3 respectively. </w:t>
      </w:r>
      <w:r w:rsidR="00FB16CF" w:rsidRPr="005373EB">
        <w:t xml:space="preserve">The </w:t>
      </w:r>
      <w:r w:rsidR="009E18CF" w:rsidRPr="005373EB">
        <w:t>e</w:t>
      </w:r>
      <w:r w:rsidR="00FB16CF" w:rsidRPr="005373EB">
        <w:t>missions budget</w:t>
      </w:r>
      <w:r w:rsidR="009E18CF" w:rsidRPr="005373EB">
        <w:t xml:space="preserve"> set for</w:t>
      </w:r>
      <w:r w:rsidR="003E6497" w:rsidRPr="005373EB">
        <w:t> </w:t>
      </w:r>
      <w:r w:rsidR="00FB16CF" w:rsidRPr="005373EB">
        <w:t>EB1 is the same as the Commission’s recommendation</w:t>
      </w:r>
      <w:r w:rsidR="00CA5088">
        <w:t>.</w:t>
      </w:r>
    </w:p>
    <w:p w14:paraId="496B216A" w14:textId="4787B26E" w:rsidR="008D5685" w:rsidRDefault="008D5685" w:rsidP="008D5685">
      <w:pPr>
        <w:pStyle w:val="Tableheading"/>
      </w:pPr>
      <w:bookmarkStart w:id="19" w:name="_Toc103773273"/>
      <w:r>
        <w:t>Table 3</w:t>
      </w:r>
      <w:r>
        <w:tab/>
      </w:r>
      <w:r w:rsidRPr="00966EBC">
        <w:t>Comparison of the Climate Change Commission’s recommended emissions budgets with the emissions budgets as set by the Minister of Climate Change</w:t>
      </w:r>
      <w:bookmarkEnd w:id="19"/>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2977"/>
        <w:gridCol w:w="1843"/>
        <w:gridCol w:w="1843"/>
        <w:gridCol w:w="1842"/>
      </w:tblGrid>
      <w:tr w:rsidR="004162ED" w:rsidRPr="005373EB" w14:paraId="6851F5D1" w14:textId="77777777" w:rsidTr="004162ED">
        <w:tc>
          <w:tcPr>
            <w:tcW w:w="2977" w:type="dxa"/>
            <w:shd w:val="clear" w:color="auto" w:fill="1B556B" w:themeFill="text2"/>
            <w:vAlign w:val="bottom"/>
          </w:tcPr>
          <w:p w14:paraId="1EE70532" w14:textId="556565E2" w:rsidR="000C4280" w:rsidRPr="005373EB" w:rsidRDefault="000C4280" w:rsidP="009B5DAB">
            <w:pPr>
              <w:pStyle w:val="TableTextbold"/>
              <w:spacing w:before="40" w:after="40"/>
              <w:rPr>
                <w:color w:val="FFFFFF" w:themeColor="background1"/>
              </w:rPr>
            </w:pPr>
            <w:r w:rsidRPr="005373EB">
              <w:rPr>
                <w:color w:val="FFFFFF" w:themeColor="background1"/>
              </w:rPr>
              <w:t>AR5 Mt CO</w:t>
            </w:r>
            <w:r w:rsidRPr="005373EB">
              <w:rPr>
                <w:color w:val="FFFFFF" w:themeColor="background1"/>
                <w:vertAlign w:val="subscript"/>
              </w:rPr>
              <w:t>2</w:t>
            </w:r>
            <w:r w:rsidRPr="005373EB">
              <w:rPr>
                <w:color w:val="FFFFFF" w:themeColor="background1"/>
              </w:rPr>
              <w:t>-e</w:t>
            </w:r>
          </w:p>
        </w:tc>
        <w:tc>
          <w:tcPr>
            <w:tcW w:w="1843" w:type="dxa"/>
            <w:shd w:val="clear" w:color="auto" w:fill="1B556B" w:themeFill="text2"/>
            <w:vAlign w:val="bottom"/>
          </w:tcPr>
          <w:p w14:paraId="1FBF1347" w14:textId="6061C58B" w:rsidR="000C4280" w:rsidRPr="005373EB" w:rsidRDefault="00717902" w:rsidP="009B5DAB">
            <w:pPr>
              <w:pStyle w:val="TableTextbold"/>
              <w:spacing w:before="40" w:after="40"/>
              <w:jc w:val="center"/>
              <w:rPr>
                <w:color w:val="FFFFFF" w:themeColor="background1"/>
              </w:rPr>
            </w:pPr>
            <w:r w:rsidRPr="005373EB">
              <w:rPr>
                <w:color w:val="FFFFFF" w:themeColor="background1"/>
              </w:rPr>
              <w:t>Emission</w:t>
            </w:r>
            <w:r w:rsidR="002C1EE3" w:rsidRPr="005373EB">
              <w:rPr>
                <w:color w:val="FFFFFF" w:themeColor="background1"/>
              </w:rPr>
              <w:t>s</w:t>
            </w:r>
            <w:r w:rsidRPr="005373EB">
              <w:rPr>
                <w:color w:val="FFFFFF" w:themeColor="background1"/>
              </w:rPr>
              <w:t xml:space="preserve"> </w:t>
            </w:r>
            <w:r w:rsidR="002C1EE3" w:rsidRPr="005373EB">
              <w:rPr>
                <w:color w:val="FFFFFF" w:themeColor="background1"/>
              </w:rPr>
              <w:t>b</w:t>
            </w:r>
            <w:r w:rsidRPr="005373EB">
              <w:rPr>
                <w:color w:val="FFFFFF" w:themeColor="background1"/>
              </w:rPr>
              <w:t>udget</w:t>
            </w:r>
            <w:r w:rsidR="002C1EE3" w:rsidRPr="005373EB">
              <w:rPr>
                <w:color w:val="FFFFFF" w:themeColor="background1"/>
              </w:rPr>
              <w:t xml:space="preserve"> 1</w:t>
            </w:r>
          </w:p>
        </w:tc>
        <w:tc>
          <w:tcPr>
            <w:tcW w:w="1843" w:type="dxa"/>
            <w:shd w:val="clear" w:color="auto" w:fill="1B556B" w:themeFill="text2"/>
            <w:vAlign w:val="bottom"/>
          </w:tcPr>
          <w:p w14:paraId="0053428B" w14:textId="79444D3A" w:rsidR="000C4280" w:rsidRPr="005373EB" w:rsidRDefault="00717902" w:rsidP="009B5DAB">
            <w:pPr>
              <w:pStyle w:val="TableTextbold"/>
              <w:spacing w:before="40" w:after="40"/>
              <w:jc w:val="center"/>
              <w:rPr>
                <w:color w:val="FFFFFF" w:themeColor="background1"/>
              </w:rPr>
            </w:pPr>
            <w:r w:rsidRPr="005373EB">
              <w:rPr>
                <w:color w:val="FFFFFF" w:themeColor="background1"/>
              </w:rPr>
              <w:t>Emission</w:t>
            </w:r>
            <w:r w:rsidR="002C1EE3" w:rsidRPr="005373EB">
              <w:rPr>
                <w:color w:val="FFFFFF" w:themeColor="background1"/>
              </w:rPr>
              <w:t>s</w:t>
            </w:r>
            <w:r w:rsidRPr="005373EB">
              <w:rPr>
                <w:color w:val="FFFFFF" w:themeColor="background1"/>
              </w:rPr>
              <w:t xml:space="preserve"> </w:t>
            </w:r>
            <w:r w:rsidR="002C1EE3" w:rsidRPr="005373EB">
              <w:rPr>
                <w:color w:val="FFFFFF" w:themeColor="background1"/>
              </w:rPr>
              <w:t>b</w:t>
            </w:r>
            <w:r w:rsidRPr="005373EB">
              <w:rPr>
                <w:color w:val="FFFFFF" w:themeColor="background1"/>
              </w:rPr>
              <w:t>udget</w:t>
            </w:r>
            <w:r w:rsidR="002C1EE3" w:rsidRPr="005373EB">
              <w:rPr>
                <w:color w:val="FFFFFF" w:themeColor="background1"/>
              </w:rPr>
              <w:t xml:space="preserve"> 2</w:t>
            </w:r>
          </w:p>
        </w:tc>
        <w:tc>
          <w:tcPr>
            <w:tcW w:w="1842" w:type="dxa"/>
            <w:shd w:val="clear" w:color="auto" w:fill="1B556B" w:themeFill="text2"/>
            <w:vAlign w:val="bottom"/>
          </w:tcPr>
          <w:p w14:paraId="152C875F" w14:textId="6E1E7277" w:rsidR="000C4280" w:rsidRPr="005373EB" w:rsidRDefault="00717902" w:rsidP="009B5DAB">
            <w:pPr>
              <w:pStyle w:val="TableTextbold"/>
              <w:spacing w:before="40" w:after="40"/>
              <w:jc w:val="center"/>
              <w:rPr>
                <w:color w:val="FFFFFF" w:themeColor="background1"/>
              </w:rPr>
            </w:pPr>
            <w:r w:rsidRPr="005373EB">
              <w:rPr>
                <w:color w:val="FFFFFF" w:themeColor="background1"/>
              </w:rPr>
              <w:t>Emission</w:t>
            </w:r>
            <w:r w:rsidR="002C1EE3" w:rsidRPr="005373EB">
              <w:rPr>
                <w:color w:val="FFFFFF" w:themeColor="background1"/>
              </w:rPr>
              <w:t>s</w:t>
            </w:r>
            <w:r w:rsidRPr="005373EB">
              <w:rPr>
                <w:color w:val="FFFFFF" w:themeColor="background1"/>
              </w:rPr>
              <w:t xml:space="preserve"> </w:t>
            </w:r>
            <w:r w:rsidR="002C1EE3" w:rsidRPr="005373EB">
              <w:rPr>
                <w:color w:val="FFFFFF" w:themeColor="background1"/>
              </w:rPr>
              <w:t>b</w:t>
            </w:r>
            <w:r w:rsidRPr="005373EB">
              <w:rPr>
                <w:color w:val="FFFFFF" w:themeColor="background1"/>
              </w:rPr>
              <w:t>udget</w:t>
            </w:r>
            <w:r w:rsidR="002C1EE3" w:rsidRPr="005373EB">
              <w:rPr>
                <w:color w:val="FFFFFF" w:themeColor="background1"/>
              </w:rPr>
              <w:t xml:space="preserve"> 3</w:t>
            </w:r>
          </w:p>
        </w:tc>
      </w:tr>
      <w:tr w:rsidR="000C4280" w:rsidRPr="005373EB" w14:paraId="4EC579BD" w14:textId="77777777" w:rsidTr="004162ED">
        <w:tc>
          <w:tcPr>
            <w:tcW w:w="2977" w:type="dxa"/>
          </w:tcPr>
          <w:p w14:paraId="2B5044E0" w14:textId="0283E4C9" w:rsidR="000C4280" w:rsidRPr="005373EB" w:rsidRDefault="000C4280" w:rsidP="009B5DAB">
            <w:pPr>
              <w:pStyle w:val="TableText"/>
              <w:spacing w:before="40" w:after="40"/>
            </w:pPr>
            <w:r w:rsidRPr="005373EB">
              <w:t>Commission</w:t>
            </w:r>
            <w:r w:rsidR="00F03E61" w:rsidRPr="005373EB">
              <w:t>’</w:t>
            </w:r>
            <w:r w:rsidRPr="005373EB">
              <w:t xml:space="preserve">s </w:t>
            </w:r>
            <w:r w:rsidR="00F03E61" w:rsidRPr="005373EB">
              <w:t>r</w:t>
            </w:r>
            <w:r w:rsidRPr="005373EB">
              <w:t xml:space="preserve">ecommended </w:t>
            </w:r>
            <w:r w:rsidR="00F03E61" w:rsidRPr="005373EB">
              <w:t>b</w:t>
            </w:r>
            <w:r w:rsidRPr="005373EB">
              <w:t>udgets</w:t>
            </w:r>
          </w:p>
        </w:tc>
        <w:tc>
          <w:tcPr>
            <w:tcW w:w="1843" w:type="dxa"/>
          </w:tcPr>
          <w:p w14:paraId="416F0B49" w14:textId="57EA591E" w:rsidR="000C4280" w:rsidRPr="005373EB" w:rsidRDefault="000C4280" w:rsidP="009B5DAB">
            <w:pPr>
              <w:pStyle w:val="TableText"/>
              <w:spacing w:before="40" w:after="40"/>
              <w:jc w:val="center"/>
            </w:pPr>
            <w:r w:rsidRPr="005373EB">
              <w:t>290</w:t>
            </w:r>
            <w:r w:rsidR="000D2858" w:rsidRPr="005373EB">
              <w:t>.0</w:t>
            </w:r>
          </w:p>
        </w:tc>
        <w:tc>
          <w:tcPr>
            <w:tcW w:w="1843" w:type="dxa"/>
          </w:tcPr>
          <w:p w14:paraId="5C10B50D" w14:textId="750FDF45" w:rsidR="000C4280" w:rsidRPr="005373EB" w:rsidRDefault="000D2858" w:rsidP="009B5DAB">
            <w:pPr>
              <w:pStyle w:val="TableText"/>
              <w:spacing w:before="40" w:after="40"/>
              <w:jc w:val="center"/>
            </w:pPr>
            <w:r w:rsidRPr="005373EB">
              <w:t>312.0</w:t>
            </w:r>
          </w:p>
        </w:tc>
        <w:tc>
          <w:tcPr>
            <w:tcW w:w="1842" w:type="dxa"/>
          </w:tcPr>
          <w:p w14:paraId="07FEA325" w14:textId="69479566" w:rsidR="000C4280" w:rsidRPr="005373EB" w:rsidRDefault="000D2858" w:rsidP="009B5DAB">
            <w:pPr>
              <w:pStyle w:val="TableText"/>
              <w:spacing w:before="40" w:after="40"/>
              <w:jc w:val="center"/>
            </w:pPr>
            <w:r w:rsidRPr="005373EB">
              <w:t>253.0</w:t>
            </w:r>
          </w:p>
        </w:tc>
      </w:tr>
      <w:tr w:rsidR="000C4280" w:rsidRPr="005373EB" w14:paraId="091B42F4" w14:textId="77777777" w:rsidTr="004162ED">
        <w:tc>
          <w:tcPr>
            <w:tcW w:w="2977" w:type="dxa"/>
          </w:tcPr>
          <w:p w14:paraId="5B4B2CD6" w14:textId="1F1653AA" w:rsidR="000C4280" w:rsidRPr="005373EB" w:rsidRDefault="000C4280" w:rsidP="009B5DAB">
            <w:pPr>
              <w:pStyle w:val="TableText"/>
              <w:spacing w:before="40" w:after="40"/>
            </w:pPr>
            <w:r w:rsidRPr="005373EB">
              <w:t xml:space="preserve">Emissions </w:t>
            </w:r>
            <w:r w:rsidR="00F03E61" w:rsidRPr="005373EB">
              <w:t>b</w:t>
            </w:r>
            <w:r w:rsidRPr="005373EB">
              <w:t>udgets</w:t>
            </w:r>
          </w:p>
        </w:tc>
        <w:tc>
          <w:tcPr>
            <w:tcW w:w="1843" w:type="dxa"/>
          </w:tcPr>
          <w:p w14:paraId="6E03F6F0" w14:textId="5BFE36C9" w:rsidR="000C4280" w:rsidRPr="005373EB" w:rsidRDefault="000D2858" w:rsidP="009B5DAB">
            <w:pPr>
              <w:pStyle w:val="TableText"/>
              <w:spacing w:before="40" w:after="40"/>
              <w:jc w:val="center"/>
            </w:pPr>
            <w:r w:rsidRPr="005373EB">
              <w:t>29</w:t>
            </w:r>
            <w:r w:rsidR="00195251" w:rsidRPr="005373EB">
              <w:t>0</w:t>
            </w:r>
            <w:r w:rsidRPr="005373EB">
              <w:t>.0</w:t>
            </w:r>
          </w:p>
        </w:tc>
        <w:tc>
          <w:tcPr>
            <w:tcW w:w="1843" w:type="dxa"/>
          </w:tcPr>
          <w:p w14:paraId="2925564A" w14:textId="4288A206" w:rsidR="000C4280" w:rsidRPr="005373EB" w:rsidRDefault="000D2858" w:rsidP="009B5DAB">
            <w:pPr>
              <w:pStyle w:val="TableText"/>
              <w:spacing w:before="40" w:after="40"/>
              <w:jc w:val="center"/>
            </w:pPr>
            <w:r w:rsidRPr="005373EB">
              <w:t>30</w:t>
            </w:r>
            <w:r w:rsidR="00195251" w:rsidRPr="005373EB">
              <w:t>5</w:t>
            </w:r>
            <w:r w:rsidRPr="005373EB">
              <w:t>.0</w:t>
            </w:r>
          </w:p>
        </w:tc>
        <w:tc>
          <w:tcPr>
            <w:tcW w:w="1842" w:type="dxa"/>
          </w:tcPr>
          <w:p w14:paraId="186C2D87" w14:textId="0EBC9454" w:rsidR="000C4280" w:rsidRPr="005373EB" w:rsidRDefault="000D2858" w:rsidP="009B5DAB">
            <w:pPr>
              <w:pStyle w:val="TableText"/>
              <w:spacing w:before="40" w:after="40"/>
              <w:jc w:val="center"/>
            </w:pPr>
            <w:r w:rsidRPr="005373EB">
              <w:t>24</w:t>
            </w:r>
            <w:r w:rsidR="00195251" w:rsidRPr="005373EB">
              <w:t>0</w:t>
            </w:r>
            <w:r w:rsidRPr="005373EB">
              <w:t>.</w:t>
            </w:r>
            <w:r w:rsidR="00C94CD4" w:rsidRPr="005373EB">
              <w:t>0</w:t>
            </w:r>
          </w:p>
        </w:tc>
      </w:tr>
    </w:tbl>
    <w:p w14:paraId="00E7D71B" w14:textId="2B1D1B9E" w:rsidR="00F03E61" w:rsidRPr="005373EB" w:rsidRDefault="00F03E61" w:rsidP="00F03E61">
      <w:pPr>
        <w:pStyle w:val="Source"/>
      </w:pPr>
    </w:p>
    <w:p w14:paraId="18EBED56" w14:textId="77777777" w:rsidR="008952B7" w:rsidRDefault="008952B7">
      <w:pPr>
        <w:rPr>
          <w:rFonts w:ascii="Georgia" w:eastAsiaTheme="majorEastAsia" w:hAnsi="Georgia" w:cstheme="majorBidi"/>
          <w:b/>
          <w:bCs/>
          <w:color w:val="1B556B"/>
          <w:sz w:val="48"/>
          <w:szCs w:val="28"/>
          <w:lang w:eastAsia="en-NZ"/>
        </w:rPr>
      </w:pPr>
      <w:r>
        <w:br w:type="page"/>
      </w:r>
    </w:p>
    <w:p w14:paraId="5EF83868" w14:textId="47C62E52" w:rsidR="0093326D" w:rsidRPr="005373EB" w:rsidRDefault="0093326D" w:rsidP="008952B7">
      <w:pPr>
        <w:pStyle w:val="Heading1"/>
      </w:pPr>
      <w:bookmarkStart w:id="20" w:name="_Toc103773256"/>
      <w:r w:rsidRPr="005373EB">
        <w:lastRenderedPageBreak/>
        <w:t xml:space="preserve">Modelling limitations and </w:t>
      </w:r>
      <w:r w:rsidR="00F03E61" w:rsidRPr="005373EB">
        <w:t>u</w:t>
      </w:r>
      <w:r w:rsidRPr="005373EB">
        <w:t>ncertainty</w:t>
      </w:r>
      <w:bookmarkEnd w:id="20"/>
    </w:p>
    <w:p w14:paraId="7C60131D" w14:textId="652012F5" w:rsidR="0093326D" w:rsidRPr="005373EB" w:rsidRDefault="00310FE4" w:rsidP="004162ED">
      <w:pPr>
        <w:pStyle w:val="BodyText"/>
      </w:pPr>
      <w:r w:rsidRPr="005373EB">
        <w:t>All emissions estimates and projections</w:t>
      </w:r>
      <w:r w:rsidR="0093326D" w:rsidRPr="005373EB">
        <w:t xml:space="preserve"> are subject to both modelling limitations and uncertainty. Our emissions models</w:t>
      </w:r>
      <w:r w:rsidRPr="005373EB">
        <w:t>, like all</w:t>
      </w:r>
      <w:r w:rsidR="0093326D" w:rsidRPr="005373EB">
        <w:t xml:space="preserve"> models</w:t>
      </w:r>
      <w:r w:rsidR="07FEBF25" w:rsidRPr="005373EB">
        <w:t>,</w:t>
      </w:r>
      <w:r w:rsidR="0093326D" w:rsidRPr="005373EB">
        <w:t xml:space="preserve"> are simplified</w:t>
      </w:r>
      <w:r w:rsidR="00934F06" w:rsidRPr="005373EB">
        <w:t xml:space="preserve"> imperfect</w:t>
      </w:r>
      <w:r w:rsidR="0093326D" w:rsidRPr="005373EB">
        <w:t xml:space="preserve"> versions of the real</w:t>
      </w:r>
      <w:r w:rsidR="003B475C" w:rsidRPr="005373EB">
        <w:t> </w:t>
      </w:r>
      <w:r w:rsidR="0093326D" w:rsidRPr="005373EB">
        <w:t>world and</w:t>
      </w:r>
      <w:r w:rsidR="00C637DB" w:rsidRPr="005373EB">
        <w:t>,</w:t>
      </w:r>
      <w:r w:rsidR="0093326D" w:rsidRPr="005373EB">
        <w:t xml:space="preserve"> </w:t>
      </w:r>
      <w:r w:rsidR="0039434F" w:rsidRPr="005373EB">
        <w:t>for this reason</w:t>
      </w:r>
      <w:r w:rsidR="00C637DB" w:rsidRPr="005373EB">
        <w:t>,</w:t>
      </w:r>
      <w:r w:rsidR="0039434F" w:rsidRPr="005373EB">
        <w:t xml:space="preserve"> are limited in their ability to </w:t>
      </w:r>
      <w:r w:rsidR="0093326D" w:rsidRPr="005373EB">
        <w:t>predict the future.</w:t>
      </w:r>
      <w:r w:rsidR="0093326D" w:rsidRPr="005373EB" w:rsidDel="00E91E6C">
        <w:t xml:space="preserve"> </w:t>
      </w:r>
    </w:p>
    <w:p w14:paraId="7BEB3CBE" w14:textId="1195A96A" w:rsidR="002A5F60" w:rsidRPr="005373EB" w:rsidRDefault="00A73ABD" w:rsidP="008952B7">
      <w:pPr>
        <w:pStyle w:val="Heading2"/>
      </w:pPr>
      <w:bookmarkStart w:id="21" w:name="_Toc103773257"/>
      <w:r w:rsidRPr="005373EB">
        <w:t>Modelling limitations</w:t>
      </w:r>
      <w:bookmarkEnd w:id="21"/>
    </w:p>
    <w:p w14:paraId="3D61CAD8" w14:textId="584B9BB2" w:rsidR="00A406BD" w:rsidRPr="005373EB" w:rsidRDefault="007D04DA" w:rsidP="004162ED">
      <w:pPr>
        <w:pStyle w:val="BodyText"/>
      </w:pPr>
      <w:bookmarkStart w:id="22" w:name="_Hlk102660098"/>
      <w:r w:rsidRPr="005373EB">
        <w:rPr>
          <w:sz w:val="24"/>
          <w:szCs w:val="24"/>
        </w:rPr>
        <w:t xml:space="preserve">All emissions estimates and projections </w:t>
      </w:r>
      <w:bookmarkEnd w:id="22"/>
      <w:r w:rsidR="00A73ABD" w:rsidRPr="005373EB">
        <w:t xml:space="preserve">are subject to the limitations of the models </w:t>
      </w:r>
      <w:r w:rsidR="007D684F" w:rsidRPr="005373EB">
        <w:t xml:space="preserve">and methods </w:t>
      </w:r>
      <w:r w:rsidR="00A73ABD" w:rsidRPr="005373EB">
        <w:t>used to produce those estimates</w:t>
      </w:r>
      <w:r w:rsidR="00E25E21" w:rsidRPr="005373EB">
        <w:t xml:space="preserve">. </w:t>
      </w:r>
      <w:r w:rsidR="00C97F8E" w:rsidRPr="005373EB">
        <w:t>The</w:t>
      </w:r>
      <w:r w:rsidR="00231855" w:rsidRPr="005373EB">
        <w:t>se</w:t>
      </w:r>
      <w:r w:rsidR="00A73ABD" w:rsidRPr="005373EB" w:rsidDel="00231855">
        <w:t xml:space="preserve"> </w:t>
      </w:r>
      <w:r w:rsidR="00A73ABD" w:rsidRPr="005373EB">
        <w:t xml:space="preserve">limitations </w:t>
      </w:r>
      <w:r w:rsidR="00231855" w:rsidRPr="005373EB">
        <w:t xml:space="preserve">mean </w:t>
      </w:r>
      <w:r w:rsidR="00E44D2E" w:rsidRPr="005373EB">
        <w:t xml:space="preserve">the </w:t>
      </w:r>
      <w:r w:rsidR="00A73ABD" w:rsidRPr="005373EB">
        <w:t xml:space="preserve">emissions impacts </w:t>
      </w:r>
      <w:r w:rsidR="005B205B" w:rsidRPr="005373EB">
        <w:t>of</w:t>
      </w:r>
      <w:r w:rsidR="00A73ABD" w:rsidRPr="005373EB">
        <w:t xml:space="preserve"> some policy initiatives</w:t>
      </w:r>
      <w:r w:rsidR="00481D42" w:rsidRPr="005373EB">
        <w:t xml:space="preserve">, </w:t>
      </w:r>
      <w:r w:rsidR="001C1E02" w:rsidRPr="005373EB">
        <w:t>indirect</w:t>
      </w:r>
      <w:r w:rsidR="009C2E61" w:rsidRPr="009C2E61">
        <w:t xml:space="preserve"> </w:t>
      </w:r>
      <w:r w:rsidR="009C2E61">
        <w:t>emissions reduction plan</w:t>
      </w:r>
      <w:r w:rsidR="00660682">
        <w:t>-</w:t>
      </w:r>
      <w:r w:rsidR="00C97F8E" w:rsidRPr="005373EB">
        <w:t>related actions</w:t>
      </w:r>
      <w:r w:rsidR="00A73ABD" w:rsidRPr="005373EB">
        <w:t xml:space="preserve"> </w:t>
      </w:r>
      <w:r w:rsidR="00FC72ED" w:rsidRPr="005373EB">
        <w:t xml:space="preserve">and </w:t>
      </w:r>
      <w:r w:rsidR="00A04F50" w:rsidRPr="005373EB">
        <w:t xml:space="preserve">unforeseen events </w:t>
      </w:r>
      <w:r w:rsidR="00A73ABD" w:rsidRPr="005373EB">
        <w:t>have not be</w:t>
      </w:r>
      <w:r w:rsidR="00C97F8E" w:rsidRPr="005373EB">
        <w:t>en</w:t>
      </w:r>
      <w:r w:rsidR="00A73ABD" w:rsidRPr="005373EB">
        <w:t xml:space="preserve"> incorporated into the GHG projections</w:t>
      </w:r>
      <w:r w:rsidR="00817EB7" w:rsidRPr="005373EB">
        <w:t xml:space="preserve"> or</w:t>
      </w:r>
      <w:r w:rsidR="00A0411B" w:rsidRPr="005373EB">
        <w:t xml:space="preserve"> </w:t>
      </w:r>
      <w:r w:rsidR="00157BB5" w:rsidRPr="005373EB">
        <w:t xml:space="preserve">accounted for </w:t>
      </w:r>
      <w:r w:rsidR="0044239C" w:rsidRPr="005373EB">
        <w:t xml:space="preserve">in </w:t>
      </w:r>
      <w:r w:rsidR="00157BB5" w:rsidRPr="005373EB">
        <w:t>the modelling</w:t>
      </w:r>
      <w:r w:rsidR="00A73ABD" w:rsidRPr="005373EB">
        <w:t>.</w:t>
      </w:r>
      <w:r w:rsidR="00C97F8E" w:rsidRPr="005373EB">
        <w:t xml:space="preserve"> </w:t>
      </w:r>
    </w:p>
    <w:p w14:paraId="6048A926" w14:textId="4152E158" w:rsidR="00A73ABD" w:rsidRPr="005373EB" w:rsidRDefault="008D1DCB" w:rsidP="003B475C">
      <w:pPr>
        <w:pStyle w:val="BodyText"/>
      </w:pPr>
      <w:r w:rsidRPr="005373EB">
        <w:t>E</w:t>
      </w:r>
      <w:r w:rsidR="00C97F8E" w:rsidRPr="005373EB">
        <w:t>xamples of these limitations are summarised below</w:t>
      </w:r>
      <w:r w:rsidRPr="005373EB">
        <w:t>.</w:t>
      </w:r>
    </w:p>
    <w:p w14:paraId="5C342570" w14:textId="6DF10CB2" w:rsidR="008C6BFE" w:rsidRPr="005373EB" w:rsidRDefault="008C6BFE" w:rsidP="00FF6AA8">
      <w:pPr>
        <w:pStyle w:val="Bulletmfe"/>
      </w:pPr>
      <w:r w:rsidRPr="00660682">
        <w:rPr>
          <w:b/>
          <w:bCs/>
        </w:rPr>
        <w:t xml:space="preserve">Some </w:t>
      </w:r>
      <w:r w:rsidR="00660682" w:rsidRPr="00660682">
        <w:rPr>
          <w:b/>
          <w:bCs/>
        </w:rPr>
        <w:t xml:space="preserve">emissions reduction plan </w:t>
      </w:r>
      <w:r w:rsidRPr="00660682">
        <w:rPr>
          <w:b/>
          <w:bCs/>
        </w:rPr>
        <w:t>policies</w:t>
      </w:r>
      <w:r w:rsidRPr="005373EB">
        <w:rPr>
          <w:b/>
          <w:bCs/>
        </w:rPr>
        <w:t xml:space="preserve"> have not been quantified:</w:t>
      </w:r>
      <w:r w:rsidRPr="005373EB">
        <w:t xml:space="preserve"> An example of this is the </w:t>
      </w:r>
      <w:r w:rsidR="0CA24CB7" w:rsidRPr="005373EB">
        <w:t xml:space="preserve">impact the ETS price corridor increase </w:t>
      </w:r>
      <w:r w:rsidR="00D4744F" w:rsidRPr="005373EB">
        <w:t xml:space="preserve">will </w:t>
      </w:r>
      <w:r w:rsidR="0CA24CB7" w:rsidRPr="005373EB">
        <w:t>have on refrigerants (</w:t>
      </w:r>
      <w:r w:rsidR="0095036D" w:rsidRPr="005373EB">
        <w:t xml:space="preserve">or hydrofluorocarbons </w:t>
      </w:r>
      <w:r w:rsidR="00E10470" w:rsidRPr="005373EB">
        <w:t>(</w:t>
      </w:r>
      <w:r w:rsidR="0CA24CB7" w:rsidRPr="005373EB">
        <w:t>HFCs</w:t>
      </w:r>
      <w:r w:rsidR="00E10470" w:rsidRPr="005373EB">
        <w:t>)</w:t>
      </w:r>
      <w:r w:rsidR="0CA24CB7" w:rsidRPr="005373EB">
        <w:t>)</w:t>
      </w:r>
      <w:r w:rsidR="00C52383" w:rsidRPr="005373EB">
        <w:t xml:space="preserve">. </w:t>
      </w:r>
      <w:r w:rsidR="0CA24CB7" w:rsidRPr="005373EB">
        <w:t>HFCs are relatively sensitive to the ETS price</w:t>
      </w:r>
      <w:r w:rsidRPr="005373EB">
        <w:t xml:space="preserve"> </w:t>
      </w:r>
      <w:r w:rsidR="00C52383" w:rsidRPr="005373EB">
        <w:t xml:space="preserve">and </w:t>
      </w:r>
      <w:r w:rsidRPr="005373EB">
        <w:t xml:space="preserve">this </w:t>
      </w:r>
      <w:r w:rsidR="00157BB5" w:rsidRPr="005373EB">
        <w:t>initiative</w:t>
      </w:r>
      <w:r w:rsidRPr="005373EB">
        <w:t xml:space="preserve"> is expected to contribute to significant emissions </w:t>
      </w:r>
      <w:r w:rsidR="0CA24CB7" w:rsidRPr="005373EB">
        <w:t>reductions</w:t>
      </w:r>
      <w:r w:rsidR="00C52383" w:rsidRPr="005373EB">
        <w:t>.</w:t>
      </w:r>
      <w:r w:rsidR="008C3228" w:rsidRPr="005373EB">
        <w:t xml:space="preserve"> </w:t>
      </w:r>
      <w:r w:rsidR="00C52383" w:rsidRPr="005373EB">
        <w:t>H</w:t>
      </w:r>
      <w:r w:rsidRPr="005373EB">
        <w:t xml:space="preserve">owever, quantified impacts of this policy were not able to be </w:t>
      </w:r>
      <w:r w:rsidR="00157BB5" w:rsidRPr="005373EB">
        <w:t>modelled</w:t>
      </w:r>
      <w:r w:rsidR="00B003DD" w:rsidRPr="005373EB">
        <w:t>,</w:t>
      </w:r>
      <w:r w:rsidR="003D3F88" w:rsidRPr="005373EB">
        <w:t xml:space="preserve"> largely due to a lack of robust data</w:t>
      </w:r>
      <w:r w:rsidRPr="005373EB">
        <w:t>.</w:t>
      </w:r>
    </w:p>
    <w:p w14:paraId="7F966454" w14:textId="22E87A88" w:rsidR="00B053AF" w:rsidRPr="005373EB" w:rsidRDefault="008C6BFE" w:rsidP="00FF6AA8">
      <w:pPr>
        <w:pStyle w:val="Bulletmfe"/>
      </w:pPr>
      <w:r w:rsidRPr="005373EB">
        <w:rPr>
          <w:b/>
          <w:bCs/>
        </w:rPr>
        <w:t>Some</w:t>
      </w:r>
      <w:r w:rsidR="00660682" w:rsidRPr="00660682">
        <w:t xml:space="preserve"> </w:t>
      </w:r>
      <w:r w:rsidR="00660682" w:rsidRPr="00660682">
        <w:rPr>
          <w:b/>
          <w:bCs/>
        </w:rPr>
        <w:t>emissions reduction plan</w:t>
      </w:r>
      <w:r w:rsidRPr="005373EB">
        <w:rPr>
          <w:b/>
          <w:bCs/>
        </w:rPr>
        <w:t xml:space="preserve"> policies have only </w:t>
      </w:r>
      <w:r w:rsidR="00B053AF" w:rsidRPr="005373EB">
        <w:rPr>
          <w:b/>
          <w:bCs/>
        </w:rPr>
        <w:t>been</w:t>
      </w:r>
      <w:r w:rsidRPr="005373EB">
        <w:rPr>
          <w:b/>
          <w:bCs/>
        </w:rPr>
        <w:t xml:space="preserve"> partiall</w:t>
      </w:r>
      <w:r w:rsidRPr="00660682">
        <w:rPr>
          <w:b/>
          <w:bCs/>
        </w:rPr>
        <w:t xml:space="preserve">y quantified in the </w:t>
      </w:r>
      <w:r w:rsidR="00660682" w:rsidRPr="00660682">
        <w:rPr>
          <w:b/>
          <w:bCs/>
        </w:rPr>
        <w:t>emissions reduction plan</w:t>
      </w:r>
      <w:r w:rsidRPr="005373EB">
        <w:rPr>
          <w:b/>
          <w:bCs/>
        </w:rPr>
        <w:t>:</w:t>
      </w:r>
      <w:r w:rsidRPr="005373EB">
        <w:t xml:space="preserve"> An example is </w:t>
      </w:r>
      <w:r w:rsidR="00B053AF" w:rsidRPr="005373EB">
        <w:t xml:space="preserve">the impact of the </w:t>
      </w:r>
      <w:r w:rsidR="00CA5088">
        <w:t>ETS</w:t>
      </w:r>
      <w:r w:rsidR="00B053AF" w:rsidRPr="005373EB">
        <w:t xml:space="preserve"> setting changes that increased the price corridor. Estimates of the impact of this policy change were able to be calculated for </w:t>
      </w:r>
      <w:r w:rsidR="00A41927" w:rsidRPr="005373EB">
        <w:t xml:space="preserve">areas such as </w:t>
      </w:r>
      <w:r w:rsidR="00B053AF" w:rsidRPr="005373EB">
        <w:t xml:space="preserve">process heat, transport and forestry. Estimates were not able to be calculated for </w:t>
      </w:r>
      <w:r w:rsidR="00D943D2" w:rsidRPr="005373EB">
        <w:t xml:space="preserve">fluorinated </w:t>
      </w:r>
      <w:r w:rsidR="00B053AF" w:rsidRPr="005373EB">
        <w:t>gases even though they would be expected to be</w:t>
      </w:r>
      <w:r w:rsidR="00A41927" w:rsidRPr="005373EB">
        <w:t xml:space="preserve"> significantly</w:t>
      </w:r>
      <w:r w:rsidR="00B053AF" w:rsidRPr="005373EB">
        <w:t xml:space="preserve"> </w:t>
      </w:r>
      <w:r w:rsidR="00835698" w:rsidRPr="005373EB">
        <w:t xml:space="preserve">affected </w:t>
      </w:r>
      <w:r w:rsidR="00B053AF" w:rsidRPr="005373EB">
        <w:t xml:space="preserve">by higher </w:t>
      </w:r>
      <w:r w:rsidR="0044239C" w:rsidRPr="005373EB">
        <w:t xml:space="preserve">NZ </w:t>
      </w:r>
      <w:r w:rsidR="00A41927" w:rsidRPr="005373EB">
        <w:t xml:space="preserve">ETS </w:t>
      </w:r>
      <w:r w:rsidR="00B053AF" w:rsidRPr="005373EB">
        <w:t>prices.</w:t>
      </w:r>
    </w:p>
    <w:p w14:paraId="1638DF3B" w14:textId="08487254" w:rsidR="00C97F8E" w:rsidRPr="005373EB" w:rsidRDefault="001C1E02" w:rsidP="00FF6AA8">
      <w:pPr>
        <w:pStyle w:val="Bulletmfe"/>
      </w:pPr>
      <w:r w:rsidRPr="005373EB">
        <w:rPr>
          <w:b/>
          <w:bCs/>
        </w:rPr>
        <w:t>Indirect</w:t>
      </w:r>
      <w:r w:rsidR="00660682" w:rsidRPr="00660682">
        <w:t xml:space="preserve"> </w:t>
      </w:r>
      <w:r w:rsidR="00660682" w:rsidRPr="00660682">
        <w:rPr>
          <w:b/>
          <w:bCs/>
        </w:rPr>
        <w:t>emissions reduction plan</w:t>
      </w:r>
      <w:r w:rsidR="00660682">
        <w:rPr>
          <w:b/>
          <w:bCs/>
        </w:rPr>
        <w:t>-</w:t>
      </w:r>
      <w:r w:rsidRPr="005373EB">
        <w:rPr>
          <w:b/>
          <w:bCs/>
        </w:rPr>
        <w:t>related impacts:</w:t>
      </w:r>
      <w:r w:rsidRPr="005373EB">
        <w:t xml:space="preserve"> An example of this </w:t>
      </w:r>
      <w:r w:rsidR="001523D0" w:rsidRPr="005373EB">
        <w:t xml:space="preserve">is </w:t>
      </w:r>
      <w:r w:rsidRPr="005373EB">
        <w:t xml:space="preserve">that the increasing publicity </w:t>
      </w:r>
      <w:r w:rsidR="00835698" w:rsidRPr="005373EB">
        <w:t xml:space="preserve">on </w:t>
      </w:r>
      <w:r w:rsidRPr="005373EB">
        <w:t>climate change will lead to more individuals</w:t>
      </w:r>
      <w:r w:rsidR="006C2A1C" w:rsidRPr="005373EB">
        <w:t>,</w:t>
      </w:r>
      <w:r w:rsidRPr="005373EB">
        <w:t xml:space="preserve"> </w:t>
      </w:r>
      <w:r w:rsidR="00EB6D7C" w:rsidRPr="005373EB">
        <w:t>businesses</w:t>
      </w:r>
      <w:r w:rsidR="006C2A1C" w:rsidRPr="005373EB">
        <w:t xml:space="preserve"> and local government</w:t>
      </w:r>
      <w:r w:rsidR="00A41927" w:rsidRPr="005373EB">
        <w:t xml:space="preserve"> taking</w:t>
      </w:r>
      <w:r w:rsidRPr="005373EB">
        <w:t xml:space="preserve"> </w:t>
      </w:r>
      <w:r w:rsidR="006C2A1C" w:rsidRPr="005373EB">
        <w:t>abatement action</w:t>
      </w:r>
      <w:r w:rsidRPr="005373EB">
        <w:t xml:space="preserve"> that otherwise would not have occurred</w:t>
      </w:r>
      <w:r w:rsidR="00A41927" w:rsidRPr="005373EB">
        <w:t xml:space="preserve">. This </w:t>
      </w:r>
      <w:r w:rsidRPr="005373EB">
        <w:t>is not represented in the projections or estimates.</w:t>
      </w:r>
    </w:p>
    <w:p w14:paraId="1D0E09CD" w14:textId="6323A747" w:rsidR="006C2A1C" w:rsidRPr="005373EB" w:rsidRDefault="00A41927" w:rsidP="00FF6AA8">
      <w:pPr>
        <w:pStyle w:val="Bulletmfe"/>
      </w:pPr>
      <w:r w:rsidRPr="005373EB">
        <w:rPr>
          <w:b/>
          <w:bCs/>
        </w:rPr>
        <w:t>Recent events not included</w:t>
      </w:r>
      <w:r w:rsidR="00A0411B" w:rsidRPr="005373EB">
        <w:rPr>
          <w:b/>
          <w:bCs/>
        </w:rPr>
        <w:t>:</w:t>
      </w:r>
      <w:r w:rsidR="00A0411B" w:rsidRPr="005373EB">
        <w:t xml:space="preserve"> An example of this is that the latest </w:t>
      </w:r>
      <w:r w:rsidRPr="005373EB">
        <w:t xml:space="preserve">GHG </w:t>
      </w:r>
      <w:r w:rsidR="00B23FEE" w:rsidRPr="005373EB">
        <w:t xml:space="preserve">emissions </w:t>
      </w:r>
      <w:r w:rsidR="00A0411B" w:rsidRPr="005373EB">
        <w:t xml:space="preserve">projections are nine months old. </w:t>
      </w:r>
      <w:r w:rsidR="007F23CA" w:rsidRPr="005373EB">
        <w:t xml:space="preserve">While we have been living with the COVID-19 pandemic </w:t>
      </w:r>
      <w:r w:rsidR="00500352" w:rsidRPr="005373EB">
        <w:t xml:space="preserve">for two years, the impact of its </w:t>
      </w:r>
      <w:r w:rsidR="007F23CA" w:rsidRPr="005373EB">
        <w:t xml:space="preserve">spread and restrictions </w:t>
      </w:r>
      <w:r w:rsidR="00500352" w:rsidRPr="005373EB">
        <w:t>are only just being captured in our GHG inventory estimates. Other</w:t>
      </w:r>
      <w:r w:rsidR="00A0411B" w:rsidRPr="005373EB" w:rsidDel="007F23CA">
        <w:t xml:space="preserve"> </w:t>
      </w:r>
      <w:r w:rsidRPr="005373EB" w:rsidDel="007F23CA">
        <w:t>e</w:t>
      </w:r>
      <w:r w:rsidRPr="005373EB">
        <w:t>vent</w:t>
      </w:r>
      <w:r w:rsidR="00FB46B0" w:rsidRPr="005373EB">
        <w:t>s</w:t>
      </w:r>
      <w:r w:rsidRPr="005373EB">
        <w:t xml:space="preserve"> that may have significant impacts on emissions </w:t>
      </w:r>
      <w:r w:rsidR="00A0411B" w:rsidRPr="005373EB">
        <w:t xml:space="preserve">have happened since </w:t>
      </w:r>
      <w:r w:rsidR="00500352" w:rsidRPr="005373EB">
        <w:t xml:space="preserve">the </w:t>
      </w:r>
      <w:r w:rsidR="009E23F7" w:rsidRPr="005373EB">
        <w:t>June 2021 Government projections</w:t>
      </w:r>
      <w:r w:rsidR="00322B1B" w:rsidRPr="005373EB">
        <w:t xml:space="preserve"> and</w:t>
      </w:r>
      <w:r w:rsidR="009E23F7" w:rsidRPr="005373EB">
        <w:t xml:space="preserve"> </w:t>
      </w:r>
      <w:r w:rsidR="001B324C" w:rsidRPr="005373EB">
        <w:t xml:space="preserve">include </w:t>
      </w:r>
      <w:r w:rsidR="009D6A68" w:rsidRPr="005373EB">
        <w:t xml:space="preserve">the </w:t>
      </w:r>
      <w:r w:rsidR="001B324C" w:rsidRPr="005373EB">
        <w:t xml:space="preserve">increasing carbon </w:t>
      </w:r>
      <w:r w:rsidR="00DC7D31" w:rsidRPr="005373EB">
        <w:t xml:space="preserve">price and </w:t>
      </w:r>
      <w:r w:rsidR="006776B9" w:rsidRPr="005373EB">
        <w:t xml:space="preserve">recent </w:t>
      </w:r>
      <w:r w:rsidR="00DC7D31" w:rsidRPr="005373EB">
        <w:t>oil price</w:t>
      </w:r>
      <w:r w:rsidRPr="005373EB">
        <w:t xml:space="preserve"> </w:t>
      </w:r>
      <w:r w:rsidR="006776B9" w:rsidRPr="005373EB">
        <w:t>hikes</w:t>
      </w:r>
      <w:r w:rsidR="00DC7D31" w:rsidRPr="005373EB">
        <w:t xml:space="preserve">. </w:t>
      </w:r>
      <w:r w:rsidR="00EB6D7C" w:rsidRPr="005373EB">
        <w:t>T</w:t>
      </w:r>
      <w:r w:rsidR="00DC7D31" w:rsidRPr="005373EB">
        <w:t xml:space="preserve">hese impacts </w:t>
      </w:r>
      <w:r w:rsidR="006776B9" w:rsidRPr="005373EB">
        <w:t xml:space="preserve">have </w:t>
      </w:r>
      <w:r w:rsidR="00EB6D7C" w:rsidRPr="005373EB">
        <w:t xml:space="preserve">not </w:t>
      </w:r>
      <w:r w:rsidR="006776B9" w:rsidRPr="005373EB">
        <w:t xml:space="preserve">been </w:t>
      </w:r>
      <w:r w:rsidR="00DC7D31" w:rsidRPr="005373EB">
        <w:t>included in the modelling.</w:t>
      </w:r>
    </w:p>
    <w:p w14:paraId="54889F2A" w14:textId="78F3EF84" w:rsidR="009D20AF" w:rsidRPr="005373EB" w:rsidRDefault="00030633" w:rsidP="00FF6AA8">
      <w:pPr>
        <w:pStyle w:val="Bulletmfe"/>
      </w:pPr>
      <w:r w:rsidRPr="005373EB">
        <w:rPr>
          <w:b/>
          <w:bCs/>
        </w:rPr>
        <w:t>Limited</w:t>
      </w:r>
      <w:r w:rsidR="00371BCB" w:rsidRPr="005373EB">
        <w:rPr>
          <w:b/>
          <w:bCs/>
        </w:rPr>
        <w:t xml:space="preserve"> data or assumptions:</w:t>
      </w:r>
      <w:r w:rsidR="00371BCB" w:rsidRPr="005373EB">
        <w:t xml:space="preserve"> An example of this is in</w:t>
      </w:r>
      <w:r w:rsidR="00CA5088">
        <w:t xml:space="preserve"> the</w:t>
      </w:r>
      <w:r w:rsidR="00371BCB" w:rsidRPr="005373EB">
        <w:t xml:space="preserve"> waste </w:t>
      </w:r>
      <w:r w:rsidR="00CA5088">
        <w:t xml:space="preserve">sector </w:t>
      </w:r>
      <w:r w:rsidR="00371BCB" w:rsidRPr="005373EB">
        <w:t xml:space="preserve">where we do not have a good </w:t>
      </w:r>
      <w:r w:rsidR="00371BCB" w:rsidRPr="005373EB">
        <w:rPr>
          <w:spacing w:val="-2"/>
        </w:rPr>
        <w:t xml:space="preserve">indicator of the tonnage of waste going into farm fills. </w:t>
      </w:r>
      <w:r w:rsidR="005D6020" w:rsidRPr="005373EB">
        <w:rPr>
          <w:spacing w:val="-2"/>
        </w:rPr>
        <w:t xml:space="preserve">We apply assumptions </w:t>
      </w:r>
      <w:r w:rsidR="00E12BA2" w:rsidRPr="005373EB">
        <w:rPr>
          <w:spacing w:val="-2"/>
        </w:rPr>
        <w:t>to extrapolate</w:t>
      </w:r>
      <w:r w:rsidR="00E12BA2" w:rsidRPr="005373EB">
        <w:t xml:space="preserve"> farm fill waste volumes </w:t>
      </w:r>
      <w:r w:rsidR="00F14A17" w:rsidRPr="005373EB">
        <w:t xml:space="preserve">as an </w:t>
      </w:r>
      <w:r w:rsidR="00E12BA2" w:rsidRPr="005373EB">
        <w:t xml:space="preserve">indicator </w:t>
      </w:r>
      <w:r w:rsidR="00401827" w:rsidRPr="005373EB">
        <w:t>of tonnage</w:t>
      </w:r>
      <w:r w:rsidR="00E12BA2" w:rsidRPr="005373EB">
        <w:t>.</w:t>
      </w:r>
      <w:r w:rsidR="00E12BA2" w:rsidRPr="005373EB" w:rsidDel="00982B83">
        <w:t xml:space="preserve"> </w:t>
      </w:r>
      <w:r w:rsidR="00E12BA2" w:rsidRPr="005373EB">
        <w:t xml:space="preserve">The impact is that </w:t>
      </w:r>
      <w:r w:rsidR="00982B83" w:rsidRPr="005373EB">
        <w:t xml:space="preserve">actual </w:t>
      </w:r>
      <w:r w:rsidR="00BE5730" w:rsidRPr="005373EB">
        <w:t xml:space="preserve">waste tonnage to landfill and the subsequent emissions are likely </w:t>
      </w:r>
      <w:r w:rsidR="00401827" w:rsidRPr="005373EB">
        <w:t xml:space="preserve">to be </w:t>
      </w:r>
      <w:r w:rsidR="00BE5730" w:rsidRPr="005373EB">
        <w:t>significantly different.</w:t>
      </w:r>
    </w:p>
    <w:p w14:paraId="01E34646" w14:textId="7A82E7C3" w:rsidR="009D20AF" w:rsidRPr="005373EB" w:rsidRDefault="008C48FA" w:rsidP="00FF6AA8">
      <w:pPr>
        <w:pStyle w:val="Bulletmfe"/>
      </w:pPr>
      <w:r w:rsidRPr="005373EB">
        <w:rPr>
          <w:b/>
          <w:bCs/>
        </w:rPr>
        <w:t>Model</w:t>
      </w:r>
      <w:r w:rsidR="00A839E0" w:rsidRPr="005373EB">
        <w:rPr>
          <w:b/>
          <w:bCs/>
        </w:rPr>
        <w:t xml:space="preserve"> d</w:t>
      </w:r>
      <w:r w:rsidR="009D20AF" w:rsidRPr="005373EB">
        <w:rPr>
          <w:b/>
          <w:bCs/>
        </w:rPr>
        <w:t>esign</w:t>
      </w:r>
      <w:r w:rsidRPr="005373EB">
        <w:rPr>
          <w:b/>
          <w:bCs/>
        </w:rPr>
        <w:t xml:space="preserve"> </w:t>
      </w:r>
      <w:r w:rsidR="00C1510E" w:rsidRPr="005373EB">
        <w:rPr>
          <w:b/>
          <w:bCs/>
        </w:rPr>
        <w:t xml:space="preserve">is </w:t>
      </w:r>
      <w:r w:rsidR="00030633" w:rsidRPr="005373EB">
        <w:rPr>
          <w:b/>
          <w:bCs/>
        </w:rPr>
        <w:t>a simplification of the</w:t>
      </w:r>
      <w:r w:rsidRPr="005373EB">
        <w:rPr>
          <w:b/>
          <w:bCs/>
        </w:rPr>
        <w:t xml:space="preserve"> real world</w:t>
      </w:r>
      <w:r w:rsidR="009D20AF" w:rsidRPr="005373EB">
        <w:rPr>
          <w:b/>
          <w:bCs/>
        </w:rPr>
        <w:t>:</w:t>
      </w:r>
      <w:r w:rsidR="009D20AF" w:rsidRPr="005373EB">
        <w:t xml:space="preserve"> An example of design uncertainty is from the ETS policy modelling where the model </w:t>
      </w:r>
      <w:r w:rsidR="00AE5DE1" w:rsidRPr="005373EB">
        <w:t>assumes</w:t>
      </w:r>
      <w:r w:rsidR="009D20AF" w:rsidRPr="005373EB">
        <w:t xml:space="preserve"> that an emitter will convert to </w:t>
      </w:r>
      <w:r w:rsidR="009D20AF" w:rsidRPr="005373EB">
        <w:lastRenderedPageBreak/>
        <w:t xml:space="preserve">renewable energy sources once the </w:t>
      </w:r>
      <w:r w:rsidR="00AE5DE1" w:rsidRPr="005373EB">
        <w:t xml:space="preserve">carbon </w:t>
      </w:r>
      <w:r w:rsidR="009D20AF" w:rsidRPr="005373EB">
        <w:t xml:space="preserve">price reaches a </w:t>
      </w:r>
      <w:r w:rsidR="00AE5DE1" w:rsidRPr="005373EB">
        <w:t xml:space="preserve">certain </w:t>
      </w:r>
      <w:r w:rsidR="009D20AF" w:rsidRPr="005373EB">
        <w:t>level. However, the real world is more complicated than this</w:t>
      </w:r>
      <w:r w:rsidR="000A42CD" w:rsidRPr="005373EB">
        <w:t>. An</w:t>
      </w:r>
      <w:r w:rsidR="009D20AF" w:rsidRPr="005373EB">
        <w:t xml:space="preserve"> emitter may choose to convert early or delay conversion for reasons</w:t>
      </w:r>
      <w:r w:rsidR="000F0E2F" w:rsidRPr="005373EB">
        <w:t xml:space="preserve"> that cannot be predicted or used</w:t>
      </w:r>
      <w:r w:rsidR="009D20AF" w:rsidRPr="005373EB" w:rsidDel="000F0E2F">
        <w:t xml:space="preserve"> </w:t>
      </w:r>
      <w:r w:rsidR="000F0E2F" w:rsidRPr="005373EB">
        <w:t>i</w:t>
      </w:r>
      <w:r w:rsidR="009D20AF" w:rsidRPr="005373EB">
        <w:t>n the model</w:t>
      </w:r>
      <w:r w:rsidR="000F0E2F" w:rsidRPr="005373EB">
        <w:t>.</w:t>
      </w:r>
      <w:r w:rsidR="009D20AF" w:rsidRPr="005373EB">
        <w:t xml:space="preserve"> </w:t>
      </w:r>
      <w:r w:rsidR="000F0E2F" w:rsidRPr="005373EB">
        <w:t>T</w:t>
      </w:r>
      <w:r w:rsidR="009D20AF" w:rsidRPr="005373EB">
        <w:t>he</w:t>
      </w:r>
      <w:r w:rsidR="003675F7" w:rsidRPr="005373EB">
        <w:t xml:space="preserve"> emitter </w:t>
      </w:r>
      <w:r w:rsidR="009D20AF" w:rsidRPr="005373EB">
        <w:t xml:space="preserve">may </w:t>
      </w:r>
      <w:r w:rsidR="00062204" w:rsidRPr="005373EB">
        <w:t>find</w:t>
      </w:r>
      <w:r w:rsidR="009D20AF" w:rsidRPr="005373EB">
        <w:t xml:space="preserve"> a different </w:t>
      </w:r>
      <w:r w:rsidR="009818B6" w:rsidRPr="005373EB">
        <w:t>solution</w:t>
      </w:r>
      <w:r w:rsidR="00376623" w:rsidRPr="005373EB">
        <w:t xml:space="preserve"> </w:t>
      </w:r>
      <w:r w:rsidR="009D20AF" w:rsidRPr="005373EB">
        <w:t xml:space="preserve">not defined in the model that </w:t>
      </w:r>
      <w:r w:rsidR="00802E4D" w:rsidRPr="005373EB">
        <w:t xml:space="preserve">affects </w:t>
      </w:r>
      <w:r w:rsidR="009D20AF" w:rsidRPr="005373EB">
        <w:t>their emissions.</w:t>
      </w:r>
      <w:r w:rsidRPr="005373EB" w:rsidDel="00BE106F">
        <w:t xml:space="preserve"> </w:t>
      </w:r>
      <w:r w:rsidRPr="005373EB">
        <w:t>Often</w:t>
      </w:r>
      <w:r w:rsidR="00802E4D" w:rsidRPr="005373EB">
        <w:t>,</w:t>
      </w:r>
      <w:r w:rsidRPr="005373EB">
        <w:t xml:space="preserve"> adjustments are made within the models to attempt to moderate the impact of this type of limitation.</w:t>
      </w:r>
    </w:p>
    <w:p w14:paraId="0E182CE8" w14:textId="69CDB096" w:rsidR="008D2764" w:rsidRPr="005373EB" w:rsidRDefault="008D2764" w:rsidP="006A2436">
      <w:pPr>
        <w:pStyle w:val="Heading2"/>
        <w:spacing w:before="320"/>
      </w:pPr>
      <w:bookmarkStart w:id="23" w:name="_Toc103773258"/>
      <w:r w:rsidRPr="005373EB">
        <w:t>Uncertainty</w:t>
      </w:r>
      <w:bookmarkEnd w:id="23"/>
    </w:p>
    <w:p w14:paraId="59903740" w14:textId="3FE90FFF" w:rsidR="000C09C8" w:rsidRPr="005373EB" w:rsidRDefault="00020423" w:rsidP="006A2436">
      <w:pPr>
        <w:pStyle w:val="BodyText"/>
        <w:spacing w:before="100" w:after="100"/>
      </w:pPr>
      <w:r w:rsidRPr="005373EB">
        <w:t xml:space="preserve">All emissions estimates and projections </w:t>
      </w:r>
      <w:r w:rsidR="00BE034C" w:rsidRPr="005373EB">
        <w:t xml:space="preserve">are subject to varying degrees of uncertainty. Low levels of uncertainty suggest we can be confident </w:t>
      </w:r>
      <w:r w:rsidRPr="005373EB">
        <w:t>in our</w:t>
      </w:r>
      <w:r w:rsidR="00BE034C" w:rsidRPr="005373EB">
        <w:t xml:space="preserve"> emission</w:t>
      </w:r>
      <w:r w:rsidRPr="005373EB">
        <w:t>s</w:t>
      </w:r>
      <w:r w:rsidR="00BE034C" w:rsidRPr="005373EB">
        <w:t xml:space="preserve"> estimates, high</w:t>
      </w:r>
      <w:r w:rsidR="00614F10" w:rsidRPr="005373EB">
        <w:t xml:space="preserve"> levels of</w:t>
      </w:r>
      <w:r w:rsidR="00BE034C" w:rsidRPr="005373EB">
        <w:t xml:space="preserve"> uncertainty suggest </w:t>
      </w:r>
      <w:r w:rsidRPr="005373EB">
        <w:t xml:space="preserve">we should be less confident in our </w:t>
      </w:r>
      <w:r w:rsidR="00BE034C" w:rsidRPr="005373EB">
        <w:t>emissions</w:t>
      </w:r>
      <w:r w:rsidR="00614F10" w:rsidRPr="005373EB">
        <w:t xml:space="preserve"> estimates</w:t>
      </w:r>
      <w:r w:rsidR="008D7528" w:rsidRPr="005373EB">
        <w:t>.</w:t>
      </w:r>
      <w:r w:rsidR="00BE034C" w:rsidRPr="005373EB">
        <w:t xml:space="preserve"> </w:t>
      </w:r>
      <w:r w:rsidR="008D7528" w:rsidRPr="005373EB">
        <w:t xml:space="preserve">If our projections or estimates of policy impacts </w:t>
      </w:r>
      <w:r w:rsidR="0040182F" w:rsidRPr="005373EB">
        <w:t>change</w:t>
      </w:r>
      <w:r w:rsidR="00AF0A82" w:rsidRPr="005373EB">
        <w:t xml:space="preserve"> significantly</w:t>
      </w:r>
      <w:r w:rsidR="0040182F" w:rsidRPr="005373EB">
        <w:t xml:space="preserve"> </w:t>
      </w:r>
      <w:r w:rsidR="008D7528" w:rsidRPr="005373EB">
        <w:t>then</w:t>
      </w:r>
      <w:r w:rsidR="00CD2D2D" w:rsidRPr="005373EB">
        <w:t xml:space="preserve"> </w:t>
      </w:r>
      <w:r w:rsidR="00614F10" w:rsidRPr="005373EB">
        <w:t xml:space="preserve">this has implications for </w:t>
      </w:r>
      <w:r w:rsidR="00AD1710" w:rsidRPr="005373EB">
        <w:t xml:space="preserve">our understanding of whether our quantified policy actions and measures put us on a trajectory that will achieve our </w:t>
      </w:r>
      <w:r w:rsidR="00614F10" w:rsidRPr="005373EB">
        <w:t>emissions budgets</w:t>
      </w:r>
      <w:r w:rsidR="00CC4731" w:rsidRPr="005373EB">
        <w:t>.</w:t>
      </w:r>
    </w:p>
    <w:p w14:paraId="446C8A8A" w14:textId="5DD51C73" w:rsidR="00766501" w:rsidRPr="005373EB" w:rsidRDefault="00DB175C" w:rsidP="006A2436">
      <w:pPr>
        <w:pStyle w:val="BodyText"/>
        <w:spacing w:before="100" w:after="100"/>
        <w:rPr>
          <w:b/>
          <w:sz w:val="20"/>
        </w:rPr>
      </w:pPr>
      <w:r w:rsidRPr="005373EB">
        <w:t xml:space="preserve">An example of the potential impact uncertainties can have on our </w:t>
      </w:r>
      <w:r w:rsidR="00AF0A82" w:rsidRPr="005373EB">
        <w:t>GHG</w:t>
      </w:r>
      <w:r w:rsidRPr="005373EB">
        <w:t xml:space="preserve"> projections is </w:t>
      </w:r>
      <w:r w:rsidR="008A5AE2" w:rsidRPr="005373EB">
        <w:t xml:space="preserve">given </w:t>
      </w:r>
      <w:r w:rsidRPr="005373EB">
        <w:t xml:space="preserve">in </w:t>
      </w:r>
      <w:r w:rsidRPr="00D7247D">
        <w:t xml:space="preserve">table </w:t>
      </w:r>
      <w:r w:rsidR="008A5AE2" w:rsidRPr="00D7247D">
        <w:t>4</w:t>
      </w:r>
      <w:r w:rsidRPr="005373EB">
        <w:t xml:space="preserve">. This table compares the magnitude of the revision to the </w:t>
      </w:r>
      <w:r w:rsidR="00F36289" w:rsidRPr="005373EB">
        <w:t xml:space="preserve">June 2021 </w:t>
      </w:r>
      <w:r w:rsidRPr="005373EB">
        <w:t>Government GHG projections published in March 2022 from the projections published in</w:t>
      </w:r>
      <w:r w:rsidR="00E03E30" w:rsidRPr="005373EB">
        <w:t> </w:t>
      </w:r>
      <w:r w:rsidRPr="005373EB">
        <w:t xml:space="preserve">January 2021 </w:t>
      </w:r>
      <w:r w:rsidR="00CF64D2" w:rsidRPr="005373EB">
        <w:t xml:space="preserve">to </w:t>
      </w:r>
      <w:r w:rsidRPr="005373EB">
        <w:t xml:space="preserve">the abatement required from additional policies and measures to achieve the first three emissions budgets. For </w:t>
      </w:r>
      <w:r w:rsidR="00922DE4" w:rsidRPr="005373EB">
        <w:t>the first emissions budget</w:t>
      </w:r>
      <w:r w:rsidR="00B67E61" w:rsidRPr="005373EB">
        <w:t>,</w:t>
      </w:r>
      <w:r w:rsidRPr="005373EB">
        <w:t xml:space="preserve"> the projections have been revised upward by an amount that is significantly greater than the level of emissions reductions </w:t>
      </w:r>
      <w:r w:rsidR="00871D09" w:rsidRPr="005373EB">
        <w:t>estimated to be</w:t>
      </w:r>
      <w:r w:rsidRPr="005373EB">
        <w:t xml:space="preserve"> required to meet the first emissions budget (15.5</w:t>
      </w:r>
      <w:r w:rsidR="00E03E30" w:rsidRPr="005373EB">
        <w:t> </w:t>
      </w:r>
      <w:r w:rsidRPr="005373EB">
        <w:t xml:space="preserve">Mt compared </w:t>
      </w:r>
      <w:r w:rsidR="007331C2" w:rsidRPr="005373EB">
        <w:t>with</w:t>
      </w:r>
      <w:r w:rsidR="00E03E30" w:rsidRPr="005373EB">
        <w:t> </w:t>
      </w:r>
      <w:r w:rsidR="00195251" w:rsidRPr="005373EB">
        <w:t>11</w:t>
      </w:r>
      <w:r w:rsidRPr="005373EB">
        <w:t>.5</w:t>
      </w:r>
      <w:r w:rsidR="00E03E30" w:rsidRPr="005373EB">
        <w:t> </w:t>
      </w:r>
      <w:r w:rsidRPr="005373EB">
        <w:t xml:space="preserve">Mt). </w:t>
      </w:r>
      <w:r w:rsidR="00405B8A" w:rsidRPr="005373EB">
        <w:t>T</w:t>
      </w:r>
      <w:r w:rsidRPr="005373EB">
        <w:t>able</w:t>
      </w:r>
      <w:r w:rsidR="00405B8A" w:rsidRPr="005373EB">
        <w:t xml:space="preserve"> 4 shows </w:t>
      </w:r>
      <w:r w:rsidRPr="005373EB">
        <w:t xml:space="preserve">the degree to which uncertainty can influence our quantified estimates and have material implications for the level of abatement required to meet our emissions budgets. </w:t>
      </w:r>
    </w:p>
    <w:p w14:paraId="4E14F338" w14:textId="7D2F7D71" w:rsidR="007C289E" w:rsidRPr="005373EB" w:rsidRDefault="007C289E" w:rsidP="00E03E30">
      <w:pPr>
        <w:pStyle w:val="Tableheading"/>
      </w:pPr>
      <w:bookmarkStart w:id="24" w:name="table4"/>
      <w:bookmarkStart w:id="25" w:name="_Toc103773274"/>
      <w:r w:rsidRPr="005373EB">
        <w:t>Table 4</w:t>
      </w:r>
      <w:bookmarkEnd w:id="24"/>
      <w:r w:rsidRPr="005373EB">
        <w:t xml:space="preserve">: </w:t>
      </w:r>
      <w:r w:rsidR="00E03E30" w:rsidRPr="005373EB">
        <w:tab/>
      </w:r>
      <w:r w:rsidR="004D7CC4" w:rsidRPr="005373EB">
        <w:t xml:space="preserve">How uncertainty </w:t>
      </w:r>
      <w:r w:rsidR="00B72684" w:rsidRPr="005373EB">
        <w:t xml:space="preserve">influences </w:t>
      </w:r>
      <w:r w:rsidR="00CD14F2" w:rsidRPr="005373EB">
        <w:t xml:space="preserve">the </w:t>
      </w:r>
      <w:r w:rsidR="00B72684" w:rsidRPr="005373EB">
        <w:t>level of abatement required to meet emissions</w:t>
      </w:r>
      <w:r w:rsidR="009E0F28">
        <w:t> </w:t>
      </w:r>
      <w:r w:rsidR="00B72684" w:rsidRPr="005373EB">
        <w:t>budgets</w:t>
      </w:r>
      <w:bookmarkEnd w:id="25"/>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2977"/>
        <w:gridCol w:w="1843"/>
        <w:gridCol w:w="1843"/>
        <w:gridCol w:w="1842"/>
      </w:tblGrid>
      <w:tr w:rsidR="00E03E30" w:rsidRPr="005373EB" w14:paraId="15049D57" w14:textId="77777777" w:rsidTr="00385542">
        <w:tc>
          <w:tcPr>
            <w:tcW w:w="2977" w:type="dxa"/>
            <w:shd w:val="clear" w:color="auto" w:fill="1B556B" w:themeFill="text2"/>
            <w:vAlign w:val="bottom"/>
          </w:tcPr>
          <w:p w14:paraId="1B40F89B" w14:textId="2294FA41" w:rsidR="0002205F" w:rsidRPr="005373EB" w:rsidRDefault="00F61ADF" w:rsidP="00E03E30">
            <w:pPr>
              <w:pStyle w:val="TableTextbold"/>
              <w:rPr>
                <w:color w:val="FFFFFF" w:themeColor="background1"/>
              </w:rPr>
            </w:pPr>
            <w:r w:rsidRPr="005373EB">
              <w:rPr>
                <w:color w:val="FFFFFF" w:themeColor="background1"/>
              </w:rPr>
              <w:t>AR</w:t>
            </w:r>
            <w:r w:rsidR="00717902" w:rsidRPr="005373EB">
              <w:rPr>
                <w:color w:val="FFFFFF" w:themeColor="background1"/>
              </w:rPr>
              <w:t>5</w:t>
            </w:r>
            <w:r w:rsidRPr="005373EB">
              <w:rPr>
                <w:color w:val="FFFFFF" w:themeColor="background1"/>
              </w:rPr>
              <w:t xml:space="preserve"> M</w:t>
            </w:r>
            <w:r w:rsidR="00CD14F2" w:rsidRPr="005373EB">
              <w:rPr>
                <w:color w:val="FFFFFF" w:themeColor="background1"/>
              </w:rPr>
              <w:t>t</w:t>
            </w:r>
            <w:r w:rsidRPr="005373EB">
              <w:rPr>
                <w:color w:val="FFFFFF" w:themeColor="background1"/>
              </w:rPr>
              <w:t xml:space="preserve"> CO</w:t>
            </w:r>
            <w:r w:rsidRPr="005373EB">
              <w:rPr>
                <w:color w:val="FFFFFF" w:themeColor="background1"/>
                <w:vertAlign w:val="subscript"/>
              </w:rPr>
              <w:t>2</w:t>
            </w:r>
            <w:r w:rsidRPr="005373EB">
              <w:rPr>
                <w:color w:val="FFFFFF" w:themeColor="background1"/>
              </w:rPr>
              <w:t>-e</w:t>
            </w:r>
          </w:p>
        </w:tc>
        <w:tc>
          <w:tcPr>
            <w:tcW w:w="1843" w:type="dxa"/>
            <w:shd w:val="clear" w:color="auto" w:fill="1B556B" w:themeFill="text2"/>
            <w:vAlign w:val="bottom"/>
          </w:tcPr>
          <w:p w14:paraId="268E1658" w14:textId="0B046215" w:rsidR="0002205F" w:rsidRPr="005373EB" w:rsidRDefault="00717902" w:rsidP="00C50509">
            <w:pPr>
              <w:pStyle w:val="TableTextbold"/>
              <w:jc w:val="center"/>
              <w:rPr>
                <w:color w:val="FFFFFF" w:themeColor="background1"/>
              </w:rPr>
            </w:pPr>
            <w:r w:rsidRPr="005373EB">
              <w:rPr>
                <w:color w:val="FFFFFF" w:themeColor="background1"/>
              </w:rPr>
              <w:t xml:space="preserve">Emissions </w:t>
            </w:r>
            <w:r w:rsidR="00CD14F2" w:rsidRPr="005373EB">
              <w:rPr>
                <w:color w:val="FFFFFF" w:themeColor="background1"/>
              </w:rPr>
              <w:t>b</w:t>
            </w:r>
            <w:r w:rsidRPr="005373EB">
              <w:rPr>
                <w:color w:val="FFFFFF" w:themeColor="background1"/>
              </w:rPr>
              <w:t>udget</w:t>
            </w:r>
            <w:r w:rsidR="00CD14F2" w:rsidRPr="005373EB">
              <w:rPr>
                <w:color w:val="FFFFFF" w:themeColor="background1"/>
              </w:rPr>
              <w:t xml:space="preserve"> 1</w:t>
            </w:r>
          </w:p>
        </w:tc>
        <w:tc>
          <w:tcPr>
            <w:tcW w:w="1843" w:type="dxa"/>
            <w:shd w:val="clear" w:color="auto" w:fill="1B556B" w:themeFill="text2"/>
            <w:vAlign w:val="bottom"/>
          </w:tcPr>
          <w:p w14:paraId="33FC051D" w14:textId="064DC05D" w:rsidR="0002205F" w:rsidRPr="005373EB" w:rsidRDefault="0002205F" w:rsidP="00C50509">
            <w:pPr>
              <w:pStyle w:val="TableTextbold"/>
              <w:jc w:val="center"/>
              <w:rPr>
                <w:color w:val="FFFFFF" w:themeColor="background1"/>
              </w:rPr>
            </w:pPr>
            <w:r w:rsidRPr="005373EB">
              <w:rPr>
                <w:color w:val="FFFFFF" w:themeColor="background1"/>
              </w:rPr>
              <w:t xml:space="preserve">Emissions </w:t>
            </w:r>
            <w:r w:rsidR="00CD14F2" w:rsidRPr="005373EB">
              <w:rPr>
                <w:color w:val="FFFFFF" w:themeColor="background1"/>
              </w:rPr>
              <w:t>b</w:t>
            </w:r>
            <w:r w:rsidRPr="005373EB">
              <w:rPr>
                <w:color w:val="FFFFFF" w:themeColor="background1"/>
              </w:rPr>
              <w:t>udget</w:t>
            </w:r>
            <w:r w:rsidR="00CD14F2" w:rsidRPr="005373EB">
              <w:rPr>
                <w:color w:val="FFFFFF" w:themeColor="background1"/>
              </w:rPr>
              <w:t xml:space="preserve"> 2</w:t>
            </w:r>
          </w:p>
        </w:tc>
        <w:tc>
          <w:tcPr>
            <w:tcW w:w="1842" w:type="dxa"/>
            <w:shd w:val="clear" w:color="auto" w:fill="1B556B" w:themeFill="text2"/>
            <w:vAlign w:val="bottom"/>
          </w:tcPr>
          <w:p w14:paraId="665CE686" w14:textId="5E28E564" w:rsidR="0002205F" w:rsidRPr="005373EB" w:rsidRDefault="0002205F" w:rsidP="00C50509">
            <w:pPr>
              <w:pStyle w:val="TableTextbold"/>
              <w:jc w:val="center"/>
              <w:rPr>
                <w:color w:val="FFFFFF" w:themeColor="background1"/>
              </w:rPr>
            </w:pPr>
            <w:r w:rsidRPr="005373EB">
              <w:rPr>
                <w:color w:val="FFFFFF" w:themeColor="background1"/>
              </w:rPr>
              <w:t xml:space="preserve">Emissions </w:t>
            </w:r>
            <w:r w:rsidR="00CD14F2" w:rsidRPr="005373EB">
              <w:rPr>
                <w:color w:val="FFFFFF" w:themeColor="background1"/>
              </w:rPr>
              <w:t>b</w:t>
            </w:r>
            <w:r w:rsidRPr="005373EB">
              <w:rPr>
                <w:color w:val="FFFFFF" w:themeColor="background1"/>
              </w:rPr>
              <w:t>udget</w:t>
            </w:r>
            <w:r w:rsidR="00CD14F2" w:rsidRPr="005373EB">
              <w:rPr>
                <w:color w:val="FFFFFF" w:themeColor="background1"/>
              </w:rPr>
              <w:t xml:space="preserve"> 3</w:t>
            </w:r>
          </w:p>
        </w:tc>
      </w:tr>
      <w:tr w:rsidR="0002205F" w:rsidRPr="005373EB" w14:paraId="5297CB0B" w14:textId="77777777" w:rsidTr="00385542">
        <w:tc>
          <w:tcPr>
            <w:tcW w:w="2977" w:type="dxa"/>
          </w:tcPr>
          <w:p w14:paraId="6D14D357" w14:textId="2CEFC7B1" w:rsidR="0002205F" w:rsidRPr="005373EB" w:rsidRDefault="0002205F" w:rsidP="00880521">
            <w:pPr>
              <w:pStyle w:val="TableText"/>
            </w:pPr>
            <w:r w:rsidRPr="005373EB">
              <w:t>Revision to projections between January 2021 and March 2022</w:t>
            </w:r>
            <w:r w:rsidR="005B08F2" w:rsidRPr="005373EB">
              <w:rPr>
                <w:vertAlign w:val="superscript"/>
              </w:rPr>
              <w:footnoteReference w:id="9"/>
            </w:r>
          </w:p>
        </w:tc>
        <w:tc>
          <w:tcPr>
            <w:tcW w:w="1843" w:type="dxa"/>
            <w:vAlign w:val="center"/>
          </w:tcPr>
          <w:p w14:paraId="52FCAE69" w14:textId="70CBF530" w:rsidR="0002205F" w:rsidRPr="005373EB" w:rsidRDefault="0002205F" w:rsidP="00C50509">
            <w:pPr>
              <w:pStyle w:val="TableText"/>
              <w:jc w:val="center"/>
            </w:pPr>
            <w:r w:rsidRPr="005373EB">
              <w:t>15.5</w:t>
            </w:r>
          </w:p>
        </w:tc>
        <w:tc>
          <w:tcPr>
            <w:tcW w:w="1843" w:type="dxa"/>
            <w:vAlign w:val="center"/>
          </w:tcPr>
          <w:p w14:paraId="42BBCB16" w14:textId="76BA61D7" w:rsidR="0002205F" w:rsidRPr="005373EB" w:rsidRDefault="0002205F" w:rsidP="00C50509">
            <w:pPr>
              <w:pStyle w:val="TableText"/>
              <w:jc w:val="center"/>
            </w:pPr>
            <w:r w:rsidRPr="005373EB">
              <w:t>9.4</w:t>
            </w:r>
          </w:p>
        </w:tc>
        <w:tc>
          <w:tcPr>
            <w:tcW w:w="1842" w:type="dxa"/>
            <w:vAlign w:val="center"/>
          </w:tcPr>
          <w:p w14:paraId="396AD5C5" w14:textId="622AED73" w:rsidR="0002205F" w:rsidRPr="005373EB" w:rsidRDefault="0002205F" w:rsidP="00C50509">
            <w:pPr>
              <w:pStyle w:val="TableText"/>
              <w:jc w:val="center"/>
            </w:pPr>
            <w:r w:rsidRPr="005373EB">
              <w:t>11.7</w:t>
            </w:r>
          </w:p>
        </w:tc>
      </w:tr>
      <w:tr w:rsidR="0002205F" w:rsidRPr="005373EB" w14:paraId="1C9451BF" w14:textId="77777777" w:rsidTr="00385542">
        <w:tc>
          <w:tcPr>
            <w:tcW w:w="2977" w:type="dxa"/>
          </w:tcPr>
          <w:p w14:paraId="24555517" w14:textId="08013921" w:rsidR="0002205F" w:rsidRPr="005373EB" w:rsidRDefault="0002205F" w:rsidP="00880521">
            <w:pPr>
              <w:pStyle w:val="TableText"/>
            </w:pPr>
            <w:r w:rsidRPr="005373EB">
              <w:t>Required emissions reductions to meet emissions budgets</w:t>
            </w:r>
            <w:r w:rsidR="002D78E7" w:rsidRPr="005373EB">
              <w:rPr>
                <w:vertAlign w:val="superscript"/>
              </w:rPr>
              <w:footnoteReference w:id="10"/>
            </w:r>
          </w:p>
        </w:tc>
        <w:tc>
          <w:tcPr>
            <w:tcW w:w="1843" w:type="dxa"/>
            <w:vAlign w:val="center"/>
          </w:tcPr>
          <w:p w14:paraId="78AE2300" w14:textId="250FACBF" w:rsidR="0002205F" w:rsidRPr="005373EB" w:rsidRDefault="00195251" w:rsidP="00C50509">
            <w:pPr>
              <w:pStyle w:val="TableText"/>
              <w:jc w:val="center"/>
            </w:pPr>
            <w:r w:rsidRPr="005373EB">
              <w:t>11</w:t>
            </w:r>
            <w:r w:rsidR="0002205F" w:rsidRPr="005373EB">
              <w:t>.5</w:t>
            </w:r>
          </w:p>
        </w:tc>
        <w:tc>
          <w:tcPr>
            <w:tcW w:w="1843" w:type="dxa"/>
            <w:vAlign w:val="center"/>
          </w:tcPr>
          <w:p w14:paraId="4B81BA6D" w14:textId="6562D00F" w:rsidR="0002205F" w:rsidRPr="005373EB" w:rsidRDefault="0002205F" w:rsidP="00C50509">
            <w:pPr>
              <w:pStyle w:val="TableText"/>
              <w:jc w:val="center"/>
            </w:pPr>
            <w:r w:rsidRPr="005373EB">
              <w:t>4</w:t>
            </w:r>
            <w:r w:rsidR="005C71EF" w:rsidRPr="005373EB">
              <w:t>3</w:t>
            </w:r>
            <w:r w:rsidRPr="005373EB">
              <w:t>.5</w:t>
            </w:r>
          </w:p>
        </w:tc>
        <w:tc>
          <w:tcPr>
            <w:tcW w:w="1842" w:type="dxa"/>
            <w:vAlign w:val="center"/>
          </w:tcPr>
          <w:p w14:paraId="4AD9B227" w14:textId="1AD4C3E4" w:rsidR="0002205F" w:rsidRPr="005373EB" w:rsidRDefault="0002205F" w:rsidP="00C50509">
            <w:pPr>
              <w:pStyle w:val="TableText"/>
              <w:jc w:val="center"/>
            </w:pPr>
            <w:r w:rsidRPr="005373EB">
              <w:t>7</w:t>
            </w:r>
            <w:r w:rsidR="005C71EF" w:rsidRPr="005373EB">
              <w:t>3.7</w:t>
            </w:r>
          </w:p>
        </w:tc>
      </w:tr>
    </w:tbl>
    <w:p w14:paraId="62CAE54E" w14:textId="2DDB597E" w:rsidR="00280EC8" w:rsidRPr="005373EB" w:rsidRDefault="00837ED6" w:rsidP="00385542">
      <w:pPr>
        <w:pStyle w:val="BodyText"/>
      </w:pPr>
      <w:r w:rsidRPr="005373EB">
        <w:t>U</w:t>
      </w:r>
      <w:r w:rsidR="00280EC8" w:rsidRPr="005373EB">
        <w:t>ncertainty impacts our estimates</w:t>
      </w:r>
      <w:r w:rsidRPr="005373EB">
        <w:t xml:space="preserve"> in many ways</w:t>
      </w:r>
      <w:r w:rsidR="00C53517" w:rsidRPr="005373EB">
        <w:t>.</w:t>
      </w:r>
      <w:r w:rsidR="00343C5B" w:rsidRPr="005373EB">
        <w:t xml:space="preserve"> </w:t>
      </w:r>
      <w:r w:rsidR="00C53517" w:rsidRPr="005373EB">
        <w:t>S</w:t>
      </w:r>
      <w:r w:rsidR="00343C5B" w:rsidRPr="005373EB">
        <w:t xml:space="preserve">ome uncertainties relate </w:t>
      </w:r>
      <w:r w:rsidR="005B08F2" w:rsidRPr="005373EB">
        <w:t xml:space="preserve">to </w:t>
      </w:r>
      <w:r w:rsidR="0044785C" w:rsidRPr="005373EB">
        <w:rPr>
          <w:spacing w:val="-2"/>
        </w:rPr>
        <w:t>the</w:t>
      </w:r>
      <w:r w:rsidR="00343C5B" w:rsidRPr="005373EB">
        <w:rPr>
          <w:spacing w:val="-2"/>
        </w:rPr>
        <w:t xml:space="preserve"> historical estimates, </w:t>
      </w:r>
      <w:r w:rsidR="00384CF1" w:rsidRPr="005373EB">
        <w:rPr>
          <w:spacing w:val="-2"/>
        </w:rPr>
        <w:t xml:space="preserve">the emissions models, policy implementation, and </w:t>
      </w:r>
      <w:r w:rsidR="008200B1" w:rsidRPr="005373EB">
        <w:rPr>
          <w:spacing w:val="-2"/>
        </w:rPr>
        <w:t xml:space="preserve">others </w:t>
      </w:r>
      <w:r w:rsidR="0044785C" w:rsidRPr="005373EB">
        <w:rPr>
          <w:spacing w:val="-2"/>
        </w:rPr>
        <w:t>are</w:t>
      </w:r>
      <w:r w:rsidR="00384CF1" w:rsidRPr="005373EB">
        <w:rPr>
          <w:spacing w:val="-2"/>
        </w:rPr>
        <w:t xml:space="preserve"> unforeseen</w:t>
      </w:r>
      <w:r w:rsidR="004A395D" w:rsidRPr="005373EB">
        <w:t xml:space="preserve"> events</w:t>
      </w:r>
      <w:r w:rsidR="00384CF1" w:rsidRPr="005373EB">
        <w:t>.</w:t>
      </w:r>
      <w:r w:rsidR="00343C5B" w:rsidRPr="005373EB" w:rsidDel="004A395D">
        <w:t xml:space="preserve"> </w:t>
      </w:r>
      <w:r w:rsidR="0044785C" w:rsidRPr="005373EB">
        <w:t>Further descriptions of different types of uncertainties are summarised below</w:t>
      </w:r>
      <w:r w:rsidR="00C81B52" w:rsidRPr="005373EB">
        <w:t>.</w:t>
      </w:r>
    </w:p>
    <w:p w14:paraId="36D604EE" w14:textId="2AC7E95C" w:rsidR="00CF0C7E" w:rsidRPr="005373EB" w:rsidRDefault="008F76BE" w:rsidP="007D418B">
      <w:pPr>
        <w:pStyle w:val="Heading3"/>
      </w:pPr>
      <w:r w:rsidRPr="005373EB">
        <w:t>Measurement</w:t>
      </w:r>
      <w:r w:rsidR="00AC21C2" w:rsidRPr="005373EB">
        <w:t xml:space="preserve"> </w:t>
      </w:r>
      <w:r w:rsidR="00294F99" w:rsidRPr="005373EB">
        <w:t xml:space="preserve">and reporting </w:t>
      </w:r>
      <w:r w:rsidR="00AC21C2" w:rsidRPr="005373EB">
        <w:t>uncertainties</w:t>
      </w:r>
    </w:p>
    <w:p w14:paraId="323B5134" w14:textId="6AF1178E" w:rsidR="00294F99" w:rsidRPr="005373EB" w:rsidRDefault="00A15A7F" w:rsidP="002867AF">
      <w:pPr>
        <w:pStyle w:val="BodyText"/>
      </w:pPr>
      <w:r w:rsidRPr="005373EB">
        <w:t>A</w:t>
      </w:r>
      <w:r w:rsidR="00294F99" w:rsidRPr="005373EB">
        <w:t xml:space="preserve"> risk </w:t>
      </w:r>
      <w:r w:rsidRPr="005373EB">
        <w:t xml:space="preserve">is </w:t>
      </w:r>
      <w:r w:rsidR="00294F99" w:rsidRPr="005373EB">
        <w:t xml:space="preserve">that the achievement of emissions budgets could be affected by improvements to emissions reporting during the budget period. </w:t>
      </w:r>
    </w:p>
    <w:p w14:paraId="28A7188D" w14:textId="56A63B41" w:rsidR="00294F99" w:rsidRPr="005373EB" w:rsidRDefault="00294F99" w:rsidP="002867AF">
      <w:pPr>
        <w:pStyle w:val="BodyText"/>
      </w:pPr>
      <w:r w:rsidRPr="005373EB">
        <w:t>The GHG Inventory represents our best estimate of actual historical emissions. The methods and emission</w:t>
      </w:r>
      <w:r w:rsidR="00A15A7F" w:rsidRPr="005373EB">
        <w:t>s</w:t>
      </w:r>
      <w:r w:rsidRPr="005373EB">
        <w:t xml:space="preserve"> factors in the GHG Inventory have been used to help set the emissions budgets</w:t>
      </w:r>
      <w:r w:rsidR="00A15A7F" w:rsidRPr="005373EB">
        <w:t>,</w:t>
      </w:r>
      <w:r w:rsidRPr="005373EB">
        <w:t xml:space="preserve"> and future inventory reports will also be used to evaluate whether emissions budgets have been met</w:t>
      </w:r>
      <w:r w:rsidR="00502CF3">
        <w:t>.</w:t>
      </w:r>
      <w:r w:rsidRPr="005373EB">
        <w:t xml:space="preserve"> </w:t>
      </w:r>
      <w:r w:rsidR="00502CF3">
        <w:t>H</w:t>
      </w:r>
      <w:r w:rsidRPr="005373EB">
        <w:t xml:space="preserve">owever, an entire emissions time series can change from year to year as </w:t>
      </w:r>
      <w:r w:rsidRPr="005373EB">
        <w:lastRenderedPageBreak/>
        <w:t>improvements to the accuracy of the GHG Inventory are implemented. These changes have implications for both our GHG projections and policy impact modelling. It is possible changes to the GHG Inventory may end up being one of the main reasons why an emissions budget is achieved or not achieved, rather than due to specific emission</w:t>
      </w:r>
      <w:r w:rsidR="00AA3B32" w:rsidRPr="005373EB">
        <w:t>s</w:t>
      </w:r>
      <w:r w:rsidRPr="005373EB">
        <w:t xml:space="preserve"> reduction actions.</w:t>
      </w:r>
      <w:r w:rsidR="0021390C" w:rsidRPr="005373EB">
        <w:t xml:space="preserve"> If </w:t>
      </w:r>
      <w:r w:rsidR="00DB72DE" w:rsidRPr="005373EB">
        <w:t xml:space="preserve">Inventory changes were to significantly </w:t>
      </w:r>
      <w:r w:rsidR="00CD2933" w:rsidRPr="005373EB">
        <w:t xml:space="preserve">affect </w:t>
      </w:r>
      <w:r w:rsidR="00DB72DE" w:rsidRPr="005373EB">
        <w:t>the achievement of emissions budget</w:t>
      </w:r>
      <w:r w:rsidR="006D5006" w:rsidRPr="005373EB">
        <w:t>s</w:t>
      </w:r>
      <w:r w:rsidR="00DB72DE" w:rsidRPr="005373EB">
        <w:t xml:space="preserve"> then </w:t>
      </w:r>
      <w:r w:rsidR="009B4F60" w:rsidRPr="005373EB">
        <w:t xml:space="preserve">the </w:t>
      </w:r>
      <w:r w:rsidR="00DB72DE" w:rsidRPr="005373EB">
        <w:t xml:space="preserve">Commission </w:t>
      </w:r>
      <w:r w:rsidR="00E17DD3" w:rsidRPr="005373EB">
        <w:t>noted</w:t>
      </w:r>
      <w:r w:rsidR="00DB72DE" w:rsidRPr="005373EB">
        <w:t xml:space="preserve"> in </w:t>
      </w:r>
      <w:r w:rsidR="006D5006" w:rsidRPr="005373EB">
        <w:t xml:space="preserve">its </w:t>
      </w:r>
      <w:r w:rsidR="00DB72DE" w:rsidRPr="005373EB">
        <w:t xml:space="preserve">final </w:t>
      </w:r>
      <w:r w:rsidR="009B4F60" w:rsidRPr="005373EB">
        <w:t>report that ‘</w:t>
      </w:r>
      <w:r w:rsidR="00FC50FB" w:rsidRPr="005373EB">
        <w:t>t</w:t>
      </w:r>
      <w:r w:rsidR="009B4F60" w:rsidRPr="005373EB">
        <w:t>his could then be factored into the Commission’s advice and commentary on the adequacy of the emissions reduction plan’.</w:t>
      </w:r>
      <w:r w:rsidR="0040547A" w:rsidRPr="005373EB">
        <w:rPr>
          <w:vertAlign w:val="superscript"/>
        </w:rPr>
        <w:footnoteReference w:id="11"/>
      </w:r>
    </w:p>
    <w:p w14:paraId="2D6598D7" w14:textId="578A47AE" w:rsidR="00294F99" w:rsidRPr="005373EB" w:rsidRDefault="00294F99" w:rsidP="002867AF">
      <w:pPr>
        <w:pStyle w:val="BodyText"/>
      </w:pPr>
      <w:r w:rsidRPr="005373EB">
        <w:t xml:space="preserve">An example of this </w:t>
      </w:r>
      <w:r w:rsidR="00FC50FB" w:rsidRPr="005373EB">
        <w:t xml:space="preserve">is </w:t>
      </w:r>
      <w:r w:rsidRPr="005373EB">
        <w:t>improvements to the agriculture estimates implemented as part of the 2021 GHG Inventory. These improvements increased the entire historical and projected agriculture emissions time</w:t>
      </w:r>
      <w:r w:rsidR="00F37B2E" w:rsidRPr="005373EB">
        <w:t xml:space="preserve"> </w:t>
      </w:r>
      <w:r w:rsidRPr="005373EB">
        <w:t xml:space="preserve">series by </w:t>
      </w:r>
      <w:r w:rsidR="009F5E07">
        <w:t>four</w:t>
      </w:r>
      <w:r w:rsidR="00F37B2E" w:rsidRPr="005373EB">
        <w:t xml:space="preserve"> per cent to </w:t>
      </w:r>
      <w:r w:rsidR="009F5E07">
        <w:t>five</w:t>
      </w:r>
      <w:r w:rsidR="00F37B2E" w:rsidRPr="005373EB">
        <w:t xml:space="preserve"> per cent</w:t>
      </w:r>
      <w:r w:rsidRPr="005373EB">
        <w:t xml:space="preserve">, which corresponds to an increase in projected emissions in the </w:t>
      </w:r>
      <w:r w:rsidR="00987C3E" w:rsidRPr="005373EB">
        <w:t>EB1</w:t>
      </w:r>
      <w:r w:rsidRPr="005373EB">
        <w:t xml:space="preserve"> period of around 7</w:t>
      </w:r>
      <w:r w:rsidR="00987C3E" w:rsidRPr="005373EB">
        <w:t> </w:t>
      </w:r>
      <w:r w:rsidRPr="005373EB">
        <w:t>Mt CO</w:t>
      </w:r>
      <w:r w:rsidRPr="005373EB">
        <w:rPr>
          <w:vertAlign w:val="subscript"/>
        </w:rPr>
        <w:t>2</w:t>
      </w:r>
      <w:r w:rsidRPr="005373EB">
        <w:t>-e.</w:t>
      </w:r>
    </w:p>
    <w:p w14:paraId="33CFCC12" w14:textId="79C663FE" w:rsidR="0023175F" w:rsidRPr="005373EB" w:rsidRDefault="00677D1B" w:rsidP="007B46CF">
      <w:pPr>
        <w:pStyle w:val="Heading3"/>
        <w:spacing w:before="240"/>
      </w:pPr>
      <w:r w:rsidRPr="005373EB">
        <w:t>Input</w:t>
      </w:r>
      <w:r w:rsidR="0023175F" w:rsidRPr="005373EB">
        <w:t xml:space="preserve"> </w:t>
      </w:r>
      <w:r w:rsidRPr="005373EB">
        <w:t xml:space="preserve">data and assumption </w:t>
      </w:r>
      <w:r w:rsidR="0023175F" w:rsidRPr="005373EB">
        <w:t>uncertainties</w:t>
      </w:r>
    </w:p>
    <w:p w14:paraId="088426C1" w14:textId="4E103AEF" w:rsidR="00E90DB8" w:rsidRPr="005373EB" w:rsidRDefault="001C060B" w:rsidP="002867AF">
      <w:pPr>
        <w:pStyle w:val="BodyText"/>
      </w:pPr>
      <w:r w:rsidRPr="005373EB">
        <w:t xml:space="preserve">Emissions projections and </w:t>
      </w:r>
      <w:r w:rsidR="00CD4413" w:rsidRPr="005373EB">
        <w:t xml:space="preserve">the impacts of </w:t>
      </w:r>
      <w:r w:rsidRPr="005373EB">
        <w:t>policy measures are estimate</w:t>
      </w:r>
      <w:r w:rsidR="008F76BE" w:rsidRPr="005373EB">
        <w:t>d</w:t>
      </w:r>
      <w:r w:rsidR="00CD4413" w:rsidRPr="005373EB">
        <w:t xml:space="preserve"> using</w:t>
      </w:r>
      <w:r w:rsidRPr="005373EB">
        <w:t xml:space="preserve"> emissions models</w:t>
      </w:r>
      <w:r w:rsidR="00D35F52" w:rsidRPr="005373EB">
        <w:t xml:space="preserve"> that</w:t>
      </w:r>
      <w:r w:rsidR="00353197" w:rsidRPr="005373EB">
        <w:t xml:space="preserve"> </w:t>
      </w:r>
      <w:r w:rsidR="00677D1B" w:rsidRPr="005373EB">
        <w:t xml:space="preserve">use input data and assumptions to </w:t>
      </w:r>
      <w:r w:rsidR="00A71F62" w:rsidRPr="005373EB">
        <w:t>provide insight into what may happen in the</w:t>
      </w:r>
      <w:r w:rsidR="002867AF" w:rsidRPr="005373EB">
        <w:t> </w:t>
      </w:r>
      <w:r w:rsidR="00A71F62" w:rsidRPr="005373EB">
        <w:t xml:space="preserve">future. However, as noted, none of these models are explicitly predictive. </w:t>
      </w:r>
      <w:r w:rsidR="00CD4413" w:rsidRPr="005373EB">
        <w:t xml:space="preserve">How </w:t>
      </w:r>
      <w:r w:rsidR="00A71F62" w:rsidRPr="005373EB">
        <w:t>closely a</w:t>
      </w:r>
      <w:r w:rsidR="002867AF" w:rsidRPr="005373EB">
        <w:t> </w:t>
      </w:r>
      <w:r w:rsidR="00A71F62" w:rsidRPr="005373EB">
        <w:t xml:space="preserve">model </w:t>
      </w:r>
      <w:r w:rsidR="00122DCC" w:rsidRPr="005373EB">
        <w:t>is able to</w:t>
      </w:r>
      <w:r w:rsidR="00A71F62" w:rsidRPr="005373EB">
        <w:t xml:space="preserve"> </w:t>
      </w:r>
      <w:r w:rsidR="00D35F52" w:rsidRPr="005373EB">
        <w:t xml:space="preserve">represent </w:t>
      </w:r>
      <w:r w:rsidR="00BE60DE" w:rsidRPr="005373EB">
        <w:t xml:space="preserve">the future </w:t>
      </w:r>
      <w:r w:rsidR="00A71F62" w:rsidRPr="005373EB">
        <w:t xml:space="preserve">is partially </w:t>
      </w:r>
      <w:r w:rsidR="00255601" w:rsidRPr="005373EB">
        <w:t xml:space="preserve">affected </w:t>
      </w:r>
      <w:r w:rsidR="00A71F62" w:rsidRPr="005373EB">
        <w:t>by modelling choices on how to represent reality and significantly influenced by uncertainty</w:t>
      </w:r>
      <w:r w:rsidR="00677D1B" w:rsidRPr="005373EB">
        <w:t xml:space="preserve"> inherent in the input data and assumptions</w:t>
      </w:r>
      <w:r w:rsidR="00A71F62" w:rsidRPr="005373EB">
        <w:t>.</w:t>
      </w:r>
      <w:r w:rsidR="00353197" w:rsidRPr="005373EB">
        <w:t xml:space="preserve"> </w:t>
      </w:r>
    </w:p>
    <w:p w14:paraId="0185B704" w14:textId="1B922EF9" w:rsidR="00BF1982" w:rsidRPr="005373EB" w:rsidRDefault="00677D1B" w:rsidP="00C3726C">
      <w:pPr>
        <w:pStyle w:val="BodyText"/>
      </w:pPr>
      <w:r w:rsidRPr="005373EB">
        <w:t xml:space="preserve">The </w:t>
      </w:r>
      <w:r w:rsidR="00BE5730" w:rsidRPr="005373EB">
        <w:t>uncertainties in our input data and assumptions in ou</w:t>
      </w:r>
      <w:r w:rsidR="00CA57BA" w:rsidRPr="005373EB">
        <w:t>r</w:t>
      </w:r>
      <w:r w:rsidR="00BE5730" w:rsidRPr="005373EB">
        <w:t xml:space="preserve"> model</w:t>
      </w:r>
      <w:r w:rsidRPr="005373EB">
        <w:t>s</w:t>
      </w:r>
      <w:r w:rsidR="00BE5730" w:rsidRPr="005373EB">
        <w:t xml:space="preserve"> lead to uncertainties in our</w:t>
      </w:r>
      <w:r w:rsidR="002867AF" w:rsidRPr="005373EB">
        <w:t> </w:t>
      </w:r>
      <w:r w:rsidR="00BE5730" w:rsidRPr="005373EB">
        <w:t xml:space="preserve">modelling estimates. </w:t>
      </w:r>
      <w:r w:rsidR="00E501B6" w:rsidRPr="005373EB">
        <w:t xml:space="preserve">An example is the </w:t>
      </w:r>
      <w:r w:rsidR="00E90DB8" w:rsidRPr="005373EB">
        <w:t xml:space="preserve">use of the </w:t>
      </w:r>
      <w:r w:rsidR="00E501B6" w:rsidRPr="005373EB">
        <w:t xml:space="preserve">Stats NZ </w:t>
      </w:r>
      <w:r w:rsidR="00D126A0" w:rsidRPr="005373EB">
        <w:t>p</w:t>
      </w:r>
      <w:r w:rsidR="00BE5730" w:rsidRPr="005373EB">
        <w:t xml:space="preserve">opulation projections in </w:t>
      </w:r>
      <w:r w:rsidR="00E501B6" w:rsidRPr="005373EB">
        <w:t>the GHG projections</w:t>
      </w:r>
      <w:r w:rsidR="00F011DD" w:rsidRPr="005373EB">
        <w:t>.</w:t>
      </w:r>
      <w:r w:rsidR="00E501B6" w:rsidRPr="005373EB">
        <w:t xml:space="preserve"> </w:t>
      </w:r>
      <w:r w:rsidR="00F011DD" w:rsidRPr="005373EB">
        <w:t>T</w:t>
      </w:r>
      <w:r w:rsidR="00E501B6" w:rsidRPr="005373EB">
        <w:t xml:space="preserve">hese population projections are inherently </w:t>
      </w:r>
      <w:r w:rsidR="009D20AF" w:rsidRPr="005373EB">
        <w:t>uncertain,</w:t>
      </w:r>
      <w:r w:rsidR="00E501B6" w:rsidRPr="005373EB">
        <w:t xml:space="preserve"> </w:t>
      </w:r>
      <w:r w:rsidR="00D35F52" w:rsidRPr="005373EB">
        <w:t>which</w:t>
      </w:r>
      <w:r w:rsidR="00E501B6" w:rsidRPr="005373EB">
        <w:t xml:space="preserve"> add</w:t>
      </w:r>
      <w:r w:rsidR="00D35F52" w:rsidRPr="005373EB">
        <w:t>s</w:t>
      </w:r>
      <w:r w:rsidR="00E501B6" w:rsidRPr="005373EB">
        <w:t xml:space="preserve"> to the </w:t>
      </w:r>
      <w:r w:rsidR="00D35F52" w:rsidRPr="005373EB">
        <w:t xml:space="preserve">broader </w:t>
      </w:r>
      <w:r w:rsidR="00E501B6" w:rsidRPr="005373EB">
        <w:t>uncertainties of the GHG projections.</w:t>
      </w:r>
      <w:r w:rsidR="00A839E0" w:rsidRPr="005373EB">
        <w:t xml:space="preserve"> Another example is policy efficacy relating to assumptions made </w:t>
      </w:r>
      <w:r w:rsidR="00A532BB" w:rsidRPr="005373EB">
        <w:t>about how effective policies are at changing behaviour</w:t>
      </w:r>
      <w:r w:rsidR="000C6F77" w:rsidRPr="005373EB">
        <w:t>,</w:t>
      </w:r>
      <w:r w:rsidR="00A532BB" w:rsidRPr="005373EB">
        <w:t xml:space="preserve"> such as </w:t>
      </w:r>
      <w:r w:rsidR="000C6F77" w:rsidRPr="005373EB">
        <w:t xml:space="preserve">electric vehicle </w:t>
      </w:r>
      <w:r w:rsidR="00944FA1" w:rsidRPr="005373EB">
        <w:t>(</w:t>
      </w:r>
      <w:r w:rsidR="00A532BB" w:rsidRPr="005373EB">
        <w:t>EV</w:t>
      </w:r>
      <w:r w:rsidR="00944FA1" w:rsidRPr="005373EB">
        <w:t>)</w:t>
      </w:r>
      <w:r w:rsidR="00D35F52" w:rsidRPr="005373EB">
        <w:t xml:space="preserve"> uptake</w:t>
      </w:r>
      <w:r w:rsidR="00A532BB" w:rsidRPr="005373EB">
        <w:t>, recycling materials or reducing farm</w:t>
      </w:r>
      <w:r w:rsidR="008C48FA" w:rsidRPr="005373EB">
        <w:t>ing</w:t>
      </w:r>
      <w:r w:rsidR="00A532BB" w:rsidRPr="005373EB">
        <w:t xml:space="preserve"> emissions.</w:t>
      </w:r>
    </w:p>
    <w:p w14:paraId="6BEAEF75" w14:textId="53126CC3" w:rsidR="00F216AD" w:rsidRPr="005373EB" w:rsidRDefault="007A298F" w:rsidP="007B46CF">
      <w:pPr>
        <w:pStyle w:val="Heading3"/>
        <w:spacing w:before="240"/>
      </w:pPr>
      <w:r w:rsidRPr="005373EB">
        <w:t xml:space="preserve">Implementation </w:t>
      </w:r>
      <w:r w:rsidR="00B4577C" w:rsidRPr="005373EB">
        <w:t>uncertaint</w:t>
      </w:r>
      <w:r w:rsidR="00F216AD" w:rsidRPr="005373EB">
        <w:t>ies</w:t>
      </w:r>
    </w:p>
    <w:p w14:paraId="059C0498" w14:textId="71EEB565" w:rsidR="001E1C8C" w:rsidRPr="005373EB" w:rsidRDefault="007A298F" w:rsidP="002867AF">
      <w:pPr>
        <w:pStyle w:val="BodyText"/>
      </w:pPr>
      <w:r w:rsidRPr="005373EB">
        <w:t xml:space="preserve">Implementation </w:t>
      </w:r>
      <w:r w:rsidR="00F216AD" w:rsidRPr="005373EB">
        <w:t>uncertainties stem from differences</w:t>
      </w:r>
      <w:r w:rsidR="00710562" w:rsidRPr="005373EB">
        <w:t xml:space="preserve"> between</w:t>
      </w:r>
      <w:r w:rsidR="00F216AD" w:rsidRPr="005373EB">
        <w:t xml:space="preserve"> </w:t>
      </w:r>
      <w:r w:rsidR="000A2C58" w:rsidRPr="005373EB">
        <w:t xml:space="preserve">the </w:t>
      </w:r>
      <w:r w:rsidR="001E1C8C" w:rsidRPr="005373EB">
        <w:t xml:space="preserve">policy </w:t>
      </w:r>
      <w:r w:rsidR="00710562" w:rsidRPr="005373EB">
        <w:t xml:space="preserve">scenario </w:t>
      </w:r>
      <w:r w:rsidR="000A2C58" w:rsidRPr="005373EB">
        <w:t xml:space="preserve">that </w:t>
      </w:r>
      <w:r w:rsidR="001E1C8C" w:rsidRPr="005373EB">
        <w:t>was</w:t>
      </w:r>
      <w:r w:rsidR="00F216AD" w:rsidRPr="005373EB">
        <w:t xml:space="preserve"> modelled </w:t>
      </w:r>
      <w:r w:rsidR="00710562" w:rsidRPr="005373EB">
        <w:t xml:space="preserve">and </w:t>
      </w:r>
      <w:r w:rsidR="00254F41" w:rsidRPr="005373EB">
        <w:t>how</w:t>
      </w:r>
      <w:r w:rsidR="000C24A0" w:rsidRPr="005373EB">
        <w:t xml:space="preserve"> and when</w:t>
      </w:r>
      <w:r w:rsidR="00710562" w:rsidRPr="005373EB">
        <w:t xml:space="preserve"> </w:t>
      </w:r>
      <w:r w:rsidR="000A2C58" w:rsidRPr="005373EB">
        <w:t xml:space="preserve">the </w:t>
      </w:r>
      <w:r w:rsidR="001E1C8C" w:rsidRPr="005373EB">
        <w:t xml:space="preserve">policy </w:t>
      </w:r>
      <w:r w:rsidR="000A2C58" w:rsidRPr="005373EB">
        <w:t>i</w:t>
      </w:r>
      <w:r w:rsidR="001E1C8C" w:rsidRPr="005373EB">
        <w:t xml:space="preserve">s </w:t>
      </w:r>
      <w:r w:rsidR="00710562" w:rsidRPr="005373EB">
        <w:t xml:space="preserve">actually </w:t>
      </w:r>
      <w:r w:rsidR="001E1C8C" w:rsidRPr="005373EB">
        <w:t>implemented.</w:t>
      </w:r>
      <w:r w:rsidR="00766501" w:rsidRPr="005373EB">
        <w:t xml:space="preserve"> </w:t>
      </w:r>
      <w:r w:rsidR="001E1C8C" w:rsidRPr="005373EB">
        <w:t>The emissions modelling often occurs ahead of final policy decisions and changes to the policy</w:t>
      </w:r>
      <w:r w:rsidR="000C24A0" w:rsidRPr="005373EB">
        <w:t>, for example</w:t>
      </w:r>
      <w:r w:rsidR="00567DF6" w:rsidRPr="005373EB">
        <w:t>,</w:t>
      </w:r>
      <w:r w:rsidR="001E1C8C" w:rsidRPr="005373EB">
        <w:t xml:space="preserve"> resourcing, implementation</w:t>
      </w:r>
      <w:r w:rsidR="000C24A0" w:rsidRPr="005373EB">
        <w:t xml:space="preserve"> and </w:t>
      </w:r>
      <w:r w:rsidR="001E1C8C" w:rsidRPr="005373EB">
        <w:t>timing</w:t>
      </w:r>
      <w:r w:rsidR="00A77090" w:rsidRPr="005373EB">
        <w:t xml:space="preserve"> </w:t>
      </w:r>
      <w:r w:rsidR="002A5E70" w:rsidRPr="005373EB">
        <w:t xml:space="preserve">affect </w:t>
      </w:r>
      <w:r w:rsidR="00D90572" w:rsidRPr="005373EB">
        <w:t xml:space="preserve">how much abatement an initiative achieves. </w:t>
      </w:r>
      <w:r w:rsidR="001E0C25" w:rsidRPr="005373EB">
        <w:t>I</w:t>
      </w:r>
      <w:r w:rsidR="00D90572" w:rsidRPr="005373EB">
        <w:t>f</w:t>
      </w:r>
      <w:r w:rsidR="00A77090" w:rsidRPr="005373EB">
        <w:t xml:space="preserve"> the </w:t>
      </w:r>
      <w:r w:rsidR="00D90572" w:rsidRPr="005373EB">
        <w:t>model</w:t>
      </w:r>
      <w:r w:rsidR="001E0C25" w:rsidRPr="005373EB">
        <w:t>led implementation assumptions</w:t>
      </w:r>
      <w:r w:rsidR="00D90572" w:rsidRPr="005373EB">
        <w:t xml:space="preserve"> differ from what is actually implemented then the modelled estimates will be inconsistent to a certain extent.</w:t>
      </w:r>
      <w:r w:rsidR="00766501" w:rsidRPr="005373EB">
        <w:t xml:space="preserve"> </w:t>
      </w:r>
      <w:r w:rsidR="001E1C8C" w:rsidRPr="005373EB">
        <w:t>An example of this is a policy that is modelled to reduce emissions by 100</w:t>
      </w:r>
      <w:r w:rsidR="002A5E70" w:rsidRPr="005373EB">
        <w:t> kilotonnes (</w:t>
      </w:r>
      <w:r w:rsidR="001E1C8C" w:rsidRPr="005373EB">
        <w:t>Kt</w:t>
      </w:r>
      <w:r w:rsidR="002A5E70" w:rsidRPr="005373EB">
        <w:t>)</w:t>
      </w:r>
      <w:r w:rsidR="001E1C8C" w:rsidRPr="005373EB">
        <w:t xml:space="preserve"> per year and is due to be implemented in 2023, however</w:t>
      </w:r>
      <w:r w:rsidR="00AB3866" w:rsidRPr="005373EB">
        <w:t>,</w:t>
      </w:r>
      <w:r w:rsidR="001E1C8C" w:rsidRPr="005373EB">
        <w:t xml:space="preserve"> subsequent to the modelling</w:t>
      </w:r>
      <w:r w:rsidR="00AB3866" w:rsidRPr="005373EB">
        <w:t>,</w:t>
      </w:r>
      <w:r w:rsidR="001E1C8C" w:rsidRPr="005373EB">
        <w:t xml:space="preserve"> the policy </w:t>
      </w:r>
      <w:r w:rsidR="00717902" w:rsidRPr="005373EB">
        <w:t>wa</w:t>
      </w:r>
      <w:r w:rsidR="001E1C8C" w:rsidRPr="005373EB">
        <w:t xml:space="preserve">s delayed until 2024 so instead of reducing </w:t>
      </w:r>
      <w:r w:rsidR="001E1C8C" w:rsidRPr="005373EB">
        <w:rPr>
          <w:spacing w:val="-2"/>
        </w:rPr>
        <w:t xml:space="preserve">emissions in </w:t>
      </w:r>
      <w:r w:rsidR="00647C02" w:rsidRPr="005373EB">
        <w:rPr>
          <w:spacing w:val="-2"/>
        </w:rPr>
        <w:t>EB1</w:t>
      </w:r>
      <w:r w:rsidR="001E1C8C" w:rsidRPr="005373EB">
        <w:rPr>
          <w:spacing w:val="-2"/>
        </w:rPr>
        <w:t xml:space="preserve"> by 300</w:t>
      </w:r>
      <w:r w:rsidR="00AB3866" w:rsidRPr="005373EB">
        <w:rPr>
          <w:spacing w:val="-2"/>
        </w:rPr>
        <w:t> </w:t>
      </w:r>
      <w:r w:rsidR="001E1C8C" w:rsidRPr="005373EB">
        <w:rPr>
          <w:spacing w:val="-2"/>
        </w:rPr>
        <w:t>Kt</w:t>
      </w:r>
      <w:r w:rsidR="00647C02" w:rsidRPr="005373EB">
        <w:rPr>
          <w:spacing w:val="-2"/>
        </w:rPr>
        <w:t xml:space="preserve"> (three years by 100</w:t>
      </w:r>
      <w:r w:rsidR="00AB3866" w:rsidRPr="005373EB">
        <w:rPr>
          <w:spacing w:val="-2"/>
        </w:rPr>
        <w:t> </w:t>
      </w:r>
      <w:r w:rsidR="00647C02" w:rsidRPr="005373EB">
        <w:rPr>
          <w:spacing w:val="-2"/>
        </w:rPr>
        <w:t>Kt)</w:t>
      </w:r>
      <w:r w:rsidR="001E1C8C" w:rsidRPr="005373EB">
        <w:rPr>
          <w:spacing w:val="-2"/>
        </w:rPr>
        <w:t xml:space="preserve"> it reduces them by 200</w:t>
      </w:r>
      <w:r w:rsidR="00AB3866" w:rsidRPr="005373EB">
        <w:rPr>
          <w:spacing w:val="-2"/>
        </w:rPr>
        <w:t> </w:t>
      </w:r>
      <w:r w:rsidR="001E1C8C" w:rsidRPr="005373EB">
        <w:rPr>
          <w:spacing w:val="-2"/>
        </w:rPr>
        <w:t>Kt</w:t>
      </w:r>
      <w:r w:rsidR="00647C02" w:rsidRPr="005373EB">
        <w:rPr>
          <w:spacing w:val="-2"/>
        </w:rPr>
        <w:t xml:space="preserve"> (two years by 100</w:t>
      </w:r>
      <w:r w:rsidR="00AB3866" w:rsidRPr="005373EB">
        <w:rPr>
          <w:spacing w:val="-2"/>
        </w:rPr>
        <w:t> </w:t>
      </w:r>
      <w:r w:rsidR="00647C02" w:rsidRPr="005373EB">
        <w:rPr>
          <w:spacing w:val="-2"/>
        </w:rPr>
        <w:t>Kt)</w:t>
      </w:r>
      <w:r w:rsidR="001E1C8C" w:rsidRPr="005373EB">
        <w:rPr>
          <w:spacing w:val="-2"/>
        </w:rPr>
        <w:t>.</w:t>
      </w:r>
    </w:p>
    <w:p w14:paraId="318159DE" w14:textId="226868EE" w:rsidR="000C09C8" w:rsidRPr="005373EB" w:rsidRDefault="00B3610C" w:rsidP="007B46CF">
      <w:pPr>
        <w:pStyle w:val="Heading3"/>
        <w:spacing w:before="240"/>
      </w:pPr>
      <w:r w:rsidRPr="005373EB">
        <w:t>Unforeseen uncertaint</w:t>
      </w:r>
      <w:r w:rsidR="001E1C8C" w:rsidRPr="005373EB">
        <w:t>ies</w:t>
      </w:r>
    </w:p>
    <w:p w14:paraId="2BAFCA35" w14:textId="22A217CA" w:rsidR="001E1C8C" w:rsidRPr="005373EB" w:rsidRDefault="001E1C8C" w:rsidP="00BD7909">
      <w:pPr>
        <w:pStyle w:val="BodyText"/>
      </w:pPr>
      <w:r w:rsidRPr="005373EB">
        <w:t xml:space="preserve">Unforeseen uncertainties are those that cannot </w:t>
      </w:r>
      <w:r w:rsidR="00871D09" w:rsidRPr="005373EB">
        <w:t>be</w:t>
      </w:r>
      <w:r w:rsidRPr="005373EB">
        <w:t xml:space="preserve"> modelled because the</w:t>
      </w:r>
      <w:r w:rsidR="00717902" w:rsidRPr="005373EB">
        <w:t>y</w:t>
      </w:r>
      <w:r w:rsidRPr="005373EB">
        <w:t xml:space="preserve"> are unforeseen and not able be predicted. An example is the </w:t>
      </w:r>
      <w:r w:rsidR="00F94025" w:rsidRPr="005373EB">
        <w:t xml:space="preserve">effect </w:t>
      </w:r>
      <w:r w:rsidRPr="005373EB">
        <w:t xml:space="preserve">that </w:t>
      </w:r>
      <w:r w:rsidR="000D3C4A" w:rsidRPr="005373EB">
        <w:t xml:space="preserve">the </w:t>
      </w:r>
      <w:r w:rsidRPr="005373EB">
        <w:t>C</w:t>
      </w:r>
      <w:r w:rsidR="004B4AFA" w:rsidRPr="005373EB">
        <w:t>OVID-19 pandemic</w:t>
      </w:r>
      <w:r w:rsidRPr="005373EB">
        <w:t xml:space="preserve"> has had on emissions over the </w:t>
      </w:r>
      <w:r w:rsidR="006D6F74" w:rsidRPr="005373EB">
        <w:t>p</w:t>
      </w:r>
      <w:r w:rsidRPr="005373EB">
        <w:t>ast couple of years.</w:t>
      </w:r>
      <w:r w:rsidR="00766501" w:rsidRPr="005373EB">
        <w:t xml:space="preserve"> </w:t>
      </w:r>
      <w:r w:rsidR="007A298F" w:rsidRPr="005373EB">
        <w:t>These are often referred to as ‘</w:t>
      </w:r>
      <w:r w:rsidR="0059620B" w:rsidRPr="005373EB">
        <w:t>b</w:t>
      </w:r>
      <w:r w:rsidR="007A298F" w:rsidRPr="005373EB">
        <w:t xml:space="preserve">lack </w:t>
      </w:r>
      <w:r w:rsidR="0059620B" w:rsidRPr="005373EB">
        <w:t>s</w:t>
      </w:r>
      <w:r w:rsidR="007A298F" w:rsidRPr="005373EB">
        <w:t>wans’ or ‘unknown unknowns’.</w:t>
      </w:r>
    </w:p>
    <w:p w14:paraId="21A4FCFA" w14:textId="596FFB1A" w:rsidR="00A471F3" w:rsidRPr="005373EB" w:rsidRDefault="00A471F3" w:rsidP="007D418B">
      <w:pPr>
        <w:pStyle w:val="Heading1"/>
      </w:pPr>
      <w:bookmarkStart w:id="26" w:name="_Toc103773259"/>
      <w:bookmarkStart w:id="27" w:name="_Hlk102035635"/>
      <w:r w:rsidRPr="005373EB">
        <w:lastRenderedPageBreak/>
        <w:t>Accounting approach</w:t>
      </w:r>
      <w:r w:rsidR="0017016E">
        <w:t xml:space="preserve"> and global warming potentials</w:t>
      </w:r>
      <w:bookmarkEnd w:id="26"/>
    </w:p>
    <w:p w14:paraId="27BD6ADC" w14:textId="40FBC42E" w:rsidR="0017016E" w:rsidRDefault="0017016E" w:rsidP="00A43546">
      <w:pPr>
        <w:pStyle w:val="Heading2"/>
      </w:pPr>
      <w:bookmarkStart w:id="28" w:name="_Toc103773260"/>
      <w:bookmarkEnd w:id="27"/>
      <w:r>
        <w:t>Accounting approach</w:t>
      </w:r>
      <w:bookmarkEnd w:id="28"/>
    </w:p>
    <w:p w14:paraId="5189C4D5" w14:textId="04D98484" w:rsidR="00A471F3" w:rsidRPr="005373EB" w:rsidRDefault="00A471F3" w:rsidP="009460D2">
      <w:pPr>
        <w:pStyle w:val="BodyText"/>
      </w:pPr>
      <w:r w:rsidRPr="005373EB">
        <w:t xml:space="preserve">Emissions can be </w:t>
      </w:r>
      <w:r w:rsidR="00402248" w:rsidRPr="005373EB">
        <w:t xml:space="preserve">accounted for </w:t>
      </w:r>
      <w:r w:rsidR="00FC14F8" w:rsidRPr="005373EB">
        <w:t>by applying a</w:t>
      </w:r>
      <w:r w:rsidRPr="005373EB">
        <w:t xml:space="preserve"> range of approaches; the different approaches determine the types of emissions that are with</w:t>
      </w:r>
      <w:r w:rsidR="00FF4752" w:rsidRPr="005373EB">
        <w:t>in</w:t>
      </w:r>
      <w:r w:rsidRPr="005373EB">
        <w:t xml:space="preserve"> scope.</w:t>
      </w:r>
      <w:r w:rsidR="00766501" w:rsidRPr="005373EB">
        <w:t xml:space="preserve"> </w:t>
      </w:r>
      <w:r w:rsidRPr="005373EB">
        <w:t>Two</w:t>
      </w:r>
      <w:r w:rsidRPr="005373EB" w:rsidDel="00857E2B">
        <w:t xml:space="preserve"> </w:t>
      </w:r>
      <w:r w:rsidRPr="005373EB">
        <w:t>approaches are described below</w:t>
      </w:r>
      <w:r w:rsidR="00FF4752" w:rsidRPr="005373EB">
        <w:t>,</w:t>
      </w:r>
      <w:r w:rsidRPr="005373EB">
        <w:t xml:space="preserve"> </w:t>
      </w:r>
      <w:r w:rsidR="00860BAA" w:rsidRPr="005373EB">
        <w:t>although</w:t>
      </w:r>
      <w:r w:rsidRPr="005373EB">
        <w:t xml:space="preserve"> variations </w:t>
      </w:r>
      <w:r w:rsidR="00865090" w:rsidRPr="005373EB">
        <w:t xml:space="preserve">can then be applied </w:t>
      </w:r>
      <w:r w:rsidR="00857E2B" w:rsidRPr="005373EB">
        <w:t xml:space="preserve">within them </w:t>
      </w:r>
      <w:r w:rsidRPr="005373EB">
        <w:t xml:space="preserve">(particularly the production approach). </w:t>
      </w:r>
    </w:p>
    <w:p w14:paraId="2D50FA32" w14:textId="72EC847E" w:rsidR="00A471F3" w:rsidRPr="005373EB" w:rsidRDefault="00A471F3" w:rsidP="00FF6AA8">
      <w:pPr>
        <w:pStyle w:val="Bulletmfe"/>
      </w:pPr>
      <w:r w:rsidRPr="005373EB">
        <w:t xml:space="preserve">The production approach records emissions at the point at which emissions pass from human activity to the environment. It has two variations: the territory-based approach (used by </w:t>
      </w:r>
      <w:r w:rsidR="787FF786" w:rsidRPr="005373EB">
        <w:t>M</w:t>
      </w:r>
      <w:r w:rsidR="009E2A45" w:rsidRPr="005373EB">
        <w:t>f</w:t>
      </w:r>
      <w:r w:rsidR="787FF786" w:rsidRPr="005373EB">
        <w:t>E’s</w:t>
      </w:r>
      <w:r w:rsidRPr="005373EB">
        <w:t xml:space="preserve"> GHG Inventory) and the residency-based approach (used by Stats NZ</w:t>
      </w:r>
      <w:r w:rsidR="00A51F69" w:rsidRPr="005373EB">
        <w:t>’</w:t>
      </w:r>
      <w:r w:rsidR="001F68C6" w:rsidRPr="005373EB">
        <w:t>s</w:t>
      </w:r>
      <w:r w:rsidRPr="005373EB">
        <w:t xml:space="preserve"> </w:t>
      </w:r>
      <w:r w:rsidR="00577588" w:rsidRPr="005373EB">
        <w:t xml:space="preserve">System of Environmental-Economic Accounting </w:t>
      </w:r>
      <w:r w:rsidR="00A535B1" w:rsidRPr="005373EB">
        <w:t>or</w:t>
      </w:r>
      <w:r w:rsidRPr="005373EB">
        <w:t xml:space="preserve"> SEEA </w:t>
      </w:r>
      <w:r w:rsidR="00A535B1" w:rsidRPr="005373EB">
        <w:t>framework</w:t>
      </w:r>
      <w:r w:rsidRPr="005373EB">
        <w:t>).</w:t>
      </w:r>
      <w:r w:rsidR="00353197" w:rsidRPr="005373EB">
        <w:t xml:space="preserve"> </w:t>
      </w:r>
    </w:p>
    <w:p w14:paraId="169B0956" w14:textId="77777777" w:rsidR="00A471F3" w:rsidRPr="005373EB" w:rsidRDefault="00A471F3" w:rsidP="00FF6AA8">
      <w:pPr>
        <w:pStyle w:val="Bulletmfe"/>
      </w:pPr>
      <w:r w:rsidRPr="005373EB">
        <w:t>Consumption-based emissions estimates show the emissions resulting from the economic activity required to meet a nation’s demand for goods and services. They reflect the carbon footprint of a nation’s consumption and lifestyle choices.</w:t>
      </w:r>
    </w:p>
    <w:p w14:paraId="54C1F26C" w14:textId="29771342" w:rsidR="00A471F3" w:rsidRPr="005373EB" w:rsidRDefault="00A471F3" w:rsidP="009460D2">
      <w:pPr>
        <w:pStyle w:val="BodyText"/>
      </w:pPr>
      <w:r w:rsidRPr="005373EB">
        <w:t>The different approaches have different strengths and weaknesses</w:t>
      </w:r>
      <w:r w:rsidR="001F52A9" w:rsidRPr="005373EB">
        <w:t xml:space="preserve">. </w:t>
      </w:r>
      <w:r w:rsidR="00324D99" w:rsidRPr="005373EB">
        <w:t>H</w:t>
      </w:r>
      <w:r w:rsidR="00F94A42" w:rsidRPr="005373EB">
        <w:t>owever,</w:t>
      </w:r>
      <w:r w:rsidR="001F52A9" w:rsidRPr="005373EB">
        <w:t xml:space="preserve"> no international standard </w:t>
      </w:r>
      <w:r w:rsidR="00324D99" w:rsidRPr="005373EB">
        <w:t xml:space="preserve">exists </w:t>
      </w:r>
      <w:r w:rsidR="001F52A9" w:rsidRPr="005373EB">
        <w:t>for measuring consumption</w:t>
      </w:r>
      <w:r w:rsidR="00B60F4E" w:rsidRPr="005373EB">
        <w:t>-based</w:t>
      </w:r>
      <w:r w:rsidR="001F52A9" w:rsidRPr="005373EB">
        <w:t xml:space="preserve"> emissions and it is subject to greater uncertainties given the use of modelling assumptions. </w:t>
      </w:r>
      <w:r w:rsidR="00607725" w:rsidRPr="005373EB">
        <w:t>N</w:t>
      </w:r>
      <w:r w:rsidR="00672225" w:rsidRPr="005373EB">
        <w:t>atio</w:t>
      </w:r>
      <w:r w:rsidR="001F52A9" w:rsidRPr="005373EB">
        <w:t xml:space="preserve">nal </w:t>
      </w:r>
      <w:r w:rsidR="00E40EE2" w:rsidRPr="005373EB">
        <w:t>GHG</w:t>
      </w:r>
      <w:r w:rsidR="001F52A9" w:rsidRPr="005373EB">
        <w:t xml:space="preserve"> inventories that are submitted to the United Nations Framework Convention on Climate Change </w:t>
      </w:r>
      <w:r w:rsidR="00E211C7" w:rsidRPr="005373EB">
        <w:t xml:space="preserve">apply </w:t>
      </w:r>
      <w:r w:rsidRPr="005373EB">
        <w:t xml:space="preserve">the production approach </w:t>
      </w:r>
      <w:r w:rsidR="00A47474" w:rsidRPr="005373EB">
        <w:t xml:space="preserve">and </w:t>
      </w:r>
      <w:r w:rsidR="008C1892" w:rsidRPr="005373EB">
        <w:t xml:space="preserve">they </w:t>
      </w:r>
      <w:r w:rsidR="001F52A9" w:rsidRPr="005373EB">
        <w:t>are the only source of emissions data mandated internationally for use against targets.</w:t>
      </w:r>
      <w:r w:rsidR="0064045F" w:rsidRPr="005373EB">
        <w:t xml:space="preserve"> </w:t>
      </w:r>
      <w:r w:rsidRPr="005373EB">
        <w:t xml:space="preserve">New Zealand </w:t>
      </w:r>
      <w:r w:rsidR="00E24798" w:rsidRPr="005373EB">
        <w:t>applies</w:t>
      </w:r>
      <w:r w:rsidRPr="005373EB">
        <w:t xml:space="preserve"> </w:t>
      </w:r>
      <w:r w:rsidR="003228EF" w:rsidRPr="005373EB">
        <w:t>the production approach</w:t>
      </w:r>
      <w:r w:rsidRPr="005373EB">
        <w:t xml:space="preserve"> for its international </w:t>
      </w:r>
      <w:r w:rsidR="00D56963" w:rsidRPr="005373EB">
        <w:t xml:space="preserve">GHG </w:t>
      </w:r>
      <w:r w:rsidRPr="005373EB">
        <w:t>report</w:t>
      </w:r>
      <w:r w:rsidR="00A532BB" w:rsidRPr="005373EB">
        <w:t>ing</w:t>
      </w:r>
      <w:r w:rsidR="00C42BBE" w:rsidRPr="005373EB">
        <w:t xml:space="preserve"> </w:t>
      </w:r>
      <w:r w:rsidR="00693E3A" w:rsidRPr="005373EB">
        <w:t xml:space="preserve">under the </w:t>
      </w:r>
      <w:r w:rsidR="00B30C12" w:rsidRPr="005373EB">
        <w:t>United Nations Framework Convention on Climate Change,</w:t>
      </w:r>
      <w:r w:rsidR="00693E3A" w:rsidRPr="005373EB">
        <w:t xml:space="preserve"> </w:t>
      </w:r>
      <w:r w:rsidR="00AB21A8" w:rsidRPr="005373EB">
        <w:t xml:space="preserve">which </w:t>
      </w:r>
      <w:r w:rsidR="00414E54" w:rsidRPr="005373EB">
        <w:t xml:space="preserve">it </w:t>
      </w:r>
      <w:r w:rsidR="00034105" w:rsidRPr="005373EB">
        <w:t xml:space="preserve">began in </w:t>
      </w:r>
      <w:r w:rsidR="00AB21A8" w:rsidRPr="005373EB">
        <w:t>199</w:t>
      </w:r>
      <w:r w:rsidR="00034105" w:rsidRPr="005373EB">
        <w:t>5</w:t>
      </w:r>
      <w:r w:rsidR="3045E0AE" w:rsidRPr="005373EB">
        <w:t>,</w:t>
      </w:r>
      <w:r w:rsidR="00AB21A8" w:rsidRPr="005373EB">
        <w:t xml:space="preserve"> </w:t>
      </w:r>
      <w:r w:rsidR="00C42BBE" w:rsidRPr="005373EB">
        <w:t xml:space="preserve">and </w:t>
      </w:r>
      <w:r w:rsidR="00AB21A8" w:rsidRPr="005373EB">
        <w:t xml:space="preserve">for </w:t>
      </w:r>
      <w:r w:rsidR="00414E54" w:rsidRPr="005373EB">
        <w:t xml:space="preserve">its </w:t>
      </w:r>
      <w:r w:rsidR="00034105" w:rsidRPr="005373EB">
        <w:t xml:space="preserve">emission reduction </w:t>
      </w:r>
      <w:r w:rsidR="00A37FB2" w:rsidRPr="005373EB">
        <w:t xml:space="preserve">target </w:t>
      </w:r>
      <w:r w:rsidR="00C42BBE" w:rsidRPr="005373EB">
        <w:t>accounting</w:t>
      </w:r>
      <w:r w:rsidR="00693E3A" w:rsidRPr="005373EB">
        <w:t xml:space="preserve"> since 2008</w:t>
      </w:r>
      <w:r w:rsidRPr="005373EB">
        <w:t xml:space="preserve">. The GHG Inventory, GHG projections and </w:t>
      </w:r>
      <w:r w:rsidR="00414E54" w:rsidRPr="005373EB">
        <w:t>e</w:t>
      </w:r>
      <w:r w:rsidRPr="005373EB">
        <w:t xml:space="preserve">missions </w:t>
      </w:r>
      <w:r w:rsidR="00414E54" w:rsidRPr="005373EB">
        <w:t>b</w:t>
      </w:r>
      <w:r w:rsidRPr="005373EB">
        <w:t xml:space="preserve">udgets are all based on the </w:t>
      </w:r>
      <w:r w:rsidR="00DB1B87" w:rsidRPr="005373EB">
        <w:t>territory</w:t>
      </w:r>
      <w:r w:rsidR="00972221" w:rsidRPr="005373EB">
        <w:t>-based</w:t>
      </w:r>
      <w:r w:rsidR="00DB1B87" w:rsidRPr="005373EB">
        <w:t xml:space="preserve"> </w:t>
      </w:r>
      <w:r w:rsidRPr="005373EB">
        <w:t>production approach.</w:t>
      </w:r>
    </w:p>
    <w:p w14:paraId="47EAE7D8" w14:textId="6377A193" w:rsidR="000E6E47" w:rsidRPr="005373EB" w:rsidRDefault="003D744C" w:rsidP="009460D2">
      <w:pPr>
        <w:pStyle w:val="BodyText"/>
      </w:pPr>
      <w:r w:rsidRPr="005373EB">
        <w:t>New Zealand</w:t>
      </w:r>
      <w:r w:rsidR="00B65265" w:rsidRPr="005373EB">
        <w:t xml:space="preserve"> </w:t>
      </w:r>
      <w:r w:rsidR="008D6734" w:rsidRPr="005373EB">
        <w:t>inventories</w:t>
      </w:r>
      <w:r w:rsidR="00B65265" w:rsidRPr="005373EB">
        <w:t xml:space="preserve"> </w:t>
      </w:r>
      <w:r w:rsidR="008D6734" w:rsidRPr="005373EB">
        <w:t xml:space="preserve">its human-induced </w:t>
      </w:r>
      <w:r w:rsidR="00085145" w:rsidRPr="005373EB">
        <w:t>GHG</w:t>
      </w:r>
      <w:r w:rsidR="008D6734" w:rsidRPr="005373EB">
        <w:t xml:space="preserve"> emissions </w:t>
      </w:r>
      <w:r w:rsidR="000E6E47" w:rsidRPr="005373EB">
        <w:t>annually, going back to</w:t>
      </w:r>
      <w:r w:rsidR="0001093E" w:rsidRPr="005373EB">
        <w:t> </w:t>
      </w:r>
      <w:r w:rsidR="000E6E47" w:rsidRPr="005373EB">
        <w:t>1990</w:t>
      </w:r>
      <w:r w:rsidR="000C295E" w:rsidRPr="005373EB">
        <w:t xml:space="preserve">, in </w:t>
      </w:r>
      <w:r w:rsidR="006B40A5" w:rsidRPr="005373EB">
        <w:t xml:space="preserve">the </w:t>
      </w:r>
      <w:r w:rsidR="000C295E" w:rsidRPr="005373EB">
        <w:t xml:space="preserve">GHG </w:t>
      </w:r>
      <w:r w:rsidR="00CB552F" w:rsidRPr="005373EB">
        <w:t>I</w:t>
      </w:r>
      <w:r w:rsidR="000C295E" w:rsidRPr="005373EB">
        <w:t>nventory</w:t>
      </w:r>
      <w:r w:rsidR="000E6E47" w:rsidRPr="005373EB">
        <w:t xml:space="preserve">. These </w:t>
      </w:r>
      <w:r w:rsidR="00E6173C" w:rsidRPr="005373EB">
        <w:t xml:space="preserve">emissions are reported </w:t>
      </w:r>
      <w:r w:rsidR="00C67526" w:rsidRPr="005373EB">
        <w:t>with</w:t>
      </w:r>
      <w:r w:rsidR="00E6173C" w:rsidRPr="005373EB">
        <w:t>in five sectors</w:t>
      </w:r>
      <w:r w:rsidR="00C67526" w:rsidRPr="005373EB">
        <w:t>:</w:t>
      </w:r>
      <w:r w:rsidR="00E6173C" w:rsidRPr="005373EB">
        <w:t xml:space="preserve"> energy, </w:t>
      </w:r>
      <w:r w:rsidR="00C67526" w:rsidRPr="005373EB">
        <w:t>industrial</w:t>
      </w:r>
      <w:r w:rsidR="00E6173C" w:rsidRPr="005373EB">
        <w:t xml:space="preserve"> pro</w:t>
      </w:r>
      <w:r w:rsidR="00C67526" w:rsidRPr="005373EB">
        <w:t xml:space="preserve">cesses and product use, </w:t>
      </w:r>
      <w:r w:rsidR="00E6173C" w:rsidRPr="005373EB">
        <w:t>agriculture</w:t>
      </w:r>
      <w:r w:rsidR="00C67526" w:rsidRPr="005373EB">
        <w:t>, waste</w:t>
      </w:r>
      <w:r w:rsidR="006E19E1" w:rsidRPr="005373EB">
        <w:t>,</w:t>
      </w:r>
      <w:r w:rsidR="00C67526" w:rsidRPr="005373EB">
        <w:t xml:space="preserve"> and </w:t>
      </w:r>
      <w:bookmarkStart w:id="29" w:name="_Hlk103181980"/>
      <w:r w:rsidR="0068567D" w:rsidRPr="005373EB">
        <w:t>land use, land-use change and forestry</w:t>
      </w:r>
      <w:r w:rsidR="00E552D5" w:rsidRPr="005373EB" w:rsidDel="008D5685">
        <w:t xml:space="preserve"> </w:t>
      </w:r>
      <w:bookmarkEnd w:id="29"/>
      <w:r w:rsidR="00146367" w:rsidRPr="005373EB">
        <w:t xml:space="preserve">When all five sectors are considered, these make up </w:t>
      </w:r>
      <w:r w:rsidR="00105CD9" w:rsidRPr="005373EB">
        <w:t xml:space="preserve">New Zealand’s </w:t>
      </w:r>
      <w:r w:rsidR="00146367" w:rsidRPr="005373EB">
        <w:t xml:space="preserve">net emissions. </w:t>
      </w:r>
      <w:r w:rsidR="00EC5463" w:rsidRPr="005373EB">
        <w:t>The</w:t>
      </w:r>
      <w:r w:rsidR="0001093E" w:rsidRPr="005373EB">
        <w:t> </w:t>
      </w:r>
      <w:r w:rsidR="00EC5463" w:rsidRPr="005373EB">
        <w:t xml:space="preserve">first four sectors listed make up </w:t>
      </w:r>
      <w:r w:rsidR="00105CD9" w:rsidRPr="005373EB">
        <w:t xml:space="preserve">New Zealand’s </w:t>
      </w:r>
      <w:r w:rsidR="00EC5463" w:rsidRPr="005373EB">
        <w:t>gross emissions</w:t>
      </w:r>
      <w:r w:rsidR="00146367" w:rsidRPr="005373EB">
        <w:t xml:space="preserve">. </w:t>
      </w:r>
      <w:r w:rsidR="00042132" w:rsidRPr="005373EB">
        <w:t>When it comes to</w:t>
      </w:r>
      <w:r w:rsidR="00146367" w:rsidRPr="005373EB">
        <w:t xml:space="preserve"> accounting</w:t>
      </w:r>
      <w:r w:rsidR="00042132" w:rsidRPr="005373EB">
        <w:t xml:space="preserve"> for targets</w:t>
      </w:r>
      <w:r w:rsidR="00146367" w:rsidRPr="005373EB">
        <w:t xml:space="preserve">, </w:t>
      </w:r>
      <w:r w:rsidR="00346C90" w:rsidRPr="005373EB">
        <w:t>historically</w:t>
      </w:r>
      <w:r w:rsidR="003B334D" w:rsidRPr="005373EB">
        <w:t>, under the Kyoto Protocol</w:t>
      </w:r>
      <w:r w:rsidR="00DB55F1" w:rsidRPr="005373EB">
        <w:t>,</w:t>
      </w:r>
      <w:r w:rsidR="008D01CC" w:rsidRPr="005373EB">
        <w:t xml:space="preserve"> at least,</w:t>
      </w:r>
      <w:r w:rsidR="00346C90" w:rsidRPr="005373EB">
        <w:t xml:space="preserve"> </w:t>
      </w:r>
      <w:r w:rsidR="006A6FC1" w:rsidRPr="005373EB">
        <w:t xml:space="preserve">the </w:t>
      </w:r>
      <w:r w:rsidR="00811DA5" w:rsidRPr="005373EB">
        <w:t xml:space="preserve">land </w:t>
      </w:r>
      <w:r w:rsidR="00346C90" w:rsidRPr="005373EB">
        <w:t xml:space="preserve">sector </w:t>
      </w:r>
      <w:r w:rsidR="006A6FC1" w:rsidRPr="005373EB">
        <w:t>i</w:t>
      </w:r>
      <w:r w:rsidR="00FC0088" w:rsidRPr="005373EB">
        <w:t>s treated differently</w:t>
      </w:r>
      <w:r w:rsidR="00146367" w:rsidRPr="005373EB">
        <w:t>.</w:t>
      </w:r>
      <w:r w:rsidR="006A6FC1" w:rsidRPr="005373EB">
        <w:t xml:space="preserve"> </w:t>
      </w:r>
    </w:p>
    <w:p w14:paraId="7A29DC09" w14:textId="1E5BAAA2" w:rsidR="00085C90" w:rsidRPr="005373EB" w:rsidRDefault="003D744C" w:rsidP="00A6084E">
      <w:pPr>
        <w:pStyle w:val="BodyText"/>
      </w:pPr>
      <w:r w:rsidRPr="005373EB">
        <w:t>The approach that has been communicated for New Zealand</w:t>
      </w:r>
      <w:r w:rsidR="009460D2" w:rsidRPr="005373EB">
        <w:t>’</w:t>
      </w:r>
      <w:r w:rsidRPr="005373EB">
        <w:t xml:space="preserve">s </w:t>
      </w:r>
      <w:r w:rsidR="00E92A2A" w:rsidRPr="005373EB">
        <w:t xml:space="preserve">first </w:t>
      </w:r>
      <w:r w:rsidR="00DC1D65">
        <w:t>N</w:t>
      </w:r>
      <w:r w:rsidR="00E92A2A" w:rsidRPr="005373EB">
        <w:t xml:space="preserve">ationally </w:t>
      </w:r>
      <w:r w:rsidR="00DC1D65">
        <w:t>D</w:t>
      </w:r>
      <w:r w:rsidR="00E92A2A" w:rsidRPr="005373EB">
        <w:t xml:space="preserve">etermined </w:t>
      </w:r>
      <w:r w:rsidR="00DC1D65">
        <w:t>C</w:t>
      </w:r>
      <w:r w:rsidR="00E92A2A" w:rsidRPr="005373EB">
        <w:t>ontribution</w:t>
      </w:r>
      <w:r w:rsidRPr="005373EB">
        <w:t xml:space="preserve"> </w:t>
      </w:r>
      <w:r w:rsidR="00353463" w:rsidRPr="005373EB">
        <w:t xml:space="preserve">under the Paris Agreement </w:t>
      </w:r>
      <w:r w:rsidRPr="005373EB">
        <w:t>builds on the accounting rules of the Kyoto Protocol, which were used for New Zealand</w:t>
      </w:r>
      <w:r w:rsidR="001F0684" w:rsidRPr="005373EB">
        <w:t>’</w:t>
      </w:r>
      <w:r w:rsidRPr="005373EB">
        <w:t>s 2008</w:t>
      </w:r>
      <w:r w:rsidR="001F0684" w:rsidRPr="005373EB">
        <w:t>–</w:t>
      </w:r>
      <w:r w:rsidRPr="005373EB">
        <w:t>12 Kyoto Protocol target and its 2013</w:t>
      </w:r>
      <w:r w:rsidR="001F0684" w:rsidRPr="005373EB">
        <w:t>–</w:t>
      </w:r>
      <w:r w:rsidRPr="005373EB">
        <w:t xml:space="preserve">20 target. Target accounting uses gross emissions estimates from the national </w:t>
      </w:r>
      <w:r w:rsidR="008D01CC" w:rsidRPr="005373EB">
        <w:t xml:space="preserve">GHG </w:t>
      </w:r>
      <w:r w:rsidR="00D14E9E" w:rsidRPr="005373EB">
        <w:t>I</w:t>
      </w:r>
      <w:r w:rsidRPr="005373EB">
        <w:t>nventor</w:t>
      </w:r>
      <w:r w:rsidR="00E318C4" w:rsidRPr="005373EB">
        <w:t xml:space="preserve">y </w:t>
      </w:r>
      <w:r w:rsidRPr="005373EB">
        <w:t xml:space="preserve">but accounts for </w:t>
      </w:r>
      <w:r w:rsidR="00353463" w:rsidRPr="005373EB">
        <w:t xml:space="preserve">the </w:t>
      </w:r>
      <w:r w:rsidRPr="005373EB">
        <w:t xml:space="preserve">land </w:t>
      </w:r>
      <w:r w:rsidR="00353463" w:rsidRPr="005373EB">
        <w:t>sector</w:t>
      </w:r>
      <w:r w:rsidRPr="005373EB">
        <w:t xml:space="preserve"> differently. The removals used for target accounting</w:t>
      </w:r>
      <w:r w:rsidR="00D07818" w:rsidRPr="005373EB">
        <w:t>,</w:t>
      </w:r>
      <w:r w:rsidRPr="005373EB">
        <w:t xml:space="preserve"> a subset of </w:t>
      </w:r>
      <w:r w:rsidR="00512DB6" w:rsidRPr="005373EB">
        <w:t>net</w:t>
      </w:r>
      <w:r w:rsidRPr="005373EB">
        <w:t xml:space="preserve"> removals</w:t>
      </w:r>
      <w:r w:rsidR="00D07818" w:rsidRPr="005373EB">
        <w:t xml:space="preserve"> from the land sector</w:t>
      </w:r>
      <w:r w:rsidRPr="005373EB">
        <w:t xml:space="preserve">, are also published in </w:t>
      </w:r>
      <w:r w:rsidR="00D14E9E" w:rsidRPr="005373EB">
        <w:t xml:space="preserve">the </w:t>
      </w:r>
      <w:r w:rsidR="00353463" w:rsidRPr="005373EB">
        <w:t>GHG</w:t>
      </w:r>
      <w:r w:rsidRPr="005373EB">
        <w:t xml:space="preserve"> </w:t>
      </w:r>
      <w:r w:rsidR="00D14E9E" w:rsidRPr="005373EB">
        <w:t>I</w:t>
      </w:r>
      <w:r w:rsidRPr="005373EB">
        <w:t>nventory.</w:t>
      </w:r>
      <w:r w:rsidR="00D07818" w:rsidRPr="005373EB">
        <w:t xml:space="preserve"> </w:t>
      </w:r>
    </w:p>
    <w:p w14:paraId="76B6DFBB" w14:textId="621AABA6" w:rsidR="00AF6542" w:rsidRPr="005373EB" w:rsidRDefault="00085C90" w:rsidP="009460D2">
      <w:pPr>
        <w:pStyle w:val="BodyText"/>
      </w:pPr>
      <w:r w:rsidRPr="005373EB">
        <w:t xml:space="preserve">New Zealand has also communicated that it will apply a long-term average carbon stock (‘averaging’) approach to </w:t>
      </w:r>
      <w:r w:rsidR="00810B7A" w:rsidRPr="005373EB">
        <w:t xml:space="preserve">accounting for </w:t>
      </w:r>
      <w:r w:rsidRPr="005373EB">
        <w:t xml:space="preserve">the emissions and removals from </w:t>
      </w:r>
      <w:r w:rsidR="002D139A" w:rsidRPr="005373EB">
        <w:t>afforestation activities (</w:t>
      </w:r>
      <w:r w:rsidR="00FD2875" w:rsidRPr="005373EB">
        <w:t>that is</w:t>
      </w:r>
      <w:r w:rsidR="002D139A" w:rsidRPr="005373EB">
        <w:t xml:space="preserve">, </w:t>
      </w:r>
      <w:r w:rsidRPr="005373EB">
        <w:t xml:space="preserve">forests </w:t>
      </w:r>
      <w:r w:rsidR="002D139A" w:rsidRPr="005373EB">
        <w:t xml:space="preserve">that have been </w:t>
      </w:r>
      <w:r w:rsidR="00810B7A" w:rsidRPr="005373EB">
        <w:t>established since 1990</w:t>
      </w:r>
      <w:r w:rsidR="002D139A" w:rsidRPr="005373EB">
        <w:t>)</w:t>
      </w:r>
      <w:r w:rsidRPr="005373EB">
        <w:t xml:space="preserve">, as well as using a reference-level approach for accounting for pre-1990 forests. All </w:t>
      </w:r>
      <w:r w:rsidR="00231446" w:rsidRPr="005373EB">
        <w:t>emissions</w:t>
      </w:r>
      <w:r w:rsidR="008A1DBE" w:rsidRPr="005373EB">
        <w:t xml:space="preserve"> from </w:t>
      </w:r>
      <w:r w:rsidRPr="005373EB">
        <w:t xml:space="preserve">deforestation </w:t>
      </w:r>
      <w:r w:rsidR="008A1DBE" w:rsidRPr="005373EB">
        <w:t xml:space="preserve">activities </w:t>
      </w:r>
      <w:r w:rsidR="00231446" w:rsidRPr="005373EB">
        <w:t>are</w:t>
      </w:r>
      <w:r w:rsidRPr="005373EB">
        <w:t xml:space="preserve"> included in the accounting.</w:t>
      </w:r>
      <w:r w:rsidR="00231446" w:rsidRPr="005373EB">
        <w:t xml:space="preserve"> </w:t>
      </w:r>
    </w:p>
    <w:p w14:paraId="04062CD8" w14:textId="32662A4A" w:rsidR="007B0CAC" w:rsidRPr="005373EB" w:rsidRDefault="007B0CAC" w:rsidP="009460D2">
      <w:pPr>
        <w:pStyle w:val="BodyText"/>
      </w:pPr>
      <w:r w:rsidRPr="005373EB">
        <w:lastRenderedPageBreak/>
        <w:t>The Commission’s advice a</w:t>
      </w:r>
      <w:r w:rsidR="001254B1" w:rsidRPr="005373EB">
        <w:t>pplied</w:t>
      </w:r>
      <w:r w:rsidRPr="005373EB">
        <w:t xml:space="preserve"> </w:t>
      </w:r>
      <w:r w:rsidR="001254B1" w:rsidRPr="005373EB">
        <w:t xml:space="preserve">a variation of these </w:t>
      </w:r>
      <w:r w:rsidRPr="005373EB">
        <w:t xml:space="preserve">accounting rules </w:t>
      </w:r>
      <w:r w:rsidR="001254B1" w:rsidRPr="005373EB">
        <w:t xml:space="preserve">to </w:t>
      </w:r>
      <w:r w:rsidR="00C67A3D" w:rsidRPr="005373EB">
        <w:t xml:space="preserve">its </w:t>
      </w:r>
      <w:r w:rsidR="001254B1" w:rsidRPr="005373EB">
        <w:t xml:space="preserve">recommended emissions budgets. </w:t>
      </w:r>
      <w:r w:rsidR="002D139A" w:rsidRPr="005373EB">
        <w:t xml:space="preserve">They </w:t>
      </w:r>
      <w:r w:rsidR="009D797B" w:rsidRPr="005373EB">
        <w:t>included afforestation</w:t>
      </w:r>
      <w:r w:rsidR="00855053" w:rsidRPr="005373EB">
        <w:t xml:space="preserve"> (also applying the averaging approach)</w:t>
      </w:r>
      <w:r w:rsidR="009D797B" w:rsidRPr="005373EB">
        <w:t xml:space="preserve"> and deforestation only.</w:t>
      </w:r>
      <w:r w:rsidR="00735E2C" w:rsidRPr="005373EB">
        <w:t xml:space="preserve"> </w:t>
      </w:r>
    </w:p>
    <w:p w14:paraId="1E99238B" w14:textId="7F7E728B" w:rsidR="00A06B17" w:rsidRPr="005373EB" w:rsidRDefault="00BE7F9A" w:rsidP="006B6E21">
      <w:pPr>
        <w:pStyle w:val="BodyText"/>
        <w:keepLines/>
      </w:pPr>
      <w:r w:rsidRPr="005373EB">
        <w:t xml:space="preserve">The </w:t>
      </w:r>
      <w:r w:rsidR="00BF69A1" w:rsidRPr="005373EB">
        <w:t>Climate Change Response Act 2002</w:t>
      </w:r>
      <w:r w:rsidRPr="005373EB">
        <w:t xml:space="preserve"> </w:t>
      </w:r>
      <w:r w:rsidR="006E549B" w:rsidRPr="005373EB">
        <w:t>directs</w:t>
      </w:r>
      <w:r w:rsidRPr="005373EB">
        <w:t xml:space="preserve"> that </w:t>
      </w:r>
      <w:r w:rsidR="00AB5B1B" w:rsidRPr="005373EB">
        <w:t xml:space="preserve">accounting against </w:t>
      </w:r>
      <w:r w:rsidR="006C3909" w:rsidRPr="005373EB">
        <w:t>the target for 2050</w:t>
      </w:r>
      <w:r w:rsidR="00AB5B1B" w:rsidRPr="005373EB">
        <w:t xml:space="preserve"> and for emissions budgets </w:t>
      </w:r>
      <w:r w:rsidR="00FF1118" w:rsidRPr="005373EB">
        <w:t>require</w:t>
      </w:r>
      <w:r w:rsidR="00BA01E4" w:rsidRPr="005373EB">
        <w:t xml:space="preserve">s </w:t>
      </w:r>
      <w:r w:rsidR="00A06B17" w:rsidRPr="005373EB">
        <w:t>net</w:t>
      </w:r>
      <w:r w:rsidR="009460D2" w:rsidRPr="005373EB">
        <w:t xml:space="preserve"> </w:t>
      </w:r>
      <w:r w:rsidR="00A06B17" w:rsidRPr="005373EB">
        <w:t>accounting </w:t>
      </w:r>
      <w:r w:rsidR="00AB5B1B" w:rsidRPr="005373EB">
        <w:t xml:space="preserve">of </w:t>
      </w:r>
      <w:r w:rsidR="00A06B17" w:rsidRPr="005373EB">
        <w:t>emissions</w:t>
      </w:r>
      <w:r w:rsidR="00AB5B1B" w:rsidRPr="005373EB">
        <w:t xml:space="preserve"> as reported in the New </w:t>
      </w:r>
      <w:r w:rsidR="006E549B" w:rsidRPr="005373EB">
        <w:t>Zealand</w:t>
      </w:r>
      <w:r w:rsidR="00AB5B1B" w:rsidRPr="005373EB">
        <w:t xml:space="preserve"> </w:t>
      </w:r>
      <w:r w:rsidR="00F029F1" w:rsidRPr="005373EB">
        <w:t>GHG</w:t>
      </w:r>
      <w:r w:rsidR="00AB5B1B" w:rsidRPr="005373EB">
        <w:t xml:space="preserve"> Inventory. This</w:t>
      </w:r>
      <w:r w:rsidR="00A06B17" w:rsidRPr="005373EB">
        <w:t> means</w:t>
      </w:r>
      <w:r w:rsidR="00AB5B1B" w:rsidRPr="005373EB">
        <w:t xml:space="preserve"> </w:t>
      </w:r>
      <w:r w:rsidR="006E549B" w:rsidRPr="005373EB">
        <w:t xml:space="preserve">it will follow a production approach and that </w:t>
      </w:r>
      <w:r w:rsidR="00E00682" w:rsidRPr="005373EB">
        <w:t xml:space="preserve">accounting against budgets will </w:t>
      </w:r>
      <w:r w:rsidR="00A67E7A" w:rsidRPr="005373EB">
        <w:t>include</w:t>
      </w:r>
      <w:r w:rsidR="00E00682" w:rsidRPr="005373EB">
        <w:t xml:space="preserve"> emissions </w:t>
      </w:r>
      <w:r w:rsidR="00A67E7A" w:rsidRPr="005373EB">
        <w:t xml:space="preserve">and removals from all five sectors (energy, </w:t>
      </w:r>
      <w:r w:rsidR="00E44BF3" w:rsidRPr="005373EB">
        <w:t>industrial processes and product use</w:t>
      </w:r>
      <w:r w:rsidR="00A67E7A" w:rsidRPr="005373EB">
        <w:t>, agriculture, waste</w:t>
      </w:r>
      <w:r w:rsidR="008D5685">
        <w:t>,</w:t>
      </w:r>
      <w:r w:rsidR="00A67E7A" w:rsidRPr="005373EB">
        <w:t xml:space="preserve"> and </w:t>
      </w:r>
      <w:r w:rsidR="008D5685" w:rsidRPr="008D5685">
        <w:t>land use, land-use change and forestry</w:t>
      </w:r>
      <w:r w:rsidR="00A67E7A" w:rsidRPr="005373EB">
        <w:t>)</w:t>
      </w:r>
      <w:r w:rsidR="000A2166" w:rsidRPr="005373EB">
        <w:t>,</w:t>
      </w:r>
      <w:r w:rsidR="00A67E7A" w:rsidRPr="005373EB">
        <w:t xml:space="preserve"> as </w:t>
      </w:r>
      <w:r w:rsidR="00732268" w:rsidRPr="005373EB">
        <w:t>well as offshore mitigation</w:t>
      </w:r>
      <w:r w:rsidR="005F2B62" w:rsidRPr="005373EB">
        <w:t>.</w:t>
      </w:r>
    </w:p>
    <w:p w14:paraId="0CE03D38" w14:textId="795B2749" w:rsidR="00A471F3" w:rsidRPr="005373EB" w:rsidRDefault="00A471F3" w:rsidP="009460D2">
      <w:pPr>
        <w:pStyle w:val="BodyText"/>
      </w:pPr>
      <w:r w:rsidRPr="005373EB">
        <w:t xml:space="preserve">Reducing emissions that are out of scope of the approach we are using </w:t>
      </w:r>
      <w:r w:rsidR="787FF786" w:rsidRPr="005373EB">
        <w:t>is</w:t>
      </w:r>
      <w:r w:rsidRPr="005373EB">
        <w:t xml:space="preserve"> still beneficial, but they do not count towards the emissions budgets.</w:t>
      </w:r>
      <w:r w:rsidR="00766501" w:rsidRPr="005373EB">
        <w:t xml:space="preserve"> </w:t>
      </w:r>
      <w:r w:rsidR="00E47E75" w:rsidRPr="005373EB">
        <w:t>E</w:t>
      </w:r>
      <w:r w:rsidRPr="005373EB">
        <w:t>xamples of where this is the case</w:t>
      </w:r>
      <w:r w:rsidR="00E47E75" w:rsidRPr="005373EB">
        <w:t xml:space="preserve"> are as follows.</w:t>
      </w:r>
    </w:p>
    <w:p w14:paraId="119933A3" w14:textId="1125A558" w:rsidR="00A471F3" w:rsidRPr="005373EB" w:rsidRDefault="00A471F3" w:rsidP="00FF6AA8">
      <w:pPr>
        <w:pStyle w:val="Bulletmfe"/>
      </w:pPr>
      <w:r w:rsidRPr="005373EB">
        <w:t>Reducing amount of iron, steel and concrete that is used in construction: This will count</w:t>
      </w:r>
      <w:r w:rsidR="009460D2" w:rsidRPr="005373EB">
        <w:t> </w:t>
      </w:r>
      <w:r w:rsidRPr="005373EB">
        <w:t>towards meeting emissions budgets for the portion of these products that are domestically produced but not when the products are imports (although the action will</w:t>
      </w:r>
      <w:r w:rsidR="009460D2" w:rsidRPr="005373EB">
        <w:t> </w:t>
      </w:r>
      <w:r w:rsidRPr="005373EB">
        <w:t>contribute to global emissions reductions).</w:t>
      </w:r>
    </w:p>
    <w:p w14:paraId="3D5EA0B9" w14:textId="31AE108F" w:rsidR="00A471F3" w:rsidRPr="005373EB" w:rsidRDefault="3BDC638C" w:rsidP="00FF6AA8">
      <w:pPr>
        <w:pStyle w:val="Bulletmfe"/>
      </w:pPr>
      <w:r w:rsidRPr="005373EB">
        <w:t>Holidaying domestically rather than internationally</w:t>
      </w:r>
      <w:r w:rsidR="4F067CAA" w:rsidRPr="005373EB">
        <w:t>.</w:t>
      </w:r>
      <w:r w:rsidRPr="005373EB">
        <w:t xml:space="preserve"> </w:t>
      </w:r>
      <w:r w:rsidR="4F067CAA" w:rsidRPr="005373EB">
        <w:t>T</w:t>
      </w:r>
      <w:r w:rsidRPr="005373EB">
        <w:t>his will actually increase our domestic emissions although the overall global impact would likely be a reduction in emissions, so such an action is beneficial.</w:t>
      </w:r>
    </w:p>
    <w:p w14:paraId="4C32A733" w14:textId="227C977E" w:rsidR="00A471F3" w:rsidRPr="005373EB" w:rsidRDefault="00A471F3" w:rsidP="007D418B">
      <w:pPr>
        <w:pStyle w:val="Heading2"/>
      </w:pPr>
      <w:bookmarkStart w:id="30" w:name="_Toc103773261"/>
      <w:r w:rsidRPr="005373EB">
        <w:t xml:space="preserve">Global </w:t>
      </w:r>
      <w:r w:rsidR="00B81DD0" w:rsidRPr="005373EB">
        <w:t>w</w:t>
      </w:r>
      <w:r w:rsidRPr="005373EB">
        <w:t xml:space="preserve">arming </w:t>
      </w:r>
      <w:r w:rsidR="00B81DD0" w:rsidRPr="005373EB">
        <w:t>p</w:t>
      </w:r>
      <w:r w:rsidRPr="005373EB">
        <w:t>otentials</w:t>
      </w:r>
      <w:bookmarkEnd w:id="30"/>
    </w:p>
    <w:p w14:paraId="4E452FE2" w14:textId="4A9CF3C5" w:rsidR="00A471F3" w:rsidRPr="005373EB" w:rsidRDefault="00A471F3" w:rsidP="009460D2">
      <w:pPr>
        <w:pStyle w:val="BodyText"/>
      </w:pPr>
      <w:r w:rsidRPr="005373EB">
        <w:t>Global warming potentials (GWPs) are used when aggregating non-</w:t>
      </w:r>
      <w:r w:rsidR="00F94C30" w:rsidRPr="005373EB">
        <w:t>carbon dioxide (</w:t>
      </w:r>
      <w:r w:rsidRPr="005373EB">
        <w:t>CO</w:t>
      </w:r>
      <w:r w:rsidRPr="005373EB">
        <w:rPr>
          <w:vertAlign w:val="subscript"/>
        </w:rPr>
        <w:t>2</w:t>
      </w:r>
      <w:r w:rsidR="00F94C30" w:rsidRPr="005373EB">
        <w:t>)</w:t>
      </w:r>
      <w:r w:rsidRPr="005373EB">
        <w:t xml:space="preserve"> </w:t>
      </w:r>
      <w:r w:rsidR="00BC24E5" w:rsidRPr="005373EB">
        <w:t>GHGs</w:t>
      </w:r>
      <w:r w:rsidRPr="005373EB">
        <w:t xml:space="preserve"> </w:t>
      </w:r>
      <w:r w:rsidR="00923A63" w:rsidRPr="005373EB">
        <w:t xml:space="preserve">because </w:t>
      </w:r>
      <w:r w:rsidRPr="005373EB">
        <w:t xml:space="preserve">different </w:t>
      </w:r>
      <w:r w:rsidR="004F3BD8" w:rsidRPr="005373EB">
        <w:t>GHGs</w:t>
      </w:r>
      <w:r w:rsidRPr="005373EB">
        <w:t xml:space="preserve"> have different warming impacts.</w:t>
      </w:r>
      <w:r w:rsidR="00766501" w:rsidRPr="005373EB">
        <w:t xml:space="preserve"> </w:t>
      </w:r>
      <w:r w:rsidR="000A2C58" w:rsidRPr="005373EB">
        <w:t>It is important when comparing</w:t>
      </w:r>
      <w:r w:rsidR="00BA5F1D" w:rsidRPr="005373EB">
        <w:t xml:space="preserve"> and/or aggregating</w:t>
      </w:r>
      <w:r w:rsidR="000A2C58" w:rsidRPr="005373EB">
        <w:t xml:space="preserve"> emissions that a consistent set of </w:t>
      </w:r>
      <w:r w:rsidR="004713F9" w:rsidRPr="005373EB">
        <w:t>GWPs</w:t>
      </w:r>
      <w:r w:rsidR="000A2C58" w:rsidRPr="005373EB">
        <w:t xml:space="preserve"> </w:t>
      </w:r>
      <w:r w:rsidR="6D15BE52" w:rsidRPr="005373EB">
        <w:t>is</w:t>
      </w:r>
      <w:r w:rsidR="000A2C58" w:rsidRPr="005373EB">
        <w:t xml:space="preserve"> used</w:t>
      </w:r>
      <w:r w:rsidR="6D15BE52" w:rsidRPr="005373EB">
        <w:t>,</w:t>
      </w:r>
      <w:r w:rsidR="000A2C58" w:rsidRPr="005373EB">
        <w:t xml:space="preserve"> otherwise the comparisons can be misleading.</w:t>
      </w:r>
      <w:r w:rsidR="00766501" w:rsidRPr="005373EB">
        <w:t xml:space="preserve"> </w:t>
      </w:r>
      <w:r w:rsidR="007A60BA" w:rsidRPr="005373EB">
        <w:t>N</w:t>
      </w:r>
      <w:r w:rsidR="00DF795C" w:rsidRPr="005373EB">
        <w:t xml:space="preserve">ew </w:t>
      </w:r>
      <w:r w:rsidR="007A60BA" w:rsidRPr="005373EB">
        <w:t>Z</w:t>
      </w:r>
      <w:r w:rsidR="00DF795C" w:rsidRPr="005373EB">
        <w:t>ealand</w:t>
      </w:r>
      <w:r w:rsidR="007A60BA" w:rsidRPr="005373EB">
        <w:t>’s</w:t>
      </w:r>
      <w:r w:rsidRPr="005373EB">
        <w:t xml:space="preserve"> GHG </w:t>
      </w:r>
      <w:r w:rsidR="00DF795C" w:rsidRPr="005373EB">
        <w:t>I</w:t>
      </w:r>
      <w:r w:rsidRPr="005373EB">
        <w:t>nventory, projections</w:t>
      </w:r>
      <w:r w:rsidR="00844305" w:rsidRPr="005373EB">
        <w:t>,</w:t>
      </w:r>
      <w:r w:rsidRPr="005373EB">
        <w:t xml:space="preserve"> and emissions budgets all apply GWPs to calculate aggregate totals.</w:t>
      </w:r>
    </w:p>
    <w:p w14:paraId="03BBAA26" w14:textId="124D6095" w:rsidR="00846253" w:rsidRPr="005373EB" w:rsidRDefault="00A471F3" w:rsidP="009460D2">
      <w:pPr>
        <w:pStyle w:val="BodyText"/>
      </w:pPr>
      <w:r w:rsidRPr="005373EB">
        <w:t xml:space="preserve">Emissions in the </w:t>
      </w:r>
      <w:r w:rsidR="00660682">
        <w:t>emissions reduction plan</w:t>
      </w:r>
      <w:r w:rsidR="00660682" w:rsidRPr="005373EB">
        <w:t xml:space="preserve"> </w:t>
      </w:r>
      <w:r w:rsidRPr="005373EB">
        <w:t xml:space="preserve">are calculated using GWPs (any exceptions will be clearly noted) from the </w:t>
      </w:r>
      <w:r w:rsidR="0068762E" w:rsidRPr="005373EB">
        <w:t xml:space="preserve">Intergovernmental Panel on Climate Change </w:t>
      </w:r>
      <w:r w:rsidR="00B44E87" w:rsidRPr="005373EB">
        <w:t>(</w:t>
      </w:r>
      <w:r w:rsidRPr="005373EB">
        <w:t>IPCC</w:t>
      </w:r>
      <w:r w:rsidR="00B44E87" w:rsidRPr="005373EB">
        <w:t>)</w:t>
      </w:r>
      <w:r w:rsidRPr="005373EB">
        <w:t xml:space="preserve"> Fifth Assessment Report, 2014 (AR5) based on </w:t>
      </w:r>
      <w:r w:rsidR="00B44E87" w:rsidRPr="005373EB">
        <w:t xml:space="preserve">a </w:t>
      </w:r>
      <w:r w:rsidRPr="005373EB">
        <w:t>100-year time horizon (warming impact over this period) relative to CO</w:t>
      </w:r>
      <w:r w:rsidRPr="005373EB">
        <w:rPr>
          <w:vertAlign w:val="subscript"/>
        </w:rPr>
        <w:t>2</w:t>
      </w:r>
      <w:r w:rsidRPr="005373EB">
        <w:t>.</w:t>
      </w:r>
      <w:r w:rsidR="00766501" w:rsidRPr="005373EB">
        <w:t xml:space="preserve"> </w:t>
      </w:r>
      <w:r w:rsidRPr="005373EB">
        <w:t xml:space="preserve">New Zealand’s emissions outputs are in the process of transitioning from using </w:t>
      </w:r>
      <w:r w:rsidR="0011765D" w:rsidRPr="005373EB">
        <w:t>IPCC Fourth Assessment Report</w:t>
      </w:r>
      <w:r w:rsidR="000B197E" w:rsidRPr="005373EB">
        <w:t xml:space="preserve"> (</w:t>
      </w:r>
      <w:r w:rsidRPr="005373EB">
        <w:t>AR4</w:t>
      </w:r>
      <w:r w:rsidR="000B197E" w:rsidRPr="005373EB">
        <w:t>)</w:t>
      </w:r>
      <w:r w:rsidRPr="005373EB">
        <w:t xml:space="preserve"> GWPs</w:t>
      </w:r>
      <w:r w:rsidR="00AA0D96" w:rsidRPr="005373EB">
        <w:t xml:space="preserve">, which </w:t>
      </w:r>
      <w:r w:rsidR="008147B4" w:rsidRPr="005373EB">
        <w:t>are</w:t>
      </w:r>
      <w:r w:rsidR="00AA0D96" w:rsidRPr="005373EB">
        <w:t xml:space="preserve"> applied to the 2022 GHG </w:t>
      </w:r>
      <w:r w:rsidR="00670BA9" w:rsidRPr="005373EB">
        <w:t>I</w:t>
      </w:r>
      <w:r w:rsidR="00AA0D96" w:rsidRPr="005373EB">
        <w:t>nventory (1990</w:t>
      </w:r>
      <w:r w:rsidR="00670BA9" w:rsidRPr="005373EB">
        <w:t>–</w:t>
      </w:r>
      <w:r w:rsidR="00AA0D96" w:rsidRPr="005373EB">
        <w:t>2020)</w:t>
      </w:r>
      <w:r w:rsidR="00732378" w:rsidRPr="005373EB">
        <w:t xml:space="preserve"> submission,</w:t>
      </w:r>
      <w:r w:rsidRPr="005373EB">
        <w:t xml:space="preserve"> to AR5</w:t>
      </w:r>
      <w:r w:rsidR="00732378" w:rsidRPr="005373EB">
        <w:t>, which will be applied to the 2023 submission</w:t>
      </w:r>
      <w:r w:rsidR="009C70B5" w:rsidRPr="005373EB">
        <w:t xml:space="preserve"> onwards</w:t>
      </w:r>
      <w:r w:rsidRPr="005373EB">
        <w:t>.</w:t>
      </w:r>
      <w:r w:rsidR="00766501" w:rsidRPr="005373EB">
        <w:t xml:space="preserve"> </w:t>
      </w:r>
      <w:r w:rsidRPr="005373EB">
        <w:t>The Commission’s analysis was largely calculated and presented in AR4 terms</w:t>
      </w:r>
      <w:r w:rsidR="009C70B5" w:rsidRPr="005373EB">
        <w:t>.</w:t>
      </w:r>
      <w:r w:rsidR="00D866EC" w:rsidRPr="005373EB">
        <w:t xml:space="preserve"> However, the Commission </w:t>
      </w:r>
      <w:r w:rsidR="00CC6BEB" w:rsidRPr="005373EB">
        <w:t xml:space="preserve">notably </w:t>
      </w:r>
      <w:r w:rsidR="00D866EC" w:rsidRPr="005373EB">
        <w:t xml:space="preserve">presented </w:t>
      </w:r>
      <w:r w:rsidR="00CC6BEB" w:rsidRPr="005373EB">
        <w:t>its</w:t>
      </w:r>
      <w:r w:rsidR="00D866EC" w:rsidRPr="005373EB">
        <w:t xml:space="preserve"> final recommend</w:t>
      </w:r>
      <w:r w:rsidR="00CC6BEB" w:rsidRPr="005373EB">
        <w:t>ed emissions budgets in AR5.</w:t>
      </w:r>
    </w:p>
    <w:p w14:paraId="1934D81B" w14:textId="77777777" w:rsidR="007D418B" w:rsidRPr="005373EB" w:rsidRDefault="007D418B" w:rsidP="007D418B">
      <w:pPr>
        <w:pStyle w:val="BodyText"/>
      </w:pPr>
      <w:r w:rsidRPr="005373EB">
        <w:br w:type="page"/>
      </w:r>
    </w:p>
    <w:p w14:paraId="25A0419C" w14:textId="4ABAAA4A" w:rsidR="005857E6" w:rsidRPr="005373EB" w:rsidRDefault="00ED09D2" w:rsidP="007D418B">
      <w:pPr>
        <w:pStyle w:val="Heading1"/>
      </w:pPr>
      <w:bookmarkStart w:id="31" w:name="_Toc103773262"/>
      <w:r>
        <w:lastRenderedPageBreak/>
        <w:t>Summary of methods and assumptions</w:t>
      </w:r>
      <w:bookmarkEnd w:id="31"/>
    </w:p>
    <w:p w14:paraId="4AAF85A7" w14:textId="27C3C43E" w:rsidR="005A71A6" w:rsidRPr="005373EB" w:rsidRDefault="00162B5C" w:rsidP="009460D2">
      <w:pPr>
        <w:pStyle w:val="BodyText"/>
      </w:pPr>
      <w:r w:rsidRPr="005373EB">
        <w:t xml:space="preserve">The modelling exercise to quantify the emissions impacts of the </w:t>
      </w:r>
      <w:r w:rsidR="00660682">
        <w:t>emissions reduction plan</w:t>
      </w:r>
      <w:r w:rsidR="00660682" w:rsidRPr="005373EB">
        <w:t xml:space="preserve"> </w:t>
      </w:r>
      <w:r w:rsidRPr="005373EB">
        <w:t>policies and measures has been extensive</w:t>
      </w:r>
      <w:r w:rsidR="00A25971" w:rsidRPr="005373EB">
        <w:t xml:space="preserve"> and </w:t>
      </w:r>
      <w:r w:rsidR="550C37C4" w:rsidRPr="005373EB">
        <w:t>include</w:t>
      </w:r>
      <w:r w:rsidR="2043EE9B" w:rsidRPr="005373EB">
        <w:t>s</w:t>
      </w:r>
      <w:r w:rsidR="550C37C4" w:rsidRPr="005373EB">
        <w:t xml:space="preserve"> a large number of policies</w:t>
      </w:r>
      <w:r w:rsidR="298A058D" w:rsidRPr="005373EB">
        <w:t>.</w:t>
      </w:r>
      <w:r w:rsidR="00353197" w:rsidRPr="005373EB">
        <w:t xml:space="preserve"> </w:t>
      </w:r>
      <w:r w:rsidR="00B343C1" w:rsidRPr="005373EB">
        <w:t>Some policy impacts have been modelled individually whereas other</w:t>
      </w:r>
      <w:r w:rsidR="00141B5E" w:rsidRPr="005373EB">
        <w:t>s</w:t>
      </w:r>
      <w:r w:rsidR="00B343C1" w:rsidRPr="005373EB">
        <w:t xml:space="preserve"> have been </w:t>
      </w:r>
      <w:r w:rsidR="004B064A" w:rsidRPr="005373EB">
        <w:t xml:space="preserve">modelled </w:t>
      </w:r>
      <w:r w:rsidR="00141B5E" w:rsidRPr="005373EB">
        <w:t xml:space="preserve">in groups of policies </w:t>
      </w:r>
      <w:r w:rsidR="004B064A" w:rsidRPr="005373EB">
        <w:t>in a way that captures interactions between the policies.</w:t>
      </w:r>
      <w:r w:rsidR="00353197" w:rsidRPr="005373EB">
        <w:t xml:space="preserve"> </w:t>
      </w:r>
    </w:p>
    <w:p w14:paraId="54B3E612" w14:textId="7F95656D" w:rsidR="00B11D46" w:rsidRPr="005373EB" w:rsidRDefault="005A71A6" w:rsidP="009460D2">
      <w:pPr>
        <w:pStyle w:val="BodyText"/>
      </w:pPr>
      <w:r w:rsidRPr="005373EB">
        <w:t>This section provides information about the policies that have been quantified and included in</w:t>
      </w:r>
      <w:r w:rsidR="009460D2" w:rsidRPr="005373EB">
        <w:t> </w:t>
      </w:r>
      <w:hyperlink w:anchor="table1" w:history="1">
        <w:r w:rsidR="00A65AED" w:rsidRPr="005373EB">
          <w:rPr>
            <w:rStyle w:val="Hyperlink"/>
          </w:rPr>
          <w:t>t</w:t>
        </w:r>
        <w:r w:rsidRPr="005373EB">
          <w:rPr>
            <w:rStyle w:val="Hyperlink"/>
          </w:rPr>
          <w:t>able 1</w:t>
        </w:r>
      </w:hyperlink>
      <w:r w:rsidRPr="005373EB">
        <w:t xml:space="preserve"> and </w:t>
      </w:r>
      <w:hyperlink w:anchor="table2" w:history="1">
        <w:r w:rsidR="00A65AED" w:rsidRPr="005373EB">
          <w:rPr>
            <w:rStyle w:val="Hyperlink"/>
          </w:rPr>
          <w:t xml:space="preserve">table </w:t>
        </w:r>
        <w:r w:rsidRPr="005373EB">
          <w:rPr>
            <w:rStyle w:val="Hyperlink"/>
          </w:rPr>
          <w:t>2</w:t>
        </w:r>
      </w:hyperlink>
      <w:r w:rsidR="0069267C" w:rsidRPr="005373EB">
        <w:t>,</w:t>
      </w:r>
      <w:r w:rsidRPr="005373EB">
        <w:t xml:space="preserve"> as well as </w:t>
      </w:r>
      <w:r w:rsidR="006A3582" w:rsidRPr="005373EB">
        <w:t>summary information</w:t>
      </w:r>
      <w:r w:rsidRPr="005373EB">
        <w:t xml:space="preserve"> about the modelling of those policies.</w:t>
      </w:r>
      <w:r w:rsidR="00353197" w:rsidRPr="005373EB">
        <w:t xml:space="preserve"> </w:t>
      </w:r>
      <w:r w:rsidR="00227165" w:rsidRPr="005373EB">
        <w:t>The modelling has been largely sector based and</w:t>
      </w:r>
      <w:r w:rsidR="0069267C" w:rsidRPr="005373EB">
        <w:t>,</w:t>
      </w:r>
      <w:r w:rsidR="00227165" w:rsidRPr="005373EB">
        <w:t xml:space="preserve"> for this reason</w:t>
      </w:r>
      <w:r w:rsidR="0069267C" w:rsidRPr="005373EB">
        <w:t>,</w:t>
      </w:r>
      <w:r w:rsidR="00227165" w:rsidRPr="005373EB">
        <w:t xml:space="preserve"> the information is grouped by</w:t>
      </w:r>
      <w:r w:rsidR="009460D2" w:rsidRPr="005373EB">
        <w:t> </w:t>
      </w:r>
      <w:r w:rsidR="00227165" w:rsidRPr="005373EB">
        <w:t>sector</w:t>
      </w:r>
      <w:r w:rsidR="003B7C7B" w:rsidRPr="005373EB">
        <w:t>.</w:t>
      </w:r>
    </w:p>
    <w:p w14:paraId="2CA0D26F" w14:textId="77777777" w:rsidR="00655602" w:rsidRPr="005373EB" w:rsidRDefault="00655602" w:rsidP="007D418B">
      <w:pPr>
        <w:pStyle w:val="Heading2"/>
      </w:pPr>
      <w:bookmarkStart w:id="32" w:name="_Toc103773263"/>
      <w:r w:rsidRPr="005373EB">
        <w:t>Transport</w:t>
      </w:r>
      <w:bookmarkEnd w:id="32"/>
    </w:p>
    <w:p w14:paraId="30B5C591" w14:textId="33837F6F" w:rsidR="00655602" w:rsidRPr="005373EB" w:rsidRDefault="00655602" w:rsidP="009460D2">
      <w:pPr>
        <w:pStyle w:val="BodyText"/>
      </w:pPr>
      <w:r w:rsidRPr="005373EB">
        <w:t xml:space="preserve">The quantification of policy impacts for the </w:t>
      </w:r>
      <w:r w:rsidR="006A36BB" w:rsidRPr="005373EB">
        <w:t>t</w:t>
      </w:r>
      <w:r w:rsidR="00484EAC" w:rsidRPr="005373EB">
        <w:t>ransport</w:t>
      </w:r>
      <w:r w:rsidRPr="005373EB">
        <w:t xml:space="preserve"> sector was undertaken by </w:t>
      </w:r>
      <w:r w:rsidR="00132FB3" w:rsidRPr="005373EB">
        <w:t xml:space="preserve">the </w:t>
      </w:r>
      <w:r w:rsidR="00484EAC" w:rsidRPr="005373EB">
        <w:t>M</w:t>
      </w:r>
      <w:r w:rsidR="00132FB3" w:rsidRPr="005373EB">
        <w:t xml:space="preserve">inistry of </w:t>
      </w:r>
      <w:r w:rsidR="00484EAC" w:rsidRPr="005373EB">
        <w:t>T</w:t>
      </w:r>
      <w:r w:rsidR="00132FB3" w:rsidRPr="005373EB">
        <w:t>ransport</w:t>
      </w:r>
      <w:r w:rsidRPr="005373EB">
        <w:t>.</w:t>
      </w:r>
    </w:p>
    <w:p w14:paraId="00FCD6BB" w14:textId="6F7A719A" w:rsidR="00655602" w:rsidRPr="005373EB" w:rsidRDefault="00DE4E88" w:rsidP="003357F4">
      <w:pPr>
        <w:pStyle w:val="Heading3"/>
        <w:spacing w:before="240" w:after="120"/>
        <w:rPr>
          <w:szCs w:val="28"/>
        </w:rPr>
      </w:pPr>
      <w:r w:rsidRPr="005373EB">
        <w:t>Policies</w:t>
      </w:r>
      <w:r w:rsidR="00655602" w:rsidRPr="005373EB">
        <w:t xml:space="preserve"> and measures </w:t>
      </w:r>
      <w:r w:rsidR="00655602" w:rsidRPr="005373EB">
        <w:rPr>
          <w:szCs w:val="28"/>
        </w:rPr>
        <w:t>that have been quantified</w:t>
      </w:r>
      <w:r w:rsidRPr="005373EB">
        <w:rPr>
          <w:rStyle w:val="FootnoteReference"/>
          <w:rFonts w:ascii="Georgia" w:hAnsi="Georgia"/>
          <w:sz w:val="28"/>
          <w:szCs w:val="28"/>
        </w:rPr>
        <w:footnoteReference w:id="12"/>
      </w:r>
    </w:p>
    <w:p w14:paraId="1592B9A0" w14:textId="0BFEEA20" w:rsidR="00DE4E88" w:rsidRPr="005373EB" w:rsidRDefault="00DE4E88" w:rsidP="00D7247D">
      <w:pPr>
        <w:pStyle w:val="Bulletmfe"/>
      </w:pPr>
      <w:r w:rsidRPr="005373EB">
        <w:t>Clean vehicle standard and discount (including vehicle fuel economy labelling)</w:t>
      </w:r>
      <w:r w:rsidR="00D34A04">
        <w:t>.</w:t>
      </w:r>
    </w:p>
    <w:p w14:paraId="38E7D9C3" w14:textId="4D68872B" w:rsidR="00DE4E88" w:rsidRPr="005373EB" w:rsidRDefault="00DE4E88" w:rsidP="00D7247D">
      <w:pPr>
        <w:pStyle w:val="Bulletmfe"/>
      </w:pPr>
      <w:r w:rsidRPr="005373EB">
        <w:t>Decarbonising all public transport buses by the end of 2035</w:t>
      </w:r>
      <w:r w:rsidR="00D34A04">
        <w:t>.</w:t>
      </w:r>
      <w:r w:rsidRPr="005373EB">
        <w:rPr>
          <w:vertAlign w:val="superscript"/>
        </w:rPr>
        <w:footnoteReference w:id="13"/>
      </w:r>
    </w:p>
    <w:p w14:paraId="3199CEE1" w14:textId="3E1669A4" w:rsidR="00DE4E88" w:rsidRPr="005373EB" w:rsidRDefault="00DE4E88" w:rsidP="00D7247D">
      <w:pPr>
        <w:pStyle w:val="Bulletmfe"/>
      </w:pPr>
      <w:r w:rsidRPr="005373EB">
        <w:t xml:space="preserve">Light EV </w:t>
      </w:r>
      <w:r w:rsidR="00FB78F6" w:rsidRPr="005373EB">
        <w:t>r</w:t>
      </w:r>
      <w:r w:rsidRPr="005373EB">
        <w:t xml:space="preserve">oad </w:t>
      </w:r>
      <w:r w:rsidR="00FB78F6" w:rsidRPr="005373EB">
        <w:t>u</w:t>
      </w:r>
      <w:r w:rsidRPr="005373EB">
        <w:t xml:space="preserve">ser </w:t>
      </w:r>
      <w:r w:rsidR="00FB78F6" w:rsidRPr="005373EB">
        <w:t>c</w:t>
      </w:r>
      <w:r w:rsidRPr="005373EB">
        <w:t>harge</w:t>
      </w:r>
      <w:r w:rsidR="001A3ED6" w:rsidRPr="005373EB">
        <w:t xml:space="preserve"> </w:t>
      </w:r>
      <w:r w:rsidRPr="005373EB">
        <w:t>exemption</w:t>
      </w:r>
      <w:r w:rsidR="00D34A04">
        <w:t>.</w:t>
      </w:r>
    </w:p>
    <w:p w14:paraId="74A25AB0" w14:textId="7CDF9D6E" w:rsidR="00DE4E88" w:rsidRPr="005373EB" w:rsidRDefault="00DE4E88" w:rsidP="00D7247D">
      <w:pPr>
        <w:pStyle w:val="Bulletmfe"/>
      </w:pPr>
      <w:r w:rsidRPr="005373EB">
        <w:t xml:space="preserve">Sustainable </w:t>
      </w:r>
      <w:r w:rsidR="007B2A2C" w:rsidRPr="005373EB">
        <w:t>b</w:t>
      </w:r>
      <w:r w:rsidRPr="005373EB">
        <w:t xml:space="preserve">iofuels </w:t>
      </w:r>
      <w:r w:rsidR="007B2A2C" w:rsidRPr="005373EB">
        <w:t>o</w:t>
      </w:r>
      <w:r w:rsidR="007F39B1" w:rsidRPr="005373EB">
        <w:t>bligation</w:t>
      </w:r>
      <w:r w:rsidR="00D34A04">
        <w:t>.</w:t>
      </w:r>
    </w:p>
    <w:p w14:paraId="2528E1A0" w14:textId="29A77189" w:rsidR="000563BD" w:rsidRPr="005373EB" w:rsidRDefault="00853900" w:rsidP="00D7247D">
      <w:pPr>
        <w:pStyle w:val="Bulletmfe"/>
      </w:pPr>
      <w:bookmarkStart w:id="33" w:name="_Hlk102049711"/>
      <w:r w:rsidRPr="005373EB">
        <w:t xml:space="preserve">More efficient rail locomotives and ferries as funded through Budget 21 (Future of Rail </w:t>
      </w:r>
      <w:r w:rsidR="003B47B4" w:rsidRPr="005373EB">
        <w:br/>
      </w:r>
      <w:r w:rsidR="009460D2" w:rsidRPr="005373EB">
        <w:t>–</w:t>
      </w:r>
      <w:r w:rsidRPr="005373EB">
        <w:t xml:space="preserve"> rolling stock and ferries)</w:t>
      </w:r>
      <w:bookmarkEnd w:id="33"/>
      <w:r w:rsidR="00D34A04">
        <w:t>.</w:t>
      </w:r>
    </w:p>
    <w:p w14:paraId="511B0A13" w14:textId="17BB4FE4" w:rsidR="004E5243" w:rsidRPr="005373EB" w:rsidRDefault="00853900" w:rsidP="00D7247D">
      <w:pPr>
        <w:pStyle w:val="Bulletmfe"/>
      </w:pPr>
      <w:r w:rsidRPr="005373EB">
        <w:t>Initial investments to improve safety and access to public transport and active modes</w:t>
      </w:r>
      <w:r w:rsidR="00D34A04">
        <w:t>.</w:t>
      </w:r>
    </w:p>
    <w:p w14:paraId="1600BE5C" w14:textId="0D8C8BF5" w:rsidR="00DE4E88" w:rsidRPr="005373EB" w:rsidRDefault="00DE4E88" w:rsidP="00D7247D">
      <w:pPr>
        <w:pStyle w:val="Bulletmfe"/>
      </w:pPr>
      <w:r w:rsidRPr="005373EB">
        <w:t>ETS price corridor increase</w:t>
      </w:r>
      <w:r w:rsidR="003069D4" w:rsidRPr="005373EB">
        <w:t>.</w:t>
      </w:r>
    </w:p>
    <w:p w14:paraId="1F40ED53" w14:textId="77777777" w:rsidR="00655602" w:rsidRPr="005373EB" w:rsidRDefault="00655602" w:rsidP="003357F4">
      <w:pPr>
        <w:pStyle w:val="Heading3"/>
        <w:spacing w:before="240"/>
      </w:pPr>
      <w:r w:rsidRPr="005373EB">
        <w:t>Key policies and measures that have not been quantified</w:t>
      </w:r>
    </w:p>
    <w:p w14:paraId="1261D54F" w14:textId="56FF3BB3" w:rsidR="0050468C" w:rsidRPr="005373EB" w:rsidRDefault="00853900" w:rsidP="003B47B4">
      <w:pPr>
        <w:pStyle w:val="BodyText"/>
      </w:pPr>
      <w:r w:rsidRPr="005373EB">
        <w:t>The following actions have not been explicitly quantified beyond the policy impact of the initial investments to improve safety and access to public transport and active modes</w:t>
      </w:r>
      <w:r w:rsidR="00D34A04">
        <w:t>:</w:t>
      </w:r>
    </w:p>
    <w:p w14:paraId="4E40FD4F" w14:textId="50208E46" w:rsidR="0050468C" w:rsidRPr="005373EB" w:rsidRDefault="0050468C" w:rsidP="00D7247D">
      <w:pPr>
        <w:pStyle w:val="Bulletmfe"/>
        <w:rPr>
          <w:rFonts w:eastAsiaTheme="minorEastAsia"/>
        </w:rPr>
      </w:pPr>
      <w:r w:rsidRPr="005373EB">
        <w:rPr>
          <w:rFonts w:eastAsiaTheme="minorEastAsia"/>
        </w:rPr>
        <w:t>Action 1.1. Integrate land use planning, urban development and transport planning and investments to reduce transport emissions</w:t>
      </w:r>
      <w:r w:rsidR="00D34A04">
        <w:rPr>
          <w:rFonts w:eastAsiaTheme="minorEastAsia"/>
        </w:rPr>
        <w:t>.</w:t>
      </w:r>
    </w:p>
    <w:p w14:paraId="2E428FB9" w14:textId="15288FC7" w:rsidR="0050468C" w:rsidRPr="005373EB" w:rsidRDefault="0050468C" w:rsidP="00D7247D">
      <w:pPr>
        <w:pStyle w:val="Bulletmfe"/>
        <w:rPr>
          <w:rFonts w:eastAsiaTheme="minorEastAsia"/>
        </w:rPr>
      </w:pPr>
      <w:r w:rsidRPr="005373EB">
        <w:rPr>
          <w:rFonts w:eastAsiaTheme="minorEastAsia"/>
        </w:rPr>
        <w:t>Action 1.2. Support people to walk, cycle and use public transport</w:t>
      </w:r>
      <w:r w:rsidR="00D34A04">
        <w:rPr>
          <w:rFonts w:eastAsiaTheme="minorEastAsia"/>
        </w:rPr>
        <w:t>.</w:t>
      </w:r>
    </w:p>
    <w:p w14:paraId="4A9085BF" w14:textId="11842267" w:rsidR="0050468C" w:rsidRPr="005373EB" w:rsidRDefault="0050468C" w:rsidP="00D7247D">
      <w:pPr>
        <w:pStyle w:val="Bulletmfe"/>
        <w:rPr>
          <w:rFonts w:eastAsiaTheme="minorEastAsia"/>
        </w:rPr>
      </w:pPr>
      <w:r w:rsidRPr="005373EB">
        <w:rPr>
          <w:rFonts w:eastAsiaTheme="minorEastAsia"/>
        </w:rPr>
        <w:t>Action 1.3 Enable congestion charging and investigate other pricing and demand management tools to reduce transport emissions</w:t>
      </w:r>
      <w:r w:rsidR="00D34A04">
        <w:rPr>
          <w:rFonts w:eastAsiaTheme="minorEastAsia"/>
        </w:rPr>
        <w:t>.</w:t>
      </w:r>
    </w:p>
    <w:p w14:paraId="2567CC8D" w14:textId="6F75B3EB" w:rsidR="0050468C" w:rsidRPr="005373EB" w:rsidRDefault="0050468C" w:rsidP="00D7247D">
      <w:pPr>
        <w:pStyle w:val="Bulletmfe"/>
        <w:rPr>
          <w:rFonts w:eastAsiaTheme="minorEastAsia"/>
        </w:rPr>
      </w:pPr>
      <w:r w:rsidRPr="005373EB">
        <w:rPr>
          <w:rFonts w:eastAsiaTheme="minorEastAsia"/>
        </w:rPr>
        <w:lastRenderedPageBreak/>
        <w:t>Action 1.4. Require roadway expansion and investment in new highways to be consistent with transport targets</w:t>
      </w:r>
      <w:r w:rsidR="00D34A04">
        <w:rPr>
          <w:rFonts w:eastAsiaTheme="minorEastAsia"/>
        </w:rPr>
        <w:t>.</w:t>
      </w:r>
    </w:p>
    <w:p w14:paraId="1A1F00BC" w14:textId="78299CEA" w:rsidR="0050468C" w:rsidRPr="005373EB" w:rsidRDefault="0050468C" w:rsidP="00D7247D">
      <w:pPr>
        <w:pStyle w:val="Bulletmfe"/>
        <w:rPr>
          <w:rFonts w:eastAsiaTheme="minorEastAsia"/>
        </w:rPr>
      </w:pPr>
      <w:r w:rsidRPr="005373EB">
        <w:rPr>
          <w:rFonts w:eastAsiaTheme="minorEastAsia"/>
        </w:rPr>
        <w:t>Action 1.5. Embed nature-based solutions as part of our response to reduce transport emissions and improve climate adaptation and biodiversity outcomes</w:t>
      </w:r>
      <w:r w:rsidR="0001093E" w:rsidRPr="005373EB">
        <w:rPr>
          <w:rFonts w:eastAsiaTheme="minorEastAsia"/>
        </w:rPr>
        <w:t>.</w:t>
      </w:r>
    </w:p>
    <w:p w14:paraId="733D3504" w14:textId="6ED2B605" w:rsidR="0050468C" w:rsidRPr="005373EB" w:rsidRDefault="0050468C" w:rsidP="00FF6AA8">
      <w:pPr>
        <w:pStyle w:val="Bulletmfe"/>
        <w:numPr>
          <w:ilvl w:val="0"/>
          <w:numId w:val="0"/>
        </w:numPr>
      </w:pPr>
      <w:r w:rsidRPr="005373EB">
        <w:t xml:space="preserve">The following actions have not been explicitly quantified beyond what is covered by the Clean </w:t>
      </w:r>
      <w:r w:rsidR="1CB177DB" w:rsidRPr="005373EB">
        <w:t>Vehicle Standard</w:t>
      </w:r>
      <w:r w:rsidRPr="005373EB">
        <w:t xml:space="preserve"> and </w:t>
      </w:r>
      <w:r w:rsidR="1CB177DB" w:rsidRPr="005373EB">
        <w:t>Discount</w:t>
      </w:r>
      <w:r w:rsidRPr="005373EB">
        <w:t xml:space="preserve"> (including vehicle fuel economy labelling) and the Light </w:t>
      </w:r>
      <w:r w:rsidR="1CB177DB" w:rsidRPr="005373EB">
        <w:t>EV</w:t>
      </w:r>
      <w:r w:rsidRPr="005373EB">
        <w:t xml:space="preserve"> </w:t>
      </w:r>
      <w:r w:rsidR="00FB78F6" w:rsidRPr="005373EB">
        <w:t>r</w:t>
      </w:r>
      <w:r w:rsidRPr="005373EB">
        <w:t xml:space="preserve">oad </w:t>
      </w:r>
      <w:r w:rsidR="00FB78F6" w:rsidRPr="005373EB">
        <w:t>u</w:t>
      </w:r>
      <w:r w:rsidRPr="005373EB">
        <w:t xml:space="preserve">ser </w:t>
      </w:r>
      <w:r w:rsidR="00FB78F6" w:rsidRPr="005373EB">
        <w:t>c</w:t>
      </w:r>
      <w:r w:rsidRPr="005373EB">
        <w:t>harge exemption</w:t>
      </w:r>
      <w:r w:rsidR="00D34A04">
        <w:t>:</w:t>
      </w:r>
    </w:p>
    <w:p w14:paraId="0E27D27E" w14:textId="472ADA84" w:rsidR="0050468C" w:rsidRPr="005373EB" w:rsidRDefault="0050468C" w:rsidP="00D7247D">
      <w:pPr>
        <w:pStyle w:val="Bulletmfe"/>
        <w:rPr>
          <w:rFonts w:eastAsiaTheme="minorEastAsia"/>
        </w:rPr>
      </w:pPr>
      <w:r w:rsidRPr="005373EB">
        <w:rPr>
          <w:rFonts w:eastAsiaTheme="minorEastAsia"/>
        </w:rPr>
        <w:t>Action 2.1. Accelerate the uptake of low-emission vehicles</w:t>
      </w:r>
      <w:r w:rsidR="00D34A04">
        <w:rPr>
          <w:rFonts w:eastAsiaTheme="minorEastAsia"/>
        </w:rPr>
        <w:t>.</w:t>
      </w:r>
    </w:p>
    <w:p w14:paraId="28C2DEF4" w14:textId="5F40773A" w:rsidR="0050468C" w:rsidRPr="005373EB" w:rsidRDefault="0050468C" w:rsidP="00D7247D">
      <w:pPr>
        <w:pStyle w:val="Bulletmfe"/>
        <w:rPr>
          <w:rFonts w:eastAsiaTheme="minorEastAsia"/>
        </w:rPr>
      </w:pPr>
      <w:r w:rsidRPr="005373EB">
        <w:rPr>
          <w:rFonts w:eastAsiaTheme="minorEastAsia"/>
        </w:rPr>
        <w:t>Action 2.2 Make low-emissions vehicles more accessible for low-income and transport disadvantaged New Zealanders</w:t>
      </w:r>
      <w:r w:rsidR="00D34A04">
        <w:rPr>
          <w:rFonts w:eastAsiaTheme="minorEastAsia"/>
        </w:rPr>
        <w:t>.</w:t>
      </w:r>
    </w:p>
    <w:p w14:paraId="56EFEC70" w14:textId="6F06CA0B" w:rsidR="0050468C" w:rsidRPr="005373EB" w:rsidRDefault="0050468C" w:rsidP="00D7247D">
      <w:pPr>
        <w:pStyle w:val="Bulletmfe"/>
        <w:rPr>
          <w:rFonts w:eastAsiaTheme="minorEastAsia"/>
        </w:rPr>
      </w:pPr>
      <w:r w:rsidRPr="005373EB">
        <w:rPr>
          <w:rFonts w:eastAsiaTheme="minorEastAsia"/>
        </w:rPr>
        <w:t>Action 2.3. Support the roll</w:t>
      </w:r>
      <w:r w:rsidR="00911E69" w:rsidRPr="005373EB">
        <w:rPr>
          <w:rFonts w:eastAsiaTheme="minorEastAsia"/>
        </w:rPr>
        <w:t xml:space="preserve"> </w:t>
      </w:r>
      <w:r w:rsidRPr="005373EB">
        <w:rPr>
          <w:rFonts w:eastAsiaTheme="minorEastAsia"/>
        </w:rPr>
        <w:t>out of EV charging infrastructure</w:t>
      </w:r>
      <w:r w:rsidR="00A77772" w:rsidRPr="005373EB">
        <w:rPr>
          <w:rFonts w:eastAsiaTheme="minorEastAsia"/>
        </w:rPr>
        <w:t>.</w:t>
      </w:r>
    </w:p>
    <w:p w14:paraId="1283FC0A" w14:textId="4C710F15" w:rsidR="00BD312B" w:rsidRPr="005373EB" w:rsidRDefault="00853900" w:rsidP="00FF6AA8">
      <w:pPr>
        <w:pStyle w:val="Bulletmfe"/>
        <w:numPr>
          <w:ilvl w:val="0"/>
          <w:numId w:val="0"/>
        </w:numPr>
      </w:pPr>
      <w:r w:rsidRPr="005373EB">
        <w:t>The following actions have not been explicitly quantified beyond what is covered by our estimates for the emission</w:t>
      </w:r>
      <w:r w:rsidR="00441B80" w:rsidRPr="005373EB">
        <w:t>s</w:t>
      </w:r>
      <w:r w:rsidRPr="005373EB">
        <w:t xml:space="preserve"> impact of more efficient rail locomotives and ferries as funded through Budget 21 </w:t>
      </w:r>
      <w:r w:rsidR="00BD312B" w:rsidRPr="005373EB">
        <w:t>(</w:t>
      </w:r>
      <w:r w:rsidRPr="005373EB">
        <w:t xml:space="preserve">Future of Rail </w:t>
      </w:r>
      <w:r w:rsidR="00A77772" w:rsidRPr="005373EB">
        <w:t>–</w:t>
      </w:r>
      <w:r w:rsidRPr="005373EB">
        <w:t xml:space="preserve"> rolling stock and ferries)</w:t>
      </w:r>
      <w:r w:rsidR="00451524" w:rsidRPr="005373EB">
        <w:t>:</w:t>
      </w:r>
    </w:p>
    <w:p w14:paraId="3CBBF479" w14:textId="00307D38" w:rsidR="0050468C" w:rsidRPr="005373EB" w:rsidRDefault="0050468C" w:rsidP="00D7247D">
      <w:pPr>
        <w:pStyle w:val="Bulletmfe"/>
      </w:pPr>
      <w:r w:rsidRPr="005373EB">
        <w:t>Action 3.1. Support the decarbonisation of freight</w:t>
      </w:r>
      <w:r w:rsidR="00D34A04">
        <w:t>.</w:t>
      </w:r>
    </w:p>
    <w:p w14:paraId="119E97A2" w14:textId="2A685924" w:rsidR="0050468C" w:rsidRPr="005373EB" w:rsidRDefault="0050468C" w:rsidP="00D7247D">
      <w:pPr>
        <w:pStyle w:val="Bulletmfe"/>
        <w:rPr>
          <w:rFonts w:eastAsiaTheme="minorEastAsia"/>
        </w:rPr>
      </w:pPr>
      <w:r w:rsidRPr="005373EB">
        <w:rPr>
          <w:rFonts w:eastAsiaTheme="minorEastAsia"/>
        </w:rPr>
        <w:t>Action 3.3. Work to decarbonise aviation</w:t>
      </w:r>
      <w:r w:rsidR="00D34A04">
        <w:rPr>
          <w:rFonts w:eastAsiaTheme="minorEastAsia"/>
        </w:rPr>
        <w:t>.</w:t>
      </w:r>
    </w:p>
    <w:p w14:paraId="0C2BD4E2" w14:textId="44736C27" w:rsidR="0050468C" w:rsidRPr="005373EB" w:rsidRDefault="0050468C" w:rsidP="00D7247D">
      <w:pPr>
        <w:pStyle w:val="Bulletmfe"/>
        <w:rPr>
          <w:rFonts w:eastAsiaTheme="minorEastAsia"/>
        </w:rPr>
      </w:pPr>
      <w:r w:rsidRPr="005373EB">
        <w:rPr>
          <w:rFonts w:eastAsiaTheme="minorEastAsia"/>
        </w:rPr>
        <w:t>Action 3.4. Progress the decarbonisation of maritime transport</w:t>
      </w:r>
      <w:r w:rsidR="00A77772" w:rsidRPr="005373EB">
        <w:rPr>
          <w:rFonts w:eastAsiaTheme="minorEastAsia"/>
        </w:rPr>
        <w:t>.</w:t>
      </w:r>
    </w:p>
    <w:p w14:paraId="122CCA13" w14:textId="2AA3CE2D" w:rsidR="00655602" w:rsidRPr="005373EB" w:rsidRDefault="00655602" w:rsidP="00621330">
      <w:pPr>
        <w:pStyle w:val="Heading3"/>
        <w:spacing w:after="120"/>
      </w:pPr>
      <w:r w:rsidRPr="005373EB">
        <w:t>Key policies and measures already included in the baseline</w:t>
      </w:r>
      <w:r w:rsidR="00852225" w:rsidRPr="005373EB">
        <w:t> </w:t>
      </w:r>
      <w:r w:rsidRPr="005373EB">
        <w:t>projections</w:t>
      </w:r>
    </w:p>
    <w:p w14:paraId="5B50ED2E" w14:textId="3B8473C9" w:rsidR="00655602" w:rsidRPr="005373EB" w:rsidRDefault="00655602" w:rsidP="00D7247D">
      <w:pPr>
        <w:pStyle w:val="Bulletmfe"/>
        <w:rPr>
          <w:rFonts w:eastAsiaTheme="minorEastAsia"/>
        </w:rPr>
      </w:pPr>
      <w:r w:rsidRPr="005373EB">
        <w:rPr>
          <w:rFonts w:eastAsiaTheme="minorEastAsia"/>
        </w:rPr>
        <w:t xml:space="preserve">ETS impact </w:t>
      </w:r>
      <w:r w:rsidR="00CF5E29" w:rsidRPr="005373EB">
        <w:rPr>
          <w:rFonts w:eastAsiaTheme="minorEastAsia"/>
        </w:rPr>
        <w:t>before</w:t>
      </w:r>
      <w:r w:rsidRPr="005373EB">
        <w:rPr>
          <w:rFonts w:eastAsiaTheme="minorEastAsia"/>
        </w:rPr>
        <w:t xml:space="preserve"> price corridor increase</w:t>
      </w:r>
      <w:r w:rsidR="00D34A04">
        <w:rPr>
          <w:rFonts w:eastAsiaTheme="minorEastAsia"/>
        </w:rPr>
        <w:t>.</w:t>
      </w:r>
    </w:p>
    <w:p w14:paraId="5683DB06" w14:textId="635AB897" w:rsidR="00384FB1" w:rsidRPr="005373EB" w:rsidRDefault="00E74E6D" w:rsidP="00D7247D">
      <w:pPr>
        <w:pStyle w:val="Bulletmfe"/>
        <w:rPr>
          <w:rFonts w:cs="Calibri"/>
          <w:shd w:val="clear" w:color="auto" w:fill="FFFFFF"/>
        </w:rPr>
      </w:pPr>
      <w:r w:rsidRPr="005373EB">
        <w:t xml:space="preserve">Road </w:t>
      </w:r>
      <w:r w:rsidR="00FB78F6" w:rsidRPr="005373EB">
        <w:t>u</w:t>
      </w:r>
      <w:r w:rsidRPr="005373EB">
        <w:t xml:space="preserve">ser </w:t>
      </w:r>
      <w:r w:rsidR="00FB78F6" w:rsidRPr="005373EB">
        <w:t>c</w:t>
      </w:r>
      <w:r w:rsidRPr="005373EB">
        <w:t>harge</w:t>
      </w:r>
      <w:r w:rsidR="00384FB1" w:rsidRPr="005373EB">
        <w:rPr>
          <w:rFonts w:cs="Calibri"/>
          <w:shd w:val="clear" w:color="auto" w:fill="FFFFFF"/>
        </w:rPr>
        <w:t xml:space="preserve"> exemption for light </w:t>
      </w:r>
      <w:r w:rsidR="00CF5E29" w:rsidRPr="005373EB">
        <w:rPr>
          <w:rFonts w:cs="Calibri"/>
          <w:shd w:val="clear" w:color="auto" w:fill="FFFFFF"/>
        </w:rPr>
        <w:t>EVs</w:t>
      </w:r>
      <w:r w:rsidR="00384FB1" w:rsidRPr="005373EB">
        <w:rPr>
          <w:rFonts w:cs="Calibri"/>
          <w:shd w:val="clear" w:color="auto" w:fill="FFFFFF"/>
        </w:rPr>
        <w:t xml:space="preserve"> until 2021</w:t>
      </w:r>
      <w:r w:rsidR="00D34A04">
        <w:rPr>
          <w:rFonts w:cs="Calibri"/>
          <w:shd w:val="clear" w:color="auto" w:fill="FFFFFF"/>
        </w:rPr>
        <w:t>.</w:t>
      </w:r>
    </w:p>
    <w:p w14:paraId="2FC9E13F" w14:textId="72299E20" w:rsidR="00384FB1" w:rsidRPr="005373EB" w:rsidRDefault="00E74E6D" w:rsidP="00D7247D">
      <w:pPr>
        <w:pStyle w:val="Bulletmfe"/>
        <w:rPr>
          <w:rFonts w:cs="Calibri"/>
          <w:shd w:val="clear" w:color="auto" w:fill="FFFFFF"/>
        </w:rPr>
      </w:pPr>
      <w:r w:rsidRPr="005373EB">
        <w:t xml:space="preserve">Road </w:t>
      </w:r>
      <w:r w:rsidR="00FB78F6" w:rsidRPr="005373EB">
        <w:t>u</w:t>
      </w:r>
      <w:r w:rsidRPr="005373EB">
        <w:t xml:space="preserve">ser </w:t>
      </w:r>
      <w:r w:rsidR="00FB78F6" w:rsidRPr="005373EB">
        <w:t>c</w:t>
      </w:r>
      <w:r w:rsidRPr="005373EB">
        <w:t>harge</w:t>
      </w:r>
      <w:r w:rsidR="00384FB1" w:rsidRPr="005373EB">
        <w:rPr>
          <w:rFonts w:cs="Calibri"/>
          <w:shd w:val="clear" w:color="auto" w:fill="FFFFFF"/>
        </w:rPr>
        <w:t xml:space="preserve"> exemption for heavy </w:t>
      </w:r>
      <w:r w:rsidR="00CF5E29" w:rsidRPr="005373EB">
        <w:rPr>
          <w:rFonts w:cs="Calibri"/>
          <w:shd w:val="clear" w:color="auto" w:fill="FFFFFF"/>
        </w:rPr>
        <w:t>EVs</w:t>
      </w:r>
      <w:r w:rsidR="00384FB1" w:rsidRPr="005373EB">
        <w:rPr>
          <w:rFonts w:cs="Calibri"/>
          <w:shd w:val="clear" w:color="auto" w:fill="FFFFFF"/>
        </w:rPr>
        <w:t xml:space="preserve"> until 2025</w:t>
      </w:r>
      <w:r w:rsidR="00451524" w:rsidRPr="005373EB">
        <w:rPr>
          <w:rFonts w:cs="Calibri"/>
          <w:shd w:val="clear" w:color="auto" w:fill="FFFFFF"/>
        </w:rPr>
        <w:t>.</w:t>
      </w:r>
    </w:p>
    <w:p w14:paraId="59A8DBAB" w14:textId="261CDC79" w:rsidR="00655602" w:rsidRPr="005373EB" w:rsidRDefault="007F39B1" w:rsidP="0001093E">
      <w:pPr>
        <w:pStyle w:val="BodyText"/>
      </w:pPr>
      <w:r w:rsidRPr="005373EB">
        <w:t>Emissions from producing electricity used in transport are captured in energy emissions</w:t>
      </w:r>
      <w:r w:rsidR="005C325C" w:rsidRPr="005373EB">
        <w:t xml:space="preserve"> and</w:t>
      </w:r>
      <w:r w:rsidRPr="005373EB">
        <w:t xml:space="preserve"> not transport emissions.</w:t>
      </w:r>
    </w:p>
    <w:p w14:paraId="3E000A89" w14:textId="4924B7D1" w:rsidR="00655602" w:rsidRPr="005373EB" w:rsidRDefault="00655602" w:rsidP="003357F4">
      <w:pPr>
        <w:pStyle w:val="Heading3"/>
        <w:spacing w:before="240"/>
      </w:pPr>
      <w:r w:rsidRPr="005373EB">
        <w:t>Summary details of modelling approach and key</w:t>
      </w:r>
      <w:r w:rsidR="00852225" w:rsidRPr="005373EB">
        <w:t> </w:t>
      </w:r>
      <w:r w:rsidRPr="005373EB">
        <w:t>assumptions</w:t>
      </w:r>
    </w:p>
    <w:p w14:paraId="22E7E9E6" w14:textId="2139023D" w:rsidR="00384FB1" w:rsidRPr="005373EB" w:rsidRDefault="00384FB1" w:rsidP="006B6E21">
      <w:pPr>
        <w:pStyle w:val="Heading4"/>
        <w:spacing w:before="240" w:after="120"/>
      </w:pPr>
      <w:r w:rsidRPr="005373EB">
        <w:t>Clean vehicle standard and discount (including vehicle fuel economy</w:t>
      </w:r>
      <w:r w:rsidR="006B6E21" w:rsidRPr="005373EB">
        <w:t> </w:t>
      </w:r>
      <w:r w:rsidRPr="005373EB">
        <w:t>labelling)</w:t>
      </w:r>
    </w:p>
    <w:p w14:paraId="3604DB45" w14:textId="28AAECF6" w:rsidR="00384FB1" w:rsidRPr="005373EB" w:rsidRDefault="00384FB1" w:rsidP="00965E42">
      <w:pPr>
        <w:pStyle w:val="Bulletmfe"/>
      </w:pPr>
      <w:r w:rsidRPr="005373EB">
        <w:t xml:space="preserve">From the default scenario in the clean vehicle package </w:t>
      </w:r>
      <w:r w:rsidR="00F43708">
        <w:t>cost benefit analysis</w:t>
      </w:r>
      <w:r w:rsidR="005E79BA">
        <w:t xml:space="preserve"> </w:t>
      </w:r>
      <w:r w:rsidRPr="005373EB">
        <w:t>based on March 2021 policy settings</w:t>
      </w:r>
      <w:r w:rsidR="00451524" w:rsidRPr="005373EB">
        <w:t>.</w:t>
      </w:r>
    </w:p>
    <w:p w14:paraId="735CC12D" w14:textId="79A28274" w:rsidR="00384FB1" w:rsidRPr="005373EB" w:rsidRDefault="00384FB1" w:rsidP="00965E42">
      <w:pPr>
        <w:pStyle w:val="Bulletmfe"/>
      </w:pPr>
      <w:r w:rsidRPr="005373EB">
        <w:t>Calculates emission</w:t>
      </w:r>
      <w:r w:rsidR="0069454B" w:rsidRPr="005373EB">
        <w:t>s</w:t>
      </w:r>
      <w:r w:rsidRPr="005373EB">
        <w:t xml:space="preserve"> reductions from the change in vehicle imports due to the clean vehicle discount and the clean vehicle standard.</w:t>
      </w:r>
    </w:p>
    <w:p w14:paraId="486BD6C1" w14:textId="4EFC92E2" w:rsidR="00384FB1" w:rsidRPr="005373EB" w:rsidRDefault="00384FB1" w:rsidP="00965E42">
      <w:pPr>
        <w:pStyle w:val="Bulletmfe"/>
      </w:pPr>
      <w:r w:rsidRPr="005373EB">
        <w:t>Uses default assumptions around behavioural responses to vehicle price</w:t>
      </w:r>
      <w:r w:rsidR="00D86782" w:rsidRPr="005373EB">
        <w:t>,</w:t>
      </w:r>
      <w:r w:rsidRPr="005373EB">
        <w:t xml:space="preserve"> to determine changes in imports by emission band</w:t>
      </w:r>
      <w:r w:rsidR="00451524" w:rsidRPr="005373EB">
        <w:t>.</w:t>
      </w:r>
    </w:p>
    <w:p w14:paraId="6C1A8A3E" w14:textId="69EC495A" w:rsidR="00384FB1" w:rsidRPr="005373EB" w:rsidRDefault="00384FB1" w:rsidP="00965E42">
      <w:pPr>
        <w:pStyle w:val="Bulletmfe"/>
      </w:pPr>
      <w:r w:rsidRPr="005373EB">
        <w:t xml:space="preserve">Accounts for changes in relative vehicle prices, supply and battery performance over time that would increase the uptake of </w:t>
      </w:r>
      <w:r w:rsidR="00D86782" w:rsidRPr="005373EB">
        <w:t>EVs</w:t>
      </w:r>
      <w:r w:rsidR="00451524" w:rsidRPr="005373EB">
        <w:t>.</w:t>
      </w:r>
      <w:r w:rsidRPr="005373EB">
        <w:t xml:space="preserve"> </w:t>
      </w:r>
    </w:p>
    <w:p w14:paraId="51366E73" w14:textId="472B598C" w:rsidR="00384FB1" w:rsidRPr="005373EB" w:rsidRDefault="00384FB1" w:rsidP="00965E42">
      <w:pPr>
        <w:pStyle w:val="Bulletmfe"/>
      </w:pPr>
      <w:r w:rsidRPr="005373EB">
        <w:t>Assumes electricity emissions are zero</w:t>
      </w:r>
      <w:r w:rsidR="00451524" w:rsidRPr="005373EB">
        <w:t>.</w:t>
      </w:r>
    </w:p>
    <w:p w14:paraId="30380A6B" w14:textId="5E365335" w:rsidR="00384FB1" w:rsidRPr="005373EB" w:rsidRDefault="00384FB1" w:rsidP="00965E42">
      <w:pPr>
        <w:pStyle w:val="Bulletmfe"/>
      </w:pPr>
      <w:r w:rsidRPr="005373EB">
        <w:lastRenderedPageBreak/>
        <w:t>Calculates changes in reference to a baseline import fleet projection from the Vehicle Fleet Emissions Model 2021 update</w:t>
      </w:r>
      <w:r w:rsidR="00C96B19" w:rsidRPr="005373EB">
        <w:t>,</w:t>
      </w:r>
      <w:r w:rsidRPr="005373EB">
        <w:t xml:space="preserve"> which uses the 1990</w:t>
      </w:r>
      <w:r w:rsidR="00C96B19" w:rsidRPr="005373EB">
        <w:t>–</w:t>
      </w:r>
      <w:r w:rsidRPr="005373EB">
        <w:t xml:space="preserve">2019 </w:t>
      </w:r>
      <w:r w:rsidR="00C96B19" w:rsidRPr="005373EB">
        <w:t>GHG I</w:t>
      </w:r>
      <w:r w:rsidRPr="005373EB">
        <w:t>nventory update, and under the conditions of an ETS price corridor increase.</w:t>
      </w:r>
    </w:p>
    <w:p w14:paraId="78B0DE86" w14:textId="3E692A24" w:rsidR="00384FB1" w:rsidRPr="005373EB" w:rsidRDefault="00384FB1" w:rsidP="006B6E21">
      <w:pPr>
        <w:pStyle w:val="Heading4"/>
        <w:spacing w:before="240" w:after="120"/>
      </w:pPr>
      <w:r w:rsidRPr="005373EB">
        <w:t xml:space="preserve">Decarbonising all </w:t>
      </w:r>
      <w:r w:rsidR="00EB6AC9" w:rsidRPr="005373EB">
        <w:t>public transport</w:t>
      </w:r>
      <w:r w:rsidRPr="005373EB">
        <w:t xml:space="preserve"> buses by the end of 2035 </w:t>
      </w:r>
    </w:p>
    <w:p w14:paraId="3455BD5B" w14:textId="0C0E6B6C" w:rsidR="00384FB1" w:rsidRPr="005373EB" w:rsidRDefault="00384FB1" w:rsidP="00965E42">
      <w:pPr>
        <w:pStyle w:val="Bulletmfe"/>
      </w:pPr>
      <w:r w:rsidRPr="005373EB">
        <w:t>From the decarbonising the public transport bus fleet by 2035</w:t>
      </w:r>
      <w:r w:rsidR="007F39B1" w:rsidRPr="005373EB">
        <w:t xml:space="preserve"> climate implications of policy assessment</w:t>
      </w:r>
      <w:r w:rsidR="00451524" w:rsidRPr="005373EB">
        <w:t>.</w:t>
      </w:r>
    </w:p>
    <w:p w14:paraId="584E1D81" w14:textId="61310C79" w:rsidR="00384FB1" w:rsidRDefault="00384FB1" w:rsidP="00965E42">
      <w:pPr>
        <w:pStyle w:val="Bulletmfe"/>
      </w:pPr>
      <w:r w:rsidRPr="005373EB">
        <w:t>Three factors drive the change in electric bus numbers by 2035 in the high, central and low effort</w:t>
      </w:r>
      <w:r w:rsidR="00E71A79" w:rsidRPr="005373EB">
        <w:t>–</w:t>
      </w:r>
      <w:r w:rsidRPr="005373EB">
        <w:t xml:space="preserve">impact scenarios: </w:t>
      </w:r>
    </w:p>
    <w:p w14:paraId="7D32A84C" w14:textId="77777777" w:rsidR="00965E42" w:rsidRPr="005373EB" w:rsidRDefault="00965E42" w:rsidP="00085741">
      <w:pPr>
        <w:pStyle w:val="Bulletmfe"/>
        <w:numPr>
          <w:ilvl w:val="0"/>
          <w:numId w:val="6"/>
        </w:numPr>
      </w:pPr>
      <w:r w:rsidRPr="005373EB">
        <w:t>public transport fleet growth</w:t>
      </w:r>
    </w:p>
    <w:p w14:paraId="1B6F6FC9" w14:textId="74054377" w:rsidR="00965E42" w:rsidRPr="005373EB" w:rsidRDefault="00965E42" w:rsidP="00085741">
      <w:pPr>
        <w:pStyle w:val="Bulletmfe"/>
        <w:numPr>
          <w:ilvl w:val="0"/>
          <w:numId w:val="6"/>
        </w:numPr>
      </w:pPr>
      <w:r w:rsidRPr="005373EB">
        <w:t>business as usual electric public transport bus share of fleet</w:t>
      </w:r>
    </w:p>
    <w:p w14:paraId="31B86296" w14:textId="483B07E5" w:rsidR="00965E42" w:rsidRPr="005373EB" w:rsidRDefault="00965E42" w:rsidP="00085741">
      <w:pPr>
        <w:pStyle w:val="Bulletmfe"/>
        <w:numPr>
          <w:ilvl w:val="0"/>
          <w:numId w:val="6"/>
        </w:numPr>
      </w:pPr>
      <w:r w:rsidRPr="005373EB">
        <w:t>scenario growth in electric public transport buses that is fixed to reach 100 per cent of the public transport fleet by the end of 2035.</w:t>
      </w:r>
    </w:p>
    <w:p w14:paraId="47CEC8B6" w14:textId="238BB313" w:rsidR="00384FB1" w:rsidRPr="005373EB" w:rsidRDefault="00D34A04" w:rsidP="00965E42">
      <w:pPr>
        <w:pStyle w:val="Bulletmfe"/>
      </w:pPr>
      <w:r>
        <w:t>P</w:t>
      </w:r>
      <w:r w:rsidR="00384FB1" w:rsidRPr="005373EB">
        <w:t>ublic transport fleet growth</w:t>
      </w:r>
      <w:r>
        <w:t>.</w:t>
      </w:r>
    </w:p>
    <w:p w14:paraId="62F6C8B4" w14:textId="18A2332C" w:rsidR="00384FB1" w:rsidRPr="005373EB" w:rsidRDefault="00D34A04" w:rsidP="00965E42">
      <w:pPr>
        <w:pStyle w:val="Bulletmfe"/>
      </w:pPr>
      <w:r>
        <w:t>B</w:t>
      </w:r>
      <w:r w:rsidR="00E71A79" w:rsidRPr="005373EB">
        <w:t>usiness as usual</w:t>
      </w:r>
      <w:r w:rsidR="00384FB1" w:rsidRPr="005373EB">
        <w:t xml:space="preserve"> electric public transport bus share of fleet</w:t>
      </w:r>
      <w:r>
        <w:t>.</w:t>
      </w:r>
    </w:p>
    <w:p w14:paraId="307E9262" w14:textId="3C0589CE" w:rsidR="00384FB1" w:rsidRPr="005373EB" w:rsidRDefault="00D34A04" w:rsidP="00965E42">
      <w:pPr>
        <w:pStyle w:val="Bulletmfe"/>
      </w:pPr>
      <w:r>
        <w:t>S</w:t>
      </w:r>
      <w:r w:rsidR="00384FB1" w:rsidRPr="005373EB">
        <w:t>cenario growth in electric public transport buses that is fixed to reach 100</w:t>
      </w:r>
      <w:r w:rsidR="00E71A79" w:rsidRPr="005373EB">
        <w:t xml:space="preserve"> per cent</w:t>
      </w:r>
      <w:r w:rsidR="00384FB1" w:rsidRPr="005373EB">
        <w:t xml:space="preserve"> of the </w:t>
      </w:r>
      <w:r w:rsidR="00E71A79" w:rsidRPr="005373EB">
        <w:t>public transport</w:t>
      </w:r>
      <w:r w:rsidR="00384FB1" w:rsidRPr="005373EB">
        <w:t xml:space="preserve"> fleet by the end of 2035</w:t>
      </w:r>
      <w:r>
        <w:t>.</w:t>
      </w:r>
    </w:p>
    <w:p w14:paraId="02C29026" w14:textId="58ECF65D" w:rsidR="00384FB1" w:rsidRPr="005373EB" w:rsidRDefault="00384FB1" w:rsidP="00965E42">
      <w:pPr>
        <w:pStyle w:val="Bulletmfe"/>
      </w:pPr>
      <w:r w:rsidRPr="005373EB">
        <w:t xml:space="preserve">Calculates emissions using the projected number of electric and diesel public transport buses, annual average </w:t>
      </w:r>
      <w:r w:rsidR="007B31DA" w:rsidRPr="005373EB">
        <w:t>vehicle kilometres travelled (</w:t>
      </w:r>
      <w:r w:rsidRPr="005373EB">
        <w:t>VKT</w:t>
      </w:r>
      <w:r w:rsidR="007B31DA" w:rsidRPr="005373EB">
        <w:t>)</w:t>
      </w:r>
      <w:r w:rsidRPr="005373EB">
        <w:t xml:space="preserve"> per public transport bus (this is higher than heavy buses on average), and the emissions per kilometre for public transport buses (this is higher than heavy buses on average)</w:t>
      </w:r>
      <w:r w:rsidR="00D34A04">
        <w:t>.</w:t>
      </w:r>
    </w:p>
    <w:p w14:paraId="6D2851DC" w14:textId="504DAFDA" w:rsidR="00384FB1" w:rsidRPr="005373EB" w:rsidRDefault="00384FB1" w:rsidP="00965E42">
      <w:pPr>
        <w:pStyle w:val="Bulletmfe"/>
      </w:pPr>
      <w:r w:rsidRPr="005373EB">
        <w:t>Assumes electricity emissions are zero.</w:t>
      </w:r>
    </w:p>
    <w:p w14:paraId="11553122" w14:textId="25AF9E68" w:rsidR="00384FB1" w:rsidRPr="005373EB" w:rsidRDefault="00384FB1" w:rsidP="006B6E21">
      <w:pPr>
        <w:pStyle w:val="Heading4"/>
        <w:spacing w:before="240" w:after="120"/>
        <w:rPr>
          <w:shd w:val="clear" w:color="auto" w:fill="FFFFFF"/>
        </w:rPr>
      </w:pPr>
      <w:r w:rsidRPr="005373EB">
        <w:rPr>
          <w:shd w:val="clear" w:color="auto" w:fill="FFFFFF"/>
        </w:rPr>
        <w:t xml:space="preserve">Light </w:t>
      </w:r>
      <w:r w:rsidR="00886902" w:rsidRPr="005373EB">
        <w:rPr>
          <w:shd w:val="clear" w:color="auto" w:fill="FFFFFF"/>
        </w:rPr>
        <w:t>EV</w:t>
      </w:r>
      <w:r w:rsidRPr="005373EB">
        <w:rPr>
          <w:shd w:val="clear" w:color="auto" w:fill="FFFFFF"/>
        </w:rPr>
        <w:t xml:space="preserve"> </w:t>
      </w:r>
      <w:r w:rsidR="00FB78F6" w:rsidRPr="005373EB">
        <w:rPr>
          <w:shd w:val="clear" w:color="auto" w:fill="FFFFFF"/>
        </w:rPr>
        <w:t>r</w:t>
      </w:r>
      <w:r w:rsidRPr="005373EB">
        <w:rPr>
          <w:shd w:val="clear" w:color="auto" w:fill="FFFFFF"/>
        </w:rPr>
        <w:t xml:space="preserve">oad </w:t>
      </w:r>
      <w:r w:rsidR="00FF614C" w:rsidRPr="005373EB">
        <w:rPr>
          <w:shd w:val="clear" w:color="auto" w:fill="FFFFFF"/>
        </w:rPr>
        <w:t>u</w:t>
      </w:r>
      <w:r w:rsidRPr="005373EB">
        <w:rPr>
          <w:shd w:val="clear" w:color="auto" w:fill="FFFFFF"/>
        </w:rPr>
        <w:t xml:space="preserve">ser </w:t>
      </w:r>
      <w:r w:rsidR="00FF614C" w:rsidRPr="005373EB">
        <w:rPr>
          <w:shd w:val="clear" w:color="auto" w:fill="FFFFFF"/>
        </w:rPr>
        <w:t>c</w:t>
      </w:r>
      <w:r w:rsidRPr="005373EB">
        <w:rPr>
          <w:shd w:val="clear" w:color="auto" w:fill="FFFFFF"/>
        </w:rPr>
        <w:t>harge exemption and discount</w:t>
      </w:r>
    </w:p>
    <w:p w14:paraId="0C4A995B" w14:textId="0F2D539A" w:rsidR="00384FB1" w:rsidRPr="005373EB" w:rsidRDefault="00384FB1" w:rsidP="00085741">
      <w:pPr>
        <w:pStyle w:val="Bulletmfe"/>
        <w:rPr>
          <w:shd w:val="clear" w:color="auto" w:fill="FFFFFF"/>
        </w:rPr>
      </w:pPr>
      <w:r w:rsidRPr="005373EB">
        <w:rPr>
          <w:shd w:val="clear" w:color="auto" w:fill="FFFFFF"/>
        </w:rPr>
        <w:t xml:space="preserve">From the Extending the EV exemption from </w:t>
      </w:r>
      <w:r w:rsidR="00FF614C" w:rsidRPr="005373EB">
        <w:rPr>
          <w:shd w:val="clear" w:color="auto" w:fill="FFFFFF"/>
        </w:rPr>
        <w:t>r</w:t>
      </w:r>
      <w:r w:rsidR="00886902" w:rsidRPr="005373EB">
        <w:t xml:space="preserve">oad </w:t>
      </w:r>
      <w:r w:rsidR="00FF614C" w:rsidRPr="005373EB">
        <w:t>u</w:t>
      </w:r>
      <w:r w:rsidR="00886902" w:rsidRPr="005373EB">
        <w:t xml:space="preserve">ser </w:t>
      </w:r>
      <w:r w:rsidR="00FF614C" w:rsidRPr="005373EB">
        <w:t>c</w:t>
      </w:r>
      <w:r w:rsidR="00886902" w:rsidRPr="005373EB">
        <w:t>harge</w:t>
      </w:r>
      <w:r w:rsidRPr="005373EB">
        <w:rPr>
          <w:shd w:val="clear" w:color="auto" w:fill="FFFFFF"/>
        </w:rPr>
        <w:t xml:space="preserve"> </w:t>
      </w:r>
      <w:r w:rsidR="005E79BA">
        <w:rPr>
          <w:shd w:val="clear" w:color="auto" w:fill="FFFFFF"/>
        </w:rPr>
        <w:t>cost benefit analysis</w:t>
      </w:r>
      <w:r w:rsidR="00D34A04">
        <w:rPr>
          <w:shd w:val="clear" w:color="auto" w:fill="FFFFFF"/>
        </w:rPr>
        <w:t>.</w:t>
      </w:r>
    </w:p>
    <w:p w14:paraId="24E9EDC9" w14:textId="1DEC595F" w:rsidR="00384FB1" w:rsidRPr="005373EB" w:rsidRDefault="00384FB1" w:rsidP="00085741">
      <w:pPr>
        <w:pStyle w:val="Bulletmfe"/>
        <w:rPr>
          <w:shd w:val="clear" w:color="auto" w:fill="FFFFFF"/>
        </w:rPr>
      </w:pPr>
      <w:r w:rsidRPr="005373EB">
        <w:rPr>
          <w:shd w:val="clear" w:color="auto" w:fill="FFFFFF"/>
        </w:rPr>
        <w:t xml:space="preserve">Calculates the effects of a </w:t>
      </w:r>
      <w:r w:rsidR="00FF614C" w:rsidRPr="005373EB">
        <w:rPr>
          <w:shd w:val="clear" w:color="auto" w:fill="FFFFFF"/>
        </w:rPr>
        <w:t>r</w:t>
      </w:r>
      <w:r w:rsidR="00A14C79" w:rsidRPr="005373EB">
        <w:t xml:space="preserve">oad </w:t>
      </w:r>
      <w:r w:rsidR="00FF614C" w:rsidRPr="005373EB">
        <w:t>u</w:t>
      </w:r>
      <w:r w:rsidR="00A14C79" w:rsidRPr="005373EB">
        <w:t xml:space="preserve">ser </w:t>
      </w:r>
      <w:r w:rsidR="00FF614C" w:rsidRPr="005373EB">
        <w:t>c</w:t>
      </w:r>
      <w:r w:rsidR="00A14C79" w:rsidRPr="005373EB">
        <w:t>harge</w:t>
      </w:r>
      <w:r w:rsidRPr="005373EB">
        <w:rPr>
          <w:shd w:val="clear" w:color="auto" w:fill="FFFFFF"/>
        </w:rPr>
        <w:t xml:space="preserve"> exemption for light EVs and light plug-in hybrid electric vehicles from 2021 until 2024</w:t>
      </w:r>
      <w:r w:rsidR="00D34A04">
        <w:rPr>
          <w:shd w:val="clear" w:color="auto" w:fill="FFFFFF"/>
        </w:rPr>
        <w:t>.</w:t>
      </w:r>
    </w:p>
    <w:p w14:paraId="3D53F490" w14:textId="4D71B2FC" w:rsidR="00384FB1" w:rsidRPr="005373EB" w:rsidRDefault="00384FB1" w:rsidP="00085741">
      <w:pPr>
        <w:pStyle w:val="Bulletmfe"/>
        <w:rPr>
          <w:shd w:val="clear" w:color="auto" w:fill="FFFFFF"/>
        </w:rPr>
      </w:pPr>
      <w:r w:rsidRPr="005373EB">
        <w:rPr>
          <w:shd w:val="clear" w:color="auto" w:fill="FFFFFF"/>
        </w:rPr>
        <w:t xml:space="preserve">Bases emissions reductions on how many EVs and </w:t>
      </w:r>
      <w:r w:rsidR="00034F46" w:rsidRPr="005373EB">
        <w:rPr>
          <w:shd w:val="clear" w:color="auto" w:fill="FFFFFF"/>
        </w:rPr>
        <w:t>plug-in hybrid electric vehicles</w:t>
      </w:r>
      <w:r w:rsidRPr="005373EB">
        <w:rPr>
          <w:shd w:val="clear" w:color="auto" w:fill="FFFFFF"/>
        </w:rPr>
        <w:t xml:space="preserve"> would displace internal combustion engine purchases due to the exemption</w:t>
      </w:r>
      <w:r w:rsidR="00D34A04">
        <w:rPr>
          <w:shd w:val="clear" w:color="auto" w:fill="FFFFFF"/>
        </w:rPr>
        <w:t>.</w:t>
      </w:r>
    </w:p>
    <w:p w14:paraId="58DA0929" w14:textId="6B704771" w:rsidR="00384FB1" w:rsidRPr="005373EB" w:rsidRDefault="00384FB1" w:rsidP="00085741">
      <w:pPr>
        <w:pStyle w:val="Bulletmfe"/>
        <w:rPr>
          <w:shd w:val="clear" w:color="auto" w:fill="FFFFFF"/>
        </w:rPr>
      </w:pPr>
      <w:r w:rsidRPr="005373EB">
        <w:rPr>
          <w:shd w:val="clear" w:color="auto" w:fill="FFFFFF"/>
        </w:rPr>
        <w:t>Assumes electricity emissions are zero</w:t>
      </w:r>
      <w:r w:rsidR="00D34A04">
        <w:rPr>
          <w:shd w:val="clear" w:color="auto" w:fill="FFFFFF"/>
        </w:rPr>
        <w:t>.</w:t>
      </w:r>
    </w:p>
    <w:p w14:paraId="3F9E435C" w14:textId="769326DB" w:rsidR="00384FB1" w:rsidRPr="005373EB" w:rsidRDefault="00384FB1" w:rsidP="00085741">
      <w:pPr>
        <w:pStyle w:val="Bulletmfe"/>
        <w:rPr>
          <w:shd w:val="clear" w:color="auto" w:fill="FFFFFF"/>
        </w:rPr>
      </w:pPr>
      <w:r w:rsidRPr="005373EB">
        <w:rPr>
          <w:shd w:val="clear" w:color="auto" w:fill="FFFFFF"/>
        </w:rPr>
        <w:t>Calculates changes in reference to a baseline import fleet projection from the Vehicle Fleet Emissions Model 2021 update (base-base scenario)</w:t>
      </w:r>
      <w:r w:rsidR="00AF0705" w:rsidRPr="005373EB">
        <w:rPr>
          <w:shd w:val="clear" w:color="auto" w:fill="FFFFFF"/>
        </w:rPr>
        <w:t>,</w:t>
      </w:r>
      <w:r w:rsidRPr="005373EB">
        <w:rPr>
          <w:shd w:val="clear" w:color="auto" w:fill="FFFFFF"/>
        </w:rPr>
        <w:t xml:space="preserve"> which uses the 1990</w:t>
      </w:r>
      <w:r w:rsidR="00AF0705" w:rsidRPr="005373EB">
        <w:rPr>
          <w:shd w:val="clear" w:color="auto" w:fill="FFFFFF"/>
        </w:rPr>
        <w:t>–</w:t>
      </w:r>
      <w:r w:rsidRPr="005373EB">
        <w:rPr>
          <w:shd w:val="clear" w:color="auto" w:fill="FFFFFF"/>
        </w:rPr>
        <w:t xml:space="preserve">2019 </w:t>
      </w:r>
      <w:r w:rsidR="00AF0705" w:rsidRPr="005373EB">
        <w:rPr>
          <w:shd w:val="clear" w:color="auto" w:fill="FFFFFF"/>
        </w:rPr>
        <w:t>GHG</w:t>
      </w:r>
      <w:r w:rsidRPr="005373EB">
        <w:rPr>
          <w:shd w:val="clear" w:color="auto" w:fill="FFFFFF"/>
        </w:rPr>
        <w:t xml:space="preserve"> </w:t>
      </w:r>
      <w:r w:rsidR="00AF0705" w:rsidRPr="005373EB">
        <w:rPr>
          <w:shd w:val="clear" w:color="auto" w:fill="FFFFFF"/>
        </w:rPr>
        <w:t>I</w:t>
      </w:r>
      <w:r w:rsidRPr="005373EB">
        <w:rPr>
          <w:shd w:val="clear" w:color="auto" w:fill="FFFFFF"/>
        </w:rPr>
        <w:t>nventory update.</w:t>
      </w:r>
    </w:p>
    <w:p w14:paraId="0A0959CF" w14:textId="38DA293A" w:rsidR="002469F3" w:rsidRPr="005373EB" w:rsidRDefault="002469F3" w:rsidP="006B6E21">
      <w:pPr>
        <w:pStyle w:val="Heading4"/>
        <w:spacing w:before="240" w:after="120"/>
        <w:rPr>
          <w:shd w:val="clear" w:color="auto" w:fill="FFFFFF"/>
        </w:rPr>
      </w:pPr>
      <w:r w:rsidRPr="005373EB">
        <w:rPr>
          <w:shd w:val="clear" w:color="auto" w:fill="FFFFFF"/>
        </w:rPr>
        <w:t xml:space="preserve">Sustainable </w:t>
      </w:r>
      <w:r w:rsidR="00AF0705" w:rsidRPr="005373EB">
        <w:rPr>
          <w:shd w:val="clear" w:color="auto" w:fill="FFFFFF"/>
        </w:rPr>
        <w:t>b</w:t>
      </w:r>
      <w:r w:rsidRPr="005373EB">
        <w:rPr>
          <w:shd w:val="clear" w:color="auto" w:fill="FFFFFF"/>
        </w:rPr>
        <w:t xml:space="preserve">iofuels </w:t>
      </w:r>
      <w:r w:rsidR="00AF0705" w:rsidRPr="005373EB">
        <w:rPr>
          <w:shd w:val="clear" w:color="auto" w:fill="FFFFFF"/>
        </w:rPr>
        <w:t>o</w:t>
      </w:r>
      <w:r w:rsidR="007F39B1" w:rsidRPr="005373EB">
        <w:rPr>
          <w:shd w:val="clear" w:color="auto" w:fill="FFFFFF"/>
        </w:rPr>
        <w:t>bligation</w:t>
      </w:r>
    </w:p>
    <w:p w14:paraId="23C719F7" w14:textId="5B9F41C8" w:rsidR="002469F3" w:rsidRPr="005373EB" w:rsidRDefault="002469F3" w:rsidP="00085741">
      <w:pPr>
        <w:pStyle w:val="Bulletmfe"/>
        <w:rPr>
          <w:shd w:val="clear" w:color="auto" w:fill="FFFFFF"/>
        </w:rPr>
      </w:pPr>
      <w:r w:rsidRPr="005373EB">
        <w:rPr>
          <w:shd w:val="clear" w:color="auto" w:fill="FFFFFF"/>
        </w:rPr>
        <w:t>Applies the emission</w:t>
      </w:r>
      <w:r w:rsidR="00E618DD" w:rsidRPr="005373EB">
        <w:rPr>
          <w:shd w:val="clear" w:color="auto" w:fill="FFFFFF"/>
        </w:rPr>
        <w:t>s</w:t>
      </w:r>
      <w:r w:rsidRPr="005373EB">
        <w:rPr>
          <w:shd w:val="clear" w:color="auto" w:fill="FFFFFF"/>
        </w:rPr>
        <w:t xml:space="preserve"> reduction to two different projections for liquid fuel emissions to generate high and low estimates</w:t>
      </w:r>
      <w:r w:rsidR="005D4F49" w:rsidRPr="005373EB">
        <w:rPr>
          <w:shd w:val="clear" w:color="auto" w:fill="FFFFFF"/>
        </w:rPr>
        <w:t>:</w:t>
      </w:r>
      <w:r w:rsidRPr="005373EB">
        <w:rPr>
          <w:shd w:val="clear" w:color="auto" w:fill="FFFFFF"/>
        </w:rPr>
        <w:t xml:space="preserve"> </w:t>
      </w:r>
    </w:p>
    <w:p w14:paraId="283BE250" w14:textId="613DBBED" w:rsidR="002469F3" w:rsidRPr="005373EB" w:rsidRDefault="005D4F49" w:rsidP="00085741">
      <w:pPr>
        <w:pStyle w:val="Bulletmfe"/>
        <w:numPr>
          <w:ilvl w:val="0"/>
          <w:numId w:val="7"/>
        </w:numPr>
      </w:pPr>
      <w:r w:rsidRPr="005373EB">
        <w:t>h</w:t>
      </w:r>
      <w:r w:rsidR="002469F3" w:rsidRPr="005373EB">
        <w:t xml:space="preserve">igh impact estimate: </w:t>
      </w:r>
      <w:r w:rsidRPr="005373EB">
        <w:t>f</w:t>
      </w:r>
      <w:r w:rsidR="002469F3" w:rsidRPr="005373EB">
        <w:t>uel CO</w:t>
      </w:r>
      <w:r w:rsidR="002469F3" w:rsidRPr="005373EB">
        <w:rPr>
          <w:vertAlign w:val="subscript"/>
        </w:rPr>
        <w:t>2</w:t>
      </w:r>
      <w:r w:rsidR="002469F3" w:rsidRPr="005373EB">
        <w:t xml:space="preserve">-e emissions from the no intervention base-base pathway from the Vehicle Fleet Emissions Model (2021 update, base-base scenario) </w:t>
      </w:r>
    </w:p>
    <w:p w14:paraId="1C65D8C7" w14:textId="00F8FF8C" w:rsidR="002469F3" w:rsidRPr="005373EB" w:rsidRDefault="005D4F49" w:rsidP="00085741">
      <w:pPr>
        <w:pStyle w:val="Bulletmfe"/>
        <w:numPr>
          <w:ilvl w:val="0"/>
          <w:numId w:val="7"/>
        </w:numPr>
      </w:pPr>
      <w:r w:rsidRPr="005373EB">
        <w:t>l</w:t>
      </w:r>
      <w:r w:rsidR="002469F3" w:rsidRPr="005373EB">
        <w:t xml:space="preserve">ow impact estimate: </w:t>
      </w:r>
      <w:r w:rsidRPr="005373EB">
        <w:t>f</w:t>
      </w:r>
      <w:r w:rsidR="002469F3" w:rsidRPr="005373EB">
        <w:t>uel CO</w:t>
      </w:r>
      <w:r w:rsidR="002469F3" w:rsidRPr="005373EB">
        <w:rPr>
          <w:vertAlign w:val="subscript"/>
        </w:rPr>
        <w:t>2</w:t>
      </w:r>
      <w:r w:rsidR="002469F3" w:rsidRPr="005373EB">
        <w:t xml:space="preserve">-e emissions from the Ministry of Transport’s </w:t>
      </w:r>
      <w:r w:rsidR="00660682">
        <w:t>emissions reduction plan</w:t>
      </w:r>
      <w:r w:rsidR="00660682" w:rsidRPr="005373EB">
        <w:t xml:space="preserve"> </w:t>
      </w:r>
      <w:r w:rsidR="002469F3" w:rsidRPr="005373EB">
        <w:t>model</w:t>
      </w:r>
      <w:r w:rsidR="00DE07E8" w:rsidRPr="005373EB">
        <w:t>,</w:t>
      </w:r>
      <w:r w:rsidR="002469F3" w:rsidRPr="005373EB">
        <w:t xml:space="preserve"> which includes the effects of the </w:t>
      </w:r>
      <w:r w:rsidR="00E24111" w:rsidRPr="005373EB">
        <w:t xml:space="preserve">transport </w:t>
      </w:r>
      <w:r w:rsidR="002469F3" w:rsidRPr="005373EB">
        <w:t>targets on liquid fuel use, excluding the biofuels target</w:t>
      </w:r>
      <w:r w:rsidR="00D34A04">
        <w:t>.</w:t>
      </w:r>
    </w:p>
    <w:p w14:paraId="0A3A093D" w14:textId="77A7F1ED" w:rsidR="002469F3" w:rsidRPr="005373EB" w:rsidRDefault="002469F3" w:rsidP="00085741">
      <w:pPr>
        <w:pStyle w:val="Bulletmfe"/>
        <w:rPr>
          <w:shd w:val="clear" w:color="auto" w:fill="FFFFFF"/>
        </w:rPr>
      </w:pPr>
      <w:r w:rsidRPr="005373EB">
        <w:rPr>
          <w:shd w:val="clear" w:color="auto" w:fill="FFFFFF"/>
        </w:rPr>
        <w:lastRenderedPageBreak/>
        <w:t xml:space="preserve">All estimates include the effect of </w:t>
      </w:r>
      <w:r w:rsidR="00853900" w:rsidRPr="005373EB">
        <w:rPr>
          <w:shd w:val="clear" w:color="auto" w:fill="FFFFFF"/>
        </w:rPr>
        <w:t>the quantified initial investments to improve safety and access to public transport and active modes</w:t>
      </w:r>
      <w:r w:rsidR="00D34A04">
        <w:rPr>
          <w:shd w:val="clear" w:color="auto" w:fill="FFFFFF"/>
        </w:rPr>
        <w:t>.</w:t>
      </w:r>
    </w:p>
    <w:p w14:paraId="6F810C73" w14:textId="10787187" w:rsidR="002469F3" w:rsidRPr="005373EB" w:rsidRDefault="002469F3" w:rsidP="00085741">
      <w:pPr>
        <w:pStyle w:val="Bulletmfe"/>
        <w:rPr>
          <w:shd w:val="clear" w:color="auto" w:fill="FFFFFF"/>
        </w:rPr>
      </w:pPr>
      <w:r w:rsidRPr="005373EB">
        <w:rPr>
          <w:shd w:val="clear" w:color="auto" w:fill="FFFFFF"/>
        </w:rPr>
        <w:t>Assumes electricity emissions are zero in each of these projections</w:t>
      </w:r>
      <w:r w:rsidR="00D34A04">
        <w:rPr>
          <w:shd w:val="clear" w:color="auto" w:fill="FFFFFF"/>
        </w:rPr>
        <w:t>.</w:t>
      </w:r>
    </w:p>
    <w:p w14:paraId="44C786D2" w14:textId="339C5BBF" w:rsidR="002469F3" w:rsidRPr="005373EB" w:rsidRDefault="002469F3" w:rsidP="00085741">
      <w:pPr>
        <w:pStyle w:val="Bulletmfe"/>
        <w:rPr>
          <w:shd w:val="clear" w:color="auto" w:fill="FFFFFF"/>
        </w:rPr>
      </w:pPr>
      <w:r w:rsidRPr="005373EB">
        <w:rPr>
          <w:shd w:val="clear" w:color="auto" w:fill="FFFFFF"/>
        </w:rPr>
        <w:t xml:space="preserve">Averages the </w:t>
      </w:r>
      <w:r w:rsidR="00032A4C" w:rsidRPr="005373EB">
        <w:rPr>
          <w:shd w:val="clear" w:color="auto" w:fill="FFFFFF"/>
        </w:rPr>
        <w:t>h</w:t>
      </w:r>
      <w:r w:rsidRPr="005373EB">
        <w:rPr>
          <w:shd w:val="clear" w:color="auto" w:fill="FFFFFF"/>
        </w:rPr>
        <w:t xml:space="preserve">igh and </w:t>
      </w:r>
      <w:r w:rsidR="00032A4C" w:rsidRPr="005373EB">
        <w:rPr>
          <w:shd w:val="clear" w:color="auto" w:fill="FFFFFF"/>
        </w:rPr>
        <w:t>l</w:t>
      </w:r>
      <w:r w:rsidRPr="005373EB">
        <w:rPr>
          <w:shd w:val="clear" w:color="auto" w:fill="FFFFFF"/>
        </w:rPr>
        <w:t xml:space="preserve">ow impact estimates to get the </w:t>
      </w:r>
      <w:r w:rsidR="00032A4C" w:rsidRPr="005373EB">
        <w:rPr>
          <w:shd w:val="clear" w:color="auto" w:fill="FFFFFF"/>
        </w:rPr>
        <w:t>c</w:t>
      </w:r>
      <w:r w:rsidRPr="005373EB">
        <w:rPr>
          <w:shd w:val="clear" w:color="auto" w:fill="FFFFFF"/>
        </w:rPr>
        <w:t>entral or mid-point impact estimate</w:t>
      </w:r>
      <w:r w:rsidR="00D34A04">
        <w:rPr>
          <w:shd w:val="clear" w:color="auto" w:fill="FFFFFF"/>
        </w:rPr>
        <w:t>.</w:t>
      </w:r>
    </w:p>
    <w:p w14:paraId="358C079F" w14:textId="7CE3E55E" w:rsidR="002469F3" w:rsidRPr="005373EB" w:rsidRDefault="002469F3" w:rsidP="00085741">
      <w:pPr>
        <w:pStyle w:val="Bulletmfe"/>
        <w:rPr>
          <w:shd w:val="clear" w:color="auto" w:fill="FFFFFF"/>
        </w:rPr>
      </w:pPr>
      <w:r w:rsidRPr="005373EB">
        <w:rPr>
          <w:shd w:val="clear" w:color="auto" w:fill="FFFFFF"/>
        </w:rPr>
        <w:t>Applies the mandated emission</w:t>
      </w:r>
      <w:r w:rsidR="00032A4C" w:rsidRPr="005373EB">
        <w:rPr>
          <w:shd w:val="clear" w:color="auto" w:fill="FFFFFF"/>
        </w:rPr>
        <w:t>s</w:t>
      </w:r>
      <w:r w:rsidRPr="005373EB">
        <w:rPr>
          <w:shd w:val="clear" w:color="auto" w:fill="FFFFFF"/>
        </w:rPr>
        <w:t xml:space="preserve"> reductions to rail and coastal shipping emissions from the 1990</w:t>
      </w:r>
      <w:r w:rsidR="00032A4C" w:rsidRPr="005373EB">
        <w:rPr>
          <w:shd w:val="clear" w:color="auto" w:fill="FFFFFF"/>
        </w:rPr>
        <w:t>–</w:t>
      </w:r>
      <w:r w:rsidRPr="005373EB">
        <w:rPr>
          <w:shd w:val="clear" w:color="auto" w:fill="FFFFFF"/>
        </w:rPr>
        <w:t xml:space="preserve">2019 </w:t>
      </w:r>
      <w:r w:rsidR="00032A4C" w:rsidRPr="005373EB">
        <w:rPr>
          <w:shd w:val="clear" w:color="auto" w:fill="FFFFFF"/>
        </w:rPr>
        <w:t>GHG</w:t>
      </w:r>
      <w:r w:rsidRPr="005373EB">
        <w:rPr>
          <w:shd w:val="clear" w:color="auto" w:fill="FFFFFF"/>
        </w:rPr>
        <w:t xml:space="preserve"> </w:t>
      </w:r>
      <w:r w:rsidR="00032A4C" w:rsidRPr="005373EB">
        <w:rPr>
          <w:shd w:val="clear" w:color="auto" w:fill="FFFFFF"/>
        </w:rPr>
        <w:t>I</w:t>
      </w:r>
      <w:r w:rsidRPr="005373EB">
        <w:rPr>
          <w:shd w:val="clear" w:color="auto" w:fill="FFFFFF"/>
        </w:rPr>
        <w:t>nventory result for 2019 for each year between 2022 and 2035.</w:t>
      </w:r>
      <w:r w:rsidR="00353197" w:rsidRPr="005373EB">
        <w:rPr>
          <w:shd w:val="clear" w:color="auto" w:fill="FFFFFF"/>
        </w:rPr>
        <w:t xml:space="preserve"> </w:t>
      </w:r>
    </w:p>
    <w:p w14:paraId="2A044C0B" w14:textId="6E371DE1" w:rsidR="007F1039" w:rsidRPr="005373EB" w:rsidRDefault="00814CC2" w:rsidP="006B6E21">
      <w:pPr>
        <w:pStyle w:val="Heading4"/>
        <w:spacing w:before="240" w:after="120"/>
      </w:pPr>
      <w:r w:rsidRPr="005373EB">
        <w:t>More efficient rail locomotives and ferries as funded through Budget</w:t>
      </w:r>
      <w:r w:rsidR="006B6E21" w:rsidRPr="005373EB">
        <w:t> </w:t>
      </w:r>
      <w:r w:rsidRPr="005373EB">
        <w:t xml:space="preserve">21 (Future of Rail </w:t>
      </w:r>
      <w:r w:rsidR="00C220E7" w:rsidRPr="005373EB">
        <w:t>–</w:t>
      </w:r>
      <w:r w:rsidRPr="005373EB">
        <w:t xml:space="preserve"> rolling stock and ferries)</w:t>
      </w:r>
    </w:p>
    <w:p w14:paraId="2A065A27" w14:textId="239C05EF" w:rsidR="002469F3" w:rsidRPr="005373EB" w:rsidRDefault="002469F3" w:rsidP="00085741">
      <w:pPr>
        <w:pStyle w:val="Bulletmfe"/>
      </w:pPr>
      <w:r w:rsidRPr="005373EB">
        <w:t>F</w:t>
      </w:r>
      <w:r w:rsidR="00814CC2" w:rsidRPr="005373EB">
        <w:t xml:space="preserve">rom the Future of Rail 2021 budget bid for rolling stock and ferries </w:t>
      </w:r>
      <w:r w:rsidR="000808C5" w:rsidRPr="005373EB">
        <w:t>climate implications of policy assessment</w:t>
      </w:r>
      <w:r w:rsidR="00D34A04">
        <w:t>.</w:t>
      </w:r>
    </w:p>
    <w:p w14:paraId="50BD59BE" w14:textId="483E930C" w:rsidR="002469F3" w:rsidRPr="005373EB" w:rsidRDefault="002469F3" w:rsidP="00085741">
      <w:pPr>
        <w:pStyle w:val="Bulletmfe"/>
      </w:pPr>
      <w:r w:rsidRPr="005373EB">
        <w:t>Counts the emissions reductions from replacing old rolling stock with newer more efficient rolling stock</w:t>
      </w:r>
      <w:r w:rsidR="00D34A04">
        <w:t>.</w:t>
      </w:r>
    </w:p>
    <w:p w14:paraId="0B28A41F" w14:textId="11DC1283" w:rsidR="002469F3" w:rsidRPr="005373EB" w:rsidRDefault="002469F3" w:rsidP="00085741">
      <w:pPr>
        <w:pStyle w:val="Bulletmfe"/>
      </w:pPr>
      <w:r w:rsidRPr="005373EB">
        <w:t xml:space="preserve">Excludes the emissions effects of any </w:t>
      </w:r>
      <w:r w:rsidR="00E24111" w:rsidRPr="005373EB">
        <w:t xml:space="preserve">potential </w:t>
      </w:r>
      <w:r w:rsidRPr="005373EB">
        <w:t>mode shift from road to rail due to the newer rolling stock.</w:t>
      </w:r>
    </w:p>
    <w:p w14:paraId="5ABC1DF2" w14:textId="205E16AC" w:rsidR="00500E90" w:rsidRPr="005373EB" w:rsidRDefault="00814CC2" w:rsidP="006B6E21">
      <w:pPr>
        <w:pStyle w:val="Heading4"/>
        <w:spacing w:before="240" w:after="120"/>
      </w:pPr>
      <w:r w:rsidRPr="005373EB">
        <w:t>Initial investments to improve safety and access to public transport and active modes</w:t>
      </w:r>
    </w:p>
    <w:p w14:paraId="21D0D3DD" w14:textId="6B254BEF" w:rsidR="002469F3" w:rsidRPr="005373EB" w:rsidRDefault="002469F3" w:rsidP="00085741">
      <w:pPr>
        <w:pStyle w:val="Bulletmfe"/>
      </w:pPr>
      <w:r w:rsidRPr="005373EB">
        <w:t>A range of emissions reductions resulting from VKT reductions</w:t>
      </w:r>
      <w:r w:rsidR="00697A27" w:rsidRPr="005373EB">
        <w:t>.</w:t>
      </w:r>
      <w:r w:rsidRPr="005373EB">
        <w:t xml:space="preserve"> </w:t>
      </w:r>
    </w:p>
    <w:p w14:paraId="635C80C7" w14:textId="0E58362C" w:rsidR="002469F3" w:rsidRPr="005373EB" w:rsidRDefault="002469F3" w:rsidP="00085741">
      <w:pPr>
        <w:pStyle w:val="Bulletmfe"/>
      </w:pPr>
      <w:r w:rsidRPr="005373EB">
        <w:t xml:space="preserve">Applies percentage reductions to a projection for light fleet emissions that includes the effects of the ETS price corridor increase and the </w:t>
      </w:r>
      <w:r w:rsidR="00E24111" w:rsidRPr="005373EB">
        <w:t>C</w:t>
      </w:r>
      <w:r w:rsidRPr="005373EB">
        <w:t xml:space="preserve">lean </w:t>
      </w:r>
      <w:r w:rsidR="00472F81" w:rsidRPr="005373EB">
        <w:t>V</w:t>
      </w:r>
      <w:r w:rsidRPr="005373EB">
        <w:t xml:space="preserve">ehicle </w:t>
      </w:r>
      <w:r w:rsidR="00472F81" w:rsidRPr="005373EB">
        <w:t>S</w:t>
      </w:r>
      <w:r w:rsidR="00E24111" w:rsidRPr="005373EB">
        <w:t xml:space="preserve">tandard and </w:t>
      </w:r>
      <w:r w:rsidR="0089790B">
        <w:t xml:space="preserve">Clean Car </w:t>
      </w:r>
      <w:r w:rsidR="00472F81" w:rsidRPr="005373EB">
        <w:t>D</w:t>
      </w:r>
      <w:r w:rsidR="00E24111" w:rsidRPr="005373EB">
        <w:t>iscount</w:t>
      </w:r>
      <w:r w:rsidRPr="005373EB">
        <w:t xml:space="preserve">. </w:t>
      </w:r>
    </w:p>
    <w:p w14:paraId="6EC534AC" w14:textId="1A70E887" w:rsidR="002469F3" w:rsidRPr="005373EB" w:rsidRDefault="002469F3" w:rsidP="00085741">
      <w:pPr>
        <w:pStyle w:val="Bulletmfe"/>
      </w:pPr>
      <w:r w:rsidRPr="005373EB">
        <w:t xml:space="preserve">The percentage reduction is derived from applying very low, low, and medium VKT reductions to different shares of national VKT representing the light vehicle VKT share of </w:t>
      </w:r>
      <w:r w:rsidR="00E24111" w:rsidRPr="005373EB">
        <w:t>different</w:t>
      </w:r>
      <w:r w:rsidRPr="005373EB">
        <w:t xml:space="preserve"> urban areas as per the Ministry of Transport’s </w:t>
      </w:r>
      <w:r w:rsidR="00660682">
        <w:t>emissions reduction plan</w:t>
      </w:r>
      <w:r w:rsidR="00660682" w:rsidRPr="005373EB">
        <w:t xml:space="preserve"> </w:t>
      </w:r>
      <w:r w:rsidRPr="005373EB">
        <w:t xml:space="preserve">model. </w:t>
      </w:r>
    </w:p>
    <w:p w14:paraId="1E829748" w14:textId="4EBB7A2D" w:rsidR="002469F3" w:rsidRPr="005373EB" w:rsidRDefault="002469F3" w:rsidP="00085741">
      <w:pPr>
        <w:pStyle w:val="Bulletmfe"/>
      </w:pPr>
      <w:r w:rsidRPr="005373EB">
        <w:t>Calculates changes in reference to a baseline light vehicle fleet projection from the Vehicle Fleet Emissions Model 2021 update</w:t>
      </w:r>
      <w:r w:rsidR="00325005" w:rsidRPr="005373EB">
        <w:t>,</w:t>
      </w:r>
      <w:r w:rsidRPr="005373EB">
        <w:t xml:space="preserve"> which uses the 1990</w:t>
      </w:r>
      <w:r w:rsidR="00325005" w:rsidRPr="005373EB">
        <w:t>–</w:t>
      </w:r>
      <w:r w:rsidRPr="005373EB">
        <w:t xml:space="preserve">2019 </w:t>
      </w:r>
      <w:r w:rsidR="00325005" w:rsidRPr="005373EB">
        <w:t>GHG</w:t>
      </w:r>
      <w:r w:rsidRPr="005373EB">
        <w:t xml:space="preserve"> </w:t>
      </w:r>
      <w:r w:rsidR="00325005" w:rsidRPr="005373EB">
        <w:t>I</w:t>
      </w:r>
      <w:r w:rsidRPr="005373EB">
        <w:t>nventory update, and under the conditions of an ETS price corridor increase.</w:t>
      </w:r>
    </w:p>
    <w:p w14:paraId="12F2751C" w14:textId="515358A2" w:rsidR="002469F3" w:rsidRPr="005373EB" w:rsidRDefault="002469F3" w:rsidP="006B6E21">
      <w:pPr>
        <w:pStyle w:val="Heading4"/>
        <w:spacing w:before="240" w:after="120"/>
      </w:pPr>
      <w:r w:rsidRPr="005373EB">
        <w:t>ETS price corridor increase</w:t>
      </w:r>
    </w:p>
    <w:p w14:paraId="7A835F60" w14:textId="2C390A3E" w:rsidR="002469F3" w:rsidRPr="005373EB" w:rsidRDefault="002469F3" w:rsidP="00085741">
      <w:pPr>
        <w:pStyle w:val="Bulletmfe"/>
      </w:pPr>
      <w:r w:rsidRPr="005373EB">
        <w:t xml:space="preserve">Includes the impact of different ETS prices </w:t>
      </w:r>
      <w:r w:rsidR="009E76A0" w:rsidRPr="005373EB">
        <w:t xml:space="preserve">have </w:t>
      </w:r>
      <w:r w:rsidRPr="005373EB">
        <w:t>on both EV uptake and VKT</w:t>
      </w:r>
      <w:r w:rsidR="009E76A0" w:rsidRPr="005373EB">
        <w:t>.</w:t>
      </w:r>
      <w:r w:rsidRPr="005373EB">
        <w:t xml:space="preserve"> </w:t>
      </w:r>
    </w:p>
    <w:p w14:paraId="1CEEEC86" w14:textId="459F5DAC" w:rsidR="002469F3" w:rsidRPr="005373EB" w:rsidRDefault="002469F3" w:rsidP="00085741">
      <w:pPr>
        <w:pStyle w:val="Bulletmfe"/>
      </w:pPr>
      <w:r w:rsidRPr="005373EB">
        <w:t xml:space="preserve">The emissions change is mainly due to the change in EV uptake </w:t>
      </w:r>
      <w:r w:rsidR="009E76A0" w:rsidRPr="005373EB">
        <w:t xml:space="preserve">because </w:t>
      </w:r>
      <w:r w:rsidRPr="005373EB">
        <w:t>the impact of VKT changes is very limited</w:t>
      </w:r>
      <w:r w:rsidR="009E76A0" w:rsidRPr="005373EB">
        <w:t>.</w:t>
      </w:r>
    </w:p>
    <w:p w14:paraId="14F493E5" w14:textId="67E97CE2" w:rsidR="002469F3" w:rsidRPr="005373EB" w:rsidRDefault="002469F3" w:rsidP="00085741">
      <w:pPr>
        <w:pStyle w:val="Bulletmfe"/>
      </w:pPr>
      <w:r w:rsidRPr="005373EB">
        <w:t>Assumes the VKT change only affects the vehicle travel of light internal combustion engine vehicles (discretionary travel only)</w:t>
      </w:r>
      <w:r w:rsidR="0004047C" w:rsidRPr="005373EB">
        <w:t>.</w:t>
      </w:r>
    </w:p>
    <w:p w14:paraId="05DA690C" w14:textId="7B6487EF" w:rsidR="002469F3" w:rsidRPr="005373EB" w:rsidRDefault="002469F3" w:rsidP="00085741">
      <w:pPr>
        <w:pStyle w:val="Bulletmfe"/>
      </w:pPr>
      <w:r w:rsidRPr="005373EB">
        <w:t xml:space="preserve">These estimates could overestimate the impact of ETS prices </w:t>
      </w:r>
      <w:r w:rsidR="00A634A9" w:rsidRPr="005373EB">
        <w:t>because:</w:t>
      </w:r>
      <w:r w:rsidRPr="005373EB">
        <w:t xml:space="preserve"> </w:t>
      </w:r>
    </w:p>
    <w:p w14:paraId="26FCB552" w14:textId="6BF14283" w:rsidR="002469F3" w:rsidRPr="005373EB" w:rsidRDefault="002469F3" w:rsidP="00085741">
      <w:pPr>
        <w:pStyle w:val="Bulletmfe"/>
        <w:numPr>
          <w:ilvl w:val="0"/>
          <w:numId w:val="8"/>
        </w:numPr>
      </w:pPr>
      <w:r w:rsidRPr="005373EB">
        <w:t>there are other constraints on EV uptake (eg</w:t>
      </w:r>
      <w:r w:rsidR="01394222" w:rsidRPr="005373EB">
        <w:t>,</w:t>
      </w:r>
      <w:r w:rsidRPr="005373EB">
        <w:t xml:space="preserve"> supply constraints) and buyers may not proportionately react to the price changes as estimated </w:t>
      </w:r>
    </w:p>
    <w:p w14:paraId="47C4DAF6" w14:textId="423ACBBF" w:rsidR="002469F3" w:rsidRPr="005373EB" w:rsidRDefault="00C4572A" w:rsidP="00085741">
      <w:pPr>
        <w:pStyle w:val="Bulletmfe"/>
        <w:numPr>
          <w:ilvl w:val="0"/>
          <w:numId w:val="8"/>
        </w:numPr>
      </w:pPr>
      <w:r w:rsidRPr="005373EB">
        <w:t xml:space="preserve">of </w:t>
      </w:r>
      <w:r w:rsidR="002469F3" w:rsidRPr="005373EB">
        <w:t>the feedback loop between policy settings and ETS prices</w:t>
      </w:r>
      <w:r w:rsidRPr="005373EB">
        <w:t>,</w:t>
      </w:r>
      <w:r w:rsidR="002469F3" w:rsidRPr="005373EB">
        <w:t xml:space="preserve"> thereby resulting in potential double counting of effects.</w:t>
      </w:r>
    </w:p>
    <w:p w14:paraId="7C00E2D7" w14:textId="60A9354E" w:rsidR="00655602" w:rsidRPr="005373EB" w:rsidRDefault="002469F3" w:rsidP="00085741">
      <w:pPr>
        <w:pStyle w:val="Bulletmfe"/>
      </w:pPr>
      <w:r w:rsidRPr="005373EB">
        <w:lastRenderedPageBreak/>
        <w:t>Calculates changes in reference to a baseline light vehicle fleet projection from the Vehicle Fleet Emissions Model 2021 update (base-base scenario)</w:t>
      </w:r>
      <w:r w:rsidR="0011186E" w:rsidRPr="005373EB">
        <w:t>,</w:t>
      </w:r>
      <w:r w:rsidRPr="005373EB">
        <w:t xml:space="preserve"> which uses the 1990</w:t>
      </w:r>
      <w:r w:rsidR="0011186E" w:rsidRPr="005373EB">
        <w:t>–</w:t>
      </w:r>
      <w:r w:rsidRPr="005373EB">
        <w:t xml:space="preserve">2019 </w:t>
      </w:r>
      <w:r w:rsidR="0011186E" w:rsidRPr="005373EB">
        <w:t>GHG</w:t>
      </w:r>
      <w:r w:rsidRPr="005373EB">
        <w:t xml:space="preserve"> </w:t>
      </w:r>
      <w:r w:rsidR="0011186E" w:rsidRPr="005373EB">
        <w:t>I</w:t>
      </w:r>
      <w:r w:rsidRPr="005373EB">
        <w:t>nventory update.</w:t>
      </w:r>
    </w:p>
    <w:p w14:paraId="675FEA9C" w14:textId="1B221A8D" w:rsidR="00207D41" w:rsidRPr="005373EB" w:rsidRDefault="00E24111" w:rsidP="006B6E21">
      <w:pPr>
        <w:pStyle w:val="Heading4"/>
        <w:spacing w:before="240"/>
      </w:pPr>
      <w:r w:rsidRPr="005373EB">
        <w:t>Information about what has been quantified to estimate the impact</w:t>
      </w:r>
      <w:r w:rsidR="006B6E21" w:rsidRPr="005373EB">
        <w:t> </w:t>
      </w:r>
      <w:r w:rsidRPr="005373EB">
        <w:t>of achieving the transport targets</w:t>
      </w:r>
    </w:p>
    <w:p w14:paraId="11897E9B" w14:textId="339A9724" w:rsidR="00C111E0" w:rsidRPr="005373EB" w:rsidRDefault="00E24111" w:rsidP="00C220E7">
      <w:pPr>
        <w:pStyle w:val="BodyText"/>
      </w:pPr>
      <w:r w:rsidRPr="005373EB">
        <w:t xml:space="preserve">The section </w:t>
      </w:r>
      <w:r w:rsidR="00472F81" w:rsidRPr="005373EB">
        <w:t xml:space="preserve">below </w:t>
      </w:r>
      <w:r w:rsidRPr="005373EB">
        <w:t xml:space="preserve">lists the interventions included in the transport modelling to estimate the impact of achieving the transport targets. </w:t>
      </w:r>
      <w:r w:rsidR="00C111E0" w:rsidRPr="005373EB">
        <w:t xml:space="preserve">Clean </w:t>
      </w:r>
      <w:r w:rsidR="00BA2826" w:rsidRPr="005373EB">
        <w:t>V</w:t>
      </w:r>
      <w:r w:rsidR="00C111E0" w:rsidRPr="005373EB">
        <w:t xml:space="preserve">ehicle </w:t>
      </w:r>
      <w:r w:rsidR="00BA2826" w:rsidRPr="005373EB">
        <w:t>S</w:t>
      </w:r>
      <w:r w:rsidR="00C111E0" w:rsidRPr="005373EB">
        <w:t xml:space="preserve">tandard and </w:t>
      </w:r>
      <w:r w:rsidR="0089790B">
        <w:t xml:space="preserve">Clean Car </w:t>
      </w:r>
      <w:r w:rsidR="00BA2826" w:rsidRPr="005373EB">
        <w:t>D</w:t>
      </w:r>
      <w:r w:rsidR="00C111E0" w:rsidRPr="005373EB">
        <w:t>iscount (including vehicle fuel economy labelling)</w:t>
      </w:r>
      <w:r w:rsidR="00207D41" w:rsidRPr="005373EB">
        <w:t>:</w:t>
      </w:r>
    </w:p>
    <w:p w14:paraId="62CAAF49" w14:textId="43F20D49" w:rsidR="00C111E0" w:rsidRPr="005373EB" w:rsidRDefault="005F2723" w:rsidP="00085741">
      <w:pPr>
        <w:pStyle w:val="Bulletmfe"/>
      </w:pPr>
      <w:r w:rsidRPr="005373EB">
        <w:t>l</w:t>
      </w:r>
      <w:r w:rsidR="00C111E0" w:rsidRPr="005373EB">
        <w:t>and use changes</w:t>
      </w:r>
    </w:p>
    <w:p w14:paraId="14B37F74" w14:textId="533624A3" w:rsidR="00C111E0" w:rsidRPr="005373EB" w:rsidRDefault="005F2723" w:rsidP="00085741">
      <w:pPr>
        <w:pStyle w:val="Bulletmfe"/>
      </w:pPr>
      <w:r w:rsidRPr="005373EB">
        <w:t>i</w:t>
      </w:r>
      <w:r w:rsidR="00C111E0" w:rsidRPr="005373EB">
        <w:t xml:space="preserve">ncentives for </w:t>
      </w:r>
      <w:r w:rsidRPr="005373EB">
        <w:t>public transport</w:t>
      </w:r>
      <w:r w:rsidR="00C111E0" w:rsidRPr="005373EB">
        <w:t xml:space="preserve"> use</w:t>
      </w:r>
      <w:r w:rsidRPr="005373EB">
        <w:t>, for example</w:t>
      </w:r>
      <w:r w:rsidR="4C50DD63" w:rsidRPr="005373EB">
        <w:t>,</w:t>
      </w:r>
      <w:r w:rsidR="00C111E0" w:rsidRPr="005373EB">
        <w:t xml:space="preserve"> more services, a wider network and improved services</w:t>
      </w:r>
    </w:p>
    <w:p w14:paraId="452D4940" w14:textId="20B3947F" w:rsidR="00C111E0" w:rsidRPr="005373EB" w:rsidRDefault="005F2723" w:rsidP="00085741">
      <w:pPr>
        <w:pStyle w:val="Bulletmfe"/>
      </w:pPr>
      <w:r w:rsidRPr="005373EB">
        <w:t>p</w:t>
      </w:r>
      <w:r w:rsidR="00C111E0" w:rsidRPr="005373EB">
        <w:t>arking pricing in urban environments</w:t>
      </w:r>
    </w:p>
    <w:p w14:paraId="755FFA5B" w14:textId="76FC58C7" w:rsidR="00C111E0" w:rsidRPr="005373EB" w:rsidRDefault="005F2723" w:rsidP="00085741">
      <w:pPr>
        <w:pStyle w:val="Bulletmfe"/>
      </w:pPr>
      <w:r w:rsidRPr="005373EB">
        <w:t>c</w:t>
      </w:r>
      <w:r w:rsidR="00C111E0" w:rsidRPr="005373EB">
        <w:t>ongestion charging in Auckland and Wellington</w:t>
      </w:r>
    </w:p>
    <w:p w14:paraId="7E147AA7" w14:textId="3FBDC1C2" w:rsidR="00C111E0" w:rsidRPr="005373EB" w:rsidRDefault="005F2723" w:rsidP="00085741">
      <w:pPr>
        <w:pStyle w:val="Bulletmfe"/>
      </w:pPr>
      <w:r w:rsidRPr="005373EB">
        <w:t>d</w:t>
      </w:r>
      <w:r w:rsidR="00C111E0" w:rsidRPr="005373EB">
        <w:t>istance-based pricing nationally</w:t>
      </w:r>
    </w:p>
    <w:p w14:paraId="72B253C6" w14:textId="6D1D5693" w:rsidR="00C111E0" w:rsidRPr="005373EB" w:rsidRDefault="005F2723" w:rsidP="00085741">
      <w:pPr>
        <w:pStyle w:val="Bulletmfe"/>
      </w:pPr>
      <w:r w:rsidRPr="005373EB">
        <w:t>t</w:t>
      </w:r>
      <w:r w:rsidR="00C111E0" w:rsidRPr="005373EB">
        <w:t>he increase in the public transport bus fleet to cater for mode shift</w:t>
      </w:r>
    </w:p>
    <w:p w14:paraId="3E44BD8E" w14:textId="6457EDEC" w:rsidR="00C111E0" w:rsidRPr="005373EB" w:rsidRDefault="00CC3030" w:rsidP="00085741">
      <w:pPr>
        <w:pStyle w:val="Bulletmfe"/>
      </w:pPr>
      <w:r w:rsidRPr="005373EB">
        <w:t>e</w:t>
      </w:r>
      <w:r w:rsidR="00C111E0" w:rsidRPr="005373EB">
        <w:t xml:space="preserve">lectrification of the </w:t>
      </w:r>
      <w:r w:rsidRPr="005373EB">
        <w:t>public transport</w:t>
      </w:r>
      <w:r w:rsidR="00C111E0" w:rsidRPr="005373EB">
        <w:t xml:space="preserve"> bus fleet</w:t>
      </w:r>
    </w:p>
    <w:p w14:paraId="6E28B657" w14:textId="2FAF98F1" w:rsidR="00C111E0" w:rsidRPr="005373EB" w:rsidRDefault="00CC3030" w:rsidP="00085741">
      <w:pPr>
        <w:pStyle w:val="Bulletmfe"/>
      </w:pPr>
      <w:r w:rsidRPr="005373EB">
        <w:t>i</w:t>
      </w:r>
      <w:r w:rsidR="00C111E0" w:rsidRPr="005373EB">
        <w:t xml:space="preserve">mport restrictions for light </w:t>
      </w:r>
      <w:r w:rsidR="008F2B76" w:rsidRPr="005373EB">
        <w:t>internal combustion engine</w:t>
      </w:r>
      <w:r w:rsidR="00C111E0" w:rsidRPr="005373EB">
        <w:t xml:space="preserve"> vehicles</w:t>
      </w:r>
    </w:p>
    <w:p w14:paraId="2AE82BEE" w14:textId="2C0EA1AA" w:rsidR="00C111E0" w:rsidRPr="005373EB" w:rsidRDefault="008F2B76" w:rsidP="00085741">
      <w:pPr>
        <w:pStyle w:val="Bulletmfe"/>
      </w:pPr>
      <w:r w:rsidRPr="005373EB">
        <w:t>m</w:t>
      </w:r>
      <w:r w:rsidR="00C111E0" w:rsidRPr="005373EB">
        <w:t>ode shift to rail and coastal shipping</w:t>
      </w:r>
    </w:p>
    <w:p w14:paraId="27EA1AE9" w14:textId="3452E7FB" w:rsidR="00C111E0" w:rsidRPr="005373EB" w:rsidRDefault="008F2B76" w:rsidP="00085741">
      <w:pPr>
        <w:pStyle w:val="Bulletmfe"/>
      </w:pPr>
      <w:r w:rsidRPr="005373EB">
        <w:t>a</w:t>
      </w:r>
      <w:r w:rsidR="00C111E0" w:rsidRPr="005373EB">
        <w:t>ccelerated EV uptake for medium and heavy trucks</w:t>
      </w:r>
    </w:p>
    <w:p w14:paraId="5B172121" w14:textId="2D97F9C9" w:rsidR="00C111E0" w:rsidRPr="005373EB" w:rsidRDefault="008F2B76" w:rsidP="00085741">
      <w:pPr>
        <w:pStyle w:val="Bulletmfe"/>
      </w:pPr>
      <w:r w:rsidRPr="005373EB">
        <w:t>l</w:t>
      </w:r>
      <w:r w:rsidR="00C111E0" w:rsidRPr="005373EB">
        <w:t>ogistics improvements, driver training, load maximisation, weight minimisation and vehicle design improvements (</w:t>
      </w:r>
      <w:r w:rsidR="4C50DD63" w:rsidRPr="005373EB">
        <w:t>eg,</w:t>
      </w:r>
      <w:r w:rsidR="00C111E0" w:rsidRPr="005373EB">
        <w:t xml:space="preserve"> aerodynamics and high efficiency tyres) for medium and heavy trucks</w:t>
      </w:r>
    </w:p>
    <w:p w14:paraId="215EC994" w14:textId="38DDD05C" w:rsidR="00C111E0" w:rsidRPr="005373EB" w:rsidRDefault="00544774" w:rsidP="00085741">
      <w:pPr>
        <w:pStyle w:val="Bulletmfe"/>
      </w:pPr>
      <w:r w:rsidRPr="005373EB">
        <w:t>b</w:t>
      </w:r>
      <w:r w:rsidR="00C111E0" w:rsidRPr="005373EB">
        <w:t xml:space="preserve">iofuels for all remaining petrol and diesel use </w:t>
      </w:r>
      <w:r w:rsidR="00E24111" w:rsidRPr="005373EB">
        <w:t xml:space="preserve">by </w:t>
      </w:r>
      <w:r w:rsidR="00C111E0" w:rsidRPr="005373EB">
        <w:t>light and heavy vehicles</w:t>
      </w:r>
    </w:p>
    <w:p w14:paraId="4C67FD65" w14:textId="1E1CADE4" w:rsidR="00C111E0" w:rsidRPr="005373EB" w:rsidRDefault="00544774" w:rsidP="00085741">
      <w:pPr>
        <w:pStyle w:val="Bulletmfe"/>
      </w:pPr>
      <w:r w:rsidRPr="005373EB">
        <w:t>b</w:t>
      </w:r>
      <w:r w:rsidR="00C111E0" w:rsidRPr="005373EB">
        <w:t xml:space="preserve">iofuel use in motorcycles, domestic shipping, domestic aviation and rail </w:t>
      </w:r>
    </w:p>
    <w:p w14:paraId="4C70E23C" w14:textId="66EE23FA" w:rsidR="00C111E0" w:rsidRPr="005373EB" w:rsidRDefault="00C111E0" w:rsidP="00085741">
      <w:pPr>
        <w:pStyle w:val="Bulletmfe"/>
      </w:pPr>
      <w:r w:rsidRPr="005373EB">
        <w:t>ETS price corridor increase</w:t>
      </w:r>
      <w:r w:rsidR="00544774" w:rsidRPr="005373EB">
        <w:t>.</w:t>
      </w:r>
    </w:p>
    <w:p w14:paraId="284BF978" w14:textId="5620516C" w:rsidR="00C111E0" w:rsidRPr="005373EB" w:rsidRDefault="00E24111" w:rsidP="00C220E7">
      <w:pPr>
        <w:pStyle w:val="BodyText"/>
      </w:pPr>
      <w:r w:rsidRPr="005373EB">
        <w:t>The transport modelling did not explicitly include the following activities, but some might be needed to support achievement of the corresponding transport targets:</w:t>
      </w:r>
    </w:p>
    <w:p w14:paraId="05AE2E57" w14:textId="6EFD24A5" w:rsidR="00C111E0" w:rsidRPr="005373EB" w:rsidRDefault="007A786F" w:rsidP="00085741">
      <w:pPr>
        <w:pStyle w:val="Bulletmfe"/>
      </w:pPr>
      <w:r w:rsidRPr="005373EB">
        <w:t>i</w:t>
      </w:r>
      <w:r w:rsidR="00C111E0" w:rsidRPr="005373EB">
        <w:t>ncentives for walking and cycling not captured in land use changes</w:t>
      </w:r>
    </w:p>
    <w:p w14:paraId="0634667F" w14:textId="51EAC870" w:rsidR="00C111E0" w:rsidRPr="005373EB" w:rsidRDefault="007A786F" w:rsidP="00085741">
      <w:pPr>
        <w:pStyle w:val="Bulletmfe"/>
      </w:pPr>
      <w:r w:rsidRPr="005373EB">
        <w:t>r</w:t>
      </w:r>
      <w:r w:rsidR="00C111E0" w:rsidRPr="005373EB">
        <w:t>egulations restricting parking availability</w:t>
      </w:r>
    </w:p>
    <w:p w14:paraId="234CD408" w14:textId="6337E279" w:rsidR="00C111E0" w:rsidRPr="005373EB" w:rsidRDefault="007A786F" w:rsidP="00085741">
      <w:pPr>
        <w:pStyle w:val="Bulletmfe"/>
      </w:pPr>
      <w:r w:rsidRPr="005373EB">
        <w:t>o</w:t>
      </w:r>
      <w:r w:rsidR="00C111E0" w:rsidRPr="005373EB">
        <w:t>ther pricing options</w:t>
      </w:r>
    </w:p>
    <w:p w14:paraId="556EEBBB" w14:textId="0281B8B2" w:rsidR="00C111E0" w:rsidRPr="005373EB" w:rsidRDefault="007A786F" w:rsidP="00085741">
      <w:pPr>
        <w:pStyle w:val="Bulletmfe"/>
      </w:pPr>
      <w:r w:rsidRPr="005373EB">
        <w:t>i</w:t>
      </w:r>
      <w:r w:rsidR="00C111E0" w:rsidRPr="005373EB">
        <w:t>ncrease in the passenger rail frequency or carriages to cater for mode shift</w:t>
      </w:r>
    </w:p>
    <w:p w14:paraId="1B5640F3" w14:textId="4727E560" w:rsidR="00C111E0" w:rsidRPr="005373EB" w:rsidRDefault="007A786F" w:rsidP="00085741">
      <w:pPr>
        <w:pStyle w:val="Bulletmfe"/>
      </w:pPr>
      <w:r w:rsidRPr="005373EB">
        <w:t>h</w:t>
      </w:r>
      <w:r w:rsidR="00C111E0" w:rsidRPr="005373EB">
        <w:t>ydrogen uptake (any mode)</w:t>
      </w:r>
    </w:p>
    <w:p w14:paraId="57065FDA" w14:textId="7D65EC5E" w:rsidR="00C111E0" w:rsidRPr="005373EB" w:rsidRDefault="007A786F" w:rsidP="00085741">
      <w:pPr>
        <w:pStyle w:val="Bulletmfe"/>
      </w:pPr>
      <w:r w:rsidRPr="005373EB">
        <w:t>i</w:t>
      </w:r>
      <w:r w:rsidR="00C111E0" w:rsidRPr="005373EB">
        <w:t xml:space="preserve">ncentives for light EV uptake outside of the </w:t>
      </w:r>
      <w:r w:rsidR="00690703" w:rsidRPr="005373EB">
        <w:t>C</w:t>
      </w:r>
      <w:r w:rsidR="00C111E0" w:rsidRPr="005373EB">
        <w:t xml:space="preserve">lean </w:t>
      </w:r>
      <w:r w:rsidR="00690703" w:rsidRPr="005373EB">
        <w:t>V</w:t>
      </w:r>
      <w:r w:rsidR="00C111E0" w:rsidRPr="005373EB">
        <w:t xml:space="preserve">ehicle </w:t>
      </w:r>
      <w:r w:rsidR="00690703" w:rsidRPr="005373EB">
        <w:t>S</w:t>
      </w:r>
      <w:r w:rsidR="00C111E0" w:rsidRPr="005373EB">
        <w:t xml:space="preserve">tandard and </w:t>
      </w:r>
      <w:r w:rsidR="0089790B">
        <w:t xml:space="preserve">Clean Car </w:t>
      </w:r>
      <w:r w:rsidR="00690703" w:rsidRPr="005373EB">
        <w:t>D</w:t>
      </w:r>
      <w:r w:rsidR="00C111E0" w:rsidRPr="005373EB">
        <w:t>iscount</w:t>
      </w:r>
      <w:r w:rsidR="00E24111" w:rsidRPr="005373EB">
        <w:t xml:space="preserve"> and import restrictions on light </w:t>
      </w:r>
      <w:r w:rsidR="00E70FCB" w:rsidRPr="005373EB">
        <w:t>internal combustion engine</w:t>
      </w:r>
      <w:r w:rsidR="00E24111" w:rsidRPr="005373EB">
        <w:t xml:space="preserve"> vehicles</w:t>
      </w:r>
    </w:p>
    <w:p w14:paraId="2A98032A" w14:textId="4CBA8FC2" w:rsidR="00C111E0" w:rsidRPr="005373EB" w:rsidRDefault="00E70FCB" w:rsidP="00085741">
      <w:pPr>
        <w:pStyle w:val="Bulletmfe"/>
      </w:pPr>
      <w:r w:rsidRPr="005373EB">
        <w:t>s</w:t>
      </w:r>
      <w:r w:rsidR="00C111E0" w:rsidRPr="005373EB">
        <w:t>mall vehicle electrification</w:t>
      </w:r>
      <w:r w:rsidRPr="005373EB">
        <w:t>, for example</w:t>
      </w:r>
      <w:r w:rsidR="4C50DD63" w:rsidRPr="005373EB">
        <w:t>,</w:t>
      </w:r>
      <w:r w:rsidR="00C111E0" w:rsidRPr="005373EB">
        <w:t xml:space="preserve"> motorcycles</w:t>
      </w:r>
    </w:p>
    <w:p w14:paraId="24BE3B59" w14:textId="3672B04F" w:rsidR="00C111E0" w:rsidRPr="005373EB" w:rsidRDefault="00E70FCB" w:rsidP="00085741">
      <w:pPr>
        <w:pStyle w:val="Bulletmfe"/>
      </w:pPr>
      <w:r w:rsidRPr="005373EB">
        <w:t>i</w:t>
      </w:r>
      <w:r w:rsidR="00C111E0" w:rsidRPr="005373EB">
        <w:t xml:space="preserve">mport restrictions for heavy </w:t>
      </w:r>
      <w:r w:rsidRPr="005373EB">
        <w:t>EVs</w:t>
      </w:r>
    </w:p>
    <w:p w14:paraId="30F79E0C" w14:textId="45587314" w:rsidR="00C111E0" w:rsidRPr="005373EB" w:rsidRDefault="00E70FCB" w:rsidP="00085741">
      <w:pPr>
        <w:pStyle w:val="Bulletmfe"/>
      </w:pPr>
      <w:r w:rsidRPr="005373EB">
        <w:t>d</w:t>
      </w:r>
      <w:r w:rsidR="00C111E0" w:rsidRPr="005373EB">
        <w:t>omestic shipping, domestic aviation and rail electrification</w:t>
      </w:r>
      <w:r w:rsidRPr="005373EB">
        <w:t>.</w:t>
      </w:r>
    </w:p>
    <w:p w14:paraId="26770E99" w14:textId="18B2E0DE" w:rsidR="00C111E0" w:rsidRPr="005373EB" w:rsidRDefault="00C111E0" w:rsidP="00C220E7">
      <w:pPr>
        <w:pStyle w:val="BodyText"/>
      </w:pPr>
      <w:r w:rsidRPr="005373EB">
        <w:lastRenderedPageBreak/>
        <w:t>Emissions from producing electricity used in transport are captured in energy emissions</w:t>
      </w:r>
      <w:r w:rsidR="004F68E3" w:rsidRPr="005373EB">
        <w:t xml:space="preserve"> and</w:t>
      </w:r>
      <w:r w:rsidRPr="005373EB">
        <w:t xml:space="preserve"> not transport emissions.</w:t>
      </w:r>
    </w:p>
    <w:p w14:paraId="4DFB3B2C" w14:textId="2D48DCFA" w:rsidR="007A2FF2" w:rsidRPr="005373EB" w:rsidRDefault="00E24111" w:rsidP="006B6E21">
      <w:pPr>
        <w:pStyle w:val="Heading4"/>
      </w:pPr>
      <w:r w:rsidRPr="005373EB">
        <w:t>Information about key assumptions used in the modelling to estimate the impact of achieving the transport targets</w:t>
      </w:r>
    </w:p>
    <w:p w14:paraId="412E50F1" w14:textId="4CAA4B9F" w:rsidR="00C111E0" w:rsidRPr="005373EB" w:rsidRDefault="00C111E0" w:rsidP="00C220E7">
      <w:pPr>
        <w:pStyle w:val="BodyText"/>
      </w:pPr>
      <w:r w:rsidRPr="005373EB">
        <w:t xml:space="preserve">The bulk of the policy impacts </w:t>
      </w:r>
      <w:r w:rsidR="4C50DD63" w:rsidRPr="005373EB">
        <w:t>appl</w:t>
      </w:r>
      <w:r w:rsidR="00EB6F93" w:rsidRPr="005373EB">
        <w:t>y</w:t>
      </w:r>
      <w:r w:rsidRPr="005373EB">
        <w:t xml:space="preserve"> to a baseline</w:t>
      </w:r>
      <w:r w:rsidR="00C963D8" w:rsidRPr="005373EB">
        <w:rPr>
          <w:rStyle w:val="FootnoteReference"/>
        </w:rPr>
        <w:footnoteReference w:id="14"/>
      </w:r>
      <w:r w:rsidRPr="005373EB">
        <w:t xml:space="preserve"> that already has the effects of existing policies as well as the effects of an ETS price corridor increase. </w:t>
      </w:r>
    </w:p>
    <w:p w14:paraId="28E410FB" w14:textId="21AF2723" w:rsidR="00C111E0" w:rsidRPr="005373EB" w:rsidRDefault="00C111E0" w:rsidP="00C220E7">
      <w:pPr>
        <w:pStyle w:val="BodyText"/>
      </w:pPr>
      <w:r w:rsidRPr="005373EB">
        <w:t xml:space="preserve">An avoid, shift and improve framework underpins how we estimate the impacts of the transport targets on emissions. First, we adjust emissions for changes that avoid and shift </w:t>
      </w:r>
      <w:r w:rsidR="004C579A" w:rsidRPr="005373EB">
        <w:t>GHG</w:t>
      </w:r>
      <w:r w:rsidRPr="005373EB">
        <w:t xml:space="preserve"> emissions for light and heavy road vehicles. Then we apply changes that improve </w:t>
      </w:r>
      <w:r w:rsidR="00C963D8" w:rsidRPr="005373EB">
        <w:t>transport fleet energy efficiency</w:t>
      </w:r>
      <w:r w:rsidRPr="005373EB">
        <w:t xml:space="preserve"> by electrifying light vehicle imports as well as changing the fleet mix for medium and heavy trucks to account for more </w:t>
      </w:r>
      <w:r w:rsidR="0099001C" w:rsidRPr="005373EB">
        <w:t>EVs</w:t>
      </w:r>
      <w:r w:rsidRPr="005373EB">
        <w:t>. Next, we apply biofuels emission</w:t>
      </w:r>
      <w:r w:rsidR="001607D6" w:rsidRPr="005373EB">
        <w:t>s</w:t>
      </w:r>
      <w:r w:rsidRPr="005373EB">
        <w:t xml:space="preserve"> reductions to petrol and diesel emissions. Lastly, we account for biofuels-induced emissions reductions among motorcycles, trains, domestic flights and coastal shipping. </w:t>
      </w:r>
    </w:p>
    <w:p w14:paraId="68FAC662" w14:textId="7297575A" w:rsidR="00655602" w:rsidRPr="005373EB" w:rsidRDefault="00655602" w:rsidP="006A5F70">
      <w:pPr>
        <w:pStyle w:val="Heading2"/>
      </w:pPr>
      <w:bookmarkStart w:id="34" w:name="_Toc103773264"/>
      <w:r w:rsidRPr="005373EB">
        <w:t xml:space="preserve">Energy and </w:t>
      </w:r>
      <w:r w:rsidR="002D4E5C" w:rsidRPr="005373EB">
        <w:t>i</w:t>
      </w:r>
      <w:r w:rsidRPr="005373EB">
        <w:t>ndustry</w:t>
      </w:r>
      <w:bookmarkEnd w:id="34"/>
    </w:p>
    <w:p w14:paraId="77999EED" w14:textId="5D039455" w:rsidR="00655602" w:rsidRPr="005373EB" w:rsidRDefault="00655602" w:rsidP="00C220E7">
      <w:pPr>
        <w:pStyle w:val="BodyText"/>
      </w:pPr>
      <w:r w:rsidRPr="005373EB">
        <w:t xml:space="preserve">The quantification of policy impacts for the </w:t>
      </w:r>
      <w:r w:rsidR="005500B5" w:rsidRPr="005373EB">
        <w:t>e</w:t>
      </w:r>
      <w:r w:rsidRPr="005373EB">
        <w:t xml:space="preserve">nergy and </w:t>
      </w:r>
      <w:r w:rsidR="00AA7A58" w:rsidRPr="005373EB">
        <w:t>i</w:t>
      </w:r>
      <w:r w:rsidRPr="005373EB">
        <w:t>ndustry sector was undertaken by MBIE, EECA and M</w:t>
      </w:r>
      <w:r w:rsidR="009E2A45" w:rsidRPr="005373EB">
        <w:t>f</w:t>
      </w:r>
      <w:r w:rsidRPr="005373EB">
        <w:t>E.</w:t>
      </w:r>
    </w:p>
    <w:p w14:paraId="5FC4BE0D" w14:textId="77777777" w:rsidR="00655602" w:rsidRPr="005373EB" w:rsidRDefault="00655602" w:rsidP="003357F4">
      <w:pPr>
        <w:pStyle w:val="Heading3"/>
        <w:spacing w:before="240" w:after="120"/>
      </w:pPr>
      <w:r w:rsidRPr="005373EB">
        <w:t xml:space="preserve">Policies and measures that have been quantified </w:t>
      </w:r>
    </w:p>
    <w:p w14:paraId="19BBD38A" w14:textId="798F8798" w:rsidR="00655602" w:rsidRPr="005373EB" w:rsidRDefault="00655602" w:rsidP="00085741">
      <w:pPr>
        <w:pStyle w:val="Bulletmfe"/>
      </w:pPr>
      <w:bookmarkStart w:id="35" w:name="_Hlk102468098"/>
      <w:r w:rsidRPr="005373EB">
        <w:t xml:space="preserve">ETS price corridor increase impact </w:t>
      </w:r>
      <w:r w:rsidR="0094307B" w:rsidRPr="005373EB">
        <w:t>(excluding industrial process emissions)</w:t>
      </w:r>
      <w:r w:rsidR="005D677D" w:rsidRPr="005373EB">
        <w:t>.</w:t>
      </w:r>
    </w:p>
    <w:bookmarkEnd w:id="35"/>
    <w:p w14:paraId="38227FD5" w14:textId="19B7E5C8" w:rsidR="002D0222" w:rsidRPr="005373EB" w:rsidRDefault="002D0222" w:rsidP="00085741">
      <w:pPr>
        <w:pStyle w:val="Bulletmfe"/>
      </w:pPr>
      <w:r w:rsidRPr="005373EB">
        <w:t>National direction for industrial GHG emissions</w:t>
      </w:r>
      <w:r w:rsidRPr="005373EB" w:rsidDel="002D0222">
        <w:t xml:space="preserve"> </w:t>
      </w:r>
      <w:r w:rsidR="00730A19" w:rsidRPr="005373EB">
        <w:t xml:space="preserve">from </w:t>
      </w:r>
      <w:r w:rsidR="00E84821" w:rsidRPr="005373EB">
        <w:t>e</w:t>
      </w:r>
      <w:r w:rsidRPr="005373EB">
        <w:t xml:space="preserve">xisting Government Investment in Decarbonising Industry (GIDI) </w:t>
      </w:r>
      <w:r w:rsidR="005D677D" w:rsidRPr="005373EB">
        <w:t>F</w:t>
      </w:r>
      <w:r w:rsidRPr="005373EB">
        <w:t>und</w:t>
      </w:r>
      <w:r w:rsidR="005D677D" w:rsidRPr="005373EB">
        <w:t>.</w:t>
      </w:r>
    </w:p>
    <w:p w14:paraId="1E8EDBEF" w14:textId="2098FEA4" w:rsidR="002D0222" w:rsidRPr="005373EB" w:rsidRDefault="002D0222" w:rsidP="00085741">
      <w:pPr>
        <w:pStyle w:val="Bulletmfe"/>
      </w:pPr>
      <w:r w:rsidRPr="005373EB">
        <w:t xml:space="preserve">Expand and continue the roll out of the GIDI </w:t>
      </w:r>
      <w:r w:rsidR="005D677D" w:rsidRPr="005373EB">
        <w:t>F</w:t>
      </w:r>
      <w:r w:rsidRPr="005373EB">
        <w:t>und</w:t>
      </w:r>
      <w:r w:rsidR="005D677D" w:rsidRPr="005373EB">
        <w:t>.</w:t>
      </w:r>
    </w:p>
    <w:p w14:paraId="429297AB" w14:textId="7E72EB81" w:rsidR="00A00671" w:rsidRPr="00121771" w:rsidRDefault="002D0222" w:rsidP="00085741">
      <w:pPr>
        <w:pStyle w:val="Bulletmfe"/>
        <w:rPr>
          <w:i/>
          <w:iCs/>
        </w:rPr>
      </w:pPr>
      <w:r w:rsidRPr="005373EB">
        <w:t>Provide grant funding for decarbonising commercial space and water heating</w:t>
      </w:r>
      <w:r w:rsidR="00A00671" w:rsidRPr="005373EB">
        <w:t>.</w:t>
      </w:r>
      <w:r w:rsidRPr="005373EB">
        <w:t xml:space="preserve"> </w:t>
      </w:r>
    </w:p>
    <w:p w14:paraId="69981339" w14:textId="442C0247" w:rsidR="002D0222" w:rsidRPr="005373EB" w:rsidRDefault="002D0222" w:rsidP="00085741">
      <w:pPr>
        <w:pStyle w:val="Bulletmfe"/>
        <w:rPr>
          <w:i/>
          <w:iCs/>
        </w:rPr>
      </w:pPr>
      <w:r w:rsidRPr="005373EB">
        <w:t>Provide grant funding for high efficiency electrical equipment</w:t>
      </w:r>
      <w:r w:rsidR="00A00671" w:rsidRPr="005373EB">
        <w:t>.</w:t>
      </w:r>
    </w:p>
    <w:p w14:paraId="0A2662C7" w14:textId="787E52DE" w:rsidR="002D0222" w:rsidRPr="005373EB" w:rsidRDefault="002D0222" w:rsidP="00085741">
      <w:pPr>
        <w:pStyle w:val="Bulletmfe"/>
      </w:pPr>
      <w:r w:rsidRPr="005373EB">
        <w:t>Expansion of EECA’s business programmes</w:t>
      </w:r>
      <w:r w:rsidR="00A00671" w:rsidRPr="005373EB">
        <w:t>.</w:t>
      </w:r>
      <w:r w:rsidRPr="005373EB">
        <w:t> </w:t>
      </w:r>
    </w:p>
    <w:p w14:paraId="7DA82370" w14:textId="7131F7BE" w:rsidR="002D0222" w:rsidRPr="005373EB" w:rsidRDefault="002D0222" w:rsidP="00085741">
      <w:pPr>
        <w:pStyle w:val="Bulletmfe"/>
      </w:pPr>
      <w:r w:rsidRPr="005373EB">
        <w:t xml:space="preserve">State Sector Decarbonisation </w:t>
      </w:r>
      <w:r w:rsidR="008C606A" w:rsidRPr="005373EB">
        <w:t>F</w:t>
      </w:r>
      <w:r w:rsidRPr="005373EB">
        <w:t>und (Energy and Industry component)</w:t>
      </w:r>
      <w:r w:rsidR="008A5746">
        <w:t>.</w:t>
      </w:r>
    </w:p>
    <w:p w14:paraId="366473E7" w14:textId="74D991DC" w:rsidR="002D0222" w:rsidRPr="005373EB" w:rsidRDefault="002D0222" w:rsidP="00085741">
      <w:pPr>
        <w:pStyle w:val="Bulletmfe"/>
      </w:pPr>
      <w:r w:rsidRPr="005373EB">
        <w:t>Improve energy efficiency products and services regulation.</w:t>
      </w:r>
    </w:p>
    <w:p w14:paraId="7ABFDAF2" w14:textId="77777777" w:rsidR="00655602" w:rsidRPr="005373EB" w:rsidRDefault="00655602" w:rsidP="003357F4">
      <w:pPr>
        <w:pStyle w:val="Heading3"/>
        <w:spacing w:before="240" w:after="120"/>
      </w:pPr>
      <w:r w:rsidRPr="005373EB">
        <w:t>Key policies and measures that have not been quantified</w:t>
      </w:r>
    </w:p>
    <w:p w14:paraId="79834306" w14:textId="509F3489" w:rsidR="002D0222" w:rsidRPr="005373EB" w:rsidRDefault="002D0222" w:rsidP="00085741">
      <w:pPr>
        <w:pStyle w:val="Bulletmfe"/>
        <w:rPr>
          <w:rFonts w:eastAsiaTheme="minorEastAsia"/>
        </w:rPr>
      </w:pPr>
      <w:r w:rsidRPr="005373EB">
        <w:rPr>
          <w:rFonts w:eastAsiaTheme="minorEastAsia"/>
        </w:rPr>
        <w:t>EECA’s Gen Less programme</w:t>
      </w:r>
      <w:r w:rsidR="008C606A" w:rsidRPr="005373EB">
        <w:rPr>
          <w:rFonts w:eastAsiaTheme="minorEastAsia"/>
        </w:rPr>
        <w:t>.</w:t>
      </w:r>
    </w:p>
    <w:p w14:paraId="77BCE1F8" w14:textId="77777777" w:rsidR="00655602" w:rsidRPr="005373EB" w:rsidRDefault="00655602" w:rsidP="00085741">
      <w:pPr>
        <w:pStyle w:val="Bulletmfe"/>
        <w:rPr>
          <w:rFonts w:eastAsiaTheme="minorEastAsia"/>
        </w:rPr>
      </w:pPr>
      <w:r w:rsidRPr="005373EB">
        <w:rPr>
          <w:rFonts w:eastAsiaTheme="minorEastAsia"/>
        </w:rPr>
        <w:t>ETS price corridor increase impact on industrial process emissions.</w:t>
      </w:r>
    </w:p>
    <w:p w14:paraId="2435D996" w14:textId="7935B095" w:rsidR="00655602" w:rsidRPr="005373EB" w:rsidRDefault="00655602" w:rsidP="003357F4">
      <w:pPr>
        <w:pStyle w:val="Heading3"/>
        <w:spacing w:before="240" w:after="120"/>
      </w:pPr>
      <w:r w:rsidRPr="005373EB">
        <w:t>Key policies and measures already included in the baseline</w:t>
      </w:r>
      <w:r w:rsidR="000D795F" w:rsidRPr="005373EB">
        <w:t> </w:t>
      </w:r>
      <w:r w:rsidRPr="005373EB">
        <w:t>projections</w:t>
      </w:r>
    </w:p>
    <w:p w14:paraId="7148C772" w14:textId="2F6C5DF1" w:rsidR="002D0222" w:rsidRPr="005373EB" w:rsidRDefault="002D0222" w:rsidP="00085741">
      <w:pPr>
        <w:pStyle w:val="Bulletmfe"/>
        <w:rPr>
          <w:rFonts w:eastAsiaTheme="minorEastAsia"/>
        </w:rPr>
      </w:pPr>
      <w:r w:rsidRPr="005373EB">
        <w:rPr>
          <w:rFonts w:eastAsiaTheme="minorEastAsia"/>
        </w:rPr>
        <w:t xml:space="preserve">ETS impact </w:t>
      </w:r>
      <w:r w:rsidR="000C1ABA" w:rsidRPr="005373EB">
        <w:rPr>
          <w:rFonts w:eastAsiaTheme="minorEastAsia"/>
        </w:rPr>
        <w:t>before</w:t>
      </w:r>
      <w:r w:rsidR="00AA7C93" w:rsidRPr="005373EB">
        <w:rPr>
          <w:rFonts w:eastAsiaTheme="minorEastAsia"/>
        </w:rPr>
        <w:t xml:space="preserve"> the</w:t>
      </w:r>
      <w:r w:rsidRPr="005373EB">
        <w:rPr>
          <w:rFonts w:eastAsiaTheme="minorEastAsia"/>
        </w:rPr>
        <w:t xml:space="preserve"> price corridor increase</w:t>
      </w:r>
      <w:r w:rsidR="000C1ABA" w:rsidRPr="005373EB">
        <w:rPr>
          <w:rFonts w:eastAsiaTheme="minorEastAsia"/>
        </w:rPr>
        <w:t>.</w:t>
      </w:r>
    </w:p>
    <w:p w14:paraId="4D9BD4CC" w14:textId="4DC71B51" w:rsidR="002D0222" w:rsidRPr="005373EB" w:rsidRDefault="002D0222" w:rsidP="00085741">
      <w:pPr>
        <w:pStyle w:val="Bulletmfe"/>
        <w:rPr>
          <w:rFonts w:eastAsiaTheme="minorEastAsia"/>
        </w:rPr>
      </w:pPr>
      <w:r w:rsidRPr="005373EB">
        <w:rPr>
          <w:rFonts w:eastAsiaTheme="minorEastAsia"/>
        </w:rPr>
        <w:lastRenderedPageBreak/>
        <w:t>Refining New Zealand’s transition to an import-only terminal in April 2022</w:t>
      </w:r>
      <w:r w:rsidR="000C1ABA" w:rsidRPr="005373EB">
        <w:rPr>
          <w:rFonts w:eastAsiaTheme="minorEastAsia"/>
        </w:rPr>
        <w:t>.</w:t>
      </w:r>
    </w:p>
    <w:p w14:paraId="6E3F7C02" w14:textId="77777777" w:rsidR="002D0222" w:rsidRPr="005373EB" w:rsidRDefault="002D0222" w:rsidP="00085741">
      <w:pPr>
        <w:pStyle w:val="Bulletmfe"/>
        <w:rPr>
          <w:rFonts w:eastAsiaTheme="minorEastAsia"/>
        </w:rPr>
      </w:pPr>
      <w:r w:rsidRPr="005373EB">
        <w:rPr>
          <w:rFonts w:eastAsiaTheme="minorEastAsia"/>
        </w:rPr>
        <w:t>Closure of New Zealand’s Aluminium Smelter in 2024.</w:t>
      </w:r>
    </w:p>
    <w:p w14:paraId="73102F4B" w14:textId="77777777" w:rsidR="00655602" w:rsidRPr="005373EB" w:rsidRDefault="00655602" w:rsidP="003357F4">
      <w:pPr>
        <w:pStyle w:val="Heading3"/>
        <w:spacing w:before="240"/>
      </w:pPr>
      <w:r w:rsidRPr="005373EB">
        <w:t>Summary details of modelling approach and key assumptions</w:t>
      </w:r>
    </w:p>
    <w:p w14:paraId="4EF35026" w14:textId="45A47D5C" w:rsidR="00655602" w:rsidRPr="005373EB" w:rsidRDefault="00655602" w:rsidP="00B8461B">
      <w:pPr>
        <w:pStyle w:val="Heading4"/>
        <w:spacing w:before="240" w:after="100"/>
      </w:pPr>
      <w:r w:rsidRPr="005373EB">
        <w:t>ETS</w:t>
      </w:r>
      <w:r w:rsidR="00DB31CB" w:rsidRPr="005373EB">
        <w:t xml:space="preserve"> price corridor increase impact (excluding industrial process</w:t>
      </w:r>
      <w:r w:rsidR="00F31492" w:rsidRPr="005373EB">
        <w:t> </w:t>
      </w:r>
      <w:r w:rsidR="00DB31CB" w:rsidRPr="005373EB">
        <w:t>emissions)</w:t>
      </w:r>
    </w:p>
    <w:p w14:paraId="67569E0A" w14:textId="277A6479" w:rsidR="00655602" w:rsidRPr="005373EB" w:rsidRDefault="00655602" w:rsidP="00085741">
      <w:pPr>
        <w:pStyle w:val="Bulletmfe"/>
      </w:pPr>
      <w:r w:rsidRPr="005373EB">
        <w:t>Emissions reduction estimates are largely based on marginal abatement cost analysis. The model estimates the cost of using different fuels for meeting the same energy</w:t>
      </w:r>
      <w:r w:rsidR="00AA7C93" w:rsidRPr="005373EB">
        <w:t xml:space="preserve"> and </w:t>
      </w:r>
      <w:r w:rsidRPr="005373EB">
        <w:t>heating requirement and then the model chooses the cheapest option</w:t>
      </w:r>
      <w:r w:rsidR="00AA7C93" w:rsidRPr="005373EB">
        <w:t>.</w:t>
      </w:r>
    </w:p>
    <w:p w14:paraId="2CD19BD1" w14:textId="55A810A5" w:rsidR="002D0222" w:rsidRPr="005373EB" w:rsidRDefault="002D0222" w:rsidP="00085741">
      <w:pPr>
        <w:pStyle w:val="Bulletmfe"/>
      </w:pPr>
      <w:r w:rsidRPr="005373EB">
        <w:t>The rising ETS price corridor is based on the carbon price trajectory as suggested by the Commission in its demonstration path</w:t>
      </w:r>
      <w:r w:rsidR="00F22F6B" w:rsidRPr="005373EB">
        <w:t>.</w:t>
      </w:r>
    </w:p>
    <w:p w14:paraId="00536DF5" w14:textId="0AFC28B0" w:rsidR="002D0222" w:rsidRPr="005373EB" w:rsidRDefault="002D0222" w:rsidP="00085741">
      <w:pPr>
        <w:pStyle w:val="Bulletmfe"/>
      </w:pPr>
      <w:r w:rsidRPr="005373EB">
        <w:t>Emissions reduction estimates are also adjusted to take account of the fact that it takes time for firms to switch to different technologies</w:t>
      </w:r>
      <w:r w:rsidR="00F22F6B" w:rsidRPr="005373EB">
        <w:t>.</w:t>
      </w:r>
    </w:p>
    <w:p w14:paraId="7300344F" w14:textId="1715180B" w:rsidR="00655602" w:rsidRPr="005373EB" w:rsidRDefault="00655602" w:rsidP="00085741">
      <w:pPr>
        <w:pStyle w:val="Bulletmfe"/>
      </w:pPr>
      <w:r w:rsidRPr="005373EB">
        <w:t>The estimates do not take account of the fact that rising carbon prices could have a flow-on impact on economic growth and prices, which in turn affects energy demand</w:t>
      </w:r>
      <w:r w:rsidR="00732CBA" w:rsidRPr="005373EB">
        <w:t>.</w:t>
      </w:r>
    </w:p>
    <w:p w14:paraId="69E3BAB6" w14:textId="77777777" w:rsidR="00655602" w:rsidRPr="005373EB" w:rsidRDefault="00655602" w:rsidP="00085741">
      <w:pPr>
        <w:pStyle w:val="Bulletmfe"/>
      </w:pPr>
      <w:r w:rsidRPr="005373EB">
        <w:t>The projection does not model how additional demand for solid biomass is met.</w:t>
      </w:r>
    </w:p>
    <w:p w14:paraId="095ABB56" w14:textId="72490078" w:rsidR="00636C76" w:rsidRPr="005373EB" w:rsidRDefault="002D0222" w:rsidP="00B8461B">
      <w:pPr>
        <w:pStyle w:val="Heading4"/>
        <w:spacing w:before="240" w:after="100"/>
      </w:pPr>
      <w:r w:rsidRPr="005373EB">
        <w:t xml:space="preserve">National direction for </w:t>
      </w:r>
      <w:r w:rsidR="00732CBA" w:rsidRPr="005373EB">
        <w:t>i</w:t>
      </w:r>
      <w:r w:rsidR="00636C76" w:rsidRPr="005373EB">
        <w:t>ndustrial</w:t>
      </w:r>
      <w:r w:rsidRPr="005373EB">
        <w:t xml:space="preserve"> GHG emissions</w:t>
      </w:r>
      <w:r w:rsidRPr="005373EB" w:rsidDel="002D0222">
        <w:t xml:space="preserve"> </w:t>
      </w:r>
    </w:p>
    <w:p w14:paraId="0F343072" w14:textId="5867F191" w:rsidR="00655602" w:rsidRPr="005373EB" w:rsidRDefault="00655602" w:rsidP="00085741">
      <w:pPr>
        <w:pStyle w:val="Bulletmfe"/>
      </w:pPr>
      <w:r w:rsidRPr="005373EB">
        <w:t>Emissions reduction estimates use a baseline that is adjusted for the impacts of the ETS and GIDI</w:t>
      </w:r>
      <w:r w:rsidR="00C4231B">
        <w:t xml:space="preserve"> Fund</w:t>
      </w:r>
      <w:r w:rsidRPr="005373EB">
        <w:t xml:space="preserve"> to reduce the potential for double counting of impacts</w:t>
      </w:r>
      <w:r w:rsidR="00205795" w:rsidRPr="005373EB">
        <w:t>.</w:t>
      </w:r>
    </w:p>
    <w:p w14:paraId="67974091" w14:textId="429985D6" w:rsidR="002D0222" w:rsidRPr="005373EB" w:rsidRDefault="002D0222" w:rsidP="00085741">
      <w:pPr>
        <w:pStyle w:val="Bulletmfe"/>
        <w:rPr>
          <w:rFonts w:eastAsiaTheme="minorEastAsia"/>
        </w:rPr>
      </w:pPr>
      <w:r w:rsidRPr="005373EB">
        <w:rPr>
          <w:rFonts w:eastAsiaTheme="minorEastAsia"/>
        </w:rPr>
        <w:t>The model assumes a percentage of new or re-consents will switch from fossil fuel to the cheapest renewable fuel when regulations come into effect, the percentage can be 100</w:t>
      </w:r>
      <w:r w:rsidR="00205795" w:rsidRPr="005373EB">
        <w:rPr>
          <w:rFonts w:eastAsiaTheme="minorEastAsia"/>
        </w:rPr>
        <w:t> per cent,</w:t>
      </w:r>
      <w:r w:rsidRPr="005373EB">
        <w:rPr>
          <w:rFonts w:eastAsiaTheme="minorEastAsia"/>
        </w:rPr>
        <w:t xml:space="preserve"> if the regulation fully restricts a certain activity such as is the case for new coal consents</w:t>
      </w:r>
      <w:r w:rsidR="00D54008" w:rsidRPr="005373EB">
        <w:rPr>
          <w:rFonts w:eastAsiaTheme="minorEastAsia"/>
        </w:rPr>
        <w:t>.</w:t>
      </w:r>
    </w:p>
    <w:p w14:paraId="27681C85" w14:textId="717E6B97" w:rsidR="00655602" w:rsidRPr="005373EB" w:rsidRDefault="00655602" w:rsidP="00085741">
      <w:pPr>
        <w:pStyle w:val="Bulletmfe"/>
      </w:pPr>
      <w:r w:rsidRPr="005373EB">
        <w:t>Consents are assumed to last 20 years, with other assumptions around economic growth, site entry</w:t>
      </w:r>
      <w:r w:rsidR="00D54008" w:rsidRPr="005373EB">
        <w:t xml:space="preserve"> and </w:t>
      </w:r>
      <w:r w:rsidRPr="005373EB">
        <w:t>exit rates, and energy intensity improvement rates being specific to the industry</w:t>
      </w:r>
      <w:r w:rsidR="00D54008" w:rsidRPr="005373EB">
        <w:t xml:space="preserve"> and </w:t>
      </w:r>
      <w:r w:rsidRPr="005373EB">
        <w:t>sector.</w:t>
      </w:r>
    </w:p>
    <w:p w14:paraId="03100B7C" w14:textId="172EE24E" w:rsidR="00655602" w:rsidRPr="005373EB" w:rsidRDefault="00655602" w:rsidP="00B8461B">
      <w:pPr>
        <w:pStyle w:val="Heading4"/>
        <w:spacing w:before="240" w:after="100"/>
      </w:pPr>
      <w:r w:rsidRPr="005373EB">
        <w:t xml:space="preserve">Government </w:t>
      </w:r>
      <w:r w:rsidR="00B90370" w:rsidRPr="005373EB">
        <w:t>i</w:t>
      </w:r>
      <w:r w:rsidRPr="005373EB">
        <w:t xml:space="preserve">nvestment in </w:t>
      </w:r>
      <w:r w:rsidR="002D0222" w:rsidRPr="005373EB">
        <w:t>D</w:t>
      </w:r>
      <w:r w:rsidRPr="005373EB">
        <w:t xml:space="preserve">ecarbonising </w:t>
      </w:r>
      <w:r w:rsidR="002D0222" w:rsidRPr="005373EB">
        <w:t>I</w:t>
      </w:r>
      <w:r w:rsidRPr="005373EB">
        <w:t xml:space="preserve">ndustry </w:t>
      </w:r>
      <w:r w:rsidR="0007690F" w:rsidRPr="005373EB">
        <w:t>F</w:t>
      </w:r>
      <w:r w:rsidRPr="005373EB">
        <w:t xml:space="preserve">und </w:t>
      </w:r>
    </w:p>
    <w:p w14:paraId="199553F7" w14:textId="1C89D700" w:rsidR="00655602" w:rsidRPr="005373EB" w:rsidRDefault="00655602" w:rsidP="00085741">
      <w:pPr>
        <w:pStyle w:val="Bulletmfe"/>
      </w:pPr>
      <w:r w:rsidRPr="005373EB">
        <w:t>Emissions reduction estimates are based on data from individual project funding applications, summed over relevant periods (</w:t>
      </w:r>
      <w:r w:rsidR="0007690F" w:rsidRPr="005373EB">
        <w:t>five</w:t>
      </w:r>
      <w:r w:rsidRPr="005373EB">
        <w:t xml:space="preserve"> yearly emissions budgets)</w:t>
      </w:r>
      <w:r w:rsidR="0007690F" w:rsidRPr="005373EB">
        <w:t>.</w:t>
      </w:r>
    </w:p>
    <w:p w14:paraId="10C2DBE4" w14:textId="5BD26737" w:rsidR="00655602" w:rsidRPr="005373EB" w:rsidRDefault="00655602" w:rsidP="00085741">
      <w:pPr>
        <w:pStyle w:val="Bulletmfe"/>
      </w:pPr>
      <w:r w:rsidRPr="005373EB">
        <w:t>Estimates are reduced to account for logical overlaps with other policies (</w:t>
      </w:r>
      <w:r w:rsidR="0007690F" w:rsidRPr="005373EB">
        <w:t>eg,</w:t>
      </w:r>
      <w:r w:rsidRPr="005373EB">
        <w:t xml:space="preserve"> ETS</w:t>
      </w:r>
      <w:r w:rsidR="00E71848" w:rsidRPr="005373EB">
        <w:t> </w:t>
      </w:r>
      <w:r w:rsidRPr="005373EB">
        <w:t xml:space="preserve">pricing, </w:t>
      </w:r>
      <w:r w:rsidR="0007690F" w:rsidRPr="005373EB">
        <w:t>n</w:t>
      </w:r>
      <w:r w:rsidR="002D0222" w:rsidRPr="005373EB">
        <w:t>ational direction for industrial GHG emissions)</w:t>
      </w:r>
      <w:r w:rsidR="0007690F" w:rsidRPr="005373EB">
        <w:t>.</w:t>
      </w:r>
    </w:p>
    <w:p w14:paraId="1E7A63F1" w14:textId="452F47B0" w:rsidR="00655602" w:rsidRPr="005373EB" w:rsidRDefault="00655602" w:rsidP="00085741">
      <w:pPr>
        <w:pStyle w:val="Bulletmfe"/>
      </w:pPr>
      <w:r w:rsidRPr="005373EB">
        <w:t>Emissions reduction estimates include pragmatic delivery and timeframe risks</w:t>
      </w:r>
      <w:r w:rsidR="0007690F" w:rsidRPr="005373EB">
        <w:t>.</w:t>
      </w:r>
    </w:p>
    <w:p w14:paraId="5858CB2C" w14:textId="31DACEDF" w:rsidR="00655602" w:rsidRPr="005373EB" w:rsidRDefault="00655602" w:rsidP="00085741">
      <w:pPr>
        <w:pStyle w:val="Bulletmfe"/>
      </w:pPr>
      <w:r w:rsidRPr="005373EB">
        <w:t>Most projects have an effective life of 20 years</w:t>
      </w:r>
      <w:r w:rsidR="004F01AE" w:rsidRPr="005373EB">
        <w:t>.</w:t>
      </w:r>
    </w:p>
    <w:p w14:paraId="617740C8" w14:textId="2F08FE72" w:rsidR="00655602" w:rsidRPr="005373EB" w:rsidRDefault="129C4F8D" w:rsidP="00085741">
      <w:pPr>
        <w:pStyle w:val="Bulletmfe"/>
      </w:pPr>
      <w:r w:rsidRPr="005373EB">
        <w:t xml:space="preserve">Many projects result in an increase in electricity consumption with a corresponding emissions increase that partially offsets </w:t>
      </w:r>
      <w:r w:rsidR="00AB0F16" w:rsidRPr="005373EB">
        <w:t xml:space="preserve">an </w:t>
      </w:r>
      <w:r w:rsidRPr="005373EB">
        <w:t>emissions reduction from fossil fuel use. The electricity emission</w:t>
      </w:r>
      <w:r w:rsidR="00B408C3" w:rsidRPr="005373EB">
        <w:t>s</w:t>
      </w:r>
      <w:r w:rsidRPr="005373EB">
        <w:t xml:space="preserve"> factors from the C</w:t>
      </w:r>
      <w:r w:rsidR="002F158B" w:rsidRPr="005373EB">
        <w:t>ommission’s</w:t>
      </w:r>
      <w:r w:rsidRPr="005373EB">
        <w:t xml:space="preserve"> </w:t>
      </w:r>
      <w:r w:rsidR="00B7321F" w:rsidRPr="005373EB">
        <w:t>‘</w:t>
      </w:r>
      <w:r w:rsidRPr="005373EB">
        <w:t>current policy reference</w:t>
      </w:r>
      <w:r w:rsidR="00B7321F" w:rsidRPr="005373EB">
        <w:t>’</w:t>
      </w:r>
      <w:r w:rsidRPr="005373EB">
        <w:t xml:space="preserve"> scenario were used for this calculation.</w:t>
      </w:r>
    </w:p>
    <w:p w14:paraId="2878C441" w14:textId="5B39DCD4" w:rsidR="00655602" w:rsidRPr="005373EB" w:rsidRDefault="00655602" w:rsidP="00B8461B">
      <w:pPr>
        <w:pStyle w:val="Heading4"/>
        <w:spacing w:before="240" w:after="100"/>
      </w:pPr>
      <w:r w:rsidRPr="005373EB">
        <w:lastRenderedPageBreak/>
        <w:t>Expansion of EECA</w:t>
      </w:r>
      <w:r w:rsidR="002D0222" w:rsidRPr="005373EB">
        <w:t>’s</w:t>
      </w:r>
      <w:r w:rsidRPr="005373EB">
        <w:t xml:space="preserve"> </w:t>
      </w:r>
      <w:r w:rsidR="002D0222" w:rsidRPr="005373EB">
        <w:t>b</w:t>
      </w:r>
      <w:r w:rsidRPr="005373EB">
        <w:t xml:space="preserve">usiness programmes </w:t>
      </w:r>
    </w:p>
    <w:p w14:paraId="3C0DC2E9" w14:textId="3FFDA472" w:rsidR="00655602" w:rsidRPr="005373EB" w:rsidRDefault="00655602" w:rsidP="00085741">
      <w:pPr>
        <w:pStyle w:val="Bulletmfe"/>
      </w:pPr>
      <w:r w:rsidRPr="005373EB">
        <w:t>Emissions reduction estimates are based on a scaling up of existing business programme reductions, along with assumptions relating to programme efficiency improvements and scale effects</w:t>
      </w:r>
      <w:r w:rsidR="00B8461B" w:rsidRPr="005373EB">
        <w:t>.</w:t>
      </w:r>
    </w:p>
    <w:p w14:paraId="76FB418D" w14:textId="77777777" w:rsidR="00655602" w:rsidRPr="005373EB" w:rsidRDefault="00655602" w:rsidP="00085741">
      <w:pPr>
        <w:pStyle w:val="Bulletmfe"/>
      </w:pPr>
      <w:r w:rsidRPr="005373EB">
        <w:t xml:space="preserve">Most interventions are assumed to have an effective life of 10 years. </w:t>
      </w:r>
    </w:p>
    <w:p w14:paraId="72051DD3" w14:textId="64531661" w:rsidR="00655602" w:rsidRPr="005373EB" w:rsidRDefault="00655602" w:rsidP="0096722B">
      <w:pPr>
        <w:pStyle w:val="Heading4"/>
        <w:spacing w:before="240" w:after="120"/>
      </w:pPr>
      <w:r w:rsidRPr="005373EB">
        <w:t xml:space="preserve">State Sector Decarbonisation </w:t>
      </w:r>
      <w:r w:rsidR="00B804C1" w:rsidRPr="005373EB">
        <w:t>F</w:t>
      </w:r>
      <w:r w:rsidR="002D0222" w:rsidRPr="005373EB">
        <w:t>und</w:t>
      </w:r>
    </w:p>
    <w:p w14:paraId="49560C35" w14:textId="2C56968B" w:rsidR="00655602" w:rsidRPr="005373EB" w:rsidRDefault="00655602" w:rsidP="00085741">
      <w:pPr>
        <w:pStyle w:val="Bulletmfe"/>
      </w:pPr>
      <w:r w:rsidRPr="005373EB">
        <w:t>Emissions reduction estimates are based on data from individual project funding applications from the first seven rounds, summed over relevant periods (</w:t>
      </w:r>
      <w:r w:rsidR="00C013EC" w:rsidRPr="005373EB">
        <w:t>five</w:t>
      </w:r>
      <w:r w:rsidR="008A5746">
        <w:t>-</w:t>
      </w:r>
      <w:r w:rsidRPr="005373EB">
        <w:t>yearly emissions budgets) and scaled for overall funding envelope</w:t>
      </w:r>
      <w:r w:rsidR="00C013EC" w:rsidRPr="005373EB">
        <w:t>.</w:t>
      </w:r>
    </w:p>
    <w:p w14:paraId="051F1E1B" w14:textId="662758C2" w:rsidR="00655602" w:rsidRPr="005373EB" w:rsidRDefault="00655602" w:rsidP="00085741">
      <w:pPr>
        <w:pStyle w:val="Bulletmfe"/>
      </w:pPr>
      <w:r w:rsidRPr="005373EB">
        <w:t>Emissions reduction estimates include pragmatic delivery and timeframe risks</w:t>
      </w:r>
      <w:r w:rsidR="00C013EC" w:rsidRPr="005373EB">
        <w:t>.</w:t>
      </w:r>
    </w:p>
    <w:p w14:paraId="15D2A4EA" w14:textId="77777777" w:rsidR="00655602" w:rsidRPr="005373EB" w:rsidRDefault="00655602" w:rsidP="00085741">
      <w:pPr>
        <w:pStyle w:val="Bulletmfe"/>
      </w:pPr>
      <w:r w:rsidRPr="005373EB">
        <w:t>Most projects have an effective life of 20 years.</w:t>
      </w:r>
    </w:p>
    <w:p w14:paraId="78AB5CE4" w14:textId="333B0419" w:rsidR="000F04B5" w:rsidRPr="005373EB" w:rsidRDefault="002D0222" w:rsidP="0096722B">
      <w:pPr>
        <w:pStyle w:val="Heading4"/>
        <w:spacing w:before="240" w:after="120"/>
      </w:pPr>
      <w:r w:rsidRPr="005373EB">
        <w:t xml:space="preserve">Improve energy efficiency products and services regulation </w:t>
      </w:r>
    </w:p>
    <w:p w14:paraId="6B18ED03" w14:textId="77777777" w:rsidR="00655602" w:rsidRPr="005373EB" w:rsidRDefault="00655602" w:rsidP="00085741">
      <w:pPr>
        <w:pStyle w:val="Bulletmfe"/>
      </w:pPr>
      <w:r w:rsidRPr="005373EB">
        <w:t>Regulatory changes are expected to result in a percentage increase in the effectiveness of EECA’s existing regulatory programmes. This is applied as a multiplier against current emissions reduction projections for this programme.</w:t>
      </w:r>
    </w:p>
    <w:p w14:paraId="3D6826FF" w14:textId="4EAA2C3F" w:rsidR="000F04B5" w:rsidRPr="005373EB" w:rsidRDefault="00E95F3F" w:rsidP="0096722B">
      <w:pPr>
        <w:pStyle w:val="Heading4"/>
        <w:spacing w:before="240" w:after="120"/>
      </w:pPr>
      <w:r w:rsidRPr="005373EB">
        <w:t xml:space="preserve">Expand and continue the roll out of the GIDI </w:t>
      </w:r>
      <w:r w:rsidR="0008192D" w:rsidRPr="005373EB">
        <w:t>F</w:t>
      </w:r>
      <w:r w:rsidRPr="005373EB">
        <w:t>und</w:t>
      </w:r>
    </w:p>
    <w:p w14:paraId="173B7B59" w14:textId="6DB89E7E" w:rsidR="00655602" w:rsidRPr="005373EB" w:rsidRDefault="00655602" w:rsidP="00085741">
      <w:pPr>
        <w:pStyle w:val="Bulletmfe"/>
      </w:pPr>
      <w:r w:rsidRPr="005373EB">
        <w:t>Emissions reductions are estimated using cost of emissions reduction derived from GIDI 1.0 projects, scaled for size of requested funding, and limited to available emissions potential for some fuels (specifically coal and LPG)</w:t>
      </w:r>
      <w:r w:rsidR="00E90C81" w:rsidRPr="005373EB">
        <w:t>.</w:t>
      </w:r>
    </w:p>
    <w:p w14:paraId="5FF7B68F" w14:textId="7F8EB9B1" w:rsidR="00655602" w:rsidRPr="005373EB" w:rsidRDefault="00655602" w:rsidP="00085741">
      <w:pPr>
        <w:pStyle w:val="Bulletmfe"/>
      </w:pPr>
      <w:r w:rsidRPr="005373EB">
        <w:t>Estimates are reduced to account for logical overlaps with other policies (</w:t>
      </w:r>
      <w:r w:rsidR="00E90C81" w:rsidRPr="005373EB">
        <w:t>eg,</w:t>
      </w:r>
      <w:r w:rsidRPr="005373EB">
        <w:t xml:space="preserve"> ETS pricing, </w:t>
      </w:r>
      <w:r w:rsidR="00E235A6" w:rsidRPr="005373EB">
        <w:t>National Environmental Standard</w:t>
      </w:r>
      <w:r w:rsidR="00E235A6" w:rsidRPr="005373EB" w:rsidDel="00E235A6">
        <w:t xml:space="preserve"> </w:t>
      </w:r>
      <w:r w:rsidR="00E235A6" w:rsidRPr="005373EB">
        <w:t>and National Policy Statement</w:t>
      </w:r>
      <w:r w:rsidR="00D83E66" w:rsidRPr="005373EB">
        <w:t xml:space="preserve"> on </w:t>
      </w:r>
      <w:r w:rsidR="00031733" w:rsidRPr="005373EB">
        <w:t>i</w:t>
      </w:r>
      <w:r w:rsidR="00D83E66" w:rsidRPr="005373EB">
        <w:t>ndustrial GHG emissions</w:t>
      </w:r>
      <w:r w:rsidRPr="005373EB">
        <w:t xml:space="preserve">). </w:t>
      </w:r>
    </w:p>
    <w:p w14:paraId="5709B222" w14:textId="03D967BE" w:rsidR="000F04B5" w:rsidRPr="005373EB" w:rsidRDefault="00E95F3F" w:rsidP="0096722B">
      <w:pPr>
        <w:pStyle w:val="Heading4"/>
        <w:spacing w:before="240" w:after="120"/>
      </w:pPr>
      <w:r w:rsidRPr="005373EB">
        <w:t>Provide grant funding for decarbonising commercial space and</w:t>
      </w:r>
      <w:r w:rsidR="00031733" w:rsidRPr="005373EB">
        <w:t> </w:t>
      </w:r>
      <w:r w:rsidRPr="005373EB">
        <w:t>water heating</w:t>
      </w:r>
    </w:p>
    <w:p w14:paraId="6211298F" w14:textId="0E887D6C" w:rsidR="00655602" w:rsidRPr="005373EB" w:rsidRDefault="00655602" w:rsidP="00085741">
      <w:pPr>
        <w:pStyle w:val="Bulletmfe"/>
      </w:pPr>
      <w:r w:rsidRPr="005373EB">
        <w:t xml:space="preserve">Emissions reductions are based on decarbonising space heating in the commercial sector through a mixture of co-funding projects for a portion of the market, followed by normalisation of low-carbon heating systems by suppliers and purchasers. </w:t>
      </w:r>
    </w:p>
    <w:p w14:paraId="40027181" w14:textId="2958318C" w:rsidR="000F04B5" w:rsidRPr="005373EB" w:rsidRDefault="00E95F3F" w:rsidP="0096722B">
      <w:pPr>
        <w:pStyle w:val="Heading4"/>
        <w:spacing w:before="240" w:after="120"/>
      </w:pPr>
      <w:r w:rsidRPr="005373EB">
        <w:t>Provide grant funding for high efficiency electrical equipment</w:t>
      </w:r>
    </w:p>
    <w:p w14:paraId="5C48BFD3" w14:textId="5435A86C" w:rsidR="00655602" w:rsidRPr="005373EB" w:rsidRDefault="00655602" w:rsidP="00085741">
      <w:pPr>
        <w:pStyle w:val="Bulletmfe"/>
      </w:pPr>
      <w:r w:rsidRPr="005373EB">
        <w:t>Emissions reductions are estimated by dividing requested funding by known technology replacement costs for high potential end-uses, limited by available potential and assessed market readiness</w:t>
      </w:r>
      <w:r w:rsidR="009F79EA" w:rsidRPr="005373EB">
        <w:t>.</w:t>
      </w:r>
    </w:p>
    <w:p w14:paraId="6DF3F3B1" w14:textId="32FF4906" w:rsidR="00655602" w:rsidRPr="005373EB" w:rsidRDefault="00655602" w:rsidP="00085741">
      <w:pPr>
        <w:pStyle w:val="Bulletmfe"/>
      </w:pPr>
      <w:r w:rsidRPr="005373EB">
        <w:t>Most emissions reductions are from electricity efficiency</w:t>
      </w:r>
      <w:r w:rsidR="00EC1749" w:rsidRPr="005373EB">
        <w:t>;</w:t>
      </w:r>
      <w:r w:rsidRPr="005373EB">
        <w:t xml:space="preserve"> the electricity emission</w:t>
      </w:r>
      <w:r w:rsidR="00506431" w:rsidRPr="005373EB">
        <w:t>s</w:t>
      </w:r>
      <w:r w:rsidRPr="005373EB">
        <w:t xml:space="preserve"> factors from the </w:t>
      </w:r>
      <w:r w:rsidR="00340189" w:rsidRPr="005373EB">
        <w:t xml:space="preserve">Commission’s </w:t>
      </w:r>
      <w:r w:rsidR="00EC1749" w:rsidRPr="005373EB">
        <w:t>‘</w:t>
      </w:r>
      <w:r w:rsidRPr="005373EB">
        <w:t>current policy reference</w:t>
      </w:r>
      <w:r w:rsidR="00EC1749" w:rsidRPr="005373EB">
        <w:t>’</w:t>
      </w:r>
      <w:r w:rsidRPr="005373EB">
        <w:t xml:space="preserve"> scenario were used for this calculation.</w:t>
      </w:r>
    </w:p>
    <w:p w14:paraId="7991066C" w14:textId="45678F3F" w:rsidR="00655602" w:rsidRPr="005373EB" w:rsidRDefault="00655602" w:rsidP="006A5F70">
      <w:pPr>
        <w:pStyle w:val="Heading2"/>
      </w:pPr>
      <w:bookmarkStart w:id="36" w:name="_Toc103773265"/>
      <w:r w:rsidRPr="005373EB">
        <w:t xml:space="preserve">Building and </w:t>
      </w:r>
      <w:r w:rsidR="00EC1749" w:rsidRPr="005373EB">
        <w:t>c</w:t>
      </w:r>
      <w:r w:rsidRPr="005373EB">
        <w:t>onstruction</w:t>
      </w:r>
      <w:bookmarkEnd w:id="36"/>
    </w:p>
    <w:p w14:paraId="40696F3F" w14:textId="700745DF" w:rsidR="00996C2B" w:rsidRPr="005373EB" w:rsidRDefault="00655602" w:rsidP="00996C2B">
      <w:pPr>
        <w:pStyle w:val="BodyText"/>
      </w:pPr>
      <w:r w:rsidRPr="005373EB">
        <w:t xml:space="preserve">The quantification of policy impacts for the </w:t>
      </w:r>
      <w:r w:rsidR="00EC1749" w:rsidRPr="005373EB">
        <w:t>b</w:t>
      </w:r>
      <w:r w:rsidRPr="005373EB">
        <w:t xml:space="preserve">uilding and </w:t>
      </w:r>
      <w:r w:rsidR="00EC1749" w:rsidRPr="005373EB">
        <w:t>c</w:t>
      </w:r>
      <w:r w:rsidRPr="005373EB">
        <w:t>onstruction sector was undertaken by MBIE.</w:t>
      </w:r>
      <w:r w:rsidR="00353197" w:rsidRPr="005373EB">
        <w:t xml:space="preserve"> </w:t>
      </w:r>
      <w:r w:rsidRPr="005373EB">
        <w:t xml:space="preserve">The </w:t>
      </w:r>
      <w:r w:rsidR="004311D9" w:rsidRPr="005373EB">
        <w:t>b</w:t>
      </w:r>
      <w:r w:rsidRPr="005373EB">
        <w:t xml:space="preserve">uilding and </w:t>
      </w:r>
      <w:r w:rsidR="004311D9" w:rsidRPr="005373EB">
        <w:t>c</w:t>
      </w:r>
      <w:r w:rsidRPr="005373EB">
        <w:t xml:space="preserve">onstruction sector is not directly measured by the GHG Inventory </w:t>
      </w:r>
      <w:r w:rsidRPr="005373EB">
        <w:lastRenderedPageBreak/>
        <w:t>but has a substantive impact on emissions</w:t>
      </w:r>
      <w:r w:rsidR="00033E37" w:rsidRPr="005373EB">
        <w:t>,</w:t>
      </w:r>
      <w:r w:rsidRPr="005373EB">
        <w:t xml:space="preserve"> particularly </w:t>
      </w:r>
      <w:r w:rsidR="00033E37" w:rsidRPr="005373EB">
        <w:t>e</w:t>
      </w:r>
      <w:r w:rsidRPr="005373EB">
        <w:t xml:space="preserve">nergy and </w:t>
      </w:r>
      <w:r w:rsidR="00033E37" w:rsidRPr="005373EB">
        <w:t>i</w:t>
      </w:r>
      <w:r w:rsidRPr="005373EB">
        <w:t>ndustry.</w:t>
      </w:r>
      <w:r w:rsidR="00353197" w:rsidRPr="005373EB">
        <w:t xml:space="preserve"> </w:t>
      </w:r>
      <w:r w:rsidRPr="005373EB">
        <w:t xml:space="preserve">For this reason, the quantified impacts of the </w:t>
      </w:r>
      <w:r w:rsidR="00496A9C" w:rsidRPr="005373EB">
        <w:t>b</w:t>
      </w:r>
      <w:r w:rsidRPr="005373EB">
        <w:t xml:space="preserve">uilding and </w:t>
      </w:r>
      <w:r w:rsidR="00496A9C" w:rsidRPr="005373EB">
        <w:t>c</w:t>
      </w:r>
      <w:r w:rsidRPr="005373EB">
        <w:t xml:space="preserve">onstruction sector have been included in the </w:t>
      </w:r>
      <w:r w:rsidR="000D5745" w:rsidRPr="005373EB">
        <w:t>e</w:t>
      </w:r>
      <w:r w:rsidRPr="005373EB">
        <w:t xml:space="preserve">nergy and </w:t>
      </w:r>
      <w:r w:rsidR="000D5745" w:rsidRPr="005373EB">
        <w:t>i</w:t>
      </w:r>
      <w:r w:rsidRPr="005373EB">
        <w:t>ndustry sector.</w:t>
      </w:r>
    </w:p>
    <w:p w14:paraId="7AC807F3" w14:textId="77777777" w:rsidR="00996C2B" w:rsidRPr="005373EB" w:rsidRDefault="00996C2B" w:rsidP="0096722B">
      <w:pPr>
        <w:pStyle w:val="Heading3"/>
        <w:spacing w:before="240" w:after="120"/>
      </w:pPr>
      <w:r w:rsidRPr="005373EB">
        <w:t xml:space="preserve">Policies and measures that have been quantified </w:t>
      </w:r>
    </w:p>
    <w:p w14:paraId="66E5DD80" w14:textId="5790B2AC" w:rsidR="00996C2B" w:rsidRPr="005373EB" w:rsidRDefault="00996C2B" w:rsidP="00085741">
      <w:pPr>
        <w:pStyle w:val="Bulletmfe"/>
      </w:pPr>
      <w:r w:rsidRPr="005373EB">
        <w:t>H1 code updates</w:t>
      </w:r>
      <w:r w:rsidR="00510CCF" w:rsidRPr="005373EB">
        <w:t>.</w:t>
      </w:r>
    </w:p>
    <w:p w14:paraId="1B6F6AD1" w14:textId="64B71343" w:rsidR="00996C2B" w:rsidRPr="005373EB" w:rsidRDefault="00996C2B" w:rsidP="00085741">
      <w:pPr>
        <w:pStyle w:val="Bulletmfe"/>
      </w:pPr>
      <w:r w:rsidRPr="005373EB">
        <w:t>Behaviour change programme</w:t>
      </w:r>
      <w:r w:rsidR="00510CCF" w:rsidRPr="005373EB">
        <w:t>.</w:t>
      </w:r>
    </w:p>
    <w:p w14:paraId="1C619C4F" w14:textId="77777777" w:rsidR="00996C2B" w:rsidRPr="005373EB" w:rsidRDefault="00996C2B" w:rsidP="00085741">
      <w:pPr>
        <w:pStyle w:val="Bulletmfe"/>
      </w:pPr>
      <w:r w:rsidRPr="005373EB">
        <w:t>Implementation of data infrastructure.</w:t>
      </w:r>
    </w:p>
    <w:p w14:paraId="67B64801" w14:textId="77777777" w:rsidR="00996C2B" w:rsidRPr="005373EB" w:rsidRDefault="00996C2B" w:rsidP="007B5130">
      <w:pPr>
        <w:pStyle w:val="Heading3"/>
        <w:spacing w:before="240" w:after="120"/>
        <w:rPr>
          <w:b w:val="0"/>
          <w:bCs w:val="0"/>
        </w:rPr>
      </w:pPr>
      <w:r w:rsidRPr="005373EB">
        <w:t>Key policies and measures that have not been quantified</w:t>
      </w:r>
    </w:p>
    <w:p w14:paraId="56F54F3D" w14:textId="73C54032" w:rsidR="00996C2B" w:rsidRPr="005373EB" w:rsidRDefault="00996C2B" w:rsidP="00085741">
      <w:pPr>
        <w:pStyle w:val="Bulletmfe"/>
      </w:pPr>
      <w:r w:rsidRPr="005373EB">
        <w:t>Kainga Ora programmes</w:t>
      </w:r>
      <w:r w:rsidR="00AA63FF" w:rsidRPr="005373EB">
        <w:t>.</w:t>
      </w:r>
    </w:p>
    <w:p w14:paraId="1BEDC130" w14:textId="77777777" w:rsidR="00996C2B" w:rsidRPr="005373EB" w:rsidRDefault="00996C2B" w:rsidP="00085741">
      <w:pPr>
        <w:pStyle w:val="Bulletmfe"/>
      </w:pPr>
      <w:r w:rsidRPr="005373EB">
        <w:t>Concrete decarbonisation.</w:t>
      </w:r>
    </w:p>
    <w:p w14:paraId="0B1902BE" w14:textId="5E678465" w:rsidR="00996C2B" w:rsidRPr="005373EB" w:rsidRDefault="00996C2B" w:rsidP="00085741">
      <w:pPr>
        <w:pStyle w:val="Bulletmfe"/>
      </w:pPr>
      <w:r w:rsidRPr="005373EB">
        <w:t xml:space="preserve">Policies intended for implementation in future </w:t>
      </w:r>
      <w:r w:rsidR="00AA63FF" w:rsidRPr="005373EB">
        <w:t>e</w:t>
      </w:r>
      <w:r w:rsidRPr="005373EB">
        <w:t xml:space="preserve">missions </w:t>
      </w:r>
      <w:r w:rsidR="00AA63FF" w:rsidRPr="005373EB">
        <w:t>b</w:t>
      </w:r>
      <w:r w:rsidRPr="005373EB">
        <w:t xml:space="preserve">udget periods </w:t>
      </w:r>
      <w:r w:rsidR="002936CF" w:rsidRPr="005373EB">
        <w:t>that</w:t>
      </w:r>
      <w:r w:rsidRPr="005373EB">
        <w:t xml:space="preserve"> require further development, such as requirements to reduce operational and embodied carbon.</w:t>
      </w:r>
    </w:p>
    <w:p w14:paraId="598ADE41" w14:textId="55EAA3DF" w:rsidR="00996C2B" w:rsidRPr="005373EB" w:rsidRDefault="00996C2B" w:rsidP="007B5130">
      <w:pPr>
        <w:pStyle w:val="Heading3"/>
        <w:spacing w:before="240" w:after="120"/>
        <w:rPr>
          <w:b w:val="0"/>
          <w:bCs w:val="0"/>
        </w:rPr>
      </w:pPr>
      <w:r w:rsidRPr="005373EB">
        <w:t>Key policies and measures already included in the baseline</w:t>
      </w:r>
      <w:r w:rsidR="000D795F" w:rsidRPr="005373EB">
        <w:t> </w:t>
      </w:r>
      <w:r w:rsidRPr="005373EB">
        <w:t>projections</w:t>
      </w:r>
    </w:p>
    <w:p w14:paraId="3F7D5C66" w14:textId="55150A2F" w:rsidR="00996C2B" w:rsidRPr="005373EB" w:rsidRDefault="00996C2B" w:rsidP="00085741">
      <w:pPr>
        <w:pStyle w:val="Bulletmfe"/>
      </w:pPr>
      <w:r w:rsidRPr="005373EB">
        <w:t>Healthy homes standard</w:t>
      </w:r>
      <w:r w:rsidR="002936CF" w:rsidRPr="005373EB">
        <w:t>.</w:t>
      </w:r>
    </w:p>
    <w:p w14:paraId="474E8767" w14:textId="77777777" w:rsidR="00996C2B" w:rsidRPr="005373EB" w:rsidRDefault="00996C2B" w:rsidP="00085741">
      <w:pPr>
        <w:pStyle w:val="Bulletmfe"/>
      </w:pPr>
      <w:r w:rsidRPr="005373EB">
        <w:t>Adoption of Homestar.</w:t>
      </w:r>
    </w:p>
    <w:p w14:paraId="545B729B" w14:textId="77777777" w:rsidR="00996C2B" w:rsidRPr="005373EB" w:rsidRDefault="00996C2B" w:rsidP="007B5130">
      <w:pPr>
        <w:pStyle w:val="Heading3"/>
        <w:spacing w:before="240" w:after="120"/>
        <w:rPr>
          <w:b w:val="0"/>
          <w:bCs w:val="0"/>
        </w:rPr>
      </w:pPr>
      <w:r w:rsidRPr="005373EB">
        <w:t>Summary details of modelling approach and key assumptions</w:t>
      </w:r>
    </w:p>
    <w:p w14:paraId="534899CC" w14:textId="61D1AA71" w:rsidR="00996C2B" w:rsidRPr="005373EB" w:rsidRDefault="002936CF" w:rsidP="00893458">
      <w:pPr>
        <w:pStyle w:val="Heading4"/>
        <w:spacing w:before="120" w:after="120"/>
      </w:pPr>
      <w:r w:rsidRPr="005373EB">
        <w:t>E</w:t>
      </w:r>
      <w:r w:rsidR="00996C2B" w:rsidRPr="005373EB">
        <w:t>missions modelling of the three quantified policies has been done in one integrated model</w:t>
      </w:r>
    </w:p>
    <w:p w14:paraId="2340F9C2" w14:textId="69AFC92A" w:rsidR="00996C2B" w:rsidRPr="005373EB" w:rsidRDefault="00996C2B" w:rsidP="00C40DA0">
      <w:pPr>
        <w:pStyle w:val="Bulletmfe"/>
      </w:pPr>
      <w:r w:rsidRPr="005373EB">
        <w:t>The modelling accounts for reduction</w:t>
      </w:r>
      <w:r w:rsidR="008E2E0B" w:rsidRPr="005373EB">
        <w:t>s</w:t>
      </w:r>
      <w:r w:rsidRPr="005373EB">
        <w:t xml:space="preserve"> in emissions from new buildings</w:t>
      </w:r>
      <w:r w:rsidR="008E2E0B" w:rsidRPr="005373EB">
        <w:t>.</w:t>
      </w:r>
    </w:p>
    <w:p w14:paraId="0EBA485E" w14:textId="7836B92D" w:rsidR="00996C2B" w:rsidRPr="005373EB" w:rsidRDefault="00996C2B" w:rsidP="00C40DA0">
      <w:pPr>
        <w:pStyle w:val="Bulletmfe"/>
      </w:pPr>
      <w:r w:rsidRPr="005373EB">
        <w:t xml:space="preserve">The modelling assumes two </w:t>
      </w:r>
      <w:r w:rsidR="008E2E0B" w:rsidRPr="005373EB">
        <w:t xml:space="preserve">main </w:t>
      </w:r>
      <w:r w:rsidRPr="005373EB">
        <w:t xml:space="preserve">drivers of emissions from new buildings: </w:t>
      </w:r>
    </w:p>
    <w:p w14:paraId="1B76FD2A" w14:textId="58C8DCEE" w:rsidR="00996C2B" w:rsidRPr="005373EB" w:rsidRDefault="008E2E0B" w:rsidP="00C40DA0">
      <w:pPr>
        <w:pStyle w:val="Bulletmfe"/>
        <w:numPr>
          <w:ilvl w:val="0"/>
          <w:numId w:val="10"/>
        </w:numPr>
      </w:pPr>
      <w:r w:rsidRPr="005373EB">
        <w:t>t</w:t>
      </w:r>
      <w:r w:rsidR="00996C2B" w:rsidRPr="005373EB">
        <w:t xml:space="preserve">he number of buildings that are built; projections of these are from the pipeline report, produced by BRANZ </w:t>
      </w:r>
    </w:p>
    <w:p w14:paraId="3EDB04E2" w14:textId="20A7D203" w:rsidR="00996C2B" w:rsidRPr="005373EB" w:rsidRDefault="00996C2B" w:rsidP="00C40DA0">
      <w:pPr>
        <w:pStyle w:val="Bulletmfe"/>
        <w:numPr>
          <w:ilvl w:val="0"/>
          <w:numId w:val="10"/>
        </w:numPr>
      </w:pPr>
      <w:r w:rsidRPr="005373EB">
        <w:t xml:space="preserve">the amount of electricity used to operate the building; projections of these are from the energy markets team at MBIE. </w:t>
      </w:r>
      <w:r w:rsidR="00D056A3" w:rsidRPr="005373EB">
        <w:t>Note</w:t>
      </w:r>
      <w:r w:rsidRPr="005373EB">
        <w:t xml:space="preserve"> a driver of emissions from electricity is the proportion of electricity generated from low-emissions sources.</w:t>
      </w:r>
    </w:p>
    <w:p w14:paraId="735716A8" w14:textId="239EECC8" w:rsidR="00996C2B" w:rsidRPr="005373EB" w:rsidRDefault="00996C2B" w:rsidP="00C40DA0">
      <w:pPr>
        <w:pStyle w:val="Bulletmfe"/>
      </w:pPr>
      <w:r w:rsidRPr="005373EB">
        <w:t xml:space="preserve">Therefore, </w:t>
      </w:r>
      <w:r w:rsidR="467911B5" w:rsidRPr="005373EB">
        <w:t>policies</w:t>
      </w:r>
      <w:r w:rsidRPr="005373EB">
        <w:t xml:space="preserve"> that reduce emissions in new buildings focus on two </w:t>
      </w:r>
      <w:r w:rsidR="00D056A3" w:rsidRPr="005373EB">
        <w:t>main</w:t>
      </w:r>
      <w:r w:rsidRPr="005373EB">
        <w:t xml:space="preserve"> areas:</w:t>
      </w:r>
    </w:p>
    <w:p w14:paraId="6F0D32F3" w14:textId="61770ECC" w:rsidR="00996C2B" w:rsidRPr="005373EB" w:rsidRDefault="00D056A3" w:rsidP="00C40DA0">
      <w:pPr>
        <w:pStyle w:val="Bulletmfe"/>
        <w:numPr>
          <w:ilvl w:val="0"/>
          <w:numId w:val="11"/>
        </w:numPr>
      </w:pPr>
      <w:r w:rsidRPr="005373EB">
        <w:t>l</w:t>
      </w:r>
      <w:r w:rsidR="00996C2B" w:rsidRPr="005373EB">
        <w:t>owering whole of life carbon emissions</w:t>
      </w:r>
      <w:r w:rsidRPr="005373EB">
        <w:t>, that is</w:t>
      </w:r>
      <w:r w:rsidR="00996C2B" w:rsidRPr="005373EB">
        <w:t>, emissions from the materials used in construction, the construction process, construction waste, and the disposal of a building at the end of its life</w:t>
      </w:r>
    </w:p>
    <w:p w14:paraId="6868814C" w14:textId="68EF7FA7" w:rsidR="00996C2B" w:rsidRPr="005373EB" w:rsidRDefault="00F14416" w:rsidP="00C40DA0">
      <w:pPr>
        <w:pStyle w:val="Bulletmfe"/>
        <w:numPr>
          <w:ilvl w:val="0"/>
          <w:numId w:val="11"/>
        </w:numPr>
      </w:pPr>
      <w:r w:rsidRPr="005373EB">
        <w:t>l</w:t>
      </w:r>
      <w:r w:rsidR="00996C2B" w:rsidRPr="005373EB">
        <w:t>owering operational emissions</w:t>
      </w:r>
      <w:r w:rsidRPr="005373EB">
        <w:t>,</w:t>
      </w:r>
      <w:r w:rsidR="00996C2B" w:rsidRPr="005373EB">
        <w:t xml:space="preserve"> </w:t>
      </w:r>
      <w:r w:rsidRPr="005373EB">
        <w:t>that is</w:t>
      </w:r>
      <w:r w:rsidR="00996C2B" w:rsidRPr="005373EB">
        <w:t>, emissions from operating a building, space and water heating, using appliances.</w:t>
      </w:r>
    </w:p>
    <w:p w14:paraId="6DEDEC4E" w14:textId="77777777" w:rsidR="00996C2B" w:rsidRPr="005373EB" w:rsidRDefault="00996C2B" w:rsidP="00893458">
      <w:pPr>
        <w:pStyle w:val="Heading3"/>
        <w:spacing w:before="240" w:after="120"/>
      </w:pPr>
      <w:r w:rsidRPr="005373EB">
        <w:lastRenderedPageBreak/>
        <w:t xml:space="preserve">More specific policy assumptions include: </w:t>
      </w:r>
    </w:p>
    <w:p w14:paraId="5B8F6FFC" w14:textId="77777777" w:rsidR="00996C2B" w:rsidRPr="005373EB" w:rsidRDefault="00996C2B" w:rsidP="00D42B9A">
      <w:pPr>
        <w:pStyle w:val="Heading4"/>
        <w:spacing w:before="120" w:after="120"/>
      </w:pPr>
      <w:r w:rsidRPr="005373EB">
        <w:t>H1 building code changes</w:t>
      </w:r>
    </w:p>
    <w:p w14:paraId="28C7F5EF" w14:textId="1ED0DCE6" w:rsidR="00996C2B" w:rsidRPr="005373EB" w:rsidRDefault="00996C2B" w:rsidP="00C40DA0">
      <w:pPr>
        <w:pStyle w:val="Bulletmfe"/>
      </w:pPr>
      <w:r w:rsidRPr="005373EB">
        <w:t>Assumes a 40</w:t>
      </w:r>
      <w:r w:rsidR="00F14416" w:rsidRPr="005373EB">
        <w:t xml:space="preserve"> per cent</w:t>
      </w:r>
      <w:r w:rsidRPr="005373EB">
        <w:t xml:space="preserve"> reduction in energy use in new buildings operating from 2024.</w:t>
      </w:r>
    </w:p>
    <w:p w14:paraId="1A328E12" w14:textId="77777777" w:rsidR="00996C2B" w:rsidRPr="005373EB" w:rsidRDefault="00996C2B" w:rsidP="00D42B9A">
      <w:pPr>
        <w:pStyle w:val="Heading4"/>
        <w:spacing w:before="120" w:after="120"/>
      </w:pPr>
      <w:r w:rsidRPr="005373EB">
        <w:t>Behaviour change programme</w:t>
      </w:r>
    </w:p>
    <w:p w14:paraId="2080FD84" w14:textId="5461F268" w:rsidR="00996C2B" w:rsidRPr="005373EB" w:rsidRDefault="00996C2B" w:rsidP="00C40DA0">
      <w:pPr>
        <w:pStyle w:val="Bulletmfe"/>
      </w:pPr>
      <w:r w:rsidRPr="005373EB">
        <w:t>Assumes a 10</w:t>
      </w:r>
      <w:r w:rsidR="00F14416" w:rsidRPr="005373EB">
        <w:t xml:space="preserve"> per cent</w:t>
      </w:r>
      <w:r w:rsidRPr="005373EB">
        <w:t xml:space="preserve"> reduction of emissions across all new building stock operating from</w:t>
      </w:r>
      <w:r w:rsidR="00E97F11" w:rsidRPr="005373EB">
        <w:t> </w:t>
      </w:r>
      <w:r w:rsidRPr="005373EB">
        <w:t>2024.</w:t>
      </w:r>
    </w:p>
    <w:p w14:paraId="0F8A748B" w14:textId="77777777" w:rsidR="00996C2B" w:rsidRPr="005373EB" w:rsidRDefault="00996C2B" w:rsidP="00D42B9A">
      <w:pPr>
        <w:pStyle w:val="Heading4"/>
        <w:spacing w:before="120" w:after="120"/>
      </w:pPr>
      <w:r w:rsidRPr="005373EB">
        <w:t>Implementation of technical infrastructure</w:t>
      </w:r>
    </w:p>
    <w:p w14:paraId="4DA5A5D4" w14:textId="2D54E08B" w:rsidR="00996C2B" w:rsidRPr="005373EB" w:rsidRDefault="00996C2B" w:rsidP="00C40DA0">
      <w:pPr>
        <w:pStyle w:val="Bulletmfe"/>
      </w:pPr>
      <w:r w:rsidRPr="005373EB">
        <w:t>Assumes a 10</w:t>
      </w:r>
      <w:r w:rsidR="00E97F11" w:rsidRPr="005373EB">
        <w:t xml:space="preserve"> per cent</w:t>
      </w:r>
      <w:r w:rsidRPr="005373EB">
        <w:t xml:space="preserve"> reduction of emissions across all new building stock operating from</w:t>
      </w:r>
      <w:r w:rsidR="00E97F11" w:rsidRPr="005373EB">
        <w:t> </w:t>
      </w:r>
      <w:r w:rsidRPr="005373EB">
        <w:t>2024.</w:t>
      </w:r>
    </w:p>
    <w:p w14:paraId="66D78BBB" w14:textId="71EEDDF4" w:rsidR="00996C2B" w:rsidRPr="005373EB" w:rsidRDefault="00996C2B" w:rsidP="0085303F">
      <w:pPr>
        <w:pStyle w:val="Heading4"/>
        <w:spacing w:before="120" w:after="120"/>
      </w:pPr>
      <w:r w:rsidRPr="005373EB">
        <w:t>Mandatory reporting and measurement requirements for</w:t>
      </w:r>
      <w:r w:rsidR="00E97F11" w:rsidRPr="005373EB">
        <w:br/>
        <w:t>w</w:t>
      </w:r>
      <w:r w:rsidRPr="005373EB">
        <w:t>hole of life carbon emissions</w:t>
      </w:r>
    </w:p>
    <w:p w14:paraId="76187D57" w14:textId="389C53B2" w:rsidR="00996C2B" w:rsidRPr="005373EB" w:rsidRDefault="00996C2B" w:rsidP="00C40DA0">
      <w:pPr>
        <w:pStyle w:val="Bulletmfe"/>
      </w:pPr>
      <w:r w:rsidRPr="005373EB">
        <w:t xml:space="preserve">This initiative has not been included in </w:t>
      </w:r>
      <w:r w:rsidR="00E97F11" w:rsidRPr="005373EB">
        <w:t>t</w:t>
      </w:r>
      <w:r w:rsidRPr="005373EB">
        <w:t xml:space="preserve">able 1 </w:t>
      </w:r>
      <w:r w:rsidR="00E97F11" w:rsidRPr="005373EB">
        <w:t xml:space="preserve">and table </w:t>
      </w:r>
      <w:r w:rsidRPr="005373EB">
        <w:t xml:space="preserve">2 </w:t>
      </w:r>
      <w:r w:rsidR="00E97F11" w:rsidRPr="005373EB">
        <w:t xml:space="preserve">because </w:t>
      </w:r>
      <w:r w:rsidRPr="005373EB">
        <w:t xml:space="preserve">its settings require further definition throughout the first </w:t>
      </w:r>
      <w:r w:rsidR="00100D3A" w:rsidRPr="005373EB">
        <w:t>e</w:t>
      </w:r>
      <w:r w:rsidRPr="005373EB">
        <w:t xml:space="preserve">missions </w:t>
      </w:r>
      <w:r w:rsidR="00100D3A" w:rsidRPr="005373EB">
        <w:t>b</w:t>
      </w:r>
      <w:r w:rsidRPr="005373EB">
        <w:t xml:space="preserve">udget period. Possible settings have been modelled as scenarios and included in ‘Figure 12.2: Illustration of potential building and construction emissions reduction scenarios against baseline (operational and embodied emissions)’ in the </w:t>
      </w:r>
      <w:r w:rsidR="00660682">
        <w:t>emissions reduction plan</w:t>
      </w:r>
      <w:r w:rsidR="00660682" w:rsidRPr="005373EB">
        <w:t xml:space="preserve"> </w:t>
      </w:r>
      <w:r w:rsidRPr="005373EB">
        <w:t>publication</w:t>
      </w:r>
      <w:r w:rsidR="004765C0" w:rsidRPr="005373EB">
        <w:t>,</w:t>
      </w:r>
      <w:r w:rsidRPr="005373EB">
        <w:t xml:space="preserve"> to </w:t>
      </w:r>
      <w:r w:rsidR="00100D3A" w:rsidRPr="005373EB">
        <w:t xml:space="preserve">show </w:t>
      </w:r>
      <w:r w:rsidRPr="005373EB">
        <w:t>possible impacts.</w:t>
      </w:r>
    </w:p>
    <w:p w14:paraId="248D6ED7" w14:textId="514C8D89" w:rsidR="00996C2B" w:rsidRPr="005373EB" w:rsidRDefault="00996C2B" w:rsidP="00C40DA0">
      <w:pPr>
        <w:pStyle w:val="Bulletmfe"/>
      </w:pPr>
      <w:r w:rsidRPr="005373EB">
        <w:t xml:space="preserve">The assumptions </w:t>
      </w:r>
      <w:r w:rsidR="004765C0" w:rsidRPr="005373EB">
        <w:t xml:space="preserve">below </w:t>
      </w:r>
      <w:r w:rsidRPr="005373EB">
        <w:t xml:space="preserve">have been included in </w:t>
      </w:r>
      <w:r w:rsidR="00605524" w:rsidRPr="005373EB">
        <w:t>‘</w:t>
      </w:r>
      <w:r w:rsidRPr="005373EB">
        <w:t>Figure 12.2:</w:t>
      </w:r>
      <w:r w:rsidR="00353197" w:rsidRPr="005373EB">
        <w:t xml:space="preserve"> </w:t>
      </w:r>
      <w:r w:rsidR="00605524" w:rsidRPr="005373EB">
        <w:t xml:space="preserve">Illustration of potential building and construction emissions reduction scenarios against baseline (operational and embodied emissions)’ in the </w:t>
      </w:r>
      <w:r w:rsidR="00660682">
        <w:t>emissions reduction plan</w:t>
      </w:r>
      <w:r w:rsidR="00660682" w:rsidRPr="005373EB">
        <w:t xml:space="preserve"> </w:t>
      </w:r>
      <w:r w:rsidR="00605524" w:rsidRPr="005373EB">
        <w:t>publication:</w:t>
      </w:r>
    </w:p>
    <w:p w14:paraId="60E1E7E0" w14:textId="23FDBB02" w:rsidR="00996C2B" w:rsidRPr="005373EB" w:rsidRDefault="00E431A1" w:rsidP="00C40DA0">
      <w:pPr>
        <w:pStyle w:val="Bulletmfe"/>
        <w:numPr>
          <w:ilvl w:val="0"/>
          <w:numId w:val="12"/>
        </w:numPr>
      </w:pPr>
      <w:r w:rsidRPr="005373EB">
        <w:t>a</w:t>
      </w:r>
      <w:r w:rsidR="00996C2B" w:rsidRPr="005373EB">
        <w:t>ssumes three sets of progressively tightening requirements over 10 years for embodied carbon and operational emissions</w:t>
      </w:r>
    </w:p>
    <w:p w14:paraId="558957F0" w14:textId="7E84D20F" w:rsidR="00996C2B" w:rsidRPr="005373EB" w:rsidRDefault="00E431A1" w:rsidP="00C40DA0">
      <w:pPr>
        <w:pStyle w:val="Bulletmfe"/>
        <w:numPr>
          <w:ilvl w:val="0"/>
          <w:numId w:val="12"/>
        </w:numPr>
      </w:pPr>
      <w:r w:rsidRPr="005373EB">
        <w:t>m</w:t>
      </w:r>
      <w:r w:rsidR="00996C2B" w:rsidRPr="005373EB">
        <w:t xml:space="preserve">odels three types of buildings: public, non-residential, residential (both for reporting and measurement requirements, and assumes different schedules and required levels of efficiency are in place for different building types) </w:t>
      </w:r>
    </w:p>
    <w:p w14:paraId="10FF6AAE" w14:textId="30F06B9A" w:rsidR="00996C2B" w:rsidRPr="005373EB" w:rsidRDefault="00E431A1" w:rsidP="00C40DA0">
      <w:pPr>
        <w:pStyle w:val="Bulletmfe"/>
        <w:numPr>
          <w:ilvl w:val="0"/>
          <w:numId w:val="12"/>
        </w:numPr>
      </w:pPr>
      <w:r w:rsidRPr="005373EB">
        <w:t>a</w:t>
      </w:r>
      <w:r w:rsidR="00996C2B" w:rsidRPr="005373EB">
        <w:t>ssumes reductions of embodied carbon of up to 60</w:t>
      </w:r>
      <w:r w:rsidRPr="005373EB">
        <w:t xml:space="preserve"> per cent to </w:t>
      </w:r>
      <w:r w:rsidR="00996C2B" w:rsidRPr="005373EB">
        <w:t>70</w:t>
      </w:r>
      <w:r w:rsidRPr="005373EB">
        <w:t xml:space="preserve"> per cent</w:t>
      </w:r>
      <w:r w:rsidR="00996C2B" w:rsidRPr="005373EB">
        <w:t xml:space="preserve"> are possible</w:t>
      </w:r>
    </w:p>
    <w:p w14:paraId="31AC5C8B" w14:textId="584CF31C" w:rsidR="00996C2B" w:rsidRPr="005373EB" w:rsidRDefault="00E431A1" w:rsidP="00C40DA0">
      <w:pPr>
        <w:pStyle w:val="Bulletmfe"/>
        <w:numPr>
          <w:ilvl w:val="0"/>
          <w:numId w:val="12"/>
        </w:numPr>
      </w:pPr>
      <w:r w:rsidRPr="005373EB">
        <w:t>a</w:t>
      </w:r>
      <w:r w:rsidR="00996C2B" w:rsidRPr="005373EB">
        <w:t xml:space="preserve">ssumes three steps in required operational emissions levels over 10 years: </w:t>
      </w:r>
    </w:p>
    <w:p w14:paraId="3C671757" w14:textId="759F658F" w:rsidR="00996C2B" w:rsidRPr="005373EB" w:rsidRDefault="00E431A1" w:rsidP="00FF6AA8">
      <w:pPr>
        <w:pStyle w:val="Bulletmfe"/>
        <w:numPr>
          <w:ilvl w:val="0"/>
          <w:numId w:val="15"/>
        </w:numPr>
      </w:pPr>
      <w:r w:rsidRPr="005373EB">
        <w:t>i</w:t>
      </w:r>
      <w:r w:rsidR="00996C2B" w:rsidRPr="005373EB">
        <w:t xml:space="preserve">nitial: 180 </w:t>
      </w:r>
      <w:r w:rsidRPr="005373EB">
        <w:t xml:space="preserve">kilowatts per square metre per year </w:t>
      </w:r>
      <w:r w:rsidR="00484EB7" w:rsidRPr="005373EB">
        <w:t>(</w:t>
      </w:r>
      <w:r w:rsidR="00996C2B" w:rsidRPr="005373EB">
        <w:t>kWh/m</w:t>
      </w:r>
      <w:r w:rsidR="00996C2B" w:rsidRPr="000424EF">
        <w:rPr>
          <w:vertAlign w:val="subscript"/>
        </w:rPr>
        <w:t>2</w:t>
      </w:r>
      <w:r w:rsidR="00996C2B" w:rsidRPr="005373EB">
        <w:t>/yr</w:t>
      </w:r>
      <w:r w:rsidR="00484EB7" w:rsidRPr="005373EB">
        <w:t>)</w:t>
      </w:r>
      <w:r w:rsidR="00996C2B" w:rsidRPr="005373EB">
        <w:t xml:space="preserve"> </w:t>
      </w:r>
    </w:p>
    <w:p w14:paraId="59F72C16" w14:textId="2AC00B70" w:rsidR="00996C2B" w:rsidRPr="005373EB" w:rsidRDefault="00983D46" w:rsidP="00FF6AA8">
      <w:pPr>
        <w:pStyle w:val="Bulletmfe"/>
        <w:numPr>
          <w:ilvl w:val="0"/>
          <w:numId w:val="15"/>
        </w:numPr>
      </w:pPr>
      <w:r w:rsidRPr="005373EB">
        <w:t>i</w:t>
      </w:r>
      <w:r w:rsidR="00996C2B" w:rsidRPr="005373EB">
        <w:t>ntermediate: 95 kWh/m</w:t>
      </w:r>
      <w:r w:rsidR="00996C2B" w:rsidRPr="000424EF">
        <w:rPr>
          <w:vertAlign w:val="subscript"/>
        </w:rPr>
        <w:t>2</w:t>
      </w:r>
      <w:r w:rsidR="00996C2B" w:rsidRPr="005373EB">
        <w:t xml:space="preserve">/yr </w:t>
      </w:r>
    </w:p>
    <w:p w14:paraId="6563D6E9" w14:textId="248397F0" w:rsidR="00655602" w:rsidRPr="005373EB" w:rsidRDefault="00983D46" w:rsidP="00FF6AA8">
      <w:pPr>
        <w:pStyle w:val="Bulletmfe"/>
        <w:numPr>
          <w:ilvl w:val="0"/>
          <w:numId w:val="15"/>
        </w:numPr>
      </w:pPr>
      <w:r w:rsidRPr="005373EB">
        <w:t>f</w:t>
      </w:r>
      <w:r w:rsidR="00996C2B" w:rsidRPr="005373EB">
        <w:t>inal: 50 kWh/m</w:t>
      </w:r>
      <w:r w:rsidR="00996C2B" w:rsidRPr="000424EF">
        <w:rPr>
          <w:vertAlign w:val="subscript"/>
        </w:rPr>
        <w:t>2</w:t>
      </w:r>
      <w:r w:rsidR="00996C2B" w:rsidRPr="005373EB">
        <w:t>/yr</w:t>
      </w:r>
      <w:r w:rsidRPr="005373EB">
        <w:t>.</w:t>
      </w:r>
    </w:p>
    <w:p w14:paraId="07E4A8F0" w14:textId="6D5C5868" w:rsidR="008063DF" w:rsidRPr="005373EB" w:rsidRDefault="008063DF" w:rsidP="006A5F70">
      <w:pPr>
        <w:pStyle w:val="Heading2"/>
      </w:pPr>
      <w:bookmarkStart w:id="37" w:name="_Toc103773266"/>
      <w:r w:rsidRPr="005373EB">
        <w:t>Waste</w:t>
      </w:r>
      <w:bookmarkEnd w:id="37"/>
    </w:p>
    <w:p w14:paraId="69E3756F" w14:textId="523EA052" w:rsidR="008063DF" w:rsidRPr="005373EB" w:rsidRDefault="00145E4A" w:rsidP="00764882">
      <w:pPr>
        <w:pStyle w:val="BodyText"/>
      </w:pPr>
      <w:r w:rsidRPr="005373EB">
        <w:t xml:space="preserve">The quantification of policy impacts for the </w:t>
      </w:r>
      <w:r w:rsidR="279B7504" w:rsidRPr="005373EB">
        <w:t>waste</w:t>
      </w:r>
      <w:r w:rsidRPr="005373EB">
        <w:t xml:space="preserve"> sector was undertaken by M</w:t>
      </w:r>
      <w:r w:rsidR="006F616C" w:rsidRPr="005373EB">
        <w:t>f</w:t>
      </w:r>
      <w:r w:rsidRPr="005373EB">
        <w:t>E.</w:t>
      </w:r>
      <w:r w:rsidR="00224380" w:rsidRPr="005373EB">
        <w:t xml:space="preserve"> </w:t>
      </w:r>
      <w:r w:rsidR="006B400F" w:rsidRPr="005373EB">
        <w:t>The waste emissions modelling was developed on a scenario basis whereby policies and policy outcomes were generally implicitly included in the development of scenarios rather than explicitly modelled</w:t>
      </w:r>
      <w:r w:rsidR="007C67BF" w:rsidRPr="005373EB">
        <w:t>.</w:t>
      </w:r>
    </w:p>
    <w:p w14:paraId="4782BD08" w14:textId="15CC10FB" w:rsidR="00E61E10" w:rsidRPr="005373EB" w:rsidRDefault="00E61E10" w:rsidP="0085303F">
      <w:pPr>
        <w:pStyle w:val="Heading3"/>
        <w:spacing w:before="240" w:after="120"/>
      </w:pPr>
      <w:r w:rsidRPr="005373EB">
        <w:lastRenderedPageBreak/>
        <w:t>Policies</w:t>
      </w:r>
      <w:r w:rsidR="009061EE" w:rsidRPr="005373EB">
        <w:t xml:space="preserve">, </w:t>
      </w:r>
      <w:r w:rsidRPr="005373EB">
        <w:t xml:space="preserve">measures </w:t>
      </w:r>
      <w:r w:rsidR="009061EE" w:rsidRPr="005373EB">
        <w:t xml:space="preserve">and outcomes </w:t>
      </w:r>
      <w:r w:rsidRPr="005373EB">
        <w:t xml:space="preserve">that have been quantified </w:t>
      </w:r>
    </w:p>
    <w:p w14:paraId="23FF48A4" w14:textId="487D121E" w:rsidR="00B16DCF" w:rsidRPr="005373EB" w:rsidRDefault="00B16DCF" w:rsidP="00C40DA0">
      <w:pPr>
        <w:pStyle w:val="Bulletmfe"/>
        <w:rPr>
          <w:rFonts w:eastAsiaTheme="minorEastAsia"/>
        </w:rPr>
      </w:pPr>
      <w:r w:rsidRPr="005373EB">
        <w:rPr>
          <w:rFonts w:eastAsiaTheme="minorEastAsia"/>
        </w:rPr>
        <w:t>Organic waste reduction behaviour change programmes</w:t>
      </w:r>
      <w:r w:rsidR="00460AE9" w:rsidRPr="005373EB">
        <w:rPr>
          <w:rFonts w:eastAsiaTheme="minorEastAsia"/>
        </w:rPr>
        <w:t>.</w:t>
      </w:r>
    </w:p>
    <w:p w14:paraId="13927E31" w14:textId="46C71D7E" w:rsidR="00B16DCF" w:rsidRPr="005373EB" w:rsidRDefault="00B16DCF" w:rsidP="00C40DA0">
      <w:pPr>
        <w:pStyle w:val="Bulletmfe"/>
      </w:pPr>
      <w:r w:rsidRPr="005373EB">
        <w:rPr>
          <w:rFonts w:eastAsiaTheme="minorEastAsia"/>
        </w:rPr>
        <w:t>Standardisation of residential kerbside collection - provision of food scraps collections</w:t>
      </w:r>
      <w:r w:rsidR="00460AE9" w:rsidRPr="005373EB">
        <w:rPr>
          <w:rFonts w:eastAsiaTheme="minorEastAsia"/>
        </w:rPr>
        <w:t>.</w:t>
      </w:r>
    </w:p>
    <w:p w14:paraId="75FFE3A2" w14:textId="6BCAD11F" w:rsidR="00B16DCF" w:rsidRPr="005373EB" w:rsidRDefault="00B16DCF" w:rsidP="00C40DA0">
      <w:pPr>
        <w:pStyle w:val="Bulletmfe"/>
      </w:pPr>
      <w:r w:rsidRPr="005373EB">
        <w:rPr>
          <w:rFonts w:eastAsiaTheme="minorEastAsia"/>
        </w:rPr>
        <w:t>Requiring businesses to separate food waste</w:t>
      </w:r>
      <w:r w:rsidR="00460AE9" w:rsidRPr="005373EB">
        <w:rPr>
          <w:rFonts w:eastAsiaTheme="minorEastAsia"/>
        </w:rPr>
        <w:t>.</w:t>
      </w:r>
    </w:p>
    <w:p w14:paraId="74CCA2C7" w14:textId="664AB354" w:rsidR="00B16DCF" w:rsidRPr="005373EB" w:rsidRDefault="00B16DCF" w:rsidP="00C40DA0">
      <w:pPr>
        <w:pStyle w:val="Bulletmfe"/>
        <w:rPr>
          <w:rFonts w:eastAsiaTheme="minorEastAsia"/>
        </w:rPr>
      </w:pPr>
      <w:r w:rsidRPr="005373EB">
        <w:rPr>
          <w:rFonts w:eastAsiaTheme="minorEastAsia"/>
        </w:rPr>
        <w:t>Investment in organic waste processing and resource recovery infrastructure to support an increase in food, garden, paper/cardboard and wood waste diversion from landfill</w:t>
      </w:r>
      <w:r w:rsidR="008A0698" w:rsidRPr="005373EB">
        <w:rPr>
          <w:rFonts w:eastAsiaTheme="minorEastAsia"/>
        </w:rPr>
        <w:t>.</w:t>
      </w:r>
    </w:p>
    <w:p w14:paraId="698D9FE8" w14:textId="75023564" w:rsidR="00B16DCF" w:rsidRPr="005373EB" w:rsidRDefault="00B16DCF" w:rsidP="00C40DA0">
      <w:pPr>
        <w:pStyle w:val="Bulletmfe"/>
      </w:pPr>
      <w:r w:rsidRPr="005373EB">
        <w:rPr>
          <w:rFonts w:eastAsiaTheme="minorEastAsia"/>
        </w:rPr>
        <w:t>Limits and banning of organic waste to landfill by 2030</w:t>
      </w:r>
      <w:r w:rsidR="008A0698" w:rsidRPr="005373EB">
        <w:rPr>
          <w:rFonts w:eastAsiaTheme="minorEastAsia"/>
        </w:rPr>
        <w:t>.</w:t>
      </w:r>
    </w:p>
    <w:p w14:paraId="793C6B9B" w14:textId="3DE16300" w:rsidR="00B16DCF" w:rsidRPr="005373EB" w:rsidRDefault="00B16DCF" w:rsidP="00C40DA0">
      <w:pPr>
        <w:pStyle w:val="Bulletmfe"/>
      </w:pPr>
      <w:r w:rsidRPr="005373EB">
        <w:rPr>
          <w:rFonts w:eastAsiaTheme="minorEastAsia"/>
        </w:rPr>
        <w:t>Improvement of landfill gas capture systems</w:t>
      </w:r>
      <w:r w:rsidR="008A0698" w:rsidRPr="005373EB">
        <w:rPr>
          <w:rFonts w:eastAsiaTheme="minorEastAsia"/>
        </w:rPr>
        <w:t>.</w:t>
      </w:r>
    </w:p>
    <w:p w14:paraId="5BF16ECE" w14:textId="3E0DF5FF" w:rsidR="00E61E10" w:rsidRPr="005373EB" w:rsidRDefault="00B16DCF" w:rsidP="00C40DA0">
      <w:pPr>
        <w:pStyle w:val="Bulletmfe"/>
      </w:pPr>
      <w:r w:rsidRPr="005373EB">
        <w:rPr>
          <w:rFonts w:eastAsiaTheme="minorEastAsia"/>
        </w:rPr>
        <w:t>Expansion of landfill gas capture systems to more landfills</w:t>
      </w:r>
      <w:r w:rsidR="008A0698" w:rsidRPr="005373EB">
        <w:rPr>
          <w:rFonts w:eastAsiaTheme="minorEastAsia"/>
        </w:rPr>
        <w:t>.</w:t>
      </w:r>
    </w:p>
    <w:p w14:paraId="319D44AF" w14:textId="77777777" w:rsidR="00E61E10" w:rsidRPr="005373EB" w:rsidRDefault="00E61E10" w:rsidP="0085303F">
      <w:pPr>
        <w:pStyle w:val="Heading3"/>
        <w:spacing w:before="240" w:after="120"/>
      </w:pPr>
      <w:r w:rsidRPr="005373EB">
        <w:t>Key policies and measures that have not been quantified</w:t>
      </w:r>
    </w:p>
    <w:p w14:paraId="4F43EF14" w14:textId="623DA707" w:rsidR="00CA5EB3" w:rsidRPr="005373EB" w:rsidRDefault="00CA5EB3" w:rsidP="00C40DA0">
      <w:pPr>
        <w:pStyle w:val="Bulletmfe"/>
        <w:rPr>
          <w:rFonts w:eastAsiaTheme="minorEastAsia"/>
        </w:rPr>
      </w:pPr>
      <w:r w:rsidRPr="005373EB">
        <w:rPr>
          <w:rFonts w:eastAsiaTheme="minorEastAsia"/>
        </w:rPr>
        <w:t>ETS price corridor increase</w:t>
      </w:r>
      <w:r w:rsidR="008A0698" w:rsidRPr="005373EB">
        <w:rPr>
          <w:rFonts w:eastAsiaTheme="minorEastAsia"/>
        </w:rPr>
        <w:t>.</w:t>
      </w:r>
    </w:p>
    <w:p w14:paraId="7F152C46" w14:textId="4E489411" w:rsidR="000F04B5" w:rsidRPr="005373EB" w:rsidRDefault="002B2B28" w:rsidP="00C40DA0">
      <w:pPr>
        <w:pStyle w:val="Bulletmfe"/>
        <w:rPr>
          <w:rFonts w:eastAsiaTheme="minorEastAsia"/>
        </w:rPr>
      </w:pPr>
      <w:r w:rsidRPr="005373EB">
        <w:rPr>
          <w:rFonts w:eastAsiaTheme="minorEastAsia"/>
        </w:rPr>
        <w:t>The direct impact</w:t>
      </w:r>
      <w:r w:rsidR="00353197" w:rsidRPr="005373EB">
        <w:rPr>
          <w:rFonts w:eastAsiaTheme="minorEastAsia"/>
        </w:rPr>
        <w:t xml:space="preserve"> </w:t>
      </w:r>
      <w:r w:rsidRPr="005373EB">
        <w:rPr>
          <w:rFonts w:eastAsiaTheme="minorEastAsia"/>
        </w:rPr>
        <w:t>of the e</w:t>
      </w:r>
      <w:r w:rsidR="000F04B5" w:rsidRPr="005373EB">
        <w:rPr>
          <w:rFonts w:eastAsiaTheme="minorEastAsia"/>
        </w:rPr>
        <w:t xml:space="preserve">xpansion of the waste disposal levy </w:t>
      </w:r>
      <w:r w:rsidR="7CD85FE0" w:rsidRPr="005373EB">
        <w:rPr>
          <w:rFonts w:eastAsiaTheme="minorEastAsia"/>
        </w:rPr>
        <w:t>on waste disposal</w:t>
      </w:r>
      <w:r w:rsidR="23037DAE" w:rsidRPr="005373EB">
        <w:rPr>
          <w:rFonts w:eastAsiaTheme="minorEastAsia"/>
        </w:rPr>
        <w:t xml:space="preserve"> </w:t>
      </w:r>
      <w:r w:rsidRPr="005373EB">
        <w:rPr>
          <w:rFonts w:eastAsiaTheme="minorEastAsia"/>
        </w:rPr>
        <w:t>has not been quantified</w:t>
      </w:r>
      <w:r w:rsidR="008A0698" w:rsidRPr="005373EB">
        <w:rPr>
          <w:rFonts w:eastAsiaTheme="minorEastAsia"/>
        </w:rPr>
        <w:t>.</w:t>
      </w:r>
    </w:p>
    <w:p w14:paraId="161E33DC" w14:textId="7A631810" w:rsidR="00E61E10" w:rsidRPr="005373EB" w:rsidRDefault="00CA5EB3" w:rsidP="00C40DA0">
      <w:pPr>
        <w:pStyle w:val="Bulletmfe"/>
        <w:rPr>
          <w:rFonts w:eastAsiaTheme="minorEastAsia"/>
        </w:rPr>
      </w:pPr>
      <w:r w:rsidRPr="005373EB">
        <w:rPr>
          <w:rFonts w:eastAsiaTheme="minorEastAsia"/>
        </w:rPr>
        <w:t>Upstream emissions reductions of supporting increased diversion of non-organic waste (eg</w:t>
      </w:r>
      <w:r w:rsidR="3833D1E2" w:rsidRPr="005373EB">
        <w:rPr>
          <w:rFonts w:eastAsiaTheme="minorEastAsia"/>
        </w:rPr>
        <w:t>,</w:t>
      </w:r>
      <w:r w:rsidRPr="005373EB">
        <w:rPr>
          <w:rFonts w:eastAsiaTheme="minorEastAsia"/>
        </w:rPr>
        <w:t xml:space="preserve"> metals, plastic and glass) have not been quantified</w:t>
      </w:r>
      <w:r w:rsidR="008A0698" w:rsidRPr="005373EB">
        <w:rPr>
          <w:rFonts w:eastAsiaTheme="minorEastAsia"/>
        </w:rPr>
        <w:t>.</w:t>
      </w:r>
    </w:p>
    <w:p w14:paraId="0C36376E" w14:textId="399037E1" w:rsidR="00E61E10" w:rsidRPr="005373EB" w:rsidRDefault="00E61E10" w:rsidP="0085303F">
      <w:pPr>
        <w:pStyle w:val="Heading3"/>
        <w:spacing w:before="240" w:after="120"/>
      </w:pPr>
      <w:r w:rsidRPr="005373EB">
        <w:t>Key policies and measures already included in the baseline</w:t>
      </w:r>
      <w:r w:rsidR="00BF3B34" w:rsidRPr="005373EB">
        <w:t> </w:t>
      </w:r>
      <w:r w:rsidRPr="005373EB">
        <w:t>projections</w:t>
      </w:r>
    </w:p>
    <w:p w14:paraId="2B61FC68" w14:textId="2B5232E8" w:rsidR="2E7FA320" w:rsidRPr="005373EB" w:rsidRDefault="4E603C8F" w:rsidP="00C40DA0">
      <w:pPr>
        <w:pStyle w:val="Bulletmfe"/>
        <w:rPr>
          <w:rFonts w:eastAsiaTheme="minorEastAsia"/>
        </w:rPr>
      </w:pPr>
      <w:r w:rsidRPr="005373EB">
        <w:rPr>
          <w:rFonts w:eastAsiaTheme="minorEastAsia"/>
        </w:rPr>
        <w:t xml:space="preserve">ETS impact </w:t>
      </w:r>
      <w:r w:rsidR="00275BDD" w:rsidRPr="005373EB">
        <w:rPr>
          <w:rFonts w:eastAsiaTheme="minorEastAsia"/>
        </w:rPr>
        <w:t>before</w:t>
      </w:r>
      <w:r w:rsidRPr="005373EB">
        <w:rPr>
          <w:rFonts w:eastAsiaTheme="minorEastAsia"/>
        </w:rPr>
        <w:t xml:space="preserve"> price corridor increase</w:t>
      </w:r>
      <w:r w:rsidR="00893F36" w:rsidRPr="005373EB">
        <w:rPr>
          <w:rFonts w:eastAsiaTheme="minorEastAsia"/>
        </w:rPr>
        <w:t>.</w:t>
      </w:r>
    </w:p>
    <w:p w14:paraId="5D5774E6" w14:textId="5508C040" w:rsidR="00295B6E" w:rsidRPr="005373EB" w:rsidRDefault="00295B6E" w:rsidP="00C40DA0">
      <w:pPr>
        <w:pStyle w:val="Bulletmfe"/>
        <w:rPr>
          <w:rFonts w:eastAsiaTheme="minorEastAsia"/>
        </w:rPr>
      </w:pPr>
      <w:r w:rsidRPr="005373EB">
        <w:rPr>
          <w:rFonts w:eastAsiaTheme="minorEastAsia"/>
        </w:rPr>
        <w:t>National Environmental Standards for Air Quality requirement for some landfills to capture gas</w:t>
      </w:r>
      <w:r w:rsidR="00893F36" w:rsidRPr="005373EB">
        <w:rPr>
          <w:rFonts w:eastAsiaTheme="minorEastAsia"/>
        </w:rPr>
        <w:t>.</w:t>
      </w:r>
    </w:p>
    <w:p w14:paraId="547AA243" w14:textId="552C1A5B" w:rsidR="008063DF" w:rsidRPr="005373EB" w:rsidRDefault="0032362D" w:rsidP="00275BDD">
      <w:pPr>
        <w:pStyle w:val="Heading3"/>
        <w:spacing w:before="240"/>
      </w:pPr>
      <w:r w:rsidRPr="005373EB">
        <w:t xml:space="preserve">Summary details of modelling approach </w:t>
      </w:r>
      <w:r w:rsidR="008F0D1E" w:rsidRPr="005373EB">
        <w:br/>
      </w:r>
      <w:r w:rsidRPr="005373EB">
        <w:t>and key assumptions</w:t>
      </w:r>
    </w:p>
    <w:p w14:paraId="2BA6231E" w14:textId="768AF7C2" w:rsidR="004C1729" w:rsidRPr="005373EB" w:rsidRDefault="00836BA1" w:rsidP="00764882">
      <w:pPr>
        <w:pStyle w:val="BodyText"/>
      </w:pPr>
      <w:r w:rsidRPr="005373EB">
        <w:t xml:space="preserve">The waste modelling was </w:t>
      </w:r>
      <w:r w:rsidR="00B14A96" w:rsidRPr="005373EB">
        <w:t>based o</w:t>
      </w:r>
      <w:r w:rsidR="00893F36" w:rsidRPr="005373EB">
        <w:t>n</w:t>
      </w:r>
      <w:r w:rsidR="00B14A96" w:rsidRPr="005373EB">
        <w:t xml:space="preserve"> the </w:t>
      </w:r>
      <w:r w:rsidR="00560900" w:rsidRPr="005373EB">
        <w:t xml:space="preserve">models used for </w:t>
      </w:r>
      <w:r w:rsidR="00B810A6" w:rsidRPr="005373EB">
        <w:t xml:space="preserve">compiling the </w:t>
      </w:r>
      <w:r w:rsidR="008D7D13" w:rsidRPr="005373EB">
        <w:t xml:space="preserve">GHG </w:t>
      </w:r>
      <w:r w:rsidR="00893F36" w:rsidRPr="005373EB">
        <w:t>I</w:t>
      </w:r>
      <w:r w:rsidR="00B14A96" w:rsidRPr="005373EB">
        <w:t xml:space="preserve">nventory </w:t>
      </w:r>
      <w:r w:rsidR="008D7D13" w:rsidRPr="005373EB">
        <w:t>and government emissions projections</w:t>
      </w:r>
      <w:r w:rsidR="00DF4DAB" w:rsidRPr="005373EB">
        <w:t xml:space="preserve"> for waste</w:t>
      </w:r>
      <w:r w:rsidR="008D7D13" w:rsidRPr="005373EB">
        <w:t>.</w:t>
      </w:r>
      <w:r w:rsidR="00DF4DAB" w:rsidRPr="005373EB">
        <w:t xml:space="preserve"> </w:t>
      </w:r>
      <w:r w:rsidR="00A14820" w:rsidRPr="005373EB">
        <w:t xml:space="preserve">Key assumptions </w:t>
      </w:r>
      <w:r w:rsidR="005C0E23" w:rsidRPr="005373EB">
        <w:t xml:space="preserve">that </w:t>
      </w:r>
      <w:r w:rsidR="00A14820" w:rsidRPr="005373EB">
        <w:t>considered the range of policies and outcomes above were applied</w:t>
      </w:r>
      <w:r w:rsidR="0036561D" w:rsidRPr="005373EB">
        <w:t xml:space="preserve"> to waste streams in the model</w:t>
      </w:r>
      <w:r w:rsidR="00A14820" w:rsidRPr="005373EB">
        <w:t xml:space="preserve"> to develop emissions reduction scenarios</w:t>
      </w:r>
      <w:r w:rsidR="005B738F" w:rsidRPr="005373EB">
        <w:t>.</w:t>
      </w:r>
    </w:p>
    <w:p w14:paraId="35139EFC" w14:textId="32BA2EE7" w:rsidR="00450856" w:rsidRPr="005373EB" w:rsidRDefault="00450856" w:rsidP="00276DDB">
      <w:pPr>
        <w:pStyle w:val="Heading4"/>
        <w:spacing w:before="240" w:after="120"/>
      </w:pPr>
      <w:r w:rsidRPr="005373EB">
        <w:t>Standardisation of organic waste residential kerbside collection</w:t>
      </w:r>
    </w:p>
    <w:p w14:paraId="4CC6FE4A" w14:textId="38F3BBDF" w:rsidR="00450856" w:rsidRPr="005373EB" w:rsidRDefault="00450856" w:rsidP="00C40DA0">
      <w:pPr>
        <w:pStyle w:val="Bulletmfe"/>
        <w:rPr>
          <w:rFonts w:eastAsia="Calibri"/>
          <w:shd w:val="clear" w:color="auto" w:fill="FFFFFF"/>
        </w:rPr>
      </w:pPr>
      <w:r w:rsidRPr="005373EB">
        <w:rPr>
          <w:rFonts w:eastAsia="Calibri"/>
          <w:shd w:val="clear" w:color="auto" w:fill="FFFFFF"/>
        </w:rPr>
        <w:t>All territorial authorities are assumed to be able to implement effective organic kerbside collection schemes by 2030</w:t>
      </w:r>
      <w:r w:rsidR="005C0E23" w:rsidRPr="005373EB">
        <w:rPr>
          <w:rFonts w:eastAsia="Calibri"/>
          <w:shd w:val="clear" w:color="auto" w:fill="FFFFFF"/>
        </w:rPr>
        <w:t>.</w:t>
      </w:r>
    </w:p>
    <w:p w14:paraId="0916476F" w14:textId="24A86C81" w:rsidR="00450856" w:rsidRPr="005373EB" w:rsidRDefault="00450856" w:rsidP="00C40DA0">
      <w:pPr>
        <w:pStyle w:val="Bulletmfe"/>
        <w:rPr>
          <w:rFonts w:eastAsia="Calibri"/>
          <w:shd w:val="clear" w:color="auto" w:fill="FFFFFF"/>
        </w:rPr>
      </w:pPr>
      <w:r w:rsidRPr="005373EB">
        <w:rPr>
          <w:rFonts w:eastAsia="Calibri"/>
          <w:shd w:val="clear" w:color="auto" w:fill="FFFFFF"/>
        </w:rPr>
        <w:t>The assumed diversion rate of residential food waste under a food waste kerbside collection scheme in the model is 35</w:t>
      </w:r>
      <w:r w:rsidR="00D36300" w:rsidRPr="005373EB">
        <w:rPr>
          <w:rFonts w:eastAsia="Calibri"/>
          <w:shd w:val="clear" w:color="auto" w:fill="FFFFFF"/>
        </w:rPr>
        <w:t xml:space="preserve"> per cent</w:t>
      </w:r>
      <w:r w:rsidRPr="005373EB">
        <w:rPr>
          <w:rFonts w:eastAsia="Calibri"/>
          <w:shd w:val="clear" w:color="auto" w:fill="FFFFFF"/>
        </w:rPr>
        <w:t xml:space="preserve"> to 69</w:t>
      </w:r>
      <w:r w:rsidR="00D36300" w:rsidRPr="005373EB">
        <w:rPr>
          <w:rFonts w:eastAsia="Calibri"/>
          <w:shd w:val="clear" w:color="auto" w:fill="FFFFFF"/>
        </w:rPr>
        <w:t xml:space="preserve"> per cent</w:t>
      </w:r>
      <w:r w:rsidRPr="005373EB">
        <w:rPr>
          <w:rFonts w:eastAsia="Calibri"/>
          <w:shd w:val="clear" w:color="auto" w:fill="FFFFFF"/>
        </w:rPr>
        <w:t xml:space="preserve">. </w:t>
      </w:r>
    </w:p>
    <w:p w14:paraId="36BF2C0A" w14:textId="77777777" w:rsidR="00450856" w:rsidRPr="005373EB" w:rsidRDefault="00450856" w:rsidP="00276DDB">
      <w:pPr>
        <w:pStyle w:val="Heading4"/>
        <w:spacing w:before="240" w:after="120"/>
      </w:pPr>
      <w:r w:rsidRPr="005373EB">
        <w:t>Food and garden waste diversion assumptions</w:t>
      </w:r>
    </w:p>
    <w:p w14:paraId="5F0956BE" w14:textId="01662EAD" w:rsidR="00450856" w:rsidRPr="005373EB" w:rsidRDefault="00450856" w:rsidP="00C40DA0">
      <w:pPr>
        <w:pStyle w:val="Bulletmfe"/>
        <w:rPr>
          <w:rFonts w:eastAsia="Calibri"/>
          <w:shd w:val="clear" w:color="auto" w:fill="FFFFFF"/>
        </w:rPr>
      </w:pPr>
      <w:r w:rsidRPr="005373EB">
        <w:rPr>
          <w:rFonts w:eastAsia="Calibri"/>
          <w:shd w:val="clear" w:color="auto" w:fill="FFFFFF"/>
        </w:rPr>
        <w:t>Of the waste diverted from Class 1 landfills in the model, we assume 40</w:t>
      </w:r>
      <w:r w:rsidR="00D36300" w:rsidRPr="005373EB">
        <w:rPr>
          <w:rFonts w:eastAsia="Calibri"/>
          <w:shd w:val="clear" w:color="auto" w:fill="FFFFFF"/>
        </w:rPr>
        <w:t xml:space="preserve"> per cent</w:t>
      </w:r>
      <w:r w:rsidRPr="005373EB">
        <w:rPr>
          <w:rFonts w:eastAsia="Calibri"/>
          <w:shd w:val="clear" w:color="auto" w:fill="FFFFFF"/>
        </w:rPr>
        <w:t xml:space="preserve"> of food waste is diverted to composting (20</w:t>
      </w:r>
      <w:r w:rsidR="00D36300" w:rsidRPr="005373EB">
        <w:rPr>
          <w:rFonts w:eastAsia="Calibri"/>
          <w:shd w:val="clear" w:color="auto" w:fill="FFFFFF"/>
        </w:rPr>
        <w:t xml:space="preserve"> per cent</w:t>
      </w:r>
      <w:r w:rsidRPr="005373EB">
        <w:rPr>
          <w:rFonts w:eastAsia="Calibri"/>
          <w:shd w:val="clear" w:color="auto" w:fill="FFFFFF"/>
        </w:rPr>
        <w:t xml:space="preserve"> windrow and 20</w:t>
      </w:r>
      <w:r w:rsidR="00D36300" w:rsidRPr="005373EB">
        <w:rPr>
          <w:rFonts w:eastAsia="Calibri"/>
          <w:shd w:val="clear" w:color="auto" w:fill="FFFFFF"/>
        </w:rPr>
        <w:t xml:space="preserve"> per cent</w:t>
      </w:r>
      <w:r w:rsidRPr="005373EB">
        <w:rPr>
          <w:rFonts w:eastAsia="Calibri"/>
          <w:shd w:val="clear" w:color="auto" w:fill="FFFFFF"/>
        </w:rPr>
        <w:t xml:space="preserve"> in-vessel composting) and 60</w:t>
      </w:r>
      <w:r w:rsidR="00996BF5" w:rsidRPr="005373EB">
        <w:rPr>
          <w:rFonts w:eastAsia="Calibri"/>
          <w:shd w:val="clear" w:color="auto" w:fill="FFFFFF"/>
        </w:rPr>
        <w:t xml:space="preserve"> per cent</w:t>
      </w:r>
      <w:r w:rsidRPr="005373EB">
        <w:rPr>
          <w:rFonts w:eastAsia="Calibri"/>
          <w:shd w:val="clear" w:color="auto" w:fill="FFFFFF"/>
        </w:rPr>
        <w:t xml:space="preserve"> to anaerobic digestion. It also assumes 100</w:t>
      </w:r>
      <w:r w:rsidR="00996BF5" w:rsidRPr="005373EB">
        <w:rPr>
          <w:rFonts w:eastAsia="Calibri"/>
          <w:shd w:val="clear" w:color="auto" w:fill="FFFFFF"/>
        </w:rPr>
        <w:t xml:space="preserve"> per cent</w:t>
      </w:r>
      <w:r w:rsidRPr="005373EB">
        <w:rPr>
          <w:rFonts w:eastAsia="Calibri"/>
          <w:shd w:val="clear" w:color="auto" w:fill="FFFFFF"/>
        </w:rPr>
        <w:t xml:space="preserve"> of </w:t>
      </w:r>
      <w:r w:rsidRPr="005373EB">
        <w:rPr>
          <w:rFonts w:eastAsia="Calibri"/>
          <w:shd w:val="clear" w:color="auto" w:fill="FFFFFF"/>
        </w:rPr>
        <w:lastRenderedPageBreak/>
        <w:t>diverted garden waste to composting (60</w:t>
      </w:r>
      <w:r w:rsidR="00996BF5" w:rsidRPr="005373EB">
        <w:rPr>
          <w:rFonts w:eastAsia="Calibri"/>
          <w:shd w:val="clear" w:color="auto" w:fill="FFFFFF"/>
        </w:rPr>
        <w:t> per cent</w:t>
      </w:r>
      <w:r w:rsidRPr="005373EB">
        <w:rPr>
          <w:rFonts w:eastAsia="Calibri"/>
          <w:shd w:val="clear" w:color="auto" w:fill="FFFFFF"/>
        </w:rPr>
        <w:t xml:space="preserve"> compost and 40</w:t>
      </w:r>
      <w:r w:rsidR="00996BF5" w:rsidRPr="005373EB">
        <w:rPr>
          <w:rFonts w:eastAsia="Calibri"/>
          <w:shd w:val="clear" w:color="auto" w:fill="FFFFFF"/>
        </w:rPr>
        <w:t xml:space="preserve"> per cent</w:t>
      </w:r>
      <w:r w:rsidRPr="005373EB">
        <w:rPr>
          <w:rFonts w:eastAsia="Calibri"/>
          <w:shd w:val="clear" w:color="auto" w:fill="FFFFFF"/>
        </w:rPr>
        <w:t xml:space="preserve"> </w:t>
      </w:r>
      <w:r w:rsidR="00B43D16" w:rsidRPr="005373EB">
        <w:rPr>
          <w:rFonts w:eastAsia="Calibri"/>
          <w:shd w:val="clear" w:color="auto" w:fill="FFFFFF"/>
        </w:rPr>
        <w:t>in-vessel composting</w:t>
      </w:r>
      <w:r w:rsidRPr="005373EB">
        <w:rPr>
          <w:rFonts w:eastAsia="Calibri"/>
          <w:shd w:val="clear" w:color="auto" w:fill="FFFFFF"/>
        </w:rPr>
        <w:t>)</w:t>
      </w:r>
      <w:r w:rsidR="000047C9">
        <w:rPr>
          <w:rFonts w:eastAsia="Calibri"/>
          <w:shd w:val="clear" w:color="auto" w:fill="FFFFFF"/>
        </w:rPr>
        <w:t>.</w:t>
      </w:r>
    </w:p>
    <w:p w14:paraId="0451B26F" w14:textId="33569722" w:rsidR="00450856" w:rsidRPr="005373EB" w:rsidRDefault="00450856" w:rsidP="00C40DA0">
      <w:pPr>
        <w:pStyle w:val="Bulletmfe"/>
        <w:rPr>
          <w:rFonts w:eastAsia="Calibri"/>
          <w:shd w:val="clear" w:color="auto" w:fill="FFFFFF"/>
        </w:rPr>
      </w:pPr>
      <w:r w:rsidRPr="005373EB">
        <w:rPr>
          <w:rFonts w:eastAsia="Calibri"/>
          <w:shd w:val="clear" w:color="auto" w:fill="FFFFFF"/>
        </w:rPr>
        <w:t xml:space="preserve">Emissions factors for diversion activities are based on the 2006 IPCC </w:t>
      </w:r>
      <w:r w:rsidR="008134F9" w:rsidRPr="005373EB">
        <w:rPr>
          <w:rFonts w:eastAsia="Calibri"/>
          <w:shd w:val="clear" w:color="auto" w:fill="FFFFFF"/>
        </w:rPr>
        <w:t>G</w:t>
      </w:r>
      <w:r w:rsidRPr="005373EB">
        <w:rPr>
          <w:rFonts w:eastAsia="Calibri"/>
          <w:shd w:val="clear" w:color="auto" w:fill="FFFFFF"/>
        </w:rPr>
        <w:t>uidelines for National Greenhouse Gas Inventories</w:t>
      </w:r>
      <w:r w:rsidR="00FA7ED1">
        <w:rPr>
          <w:rStyle w:val="FootnoteReference"/>
          <w:rFonts w:eastAsia="Calibri"/>
          <w:shd w:val="clear" w:color="auto" w:fill="FFFFFF"/>
        </w:rPr>
        <w:footnoteReference w:id="15"/>
      </w:r>
      <w:r w:rsidRPr="005373EB">
        <w:rPr>
          <w:rFonts w:eastAsia="Calibri"/>
          <w:shd w:val="clear" w:color="auto" w:fill="FFFFFF"/>
        </w:rPr>
        <w:t xml:space="preserve">. </w:t>
      </w:r>
    </w:p>
    <w:p w14:paraId="52EEC269" w14:textId="77777777" w:rsidR="00450856" w:rsidRPr="005373EB" w:rsidRDefault="00450856" w:rsidP="00276DDB">
      <w:pPr>
        <w:pStyle w:val="Heading4"/>
        <w:spacing w:before="240" w:after="120"/>
      </w:pPr>
      <w:r w:rsidRPr="005373EB">
        <w:t>Limits and banning of organic waste to landfill by 2030</w:t>
      </w:r>
    </w:p>
    <w:p w14:paraId="2CA512C2" w14:textId="0067675A" w:rsidR="00450856" w:rsidRPr="005373EB" w:rsidRDefault="00450856" w:rsidP="00C40DA0">
      <w:pPr>
        <w:pStyle w:val="Bulletmfe"/>
        <w:rPr>
          <w:rFonts w:eastAsia="Calibri"/>
          <w:shd w:val="clear" w:color="auto" w:fill="FFFFFF"/>
        </w:rPr>
      </w:pPr>
      <w:r w:rsidRPr="005373EB">
        <w:rPr>
          <w:rFonts w:eastAsia="Calibri"/>
          <w:shd w:val="clear" w:color="auto" w:fill="FFFFFF"/>
        </w:rPr>
        <w:t>Food, garden and paper/cardboard waste assumed to reach over 90</w:t>
      </w:r>
      <w:r w:rsidR="00C41AD9" w:rsidRPr="005373EB">
        <w:rPr>
          <w:rFonts w:eastAsia="Calibri"/>
          <w:shd w:val="clear" w:color="auto" w:fill="FFFFFF"/>
        </w:rPr>
        <w:t xml:space="preserve"> per cent</w:t>
      </w:r>
      <w:r w:rsidRPr="005373EB">
        <w:rPr>
          <w:rFonts w:eastAsia="Calibri"/>
          <w:shd w:val="clear" w:color="auto" w:fill="FFFFFF"/>
        </w:rPr>
        <w:t xml:space="preserve"> diversion (which could include reduction) by 2030</w:t>
      </w:r>
      <w:r w:rsidR="00C41AD9" w:rsidRPr="005373EB">
        <w:rPr>
          <w:rFonts w:eastAsia="Calibri"/>
          <w:shd w:val="clear" w:color="auto" w:fill="FFFFFF"/>
        </w:rPr>
        <w:t>.</w:t>
      </w:r>
    </w:p>
    <w:p w14:paraId="53CD636F" w14:textId="4C233739" w:rsidR="00450856" w:rsidRPr="005373EB" w:rsidRDefault="00450856" w:rsidP="00C40DA0">
      <w:pPr>
        <w:pStyle w:val="Bulletmfe"/>
        <w:rPr>
          <w:rFonts w:eastAsia="Calibri"/>
          <w:shd w:val="clear" w:color="auto" w:fill="FFFFFF"/>
        </w:rPr>
      </w:pPr>
      <w:r w:rsidRPr="005373EB">
        <w:rPr>
          <w:rFonts w:eastAsia="Calibri"/>
          <w:shd w:val="clear" w:color="auto" w:fill="FFFFFF"/>
        </w:rPr>
        <w:t>Diversion assumed to increase over time at a relatively constant pace with different starting points for low and high estimates.</w:t>
      </w:r>
    </w:p>
    <w:p w14:paraId="096C73B1" w14:textId="77777777" w:rsidR="00450856" w:rsidRPr="005373EB" w:rsidRDefault="00450856" w:rsidP="00276DDB">
      <w:pPr>
        <w:pStyle w:val="Heading4"/>
        <w:spacing w:before="240" w:after="120"/>
      </w:pPr>
      <w:r w:rsidRPr="005373EB">
        <w:t>Reduction of wood waste to landfill</w:t>
      </w:r>
    </w:p>
    <w:p w14:paraId="209F0307" w14:textId="590D9AFD" w:rsidR="00450856" w:rsidRPr="005373EB" w:rsidRDefault="00450856" w:rsidP="00C40DA0">
      <w:pPr>
        <w:pStyle w:val="Bulletmfe"/>
        <w:rPr>
          <w:rFonts w:eastAsia="Calibri"/>
          <w:shd w:val="clear" w:color="auto" w:fill="FFFFFF"/>
        </w:rPr>
      </w:pPr>
      <w:r w:rsidRPr="005373EB">
        <w:rPr>
          <w:rFonts w:eastAsia="Calibri"/>
          <w:shd w:val="clear" w:color="auto" w:fill="FFFFFF"/>
        </w:rPr>
        <w:t>Assumed that a 15</w:t>
      </w:r>
      <w:r w:rsidR="004221DC" w:rsidRPr="005373EB">
        <w:rPr>
          <w:rFonts w:eastAsia="Calibri"/>
          <w:shd w:val="clear" w:color="auto" w:fill="FFFFFF"/>
        </w:rPr>
        <w:t xml:space="preserve"> per cent to </w:t>
      </w:r>
      <w:r w:rsidRPr="005373EB">
        <w:rPr>
          <w:rFonts w:eastAsia="Calibri"/>
          <w:shd w:val="clear" w:color="auto" w:fill="FFFFFF"/>
        </w:rPr>
        <w:t>25</w:t>
      </w:r>
      <w:r w:rsidR="004221DC" w:rsidRPr="005373EB">
        <w:rPr>
          <w:rFonts w:eastAsia="Calibri"/>
          <w:shd w:val="clear" w:color="auto" w:fill="FFFFFF"/>
        </w:rPr>
        <w:t xml:space="preserve"> per cent</w:t>
      </w:r>
      <w:r w:rsidRPr="005373EB">
        <w:rPr>
          <w:rFonts w:eastAsia="Calibri"/>
          <w:shd w:val="clear" w:color="auto" w:fill="FFFFFF"/>
        </w:rPr>
        <w:t xml:space="preserve"> reduction of wood waste to Class 1 landfills could be achieved by 2030 through increased resource recovery and changes to building and construction practices.</w:t>
      </w:r>
    </w:p>
    <w:p w14:paraId="0F43E017" w14:textId="77777777" w:rsidR="00450856" w:rsidRPr="005373EB" w:rsidRDefault="00450856" w:rsidP="00276DDB">
      <w:pPr>
        <w:pStyle w:val="Heading4"/>
        <w:spacing w:before="240" w:after="120"/>
      </w:pPr>
      <w:r w:rsidRPr="005373EB">
        <w:t>Landfill gas capture assumptions</w:t>
      </w:r>
    </w:p>
    <w:p w14:paraId="39F87CD7" w14:textId="66193382" w:rsidR="00450856" w:rsidRPr="005373EB" w:rsidRDefault="00450856" w:rsidP="00C40DA0">
      <w:pPr>
        <w:pStyle w:val="Bulletmfe"/>
        <w:rPr>
          <w:rFonts w:eastAsia="Calibri"/>
          <w:shd w:val="clear" w:color="auto" w:fill="FFFFFF"/>
        </w:rPr>
      </w:pPr>
      <w:r w:rsidRPr="005373EB">
        <w:rPr>
          <w:rFonts w:eastAsia="Calibri"/>
          <w:shd w:val="clear" w:color="auto" w:fill="FFFFFF"/>
        </w:rPr>
        <w:t>Assumed that the average landfill gas capture efficiency could increase from 68</w:t>
      </w:r>
      <w:r w:rsidR="00B03B26" w:rsidRPr="005373EB">
        <w:rPr>
          <w:rFonts w:eastAsia="Calibri"/>
          <w:shd w:val="clear" w:color="auto" w:fill="FFFFFF"/>
        </w:rPr>
        <w:t xml:space="preserve"> per cent</w:t>
      </w:r>
      <w:r w:rsidRPr="005373EB">
        <w:rPr>
          <w:rFonts w:eastAsia="Calibri"/>
          <w:shd w:val="clear" w:color="auto" w:fill="FFFFFF"/>
        </w:rPr>
        <w:t xml:space="preserve"> to a range of 71.75</w:t>
      </w:r>
      <w:r w:rsidR="00B03B26" w:rsidRPr="005373EB">
        <w:rPr>
          <w:rFonts w:eastAsia="Calibri"/>
          <w:shd w:val="clear" w:color="auto" w:fill="FFFFFF"/>
        </w:rPr>
        <w:t xml:space="preserve"> per cent to </w:t>
      </w:r>
      <w:r w:rsidRPr="005373EB">
        <w:rPr>
          <w:rFonts w:eastAsia="Calibri"/>
          <w:shd w:val="clear" w:color="auto" w:fill="FFFFFF"/>
        </w:rPr>
        <w:t>73.5</w:t>
      </w:r>
      <w:r w:rsidR="00B03B26" w:rsidRPr="005373EB">
        <w:rPr>
          <w:rFonts w:eastAsia="Calibri"/>
          <w:shd w:val="clear" w:color="auto" w:fill="FFFFFF"/>
        </w:rPr>
        <w:t xml:space="preserve"> per cent.</w:t>
      </w:r>
    </w:p>
    <w:p w14:paraId="0CDA1D93" w14:textId="08B2A49D" w:rsidR="00450856" w:rsidRPr="005373EB" w:rsidRDefault="00450856" w:rsidP="00C40DA0">
      <w:pPr>
        <w:pStyle w:val="Bulletmfe"/>
        <w:rPr>
          <w:rFonts w:eastAsia="Calibri"/>
          <w:shd w:val="clear" w:color="auto" w:fill="FFFFFF"/>
        </w:rPr>
      </w:pPr>
      <w:r w:rsidRPr="005373EB">
        <w:rPr>
          <w:rFonts w:eastAsia="Calibri"/>
          <w:shd w:val="clear" w:color="auto" w:fill="FFFFFF"/>
        </w:rPr>
        <w:t xml:space="preserve">Assumed </w:t>
      </w:r>
      <w:r w:rsidR="00B03B26" w:rsidRPr="005373EB">
        <w:rPr>
          <w:rFonts w:eastAsia="Calibri"/>
          <w:shd w:val="clear" w:color="auto" w:fill="FFFFFF"/>
        </w:rPr>
        <w:t xml:space="preserve">15 </w:t>
      </w:r>
      <w:r w:rsidRPr="005373EB">
        <w:rPr>
          <w:rFonts w:eastAsia="Calibri"/>
          <w:shd w:val="clear" w:color="auto" w:fill="FFFFFF"/>
        </w:rPr>
        <w:t>of the largest ‘small’ category Class 1 landfills that currently do not have landfill gas capture systems could be retrofitted for landfill gas capture (or organic waste diverted elsewhere).</w:t>
      </w:r>
    </w:p>
    <w:p w14:paraId="26AD3F3C" w14:textId="64DBA278" w:rsidR="00450856" w:rsidRPr="005373EB" w:rsidRDefault="00450856" w:rsidP="00276DDB">
      <w:pPr>
        <w:pStyle w:val="Heading4"/>
        <w:spacing w:before="240" w:after="120"/>
      </w:pPr>
      <w:r w:rsidRPr="005373EB">
        <w:t>Unmanaged or Class 2</w:t>
      </w:r>
      <w:r w:rsidR="000424EF">
        <w:t xml:space="preserve"> to Class </w:t>
      </w:r>
      <w:r w:rsidRPr="005373EB">
        <w:t>5 landfill</w:t>
      </w:r>
      <w:r w:rsidR="0011734F" w:rsidRPr="005373EB">
        <w:t>s</w:t>
      </w:r>
    </w:p>
    <w:p w14:paraId="347A4960" w14:textId="6C003C28" w:rsidR="0032362D" w:rsidRPr="005373EB" w:rsidRDefault="00450856" w:rsidP="00C40DA0">
      <w:pPr>
        <w:pStyle w:val="Bulletmfe"/>
        <w:rPr>
          <w:rFonts w:eastAsia="Calibri"/>
          <w:shd w:val="clear" w:color="auto" w:fill="FFFFFF"/>
        </w:rPr>
      </w:pPr>
      <w:r w:rsidRPr="005373EB">
        <w:rPr>
          <w:rFonts w:eastAsia="Calibri"/>
          <w:shd w:val="clear" w:color="auto" w:fill="FFFFFF"/>
        </w:rPr>
        <w:t>The modelling includes a scenario where key organic wastes are diverted from Class 2</w:t>
      </w:r>
      <w:r w:rsidR="000424EF">
        <w:rPr>
          <w:rFonts w:eastAsia="Calibri"/>
          <w:shd w:val="clear" w:color="auto" w:fill="FFFFFF"/>
        </w:rPr>
        <w:t xml:space="preserve"> to Class </w:t>
      </w:r>
      <w:r w:rsidRPr="005373EB">
        <w:rPr>
          <w:rFonts w:eastAsia="Calibri"/>
          <w:shd w:val="clear" w:color="auto" w:fill="FFFFFF"/>
        </w:rPr>
        <w:t xml:space="preserve">5 landfills (equivalent to the ‘ban’ of organic material to Class 1 landfills scenario). This has been used as an indicative scenario only </w:t>
      </w:r>
      <w:r w:rsidR="00A23B61" w:rsidRPr="005373EB">
        <w:rPr>
          <w:rFonts w:eastAsia="Calibri"/>
          <w:shd w:val="clear" w:color="auto" w:fill="FFFFFF"/>
        </w:rPr>
        <w:t xml:space="preserve">because </w:t>
      </w:r>
      <w:r w:rsidRPr="005373EB">
        <w:rPr>
          <w:rFonts w:eastAsia="Calibri"/>
          <w:shd w:val="clear" w:color="auto" w:fill="FFFFFF"/>
        </w:rPr>
        <w:t>the level of data uncertainty for these sites is very high.</w:t>
      </w:r>
    </w:p>
    <w:p w14:paraId="193EFAD0" w14:textId="5279A511" w:rsidR="00655602" w:rsidRPr="005373EB" w:rsidRDefault="00655602" w:rsidP="000A7B4B">
      <w:pPr>
        <w:pStyle w:val="Heading2"/>
      </w:pPr>
      <w:bookmarkStart w:id="38" w:name="_Toc103773267"/>
      <w:r w:rsidRPr="005373EB">
        <w:t>F</w:t>
      </w:r>
      <w:r w:rsidR="00A23B61" w:rsidRPr="005373EB">
        <w:t>luor</w:t>
      </w:r>
      <w:r w:rsidR="00817F1D" w:rsidRPr="005373EB">
        <w:t xml:space="preserve">inated </w:t>
      </w:r>
      <w:r w:rsidRPr="005373EB">
        <w:t>gases</w:t>
      </w:r>
      <w:bookmarkEnd w:id="38"/>
    </w:p>
    <w:p w14:paraId="2028AF9E" w14:textId="01A28639" w:rsidR="00655602" w:rsidRPr="005373EB" w:rsidRDefault="00655602" w:rsidP="00655602">
      <w:pPr>
        <w:pStyle w:val="BodyText"/>
      </w:pPr>
      <w:r w:rsidRPr="005373EB">
        <w:t xml:space="preserve">The quantification of policy impacts for the </w:t>
      </w:r>
      <w:r w:rsidR="00923CEC" w:rsidRPr="005373EB">
        <w:t xml:space="preserve">fluorinated </w:t>
      </w:r>
      <w:r w:rsidR="00A95FA3" w:rsidRPr="005373EB">
        <w:t>gases</w:t>
      </w:r>
      <w:r w:rsidRPr="005373EB">
        <w:t xml:space="preserve"> sector was undertaken by </w:t>
      </w:r>
      <w:r w:rsidR="00A95FA3" w:rsidRPr="005373EB">
        <w:t>M</w:t>
      </w:r>
      <w:r w:rsidR="00923CEC" w:rsidRPr="005373EB">
        <w:t>f</w:t>
      </w:r>
      <w:r w:rsidR="00A95FA3" w:rsidRPr="005373EB">
        <w:t>E</w:t>
      </w:r>
      <w:r w:rsidRPr="005373EB">
        <w:t>.</w:t>
      </w:r>
    </w:p>
    <w:p w14:paraId="39B813CE" w14:textId="77777777" w:rsidR="00655602" w:rsidRPr="005373EB" w:rsidRDefault="00655602" w:rsidP="009773EE">
      <w:pPr>
        <w:pStyle w:val="Heading3"/>
        <w:spacing w:before="240" w:after="120"/>
      </w:pPr>
      <w:r w:rsidRPr="005373EB">
        <w:t xml:space="preserve">Policies and measures that have been quantified </w:t>
      </w:r>
    </w:p>
    <w:p w14:paraId="65DC8CF1" w14:textId="57DD0EAB" w:rsidR="00655602" w:rsidRPr="005373EB" w:rsidRDefault="00A95FA3" w:rsidP="00C40DA0">
      <w:pPr>
        <w:pStyle w:val="Bulletmfe"/>
      </w:pPr>
      <w:r w:rsidRPr="005373EB">
        <w:t>Regulated product stewardship</w:t>
      </w:r>
      <w:r w:rsidR="00923CEC" w:rsidRPr="005373EB">
        <w:t>.</w:t>
      </w:r>
    </w:p>
    <w:p w14:paraId="5917E1DA" w14:textId="77777777" w:rsidR="00655602" w:rsidRPr="005373EB" w:rsidRDefault="00655602" w:rsidP="009773EE">
      <w:pPr>
        <w:pStyle w:val="Heading3"/>
        <w:spacing w:before="240" w:after="120"/>
        <w:rPr>
          <w:b w:val="0"/>
          <w:bCs w:val="0"/>
        </w:rPr>
      </w:pPr>
      <w:r w:rsidRPr="005373EB">
        <w:t>Key policies and measures that have not been quantified</w:t>
      </w:r>
    </w:p>
    <w:p w14:paraId="0537D4FA" w14:textId="67E0F820" w:rsidR="00D83E66" w:rsidRPr="005373EB" w:rsidRDefault="00D83E66" w:rsidP="00C40DA0">
      <w:pPr>
        <w:pStyle w:val="Bulletmfe"/>
        <w:rPr>
          <w:rFonts w:eastAsiaTheme="minorEastAsia"/>
        </w:rPr>
      </w:pPr>
      <w:r w:rsidRPr="005373EB">
        <w:rPr>
          <w:rFonts w:eastAsiaTheme="minorEastAsia"/>
        </w:rPr>
        <w:t>Phase out schedule of HFC</w:t>
      </w:r>
      <w:r w:rsidR="00F86998" w:rsidRPr="005373EB">
        <w:rPr>
          <w:rFonts w:eastAsiaTheme="minorEastAsia"/>
        </w:rPr>
        <w:t xml:space="preserve"> </w:t>
      </w:r>
      <w:r w:rsidRPr="005373EB">
        <w:rPr>
          <w:rFonts w:eastAsiaTheme="minorEastAsia"/>
        </w:rPr>
        <w:t>equipment and uses</w:t>
      </w:r>
      <w:r w:rsidR="00BB7C2E" w:rsidRPr="005373EB">
        <w:rPr>
          <w:rFonts w:eastAsiaTheme="minorEastAsia"/>
        </w:rPr>
        <w:t>.</w:t>
      </w:r>
    </w:p>
    <w:p w14:paraId="646D8AA5" w14:textId="76ECD165" w:rsidR="00D83E66" w:rsidRPr="005373EB" w:rsidRDefault="00D83E66" w:rsidP="00C40DA0">
      <w:pPr>
        <w:pStyle w:val="Bulletmfe"/>
        <w:rPr>
          <w:rFonts w:eastAsiaTheme="minorEastAsia"/>
        </w:rPr>
      </w:pPr>
      <w:r w:rsidRPr="005373EB">
        <w:rPr>
          <w:rFonts w:cs="Calibri"/>
          <w:color w:val="000000"/>
        </w:rPr>
        <w:t>ETS price corridor increase</w:t>
      </w:r>
      <w:r w:rsidR="009D5EEC" w:rsidRPr="005373EB">
        <w:rPr>
          <w:rFonts w:cs="Calibri"/>
          <w:color w:val="000000"/>
        </w:rPr>
        <w:t xml:space="preserve"> and flow on impact to the </w:t>
      </w:r>
      <w:r w:rsidR="00BB7C2E" w:rsidRPr="005373EB">
        <w:rPr>
          <w:rFonts w:cs="Calibri"/>
          <w:color w:val="000000"/>
        </w:rPr>
        <w:t>s</w:t>
      </w:r>
      <w:r w:rsidR="009D5EEC" w:rsidRPr="005373EB">
        <w:rPr>
          <w:rFonts w:cs="Calibri"/>
          <w:color w:val="000000"/>
        </w:rPr>
        <w:t>ynthetic GHG levy</w:t>
      </w:r>
      <w:r w:rsidRPr="005373EB">
        <w:rPr>
          <w:rFonts w:cs="Calibri"/>
          <w:color w:val="000000"/>
        </w:rPr>
        <w:t>.</w:t>
      </w:r>
    </w:p>
    <w:p w14:paraId="2F4C2F4A" w14:textId="63D0C95A" w:rsidR="00655602" w:rsidRPr="005373EB" w:rsidRDefault="00655602" w:rsidP="009773EE">
      <w:pPr>
        <w:pStyle w:val="Heading3"/>
        <w:spacing w:before="240" w:after="120"/>
        <w:rPr>
          <w:b w:val="0"/>
          <w:bCs w:val="0"/>
        </w:rPr>
      </w:pPr>
      <w:r w:rsidRPr="005373EB">
        <w:lastRenderedPageBreak/>
        <w:t>Key policies and measures already included in the baseline</w:t>
      </w:r>
      <w:r w:rsidR="00BB7C2E" w:rsidRPr="005373EB">
        <w:t> </w:t>
      </w:r>
      <w:r w:rsidRPr="005373EB">
        <w:t>projections</w:t>
      </w:r>
    </w:p>
    <w:p w14:paraId="0CE06243" w14:textId="0E475E12" w:rsidR="00D83E66" w:rsidRPr="005373EB" w:rsidRDefault="00D83E66" w:rsidP="00C40DA0">
      <w:pPr>
        <w:pStyle w:val="Bulletmfe"/>
        <w:rPr>
          <w:rFonts w:eastAsiaTheme="minorEastAsia"/>
        </w:rPr>
      </w:pPr>
      <w:r w:rsidRPr="005373EB">
        <w:rPr>
          <w:rFonts w:eastAsiaTheme="minorEastAsia"/>
        </w:rPr>
        <w:t xml:space="preserve">ETS </w:t>
      </w:r>
      <w:r w:rsidR="009D5EEC" w:rsidRPr="005373EB">
        <w:rPr>
          <w:rFonts w:eastAsiaTheme="minorEastAsia"/>
        </w:rPr>
        <w:t xml:space="preserve">and </w:t>
      </w:r>
      <w:r w:rsidR="00BB7C2E" w:rsidRPr="005373EB">
        <w:rPr>
          <w:rFonts w:cs="Calibri"/>
          <w:color w:val="000000"/>
        </w:rPr>
        <w:t>synthetic GHG</w:t>
      </w:r>
      <w:r w:rsidR="009D5EEC" w:rsidRPr="005373EB">
        <w:rPr>
          <w:rFonts w:eastAsiaTheme="minorEastAsia"/>
        </w:rPr>
        <w:t xml:space="preserve"> levy </w:t>
      </w:r>
      <w:r w:rsidRPr="005373EB">
        <w:rPr>
          <w:rFonts w:eastAsiaTheme="minorEastAsia"/>
        </w:rPr>
        <w:t xml:space="preserve">impact </w:t>
      </w:r>
      <w:r w:rsidR="00BB7C2E" w:rsidRPr="005373EB">
        <w:rPr>
          <w:rFonts w:eastAsiaTheme="minorEastAsia"/>
        </w:rPr>
        <w:t>before</w:t>
      </w:r>
      <w:r w:rsidRPr="005373EB">
        <w:rPr>
          <w:rFonts w:eastAsiaTheme="minorEastAsia"/>
        </w:rPr>
        <w:t xml:space="preserve"> price corridor increase</w:t>
      </w:r>
      <w:r w:rsidR="00BB7C2E" w:rsidRPr="005373EB">
        <w:rPr>
          <w:rFonts w:eastAsiaTheme="minorEastAsia"/>
        </w:rPr>
        <w:t>.</w:t>
      </w:r>
    </w:p>
    <w:p w14:paraId="359937E0" w14:textId="3B1DB1E3" w:rsidR="00D83E66" w:rsidRPr="005373EB" w:rsidRDefault="00B635DD" w:rsidP="00C40DA0">
      <w:pPr>
        <w:pStyle w:val="Bulletmfe"/>
        <w:rPr>
          <w:rFonts w:eastAsiaTheme="minorEastAsia"/>
        </w:rPr>
      </w:pPr>
      <w:r w:rsidRPr="005373EB">
        <w:rPr>
          <w:rFonts w:eastAsiaTheme="minorEastAsia"/>
        </w:rPr>
        <w:t xml:space="preserve">HFC phasedown under </w:t>
      </w:r>
      <w:r w:rsidR="00C46AB7" w:rsidRPr="00C46AB7">
        <w:rPr>
          <w:rFonts w:eastAsiaTheme="minorEastAsia"/>
          <w:lang w:val="en-US"/>
        </w:rPr>
        <w:t>Kigali Amendment to the Montreal Protocol</w:t>
      </w:r>
      <w:r w:rsidRPr="005373EB">
        <w:rPr>
          <w:rFonts w:eastAsiaTheme="minorEastAsia"/>
        </w:rPr>
        <w:t>.</w:t>
      </w:r>
    </w:p>
    <w:p w14:paraId="7EB88986" w14:textId="1100A814" w:rsidR="00655602" w:rsidRPr="005373EB" w:rsidRDefault="00655602" w:rsidP="009773EE">
      <w:pPr>
        <w:pStyle w:val="Heading3"/>
        <w:spacing w:before="240" w:after="120"/>
        <w:rPr>
          <w:b w:val="0"/>
          <w:bCs w:val="0"/>
        </w:rPr>
      </w:pPr>
      <w:r w:rsidRPr="005373EB">
        <w:t xml:space="preserve">Summary details of modelling approach </w:t>
      </w:r>
      <w:r w:rsidR="00BB7C2E" w:rsidRPr="005373EB">
        <w:br/>
      </w:r>
      <w:r w:rsidRPr="005373EB">
        <w:t>and key assumptions</w:t>
      </w:r>
    </w:p>
    <w:p w14:paraId="4FF49EB6" w14:textId="78BFC2CE" w:rsidR="00655602" w:rsidRPr="005373EB" w:rsidRDefault="00B635DD" w:rsidP="009773EE">
      <w:pPr>
        <w:pStyle w:val="Heading4"/>
        <w:spacing w:before="240" w:after="120"/>
      </w:pPr>
      <w:r w:rsidRPr="005373EB">
        <w:t>Regulated product stewardship</w:t>
      </w:r>
    </w:p>
    <w:p w14:paraId="1D0848EC" w14:textId="3144059E" w:rsidR="008B093E" w:rsidRPr="005373EB" w:rsidRDefault="00655602" w:rsidP="00C40DA0">
      <w:pPr>
        <w:pStyle w:val="Bulletmfe"/>
        <w:rPr>
          <w:rFonts w:eastAsia="Calibri"/>
        </w:rPr>
      </w:pPr>
      <w:r w:rsidRPr="005373EB">
        <w:rPr>
          <w:rFonts w:eastAsia="Calibri"/>
          <w:shd w:val="clear" w:color="auto" w:fill="FFFFFF"/>
        </w:rPr>
        <w:t>The model</w:t>
      </w:r>
      <w:r w:rsidR="00B635DD" w:rsidRPr="005373EB">
        <w:rPr>
          <w:rFonts w:eastAsia="Calibri"/>
          <w:shd w:val="clear" w:color="auto" w:fill="FFFFFF"/>
        </w:rPr>
        <w:t xml:space="preserve"> uses historical and projected bulk gas and pre-charged HFC’s import data along with assumptions around use, leakage, </w:t>
      </w:r>
      <w:r w:rsidR="009D5EEC" w:rsidRPr="005373EB">
        <w:rPr>
          <w:rFonts w:eastAsia="Calibri"/>
          <w:shd w:val="clear" w:color="auto" w:fill="FFFFFF"/>
        </w:rPr>
        <w:t>retirement</w:t>
      </w:r>
      <w:r w:rsidR="00B635DD" w:rsidRPr="005373EB">
        <w:rPr>
          <w:rFonts w:eastAsia="Calibri"/>
          <w:shd w:val="clear" w:color="auto" w:fill="FFFFFF"/>
        </w:rPr>
        <w:t xml:space="preserve"> and destruction</w:t>
      </w:r>
      <w:r w:rsidR="006921C1" w:rsidRPr="005373EB">
        <w:rPr>
          <w:rFonts w:eastAsia="Calibri"/>
          <w:shd w:val="clear" w:color="auto" w:fill="FFFFFF"/>
        </w:rPr>
        <w:t>,</w:t>
      </w:r>
      <w:r w:rsidR="00B635DD" w:rsidRPr="005373EB">
        <w:rPr>
          <w:rFonts w:eastAsia="Calibri"/>
          <w:shd w:val="clear" w:color="auto" w:fill="FFFFFF"/>
        </w:rPr>
        <w:t xml:space="preserve"> </w:t>
      </w:r>
      <w:r w:rsidR="008B093E" w:rsidRPr="005373EB">
        <w:rPr>
          <w:rFonts w:eastAsia="Calibri"/>
          <w:shd w:val="clear" w:color="auto" w:fill="FFFFFF"/>
        </w:rPr>
        <w:t>to estimate stocks and emissions of HFCs by gas and use type</w:t>
      </w:r>
      <w:r w:rsidR="006921C1" w:rsidRPr="005373EB">
        <w:rPr>
          <w:rFonts w:eastAsia="Calibri"/>
          <w:shd w:val="clear" w:color="auto" w:fill="FFFFFF"/>
        </w:rPr>
        <w:t>.</w:t>
      </w:r>
    </w:p>
    <w:p w14:paraId="65C1D999" w14:textId="2829DD26" w:rsidR="008B093E" w:rsidRPr="005373EB" w:rsidRDefault="008B093E" w:rsidP="00C40DA0">
      <w:pPr>
        <w:pStyle w:val="Bulletmfe"/>
        <w:rPr>
          <w:rFonts w:eastAsia="Calibri"/>
        </w:rPr>
      </w:pPr>
      <w:r w:rsidRPr="005373EB">
        <w:rPr>
          <w:rFonts w:eastAsia="Calibri"/>
          <w:shd w:val="clear" w:color="auto" w:fill="FFFFFF"/>
        </w:rPr>
        <w:t>Imports of HFCs</w:t>
      </w:r>
      <w:r w:rsidR="00E10FDF" w:rsidRPr="005373EB">
        <w:rPr>
          <w:rFonts w:eastAsia="Calibri"/>
          <w:shd w:val="clear" w:color="auto" w:fill="FFFFFF"/>
        </w:rPr>
        <w:t xml:space="preserve"> (especially </w:t>
      </w:r>
      <w:r w:rsidR="006921C1" w:rsidRPr="005373EB">
        <w:rPr>
          <w:rFonts w:eastAsia="Calibri"/>
          <w:shd w:val="clear" w:color="auto" w:fill="FFFFFF"/>
        </w:rPr>
        <w:t xml:space="preserve">those </w:t>
      </w:r>
      <w:r w:rsidR="00E10FDF" w:rsidRPr="005373EB">
        <w:rPr>
          <w:rFonts w:eastAsia="Calibri"/>
          <w:shd w:val="clear" w:color="auto" w:fill="FFFFFF"/>
        </w:rPr>
        <w:t>with relatively high GWPs)</w:t>
      </w:r>
      <w:r w:rsidRPr="005373EB">
        <w:rPr>
          <w:rFonts w:eastAsia="Calibri"/>
          <w:shd w:val="clear" w:color="auto" w:fill="FFFFFF"/>
        </w:rPr>
        <w:t xml:space="preserve"> are expected to reduce sharply over time</w:t>
      </w:r>
      <w:r w:rsidR="0003107F" w:rsidRPr="005373EB">
        <w:rPr>
          <w:rFonts w:eastAsia="Calibri"/>
          <w:shd w:val="clear" w:color="auto" w:fill="FFFFFF"/>
        </w:rPr>
        <w:t>,</w:t>
      </w:r>
      <w:r w:rsidRPr="005373EB">
        <w:rPr>
          <w:rFonts w:eastAsia="Calibri"/>
          <w:shd w:val="clear" w:color="auto" w:fill="FFFFFF"/>
        </w:rPr>
        <w:t xml:space="preserve"> largely due to the </w:t>
      </w:r>
      <w:r w:rsidRPr="005373EB">
        <w:rPr>
          <w:rFonts w:eastAsiaTheme="minorEastAsia"/>
        </w:rPr>
        <w:t xml:space="preserve">phasedown under </w:t>
      </w:r>
      <w:r w:rsidR="00765961" w:rsidRPr="005373EB">
        <w:rPr>
          <w:rFonts w:eastAsiaTheme="minorEastAsia"/>
        </w:rPr>
        <w:t xml:space="preserve">the </w:t>
      </w:r>
      <w:r w:rsidRPr="005373EB">
        <w:rPr>
          <w:rFonts w:eastAsiaTheme="minorEastAsia"/>
        </w:rPr>
        <w:t xml:space="preserve">Kigali </w:t>
      </w:r>
      <w:r w:rsidR="00C46AB7" w:rsidRPr="00C46AB7">
        <w:rPr>
          <w:rFonts w:eastAsiaTheme="minorEastAsia"/>
          <w:lang w:val="en-US"/>
        </w:rPr>
        <w:t>Amendment to the Montreal Protocol</w:t>
      </w:r>
      <w:r w:rsidR="00C46AB7" w:rsidRPr="00C46AB7" w:rsidDel="00C46AB7">
        <w:rPr>
          <w:rFonts w:eastAsiaTheme="minorEastAsia"/>
        </w:rPr>
        <w:t xml:space="preserve"> </w:t>
      </w:r>
      <w:r w:rsidRPr="005373EB">
        <w:rPr>
          <w:rFonts w:eastAsiaTheme="minorEastAsia"/>
        </w:rPr>
        <w:t>(an existing policy), however</w:t>
      </w:r>
      <w:r w:rsidR="00765961" w:rsidRPr="005373EB">
        <w:rPr>
          <w:rFonts w:eastAsiaTheme="minorEastAsia"/>
        </w:rPr>
        <w:t>,</w:t>
      </w:r>
      <w:r w:rsidRPr="005373EB">
        <w:rPr>
          <w:rFonts w:eastAsiaTheme="minorEastAsia"/>
        </w:rPr>
        <w:t xml:space="preserve"> due to high levels of </w:t>
      </w:r>
      <w:r w:rsidR="00E10FDF" w:rsidRPr="005373EB">
        <w:rPr>
          <w:rFonts w:eastAsiaTheme="minorEastAsia"/>
        </w:rPr>
        <w:t>HFC stocks</w:t>
      </w:r>
      <w:r w:rsidR="00765961" w:rsidRPr="005373EB">
        <w:rPr>
          <w:rFonts w:eastAsiaTheme="minorEastAsia"/>
        </w:rPr>
        <w:t>,</w:t>
      </w:r>
      <w:r w:rsidR="00E10FDF" w:rsidRPr="005373EB">
        <w:rPr>
          <w:rFonts w:eastAsiaTheme="minorEastAsia"/>
        </w:rPr>
        <w:t xml:space="preserve"> emissions from HFC</w:t>
      </w:r>
      <w:r w:rsidR="00F311CA" w:rsidRPr="005373EB">
        <w:rPr>
          <w:rFonts w:eastAsiaTheme="minorEastAsia"/>
        </w:rPr>
        <w:t>s</w:t>
      </w:r>
      <w:r w:rsidR="00E10FDF" w:rsidRPr="005373EB">
        <w:rPr>
          <w:rFonts w:eastAsiaTheme="minorEastAsia"/>
        </w:rPr>
        <w:t xml:space="preserve"> decline at a much slower pace</w:t>
      </w:r>
      <w:r w:rsidR="00F311CA" w:rsidRPr="005373EB">
        <w:rPr>
          <w:rFonts w:eastAsiaTheme="minorEastAsia"/>
        </w:rPr>
        <w:t>.</w:t>
      </w:r>
    </w:p>
    <w:p w14:paraId="4CF2F881" w14:textId="4C3906B8" w:rsidR="008B093E" w:rsidRPr="005373EB" w:rsidRDefault="008B093E" w:rsidP="00C40DA0">
      <w:pPr>
        <w:pStyle w:val="Bulletmfe"/>
        <w:rPr>
          <w:rFonts w:eastAsia="Calibri"/>
        </w:rPr>
      </w:pPr>
      <w:r w:rsidRPr="005373EB">
        <w:rPr>
          <w:rFonts w:eastAsia="Calibri"/>
        </w:rPr>
        <w:t>Operational HFC leakage rates are assumed to reduce with the implementation of this policy, leakage rates reduce at different rates and the reduction increases over time depending on the refrigerant and its use</w:t>
      </w:r>
      <w:r w:rsidR="00302B8F" w:rsidRPr="005373EB">
        <w:rPr>
          <w:rFonts w:eastAsia="Calibri"/>
        </w:rPr>
        <w:t>.</w:t>
      </w:r>
    </w:p>
    <w:p w14:paraId="20344D99" w14:textId="5F8F48B0" w:rsidR="008B093E" w:rsidRPr="005373EB" w:rsidRDefault="008B093E" w:rsidP="00C40DA0">
      <w:pPr>
        <w:pStyle w:val="Bulletmfe"/>
        <w:rPr>
          <w:rFonts w:eastAsia="Calibri"/>
        </w:rPr>
      </w:pPr>
      <w:r w:rsidRPr="005373EB">
        <w:rPr>
          <w:rFonts w:eastAsia="Calibri"/>
        </w:rPr>
        <w:t xml:space="preserve">Recovery for destruction of HFCs when equipment is retired is expected to increase over time with the implementation of this policy. The assumed baseline recovery rates of HFCs </w:t>
      </w:r>
      <w:r w:rsidR="14EE644F" w:rsidRPr="005373EB">
        <w:rPr>
          <w:rFonts w:eastAsia="Calibri"/>
        </w:rPr>
        <w:t>are</w:t>
      </w:r>
      <w:r w:rsidRPr="005373EB">
        <w:rPr>
          <w:rFonts w:eastAsia="Calibri"/>
        </w:rPr>
        <w:t xml:space="preserve"> 11</w:t>
      </w:r>
      <w:r w:rsidR="00302B8F" w:rsidRPr="005373EB">
        <w:rPr>
          <w:rFonts w:eastAsia="Calibri"/>
        </w:rPr>
        <w:t xml:space="preserve"> per cent</w:t>
      </w:r>
      <w:r w:rsidRPr="005373EB">
        <w:rPr>
          <w:rFonts w:eastAsia="Calibri"/>
        </w:rPr>
        <w:t xml:space="preserve"> of total retired HFCs, this is assumed to increase to between 13</w:t>
      </w:r>
      <w:r w:rsidR="00302B8F" w:rsidRPr="005373EB">
        <w:rPr>
          <w:rFonts w:eastAsia="Calibri"/>
        </w:rPr>
        <w:t xml:space="preserve"> per cent and </w:t>
      </w:r>
      <w:r w:rsidRPr="005373EB">
        <w:rPr>
          <w:rFonts w:eastAsia="Calibri"/>
        </w:rPr>
        <w:t>20</w:t>
      </w:r>
      <w:r w:rsidR="00302B8F" w:rsidRPr="005373EB">
        <w:rPr>
          <w:rFonts w:eastAsia="Calibri"/>
        </w:rPr>
        <w:t> per cent</w:t>
      </w:r>
      <w:r w:rsidRPr="005373EB">
        <w:rPr>
          <w:rFonts w:eastAsia="Calibri"/>
        </w:rPr>
        <w:t xml:space="preserve"> between 2023</w:t>
      </w:r>
      <w:r w:rsidR="00B814F4" w:rsidRPr="005373EB">
        <w:rPr>
          <w:rFonts w:eastAsia="Calibri"/>
        </w:rPr>
        <w:t>–</w:t>
      </w:r>
      <w:r w:rsidRPr="005373EB">
        <w:rPr>
          <w:rFonts w:eastAsia="Calibri"/>
        </w:rPr>
        <w:t>29, 20</w:t>
      </w:r>
      <w:r w:rsidR="00302B8F" w:rsidRPr="005373EB">
        <w:rPr>
          <w:rFonts w:eastAsia="Calibri"/>
        </w:rPr>
        <w:t xml:space="preserve"> per cent and </w:t>
      </w:r>
      <w:r w:rsidRPr="005373EB">
        <w:rPr>
          <w:rFonts w:eastAsia="Calibri"/>
        </w:rPr>
        <w:t>30</w:t>
      </w:r>
      <w:r w:rsidR="00302B8F" w:rsidRPr="005373EB">
        <w:rPr>
          <w:rFonts w:eastAsia="Calibri"/>
        </w:rPr>
        <w:t xml:space="preserve"> per cent</w:t>
      </w:r>
      <w:r w:rsidRPr="005373EB">
        <w:rPr>
          <w:rFonts w:eastAsia="Calibri"/>
        </w:rPr>
        <w:t xml:space="preserve"> between 2030</w:t>
      </w:r>
      <w:r w:rsidR="00D7608E" w:rsidRPr="005373EB">
        <w:rPr>
          <w:rFonts w:eastAsia="Calibri"/>
        </w:rPr>
        <w:t>–</w:t>
      </w:r>
      <w:r w:rsidRPr="005373EB">
        <w:rPr>
          <w:rFonts w:eastAsia="Calibri"/>
        </w:rPr>
        <w:t>39 and to 20</w:t>
      </w:r>
      <w:r w:rsidR="00302B8F" w:rsidRPr="005373EB">
        <w:rPr>
          <w:rFonts w:eastAsia="Calibri"/>
        </w:rPr>
        <w:t xml:space="preserve"> per cent and </w:t>
      </w:r>
      <w:r w:rsidRPr="005373EB">
        <w:rPr>
          <w:rFonts w:eastAsia="Calibri"/>
        </w:rPr>
        <w:t>35</w:t>
      </w:r>
      <w:r w:rsidR="00302B8F" w:rsidRPr="005373EB">
        <w:rPr>
          <w:rFonts w:eastAsia="Calibri"/>
        </w:rPr>
        <w:t xml:space="preserve"> per cent</w:t>
      </w:r>
      <w:r w:rsidRPr="005373EB">
        <w:rPr>
          <w:rFonts w:eastAsia="Calibri"/>
        </w:rPr>
        <w:t xml:space="preserve"> from 2040 onwards.</w:t>
      </w:r>
    </w:p>
    <w:p w14:paraId="3F1D5E35" w14:textId="77777777" w:rsidR="00655602" w:rsidRPr="005373EB" w:rsidRDefault="00655602" w:rsidP="000A7B4B">
      <w:pPr>
        <w:pStyle w:val="Heading2"/>
      </w:pPr>
      <w:bookmarkStart w:id="39" w:name="_Toc103773268"/>
      <w:r w:rsidRPr="005373EB">
        <w:t>Agriculture</w:t>
      </w:r>
      <w:bookmarkEnd w:id="39"/>
    </w:p>
    <w:p w14:paraId="67ECC39A" w14:textId="4C01F9D9" w:rsidR="00655602" w:rsidRPr="005373EB" w:rsidRDefault="00655602" w:rsidP="00655602">
      <w:pPr>
        <w:pStyle w:val="BodyText"/>
      </w:pPr>
      <w:r w:rsidRPr="005373EB">
        <w:t xml:space="preserve">The quantification of policy impacts for the </w:t>
      </w:r>
      <w:r w:rsidR="003B7C7B" w:rsidRPr="005373EB">
        <w:t>agriculture</w:t>
      </w:r>
      <w:r w:rsidRPr="005373EB">
        <w:t xml:space="preserve"> sector was undertaken by M</w:t>
      </w:r>
      <w:r w:rsidR="003B7C7B" w:rsidRPr="005373EB">
        <w:t>PI</w:t>
      </w:r>
      <w:r w:rsidRPr="005373EB">
        <w:t>.</w:t>
      </w:r>
      <w:r w:rsidR="00353197" w:rsidRPr="005373EB">
        <w:t xml:space="preserve"> </w:t>
      </w:r>
    </w:p>
    <w:p w14:paraId="0118D9FE" w14:textId="77777777" w:rsidR="00655602" w:rsidRPr="005373EB" w:rsidRDefault="00655602" w:rsidP="009773EE">
      <w:pPr>
        <w:pStyle w:val="Heading3"/>
        <w:spacing w:before="240" w:after="120"/>
      </w:pPr>
      <w:r w:rsidRPr="005373EB">
        <w:t xml:space="preserve">Policies and measures that have been quantified </w:t>
      </w:r>
    </w:p>
    <w:p w14:paraId="493E0890" w14:textId="06B0B0DD" w:rsidR="00021B70" w:rsidRPr="005373EB" w:rsidRDefault="00021B70" w:rsidP="00C40DA0">
      <w:pPr>
        <w:pStyle w:val="Bulletmfe"/>
        <w:rPr>
          <w:color w:val="000000"/>
        </w:rPr>
      </w:pPr>
      <w:r w:rsidRPr="005373EB">
        <w:t>ETS price corridor increase</w:t>
      </w:r>
      <w:r w:rsidR="00347CA5" w:rsidRPr="005373EB">
        <w:t>.</w:t>
      </w:r>
    </w:p>
    <w:p w14:paraId="3833C376" w14:textId="723DFABA" w:rsidR="00021B70" w:rsidRPr="005373EB" w:rsidRDefault="00021B70" w:rsidP="00C40DA0">
      <w:pPr>
        <w:pStyle w:val="Bulletmfe"/>
        <w:rPr>
          <w:color w:val="000000"/>
        </w:rPr>
      </w:pPr>
      <w:r w:rsidRPr="005373EB">
        <w:rPr>
          <w:color w:val="000000"/>
        </w:rPr>
        <w:t>Additional funding for research to develop agricultural emission mitigation technologies</w:t>
      </w:r>
      <w:r w:rsidR="00347CA5" w:rsidRPr="005373EB">
        <w:rPr>
          <w:color w:val="000000"/>
        </w:rPr>
        <w:t>.</w:t>
      </w:r>
    </w:p>
    <w:p w14:paraId="27E1275F" w14:textId="7C53FAD9" w:rsidR="00655602" w:rsidRPr="005373EB" w:rsidRDefault="00655602" w:rsidP="009773EE">
      <w:pPr>
        <w:pStyle w:val="Heading3"/>
        <w:spacing w:before="240" w:after="120"/>
        <w:rPr>
          <w:b w:val="0"/>
        </w:rPr>
      </w:pPr>
      <w:r w:rsidRPr="005373EB">
        <w:t>Key policies and measures already included in the baseline</w:t>
      </w:r>
      <w:r w:rsidR="00347CA5" w:rsidRPr="005373EB">
        <w:t> </w:t>
      </w:r>
      <w:r w:rsidRPr="005373EB">
        <w:t>projections</w:t>
      </w:r>
    </w:p>
    <w:p w14:paraId="2F523D22" w14:textId="78B16E9A" w:rsidR="00021B70" w:rsidRPr="005373EB" w:rsidRDefault="6EF868BB" w:rsidP="00C40DA0">
      <w:pPr>
        <w:pStyle w:val="Bulletmfe"/>
      </w:pPr>
      <w:r w:rsidRPr="005373EB">
        <w:t xml:space="preserve">Freshwater policies on agriculture, including </w:t>
      </w:r>
      <w:r w:rsidR="00347CA5" w:rsidRPr="005373EB">
        <w:t>f</w:t>
      </w:r>
      <w:r w:rsidRPr="005373EB">
        <w:t>reshwater farm plans, and stock exclusion regulations (Essential Freshwater Package)</w:t>
      </w:r>
      <w:r w:rsidR="00347CA5" w:rsidRPr="005373EB">
        <w:t>.</w:t>
      </w:r>
    </w:p>
    <w:p w14:paraId="47EAB81B" w14:textId="40C12734" w:rsidR="003B7C7B" w:rsidRPr="005373EB" w:rsidRDefault="003B7C7B" w:rsidP="00C40DA0">
      <w:pPr>
        <w:pStyle w:val="Bulletmfe"/>
        <w:rPr>
          <w:rFonts w:eastAsiaTheme="minorEastAsia"/>
        </w:rPr>
      </w:pPr>
      <w:r w:rsidRPr="005373EB">
        <w:rPr>
          <w:rFonts w:eastAsiaTheme="minorEastAsia"/>
        </w:rPr>
        <w:t xml:space="preserve">ETS impact </w:t>
      </w:r>
      <w:r w:rsidR="00347CA5" w:rsidRPr="005373EB">
        <w:rPr>
          <w:rFonts w:eastAsiaTheme="minorEastAsia"/>
        </w:rPr>
        <w:t>before</w:t>
      </w:r>
      <w:r w:rsidRPr="005373EB">
        <w:rPr>
          <w:rFonts w:eastAsiaTheme="minorEastAsia"/>
        </w:rPr>
        <w:t xml:space="preserve"> price corridor increase</w:t>
      </w:r>
      <w:r w:rsidR="00347CA5" w:rsidRPr="005373EB">
        <w:rPr>
          <w:rFonts w:eastAsiaTheme="minorEastAsia"/>
        </w:rPr>
        <w:t>.</w:t>
      </w:r>
    </w:p>
    <w:p w14:paraId="782C3CFF" w14:textId="6BDB5673" w:rsidR="00021B70" w:rsidRPr="005373EB" w:rsidRDefault="6EF868BB" w:rsidP="00C40DA0">
      <w:pPr>
        <w:pStyle w:val="Bulletmfe"/>
      </w:pPr>
      <w:r w:rsidRPr="005373EB">
        <w:t>Implementation of agriculture emissions pricing.</w:t>
      </w:r>
    </w:p>
    <w:p w14:paraId="561ADA38" w14:textId="19F8D863" w:rsidR="00655602" w:rsidRPr="005373EB" w:rsidRDefault="00655602" w:rsidP="009773EE">
      <w:pPr>
        <w:pStyle w:val="Heading3"/>
        <w:spacing w:before="240" w:after="120"/>
      </w:pPr>
      <w:r w:rsidRPr="005373EB">
        <w:lastRenderedPageBreak/>
        <w:t>Summary details of modelling approach and key</w:t>
      </w:r>
      <w:r w:rsidR="00347CA5" w:rsidRPr="005373EB">
        <w:t> </w:t>
      </w:r>
      <w:r w:rsidRPr="005373EB">
        <w:t>assumptions</w:t>
      </w:r>
    </w:p>
    <w:p w14:paraId="700D9AC3" w14:textId="6F918D35" w:rsidR="00426F17" w:rsidRPr="005373EB" w:rsidRDefault="00426F17" w:rsidP="009773EE">
      <w:pPr>
        <w:pStyle w:val="Heading4"/>
        <w:spacing w:before="120"/>
      </w:pPr>
      <w:r w:rsidRPr="005373EB">
        <w:t>New policies and measures</w:t>
      </w:r>
    </w:p>
    <w:p w14:paraId="5C171455" w14:textId="1B74EF50" w:rsidR="00021B70" w:rsidRPr="005373EB" w:rsidRDefault="00021B70" w:rsidP="003519A5">
      <w:pPr>
        <w:pStyle w:val="Heading5"/>
        <w:spacing w:before="180" w:after="120"/>
      </w:pPr>
      <w:r w:rsidRPr="005373EB">
        <w:t>ETS price corridor increase</w:t>
      </w:r>
    </w:p>
    <w:p w14:paraId="1987E5FF" w14:textId="666A00CA" w:rsidR="00655602" w:rsidRPr="005373EB" w:rsidRDefault="00021B70" w:rsidP="00C40DA0">
      <w:pPr>
        <w:pStyle w:val="Bulletmfe"/>
        <w:rPr>
          <w:rFonts w:eastAsia="Calibri"/>
          <w:i/>
          <w:iCs/>
        </w:rPr>
      </w:pPr>
      <w:r w:rsidRPr="005373EB">
        <w:rPr>
          <w:rFonts w:eastAsia="Calibri"/>
          <w:shd w:val="clear" w:color="auto" w:fill="FFFFFF"/>
        </w:rPr>
        <w:t xml:space="preserve">ETS has an indirect effect on agriculture emissions </w:t>
      </w:r>
      <w:r w:rsidR="00347CA5" w:rsidRPr="005373EB">
        <w:rPr>
          <w:rFonts w:eastAsia="Calibri"/>
          <w:shd w:val="clear" w:color="auto" w:fill="FFFFFF"/>
        </w:rPr>
        <w:t>because</w:t>
      </w:r>
      <w:r w:rsidRPr="005373EB">
        <w:rPr>
          <w:rFonts w:eastAsia="Calibri"/>
          <w:shd w:val="clear" w:color="auto" w:fill="FFFFFF"/>
        </w:rPr>
        <w:t xml:space="preserve"> it encourages afforestation on farmland. A higher carbon price is expected to encourage additional afforestation on agricultural land</w:t>
      </w:r>
      <w:r w:rsidR="00D85B85" w:rsidRPr="005373EB">
        <w:rPr>
          <w:rFonts w:eastAsia="Calibri"/>
          <w:shd w:val="clear" w:color="auto" w:fill="FFFFFF"/>
        </w:rPr>
        <w:t>.</w:t>
      </w:r>
      <w:r w:rsidRPr="005373EB">
        <w:rPr>
          <w:rFonts w:eastAsia="Calibri"/>
          <w:shd w:val="clear" w:color="auto" w:fill="FFFFFF"/>
        </w:rPr>
        <w:t xml:space="preserve"> </w:t>
      </w:r>
    </w:p>
    <w:p w14:paraId="41DAF251" w14:textId="6577C23B" w:rsidR="00021B70" w:rsidRPr="005373EB" w:rsidRDefault="00021B70" w:rsidP="00276DDB">
      <w:pPr>
        <w:pStyle w:val="Heading5"/>
        <w:spacing w:after="120"/>
      </w:pPr>
      <w:r w:rsidRPr="005373EB">
        <w:t>Additional funding for research to develop agricultural emission mitigation</w:t>
      </w:r>
      <w:r w:rsidR="00D85B85" w:rsidRPr="005373EB">
        <w:t> </w:t>
      </w:r>
      <w:r w:rsidRPr="005373EB">
        <w:t>technologies</w:t>
      </w:r>
    </w:p>
    <w:p w14:paraId="078EE7F1" w14:textId="19267BFB" w:rsidR="00021B70" w:rsidRPr="005373EB" w:rsidRDefault="00021B70" w:rsidP="00C40DA0">
      <w:pPr>
        <w:pStyle w:val="Bulletmfe"/>
        <w:rPr>
          <w:rFonts w:eastAsia="Calibri"/>
        </w:rPr>
      </w:pPr>
      <w:r w:rsidRPr="005373EB">
        <w:rPr>
          <w:rFonts w:eastAsia="Calibri"/>
        </w:rPr>
        <w:t>Additional funding for mitigation research is expected to accelerate the roll</w:t>
      </w:r>
      <w:r w:rsidR="00C0631C" w:rsidRPr="005373EB">
        <w:rPr>
          <w:rFonts w:eastAsia="Calibri"/>
        </w:rPr>
        <w:t xml:space="preserve"> </w:t>
      </w:r>
      <w:r w:rsidRPr="005373EB">
        <w:rPr>
          <w:rFonts w:eastAsia="Calibri"/>
        </w:rPr>
        <w:t>out of mitigation technologies on</w:t>
      </w:r>
      <w:r w:rsidR="008A5746">
        <w:rPr>
          <w:rFonts w:eastAsia="Calibri"/>
        </w:rPr>
        <w:t xml:space="preserve"> </w:t>
      </w:r>
      <w:r w:rsidRPr="005373EB">
        <w:rPr>
          <w:rFonts w:eastAsia="Calibri"/>
        </w:rPr>
        <w:t>farm. Estimates on the expected effect of different mitigation technologies were developed through consultation with subject</w:t>
      </w:r>
      <w:r w:rsidR="00467B56" w:rsidRPr="005373EB">
        <w:rPr>
          <w:rFonts w:eastAsia="Calibri"/>
        </w:rPr>
        <w:t>-</w:t>
      </w:r>
      <w:r w:rsidRPr="005373EB">
        <w:rPr>
          <w:rFonts w:eastAsia="Calibri"/>
        </w:rPr>
        <w:t>matter experts at MPI</w:t>
      </w:r>
      <w:r w:rsidR="00467B56" w:rsidRPr="005373EB">
        <w:rPr>
          <w:rFonts w:eastAsia="Calibri"/>
        </w:rPr>
        <w:t>.</w:t>
      </w:r>
    </w:p>
    <w:p w14:paraId="1064CC37" w14:textId="461B9825" w:rsidR="00021B70" w:rsidRPr="005373EB" w:rsidRDefault="00021B70" w:rsidP="00C40DA0">
      <w:pPr>
        <w:pStyle w:val="Bulletmfe"/>
        <w:rPr>
          <w:rFonts w:eastAsia="Calibri"/>
        </w:rPr>
      </w:pPr>
      <w:r w:rsidRPr="005373EB">
        <w:rPr>
          <w:rFonts w:eastAsia="Calibri"/>
        </w:rPr>
        <w:t>A list of actions</w:t>
      </w:r>
      <w:r w:rsidR="00467B56" w:rsidRPr="005373EB">
        <w:rPr>
          <w:rFonts w:eastAsia="Calibri"/>
        </w:rPr>
        <w:t xml:space="preserve"> and </w:t>
      </w:r>
      <w:r w:rsidRPr="005373EB">
        <w:rPr>
          <w:rFonts w:eastAsia="Calibri"/>
        </w:rPr>
        <w:t>technologies (eg</w:t>
      </w:r>
      <w:r w:rsidR="560E39BF" w:rsidRPr="005373EB">
        <w:rPr>
          <w:rFonts w:eastAsia="Calibri"/>
        </w:rPr>
        <w:t>,</w:t>
      </w:r>
      <w:r w:rsidRPr="005373EB">
        <w:rPr>
          <w:rFonts w:eastAsia="Calibri"/>
        </w:rPr>
        <w:t xml:space="preserve"> methane inhibitor) was compiled based on research and subject</w:t>
      </w:r>
      <w:r w:rsidR="00371E96" w:rsidRPr="005373EB">
        <w:rPr>
          <w:rFonts w:eastAsia="Calibri"/>
        </w:rPr>
        <w:t>-</w:t>
      </w:r>
      <w:r w:rsidRPr="005373EB">
        <w:rPr>
          <w:rFonts w:eastAsia="Calibri"/>
        </w:rPr>
        <w:t>matter expertise. Each action</w:t>
      </w:r>
      <w:r w:rsidR="00371E96" w:rsidRPr="005373EB">
        <w:rPr>
          <w:rFonts w:eastAsia="Calibri"/>
        </w:rPr>
        <w:t xml:space="preserve"> and </w:t>
      </w:r>
      <w:r w:rsidRPr="005373EB">
        <w:rPr>
          <w:rFonts w:eastAsia="Calibri"/>
        </w:rPr>
        <w:t>technology was given an expected start date of implementation (assuming research funding is available), a date for peak adoption, uptake at peak adoption and effectiveness at reducing emissions (efficacy). These parameters were based on published data, the stocktake of technologies completed earlier this year and expert opinion. The uptake and efficacy parameters were assigned to the appropriate emissions categories to obtain estimates of emissions reductions by year</w:t>
      </w:r>
      <w:r w:rsidR="001853E6" w:rsidRPr="005373EB">
        <w:rPr>
          <w:rFonts w:eastAsia="Calibri"/>
        </w:rPr>
        <w:t>.</w:t>
      </w:r>
    </w:p>
    <w:p w14:paraId="05FB0E49" w14:textId="21799A81" w:rsidR="00021B70" w:rsidRPr="005373EB" w:rsidRDefault="00021B70" w:rsidP="00C40DA0">
      <w:pPr>
        <w:pStyle w:val="Bulletmfe"/>
        <w:rPr>
          <w:rFonts w:eastAsia="Calibri"/>
        </w:rPr>
      </w:pPr>
      <w:r w:rsidRPr="005373EB">
        <w:rPr>
          <w:rFonts w:eastAsia="Calibri"/>
        </w:rPr>
        <w:t xml:space="preserve">Adjustments were made to avoid double counting of emissions mitigations and to account </w:t>
      </w:r>
      <w:r w:rsidRPr="005373EB">
        <w:rPr>
          <w:rFonts w:eastAsia="Calibri"/>
          <w:spacing w:val="-2"/>
        </w:rPr>
        <w:t>for the expected extent to which extension activities would be undertaken without funding</w:t>
      </w:r>
      <w:r w:rsidRPr="005373EB">
        <w:rPr>
          <w:rFonts w:eastAsia="Calibri"/>
        </w:rPr>
        <w:t>.</w:t>
      </w:r>
    </w:p>
    <w:p w14:paraId="0A285628" w14:textId="01310092" w:rsidR="00655602" w:rsidRPr="005373EB" w:rsidRDefault="00426F17" w:rsidP="00276DDB">
      <w:pPr>
        <w:pStyle w:val="Heading4"/>
        <w:spacing w:before="240"/>
      </w:pPr>
      <w:r w:rsidRPr="005373EB">
        <w:t>Key existing policies and measures</w:t>
      </w:r>
    </w:p>
    <w:p w14:paraId="149B85AC" w14:textId="77777777" w:rsidR="00426F17" w:rsidRPr="005373EB" w:rsidRDefault="00426F17" w:rsidP="003519A5">
      <w:pPr>
        <w:pStyle w:val="Heading5"/>
        <w:spacing w:before="180" w:after="120"/>
      </w:pPr>
      <w:r w:rsidRPr="005373EB">
        <w:t>Essential Freshwater Package</w:t>
      </w:r>
    </w:p>
    <w:p w14:paraId="2D63D05B" w14:textId="43E2DE72" w:rsidR="00426F17" w:rsidRPr="005373EB" w:rsidRDefault="1450E0CE" w:rsidP="00C40DA0">
      <w:pPr>
        <w:pStyle w:val="Bulletmfe"/>
      </w:pPr>
      <w:r w:rsidRPr="005373EB">
        <w:t xml:space="preserve">The Essential Freshwater </w:t>
      </w:r>
      <w:r w:rsidR="001853E6" w:rsidRPr="005373EB">
        <w:t>P</w:t>
      </w:r>
      <w:r w:rsidRPr="005373EB">
        <w:t>ackage introduces new rules and regulations to stop further degradation of New Zealand</w:t>
      </w:r>
      <w:r w:rsidR="00BA70EA" w:rsidRPr="005373EB">
        <w:t>’</w:t>
      </w:r>
      <w:r w:rsidRPr="005373EB">
        <w:t>s freshwater resources and improve water quality</w:t>
      </w:r>
      <w:r w:rsidR="00BA70EA" w:rsidRPr="005373EB">
        <w:t>.</w:t>
      </w:r>
    </w:p>
    <w:p w14:paraId="693D07BA" w14:textId="0C28CC47" w:rsidR="00426F17" w:rsidRPr="005373EB" w:rsidRDefault="1450E0CE" w:rsidP="00C40DA0">
      <w:pPr>
        <w:pStyle w:val="Bulletmfe"/>
      </w:pPr>
      <w:r w:rsidRPr="005373EB">
        <w:t>The expected land use change resulting from this package includes:</w:t>
      </w:r>
    </w:p>
    <w:p w14:paraId="655E4E26" w14:textId="41A793E1" w:rsidR="00426F17" w:rsidRPr="005373EB" w:rsidRDefault="1450E0CE" w:rsidP="00C40DA0">
      <w:pPr>
        <w:pStyle w:val="Bulletmfe"/>
        <w:numPr>
          <w:ilvl w:val="0"/>
          <w:numId w:val="13"/>
        </w:numPr>
      </w:pPr>
      <w:r w:rsidRPr="005373EB">
        <w:t>reductions in dairy area to reduce nitrogen pollution</w:t>
      </w:r>
    </w:p>
    <w:p w14:paraId="6DE8F100" w14:textId="652BC4AF" w:rsidR="00426F17" w:rsidRPr="005373EB" w:rsidRDefault="1450E0CE" w:rsidP="00C40DA0">
      <w:pPr>
        <w:pStyle w:val="Bulletmfe"/>
        <w:numPr>
          <w:ilvl w:val="0"/>
          <w:numId w:val="13"/>
        </w:numPr>
      </w:pPr>
      <w:r w:rsidRPr="005373EB">
        <w:t>reductions in the use of nitrogen fertiliser</w:t>
      </w:r>
    </w:p>
    <w:p w14:paraId="1C728E1B" w14:textId="31181F92" w:rsidR="00426F17" w:rsidRPr="005373EB" w:rsidRDefault="1450E0CE" w:rsidP="00C40DA0">
      <w:pPr>
        <w:pStyle w:val="Bulletmfe"/>
        <w:numPr>
          <w:ilvl w:val="0"/>
          <w:numId w:val="13"/>
        </w:numPr>
      </w:pPr>
      <w:r w:rsidRPr="005373EB">
        <w:t>land in setback from rivers related to the stock exclusion requirements.</w:t>
      </w:r>
    </w:p>
    <w:p w14:paraId="71C25415" w14:textId="01817BE7" w:rsidR="00426F17" w:rsidRPr="005373EB" w:rsidRDefault="1450E0CE" w:rsidP="00C40DA0">
      <w:pPr>
        <w:pStyle w:val="Bulletmfe"/>
      </w:pPr>
      <w:r w:rsidRPr="005373EB">
        <w:t>These actions are likely to reduce agricultural emissions</w:t>
      </w:r>
      <w:r w:rsidR="00BA70EA" w:rsidRPr="005373EB">
        <w:t>.</w:t>
      </w:r>
    </w:p>
    <w:p w14:paraId="4720A543" w14:textId="63B91DD6" w:rsidR="00426F17" w:rsidRPr="005373EB" w:rsidRDefault="1450E0CE" w:rsidP="00C40DA0">
      <w:pPr>
        <w:pStyle w:val="Bulletmfe"/>
      </w:pPr>
      <w:r w:rsidRPr="005373EB">
        <w:t>Some land use change to forestry in hill country sheep and beef farms could be a profitable approach towards mitigating sediment loss. However, sediment bottom lines could also be achieved through changing on-farm practices without land use change</w:t>
      </w:r>
      <w:r w:rsidR="003D43C4" w:rsidRPr="005373EB">
        <w:t>.</w:t>
      </w:r>
    </w:p>
    <w:p w14:paraId="4A70CA17" w14:textId="5BD0754C" w:rsidR="00426F17" w:rsidRPr="005373EB" w:rsidRDefault="00426F17" w:rsidP="003519A5">
      <w:pPr>
        <w:pStyle w:val="Heading5"/>
        <w:spacing w:before="180" w:after="120"/>
      </w:pPr>
      <w:r w:rsidRPr="005373EB">
        <w:t>Emissions Trading Scheme</w:t>
      </w:r>
    </w:p>
    <w:p w14:paraId="71AD730A" w14:textId="6887E957" w:rsidR="00C91D11" w:rsidRPr="005373EB" w:rsidRDefault="1450E0CE" w:rsidP="00C40DA0">
      <w:pPr>
        <w:pStyle w:val="Bulletmfe"/>
      </w:pPr>
      <w:r w:rsidRPr="005373EB">
        <w:t xml:space="preserve">The ETS has an indirect effect on agriculture emissions </w:t>
      </w:r>
      <w:r w:rsidR="003519A5" w:rsidRPr="005373EB">
        <w:t xml:space="preserve">because </w:t>
      </w:r>
      <w:r w:rsidRPr="005373EB">
        <w:t>it encourages afforestation on farmland. Assumptions for future ETS carbon prices were formed in the first half of 2020 in agreement with MfE and other government agencies</w:t>
      </w:r>
      <w:r w:rsidR="003519A5" w:rsidRPr="005373EB">
        <w:t>.</w:t>
      </w:r>
    </w:p>
    <w:p w14:paraId="6405AA85" w14:textId="7D68294D" w:rsidR="00426F17" w:rsidRPr="005373EB" w:rsidRDefault="1450E0CE" w:rsidP="00C40DA0">
      <w:pPr>
        <w:pStyle w:val="Bulletmfe"/>
      </w:pPr>
      <w:r w:rsidRPr="005373EB">
        <w:t>Any afforestation on agricultural land is expected to primarily occur on land used for sheep and beef farming</w:t>
      </w:r>
      <w:r w:rsidR="003D43C4" w:rsidRPr="005373EB">
        <w:t>.</w:t>
      </w:r>
    </w:p>
    <w:p w14:paraId="486BAC2C" w14:textId="6AE187F6" w:rsidR="00426F17" w:rsidRPr="005373EB" w:rsidRDefault="00426F17" w:rsidP="00276DDB">
      <w:pPr>
        <w:pStyle w:val="Heading5"/>
        <w:spacing w:after="120"/>
      </w:pPr>
      <w:r w:rsidRPr="005373EB">
        <w:lastRenderedPageBreak/>
        <w:t>Implementation of agriculture emissions pricing</w:t>
      </w:r>
    </w:p>
    <w:p w14:paraId="65B8F77D" w14:textId="792C852C" w:rsidR="00426F17" w:rsidRPr="005373EB" w:rsidRDefault="1450E0CE" w:rsidP="00C40DA0">
      <w:pPr>
        <w:pStyle w:val="Bulletmfe"/>
      </w:pPr>
      <w:r w:rsidRPr="005373EB">
        <w:t xml:space="preserve">The base projections assume that pricing of agricultural emissions will begin in 2025. Emissions would be charged at a processor level at a 95 per cent discount rate. These assumptions are based on a </w:t>
      </w:r>
      <w:r w:rsidR="00403B06" w:rsidRPr="005373EB">
        <w:t>‘</w:t>
      </w:r>
      <w:r w:rsidRPr="005373EB">
        <w:t>backstop</w:t>
      </w:r>
      <w:r w:rsidR="00403B06" w:rsidRPr="005373EB">
        <w:t>’</w:t>
      </w:r>
      <w:r w:rsidRPr="005373EB">
        <w:t xml:space="preserve"> policy measure to be implemented if the He Waka</w:t>
      </w:r>
      <w:r w:rsidR="000E5455" w:rsidRPr="005373EB">
        <w:t> </w:t>
      </w:r>
      <w:r w:rsidRPr="005373EB">
        <w:t>Eke Noa government</w:t>
      </w:r>
      <w:r w:rsidR="00BE4AA1" w:rsidRPr="005373EB">
        <w:t>–</w:t>
      </w:r>
      <w:r w:rsidRPr="005373EB">
        <w:t>industry partnership does not deliver a cost-effective and implementable alternative pricing method</w:t>
      </w:r>
      <w:r w:rsidR="006905E8" w:rsidRPr="005373EB">
        <w:t>.</w:t>
      </w:r>
    </w:p>
    <w:p w14:paraId="5C23CF71" w14:textId="5B97CD5C" w:rsidR="00655602" w:rsidRPr="005373EB" w:rsidRDefault="1450E0CE" w:rsidP="00C40DA0">
      <w:pPr>
        <w:pStyle w:val="Bulletmfe"/>
      </w:pPr>
      <w:r w:rsidRPr="005373EB">
        <w:t>It has been assumed for the projection modelling that</w:t>
      </w:r>
      <w:r w:rsidR="006905E8" w:rsidRPr="005373EB">
        <w:t>,</w:t>
      </w:r>
      <w:r w:rsidRPr="005373EB">
        <w:t xml:space="preserve"> irrespective of whether agriculture is incorporated through the ETS or an alternative farm-level pricing system, the unit price for carbon emissions will be the same as that for forestry under the ETS.</w:t>
      </w:r>
    </w:p>
    <w:p w14:paraId="01DF2927" w14:textId="015906A5" w:rsidR="00655602" w:rsidRPr="005373EB" w:rsidRDefault="00655602" w:rsidP="000A7B4B">
      <w:pPr>
        <w:pStyle w:val="Heading2"/>
      </w:pPr>
      <w:bookmarkStart w:id="40" w:name="_Toc103773269"/>
      <w:r w:rsidRPr="005373EB">
        <w:t>Forestry</w:t>
      </w:r>
      <w:r w:rsidR="00076854" w:rsidRPr="005373EB">
        <w:t xml:space="preserve"> and other land use</w:t>
      </w:r>
      <w:bookmarkEnd w:id="40"/>
    </w:p>
    <w:p w14:paraId="693A7E34" w14:textId="0C25CE2D" w:rsidR="00655602" w:rsidRPr="005373EB" w:rsidRDefault="00655602" w:rsidP="000E5455">
      <w:pPr>
        <w:pStyle w:val="BodyText"/>
      </w:pPr>
      <w:r w:rsidRPr="005373EB">
        <w:t xml:space="preserve">The quantification of policy impacts for the </w:t>
      </w:r>
      <w:r w:rsidR="002F541D" w:rsidRPr="005373EB">
        <w:t>f</w:t>
      </w:r>
      <w:r w:rsidR="00B91E65" w:rsidRPr="005373EB">
        <w:t>orestry</w:t>
      </w:r>
      <w:r w:rsidRPr="005373EB">
        <w:t xml:space="preserve"> </w:t>
      </w:r>
      <w:r w:rsidR="00076854" w:rsidRPr="005373EB">
        <w:t xml:space="preserve">and other land use </w:t>
      </w:r>
      <w:r w:rsidRPr="005373EB">
        <w:t>sector was undertaken by M</w:t>
      </w:r>
      <w:r w:rsidR="00B91E65" w:rsidRPr="005373EB">
        <w:t>PI</w:t>
      </w:r>
      <w:r w:rsidRPr="005373EB">
        <w:t>.</w:t>
      </w:r>
    </w:p>
    <w:p w14:paraId="55C4C4A3" w14:textId="77777777" w:rsidR="00655602" w:rsidRPr="005373EB" w:rsidRDefault="00655602" w:rsidP="003357F4">
      <w:pPr>
        <w:pStyle w:val="Heading3"/>
        <w:spacing w:before="240" w:after="120"/>
      </w:pPr>
      <w:r w:rsidRPr="005373EB">
        <w:t xml:space="preserve">Policies and measures that have been quantified </w:t>
      </w:r>
    </w:p>
    <w:p w14:paraId="2F48D661" w14:textId="6A07EB35" w:rsidR="007F2B93" w:rsidRPr="005373EB" w:rsidRDefault="007F2B93" w:rsidP="00C40DA0">
      <w:pPr>
        <w:pStyle w:val="Bulletmfe"/>
      </w:pPr>
      <w:r w:rsidRPr="005373EB">
        <w:t xml:space="preserve">ETS price corridor increase and exotic forests are restricted </w:t>
      </w:r>
      <w:r w:rsidR="00057F69" w:rsidRPr="005373EB">
        <w:t xml:space="preserve">from registering </w:t>
      </w:r>
      <w:r w:rsidRPr="005373EB">
        <w:t xml:space="preserve">in the </w:t>
      </w:r>
      <w:r w:rsidR="00DD2614" w:rsidRPr="005373EB">
        <w:t xml:space="preserve">Permanent </w:t>
      </w:r>
      <w:r w:rsidRPr="005373EB">
        <w:t>Post-1989 ETS category (Focus area</w:t>
      </w:r>
      <w:r w:rsidR="002F541D" w:rsidRPr="005373EB">
        <w:t>s</w:t>
      </w:r>
      <w:r w:rsidRPr="005373EB">
        <w:t xml:space="preserve"> 1 and 2)</w:t>
      </w:r>
      <w:r w:rsidR="002F541D" w:rsidRPr="005373EB">
        <w:t>.</w:t>
      </w:r>
    </w:p>
    <w:p w14:paraId="18550821" w14:textId="5DE0EF6D" w:rsidR="007F2B93" w:rsidRPr="005373EB" w:rsidRDefault="007F2B93" w:rsidP="00C40DA0">
      <w:pPr>
        <w:pStyle w:val="Bulletmfe"/>
      </w:pPr>
      <w:r w:rsidRPr="005373EB">
        <w:t xml:space="preserve">ETS price corridor increase and exotic forests are not restricted </w:t>
      </w:r>
      <w:r w:rsidR="00057F69" w:rsidRPr="005373EB">
        <w:t xml:space="preserve">from registering </w:t>
      </w:r>
      <w:r w:rsidRPr="005373EB">
        <w:t xml:space="preserve">in the </w:t>
      </w:r>
      <w:r w:rsidR="00DD2614" w:rsidRPr="005373EB">
        <w:t xml:space="preserve">Permanent </w:t>
      </w:r>
      <w:r w:rsidRPr="005373EB">
        <w:t>Post-1989 ETS category (Focus area</w:t>
      </w:r>
      <w:r w:rsidR="00C65258" w:rsidRPr="005373EB">
        <w:t>s</w:t>
      </w:r>
      <w:r w:rsidRPr="005373EB">
        <w:t xml:space="preserve"> 1 and 2)</w:t>
      </w:r>
      <w:r w:rsidR="00C65258" w:rsidRPr="005373EB">
        <w:t>.</w:t>
      </w:r>
    </w:p>
    <w:p w14:paraId="11259902" w14:textId="2DFB7515" w:rsidR="007F2B93" w:rsidRPr="005373EB" w:rsidRDefault="007F2B93" w:rsidP="00C40DA0">
      <w:pPr>
        <w:pStyle w:val="Bulletmfe"/>
      </w:pPr>
      <w:r w:rsidRPr="005373EB">
        <w:t>Maximising carbon storage: increasing natural sequestration to achieve New Zealand’s future carbon goals Budget 2022 (Focus area</w:t>
      </w:r>
      <w:r w:rsidR="00C65258" w:rsidRPr="005373EB">
        <w:t>s</w:t>
      </w:r>
      <w:r w:rsidRPr="005373EB">
        <w:t xml:space="preserve"> 2 and 3)</w:t>
      </w:r>
      <w:r w:rsidR="00C65258" w:rsidRPr="005373EB">
        <w:t>.</w:t>
      </w:r>
    </w:p>
    <w:p w14:paraId="6A6B8BFC" w14:textId="2E5F548E" w:rsidR="007F2B93" w:rsidRPr="005373EB" w:rsidRDefault="007F2B93" w:rsidP="00C40DA0">
      <w:pPr>
        <w:pStyle w:val="Bulletmfe"/>
      </w:pPr>
      <w:r w:rsidRPr="005373EB">
        <w:t>Native afforestation initiative (Focus area 2)</w:t>
      </w:r>
      <w:r w:rsidR="00C65258" w:rsidRPr="005373EB">
        <w:t>.</w:t>
      </w:r>
    </w:p>
    <w:p w14:paraId="0E8DBD1B" w14:textId="7013A024" w:rsidR="007F2B93" w:rsidRPr="005373EB" w:rsidRDefault="007F2B93" w:rsidP="00C40DA0">
      <w:pPr>
        <w:pStyle w:val="Bulletmfe"/>
      </w:pPr>
      <w:r w:rsidRPr="005373EB">
        <w:t xml:space="preserve">Woody </w:t>
      </w:r>
      <w:r w:rsidR="00C65258" w:rsidRPr="005373EB">
        <w:t>b</w:t>
      </w:r>
      <w:r w:rsidRPr="005373EB">
        <w:t>iomass (Focus area 4).</w:t>
      </w:r>
    </w:p>
    <w:p w14:paraId="68581A77" w14:textId="0A2F1BF2" w:rsidR="00655602" w:rsidRPr="005373EB" w:rsidRDefault="00655602" w:rsidP="003357F4">
      <w:pPr>
        <w:pStyle w:val="Heading3"/>
        <w:spacing w:before="240" w:after="120"/>
      </w:pPr>
      <w:r w:rsidRPr="005373EB">
        <w:t>Key policies and measures already included in the baseline</w:t>
      </w:r>
      <w:r w:rsidR="00C65258" w:rsidRPr="005373EB">
        <w:t> </w:t>
      </w:r>
      <w:r w:rsidRPr="005373EB">
        <w:t>projections</w:t>
      </w:r>
    </w:p>
    <w:p w14:paraId="46C6551E" w14:textId="29A0D57C" w:rsidR="00076854" w:rsidRPr="005373EB" w:rsidRDefault="007F2B93" w:rsidP="00C40DA0">
      <w:pPr>
        <w:pStyle w:val="Bulletmfe"/>
      </w:pPr>
      <w:r w:rsidRPr="005373EB">
        <w:t xml:space="preserve">ETS impact </w:t>
      </w:r>
      <w:r w:rsidR="00C65258" w:rsidRPr="005373EB">
        <w:t>before</w:t>
      </w:r>
      <w:r w:rsidRPr="005373EB">
        <w:t xml:space="preserve"> price corridor increase</w:t>
      </w:r>
      <w:r w:rsidR="00C65258" w:rsidRPr="005373EB">
        <w:t>.</w:t>
      </w:r>
    </w:p>
    <w:p w14:paraId="66110D38" w14:textId="4C8AF120" w:rsidR="00655602" w:rsidRPr="005373EB" w:rsidRDefault="00076854" w:rsidP="00C40DA0">
      <w:pPr>
        <w:pStyle w:val="Bulletmfe"/>
      </w:pPr>
      <w:r w:rsidRPr="005373EB">
        <w:t>One Billion Trees Programme</w:t>
      </w:r>
      <w:r w:rsidR="000E5455" w:rsidRPr="005373EB">
        <w:t>.</w:t>
      </w:r>
      <w:r w:rsidRPr="005373EB">
        <w:rPr>
          <w:rStyle w:val="FootnoteReference"/>
        </w:rPr>
        <w:footnoteReference w:id="16"/>
      </w:r>
    </w:p>
    <w:p w14:paraId="3735160E" w14:textId="3764B337" w:rsidR="00655602" w:rsidRPr="005373EB" w:rsidRDefault="00655602" w:rsidP="00276DDB">
      <w:pPr>
        <w:pStyle w:val="Heading3"/>
      </w:pPr>
      <w:r w:rsidRPr="005373EB">
        <w:t xml:space="preserve">Summary details of modelling approach </w:t>
      </w:r>
      <w:r w:rsidR="00452E09" w:rsidRPr="005373EB">
        <w:br/>
      </w:r>
      <w:r w:rsidRPr="005373EB">
        <w:t>and key assumptions</w:t>
      </w:r>
    </w:p>
    <w:p w14:paraId="51791DB2" w14:textId="77777777" w:rsidR="007F2B93" w:rsidRPr="005373EB" w:rsidRDefault="007F2B93" w:rsidP="00276DDB">
      <w:pPr>
        <w:pStyle w:val="Heading4"/>
        <w:spacing w:before="240" w:after="120"/>
      </w:pPr>
      <w:bookmarkStart w:id="41" w:name="_Forestry_and_other"/>
      <w:bookmarkStart w:id="42" w:name="_Hlk101885920"/>
      <w:bookmarkEnd w:id="41"/>
      <w:r w:rsidRPr="005373EB">
        <w:t>Forestry and other land use baseline projections (June 2021)</w:t>
      </w:r>
    </w:p>
    <w:bookmarkEnd w:id="42"/>
    <w:p w14:paraId="5A624ABC" w14:textId="5B145A89" w:rsidR="007F2B93" w:rsidRPr="005373EB" w:rsidRDefault="007F2B93" w:rsidP="00C40DA0">
      <w:pPr>
        <w:pStyle w:val="Bulletmfe"/>
        <w:rPr>
          <w:rFonts w:eastAsia="Calibri"/>
        </w:rPr>
      </w:pPr>
      <w:r w:rsidRPr="005373EB">
        <w:rPr>
          <w:rFonts w:eastAsia="Calibri"/>
        </w:rPr>
        <w:t xml:space="preserve">Draws on New Zealand’s approach to accounting for </w:t>
      </w:r>
      <w:r w:rsidR="001E1F44" w:rsidRPr="005373EB">
        <w:rPr>
          <w:rFonts w:eastAsia="Calibri"/>
        </w:rPr>
        <w:t xml:space="preserve">the </w:t>
      </w:r>
      <w:r w:rsidRPr="005373EB">
        <w:rPr>
          <w:rFonts w:eastAsia="Calibri"/>
        </w:rPr>
        <w:t xml:space="preserve">forestry and other land use sector as defined in New Zealand’s first Nationally Determined Contribution </w:t>
      </w:r>
      <w:r w:rsidR="00396791" w:rsidRPr="005373EB">
        <w:rPr>
          <w:rFonts w:eastAsia="Calibri"/>
        </w:rPr>
        <w:t>(</w:t>
      </w:r>
      <w:hyperlink r:id="rId19" w:history="1">
        <w:r w:rsidRPr="005373EB">
          <w:rPr>
            <w:rStyle w:val="Hyperlink"/>
            <w:rFonts w:eastAsia="Calibri"/>
          </w:rPr>
          <w:t>www4.unfccc.int/sites/ndcstaging/PublishedDocuments/New%20Zealand%20First/New%20Zealand%20NDC%20November%202021.pdf</w:t>
        </w:r>
      </w:hyperlink>
      <w:r w:rsidR="002D4144" w:rsidRPr="00D95267">
        <w:rPr>
          <w:rStyle w:val="Hyperlink"/>
          <w:rFonts w:eastAsia="Calibri"/>
          <w:color w:val="auto"/>
        </w:rPr>
        <w:t>)</w:t>
      </w:r>
      <w:r w:rsidR="00D95267" w:rsidRPr="00D95267">
        <w:rPr>
          <w:rStyle w:val="Hyperlink"/>
          <w:rFonts w:eastAsia="Calibri"/>
          <w:color w:val="auto"/>
        </w:rPr>
        <w:t>.</w:t>
      </w:r>
    </w:p>
    <w:p w14:paraId="4F40A627" w14:textId="15D47519" w:rsidR="007F2B93" w:rsidRPr="005373EB" w:rsidRDefault="007F2B93" w:rsidP="00C40DA0">
      <w:pPr>
        <w:pStyle w:val="Bulletmfe"/>
        <w:rPr>
          <w:rFonts w:eastAsia="Calibri"/>
        </w:rPr>
      </w:pPr>
      <w:r w:rsidRPr="005373EB">
        <w:rPr>
          <w:rFonts w:eastAsia="Calibri"/>
        </w:rPr>
        <w:t xml:space="preserve">Projections for emissions budgets include sequestration from post-1989 forests up until their long-term average carbon stock and emissions from pre-1990 and post-1989 </w:t>
      </w:r>
      <w:r w:rsidRPr="005373EB">
        <w:rPr>
          <w:rFonts w:eastAsia="Calibri"/>
        </w:rPr>
        <w:lastRenderedPageBreak/>
        <w:t>deforestation activities. For production forests</w:t>
      </w:r>
      <w:r w:rsidR="00B601AE" w:rsidRPr="005373EB">
        <w:rPr>
          <w:rFonts w:eastAsia="Calibri"/>
        </w:rPr>
        <w:t>,</w:t>
      </w:r>
      <w:r w:rsidRPr="005373EB">
        <w:rPr>
          <w:rFonts w:eastAsia="Calibri"/>
        </w:rPr>
        <w:t xml:space="preserve"> the long-term average represents the average amount of carbon sequestered over harvesting and replanting cycles, while for permanent forests this represents the carbon sequestered at maturity.</w:t>
      </w:r>
    </w:p>
    <w:p w14:paraId="04AB48E1" w14:textId="16756E6D" w:rsidR="007F2B93" w:rsidRPr="005373EB" w:rsidRDefault="007F2B93" w:rsidP="00C40DA0">
      <w:pPr>
        <w:pStyle w:val="Bulletmfe"/>
        <w:rPr>
          <w:rFonts w:eastAsia="Calibri"/>
        </w:rPr>
      </w:pPr>
      <w:r w:rsidRPr="005373EB">
        <w:rPr>
          <w:rFonts w:eastAsia="Calibri"/>
        </w:rPr>
        <w:t xml:space="preserve">Emission factors, historical afforestation and deforestation activity data are sourced from the </w:t>
      </w:r>
      <w:r w:rsidR="00834CCA" w:rsidRPr="005373EB">
        <w:rPr>
          <w:rFonts w:eastAsia="Calibri"/>
        </w:rPr>
        <w:t>GHG</w:t>
      </w:r>
      <w:r w:rsidRPr="005373EB">
        <w:rPr>
          <w:rFonts w:eastAsia="Calibri"/>
        </w:rPr>
        <w:t xml:space="preserve"> Inventory 1990</w:t>
      </w:r>
      <w:r w:rsidR="00834CCA" w:rsidRPr="005373EB">
        <w:rPr>
          <w:rFonts w:eastAsia="Calibri"/>
        </w:rPr>
        <w:t>–</w:t>
      </w:r>
      <w:r w:rsidRPr="005373EB">
        <w:rPr>
          <w:rFonts w:eastAsia="Calibri"/>
        </w:rPr>
        <w:t xml:space="preserve">2019. </w:t>
      </w:r>
      <w:r w:rsidR="00076854" w:rsidRPr="005373EB">
        <w:rPr>
          <w:rFonts w:eastAsia="Calibri"/>
        </w:rPr>
        <w:t>Biomass e</w:t>
      </w:r>
      <w:r w:rsidR="77477FBD" w:rsidRPr="005373EB">
        <w:rPr>
          <w:rFonts w:eastAsia="Calibri"/>
        </w:rPr>
        <w:t>missions</w:t>
      </w:r>
      <w:r w:rsidRPr="005373EB">
        <w:rPr>
          <w:rFonts w:eastAsia="Calibri"/>
        </w:rPr>
        <w:t xml:space="preserve"> resulting from deforestation are assumed to occur in the year of conversion. Establishing a new exotic forest will result in a slight source of cumulative emissions for the first </w:t>
      </w:r>
      <w:r w:rsidR="0065427B" w:rsidRPr="005373EB">
        <w:rPr>
          <w:rFonts w:eastAsia="Calibri"/>
        </w:rPr>
        <w:t>four</w:t>
      </w:r>
      <w:r w:rsidRPr="005373EB">
        <w:rPr>
          <w:rFonts w:eastAsia="Calibri"/>
        </w:rPr>
        <w:t xml:space="preserve"> years after planting. This is due to the loss of the previous land use biomass and soil carbon changes. Following a land use change event, the previous land use biomass is emitted in the year of conversion, while soil carbon stocks are estimated to change from the previous land use value to the new land use value over a 20-year period. Native deforestation rates are based on historical trends, while the long-term average carbon stock is based on research completed by Scion in 2020 (</w:t>
      </w:r>
      <w:r w:rsidRPr="00FA0DBC">
        <w:rPr>
          <w:rFonts w:eastAsia="Calibri"/>
          <w:i/>
          <w:iCs/>
        </w:rPr>
        <w:t xml:space="preserve">Reporting New Zealand’s Nationally Determined Contribution under the Paris Agreement using Averaging Accounting for Post-1989 forests, </w:t>
      </w:r>
      <w:r w:rsidRPr="00CD670C">
        <w:rPr>
          <w:rFonts w:eastAsia="Calibri"/>
        </w:rPr>
        <w:t>May 2020</w:t>
      </w:r>
      <w:r w:rsidRPr="005373EB">
        <w:rPr>
          <w:rFonts w:eastAsia="Calibri"/>
        </w:rPr>
        <w:t>).</w:t>
      </w:r>
    </w:p>
    <w:p w14:paraId="33B14B16" w14:textId="337B9ADB" w:rsidR="007F2B93" w:rsidRPr="005373EB" w:rsidRDefault="007F2B93" w:rsidP="00C40DA0">
      <w:pPr>
        <w:pStyle w:val="Bulletmfe"/>
        <w:rPr>
          <w:rFonts w:eastAsia="Calibri"/>
        </w:rPr>
      </w:pPr>
      <w:r w:rsidRPr="005373EB">
        <w:rPr>
          <w:rFonts w:eastAsia="Calibri"/>
        </w:rPr>
        <w:t xml:space="preserve">The June 2021 base projections source future afforestation and exotic deforestation rates from the </w:t>
      </w:r>
      <w:r w:rsidRPr="00FA0DBC">
        <w:rPr>
          <w:rFonts w:eastAsia="Calibri"/>
          <w:i/>
          <w:iCs/>
        </w:rPr>
        <w:t xml:space="preserve">Afforestation and Deforestation Intentions Survey Report </w:t>
      </w:r>
      <w:r w:rsidR="002147C2" w:rsidRPr="00FA0DBC">
        <w:rPr>
          <w:rFonts w:eastAsia="Calibri"/>
          <w:i/>
          <w:iCs/>
        </w:rPr>
        <w:t>2020</w:t>
      </w:r>
      <w:r w:rsidR="00D45E2B">
        <w:rPr>
          <w:rFonts w:eastAsia="Calibri"/>
          <w:i/>
          <w:iCs/>
        </w:rPr>
        <w:t>.</w:t>
      </w:r>
      <w:r w:rsidR="002147C2" w:rsidRPr="005373EB">
        <w:rPr>
          <w:rFonts w:eastAsia="Calibri"/>
        </w:rPr>
        <w:t xml:space="preserve"> </w:t>
      </w:r>
      <w:r w:rsidR="00396791" w:rsidRPr="005373EB">
        <w:rPr>
          <w:rFonts w:eastAsia="Calibri"/>
        </w:rPr>
        <w:t>(</w:t>
      </w:r>
      <w:hyperlink r:id="rId20" w:history="1">
        <w:r w:rsidR="00396791" w:rsidRPr="005373EB">
          <w:rPr>
            <w:rStyle w:val="Hyperlink"/>
            <w:rFonts w:eastAsia="Calibri"/>
          </w:rPr>
          <w:t>www.mpi.govt.nz/dmsdocument/46564-Afforestation-and-Deforestation-Intentions-Survey-2020</w:t>
        </w:r>
      </w:hyperlink>
      <w:r w:rsidR="00396791" w:rsidRPr="005373EB">
        <w:rPr>
          <w:rFonts w:eastAsia="Calibri"/>
        </w:rPr>
        <w:t>)</w:t>
      </w:r>
      <w:r w:rsidRPr="005373EB">
        <w:rPr>
          <w:rFonts w:eastAsia="Calibri"/>
        </w:rPr>
        <w:t>.</w:t>
      </w:r>
    </w:p>
    <w:p w14:paraId="44E193A3" w14:textId="19CF3C94" w:rsidR="007F2B93" w:rsidRPr="005373EB" w:rsidRDefault="007F2B93" w:rsidP="00C40DA0">
      <w:pPr>
        <w:pStyle w:val="BodyText"/>
      </w:pPr>
      <w:r w:rsidRPr="005373EB">
        <w:t xml:space="preserve">The June 2021 baseline projections do not reflect potential emissions reductions from policies that are currently under consideration. These policies are likely to </w:t>
      </w:r>
      <w:r w:rsidR="008C7CA9" w:rsidRPr="005373EB">
        <w:t xml:space="preserve">affect </w:t>
      </w:r>
      <w:r w:rsidRPr="005373EB">
        <w:t>land</w:t>
      </w:r>
      <w:r w:rsidR="00D95267">
        <w:t xml:space="preserve"> </w:t>
      </w:r>
      <w:r w:rsidRPr="005373EB">
        <w:t>use decisions, including the scale and location of land use change, which also has strong interdependencies with emissions pricing.</w:t>
      </w:r>
    </w:p>
    <w:p w14:paraId="1CE9B34D" w14:textId="29D7EAB1" w:rsidR="007F2B93" w:rsidRPr="005373EB" w:rsidRDefault="00076854" w:rsidP="00C40DA0">
      <w:pPr>
        <w:pStyle w:val="BodyText"/>
      </w:pPr>
      <w:r w:rsidRPr="005373EB">
        <w:t>Projections are by their nature uncertain. Lower, central and upper projection scenarios have</w:t>
      </w:r>
      <w:r w:rsidR="00C40DA0">
        <w:t xml:space="preserve"> </w:t>
      </w:r>
      <w:r w:rsidRPr="005373EB">
        <w:t>been modelled to reflect this uncertainty</w:t>
      </w:r>
      <w:r w:rsidR="00B814F4" w:rsidRPr="005373EB">
        <w:t>.</w:t>
      </w:r>
      <w:r w:rsidRPr="005373EB">
        <w:rPr>
          <w:vertAlign w:val="superscript"/>
        </w:rPr>
        <w:footnoteReference w:id="17"/>
      </w:r>
      <w:r w:rsidRPr="005373EB">
        <w:t xml:space="preserve"> </w:t>
      </w:r>
      <w:r w:rsidR="007F2B93" w:rsidRPr="005373EB">
        <w:t>The upper removals scenario assumes average afforestation rates of around 44,000 hectares per year from 2020–50, and low deforestation rates. The central removal projection assumes average afforestation rates of around 35,000</w:t>
      </w:r>
      <w:r w:rsidR="00CE2BAB" w:rsidRPr="005373EB">
        <w:t> </w:t>
      </w:r>
      <w:r w:rsidR="007F2B93" w:rsidRPr="005373EB">
        <w:t>hectares per year from 2020–50, and deforestation rates declining to around 750</w:t>
      </w:r>
      <w:r w:rsidR="004F4060" w:rsidRPr="005373EB">
        <w:t> </w:t>
      </w:r>
      <w:r w:rsidR="007F2B93" w:rsidRPr="005373EB">
        <w:t>hectares per year by 2050. The lower removals scenario assumes average afforestation rates around 24,000</w:t>
      </w:r>
      <w:r w:rsidR="000E5455" w:rsidRPr="005373EB">
        <w:t> </w:t>
      </w:r>
      <w:r w:rsidR="007F2B93" w:rsidRPr="005373EB">
        <w:t>hectares per year from 2020–50, and higher deforestation rates.</w:t>
      </w:r>
    </w:p>
    <w:p w14:paraId="0B363570" w14:textId="67028BC6" w:rsidR="00FA04F5" w:rsidRPr="005373EB" w:rsidRDefault="00FA04F5" w:rsidP="00276DDB">
      <w:pPr>
        <w:pStyle w:val="Heading5"/>
        <w:spacing w:after="120"/>
      </w:pPr>
      <w:bookmarkStart w:id="43" w:name="_ETS_price_corridor"/>
      <w:bookmarkStart w:id="44" w:name="_Hlk102419210"/>
      <w:bookmarkEnd w:id="43"/>
      <w:r w:rsidRPr="005373EB">
        <w:t xml:space="preserve">ETS price corridor increase and exotic forests are restricted </w:t>
      </w:r>
      <w:r w:rsidR="00551CEE" w:rsidRPr="005373EB">
        <w:t xml:space="preserve">from registering </w:t>
      </w:r>
      <w:r w:rsidRPr="005373EB">
        <w:t xml:space="preserve">in the </w:t>
      </w:r>
      <w:r w:rsidR="00C81CAF" w:rsidRPr="005373EB">
        <w:t xml:space="preserve">Permanent </w:t>
      </w:r>
      <w:r w:rsidRPr="005373EB">
        <w:t>Post</w:t>
      </w:r>
      <w:r w:rsidR="00F95C89" w:rsidRPr="005373EB">
        <w:noBreakHyphen/>
      </w:r>
      <w:r w:rsidRPr="005373EB">
        <w:t>1989 ETS category</w:t>
      </w:r>
    </w:p>
    <w:bookmarkEnd w:id="44"/>
    <w:p w14:paraId="39ACBEF6" w14:textId="0EC5711C" w:rsidR="00FA04F5" w:rsidRPr="005373EB" w:rsidRDefault="00FA04F5" w:rsidP="00C40DA0">
      <w:pPr>
        <w:pStyle w:val="Bulletmfe"/>
        <w:rPr>
          <w:rFonts w:eastAsia="Calibri"/>
        </w:rPr>
      </w:pPr>
      <w:r w:rsidRPr="005373EB">
        <w:rPr>
          <w:rFonts w:eastAsia="Calibri"/>
        </w:rPr>
        <w:t xml:space="preserve">As </w:t>
      </w:r>
      <w:r w:rsidR="00012CFD" w:rsidRPr="005373EB">
        <w:rPr>
          <w:rFonts w:eastAsia="Calibri"/>
        </w:rPr>
        <w:t xml:space="preserve">in </w:t>
      </w:r>
      <w:r w:rsidR="00BE1C04" w:rsidRPr="005373EB">
        <w:rPr>
          <w:rFonts w:eastAsia="Calibri"/>
        </w:rPr>
        <w:t xml:space="preserve">the </w:t>
      </w:r>
      <w:r w:rsidR="00612FFD" w:rsidRPr="005373EB">
        <w:rPr>
          <w:rFonts w:eastAsia="Calibri"/>
        </w:rPr>
        <w:t xml:space="preserve">first three bullets of </w:t>
      </w:r>
      <w:r w:rsidR="00BE1C04" w:rsidRPr="005373EB">
        <w:rPr>
          <w:rFonts w:eastAsia="Calibri"/>
        </w:rPr>
        <w:t xml:space="preserve">the </w:t>
      </w:r>
      <w:r w:rsidR="00612FFD" w:rsidRPr="005373EB">
        <w:rPr>
          <w:rFonts w:eastAsia="Calibri"/>
        </w:rPr>
        <w:t>‘</w:t>
      </w:r>
      <w:hyperlink w:anchor="_Forestry_and_other" w:history="1">
        <w:r w:rsidR="00612FFD" w:rsidRPr="00FA0DBC">
          <w:rPr>
            <w:rStyle w:val="Hyperlink"/>
            <w:rFonts w:eastAsia="Calibri"/>
          </w:rPr>
          <w:t>Forestry and other land use baseline projections (June 2021)</w:t>
        </w:r>
      </w:hyperlink>
      <w:r w:rsidR="00612FFD" w:rsidRPr="005373EB">
        <w:rPr>
          <w:rFonts w:eastAsia="Calibri"/>
        </w:rPr>
        <w:t>’ section above</w:t>
      </w:r>
      <w:r w:rsidR="006060C1" w:rsidRPr="005373EB">
        <w:rPr>
          <w:rFonts w:eastAsia="Calibri"/>
        </w:rPr>
        <w:t>.</w:t>
      </w:r>
    </w:p>
    <w:p w14:paraId="710D0239" w14:textId="0AAA4BEA" w:rsidR="00FA04F5" w:rsidRPr="005373EB" w:rsidRDefault="00FA04F5" w:rsidP="00C40DA0">
      <w:pPr>
        <w:pStyle w:val="Bulletmfe"/>
        <w:rPr>
          <w:rFonts w:eastAsia="Calibri"/>
        </w:rPr>
      </w:pPr>
      <w:r w:rsidRPr="005373EB">
        <w:rPr>
          <w:rFonts w:eastAsia="Calibri"/>
        </w:rPr>
        <w:t xml:space="preserve">Assumes new policy to restrict exotic forests </w:t>
      </w:r>
      <w:r w:rsidR="00C27F7E" w:rsidRPr="005373EB">
        <w:rPr>
          <w:rFonts w:eastAsia="Calibri"/>
        </w:rPr>
        <w:t xml:space="preserve">registering </w:t>
      </w:r>
      <w:r w:rsidRPr="005373EB">
        <w:rPr>
          <w:rFonts w:eastAsia="Calibri"/>
        </w:rPr>
        <w:t xml:space="preserve">in </w:t>
      </w:r>
      <w:r w:rsidRPr="005373EB" w:rsidDel="00E93C8B">
        <w:rPr>
          <w:rFonts w:eastAsia="Calibri"/>
        </w:rPr>
        <w:t xml:space="preserve">the </w:t>
      </w:r>
      <w:r w:rsidRPr="005373EB">
        <w:rPr>
          <w:rFonts w:eastAsia="Calibri"/>
        </w:rPr>
        <w:t>P</w:t>
      </w:r>
      <w:r w:rsidRPr="005373EB" w:rsidDel="00E93C8B">
        <w:rPr>
          <w:rFonts w:eastAsia="Calibri"/>
        </w:rPr>
        <w:t xml:space="preserve">ermanent </w:t>
      </w:r>
      <w:r w:rsidRPr="005373EB">
        <w:rPr>
          <w:rFonts w:eastAsia="Calibri"/>
        </w:rPr>
        <w:t>Post-1989 ETS</w:t>
      </w:r>
      <w:r w:rsidR="00F95C89" w:rsidRPr="005373EB">
        <w:rPr>
          <w:rFonts w:eastAsia="Calibri"/>
        </w:rPr>
        <w:t> </w:t>
      </w:r>
      <w:r w:rsidRPr="005373EB">
        <w:rPr>
          <w:rFonts w:eastAsia="Calibri"/>
        </w:rPr>
        <w:t xml:space="preserve">category from 2023 (ie, no exceptions </w:t>
      </w:r>
      <w:r w:rsidR="00441044" w:rsidRPr="005373EB">
        <w:rPr>
          <w:rFonts w:eastAsia="Calibri"/>
        </w:rPr>
        <w:t xml:space="preserve">are made </w:t>
      </w:r>
      <w:r w:rsidRPr="005373EB">
        <w:rPr>
          <w:rFonts w:eastAsia="Calibri"/>
        </w:rPr>
        <w:t>for exotic species</w:t>
      </w:r>
      <w:r w:rsidRPr="005373EB">
        <w:rPr>
          <w:vertAlign w:val="superscript"/>
        </w:rPr>
        <w:footnoteReference w:id="18"/>
      </w:r>
      <w:r w:rsidRPr="005373EB">
        <w:rPr>
          <w:rFonts w:eastAsia="Calibri"/>
        </w:rPr>
        <w:t xml:space="preserve"> and natives are</w:t>
      </w:r>
      <w:r w:rsidR="00F95C89" w:rsidRPr="005373EB">
        <w:rPr>
          <w:rFonts w:eastAsia="Calibri"/>
        </w:rPr>
        <w:t> </w:t>
      </w:r>
      <w:r w:rsidRPr="005373EB">
        <w:rPr>
          <w:rFonts w:eastAsia="Calibri"/>
        </w:rPr>
        <w:t xml:space="preserve">included). </w:t>
      </w:r>
    </w:p>
    <w:p w14:paraId="75FD5EB4" w14:textId="403AA695" w:rsidR="00441044" w:rsidRPr="00FA0DBC" w:rsidRDefault="00FA04F5" w:rsidP="00C40DA0">
      <w:pPr>
        <w:pStyle w:val="Bulletmfe"/>
        <w:rPr>
          <w:rStyle w:val="Hyperlink"/>
          <w:rFonts w:eastAsia="Calibri"/>
          <w:color w:val="auto"/>
        </w:rPr>
      </w:pPr>
      <w:r w:rsidRPr="005373EB">
        <w:rPr>
          <w:rFonts w:eastAsia="Calibri"/>
        </w:rPr>
        <w:t xml:space="preserve">Assumes the ETS price corridor and an increased carbon price incentive to establish exotic production and native forests. The impact of the price corridor and higher carbon prices </w:t>
      </w:r>
      <w:r w:rsidRPr="005373EB">
        <w:rPr>
          <w:rFonts w:eastAsia="Calibri"/>
        </w:rPr>
        <w:lastRenderedPageBreak/>
        <w:t xml:space="preserve">on afforestation rates is drawn from the 2021 </w:t>
      </w:r>
      <w:r w:rsidRPr="00FA0DBC">
        <w:rPr>
          <w:rFonts w:eastAsia="Calibri"/>
          <w:i/>
          <w:iCs/>
        </w:rPr>
        <w:t>Afforestation Economic Modelling Report</w:t>
      </w:r>
      <w:r w:rsidRPr="005373EB">
        <w:rPr>
          <w:rFonts w:eastAsia="Calibri"/>
        </w:rPr>
        <w:t xml:space="preserve"> </w:t>
      </w:r>
      <w:r w:rsidR="00396791" w:rsidRPr="005373EB">
        <w:rPr>
          <w:rFonts w:eastAsia="Calibri"/>
        </w:rPr>
        <w:t>(</w:t>
      </w:r>
      <w:hyperlink r:id="rId21" w:history="1">
        <w:r w:rsidR="00396791" w:rsidRPr="005373EB">
          <w:rPr>
            <w:rStyle w:val="Hyperlink"/>
            <w:rFonts w:eastAsia="Calibri"/>
          </w:rPr>
          <w:t>www.mpi.govt.nz/dmsdocument/50302-Afforestation-Economic-Modelling-Report</w:t>
        </w:r>
      </w:hyperlink>
      <w:r w:rsidR="00396791" w:rsidRPr="005373EB">
        <w:rPr>
          <w:rFonts w:eastAsia="Calibri"/>
        </w:rPr>
        <w:t>)</w:t>
      </w:r>
      <w:r w:rsidR="00F7218D" w:rsidRPr="005373EB">
        <w:rPr>
          <w:rFonts w:eastAsia="Calibri"/>
        </w:rPr>
        <w:t>.</w:t>
      </w:r>
    </w:p>
    <w:p w14:paraId="7027A534" w14:textId="5EB10FE9" w:rsidR="00FA04F5" w:rsidRPr="005373EB" w:rsidRDefault="00FA04F5" w:rsidP="00C40DA0">
      <w:pPr>
        <w:pStyle w:val="Bulletmfe"/>
        <w:rPr>
          <w:rFonts w:eastAsia="Calibri"/>
        </w:rPr>
      </w:pPr>
      <w:r w:rsidRPr="005373EB">
        <w:rPr>
          <w:rFonts w:eastAsia="Calibri"/>
        </w:rPr>
        <w:t>Depending on the carbon price</w:t>
      </w:r>
      <w:r w:rsidR="00F7218D" w:rsidRPr="005373EB">
        <w:rPr>
          <w:rFonts w:eastAsia="Calibri"/>
        </w:rPr>
        <w:t>,</w:t>
      </w:r>
      <w:r w:rsidRPr="005373EB">
        <w:rPr>
          <w:rFonts w:eastAsia="Calibri"/>
        </w:rPr>
        <w:t xml:space="preserve"> exotic afforestation rates potentially ranging between 0.76 </w:t>
      </w:r>
      <w:r w:rsidR="00F7218D" w:rsidRPr="005373EB">
        <w:rPr>
          <w:rFonts w:eastAsia="Calibri"/>
        </w:rPr>
        <w:t xml:space="preserve">million hectares </w:t>
      </w:r>
      <w:r w:rsidRPr="005373EB">
        <w:rPr>
          <w:rFonts w:eastAsia="Calibri"/>
        </w:rPr>
        <w:t>to 1.6 million hectares over 2022–50.</w:t>
      </w:r>
    </w:p>
    <w:p w14:paraId="72258AEA" w14:textId="7ADAD8C8" w:rsidR="00FA04F5" w:rsidRPr="005373EB" w:rsidRDefault="00FA04F5" w:rsidP="00C40DA0">
      <w:pPr>
        <w:pStyle w:val="Bulletmfe"/>
        <w:rPr>
          <w:rFonts w:eastAsia="Calibri"/>
        </w:rPr>
      </w:pPr>
      <w:r w:rsidRPr="005373EB">
        <w:rPr>
          <w:rFonts w:eastAsia="Calibri"/>
        </w:rPr>
        <w:t xml:space="preserve">Depending on the carbon price and whether a start-up grant is available, native forest establishment rates are projected to range between 330,000 </w:t>
      </w:r>
      <w:r w:rsidR="005A3A80" w:rsidRPr="005373EB">
        <w:rPr>
          <w:rFonts w:eastAsia="Calibri"/>
        </w:rPr>
        <w:t xml:space="preserve">hectares </w:t>
      </w:r>
      <w:r w:rsidRPr="005373EB">
        <w:rPr>
          <w:rFonts w:eastAsia="Calibri"/>
        </w:rPr>
        <w:t>to 430,000 hectares over 2022</w:t>
      </w:r>
      <w:r w:rsidR="005A3A80" w:rsidRPr="005373EB">
        <w:rPr>
          <w:rFonts w:eastAsia="Calibri"/>
        </w:rPr>
        <w:t>–</w:t>
      </w:r>
      <w:r w:rsidRPr="005373EB">
        <w:rPr>
          <w:rFonts w:eastAsia="Calibri"/>
        </w:rPr>
        <w:t>50. Assumes deforestation levels as per base projection scenarios.</w:t>
      </w:r>
    </w:p>
    <w:p w14:paraId="44C1027F" w14:textId="12A13F8D" w:rsidR="00655602" w:rsidRPr="005373EB" w:rsidRDefault="00FA04F5" w:rsidP="00C40DA0">
      <w:pPr>
        <w:pStyle w:val="Bulletmfe"/>
        <w:rPr>
          <w:rFonts w:eastAsia="Calibri"/>
        </w:rPr>
      </w:pPr>
      <w:r w:rsidRPr="005373EB">
        <w:rPr>
          <w:rFonts w:eastAsia="Calibri"/>
        </w:rPr>
        <w:t xml:space="preserve">The 2021 </w:t>
      </w:r>
      <w:r w:rsidRPr="00FA0DBC">
        <w:rPr>
          <w:rFonts w:eastAsia="Calibri"/>
          <w:i/>
          <w:iCs/>
        </w:rPr>
        <w:t>Afforestation Economic Modelling Report</w:t>
      </w:r>
      <w:r w:rsidRPr="005373EB">
        <w:rPr>
          <w:rFonts w:eastAsia="Calibri"/>
        </w:rPr>
        <w:t xml:space="preserve"> notes that</w:t>
      </w:r>
      <w:r w:rsidR="005A3A80" w:rsidRPr="005373EB">
        <w:rPr>
          <w:rFonts w:eastAsia="Calibri"/>
        </w:rPr>
        <w:t>,</w:t>
      </w:r>
      <w:r w:rsidRPr="005373EB">
        <w:rPr>
          <w:rFonts w:eastAsia="Calibri"/>
        </w:rPr>
        <w:t xml:space="preserve"> given the economic assumptions, the modelling is likely skewed towards greater rates of native afforestation, and the forecasts are likely to systematically over-estimate the native afforestation response to </w:t>
      </w:r>
      <w:r w:rsidR="004D0973" w:rsidRPr="005373EB">
        <w:rPr>
          <w:rFonts w:eastAsia="Calibri"/>
        </w:rPr>
        <w:t xml:space="preserve">the </w:t>
      </w:r>
      <w:r w:rsidRPr="005373EB">
        <w:rPr>
          <w:rFonts w:eastAsia="Calibri"/>
        </w:rPr>
        <w:t xml:space="preserve">carbon price. The modelling also does not consider the complex interaction between supply and demand for </w:t>
      </w:r>
      <w:r w:rsidR="002100B9" w:rsidRPr="005373EB">
        <w:rPr>
          <w:rFonts w:eastAsia="Calibri"/>
        </w:rPr>
        <w:t>New Zealand Units</w:t>
      </w:r>
      <w:r w:rsidRPr="005373EB">
        <w:rPr>
          <w:rFonts w:eastAsia="Calibri"/>
        </w:rPr>
        <w:t xml:space="preserve">, which will </w:t>
      </w:r>
      <w:r w:rsidR="002100B9" w:rsidRPr="005373EB">
        <w:rPr>
          <w:rFonts w:eastAsia="Calibri"/>
        </w:rPr>
        <w:t xml:space="preserve">affect </w:t>
      </w:r>
      <w:r w:rsidRPr="005373EB">
        <w:rPr>
          <w:rFonts w:eastAsia="Calibri"/>
        </w:rPr>
        <w:t>the future carbon price and, therefore, afforestation response. The modelling assumes land</w:t>
      </w:r>
      <w:r w:rsidR="002100B9" w:rsidRPr="005373EB">
        <w:rPr>
          <w:rFonts w:eastAsia="Calibri"/>
        </w:rPr>
        <w:t> </w:t>
      </w:r>
      <w:r w:rsidRPr="005373EB">
        <w:rPr>
          <w:rFonts w:eastAsia="Calibri"/>
        </w:rPr>
        <w:t xml:space="preserve">owners make the most economically </w:t>
      </w:r>
      <w:r w:rsidR="008952B7">
        <w:rPr>
          <w:rFonts w:eastAsia="Calibri"/>
        </w:rPr>
        <w:t>rational</w:t>
      </w:r>
      <w:r w:rsidR="008952B7" w:rsidRPr="005373EB">
        <w:rPr>
          <w:rFonts w:eastAsia="Calibri"/>
        </w:rPr>
        <w:t xml:space="preserve"> </w:t>
      </w:r>
      <w:r w:rsidRPr="005373EB">
        <w:rPr>
          <w:rFonts w:eastAsia="Calibri"/>
        </w:rPr>
        <w:t>decision</w:t>
      </w:r>
      <w:r w:rsidR="00EE41E2" w:rsidRPr="005373EB">
        <w:rPr>
          <w:rFonts w:eastAsia="Calibri"/>
        </w:rPr>
        <w:t>s</w:t>
      </w:r>
      <w:r w:rsidRPr="005373EB">
        <w:rPr>
          <w:rFonts w:eastAsia="Calibri"/>
        </w:rPr>
        <w:t xml:space="preserve">, and no constraints </w:t>
      </w:r>
      <w:r w:rsidR="00EE41E2" w:rsidRPr="005373EB">
        <w:rPr>
          <w:rFonts w:eastAsia="Calibri"/>
        </w:rPr>
        <w:t xml:space="preserve">exist </w:t>
      </w:r>
      <w:r w:rsidRPr="005373EB">
        <w:rPr>
          <w:rFonts w:eastAsia="Calibri"/>
        </w:rPr>
        <w:t>to afforestation (seedlings, planting crews, land-owner preference</w:t>
      </w:r>
      <w:r w:rsidR="00D95267">
        <w:rPr>
          <w:rFonts w:eastAsia="Calibri"/>
        </w:rPr>
        <w:t xml:space="preserve"> etc</w:t>
      </w:r>
      <w:r w:rsidRPr="005373EB">
        <w:rPr>
          <w:rFonts w:eastAsia="Calibri"/>
        </w:rPr>
        <w:t>).</w:t>
      </w:r>
    </w:p>
    <w:p w14:paraId="56ED434D" w14:textId="2436C57C" w:rsidR="00FA04F5" w:rsidRPr="005373EB" w:rsidRDefault="00FA04F5" w:rsidP="00F95C89">
      <w:pPr>
        <w:pStyle w:val="Heading5"/>
        <w:spacing w:after="120"/>
      </w:pPr>
      <w:r w:rsidRPr="005373EB">
        <w:t xml:space="preserve">ETS price corridor increase and exotics are not restricted </w:t>
      </w:r>
      <w:r w:rsidR="00855DBC" w:rsidRPr="005373EB">
        <w:t>from regis</w:t>
      </w:r>
      <w:r w:rsidR="0046414C" w:rsidRPr="005373EB">
        <w:t xml:space="preserve">tering </w:t>
      </w:r>
      <w:r w:rsidRPr="005373EB">
        <w:t>in the Permanent Post-1989 ETS category</w:t>
      </w:r>
    </w:p>
    <w:p w14:paraId="77EA9010" w14:textId="48CB2AEF" w:rsidR="00612FFD" w:rsidRPr="005373EB" w:rsidRDefault="00612FFD" w:rsidP="00C40DA0">
      <w:pPr>
        <w:pStyle w:val="Bulletmfe"/>
        <w:rPr>
          <w:rFonts w:eastAsia="Calibri"/>
          <w:i/>
          <w:iCs/>
        </w:rPr>
      </w:pPr>
      <w:r w:rsidRPr="005373EB">
        <w:rPr>
          <w:rFonts w:eastAsia="Calibri"/>
        </w:rPr>
        <w:t xml:space="preserve">As </w:t>
      </w:r>
      <w:r w:rsidR="00252B52" w:rsidRPr="005373EB">
        <w:rPr>
          <w:rFonts w:eastAsia="Calibri"/>
        </w:rPr>
        <w:t xml:space="preserve">in </w:t>
      </w:r>
      <w:r w:rsidR="00BE1C04" w:rsidRPr="005373EB">
        <w:rPr>
          <w:rFonts w:eastAsia="Calibri"/>
        </w:rPr>
        <w:t xml:space="preserve">the </w:t>
      </w:r>
      <w:r w:rsidRPr="005373EB">
        <w:rPr>
          <w:rFonts w:eastAsia="Calibri"/>
        </w:rPr>
        <w:t xml:space="preserve">first three bullets of </w:t>
      </w:r>
      <w:r w:rsidR="00BE1C04" w:rsidRPr="005373EB">
        <w:rPr>
          <w:rFonts w:eastAsia="Calibri"/>
        </w:rPr>
        <w:t xml:space="preserve">the </w:t>
      </w:r>
      <w:r w:rsidRPr="005373EB">
        <w:rPr>
          <w:rFonts w:eastAsia="Calibri"/>
        </w:rPr>
        <w:t>‘</w:t>
      </w:r>
      <w:hyperlink w:anchor="_Forestry_and_other" w:history="1">
        <w:r w:rsidRPr="00FA0DBC">
          <w:rPr>
            <w:rStyle w:val="Hyperlink"/>
            <w:rFonts w:eastAsia="Calibri"/>
          </w:rPr>
          <w:t>Forestry and other land use baseline projections (June 2021)</w:t>
        </w:r>
      </w:hyperlink>
      <w:r w:rsidRPr="00FA0DBC">
        <w:rPr>
          <w:rFonts w:eastAsia="Calibri"/>
        </w:rPr>
        <w:t>’</w:t>
      </w:r>
      <w:r w:rsidRPr="005373EB">
        <w:rPr>
          <w:rFonts w:eastAsia="Calibri"/>
          <w:i/>
          <w:iCs/>
        </w:rPr>
        <w:t xml:space="preserve"> </w:t>
      </w:r>
      <w:r w:rsidRPr="005373EB">
        <w:rPr>
          <w:rFonts w:eastAsia="Calibri"/>
        </w:rPr>
        <w:t>section above</w:t>
      </w:r>
      <w:r w:rsidR="00396791" w:rsidRPr="005373EB">
        <w:rPr>
          <w:rFonts w:eastAsia="Calibri"/>
        </w:rPr>
        <w:t>.</w:t>
      </w:r>
    </w:p>
    <w:p w14:paraId="2C9C98D1" w14:textId="45BF3E0F" w:rsidR="00FA04F5" w:rsidRPr="005373EB" w:rsidRDefault="0046414C" w:rsidP="00C40DA0">
      <w:pPr>
        <w:pStyle w:val="Bulletmfe"/>
        <w:rPr>
          <w:rFonts w:eastAsia="Calibri"/>
        </w:rPr>
      </w:pPr>
      <w:r w:rsidRPr="005373EB">
        <w:rPr>
          <w:rFonts w:eastAsia="Calibri"/>
        </w:rPr>
        <w:t>E</w:t>
      </w:r>
      <w:r w:rsidR="00FA04F5" w:rsidRPr="005373EB">
        <w:rPr>
          <w:rFonts w:eastAsia="Calibri"/>
        </w:rPr>
        <w:t xml:space="preserve">xotic forests are not restricted from </w:t>
      </w:r>
      <w:r w:rsidRPr="005373EB">
        <w:rPr>
          <w:rFonts w:eastAsia="Calibri"/>
        </w:rPr>
        <w:t xml:space="preserve">registering in </w:t>
      </w:r>
      <w:r w:rsidR="00FA04F5" w:rsidRPr="005373EB">
        <w:rPr>
          <w:rFonts w:eastAsia="Calibri"/>
        </w:rPr>
        <w:t>the P</w:t>
      </w:r>
      <w:r w:rsidR="00FA04F5" w:rsidRPr="005373EB" w:rsidDel="00E93C8B">
        <w:rPr>
          <w:rFonts w:eastAsia="Calibri"/>
        </w:rPr>
        <w:t xml:space="preserve">ermanent </w:t>
      </w:r>
      <w:r w:rsidR="00FA04F5" w:rsidRPr="005373EB">
        <w:rPr>
          <w:rFonts w:eastAsia="Calibri"/>
        </w:rPr>
        <w:t>Post-1989 ETS category from 2023.</w:t>
      </w:r>
    </w:p>
    <w:p w14:paraId="12EE7173" w14:textId="093445D6" w:rsidR="00FA04F5" w:rsidRPr="005373EB" w:rsidRDefault="00FA04F5" w:rsidP="00C40DA0">
      <w:pPr>
        <w:pStyle w:val="Bulletmfe"/>
        <w:rPr>
          <w:rFonts w:eastAsia="Calibri"/>
        </w:rPr>
      </w:pPr>
      <w:r w:rsidRPr="005373EB">
        <w:rPr>
          <w:rFonts w:eastAsia="Calibri"/>
        </w:rPr>
        <w:t xml:space="preserve">Assumes the ETS price corridor and an increased carbon price incentive to establish exotic permanent, production and native forests. The impact of the price corridor and higher carbon prices on afforestation rates is drawn from the </w:t>
      </w:r>
      <w:r w:rsidRPr="00FA0DBC">
        <w:rPr>
          <w:rFonts w:eastAsia="Calibri"/>
        </w:rPr>
        <w:t xml:space="preserve">2021 </w:t>
      </w:r>
      <w:r w:rsidRPr="005373EB">
        <w:rPr>
          <w:rFonts w:eastAsia="Calibri"/>
          <w:i/>
          <w:iCs/>
        </w:rPr>
        <w:t>Afforestation Economic Modelling Report</w:t>
      </w:r>
      <w:r w:rsidRPr="005373EB">
        <w:rPr>
          <w:rFonts w:eastAsia="Calibri"/>
        </w:rPr>
        <w:t xml:space="preserve"> </w:t>
      </w:r>
      <w:r w:rsidR="002D4144" w:rsidRPr="005373EB">
        <w:rPr>
          <w:rFonts w:eastAsia="Calibri"/>
        </w:rPr>
        <w:t>(</w:t>
      </w:r>
      <w:hyperlink r:id="rId22" w:history="1">
        <w:r w:rsidR="002D4144" w:rsidRPr="005373EB">
          <w:rPr>
            <w:rStyle w:val="Hyperlink"/>
            <w:rFonts w:eastAsia="Calibri"/>
          </w:rPr>
          <w:t>www.mpi.govt.nz/dmsdocument/50302-Afforestation-Economic-Modelling-Report</w:t>
        </w:r>
      </w:hyperlink>
      <w:r w:rsidR="002D4144" w:rsidRPr="005373EB">
        <w:rPr>
          <w:rFonts w:eastAsia="Calibri"/>
        </w:rPr>
        <w:t>).</w:t>
      </w:r>
    </w:p>
    <w:p w14:paraId="6082F9DB" w14:textId="06682BEC" w:rsidR="00FA04F5" w:rsidRPr="005373EB" w:rsidRDefault="00FA04F5" w:rsidP="00C40DA0">
      <w:pPr>
        <w:pStyle w:val="Bulletmfe"/>
        <w:rPr>
          <w:rFonts w:eastAsia="Calibri"/>
        </w:rPr>
      </w:pPr>
      <w:r w:rsidRPr="005373EB">
        <w:rPr>
          <w:rFonts w:eastAsia="Calibri"/>
        </w:rPr>
        <w:t>Depending on the carbon price</w:t>
      </w:r>
      <w:r w:rsidR="00501683" w:rsidRPr="005373EB">
        <w:rPr>
          <w:rFonts w:eastAsia="Calibri"/>
        </w:rPr>
        <w:t>,</w:t>
      </w:r>
      <w:r w:rsidRPr="005373EB">
        <w:rPr>
          <w:rFonts w:eastAsia="Calibri"/>
        </w:rPr>
        <w:t xml:space="preserve"> exotic afforestation rates potentially ranging between 2.0</w:t>
      </w:r>
      <w:r w:rsidR="00501683" w:rsidRPr="005373EB">
        <w:rPr>
          <w:rFonts w:eastAsia="Calibri"/>
        </w:rPr>
        <w:t> million hectares</w:t>
      </w:r>
      <w:r w:rsidR="004F4060" w:rsidRPr="005373EB">
        <w:rPr>
          <w:rFonts w:eastAsia="Calibri"/>
        </w:rPr>
        <w:t> </w:t>
      </w:r>
      <w:r w:rsidRPr="005373EB">
        <w:rPr>
          <w:rFonts w:eastAsia="Calibri"/>
        </w:rPr>
        <w:t xml:space="preserve">to 3.1 million hectares over 2022–50 with </w:t>
      </w:r>
      <w:r w:rsidR="00501683" w:rsidRPr="005373EB">
        <w:rPr>
          <w:rFonts w:eastAsia="Calibri"/>
        </w:rPr>
        <w:t>most</w:t>
      </w:r>
      <w:r w:rsidRPr="005373EB">
        <w:rPr>
          <w:rFonts w:eastAsia="Calibri"/>
        </w:rPr>
        <w:t xml:space="preserve"> managed as permanent exotic forest.</w:t>
      </w:r>
    </w:p>
    <w:p w14:paraId="709C7E86" w14:textId="292F804A" w:rsidR="00FA04F5" w:rsidRPr="005373EB" w:rsidRDefault="00FA04F5" w:rsidP="00C40DA0">
      <w:pPr>
        <w:pStyle w:val="Bulletmfe"/>
        <w:rPr>
          <w:rFonts w:eastAsia="Calibri"/>
        </w:rPr>
      </w:pPr>
      <w:r w:rsidRPr="005373EB">
        <w:rPr>
          <w:rFonts w:eastAsia="Calibri"/>
        </w:rPr>
        <w:t xml:space="preserve">As </w:t>
      </w:r>
      <w:r w:rsidR="00501683" w:rsidRPr="005373EB">
        <w:rPr>
          <w:rFonts w:eastAsia="Calibri"/>
        </w:rPr>
        <w:t xml:space="preserve">with the </w:t>
      </w:r>
      <w:r w:rsidR="00F9076E" w:rsidRPr="005373EB">
        <w:rPr>
          <w:rFonts w:eastAsia="Calibri"/>
        </w:rPr>
        <w:t>last two bullets of the ‘</w:t>
      </w:r>
      <w:hyperlink w:anchor="_ETS_price_corridor" w:history="1">
        <w:r w:rsidR="00F9076E" w:rsidRPr="00FA0DBC">
          <w:rPr>
            <w:rStyle w:val="Hyperlink"/>
            <w:rFonts w:eastAsia="Calibri"/>
          </w:rPr>
          <w:t>ETS price corridor increase and permanent exotic forests are restricted into the Post-1989 Permanent ETS category</w:t>
        </w:r>
        <w:r w:rsidR="00F9076E" w:rsidRPr="004F5049">
          <w:rPr>
            <w:rStyle w:val="Hyperlink"/>
            <w:rFonts w:eastAsia="Calibri"/>
            <w:color w:val="auto"/>
          </w:rPr>
          <w:t>’</w:t>
        </w:r>
      </w:hyperlink>
      <w:r w:rsidR="00F9076E" w:rsidRPr="005373EB">
        <w:rPr>
          <w:rFonts w:eastAsia="Calibri"/>
          <w:i/>
          <w:iCs/>
        </w:rPr>
        <w:t xml:space="preserve"> </w:t>
      </w:r>
      <w:r w:rsidR="00F9076E" w:rsidRPr="005373EB">
        <w:rPr>
          <w:rFonts w:eastAsia="Calibri"/>
        </w:rPr>
        <w:t>section above.</w:t>
      </w:r>
    </w:p>
    <w:p w14:paraId="6EC4AF56" w14:textId="77777777" w:rsidR="00FA04F5" w:rsidRPr="005373EB" w:rsidRDefault="00FA04F5" w:rsidP="00F95C89">
      <w:pPr>
        <w:pStyle w:val="Heading5"/>
        <w:spacing w:before="180" w:after="120"/>
      </w:pPr>
      <w:r w:rsidRPr="005373EB">
        <w:t>Maximising carbon storage: increasing natural sequestration to achieve New Zealand’s future carbon goals</w:t>
      </w:r>
    </w:p>
    <w:p w14:paraId="0A8760F2" w14:textId="40B7F2BC" w:rsidR="00FA04F5" w:rsidRPr="005373EB" w:rsidRDefault="00FA04F5" w:rsidP="00D56BA5">
      <w:pPr>
        <w:pStyle w:val="Bulletmfe"/>
      </w:pPr>
      <w:r w:rsidRPr="005373EB">
        <w:t>This budget initiative is anticipated to drive sequestration through two responses in post-1989 forest:</w:t>
      </w:r>
    </w:p>
    <w:p w14:paraId="069ECA35" w14:textId="7F7ED018" w:rsidR="00FA04F5" w:rsidRPr="005373EB" w:rsidRDefault="008E08FF" w:rsidP="00D56BA5">
      <w:pPr>
        <w:pStyle w:val="Bulletmfe"/>
        <w:numPr>
          <w:ilvl w:val="0"/>
          <w:numId w:val="14"/>
        </w:numPr>
      </w:pPr>
      <w:r w:rsidRPr="005373EB">
        <w:t>t</w:t>
      </w:r>
      <w:r w:rsidR="00FA04F5" w:rsidRPr="005373EB">
        <w:t xml:space="preserve">he first is increasing the incentive to establish indigenous forest, particularly regeneration, by increasing the net present value </w:t>
      </w:r>
      <w:r w:rsidR="00FE6EC5" w:rsidRPr="005373EB">
        <w:t>because</w:t>
      </w:r>
      <w:r w:rsidR="00FA04F5" w:rsidRPr="005373EB">
        <w:t xml:space="preserve"> carbon stocks are assumed to be around 20 per</w:t>
      </w:r>
      <w:r w:rsidR="00FE6EC5" w:rsidRPr="005373EB">
        <w:t xml:space="preserve"> </w:t>
      </w:r>
      <w:r w:rsidR="00FA04F5" w:rsidRPr="005373EB">
        <w:t>cent higher in any year. This is projected to result in an average of 1690 hectares of indigenous forest established each year</w:t>
      </w:r>
    </w:p>
    <w:p w14:paraId="14BFFFC4" w14:textId="7869020F" w:rsidR="00FA04F5" w:rsidRPr="005373EB" w:rsidRDefault="00FE6EC5" w:rsidP="00D56BA5">
      <w:pPr>
        <w:pStyle w:val="Bulletmfe"/>
        <w:numPr>
          <w:ilvl w:val="0"/>
          <w:numId w:val="14"/>
        </w:numPr>
      </w:pPr>
      <w:r w:rsidRPr="005373EB">
        <w:t>t</w:t>
      </w:r>
      <w:r w:rsidR="00FA04F5" w:rsidRPr="005373EB">
        <w:t>he second is encouraging the management of indigenous forest towards ‘tall forest’ (</w:t>
      </w:r>
      <w:r w:rsidRPr="005373EB">
        <w:t>eg,</w:t>
      </w:r>
      <w:r w:rsidR="00FA04F5" w:rsidRPr="005373EB">
        <w:t xml:space="preserve"> totara, broadleaf/podocarp and beech forest) by recognising the increased carbon stocks in tall forests </w:t>
      </w:r>
      <w:r w:rsidR="005C753D" w:rsidRPr="005373EB">
        <w:t xml:space="preserve">that </w:t>
      </w:r>
      <w:r w:rsidR="00FA04F5" w:rsidRPr="005373EB">
        <w:t xml:space="preserve">will continue to store carbon at higher rates (around 10 tonnes per year) after the current tables ‘tail off’. This results in greater income from carbon compared </w:t>
      </w:r>
      <w:r w:rsidR="005C753D" w:rsidRPr="005373EB">
        <w:t xml:space="preserve">with </w:t>
      </w:r>
      <w:r w:rsidR="00FA04F5" w:rsidRPr="005373EB">
        <w:t xml:space="preserve">that for regenerating forest. This is projected to promote </w:t>
      </w:r>
      <w:r w:rsidR="00FA04F5" w:rsidRPr="005373EB">
        <w:lastRenderedPageBreak/>
        <w:t xml:space="preserve">an average of 2200 hectares per year of indigenous forest </w:t>
      </w:r>
      <w:r w:rsidR="00FA04F5" w:rsidRPr="005373EB">
        <w:rPr>
          <w:spacing w:val="-2"/>
        </w:rPr>
        <w:t>being managed to become tall forest within the ETS. With an average of 1000 hectares</w:t>
      </w:r>
      <w:r w:rsidR="00FA04F5" w:rsidRPr="005373EB">
        <w:t xml:space="preserve"> per year projected </w:t>
      </w:r>
      <w:r w:rsidR="00FB3436" w:rsidRPr="005373EB">
        <w:t xml:space="preserve">of </w:t>
      </w:r>
      <w:r w:rsidR="00FA04F5" w:rsidRPr="005373EB">
        <w:t xml:space="preserve">additional afforestation outside the ETS (eg, on </w:t>
      </w:r>
      <w:r w:rsidR="382BEC7B" w:rsidRPr="005373EB">
        <w:t>public</w:t>
      </w:r>
      <w:r w:rsidR="00FA04F5" w:rsidRPr="005373EB">
        <w:t xml:space="preserve"> conservation land).</w:t>
      </w:r>
    </w:p>
    <w:p w14:paraId="5F588BBC" w14:textId="740AB1AC" w:rsidR="00FA04F5" w:rsidRPr="005373EB" w:rsidRDefault="00FA04F5" w:rsidP="00D56BA5">
      <w:pPr>
        <w:pStyle w:val="Bulletmfe"/>
      </w:pPr>
      <w:r w:rsidRPr="005373EB">
        <w:t xml:space="preserve">This budget initiative also assumes the carbon stock change </w:t>
      </w:r>
      <w:r w:rsidR="002E5A75" w:rsidRPr="005373EB">
        <w:t xml:space="preserve">that </w:t>
      </w:r>
      <w:r w:rsidRPr="005373EB">
        <w:t>results from improved pest and browser management can be counted towards emissions budgets and targets. The bid assumes around 100,000 hectares of treated indigenous pre-1990 forest each year, and 1 million hectares of forest overall (after 10 years). It assumes the carbon stock increase from reduced pests can be credited against our targets by around 1 tonne per hectare per year.</w:t>
      </w:r>
    </w:p>
    <w:p w14:paraId="460D5E64" w14:textId="77777777" w:rsidR="00FA04F5" w:rsidRPr="005373EB" w:rsidRDefault="00FA04F5" w:rsidP="00F95C89">
      <w:pPr>
        <w:pStyle w:val="Heading5"/>
        <w:spacing w:before="180" w:after="120"/>
      </w:pPr>
      <w:r w:rsidRPr="005373EB">
        <w:t>Native afforestation initiative</w:t>
      </w:r>
    </w:p>
    <w:p w14:paraId="7F1D0F9E" w14:textId="27B71645" w:rsidR="005513BC" w:rsidRPr="005373EB" w:rsidRDefault="00FA04F5" w:rsidP="00D56BA5">
      <w:pPr>
        <w:pStyle w:val="Bulletmfe"/>
      </w:pPr>
      <w:r>
        <w:t xml:space="preserve">This budget </w:t>
      </w:r>
      <w:r w:rsidR="3B888413">
        <w:t>initiative</w:t>
      </w:r>
      <w:r>
        <w:t xml:space="preserve"> focuses on the deployment and uptake of automated propagation capacity to begin to apply proven technologies and tools, developed for production forestry, to the propagation of native plants to reduce costs and time to delivery, and increase survival rates.</w:t>
      </w:r>
    </w:p>
    <w:p w14:paraId="282FC2A4" w14:textId="6781BC8E" w:rsidR="00FA04F5" w:rsidRPr="005373EB" w:rsidRDefault="00FA04F5" w:rsidP="00D56BA5">
      <w:pPr>
        <w:pStyle w:val="Bulletmfe"/>
      </w:pPr>
      <w:r>
        <w:t>The initiative’s contribution to meeting emissions budgets assumes an increase in seedling production beginning in 2025/26, reaching a level sufficient to establish around 12,500 hectares of indigenous forest per year from 2026/27.</w:t>
      </w:r>
      <w:r w:rsidRPr="4DD5331A">
        <w:rPr>
          <w:vertAlign w:val="superscript"/>
        </w:rPr>
        <w:t xml:space="preserve"> </w:t>
      </w:r>
    </w:p>
    <w:p w14:paraId="0FB7526C" w14:textId="43D2E17C" w:rsidR="00FA04F5" w:rsidRPr="005373EB" w:rsidRDefault="00FA04F5" w:rsidP="00D56BA5">
      <w:pPr>
        <w:pStyle w:val="Bulletmfe"/>
      </w:pPr>
      <w:r w:rsidRPr="005373EB">
        <w:t xml:space="preserve">This is around half the difference needed to meet the Commission’s average indigenous afforestation levels under </w:t>
      </w:r>
      <w:r w:rsidR="00A3183D" w:rsidRPr="005373EB">
        <w:t xml:space="preserve">its </w:t>
      </w:r>
      <w:r w:rsidRPr="005373EB">
        <w:t xml:space="preserve">Demonstration pathway. The indigenous forest sequestration rates used were sourced from </w:t>
      </w:r>
      <w:r w:rsidR="00A3183D" w:rsidRPr="005373EB">
        <w:t>the GHG</w:t>
      </w:r>
      <w:r w:rsidRPr="005373EB">
        <w:t xml:space="preserve"> Inventory 1990</w:t>
      </w:r>
      <w:r w:rsidR="00A3183D" w:rsidRPr="005373EB">
        <w:t>–</w:t>
      </w:r>
      <w:r w:rsidRPr="005373EB">
        <w:t>2019.</w:t>
      </w:r>
    </w:p>
    <w:p w14:paraId="1C2FA255" w14:textId="1CC46C68" w:rsidR="00FA04F5" w:rsidRPr="005373EB" w:rsidRDefault="00FA04F5" w:rsidP="00F95C89">
      <w:pPr>
        <w:pStyle w:val="Heading5"/>
        <w:spacing w:after="120"/>
      </w:pPr>
      <w:r w:rsidRPr="005373EB">
        <w:t xml:space="preserve">Woody </w:t>
      </w:r>
      <w:r w:rsidR="00A3183D" w:rsidRPr="005373EB">
        <w:t>b</w:t>
      </w:r>
      <w:r w:rsidRPr="005373EB">
        <w:t>iomass</w:t>
      </w:r>
    </w:p>
    <w:p w14:paraId="6A735D02" w14:textId="28A6525C" w:rsidR="00FA04F5" w:rsidRPr="005373EB" w:rsidRDefault="00FA04F5" w:rsidP="00D56BA5">
      <w:pPr>
        <w:pStyle w:val="Bulletmfe"/>
      </w:pPr>
      <w:r w:rsidRPr="005373EB">
        <w:t xml:space="preserve">This budget initiative will directly increase biomass supply and aims to stimulate private sector investment to create further supply. Additional biomass supply is needed to alleviate shortages projected to eventuate around 2030 as biomass is increasingly used to replace coal and other fossil-based fuels. Action is needed now to stimulate biomass production and provide certainty to a developing industry </w:t>
      </w:r>
      <w:r w:rsidR="0011079D" w:rsidRPr="005373EB">
        <w:t xml:space="preserve">that </w:t>
      </w:r>
      <w:r w:rsidRPr="005373EB">
        <w:t>will play a critical role in the just transition to a low emissions economy.</w:t>
      </w:r>
    </w:p>
    <w:p w14:paraId="0BA11C1A" w14:textId="42F350D6" w:rsidR="00FA04F5" w:rsidRPr="005373EB" w:rsidRDefault="00FA04F5" w:rsidP="00D56BA5">
      <w:pPr>
        <w:pStyle w:val="Bulletmfe"/>
      </w:pPr>
      <w:r w:rsidRPr="005373EB">
        <w:t>The budget initiative assumes total planting of around 10,000 hectares of exotic species across multiple blocks at different places around N</w:t>
      </w:r>
      <w:r w:rsidR="000D59FA" w:rsidRPr="005373EB">
        <w:t xml:space="preserve">ew </w:t>
      </w:r>
      <w:r w:rsidRPr="005373EB">
        <w:t>Z</w:t>
      </w:r>
      <w:r w:rsidR="000D59FA" w:rsidRPr="005373EB">
        <w:t>ealand</w:t>
      </w:r>
      <w:r w:rsidRPr="005373EB">
        <w:t>, and targeted research and development.</w:t>
      </w:r>
    </w:p>
    <w:p w14:paraId="5EB01ADF" w14:textId="4F780072" w:rsidR="00FA04F5" w:rsidRPr="005373EB" w:rsidRDefault="00FA04F5" w:rsidP="00D56BA5">
      <w:pPr>
        <w:pStyle w:val="Bulletmfe"/>
      </w:pPr>
      <w:r w:rsidRPr="005373EB">
        <w:t xml:space="preserve">The central projection assumes that half of the trees will be harvested at age 10–12 years, and half at age 13–15 years. It assumes the forest crop is replanted following harvest and carbon sequestration rates </w:t>
      </w:r>
      <w:r w:rsidR="004C28C7" w:rsidRPr="005373EB">
        <w:t xml:space="preserve">are </w:t>
      </w:r>
      <w:r w:rsidRPr="005373EB">
        <w:t>based on the long-term average carbon stock.</w:t>
      </w:r>
    </w:p>
    <w:p w14:paraId="76FB92E7" w14:textId="40E3B593" w:rsidR="00227165" w:rsidRPr="005373EB" w:rsidRDefault="00227165" w:rsidP="002706DE">
      <w:pPr>
        <w:pStyle w:val="BodyText"/>
      </w:pPr>
    </w:p>
    <w:sectPr w:rsidR="00227165" w:rsidRPr="005373EB" w:rsidSect="00376745">
      <w:footerReference w:type="even" r:id="rId23"/>
      <w:footerReference w:type="default" r:id="rId24"/>
      <w:pgSz w:w="11906" w:h="16838" w:code="9"/>
      <w:pgMar w:top="1134"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4588E" w14:textId="77777777" w:rsidR="00AF2874" w:rsidRDefault="00AF2874" w:rsidP="008D2764">
      <w:pPr>
        <w:spacing w:after="0" w:line="240" w:lineRule="auto"/>
      </w:pPr>
      <w:r>
        <w:separator/>
      </w:r>
    </w:p>
  </w:endnote>
  <w:endnote w:type="continuationSeparator" w:id="0">
    <w:p w14:paraId="007E65C5" w14:textId="77777777" w:rsidR="00AF2874" w:rsidRDefault="00AF2874" w:rsidP="008D2764">
      <w:pPr>
        <w:spacing w:after="0" w:line="240" w:lineRule="auto"/>
      </w:pPr>
      <w:r>
        <w:continuationSeparator/>
      </w:r>
    </w:p>
  </w:endnote>
  <w:endnote w:type="continuationNotice" w:id="1">
    <w:p w14:paraId="4E5E6603" w14:textId="77777777" w:rsidR="00AF2874" w:rsidRDefault="00AF2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CDC5" w14:textId="77777777" w:rsidR="009A3F53" w:rsidRDefault="009A3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BED3" w14:textId="7D5D7154" w:rsidR="00C76DA1" w:rsidRDefault="00C76DA1" w:rsidP="004366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ABD4" w14:textId="77777777" w:rsidR="009A3F53" w:rsidRDefault="009A3F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88B0" w14:textId="1224A8A7" w:rsidR="00376745" w:rsidRDefault="00376745" w:rsidP="00376745">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B635F5" w:rsidRPr="00B635F5">
      <w:t xml:space="preserve">Aotearoa New Zealand's first emissions reduction plan: Technical </w:t>
    </w:r>
    <w:r w:rsidR="00176C71">
      <w:t xml:space="preserve">information </w:t>
    </w:r>
    <w:r w:rsidR="00B635F5" w:rsidRPr="00B635F5">
      <w:t>annex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3D32" w14:textId="4436D24B" w:rsidR="00BB3BAD" w:rsidRDefault="003A448D" w:rsidP="00376745">
    <w:pPr>
      <w:pStyle w:val="Footerodd"/>
    </w:pPr>
    <w:r>
      <w:tab/>
    </w:r>
    <w:r w:rsidR="00B635F5" w:rsidRPr="00B635F5">
      <w:t>Aotearoa New Zealand's first emissions reduction plan: Technical</w:t>
    </w:r>
    <w:r w:rsidR="00176C71">
      <w:t xml:space="preserve"> information</w:t>
    </w:r>
    <w:r w:rsidR="00B635F5" w:rsidRPr="00B635F5">
      <w:t xml:space="preserve"> annex</w:t>
    </w:r>
    <w:r w:rsidR="00376745">
      <w:tab/>
    </w:r>
    <w:r w:rsidR="00376745" w:rsidRPr="004F458A">
      <w:rPr>
        <w:b/>
      </w:rPr>
      <w:fldChar w:fldCharType="begin"/>
    </w:r>
    <w:r w:rsidR="00376745" w:rsidRPr="004F458A">
      <w:instrText xml:space="preserve"> PAGE </w:instrText>
    </w:r>
    <w:r w:rsidR="00376745" w:rsidRPr="004F458A">
      <w:rPr>
        <w:b/>
      </w:rPr>
      <w:fldChar w:fldCharType="separate"/>
    </w:r>
    <w:r w:rsidR="00376745">
      <w:rPr>
        <w:b/>
      </w:rPr>
      <w:t>5</w:t>
    </w:r>
    <w:r w:rsidR="00376745" w:rsidRPr="004F458A">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0A83" w14:textId="77777777" w:rsidR="00AF2874" w:rsidRDefault="00AF2874" w:rsidP="008D2764">
      <w:pPr>
        <w:spacing w:after="0" w:line="240" w:lineRule="auto"/>
      </w:pPr>
      <w:r>
        <w:separator/>
      </w:r>
    </w:p>
  </w:footnote>
  <w:footnote w:type="continuationSeparator" w:id="0">
    <w:p w14:paraId="5CD67FB0" w14:textId="77777777" w:rsidR="00AF2874" w:rsidRDefault="00AF2874" w:rsidP="008D2764">
      <w:pPr>
        <w:spacing w:after="0" w:line="240" w:lineRule="auto"/>
      </w:pPr>
      <w:r>
        <w:continuationSeparator/>
      </w:r>
    </w:p>
  </w:footnote>
  <w:footnote w:type="continuationNotice" w:id="1">
    <w:p w14:paraId="4C54ECBB" w14:textId="77777777" w:rsidR="00AF2874" w:rsidRDefault="00AF2874">
      <w:pPr>
        <w:spacing w:after="0" w:line="240" w:lineRule="auto"/>
      </w:pPr>
    </w:p>
  </w:footnote>
  <w:footnote w:id="2">
    <w:p w14:paraId="1F574857" w14:textId="47202709" w:rsidR="00D52BA5" w:rsidRPr="004003AA" w:rsidRDefault="00D52BA5" w:rsidP="004003AA">
      <w:pPr>
        <w:pStyle w:val="FootnoteText"/>
      </w:pPr>
      <w:r>
        <w:rPr>
          <w:rStyle w:val="FootnoteReference"/>
        </w:rPr>
        <w:footnoteRef/>
      </w:r>
      <w:r>
        <w:t xml:space="preserve"> </w:t>
      </w:r>
      <w:r w:rsidR="004003AA">
        <w:tab/>
      </w:r>
      <w:r>
        <w:t>Energy and Industry comprise</w:t>
      </w:r>
      <w:r w:rsidR="00E96042">
        <w:t>s</w:t>
      </w:r>
      <w:r>
        <w:t xml:space="preserve"> non-transport energy plus industrial processes and product use less f</w:t>
      </w:r>
      <w:r w:rsidR="006B607B">
        <w:t xml:space="preserve">luorinated </w:t>
      </w:r>
      <w:r>
        <w:t>gases.</w:t>
      </w:r>
    </w:p>
  </w:footnote>
  <w:footnote w:id="3">
    <w:p w14:paraId="0CE36AFE" w14:textId="10B91A88" w:rsidR="002561A1" w:rsidRDefault="002561A1" w:rsidP="004003AA">
      <w:pPr>
        <w:pStyle w:val="FootnoteText"/>
      </w:pPr>
      <w:r>
        <w:rPr>
          <w:rStyle w:val="FootnoteReference"/>
        </w:rPr>
        <w:footnoteRef/>
      </w:r>
      <w:r>
        <w:t xml:space="preserve"> </w:t>
      </w:r>
      <w:r w:rsidR="004003AA">
        <w:tab/>
      </w:r>
      <w:r w:rsidR="008031DC" w:rsidRPr="008031DC">
        <w:t>Provides the</w:t>
      </w:r>
      <w:r w:rsidR="00E52699">
        <w:t xml:space="preserve"> central estimate of the</w:t>
      </w:r>
      <w:r w:rsidR="008031DC" w:rsidRPr="008031DC">
        <w:t xml:space="preserve"> total impact of forestry policies while assuming exotic forests are restricted </w:t>
      </w:r>
      <w:r w:rsidR="00DF2D14">
        <w:t xml:space="preserve">from </w:t>
      </w:r>
      <w:r w:rsidR="00DF2D14" w:rsidRPr="004003AA">
        <w:t>registering</w:t>
      </w:r>
      <w:r w:rsidR="00DF2D14">
        <w:t xml:space="preserve"> </w:t>
      </w:r>
      <w:r w:rsidR="008031DC" w:rsidRPr="008031DC">
        <w:t>in the Permanent Post-1989 ETS category</w:t>
      </w:r>
      <w:r w:rsidR="00E52699">
        <w:t xml:space="preserve">. High and low ranges and a scenario excluding this policy are included in </w:t>
      </w:r>
      <w:r w:rsidR="007F3A1F">
        <w:t>t</w:t>
      </w:r>
      <w:r w:rsidR="00E52699">
        <w:t>able 1a.</w:t>
      </w:r>
    </w:p>
  </w:footnote>
  <w:footnote w:id="4">
    <w:p w14:paraId="5D5DD7CF" w14:textId="3824F233" w:rsidR="00D806D3" w:rsidRDefault="00D806D3" w:rsidP="003F3160">
      <w:pPr>
        <w:pStyle w:val="FootnoteText"/>
      </w:pPr>
      <w:r>
        <w:rPr>
          <w:rStyle w:val="FootnoteReference"/>
        </w:rPr>
        <w:footnoteRef/>
      </w:r>
      <w:r>
        <w:t xml:space="preserve"> </w:t>
      </w:r>
      <w:r w:rsidR="003F3160">
        <w:tab/>
      </w:r>
      <w:r w:rsidRPr="00D806D3">
        <w:t>Assumes exotic</w:t>
      </w:r>
      <w:r w:rsidR="00D70BBE">
        <w:t xml:space="preserve"> forest</w:t>
      </w:r>
      <w:r w:rsidRPr="00D806D3">
        <w:t xml:space="preserve">s are restricted </w:t>
      </w:r>
      <w:r w:rsidR="009040C6">
        <w:t xml:space="preserve">from registering in </w:t>
      </w:r>
      <w:r w:rsidRPr="00D806D3">
        <w:t>the Permanent Post-1989 ETS category.</w:t>
      </w:r>
    </w:p>
  </w:footnote>
  <w:footnote w:id="5">
    <w:p w14:paraId="7E20CEE6" w14:textId="45007688" w:rsidR="00D54874" w:rsidRDefault="00D54874" w:rsidP="00110A18">
      <w:pPr>
        <w:pStyle w:val="FootnoteText"/>
        <w:spacing w:after="40"/>
      </w:pPr>
      <w:r>
        <w:rPr>
          <w:rStyle w:val="FootnoteReference"/>
        </w:rPr>
        <w:footnoteRef/>
      </w:r>
      <w:r>
        <w:t xml:space="preserve"> </w:t>
      </w:r>
      <w:r w:rsidR="00DD4722">
        <w:tab/>
      </w:r>
      <w:r w:rsidRPr="00D54874">
        <w:t>We refer to this approach as calculation on a with existing measures</w:t>
      </w:r>
      <w:r w:rsidR="00BD3F21">
        <w:t xml:space="preserve"> (</w:t>
      </w:r>
      <w:r w:rsidR="00BD3F21" w:rsidRPr="00D54874">
        <w:t>WEM</w:t>
      </w:r>
      <w:r w:rsidRPr="00D54874">
        <w:t>) basis, which encompasses only policies and measures that have been implemented and adopted at the point in time that the projections are made.</w:t>
      </w:r>
    </w:p>
  </w:footnote>
  <w:footnote w:id="6">
    <w:p w14:paraId="7763AFE1" w14:textId="5CF41C49" w:rsidR="00121B88" w:rsidRDefault="00121B88" w:rsidP="00110A18">
      <w:pPr>
        <w:pStyle w:val="FootnoteText"/>
        <w:spacing w:after="40"/>
      </w:pPr>
      <w:r w:rsidRPr="00E9649C">
        <w:rPr>
          <w:rStyle w:val="FootnoteReference"/>
        </w:rPr>
        <w:footnoteRef/>
      </w:r>
      <w:r w:rsidRPr="00E9649C">
        <w:t xml:space="preserve"> </w:t>
      </w:r>
      <w:r w:rsidR="00DD4722">
        <w:tab/>
      </w:r>
      <w:r w:rsidR="00D54874" w:rsidRPr="00E9649C">
        <w:t>These</w:t>
      </w:r>
      <w:r w:rsidR="00D54874">
        <w:t xml:space="preserve"> projections are benchmarked to the GHG Inventory 1990</w:t>
      </w:r>
      <w:r w:rsidR="00DD4722">
        <w:t>–</w:t>
      </w:r>
      <w:r w:rsidR="00D54874">
        <w:t xml:space="preserve">2019 published in </w:t>
      </w:r>
      <w:r w:rsidR="00E9649C">
        <w:t>April 2021 and</w:t>
      </w:r>
      <w:r w:rsidR="00D54874">
        <w:t xml:space="preserve"> will be updated again later in 2022.</w:t>
      </w:r>
    </w:p>
  </w:footnote>
  <w:footnote w:id="7">
    <w:p w14:paraId="30024023" w14:textId="5AD2F092" w:rsidR="00A43546" w:rsidRDefault="00687194" w:rsidP="00E50145">
      <w:pPr>
        <w:pStyle w:val="FootnoteText"/>
        <w:ind w:left="113" w:hanging="113"/>
      </w:pPr>
      <w:r>
        <w:rPr>
          <w:rStyle w:val="FootnoteReference"/>
        </w:rPr>
        <w:footnoteRef/>
      </w:r>
      <w:r>
        <w:t xml:space="preserve"> </w:t>
      </w:r>
      <w:hyperlink r:id="rId1" w:history="1">
        <w:r w:rsidR="00A43546" w:rsidRPr="00FB19DC">
          <w:rPr>
            <w:rStyle w:val="Hyperlink"/>
          </w:rPr>
          <w:t>www.climatecommission.govt.nz/our-work/advice-to-government-topic/inaia-tonu-nei-a-low-emissions-future-for-aotearoa/</w:t>
        </w:r>
      </w:hyperlink>
    </w:p>
  </w:footnote>
  <w:footnote w:id="8">
    <w:p w14:paraId="17FC3347" w14:textId="2A4A5D2B" w:rsidR="00AE0F3E" w:rsidRPr="004162ED" w:rsidRDefault="00AE0F3E" w:rsidP="009B5DAB">
      <w:pPr>
        <w:pStyle w:val="FootnoteText"/>
        <w:spacing w:after="40"/>
      </w:pPr>
      <w:r>
        <w:rPr>
          <w:rStyle w:val="FootnoteReference"/>
        </w:rPr>
        <w:footnoteRef/>
      </w:r>
      <w:r>
        <w:t xml:space="preserve"> </w:t>
      </w:r>
      <w:r w:rsidR="004162ED">
        <w:tab/>
      </w:r>
      <w:r w:rsidRPr="004162ED">
        <w:t xml:space="preserve">The </w:t>
      </w:r>
      <w:r w:rsidR="008D1DCB">
        <w:t xml:space="preserve">second </w:t>
      </w:r>
      <w:r w:rsidRPr="004162ED">
        <w:t xml:space="preserve">emissions budget is greater than the </w:t>
      </w:r>
      <w:r w:rsidR="008D1DCB">
        <w:t>first</w:t>
      </w:r>
      <w:r w:rsidR="00353197">
        <w:t xml:space="preserve"> </w:t>
      </w:r>
      <w:r w:rsidRPr="004162ED">
        <w:t xml:space="preserve">because the </w:t>
      </w:r>
      <w:r w:rsidR="008D1DCB">
        <w:t>first</w:t>
      </w:r>
      <w:r w:rsidR="008D1DCB" w:rsidRPr="004162ED">
        <w:t xml:space="preserve"> </w:t>
      </w:r>
      <w:r w:rsidRPr="004162ED">
        <w:t>emissions budget covers four years</w:t>
      </w:r>
      <w:r w:rsidR="006F1949">
        <w:t>,</w:t>
      </w:r>
      <w:r w:rsidRPr="004162ED">
        <w:t xml:space="preserve"> 2022</w:t>
      </w:r>
      <w:r w:rsidR="00643567">
        <w:t>–</w:t>
      </w:r>
      <w:r w:rsidRPr="004162ED">
        <w:t xml:space="preserve">25, whereas the </w:t>
      </w:r>
      <w:r w:rsidR="00643567">
        <w:t xml:space="preserve">second </w:t>
      </w:r>
      <w:r w:rsidRPr="004162ED">
        <w:t xml:space="preserve">emissions budget and all future budgets are </w:t>
      </w:r>
      <w:r w:rsidR="00643567">
        <w:t xml:space="preserve">for </w:t>
      </w:r>
      <w:r w:rsidRPr="004162ED">
        <w:t>five years.</w:t>
      </w:r>
    </w:p>
  </w:footnote>
  <w:footnote w:id="9">
    <w:p w14:paraId="05CC9544" w14:textId="7DDDFCC9" w:rsidR="005B08F2" w:rsidRDefault="005B08F2">
      <w:pPr>
        <w:pStyle w:val="FootnoteText"/>
      </w:pPr>
      <w:r>
        <w:rPr>
          <w:rStyle w:val="FootnoteReference"/>
        </w:rPr>
        <w:footnoteRef/>
      </w:r>
      <w:r>
        <w:t xml:space="preserve"> </w:t>
      </w:r>
      <w:r w:rsidR="002867AF">
        <w:tab/>
      </w:r>
      <w:r w:rsidRPr="005B08F2">
        <w:t>The revision between these two sets of GHG projections was large</w:t>
      </w:r>
      <w:r w:rsidR="008244DA">
        <w:t>,</w:t>
      </w:r>
      <w:r w:rsidRPr="005B08F2">
        <w:t xml:space="preserve"> compared </w:t>
      </w:r>
      <w:r w:rsidR="008244DA">
        <w:t>with</w:t>
      </w:r>
      <w:r w:rsidR="008244DA" w:rsidRPr="005B08F2">
        <w:t xml:space="preserve"> </w:t>
      </w:r>
      <w:r w:rsidRPr="005B08F2">
        <w:t>historic revisions</w:t>
      </w:r>
      <w:r w:rsidR="008244DA">
        <w:t>,</w:t>
      </w:r>
      <w:r w:rsidRPr="005B08F2">
        <w:t xml:space="preserve"> but provides a good example of the potential impact of uncertainty on the emissions estimates in </w:t>
      </w:r>
      <w:hyperlink w:anchor="table1" w:history="1">
        <w:r w:rsidR="00A07D32" w:rsidRPr="00E50145">
          <w:rPr>
            <w:rStyle w:val="Hyperlink"/>
          </w:rPr>
          <w:t>t</w:t>
        </w:r>
        <w:r w:rsidRPr="00E50145">
          <w:rPr>
            <w:rStyle w:val="Hyperlink"/>
          </w:rPr>
          <w:t>able 1</w:t>
        </w:r>
      </w:hyperlink>
      <w:r w:rsidRPr="005B08F2">
        <w:t xml:space="preserve"> and</w:t>
      </w:r>
      <w:r w:rsidR="002867AF">
        <w:t> </w:t>
      </w:r>
      <w:hyperlink w:anchor="table2" w:history="1">
        <w:r w:rsidR="00A07D32" w:rsidRPr="00E50145">
          <w:rPr>
            <w:rStyle w:val="Hyperlink"/>
          </w:rPr>
          <w:t xml:space="preserve">table </w:t>
        </w:r>
        <w:r w:rsidRPr="00E50145">
          <w:rPr>
            <w:rStyle w:val="Hyperlink"/>
          </w:rPr>
          <w:t>2</w:t>
        </w:r>
      </w:hyperlink>
      <w:r w:rsidRPr="005B08F2">
        <w:t>.</w:t>
      </w:r>
    </w:p>
  </w:footnote>
  <w:footnote w:id="10">
    <w:p w14:paraId="31F96E19" w14:textId="7D5266D5" w:rsidR="002D78E7" w:rsidRDefault="002D78E7">
      <w:pPr>
        <w:pStyle w:val="FootnoteText"/>
      </w:pPr>
      <w:r>
        <w:rPr>
          <w:rStyle w:val="FootnoteReference"/>
        </w:rPr>
        <w:footnoteRef/>
      </w:r>
      <w:r>
        <w:t xml:space="preserve"> </w:t>
      </w:r>
      <w:r w:rsidR="002867AF">
        <w:tab/>
      </w:r>
      <w:r>
        <w:t xml:space="preserve">This is the gap between the projections used in the </w:t>
      </w:r>
      <w:r w:rsidR="00660682">
        <w:t xml:space="preserve">emissions reduction plan </w:t>
      </w:r>
      <w:r>
        <w:t>and the emissions budgets</w:t>
      </w:r>
    </w:p>
  </w:footnote>
  <w:footnote w:id="11">
    <w:p w14:paraId="72891A83" w14:textId="00F57E6F" w:rsidR="0040547A" w:rsidRDefault="0040547A">
      <w:pPr>
        <w:pStyle w:val="FootnoteText"/>
      </w:pPr>
      <w:r>
        <w:rPr>
          <w:rStyle w:val="FootnoteReference"/>
        </w:rPr>
        <w:footnoteRef/>
      </w:r>
      <w:r>
        <w:t xml:space="preserve"> </w:t>
      </w:r>
      <w:r w:rsidR="002867AF">
        <w:tab/>
      </w:r>
      <w:r w:rsidR="00866413">
        <w:t>Climate Change Commission (</w:t>
      </w:r>
      <w:r w:rsidR="002276B7">
        <w:t>May 2021)</w:t>
      </w:r>
      <w:r w:rsidR="00866413">
        <w:t xml:space="preserve"> </w:t>
      </w:r>
      <w:r w:rsidRPr="00A43546">
        <w:rPr>
          <w:i/>
          <w:iCs/>
        </w:rPr>
        <w:t>In</w:t>
      </w:r>
      <w:r w:rsidR="00C27C07" w:rsidRPr="00A43546">
        <w:rPr>
          <w:i/>
          <w:iCs/>
        </w:rPr>
        <w:t>ā</w:t>
      </w:r>
      <w:r w:rsidRPr="00A43546">
        <w:rPr>
          <w:i/>
          <w:iCs/>
        </w:rPr>
        <w:t>ia tonu nei</w:t>
      </w:r>
      <w:r w:rsidR="000665C4" w:rsidRPr="00A43546">
        <w:rPr>
          <w:i/>
          <w:iCs/>
        </w:rPr>
        <w:t>: a low emissions future for Aotearoa</w:t>
      </w:r>
      <w:r w:rsidR="004B38CD">
        <w:t>, p 206</w:t>
      </w:r>
      <w:r w:rsidR="002867AF">
        <w:t>.</w:t>
      </w:r>
      <w:r w:rsidR="00057BDE">
        <w:t xml:space="preserve"> See </w:t>
      </w:r>
      <w:hyperlink r:id="rId2" w:history="1">
        <w:r w:rsidR="00057BDE" w:rsidRPr="009B3BA7">
          <w:rPr>
            <w:rStyle w:val="Hyperlink"/>
          </w:rPr>
          <w:t>https://ccc-production-media.s3.ap-southeast-2.amazonaws.com/public/Inaia-tonu-nei-a-low-emissions-future-for-Aotearoa/Inaia-tonu-nei-a-low-emissions-future-for-Aotearoa.pdf</w:t>
        </w:r>
      </w:hyperlink>
      <w:r w:rsidR="00057BDE">
        <w:t xml:space="preserve"> </w:t>
      </w:r>
    </w:p>
  </w:footnote>
  <w:footnote w:id="12">
    <w:p w14:paraId="4915765C" w14:textId="6162A52B" w:rsidR="00DE4E88" w:rsidRDefault="00DE4E88">
      <w:pPr>
        <w:pStyle w:val="FootnoteText"/>
      </w:pPr>
      <w:r>
        <w:rPr>
          <w:rStyle w:val="FootnoteReference"/>
        </w:rPr>
        <w:footnoteRef/>
      </w:r>
      <w:r>
        <w:t xml:space="preserve"> </w:t>
      </w:r>
      <w:r w:rsidR="009460D2">
        <w:tab/>
      </w:r>
      <w:r w:rsidRPr="00DE4E88">
        <w:t xml:space="preserve">Transport has </w:t>
      </w:r>
      <w:r>
        <w:t xml:space="preserve">also </w:t>
      </w:r>
      <w:r w:rsidRPr="00DE4E88">
        <w:t>quantified emissions reductions for reaching its targets</w:t>
      </w:r>
      <w:r>
        <w:t xml:space="preserve">, </w:t>
      </w:r>
      <w:r w:rsidRPr="00DE4E88">
        <w:t xml:space="preserve">but the targets are not </w:t>
      </w:r>
      <w:r w:rsidR="002F6107">
        <w:t>separated</w:t>
      </w:r>
      <w:r w:rsidRPr="00DE4E88">
        <w:t xml:space="preserve"> into specific policies beyond what is listed below</w:t>
      </w:r>
      <w:r>
        <w:t xml:space="preserve"> and are not included in </w:t>
      </w:r>
      <w:r w:rsidR="003362DC">
        <w:t>t</w:t>
      </w:r>
      <w:r>
        <w:t xml:space="preserve">able 1 and </w:t>
      </w:r>
      <w:r w:rsidR="003362DC">
        <w:t xml:space="preserve">table </w:t>
      </w:r>
      <w:r>
        <w:t>2.</w:t>
      </w:r>
    </w:p>
  </w:footnote>
  <w:footnote w:id="13">
    <w:p w14:paraId="35938AD7" w14:textId="2EBA66C5" w:rsidR="00DE4E88" w:rsidRDefault="00DE4E88" w:rsidP="00DE4E88">
      <w:pPr>
        <w:pStyle w:val="FootnoteText"/>
      </w:pPr>
      <w:r>
        <w:rPr>
          <w:rStyle w:val="FootnoteReference"/>
        </w:rPr>
        <w:footnoteRef/>
      </w:r>
      <w:r>
        <w:t xml:space="preserve"> </w:t>
      </w:r>
      <w:r w:rsidR="009460D2">
        <w:tab/>
      </w:r>
      <w:r>
        <w:t xml:space="preserve">These estimates reflect the </w:t>
      </w:r>
      <w:r w:rsidR="00D22B55">
        <w:t>G</w:t>
      </w:r>
      <w:r>
        <w:t xml:space="preserve">overnment commitment to decarbonise the public transport bus fleet by 2035. </w:t>
      </w:r>
    </w:p>
  </w:footnote>
  <w:footnote w:id="14">
    <w:p w14:paraId="374EE5D5" w14:textId="058622E4" w:rsidR="00C963D8" w:rsidRDefault="00C963D8" w:rsidP="00C220E7">
      <w:pPr>
        <w:pStyle w:val="FootnoteText"/>
      </w:pPr>
      <w:r>
        <w:rPr>
          <w:rStyle w:val="FootnoteReference"/>
        </w:rPr>
        <w:footnoteRef/>
      </w:r>
      <w:r>
        <w:t xml:space="preserve"> </w:t>
      </w:r>
      <w:r w:rsidR="00C220E7">
        <w:tab/>
      </w:r>
      <w:r w:rsidRPr="00C963D8">
        <w:t>The baseline is the base-base scenario from the Vehicle Fleet Emissions Model 2021 update (using the 1990</w:t>
      </w:r>
      <w:r w:rsidR="000C1ABA">
        <w:t>–</w:t>
      </w:r>
      <w:r w:rsidRPr="00C963D8">
        <w:t xml:space="preserve">2019 </w:t>
      </w:r>
      <w:r w:rsidR="000C1ABA">
        <w:t>GHG I</w:t>
      </w:r>
      <w:r w:rsidRPr="00C963D8">
        <w:t>nventory).</w:t>
      </w:r>
    </w:p>
  </w:footnote>
  <w:footnote w:id="15">
    <w:p w14:paraId="1BF0D31D" w14:textId="1777F721" w:rsidR="00FA7ED1" w:rsidRPr="00F161CC" w:rsidRDefault="00FA7ED1">
      <w:pPr>
        <w:pStyle w:val="FootnoteText"/>
      </w:pPr>
      <w:r>
        <w:rPr>
          <w:rStyle w:val="FootnoteReference"/>
        </w:rPr>
        <w:footnoteRef/>
      </w:r>
      <w:r>
        <w:t xml:space="preserve"> </w:t>
      </w:r>
      <w:r w:rsidR="008A7276">
        <w:t xml:space="preserve">Intergovernmental Panel on Climate Change (2006). </w:t>
      </w:r>
      <w:r w:rsidR="0006686B" w:rsidRPr="006E1703">
        <w:rPr>
          <w:i/>
          <w:iCs/>
        </w:rPr>
        <w:t>2006 IPCC Guidelines for National Greenhouse Gas Inventories</w:t>
      </w:r>
      <w:r w:rsidR="00F161CC">
        <w:rPr>
          <w:i/>
          <w:iCs/>
        </w:rPr>
        <w:t xml:space="preserve">, </w:t>
      </w:r>
      <w:r w:rsidR="00F161CC">
        <w:t xml:space="preserve">vol. </w:t>
      </w:r>
      <w:r w:rsidR="006278A8">
        <w:t xml:space="preserve">5. </w:t>
      </w:r>
      <w:r w:rsidR="00B4449B">
        <w:t>See</w:t>
      </w:r>
      <w:r w:rsidR="006278A8">
        <w:t xml:space="preserve">: </w:t>
      </w:r>
      <w:hyperlink r:id="rId3" w:history="1">
        <w:r w:rsidR="00B4449B" w:rsidRPr="009B3BA7">
          <w:rPr>
            <w:rStyle w:val="Hyperlink"/>
          </w:rPr>
          <w:t>https://www.ipcc-nggip.iges.or.jp/public/2006gl/vol5.html</w:t>
        </w:r>
      </w:hyperlink>
      <w:r w:rsidR="00B4449B">
        <w:t xml:space="preserve"> </w:t>
      </w:r>
    </w:p>
  </w:footnote>
  <w:footnote w:id="16">
    <w:p w14:paraId="0A6BB601" w14:textId="0CEAAE1B" w:rsidR="00076854" w:rsidRPr="00452E09" w:rsidRDefault="00076854" w:rsidP="00076854">
      <w:pPr>
        <w:pStyle w:val="FootnoteText"/>
      </w:pPr>
      <w:r w:rsidRPr="000E5455">
        <w:rPr>
          <w:rStyle w:val="FootnoteReference"/>
        </w:rPr>
        <w:footnoteRef/>
      </w:r>
      <w:r w:rsidRPr="006036BC">
        <w:rPr>
          <w:sz w:val="18"/>
          <w:szCs w:val="18"/>
        </w:rPr>
        <w:t xml:space="preserve"> </w:t>
      </w:r>
      <w:r w:rsidR="000E5455">
        <w:rPr>
          <w:sz w:val="18"/>
          <w:szCs w:val="18"/>
        </w:rPr>
        <w:tab/>
      </w:r>
      <w:r w:rsidR="00FB31F6" w:rsidRPr="00452E09">
        <w:t>Ministry for Primary Industries</w:t>
      </w:r>
      <w:r w:rsidR="000C5E7F" w:rsidRPr="00452E09">
        <w:t>. 2022.</w:t>
      </w:r>
      <w:r w:rsidR="00FB31F6" w:rsidRPr="00452E09">
        <w:t xml:space="preserve"> </w:t>
      </w:r>
      <w:r w:rsidR="000C5E7F" w:rsidRPr="00F43708">
        <w:rPr>
          <w:i/>
          <w:iCs/>
        </w:rPr>
        <w:t>One Billion Trees Programme</w:t>
      </w:r>
      <w:r w:rsidR="000C5E7F" w:rsidRPr="00452E09">
        <w:t xml:space="preserve">. </w:t>
      </w:r>
      <w:r w:rsidR="00452E09" w:rsidRPr="00452E09">
        <w:t>Retri</w:t>
      </w:r>
      <w:r w:rsidR="00452E09">
        <w:t>e</w:t>
      </w:r>
      <w:r w:rsidR="00452E09" w:rsidRPr="00452E09">
        <w:t xml:space="preserve">ved from </w:t>
      </w:r>
      <w:hyperlink r:id="rId4" w:history="1">
        <w:r w:rsidR="00452E09" w:rsidRPr="00452E09">
          <w:rPr>
            <w:rStyle w:val="Hyperlink"/>
          </w:rPr>
          <w:t>www.mpi.govt.nz/forestry/funding-tree-planting-research/one-billion-trees-programme</w:t>
        </w:r>
      </w:hyperlink>
      <w:r w:rsidR="00452E09" w:rsidRPr="00452E09">
        <w:t xml:space="preserve"> (10 May 2022).</w:t>
      </w:r>
    </w:p>
  </w:footnote>
  <w:footnote w:id="17">
    <w:p w14:paraId="3922519A" w14:textId="2CC1D558" w:rsidR="00076854" w:rsidRPr="006036BC" w:rsidRDefault="00076854" w:rsidP="004F4060">
      <w:pPr>
        <w:pStyle w:val="FootnoteText"/>
      </w:pPr>
      <w:r w:rsidRPr="004F4060">
        <w:rPr>
          <w:rStyle w:val="FootnoteReference"/>
        </w:rPr>
        <w:footnoteRef/>
      </w:r>
      <w:r w:rsidRPr="006036BC">
        <w:t xml:space="preserve"> </w:t>
      </w:r>
      <w:r w:rsidR="004F4060">
        <w:tab/>
      </w:r>
      <w:r w:rsidRPr="006036BC">
        <w:t xml:space="preserve">The range of afforestation reported in the 2020 </w:t>
      </w:r>
      <w:r w:rsidRPr="00FA0DBC">
        <w:rPr>
          <w:i/>
          <w:iCs/>
        </w:rPr>
        <w:t>Afforestation and Deforestation Intentions Survey</w:t>
      </w:r>
      <w:r w:rsidRPr="006036BC">
        <w:t xml:space="preserve"> reflects uncertainty in people’s decision making (</w:t>
      </w:r>
      <w:r w:rsidR="00EB6AD3">
        <w:t>eg</w:t>
      </w:r>
      <w:r w:rsidRPr="006036BC">
        <w:t xml:space="preserve">, around land availability and price, </w:t>
      </w:r>
      <w:r w:rsidRPr="004F4060">
        <w:t>seedling</w:t>
      </w:r>
      <w:r w:rsidRPr="006036BC">
        <w:t xml:space="preserve"> and labour availability, requirement for Overseas Investment Office approval, </w:t>
      </w:r>
      <w:r w:rsidR="00EB6AD3">
        <w:t>g</w:t>
      </w:r>
      <w:r w:rsidRPr="006036BC">
        <w:t>overnment and local council regulation)</w:t>
      </w:r>
      <w:r w:rsidR="00EB6AD3">
        <w:t>.</w:t>
      </w:r>
    </w:p>
  </w:footnote>
  <w:footnote w:id="18">
    <w:p w14:paraId="6B0E2DFE" w14:textId="23226C4F" w:rsidR="00FA04F5" w:rsidRDefault="00FA04F5" w:rsidP="004F4060">
      <w:pPr>
        <w:pStyle w:val="FootnoteText"/>
      </w:pPr>
      <w:r>
        <w:rPr>
          <w:rStyle w:val="FootnoteReference"/>
        </w:rPr>
        <w:footnoteRef/>
      </w:r>
      <w:r>
        <w:t xml:space="preserve"> </w:t>
      </w:r>
      <w:r w:rsidR="004F4060">
        <w:tab/>
      </w:r>
      <w:r w:rsidR="004C28C7">
        <w:t>F</w:t>
      </w:r>
      <w:r w:rsidRPr="00917190">
        <w:t xml:space="preserve">inal decisions on this policy are </w:t>
      </w:r>
      <w:r>
        <w:t xml:space="preserve">not </w:t>
      </w:r>
      <w:r w:rsidRPr="00917190">
        <w:t>yet made. While th</w:t>
      </w:r>
      <w:r w:rsidR="004C28C7">
        <w:t>is</w:t>
      </w:r>
      <w:r w:rsidRPr="00917190">
        <w:t xml:space="preserve"> modelling </w:t>
      </w:r>
      <w:r w:rsidR="004C28C7">
        <w:t xml:space="preserve">scenario </w:t>
      </w:r>
      <w:r w:rsidRPr="00917190">
        <w:t xml:space="preserve">assumes there are no exceptions for exotic species, </w:t>
      </w:r>
      <w:r>
        <w:t xml:space="preserve">this </w:t>
      </w:r>
      <w:r w:rsidR="00B25C04">
        <w:t xml:space="preserve">may </w:t>
      </w:r>
      <w:r>
        <w:t xml:space="preserve">not reflect </w:t>
      </w:r>
      <w:r w:rsidR="00B25C04">
        <w:t>the</w:t>
      </w:r>
      <w:r>
        <w:t xml:space="preserve"> final </w:t>
      </w:r>
      <w:r w:rsidRPr="00917190">
        <w:t>policy decision</w:t>
      </w:r>
      <w:r>
        <w:t xml:space="preserve">. The Government is yet to decide </w:t>
      </w:r>
      <w:r w:rsidRPr="00917190">
        <w:t xml:space="preserve">whether the permanent post-1989 category </w:t>
      </w:r>
      <w:r>
        <w:t xml:space="preserve">will be </w:t>
      </w:r>
      <w:r w:rsidRPr="00917190">
        <w:t>restricted</w:t>
      </w:r>
      <w:r>
        <w:t xml:space="preserve"> and whether </w:t>
      </w:r>
      <w:r w:rsidRPr="00917190">
        <w:t>there will be exceptions for some exotic species if</w:t>
      </w:r>
      <w:r>
        <w:t xml:space="preserve"> </w:t>
      </w:r>
      <w:r w:rsidRPr="004F4060">
        <w:t>the</w:t>
      </w:r>
      <w:r>
        <w:t xml:space="preserve"> category is restricted.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4AB5" w14:textId="77777777" w:rsidR="009A3F53" w:rsidRDefault="009A3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5BAA" w14:textId="77777777" w:rsidR="00376745" w:rsidRDefault="00376745" w:rsidP="00376745">
    <w:pPr>
      <w:pStyle w:val="BodyText"/>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8E87" w14:textId="77777777" w:rsidR="009A3F53" w:rsidRDefault="009A3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5F61"/>
    <w:multiLevelType w:val="multilevel"/>
    <w:tmpl w:val="22C41692"/>
    <w:lvl w:ilvl="0">
      <w:start w:val="1"/>
      <w:numFmt w:val="lowerRoman"/>
      <w:lvlText w:val="%1."/>
      <w:lvlJc w:val="left"/>
      <w:pPr>
        <w:tabs>
          <w:tab w:val="num" w:pos="794"/>
        </w:tabs>
        <w:ind w:left="794" w:hanging="397"/>
      </w:pPr>
      <w:rPr>
        <w:rFonts w:hint="default"/>
        <w:color w:val="auto"/>
        <w:sz w:val="18"/>
        <w:szCs w:val="20"/>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 w15:restartNumberingAfterBreak="0">
    <w:nsid w:val="194A578E"/>
    <w:multiLevelType w:val="multilevel"/>
    <w:tmpl w:val="4CCA5DFC"/>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CB6C6D"/>
    <w:multiLevelType w:val="multilevel"/>
    <w:tmpl w:val="5B683E96"/>
    <w:lvl w:ilvl="0">
      <w:start w:val="1"/>
      <w:numFmt w:val="lowerRoman"/>
      <w:lvlText w:val="%1."/>
      <w:lvlJc w:val="left"/>
      <w:pPr>
        <w:tabs>
          <w:tab w:val="num" w:pos="794"/>
        </w:tabs>
        <w:ind w:left="794" w:hanging="397"/>
      </w:pPr>
      <w:rPr>
        <w:rFonts w:hint="default"/>
        <w:color w:val="auto"/>
        <w:sz w:val="18"/>
        <w:szCs w:val="20"/>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3" w15:restartNumberingAfterBreak="0">
    <w:nsid w:val="2B7C69E7"/>
    <w:multiLevelType w:val="multilevel"/>
    <w:tmpl w:val="FDFC5686"/>
    <w:lvl w:ilvl="0">
      <w:start w:val="1"/>
      <w:numFmt w:val="lowerRoman"/>
      <w:lvlText w:val="%1."/>
      <w:lvlJc w:val="left"/>
      <w:pPr>
        <w:tabs>
          <w:tab w:val="num" w:pos="794"/>
        </w:tabs>
        <w:ind w:left="794" w:hanging="397"/>
      </w:pPr>
      <w:rPr>
        <w:rFonts w:hint="default"/>
        <w:color w:val="auto"/>
        <w:sz w:val="18"/>
        <w:szCs w:val="20"/>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4" w15:restartNumberingAfterBreak="0">
    <w:nsid w:val="34735630"/>
    <w:multiLevelType w:val="multilevel"/>
    <w:tmpl w:val="E236EF0C"/>
    <w:lvl w:ilvl="0">
      <w:start w:val="1"/>
      <w:numFmt w:val="lowerRoman"/>
      <w:lvlText w:val="%1."/>
      <w:lvlJc w:val="left"/>
      <w:pPr>
        <w:tabs>
          <w:tab w:val="num" w:pos="794"/>
        </w:tabs>
        <w:ind w:left="794" w:hanging="397"/>
      </w:pPr>
      <w:rPr>
        <w:rFonts w:hint="default"/>
        <w:color w:val="auto"/>
        <w:sz w:val="18"/>
        <w:szCs w:val="20"/>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5" w15:restartNumberingAfterBreak="0">
    <w:nsid w:val="356D448B"/>
    <w:multiLevelType w:val="multilevel"/>
    <w:tmpl w:val="5B08A856"/>
    <w:lvl w:ilvl="0">
      <w:start w:val="1"/>
      <w:numFmt w:val="lowerRoman"/>
      <w:lvlText w:val="%1."/>
      <w:lvlJc w:val="right"/>
      <w:pPr>
        <w:tabs>
          <w:tab w:val="num" w:pos="794"/>
        </w:tabs>
        <w:ind w:left="794" w:hanging="397"/>
      </w:pPr>
      <w:rPr>
        <w:rFonts w:hint="default"/>
        <w:color w:val="auto"/>
        <w:sz w:val="18"/>
        <w:szCs w:val="20"/>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3B1308B5"/>
    <w:multiLevelType w:val="hybridMultilevel"/>
    <w:tmpl w:val="C85AD738"/>
    <w:lvl w:ilvl="0" w:tplc="FFFFFFFF">
      <w:start w:val="1"/>
      <w:numFmt w:val="bullet"/>
      <w:lvlText w:val=""/>
      <w:lvlJc w:val="left"/>
      <w:pPr>
        <w:ind w:left="720" w:hanging="360"/>
      </w:pPr>
      <w:rPr>
        <w:rFonts w:ascii="Symbol" w:hAnsi="Symbol" w:hint="default"/>
      </w:rPr>
    </w:lvl>
    <w:lvl w:ilvl="1" w:tplc="53E639AE">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465A16"/>
    <w:multiLevelType w:val="multilevel"/>
    <w:tmpl w:val="BE9042CC"/>
    <w:lvl w:ilvl="0">
      <w:start w:val="1"/>
      <w:numFmt w:val="bullet"/>
      <w:pStyle w:val="Bulletmfe"/>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8C0C1E"/>
    <w:multiLevelType w:val="hybridMultilevel"/>
    <w:tmpl w:val="5436221E"/>
    <w:lvl w:ilvl="0" w:tplc="89700D46">
      <w:start w:val="1"/>
      <w:numFmt w:val="bullet"/>
      <w:pStyle w:val="ListBullet"/>
      <w:lvlText w:val="•"/>
      <w:lvlJc w:val="left"/>
      <w:pPr>
        <w:ind w:left="397" w:hanging="397"/>
      </w:pPr>
      <w:rPr>
        <w:rFonts w:ascii="Calibri" w:hAnsi="Calibri" w:hint="default"/>
        <w:sz w:val="20"/>
      </w:rPr>
    </w:lvl>
    <w:lvl w:ilvl="1" w:tplc="87C88960">
      <w:start w:val="1"/>
      <w:numFmt w:val="bullet"/>
      <w:pStyle w:val="ListBullet2"/>
      <w:lvlText w:val="–"/>
      <w:lvlJc w:val="left"/>
      <w:pPr>
        <w:ind w:left="794" w:hanging="397"/>
      </w:pPr>
      <w:rPr>
        <w:rFonts w:ascii="Calibri" w:hAnsi="Calibri" w:hint="default"/>
      </w:rPr>
    </w:lvl>
    <w:lvl w:ilvl="2" w:tplc="A4F252E8">
      <w:start w:val="1"/>
      <w:numFmt w:val="lowerLetter"/>
      <w:pStyle w:val="ListBullet3"/>
      <w:lvlText w:val="%3."/>
      <w:lvlJc w:val="left"/>
      <w:pPr>
        <w:ind w:left="1191" w:hanging="397"/>
      </w:pPr>
      <w:rPr>
        <w:rFonts w:hint="default"/>
      </w:rPr>
    </w:lvl>
    <w:lvl w:ilvl="3" w:tplc="2404276E">
      <w:start w:val="1"/>
      <w:numFmt w:val="lowerRoman"/>
      <w:pStyle w:val="ListBullet4"/>
      <w:lvlText w:val="%4."/>
      <w:lvlJc w:val="left"/>
      <w:pPr>
        <w:ind w:left="1588" w:hanging="397"/>
      </w:pPr>
      <w:rPr>
        <w:rFonts w:hint="default"/>
      </w:rPr>
    </w:lvl>
    <w:lvl w:ilvl="4" w:tplc="2DCAEF4A">
      <w:start w:val="1"/>
      <w:numFmt w:val="bullet"/>
      <w:pStyle w:val="ListBullet5"/>
      <w:lvlText w:val="•"/>
      <w:lvlJc w:val="left"/>
      <w:pPr>
        <w:ind w:left="1985" w:hanging="397"/>
      </w:pPr>
      <w:rPr>
        <w:rFonts w:ascii="Calibri" w:hAnsi="Calibri" w:hint="default"/>
        <w:sz w:val="20"/>
      </w:rPr>
    </w:lvl>
    <w:lvl w:ilvl="5" w:tplc="B3AC5BDA">
      <w:start w:val="1"/>
      <w:numFmt w:val="bullet"/>
      <w:lvlText w:val="–"/>
      <w:lvlJc w:val="left"/>
      <w:pPr>
        <w:ind w:left="2382" w:hanging="397"/>
      </w:pPr>
      <w:rPr>
        <w:rFonts w:ascii="Calibri" w:hAnsi="Calibri" w:hint="default"/>
      </w:rPr>
    </w:lvl>
    <w:lvl w:ilvl="6" w:tplc="2CA8826A">
      <w:start w:val="1"/>
      <w:numFmt w:val="bullet"/>
      <w:lvlText w:val=""/>
      <w:lvlJc w:val="left"/>
      <w:pPr>
        <w:ind w:left="2779" w:hanging="397"/>
      </w:pPr>
      <w:rPr>
        <w:rFonts w:ascii="Wingdings" w:hAnsi="Wingdings" w:hint="default"/>
      </w:rPr>
    </w:lvl>
    <w:lvl w:ilvl="7" w:tplc="97FC0AEA">
      <w:start w:val="1"/>
      <w:numFmt w:val="bullet"/>
      <w:lvlText w:val=""/>
      <w:lvlJc w:val="left"/>
      <w:pPr>
        <w:ind w:left="3176" w:hanging="397"/>
      </w:pPr>
      <w:rPr>
        <w:rFonts w:ascii="Symbol" w:hAnsi="Symbol" w:hint="default"/>
      </w:rPr>
    </w:lvl>
    <w:lvl w:ilvl="8" w:tplc="0A00E07E">
      <w:start w:val="1"/>
      <w:numFmt w:val="bullet"/>
      <w:lvlText w:val=""/>
      <w:lvlJc w:val="left"/>
      <w:pPr>
        <w:ind w:left="3573" w:hanging="397"/>
      </w:pPr>
      <w:rPr>
        <w:rFonts w:ascii="Symbol" w:hAnsi="Symbol" w:hint="default"/>
      </w:rPr>
    </w:lvl>
  </w:abstractNum>
  <w:abstractNum w:abstractNumId="9" w15:restartNumberingAfterBreak="0">
    <w:nsid w:val="44610949"/>
    <w:multiLevelType w:val="multilevel"/>
    <w:tmpl w:val="7B7818CE"/>
    <w:lvl w:ilvl="0">
      <w:start w:val="1"/>
      <w:numFmt w:val="lowerRoman"/>
      <w:lvlText w:val="%1."/>
      <w:lvlJc w:val="left"/>
      <w:pPr>
        <w:tabs>
          <w:tab w:val="num" w:pos="794"/>
        </w:tabs>
        <w:ind w:left="794" w:hanging="397"/>
      </w:pPr>
      <w:rPr>
        <w:rFonts w:hint="default"/>
        <w:color w:val="auto"/>
        <w:sz w:val="18"/>
        <w:szCs w:val="20"/>
      </w:rPr>
    </w:lvl>
    <w:lvl w:ilvl="1">
      <w:start w:val="1"/>
      <w:numFmt w:val="lowerRoman"/>
      <w:lvlText w:val="%2."/>
      <w:lvlJc w:val="left"/>
      <w:pPr>
        <w:ind w:left="360" w:hanging="360"/>
      </w:pPr>
      <w:rPr>
        <w:rFonts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4F221F86"/>
    <w:multiLevelType w:val="multilevel"/>
    <w:tmpl w:val="88942BE6"/>
    <w:lvl w:ilvl="0">
      <w:start w:val="1"/>
      <w:numFmt w:val="bullet"/>
      <w:lvlText w:val="o"/>
      <w:lvlJc w:val="left"/>
      <w:pPr>
        <w:tabs>
          <w:tab w:val="num" w:pos="794"/>
        </w:tabs>
        <w:ind w:left="794" w:hanging="397"/>
      </w:pPr>
      <w:rPr>
        <w:rFonts w:ascii="Courier New" w:hAnsi="Courier New" w:cs="Courier New" w:hint="default"/>
        <w:color w:val="auto"/>
        <w:sz w:val="18"/>
        <w:szCs w:val="20"/>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52DE5A0A"/>
    <w:multiLevelType w:val="multilevel"/>
    <w:tmpl w:val="CAACB9A0"/>
    <w:lvl w:ilvl="0">
      <w:start w:val="1"/>
      <w:numFmt w:val="lowerRoman"/>
      <w:lvlText w:val="%1."/>
      <w:lvlJc w:val="left"/>
      <w:pPr>
        <w:tabs>
          <w:tab w:val="num" w:pos="794"/>
        </w:tabs>
        <w:ind w:left="794" w:hanging="397"/>
      </w:pPr>
      <w:rPr>
        <w:rFonts w:hint="default"/>
        <w:color w:val="auto"/>
        <w:sz w:val="18"/>
        <w:szCs w:val="20"/>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2" w15:restartNumberingAfterBreak="0">
    <w:nsid w:val="6C316287"/>
    <w:multiLevelType w:val="multilevel"/>
    <w:tmpl w:val="DDE2E7DC"/>
    <w:lvl w:ilvl="0">
      <w:start w:val="1"/>
      <w:numFmt w:val="bullet"/>
      <w:lvlText w:val=""/>
      <w:lvlJc w:val="left"/>
      <w:pPr>
        <w:tabs>
          <w:tab w:val="num" w:pos="1117"/>
        </w:tabs>
        <w:ind w:left="1117" w:hanging="397"/>
      </w:pPr>
      <w:rPr>
        <w:rFonts w:ascii="Symbol" w:hAnsi="Symbol" w:hint="default"/>
        <w:color w:val="auto"/>
        <w:sz w:val="18"/>
        <w:szCs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6D2737D7"/>
    <w:multiLevelType w:val="multilevel"/>
    <w:tmpl w:val="29367222"/>
    <w:lvl w:ilvl="0">
      <w:start w:val="1"/>
      <w:numFmt w:val="lowerRoman"/>
      <w:lvlText w:val="%1."/>
      <w:lvlJc w:val="left"/>
      <w:pPr>
        <w:tabs>
          <w:tab w:val="num" w:pos="794"/>
        </w:tabs>
        <w:ind w:left="794" w:hanging="397"/>
      </w:pPr>
      <w:rPr>
        <w:rFonts w:hint="default"/>
        <w:color w:val="auto"/>
        <w:sz w:val="18"/>
        <w:szCs w:val="20"/>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4" w15:restartNumberingAfterBreak="0">
    <w:nsid w:val="73CA650C"/>
    <w:multiLevelType w:val="multilevel"/>
    <w:tmpl w:val="E58A7E8C"/>
    <w:lvl w:ilvl="0">
      <w:start w:val="1"/>
      <w:numFmt w:val="lowerRoman"/>
      <w:lvlText w:val="%1."/>
      <w:lvlJc w:val="left"/>
      <w:pPr>
        <w:tabs>
          <w:tab w:val="num" w:pos="794"/>
        </w:tabs>
        <w:ind w:left="794" w:hanging="397"/>
      </w:pPr>
      <w:rPr>
        <w:rFonts w:hint="default"/>
        <w:color w:val="auto"/>
        <w:sz w:val="18"/>
        <w:szCs w:val="20"/>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5" w15:restartNumberingAfterBreak="0">
    <w:nsid w:val="7BC34B06"/>
    <w:multiLevelType w:val="multilevel"/>
    <w:tmpl w:val="277E5A1A"/>
    <w:lvl w:ilvl="0">
      <w:start w:val="1"/>
      <w:numFmt w:val="lowerRoman"/>
      <w:lvlText w:val="%1."/>
      <w:lvlJc w:val="left"/>
      <w:pPr>
        <w:tabs>
          <w:tab w:val="num" w:pos="794"/>
        </w:tabs>
        <w:ind w:left="794" w:hanging="397"/>
      </w:pPr>
      <w:rPr>
        <w:rFonts w:hint="default"/>
        <w:color w:val="auto"/>
        <w:sz w:val="18"/>
        <w:szCs w:val="20"/>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num w:numId="1" w16cid:durableId="1187209528">
    <w:abstractNumId w:val="8"/>
  </w:num>
  <w:num w:numId="2" w16cid:durableId="1492212540">
    <w:abstractNumId w:val="7"/>
  </w:num>
  <w:num w:numId="3" w16cid:durableId="1387993243">
    <w:abstractNumId w:val="6"/>
  </w:num>
  <w:num w:numId="4" w16cid:durableId="195509747">
    <w:abstractNumId w:val="10"/>
  </w:num>
  <w:num w:numId="5" w16cid:durableId="949318494">
    <w:abstractNumId w:val="5"/>
  </w:num>
  <w:num w:numId="6" w16cid:durableId="987630635">
    <w:abstractNumId w:val="4"/>
  </w:num>
  <w:num w:numId="7" w16cid:durableId="1859198182">
    <w:abstractNumId w:val="11"/>
  </w:num>
  <w:num w:numId="8" w16cid:durableId="1350985201">
    <w:abstractNumId w:val="0"/>
  </w:num>
  <w:num w:numId="9" w16cid:durableId="1996253759">
    <w:abstractNumId w:val="9"/>
  </w:num>
  <w:num w:numId="10" w16cid:durableId="1397625492">
    <w:abstractNumId w:val="14"/>
  </w:num>
  <w:num w:numId="11" w16cid:durableId="1950818192">
    <w:abstractNumId w:val="13"/>
  </w:num>
  <w:num w:numId="12" w16cid:durableId="542401455">
    <w:abstractNumId w:val="3"/>
  </w:num>
  <w:num w:numId="13" w16cid:durableId="1565407445">
    <w:abstractNumId w:val="15"/>
  </w:num>
  <w:num w:numId="14" w16cid:durableId="1551190351">
    <w:abstractNumId w:val="2"/>
  </w:num>
  <w:num w:numId="15" w16cid:durableId="865022458">
    <w:abstractNumId w:val="12"/>
  </w:num>
  <w:num w:numId="16" w16cid:durableId="43143755">
    <w:abstractNumId w:val="1"/>
  </w:num>
  <w:num w:numId="17" w16cid:durableId="1233616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3482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5810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1883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F3"/>
    <w:rsid w:val="00001260"/>
    <w:rsid w:val="00002407"/>
    <w:rsid w:val="00003397"/>
    <w:rsid w:val="000039E1"/>
    <w:rsid w:val="00003E25"/>
    <w:rsid w:val="000047C9"/>
    <w:rsid w:val="00005FBA"/>
    <w:rsid w:val="00006CC2"/>
    <w:rsid w:val="00007178"/>
    <w:rsid w:val="0000777B"/>
    <w:rsid w:val="00010205"/>
    <w:rsid w:val="0001093E"/>
    <w:rsid w:val="000111A8"/>
    <w:rsid w:val="000126E2"/>
    <w:rsid w:val="00012949"/>
    <w:rsid w:val="00012CFD"/>
    <w:rsid w:val="00012DA0"/>
    <w:rsid w:val="00017221"/>
    <w:rsid w:val="00017A45"/>
    <w:rsid w:val="00020423"/>
    <w:rsid w:val="00021A4A"/>
    <w:rsid w:val="00021B70"/>
    <w:rsid w:val="0002205F"/>
    <w:rsid w:val="00024F91"/>
    <w:rsid w:val="00027290"/>
    <w:rsid w:val="00030633"/>
    <w:rsid w:val="0003107F"/>
    <w:rsid w:val="00031733"/>
    <w:rsid w:val="000326A4"/>
    <w:rsid w:val="00032A4C"/>
    <w:rsid w:val="00033E37"/>
    <w:rsid w:val="00034105"/>
    <w:rsid w:val="00034F46"/>
    <w:rsid w:val="000354AE"/>
    <w:rsid w:val="0004047C"/>
    <w:rsid w:val="00041DB1"/>
    <w:rsid w:val="00042132"/>
    <w:rsid w:val="000424EF"/>
    <w:rsid w:val="00042978"/>
    <w:rsid w:val="00044C14"/>
    <w:rsid w:val="000457B4"/>
    <w:rsid w:val="00046806"/>
    <w:rsid w:val="00051C63"/>
    <w:rsid w:val="0005487C"/>
    <w:rsid w:val="00055262"/>
    <w:rsid w:val="000563BD"/>
    <w:rsid w:val="00056857"/>
    <w:rsid w:val="0005703F"/>
    <w:rsid w:val="00057BDE"/>
    <w:rsid w:val="00057F69"/>
    <w:rsid w:val="00060522"/>
    <w:rsid w:val="00061961"/>
    <w:rsid w:val="00061CDF"/>
    <w:rsid w:val="00062204"/>
    <w:rsid w:val="000629F4"/>
    <w:rsid w:val="00063DEE"/>
    <w:rsid w:val="00063FFA"/>
    <w:rsid w:val="000654E7"/>
    <w:rsid w:val="00065953"/>
    <w:rsid w:val="000659B3"/>
    <w:rsid w:val="00065E9A"/>
    <w:rsid w:val="00066507"/>
    <w:rsid w:val="000665C4"/>
    <w:rsid w:val="00066834"/>
    <w:rsid w:val="0006686B"/>
    <w:rsid w:val="000679E3"/>
    <w:rsid w:val="00072902"/>
    <w:rsid w:val="00074FBA"/>
    <w:rsid w:val="000764B2"/>
    <w:rsid w:val="00076854"/>
    <w:rsid w:val="0007690F"/>
    <w:rsid w:val="0008011D"/>
    <w:rsid w:val="000808C5"/>
    <w:rsid w:val="00080A17"/>
    <w:rsid w:val="000813F7"/>
    <w:rsid w:val="00081436"/>
    <w:rsid w:val="0008192D"/>
    <w:rsid w:val="000824E3"/>
    <w:rsid w:val="00083602"/>
    <w:rsid w:val="00085145"/>
    <w:rsid w:val="00085741"/>
    <w:rsid w:val="00085C90"/>
    <w:rsid w:val="00091BF2"/>
    <w:rsid w:val="000921FA"/>
    <w:rsid w:val="000924BB"/>
    <w:rsid w:val="000931F5"/>
    <w:rsid w:val="000952FE"/>
    <w:rsid w:val="0009670B"/>
    <w:rsid w:val="00097C31"/>
    <w:rsid w:val="000A0BD1"/>
    <w:rsid w:val="000A1B28"/>
    <w:rsid w:val="000A1D9D"/>
    <w:rsid w:val="000A1E32"/>
    <w:rsid w:val="000A2166"/>
    <w:rsid w:val="000A2C58"/>
    <w:rsid w:val="000A42CD"/>
    <w:rsid w:val="000A47CF"/>
    <w:rsid w:val="000A6E60"/>
    <w:rsid w:val="000A7B4B"/>
    <w:rsid w:val="000B004B"/>
    <w:rsid w:val="000B197E"/>
    <w:rsid w:val="000B3110"/>
    <w:rsid w:val="000B3849"/>
    <w:rsid w:val="000B3DBB"/>
    <w:rsid w:val="000B4A41"/>
    <w:rsid w:val="000B4EB6"/>
    <w:rsid w:val="000B6552"/>
    <w:rsid w:val="000C09C8"/>
    <w:rsid w:val="000C0C91"/>
    <w:rsid w:val="000C1ABA"/>
    <w:rsid w:val="000C1FA0"/>
    <w:rsid w:val="000C24A0"/>
    <w:rsid w:val="000C295E"/>
    <w:rsid w:val="000C4280"/>
    <w:rsid w:val="000C4DC9"/>
    <w:rsid w:val="000C5848"/>
    <w:rsid w:val="000C5CFC"/>
    <w:rsid w:val="000C5E7F"/>
    <w:rsid w:val="000C6690"/>
    <w:rsid w:val="000C6F77"/>
    <w:rsid w:val="000C7B8E"/>
    <w:rsid w:val="000C7FAE"/>
    <w:rsid w:val="000D0E4C"/>
    <w:rsid w:val="000D199A"/>
    <w:rsid w:val="000D2647"/>
    <w:rsid w:val="000D2800"/>
    <w:rsid w:val="000D2858"/>
    <w:rsid w:val="000D30DD"/>
    <w:rsid w:val="000D37CD"/>
    <w:rsid w:val="000D3C4A"/>
    <w:rsid w:val="000D4EF9"/>
    <w:rsid w:val="000D5745"/>
    <w:rsid w:val="000D59FA"/>
    <w:rsid w:val="000D5DC9"/>
    <w:rsid w:val="000D73C9"/>
    <w:rsid w:val="000D795F"/>
    <w:rsid w:val="000E3CAD"/>
    <w:rsid w:val="000E4A53"/>
    <w:rsid w:val="000E4BB8"/>
    <w:rsid w:val="000E5455"/>
    <w:rsid w:val="000E547F"/>
    <w:rsid w:val="000E6E47"/>
    <w:rsid w:val="000E7A23"/>
    <w:rsid w:val="000F0122"/>
    <w:rsid w:val="000F04B5"/>
    <w:rsid w:val="000F0E2F"/>
    <w:rsid w:val="000F41BC"/>
    <w:rsid w:val="000F462D"/>
    <w:rsid w:val="000F4A52"/>
    <w:rsid w:val="000F4DDB"/>
    <w:rsid w:val="000F4FAF"/>
    <w:rsid w:val="000F5C35"/>
    <w:rsid w:val="000F67C9"/>
    <w:rsid w:val="000F6BFB"/>
    <w:rsid w:val="000F7775"/>
    <w:rsid w:val="0010009C"/>
    <w:rsid w:val="00100D3A"/>
    <w:rsid w:val="00103EFD"/>
    <w:rsid w:val="00104070"/>
    <w:rsid w:val="00105402"/>
    <w:rsid w:val="00105CD9"/>
    <w:rsid w:val="0011079D"/>
    <w:rsid w:val="00110A18"/>
    <w:rsid w:val="00110F6A"/>
    <w:rsid w:val="00111335"/>
    <w:rsid w:val="0011186E"/>
    <w:rsid w:val="00112935"/>
    <w:rsid w:val="00112F76"/>
    <w:rsid w:val="00113AB0"/>
    <w:rsid w:val="00115219"/>
    <w:rsid w:val="001166EE"/>
    <w:rsid w:val="0011734F"/>
    <w:rsid w:val="0011765D"/>
    <w:rsid w:val="00117DF8"/>
    <w:rsid w:val="00120268"/>
    <w:rsid w:val="00121771"/>
    <w:rsid w:val="00121B88"/>
    <w:rsid w:val="0012268B"/>
    <w:rsid w:val="00122DCC"/>
    <w:rsid w:val="001243AE"/>
    <w:rsid w:val="001254B1"/>
    <w:rsid w:val="00126B29"/>
    <w:rsid w:val="00130029"/>
    <w:rsid w:val="00130E20"/>
    <w:rsid w:val="00132C0A"/>
    <w:rsid w:val="00132FB3"/>
    <w:rsid w:val="0013378B"/>
    <w:rsid w:val="0013416A"/>
    <w:rsid w:val="0013591E"/>
    <w:rsid w:val="00135EE9"/>
    <w:rsid w:val="00137FDF"/>
    <w:rsid w:val="001416BB"/>
    <w:rsid w:val="00141B5E"/>
    <w:rsid w:val="001424A3"/>
    <w:rsid w:val="00142BB9"/>
    <w:rsid w:val="001444C6"/>
    <w:rsid w:val="00145E4A"/>
    <w:rsid w:val="0014607D"/>
    <w:rsid w:val="00146367"/>
    <w:rsid w:val="00146D40"/>
    <w:rsid w:val="00147B6C"/>
    <w:rsid w:val="00151FCF"/>
    <w:rsid w:val="001523D0"/>
    <w:rsid w:val="001525D0"/>
    <w:rsid w:val="001529B3"/>
    <w:rsid w:val="00153060"/>
    <w:rsid w:val="001534D9"/>
    <w:rsid w:val="001557F7"/>
    <w:rsid w:val="00157BB5"/>
    <w:rsid w:val="001607A7"/>
    <w:rsid w:val="001607D6"/>
    <w:rsid w:val="00161292"/>
    <w:rsid w:val="001617D5"/>
    <w:rsid w:val="00162849"/>
    <w:rsid w:val="00162B5C"/>
    <w:rsid w:val="0016740F"/>
    <w:rsid w:val="001674CF"/>
    <w:rsid w:val="001700F3"/>
    <w:rsid w:val="0017016E"/>
    <w:rsid w:val="00172C13"/>
    <w:rsid w:val="001732B4"/>
    <w:rsid w:val="00173E2F"/>
    <w:rsid w:val="001747C3"/>
    <w:rsid w:val="0017516A"/>
    <w:rsid w:val="001763F3"/>
    <w:rsid w:val="00176744"/>
    <w:rsid w:val="001768E3"/>
    <w:rsid w:val="00176C71"/>
    <w:rsid w:val="001806C3"/>
    <w:rsid w:val="00181B5B"/>
    <w:rsid w:val="001826CC"/>
    <w:rsid w:val="00183011"/>
    <w:rsid w:val="00183836"/>
    <w:rsid w:val="0018405A"/>
    <w:rsid w:val="00184206"/>
    <w:rsid w:val="00184984"/>
    <w:rsid w:val="001853E6"/>
    <w:rsid w:val="00190277"/>
    <w:rsid w:val="001904D0"/>
    <w:rsid w:val="001905F0"/>
    <w:rsid w:val="00191385"/>
    <w:rsid w:val="0019167E"/>
    <w:rsid w:val="00194136"/>
    <w:rsid w:val="00194871"/>
    <w:rsid w:val="00195251"/>
    <w:rsid w:val="001957B0"/>
    <w:rsid w:val="00196717"/>
    <w:rsid w:val="0019768D"/>
    <w:rsid w:val="001A1A67"/>
    <w:rsid w:val="001A3ED6"/>
    <w:rsid w:val="001A4434"/>
    <w:rsid w:val="001A4BC1"/>
    <w:rsid w:val="001A5286"/>
    <w:rsid w:val="001A5BE1"/>
    <w:rsid w:val="001A60BF"/>
    <w:rsid w:val="001A61A0"/>
    <w:rsid w:val="001A6650"/>
    <w:rsid w:val="001A6C26"/>
    <w:rsid w:val="001A6C7B"/>
    <w:rsid w:val="001A7BDF"/>
    <w:rsid w:val="001A7F43"/>
    <w:rsid w:val="001A7F5F"/>
    <w:rsid w:val="001B0118"/>
    <w:rsid w:val="001B2321"/>
    <w:rsid w:val="001B324C"/>
    <w:rsid w:val="001B5F6E"/>
    <w:rsid w:val="001B6C65"/>
    <w:rsid w:val="001B6FE7"/>
    <w:rsid w:val="001C060B"/>
    <w:rsid w:val="001C0CDC"/>
    <w:rsid w:val="001C1A15"/>
    <w:rsid w:val="001C1E02"/>
    <w:rsid w:val="001C3BA3"/>
    <w:rsid w:val="001C5719"/>
    <w:rsid w:val="001C5A36"/>
    <w:rsid w:val="001C6BB5"/>
    <w:rsid w:val="001C70A6"/>
    <w:rsid w:val="001D09CA"/>
    <w:rsid w:val="001D0CA3"/>
    <w:rsid w:val="001D137C"/>
    <w:rsid w:val="001D478D"/>
    <w:rsid w:val="001D5D18"/>
    <w:rsid w:val="001D5F6F"/>
    <w:rsid w:val="001D61FF"/>
    <w:rsid w:val="001D667A"/>
    <w:rsid w:val="001D7821"/>
    <w:rsid w:val="001D79FF"/>
    <w:rsid w:val="001E02BF"/>
    <w:rsid w:val="001E0C25"/>
    <w:rsid w:val="001E1C8C"/>
    <w:rsid w:val="001E1F44"/>
    <w:rsid w:val="001E3105"/>
    <w:rsid w:val="001E3EE2"/>
    <w:rsid w:val="001E3F1C"/>
    <w:rsid w:val="001E56F2"/>
    <w:rsid w:val="001E6615"/>
    <w:rsid w:val="001E7171"/>
    <w:rsid w:val="001E771F"/>
    <w:rsid w:val="001F0684"/>
    <w:rsid w:val="001F0F3D"/>
    <w:rsid w:val="001F1153"/>
    <w:rsid w:val="001F16DB"/>
    <w:rsid w:val="001F17F6"/>
    <w:rsid w:val="001F1DDB"/>
    <w:rsid w:val="001F267B"/>
    <w:rsid w:val="001F3F0D"/>
    <w:rsid w:val="001F52A9"/>
    <w:rsid w:val="001F680B"/>
    <w:rsid w:val="001F68C6"/>
    <w:rsid w:val="001F71BA"/>
    <w:rsid w:val="001F794E"/>
    <w:rsid w:val="001F7EF4"/>
    <w:rsid w:val="00200E83"/>
    <w:rsid w:val="00201A3A"/>
    <w:rsid w:val="0020315B"/>
    <w:rsid w:val="00203DE5"/>
    <w:rsid w:val="002040BE"/>
    <w:rsid w:val="0020448B"/>
    <w:rsid w:val="00204ACB"/>
    <w:rsid w:val="00205795"/>
    <w:rsid w:val="00205855"/>
    <w:rsid w:val="002059AE"/>
    <w:rsid w:val="00205E45"/>
    <w:rsid w:val="002070DF"/>
    <w:rsid w:val="00207D41"/>
    <w:rsid w:val="0020AA01"/>
    <w:rsid w:val="002100B9"/>
    <w:rsid w:val="00210F6B"/>
    <w:rsid w:val="00210FCF"/>
    <w:rsid w:val="002132D2"/>
    <w:rsid w:val="002132EE"/>
    <w:rsid w:val="0021369F"/>
    <w:rsid w:val="0021390C"/>
    <w:rsid w:val="002147C2"/>
    <w:rsid w:val="002148BC"/>
    <w:rsid w:val="00214D53"/>
    <w:rsid w:val="0021551C"/>
    <w:rsid w:val="0021629B"/>
    <w:rsid w:val="0021700A"/>
    <w:rsid w:val="002202F6"/>
    <w:rsid w:val="00220DB3"/>
    <w:rsid w:val="00221680"/>
    <w:rsid w:val="00221DCA"/>
    <w:rsid w:val="00222C5F"/>
    <w:rsid w:val="00224380"/>
    <w:rsid w:val="00224669"/>
    <w:rsid w:val="002261F7"/>
    <w:rsid w:val="002265D1"/>
    <w:rsid w:val="00226969"/>
    <w:rsid w:val="00227165"/>
    <w:rsid w:val="002276B7"/>
    <w:rsid w:val="002304C7"/>
    <w:rsid w:val="00230DEC"/>
    <w:rsid w:val="00231446"/>
    <w:rsid w:val="0023175F"/>
    <w:rsid w:val="00231855"/>
    <w:rsid w:val="00231C0F"/>
    <w:rsid w:val="002327B2"/>
    <w:rsid w:val="00232EFC"/>
    <w:rsid w:val="0023546F"/>
    <w:rsid w:val="00235C48"/>
    <w:rsid w:val="002364E0"/>
    <w:rsid w:val="002374DA"/>
    <w:rsid w:val="00237BEE"/>
    <w:rsid w:val="002404B7"/>
    <w:rsid w:val="002408E4"/>
    <w:rsid w:val="00240CBE"/>
    <w:rsid w:val="002412F3"/>
    <w:rsid w:val="00241C1D"/>
    <w:rsid w:val="00242D3E"/>
    <w:rsid w:val="00243327"/>
    <w:rsid w:val="00244B77"/>
    <w:rsid w:val="00245CDC"/>
    <w:rsid w:val="00246580"/>
    <w:rsid w:val="002469F3"/>
    <w:rsid w:val="00247186"/>
    <w:rsid w:val="00247205"/>
    <w:rsid w:val="002510E3"/>
    <w:rsid w:val="00251705"/>
    <w:rsid w:val="00251F51"/>
    <w:rsid w:val="00252B52"/>
    <w:rsid w:val="00252DD8"/>
    <w:rsid w:val="00253EB2"/>
    <w:rsid w:val="00254F41"/>
    <w:rsid w:val="00255601"/>
    <w:rsid w:val="00255C7D"/>
    <w:rsid w:val="002560C4"/>
    <w:rsid w:val="002561A1"/>
    <w:rsid w:val="00256A1B"/>
    <w:rsid w:val="00260C89"/>
    <w:rsid w:val="00263696"/>
    <w:rsid w:val="00264B47"/>
    <w:rsid w:val="0026528E"/>
    <w:rsid w:val="002652DC"/>
    <w:rsid w:val="00265DEE"/>
    <w:rsid w:val="00266AB5"/>
    <w:rsid w:val="00266E0C"/>
    <w:rsid w:val="002706DE"/>
    <w:rsid w:val="0027081F"/>
    <w:rsid w:val="002715DB"/>
    <w:rsid w:val="00272427"/>
    <w:rsid w:val="0027258F"/>
    <w:rsid w:val="0027314D"/>
    <w:rsid w:val="00274557"/>
    <w:rsid w:val="00275BDD"/>
    <w:rsid w:val="00276DDB"/>
    <w:rsid w:val="00276FCA"/>
    <w:rsid w:val="002779C3"/>
    <w:rsid w:val="00280EC8"/>
    <w:rsid w:val="00280F41"/>
    <w:rsid w:val="002811B5"/>
    <w:rsid w:val="00281BAB"/>
    <w:rsid w:val="00282045"/>
    <w:rsid w:val="00282C85"/>
    <w:rsid w:val="00284877"/>
    <w:rsid w:val="0028496D"/>
    <w:rsid w:val="0028598C"/>
    <w:rsid w:val="00285BB9"/>
    <w:rsid w:val="00286222"/>
    <w:rsid w:val="002867AF"/>
    <w:rsid w:val="002876AF"/>
    <w:rsid w:val="002878AD"/>
    <w:rsid w:val="00290447"/>
    <w:rsid w:val="002911DF"/>
    <w:rsid w:val="002926A0"/>
    <w:rsid w:val="00293070"/>
    <w:rsid w:val="002936CF"/>
    <w:rsid w:val="00293980"/>
    <w:rsid w:val="00294F99"/>
    <w:rsid w:val="00295B6E"/>
    <w:rsid w:val="00296626"/>
    <w:rsid w:val="00296B17"/>
    <w:rsid w:val="002A0223"/>
    <w:rsid w:val="002A0232"/>
    <w:rsid w:val="002A07C6"/>
    <w:rsid w:val="002A0F9B"/>
    <w:rsid w:val="002A126C"/>
    <w:rsid w:val="002A24A5"/>
    <w:rsid w:val="002A24DE"/>
    <w:rsid w:val="002A293C"/>
    <w:rsid w:val="002A3556"/>
    <w:rsid w:val="002A5D67"/>
    <w:rsid w:val="002A5E70"/>
    <w:rsid w:val="002A5F60"/>
    <w:rsid w:val="002A9C6F"/>
    <w:rsid w:val="002B09ED"/>
    <w:rsid w:val="002B1F7B"/>
    <w:rsid w:val="002B20A9"/>
    <w:rsid w:val="002B2B28"/>
    <w:rsid w:val="002B3326"/>
    <w:rsid w:val="002B405C"/>
    <w:rsid w:val="002B4162"/>
    <w:rsid w:val="002B57EF"/>
    <w:rsid w:val="002B7906"/>
    <w:rsid w:val="002B7A22"/>
    <w:rsid w:val="002C00E7"/>
    <w:rsid w:val="002C1EE3"/>
    <w:rsid w:val="002C330C"/>
    <w:rsid w:val="002C4297"/>
    <w:rsid w:val="002C47AD"/>
    <w:rsid w:val="002C72AE"/>
    <w:rsid w:val="002D0222"/>
    <w:rsid w:val="002D139A"/>
    <w:rsid w:val="002D23BA"/>
    <w:rsid w:val="002D26E7"/>
    <w:rsid w:val="002D3230"/>
    <w:rsid w:val="002D4144"/>
    <w:rsid w:val="002D4E5C"/>
    <w:rsid w:val="002D5B1E"/>
    <w:rsid w:val="002D78E7"/>
    <w:rsid w:val="002E0135"/>
    <w:rsid w:val="002E0E43"/>
    <w:rsid w:val="002E28B3"/>
    <w:rsid w:val="002E3784"/>
    <w:rsid w:val="002E5462"/>
    <w:rsid w:val="002E5A75"/>
    <w:rsid w:val="002E6F29"/>
    <w:rsid w:val="002F158B"/>
    <w:rsid w:val="002F15ED"/>
    <w:rsid w:val="002F2762"/>
    <w:rsid w:val="002F38E6"/>
    <w:rsid w:val="002F3C8D"/>
    <w:rsid w:val="002F3F85"/>
    <w:rsid w:val="002F4908"/>
    <w:rsid w:val="002F541D"/>
    <w:rsid w:val="002F54CF"/>
    <w:rsid w:val="002F6107"/>
    <w:rsid w:val="00300E4F"/>
    <w:rsid w:val="003010DC"/>
    <w:rsid w:val="003010EB"/>
    <w:rsid w:val="003011D1"/>
    <w:rsid w:val="0030132A"/>
    <w:rsid w:val="003018C1"/>
    <w:rsid w:val="00302131"/>
    <w:rsid w:val="00302B8F"/>
    <w:rsid w:val="003069D4"/>
    <w:rsid w:val="0031060D"/>
    <w:rsid w:val="00310FE4"/>
    <w:rsid w:val="00311097"/>
    <w:rsid w:val="00311342"/>
    <w:rsid w:val="003125D9"/>
    <w:rsid w:val="0031293F"/>
    <w:rsid w:val="00312F1B"/>
    <w:rsid w:val="0031489C"/>
    <w:rsid w:val="00315117"/>
    <w:rsid w:val="00321250"/>
    <w:rsid w:val="0032132F"/>
    <w:rsid w:val="00321C56"/>
    <w:rsid w:val="003228EF"/>
    <w:rsid w:val="00322B1B"/>
    <w:rsid w:val="00323541"/>
    <w:rsid w:val="0032362D"/>
    <w:rsid w:val="0032389A"/>
    <w:rsid w:val="0032453A"/>
    <w:rsid w:val="00324D99"/>
    <w:rsid w:val="00325005"/>
    <w:rsid w:val="00325A5F"/>
    <w:rsid w:val="003266E8"/>
    <w:rsid w:val="0032741A"/>
    <w:rsid w:val="003277E2"/>
    <w:rsid w:val="00327D5A"/>
    <w:rsid w:val="003324FE"/>
    <w:rsid w:val="00332915"/>
    <w:rsid w:val="00333533"/>
    <w:rsid w:val="003357F4"/>
    <w:rsid w:val="0033626C"/>
    <w:rsid w:val="003362DC"/>
    <w:rsid w:val="00340189"/>
    <w:rsid w:val="00340910"/>
    <w:rsid w:val="0034151A"/>
    <w:rsid w:val="003415F7"/>
    <w:rsid w:val="003417B1"/>
    <w:rsid w:val="00342E49"/>
    <w:rsid w:val="00343A42"/>
    <w:rsid w:val="00343C5B"/>
    <w:rsid w:val="003456D2"/>
    <w:rsid w:val="0034599D"/>
    <w:rsid w:val="003465DD"/>
    <w:rsid w:val="00346C90"/>
    <w:rsid w:val="00346DFC"/>
    <w:rsid w:val="003474D6"/>
    <w:rsid w:val="00347CA5"/>
    <w:rsid w:val="00350D95"/>
    <w:rsid w:val="0035126D"/>
    <w:rsid w:val="003519A5"/>
    <w:rsid w:val="00351B47"/>
    <w:rsid w:val="00351D1B"/>
    <w:rsid w:val="00353009"/>
    <w:rsid w:val="00353197"/>
    <w:rsid w:val="00353463"/>
    <w:rsid w:val="00353A9A"/>
    <w:rsid w:val="003546CA"/>
    <w:rsid w:val="00355848"/>
    <w:rsid w:val="003563CA"/>
    <w:rsid w:val="003568C8"/>
    <w:rsid w:val="0035711B"/>
    <w:rsid w:val="00357B1F"/>
    <w:rsid w:val="00361A28"/>
    <w:rsid w:val="00363CFF"/>
    <w:rsid w:val="0036561D"/>
    <w:rsid w:val="00365708"/>
    <w:rsid w:val="003659B7"/>
    <w:rsid w:val="00365F14"/>
    <w:rsid w:val="003672FD"/>
    <w:rsid w:val="003675F7"/>
    <w:rsid w:val="00371B1B"/>
    <w:rsid w:val="00371BCB"/>
    <w:rsid w:val="00371E96"/>
    <w:rsid w:val="003722C9"/>
    <w:rsid w:val="003724ED"/>
    <w:rsid w:val="00372A13"/>
    <w:rsid w:val="00374088"/>
    <w:rsid w:val="00375831"/>
    <w:rsid w:val="00375D8A"/>
    <w:rsid w:val="00376623"/>
    <w:rsid w:val="00376745"/>
    <w:rsid w:val="00377316"/>
    <w:rsid w:val="00380325"/>
    <w:rsid w:val="003808FD"/>
    <w:rsid w:val="003828DC"/>
    <w:rsid w:val="00383F9E"/>
    <w:rsid w:val="0038400F"/>
    <w:rsid w:val="00384CF1"/>
    <w:rsid w:val="00384FB1"/>
    <w:rsid w:val="00385542"/>
    <w:rsid w:val="00385573"/>
    <w:rsid w:val="00385909"/>
    <w:rsid w:val="0038641D"/>
    <w:rsid w:val="00387C2A"/>
    <w:rsid w:val="0039032E"/>
    <w:rsid w:val="00390337"/>
    <w:rsid w:val="00390BC8"/>
    <w:rsid w:val="00392CD4"/>
    <w:rsid w:val="0039434F"/>
    <w:rsid w:val="00394490"/>
    <w:rsid w:val="00395D65"/>
    <w:rsid w:val="003961D9"/>
    <w:rsid w:val="00396791"/>
    <w:rsid w:val="0039790A"/>
    <w:rsid w:val="00397A47"/>
    <w:rsid w:val="003A11CA"/>
    <w:rsid w:val="003A214D"/>
    <w:rsid w:val="003A448D"/>
    <w:rsid w:val="003A4557"/>
    <w:rsid w:val="003A52C8"/>
    <w:rsid w:val="003A7B21"/>
    <w:rsid w:val="003B0540"/>
    <w:rsid w:val="003B0902"/>
    <w:rsid w:val="003B0F51"/>
    <w:rsid w:val="003B148E"/>
    <w:rsid w:val="003B17C3"/>
    <w:rsid w:val="003B334D"/>
    <w:rsid w:val="003B475C"/>
    <w:rsid w:val="003B47B4"/>
    <w:rsid w:val="003B5B6E"/>
    <w:rsid w:val="003B5DC0"/>
    <w:rsid w:val="003B6A99"/>
    <w:rsid w:val="003B7C7B"/>
    <w:rsid w:val="003C003A"/>
    <w:rsid w:val="003C039C"/>
    <w:rsid w:val="003C219F"/>
    <w:rsid w:val="003C4323"/>
    <w:rsid w:val="003C4C89"/>
    <w:rsid w:val="003C6709"/>
    <w:rsid w:val="003C6A0E"/>
    <w:rsid w:val="003C7612"/>
    <w:rsid w:val="003C7BB6"/>
    <w:rsid w:val="003C7EB7"/>
    <w:rsid w:val="003D115B"/>
    <w:rsid w:val="003D1ABE"/>
    <w:rsid w:val="003D36D3"/>
    <w:rsid w:val="003D3D93"/>
    <w:rsid w:val="003D3F86"/>
    <w:rsid w:val="003D3F88"/>
    <w:rsid w:val="003D43C4"/>
    <w:rsid w:val="003D744C"/>
    <w:rsid w:val="003D77E5"/>
    <w:rsid w:val="003E1CA0"/>
    <w:rsid w:val="003E2CCF"/>
    <w:rsid w:val="003E3561"/>
    <w:rsid w:val="003E42C5"/>
    <w:rsid w:val="003E48F4"/>
    <w:rsid w:val="003E5B50"/>
    <w:rsid w:val="003E6497"/>
    <w:rsid w:val="003E7AB2"/>
    <w:rsid w:val="003E9DE6"/>
    <w:rsid w:val="003F0A04"/>
    <w:rsid w:val="003F0B5C"/>
    <w:rsid w:val="003F1667"/>
    <w:rsid w:val="003F3160"/>
    <w:rsid w:val="003F4F7A"/>
    <w:rsid w:val="003F56ED"/>
    <w:rsid w:val="003F6BAE"/>
    <w:rsid w:val="004003AA"/>
    <w:rsid w:val="004005E7"/>
    <w:rsid w:val="00401827"/>
    <w:rsid w:val="0040182F"/>
    <w:rsid w:val="00402248"/>
    <w:rsid w:val="00402B80"/>
    <w:rsid w:val="00403B06"/>
    <w:rsid w:val="004041E1"/>
    <w:rsid w:val="00404829"/>
    <w:rsid w:val="004048D6"/>
    <w:rsid w:val="00404B90"/>
    <w:rsid w:val="0040547A"/>
    <w:rsid w:val="00405B8A"/>
    <w:rsid w:val="00406EB4"/>
    <w:rsid w:val="00413095"/>
    <w:rsid w:val="00414E54"/>
    <w:rsid w:val="004162ED"/>
    <w:rsid w:val="0041648A"/>
    <w:rsid w:val="00417525"/>
    <w:rsid w:val="00417AA0"/>
    <w:rsid w:val="00417AD1"/>
    <w:rsid w:val="00417B08"/>
    <w:rsid w:val="0042104F"/>
    <w:rsid w:val="00421DE2"/>
    <w:rsid w:val="004220F0"/>
    <w:rsid w:val="004221DC"/>
    <w:rsid w:val="00423403"/>
    <w:rsid w:val="00423B25"/>
    <w:rsid w:val="00424FA2"/>
    <w:rsid w:val="00426F17"/>
    <w:rsid w:val="0043020D"/>
    <w:rsid w:val="004311D9"/>
    <w:rsid w:val="0043161D"/>
    <w:rsid w:val="00433147"/>
    <w:rsid w:val="00434391"/>
    <w:rsid w:val="00434FC2"/>
    <w:rsid w:val="00435838"/>
    <w:rsid w:val="00435C3C"/>
    <w:rsid w:val="0043662C"/>
    <w:rsid w:val="00436A53"/>
    <w:rsid w:val="00437768"/>
    <w:rsid w:val="00437A12"/>
    <w:rsid w:val="00437F50"/>
    <w:rsid w:val="00440235"/>
    <w:rsid w:val="00441044"/>
    <w:rsid w:val="00441B80"/>
    <w:rsid w:val="0044239C"/>
    <w:rsid w:val="00442B06"/>
    <w:rsid w:val="00443965"/>
    <w:rsid w:val="00443E5D"/>
    <w:rsid w:val="00444232"/>
    <w:rsid w:val="004442C8"/>
    <w:rsid w:val="004455C9"/>
    <w:rsid w:val="0044785C"/>
    <w:rsid w:val="004500CE"/>
    <w:rsid w:val="0045047D"/>
    <w:rsid w:val="004507C9"/>
    <w:rsid w:val="00450856"/>
    <w:rsid w:val="00451150"/>
    <w:rsid w:val="00451524"/>
    <w:rsid w:val="00451C31"/>
    <w:rsid w:val="00452E09"/>
    <w:rsid w:val="004544B4"/>
    <w:rsid w:val="00455BB6"/>
    <w:rsid w:val="00455D57"/>
    <w:rsid w:val="004566D2"/>
    <w:rsid w:val="00457401"/>
    <w:rsid w:val="00460AE9"/>
    <w:rsid w:val="0046226F"/>
    <w:rsid w:val="00462ECC"/>
    <w:rsid w:val="0046414C"/>
    <w:rsid w:val="00464DED"/>
    <w:rsid w:val="00464E35"/>
    <w:rsid w:val="00464FED"/>
    <w:rsid w:val="0046792B"/>
    <w:rsid w:val="00467B56"/>
    <w:rsid w:val="004713F9"/>
    <w:rsid w:val="0047152D"/>
    <w:rsid w:val="004724CB"/>
    <w:rsid w:val="00472F81"/>
    <w:rsid w:val="00472FF2"/>
    <w:rsid w:val="00473033"/>
    <w:rsid w:val="0047325F"/>
    <w:rsid w:val="004738F8"/>
    <w:rsid w:val="0047509C"/>
    <w:rsid w:val="0047539C"/>
    <w:rsid w:val="004765C0"/>
    <w:rsid w:val="0047719C"/>
    <w:rsid w:val="0048040C"/>
    <w:rsid w:val="00480A66"/>
    <w:rsid w:val="00480E3D"/>
    <w:rsid w:val="00481D42"/>
    <w:rsid w:val="0048292C"/>
    <w:rsid w:val="004834AE"/>
    <w:rsid w:val="004835A7"/>
    <w:rsid w:val="00483ADB"/>
    <w:rsid w:val="00484108"/>
    <w:rsid w:val="00484610"/>
    <w:rsid w:val="00484EAC"/>
    <w:rsid w:val="00484EB7"/>
    <w:rsid w:val="00485680"/>
    <w:rsid w:val="004856B2"/>
    <w:rsid w:val="00485B29"/>
    <w:rsid w:val="00486FE8"/>
    <w:rsid w:val="00490A96"/>
    <w:rsid w:val="00490FF2"/>
    <w:rsid w:val="00491234"/>
    <w:rsid w:val="00492BB2"/>
    <w:rsid w:val="004932CE"/>
    <w:rsid w:val="00493496"/>
    <w:rsid w:val="0049410D"/>
    <w:rsid w:val="00495159"/>
    <w:rsid w:val="0049528D"/>
    <w:rsid w:val="00495307"/>
    <w:rsid w:val="004963F5"/>
    <w:rsid w:val="00496A9C"/>
    <w:rsid w:val="00496C45"/>
    <w:rsid w:val="00497638"/>
    <w:rsid w:val="004A0FEF"/>
    <w:rsid w:val="004A19E3"/>
    <w:rsid w:val="004A1D6E"/>
    <w:rsid w:val="004A395D"/>
    <w:rsid w:val="004A4017"/>
    <w:rsid w:val="004A4584"/>
    <w:rsid w:val="004A6F65"/>
    <w:rsid w:val="004A7048"/>
    <w:rsid w:val="004A75C6"/>
    <w:rsid w:val="004B01B9"/>
    <w:rsid w:val="004B064A"/>
    <w:rsid w:val="004B083D"/>
    <w:rsid w:val="004B38CD"/>
    <w:rsid w:val="004B3E01"/>
    <w:rsid w:val="004B49BA"/>
    <w:rsid w:val="004B4AFA"/>
    <w:rsid w:val="004B55B8"/>
    <w:rsid w:val="004B5A39"/>
    <w:rsid w:val="004B5D9C"/>
    <w:rsid w:val="004B68EB"/>
    <w:rsid w:val="004B6D06"/>
    <w:rsid w:val="004B79F3"/>
    <w:rsid w:val="004C1729"/>
    <w:rsid w:val="004C2388"/>
    <w:rsid w:val="004C27D5"/>
    <w:rsid w:val="004C28C7"/>
    <w:rsid w:val="004C3367"/>
    <w:rsid w:val="004C50FC"/>
    <w:rsid w:val="004C52FA"/>
    <w:rsid w:val="004C579A"/>
    <w:rsid w:val="004C77FA"/>
    <w:rsid w:val="004D034A"/>
    <w:rsid w:val="004D0973"/>
    <w:rsid w:val="004D0A21"/>
    <w:rsid w:val="004D0FDA"/>
    <w:rsid w:val="004D101C"/>
    <w:rsid w:val="004D230A"/>
    <w:rsid w:val="004D350E"/>
    <w:rsid w:val="004D5F8F"/>
    <w:rsid w:val="004D635F"/>
    <w:rsid w:val="004D6FEA"/>
    <w:rsid w:val="004D7CC4"/>
    <w:rsid w:val="004D7D1B"/>
    <w:rsid w:val="004E08E2"/>
    <w:rsid w:val="004E2EF6"/>
    <w:rsid w:val="004E3405"/>
    <w:rsid w:val="004E3722"/>
    <w:rsid w:val="004E3A99"/>
    <w:rsid w:val="004E3CAC"/>
    <w:rsid w:val="004E47F5"/>
    <w:rsid w:val="004E5243"/>
    <w:rsid w:val="004F01AE"/>
    <w:rsid w:val="004F0583"/>
    <w:rsid w:val="004F1B35"/>
    <w:rsid w:val="004F318D"/>
    <w:rsid w:val="004F3466"/>
    <w:rsid w:val="004F3BD8"/>
    <w:rsid w:val="004F4060"/>
    <w:rsid w:val="004F5049"/>
    <w:rsid w:val="004F68E3"/>
    <w:rsid w:val="004F690F"/>
    <w:rsid w:val="004F78FC"/>
    <w:rsid w:val="00500352"/>
    <w:rsid w:val="00500E90"/>
    <w:rsid w:val="00501683"/>
    <w:rsid w:val="005024DF"/>
    <w:rsid w:val="00502893"/>
    <w:rsid w:val="00502CF3"/>
    <w:rsid w:val="00504110"/>
    <w:rsid w:val="005044AF"/>
    <w:rsid w:val="00504511"/>
    <w:rsid w:val="0050468C"/>
    <w:rsid w:val="00506431"/>
    <w:rsid w:val="0050747C"/>
    <w:rsid w:val="00507B5A"/>
    <w:rsid w:val="005104EE"/>
    <w:rsid w:val="00510CCF"/>
    <w:rsid w:val="00511384"/>
    <w:rsid w:val="00512DB6"/>
    <w:rsid w:val="00513595"/>
    <w:rsid w:val="00514C9C"/>
    <w:rsid w:val="00514E83"/>
    <w:rsid w:val="00514ED3"/>
    <w:rsid w:val="00516AEA"/>
    <w:rsid w:val="0052038F"/>
    <w:rsid w:val="005204C8"/>
    <w:rsid w:val="00520563"/>
    <w:rsid w:val="005209EC"/>
    <w:rsid w:val="0052100F"/>
    <w:rsid w:val="00521064"/>
    <w:rsid w:val="005210FD"/>
    <w:rsid w:val="005217FC"/>
    <w:rsid w:val="00521982"/>
    <w:rsid w:val="0052381F"/>
    <w:rsid w:val="005255BA"/>
    <w:rsid w:val="00525A7F"/>
    <w:rsid w:val="00526FD2"/>
    <w:rsid w:val="005336EF"/>
    <w:rsid w:val="005342D9"/>
    <w:rsid w:val="00535494"/>
    <w:rsid w:val="005373EB"/>
    <w:rsid w:val="005405EE"/>
    <w:rsid w:val="00544774"/>
    <w:rsid w:val="00545CF1"/>
    <w:rsid w:val="00546278"/>
    <w:rsid w:val="00547AB2"/>
    <w:rsid w:val="00547C27"/>
    <w:rsid w:val="00547E98"/>
    <w:rsid w:val="005480B2"/>
    <w:rsid w:val="005500B5"/>
    <w:rsid w:val="00550530"/>
    <w:rsid w:val="00550583"/>
    <w:rsid w:val="00550AF3"/>
    <w:rsid w:val="005513BC"/>
    <w:rsid w:val="00551AC3"/>
    <w:rsid w:val="00551CEE"/>
    <w:rsid w:val="00552469"/>
    <w:rsid w:val="005532E8"/>
    <w:rsid w:val="005543FF"/>
    <w:rsid w:val="00554D4D"/>
    <w:rsid w:val="00560900"/>
    <w:rsid w:val="00562293"/>
    <w:rsid w:val="00562F33"/>
    <w:rsid w:val="0056534A"/>
    <w:rsid w:val="005656A6"/>
    <w:rsid w:val="00565E59"/>
    <w:rsid w:val="00567DF6"/>
    <w:rsid w:val="00570DD5"/>
    <w:rsid w:val="00571C10"/>
    <w:rsid w:val="00571D04"/>
    <w:rsid w:val="00572892"/>
    <w:rsid w:val="00572972"/>
    <w:rsid w:val="00573EA7"/>
    <w:rsid w:val="00574D00"/>
    <w:rsid w:val="00574EEC"/>
    <w:rsid w:val="00575970"/>
    <w:rsid w:val="00575DBC"/>
    <w:rsid w:val="0057629A"/>
    <w:rsid w:val="00577588"/>
    <w:rsid w:val="005776A4"/>
    <w:rsid w:val="00580213"/>
    <w:rsid w:val="005808E2"/>
    <w:rsid w:val="00580955"/>
    <w:rsid w:val="0058187C"/>
    <w:rsid w:val="00582FBB"/>
    <w:rsid w:val="005840CC"/>
    <w:rsid w:val="00584CAF"/>
    <w:rsid w:val="005857E6"/>
    <w:rsid w:val="00585FD1"/>
    <w:rsid w:val="00587C5F"/>
    <w:rsid w:val="00587DD5"/>
    <w:rsid w:val="0059223A"/>
    <w:rsid w:val="005941EF"/>
    <w:rsid w:val="0059620B"/>
    <w:rsid w:val="00597096"/>
    <w:rsid w:val="00597B9D"/>
    <w:rsid w:val="005A099A"/>
    <w:rsid w:val="005A0B66"/>
    <w:rsid w:val="005A2773"/>
    <w:rsid w:val="005A3A80"/>
    <w:rsid w:val="005A3C0A"/>
    <w:rsid w:val="005A3E17"/>
    <w:rsid w:val="005A5B9B"/>
    <w:rsid w:val="005A71A6"/>
    <w:rsid w:val="005B08F2"/>
    <w:rsid w:val="005B1090"/>
    <w:rsid w:val="005B12B9"/>
    <w:rsid w:val="005B205B"/>
    <w:rsid w:val="005B2240"/>
    <w:rsid w:val="005B3792"/>
    <w:rsid w:val="005B3B51"/>
    <w:rsid w:val="005B3E0B"/>
    <w:rsid w:val="005B5360"/>
    <w:rsid w:val="005B738F"/>
    <w:rsid w:val="005C0E23"/>
    <w:rsid w:val="005C0E8D"/>
    <w:rsid w:val="005C325C"/>
    <w:rsid w:val="005C4C02"/>
    <w:rsid w:val="005C58AA"/>
    <w:rsid w:val="005C71EF"/>
    <w:rsid w:val="005C72C7"/>
    <w:rsid w:val="005C753D"/>
    <w:rsid w:val="005C7DFD"/>
    <w:rsid w:val="005D0071"/>
    <w:rsid w:val="005D0928"/>
    <w:rsid w:val="005D0C7E"/>
    <w:rsid w:val="005D25A6"/>
    <w:rsid w:val="005D2A86"/>
    <w:rsid w:val="005D4F49"/>
    <w:rsid w:val="005D6020"/>
    <w:rsid w:val="005D6476"/>
    <w:rsid w:val="005D677D"/>
    <w:rsid w:val="005D6FF7"/>
    <w:rsid w:val="005D7BEB"/>
    <w:rsid w:val="005E0802"/>
    <w:rsid w:val="005E10DD"/>
    <w:rsid w:val="005E1708"/>
    <w:rsid w:val="005E1A2A"/>
    <w:rsid w:val="005E2223"/>
    <w:rsid w:val="005E3712"/>
    <w:rsid w:val="005E49D3"/>
    <w:rsid w:val="005E49DE"/>
    <w:rsid w:val="005E6C31"/>
    <w:rsid w:val="005E7246"/>
    <w:rsid w:val="005E79BA"/>
    <w:rsid w:val="005F0E77"/>
    <w:rsid w:val="005F1239"/>
    <w:rsid w:val="005F26D7"/>
    <w:rsid w:val="005F2723"/>
    <w:rsid w:val="005F2B62"/>
    <w:rsid w:val="005F4A2A"/>
    <w:rsid w:val="005F59B1"/>
    <w:rsid w:val="005F6BE6"/>
    <w:rsid w:val="006001BB"/>
    <w:rsid w:val="00600ED1"/>
    <w:rsid w:val="006023C5"/>
    <w:rsid w:val="0060308D"/>
    <w:rsid w:val="006037F4"/>
    <w:rsid w:val="00604A03"/>
    <w:rsid w:val="00604CC4"/>
    <w:rsid w:val="00605524"/>
    <w:rsid w:val="006055F3"/>
    <w:rsid w:val="006060C1"/>
    <w:rsid w:val="00606B5C"/>
    <w:rsid w:val="00607725"/>
    <w:rsid w:val="00612846"/>
    <w:rsid w:val="00612EDB"/>
    <w:rsid w:val="00612FFD"/>
    <w:rsid w:val="00614F10"/>
    <w:rsid w:val="00615D72"/>
    <w:rsid w:val="006170F4"/>
    <w:rsid w:val="006202FC"/>
    <w:rsid w:val="006205C3"/>
    <w:rsid w:val="00621330"/>
    <w:rsid w:val="00621642"/>
    <w:rsid w:val="00621EEA"/>
    <w:rsid w:val="0062216A"/>
    <w:rsid w:val="00623730"/>
    <w:rsid w:val="00625432"/>
    <w:rsid w:val="00625C51"/>
    <w:rsid w:val="00625E2D"/>
    <w:rsid w:val="00625E3E"/>
    <w:rsid w:val="00626B27"/>
    <w:rsid w:val="00627558"/>
    <w:rsid w:val="006278A8"/>
    <w:rsid w:val="006279A4"/>
    <w:rsid w:val="0063046E"/>
    <w:rsid w:val="00630929"/>
    <w:rsid w:val="00630D90"/>
    <w:rsid w:val="00631888"/>
    <w:rsid w:val="00632A84"/>
    <w:rsid w:val="00633417"/>
    <w:rsid w:val="0063475B"/>
    <w:rsid w:val="00636C76"/>
    <w:rsid w:val="00636EE2"/>
    <w:rsid w:val="0064045F"/>
    <w:rsid w:val="006410DE"/>
    <w:rsid w:val="006415AF"/>
    <w:rsid w:val="00641AB7"/>
    <w:rsid w:val="00642785"/>
    <w:rsid w:val="00642BCF"/>
    <w:rsid w:val="00643567"/>
    <w:rsid w:val="0064388C"/>
    <w:rsid w:val="006439DC"/>
    <w:rsid w:val="006440BB"/>
    <w:rsid w:val="00646B20"/>
    <w:rsid w:val="00647C02"/>
    <w:rsid w:val="00650C53"/>
    <w:rsid w:val="00654100"/>
    <w:rsid w:val="0065427B"/>
    <w:rsid w:val="00655602"/>
    <w:rsid w:val="00656425"/>
    <w:rsid w:val="0065687A"/>
    <w:rsid w:val="00656FF9"/>
    <w:rsid w:val="00657963"/>
    <w:rsid w:val="00660682"/>
    <w:rsid w:val="006611AD"/>
    <w:rsid w:val="00662D81"/>
    <w:rsid w:val="00663128"/>
    <w:rsid w:val="00663695"/>
    <w:rsid w:val="0066483B"/>
    <w:rsid w:val="00665B48"/>
    <w:rsid w:val="00666CF2"/>
    <w:rsid w:val="00666DD6"/>
    <w:rsid w:val="00667437"/>
    <w:rsid w:val="006674FD"/>
    <w:rsid w:val="00667D73"/>
    <w:rsid w:val="00670BA9"/>
    <w:rsid w:val="00670F65"/>
    <w:rsid w:val="006719B2"/>
    <w:rsid w:val="00672225"/>
    <w:rsid w:val="006734EA"/>
    <w:rsid w:val="006738A9"/>
    <w:rsid w:val="0067510D"/>
    <w:rsid w:val="0067581D"/>
    <w:rsid w:val="00675F14"/>
    <w:rsid w:val="00676426"/>
    <w:rsid w:val="00676943"/>
    <w:rsid w:val="00676C56"/>
    <w:rsid w:val="00676EE0"/>
    <w:rsid w:val="006776B9"/>
    <w:rsid w:val="00677D1B"/>
    <w:rsid w:val="00681548"/>
    <w:rsid w:val="00681871"/>
    <w:rsid w:val="00682EE5"/>
    <w:rsid w:val="00683890"/>
    <w:rsid w:val="0068524E"/>
    <w:rsid w:val="0068567D"/>
    <w:rsid w:val="00687194"/>
    <w:rsid w:val="0068762E"/>
    <w:rsid w:val="00687896"/>
    <w:rsid w:val="006903C4"/>
    <w:rsid w:val="006905E8"/>
    <w:rsid w:val="00690703"/>
    <w:rsid w:val="006921C1"/>
    <w:rsid w:val="0069267C"/>
    <w:rsid w:val="00693E3A"/>
    <w:rsid w:val="00693E45"/>
    <w:rsid w:val="0069454B"/>
    <w:rsid w:val="00696FB2"/>
    <w:rsid w:val="00697A27"/>
    <w:rsid w:val="006A0112"/>
    <w:rsid w:val="006A1029"/>
    <w:rsid w:val="006A1357"/>
    <w:rsid w:val="006A2436"/>
    <w:rsid w:val="006A3582"/>
    <w:rsid w:val="006A36BB"/>
    <w:rsid w:val="006A4C62"/>
    <w:rsid w:val="006A4C82"/>
    <w:rsid w:val="006A51CA"/>
    <w:rsid w:val="006A5706"/>
    <w:rsid w:val="006A5F70"/>
    <w:rsid w:val="006A627A"/>
    <w:rsid w:val="006A6FC1"/>
    <w:rsid w:val="006A7D4B"/>
    <w:rsid w:val="006B0638"/>
    <w:rsid w:val="006B0F84"/>
    <w:rsid w:val="006B1828"/>
    <w:rsid w:val="006B1CD5"/>
    <w:rsid w:val="006B1F68"/>
    <w:rsid w:val="006B343B"/>
    <w:rsid w:val="006B3788"/>
    <w:rsid w:val="006B400F"/>
    <w:rsid w:val="006B40A5"/>
    <w:rsid w:val="006B4108"/>
    <w:rsid w:val="006B4454"/>
    <w:rsid w:val="006B4975"/>
    <w:rsid w:val="006B5FAE"/>
    <w:rsid w:val="006B607B"/>
    <w:rsid w:val="006B69B5"/>
    <w:rsid w:val="006B69FB"/>
    <w:rsid w:val="006B6E21"/>
    <w:rsid w:val="006C01BC"/>
    <w:rsid w:val="006C2A1C"/>
    <w:rsid w:val="006C3299"/>
    <w:rsid w:val="006C3909"/>
    <w:rsid w:val="006C3A57"/>
    <w:rsid w:val="006C3A61"/>
    <w:rsid w:val="006C3A7C"/>
    <w:rsid w:val="006C3AA0"/>
    <w:rsid w:val="006C3C1C"/>
    <w:rsid w:val="006C6707"/>
    <w:rsid w:val="006C7B55"/>
    <w:rsid w:val="006D0484"/>
    <w:rsid w:val="006D3A42"/>
    <w:rsid w:val="006D5006"/>
    <w:rsid w:val="006D6F74"/>
    <w:rsid w:val="006D7B48"/>
    <w:rsid w:val="006D7D93"/>
    <w:rsid w:val="006D7E12"/>
    <w:rsid w:val="006E032A"/>
    <w:rsid w:val="006E1703"/>
    <w:rsid w:val="006E19E1"/>
    <w:rsid w:val="006E4C4C"/>
    <w:rsid w:val="006E549B"/>
    <w:rsid w:val="006E553A"/>
    <w:rsid w:val="006E6F41"/>
    <w:rsid w:val="006E78D7"/>
    <w:rsid w:val="006F038E"/>
    <w:rsid w:val="006F0E73"/>
    <w:rsid w:val="006F1949"/>
    <w:rsid w:val="006F2A19"/>
    <w:rsid w:val="006F44C0"/>
    <w:rsid w:val="006F4EBF"/>
    <w:rsid w:val="006F589D"/>
    <w:rsid w:val="006F616C"/>
    <w:rsid w:val="006F640B"/>
    <w:rsid w:val="006F6FF3"/>
    <w:rsid w:val="006F76AB"/>
    <w:rsid w:val="007012CC"/>
    <w:rsid w:val="007036E5"/>
    <w:rsid w:val="00704482"/>
    <w:rsid w:val="007100F5"/>
    <w:rsid w:val="00710562"/>
    <w:rsid w:val="00711156"/>
    <w:rsid w:val="00711E42"/>
    <w:rsid w:val="00711F50"/>
    <w:rsid w:val="00714AAE"/>
    <w:rsid w:val="00715FFD"/>
    <w:rsid w:val="007178A8"/>
    <w:rsid w:val="00717902"/>
    <w:rsid w:val="00720EE3"/>
    <w:rsid w:val="007210C5"/>
    <w:rsid w:val="0072123A"/>
    <w:rsid w:val="00721F37"/>
    <w:rsid w:val="00722927"/>
    <w:rsid w:val="00722932"/>
    <w:rsid w:val="0072360E"/>
    <w:rsid w:val="007237C8"/>
    <w:rsid w:val="00723FC6"/>
    <w:rsid w:val="007255A8"/>
    <w:rsid w:val="0072617A"/>
    <w:rsid w:val="007279D7"/>
    <w:rsid w:val="00730A19"/>
    <w:rsid w:val="007310D4"/>
    <w:rsid w:val="0073202D"/>
    <w:rsid w:val="00732268"/>
    <w:rsid w:val="00732378"/>
    <w:rsid w:val="00732CBA"/>
    <w:rsid w:val="00732F09"/>
    <w:rsid w:val="007331C2"/>
    <w:rsid w:val="00734E87"/>
    <w:rsid w:val="00735E2C"/>
    <w:rsid w:val="00736292"/>
    <w:rsid w:val="00736B40"/>
    <w:rsid w:val="00737798"/>
    <w:rsid w:val="00737889"/>
    <w:rsid w:val="007404BA"/>
    <w:rsid w:val="007409F0"/>
    <w:rsid w:val="00740F9B"/>
    <w:rsid w:val="007414E7"/>
    <w:rsid w:val="0074180D"/>
    <w:rsid w:val="00741BE0"/>
    <w:rsid w:val="007424DF"/>
    <w:rsid w:val="007426CC"/>
    <w:rsid w:val="00752956"/>
    <w:rsid w:val="007536D8"/>
    <w:rsid w:val="00755826"/>
    <w:rsid w:val="0075584D"/>
    <w:rsid w:val="00755EB2"/>
    <w:rsid w:val="00756A5B"/>
    <w:rsid w:val="00757C16"/>
    <w:rsid w:val="0076026A"/>
    <w:rsid w:val="007602F7"/>
    <w:rsid w:val="00761C40"/>
    <w:rsid w:val="00762153"/>
    <w:rsid w:val="00762725"/>
    <w:rsid w:val="00762A29"/>
    <w:rsid w:val="00762C81"/>
    <w:rsid w:val="0076327C"/>
    <w:rsid w:val="00764882"/>
    <w:rsid w:val="00764C0D"/>
    <w:rsid w:val="00764F02"/>
    <w:rsid w:val="00765961"/>
    <w:rsid w:val="00765BFA"/>
    <w:rsid w:val="007660DF"/>
    <w:rsid w:val="00766501"/>
    <w:rsid w:val="00767A18"/>
    <w:rsid w:val="00770362"/>
    <w:rsid w:val="00770FA5"/>
    <w:rsid w:val="0077149A"/>
    <w:rsid w:val="007716DA"/>
    <w:rsid w:val="0077300F"/>
    <w:rsid w:val="00774060"/>
    <w:rsid w:val="007742C6"/>
    <w:rsid w:val="007763A4"/>
    <w:rsid w:val="00780BA4"/>
    <w:rsid w:val="0078144A"/>
    <w:rsid w:val="00783502"/>
    <w:rsid w:val="007837A1"/>
    <w:rsid w:val="007838BF"/>
    <w:rsid w:val="0078523A"/>
    <w:rsid w:val="0078608F"/>
    <w:rsid w:val="007915CF"/>
    <w:rsid w:val="007919DA"/>
    <w:rsid w:val="00791E2F"/>
    <w:rsid w:val="007930C9"/>
    <w:rsid w:val="00794013"/>
    <w:rsid w:val="00794738"/>
    <w:rsid w:val="00794ACC"/>
    <w:rsid w:val="00794B6E"/>
    <w:rsid w:val="00794B8A"/>
    <w:rsid w:val="00795209"/>
    <w:rsid w:val="00796481"/>
    <w:rsid w:val="0079706A"/>
    <w:rsid w:val="00797993"/>
    <w:rsid w:val="0079BD43"/>
    <w:rsid w:val="007A080E"/>
    <w:rsid w:val="007A1BEA"/>
    <w:rsid w:val="007A237F"/>
    <w:rsid w:val="007A298F"/>
    <w:rsid w:val="007A2F14"/>
    <w:rsid w:val="007A2FF2"/>
    <w:rsid w:val="007A59C9"/>
    <w:rsid w:val="007A60BA"/>
    <w:rsid w:val="007A786F"/>
    <w:rsid w:val="007B0CAC"/>
    <w:rsid w:val="007B1269"/>
    <w:rsid w:val="007B22E9"/>
    <w:rsid w:val="007B2804"/>
    <w:rsid w:val="007B2A2C"/>
    <w:rsid w:val="007B31DA"/>
    <w:rsid w:val="007B36FF"/>
    <w:rsid w:val="007B46CF"/>
    <w:rsid w:val="007B5066"/>
    <w:rsid w:val="007B5130"/>
    <w:rsid w:val="007B5436"/>
    <w:rsid w:val="007B5AD5"/>
    <w:rsid w:val="007B7CF7"/>
    <w:rsid w:val="007C01C9"/>
    <w:rsid w:val="007C0C8F"/>
    <w:rsid w:val="007C2126"/>
    <w:rsid w:val="007C289E"/>
    <w:rsid w:val="007C2FE2"/>
    <w:rsid w:val="007C3BD2"/>
    <w:rsid w:val="007C425F"/>
    <w:rsid w:val="007C666C"/>
    <w:rsid w:val="007C67BF"/>
    <w:rsid w:val="007C67F2"/>
    <w:rsid w:val="007C73BF"/>
    <w:rsid w:val="007D04DA"/>
    <w:rsid w:val="007D3D8B"/>
    <w:rsid w:val="007D3DAC"/>
    <w:rsid w:val="007D418B"/>
    <w:rsid w:val="007D684F"/>
    <w:rsid w:val="007D7256"/>
    <w:rsid w:val="007D7BE7"/>
    <w:rsid w:val="007E0A1B"/>
    <w:rsid w:val="007E0B5E"/>
    <w:rsid w:val="007E2020"/>
    <w:rsid w:val="007E2476"/>
    <w:rsid w:val="007E49F5"/>
    <w:rsid w:val="007E4DCB"/>
    <w:rsid w:val="007F0212"/>
    <w:rsid w:val="007F1039"/>
    <w:rsid w:val="007F1FBC"/>
    <w:rsid w:val="007F23CA"/>
    <w:rsid w:val="007F264B"/>
    <w:rsid w:val="007F2B93"/>
    <w:rsid w:val="007F39B1"/>
    <w:rsid w:val="007F3A1F"/>
    <w:rsid w:val="007F4331"/>
    <w:rsid w:val="007F45EC"/>
    <w:rsid w:val="007F4CC1"/>
    <w:rsid w:val="007F6413"/>
    <w:rsid w:val="0080011B"/>
    <w:rsid w:val="00802E4D"/>
    <w:rsid w:val="0080318B"/>
    <w:rsid w:val="008031DC"/>
    <w:rsid w:val="008032ED"/>
    <w:rsid w:val="00803507"/>
    <w:rsid w:val="008058A6"/>
    <w:rsid w:val="008063DF"/>
    <w:rsid w:val="00810B7A"/>
    <w:rsid w:val="00810F40"/>
    <w:rsid w:val="0081131B"/>
    <w:rsid w:val="008116D1"/>
    <w:rsid w:val="00811DA5"/>
    <w:rsid w:val="00812002"/>
    <w:rsid w:val="00812B03"/>
    <w:rsid w:val="008134F9"/>
    <w:rsid w:val="008147B4"/>
    <w:rsid w:val="00814CC2"/>
    <w:rsid w:val="00815E7B"/>
    <w:rsid w:val="0081640F"/>
    <w:rsid w:val="00816A94"/>
    <w:rsid w:val="008175D0"/>
    <w:rsid w:val="00817EB7"/>
    <w:rsid w:val="00817F1D"/>
    <w:rsid w:val="008200B1"/>
    <w:rsid w:val="00820FBF"/>
    <w:rsid w:val="00822F34"/>
    <w:rsid w:val="00823C2D"/>
    <w:rsid w:val="008244DA"/>
    <w:rsid w:val="00824F68"/>
    <w:rsid w:val="00826AC2"/>
    <w:rsid w:val="00827C3A"/>
    <w:rsid w:val="00831CB8"/>
    <w:rsid w:val="00832112"/>
    <w:rsid w:val="0083248A"/>
    <w:rsid w:val="00832710"/>
    <w:rsid w:val="00834CCA"/>
    <w:rsid w:val="00835698"/>
    <w:rsid w:val="00835919"/>
    <w:rsid w:val="00835BE7"/>
    <w:rsid w:val="00836BA1"/>
    <w:rsid w:val="00837ED6"/>
    <w:rsid w:val="00840B59"/>
    <w:rsid w:val="00842230"/>
    <w:rsid w:val="00843505"/>
    <w:rsid w:val="00844305"/>
    <w:rsid w:val="008444EF"/>
    <w:rsid w:val="00845086"/>
    <w:rsid w:val="008458BB"/>
    <w:rsid w:val="00846253"/>
    <w:rsid w:val="00850C11"/>
    <w:rsid w:val="00852225"/>
    <w:rsid w:val="0085303F"/>
    <w:rsid w:val="00853900"/>
    <w:rsid w:val="00854897"/>
    <w:rsid w:val="00854F33"/>
    <w:rsid w:val="00855053"/>
    <w:rsid w:val="00855D51"/>
    <w:rsid w:val="00855D70"/>
    <w:rsid w:val="00855DBC"/>
    <w:rsid w:val="00857254"/>
    <w:rsid w:val="0085728A"/>
    <w:rsid w:val="008575B5"/>
    <w:rsid w:val="00857E2B"/>
    <w:rsid w:val="00860553"/>
    <w:rsid w:val="00860BAA"/>
    <w:rsid w:val="00863905"/>
    <w:rsid w:val="00865069"/>
    <w:rsid w:val="00865090"/>
    <w:rsid w:val="0086597D"/>
    <w:rsid w:val="008661FF"/>
    <w:rsid w:val="00866413"/>
    <w:rsid w:val="00870521"/>
    <w:rsid w:val="00870FB1"/>
    <w:rsid w:val="00871D09"/>
    <w:rsid w:val="00872E33"/>
    <w:rsid w:val="00873E37"/>
    <w:rsid w:val="00873E83"/>
    <w:rsid w:val="0087441C"/>
    <w:rsid w:val="0087647A"/>
    <w:rsid w:val="00876AFD"/>
    <w:rsid w:val="00877C03"/>
    <w:rsid w:val="00880521"/>
    <w:rsid w:val="00881B70"/>
    <w:rsid w:val="00882427"/>
    <w:rsid w:val="00882A63"/>
    <w:rsid w:val="00883B67"/>
    <w:rsid w:val="0088413C"/>
    <w:rsid w:val="00885598"/>
    <w:rsid w:val="00885A6B"/>
    <w:rsid w:val="00885C57"/>
    <w:rsid w:val="00886902"/>
    <w:rsid w:val="0089008C"/>
    <w:rsid w:val="00891961"/>
    <w:rsid w:val="00892830"/>
    <w:rsid w:val="0089328E"/>
    <w:rsid w:val="00893458"/>
    <w:rsid w:val="00893F36"/>
    <w:rsid w:val="00894616"/>
    <w:rsid w:val="008952B7"/>
    <w:rsid w:val="00895AC6"/>
    <w:rsid w:val="00897560"/>
    <w:rsid w:val="0089790B"/>
    <w:rsid w:val="008A0698"/>
    <w:rsid w:val="008A06C1"/>
    <w:rsid w:val="008A1DBE"/>
    <w:rsid w:val="008A2B3C"/>
    <w:rsid w:val="008A2B6F"/>
    <w:rsid w:val="008A370F"/>
    <w:rsid w:val="008A4239"/>
    <w:rsid w:val="008A4A2A"/>
    <w:rsid w:val="008A4DBF"/>
    <w:rsid w:val="008A5746"/>
    <w:rsid w:val="008A5867"/>
    <w:rsid w:val="008A5AE2"/>
    <w:rsid w:val="008A676A"/>
    <w:rsid w:val="008A7276"/>
    <w:rsid w:val="008B02E4"/>
    <w:rsid w:val="008B093E"/>
    <w:rsid w:val="008B1FDB"/>
    <w:rsid w:val="008B343C"/>
    <w:rsid w:val="008B3508"/>
    <w:rsid w:val="008B3A44"/>
    <w:rsid w:val="008B3B51"/>
    <w:rsid w:val="008B423B"/>
    <w:rsid w:val="008B4844"/>
    <w:rsid w:val="008B4988"/>
    <w:rsid w:val="008B4DB5"/>
    <w:rsid w:val="008B4E4E"/>
    <w:rsid w:val="008C0699"/>
    <w:rsid w:val="008C0EE5"/>
    <w:rsid w:val="008C16EE"/>
    <w:rsid w:val="008C1892"/>
    <w:rsid w:val="008C3228"/>
    <w:rsid w:val="008C3348"/>
    <w:rsid w:val="008C398C"/>
    <w:rsid w:val="008C41C7"/>
    <w:rsid w:val="008C48FA"/>
    <w:rsid w:val="008C49C6"/>
    <w:rsid w:val="008C5780"/>
    <w:rsid w:val="008C606A"/>
    <w:rsid w:val="008C60E4"/>
    <w:rsid w:val="008C6BFE"/>
    <w:rsid w:val="008C752F"/>
    <w:rsid w:val="008C7C61"/>
    <w:rsid w:val="008C7CA9"/>
    <w:rsid w:val="008D01CC"/>
    <w:rsid w:val="008D03F5"/>
    <w:rsid w:val="008D08DA"/>
    <w:rsid w:val="008D1A23"/>
    <w:rsid w:val="008D1DCB"/>
    <w:rsid w:val="008D1F07"/>
    <w:rsid w:val="008D20DE"/>
    <w:rsid w:val="008D2764"/>
    <w:rsid w:val="008D30C3"/>
    <w:rsid w:val="008D450C"/>
    <w:rsid w:val="008D5685"/>
    <w:rsid w:val="008D6734"/>
    <w:rsid w:val="008D7528"/>
    <w:rsid w:val="008D7D13"/>
    <w:rsid w:val="008D7EBD"/>
    <w:rsid w:val="008E08FF"/>
    <w:rsid w:val="008E19F6"/>
    <w:rsid w:val="008E2C10"/>
    <w:rsid w:val="008E2E0B"/>
    <w:rsid w:val="008E71B7"/>
    <w:rsid w:val="008E7D32"/>
    <w:rsid w:val="008F0797"/>
    <w:rsid w:val="008F0D1E"/>
    <w:rsid w:val="008F0D46"/>
    <w:rsid w:val="008F2B76"/>
    <w:rsid w:val="008F6AC9"/>
    <w:rsid w:val="008F6B08"/>
    <w:rsid w:val="008F6BFF"/>
    <w:rsid w:val="008F71EF"/>
    <w:rsid w:val="008F76BE"/>
    <w:rsid w:val="008F7F3C"/>
    <w:rsid w:val="00900403"/>
    <w:rsid w:val="00901399"/>
    <w:rsid w:val="009029A6"/>
    <w:rsid w:val="0090369F"/>
    <w:rsid w:val="009038AF"/>
    <w:rsid w:val="00903DD3"/>
    <w:rsid w:val="009040C6"/>
    <w:rsid w:val="00904869"/>
    <w:rsid w:val="00904BE4"/>
    <w:rsid w:val="00905298"/>
    <w:rsid w:val="009061EE"/>
    <w:rsid w:val="009070D6"/>
    <w:rsid w:val="0091157F"/>
    <w:rsid w:val="00911E69"/>
    <w:rsid w:val="00913733"/>
    <w:rsid w:val="00913EEC"/>
    <w:rsid w:val="0091624F"/>
    <w:rsid w:val="00916B46"/>
    <w:rsid w:val="009203C5"/>
    <w:rsid w:val="009206E6"/>
    <w:rsid w:val="00921B1B"/>
    <w:rsid w:val="00921BE2"/>
    <w:rsid w:val="00922784"/>
    <w:rsid w:val="00922DE4"/>
    <w:rsid w:val="0092358A"/>
    <w:rsid w:val="00923A63"/>
    <w:rsid w:val="00923CEC"/>
    <w:rsid w:val="009242A8"/>
    <w:rsid w:val="00924F5B"/>
    <w:rsid w:val="009261DC"/>
    <w:rsid w:val="009271CD"/>
    <w:rsid w:val="009302FA"/>
    <w:rsid w:val="00930898"/>
    <w:rsid w:val="00932280"/>
    <w:rsid w:val="009323FE"/>
    <w:rsid w:val="00932E0F"/>
    <w:rsid w:val="0093326D"/>
    <w:rsid w:val="00934F06"/>
    <w:rsid w:val="00935D3A"/>
    <w:rsid w:val="00936AA3"/>
    <w:rsid w:val="00936D20"/>
    <w:rsid w:val="00937133"/>
    <w:rsid w:val="00937DA7"/>
    <w:rsid w:val="00937ED3"/>
    <w:rsid w:val="00939EB4"/>
    <w:rsid w:val="00941CB3"/>
    <w:rsid w:val="00942CE2"/>
    <w:rsid w:val="0094307B"/>
    <w:rsid w:val="00944381"/>
    <w:rsid w:val="00944FA1"/>
    <w:rsid w:val="009454B8"/>
    <w:rsid w:val="00945872"/>
    <w:rsid w:val="009460D2"/>
    <w:rsid w:val="0094661D"/>
    <w:rsid w:val="00946EBD"/>
    <w:rsid w:val="0095036D"/>
    <w:rsid w:val="009509E1"/>
    <w:rsid w:val="0095258C"/>
    <w:rsid w:val="009525BE"/>
    <w:rsid w:val="00953C43"/>
    <w:rsid w:val="00954679"/>
    <w:rsid w:val="00955633"/>
    <w:rsid w:val="00955742"/>
    <w:rsid w:val="009557F5"/>
    <w:rsid w:val="0095617C"/>
    <w:rsid w:val="0095626E"/>
    <w:rsid w:val="009563EA"/>
    <w:rsid w:val="00956CA9"/>
    <w:rsid w:val="00956ECA"/>
    <w:rsid w:val="00957FB5"/>
    <w:rsid w:val="009602CD"/>
    <w:rsid w:val="00960BAC"/>
    <w:rsid w:val="009613EA"/>
    <w:rsid w:val="00961F95"/>
    <w:rsid w:val="009620FA"/>
    <w:rsid w:val="00962F3C"/>
    <w:rsid w:val="0096335E"/>
    <w:rsid w:val="00965E42"/>
    <w:rsid w:val="0096722B"/>
    <w:rsid w:val="0097140E"/>
    <w:rsid w:val="00972221"/>
    <w:rsid w:val="00972E4A"/>
    <w:rsid w:val="009733AA"/>
    <w:rsid w:val="00974FEE"/>
    <w:rsid w:val="00976389"/>
    <w:rsid w:val="009773EE"/>
    <w:rsid w:val="0097783D"/>
    <w:rsid w:val="0097784D"/>
    <w:rsid w:val="009818B6"/>
    <w:rsid w:val="00981D3D"/>
    <w:rsid w:val="0098212F"/>
    <w:rsid w:val="009821E4"/>
    <w:rsid w:val="00982B83"/>
    <w:rsid w:val="00982DAA"/>
    <w:rsid w:val="00983926"/>
    <w:rsid w:val="00983D46"/>
    <w:rsid w:val="009855B0"/>
    <w:rsid w:val="00986322"/>
    <w:rsid w:val="00987457"/>
    <w:rsid w:val="00987C3E"/>
    <w:rsid w:val="0099001C"/>
    <w:rsid w:val="00990420"/>
    <w:rsid w:val="0099104A"/>
    <w:rsid w:val="00991B10"/>
    <w:rsid w:val="0099283C"/>
    <w:rsid w:val="00993E77"/>
    <w:rsid w:val="00995312"/>
    <w:rsid w:val="00996965"/>
    <w:rsid w:val="00996AEB"/>
    <w:rsid w:val="00996BA6"/>
    <w:rsid w:val="00996BF5"/>
    <w:rsid w:val="00996C2B"/>
    <w:rsid w:val="00997CAB"/>
    <w:rsid w:val="009A2941"/>
    <w:rsid w:val="009A2B20"/>
    <w:rsid w:val="009A2E9D"/>
    <w:rsid w:val="009A3F53"/>
    <w:rsid w:val="009A5EC7"/>
    <w:rsid w:val="009A77AA"/>
    <w:rsid w:val="009B313E"/>
    <w:rsid w:val="009B4816"/>
    <w:rsid w:val="009B4A74"/>
    <w:rsid w:val="009B4F60"/>
    <w:rsid w:val="009B5DAB"/>
    <w:rsid w:val="009B7239"/>
    <w:rsid w:val="009C0C24"/>
    <w:rsid w:val="009C1C3C"/>
    <w:rsid w:val="009C1D9E"/>
    <w:rsid w:val="009C2E61"/>
    <w:rsid w:val="009C316F"/>
    <w:rsid w:val="009C5A9C"/>
    <w:rsid w:val="009C6434"/>
    <w:rsid w:val="009C70B5"/>
    <w:rsid w:val="009D11AE"/>
    <w:rsid w:val="009D1210"/>
    <w:rsid w:val="009D20AF"/>
    <w:rsid w:val="009D2E9B"/>
    <w:rsid w:val="009D34A9"/>
    <w:rsid w:val="009D4D02"/>
    <w:rsid w:val="009D5442"/>
    <w:rsid w:val="009D5EEC"/>
    <w:rsid w:val="009D6A68"/>
    <w:rsid w:val="009D6C54"/>
    <w:rsid w:val="009D7233"/>
    <w:rsid w:val="009D797B"/>
    <w:rsid w:val="009E0501"/>
    <w:rsid w:val="009E0F28"/>
    <w:rsid w:val="009E133F"/>
    <w:rsid w:val="009E18CF"/>
    <w:rsid w:val="009E1A63"/>
    <w:rsid w:val="009E1DE5"/>
    <w:rsid w:val="009E2150"/>
    <w:rsid w:val="009E23F7"/>
    <w:rsid w:val="009E289A"/>
    <w:rsid w:val="009E2A45"/>
    <w:rsid w:val="009E37C1"/>
    <w:rsid w:val="009E37C3"/>
    <w:rsid w:val="009E3D93"/>
    <w:rsid w:val="009E5010"/>
    <w:rsid w:val="009E66F1"/>
    <w:rsid w:val="009E76A0"/>
    <w:rsid w:val="009F2903"/>
    <w:rsid w:val="009F4270"/>
    <w:rsid w:val="009F5E07"/>
    <w:rsid w:val="009F5F1F"/>
    <w:rsid w:val="009F65A2"/>
    <w:rsid w:val="009F79EA"/>
    <w:rsid w:val="009F7BED"/>
    <w:rsid w:val="00A00671"/>
    <w:rsid w:val="00A00AF1"/>
    <w:rsid w:val="00A00BC0"/>
    <w:rsid w:val="00A00FD8"/>
    <w:rsid w:val="00A023C4"/>
    <w:rsid w:val="00A03856"/>
    <w:rsid w:val="00A03A82"/>
    <w:rsid w:val="00A0411B"/>
    <w:rsid w:val="00A04F50"/>
    <w:rsid w:val="00A05728"/>
    <w:rsid w:val="00A06073"/>
    <w:rsid w:val="00A063B1"/>
    <w:rsid w:val="00A06B17"/>
    <w:rsid w:val="00A079E3"/>
    <w:rsid w:val="00A07D32"/>
    <w:rsid w:val="00A10E97"/>
    <w:rsid w:val="00A120D9"/>
    <w:rsid w:val="00A1416D"/>
    <w:rsid w:val="00A14820"/>
    <w:rsid w:val="00A14C79"/>
    <w:rsid w:val="00A1556D"/>
    <w:rsid w:val="00A15A7F"/>
    <w:rsid w:val="00A160ED"/>
    <w:rsid w:val="00A232B1"/>
    <w:rsid w:val="00A23B61"/>
    <w:rsid w:val="00A23C0E"/>
    <w:rsid w:val="00A23CC9"/>
    <w:rsid w:val="00A23FF5"/>
    <w:rsid w:val="00A24CC1"/>
    <w:rsid w:val="00A25971"/>
    <w:rsid w:val="00A27334"/>
    <w:rsid w:val="00A31472"/>
    <w:rsid w:val="00A3183D"/>
    <w:rsid w:val="00A33302"/>
    <w:rsid w:val="00A3364C"/>
    <w:rsid w:val="00A33C10"/>
    <w:rsid w:val="00A34B4F"/>
    <w:rsid w:val="00A35556"/>
    <w:rsid w:val="00A35F45"/>
    <w:rsid w:val="00A363A4"/>
    <w:rsid w:val="00A36D9C"/>
    <w:rsid w:val="00A37FB2"/>
    <w:rsid w:val="00A40168"/>
    <w:rsid w:val="00A406BD"/>
    <w:rsid w:val="00A40CFD"/>
    <w:rsid w:val="00A40F21"/>
    <w:rsid w:val="00A413CA"/>
    <w:rsid w:val="00A41927"/>
    <w:rsid w:val="00A41EE0"/>
    <w:rsid w:val="00A43546"/>
    <w:rsid w:val="00A445B5"/>
    <w:rsid w:val="00A44F0A"/>
    <w:rsid w:val="00A45E38"/>
    <w:rsid w:val="00A46E8B"/>
    <w:rsid w:val="00A471F3"/>
    <w:rsid w:val="00A47474"/>
    <w:rsid w:val="00A47C39"/>
    <w:rsid w:val="00A503C2"/>
    <w:rsid w:val="00A50623"/>
    <w:rsid w:val="00A51F69"/>
    <w:rsid w:val="00A52406"/>
    <w:rsid w:val="00A52805"/>
    <w:rsid w:val="00A532BB"/>
    <w:rsid w:val="00A535B1"/>
    <w:rsid w:val="00A5460A"/>
    <w:rsid w:val="00A553D4"/>
    <w:rsid w:val="00A560A4"/>
    <w:rsid w:val="00A578DB"/>
    <w:rsid w:val="00A6084E"/>
    <w:rsid w:val="00A61B55"/>
    <w:rsid w:val="00A634A9"/>
    <w:rsid w:val="00A63C9C"/>
    <w:rsid w:val="00A64878"/>
    <w:rsid w:val="00A65AED"/>
    <w:rsid w:val="00A662E6"/>
    <w:rsid w:val="00A666B0"/>
    <w:rsid w:val="00A66CA3"/>
    <w:rsid w:val="00A67D9D"/>
    <w:rsid w:val="00A67E7A"/>
    <w:rsid w:val="00A71AF0"/>
    <w:rsid w:val="00A71F62"/>
    <w:rsid w:val="00A722AE"/>
    <w:rsid w:val="00A728EB"/>
    <w:rsid w:val="00A729DF"/>
    <w:rsid w:val="00A72CA0"/>
    <w:rsid w:val="00A730B9"/>
    <w:rsid w:val="00A73ABD"/>
    <w:rsid w:val="00A73E50"/>
    <w:rsid w:val="00A73E7F"/>
    <w:rsid w:val="00A74562"/>
    <w:rsid w:val="00A75E93"/>
    <w:rsid w:val="00A76927"/>
    <w:rsid w:val="00A77090"/>
    <w:rsid w:val="00A771D0"/>
    <w:rsid w:val="00A77772"/>
    <w:rsid w:val="00A82365"/>
    <w:rsid w:val="00A823E3"/>
    <w:rsid w:val="00A82E6D"/>
    <w:rsid w:val="00A83015"/>
    <w:rsid w:val="00A830AF"/>
    <w:rsid w:val="00A839E0"/>
    <w:rsid w:val="00A839F6"/>
    <w:rsid w:val="00A843DA"/>
    <w:rsid w:val="00A8448C"/>
    <w:rsid w:val="00A8551E"/>
    <w:rsid w:val="00A87290"/>
    <w:rsid w:val="00A87F0A"/>
    <w:rsid w:val="00A87FE2"/>
    <w:rsid w:val="00A91718"/>
    <w:rsid w:val="00A91B6F"/>
    <w:rsid w:val="00A94212"/>
    <w:rsid w:val="00A95FA3"/>
    <w:rsid w:val="00A96110"/>
    <w:rsid w:val="00A97678"/>
    <w:rsid w:val="00AA0B70"/>
    <w:rsid w:val="00AA0D96"/>
    <w:rsid w:val="00AA0E86"/>
    <w:rsid w:val="00AA1A73"/>
    <w:rsid w:val="00AA1AF1"/>
    <w:rsid w:val="00AA2DF3"/>
    <w:rsid w:val="00AA3B32"/>
    <w:rsid w:val="00AA3BFF"/>
    <w:rsid w:val="00AA5FC1"/>
    <w:rsid w:val="00AA63FF"/>
    <w:rsid w:val="00AA718A"/>
    <w:rsid w:val="00AA72D6"/>
    <w:rsid w:val="00AA7A58"/>
    <w:rsid w:val="00AA7C93"/>
    <w:rsid w:val="00AB0E27"/>
    <w:rsid w:val="00AB0F16"/>
    <w:rsid w:val="00AB21A8"/>
    <w:rsid w:val="00AB360A"/>
    <w:rsid w:val="00AB3866"/>
    <w:rsid w:val="00AB38B7"/>
    <w:rsid w:val="00AB5219"/>
    <w:rsid w:val="00AB5B1B"/>
    <w:rsid w:val="00AB6C85"/>
    <w:rsid w:val="00AC21C2"/>
    <w:rsid w:val="00AC25A5"/>
    <w:rsid w:val="00AC3A6C"/>
    <w:rsid w:val="00AC4E87"/>
    <w:rsid w:val="00AC51A3"/>
    <w:rsid w:val="00AC60F7"/>
    <w:rsid w:val="00AC7455"/>
    <w:rsid w:val="00AD0214"/>
    <w:rsid w:val="00AD132D"/>
    <w:rsid w:val="00AD155D"/>
    <w:rsid w:val="00AD1710"/>
    <w:rsid w:val="00AD1A95"/>
    <w:rsid w:val="00AD1F92"/>
    <w:rsid w:val="00AD2632"/>
    <w:rsid w:val="00AD26B3"/>
    <w:rsid w:val="00AD3917"/>
    <w:rsid w:val="00AD3B06"/>
    <w:rsid w:val="00AD475A"/>
    <w:rsid w:val="00AD5679"/>
    <w:rsid w:val="00AD7266"/>
    <w:rsid w:val="00AE0A70"/>
    <w:rsid w:val="00AE0F3E"/>
    <w:rsid w:val="00AE1220"/>
    <w:rsid w:val="00AE187A"/>
    <w:rsid w:val="00AE1CDE"/>
    <w:rsid w:val="00AE4300"/>
    <w:rsid w:val="00AE5DE1"/>
    <w:rsid w:val="00AE6B2A"/>
    <w:rsid w:val="00AE763E"/>
    <w:rsid w:val="00AE77D1"/>
    <w:rsid w:val="00AF0705"/>
    <w:rsid w:val="00AF0A82"/>
    <w:rsid w:val="00AF1595"/>
    <w:rsid w:val="00AF160F"/>
    <w:rsid w:val="00AF233C"/>
    <w:rsid w:val="00AF2874"/>
    <w:rsid w:val="00AF324E"/>
    <w:rsid w:val="00AF3BDD"/>
    <w:rsid w:val="00AF6542"/>
    <w:rsid w:val="00AF7DFC"/>
    <w:rsid w:val="00B003DD"/>
    <w:rsid w:val="00B014BD"/>
    <w:rsid w:val="00B01F32"/>
    <w:rsid w:val="00B03534"/>
    <w:rsid w:val="00B039B7"/>
    <w:rsid w:val="00B03B26"/>
    <w:rsid w:val="00B03C17"/>
    <w:rsid w:val="00B03D7F"/>
    <w:rsid w:val="00B053AF"/>
    <w:rsid w:val="00B07B46"/>
    <w:rsid w:val="00B07B55"/>
    <w:rsid w:val="00B11D46"/>
    <w:rsid w:val="00B11E96"/>
    <w:rsid w:val="00B1343A"/>
    <w:rsid w:val="00B14A96"/>
    <w:rsid w:val="00B15621"/>
    <w:rsid w:val="00B1677D"/>
    <w:rsid w:val="00B16DCF"/>
    <w:rsid w:val="00B1729A"/>
    <w:rsid w:val="00B223E6"/>
    <w:rsid w:val="00B230C1"/>
    <w:rsid w:val="00B23394"/>
    <w:rsid w:val="00B23403"/>
    <w:rsid w:val="00B23773"/>
    <w:rsid w:val="00B239B0"/>
    <w:rsid w:val="00B23FEE"/>
    <w:rsid w:val="00B25C04"/>
    <w:rsid w:val="00B2780B"/>
    <w:rsid w:val="00B27921"/>
    <w:rsid w:val="00B30C12"/>
    <w:rsid w:val="00B3134A"/>
    <w:rsid w:val="00B3186E"/>
    <w:rsid w:val="00B33D09"/>
    <w:rsid w:val="00B343C1"/>
    <w:rsid w:val="00B350B6"/>
    <w:rsid w:val="00B35ADB"/>
    <w:rsid w:val="00B3610C"/>
    <w:rsid w:val="00B36577"/>
    <w:rsid w:val="00B4014C"/>
    <w:rsid w:val="00B4030C"/>
    <w:rsid w:val="00B408C3"/>
    <w:rsid w:val="00B4096B"/>
    <w:rsid w:val="00B421A9"/>
    <w:rsid w:val="00B42D81"/>
    <w:rsid w:val="00B43D16"/>
    <w:rsid w:val="00B4449B"/>
    <w:rsid w:val="00B44E87"/>
    <w:rsid w:val="00B4577C"/>
    <w:rsid w:val="00B5022F"/>
    <w:rsid w:val="00B5211D"/>
    <w:rsid w:val="00B5289D"/>
    <w:rsid w:val="00B52C48"/>
    <w:rsid w:val="00B55419"/>
    <w:rsid w:val="00B555EB"/>
    <w:rsid w:val="00B55E3E"/>
    <w:rsid w:val="00B565FA"/>
    <w:rsid w:val="00B5697E"/>
    <w:rsid w:val="00B57530"/>
    <w:rsid w:val="00B601AE"/>
    <w:rsid w:val="00B6032F"/>
    <w:rsid w:val="00B60F4E"/>
    <w:rsid w:val="00B618FC"/>
    <w:rsid w:val="00B61DB3"/>
    <w:rsid w:val="00B628CE"/>
    <w:rsid w:val="00B635DD"/>
    <w:rsid w:val="00B635F5"/>
    <w:rsid w:val="00B63F11"/>
    <w:rsid w:val="00B65265"/>
    <w:rsid w:val="00B6715E"/>
    <w:rsid w:val="00B67708"/>
    <w:rsid w:val="00B67E61"/>
    <w:rsid w:val="00B67F85"/>
    <w:rsid w:val="00B701B9"/>
    <w:rsid w:val="00B72684"/>
    <w:rsid w:val="00B7321F"/>
    <w:rsid w:val="00B74D65"/>
    <w:rsid w:val="00B752F6"/>
    <w:rsid w:val="00B75E53"/>
    <w:rsid w:val="00B77719"/>
    <w:rsid w:val="00B804C1"/>
    <w:rsid w:val="00B80D2C"/>
    <w:rsid w:val="00B810A6"/>
    <w:rsid w:val="00B81126"/>
    <w:rsid w:val="00B814F4"/>
    <w:rsid w:val="00B81DD0"/>
    <w:rsid w:val="00B82467"/>
    <w:rsid w:val="00B82768"/>
    <w:rsid w:val="00B82D14"/>
    <w:rsid w:val="00B82D43"/>
    <w:rsid w:val="00B8318C"/>
    <w:rsid w:val="00B83203"/>
    <w:rsid w:val="00B83F36"/>
    <w:rsid w:val="00B8461B"/>
    <w:rsid w:val="00B84E9B"/>
    <w:rsid w:val="00B863A0"/>
    <w:rsid w:val="00B8666E"/>
    <w:rsid w:val="00B875C7"/>
    <w:rsid w:val="00B901DA"/>
    <w:rsid w:val="00B90370"/>
    <w:rsid w:val="00B91360"/>
    <w:rsid w:val="00B91E65"/>
    <w:rsid w:val="00B92794"/>
    <w:rsid w:val="00B92977"/>
    <w:rsid w:val="00B94581"/>
    <w:rsid w:val="00B94FCA"/>
    <w:rsid w:val="00BA01E4"/>
    <w:rsid w:val="00BA03B9"/>
    <w:rsid w:val="00BA1DA1"/>
    <w:rsid w:val="00BA2826"/>
    <w:rsid w:val="00BA3C0D"/>
    <w:rsid w:val="00BA4ECC"/>
    <w:rsid w:val="00BA5EC8"/>
    <w:rsid w:val="00BA5F1D"/>
    <w:rsid w:val="00BA6542"/>
    <w:rsid w:val="00BA70EA"/>
    <w:rsid w:val="00BA7D45"/>
    <w:rsid w:val="00BB0DF8"/>
    <w:rsid w:val="00BB3BAD"/>
    <w:rsid w:val="00BB3F00"/>
    <w:rsid w:val="00BB490E"/>
    <w:rsid w:val="00BB66F7"/>
    <w:rsid w:val="00BB7C2E"/>
    <w:rsid w:val="00BC08FE"/>
    <w:rsid w:val="00BC1FF0"/>
    <w:rsid w:val="00BC2171"/>
    <w:rsid w:val="00BC2345"/>
    <w:rsid w:val="00BC24DB"/>
    <w:rsid w:val="00BC24E5"/>
    <w:rsid w:val="00BC24ED"/>
    <w:rsid w:val="00BC2E7D"/>
    <w:rsid w:val="00BC5BFD"/>
    <w:rsid w:val="00BC67DE"/>
    <w:rsid w:val="00BC6B4F"/>
    <w:rsid w:val="00BC73E5"/>
    <w:rsid w:val="00BC7422"/>
    <w:rsid w:val="00BD089C"/>
    <w:rsid w:val="00BD0BBD"/>
    <w:rsid w:val="00BD2C9B"/>
    <w:rsid w:val="00BD312B"/>
    <w:rsid w:val="00BD31B9"/>
    <w:rsid w:val="00BD3706"/>
    <w:rsid w:val="00BD3F21"/>
    <w:rsid w:val="00BD436C"/>
    <w:rsid w:val="00BD6419"/>
    <w:rsid w:val="00BD66D2"/>
    <w:rsid w:val="00BD7909"/>
    <w:rsid w:val="00BE034C"/>
    <w:rsid w:val="00BE0E46"/>
    <w:rsid w:val="00BE106F"/>
    <w:rsid w:val="00BE1C04"/>
    <w:rsid w:val="00BE1D84"/>
    <w:rsid w:val="00BE2E73"/>
    <w:rsid w:val="00BE32D0"/>
    <w:rsid w:val="00BE4AA1"/>
    <w:rsid w:val="00BE4B68"/>
    <w:rsid w:val="00BE519B"/>
    <w:rsid w:val="00BE5730"/>
    <w:rsid w:val="00BE6064"/>
    <w:rsid w:val="00BE60DE"/>
    <w:rsid w:val="00BE7AEB"/>
    <w:rsid w:val="00BE7F9A"/>
    <w:rsid w:val="00BF0240"/>
    <w:rsid w:val="00BF0604"/>
    <w:rsid w:val="00BF174C"/>
    <w:rsid w:val="00BF1982"/>
    <w:rsid w:val="00BF2110"/>
    <w:rsid w:val="00BF234D"/>
    <w:rsid w:val="00BF3B34"/>
    <w:rsid w:val="00BF4275"/>
    <w:rsid w:val="00BF49A8"/>
    <w:rsid w:val="00BF664F"/>
    <w:rsid w:val="00BF69A1"/>
    <w:rsid w:val="00BF6DAA"/>
    <w:rsid w:val="00C005EC"/>
    <w:rsid w:val="00C013EC"/>
    <w:rsid w:val="00C031BC"/>
    <w:rsid w:val="00C03B5E"/>
    <w:rsid w:val="00C04241"/>
    <w:rsid w:val="00C05A5C"/>
    <w:rsid w:val="00C0631C"/>
    <w:rsid w:val="00C0787B"/>
    <w:rsid w:val="00C104BA"/>
    <w:rsid w:val="00C111E0"/>
    <w:rsid w:val="00C1197F"/>
    <w:rsid w:val="00C11CF4"/>
    <w:rsid w:val="00C11D2A"/>
    <w:rsid w:val="00C1510E"/>
    <w:rsid w:val="00C15DB1"/>
    <w:rsid w:val="00C165F5"/>
    <w:rsid w:val="00C172ED"/>
    <w:rsid w:val="00C17DB3"/>
    <w:rsid w:val="00C21401"/>
    <w:rsid w:val="00C220E7"/>
    <w:rsid w:val="00C2338A"/>
    <w:rsid w:val="00C2469E"/>
    <w:rsid w:val="00C267B2"/>
    <w:rsid w:val="00C26D6D"/>
    <w:rsid w:val="00C27C07"/>
    <w:rsid w:val="00C27F7E"/>
    <w:rsid w:val="00C31DB1"/>
    <w:rsid w:val="00C32344"/>
    <w:rsid w:val="00C33148"/>
    <w:rsid w:val="00C34472"/>
    <w:rsid w:val="00C35D3C"/>
    <w:rsid w:val="00C35F5C"/>
    <w:rsid w:val="00C36001"/>
    <w:rsid w:val="00C3726C"/>
    <w:rsid w:val="00C40DA0"/>
    <w:rsid w:val="00C40FB8"/>
    <w:rsid w:val="00C41AD9"/>
    <w:rsid w:val="00C41CE0"/>
    <w:rsid w:val="00C4231B"/>
    <w:rsid w:val="00C42BBE"/>
    <w:rsid w:val="00C43FF2"/>
    <w:rsid w:val="00C451F7"/>
    <w:rsid w:val="00C4525E"/>
    <w:rsid w:val="00C4572A"/>
    <w:rsid w:val="00C46799"/>
    <w:rsid w:val="00C46AB7"/>
    <w:rsid w:val="00C46F94"/>
    <w:rsid w:val="00C4712F"/>
    <w:rsid w:val="00C471E0"/>
    <w:rsid w:val="00C47465"/>
    <w:rsid w:val="00C47D07"/>
    <w:rsid w:val="00C50509"/>
    <w:rsid w:val="00C51085"/>
    <w:rsid w:val="00C512AB"/>
    <w:rsid w:val="00C51EBE"/>
    <w:rsid w:val="00C521F2"/>
    <w:rsid w:val="00C52369"/>
    <w:rsid w:val="00C52383"/>
    <w:rsid w:val="00C52649"/>
    <w:rsid w:val="00C53517"/>
    <w:rsid w:val="00C53D2D"/>
    <w:rsid w:val="00C547E4"/>
    <w:rsid w:val="00C57CA7"/>
    <w:rsid w:val="00C62003"/>
    <w:rsid w:val="00C62D39"/>
    <w:rsid w:val="00C637DB"/>
    <w:rsid w:val="00C64258"/>
    <w:rsid w:val="00C64899"/>
    <w:rsid w:val="00C64DD7"/>
    <w:rsid w:val="00C65258"/>
    <w:rsid w:val="00C65393"/>
    <w:rsid w:val="00C655F8"/>
    <w:rsid w:val="00C65EB0"/>
    <w:rsid w:val="00C66BBB"/>
    <w:rsid w:val="00C67526"/>
    <w:rsid w:val="00C67A3D"/>
    <w:rsid w:val="00C67E40"/>
    <w:rsid w:val="00C705F5"/>
    <w:rsid w:val="00C70E40"/>
    <w:rsid w:val="00C71B82"/>
    <w:rsid w:val="00C75198"/>
    <w:rsid w:val="00C7612C"/>
    <w:rsid w:val="00C76DA1"/>
    <w:rsid w:val="00C8051E"/>
    <w:rsid w:val="00C8148F"/>
    <w:rsid w:val="00C81B52"/>
    <w:rsid w:val="00C81CAF"/>
    <w:rsid w:val="00C823F1"/>
    <w:rsid w:val="00C83146"/>
    <w:rsid w:val="00C85609"/>
    <w:rsid w:val="00C87447"/>
    <w:rsid w:val="00C87A5F"/>
    <w:rsid w:val="00C905BF"/>
    <w:rsid w:val="00C91953"/>
    <w:rsid w:val="00C91D11"/>
    <w:rsid w:val="00C920F9"/>
    <w:rsid w:val="00C92813"/>
    <w:rsid w:val="00C9318C"/>
    <w:rsid w:val="00C93ADC"/>
    <w:rsid w:val="00C9496D"/>
    <w:rsid w:val="00C94CD4"/>
    <w:rsid w:val="00C94F3D"/>
    <w:rsid w:val="00C950A2"/>
    <w:rsid w:val="00C9516D"/>
    <w:rsid w:val="00C95776"/>
    <w:rsid w:val="00C963D8"/>
    <w:rsid w:val="00C96B19"/>
    <w:rsid w:val="00C97EA5"/>
    <w:rsid w:val="00C97F8E"/>
    <w:rsid w:val="00CA2A08"/>
    <w:rsid w:val="00CA5088"/>
    <w:rsid w:val="00CA516D"/>
    <w:rsid w:val="00CA57BA"/>
    <w:rsid w:val="00CA5EB3"/>
    <w:rsid w:val="00CA6285"/>
    <w:rsid w:val="00CA7DB3"/>
    <w:rsid w:val="00CB095F"/>
    <w:rsid w:val="00CB1DB3"/>
    <w:rsid w:val="00CB3307"/>
    <w:rsid w:val="00CB4672"/>
    <w:rsid w:val="00CB5017"/>
    <w:rsid w:val="00CB552F"/>
    <w:rsid w:val="00CB5541"/>
    <w:rsid w:val="00CB5722"/>
    <w:rsid w:val="00CB766D"/>
    <w:rsid w:val="00CC2C15"/>
    <w:rsid w:val="00CC3030"/>
    <w:rsid w:val="00CC3C03"/>
    <w:rsid w:val="00CC4731"/>
    <w:rsid w:val="00CC49B3"/>
    <w:rsid w:val="00CC6BEB"/>
    <w:rsid w:val="00CD0194"/>
    <w:rsid w:val="00CD14F2"/>
    <w:rsid w:val="00CD2933"/>
    <w:rsid w:val="00CD2D0E"/>
    <w:rsid w:val="00CD2D2D"/>
    <w:rsid w:val="00CD3FC5"/>
    <w:rsid w:val="00CD4413"/>
    <w:rsid w:val="00CD5738"/>
    <w:rsid w:val="00CD670C"/>
    <w:rsid w:val="00CD679A"/>
    <w:rsid w:val="00CD6F74"/>
    <w:rsid w:val="00CD7B5B"/>
    <w:rsid w:val="00CE2BAB"/>
    <w:rsid w:val="00CE305C"/>
    <w:rsid w:val="00CE4235"/>
    <w:rsid w:val="00CE48A9"/>
    <w:rsid w:val="00CE5E58"/>
    <w:rsid w:val="00CEB2D2"/>
    <w:rsid w:val="00CF0C7E"/>
    <w:rsid w:val="00CF0EF0"/>
    <w:rsid w:val="00CF1C9A"/>
    <w:rsid w:val="00CF278B"/>
    <w:rsid w:val="00CF2DAE"/>
    <w:rsid w:val="00CF35A4"/>
    <w:rsid w:val="00CF383B"/>
    <w:rsid w:val="00CF4306"/>
    <w:rsid w:val="00CF5C6E"/>
    <w:rsid w:val="00CF5E29"/>
    <w:rsid w:val="00CF5EB1"/>
    <w:rsid w:val="00CF5F01"/>
    <w:rsid w:val="00CF64D2"/>
    <w:rsid w:val="00D0008C"/>
    <w:rsid w:val="00D00AA9"/>
    <w:rsid w:val="00D021B8"/>
    <w:rsid w:val="00D0354D"/>
    <w:rsid w:val="00D056A3"/>
    <w:rsid w:val="00D07818"/>
    <w:rsid w:val="00D11048"/>
    <w:rsid w:val="00D11321"/>
    <w:rsid w:val="00D1160F"/>
    <w:rsid w:val="00D12341"/>
    <w:rsid w:val="00D126A0"/>
    <w:rsid w:val="00D12A7A"/>
    <w:rsid w:val="00D12D5C"/>
    <w:rsid w:val="00D14E9E"/>
    <w:rsid w:val="00D1564A"/>
    <w:rsid w:val="00D15C73"/>
    <w:rsid w:val="00D16F5D"/>
    <w:rsid w:val="00D17880"/>
    <w:rsid w:val="00D2012F"/>
    <w:rsid w:val="00D20131"/>
    <w:rsid w:val="00D20153"/>
    <w:rsid w:val="00D20843"/>
    <w:rsid w:val="00D21801"/>
    <w:rsid w:val="00D21EBF"/>
    <w:rsid w:val="00D22B55"/>
    <w:rsid w:val="00D254AA"/>
    <w:rsid w:val="00D2641B"/>
    <w:rsid w:val="00D27564"/>
    <w:rsid w:val="00D276D2"/>
    <w:rsid w:val="00D34A04"/>
    <w:rsid w:val="00D35BA5"/>
    <w:rsid w:val="00D35F52"/>
    <w:rsid w:val="00D36300"/>
    <w:rsid w:val="00D366E3"/>
    <w:rsid w:val="00D36803"/>
    <w:rsid w:val="00D36D6C"/>
    <w:rsid w:val="00D37C90"/>
    <w:rsid w:val="00D412D5"/>
    <w:rsid w:val="00D41EE8"/>
    <w:rsid w:val="00D42238"/>
    <w:rsid w:val="00D42B9A"/>
    <w:rsid w:val="00D43E83"/>
    <w:rsid w:val="00D44474"/>
    <w:rsid w:val="00D444A8"/>
    <w:rsid w:val="00D45E2B"/>
    <w:rsid w:val="00D463DB"/>
    <w:rsid w:val="00D46FAC"/>
    <w:rsid w:val="00D4744F"/>
    <w:rsid w:val="00D476A2"/>
    <w:rsid w:val="00D50906"/>
    <w:rsid w:val="00D5158B"/>
    <w:rsid w:val="00D52BA5"/>
    <w:rsid w:val="00D52D43"/>
    <w:rsid w:val="00D52FD6"/>
    <w:rsid w:val="00D53C1C"/>
    <w:rsid w:val="00D54008"/>
    <w:rsid w:val="00D54874"/>
    <w:rsid w:val="00D559C0"/>
    <w:rsid w:val="00D5667C"/>
    <w:rsid w:val="00D56890"/>
    <w:rsid w:val="00D56963"/>
    <w:rsid w:val="00D56BA5"/>
    <w:rsid w:val="00D57AB2"/>
    <w:rsid w:val="00D61A61"/>
    <w:rsid w:val="00D6234A"/>
    <w:rsid w:val="00D6257E"/>
    <w:rsid w:val="00D64050"/>
    <w:rsid w:val="00D66010"/>
    <w:rsid w:val="00D66821"/>
    <w:rsid w:val="00D6781C"/>
    <w:rsid w:val="00D70BBE"/>
    <w:rsid w:val="00D71867"/>
    <w:rsid w:val="00D7247D"/>
    <w:rsid w:val="00D72C73"/>
    <w:rsid w:val="00D72D58"/>
    <w:rsid w:val="00D743F4"/>
    <w:rsid w:val="00D744F4"/>
    <w:rsid w:val="00D749D0"/>
    <w:rsid w:val="00D7608E"/>
    <w:rsid w:val="00D806D3"/>
    <w:rsid w:val="00D816C9"/>
    <w:rsid w:val="00D824A6"/>
    <w:rsid w:val="00D82700"/>
    <w:rsid w:val="00D82C6F"/>
    <w:rsid w:val="00D83E66"/>
    <w:rsid w:val="00D85B85"/>
    <w:rsid w:val="00D8649E"/>
    <w:rsid w:val="00D866EC"/>
    <w:rsid w:val="00D86782"/>
    <w:rsid w:val="00D90572"/>
    <w:rsid w:val="00D90A16"/>
    <w:rsid w:val="00D90B52"/>
    <w:rsid w:val="00D90FCA"/>
    <w:rsid w:val="00D9184E"/>
    <w:rsid w:val="00D918F5"/>
    <w:rsid w:val="00D91FF3"/>
    <w:rsid w:val="00D92594"/>
    <w:rsid w:val="00D934D6"/>
    <w:rsid w:val="00D939D5"/>
    <w:rsid w:val="00D943D2"/>
    <w:rsid w:val="00D95267"/>
    <w:rsid w:val="00D954D5"/>
    <w:rsid w:val="00DA1D9E"/>
    <w:rsid w:val="00DA29C4"/>
    <w:rsid w:val="00DA3791"/>
    <w:rsid w:val="00DA4FD0"/>
    <w:rsid w:val="00DA6DC4"/>
    <w:rsid w:val="00DB175C"/>
    <w:rsid w:val="00DB1B66"/>
    <w:rsid w:val="00DB1B87"/>
    <w:rsid w:val="00DB31CB"/>
    <w:rsid w:val="00DB4C32"/>
    <w:rsid w:val="00DB5430"/>
    <w:rsid w:val="00DB5496"/>
    <w:rsid w:val="00DB55F1"/>
    <w:rsid w:val="00DB6BB9"/>
    <w:rsid w:val="00DB6EA6"/>
    <w:rsid w:val="00DB72DE"/>
    <w:rsid w:val="00DC1B03"/>
    <w:rsid w:val="00DC1D65"/>
    <w:rsid w:val="00DC52F0"/>
    <w:rsid w:val="00DC533D"/>
    <w:rsid w:val="00DC5EF3"/>
    <w:rsid w:val="00DC617A"/>
    <w:rsid w:val="00DC6BE6"/>
    <w:rsid w:val="00DC7D31"/>
    <w:rsid w:val="00DD18CE"/>
    <w:rsid w:val="00DD1C67"/>
    <w:rsid w:val="00DD2614"/>
    <w:rsid w:val="00DD28A4"/>
    <w:rsid w:val="00DD3DC5"/>
    <w:rsid w:val="00DD4722"/>
    <w:rsid w:val="00DD4DFF"/>
    <w:rsid w:val="00DD6011"/>
    <w:rsid w:val="00DE0190"/>
    <w:rsid w:val="00DE01F6"/>
    <w:rsid w:val="00DE076D"/>
    <w:rsid w:val="00DE07E8"/>
    <w:rsid w:val="00DE131B"/>
    <w:rsid w:val="00DE2B5B"/>
    <w:rsid w:val="00DE3A02"/>
    <w:rsid w:val="00DE425D"/>
    <w:rsid w:val="00DE454F"/>
    <w:rsid w:val="00DE4E88"/>
    <w:rsid w:val="00DE6568"/>
    <w:rsid w:val="00DE6F19"/>
    <w:rsid w:val="00DF04F6"/>
    <w:rsid w:val="00DF28D6"/>
    <w:rsid w:val="00DF2C38"/>
    <w:rsid w:val="00DF2D14"/>
    <w:rsid w:val="00DF4DAB"/>
    <w:rsid w:val="00DF6A4A"/>
    <w:rsid w:val="00DF795C"/>
    <w:rsid w:val="00DF7F18"/>
    <w:rsid w:val="00E00682"/>
    <w:rsid w:val="00E009A0"/>
    <w:rsid w:val="00E012BC"/>
    <w:rsid w:val="00E03E30"/>
    <w:rsid w:val="00E05E18"/>
    <w:rsid w:val="00E069F3"/>
    <w:rsid w:val="00E10470"/>
    <w:rsid w:val="00E10FDF"/>
    <w:rsid w:val="00E12BA2"/>
    <w:rsid w:val="00E13140"/>
    <w:rsid w:val="00E1319A"/>
    <w:rsid w:val="00E1356A"/>
    <w:rsid w:val="00E1425E"/>
    <w:rsid w:val="00E1539C"/>
    <w:rsid w:val="00E153E8"/>
    <w:rsid w:val="00E170CB"/>
    <w:rsid w:val="00E1767C"/>
    <w:rsid w:val="00E17D5D"/>
    <w:rsid w:val="00E17DD3"/>
    <w:rsid w:val="00E20196"/>
    <w:rsid w:val="00E20AFB"/>
    <w:rsid w:val="00E211C7"/>
    <w:rsid w:val="00E2122A"/>
    <w:rsid w:val="00E235A6"/>
    <w:rsid w:val="00E23A14"/>
    <w:rsid w:val="00E23B41"/>
    <w:rsid w:val="00E23B9C"/>
    <w:rsid w:val="00E24111"/>
    <w:rsid w:val="00E2430C"/>
    <w:rsid w:val="00E24547"/>
    <w:rsid w:val="00E24798"/>
    <w:rsid w:val="00E247F3"/>
    <w:rsid w:val="00E259DC"/>
    <w:rsid w:val="00E25E21"/>
    <w:rsid w:val="00E26174"/>
    <w:rsid w:val="00E26DC8"/>
    <w:rsid w:val="00E2766A"/>
    <w:rsid w:val="00E27CB4"/>
    <w:rsid w:val="00E30EE0"/>
    <w:rsid w:val="00E317C7"/>
    <w:rsid w:val="00E318C4"/>
    <w:rsid w:val="00E3511D"/>
    <w:rsid w:val="00E361CA"/>
    <w:rsid w:val="00E362D1"/>
    <w:rsid w:val="00E40EE2"/>
    <w:rsid w:val="00E43167"/>
    <w:rsid w:val="00E431A1"/>
    <w:rsid w:val="00E43386"/>
    <w:rsid w:val="00E43D42"/>
    <w:rsid w:val="00E44BF3"/>
    <w:rsid w:val="00E44D2E"/>
    <w:rsid w:val="00E46FA3"/>
    <w:rsid w:val="00E47326"/>
    <w:rsid w:val="00E47E75"/>
    <w:rsid w:val="00E47FA0"/>
    <w:rsid w:val="00E50145"/>
    <w:rsid w:val="00E501B6"/>
    <w:rsid w:val="00E5047D"/>
    <w:rsid w:val="00E505D5"/>
    <w:rsid w:val="00E50A6D"/>
    <w:rsid w:val="00E52699"/>
    <w:rsid w:val="00E552D5"/>
    <w:rsid w:val="00E5562F"/>
    <w:rsid w:val="00E55BCA"/>
    <w:rsid w:val="00E56C72"/>
    <w:rsid w:val="00E56CDD"/>
    <w:rsid w:val="00E5733F"/>
    <w:rsid w:val="00E6037A"/>
    <w:rsid w:val="00E6173C"/>
    <w:rsid w:val="00E618DD"/>
    <w:rsid w:val="00E61A1E"/>
    <w:rsid w:val="00E61E10"/>
    <w:rsid w:val="00E6312C"/>
    <w:rsid w:val="00E645EA"/>
    <w:rsid w:val="00E646B1"/>
    <w:rsid w:val="00E70FCB"/>
    <w:rsid w:val="00E71848"/>
    <w:rsid w:val="00E71A79"/>
    <w:rsid w:val="00E71F33"/>
    <w:rsid w:val="00E7279F"/>
    <w:rsid w:val="00E73973"/>
    <w:rsid w:val="00E74E6D"/>
    <w:rsid w:val="00E75C3B"/>
    <w:rsid w:val="00E75D0E"/>
    <w:rsid w:val="00E773E4"/>
    <w:rsid w:val="00E80012"/>
    <w:rsid w:val="00E8046B"/>
    <w:rsid w:val="00E80C43"/>
    <w:rsid w:val="00E80F7E"/>
    <w:rsid w:val="00E817C9"/>
    <w:rsid w:val="00E81AA2"/>
    <w:rsid w:val="00E83E90"/>
    <w:rsid w:val="00E84821"/>
    <w:rsid w:val="00E85C54"/>
    <w:rsid w:val="00E867B1"/>
    <w:rsid w:val="00E87A9E"/>
    <w:rsid w:val="00E90B6A"/>
    <w:rsid w:val="00E90C81"/>
    <w:rsid w:val="00E90DB8"/>
    <w:rsid w:val="00E91DF2"/>
    <w:rsid w:val="00E91E6C"/>
    <w:rsid w:val="00E92601"/>
    <w:rsid w:val="00E92A2A"/>
    <w:rsid w:val="00E934EF"/>
    <w:rsid w:val="00E95F3F"/>
    <w:rsid w:val="00E96042"/>
    <w:rsid w:val="00E9649C"/>
    <w:rsid w:val="00E964A0"/>
    <w:rsid w:val="00E971F3"/>
    <w:rsid w:val="00E97998"/>
    <w:rsid w:val="00E97F11"/>
    <w:rsid w:val="00EA0D6E"/>
    <w:rsid w:val="00EA0F33"/>
    <w:rsid w:val="00EA31B6"/>
    <w:rsid w:val="00EA4D79"/>
    <w:rsid w:val="00EA6BCE"/>
    <w:rsid w:val="00EB0C65"/>
    <w:rsid w:val="00EB1B57"/>
    <w:rsid w:val="00EB1DF4"/>
    <w:rsid w:val="00EB30C7"/>
    <w:rsid w:val="00EB37BC"/>
    <w:rsid w:val="00EB3FF8"/>
    <w:rsid w:val="00EB5348"/>
    <w:rsid w:val="00EB539C"/>
    <w:rsid w:val="00EB5875"/>
    <w:rsid w:val="00EB58A9"/>
    <w:rsid w:val="00EB6AC9"/>
    <w:rsid w:val="00EB6AD3"/>
    <w:rsid w:val="00EB6D7C"/>
    <w:rsid w:val="00EB6F93"/>
    <w:rsid w:val="00EB7004"/>
    <w:rsid w:val="00EB7B1C"/>
    <w:rsid w:val="00EC07A5"/>
    <w:rsid w:val="00EC1749"/>
    <w:rsid w:val="00EC3902"/>
    <w:rsid w:val="00EC5452"/>
    <w:rsid w:val="00EC5463"/>
    <w:rsid w:val="00EC59B6"/>
    <w:rsid w:val="00EC66C0"/>
    <w:rsid w:val="00EC6FEE"/>
    <w:rsid w:val="00EC7353"/>
    <w:rsid w:val="00EC7728"/>
    <w:rsid w:val="00ED03C6"/>
    <w:rsid w:val="00ED09D2"/>
    <w:rsid w:val="00ED13D3"/>
    <w:rsid w:val="00ED3A71"/>
    <w:rsid w:val="00ED3DA5"/>
    <w:rsid w:val="00ED454B"/>
    <w:rsid w:val="00ED6A4B"/>
    <w:rsid w:val="00ED7BBB"/>
    <w:rsid w:val="00EE0A72"/>
    <w:rsid w:val="00EE41E2"/>
    <w:rsid w:val="00EE511E"/>
    <w:rsid w:val="00EE540F"/>
    <w:rsid w:val="00EE5B63"/>
    <w:rsid w:val="00EE6D43"/>
    <w:rsid w:val="00EE6ED9"/>
    <w:rsid w:val="00EE70E5"/>
    <w:rsid w:val="00EF0C09"/>
    <w:rsid w:val="00EF1DBC"/>
    <w:rsid w:val="00EF1ECC"/>
    <w:rsid w:val="00EF2EC3"/>
    <w:rsid w:val="00EF31A7"/>
    <w:rsid w:val="00EF3492"/>
    <w:rsid w:val="00EF5430"/>
    <w:rsid w:val="00EF69A4"/>
    <w:rsid w:val="00F0030B"/>
    <w:rsid w:val="00F0104B"/>
    <w:rsid w:val="00F011DD"/>
    <w:rsid w:val="00F0295C"/>
    <w:rsid w:val="00F02960"/>
    <w:rsid w:val="00F029F1"/>
    <w:rsid w:val="00F03647"/>
    <w:rsid w:val="00F03E61"/>
    <w:rsid w:val="00F03EFD"/>
    <w:rsid w:val="00F045E6"/>
    <w:rsid w:val="00F04783"/>
    <w:rsid w:val="00F049DF"/>
    <w:rsid w:val="00F05222"/>
    <w:rsid w:val="00F107ED"/>
    <w:rsid w:val="00F111D4"/>
    <w:rsid w:val="00F11FBA"/>
    <w:rsid w:val="00F12FFE"/>
    <w:rsid w:val="00F131B4"/>
    <w:rsid w:val="00F14416"/>
    <w:rsid w:val="00F14A17"/>
    <w:rsid w:val="00F151D6"/>
    <w:rsid w:val="00F15543"/>
    <w:rsid w:val="00F161CC"/>
    <w:rsid w:val="00F162B8"/>
    <w:rsid w:val="00F20A4F"/>
    <w:rsid w:val="00F20FD2"/>
    <w:rsid w:val="00F216AD"/>
    <w:rsid w:val="00F21757"/>
    <w:rsid w:val="00F2182F"/>
    <w:rsid w:val="00F220CB"/>
    <w:rsid w:val="00F22638"/>
    <w:rsid w:val="00F22992"/>
    <w:rsid w:val="00F22F6B"/>
    <w:rsid w:val="00F237C9"/>
    <w:rsid w:val="00F23EB2"/>
    <w:rsid w:val="00F311CA"/>
    <w:rsid w:val="00F3128F"/>
    <w:rsid w:val="00F31492"/>
    <w:rsid w:val="00F318C2"/>
    <w:rsid w:val="00F31D56"/>
    <w:rsid w:val="00F33440"/>
    <w:rsid w:val="00F33D73"/>
    <w:rsid w:val="00F342D2"/>
    <w:rsid w:val="00F34570"/>
    <w:rsid w:val="00F36289"/>
    <w:rsid w:val="00F364C5"/>
    <w:rsid w:val="00F37403"/>
    <w:rsid w:val="00F37B2E"/>
    <w:rsid w:val="00F42482"/>
    <w:rsid w:val="00F43708"/>
    <w:rsid w:val="00F447D7"/>
    <w:rsid w:val="00F44898"/>
    <w:rsid w:val="00F44ECC"/>
    <w:rsid w:val="00F45698"/>
    <w:rsid w:val="00F45C15"/>
    <w:rsid w:val="00F46181"/>
    <w:rsid w:val="00F47622"/>
    <w:rsid w:val="00F47638"/>
    <w:rsid w:val="00F55677"/>
    <w:rsid w:val="00F5581D"/>
    <w:rsid w:val="00F55DA9"/>
    <w:rsid w:val="00F57592"/>
    <w:rsid w:val="00F57717"/>
    <w:rsid w:val="00F5772C"/>
    <w:rsid w:val="00F6069D"/>
    <w:rsid w:val="00F61ADF"/>
    <w:rsid w:val="00F628B5"/>
    <w:rsid w:val="00F628D6"/>
    <w:rsid w:val="00F63D6B"/>
    <w:rsid w:val="00F64F00"/>
    <w:rsid w:val="00F65A81"/>
    <w:rsid w:val="00F65F2E"/>
    <w:rsid w:val="00F66753"/>
    <w:rsid w:val="00F6708A"/>
    <w:rsid w:val="00F70117"/>
    <w:rsid w:val="00F7108C"/>
    <w:rsid w:val="00F7169A"/>
    <w:rsid w:val="00F71B50"/>
    <w:rsid w:val="00F7218D"/>
    <w:rsid w:val="00F75446"/>
    <w:rsid w:val="00F75C58"/>
    <w:rsid w:val="00F76527"/>
    <w:rsid w:val="00F776DB"/>
    <w:rsid w:val="00F8170F"/>
    <w:rsid w:val="00F81B40"/>
    <w:rsid w:val="00F82200"/>
    <w:rsid w:val="00F828B6"/>
    <w:rsid w:val="00F82FE7"/>
    <w:rsid w:val="00F83557"/>
    <w:rsid w:val="00F83B41"/>
    <w:rsid w:val="00F86998"/>
    <w:rsid w:val="00F9076E"/>
    <w:rsid w:val="00F909D9"/>
    <w:rsid w:val="00F9183B"/>
    <w:rsid w:val="00F92634"/>
    <w:rsid w:val="00F94025"/>
    <w:rsid w:val="00F94A42"/>
    <w:rsid w:val="00F94C30"/>
    <w:rsid w:val="00F95C89"/>
    <w:rsid w:val="00F972AC"/>
    <w:rsid w:val="00F97F24"/>
    <w:rsid w:val="00FA0033"/>
    <w:rsid w:val="00FA04F5"/>
    <w:rsid w:val="00FA0DBC"/>
    <w:rsid w:val="00FA18FE"/>
    <w:rsid w:val="00FA1ABE"/>
    <w:rsid w:val="00FA1F22"/>
    <w:rsid w:val="00FA2009"/>
    <w:rsid w:val="00FA29E5"/>
    <w:rsid w:val="00FA2D02"/>
    <w:rsid w:val="00FA34B1"/>
    <w:rsid w:val="00FA395C"/>
    <w:rsid w:val="00FA3B03"/>
    <w:rsid w:val="00FA43BC"/>
    <w:rsid w:val="00FA6A85"/>
    <w:rsid w:val="00FA7ED1"/>
    <w:rsid w:val="00FB09AD"/>
    <w:rsid w:val="00FB0E83"/>
    <w:rsid w:val="00FB16CF"/>
    <w:rsid w:val="00FB31DF"/>
    <w:rsid w:val="00FB31F6"/>
    <w:rsid w:val="00FB3436"/>
    <w:rsid w:val="00FB46B0"/>
    <w:rsid w:val="00FB5746"/>
    <w:rsid w:val="00FB65E2"/>
    <w:rsid w:val="00FB7643"/>
    <w:rsid w:val="00FB78F6"/>
    <w:rsid w:val="00FC0088"/>
    <w:rsid w:val="00FC0EBE"/>
    <w:rsid w:val="00FC14F8"/>
    <w:rsid w:val="00FC1D0E"/>
    <w:rsid w:val="00FC2ADE"/>
    <w:rsid w:val="00FC3290"/>
    <w:rsid w:val="00FC3489"/>
    <w:rsid w:val="00FC3CEF"/>
    <w:rsid w:val="00FC50FB"/>
    <w:rsid w:val="00FC5266"/>
    <w:rsid w:val="00FC645B"/>
    <w:rsid w:val="00FC72ED"/>
    <w:rsid w:val="00FC74DA"/>
    <w:rsid w:val="00FD0813"/>
    <w:rsid w:val="00FD084B"/>
    <w:rsid w:val="00FD08E1"/>
    <w:rsid w:val="00FD0B61"/>
    <w:rsid w:val="00FD1EB2"/>
    <w:rsid w:val="00FD2875"/>
    <w:rsid w:val="00FD418A"/>
    <w:rsid w:val="00FD5964"/>
    <w:rsid w:val="00FD59CE"/>
    <w:rsid w:val="00FD5AFA"/>
    <w:rsid w:val="00FD5F5C"/>
    <w:rsid w:val="00FD6B4E"/>
    <w:rsid w:val="00FE16B6"/>
    <w:rsid w:val="00FE1B5A"/>
    <w:rsid w:val="00FE2313"/>
    <w:rsid w:val="00FE24D4"/>
    <w:rsid w:val="00FE41B4"/>
    <w:rsid w:val="00FE5B2D"/>
    <w:rsid w:val="00FE6501"/>
    <w:rsid w:val="00FE6EC5"/>
    <w:rsid w:val="00FE7F21"/>
    <w:rsid w:val="00FF1118"/>
    <w:rsid w:val="00FF3B38"/>
    <w:rsid w:val="00FF4752"/>
    <w:rsid w:val="00FF47C9"/>
    <w:rsid w:val="00FF553E"/>
    <w:rsid w:val="00FF5A20"/>
    <w:rsid w:val="00FF614C"/>
    <w:rsid w:val="00FF6A2F"/>
    <w:rsid w:val="00FF6AA8"/>
    <w:rsid w:val="00FFCC5F"/>
    <w:rsid w:val="01034294"/>
    <w:rsid w:val="0106D7DC"/>
    <w:rsid w:val="0109E81A"/>
    <w:rsid w:val="010A8A24"/>
    <w:rsid w:val="01394222"/>
    <w:rsid w:val="013A4124"/>
    <w:rsid w:val="01543215"/>
    <w:rsid w:val="01694D8C"/>
    <w:rsid w:val="017534F1"/>
    <w:rsid w:val="017E8B28"/>
    <w:rsid w:val="0183CDD3"/>
    <w:rsid w:val="0194E5D3"/>
    <w:rsid w:val="01AA5E52"/>
    <w:rsid w:val="01B17719"/>
    <w:rsid w:val="01BC146D"/>
    <w:rsid w:val="01C6168E"/>
    <w:rsid w:val="01FBDF59"/>
    <w:rsid w:val="0217FBDB"/>
    <w:rsid w:val="0224B21A"/>
    <w:rsid w:val="023A36E6"/>
    <w:rsid w:val="025CF2CA"/>
    <w:rsid w:val="0269F617"/>
    <w:rsid w:val="027D0F63"/>
    <w:rsid w:val="027DEA23"/>
    <w:rsid w:val="028528C4"/>
    <w:rsid w:val="02878721"/>
    <w:rsid w:val="02AA0198"/>
    <w:rsid w:val="02BDFB66"/>
    <w:rsid w:val="02E3BAD0"/>
    <w:rsid w:val="02F5A8F5"/>
    <w:rsid w:val="02FD26AE"/>
    <w:rsid w:val="0324DC8B"/>
    <w:rsid w:val="0340CEF6"/>
    <w:rsid w:val="03418B0E"/>
    <w:rsid w:val="03479291"/>
    <w:rsid w:val="0353263D"/>
    <w:rsid w:val="03624E64"/>
    <w:rsid w:val="0365C6E8"/>
    <w:rsid w:val="0369360D"/>
    <w:rsid w:val="037C5824"/>
    <w:rsid w:val="03884AFE"/>
    <w:rsid w:val="0388D7FE"/>
    <w:rsid w:val="038E787F"/>
    <w:rsid w:val="03A1B453"/>
    <w:rsid w:val="03BD7762"/>
    <w:rsid w:val="03CF3C97"/>
    <w:rsid w:val="03E6C5D2"/>
    <w:rsid w:val="03F44B97"/>
    <w:rsid w:val="04394286"/>
    <w:rsid w:val="0453BECD"/>
    <w:rsid w:val="045E7C61"/>
    <w:rsid w:val="048FA69F"/>
    <w:rsid w:val="048FBEEE"/>
    <w:rsid w:val="04AEE407"/>
    <w:rsid w:val="04B58719"/>
    <w:rsid w:val="04CA2276"/>
    <w:rsid w:val="04E7FA39"/>
    <w:rsid w:val="04F64DB8"/>
    <w:rsid w:val="04FCE54C"/>
    <w:rsid w:val="05108B02"/>
    <w:rsid w:val="0515E418"/>
    <w:rsid w:val="051A2515"/>
    <w:rsid w:val="052235F6"/>
    <w:rsid w:val="0529480C"/>
    <w:rsid w:val="05364F2B"/>
    <w:rsid w:val="055FEE56"/>
    <w:rsid w:val="059ADB9A"/>
    <w:rsid w:val="05A1FE26"/>
    <w:rsid w:val="05A95093"/>
    <w:rsid w:val="05ADE22B"/>
    <w:rsid w:val="05D804BC"/>
    <w:rsid w:val="05FE5EFC"/>
    <w:rsid w:val="0647BF63"/>
    <w:rsid w:val="065AF083"/>
    <w:rsid w:val="06799222"/>
    <w:rsid w:val="06800374"/>
    <w:rsid w:val="06829921"/>
    <w:rsid w:val="06A60F55"/>
    <w:rsid w:val="06ABC028"/>
    <w:rsid w:val="06BFDC5B"/>
    <w:rsid w:val="06C41223"/>
    <w:rsid w:val="06D9141D"/>
    <w:rsid w:val="06DD03CB"/>
    <w:rsid w:val="06E23C73"/>
    <w:rsid w:val="06E7A3C7"/>
    <w:rsid w:val="070887C5"/>
    <w:rsid w:val="070BA00E"/>
    <w:rsid w:val="0723C40B"/>
    <w:rsid w:val="072EE5A6"/>
    <w:rsid w:val="07301C72"/>
    <w:rsid w:val="07479202"/>
    <w:rsid w:val="0785A96F"/>
    <w:rsid w:val="078E842F"/>
    <w:rsid w:val="07A41AF2"/>
    <w:rsid w:val="07B67EE8"/>
    <w:rsid w:val="07BAFA89"/>
    <w:rsid w:val="07BB4E75"/>
    <w:rsid w:val="07F8EFA5"/>
    <w:rsid w:val="07FEBF25"/>
    <w:rsid w:val="080660D6"/>
    <w:rsid w:val="0811EC0E"/>
    <w:rsid w:val="08280730"/>
    <w:rsid w:val="083544F9"/>
    <w:rsid w:val="084B1F2F"/>
    <w:rsid w:val="085F9411"/>
    <w:rsid w:val="089E8B17"/>
    <w:rsid w:val="08A7B20A"/>
    <w:rsid w:val="08A8199B"/>
    <w:rsid w:val="08C76D4B"/>
    <w:rsid w:val="08CDA370"/>
    <w:rsid w:val="08D0C6F3"/>
    <w:rsid w:val="08E0CD59"/>
    <w:rsid w:val="08F8534A"/>
    <w:rsid w:val="09069ABC"/>
    <w:rsid w:val="0926FCE4"/>
    <w:rsid w:val="092A5D53"/>
    <w:rsid w:val="09350B83"/>
    <w:rsid w:val="09408792"/>
    <w:rsid w:val="095CFE5B"/>
    <w:rsid w:val="09717FEA"/>
    <w:rsid w:val="097BDF0D"/>
    <w:rsid w:val="097D426C"/>
    <w:rsid w:val="097F704F"/>
    <w:rsid w:val="098C541B"/>
    <w:rsid w:val="09905828"/>
    <w:rsid w:val="09A38155"/>
    <w:rsid w:val="09B8DB5C"/>
    <w:rsid w:val="09C97D93"/>
    <w:rsid w:val="09CBE5C4"/>
    <w:rsid w:val="09CEC9AE"/>
    <w:rsid w:val="09D110A2"/>
    <w:rsid w:val="09E429B2"/>
    <w:rsid w:val="09F90689"/>
    <w:rsid w:val="0A358A88"/>
    <w:rsid w:val="0A5D4957"/>
    <w:rsid w:val="0A5F34A3"/>
    <w:rsid w:val="0A63F463"/>
    <w:rsid w:val="0A66C4D9"/>
    <w:rsid w:val="0A713D1C"/>
    <w:rsid w:val="0A8D281E"/>
    <w:rsid w:val="0A98F49B"/>
    <w:rsid w:val="0AB1AFDB"/>
    <w:rsid w:val="0ACBC589"/>
    <w:rsid w:val="0AD640FC"/>
    <w:rsid w:val="0AD6FB1E"/>
    <w:rsid w:val="0ADE5565"/>
    <w:rsid w:val="0AE65DF7"/>
    <w:rsid w:val="0B2DF632"/>
    <w:rsid w:val="0B34B600"/>
    <w:rsid w:val="0B3D318A"/>
    <w:rsid w:val="0B3E3EB7"/>
    <w:rsid w:val="0B3F8C2D"/>
    <w:rsid w:val="0B5C212A"/>
    <w:rsid w:val="0BC6FED3"/>
    <w:rsid w:val="0BCF7055"/>
    <w:rsid w:val="0BDA62B0"/>
    <w:rsid w:val="0BDB6896"/>
    <w:rsid w:val="0BF2294C"/>
    <w:rsid w:val="0BF72E7F"/>
    <w:rsid w:val="0C071117"/>
    <w:rsid w:val="0C13CA19"/>
    <w:rsid w:val="0C1DA248"/>
    <w:rsid w:val="0C409BBD"/>
    <w:rsid w:val="0C480B52"/>
    <w:rsid w:val="0C4A3313"/>
    <w:rsid w:val="0C4F8FF6"/>
    <w:rsid w:val="0C51F17F"/>
    <w:rsid w:val="0C5408E4"/>
    <w:rsid w:val="0C61533F"/>
    <w:rsid w:val="0C65104C"/>
    <w:rsid w:val="0C6C7910"/>
    <w:rsid w:val="0C6D993F"/>
    <w:rsid w:val="0C83DF0B"/>
    <w:rsid w:val="0C84EE22"/>
    <w:rsid w:val="0C865F91"/>
    <w:rsid w:val="0CA24CB7"/>
    <w:rsid w:val="0CA762C2"/>
    <w:rsid w:val="0CCF4A39"/>
    <w:rsid w:val="0D092FE2"/>
    <w:rsid w:val="0D0A83E7"/>
    <w:rsid w:val="0D0C2DCC"/>
    <w:rsid w:val="0D144128"/>
    <w:rsid w:val="0D1C2881"/>
    <w:rsid w:val="0D27BCB3"/>
    <w:rsid w:val="0D2FC4DB"/>
    <w:rsid w:val="0D304FAA"/>
    <w:rsid w:val="0D4405F0"/>
    <w:rsid w:val="0D886E04"/>
    <w:rsid w:val="0D9983BB"/>
    <w:rsid w:val="0DA12997"/>
    <w:rsid w:val="0DAE7BAA"/>
    <w:rsid w:val="0DBF3353"/>
    <w:rsid w:val="0DF29564"/>
    <w:rsid w:val="0DF75048"/>
    <w:rsid w:val="0E140972"/>
    <w:rsid w:val="0E5B1C46"/>
    <w:rsid w:val="0E5BAC5F"/>
    <w:rsid w:val="0E6F97C8"/>
    <w:rsid w:val="0E7C239B"/>
    <w:rsid w:val="0E88FF89"/>
    <w:rsid w:val="0EA9211D"/>
    <w:rsid w:val="0EB27417"/>
    <w:rsid w:val="0ED65C0D"/>
    <w:rsid w:val="0EDB249E"/>
    <w:rsid w:val="0EFCF2DE"/>
    <w:rsid w:val="0F05DC74"/>
    <w:rsid w:val="0F1664DB"/>
    <w:rsid w:val="0F249718"/>
    <w:rsid w:val="0F2D6CC1"/>
    <w:rsid w:val="0F3E935B"/>
    <w:rsid w:val="0F54F3AC"/>
    <w:rsid w:val="0F7CD3E7"/>
    <w:rsid w:val="0F8AE84F"/>
    <w:rsid w:val="0F96F195"/>
    <w:rsid w:val="0FADCAFC"/>
    <w:rsid w:val="0FBA432D"/>
    <w:rsid w:val="0FC15C94"/>
    <w:rsid w:val="0FC423DA"/>
    <w:rsid w:val="0FD8F89E"/>
    <w:rsid w:val="102B0225"/>
    <w:rsid w:val="10348906"/>
    <w:rsid w:val="103B7520"/>
    <w:rsid w:val="1040BFFD"/>
    <w:rsid w:val="1041C407"/>
    <w:rsid w:val="104D89D5"/>
    <w:rsid w:val="104DB866"/>
    <w:rsid w:val="106157A1"/>
    <w:rsid w:val="107CD150"/>
    <w:rsid w:val="109BAC95"/>
    <w:rsid w:val="10CB7097"/>
    <w:rsid w:val="10FFE5CA"/>
    <w:rsid w:val="11008D78"/>
    <w:rsid w:val="1101A5D9"/>
    <w:rsid w:val="113528F3"/>
    <w:rsid w:val="11505327"/>
    <w:rsid w:val="117DBFC7"/>
    <w:rsid w:val="11A3E4DE"/>
    <w:rsid w:val="11C5720A"/>
    <w:rsid w:val="11FC77F2"/>
    <w:rsid w:val="1208FB95"/>
    <w:rsid w:val="1222533C"/>
    <w:rsid w:val="123CECB1"/>
    <w:rsid w:val="1263982F"/>
    <w:rsid w:val="12727577"/>
    <w:rsid w:val="12758C95"/>
    <w:rsid w:val="128CC82C"/>
    <w:rsid w:val="129C4F8D"/>
    <w:rsid w:val="12A77F0A"/>
    <w:rsid w:val="12B69718"/>
    <w:rsid w:val="12F05282"/>
    <w:rsid w:val="12F39471"/>
    <w:rsid w:val="13297DFB"/>
    <w:rsid w:val="13484289"/>
    <w:rsid w:val="134E990C"/>
    <w:rsid w:val="13609798"/>
    <w:rsid w:val="13645CBC"/>
    <w:rsid w:val="1375CA9C"/>
    <w:rsid w:val="138C82E9"/>
    <w:rsid w:val="1398926E"/>
    <w:rsid w:val="13AB4BEB"/>
    <w:rsid w:val="13B9917E"/>
    <w:rsid w:val="13B9A068"/>
    <w:rsid w:val="13D9F776"/>
    <w:rsid w:val="13F8C7CE"/>
    <w:rsid w:val="1438B3A4"/>
    <w:rsid w:val="143E8A7D"/>
    <w:rsid w:val="144BEA37"/>
    <w:rsid w:val="1450E0CE"/>
    <w:rsid w:val="149680FF"/>
    <w:rsid w:val="14B8A198"/>
    <w:rsid w:val="14D379B3"/>
    <w:rsid w:val="14E09114"/>
    <w:rsid w:val="14E2F5C6"/>
    <w:rsid w:val="14E3C2B7"/>
    <w:rsid w:val="14EE644F"/>
    <w:rsid w:val="14F1EB85"/>
    <w:rsid w:val="1507B517"/>
    <w:rsid w:val="15220151"/>
    <w:rsid w:val="15378A50"/>
    <w:rsid w:val="1551AF27"/>
    <w:rsid w:val="1556273D"/>
    <w:rsid w:val="1563B284"/>
    <w:rsid w:val="15C16450"/>
    <w:rsid w:val="15D2759C"/>
    <w:rsid w:val="15D54612"/>
    <w:rsid w:val="15DAF99F"/>
    <w:rsid w:val="160DEE0A"/>
    <w:rsid w:val="162AEEEE"/>
    <w:rsid w:val="1635C137"/>
    <w:rsid w:val="167E9165"/>
    <w:rsid w:val="16A7964E"/>
    <w:rsid w:val="16ABB2C3"/>
    <w:rsid w:val="16C698B1"/>
    <w:rsid w:val="16C6F8F3"/>
    <w:rsid w:val="16D9E500"/>
    <w:rsid w:val="16EA045C"/>
    <w:rsid w:val="16F3FDB9"/>
    <w:rsid w:val="16FC8EF5"/>
    <w:rsid w:val="17059D8A"/>
    <w:rsid w:val="17148862"/>
    <w:rsid w:val="173F9CB8"/>
    <w:rsid w:val="1776596D"/>
    <w:rsid w:val="177C1663"/>
    <w:rsid w:val="179D3A17"/>
    <w:rsid w:val="179F0489"/>
    <w:rsid w:val="17A95718"/>
    <w:rsid w:val="17AF1CF6"/>
    <w:rsid w:val="17FE7608"/>
    <w:rsid w:val="18109128"/>
    <w:rsid w:val="183F90BA"/>
    <w:rsid w:val="1842822E"/>
    <w:rsid w:val="184AD525"/>
    <w:rsid w:val="184CAC4F"/>
    <w:rsid w:val="1882C261"/>
    <w:rsid w:val="189D3C10"/>
    <w:rsid w:val="18A2AB99"/>
    <w:rsid w:val="18A5F1CE"/>
    <w:rsid w:val="18C18A3E"/>
    <w:rsid w:val="18EAC2AD"/>
    <w:rsid w:val="18FF66DF"/>
    <w:rsid w:val="19139858"/>
    <w:rsid w:val="193E29DE"/>
    <w:rsid w:val="196A785E"/>
    <w:rsid w:val="197575B8"/>
    <w:rsid w:val="197F7858"/>
    <w:rsid w:val="198B2CFD"/>
    <w:rsid w:val="19A98323"/>
    <w:rsid w:val="19B65A91"/>
    <w:rsid w:val="19CCFB0D"/>
    <w:rsid w:val="19D25798"/>
    <w:rsid w:val="19D8080E"/>
    <w:rsid w:val="1A1498BB"/>
    <w:rsid w:val="1A53F98F"/>
    <w:rsid w:val="1A931851"/>
    <w:rsid w:val="1A97B3CF"/>
    <w:rsid w:val="1AA69E07"/>
    <w:rsid w:val="1AAC876C"/>
    <w:rsid w:val="1AB45477"/>
    <w:rsid w:val="1AB933DE"/>
    <w:rsid w:val="1ABF4FDC"/>
    <w:rsid w:val="1ACC5BD7"/>
    <w:rsid w:val="1AE08799"/>
    <w:rsid w:val="1AE6DAE1"/>
    <w:rsid w:val="1AEE0F07"/>
    <w:rsid w:val="1AFBF9FA"/>
    <w:rsid w:val="1B115F74"/>
    <w:rsid w:val="1B14A3C6"/>
    <w:rsid w:val="1B2A4332"/>
    <w:rsid w:val="1B3305F6"/>
    <w:rsid w:val="1B5090B0"/>
    <w:rsid w:val="1B5C24DA"/>
    <w:rsid w:val="1B6CA09D"/>
    <w:rsid w:val="1BC2BA0F"/>
    <w:rsid w:val="1BDCBC10"/>
    <w:rsid w:val="1BE4E856"/>
    <w:rsid w:val="1C075475"/>
    <w:rsid w:val="1C0972A7"/>
    <w:rsid w:val="1C2BE708"/>
    <w:rsid w:val="1C32EAFD"/>
    <w:rsid w:val="1C470BF9"/>
    <w:rsid w:val="1C6184E6"/>
    <w:rsid w:val="1C76ACFA"/>
    <w:rsid w:val="1C7B0635"/>
    <w:rsid w:val="1C809284"/>
    <w:rsid w:val="1C9C4989"/>
    <w:rsid w:val="1CB177DB"/>
    <w:rsid w:val="1CDB2857"/>
    <w:rsid w:val="1CDDEEA3"/>
    <w:rsid w:val="1CF09186"/>
    <w:rsid w:val="1D2980E6"/>
    <w:rsid w:val="1D2A32C3"/>
    <w:rsid w:val="1D40668E"/>
    <w:rsid w:val="1D469844"/>
    <w:rsid w:val="1D6E2399"/>
    <w:rsid w:val="1D73B3CD"/>
    <w:rsid w:val="1D84155D"/>
    <w:rsid w:val="1D976D76"/>
    <w:rsid w:val="1E3072D2"/>
    <w:rsid w:val="1E3893DC"/>
    <w:rsid w:val="1E3989AA"/>
    <w:rsid w:val="1E3D84E5"/>
    <w:rsid w:val="1E49E6C1"/>
    <w:rsid w:val="1E856B71"/>
    <w:rsid w:val="1E897B47"/>
    <w:rsid w:val="1E8A6FEE"/>
    <w:rsid w:val="1EAE3C64"/>
    <w:rsid w:val="1EDC367F"/>
    <w:rsid w:val="1EED3FF0"/>
    <w:rsid w:val="1F746BC0"/>
    <w:rsid w:val="1F751FFC"/>
    <w:rsid w:val="1F7B1445"/>
    <w:rsid w:val="1F870AB9"/>
    <w:rsid w:val="1FCC260A"/>
    <w:rsid w:val="201045E4"/>
    <w:rsid w:val="203519F5"/>
    <w:rsid w:val="203DFB3A"/>
    <w:rsid w:val="2043EE9B"/>
    <w:rsid w:val="20480E9A"/>
    <w:rsid w:val="204D894E"/>
    <w:rsid w:val="204E958D"/>
    <w:rsid w:val="20543986"/>
    <w:rsid w:val="206ABBF9"/>
    <w:rsid w:val="206AC2BF"/>
    <w:rsid w:val="206DAD24"/>
    <w:rsid w:val="206DB24D"/>
    <w:rsid w:val="208EA34E"/>
    <w:rsid w:val="2090BBB2"/>
    <w:rsid w:val="20996501"/>
    <w:rsid w:val="209BC219"/>
    <w:rsid w:val="20A6F6BF"/>
    <w:rsid w:val="20DDDD28"/>
    <w:rsid w:val="20E00C6F"/>
    <w:rsid w:val="20E8D3BE"/>
    <w:rsid w:val="20FA4ECE"/>
    <w:rsid w:val="211B5299"/>
    <w:rsid w:val="21248DBB"/>
    <w:rsid w:val="21416139"/>
    <w:rsid w:val="214DABBE"/>
    <w:rsid w:val="2153FC23"/>
    <w:rsid w:val="216878FC"/>
    <w:rsid w:val="218E2CF0"/>
    <w:rsid w:val="21AC9DE5"/>
    <w:rsid w:val="21B6B2BC"/>
    <w:rsid w:val="21DAAE53"/>
    <w:rsid w:val="21DB7982"/>
    <w:rsid w:val="21FCD391"/>
    <w:rsid w:val="22094A2D"/>
    <w:rsid w:val="221257AA"/>
    <w:rsid w:val="221980A7"/>
    <w:rsid w:val="221CB2CE"/>
    <w:rsid w:val="221D168B"/>
    <w:rsid w:val="22270AA0"/>
    <w:rsid w:val="2248323B"/>
    <w:rsid w:val="224A3D15"/>
    <w:rsid w:val="224B205B"/>
    <w:rsid w:val="2258BFA6"/>
    <w:rsid w:val="22B1A58B"/>
    <w:rsid w:val="22BCF676"/>
    <w:rsid w:val="22D39595"/>
    <w:rsid w:val="22EECA80"/>
    <w:rsid w:val="23037DAE"/>
    <w:rsid w:val="2307D42A"/>
    <w:rsid w:val="231A9498"/>
    <w:rsid w:val="231AF488"/>
    <w:rsid w:val="233D62A1"/>
    <w:rsid w:val="233D9EA9"/>
    <w:rsid w:val="23630204"/>
    <w:rsid w:val="236933D0"/>
    <w:rsid w:val="2376F3DE"/>
    <w:rsid w:val="23C2EA5C"/>
    <w:rsid w:val="23D7B911"/>
    <w:rsid w:val="23D86E7E"/>
    <w:rsid w:val="24013716"/>
    <w:rsid w:val="241B2168"/>
    <w:rsid w:val="24211426"/>
    <w:rsid w:val="244C16BF"/>
    <w:rsid w:val="245B7426"/>
    <w:rsid w:val="248D239D"/>
    <w:rsid w:val="249C7CBE"/>
    <w:rsid w:val="24ADDD22"/>
    <w:rsid w:val="24B0BF58"/>
    <w:rsid w:val="24C256B6"/>
    <w:rsid w:val="24C56A4B"/>
    <w:rsid w:val="24C59054"/>
    <w:rsid w:val="24CFBF23"/>
    <w:rsid w:val="24FF3634"/>
    <w:rsid w:val="2504A149"/>
    <w:rsid w:val="250B4E22"/>
    <w:rsid w:val="25296493"/>
    <w:rsid w:val="25582555"/>
    <w:rsid w:val="2559A481"/>
    <w:rsid w:val="256F3D19"/>
    <w:rsid w:val="2581A724"/>
    <w:rsid w:val="2594A639"/>
    <w:rsid w:val="25BC1CC3"/>
    <w:rsid w:val="25C72C47"/>
    <w:rsid w:val="25D333F4"/>
    <w:rsid w:val="25D6CF05"/>
    <w:rsid w:val="25D99D28"/>
    <w:rsid w:val="25EDFDA5"/>
    <w:rsid w:val="26143D8C"/>
    <w:rsid w:val="263E3CE4"/>
    <w:rsid w:val="26651010"/>
    <w:rsid w:val="26819E39"/>
    <w:rsid w:val="26921602"/>
    <w:rsid w:val="26962624"/>
    <w:rsid w:val="26ABEE52"/>
    <w:rsid w:val="26B7BEAB"/>
    <w:rsid w:val="26B8A8BB"/>
    <w:rsid w:val="2736969E"/>
    <w:rsid w:val="273B1F37"/>
    <w:rsid w:val="2743C348"/>
    <w:rsid w:val="275302EB"/>
    <w:rsid w:val="275CFD54"/>
    <w:rsid w:val="275FFA73"/>
    <w:rsid w:val="2779DF6C"/>
    <w:rsid w:val="278B588D"/>
    <w:rsid w:val="2794F4BC"/>
    <w:rsid w:val="279B7504"/>
    <w:rsid w:val="279CCC63"/>
    <w:rsid w:val="27E9876E"/>
    <w:rsid w:val="27F201DC"/>
    <w:rsid w:val="281166BA"/>
    <w:rsid w:val="282691FF"/>
    <w:rsid w:val="2859BD79"/>
    <w:rsid w:val="285B1A21"/>
    <w:rsid w:val="2880F212"/>
    <w:rsid w:val="2886BB35"/>
    <w:rsid w:val="28ADD62A"/>
    <w:rsid w:val="28B5CDF7"/>
    <w:rsid w:val="28BBB750"/>
    <w:rsid w:val="2901F57B"/>
    <w:rsid w:val="2920ED7D"/>
    <w:rsid w:val="292A324E"/>
    <w:rsid w:val="295D2545"/>
    <w:rsid w:val="297F6AC3"/>
    <w:rsid w:val="298A058D"/>
    <w:rsid w:val="29992A98"/>
    <w:rsid w:val="29BC3DD6"/>
    <w:rsid w:val="29C35E52"/>
    <w:rsid w:val="29E2A69E"/>
    <w:rsid w:val="29FB6FD1"/>
    <w:rsid w:val="2A0CA800"/>
    <w:rsid w:val="2A2B7DE5"/>
    <w:rsid w:val="2A362850"/>
    <w:rsid w:val="2A8F1E23"/>
    <w:rsid w:val="2A9E7377"/>
    <w:rsid w:val="2AA7BCC1"/>
    <w:rsid w:val="2AC05E53"/>
    <w:rsid w:val="2AE6F7C2"/>
    <w:rsid w:val="2AF30DCF"/>
    <w:rsid w:val="2AFE18BC"/>
    <w:rsid w:val="2B00E4D2"/>
    <w:rsid w:val="2B088ADD"/>
    <w:rsid w:val="2B46B973"/>
    <w:rsid w:val="2B4DA6CD"/>
    <w:rsid w:val="2B612943"/>
    <w:rsid w:val="2B793144"/>
    <w:rsid w:val="2B7BC4C0"/>
    <w:rsid w:val="2BC05DDA"/>
    <w:rsid w:val="2BED6EB9"/>
    <w:rsid w:val="2C3CF140"/>
    <w:rsid w:val="2C4F0948"/>
    <w:rsid w:val="2CB8C4B4"/>
    <w:rsid w:val="2CC0DCF6"/>
    <w:rsid w:val="2D261946"/>
    <w:rsid w:val="2D33AB1C"/>
    <w:rsid w:val="2D3D4462"/>
    <w:rsid w:val="2D5E31F6"/>
    <w:rsid w:val="2D6C65CF"/>
    <w:rsid w:val="2D6D1012"/>
    <w:rsid w:val="2D70922E"/>
    <w:rsid w:val="2D798A3F"/>
    <w:rsid w:val="2D7DFC40"/>
    <w:rsid w:val="2D89EC61"/>
    <w:rsid w:val="2D9ECDBC"/>
    <w:rsid w:val="2DB8DAE0"/>
    <w:rsid w:val="2DC4039B"/>
    <w:rsid w:val="2DC4D305"/>
    <w:rsid w:val="2E258021"/>
    <w:rsid w:val="2E25F756"/>
    <w:rsid w:val="2E3CC99B"/>
    <w:rsid w:val="2E3D7E63"/>
    <w:rsid w:val="2E650B86"/>
    <w:rsid w:val="2E6936DF"/>
    <w:rsid w:val="2E6B2DA8"/>
    <w:rsid w:val="2E7B361A"/>
    <w:rsid w:val="2E7FA320"/>
    <w:rsid w:val="2E8F4791"/>
    <w:rsid w:val="2EA18ABC"/>
    <w:rsid w:val="2EAAE143"/>
    <w:rsid w:val="2ECF35AD"/>
    <w:rsid w:val="2EEF36E2"/>
    <w:rsid w:val="2F0924C9"/>
    <w:rsid w:val="2F26BD53"/>
    <w:rsid w:val="2F3081D5"/>
    <w:rsid w:val="2F4F8696"/>
    <w:rsid w:val="2F65E020"/>
    <w:rsid w:val="2F9F2E7F"/>
    <w:rsid w:val="2FB03372"/>
    <w:rsid w:val="2FB30BB6"/>
    <w:rsid w:val="2FB4654F"/>
    <w:rsid w:val="2FBBAFC8"/>
    <w:rsid w:val="2FC3D9D4"/>
    <w:rsid w:val="2FCB61B8"/>
    <w:rsid w:val="2FDDED62"/>
    <w:rsid w:val="3044FAB3"/>
    <w:rsid w:val="3045E0AE"/>
    <w:rsid w:val="30764692"/>
    <w:rsid w:val="308E6EDF"/>
    <w:rsid w:val="30B4A86A"/>
    <w:rsid w:val="30BE96D8"/>
    <w:rsid w:val="30CC2102"/>
    <w:rsid w:val="30F60B48"/>
    <w:rsid w:val="30FF0F08"/>
    <w:rsid w:val="31045BB7"/>
    <w:rsid w:val="312782CF"/>
    <w:rsid w:val="312CCBB8"/>
    <w:rsid w:val="314B7B3C"/>
    <w:rsid w:val="318825FB"/>
    <w:rsid w:val="318E8622"/>
    <w:rsid w:val="31A7EBB4"/>
    <w:rsid w:val="31C0A4DB"/>
    <w:rsid w:val="31C341DD"/>
    <w:rsid w:val="31CD0B1F"/>
    <w:rsid w:val="31F023D8"/>
    <w:rsid w:val="31F09058"/>
    <w:rsid w:val="3202630F"/>
    <w:rsid w:val="323651AE"/>
    <w:rsid w:val="32637F3E"/>
    <w:rsid w:val="3276AD1F"/>
    <w:rsid w:val="32BC62C4"/>
    <w:rsid w:val="32BCFAE0"/>
    <w:rsid w:val="32C52F6D"/>
    <w:rsid w:val="32D1858C"/>
    <w:rsid w:val="32DCFE56"/>
    <w:rsid w:val="32DF771A"/>
    <w:rsid w:val="32DFA5F6"/>
    <w:rsid w:val="32EEF8E1"/>
    <w:rsid w:val="330FA495"/>
    <w:rsid w:val="331083A5"/>
    <w:rsid w:val="331CD0B5"/>
    <w:rsid w:val="33365DC5"/>
    <w:rsid w:val="333DF5F6"/>
    <w:rsid w:val="3349C43B"/>
    <w:rsid w:val="334D2F00"/>
    <w:rsid w:val="33A6BAC5"/>
    <w:rsid w:val="33C4629B"/>
    <w:rsid w:val="33CB831C"/>
    <w:rsid w:val="33DB81ED"/>
    <w:rsid w:val="33E04675"/>
    <w:rsid w:val="341752AA"/>
    <w:rsid w:val="342182B0"/>
    <w:rsid w:val="343A6440"/>
    <w:rsid w:val="3464F645"/>
    <w:rsid w:val="34652E09"/>
    <w:rsid w:val="34A069C9"/>
    <w:rsid w:val="34AFD049"/>
    <w:rsid w:val="34D3B0AA"/>
    <w:rsid w:val="3533860D"/>
    <w:rsid w:val="353A82DC"/>
    <w:rsid w:val="353AFC97"/>
    <w:rsid w:val="354EB289"/>
    <w:rsid w:val="355040CD"/>
    <w:rsid w:val="3554412E"/>
    <w:rsid w:val="35644B2C"/>
    <w:rsid w:val="3568B689"/>
    <w:rsid w:val="35751A77"/>
    <w:rsid w:val="358EB169"/>
    <w:rsid w:val="358F02B8"/>
    <w:rsid w:val="358FE9FC"/>
    <w:rsid w:val="35DAC746"/>
    <w:rsid w:val="35ED2148"/>
    <w:rsid w:val="35FC41B7"/>
    <w:rsid w:val="35FC83AC"/>
    <w:rsid w:val="35FE50BA"/>
    <w:rsid w:val="360521B7"/>
    <w:rsid w:val="361C612F"/>
    <w:rsid w:val="3638E00E"/>
    <w:rsid w:val="365767F0"/>
    <w:rsid w:val="36777037"/>
    <w:rsid w:val="36960C71"/>
    <w:rsid w:val="3699B3A0"/>
    <w:rsid w:val="369A1EEC"/>
    <w:rsid w:val="369AE352"/>
    <w:rsid w:val="369F3610"/>
    <w:rsid w:val="36B86368"/>
    <w:rsid w:val="36C0A41B"/>
    <w:rsid w:val="36DBAAA4"/>
    <w:rsid w:val="36FE7952"/>
    <w:rsid w:val="370231FB"/>
    <w:rsid w:val="372A42E2"/>
    <w:rsid w:val="373201A9"/>
    <w:rsid w:val="3744E31C"/>
    <w:rsid w:val="3750AD5E"/>
    <w:rsid w:val="3753E4F9"/>
    <w:rsid w:val="375F2257"/>
    <w:rsid w:val="376D5996"/>
    <w:rsid w:val="3782DD20"/>
    <w:rsid w:val="37837981"/>
    <w:rsid w:val="378B1111"/>
    <w:rsid w:val="3790F1FC"/>
    <w:rsid w:val="37959563"/>
    <w:rsid w:val="37AC5132"/>
    <w:rsid w:val="37CFA079"/>
    <w:rsid w:val="37EB2D23"/>
    <w:rsid w:val="38021B90"/>
    <w:rsid w:val="3803FB50"/>
    <w:rsid w:val="3805A520"/>
    <w:rsid w:val="3813D0D5"/>
    <w:rsid w:val="3816FF31"/>
    <w:rsid w:val="381B0F8A"/>
    <w:rsid w:val="382BEC7B"/>
    <w:rsid w:val="38314382"/>
    <w:rsid w:val="3833D1E2"/>
    <w:rsid w:val="3847E956"/>
    <w:rsid w:val="3889A057"/>
    <w:rsid w:val="3893CD29"/>
    <w:rsid w:val="38951A0A"/>
    <w:rsid w:val="389F82FD"/>
    <w:rsid w:val="38B5C88B"/>
    <w:rsid w:val="38BD17D7"/>
    <w:rsid w:val="38BE4FF8"/>
    <w:rsid w:val="38CC6C37"/>
    <w:rsid w:val="39248220"/>
    <w:rsid w:val="392A69E5"/>
    <w:rsid w:val="392ED3E1"/>
    <w:rsid w:val="3948139B"/>
    <w:rsid w:val="395781C4"/>
    <w:rsid w:val="397B1B13"/>
    <w:rsid w:val="39A82B25"/>
    <w:rsid w:val="39BD6755"/>
    <w:rsid w:val="39FDC8CA"/>
    <w:rsid w:val="3A195328"/>
    <w:rsid w:val="3A19C75F"/>
    <w:rsid w:val="3A20F28A"/>
    <w:rsid w:val="3A4F71D9"/>
    <w:rsid w:val="3A4FA130"/>
    <w:rsid w:val="3A88A926"/>
    <w:rsid w:val="3A8F2AAA"/>
    <w:rsid w:val="3AB160B8"/>
    <w:rsid w:val="3ACB22A1"/>
    <w:rsid w:val="3AF7B77B"/>
    <w:rsid w:val="3AFD1371"/>
    <w:rsid w:val="3B0132FD"/>
    <w:rsid w:val="3B11AC35"/>
    <w:rsid w:val="3B2F9620"/>
    <w:rsid w:val="3B41E726"/>
    <w:rsid w:val="3B53FCD5"/>
    <w:rsid w:val="3B7648A4"/>
    <w:rsid w:val="3B86D10B"/>
    <w:rsid w:val="3B888413"/>
    <w:rsid w:val="3B967B16"/>
    <w:rsid w:val="3B968607"/>
    <w:rsid w:val="3BA19045"/>
    <w:rsid w:val="3BACDB2C"/>
    <w:rsid w:val="3BD62566"/>
    <w:rsid w:val="3BDC638C"/>
    <w:rsid w:val="3BDDE009"/>
    <w:rsid w:val="3BF4BFC8"/>
    <w:rsid w:val="3C049D30"/>
    <w:rsid w:val="3C6682E1"/>
    <w:rsid w:val="3CAE383D"/>
    <w:rsid w:val="3CD18E5F"/>
    <w:rsid w:val="3CE7A327"/>
    <w:rsid w:val="3CF13D9E"/>
    <w:rsid w:val="3D12263E"/>
    <w:rsid w:val="3D3E04AD"/>
    <w:rsid w:val="3D4ECD89"/>
    <w:rsid w:val="3D69B85D"/>
    <w:rsid w:val="3D9B5488"/>
    <w:rsid w:val="3DA120D8"/>
    <w:rsid w:val="3DDCC8FD"/>
    <w:rsid w:val="3DE68614"/>
    <w:rsid w:val="3DEE3E3E"/>
    <w:rsid w:val="3DF8B40E"/>
    <w:rsid w:val="3DFD0087"/>
    <w:rsid w:val="3E0EB438"/>
    <w:rsid w:val="3E434435"/>
    <w:rsid w:val="3E5F24B7"/>
    <w:rsid w:val="3E671CBE"/>
    <w:rsid w:val="3EE9682E"/>
    <w:rsid w:val="3F23AD0D"/>
    <w:rsid w:val="3F53C953"/>
    <w:rsid w:val="3F621A30"/>
    <w:rsid w:val="3F783AB5"/>
    <w:rsid w:val="3FB29A10"/>
    <w:rsid w:val="3FB5841F"/>
    <w:rsid w:val="3FB85F72"/>
    <w:rsid w:val="3FCD1C3C"/>
    <w:rsid w:val="3FE5E915"/>
    <w:rsid w:val="403270CD"/>
    <w:rsid w:val="404BF188"/>
    <w:rsid w:val="406B2E87"/>
    <w:rsid w:val="4070A1D9"/>
    <w:rsid w:val="40A67166"/>
    <w:rsid w:val="40BA091B"/>
    <w:rsid w:val="40DB54B5"/>
    <w:rsid w:val="40E07259"/>
    <w:rsid w:val="40E4430D"/>
    <w:rsid w:val="40FB94CC"/>
    <w:rsid w:val="40FBEA3D"/>
    <w:rsid w:val="40FD83F1"/>
    <w:rsid w:val="410F087F"/>
    <w:rsid w:val="41137C36"/>
    <w:rsid w:val="411392F0"/>
    <w:rsid w:val="412B66DF"/>
    <w:rsid w:val="413A4450"/>
    <w:rsid w:val="41772E58"/>
    <w:rsid w:val="4182BC5D"/>
    <w:rsid w:val="419E9985"/>
    <w:rsid w:val="41B4AC97"/>
    <w:rsid w:val="41E8C1E6"/>
    <w:rsid w:val="41FA5F08"/>
    <w:rsid w:val="424142A2"/>
    <w:rsid w:val="427C573D"/>
    <w:rsid w:val="4280AC2B"/>
    <w:rsid w:val="42996EBD"/>
    <w:rsid w:val="42AAB54F"/>
    <w:rsid w:val="42B29D69"/>
    <w:rsid w:val="42CC8033"/>
    <w:rsid w:val="42DA7C0B"/>
    <w:rsid w:val="42E177DF"/>
    <w:rsid w:val="43177A93"/>
    <w:rsid w:val="4322B1F9"/>
    <w:rsid w:val="4334443E"/>
    <w:rsid w:val="43B57458"/>
    <w:rsid w:val="43EB19A9"/>
    <w:rsid w:val="43FE70E7"/>
    <w:rsid w:val="44422BAD"/>
    <w:rsid w:val="44480407"/>
    <w:rsid w:val="446FA89E"/>
    <w:rsid w:val="44BA08B2"/>
    <w:rsid w:val="44BB5094"/>
    <w:rsid w:val="44CF22D5"/>
    <w:rsid w:val="44EE2D68"/>
    <w:rsid w:val="44F8394E"/>
    <w:rsid w:val="44FEB3EC"/>
    <w:rsid w:val="4512E2B3"/>
    <w:rsid w:val="453512D3"/>
    <w:rsid w:val="4547503A"/>
    <w:rsid w:val="4548EFBA"/>
    <w:rsid w:val="454E2F33"/>
    <w:rsid w:val="4550F901"/>
    <w:rsid w:val="45577291"/>
    <w:rsid w:val="455E3303"/>
    <w:rsid w:val="4583019B"/>
    <w:rsid w:val="45AA4297"/>
    <w:rsid w:val="45AEC32D"/>
    <w:rsid w:val="45F06EBA"/>
    <w:rsid w:val="46118555"/>
    <w:rsid w:val="4639A0D4"/>
    <w:rsid w:val="465E1652"/>
    <w:rsid w:val="466EB5BB"/>
    <w:rsid w:val="4670CA05"/>
    <w:rsid w:val="46720278"/>
    <w:rsid w:val="4673EA57"/>
    <w:rsid w:val="467911B5"/>
    <w:rsid w:val="468AC734"/>
    <w:rsid w:val="46AF4061"/>
    <w:rsid w:val="46B5B925"/>
    <w:rsid w:val="46BA5EB2"/>
    <w:rsid w:val="46C70F5D"/>
    <w:rsid w:val="46E7E374"/>
    <w:rsid w:val="46EC49CA"/>
    <w:rsid w:val="46F16FA1"/>
    <w:rsid w:val="471AF714"/>
    <w:rsid w:val="4740CB39"/>
    <w:rsid w:val="474974EE"/>
    <w:rsid w:val="474AF70F"/>
    <w:rsid w:val="474D7FA5"/>
    <w:rsid w:val="475C8309"/>
    <w:rsid w:val="477BDC7E"/>
    <w:rsid w:val="4798440C"/>
    <w:rsid w:val="47B1B90D"/>
    <w:rsid w:val="47C639F2"/>
    <w:rsid w:val="48109614"/>
    <w:rsid w:val="48197D59"/>
    <w:rsid w:val="481CEE7B"/>
    <w:rsid w:val="482C516D"/>
    <w:rsid w:val="483D0C6A"/>
    <w:rsid w:val="48400F98"/>
    <w:rsid w:val="4856B750"/>
    <w:rsid w:val="485D47B8"/>
    <w:rsid w:val="4860967D"/>
    <w:rsid w:val="48676E0D"/>
    <w:rsid w:val="486BAEF5"/>
    <w:rsid w:val="487C3C29"/>
    <w:rsid w:val="4889DDB9"/>
    <w:rsid w:val="489C38A7"/>
    <w:rsid w:val="48A1BE37"/>
    <w:rsid w:val="48B7706E"/>
    <w:rsid w:val="48BBCD54"/>
    <w:rsid w:val="48BEA0C1"/>
    <w:rsid w:val="48E6BC40"/>
    <w:rsid w:val="48EFC9A4"/>
    <w:rsid w:val="49013CD2"/>
    <w:rsid w:val="4949F905"/>
    <w:rsid w:val="4954E8F6"/>
    <w:rsid w:val="4960B1EB"/>
    <w:rsid w:val="497C89C6"/>
    <w:rsid w:val="49887533"/>
    <w:rsid w:val="49947075"/>
    <w:rsid w:val="49AA53FF"/>
    <w:rsid w:val="49AAEA85"/>
    <w:rsid w:val="49AF870C"/>
    <w:rsid w:val="49AFF075"/>
    <w:rsid w:val="49CFBDF8"/>
    <w:rsid w:val="49E7649F"/>
    <w:rsid w:val="4A189727"/>
    <w:rsid w:val="4A2168B3"/>
    <w:rsid w:val="4A76CDE6"/>
    <w:rsid w:val="4A86E560"/>
    <w:rsid w:val="4AB2107A"/>
    <w:rsid w:val="4B0D6467"/>
    <w:rsid w:val="4B2F6056"/>
    <w:rsid w:val="4B603CB3"/>
    <w:rsid w:val="4B9C8816"/>
    <w:rsid w:val="4B9CD505"/>
    <w:rsid w:val="4BE7D656"/>
    <w:rsid w:val="4BEFFF02"/>
    <w:rsid w:val="4C35909F"/>
    <w:rsid w:val="4C48EA15"/>
    <w:rsid w:val="4C50DD63"/>
    <w:rsid w:val="4C5D941B"/>
    <w:rsid w:val="4C897A2A"/>
    <w:rsid w:val="4CAF3B4C"/>
    <w:rsid w:val="4CB1D748"/>
    <w:rsid w:val="4CE1FA01"/>
    <w:rsid w:val="4D157459"/>
    <w:rsid w:val="4D235783"/>
    <w:rsid w:val="4D345B6E"/>
    <w:rsid w:val="4D35A5A7"/>
    <w:rsid w:val="4D37346A"/>
    <w:rsid w:val="4D4E5A74"/>
    <w:rsid w:val="4D4E73C4"/>
    <w:rsid w:val="4D51A1A9"/>
    <w:rsid w:val="4D71C6E9"/>
    <w:rsid w:val="4D761F9E"/>
    <w:rsid w:val="4D9CBB63"/>
    <w:rsid w:val="4DC86263"/>
    <w:rsid w:val="4DD5331A"/>
    <w:rsid w:val="4E030556"/>
    <w:rsid w:val="4E037C16"/>
    <w:rsid w:val="4E2C9B2A"/>
    <w:rsid w:val="4E603C8F"/>
    <w:rsid w:val="4E757C1A"/>
    <w:rsid w:val="4E7CF77A"/>
    <w:rsid w:val="4E8EC2C2"/>
    <w:rsid w:val="4E8FF551"/>
    <w:rsid w:val="4E988405"/>
    <w:rsid w:val="4EAD017A"/>
    <w:rsid w:val="4EBF8675"/>
    <w:rsid w:val="4ECB474B"/>
    <w:rsid w:val="4EFEC72F"/>
    <w:rsid w:val="4F067CAA"/>
    <w:rsid w:val="4F0B784B"/>
    <w:rsid w:val="4F0FBCD4"/>
    <w:rsid w:val="4F0FDD83"/>
    <w:rsid w:val="4F1C48BF"/>
    <w:rsid w:val="4F2F4C52"/>
    <w:rsid w:val="4F2FCDDE"/>
    <w:rsid w:val="4F311A03"/>
    <w:rsid w:val="4F5B9A74"/>
    <w:rsid w:val="4F5CEFDE"/>
    <w:rsid w:val="4F8F3AD8"/>
    <w:rsid w:val="4FA7D1C1"/>
    <w:rsid w:val="5019B5A8"/>
    <w:rsid w:val="502CE7CF"/>
    <w:rsid w:val="502E27EB"/>
    <w:rsid w:val="502FC5AD"/>
    <w:rsid w:val="5043EAB6"/>
    <w:rsid w:val="508699F0"/>
    <w:rsid w:val="50952750"/>
    <w:rsid w:val="50B7E5EB"/>
    <w:rsid w:val="50BECEE0"/>
    <w:rsid w:val="50D41CE4"/>
    <w:rsid w:val="50EFA518"/>
    <w:rsid w:val="50FCD9E7"/>
    <w:rsid w:val="5109AFEF"/>
    <w:rsid w:val="510AF0E7"/>
    <w:rsid w:val="5114D354"/>
    <w:rsid w:val="511931F5"/>
    <w:rsid w:val="511C6432"/>
    <w:rsid w:val="5139BC12"/>
    <w:rsid w:val="515B9A48"/>
    <w:rsid w:val="515D4967"/>
    <w:rsid w:val="516AE038"/>
    <w:rsid w:val="517747C3"/>
    <w:rsid w:val="519A3706"/>
    <w:rsid w:val="51B3AB6C"/>
    <w:rsid w:val="51C2CBBC"/>
    <w:rsid w:val="51CFF22E"/>
    <w:rsid w:val="51D09256"/>
    <w:rsid w:val="51D0F0F5"/>
    <w:rsid w:val="51D36DD6"/>
    <w:rsid w:val="51DBA548"/>
    <w:rsid w:val="51E15D98"/>
    <w:rsid w:val="51F53B94"/>
    <w:rsid w:val="51FA3C0A"/>
    <w:rsid w:val="520CCB00"/>
    <w:rsid w:val="5235FFF7"/>
    <w:rsid w:val="52414CE9"/>
    <w:rsid w:val="52462F67"/>
    <w:rsid w:val="52502F1D"/>
    <w:rsid w:val="5264F8C8"/>
    <w:rsid w:val="52B054C2"/>
    <w:rsid w:val="52E4C7CB"/>
    <w:rsid w:val="52ED85E0"/>
    <w:rsid w:val="5316A2C9"/>
    <w:rsid w:val="532AEC81"/>
    <w:rsid w:val="533DBAE5"/>
    <w:rsid w:val="5344B71C"/>
    <w:rsid w:val="5357649A"/>
    <w:rsid w:val="53626EAE"/>
    <w:rsid w:val="53732340"/>
    <w:rsid w:val="538E1E56"/>
    <w:rsid w:val="539A9303"/>
    <w:rsid w:val="539FDDB9"/>
    <w:rsid w:val="53A99282"/>
    <w:rsid w:val="53C49B99"/>
    <w:rsid w:val="53DBC124"/>
    <w:rsid w:val="53F72210"/>
    <w:rsid w:val="54356189"/>
    <w:rsid w:val="54381505"/>
    <w:rsid w:val="54412CE1"/>
    <w:rsid w:val="54839795"/>
    <w:rsid w:val="548993AA"/>
    <w:rsid w:val="549C1533"/>
    <w:rsid w:val="54A4C827"/>
    <w:rsid w:val="54A53F64"/>
    <w:rsid w:val="54A93C39"/>
    <w:rsid w:val="54D2F2E8"/>
    <w:rsid w:val="54FE5D8D"/>
    <w:rsid w:val="550C37C4"/>
    <w:rsid w:val="55267054"/>
    <w:rsid w:val="55577D35"/>
    <w:rsid w:val="5559084B"/>
    <w:rsid w:val="555B43A8"/>
    <w:rsid w:val="5564C1B5"/>
    <w:rsid w:val="55683F23"/>
    <w:rsid w:val="556A7E74"/>
    <w:rsid w:val="557072C1"/>
    <w:rsid w:val="5587C8C2"/>
    <w:rsid w:val="55C2C845"/>
    <w:rsid w:val="55F8806D"/>
    <w:rsid w:val="560E39BF"/>
    <w:rsid w:val="56132744"/>
    <w:rsid w:val="561626DB"/>
    <w:rsid w:val="563811B6"/>
    <w:rsid w:val="56388B20"/>
    <w:rsid w:val="563CEE98"/>
    <w:rsid w:val="563F056A"/>
    <w:rsid w:val="564E0E22"/>
    <w:rsid w:val="5676A748"/>
    <w:rsid w:val="569FAA3F"/>
    <w:rsid w:val="56C84D11"/>
    <w:rsid w:val="574BD0EF"/>
    <w:rsid w:val="576BAB31"/>
    <w:rsid w:val="577E0DDC"/>
    <w:rsid w:val="57A043F1"/>
    <w:rsid w:val="57C67F36"/>
    <w:rsid w:val="57E2C04E"/>
    <w:rsid w:val="57F27FD0"/>
    <w:rsid w:val="580FC9BE"/>
    <w:rsid w:val="581B0CD6"/>
    <w:rsid w:val="58255470"/>
    <w:rsid w:val="58276529"/>
    <w:rsid w:val="584BCD62"/>
    <w:rsid w:val="584BCDDD"/>
    <w:rsid w:val="58632CCA"/>
    <w:rsid w:val="58CF37F4"/>
    <w:rsid w:val="58E118BF"/>
    <w:rsid w:val="58FA2024"/>
    <w:rsid w:val="5917767D"/>
    <w:rsid w:val="5928214A"/>
    <w:rsid w:val="593E0228"/>
    <w:rsid w:val="59496356"/>
    <w:rsid w:val="598E5A45"/>
    <w:rsid w:val="59C2DFAB"/>
    <w:rsid w:val="5A2E07AE"/>
    <w:rsid w:val="5A537CED"/>
    <w:rsid w:val="5A59FC73"/>
    <w:rsid w:val="5A6E323D"/>
    <w:rsid w:val="5A6E78F1"/>
    <w:rsid w:val="5A99679A"/>
    <w:rsid w:val="5AAC6C15"/>
    <w:rsid w:val="5AB4EBA6"/>
    <w:rsid w:val="5ACFC0E7"/>
    <w:rsid w:val="5AD4F327"/>
    <w:rsid w:val="5ADF2767"/>
    <w:rsid w:val="5B28CEE7"/>
    <w:rsid w:val="5B369F25"/>
    <w:rsid w:val="5B43942E"/>
    <w:rsid w:val="5B492950"/>
    <w:rsid w:val="5B634C5E"/>
    <w:rsid w:val="5B762B2D"/>
    <w:rsid w:val="5B7910F6"/>
    <w:rsid w:val="5B7C211C"/>
    <w:rsid w:val="5B9001D4"/>
    <w:rsid w:val="5B9DDFCA"/>
    <w:rsid w:val="5BC29C13"/>
    <w:rsid w:val="5BEFDCFC"/>
    <w:rsid w:val="5C0103CB"/>
    <w:rsid w:val="5C0DE57D"/>
    <w:rsid w:val="5C34DC14"/>
    <w:rsid w:val="5C493EE2"/>
    <w:rsid w:val="5C79151D"/>
    <w:rsid w:val="5CD4A628"/>
    <w:rsid w:val="5CE27CBF"/>
    <w:rsid w:val="5D0FE739"/>
    <w:rsid w:val="5D100C78"/>
    <w:rsid w:val="5D420108"/>
    <w:rsid w:val="5D57CA78"/>
    <w:rsid w:val="5D5BA39B"/>
    <w:rsid w:val="5D5D0B07"/>
    <w:rsid w:val="5D656D68"/>
    <w:rsid w:val="5D7229EA"/>
    <w:rsid w:val="5D7955C8"/>
    <w:rsid w:val="5D7B240E"/>
    <w:rsid w:val="5D7E0230"/>
    <w:rsid w:val="5DB3E57E"/>
    <w:rsid w:val="5DBB76F7"/>
    <w:rsid w:val="5DD06192"/>
    <w:rsid w:val="5DE2CF54"/>
    <w:rsid w:val="5DFD7C38"/>
    <w:rsid w:val="5E45E6B5"/>
    <w:rsid w:val="5E4B968B"/>
    <w:rsid w:val="5E66C203"/>
    <w:rsid w:val="5E70445B"/>
    <w:rsid w:val="5E71D577"/>
    <w:rsid w:val="5EBD0E3E"/>
    <w:rsid w:val="5EC28154"/>
    <w:rsid w:val="5EC5E5D3"/>
    <w:rsid w:val="5ECED32B"/>
    <w:rsid w:val="5EEBA2EE"/>
    <w:rsid w:val="5F064B34"/>
    <w:rsid w:val="5F25AABC"/>
    <w:rsid w:val="5F676943"/>
    <w:rsid w:val="5F7130D0"/>
    <w:rsid w:val="5F832F85"/>
    <w:rsid w:val="5F895444"/>
    <w:rsid w:val="5F977C92"/>
    <w:rsid w:val="5FB6D284"/>
    <w:rsid w:val="5FBC9FE3"/>
    <w:rsid w:val="5FC6B883"/>
    <w:rsid w:val="5FCF6103"/>
    <w:rsid w:val="600C6A00"/>
    <w:rsid w:val="6017BD72"/>
    <w:rsid w:val="60205A6D"/>
    <w:rsid w:val="60400EAF"/>
    <w:rsid w:val="604BA774"/>
    <w:rsid w:val="607216D7"/>
    <w:rsid w:val="607D9FC5"/>
    <w:rsid w:val="60C2C038"/>
    <w:rsid w:val="60D3C7D1"/>
    <w:rsid w:val="611C21E9"/>
    <w:rsid w:val="612E169B"/>
    <w:rsid w:val="612ED7D6"/>
    <w:rsid w:val="612F2F2B"/>
    <w:rsid w:val="6135F9EF"/>
    <w:rsid w:val="61455B5F"/>
    <w:rsid w:val="6145D15A"/>
    <w:rsid w:val="618B742C"/>
    <w:rsid w:val="619FF81C"/>
    <w:rsid w:val="61A0D499"/>
    <w:rsid w:val="61A682FB"/>
    <w:rsid w:val="61B3895B"/>
    <w:rsid w:val="61D573B9"/>
    <w:rsid w:val="61DEB2AE"/>
    <w:rsid w:val="6205FB78"/>
    <w:rsid w:val="6206E7E2"/>
    <w:rsid w:val="6207BB15"/>
    <w:rsid w:val="621C0DAF"/>
    <w:rsid w:val="6243B70E"/>
    <w:rsid w:val="62675205"/>
    <w:rsid w:val="62733863"/>
    <w:rsid w:val="62924F3D"/>
    <w:rsid w:val="629258FC"/>
    <w:rsid w:val="62A48109"/>
    <w:rsid w:val="62A8ACB8"/>
    <w:rsid w:val="62FA7C94"/>
    <w:rsid w:val="6319AC2A"/>
    <w:rsid w:val="63329F6A"/>
    <w:rsid w:val="63559B67"/>
    <w:rsid w:val="63CF5FE9"/>
    <w:rsid w:val="63D1AE03"/>
    <w:rsid w:val="63DED1C3"/>
    <w:rsid w:val="63FD90F1"/>
    <w:rsid w:val="645E4118"/>
    <w:rsid w:val="64711ECB"/>
    <w:rsid w:val="648089BA"/>
    <w:rsid w:val="648A3792"/>
    <w:rsid w:val="648CA42C"/>
    <w:rsid w:val="648E01CB"/>
    <w:rsid w:val="64BA4F14"/>
    <w:rsid w:val="64C55EE8"/>
    <w:rsid w:val="64E37FEA"/>
    <w:rsid w:val="64F5886F"/>
    <w:rsid w:val="64FF74E9"/>
    <w:rsid w:val="64FFC36B"/>
    <w:rsid w:val="65002191"/>
    <w:rsid w:val="65056E06"/>
    <w:rsid w:val="651CB7C1"/>
    <w:rsid w:val="6547C6F9"/>
    <w:rsid w:val="656BED80"/>
    <w:rsid w:val="65775171"/>
    <w:rsid w:val="657EF019"/>
    <w:rsid w:val="6588D264"/>
    <w:rsid w:val="65AADD39"/>
    <w:rsid w:val="65B096FB"/>
    <w:rsid w:val="65CA8F3C"/>
    <w:rsid w:val="65D83515"/>
    <w:rsid w:val="65D99571"/>
    <w:rsid w:val="65F00280"/>
    <w:rsid w:val="661200FE"/>
    <w:rsid w:val="6613C0F2"/>
    <w:rsid w:val="6632EB46"/>
    <w:rsid w:val="667D9483"/>
    <w:rsid w:val="66822CFD"/>
    <w:rsid w:val="66923141"/>
    <w:rsid w:val="6695C17C"/>
    <w:rsid w:val="66C3C05E"/>
    <w:rsid w:val="66C80569"/>
    <w:rsid w:val="6714AED1"/>
    <w:rsid w:val="6717C810"/>
    <w:rsid w:val="67241551"/>
    <w:rsid w:val="672F18BA"/>
    <w:rsid w:val="67300A0C"/>
    <w:rsid w:val="673675D3"/>
    <w:rsid w:val="675E031F"/>
    <w:rsid w:val="675E372D"/>
    <w:rsid w:val="676C0951"/>
    <w:rsid w:val="67A9789A"/>
    <w:rsid w:val="67CB8A27"/>
    <w:rsid w:val="6858E509"/>
    <w:rsid w:val="686249D0"/>
    <w:rsid w:val="6864F8BA"/>
    <w:rsid w:val="688C0069"/>
    <w:rsid w:val="6894D0DD"/>
    <w:rsid w:val="68ADC7CA"/>
    <w:rsid w:val="68B4514B"/>
    <w:rsid w:val="68C1B411"/>
    <w:rsid w:val="68D47DEE"/>
    <w:rsid w:val="68EAFF3B"/>
    <w:rsid w:val="68F699A8"/>
    <w:rsid w:val="6925E5AE"/>
    <w:rsid w:val="693E285F"/>
    <w:rsid w:val="695B93D1"/>
    <w:rsid w:val="6973A803"/>
    <w:rsid w:val="697D3431"/>
    <w:rsid w:val="6993FF1A"/>
    <w:rsid w:val="699D910F"/>
    <w:rsid w:val="69B84EBB"/>
    <w:rsid w:val="69BE8248"/>
    <w:rsid w:val="69C1A352"/>
    <w:rsid w:val="69CE395F"/>
    <w:rsid w:val="69E9D7D5"/>
    <w:rsid w:val="69EA9877"/>
    <w:rsid w:val="6A11663B"/>
    <w:rsid w:val="6A1CFE45"/>
    <w:rsid w:val="6A34670C"/>
    <w:rsid w:val="6A74CA96"/>
    <w:rsid w:val="6A7BFDD1"/>
    <w:rsid w:val="6AD73811"/>
    <w:rsid w:val="6B11A11B"/>
    <w:rsid w:val="6B200AA3"/>
    <w:rsid w:val="6B2FF7B5"/>
    <w:rsid w:val="6B3E2361"/>
    <w:rsid w:val="6B468FBD"/>
    <w:rsid w:val="6B49CCC5"/>
    <w:rsid w:val="6B4FA462"/>
    <w:rsid w:val="6B5C366B"/>
    <w:rsid w:val="6B8120CC"/>
    <w:rsid w:val="6BA0E243"/>
    <w:rsid w:val="6BA462A9"/>
    <w:rsid w:val="6BACB077"/>
    <w:rsid w:val="6BBB1118"/>
    <w:rsid w:val="6BC44ED3"/>
    <w:rsid w:val="6BE4FEFC"/>
    <w:rsid w:val="6BEB90AF"/>
    <w:rsid w:val="6C10B6C8"/>
    <w:rsid w:val="6C1836B5"/>
    <w:rsid w:val="6C1C137D"/>
    <w:rsid w:val="6C1F1513"/>
    <w:rsid w:val="6C699256"/>
    <w:rsid w:val="6C6CA1A0"/>
    <w:rsid w:val="6C9EEEDD"/>
    <w:rsid w:val="6CAFC79A"/>
    <w:rsid w:val="6CC4565D"/>
    <w:rsid w:val="6CF22761"/>
    <w:rsid w:val="6D12DC66"/>
    <w:rsid w:val="6D15BE52"/>
    <w:rsid w:val="6D318476"/>
    <w:rsid w:val="6D511B7E"/>
    <w:rsid w:val="6D53A9BA"/>
    <w:rsid w:val="6D5A44EC"/>
    <w:rsid w:val="6D744182"/>
    <w:rsid w:val="6DBCECA2"/>
    <w:rsid w:val="6DC9B065"/>
    <w:rsid w:val="6DD49A5A"/>
    <w:rsid w:val="6DD4AE62"/>
    <w:rsid w:val="6DD64B80"/>
    <w:rsid w:val="6DF36F77"/>
    <w:rsid w:val="6E0426B4"/>
    <w:rsid w:val="6E2FF516"/>
    <w:rsid w:val="6E5554B9"/>
    <w:rsid w:val="6E6BAC81"/>
    <w:rsid w:val="6E7898FA"/>
    <w:rsid w:val="6E9F8581"/>
    <w:rsid w:val="6EA18FEA"/>
    <w:rsid w:val="6EC4936B"/>
    <w:rsid w:val="6EED6E73"/>
    <w:rsid w:val="6EF868BB"/>
    <w:rsid w:val="6F0568A8"/>
    <w:rsid w:val="6F13D7AC"/>
    <w:rsid w:val="6F2D1BF7"/>
    <w:rsid w:val="6F3A4712"/>
    <w:rsid w:val="6F45CA75"/>
    <w:rsid w:val="6F60A578"/>
    <w:rsid w:val="6F681ABD"/>
    <w:rsid w:val="6FB5A4DD"/>
    <w:rsid w:val="6FBE1B31"/>
    <w:rsid w:val="700122FB"/>
    <w:rsid w:val="70658A0C"/>
    <w:rsid w:val="707D1725"/>
    <w:rsid w:val="707E2AD1"/>
    <w:rsid w:val="70894A71"/>
    <w:rsid w:val="708B3F31"/>
    <w:rsid w:val="708B6910"/>
    <w:rsid w:val="70BAF648"/>
    <w:rsid w:val="70D6D836"/>
    <w:rsid w:val="70E69D9C"/>
    <w:rsid w:val="71016A22"/>
    <w:rsid w:val="710BFDC9"/>
    <w:rsid w:val="711FDD12"/>
    <w:rsid w:val="7125E97D"/>
    <w:rsid w:val="7130DCD7"/>
    <w:rsid w:val="713E8CDA"/>
    <w:rsid w:val="71403CEB"/>
    <w:rsid w:val="716CB6A9"/>
    <w:rsid w:val="717C185D"/>
    <w:rsid w:val="71840736"/>
    <w:rsid w:val="71C9A666"/>
    <w:rsid w:val="71E24EF2"/>
    <w:rsid w:val="726C3235"/>
    <w:rsid w:val="7283300A"/>
    <w:rsid w:val="72923D76"/>
    <w:rsid w:val="72944AB6"/>
    <w:rsid w:val="7299B4A8"/>
    <w:rsid w:val="72B90942"/>
    <w:rsid w:val="72C1F903"/>
    <w:rsid w:val="72EECA7B"/>
    <w:rsid w:val="7310C53F"/>
    <w:rsid w:val="731C9577"/>
    <w:rsid w:val="731F07E3"/>
    <w:rsid w:val="7327FACD"/>
    <w:rsid w:val="732BFD5C"/>
    <w:rsid w:val="735CF0C2"/>
    <w:rsid w:val="73751C8B"/>
    <w:rsid w:val="7381392F"/>
    <w:rsid w:val="739C202B"/>
    <w:rsid w:val="73A8F560"/>
    <w:rsid w:val="73AA91D7"/>
    <w:rsid w:val="73CEB262"/>
    <w:rsid w:val="73CFCEE7"/>
    <w:rsid w:val="73D239BF"/>
    <w:rsid w:val="73EDE06D"/>
    <w:rsid w:val="73F3E950"/>
    <w:rsid w:val="7403DEF2"/>
    <w:rsid w:val="74152EC4"/>
    <w:rsid w:val="7434FAB0"/>
    <w:rsid w:val="74405E35"/>
    <w:rsid w:val="74538B6C"/>
    <w:rsid w:val="745B1020"/>
    <w:rsid w:val="745D06EE"/>
    <w:rsid w:val="747B9361"/>
    <w:rsid w:val="7499E0E4"/>
    <w:rsid w:val="74A8B821"/>
    <w:rsid w:val="74E93B59"/>
    <w:rsid w:val="74FF27EE"/>
    <w:rsid w:val="75215DA1"/>
    <w:rsid w:val="756E3758"/>
    <w:rsid w:val="75A334BB"/>
    <w:rsid w:val="75C4B8A4"/>
    <w:rsid w:val="75FC0888"/>
    <w:rsid w:val="7612A3B5"/>
    <w:rsid w:val="763831BC"/>
    <w:rsid w:val="763F9BE7"/>
    <w:rsid w:val="7654E996"/>
    <w:rsid w:val="7669CAA9"/>
    <w:rsid w:val="766D6C2E"/>
    <w:rsid w:val="7685110F"/>
    <w:rsid w:val="7696CD23"/>
    <w:rsid w:val="769D1BC2"/>
    <w:rsid w:val="76CFCC53"/>
    <w:rsid w:val="76DD85BB"/>
    <w:rsid w:val="77025177"/>
    <w:rsid w:val="7709BFFF"/>
    <w:rsid w:val="7718D78F"/>
    <w:rsid w:val="773FCDAA"/>
    <w:rsid w:val="77477FBD"/>
    <w:rsid w:val="77612958"/>
    <w:rsid w:val="776D39D4"/>
    <w:rsid w:val="77740AF2"/>
    <w:rsid w:val="777B3705"/>
    <w:rsid w:val="778AF166"/>
    <w:rsid w:val="7790ABE4"/>
    <w:rsid w:val="779BF8FF"/>
    <w:rsid w:val="77A376B8"/>
    <w:rsid w:val="77ADB4CA"/>
    <w:rsid w:val="77C317E7"/>
    <w:rsid w:val="77C42EF0"/>
    <w:rsid w:val="77E0EFEE"/>
    <w:rsid w:val="7806C2DD"/>
    <w:rsid w:val="787FBCE8"/>
    <w:rsid w:val="787FF786"/>
    <w:rsid w:val="7880CD57"/>
    <w:rsid w:val="788F1739"/>
    <w:rsid w:val="78AAA7A7"/>
    <w:rsid w:val="78EE346F"/>
    <w:rsid w:val="78EF76D7"/>
    <w:rsid w:val="78FC1E89"/>
    <w:rsid w:val="79061641"/>
    <w:rsid w:val="7921907E"/>
    <w:rsid w:val="7928F02D"/>
    <w:rsid w:val="7934DF15"/>
    <w:rsid w:val="79477CA0"/>
    <w:rsid w:val="7953F571"/>
    <w:rsid w:val="797AA713"/>
    <w:rsid w:val="7999C070"/>
    <w:rsid w:val="79C3D08F"/>
    <w:rsid w:val="79EFC777"/>
    <w:rsid w:val="7A088E5F"/>
    <w:rsid w:val="7A1068B6"/>
    <w:rsid w:val="7A1FE986"/>
    <w:rsid w:val="7A415E75"/>
    <w:rsid w:val="7A4657CB"/>
    <w:rsid w:val="7A4EA24E"/>
    <w:rsid w:val="7A70D763"/>
    <w:rsid w:val="7A78CA49"/>
    <w:rsid w:val="7A8F79C2"/>
    <w:rsid w:val="7AC48A66"/>
    <w:rsid w:val="7ACF4FA3"/>
    <w:rsid w:val="7AE1F869"/>
    <w:rsid w:val="7AF1A0DA"/>
    <w:rsid w:val="7B01C353"/>
    <w:rsid w:val="7B2353B9"/>
    <w:rsid w:val="7B57EC7D"/>
    <w:rsid w:val="7B644DA1"/>
    <w:rsid w:val="7B6C1E6F"/>
    <w:rsid w:val="7B7B82E5"/>
    <w:rsid w:val="7BA2CD8D"/>
    <w:rsid w:val="7BDE8091"/>
    <w:rsid w:val="7C002AC2"/>
    <w:rsid w:val="7C20F463"/>
    <w:rsid w:val="7C274836"/>
    <w:rsid w:val="7C4CEA49"/>
    <w:rsid w:val="7C6EDEF3"/>
    <w:rsid w:val="7C90182F"/>
    <w:rsid w:val="7C97981C"/>
    <w:rsid w:val="7C9A49DC"/>
    <w:rsid w:val="7CC58DFE"/>
    <w:rsid w:val="7CD1C353"/>
    <w:rsid w:val="7CD85FE0"/>
    <w:rsid w:val="7CFA2D4E"/>
    <w:rsid w:val="7CFFA577"/>
    <w:rsid w:val="7D0BD171"/>
    <w:rsid w:val="7D116C4D"/>
    <w:rsid w:val="7D132F4A"/>
    <w:rsid w:val="7D1B9A8C"/>
    <w:rsid w:val="7D262F12"/>
    <w:rsid w:val="7D26D7CC"/>
    <w:rsid w:val="7D355C74"/>
    <w:rsid w:val="7D3C30C0"/>
    <w:rsid w:val="7D3C8D46"/>
    <w:rsid w:val="7D616B93"/>
    <w:rsid w:val="7D6B95CA"/>
    <w:rsid w:val="7D801DB5"/>
    <w:rsid w:val="7D846B9A"/>
    <w:rsid w:val="7DA9BDA3"/>
    <w:rsid w:val="7DBBD165"/>
    <w:rsid w:val="7DBFAF7C"/>
    <w:rsid w:val="7DDB6548"/>
    <w:rsid w:val="7DF4D96C"/>
    <w:rsid w:val="7E162C1A"/>
    <w:rsid w:val="7E2D8960"/>
    <w:rsid w:val="7E451ED3"/>
    <w:rsid w:val="7E52812E"/>
    <w:rsid w:val="7E552EAD"/>
    <w:rsid w:val="7E62A455"/>
    <w:rsid w:val="7E945082"/>
    <w:rsid w:val="7EA6DE77"/>
    <w:rsid w:val="7EBD3B09"/>
    <w:rsid w:val="7EDE67E8"/>
    <w:rsid w:val="7EF95B6F"/>
    <w:rsid w:val="7F0B588F"/>
    <w:rsid w:val="7F183398"/>
    <w:rsid w:val="7F2D3160"/>
    <w:rsid w:val="7F38EABE"/>
    <w:rsid w:val="7F473878"/>
    <w:rsid w:val="7F496B5D"/>
    <w:rsid w:val="7F6AE06E"/>
    <w:rsid w:val="7F89F87E"/>
    <w:rsid w:val="7FCC4962"/>
    <w:rsid w:val="7FF1D8F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52BF9"/>
  <w15:chartTrackingRefBased/>
  <w15:docId w15:val="{A138581A-F7DA-4AB3-A41C-C999DE99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qFormat="1"/>
    <w:lsdException w:name="List Bullet 4" w:semiHidden="1" w:uiPriority="1" w:unhideWhenUsed="1"/>
    <w:lsdException w:name="List Bullet 5" w:semiHidden="1" w:uiPriority="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D7247D"/>
  </w:style>
  <w:style w:type="paragraph" w:styleId="Heading1">
    <w:name w:val="heading 1"/>
    <w:basedOn w:val="Normal"/>
    <w:next w:val="BodyText"/>
    <w:link w:val="Heading1Char"/>
    <w:qFormat/>
    <w:rsid w:val="009A5EC7"/>
    <w:pPr>
      <w:keepNext/>
      <w:tabs>
        <w:tab w:val="left" w:pos="851"/>
      </w:tabs>
      <w:spacing w:after="360" w:line="600" w:lineRule="atLeast"/>
      <w:outlineLvl w:val="0"/>
    </w:pPr>
    <w:rPr>
      <w:rFonts w:ascii="Georgia" w:eastAsiaTheme="majorEastAsia" w:hAnsi="Georgia" w:cstheme="majorBidi"/>
      <w:b/>
      <w:bCs/>
      <w:color w:val="1B556B"/>
      <w:sz w:val="48"/>
      <w:szCs w:val="28"/>
      <w:lang w:eastAsia="en-NZ"/>
    </w:rPr>
  </w:style>
  <w:style w:type="paragraph" w:styleId="Heading2">
    <w:name w:val="heading 2"/>
    <w:basedOn w:val="Normal"/>
    <w:next w:val="BodyText"/>
    <w:link w:val="Heading2Char"/>
    <w:qFormat/>
    <w:rsid w:val="009A5EC7"/>
    <w:pPr>
      <w:keepNext/>
      <w:tabs>
        <w:tab w:val="left" w:pos="851"/>
      </w:tabs>
      <w:spacing w:before="360" w:after="0" w:line="440" w:lineRule="exact"/>
      <w:outlineLvl w:val="1"/>
    </w:pPr>
    <w:rPr>
      <w:rFonts w:ascii="Georgia" w:eastAsiaTheme="majorEastAsia" w:hAnsi="Georgia" w:cstheme="majorBidi"/>
      <w:b/>
      <w:bCs/>
      <w:color w:val="1B556B"/>
      <w:sz w:val="36"/>
      <w:szCs w:val="26"/>
      <w:lang w:eastAsia="en-NZ"/>
    </w:rPr>
  </w:style>
  <w:style w:type="paragraph" w:styleId="Heading3">
    <w:name w:val="heading 3"/>
    <w:basedOn w:val="Normal"/>
    <w:next w:val="BodyText"/>
    <w:link w:val="Heading3Char"/>
    <w:qFormat/>
    <w:rsid w:val="009A5EC7"/>
    <w:pPr>
      <w:keepNext/>
      <w:tabs>
        <w:tab w:val="left" w:pos="851"/>
      </w:tabs>
      <w:spacing w:before="360" w:after="0" w:line="360" w:lineRule="exact"/>
      <w:outlineLvl w:val="2"/>
    </w:pPr>
    <w:rPr>
      <w:rFonts w:ascii="Georgia" w:eastAsiaTheme="majorEastAsia" w:hAnsi="Georgia" w:cstheme="majorBidi"/>
      <w:b/>
      <w:bCs/>
      <w:sz w:val="28"/>
      <w:lang w:eastAsia="en-NZ"/>
    </w:rPr>
  </w:style>
  <w:style w:type="paragraph" w:styleId="Heading4">
    <w:name w:val="heading 4"/>
    <w:basedOn w:val="Heading3"/>
    <w:next w:val="BodyText"/>
    <w:link w:val="Heading4Char"/>
    <w:qFormat/>
    <w:rsid w:val="009A5EC7"/>
    <w:pPr>
      <w:outlineLvl w:val="3"/>
    </w:pPr>
    <w:rPr>
      <w:sz w:val="24"/>
    </w:rPr>
  </w:style>
  <w:style w:type="paragraph" w:styleId="Heading5">
    <w:name w:val="heading 5"/>
    <w:basedOn w:val="Normal"/>
    <w:next w:val="BodyText"/>
    <w:link w:val="Heading5Char"/>
    <w:qFormat/>
    <w:rsid w:val="0001093E"/>
    <w:pPr>
      <w:keepNext/>
      <w:spacing w:before="240" w:after="0" w:line="240" w:lineRule="auto"/>
      <w:outlineLvl w:val="4"/>
    </w:pPr>
    <w:rPr>
      <w:rFonts w:ascii="Calibri" w:eastAsiaTheme="majorEastAsia" w:hAnsi="Calibri" w:cstheme="majorBidi"/>
      <w:i/>
      <w:sz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odd">
    <w:name w:val="Footer odd"/>
    <w:basedOn w:val="Normal"/>
    <w:uiPriority w:val="2"/>
    <w:rsid w:val="009A5EC7"/>
    <w:pPr>
      <w:tabs>
        <w:tab w:val="right" w:pos="7938"/>
        <w:tab w:val="right" w:pos="8505"/>
      </w:tabs>
      <w:spacing w:before="120" w:after="120" w:line="280" w:lineRule="atLeast"/>
    </w:pPr>
    <w:rPr>
      <w:rFonts w:ascii="Calibri" w:eastAsiaTheme="minorEastAsia" w:hAnsi="Calibri"/>
      <w:sz w:val="16"/>
      <w:lang w:eastAsia="en-NZ"/>
    </w:rPr>
  </w:style>
  <w:style w:type="table" w:styleId="TableGrid">
    <w:name w:val="Table Grid"/>
    <w:basedOn w:val="TableNormal"/>
    <w:uiPriority w:val="39"/>
    <w:rsid w:val="00D44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Normal"/>
    <w:uiPriority w:val="1"/>
    <w:semiHidden/>
    <w:qFormat/>
    <w:rsid w:val="009A5EC7"/>
    <w:pPr>
      <w:tabs>
        <w:tab w:val="left" w:pos="2835"/>
      </w:tabs>
      <w:spacing w:before="120" w:after="0" w:line="280" w:lineRule="atLeast"/>
    </w:pPr>
    <w:rPr>
      <w:rFonts w:ascii="Calibri" w:eastAsiaTheme="minorEastAsia" w:hAnsi="Calibri"/>
      <w:lang w:eastAsia="en-NZ"/>
    </w:rPr>
  </w:style>
  <w:style w:type="paragraph" w:customStyle="1" w:styleId="Tableheading">
    <w:name w:val="Table heading"/>
    <w:basedOn w:val="Normal"/>
    <w:next w:val="Normal"/>
    <w:qFormat/>
    <w:rsid w:val="009A5EC7"/>
    <w:pPr>
      <w:keepNext/>
      <w:spacing w:before="120" w:after="120" w:line="280" w:lineRule="atLeast"/>
      <w:ind w:left="1134" w:hanging="1134"/>
    </w:pPr>
    <w:rPr>
      <w:rFonts w:ascii="Calibri" w:eastAsiaTheme="minorEastAsia" w:hAnsi="Calibri"/>
      <w:b/>
      <w:sz w:val="20"/>
      <w:lang w:eastAsia="en-NZ"/>
    </w:rPr>
  </w:style>
  <w:style w:type="paragraph" w:customStyle="1" w:styleId="TableBullet">
    <w:name w:val="TableBullet"/>
    <w:basedOn w:val="Normal"/>
    <w:qFormat/>
    <w:rsid w:val="009A5EC7"/>
    <w:pPr>
      <w:numPr>
        <w:numId w:val="20"/>
      </w:numPr>
      <w:spacing w:after="60" w:line="240" w:lineRule="atLeast"/>
    </w:pPr>
    <w:rPr>
      <w:rFonts w:ascii="Calibri" w:eastAsiaTheme="minorEastAsia" w:hAnsi="Calibri" w:cs="Arial"/>
      <w:sz w:val="18"/>
      <w:szCs w:val="16"/>
      <w:lang w:eastAsia="en-NZ"/>
    </w:rPr>
  </w:style>
  <w:style w:type="paragraph" w:customStyle="1" w:styleId="TableTextbold">
    <w:name w:val="TableText bold"/>
    <w:basedOn w:val="TableText"/>
    <w:rsid w:val="009A5EC7"/>
    <w:rPr>
      <w:b/>
    </w:rPr>
  </w:style>
  <w:style w:type="paragraph" w:styleId="TOC1">
    <w:name w:val="toc 1"/>
    <w:basedOn w:val="Normal"/>
    <w:next w:val="Normal"/>
    <w:uiPriority w:val="39"/>
    <w:rsid w:val="009A5EC7"/>
    <w:pPr>
      <w:tabs>
        <w:tab w:val="right" w:pos="8505"/>
      </w:tabs>
      <w:spacing w:before="280" w:after="0" w:line="240" w:lineRule="auto"/>
      <w:ind w:left="567" w:right="567" w:hanging="567"/>
    </w:pPr>
    <w:rPr>
      <w:rFonts w:ascii="Calibri" w:eastAsiaTheme="minorEastAsia" w:hAnsi="Calibri"/>
      <w:lang w:eastAsia="en-NZ"/>
    </w:rPr>
  </w:style>
  <w:style w:type="paragraph" w:styleId="Revision">
    <w:name w:val="Revision"/>
    <w:hidden/>
    <w:uiPriority w:val="99"/>
    <w:semiHidden/>
    <w:rsid w:val="0013416A"/>
    <w:pPr>
      <w:spacing w:after="0" w:line="240" w:lineRule="auto"/>
    </w:pPr>
  </w:style>
  <w:style w:type="character" w:styleId="CommentReference">
    <w:name w:val="annotation reference"/>
    <w:basedOn w:val="DefaultParagraphFont"/>
    <w:uiPriority w:val="99"/>
    <w:semiHidden/>
    <w:unhideWhenUsed/>
    <w:rsid w:val="00A97678"/>
    <w:rPr>
      <w:sz w:val="16"/>
      <w:szCs w:val="16"/>
    </w:rPr>
  </w:style>
  <w:style w:type="paragraph" w:styleId="CommentText">
    <w:name w:val="annotation text"/>
    <w:basedOn w:val="Normal"/>
    <w:link w:val="CommentTextChar"/>
    <w:uiPriority w:val="99"/>
    <w:semiHidden/>
    <w:rsid w:val="00A97678"/>
    <w:pPr>
      <w:spacing w:line="240" w:lineRule="auto"/>
    </w:pPr>
    <w:rPr>
      <w:sz w:val="20"/>
      <w:szCs w:val="20"/>
    </w:rPr>
  </w:style>
  <w:style w:type="character" w:customStyle="1" w:styleId="CommentTextChar">
    <w:name w:val="Comment Text Char"/>
    <w:basedOn w:val="DefaultParagraphFont"/>
    <w:link w:val="CommentText"/>
    <w:uiPriority w:val="99"/>
    <w:semiHidden/>
    <w:rsid w:val="002132EE"/>
    <w:rPr>
      <w:sz w:val="20"/>
      <w:szCs w:val="20"/>
    </w:rPr>
  </w:style>
  <w:style w:type="paragraph" w:styleId="CommentSubject">
    <w:name w:val="annotation subject"/>
    <w:basedOn w:val="CommentText"/>
    <w:next w:val="CommentText"/>
    <w:link w:val="CommentSubjectChar"/>
    <w:uiPriority w:val="99"/>
    <w:semiHidden/>
    <w:unhideWhenUsed/>
    <w:rsid w:val="00A97678"/>
    <w:rPr>
      <w:b/>
      <w:bCs/>
    </w:rPr>
  </w:style>
  <w:style w:type="character" w:customStyle="1" w:styleId="CommentSubjectChar">
    <w:name w:val="Comment Subject Char"/>
    <w:basedOn w:val="CommentTextChar"/>
    <w:link w:val="CommentSubject"/>
    <w:uiPriority w:val="99"/>
    <w:semiHidden/>
    <w:rsid w:val="00A97678"/>
    <w:rPr>
      <w:b/>
      <w:bCs/>
      <w:sz w:val="20"/>
      <w:szCs w:val="20"/>
    </w:rPr>
  </w:style>
  <w:style w:type="paragraph" w:styleId="FootnoteText">
    <w:name w:val="footnote text"/>
    <w:basedOn w:val="Normal"/>
    <w:link w:val="FootnoteTextChar"/>
    <w:uiPriority w:val="99"/>
    <w:rsid w:val="009A5EC7"/>
    <w:pPr>
      <w:spacing w:after="60" w:line="240" w:lineRule="atLeast"/>
      <w:ind w:left="284" w:hanging="284"/>
    </w:pPr>
    <w:rPr>
      <w:rFonts w:ascii="Calibri" w:eastAsiaTheme="minorEastAsia" w:hAnsi="Calibri"/>
      <w:sz w:val="19"/>
      <w:lang w:eastAsia="en-NZ"/>
    </w:rPr>
  </w:style>
  <w:style w:type="character" w:customStyle="1" w:styleId="FootnoteTextChar">
    <w:name w:val="Footnote Text Char"/>
    <w:basedOn w:val="DefaultParagraphFont"/>
    <w:link w:val="FootnoteText"/>
    <w:uiPriority w:val="99"/>
    <w:rsid w:val="009A5EC7"/>
    <w:rPr>
      <w:rFonts w:ascii="Calibri" w:eastAsiaTheme="minorEastAsia" w:hAnsi="Calibri"/>
      <w:sz w:val="19"/>
      <w:lang w:eastAsia="en-NZ"/>
    </w:rPr>
  </w:style>
  <w:style w:type="character" w:styleId="FootnoteReference">
    <w:name w:val="footnote reference"/>
    <w:semiHidden/>
    <w:rsid w:val="009A5EC7"/>
    <w:rPr>
      <w:rFonts w:ascii="Calibri" w:hAnsi="Calibri"/>
      <w:color w:val="183C47"/>
      <w:sz w:val="22"/>
      <w:vertAlign w:val="superscript"/>
    </w:rPr>
  </w:style>
  <w:style w:type="paragraph" w:styleId="Header">
    <w:name w:val="header"/>
    <w:basedOn w:val="Normal"/>
    <w:link w:val="HeaderChar"/>
    <w:uiPriority w:val="99"/>
    <w:semiHidden/>
    <w:rsid w:val="001D09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32EE"/>
  </w:style>
  <w:style w:type="paragraph" w:styleId="Footer">
    <w:name w:val="footer"/>
    <w:basedOn w:val="Normal"/>
    <w:link w:val="FooterChar"/>
    <w:uiPriority w:val="99"/>
    <w:semiHidden/>
    <w:rsid w:val="001D09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32EE"/>
  </w:style>
  <w:style w:type="character" w:customStyle="1" w:styleId="Heading5Char">
    <w:name w:val="Heading 5 Char"/>
    <w:basedOn w:val="DefaultParagraphFont"/>
    <w:link w:val="Heading5"/>
    <w:rsid w:val="0001093E"/>
    <w:rPr>
      <w:rFonts w:ascii="Calibri" w:eastAsiaTheme="majorEastAsia" w:hAnsi="Calibri" w:cstheme="majorBidi"/>
      <w:i/>
      <w:sz w:val="24"/>
      <w:lang w:eastAsia="en-NZ"/>
    </w:rPr>
  </w:style>
  <w:style w:type="paragraph" w:styleId="TOC2">
    <w:name w:val="toc 2"/>
    <w:basedOn w:val="Normal"/>
    <w:next w:val="Normal"/>
    <w:uiPriority w:val="39"/>
    <w:rsid w:val="009A5EC7"/>
    <w:pPr>
      <w:tabs>
        <w:tab w:val="right" w:pos="8505"/>
      </w:tabs>
      <w:spacing w:before="60" w:after="60" w:line="240" w:lineRule="auto"/>
      <w:ind w:left="1134" w:right="567" w:hanging="567"/>
    </w:pPr>
    <w:rPr>
      <w:rFonts w:ascii="Calibri" w:eastAsiaTheme="minorEastAsia" w:hAnsi="Calibri"/>
      <w:lang w:eastAsia="en-NZ"/>
    </w:rPr>
  </w:style>
  <w:style w:type="character" w:styleId="HTMLDefinition">
    <w:name w:val="HTML Definition"/>
    <w:basedOn w:val="DefaultParagraphFont"/>
    <w:uiPriority w:val="99"/>
    <w:semiHidden/>
    <w:unhideWhenUsed/>
    <w:rsid w:val="00A06B17"/>
    <w:rPr>
      <w:i/>
      <w:iCs/>
    </w:rPr>
  </w:style>
  <w:style w:type="paragraph" w:customStyle="1" w:styleId="Boxtext">
    <w:name w:val="Box text"/>
    <w:basedOn w:val="Normal"/>
    <w:uiPriority w:val="1"/>
    <w:semiHidden/>
    <w:qFormat/>
    <w:rsid w:val="009A5EC7"/>
    <w:pPr>
      <w:spacing w:before="120" w:after="120" w:line="260" w:lineRule="atLeast"/>
      <w:ind w:left="284" w:right="284"/>
    </w:pPr>
    <w:rPr>
      <w:rFonts w:ascii="Calibri" w:eastAsiaTheme="minorEastAsia" w:hAnsi="Calibri"/>
      <w:color w:val="1B556B"/>
      <w:sz w:val="20"/>
      <w:lang w:eastAsia="en-NZ"/>
    </w:rPr>
  </w:style>
  <w:style w:type="paragraph" w:customStyle="1" w:styleId="Heading">
    <w:name w:val="Heading"/>
    <w:basedOn w:val="Heading1"/>
    <w:next w:val="Normal"/>
    <w:uiPriority w:val="3"/>
    <w:rsid w:val="009A5EC7"/>
  </w:style>
  <w:style w:type="character" w:styleId="UnresolvedMention">
    <w:name w:val="Unresolved Mention"/>
    <w:basedOn w:val="DefaultParagraphFont"/>
    <w:uiPriority w:val="99"/>
    <w:semiHidden/>
    <w:rsid w:val="00AA718A"/>
    <w:rPr>
      <w:color w:val="605E5C"/>
      <w:shd w:val="clear" w:color="auto" w:fill="E1DFDD"/>
    </w:rPr>
  </w:style>
  <w:style w:type="character" w:styleId="Mention">
    <w:name w:val="Mention"/>
    <w:basedOn w:val="DefaultParagraphFont"/>
    <w:uiPriority w:val="99"/>
    <w:semiHidden/>
    <w:rsid w:val="00AA718A"/>
    <w:rPr>
      <w:color w:val="2B579A"/>
      <w:shd w:val="clear" w:color="auto" w:fill="E1DFDD"/>
    </w:rPr>
  </w:style>
  <w:style w:type="paragraph" w:styleId="Title">
    <w:name w:val="Title"/>
    <w:basedOn w:val="Normal"/>
    <w:link w:val="TitleChar"/>
    <w:uiPriority w:val="10"/>
    <w:semiHidden/>
    <w:qFormat/>
    <w:rsid w:val="00B94FCA"/>
    <w:pPr>
      <w:spacing w:before="120" w:after="120" w:line="360" w:lineRule="auto"/>
      <w:jc w:val="center"/>
    </w:pPr>
    <w:rPr>
      <w:rFonts w:ascii="Georgia" w:eastAsiaTheme="minorEastAsia" w:hAnsi="Georgia"/>
      <w:b/>
      <w:color w:val="1B556B"/>
      <w:sz w:val="56"/>
      <w:lang w:eastAsia="en-NZ"/>
    </w:rPr>
  </w:style>
  <w:style w:type="character" w:customStyle="1" w:styleId="TitleChar">
    <w:name w:val="Title Char"/>
    <w:basedOn w:val="DefaultParagraphFont"/>
    <w:link w:val="Title"/>
    <w:uiPriority w:val="10"/>
    <w:semiHidden/>
    <w:rsid w:val="002132EE"/>
    <w:rPr>
      <w:rFonts w:ascii="Georgia" w:eastAsiaTheme="minorEastAsia" w:hAnsi="Georgia"/>
      <w:b/>
      <w:color w:val="1B556B"/>
      <w:sz w:val="56"/>
      <w:lang w:eastAsia="en-NZ"/>
    </w:rPr>
  </w:style>
  <w:style w:type="paragraph" w:styleId="BodyText">
    <w:name w:val="Body Text"/>
    <w:basedOn w:val="Normal"/>
    <w:link w:val="BodyTextChar"/>
    <w:qFormat/>
    <w:rsid w:val="002132EE"/>
    <w:pPr>
      <w:spacing w:before="120" w:after="120" w:line="280" w:lineRule="atLeast"/>
    </w:pPr>
    <w:rPr>
      <w:rFonts w:ascii="Calibri" w:eastAsiaTheme="minorEastAsia" w:hAnsi="Calibri"/>
      <w:lang w:eastAsia="en-NZ"/>
    </w:rPr>
  </w:style>
  <w:style w:type="character" w:customStyle="1" w:styleId="BodyTextChar">
    <w:name w:val="Body Text Char"/>
    <w:basedOn w:val="DefaultParagraphFont"/>
    <w:link w:val="BodyText"/>
    <w:rsid w:val="00881B70"/>
    <w:rPr>
      <w:rFonts w:ascii="Calibri" w:eastAsiaTheme="minorEastAsia" w:hAnsi="Calibri"/>
      <w:lang w:eastAsia="en-NZ"/>
    </w:rPr>
  </w:style>
  <w:style w:type="paragraph" w:customStyle="1" w:styleId="Bullet">
    <w:name w:val="Bullet"/>
    <w:basedOn w:val="Normal"/>
    <w:link w:val="BulletChar"/>
    <w:qFormat/>
    <w:rsid w:val="009A5EC7"/>
    <w:pPr>
      <w:tabs>
        <w:tab w:val="left" w:pos="397"/>
        <w:tab w:val="num" w:pos="720"/>
      </w:tabs>
      <w:spacing w:after="120" w:line="280" w:lineRule="atLeast"/>
      <w:ind w:left="720" w:hanging="720"/>
    </w:pPr>
    <w:rPr>
      <w:rFonts w:ascii="Calibri" w:eastAsia="Times New Roman" w:hAnsi="Calibri" w:cs="Times New Roman"/>
      <w:szCs w:val="20"/>
      <w:lang w:eastAsia="en-NZ"/>
    </w:rPr>
  </w:style>
  <w:style w:type="character" w:customStyle="1" w:styleId="BulletChar">
    <w:name w:val="Bullet Char"/>
    <w:basedOn w:val="DefaultParagraphFont"/>
    <w:link w:val="Bullet"/>
    <w:locked/>
    <w:rsid w:val="009A5EC7"/>
    <w:rPr>
      <w:rFonts w:ascii="Calibri" w:eastAsia="Times New Roman" w:hAnsi="Calibri" w:cs="Times New Roman"/>
      <w:szCs w:val="20"/>
      <w:lang w:eastAsia="en-NZ"/>
    </w:rPr>
  </w:style>
  <w:style w:type="character" w:customStyle="1" w:styleId="Heading2Char">
    <w:name w:val="Heading 2 Char"/>
    <w:basedOn w:val="DefaultParagraphFont"/>
    <w:link w:val="Heading2"/>
    <w:rsid w:val="009A5EC7"/>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5EC7"/>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A5EC7"/>
    <w:rPr>
      <w:rFonts w:ascii="Georgia" w:eastAsiaTheme="majorEastAsia" w:hAnsi="Georgia" w:cstheme="majorBidi"/>
      <w:b/>
      <w:bCs/>
      <w:sz w:val="24"/>
      <w:lang w:eastAsia="en-NZ"/>
    </w:rPr>
  </w:style>
  <w:style w:type="paragraph" w:customStyle="1" w:styleId="Figureheading">
    <w:name w:val="Figure heading"/>
    <w:basedOn w:val="Normal"/>
    <w:next w:val="BodyText"/>
    <w:uiPriority w:val="1"/>
    <w:qFormat/>
    <w:rsid w:val="004162ED"/>
    <w:pPr>
      <w:keepNext/>
      <w:spacing w:before="120" w:after="120" w:line="260" w:lineRule="atLeast"/>
      <w:ind w:left="1134" w:hanging="1134"/>
    </w:pPr>
    <w:rPr>
      <w:rFonts w:ascii="Calibri" w:eastAsiaTheme="minorEastAsia" w:hAnsi="Calibri"/>
      <w:b/>
      <w:sz w:val="20"/>
      <w:lang w:eastAsia="en-NZ"/>
    </w:rPr>
  </w:style>
  <w:style w:type="paragraph" w:customStyle="1" w:styleId="Numberedparagraph">
    <w:name w:val="Numbered paragraph"/>
    <w:basedOn w:val="Normal"/>
    <w:uiPriority w:val="1"/>
    <w:semiHidden/>
    <w:qFormat/>
    <w:rsid w:val="009A5EC7"/>
    <w:pPr>
      <w:tabs>
        <w:tab w:val="num" w:pos="720"/>
      </w:tabs>
      <w:spacing w:after="120" w:line="280" w:lineRule="atLeast"/>
      <w:ind w:left="720" w:hanging="720"/>
    </w:pPr>
    <w:rPr>
      <w:rFonts w:ascii="Calibri" w:eastAsiaTheme="minorEastAsia" w:hAnsi="Calibri"/>
      <w:lang w:eastAsia="en-NZ"/>
    </w:rPr>
  </w:style>
  <w:style w:type="character" w:customStyle="1" w:styleId="Heading1Char">
    <w:name w:val="Heading 1 Char"/>
    <w:basedOn w:val="DefaultParagraphFont"/>
    <w:link w:val="Heading1"/>
    <w:rsid w:val="009A5EC7"/>
    <w:rPr>
      <w:rFonts w:ascii="Georgia" w:eastAsiaTheme="majorEastAsia" w:hAnsi="Georgia" w:cstheme="majorBidi"/>
      <w:b/>
      <w:bCs/>
      <w:color w:val="1B556B"/>
      <w:sz w:val="48"/>
      <w:szCs w:val="28"/>
      <w:lang w:eastAsia="en-NZ"/>
    </w:rPr>
  </w:style>
  <w:style w:type="paragraph" w:customStyle="1" w:styleId="TableText">
    <w:name w:val="TableText"/>
    <w:basedOn w:val="Normal"/>
    <w:qFormat/>
    <w:rsid w:val="009A5EC7"/>
    <w:pPr>
      <w:spacing w:before="60" w:after="60" w:line="240" w:lineRule="atLeast"/>
    </w:pPr>
    <w:rPr>
      <w:rFonts w:ascii="Calibri" w:eastAsiaTheme="minorEastAsia" w:hAnsi="Calibri"/>
      <w:sz w:val="18"/>
      <w:lang w:eastAsia="en-NZ"/>
    </w:rPr>
  </w:style>
  <w:style w:type="paragraph" w:customStyle="1" w:styleId="TableDash">
    <w:name w:val="TableDash"/>
    <w:basedOn w:val="TableBullet"/>
    <w:qFormat/>
    <w:rsid w:val="009A5EC7"/>
    <w:pPr>
      <w:numPr>
        <w:numId w:val="0"/>
      </w:numPr>
      <w:tabs>
        <w:tab w:val="num" w:pos="720"/>
      </w:tabs>
      <w:ind w:left="720" w:hanging="720"/>
    </w:pPr>
  </w:style>
  <w:style w:type="paragraph" w:customStyle="1" w:styleId="Footereven">
    <w:name w:val="Footer even"/>
    <w:basedOn w:val="Normal"/>
    <w:uiPriority w:val="2"/>
    <w:rsid w:val="009A5EC7"/>
    <w:pPr>
      <w:tabs>
        <w:tab w:val="left" w:pos="567"/>
      </w:tabs>
      <w:spacing w:before="120" w:after="120" w:line="280" w:lineRule="atLeast"/>
      <w:jc w:val="both"/>
    </w:pPr>
    <w:rPr>
      <w:rFonts w:ascii="Calibri" w:eastAsiaTheme="minorEastAsia" w:hAnsi="Calibri"/>
      <w:sz w:val="16"/>
      <w:lang w:eastAsia="en-NZ"/>
    </w:rPr>
  </w:style>
  <w:style w:type="character" w:styleId="Hyperlink">
    <w:name w:val="Hyperlink"/>
    <w:uiPriority w:val="99"/>
    <w:qFormat/>
    <w:rsid w:val="009A5EC7"/>
    <w:rPr>
      <w:color w:val="32809C"/>
      <w:u w:val="none"/>
    </w:rPr>
  </w:style>
  <w:style w:type="paragraph" w:styleId="Quote">
    <w:name w:val="Quote"/>
    <w:basedOn w:val="Normal"/>
    <w:next w:val="BodyText"/>
    <w:link w:val="QuoteChar"/>
    <w:uiPriority w:val="1"/>
    <w:semiHidden/>
    <w:qFormat/>
    <w:rsid w:val="009A5EC7"/>
    <w:pPr>
      <w:spacing w:before="60" w:after="60" w:line="280" w:lineRule="atLeast"/>
      <w:ind w:left="567" w:right="567"/>
    </w:pPr>
    <w:rPr>
      <w:rFonts w:ascii="Calibri" w:eastAsiaTheme="minorEastAsia" w:hAnsi="Calibri"/>
      <w:sz w:val="20"/>
      <w:lang w:eastAsia="en-NZ"/>
    </w:rPr>
  </w:style>
  <w:style w:type="character" w:customStyle="1" w:styleId="QuoteChar">
    <w:name w:val="Quote Char"/>
    <w:basedOn w:val="DefaultParagraphFont"/>
    <w:link w:val="Quote"/>
    <w:uiPriority w:val="1"/>
    <w:semiHidden/>
    <w:rsid w:val="00881B70"/>
    <w:rPr>
      <w:rFonts w:ascii="Calibri" w:eastAsiaTheme="minorEastAsia" w:hAnsi="Calibri"/>
      <w:sz w:val="20"/>
      <w:lang w:eastAsia="en-NZ"/>
    </w:rPr>
  </w:style>
  <w:style w:type="paragraph" w:customStyle="1" w:styleId="Imprint">
    <w:name w:val="Imprint"/>
    <w:basedOn w:val="Normal"/>
    <w:uiPriority w:val="3"/>
    <w:rsid w:val="009A5EC7"/>
    <w:pPr>
      <w:spacing w:before="120" w:after="120" w:line="280" w:lineRule="atLeast"/>
    </w:pPr>
    <w:rPr>
      <w:rFonts w:ascii="Calibri" w:eastAsiaTheme="minorEastAsia" w:hAnsi="Calibri"/>
      <w:lang w:eastAsia="en-NZ"/>
    </w:rPr>
  </w:style>
  <w:style w:type="paragraph" w:customStyle="1" w:styleId="References">
    <w:name w:val="References"/>
    <w:basedOn w:val="Normal"/>
    <w:uiPriority w:val="1"/>
    <w:semiHidden/>
    <w:qFormat/>
    <w:rsid w:val="009A5EC7"/>
    <w:pPr>
      <w:spacing w:after="120" w:line="260" w:lineRule="atLeast"/>
    </w:pPr>
    <w:rPr>
      <w:rFonts w:ascii="Calibri" w:eastAsiaTheme="minorEastAsia" w:hAnsi="Calibri"/>
      <w:sz w:val="20"/>
      <w:lang w:eastAsia="en-NZ"/>
    </w:rPr>
  </w:style>
  <w:style w:type="paragraph" w:customStyle="1" w:styleId="Source">
    <w:name w:val="Source"/>
    <w:basedOn w:val="Normal"/>
    <w:next w:val="Normal"/>
    <w:uiPriority w:val="1"/>
    <w:qFormat/>
    <w:rsid w:val="009A5EC7"/>
    <w:pPr>
      <w:tabs>
        <w:tab w:val="left" w:pos="680"/>
      </w:tabs>
      <w:spacing w:before="120" w:after="120" w:line="280" w:lineRule="atLeast"/>
    </w:pPr>
    <w:rPr>
      <w:rFonts w:ascii="Calibri" w:eastAsiaTheme="minorEastAsia" w:hAnsi="Calibri"/>
      <w:sz w:val="18"/>
      <w:lang w:eastAsia="en-NZ"/>
    </w:rPr>
  </w:style>
  <w:style w:type="paragraph" w:customStyle="1" w:styleId="Sub-list">
    <w:name w:val="Sub-list"/>
    <w:basedOn w:val="Normal"/>
    <w:qFormat/>
    <w:rsid w:val="00764882"/>
    <w:pPr>
      <w:tabs>
        <w:tab w:val="num" w:pos="720"/>
        <w:tab w:val="left" w:pos="794"/>
      </w:tabs>
      <w:spacing w:after="120" w:line="280" w:lineRule="atLeast"/>
      <w:ind w:left="720" w:hanging="720"/>
    </w:pPr>
    <w:rPr>
      <w:rFonts w:ascii="Calibri" w:eastAsiaTheme="minorEastAsia" w:hAnsi="Calibri"/>
      <w:lang w:eastAsia="en-NZ"/>
    </w:rPr>
  </w:style>
  <w:style w:type="paragraph" w:styleId="TableofFigures">
    <w:name w:val="table of figures"/>
    <w:basedOn w:val="Normal"/>
    <w:next w:val="Normal"/>
    <w:uiPriority w:val="99"/>
    <w:unhideWhenUsed/>
    <w:rsid w:val="009E0F28"/>
    <w:pPr>
      <w:tabs>
        <w:tab w:val="left" w:pos="1134"/>
        <w:tab w:val="right" w:pos="8494"/>
      </w:tabs>
      <w:spacing w:after="120"/>
      <w:ind w:left="1134" w:hanging="1134"/>
    </w:pPr>
    <w:rPr>
      <w:noProof/>
    </w:rPr>
  </w:style>
  <w:style w:type="character" w:customStyle="1" w:styleId="cf01">
    <w:name w:val="cf01"/>
    <w:basedOn w:val="DefaultParagraphFont"/>
    <w:rsid w:val="00EC3902"/>
    <w:rPr>
      <w:rFonts w:ascii="Segoe UI" w:hAnsi="Segoe UI" w:cs="Segoe UI" w:hint="default"/>
      <w:sz w:val="18"/>
      <w:szCs w:val="18"/>
    </w:rPr>
  </w:style>
  <w:style w:type="paragraph" w:styleId="ListBullet">
    <w:name w:val="List Bullet"/>
    <w:basedOn w:val="BodyText"/>
    <w:semiHidden/>
    <w:qFormat/>
    <w:rsid w:val="00B635F5"/>
    <w:pPr>
      <w:numPr>
        <w:numId w:val="1"/>
      </w:numPr>
      <w:tabs>
        <w:tab w:val="num" w:pos="360"/>
      </w:tabs>
      <w:spacing w:line="240" w:lineRule="auto"/>
    </w:pPr>
    <w:rPr>
      <w:rFonts w:eastAsia="Times New Roman" w:cs="Times New Roman"/>
      <w:lang w:eastAsia="en-AU"/>
    </w:rPr>
  </w:style>
  <w:style w:type="paragraph" w:styleId="ListBullet2">
    <w:name w:val="List Bullet 2"/>
    <w:basedOn w:val="ListBullet"/>
    <w:uiPriority w:val="1"/>
    <w:semiHidden/>
    <w:rsid w:val="00B635F5"/>
    <w:pPr>
      <w:numPr>
        <w:ilvl w:val="1"/>
      </w:numPr>
      <w:tabs>
        <w:tab w:val="num" w:pos="360"/>
      </w:tabs>
    </w:pPr>
  </w:style>
  <w:style w:type="paragraph" w:styleId="ListBullet3">
    <w:name w:val="List Bullet 3"/>
    <w:basedOn w:val="ListBullet"/>
    <w:uiPriority w:val="1"/>
    <w:qFormat/>
    <w:rsid w:val="00B635F5"/>
    <w:pPr>
      <w:numPr>
        <w:ilvl w:val="2"/>
      </w:numPr>
      <w:tabs>
        <w:tab w:val="num" w:pos="360"/>
      </w:tabs>
    </w:pPr>
  </w:style>
  <w:style w:type="paragraph" w:styleId="ListBullet4">
    <w:name w:val="List Bullet 4"/>
    <w:basedOn w:val="ListBullet"/>
    <w:uiPriority w:val="1"/>
    <w:semiHidden/>
    <w:rsid w:val="00B635F5"/>
    <w:pPr>
      <w:numPr>
        <w:ilvl w:val="3"/>
      </w:numPr>
      <w:tabs>
        <w:tab w:val="num" w:pos="360"/>
      </w:tabs>
    </w:pPr>
  </w:style>
  <w:style w:type="paragraph" w:styleId="ListBullet5">
    <w:name w:val="List Bullet 5"/>
    <w:basedOn w:val="ListBullet4"/>
    <w:uiPriority w:val="1"/>
    <w:semiHidden/>
    <w:rsid w:val="00B635F5"/>
    <w:pPr>
      <w:numPr>
        <w:ilvl w:val="4"/>
      </w:numPr>
      <w:tabs>
        <w:tab w:val="num" w:pos="360"/>
      </w:tabs>
    </w:pPr>
  </w:style>
  <w:style w:type="paragraph" w:customStyle="1" w:styleId="Bullets">
    <w:name w:val="Bullets"/>
    <w:basedOn w:val="ListBullet"/>
    <w:qFormat/>
    <w:rsid w:val="00B635F5"/>
    <w:pPr>
      <w:spacing w:before="0"/>
    </w:pPr>
  </w:style>
  <w:style w:type="character" w:styleId="FollowedHyperlink">
    <w:name w:val="FollowedHyperlink"/>
    <w:basedOn w:val="DefaultParagraphFont"/>
    <w:uiPriority w:val="99"/>
    <w:semiHidden/>
    <w:unhideWhenUsed/>
    <w:rsid w:val="00D6257E"/>
    <w:rPr>
      <w:color w:val="800080" w:themeColor="followedHyperlink"/>
      <w:u w:val="single"/>
    </w:rPr>
  </w:style>
  <w:style w:type="paragraph" w:styleId="Caption">
    <w:name w:val="caption"/>
    <w:basedOn w:val="Normal"/>
    <w:next w:val="Normal"/>
    <w:uiPriority w:val="35"/>
    <w:semiHidden/>
    <w:qFormat/>
    <w:rsid w:val="008D5685"/>
    <w:pPr>
      <w:spacing w:after="200" w:line="240" w:lineRule="auto"/>
    </w:pPr>
    <w:rPr>
      <w:i/>
      <w:iCs/>
      <w:color w:val="1B556B" w:themeColor="text2"/>
      <w:sz w:val="18"/>
      <w:szCs w:val="18"/>
    </w:rPr>
  </w:style>
  <w:style w:type="paragraph" w:customStyle="1" w:styleId="Bulletmfe">
    <w:name w:val="Bullet mfe"/>
    <w:basedOn w:val="Bullet"/>
    <w:link w:val="BulletmfeChar"/>
    <w:uiPriority w:val="3"/>
    <w:qFormat/>
    <w:rsid w:val="00D7247D"/>
    <w:pPr>
      <w:numPr>
        <w:numId w:val="2"/>
      </w:numPr>
      <w:tabs>
        <w:tab w:val="clear" w:pos="397"/>
      </w:tabs>
    </w:pPr>
  </w:style>
  <w:style w:type="character" w:customStyle="1" w:styleId="BulletmfeChar">
    <w:name w:val="Bullet mfe Char"/>
    <w:basedOn w:val="BulletChar"/>
    <w:link w:val="Bulletmfe"/>
    <w:uiPriority w:val="3"/>
    <w:rsid w:val="00D7247D"/>
    <w:rPr>
      <w:rFonts w:ascii="Calibri" w:eastAsia="Times New Roman" w:hAnsi="Calibri" w:cs="Times New Roman"/>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709">
      <w:bodyDiv w:val="1"/>
      <w:marLeft w:val="0"/>
      <w:marRight w:val="0"/>
      <w:marTop w:val="0"/>
      <w:marBottom w:val="0"/>
      <w:divBdr>
        <w:top w:val="none" w:sz="0" w:space="0" w:color="auto"/>
        <w:left w:val="none" w:sz="0" w:space="0" w:color="auto"/>
        <w:bottom w:val="none" w:sz="0" w:space="0" w:color="auto"/>
        <w:right w:val="none" w:sz="0" w:space="0" w:color="auto"/>
      </w:divBdr>
    </w:div>
    <w:div w:id="57286595">
      <w:bodyDiv w:val="1"/>
      <w:marLeft w:val="0"/>
      <w:marRight w:val="0"/>
      <w:marTop w:val="0"/>
      <w:marBottom w:val="0"/>
      <w:divBdr>
        <w:top w:val="none" w:sz="0" w:space="0" w:color="auto"/>
        <w:left w:val="none" w:sz="0" w:space="0" w:color="auto"/>
        <w:bottom w:val="none" w:sz="0" w:space="0" w:color="auto"/>
        <w:right w:val="none" w:sz="0" w:space="0" w:color="auto"/>
      </w:divBdr>
    </w:div>
    <w:div w:id="83034178">
      <w:bodyDiv w:val="1"/>
      <w:marLeft w:val="0"/>
      <w:marRight w:val="0"/>
      <w:marTop w:val="0"/>
      <w:marBottom w:val="0"/>
      <w:divBdr>
        <w:top w:val="none" w:sz="0" w:space="0" w:color="auto"/>
        <w:left w:val="none" w:sz="0" w:space="0" w:color="auto"/>
        <w:bottom w:val="none" w:sz="0" w:space="0" w:color="auto"/>
        <w:right w:val="none" w:sz="0" w:space="0" w:color="auto"/>
      </w:divBdr>
    </w:div>
    <w:div w:id="152137860">
      <w:bodyDiv w:val="1"/>
      <w:marLeft w:val="0"/>
      <w:marRight w:val="0"/>
      <w:marTop w:val="0"/>
      <w:marBottom w:val="0"/>
      <w:divBdr>
        <w:top w:val="none" w:sz="0" w:space="0" w:color="auto"/>
        <w:left w:val="none" w:sz="0" w:space="0" w:color="auto"/>
        <w:bottom w:val="none" w:sz="0" w:space="0" w:color="auto"/>
        <w:right w:val="none" w:sz="0" w:space="0" w:color="auto"/>
      </w:divBdr>
    </w:div>
    <w:div w:id="225606104">
      <w:bodyDiv w:val="1"/>
      <w:marLeft w:val="0"/>
      <w:marRight w:val="0"/>
      <w:marTop w:val="0"/>
      <w:marBottom w:val="0"/>
      <w:divBdr>
        <w:top w:val="none" w:sz="0" w:space="0" w:color="auto"/>
        <w:left w:val="none" w:sz="0" w:space="0" w:color="auto"/>
        <w:bottom w:val="none" w:sz="0" w:space="0" w:color="auto"/>
        <w:right w:val="none" w:sz="0" w:space="0" w:color="auto"/>
      </w:divBdr>
    </w:div>
    <w:div w:id="227152982">
      <w:bodyDiv w:val="1"/>
      <w:marLeft w:val="0"/>
      <w:marRight w:val="0"/>
      <w:marTop w:val="0"/>
      <w:marBottom w:val="0"/>
      <w:divBdr>
        <w:top w:val="none" w:sz="0" w:space="0" w:color="auto"/>
        <w:left w:val="none" w:sz="0" w:space="0" w:color="auto"/>
        <w:bottom w:val="none" w:sz="0" w:space="0" w:color="auto"/>
        <w:right w:val="none" w:sz="0" w:space="0" w:color="auto"/>
      </w:divBdr>
    </w:div>
    <w:div w:id="248925017">
      <w:bodyDiv w:val="1"/>
      <w:marLeft w:val="0"/>
      <w:marRight w:val="0"/>
      <w:marTop w:val="0"/>
      <w:marBottom w:val="0"/>
      <w:divBdr>
        <w:top w:val="none" w:sz="0" w:space="0" w:color="auto"/>
        <w:left w:val="none" w:sz="0" w:space="0" w:color="auto"/>
        <w:bottom w:val="none" w:sz="0" w:space="0" w:color="auto"/>
        <w:right w:val="none" w:sz="0" w:space="0" w:color="auto"/>
      </w:divBdr>
    </w:div>
    <w:div w:id="277414555">
      <w:bodyDiv w:val="1"/>
      <w:marLeft w:val="0"/>
      <w:marRight w:val="0"/>
      <w:marTop w:val="0"/>
      <w:marBottom w:val="0"/>
      <w:divBdr>
        <w:top w:val="none" w:sz="0" w:space="0" w:color="auto"/>
        <w:left w:val="none" w:sz="0" w:space="0" w:color="auto"/>
        <w:bottom w:val="none" w:sz="0" w:space="0" w:color="auto"/>
        <w:right w:val="none" w:sz="0" w:space="0" w:color="auto"/>
      </w:divBdr>
    </w:div>
    <w:div w:id="296491780">
      <w:bodyDiv w:val="1"/>
      <w:marLeft w:val="0"/>
      <w:marRight w:val="0"/>
      <w:marTop w:val="0"/>
      <w:marBottom w:val="0"/>
      <w:divBdr>
        <w:top w:val="none" w:sz="0" w:space="0" w:color="auto"/>
        <w:left w:val="none" w:sz="0" w:space="0" w:color="auto"/>
        <w:bottom w:val="none" w:sz="0" w:space="0" w:color="auto"/>
        <w:right w:val="none" w:sz="0" w:space="0" w:color="auto"/>
      </w:divBdr>
    </w:div>
    <w:div w:id="301355113">
      <w:bodyDiv w:val="1"/>
      <w:marLeft w:val="0"/>
      <w:marRight w:val="0"/>
      <w:marTop w:val="0"/>
      <w:marBottom w:val="0"/>
      <w:divBdr>
        <w:top w:val="none" w:sz="0" w:space="0" w:color="auto"/>
        <w:left w:val="none" w:sz="0" w:space="0" w:color="auto"/>
        <w:bottom w:val="none" w:sz="0" w:space="0" w:color="auto"/>
        <w:right w:val="none" w:sz="0" w:space="0" w:color="auto"/>
      </w:divBdr>
    </w:div>
    <w:div w:id="311445798">
      <w:bodyDiv w:val="1"/>
      <w:marLeft w:val="0"/>
      <w:marRight w:val="0"/>
      <w:marTop w:val="0"/>
      <w:marBottom w:val="0"/>
      <w:divBdr>
        <w:top w:val="none" w:sz="0" w:space="0" w:color="auto"/>
        <w:left w:val="none" w:sz="0" w:space="0" w:color="auto"/>
        <w:bottom w:val="none" w:sz="0" w:space="0" w:color="auto"/>
        <w:right w:val="none" w:sz="0" w:space="0" w:color="auto"/>
      </w:divBdr>
    </w:div>
    <w:div w:id="347415274">
      <w:bodyDiv w:val="1"/>
      <w:marLeft w:val="0"/>
      <w:marRight w:val="0"/>
      <w:marTop w:val="0"/>
      <w:marBottom w:val="0"/>
      <w:divBdr>
        <w:top w:val="none" w:sz="0" w:space="0" w:color="auto"/>
        <w:left w:val="none" w:sz="0" w:space="0" w:color="auto"/>
        <w:bottom w:val="none" w:sz="0" w:space="0" w:color="auto"/>
        <w:right w:val="none" w:sz="0" w:space="0" w:color="auto"/>
      </w:divBdr>
    </w:div>
    <w:div w:id="364987892">
      <w:bodyDiv w:val="1"/>
      <w:marLeft w:val="0"/>
      <w:marRight w:val="0"/>
      <w:marTop w:val="0"/>
      <w:marBottom w:val="0"/>
      <w:divBdr>
        <w:top w:val="none" w:sz="0" w:space="0" w:color="auto"/>
        <w:left w:val="none" w:sz="0" w:space="0" w:color="auto"/>
        <w:bottom w:val="none" w:sz="0" w:space="0" w:color="auto"/>
        <w:right w:val="none" w:sz="0" w:space="0" w:color="auto"/>
      </w:divBdr>
    </w:div>
    <w:div w:id="424041066">
      <w:bodyDiv w:val="1"/>
      <w:marLeft w:val="0"/>
      <w:marRight w:val="0"/>
      <w:marTop w:val="0"/>
      <w:marBottom w:val="0"/>
      <w:divBdr>
        <w:top w:val="none" w:sz="0" w:space="0" w:color="auto"/>
        <w:left w:val="none" w:sz="0" w:space="0" w:color="auto"/>
        <w:bottom w:val="none" w:sz="0" w:space="0" w:color="auto"/>
        <w:right w:val="none" w:sz="0" w:space="0" w:color="auto"/>
      </w:divBdr>
    </w:div>
    <w:div w:id="473837806">
      <w:bodyDiv w:val="1"/>
      <w:marLeft w:val="0"/>
      <w:marRight w:val="0"/>
      <w:marTop w:val="0"/>
      <w:marBottom w:val="0"/>
      <w:divBdr>
        <w:top w:val="none" w:sz="0" w:space="0" w:color="auto"/>
        <w:left w:val="none" w:sz="0" w:space="0" w:color="auto"/>
        <w:bottom w:val="none" w:sz="0" w:space="0" w:color="auto"/>
        <w:right w:val="none" w:sz="0" w:space="0" w:color="auto"/>
      </w:divBdr>
      <w:divsChild>
        <w:div w:id="170032488">
          <w:marLeft w:val="0"/>
          <w:marRight w:val="0"/>
          <w:marTop w:val="83"/>
          <w:marBottom w:val="0"/>
          <w:divBdr>
            <w:top w:val="none" w:sz="0" w:space="0" w:color="auto"/>
            <w:left w:val="none" w:sz="0" w:space="0" w:color="auto"/>
            <w:bottom w:val="none" w:sz="0" w:space="0" w:color="auto"/>
            <w:right w:val="none" w:sz="0" w:space="0" w:color="auto"/>
          </w:divBdr>
        </w:div>
        <w:div w:id="493759198">
          <w:marLeft w:val="0"/>
          <w:marRight w:val="0"/>
          <w:marTop w:val="83"/>
          <w:marBottom w:val="0"/>
          <w:divBdr>
            <w:top w:val="none" w:sz="0" w:space="0" w:color="auto"/>
            <w:left w:val="none" w:sz="0" w:space="0" w:color="auto"/>
            <w:bottom w:val="none" w:sz="0" w:space="0" w:color="auto"/>
            <w:right w:val="none" w:sz="0" w:space="0" w:color="auto"/>
          </w:divBdr>
        </w:div>
      </w:divsChild>
    </w:div>
    <w:div w:id="560823927">
      <w:bodyDiv w:val="1"/>
      <w:marLeft w:val="0"/>
      <w:marRight w:val="0"/>
      <w:marTop w:val="0"/>
      <w:marBottom w:val="0"/>
      <w:divBdr>
        <w:top w:val="none" w:sz="0" w:space="0" w:color="auto"/>
        <w:left w:val="none" w:sz="0" w:space="0" w:color="auto"/>
        <w:bottom w:val="none" w:sz="0" w:space="0" w:color="auto"/>
        <w:right w:val="none" w:sz="0" w:space="0" w:color="auto"/>
      </w:divBdr>
    </w:div>
    <w:div w:id="601037590">
      <w:bodyDiv w:val="1"/>
      <w:marLeft w:val="0"/>
      <w:marRight w:val="0"/>
      <w:marTop w:val="0"/>
      <w:marBottom w:val="0"/>
      <w:divBdr>
        <w:top w:val="none" w:sz="0" w:space="0" w:color="auto"/>
        <w:left w:val="none" w:sz="0" w:space="0" w:color="auto"/>
        <w:bottom w:val="none" w:sz="0" w:space="0" w:color="auto"/>
        <w:right w:val="none" w:sz="0" w:space="0" w:color="auto"/>
      </w:divBdr>
    </w:div>
    <w:div w:id="624241137">
      <w:bodyDiv w:val="1"/>
      <w:marLeft w:val="0"/>
      <w:marRight w:val="0"/>
      <w:marTop w:val="0"/>
      <w:marBottom w:val="0"/>
      <w:divBdr>
        <w:top w:val="none" w:sz="0" w:space="0" w:color="auto"/>
        <w:left w:val="none" w:sz="0" w:space="0" w:color="auto"/>
        <w:bottom w:val="none" w:sz="0" w:space="0" w:color="auto"/>
        <w:right w:val="none" w:sz="0" w:space="0" w:color="auto"/>
      </w:divBdr>
    </w:div>
    <w:div w:id="726612206">
      <w:bodyDiv w:val="1"/>
      <w:marLeft w:val="0"/>
      <w:marRight w:val="0"/>
      <w:marTop w:val="0"/>
      <w:marBottom w:val="0"/>
      <w:divBdr>
        <w:top w:val="none" w:sz="0" w:space="0" w:color="auto"/>
        <w:left w:val="none" w:sz="0" w:space="0" w:color="auto"/>
        <w:bottom w:val="none" w:sz="0" w:space="0" w:color="auto"/>
        <w:right w:val="none" w:sz="0" w:space="0" w:color="auto"/>
      </w:divBdr>
    </w:div>
    <w:div w:id="743650586">
      <w:bodyDiv w:val="1"/>
      <w:marLeft w:val="0"/>
      <w:marRight w:val="0"/>
      <w:marTop w:val="0"/>
      <w:marBottom w:val="0"/>
      <w:divBdr>
        <w:top w:val="none" w:sz="0" w:space="0" w:color="auto"/>
        <w:left w:val="none" w:sz="0" w:space="0" w:color="auto"/>
        <w:bottom w:val="none" w:sz="0" w:space="0" w:color="auto"/>
        <w:right w:val="none" w:sz="0" w:space="0" w:color="auto"/>
      </w:divBdr>
    </w:div>
    <w:div w:id="782503706">
      <w:bodyDiv w:val="1"/>
      <w:marLeft w:val="0"/>
      <w:marRight w:val="0"/>
      <w:marTop w:val="0"/>
      <w:marBottom w:val="0"/>
      <w:divBdr>
        <w:top w:val="none" w:sz="0" w:space="0" w:color="auto"/>
        <w:left w:val="none" w:sz="0" w:space="0" w:color="auto"/>
        <w:bottom w:val="none" w:sz="0" w:space="0" w:color="auto"/>
        <w:right w:val="none" w:sz="0" w:space="0" w:color="auto"/>
      </w:divBdr>
    </w:div>
    <w:div w:id="800464694">
      <w:bodyDiv w:val="1"/>
      <w:marLeft w:val="0"/>
      <w:marRight w:val="0"/>
      <w:marTop w:val="0"/>
      <w:marBottom w:val="0"/>
      <w:divBdr>
        <w:top w:val="none" w:sz="0" w:space="0" w:color="auto"/>
        <w:left w:val="none" w:sz="0" w:space="0" w:color="auto"/>
        <w:bottom w:val="none" w:sz="0" w:space="0" w:color="auto"/>
        <w:right w:val="none" w:sz="0" w:space="0" w:color="auto"/>
      </w:divBdr>
    </w:div>
    <w:div w:id="993532713">
      <w:bodyDiv w:val="1"/>
      <w:marLeft w:val="0"/>
      <w:marRight w:val="0"/>
      <w:marTop w:val="0"/>
      <w:marBottom w:val="0"/>
      <w:divBdr>
        <w:top w:val="none" w:sz="0" w:space="0" w:color="auto"/>
        <w:left w:val="none" w:sz="0" w:space="0" w:color="auto"/>
        <w:bottom w:val="none" w:sz="0" w:space="0" w:color="auto"/>
        <w:right w:val="none" w:sz="0" w:space="0" w:color="auto"/>
      </w:divBdr>
    </w:div>
    <w:div w:id="1023363385">
      <w:bodyDiv w:val="1"/>
      <w:marLeft w:val="0"/>
      <w:marRight w:val="0"/>
      <w:marTop w:val="0"/>
      <w:marBottom w:val="0"/>
      <w:divBdr>
        <w:top w:val="none" w:sz="0" w:space="0" w:color="auto"/>
        <w:left w:val="none" w:sz="0" w:space="0" w:color="auto"/>
        <w:bottom w:val="none" w:sz="0" w:space="0" w:color="auto"/>
        <w:right w:val="none" w:sz="0" w:space="0" w:color="auto"/>
      </w:divBdr>
    </w:div>
    <w:div w:id="1064987960">
      <w:bodyDiv w:val="1"/>
      <w:marLeft w:val="0"/>
      <w:marRight w:val="0"/>
      <w:marTop w:val="0"/>
      <w:marBottom w:val="0"/>
      <w:divBdr>
        <w:top w:val="none" w:sz="0" w:space="0" w:color="auto"/>
        <w:left w:val="none" w:sz="0" w:space="0" w:color="auto"/>
        <w:bottom w:val="none" w:sz="0" w:space="0" w:color="auto"/>
        <w:right w:val="none" w:sz="0" w:space="0" w:color="auto"/>
      </w:divBdr>
    </w:div>
    <w:div w:id="1090809411">
      <w:bodyDiv w:val="1"/>
      <w:marLeft w:val="0"/>
      <w:marRight w:val="0"/>
      <w:marTop w:val="0"/>
      <w:marBottom w:val="0"/>
      <w:divBdr>
        <w:top w:val="none" w:sz="0" w:space="0" w:color="auto"/>
        <w:left w:val="none" w:sz="0" w:space="0" w:color="auto"/>
        <w:bottom w:val="none" w:sz="0" w:space="0" w:color="auto"/>
        <w:right w:val="none" w:sz="0" w:space="0" w:color="auto"/>
      </w:divBdr>
    </w:div>
    <w:div w:id="1142886274">
      <w:bodyDiv w:val="1"/>
      <w:marLeft w:val="0"/>
      <w:marRight w:val="0"/>
      <w:marTop w:val="0"/>
      <w:marBottom w:val="0"/>
      <w:divBdr>
        <w:top w:val="none" w:sz="0" w:space="0" w:color="auto"/>
        <w:left w:val="none" w:sz="0" w:space="0" w:color="auto"/>
        <w:bottom w:val="none" w:sz="0" w:space="0" w:color="auto"/>
        <w:right w:val="none" w:sz="0" w:space="0" w:color="auto"/>
      </w:divBdr>
    </w:div>
    <w:div w:id="1148937240">
      <w:bodyDiv w:val="1"/>
      <w:marLeft w:val="0"/>
      <w:marRight w:val="0"/>
      <w:marTop w:val="0"/>
      <w:marBottom w:val="0"/>
      <w:divBdr>
        <w:top w:val="none" w:sz="0" w:space="0" w:color="auto"/>
        <w:left w:val="none" w:sz="0" w:space="0" w:color="auto"/>
        <w:bottom w:val="none" w:sz="0" w:space="0" w:color="auto"/>
        <w:right w:val="none" w:sz="0" w:space="0" w:color="auto"/>
      </w:divBdr>
    </w:div>
    <w:div w:id="1214006756">
      <w:bodyDiv w:val="1"/>
      <w:marLeft w:val="0"/>
      <w:marRight w:val="0"/>
      <w:marTop w:val="0"/>
      <w:marBottom w:val="0"/>
      <w:divBdr>
        <w:top w:val="none" w:sz="0" w:space="0" w:color="auto"/>
        <w:left w:val="none" w:sz="0" w:space="0" w:color="auto"/>
        <w:bottom w:val="none" w:sz="0" w:space="0" w:color="auto"/>
        <w:right w:val="none" w:sz="0" w:space="0" w:color="auto"/>
      </w:divBdr>
    </w:div>
    <w:div w:id="1401562839">
      <w:bodyDiv w:val="1"/>
      <w:marLeft w:val="0"/>
      <w:marRight w:val="0"/>
      <w:marTop w:val="0"/>
      <w:marBottom w:val="0"/>
      <w:divBdr>
        <w:top w:val="none" w:sz="0" w:space="0" w:color="auto"/>
        <w:left w:val="none" w:sz="0" w:space="0" w:color="auto"/>
        <w:bottom w:val="none" w:sz="0" w:space="0" w:color="auto"/>
        <w:right w:val="none" w:sz="0" w:space="0" w:color="auto"/>
      </w:divBdr>
    </w:div>
    <w:div w:id="1439984103">
      <w:bodyDiv w:val="1"/>
      <w:marLeft w:val="0"/>
      <w:marRight w:val="0"/>
      <w:marTop w:val="0"/>
      <w:marBottom w:val="0"/>
      <w:divBdr>
        <w:top w:val="none" w:sz="0" w:space="0" w:color="auto"/>
        <w:left w:val="none" w:sz="0" w:space="0" w:color="auto"/>
        <w:bottom w:val="none" w:sz="0" w:space="0" w:color="auto"/>
        <w:right w:val="none" w:sz="0" w:space="0" w:color="auto"/>
      </w:divBdr>
    </w:div>
    <w:div w:id="1498157568">
      <w:bodyDiv w:val="1"/>
      <w:marLeft w:val="0"/>
      <w:marRight w:val="0"/>
      <w:marTop w:val="0"/>
      <w:marBottom w:val="0"/>
      <w:divBdr>
        <w:top w:val="none" w:sz="0" w:space="0" w:color="auto"/>
        <w:left w:val="none" w:sz="0" w:space="0" w:color="auto"/>
        <w:bottom w:val="none" w:sz="0" w:space="0" w:color="auto"/>
        <w:right w:val="none" w:sz="0" w:space="0" w:color="auto"/>
      </w:divBdr>
    </w:div>
    <w:div w:id="1543132294">
      <w:bodyDiv w:val="1"/>
      <w:marLeft w:val="0"/>
      <w:marRight w:val="0"/>
      <w:marTop w:val="0"/>
      <w:marBottom w:val="0"/>
      <w:divBdr>
        <w:top w:val="none" w:sz="0" w:space="0" w:color="auto"/>
        <w:left w:val="none" w:sz="0" w:space="0" w:color="auto"/>
        <w:bottom w:val="none" w:sz="0" w:space="0" w:color="auto"/>
        <w:right w:val="none" w:sz="0" w:space="0" w:color="auto"/>
      </w:divBdr>
    </w:div>
    <w:div w:id="1557475435">
      <w:bodyDiv w:val="1"/>
      <w:marLeft w:val="0"/>
      <w:marRight w:val="0"/>
      <w:marTop w:val="0"/>
      <w:marBottom w:val="0"/>
      <w:divBdr>
        <w:top w:val="none" w:sz="0" w:space="0" w:color="auto"/>
        <w:left w:val="none" w:sz="0" w:space="0" w:color="auto"/>
        <w:bottom w:val="none" w:sz="0" w:space="0" w:color="auto"/>
        <w:right w:val="none" w:sz="0" w:space="0" w:color="auto"/>
      </w:divBdr>
    </w:div>
    <w:div w:id="1604920249">
      <w:bodyDiv w:val="1"/>
      <w:marLeft w:val="0"/>
      <w:marRight w:val="0"/>
      <w:marTop w:val="0"/>
      <w:marBottom w:val="0"/>
      <w:divBdr>
        <w:top w:val="none" w:sz="0" w:space="0" w:color="auto"/>
        <w:left w:val="none" w:sz="0" w:space="0" w:color="auto"/>
        <w:bottom w:val="none" w:sz="0" w:space="0" w:color="auto"/>
        <w:right w:val="none" w:sz="0" w:space="0" w:color="auto"/>
      </w:divBdr>
    </w:div>
    <w:div w:id="1662736223">
      <w:bodyDiv w:val="1"/>
      <w:marLeft w:val="0"/>
      <w:marRight w:val="0"/>
      <w:marTop w:val="0"/>
      <w:marBottom w:val="0"/>
      <w:divBdr>
        <w:top w:val="none" w:sz="0" w:space="0" w:color="auto"/>
        <w:left w:val="none" w:sz="0" w:space="0" w:color="auto"/>
        <w:bottom w:val="none" w:sz="0" w:space="0" w:color="auto"/>
        <w:right w:val="none" w:sz="0" w:space="0" w:color="auto"/>
      </w:divBdr>
    </w:div>
    <w:div w:id="1675260286">
      <w:bodyDiv w:val="1"/>
      <w:marLeft w:val="0"/>
      <w:marRight w:val="0"/>
      <w:marTop w:val="0"/>
      <w:marBottom w:val="0"/>
      <w:divBdr>
        <w:top w:val="none" w:sz="0" w:space="0" w:color="auto"/>
        <w:left w:val="none" w:sz="0" w:space="0" w:color="auto"/>
        <w:bottom w:val="none" w:sz="0" w:space="0" w:color="auto"/>
        <w:right w:val="none" w:sz="0" w:space="0" w:color="auto"/>
      </w:divBdr>
    </w:div>
    <w:div w:id="1714504188">
      <w:bodyDiv w:val="1"/>
      <w:marLeft w:val="0"/>
      <w:marRight w:val="0"/>
      <w:marTop w:val="0"/>
      <w:marBottom w:val="0"/>
      <w:divBdr>
        <w:top w:val="none" w:sz="0" w:space="0" w:color="auto"/>
        <w:left w:val="none" w:sz="0" w:space="0" w:color="auto"/>
        <w:bottom w:val="none" w:sz="0" w:space="0" w:color="auto"/>
        <w:right w:val="none" w:sz="0" w:space="0" w:color="auto"/>
      </w:divBdr>
    </w:div>
    <w:div w:id="1760786277">
      <w:bodyDiv w:val="1"/>
      <w:marLeft w:val="0"/>
      <w:marRight w:val="0"/>
      <w:marTop w:val="0"/>
      <w:marBottom w:val="0"/>
      <w:divBdr>
        <w:top w:val="none" w:sz="0" w:space="0" w:color="auto"/>
        <w:left w:val="none" w:sz="0" w:space="0" w:color="auto"/>
        <w:bottom w:val="none" w:sz="0" w:space="0" w:color="auto"/>
        <w:right w:val="none" w:sz="0" w:space="0" w:color="auto"/>
      </w:divBdr>
    </w:div>
    <w:div w:id="1825000500">
      <w:bodyDiv w:val="1"/>
      <w:marLeft w:val="0"/>
      <w:marRight w:val="0"/>
      <w:marTop w:val="0"/>
      <w:marBottom w:val="0"/>
      <w:divBdr>
        <w:top w:val="none" w:sz="0" w:space="0" w:color="auto"/>
        <w:left w:val="none" w:sz="0" w:space="0" w:color="auto"/>
        <w:bottom w:val="none" w:sz="0" w:space="0" w:color="auto"/>
        <w:right w:val="none" w:sz="0" w:space="0" w:color="auto"/>
      </w:divBdr>
    </w:div>
    <w:div w:id="1829200995">
      <w:bodyDiv w:val="1"/>
      <w:marLeft w:val="0"/>
      <w:marRight w:val="0"/>
      <w:marTop w:val="0"/>
      <w:marBottom w:val="0"/>
      <w:divBdr>
        <w:top w:val="none" w:sz="0" w:space="0" w:color="auto"/>
        <w:left w:val="none" w:sz="0" w:space="0" w:color="auto"/>
        <w:bottom w:val="none" w:sz="0" w:space="0" w:color="auto"/>
        <w:right w:val="none" w:sz="0" w:space="0" w:color="auto"/>
      </w:divBdr>
    </w:div>
    <w:div w:id="1879777001">
      <w:bodyDiv w:val="1"/>
      <w:marLeft w:val="0"/>
      <w:marRight w:val="0"/>
      <w:marTop w:val="0"/>
      <w:marBottom w:val="0"/>
      <w:divBdr>
        <w:top w:val="none" w:sz="0" w:space="0" w:color="auto"/>
        <w:left w:val="none" w:sz="0" w:space="0" w:color="auto"/>
        <w:bottom w:val="none" w:sz="0" w:space="0" w:color="auto"/>
        <w:right w:val="none" w:sz="0" w:space="0" w:color="auto"/>
      </w:divBdr>
    </w:div>
    <w:div w:id="1906262563">
      <w:bodyDiv w:val="1"/>
      <w:marLeft w:val="0"/>
      <w:marRight w:val="0"/>
      <w:marTop w:val="0"/>
      <w:marBottom w:val="0"/>
      <w:divBdr>
        <w:top w:val="none" w:sz="0" w:space="0" w:color="auto"/>
        <w:left w:val="none" w:sz="0" w:space="0" w:color="auto"/>
        <w:bottom w:val="none" w:sz="0" w:space="0" w:color="auto"/>
        <w:right w:val="none" w:sz="0" w:space="0" w:color="auto"/>
      </w:divBdr>
    </w:div>
    <w:div w:id="1909343326">
      <w:bodyDiv w:val="1"/>
      <w:marLeft w:val="0"/>
      <w:marRight w:val="0"/>
      <w:marTop w:val="0"/>
      <w:marBottom w:val="0"/>
      <w:divBdr>
        <w:top w:val="none" w:sz="0" w:space="0" w:color="auto"/>
        <w:left w:val="none" w:sz="0" w:space="0" w:color="auto"/>
        <w:bottom w:val="none" w:sz="0" w:space="0" w:color="auto"/>
        <w:right w:val="none" w:sz="0" w:space="0" w:color="auto"/>
      </w:divBdr>
    </w:div>
    <w:div w:id="1977182358">
      <w:bodyDiv w:val="1"/>
      <w:marLeft w:val="0"/>
      <w:marRight w:val="0"/>
      <w:marTop w:val="0"/>
      <w:marBottom w:val="0"/>
      <w:divBdr>
        <w:top w:val="none" w:sz="0" w:space="0" w:color="auto"/>
        <w:left w:val="none" w:sz="0" w:space="0" w:color="auto"/>
        <w:bottom w:val="none" w:sz="0" w:space="0" w:color="auto"/>
        <w:right w:val="none" w:sz="0" w:space="0" w:color="auto"/>
      </w:divBdr>
    </w:div>
    <w:div w:id="1994484406">
      <w:bodyDiv w:val="1"/>
      <w:marLeft w:val="0"/>
      <w:marRight w:val="0"/>
      <w:marTop w:val="0"/>
      <w:marBottom w:val="0"/>
      <w:divBdr>
        <w:top w:val="none" w:sz="0" w:space="0" w:color="auto"/>
        <w:left w:val="none" w:sz="0" w:space="0" w:color="auto"/>
        <w:bottom w:val="none" w:sz="0" w:space="0" w:color="auto"/>
        <w:right w:val="none" w:sz="0" w:space="0" w:color="auto"/>
      </w:divBdr>
    </w:div>
    <w:div w:id="2005669545">
      <w:bodyDiv w:val="1"/>
      <w:marLeft w:val="0"/>
      <w:marRight w:val="0"/>
      <w:marTop w:val="0"/>
      <w:marBottom w:val="0"/>
      <w:divBdr>
        <w:top w:val="none" w:sz="0" w:space="0" w:color="auto"/>
        <w:left w:val="none" w:sz="0" w:space="0" w:color="auto"/>
        <w:bottom w:val="none" w:sz="0" w:space="0" w:color="auto"/>
        <w:right w:val="none" w:sz="0" w:space="0" w:color="auto"/>
      </w:divBdr>
    </w:div>
    <w:div w:id="2044397868">
      <w:bodyDiv w:val="1"/>
      <w:marLeft w:val="0"/>
      <w:marRight w:val="0"/>
      <w:marTop w:val="0"/>
      <w:marBottom w:val="0"/>
      <w:divBdr>
        <w:top w:val="none" w:sz="0" w:space="0" w:color="auto"/>
        <w:left w:val="none" w:sz="0" w:space="0" w:color="auto"/>
        <w:bottom w:val="none" w:sz="0" w:space="0" w:color="auto"/>
        <w:right w:val="none" w:sz="0" w:space="0" w:color="auto"/>
      </w:divBdr>
    </w:div>
    <w:div w:id="2065056452">
      <w:bodyDiv w:val="1"/>
      <w:marLeft w:val="0"/>
      <w:marRight w:val="0"/>
      <w:marTop w:val="0"/>
      <w:marBottom w:val="0"/>
      <w:divBdr>
        <w:top w:val="none" w:sz="0" w:space="0" w:color="auto"/>
        <w:left w:val="none" w:sz="0" w:space="0" w:color="auto"/>
        <w:bottom w:val="none" w:sz="0" w:space="0" w:color="auto"/>
        <w:right w:val="none" w:sz="0" w:space="0" w:color="auto"/>
      </w:divBdr>
    </w:div>
    <w:div w:id="2081753958">
      <w:bodyDiv w:val="1"/>
      <w:marLeft w:val="0"/>
      <w:marRight w:val="0"/>
      <w:marTop w:val="0"/>
      <w:marBottom w:val="0"/>
      <w:divBdr>
        <w:top w:val="none" w:sz="0" w:space="0" w:color="auto"/>
        <w:left w:val="none" w:sz="0" w:space="0" w:color="auto"/>
        <w:bottom w:val="none" w:sz="0" w:space="0" w:color="auto"/>
        <w:right w:val="none" w:sz="0" w:space="0" w:color="auto"/>
      </w:divBdr>
      <w:divsChild>
        <w:div w:id="730687605">
          <w:marLeft w:val="0"/>
          <w:marRight w:val="0"/>
          <w:marTop w:val="0"/>
          <w:marBottom w:val="0"/>
          <w:divBdr>
            <w:top w:val="none" w:sz="0" w:space="0" w:color="auto"/>
            <w:left w:val="none" w:sz="0" w:space="0" w:color="auto"/>
            <w:bottom w:val="none" w:sz="0" w:space="0" w:color="auto"/>
            <w:right w:val="none" w:sz="0" w:space="0" w:color="auto"/>
          </w:divBdr>
        </w:div>
      </w:divsChild>
    </w:div>
    <w:div w:id="2121143345">
      <w:bodyDiv w:val="1"/>
      <w:marLeft w:val="0"/>
      <w:marRight w:val="0"/>
      <w:marTop w:val="0"/>
      <w:marBottom w:val="0"/>
      <w:divBdr>
        <w:top w:val="none" w:sz="0" w:space="0" w:color="auto"/>
        <w:left w:val="none" w:sz="0" w:space="0" w:color="auto"/>
        <w:bottom w:val="none" w:sz="0" w:space="0" w:color="auto"/>
        <w:right w:val="none" w:sz="0" w:space="0" w:color="auto"/>
      </w:divBdr>
    </w:div>
    <w:div w:id="214076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nvironment.govt.n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pi.govt.nz/dmsdocument/50302-Afforestation-Economic-Modelling-Repor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pi.govt.nz/dmsdocument/46564-Afforestation-and-Deforestation-Intentions-Survey-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4.unfccc.int/sites/ndcstaging/PublishedDocuments/New%20Zealand%20First/New%20Zealand%20NDC%20November%20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mpi.govt.nz/dmsdocument/50302-Afforestation-Economic-Modelling-Report" TargetMode="External"/><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www.ipcc-nggip.iges.or.jp/public/2006gl/vol5.html" TargetMode="External"/><Relationship Id="rId2" Type="http://schemas.openxmlformats.org/officeDocument/2006/relationships/hyperlink" Target="https://ccc-production-media.s3.ap-southeast-2.amazonaws.com/public/Inaia-tonu-nei-a-low-emissions-future-for-Aotearoa/Inaia-tonu-nei-a-low-emissions-future-for-Aotearoa.pdf" TargetMode="External"/><Relationship Id="rId1" Type="http://schemas.openxmlformats.org/officeDocument/2006/relationships/hyperlink" Target="http://www.climatecommission.govt.nz/our-work/advice-to-government-topic/inaia-tonu-nei-a-low-emissions-future-for-aotearoa/" TargetMode="External"/><Relationship Id="rId4" Type="http://schemas.openxmlformats.org/officeDocument/2006/relationships/hyperlink" Target="https://ministryforenvironment.sharepoint.com/sites/MFE-EXT-EmissionsReductionPlanInteragencyGroup/Shared%20Documents/Finalising%20the%20ERP/ERP%20Appendices/Formatted%20appendices/www.mpi.govt.nz/forestry/funding-tree-planting-research/one-billion-trees-programme" TargetMode="External"/></Relationships>
</file>

<file path=word/documenttasks/documenttasks1.xml><?xml version="1.0" encoding="utf-8"?>
<t:Tasks xmlns:t="http://schemas.microsoft.com/office/tasks/2019/documenttasks" xmlns:oel="http://schemas.microsoft.com/office/2019/extlst">
  <t:Task id="{013C1FB1-AEEB-4BB7-BB56-083AFD2D2318}">
    <t:Anchor>
      <t:Comment id="1167624036"/>
    </t:Anchor>
    <t:History>
      <t:Event id="{06E7E3FD-4B5F-4E89-8807-119DE0A576AE}" time="2022-04-04T02:48:03.235Z">
        <t:Attribution userId="S::stephen.goodman@mfe.govt.nz::dbe81e0b-e098-4f3a-8e80-8253e43e0f50" userProvider="AD" userName="Stephen Goodman"/>
        <t:Anchor>
          <t:Comment id="1167624036"/>
        </t:Anchor>
        <t:Create/>
      </t:Event>
      <t:Event id="{FF161E8B-3D53-40B3-A870-2D5C11C0B1AA}" time="2022-04-04T02:48:03.235Z">
        <t:Attribution userId="S::stephen.goodman@mfe.govt.nz::dbe81e0b-e098-4f3a-8e80-8253e43e0f50" userProvider="AD" userName="Stephen Goodman"/>
        <t:Anchor>
          <t:Comment id="1167624036"/>
        </t:Anchor>
        <t:Assign userId="S::Ainsley.Smith@mfe.govt.nz::5b6492ed-96c6-4abf-9ed4-218a8b53f3ab" userProvider="AD" userName="Ainsley Smith"/>
      </t:Event>
      <t:Event id="{4C98FF85-19FA-4AD1-BE5E-6D7AE897F49B}" time="2022-04-04T02:48:03.235Z">
        <t:Attribution userId="S::stephen.goodman@mfe.govt.nz::dbe81e0b-e098-4f3a-8e80-8253e43e0f50" userProvider="AD" userName="Stephen Goodman"/>
        <t:Anchor>
          <t:Comment id="1167624036"/>
        </t:Anchor>
        <t:SetTitle title="@Ainsley Smith Is the high and low correct?"/>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35A8ED1FE164FA7BED34B2649011E" ma:contentTypeVersion="15" ma:contentTypeDescription="Create a new document." ma:contentTypeScope="" ma:versionID="af2dc1eba53c14c0edfcb233e7886477">
  <xsd:schema xmlns:xsd="http://www.w3.org/2001/XMLSchema" xmlns:xs="http://www.w3.org/2001/XMLSchema" xmlns:p="http://schemas.microsoft.com/office/2006/metadata/properties" xmlns:ns1="http://schemas.microsoft.com/sharepoint/v3" xmlns:ns2="5829bc35-be00-48af-afae-a8f0e8727087" xmlns:ns3="88f933a1-e329-4279-979c-40139ad22db8" targetNamespace="http://schemas.microsoft.com/office/2006/metadata/properties" ma:root="true" ma:fieldsID="265d6924c799ec525c37de4fcac09f8f" ns1:_="" ns2:_="" ns3:_="">
    <xsd:import namespace="http://schemas.microsoft.com/sharepoint/v3"/>
    <xsd:import namespace="5829bc35-be00-48af-afae-a8f0e8727087"/>
    <xsd:import namespace="88f933a1-e329-4279-979c-40139ad22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bc35-be00-48af-afae-a8f0e8727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933a1-e329-4279-979c-40139ad22d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415C-ED1F-442D-A4FD-475FE6A18E82}">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88f933a1-e329-4279-979c-40139ad22db8"/>
    <ds:schemaRef ds:uri="5829bc35-be00-48af-afae-a8f0e8727087"/>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6E985911-2900-4ED5-BDFF-FFC9B378A9F8}">
  <ds:schemaRefs>
    <ds:schemaRef ds:uri="http://schemas.microsoft.com/sharepoint/v3/contenttype/forms"/>
  </ds:schemaRefs>
</ds:datastoreItem>
</file>

<file path=customXml/itemProps3.xml><?xml version="1.0" encoding="utf-8"?>
<ds:datastoreItem xmlns:ds="http://schemas.openxmlformats.org/officeDocument/2006/customXml" ds:itemID="{731D2D7F-96DD-4199-A473-22AA84CA5692}">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5829bc35-be00-48af-afae-a8f0e8727087"/>
    <ds:schemaRef ds:uri="88f933a1-e329-4279-979c-40139ad22db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152ED-A57F-490C-B6D1-82CAEA02CEE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35</Pages>
  <Words>11495</Words>
  <Characters>65524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76866</CharactersWithSpaces>
  <SharedDoc>false</SharedDoc>
  <HLinks>
    <vt:vector size="312" baseType="variant">
      <vt:variant>
        <vt:i4>8192067</vt:i4>
      </vt:variant>
      <vt:variant>
        <vt:i4>222</vt:i4>
      </vt:variant>
      <vt:variant>
        <vt:i4>0</vt:i4>
      </vt:variant>
      <vt:variant>
        <vt:i4>5</vt:i4>
      </vt:variant>
      <vt:variant>
        <vt:lpwstr/>
      </vt:variant>
      <vt:variant>
        <vt:lpwstr>_ETS_price_corridor</vt:lpwstr>
      </vt:variant>
      <vt:variant>
        <vt:i4>5767177</vt:i4>
      </vt:variant>
      <vt:variant>
        <vt:i4>219</vt:i4>
      </vt:variant>
      <vt:variant>
        <vt:i4>0</vt:i4>
      </vt:variant>
      <vt:variant>
        <vt:i4>5</vt:i4>
      </vt:variant>
      <vt:variant>
        <vt:lpwstr>http://www.mpi.govt.nz/dmsdocument/50302-Afforestation-Economic-Modelling-Report</vt:lpwstr>
      </vt:variant>
      <vt:variant>
        <vt:lpwstr/>
      </vt:variant>
      <vt:variant>
        <vt:i4>6946906</vt:i4>
      </vt:variant>
      <vt:variant>
        <vt:i4>216</vt:i4>
      </vt:variant>
      <vt:variant>
        <vt:i4>0</vt:i4>
      </vt:variant>
      <vt:variant>
        <vt:i4>5</vt:i4>
      </vt:variant>
      <vt:variant>
        <vt:lpwstr/>
      </vt:variant>
      <vt:variant>
        <vt:lpwstr>_Forestry_and_other</vt:lpwstr>
      </vt:variant>
      <vt:variant>
        <vt:i4>5767177</vt:i4>
      </vt:variant>
      <vt:variant>
        <vt:i4>213</vt:i4>
      </vt:variant>
      <vt:variant>
        <vt:i4>0</vt:i4>
      </vt:variant>
      <vt:variant>
        <vt:i4>5</vt:i4>
      </vt:variant>
      <vt:variant>
        <vt:lpwstr>http://www.mpi.govt.nz/dmsdocument/50302-Afforestation-Economic-Modelling-Report</vt:lpwstr>
      </vt:variant>
      <vt:variant>
        <vt:lpwstr/>
      </vt:variant>
      <vt:variant>
        <vt:i4>6946906</vt:i4>
      </vt:variant>
      <vt:variant>
        <vt:i4>210</vt:i4>
      </vt:variant>
      <vt:variant>
        <vt:i4>0</vt:i4>
      </vt:variant>
      <vt:variant>
        <vt:i4>5</vt:i4>
      </vt:variant>
      <vt:variant>
        <vt:lpwstr/>
      </vt:variant>
      <vt:variant>
        <vt:lpwstr>_Forestry_and_other</vt:lpwstr>
      </vt:variant>
      <vt:variant>
        <vt:i4>6291557</vt:i4>
      </vt:variant>
      <vt:variant>
        <vt:i4>207</vt:i4>
      </vt:variant>
      <vt:variant>
        <vt:i4>0</vt:i4>
      </vt:variant>
      <vt:variant>
        <vt:i4>5</vt:i4>
      </vt:variant>
      <vt:variant>
        <vt:lpwstr>http://www.mpi.govt.nz/dmsdocument/46564-Afforestation-and-Deforestation-Intentions-Survey-2020</vt:lpwstr>
      </vt:variant>
      <vt:variant>
        <vt:lpwstr/>
      </vt:variant>
      <vt:variant>
        <vt:i4>6553698</vt:i4>
      </vt:variant>
      <vt:variant>
        <vt:i4>204</vt:i4>
      </vt:variant>
      <vt:variant>
        <vt:i4>0</vt:i4>
      </vt:variant>
      <vt:variant>
        <vt:i4>5</vt:i4>
      </vt:variant>
      <vt:variant>
        <vt:lpwstr>https://www4.unfccc.int/sites/ndcstaging/PublishedDocuments/New Zealand First/New Zealand NDC November 2021.pdf</vt:lpwstr>
      </vt:variant>
      <vt:variant>
        <vt:lpwstr/>
      </vt:variant>
      <vt:variant>
        <vt:i4>4128883</vt:i4>
      </vt:variant>
      <vt:variant>
        <vt:i4>201</vt:i4>
      </vt:variant>
      <vt:variant>
        <vt:i4>0</vt:i4>
      </vt:variant>
      <vt:variant>
        <vt:i4>5</vt:i4>
      </vt:variant>
      <vt:variant>
        <vt:lpwstr/>
      </vt:variant>
      <vt:variant>
        <vt:lpwstr>table2</vt:lpwstr>
      </vt:variant>
      <vt:variant>
        <vt:i4>3932275</vt:i4>
      </vt:variant>
      <vt:variant>
        <vt:i4>198</vt:i4>
      </vt:variant>
      <vt:variant>
        <vt:i4>0</vt:i4>
      </vt:variant>
      <vt:variant>
        <vt:i4>5</vt:i4>
      </vt:variant>
      <vt:variant>
        <vt:lpwstr/>
      </vt:variant>
      <vt:variant>
        <vt:lpwstr>table1</vt:lpwstr>
      </vt:variant>
      <vt:variant>
        <vt:i4>2883613</vt:i4>
      </vt:variant>
      <vt:variant>
        <vt:i4>195</vt:i4>
      </vt:variant>
      <vt:variant>
        <vt:i4>0</vt:i4>
      </vt:variant>
      <vt:variant>
        <vt:i4>5</vt:i4>
      </vt:variant>
      <vt:variant>
        <vt:lpwstr/>
      </vt:variant>
      <vt:variant>
        <vt:lpwstr>_Differences_from_the</vt:lpwstr>
      </vt:variant>
      <vt:variant>
        <vt:i4>3932275</vt:i4>
      </vt:variant>
      <vt:variant>
        <vt:i4>192</vt:i4>
      </vt:variant>
      <vt:variant>
        <vt:i4>0</vt:i4>
      </vt:variant>
      <vt:variant>
        <vt:i4>5</vt:i4>
      </vt:variant>
      <vt:variant>
        <vt:lpwstr/>
      </vt:variant>
      <vt:variant>
        <vt:lpwstr>table1</vt:lpwstr>
      </vt:variant>
      <vt:variant>
        <vt:i4>4128883</vt:i4>
      </vt:variant>
      <vt:variant>
        <vt:i4>189</vt:i4>
      </vt:variant>
      <vt:variant>
        <vt:i4>0</vt:i4>
      </vt:variant>
      <vt:variant>
        <vt:i4>5</vt:i4>
      </vt:variant>
      <vt:variant>
        <vt:lpwstr/>
      </vt:variant>
      <vt:variant>
        <vt:lpwstr>table2</vt:lpwstr>
      </vt:variant>
      <vt:variant>
        <vt:i4>3932275</vt:i4>
      </vt:variant>
      <vt:variant>
        <vt:i4>186</vt:i4>
      </vt:variant>
      <vt:variant>
        <vt:i4>0</vt:i4>
      </vt:variant>
      <vt:variant>
        <vt:i4>5</vt:i4>
      </vt:variant>
      <vt:variant>
        <vt:lpwstr/>
      </vt:variant>
      <vt:variant>
        <vt:lpwstr>table1</vt:lpwstr>
      </vt:variant>
      <vt:variant>
        <vt:i4>4128883</vt:i4>
      </vt:variant>
      <vt:variant>
        <vt:i4>183</vt:i4>
      </vt:variant>
      <vt:variant>
        <vt:i4>0</vt:i4>
      </vt:variant>
      <vt:variant>
        <vt:i4>5</vt:i4>
      </vt:variant>
      <vt:variant>
        <vt:lpwstr/>
      </vt:variant>
      <vt:variant>
        <vt:lpwstr>table2</vt:lpwstr>
      </vt:variant>
      <vt:variant>
        <vt:i4>3932275</vt:i4>
      </vt:variant>
      <vt:variant>
        <vt:i4>180</vt:i4>
      </vt:variant>
      <vt:variant>
        <vt:i4>0</vt:i4>
      </vt:variant>
      <vt:variant>
        <vt:i4>5</vt:i4>
      </vt:variant>
      <vt:variant>
        <vt:lpwstr/>
      </vt:variant>
      <vt:variant>
        <vt:lpwstr>table1a</vt:lpwstr>
      </vt:variant>
      <vt:variant>
        <vt:i4>3932275</vt:i4>
      </vt:variant>
      <vt:variant>
        <vt:i4>177</vt:i4>
      </vt:variant>
      <vt:variant>
        <vt:i4>0</vt:i4>
      </vt:variant>
      <vt:variant>
        <vt:i4>5</vt:i4>
      </vt:variant>
      <vt:variant>
        <vt:lpwstr/>
      </vt:variant>
      <vt:variant>
        <vt:lpwstr>table1</vt:lpwstr>
      </vt:variant>
      <vt:variant>
        <vt:i4>3932275</vt:i4>
      </vt:variant>
      <vt:variant>
        <vt:i4>174</vt:i4>
      </vt:variant>
      <vt:variant>
        <vt:i4>0</vt:i4>
      </vt:variant>
      <vt:variant>
        <vt:i4>5</vt:i4>
      </vt:variant>
      <vt:variant>
        <vt:lpwstr/>
      </vt:variant>
      <vt:variant>
        <vt:lpwstr>table1a</vt:lpwstr>
      </vt:variant>
      <vt:variant>
        <vt:i4>3932275</vt:i4>
      </vt:variant>
      <vt:variant>
        <vt:i4>171</vt:i4>
      </vt:variant>
      <vt:variant>
        <vt:i4>0</vt:i4>
      </vt:variant>
      <vt:variant>
        <vt:i4>5</vt:i4>
      </vt:variant>
      <vt:variant>
        <vt:lpwstr/>
      </vt:variant>
      <vt:variant>
        <vt:lpwstr>table1a</vt:lpwstr>
      </vt:variant>
      <vt:variant>
        <vt:i4>1769520</vt:i4>
      </vt:variant>
      <vt:variant>
        <vt:i4>164</vt:i4>
      </vt:variant>
      <vt:variant>
        <vt:i4>0</vt:i4>
      </vt:variant>
      <vt:variant>
        <vt:i4>5</vt:i4>
      </vt:variant>
      <vt:variant>
        <vt:lpwstr/>
      </vt:variant>
      <vt:variant>
        <vt:lpwstr>_Toc103239170</vt:lpwstr>
      </vt:variant>
      <vt:variant>
        <vt:i4>1703984</vt:i4>
      </vt:variant>
      <vt:variant>
        <vt:i4>158</vt:i4>
      </vt:variant>
      <vt:variant>
        <vt:i4>0</vt:i4>
      </vt:variant>
      <vt:variant>
        <vt:i4>5</vt:i4>
      </vt:variant>
      <vt:variant>
        <vt:lpwstr/>
      </vt:variant>
      <vt:variant>
        <vt:lpwstr>_Toc103239169</vt:lpwstr>
      </vt:variant>
      <vt:variant>
        <vt:i4>1703984</vt:i4>
      </vt:variant>
      <vt:variant>
        <vt:i4>152</vt:i4>
      </vt:variant>
      <vt:variant>
        <vt:i4>0</vt:i4>
      </vt:variant>
      <vt:variant>
        <vt:i4>5</vt:i4>
      </vt:variant>
      <vt:variant>
        <vt:lpwstr/>
      </vt:variant>
      <vt:variant>
        <vt:lpwstr>_Toc103239168</vt:lpwstr>
      </vt:variant>
      <vt:variant>
        <vt:i4>1703984</vt:i4>
      </vt:variant>
      <vt:variant>
        <vt:i4>146</vt:i4>
      </vt:variant>
      <vt:variant>
        <vt:i4>0</vt:i4>
      </vt:variant>
      <vt:variant>
        <vt:i4>5</vt:i4>
      </vt:variant>
      <vt:variant>
        <vt:lpwstr/>
      </vt:variant>
      <vt:variant>
        <vt:lpwstr>_Toc103239167</vt:lpwstr>
      </vt:variant>
      <vt:variant>
        <vt:i4>1703984</vt:i4>
      </vt:variant>
      <vt:variant>
        <vt:i4>140</vt:i4>
      </vt:variant>
      <vt:variant>
        <vt:i4>0</vt:i4>
      </vt:variant>
      <vt:variant>
        <vt:i4>5</vt:i4>
      </vt:variant>
      <vt:variant>
        <vt:lpwstr/>
      </vt:variant>
      <vt:variant>
        <vt:lpwstr>_Toc103239166</vt:lpwstr>
      </vt:variant>
      <vt:variant>
        <vt:i4>1703984</vt:i4>
      </vt:variant>
      <vt:variant>
        <vt:i4>131</vt:i4>
      </vt:variant>
      <vt:variant>
        <vt:i4>0</vt:i4>
      </vt:variant>
      <vt:variant>
        <vt:i4>5</vt:i4>
      </vt:variant>
      <vt:variant>
        <vt:lpwstr/>
      </vt:variant>
      <vt:variant>
        <vt:lpwstr>_Toc103239165</vt:lpwstr>
      </vt:variant>
      <vt:variant>
        <vt:i4>1703984</vt:i4>
      </vt:variant>
      <vt:variant>
        <vt:i4>125</vt:i4>
      </vt:variant>
      <vt:variant>
        <vt:i4>0</vt:i4>
      </vt:variant>
      <vt:variant>
        <vt:i4>5</vt:i4>
      </vt:variant>
      <vt:variant>
        <vt:lpwstr/>
      </vt:variant>
      <vt:variant>
        <vt:lpwstr>_Toc103239164</vt:lpwstr>
      </vt:variant>
      <vt:variant>
        <vt:i4>1703984</vt:i4>
      </vt:variant>
      <vt:variant>
        <vt:i4>119</vt:i4>
      </vt:variant>
      <vt:variant>
        <vt:i4>0</vt:i4>
      </vt:variant>
      <vt:variant>
        <vt:i4>5</vt:i4>
      </vt:variant>
      <vt:variant>
        <vt:lpwstr/>
      </vt:variant>
      <vt:variant>
        <vt:lpwstr>_Toc103239163</vt:lpwstr>
      </vt:variant>
      <vt:variant>
        <vt:i4>1703984</vt:i4>
      </vt:variant>
      <vt:variant>
        <vt:i4>113</vt:i4>
      </vt:variant>
      <vt:variant>
        <vt:i4>0</vt:i4>
      </vt:variant>
      <vt:variant>
        <vt:i4>5</vt:i4>
      </vt:variant>
      <vt:variant>
        <vt:lpwstr/>
      </vt:variant>
      <vt:variant>
        <vt:lpwstr>_Toc103239162</vt:lpwstr>
      </vt:variant>
      <vt:variant>
        <vt:i4>1703984</vt:i4>
      </vt:variant>
      <vt:variant>
        <vt:i4>107</vt:i4>
      </vt:variant>
      <vt:variant>
        <vt:i4>0</vt:i4>
      </vt:variant>
      <vt:variant>
        <vt:i4>5</vt:i4>
      </vt:variant>
      <vt:variant>
        <vt:lpwstr/>
      </vt:variant>
      <vt:variant>
        <vt:lpwstr>_Toc103239161</vt:lpwstr>
      </vt:variant>
      <vt:variant>
        <vt:i4>1703984</vt:i4>
      </vt:variant>
      <vt:variant>
        <vt:i4>101</vt:i4>
      </vt:variant>
      <vt:variant>
        <vt:i4>0</vt:i4>
      </vt:variant>
      <vt:variant>
        <vt:i4>5</vt:i4>
      </vt:variant>
      <vt:variant>
        <vt:lpwstr/>
      </vt:variant>
      <vt:variant>
        <vt:lpwstr>_Toc103239160</vt:lpwstr>
      </vt:variant>
      <vt:variant>
        <vt:i4>1638448</vt:i4>
      </vt:variant>
      <vt:variant>
        <vt:i4>95</vt:i4>
      </vt:variant>
      <vt:variant>
        <vt:i4>0</vt:i4>
      </vt:variant>
      <vt:variant>
        <vt:i4>5</vt:i4>
      </vt:variant>
      <vt:variant>
        <vt:lpwstr/>
      </vt:variant>
      <vt:variant>
        <vt:lpwstr>_Toc103239159</vt:lpwstr>
      </vt:variant>
      <vt:variant>
        <vt:i4>1638448</vt:i4>
      </vt:variant>
      <vt:variant>
        <vt:i4>89</vt:i4>
      </vt:variant>
      <vt:variant>
        <vt:i4>0</vt:i4>
      </vt:variant>
      <vt:variant>
        <vt:i4>5</vt:i4>
      </vt:variant>
      <vt:variant>
        <vt:lpwstr/>
      </vt:variant>
      <vt:variant>
        <vt:lpwstr>_Toc103239158</vt:lpwstr>
      </vt:variant>
      <vt:variant>
        <vt:i4>1638448</vt:i4>
      </vt:variant>
      <vt:variant>
        <vt:i4>83</vt:i4>
      </vt:variant>
      <vt:variant>
        <vt:i4>0</vt:i4>
      </vt:variant>
      <vt:variant>
        <vt:i4>5</vt:i4>
      </vt:variant>
      <vt:variant>
        <vt:lpwstr/>
      </vt:variant>
      <vt:variant>
        <vt:lpwstr>_Toc103239157</vt:lpwstr>
      </vt:variant>
      <vt:variant>
        <vt:i4>1638448</vt:i4>
      </vt:variant>
      <vt:variant>
        <vt:i4>77</vt:i4>
      </vt:variant>
      <vt:variant>
        <vt:i4>0</vt:i4>
      </vt:variant>
      <vt:variant>
        <vt:i4>5</vt:i4>
      </vt:variant>
      <vt:variant>
        <vt:lpwstr/>
      </vt:variant>
      <vt:variant>
        <vt:lpwstr>_Toc103239156</vt:lpwstr>
      </vt:variant>
      <vt:variant>
        <vt:i4>1638448</vt:i4>
      </vt:variant>
      <vt:variant>
        <vt:i4>71</vt:i4>
      </vt:variant>
      <vt:variant>
        <vt:i4>0</vt:i4>
      </vt:variant>
      <vt:variant>
        <vt:i4>5</vt:i4>
      </vt:variant>
      <vt:variant>
        <vt:lpwstr/>
      </vt:variant>
      <vt:variant>
        <vt:lpwstr>_Toc103239155</vt:lpwstr>
      </vt:variant>
      <vt:variant>
        <vt:i4>1638448</vt:i4>
      </vt:variant>
      <vt:variant>
        <vt:i4>65</vt:i4>
      </vt:variant>
      <vt:variant>
        <vt:i4>0</vt:i4>
      </vt:variant>
      <vt:variant>
        <vt:i4>5</vt:i4>
      </vt:variant>
      <vt:variant>
        <vt:lpwstr/>
      </vt:variant>
      <vt:variant>
        <vt:lpwstr>_Toc103239154</vt:lpwstr>
      </vt:variant>
      <vt:variant>
        <vt:i4>1638448</vt:i4>
      </vt:variant>
      <vt:variant>
        <vt:i4>59</vt:i4>
      </vt:variant>
      <vt:variant>
        <vt:i4>0</vt:i4>
      </vt:variant>
      <vt:variant>
        <vt:i4>5</vt:i4>
      </vt:variant>
      <vt:variant>
        <vt:lpwstr/>
      </vt:variant>
      <vt:variant>
        <vt:lpwstr>_Toc103239153</vt:lpwstr>
      </vt:variant>
      <vt:variant>
        <vt:i4>1638448</vt:i4>
      </vt:variant>
      <vt:variant>
        <vt:i4>53</vt:i4>
      </vt:variant>
      <vt:variant>
        <vt:i4>0</vt:i4>
      </vt:variant>
      <vt:variant>
        <vt:i4>5</vt:i4>
      </vt:variant>
      <vt:variant>
        <vt:lpwstr/>
      </vt:variant>
      <vt:variant>
        <vt:lpwstr>_Toc103239152</vt:lpwstr>
      </vt:variant>
      <vt:variant>
        <vt:i4>1638448</vt:i4>
      </vt:variant>
      <vt:variant>
        <vt:i4>47</vt:i4>
      </vt:variant>
      <vt:variant>
        <vt:i4>0</vt:i4>
      </vt:variant>
      <vt:variant>
        <vt:i4>5</vt:i4>
      </vt:variant>
      <vt:variant>
        <vt:lpwstr/>
      </vt:variant>
      <vt:variant>
        <vt:lpwstr>_Toc103239151</vt:lpwstr>
      </vt:variant>
      <vt:variant>
        <vt:i4>1638448</vt:i4>
      </vt:variant>
      <vt:variant>
        <vt:i4>41</vt:i4>
      </vt:variant>
      <vt:variant>
        <vt:i4>0</vt:i4>
      </vt:variant>
      <vt:variant>
        <vt:i4>5</vt:i4>
      </vt:variant>
      <vt:variant>
        <vt:lpwstr/>
      </vt:variant>
      <vt:variant>
        <vt:lpwstr>_Toc103239150</vt:lpwstr>
      </vt:variant>
      <vt:variant>
        <vt:i4>1572912</vt:i4>
      </vt:variant>
      <vt:variant>
        <vt:i4>35</vt:i4>
      </vt:variant>
      <vt:variant>
        <vt:i4>0</vt:i4>
      </vt:variant>
      <vt:variant>
        <vt:i4>5</vt:i4>
      </vt:variant>
      <vt:variant>
        <vt:lpwstr/>
      </vt:variant>
      <vt:variant>
        <vt:lpwstr>_Toc103239149</vt:lpwstr>
      </vt:variant>
      <vt:variant>
        <vt:i4>1572912</vt:i4>
      </vt:variant>
      <vt:variant>
        <vt:i4>29</vt:i4>
      </vt:variant>
      <vt:variant>
        <vt:i4>0</vt:i4>
      </vt:variant>
      <vt:variant>
        <vt:i4>5</vt:i4>
      </vt:variant>
      <vt:variant>
        <vt:lpwstr/>
      </vt:variant>
      <vt:variant>
        <vt:lpwstr>_Toc103239148</vt:lpwstr>
      </vt:variant>
      <vt:variant>
        <vt:i4>1572912</vt:i4>
      </vt:variant>
      <vt:variant>
        <vt:i4>23</vt:i4>
      </vt:variant>
      <vt:variant>
        <vt:i4>0</vt:i4>
      </vt:variant>
      <vt:variant>
        <vt:i4>5</vt:i4>
      </vt:variant>
      <vt:variant>
        <vt:lpwstr/>
      </vt:variant>
      <vt:variant>
        <vt:lpwstr>_Toc103239147</vt:lpwstr>
      </vt:variant>
      <vt:variant>
        <vt:i4>1572912</vt:i4>
      </vt:variant>
      <vt:variant>
        <vt:i4>17</vt:i4>
      </vt:variant>
      <vt:variant>
        <vt:i4>0</vt:i4>
      </vt:variant>
      <vt:variant>
        <vt:i4>5</vt:i4>
      </vt:variant>
      <vt:variant>
        <vt:lpwstr/>
      </vt:variant>
      <vt:variant>
        <vt:lpwstr>_Toc103239146</vt:lpwstr>
      </vt:variant>
      <vt:variant>
        <vt:i4>1572912</vt:i4>
      </vt:variant>
      <vt:variant>
        <vt:i4>11</vt:i4>
      </vt:variant>
      <vt:variant>
        <vt:i4>0</vt:i4>
      </vt:variant>
      <vt:variant>
        <vt:i4>5</vt:i4>
      </vt:variant>
      <vt:variant>
        <vt:lpwstr/>
      </vt:variant>
      <vt:variant>
        <vt:lpwstr>_Toc103239145</vt:lpwstr>
      </vt:variant>
      <vt:variant>
        <vt:i4>1572912</vt:i4>
      </vt:variant>
      <vt:variant>
        <vt:i4>5</vt:i4>
      </vt:variant>
      <vt:variant>
        <vt:i4>0</vt:i4>
      </vt:variant>
      <vt:variant>
        <vt:i4>5</vt:i4>
      </vt:variant>
      <vt:variant>
        <vt:lpwstr/>
      </vt:variant>
      <vt:variant>
        <vt:lpwstr>_Toc103239144</vt:lpwstr>
      </vt:variant>
      <vt:variant>
        <vt:i4>7340128</vt:i4>
      </vt:variant>
      <vt:variant>
        <vt:i4>0</vt:i4>
      </vt:variant>
      <vt:variant>
        <vt:i4>0</vt:i4>
      </vt:variant>
      <vt:variant>
        <vt:i4>5</vt:i4>
      </vt:variant>
      <vt:variant>
        <vt:lpwstr>http://www.environment.govt.nz/</vt:lpwstr>
      </vt:variant>
      <vt:variant>
        <vt:lpwstr/>
      </vt:variant>
      <vt:variant>
        <vt:i4>3145825</vt:i4>
      </vt:variant>
      <vt:variant>
        <vt:i4>15</vt:i4>
      </vt:variant>
      <vt:variant>
        <vt:i4>0</vt:i4>
      </vt:variant>
      <vt:variant>
        <vt:i4>5</vt:i4>
      </vt:variant>
      <vt:variant>
        <vt:lpwstr>https://ministryforenvironment.sharepoint.com/sites/MFE-EXT-EmissionsReductionPlanInteragencyGroup/Shared Documents/Finalising the ERP/ERP Appendices/Formatted appendices/www.mpi.govt.nz/forestry/funding-tree-planting-research/one-billion-trees-programme</vt:lpwstr>
      </vt:variant>
      <vt:variant>
        <vt:lpwstr/>
      </vt:variant>
      <vt:variant>
        <vt:i4>5767196</vt:i4>
      </vt:variant>
      <vt:variant>
        <vt:i4>12</vt:i4>
      </vt:variant>
      <vt:variant>
        <vt:i4>0</vt:i4>
      </vt:variant>
      <vt:variant>
        <vt:i4>5</vt:i4>
      </vt:variant>
      <vt:variant>
        <vt:lpwstr>https://www.ipcc-nggip.iges.or.jp/public/2006gl/vol5.html</vt:lpwstr>
      </vt:variant>
      <vt:variant>
        <vt:lpwstr/>
      </vt:variant>
      <vt:variant>
        <vt:i4>5439509</vt:i4>
      </vt:variant>
      <vt:variant>
        <vt:i4>9</vt:i4>
      </vt:variant>
      <vt:variant>
        <vt:i4>0</vt:i4>
      </vt:variant>
      <vt:variant>
        <vt:i4>5</vt:i4>
      </vt:variant>
      <vt:variant>
        <vt:lpwstr>https://ccc-production-media.s3.ap-southeast-2.amazonaws.com/public/Inaia-tonu-nei-a-low-emissions-future-for-Aotearoa/Inaia-tonu-nei-a-low-emissions-future-for-Aotearoa.pdf</vt:lpwstr>
      </vt:variant>
      <vt:variant>
        <vt:lpwstr/>
      </vt:variant>
      <vt:variant>
        <vt:i4>4128883</vt:i4>
      </vt:variant>
      <vt:variant>
        <vt:i4>6</vt:i4>
      </vt:variant>
      <vt:variant>
        <vt:i4>0</vt:i4>
      </vt:variant>
      <vt:variant>
        <vt:i4>5</vt:i4>
      </vt:variant>
      <vt:variant>
        <vt:lpwstr/>
      </vt:variant>
      <vt:variant>
        <vt:lpwstr>table2</vt:lpwstr>
      </vt:variant>
      <vt:variant>
        <vt:i4>3932275</vt:i4>
      </vt:variant>
      <vt:variant>
        <vt:i4>3</vt:i4>
      </vt:variant>
      <vt:variant>
        <vt:i4>0</vt:i4>
      </vt:variant>
      <vt:variant>
        <vt:i4>5</vt:i4>
      </vt:variant>
      <vt:variant>
        <vt:lpwstr/>
      </vt:variant>
      <vt:variant>
        <vt:lpwstr>table1</vt:lpwstr>
      </vt:variant>
      <vt:variant>
        <vt:i4>655388</vt:i4>
      </vt:variant>
      <vt:variant>
        <vt:i4>0</vt:i4>
      </vt:variant>
      <vt:variant>
        <vt:i4>0</vt:i4>
      </vt:variant>
      <vt:variant>
        <vt:i4>5</vt:i4>
      </vt:variant>
      <vt:variant>
        <vt:lpwstr>http://www.climatecommission.govt.nz/our-work/advice-to-government-topic/inaia-tonu-nei-a-low-emissions-future-for-aotearoa/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Ainsley Smith</dc:creator>
  <cp:keywords/>
  <dc:description/>
  <cp:lastModifiedBy>Daisy Smith</cp:lastModifiedBy>
  <cp:revision>6</cp:revision>
  <cp:lastPrinted>2022-05-13T14:20:00Z</cp:lastPrinted>
  <dcterms:created xsi:type="dcterms:W3CDTF">2022-05-18T01:28:00Z</dcterms:created>
  <dcterms:modified xsi:type="dcterms:W3CDTF">2022-05-18T02:14:00Z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2022-02-27T03:03:26Z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9be09be2-a348-42d6-9c72-0f7c85f6ca56</vt:lpwstr>
  </property>
  <property fmtid="{D5CDD505-2E9C-101B-9397-08002B2CF9AE}" pid="8" name="MSIP_Label_52dda6cc-d61d-4fd2-bf18-9b3017d931cc_ContentBits">
    <vt:lpwstr>0</vt:lpwstr>
  </property>
  <property fmtid="{D5CDD505-2E9C-101B-9397-08002B2CF9AE}" pid="9" name="ContentTypeId">
    <vt:lpwstr>0x01010031735A8ED1FE164FA7BED34B2649011E</vt:lpwstr>
  </property>
  <property fmtid="{D5CDD505-2E9C-101B-9397-08002B2CF9AE}" pid="10" name="_dlc_DocIdItemGuid">
    <vt:lpwstr>f151092d-58bf-4196-b8fe-3dc76340e044</vt:lpwstr>
  </property>
</Properties>
</file>