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730ED40C" w:rsidR="0080531E" w:rsidRPr="006B77BB" w:rsidRDefault="006A3F2F" w:rsidP="0003640E">
      <w:pPr>
        <w:pStyle w:val="BodyText"/>
      </w:pPr>
      <w:r>
        <w:rPr>
          <w:noProof/>
        </w:rPr>
        <mc:AlternateContent>
          <mc:Choice Requires="wps">
            <w:drawing>
              <wp:anchor distT="0" distB="0" distL="114300" distR="114300" simplePos="0" relativeHeight="251660288" behindDoc="0" locked="0" layoutInCell="1" allowOverlap="1" wp14:anchorId="1AE9D5F6" wp14:editId="7AB78B1A">
                <wp:simplePos x="0" y="0"/>
                <wp:positionH relativeFrom="column">
                  <wp:posOffset>3810000</wp:posOffset>
                </wp:positionH>
                <wp:positionV relativeFrom="paragraph">
                  <wp:posOffset>-4261935</wp:posOffset>
                </wp:positionV>
                <wp:extent cx="2960370" cy="2876550"/>
                <wp:effectExtent l="0" t="0" r="0" b="0"/>
                <wp:wrapNone/>
                <wp:docPr id="1454882390" name="Teardrop 1454882390"/>
                <wp:cNvGraphicFramePr/>
                <a:graphic xmlns:a="http://schemas.openxmlformats.org/drawingml/2006/main">
                  <a:graphicData uri="http://schemas.microsoft.com/office/word/2010/wordprocessingShape">
                    <wps:wsp>
                      <wps:cNvSpPr/>
                      <wps:spPr>
                        <a:xfrm>
                          <a:off x="0" y="0"/>
                          <a:ext cx="2960370" cy="2876550"/>
                        </a:xfrm>
                        <a:prstGeom prst="teardrop">
                          <a:avLst/>
                        </a:prstGeom>
                        <a:solidFill>
                          <a:srgbClr val="DA5A2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50E70A" w14:textId="77777777" w:rsidR="007A24CA" w:rsidRDefault="007A24CA" w:rsidP="006A3F2F">
                            <w:pPr>
                              <w:jc w:val="center"/>
                              <w:rPr>
                                <w:rFonts w:ascii="Lato" w:hAnsi="Lato"/>
                                <w:b/>
                                <w:bCs/>
                                <w:color w:val="FFFFFF" w:themeColor="background1"/>
                                <w:sz w:val="28"/>
                                <w:szCs w:val="28"/>
                              </w:rPr>
                            </w:pPr>
                          </w:p>
                          <w:p w14:paraId="6001901C" w14:textId="4C8299BE" w:rsidR="006A3F2F" w:rsidRPr="005B3192" w:rsidRDefault="006A3F2F" w:rsidP="006A3F2F">
                            <w:pPr>
                              <w:jc w:val="center"/>
                              <w:rPr>
                                <w:rFonts w:asciiTheme="minorHAnsi" w:hAnsiTheme="minorHAnsi"/>
                                <w:color w:val="FFFFFF" w:themeColor="background1"/>
                                <w:sz w:val="28"/>
                                <w:szCs w:val="28"/>
                              </w:rPr>
                            </w:pPr>
                            <w:r w:rsidRPr="005B3192">
                              <w:rPr>
                                <w:rFonts w:ascii="Lato" w:hAnsi="Lato"/>
                                <w:b/>
                                <w:bCs/>
                                <w:color w:val="FFFFFF" w:themeColor="background1"/>
                                <w:sz w:val="28"/>
                                <w:szCs w:val="28"/>
                              </w:rPr>
                              <w:t xml:space="preserve">Updated </w:t>
                            </w:r>
                            <w:r w:rsidRPr="005B3192">
                              <w:rPr>
                                <w:rFonts w:ascii="Lato" w:hAnsi="Lato"/>
                                <w:b/>
                                <w:bCs/>
                                <w:i/>
                                <w:iCs/>
                                <w:color w:val="FFFFFF" w:themeColor="background1"/>
                                <w:sz w:val="28"/>
                                <w:szCs w:val="28"/>
                              </w:rPr>
                              <w:t>Coastal hazards and climate change guidance</w:t>
                            </w:r>
                            <w:r w:rsidRPr="005B3192">
                              <w:rPr>
                                <w:rFonts w:ascii="Lato" w:hAnsi="Lato"/>
                                <w:b/>
                                <w:bCs/>
                                <w:color w:val="FFFFFF" w:themeColor="background1"/>
                                <w:sz w:val="28"/>
                                <w:szCs w:val="28"/>
                              </w:rPr>
                              <w:t xml:space="preserve"> was published in early 2024 and is available on the </w:t>
                            </w:r>
                            <w:hyperlink r:id="rId12" w:history="1">
                              <w:r w:rsidRPr="00B851E7">
                                <w:rPr>
                                  <w:rStyle w:val="Hyperlink"/>
                                  <w:rFonts w:ascii="Lato" w:hAnsi="Lato"/>
                                  <w:b/>
                                  <w:bCs/>
                                  <w:color w:val="FFFFFF" w:themeColor="background1"/>
                                  <w:sz w:val="28"/>
                                  <w:szCs w:val="28"/>
                                  <w:u w:val="single"/>
                                </w:rPr>
                                <w:t>Ministry’s website</w:t>
                              </w:r>
                            </w:hyperlink>
                            <w:r w:rsidRPr="005B3192">
                              <w:rPr>
                                <w:rFonts w:ascii="Lato" w:hAnsi="Lato"/>
                                <w:b/>
                                <w:bCs/>
                                <w:color w:val="FFFFFF" w:themeColor="background1"/>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D5F6" id="Teardrop 1454882390" o:spid="_x0000_s1026" style="position:absolute;margin-left:300pt;margin-top:-335.6pt;width:233.1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0370,287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" adj="-11796480,,5400" path="m,1438275c,643938,662701,,1480185,l2960370,r,1438275c2960370,2232612,2297669,2876550,1480185,2876550,662701,2876550,,2232612,,1438275xe" fillcolor="#da5a28" stroked="f" strokeweight="2pt">
                <v:stroke joinstyle="miter"/>
                <v:formulas/>
                <v:path arrowok="t" o:connecttype="custom" o:connectlocs="0,1438275;1480185,0;2960370,0;2960370,1438275;1480185,2876550;0,1438275" o:connectangles="0,0,0,0,0,0" textboxrect="0,0,2960370,2876550"/>
                <v:textbox inset="1mm,1mm,1mm,1mm">
                  <w:txbxContent>
                    <w:p w14:paraId="4950E70A" w14:textId="77777777" w:rsidR="007A24CA" w:rsidRDefault="007A24CA" w:rsidP="006A3F2F">
                      <w:pPr>
                        <w:jc w:val="center"/>
                        <w:rPr>
                          <w:rFonts w:ascii="Lato" w:hAnsi="Lato"/>
                          <w:b/>
                          <w:bCs/>
                          <w:color w:val="FFFFFF" w:themeColor="background1"/>
                          <w:sz w:val="28"/>
                          <w:szCs w:val="28"/>
                        </w:rPr>
                      </w:pPr>
                    </w:p>
                    <w:p w14:paraId="6001901C" w14:textId="4C8299BE" w:rsidR="006A3F2F" w:rsidRPr="005B3192" w:rsidRDefault="006A3F2F" w:rsidP="006A3F2F">
                      <w:pPr>
                        <w:jc w:val="center"/>
                        <w:rPr>
                          <w:rFonts w:asciiTheme="minorHAnsi" w:hAnsiTheme="minorHAnsi"/>
                          <w:color w:val="FFFFFF" w:themeColor="background1"/>
                          <w:sz w:val="28"/>
                          <w:szCs w:val="28"/>
                        </w:rPr>
                      </w:pPr>
                      <w:r w:rsidRPr="005B3192">
                        <w:rPr>
                          <w:rFonts w:ascii="Lato" w:hAnsi="Lato"/>
                          <w:b/>
                          <w:bCs/>
                          <w:color w:val="FFFFFF" w:themeColor="background1"/>
                          <w:sz w:val="28"/>
                          <w:szCs w:val="28"/>
                        </w:rPr>
                        <w:t xml:space="preserve">Updated </w:t>
                      </w:r>
                      <w:r w:rsidRPr="005B3192">
                        <w:rPr>
                          <w:rFonts w:ascii="Lato" w:hAnsi="Lato"/>
                          <w:b/>
                          <w:bCs/>
                          <w:i/>
                          <w:iCs/>
                          <w:color w:val="FFFFFF" w:themeColor="background1"/>
                          <w:sz w:val="28"/>
                          <w:szCs w:val="28"/>
                        </w:rPr>
                        <w:t>Coastal hazards and climate change guidance</w:t>
                      </w:r>
                      <w:r w:rsidRPr="005B3192">
                        <w:rPr>
                          <w:rFonts w:ascii="Lato" w:hAnsi="Lato"/>
                          <w:b/>
                          <w:bCs/>
                          <w:color w:val="FFFFFF" w:themeColor="background1"/>
                          <w:sz w:val="28"/>
                          <w:szCs w:val="28"/>
                        </w:rPr>
                        <w:t xml:space="preserve"> was published in early 2024 and is available on the </w:t>
                      </w:r>
                      <w:hyperlink r:id="rId13" w:history="1">
                        <w:r w:rsidRPr="00B851E7">
                          <w:rPr>
                            <w:rStyle w:val="Hyperlink"/>
                            <w:rFonts w:ascii="Lato" w:hAnsi="Lato"/>
                            <w:b/>
                            <w:bCs/>
                            <w:color w:val="FFFFFF" w:themeColor="background1"/>
                            <w:sz w:val="28"/>
                            <w:szCs w:val="28"/>
                            <w:u w:val="single"/>
                          </w:rPr>
                          <w:t>Ministry’s website</w:t>
                        </w:r>
                      </w:hyperlink>
                      <w:r w:rsidRPr="005B3192">
                        <w:rPr>
                          <w:rFonts w:ascii="Lato" w:hAnsi="Lato"/>
                          <w:b/>
                          <w:bCs/>
                          <w:color w:val="FFFFFF" w:themeColor="background1"/>
                          <w:sz w:val="28"/>
                          <w:szCs w:val="28"/>
                        </w:rPr>
                        <w:t>.</w:t>
                      </w:r>
                    </w:p>
                  </w:txbxContent>
                </v:textbox>
              </v:shape>
            </w:pict>
          </mc:Fallback>
        </mc:AlternateContent>
      </w:r>
      <w:r w:rsidR="008E0FC8">
        <w:rPr>
          <w:noProof/>
        </w:rPr>
        <w:drawing>
          <wp:anchor distT="0" distB="0" distL="114300" distR="114300" simplePos="0" relativeHeight="251658240" behindDoc="0" locked="0" layoutInCell="1" allowOverlap="1" wp14:anchorId="04DDF574" wp14:editId="13ED282A">
            <wp:simplePos x="0" y="0"/>
            <wp:positionH relativeFrom="column">
              <wp:posOffset>-1099185</wp:posOffset>
            </wp:positionH>
            <wp:positionV relativeFrom="paragraph">
              <wp:posOffset>-3629025</wp:posOffset>
            </wp:positionV>
            <wp:extent cx="7677150" cy="108616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9028" cy="10878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even" r:id="rId15"/>
          <w:headerReference w:type="default" r:id="rId16"/>
          <w:footerReference w:type="even" r:id="rId17"/>
          <w:footerReference w:type="default" r:id="rId18"/>
          <w:headerReference w:type="first" r:id="rId19"/>
          <w:footerReference w:type="first" r:id="rId20"/>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44BF426" w14:textId="77777777" w:rsidR="004A4C41" w:rsidRPr="008A09D3" w:rsidRDefault="004A4C41" w:rsidP="004A4C41">
      <w:pPr>
        <w:pStyle w:val="BodyText"/>
      </w:pPr>
      <w:r w:rsidRPr="008F26BC">
        <w:t>The information in this publication is, according to the Ministry for the Environment’s best efforts, accurate at the time of publication. The Ministry will make every reasonable effort to keep it current and accurate. However, users of this publication are advised that:</w:t>
      </w:r>
      <w:r w:rsidRPr="008A09D3">
        <w:t xml:space="preserve"> </w:t>
      </w:r>
    </w:p>
    <w:p w14:paraId="70E211D2" w14:textId="77777777" w:rsidR="004A4C41" w:rsidRDefault="004A4C41" w:rsidP="004A4C41">
      <w:pPr>
        <w:pStyle w:val="Bullets"/>
      </w:pPr>
      <w:r>
        <w:t xml:space="preserve">The information does not alter the laws of New Zealand, other official guidelines, or requirements. </w:t>
      </w:r>
    </w:p>
    <w:p w14:paraId="2BD29216" w14:textId="77777777" w:rsidR="004A4C41" w:rsidRDefault="004A4C41" w:rsidP="004A4C41">
      <w:pPr>
        <w:pStyle w:val="Bullets"/>
      </w:pPr>
      <w:r>
        <w:t xml:space="preserve">It does not constitute legal advice, and users should take specific advice from qualified professionals before taking any action based on information in this publication. </w:t>
      </w:r>
    </w:p>
    <w:p w14:paraId="483B25F1" w14:textId="579988DD" w:rsidR="004A4C41" w:rsidRDefault="004A4C41" w:rsidP="004A4C41">
      <w:pPr>
        <w:pStyle w:val="Bullets"/>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202B6120" w14:textId="13BB67F9" w:rsidR="004A4C41" w:rsidRPr="008A09D3" w:rsidRDefault="004A4C41" w:rsidP="004A4C41">
      <w:pPr>
        <w:pStyle w:val="Bullets"/>
        <w:spacing w:after="240"/>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 </w:t>
      </w:r>
    </w:p>
    <w:p w14:paraId="55F1AE4F" w14:textId="77777777" w:rsidR="004A4C41" w:rsidRDefault="004A4C41" w:rsidP="00452EC4">
      <w:pPr>
        <w:pStyle w:val="Imprint"/>
      </w:pPr>
    </w:p>
    <w:p w14:paraId="2B5BFE9E" w14:textId="2317B2D7" w:rsidR="00452EC4" w:rsidRPr="006B77BB" w:rsidRDefault="004A4C41" w:rsidP="00452EC4">
      <w:pPr>
        <w:pStyle w:val="Imprint"/>
      </w:pPr>
      <w:r>
        <w:t>This guidance supersedes relevant parts of the 2017 Ministry for the Environment</w:t>
      </w:r>
      <w:r w:rsidR="00897314">
        <w:t>’s</w:t>
      </w:r>
      <w:r>
        <w:t xml:space="preserve"> </w:t>
      </w:r>
      <w:r w:rsidRPr="004A4C41">
        <w:rPr>
          <w:i/>
          <w:iCs/>
        </w:rPr>
        <w:t>Coastal hazards and climate change</w:t>
      </w:r>
      <w:r>
        <w:rPr>
          <w:i/>
          <w:iCs/>
        </w:rPr>
        <w:t>:</w:t>
      </w:r>
      <w:r w:rsidRPr="004A4C41">
        <w:rPr>
          <w:i/>
          <w:iCs/>
        </w:rPr>
        <w:t xml:space="preserve"> </w:t>
      </w:r>
      <w:r>
        <w:rPr>
          <w:i/>
          <w:iCs/>
        </w:rPr>
        <w:t>G</w:t>
      </w:r>
      <w:r w:rsidRPr="004A4C41">
        <w:rPr>
          <w:i/>
          <w:iCs/>
        </w:rPr>
        <w:t>uidance for local government</w:t>
      </w:r>
      <w:r>
        <w:t>.</w:t>
      </w:r>
    </w:p>
    <w:p w14:paraId="1FEB0BC5" w14:textId="77777777" w:rsidR="00452EC4" w:rsidRDefault="00452EC4" w:rsidP="004F09B4">
      <w:pPr>
        <w:spacing w:before="0" w:after="160" w:line="259" w:lineRule="auto"/>
        <w:jc w:val="left"/>
        <w:rPr>
          <w:rFonts w:eastAsia="Calibri" w:cs="Times New Roman"/>
          <w:i/>
        </w:rPr>
      </w:pPr>
    </w:p>
    <w:p w14:paraId="7718105E" w14:textId="2640F09D" w:rsidR="004F09B4" w:rsidRPr="00E14296" w:rsidRDefault="004F09B4" w:rsidP="004F09B4">
      <w:pPr>
        <w:spacing w:before="0" w:after="160" w:line="259" w:lineRule="auto"/>
        <w:jc w:val="left"/>
        <w:rPr>
          <w:rFonts w:eastAsia="Calibri" w:cs="Times New Roman"/>
          <w:i/>
          <w:iCs/>
        </w:rPr>
      </w:pPr>
      <w:r w:rsidRPr="00E14296">
        <w:rPr>
          <w:rFonts w:eastAsia="Calibri" w:cs="Times New Roman"/>
          <w:i/>
          <w:iCs/>
        </w:rPr>
        <w:t>Compiled by R.G</w:t>
      </w:r>
      <w:r w:rsidR="00897314">
        <w:rPr>
          <w:rFonts w:eastAsia="Calibri" w:cs="Times New Roman"/>
          <w:i/>
          <w:iCs/>
        </w:rPr>
        <w:t>.</w:t>
      </w:r>
      <w:r w:rsidRPr="00E14296">
        <w:rPr>
          <w:rFonts w:eastAsia="Calibri" w:cs="Times New Roman"/>
          <w:i/>
          <w:iCs/>
        </w:rPr>
        <w:t xml:space="preserve"> Bell with input and reviews by J. Lawrence, T. Naish, R. Levy</w:t>
      </w:r>
      <w:r w:rsidR="00911AB6">
        <w:rPr>
          <w:rFonts w:eastAsia="Calibri" w:cs="Times New Roman"/>
          <w:i/>
          <w:iCs/>
        </w:rPr>
        <w:t xml:space="preserve"> </w:t>
      </w:r>
      <w:r w:rsidRPr="00E14296">
        <w:rPr>
          <w:rFonts w:eastAsia="Calibri" w:cs="Times New Roman"/>
          <w:i/>
          <w:iCs/>
        </w:rPr>
        <w:t>and</w:t>
      </w:r>
      <w:r w:rsidR="00897314">
        <w:rPr>
          <w:rFonts w:eastAsia="Calibri" w:cs="Times New Roman"/>
          <w:i/>
          <w:iCs/>
        </w:rPr>
        <w:t>,</w:t>
      </w:r>
      <w:r w:rsidRPr="00E14296">
        <w:rPr>
          <w:rFonts w:eastAsia="Calibri" w:cs="Times New Roman"/>
          <w:i/>
          <w:iCs/>
        </w:rPr>
        <w:t xml:space="preserve"> S. Allan and reviewed by the Ministry for the Environment and a few local government practitioners. Funding was derived from the </w:t>
      </w:r>
      <w:proofErr w:type="spellStart"/>
      <w:r w:rsidRPr="00E14296">
        <w:rPr>
          <w:rFonts w:eastAsia="Calibri" w:cs="Times New Roman"/>
          <w:i/>
          <w:iCs/>
        </w:rPr>
        <w:t>NZSeaRise</w:t>
      </w:r>
      <w:proofErr w:type="spellEnd"/>
      <w:r w:rsidRPr="00E14296">
        <w:rPr>
          <w:rFonts w:eastAsia="Calibri" w:cs="Times New Roman"/>
          <w:i/>
          <w:iCs/>
        </w:rPr>
        <w:t xml:space="preserve"> programme, sponsored by the Ministry of Business, Innovation and Employment Endeavour Fund.</w:t>
      </w:r>
    </w:p>
    <w:p w14:paraId="57205D21" w14:textId="01BF00F1" w:rsidR="00452EC4" w:rsidRPr="00E05130" w:rsidRDefault="00452EC4" w:rsidP="00452EC4">
      <w:pPr>
        <w:pStyle w:val="Imprint"/>
        <w:rPr>
          <w:i/>
        </w:rPr>
      </w:pPr>
      <w:r w:rsidRPr="006B77BB">
        <w:t xml:space="preserve">This </w:t>
      </w:r>
      <w:r w:rsidR="00775F57" w:rsidRPr="006B77BB">
        <w:t>document</w:t>
      </w:r>
      <w:r w:rsidRPr="006B77BB">
        <w:t xml:space="preserve"> may be cited as:</w:t>
      </w:r>
      <w:r w:rsidR="00775F57" w:rsidRPr="006B77BB">
        <w:t xml:space="preserve"> Ministry for the Environment.</w:t>
      </w:r>
      <w:r w:rsidR="004A4C41">
        <w:t xml:space="preserve"> 2022</w:t>
      </w:r>
      <w:r w:rsidR="00775F57" w:rsidRPr="006B77BB">
        <w:t xml:space="preserve">. </w:t>
      </w:r>
      <w:bookmarkStart w:id="0" w:name="_Hlk109223311"/>
      <w:r w:rsidR="00A069E8" w:rsidRPr="00A447CA">
        <w:rPr>
          <w:i/>
        </w:rPr>
        <w:t>Interim guidance on the use of new sea-level rise projections</w:t>
      </w:r>
      <w:bookmarkEnd w:id="0"/>
      <w:r w:rsidR="00775F57" w:rsidRPr="00A447CA">
        <w:t>.</w:t>
      </w:r>
      <w:r w:rsidR="00E05130">
        <w:t xml:space="preserve"> </w:t>
      </w:r>
      <w:r w:rsidR="00775F57" w:rsidRPr="006B77BB">
        <w:t>Wellington: Ministry for the Environment.</w:t>
      </w:r>
    </w:p>
    <w:p w14:paraId="0FA1A5EB" w14:textId="5F5EB577" w:rsidR="0080531E" w:rsidRDefault="0080531E" w:rsidP="0080531E">
      <w:pPr>
        <w:pStyle w:val="Imprint"/>
      </w:pPr>
    </w:p>
    <w:p w14:paraId="4F6477F0" w14:textId="539FE4A2" w:rsidR="008E0FC8" w:rsidRDefault="008E0FC8" w:rsidP="0080531E">
      <w:pPr>
        <w:pStyle w:val="Imprint"/>
      </w:pPr>
    </w:p>
    <w:p w14:paraId="478E9D0E" w14:textId="77777777" w:rsidR="008E0FC8" w:rsidRPr="006B77BB" w:rsidRDefault="008E0FC8" w:rsidP="0080531E">
      <w:pPr>
        <w:pStyle w:val="Imprint"/>
      </w:pPr>
    </w:p>
    <w:p w14:paraId="1FA79085" w14:textId="77777777" w:rsidR="00760C00" w:rsidRDefault="00760C00" w:rsidP="0080531E">
      <w:pPr>
        <w:pStyle w:val="Imprint"/>
      </w:pPr>
    </w:p>
    <w:p w14:paraId="2B6ADE01" w14:textId="7270BE33" w:rsidR="0080531E" w:rsidRPr="006B77BB" w:rsidRDefault="0080531E" w:rsidP="0080531E">
      <w:pPr>
        <w:pStyle w:val="Imprint"/>
      </w:pPr>
      <w:r w:rsidRPr="006B77BB">
        <w:t xml:space="preserve">Published in </w:t>
      </w:r>
      <w:r w:rsidR="00B2063E">
        <w:t>August</w:t>
      </w:r>
      <w:r w:rsidR="00B2063E" w:rsidRPr="00663783">
        <w:t xml:space="preserve"> </w:t>
      </w:r>
      <w:r w:rsidR="004A4C41">
        <w:t>2022</w:t>
      </w:r>
      <w:r w:rsidR="004F09B4">
        <w:t xml:space="preserve"> </w:t>
      </w:r>
      <w:r w:rsidRPr="006B77BB">
        <w:t>by the</w:t>
      </w:r>
      <w:r w:rsidRPr="006B77BB">
        <w:br/>
        <w:t xml:space="preserve">Ministry for the Environment </w:t>
      </w:r>
      <w:r w:rsidRPr="006B77BB">
        <w:br/>
        <w:t>Manatū Mō Te Taiao</w:t>
      </w:r>
      <w:r w:rsidRPr="006B77BB">
        <w:br/>
        <w:t>PO Box 10362, Wellington 6143, New Zealand</w:t>
      </w:r>
    </w:p>
    <w:p w14:paraId="3DD396FE" w14:textId="3B368F68" w:rsidR="0080531E" w:rsidRPr="006B77BB" w:rsidRDefault="0080531E" w:rsidP="0080531E">
      <w:pPr>
        <w:pStyle w:val="Imprint"/>
        <w:tabs>
          <w:tab w:val="left" w:pos="720"/>
        </w:tabs>
        <w:ind w:left="720" w:hanging="720"/>
      </w:pPr>
      <w:r w:rsidRPr="006B77BB">
        <w:t xml:space="preserve">ISBN: </w:t>
      </w:r>
      <w:r w:rsidRPr="006B77BB">
        <w:tab/>
      </w:r>
      <w:r w:rsidR="004D4637">
        <w:t>978-1-99-102558-</w:t>
      </w:r>
      <w:r w:rsidR="009F3ECF">
        <w:t>5</w:t>
      </w:r>
    </w:p>
    <w:p w14:paraId="795464D0" w14:textId="3506AFC8" w:rsidR="0080531E" w:rsidRPr="006B77BB" w:rsidRDefault="0080531E" w:rsidP="0080531E">
      <w:pPr>
        <w:pStyle w:val="Imprint"/>
        <w:ind w:left="720" w:hanging="720"/>
      </w:pPr>
      <w:r w:rsidRPr="006B77BB">
        <w:t>Publication number:</w:t>
      </w:r>
      <w:r w:rsidR="009F3ECF">
        <w:t xml:space="preserve"> ME 1667</w:t>
      </w:r>
    </w:p>
    <w:p w14:paraId="35AC77E6" w14:textId="3B6D12C7" w:rsidR="0080531E" w:rsidRPr="006B77BB" w:rsidRDefault="0080531E" w:rsidP="00593E94">
      <w:pPr>
        <w:pStyle w:val="Imprint"/>
        <w:spacing w:after="80"/>
      </w:pPr>
      <w:r w:rsidRPr="006B77BB">
        <w:t xml:space="preserve">© Crown copyright New Zealand </w:t>
      </w:r>
      <w:r w:rsidR="00897314">
        <w:t>2022</w:t>
      </w:r>
    </w:p>
    <w:p w14:paraId="3480819B"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21" w:history="1">
        <w:r w:rsidR="00563317" w:rsidRPr="005A5193">
          <w:rPr>
            <w:rStyle w:val="Hyperlink"/>
          </w:rPr>
          <w:t>environment.govt.nz</w:t>
        </w:r>
      </w:hyperlink>
      <w:r w:rsidR="00B51610" w:rsidRPr="006B77BB">
        <w:rPr>
          <w:rStyle w:val="Hyperlink"/>
          <w:color w:val="auto"/>
        </w:rPr>
        <w:t>.</w:t>
      </w:r>
    </w:p>
    <w:p w14:paraId="40F8E2FD" w14:textId="77777777" w:rsidR="0080531E" w:rsidRPr="00A84FE1" w:rsidRDefault="0080531E" w:rsidP="00A84FE1">
      <w:pPr>
        <w:sectPr w:rsidR="0080531E" w:rsidRPr="00A84FE1" w:rsidSect="008A7498">
          <w:headerReference w:type="even" r:id="rId22"/>
          <w:headerReference w:type="default" r:id="rId23"/>
          <w:footerReference w:type="even" r:id="rId24"/>
          <w:footerReference w:type="default" r:id="rId25"/>
          <w:pgSz w:w="11907" w:h="16840" w:code="9"/>
          <w:pgMar w:top="1134" w:right="1701" w:bottom="1134" w:left="1701" w:header="567" w:footer="567" w:gutter="0"/>
          <w:pgNumType w:fmt="lowerRoman"/>
          <w:cols w:space="720"/>
        </w:sectPr>
      </w:pPr>
    </w:p>
    <w:p w14:paraId="2728C8EC" w14:textId="761EA4F9" w:rsidR="0080531E" w:rsidRPr="00F06E0B" w:rsidRDefault="0080531E" w:rsidP="00585FD0">
      <w:pPr>
        <w:pStyle w:val="Heading"/>
      </w:pPr>
      <w:bookmarkStart w:id="1" w:name="_Toc109397161"/>
      <w:bookmarkStart w:id="2" w:name="_Toc109397571"/>
      <w:r w:rsidRPr="00F06E0B">
        <w:lastRenderedPageBreak/>
        <w:t>Contents</w:t>
      </w:r>
      <w:bookmarkEnd w:id="1"/>
      <w:bookmarkEnd w:id="2"/>
    </w:p>
    <w:p w14:paraId="2734A41F" w14:textId="7324954C" w:rsidR="00854B0E" w:rsidRDefault="000240CB">
      <w:pPr>
        <w:pStyle w:val="TOC1"/>
        <w:rPr>
          <w:rFonts w:asciiTheme="minorHAnsi" w:eastAsiaTheme="minorEastAsia" w:hAnsiTheme="minorHAnsi" w:cstheme="minorBidi"/>
          <w:bCs w:val="0"/>
          <w:noProof/>
          <w:szCs w:val="22"/>
          <w:lang w:eastAsia="en-NZ"/>
        </w:rPr>
      </w:pPr>
      <w:r>
        <w:rPr>
          <w:rFonts w:asciiTheme="minorHAnsi" w:hAnsiTheme="minorHAnsi"/>
          <w:b/>
          <w:color w:val="0092CF"/>
          <w:sz w:val="20"/>
        </w:rPr>
        <w:fldChar w:fldCharType="begin"/>
      </w:r>
      <w:r>
        <w:rPr>
          <w:rFonts w:asciiTheme="minorHAnsi" w:hAnsiTheme="minorHAnsi"/>
          <w:b/>
          <w:color w:val="0092CF"/>
          <w:sz w:val="20"/>
        </w:rPr>
        <w:instrText xml:space="preserve"> TOC \o "2-3" \h \z \u \t "Heading 1,1" </w:instrText>
      </w:r>
      <w:r>
        <w:rPr>
          <w:rFonts w:asciiTheme="minorHAnsi" w:hAnsiTheme="minorHAnsi"/>
          <w:b/>
          <w:color w:val="0092CF"/>
          <w:sz w:val="20"/>
        </w:rPr>
        <w:fldChar w:fldCharType="separate"/>
      </w:r>
      <w:hyperlink w:anchor="_Toc109809076" w:history="1">
        <w:r w:rsidR="00854B0E" w:rsidRPr="0011554D">
          <w:rPr>
            <w:rStyle w:val="Hyperlink"/>
            <w:rFonts w:eastAsia="Calibri"/>
            <w:noProof/>
          </w:rPr>
          <w:t>Summary</w:t>
        </w:r>
        <w:r w:rsidR="00854B0E">
          <w:rPr>
            <w:noProof/>
            <w:webHidden/>
          </w:rPr>
          <w:tab/>
        </w:r>
        <w:r w:rsidR="00854B0E">
          <w:rPr>
            <w:noProof/>
            <w:webHidden/>
          </w:rPr>
          <w:fldChar w:fldCharType="begin"/>
        </w:r>
        <w:r w:rsidR="00854B0E">
          <w:rPr>
            <w:noProof/>
            <w:webHidden/>
          </w:rPr>
          <w:instrText xml:space="preserve"> PAGEREF _Toc109809076 \h </w:instrText>
        </w:r>
        <w:r w:rsidR="00854B0E">
          <w:rPr>
            <w:noProof/>
            <w:webHidden/>
          </w:rPr>
        </w:r>
        <w:r w:rsidR="00854B0E">
          <w:rPr>
            <w:noProof/>
            <w:webHidden/>
          </w:rPr>
          <w:fldChar w:fldCharType="separate"/>
        </w:r>
        <w:r w:rsidR="00FB2729">
          <w:rPr>
            <w:noProof/>
            <w:webHidden/>
          </w:rPr>
          <w:t>5</w:t>
        </w:r>
        <w:r w:rsidR="00854B0E">
          <w:rPr>
            <w:noProof/>
            <w:webHidden/>
          </w:rPr>
          <w:fldChar w:fldCharType="end"/>
        </w:r>
      </w:hyperlink>
    </w:p>
    <w:p w14:paraId="2988F6EE" w14:textId="1481DE2E" w:rsidR="00854B0E" w:rsidRDefault="00FB2729">
      <w:pPr>
        <w:pStyle w:val="TOC1"/>
        <w:rPr>
          <w:rFonts w:asciiTheme="minorHAnsi" w:eastAsiaTheme="minorEastAsia" w:hAnsiTheme="minorHAnsi" w:cstheme="minorBidi"/>
          <w:bCs w:val="0"/>
          <w:noProof/>
          <w:szCs w:val="22"/>
          <w:lang w:eastAsia="en-NZ"/>
        </w:rPr>
      </w:pPr>
      <w:hyperlink w:anchor="_Toc109809077" w:history="1">
        <w:r w:rsidR="00854B0E" w:rsidRPr="0011554D">
          <w:rPr>
            <w:rStyle w:val="Hyperlink"/>
            <w:rFonts w:eastAsia="Calibri"/>
            <w:noProof/>
          </w:rPr>
          <w:t>Why this revision?</w:t>
        </w:r>
        <w:r w:rsidR="00854B0E">
          <w:rPr>
            <w:noProof/>
            <w:webHidden/>
          </w:rPr>
          <w:tab/>
        </w:r>
        <w:r w:rsidR="00854B0E">
          <w:rPr>
            <w:noProof/>
            <w:webHidden/>
          </w:rPr>
          <w:fldChar w:fldCharType="begin"/>
        </w:r>
        <w:r w:rsidR="00854B0E">
          <w:rPr>
            <w:noProof/>
            <w:webHidden/>
          </w:rPr>
          <w:instrText xml:space="preserve"> PAGEREF _Toc109809077 \h </w:instrText>
        </w:r>
        <w:r w:rsidR="00854B0E">
          <w:rPr>
            <w:noProof/>
            <w:webHidden/>
          </w:rPr>
        </w:r>
        <w:r w:rsidR="00854B0E">
          <w:rPr>
            <w:noProof/>
            <w:webHidden/>
          </w:rPr>
          <w:fldChar w:fldCharType="separate"/>
        </w:r>
        <w:r>
          <w:rPr>
            <w:noProof/>
            <w:webHidden/>
          </w:rPr>
          <w:t>7</w:t>
        </w:r>
        <w:r w:rsidR="00854B0E">
          <w:rPr>
            <w:noProof/>
            <w:webHidden/>
          </w:rPr>
          <w:fldChar w:fldCharType="end"/>
        </w:r>
      </w:hyperlink>
    </w:p>
    <w:p w14:paraId="0675CEBF" w14:textId="761E2EED" w:rsidR="00854B0E" w:rsidRDefault="00FB2729">
      <w:pPr>
        <w:pStyle w:val="TOC2"/>
        <w:tabs>
          <w:tab w:val="right" w:pos="8495"/>
        </w:tabs>
        <w:rPr>
          <w:rFonts w:asciiTheme="minorHAnsi" w:eastAsiaTheme="minorEastAsia" w:hAnsiTheme="minorHAnsi" w:cstheme="minorBidi"/>
          <w:iCs w:val="0"/>
          <w:noProof/>
          <w:szCs w:val="22"/>
          <w:lang w:eastAsia="en-NZ"/>
        </w:rPr>
      </w:pPr>
      <w:hyperlink w:anchor="_Toc109809078" w:history="1">
        <w:r w:rsidR="00854B0E" w:rsidRPr="0011554D">
          <w:rPr>
            <w:rStyle w:val="Hyperlink"/>
            <w:rFonts w:eastAsia="Calibri"/>
            <w:noProof/>
          </w:rPr>
          <w:t>Sea-level rise projections (national to regional scale) from IPCC AR6</w:t>
        </w:r>
        <w:r w:rsidR="00854B0E">
          <w:rPr>
            <w:noProof/>
            <w:webHidden/>
          </w:rPr>
          <w:tab/>
        </w:r>
        <w:r w:rsidR="00854B0E">
          <w:rPr>
            <w:noProof/>
            <w:webHidden/>
          </w:rPr>
          <w:fldChar w:fldCharType="begin"/>
        </w:r>
        <w:r w:rsidR="00854B0E">
          <w:rPr>
            <w:noProof/>
            <w:webHidden/>
          </w:rPr>
          <w:instrText xml:space="preserve"> PAGEREF _Toc109809078 \h </w:instrText>
        </w:r>
        <w:r w:rsidR="00854B0E">
          <w:rPr>
            <w:noProof/>
            <w:webHidden/>
          </w:rPr>
        </w:r>
        <w:r w:rsidR="00854B0E">
          <w:rPr>
            <w:noProof/>
            <w:webHidden/>
          </w:rPr>
          <w:fldChar w:fldCharType="separate"/>
        </w:r>
        <w:r>
          <w:rPr>
            <w:noProof/>
            <w:webHidden/>
          </w:rPr>
          <w:t>7</w:t>
        </w:r>
        <w:r w:rsidR="00854B0E">
          <w:rPr>
            <w:noProof/>
            <w:webHidden/>
          </w:rPr>
          <w:fldChar w:fldCharType="end"/>
        </w:r>
      </w:hyperlink>
    </w:p>
    <w:p w14:paraId="70893765" w14:textId="05F2D96B" w:rsidR="00854B0E" w:rsidRDefault="00FB2729">
      <w:pPr>
        <w:pStyle w:val="TOC3"/>
        <w:rPr>
          <w:rFonts w:asciiTheme="minorHAnsi" w:eastAsiaTheme="minorEastAsia" w:hAnsiTheme="minorHAnsi" w:cstheme="minorBidi"/>
          <w:noProof/>
          <w:szCs w:val="22"/>
          <w:lang w:eastAsia="en-NZ"/>
        </w:rPr>
      </w:pPr>
      <w:hyperlink w:anchor="_Toc109809079" w:history="1">
        <w:r w:rsidR="00854B0E" w:rsidRPr="0011554D">
          <w:rPr>
            <w:rStyle w:val="Hyperlink"/>
            <w:rFonts w:eastAsia="Calibri"/>
            <w:noProof/>
          </w:rPr>
          <w:t>Vertical land movement (VLM)</w:t>
        </w:r>
        <w:r w:rsidR="00854B0E">
          <w:rPr>
            <w:noProof/>
            <w:webHidden/>
          </w:rPr>
          <w:tab/>
        </w:r>
        <w:r w:rsidR="00854B0E">
          <w:rPr>
            <w:noProof/>
            <w:webHidden/>
          </w:rPr>
          <w:fldChar w:fldCharType="begin"/>
        </w:r>
        <w:r w:rsidR="00854B0E">
          <w:rPr>
            <w:noProof/>
            <w:webHidden/>
          </w:rPr>
          <w:instrText xml:space="preserve"> PAGEREF _Toc109809079 \h </w:instrText>
        </w:r>
        <w:r w:rsidR="00854B0E">
          <w:rPr>
            <w:noProof/>
            <w:webHidden/>
          </w:rPr>
        </w:r>
        <w:r w:rsidR="00854B0E">
          <w:rPr>
            <w:noProof/>
            <w:webHidden/>
          </w:rPr>
          <w:fldChar w:fldCharType="separate"/>
        </w:r>
        <w:r>
          <w:rPr>
            <w:noProof/>
            <w:webHidden/>
          </w:rPr>
          <w:t>9</w:t>
        </w:r>
        <w:r w:rsidR="00854B0E">
          <w:rPr>
            <w:noProof/>
            <w:webHidden/>
          </w:rPr>
          <w:fldChar w:fldCharType="end"/>
        </w:r>
      </w:hyperlink>
    </w:p>
    <w:p w14:paraId="5B1F1EDE" w14:textId="13FAE487" w:rsidR="00854B0E" w:rsidRDefault="00FB2729">
      <w:pPr>
        <w:pStyle w:val="TOC3"/>
        <w:rPr>
          <w:rFonts w:asciiTheme="minorHAnsi" w:eastAsiaTheme="minorEastAsia" w:hAnsiTheme="minorHAnsi" w:cstheme="minorBidi"/>
          <w:noProof/>
          <w:szCs w:val="22"/>
          <w:lang w:eastAsia="en-NZ"/>
        </w:rPr>
      </w:pPr>
      <w:hyperlink w:anchor="_Toc109809080" w:history="1">
        <w:r w:rsidR="00854B0E" w:rsidRPr="0011554D">
          <w:rPr>
            <w:rStyle w:val="Hyperlink"/>
            <w:rFonts w:eastAsia="Calibri"/>
            <w:noProof/>
          </w:rPr>
          <w:t>Change in type of scenarios used in IPCC AR6 and RSLR projections for New Zealand</w:t>
        </w:r>
        <w:r w:rsidR="00854B0E">
          <w:rPr>
            <w:noProof/>
            <w:webHidden/>
          </w:rPr>
          <w:tab/>
        </w:r>
        <w:r w:rsidR="00854B0E">
          <w:rPr>
            <w:noProof/>
            <w:webHidden/>
          </w:rPr>
          <w:fldChar w:fldCharType="begin"/>
        </w:r>
        <w:r w:rsidR="00854B0E">
          <w:rPr>
            <w:noProof/>
            <w:webHidden/>
          </w:rPr>
          <w:instrText xml:space="preserve"> PAGEREF _Toc109809080 \h </w:instrText>
        </w:r>
        <w:r w:rsidR="00854B0E">
          <w:rPr>
            <w:noProof/>
            <w:webHidden/>
          </w:rPr>
        </w:r>
        <w:r w:rsidR="00854B0E">
          <w:rPr>
            <w:noProof/>
            <w:webHidden/>
          </w:rPr>
          <w:fldChar w:fldCharType="separate"/>
        </w:r>
        <w:r>
          <w:rPr>
            <w:noProof/>
            <w:webHidden/>
          </w:rPr>
          <w:t>10</w:t>
        </w:r>
        <w:r w:rsidR="00854B0E">
          <w:rPr>
            <w:noProof/>
            <w:webHidden/>
          </w:rPr>
          <w:fldChar w:fldCharType="end"/>
        </w:r>
      </w:hyperlink>
    </w:p>
    <w:p w14:paraId="53F00A2E" w14:textId="5F0A0201" w:rsidR="00854B0E" w:rsidRDefault="00FB2729">
      <w:pPr>
        <w:pStyle w:val="TOC3"/>
        <w:rPr>
          <w:rFonts w:asciiTheme="minorHAnsi" w:eastAsiaTheme="minorEastAsia" w:hAnsiTheme="minorHAnsi" w:cstheme="minorBidi"/>
          <w:noProof/>
          <w:szCs w:val="22"/>
          <w:lang w:eastAsia="en-NZ"/>
        </w:rPr>
      </w:pPr>
      <w:hyperlink w:anchor="_Toc109809081" w:history="1">
        <w:r w:rsidR="00854B0E" w:rsidRPr="0011554D">
          <w:rPr>
            <w:rStyle w:val="Hyperlink"/>
            <w:rFonts w:eastAsia="Calibri"/>
            <w:noProof/>
          </w:rPr>
          <w:t>Revised recommendations on using sea-level rise projections for land-use planning</w:t>
        </w:r>
        <w:r w:rsidR="00854B0E">
          <w:rPr>
            <w:noProof/>
            <w:webHidden/>
          </w:rPr>
          <w:tab/>
        </w:r>
        <w:r w:rsidR="00854B0E">
          <w:rPr>
            <w:noProof/>
            <w:webHidden/>
          </w:rPr>
          <w:fldChar w:fldCharType="begin"/>
        </w:r>
        <w:r w:rsidR="00854B0E">
          <w:rPr>
            <w:noProof/>
            <w:webHidden/>
          </w:rPr>
          <w:instrText xml:space="preserve"> PAGEREF _Toc109809081 \h </w:instrText>
        </w:r>
        <w:r w:rsidR="00854B0E">
          <w:rPr>
            <w:noProof/>
            <w:webHidden/>
          </w:rPr>
        </w:r>
        <w:r w:rsidR="00854B0E">
          <w:rPr>
            <w:noProof/>
            <w:webHidden/>
          </w:rPr>
          <w:fldChar w:fldCharType="separate"/>
        </w:r>
        <w:r>
          <w:rPr>
            <w:noProof/>
            <w:webHidden/>
          </w:rPr>
          <w:t>12</w:t>
        </w:r>
        <w:r w:rsidR="00854B0E">
          <w:rPr>
            <w:noProof/>
            <w:webHidden/>
          </w:rPr>
          <w:fldChar w:fldCharType="end"/>
        </w:r>
      </w:hyperlink>
    </w:p>
    <w:p w14:paraId="3AC37741" w14:textId="60DD83A0" w:rsidR="00854B0E" w:rsidRDefault="00FB2729">
      <w:pPr>
        <w:pStyle w:val="TOC2"/>
        <w:tabs>
          <w:tab w:val="right" w:pos="8495"/>
        </w:tabs>
        <w:rPr>
          <w:rFonts w:asciiTheme="minorHAnsi" w:eastAsiaTheme="minorEastAsia" w:hAnsiTheme="minorHAnsi" w:cstheme="minorBidi"/>
          <w:iCs w:val="0"/>
          <w:noProof/>
          <w:szCs w:val="22"/>
          <w:lang w:eastAsia="en-NZ"/>
        </w:rPr>
      </w:pPr>
      <w:hyperlink w:anchor="_Toc109809082" w:history="1">
        <w:r w:rsidR="00854B0E" w:rsidRPr="0011554D">
          <w:rPr>
            <w:rStyle w:val="Hyperlink"/>
            <w:rFonts w:eastAsia="DengXian Light"/>
            <w:noProof/>
          </w:rPr>
          <w:t>Sea-level rise projections</w:t>
        </w:r>
        <w:r w:rsidR="00854B0E">
          <w:rPr>
            <w:noProof/>
            <w:webHidden/>
          </w:rPr>
          <w:tab/>
        </w:r>
        <w:r w:rsidR="00854B0E">
          <w:rPr>
            <w:noProof/>
            <w:webHidden/>
          </w:rPr>
          <w:fldChar w:fldCharType="begin"/>
        </w:r>
        <w:r w:rsidR="00854B0E">
          <w:rPr>
            <w:noProof/>
            <w:webHidden/>
          </w:rPr>
          <w:instrText xml:space="preserve"> PAGEREF _Toc109809082 \h </w:instrText>
        </w:r>
        <w:r w:rsidR="00854B0E">
          <w:rPr>
            <w:noProof/>
            <w:webHidden/>
          </w:rPr>
        </w:r>
        <w:r w:rsidR="00854B0E">
          <w:rPr>
            <w:noProof/>
            <w:webHidden/>
          </w:rPr>
          <w:fldChar w:fldCharType="separate"/>
        </w:r>
        <w:r>
          <w:rPr>
            <w:noProof/>
            <w:webHidden/>
          </w:rPr>
          <w:t>13</w:t>
        </w:r>
        <w:r w:rsidR="00854B0E">
          <w:rPr>
            <w:noProof/>
            <w:webHidden/>
          </w:rPr>
          <w:fldChar w:fldCharType="end"/>
        </w:r>
      </w:hyperlink>
    </w:p>
    <w:p w14:paraId="77C2CBB5" w14:textId="456481EF" w:rsidR="00854B0E" w:rsidRDefault="00FB2729">
      <w:pPr>
        <w:pStyle w:val="TOC3"/>
        <w:rPr>
          <w:rFonts w:asciiTheme="minorHAnsi" w:eastAsiaTheme="minorEastAsia" w:hAnsiTheme="minorHAnsi" w:cstheme="minorBidi"/>
          <w:noProof/>
          <w:szCs w:val="22"/>
          <w:lang w:eastAsia="en-NZ"/>
        </w:rPr>
      </w:pPr>
      <w:hyperlink w:anchor="_Toc109809083" w:history="1">
        <w:r w:rsidR="00854B0E" w:rsidRPr="0011554D">
          <w:rPr>
            <w:rStyle w:val="Hyperlink"/>
            <w:rFonts w:eastAsia="Calibri"/>
            <w:noProof/>
          </w:rPr>
          <w:t>Recommended use of SSP scenarios</w:t>
        </w:r>
        <w:r w:rsidR="00854B0E">
          <w:rPr>
            <w:noProof/>
            <w:webHidden/>
          </w:rPr>
          <w:tab/>
        </w:r>
        <w:r w:rsidR="00854B0E">
          <w:rPr>
            <w:noProof/>
            <w:webHidden/>
          </w:rPr>
          <w:fldChar w:fldCharType="begin"/>
        </w:r>
        <w:r w:rsidR="00854B0E">
          <w:rPr>
            <w:noProof/>
            <w:webHidden/>
          </w:rPr>
          <w:instrText xml:space="preserve"> PAGEREF _Toc109809083 \h </w:instrText>
        </w:r>
        <w:r w:rsidR="00854B0E">
          <w:rPr>
            <w:noProof/>
            <w:webHidden/>
          </w:rPr>
        </w:r>
        <w:r w:rsidR="00854B0E">
          <w:rPr>
            <w:noProof/>
            <w:webHidden/>
          </w:rPr>
          <w:fldChar w:fldCharType="separate"/>
        </w:r>
        <w:r>
          <w:rPr>
            <w:noProof/>
            <w:webHidden/>
          </w:rPr>
          <w:t>13</w:t>
        </w:r>
        <w:r w:rsidR="00854B0E">
          <w:rPr>
            <w:noProof/>
            <w:webHidden/>
          </w:rPr>
          <w:fldChar w:fldCharType="end"/>
        </w:r>
      </w:hyperlink>
    </w:p>
    <w:p w14:paraId="070DC975" w14:textId="241C4C16" w:rsidR="00854B0E" w:rsidRDefault="00FB2729">
      <w:pPr>
        <w:pStyle w:val="TOC3"/>
        <w:rPr>
          <w:rFonts w:asciiTheme="minorHAnsi" w:eastAsiaTheme="minorEastAsia" w:hAnsiTheme="minorHAnsi" w:cstheme="minorBidi"/>
          <w:noProof/>
          <w:szCs w:val="22"/>
          <w:lang w:eastAsia="en-NZ"/>
        </w:rPr>
      </w:pPr>
      <w:hyperlink w:anchor="_Toc109809084" w:history="1">
        <w:r w:rsidR="00854B0E" w:rsidRPr="0011554D">
          <w:rPr>
            <w:rStyle w:val="Hyperlink"/>
            <w:rFonts w:eastAsia="DengXian Light"/>
            <w:noProof/>
          </w:rPr>
          <w:t>Recommended use of the new sea-level rise projections</w:t>
        </w:r>
        <w:r w:rsidR="00854B0E">
          <w:rPr>
            <w:noProof/>
            <w:webHidden/>
          </w:rPr>
          <w:tab/>
        </w:r>
        <w:r w:rsidR="00854B0E">
          <w:rPr>
            <w:noProof/>
            <w:webHidden/>
          </w:rPr>
          <w:fldChar w:fldCharType="begin"/>
        </w:r>
        <w:r w:rsidR="00854B0E">
          <w:rPr>
            <w:noProof/>
            <w:webHidden/>
          </w:rPr>
          <w:instrText xml:space="preserve"> PAGEREF _Toc109809084 \h </w:instrText>
        </w:r>
        <w:r w:rsidR="00854B0E">
          <w:rPr>
            <w:noProof/>
            <w:webHidden/>
          </w:rPr>
        </w:r>
        <w:r w:rsidR="00854B0E">
          <w:rPr>
            <w:noProof/>
            <w:webHidden/>
          </w:rPr>
          <w:fldChar w:fldCharType="separate"/>
        </w:r>
        <w:r>
          <w:rPr>
            <w:noProof/>
            <w:webHidden/>
          </w:rPr>
          <w:t>16</w:t>
        </w:r>
        <w:r w:rsidR="00854B0E">
          <w:rPr>
            <w:noProof/>
            <w:webHidden/>
          </w:rPr>
          <w:fldChar w:fldCharType="end"/>
        </w:r>
      </w:hyperlink>
    </w:p>
    <w:p w14:paraId="36F633CB" w14:textId="4460C224" w:rsidR="00854B0E" w:rsidRDefault="00FB2729">
      <w:pPr>
        <w:pStyle w:val="TOC3"/>
        <w:rPr>
          <w:rFonts w:asciiTheme="minorHAnsi" w:eastAsiaTheme="minorEastAsia" w:hAnsiTheme="minorHAnsi" w:cstheme="minorBidi"/>
          <w:noProof/>
          <w:szCs w:val="22"/>
          <w:lang w:eastAsia="en-NZ"/>
        </w:rPr>
      </w:pPr>
      <w:hyperlink w:anchor="_Toc109809085" w:history="1">
        <w:r w:rsidR="00854B0E" w:rsidRPr="0011554D">
          <w:rPr>
            <w:rStyle w:val="Hyperlink"/>
            <w:rFonts w:eastAsia="DengXian Light"/>
            <w:noProof/>
          </w:rPr>
          <w:t>Revision of the minimum transitional guidance until DAPP strategies are in place</w:t>
        </w:r>
        <w:r w:rsidR="00854B0E">
          <w:rPr>
            <w:noProof/>
            <w:webHidden/>
          </w:rPr>
          <w:tab/>
        </w:r>
        <w:r w:rsidR="00854B0E">
          <w:rPr>
            <w:noProof/>
            <w:webHidden/>
          </w:rPr>
          <w:fldChar w:fldCharType="begin"/>
        </w:r>
        <w:r w:rsidR="00854B0E">
          <w:rPr>
            <w:noProof/>
            <w:webHidden/>
          </w:rPr>
          <w:instrText xml:space="preserve"> PAGEREF _Toc109809085 \h </w:instrText>
        </w:r>
        <w:r w:rsidR="00854B0E">
          <w:rPr>
            <w:noProof/>
            <w:webHidden/>
          </w:rPr>
        </w:r>
        <w:r w:rsidR="00854B0E">
          <w:rPr>
            <w:noProof/>
            <w:webHidden/>
          </w:rPr>
          <w:fldChar w:fldCharType="separate"/>
        </w:r>
        <w:r>
          <w:rPr>
            <w:noProof/>
            <w:webHidden/>
          </w:rPr>
          <w:t>17</w:t>
        </w:r>
        <w:r w:rsidR="00854B0E">
          <w:rPr>
            <w:noProof/>
            <w:webHidden/>
          </w:rPr>
          <w:fldChar w:fldCharType="end"/>
        </w:r>
      </w:hyperlink>
    </w:p>
    <w:p w14:paraId="1E2DC59F" w14:textId="04E04DE8" w:rsidR="00854B0E" w:rsidRDefault="00FB2729">
      <w:pPr>
        <w:pStyle w:val="TOC3"/>
        <w:rPr>
          <w:rFonts w:asciiTheme="minorHAnsi" w:eastAsiaTheme="minorEastAsia" w:hAnsiTheme="minorHAnsi" w:cstheme="minorBidi"/>
          <w:noProof/>
          <w:szCs w:val="22"/>
          <w:lang w:eastAsia="en-NZ"/>
        </w:rPr>
      </w:pPr>
      <w:hyperlink w:anchor="_Toc109809086" w:history="1">
        <w:r w:rsidR="00854B0E" w:rsidRPr="0011554D">
          <w:rPr>
            <w:rStyle w:val="Hyperlink"/>
            <w:rFonts w:eastAsia="Calibri"/>
            <w:noProof/>
          </w:rPr>
          <w:t>Reasons for changes to the minimum transitional guidance</w:t>
        </w:r>
        <w:r w:rsidR="00854B0E">
          <w:rPr>
            <w:noProof/>
            <w:webHidden/>
          </w:rPr>
          <w:tab/>
        </w:r>
        <w:r w:rsidR="00854B0E">
          <w:rPr>
            <w:noProof/>
            <w:webHidden/>
          </w:rPr>
          <w:fldChar w:fldCharType="begin"/>
        </w:r>
        <w:r w:rsidR="00854B0E">
          <w:rPr>
            <w:noProof/>
            <w:webHidden/>
          </w:rPr>
          <w:instrText xml:space="preserve"> PAGEREF _Toc109809086 \h </w:instrText>
        </w:r>
        <w:r w:rsidR="00854B0E">
          <w:rPr>
            <w:noProof/>
            <w:webHidden/>
          </w:rPr>
        </w:r>
        <w:r w:rsidR="00854B0E">
          <w:rPr>
            <w:noProof/>
            <w:webHidden/>
          </w:rPr>
          <w:fldChar w:fldCharType="separate"/>
        </w:r>
        <w:r>
          <w:rPr>
            <w:noProof/>
            <w:webHidden/>
          </w:rPr>
          <w:t>19</w:t>
        </w:r>
        <w:r w:rsidR="00854B0E">
          <w:rPr>
            <w:noProof/>
            <w:webHidden/>
          </w:rPr>
          <w:fldChar w:fldCharType="end"/>
        </w:r>
      </w:hyperlink>
    </w:p>
    <w:p w14:paraId="5D031431" w14:textId="678BCE33" w:rsidR="00854B0E" w:rsidRDefault="00FB2729">
      <w:pPr>
        <w:pStyle w:val="TOC3"/>
        <w:rPr>
          <w:rFonts w:asciiTheme="minorHAnsi" w:eastAsiaTheme="minorEastAsia" w:hAnsiTheme="minorHAnsi" w:cstheme="minorBidi"/>
          <w:noProof/>
          <w:szCs w:val="22"/>
          <w:lang w:eastAsia="en-NZ"/>
        </w:rPr>
      </w:pPr>
      <w:hyperlink w:anchor="_Toc109809087" w:history="1">
        <w:r w:rsidR="00854B0E" w:rsidRPr="0011554D">
          <w:rPr>
            <w:rStyle w:val="Hyperlink"/>
            <w:rFonts w:eastAsia="Calibri"/>
            <w:noProof/>
          </w:rPr>
          <w:t>The implications of VLM locally on RSLR projections</w:t>
        </w:r>
        <w:r w:rsidR="00854B0E">
          <w:rPr>
            <w:noProof/>
            <w:webHidden/>
          </w:rPr>
          <w:tab/>
        </w:r>
        <w:r w:rsidR="00854B0E">
          <w:rPr>
            <w:noProof/>
            <w:webHidden/>
          </w:rPr>
          <w:fldChar w:fldCharType="begin"/>
        </w:r>
        <w:r w:rsidR="00854B0E">
          <w:rPr>
            <w:noProof/>
            <w:webHidden/>
          </w:rPr>
          <w:instrText xml:space="preserve"> PAGEREF _Toc109809087 \h </w:instrText>
        </w:r>
        <w:r w:rsidR="00854B0E">
          <w:rPr>
            <w:noProof/>
            <w:webHidden/>
          </w:rPr>
        </w:r>
        <w:r w:rsidR="00854B0E">
          <w:rPr>
            <w:noProof/>
            <w:webHidden/>
          </w:rPr>
          <w:fldChar w:fldCharType="separate"/>
        </w:r>
        <w:r>
          <w:rPr>
            <w:noProof/>
            <w:webHidden/>
          </w:rPr>
          <w:t>20</w:t>
        </w:r>
        <w:r w:rsidR="00854B0E">
          <w:rPr>
            <w:noProof/>
            <w:webHidden/>
          </w:rPr>
          <w:fldChar w:fldCharType="end"/>
        </w:r>
      </w:hyperlink>
    </w:p>
    <w:p w14:paraId="5A2A74D0" w14:textId="326068B8" w:rsidR="00854B0E" w:rsidRDefault="00FB2729">
      <w:pPr>
        <w:pStyle w:val="TOC3"/>
        <w:rPr>
          <w:rFonts w:asciiTheme="minorHAnsi" w:eastAsiaTheme="minorEastAsia" w:hAnsiTheme="minorHAnsi" w:cstheme="minorBidi"/>
          <w:noProof/>
          <w:szCs w:val="22"/>
          <w:lang w:eastAsia="en-NZ"/>
        </w:rPr>
      </w:pPr>
      <w:hyperlink w:anchor="_Toc109809088" w:history="1">
        <w:r w:rsidR="00854B0E" w:rsidRPr="0011554D">
          <w:rPr>
            <w:rStyle w:val="Hyperlink"/>
            <w:rFonts w:eastAsia="Calibri"/>
            <w:noProof/>
          </w:rPr>
          <w:t>Accessing RSLR projections in Takiwā</w:t>
        </w:r>
        <w:r w:rsidR="00854B0E">
          <w:rPr>
            <w:noProof/>
            <w:webHidden/>
          </w:rPr>
          <w:tab/>
        </w:r>
        <w:r w:rsidR="00854B0E">
          <w:rPr>
            <w:noProof/>
            <w:webHidden/>
          </w:rPr>
          <w:fldChar w:fldCharType="begin"/>
        </w:r>
        <w:r w:rsidR="00854B0E">
          <w:rPr>
            <w:noProof/>
            <w:webHidden/>
          </w:rPr>
          <w:instrText xml:space="preserve"> PAGEREF _Toc109809088 \h </w:instrText>
        </w:r>
        <w:r w:rsidR="00854B0E">
          <w:rPr>
            <w:noProof/>
            <w:webHidden/>
          </w:rPr>
        </w:r>
        <w:r w:rsidR="00854B0E">
          <w:rPr>
            <w:noProof/>
            <w:webHidden/>
          </w:rPr>
          <w:fldChar w:fldCharType="separate"/>
        </w:r>
        <w:r>
          <w:rPr>
            <w:noProof/>
            <w:webHidden/>
          </w:rPr>
          <w:t>23</w:t>
        </w:r>
        <w:r w:rsidR="00854B0E">
          <w:rPr>
            <w:noProof/>
            <w:webHidden/>
          </w:rPr>
          <w:fldChar w:fldCharType="end"/>
        </w:r>
      </w:hyperlink>
    </w:p>
    <w:p w14:paraId="29D047AD" w14:textId="47F9960B" w:rsidR="00854B0E" w:rsidRDefault="00FB2729">
      <w:pPr>
        <w:pStyle w:val="TOC1"/>
        <w:rPr>
          <w:rFonts w:asciiTheme="minorHAnsi" w:eastAsiaTheme="minorEastAsia" w:hAnsiTheme="minorHAnsi" w:cstheme="minorBidi"/>
          <w:bCs w:val="0"/>
          <w:noProof/>
          <w:szCs w:val="22"/>
          <w:lang w:eastAsia="en-NZ"/>
        </w:rPr>
      </w:pPr>
      <w:hyperlink w:anchor="_Toc109809089" w:history="1">
        <w:r w:rsidR="00854B0E" w:rsidRPr="0011554D">
          <w:rPr>
            <w:rStyle w:val="Hyperlink"/>
            <w:noProof/>
          </w:rPr>
          <w:t>Glossary</w:t>
        </w:r>
        <w:r w:rsidR="00854B0E">
          <w:rPr>
            <w:noProof/>
            <w:webHidden/>
          </w:rPr>
          <w:tab/>
        </w:r>
        <w:r w:rsidR="00854B0E">
          <w:rPr>
            <w:noProof/>
            <w:webHidden/>
          </w:rPr>
          <w:fldChar w:fldCharType="begin"/>
        </w:r>
        <w:r w:rsidR="00854B0E">
          <w:rPr>
            <w:noProof/>
            <w:webHidden/>
          </w:rPr>
          <w:instrText xml:space="preserve"> PAGEREF _Toc109809089 \h </w:instrText>
        </w:r>
        <w:r w:rsidR="00854B0E">
          <w:rPr>
            <w:noProof/>
            <w:webHidden/>
          </w:rPr>
        </w:r>
        <w:r w:rsidR="00854B0E">
          <w:rPr>
            <w:noProof/>
            <w:webHidden/>
          </w:rPr>
          <w:fldChar w:fldCharType="separate"/>
        </w:r>
        <w:r>
          <w:rPr>
            <w:noProof/>
            <w:webHidden/>
          </w:rPr>
          <w:t>25</w:t>
        </w:r>
        <w:r w:rsidR="00854B0E">
          <w:rPr>
            <w:noProof/>
            <w:webHidden/>
          </w:rPr>
          <w:fldChar w:fldCharType="end"/>
        </w:r>
      </w:hyperlink>
    </w:p>
    <w:p w14:paraId="365A71D8" w14:textId="483BFE30" w:rsidR="00854B0E" w:rsidRDefault="00FB2729">
      <w:pPr>
        <w:pStyle w:val="TOC1"/>
        <w:rPr>
          <w:rFonts w:asciiTheme="minorHAnsi" w:eastAsiaTheme="minorEastAsia" w:hAnsiTheme="minorHAnsi" w:cstheme="minorBidi"/>
          <w:bCs w:val="0"/>
          <w:noProof/>
          <w:szCs w:val="22"/>
          <w:lang w:eastAsia="en-NZ"/>
        </w:rPr>
      </w:pPr>
      <w:hyperlink w:anchor="_Toc109809090" w:history="1">
        <w:r w:rsidR="00854B0E" w:rsidRPr="0011554D">
          <w:rPr>
            <w:rStyle w:val="Hyperlink"/>
            <w:noProof/>
          </w:rPr>
          <w:t>Appendix A</w:t>
        </w:r>
        <w:r w:rsidR="00854B0E">
          <w:rPr>
            <w:noProof/>
            <w:webHidden/>
          </w:rPr>
          <w:tab/>
        </w:r>
        <w:r w:rsidR="00854B0E">
          <w:rPr>
            <w:noProof/>
            <w:webHidden/>
          </w:rPr>
          <w:fldChar w:fldCharType="begin"/>
        </w:r>
        <w:r w:rsidR="00854B0E">
          <w:rPr>
            <w:noProof/>
            <w:webHidden/>
          </w:rPr>
          <w:instrText xml:space="preserve"> PAGEREF _Toc109809090 \h </w:instrText>
        </w:r>
        <w:r w:rsidR="00854B0E">
          <w:rPr>
            <w:noProof/>
            <w:webHidden/>
          </w:rPr>
        </w:r>
        <w:r w:rsidR="00854B0E">
          <w:rPr>
            <w:noProof/>
            <w:webHidden/>
          </w:rPr>
          <w:fldChar w:fldCharType="separate"/>
        </w:r>
        <w:r>
          <w:rPr>
            <w:noProof/>
            <w:webHidden/>
          </w:rPr>
          <w:t>26</w:t>
        </w:r>
        <w:r w:rsidR="00854B0E">
          <w:rPr>
            <w:noProof/>
            <w:webHidden/>
          </w:rPr>
          <w:fldChar w:fldCharType="end"/>
        </w:r>
      </w:hyperlink>
    </w:p>
    <w:p w14:paraId="46CE3593" w14:textId="6F9ED715" w:rsidR="00854B0E" w:rsidRDefault="00FB2729">
      <w:pPr>
        <w:pStyle w:val="TOC1"/>
        <w:rPr>
          <w:rFonts w:asciiTheme="minorHAnsi" w:eastAsiaTheme="minorEastAsia" w:hAnsiTheme="minorHAnsi" w:cstheme="minorBidi"/>
          <w:bCs w:val="0"/>
          <w:noProof/>
          <w:szCs w:val="22"/>
          <w:lang w:eastAsia="en-NZ"/>
        </w:rPr>
      </w:pPr>
      <w:hyperlink w:anchor="_Toc109809091" w:history="1">
        <w:r w:rsidR="00854B0E" w:rsidRPr="0011554D">
          <w:rPr>
            <w:rStyle w:val="Hyperlink"/>
            <w:noProof/>
          </w:rPr>
          <w:t>Appendix B</w:t>
        </w:r>
        <w:r w:rsidR="00854B0E">
          <w:rPr>
            <w:noProof/>
            <w:webHidden/>
          </w:rPr>
          <w:tab/>
        </w:r>
        <w:r w:rsidR="00854B0E">
          <w:rPr>
            <w:noProof/>
            <w:webHidden/>
          </w:rPr>
          <w:fldChar w:fldCharType="begin"/>
        </w:r>
        <w:r w:rsidR="00854B0E">
          <w:rPr>
            <w:noProof/>
            <w:webHidden/>
          </w:rPr>
          <w:instrText xml:space="preserve"> PAGEREF _Toc109809091 \h </w:instrText>
        </w:r>
        <w:r w:rsidR="00854B0E">
          <w:rPr>
            <w:noProof/>
            <w:webHidden/>
          </w:rPr>
        </w:r>
        <w:r w:rsidR="00854B0E">
          <w:rPr>
            <w:noProof/>
            <w:webHidden/>
          </w:rPr>
          <w:fldChar w:fldCharType="separate"/>
        </w:r>
        <w:r>
          <w:rPr>
            <w:noProof/>
            <w:webHidden/>
          </w:rPr>
          <w:t>28</w:t>
        </w:r>
        <w:r w:rsidR="00854B0E">
          <w:rPr>
            <w:noProof/>
            <w:webHidden/>
          </w:rPr>
          <w:fldChar w:fldCharType="end"/>
        </w:r>
      </w:hyperlink>
    </w:p>
    <w:p w14:paraId="6FEA1487" w14:textId="244DDBE8" w:rsidR="00854B0E" w:rsidRDefault="00FB2729">
      <w:pPr>
        <w:pStyle w:val="TOC1"/>
        <w:rPr>
          <w:rFonts w:asciiTheme="minorHAnsi" w:eastAsiaTheme="minorEastAsia" w:hAnsiTheme="minorHAnsi" w:cstheme="minorBidi"/>
          <w:bCs w:val="0"/>
          <w:noProof/>
          <w:szCs w:val="22"/>
          <w:lang w:eastAsia="en-NZ"/>
        </w:rPr>
      </w:pPr>
      <w:hyperlink w:anchor="_Toc109809092" w:history="1">
        <w:r w:rsidR="00854B0E" w:rsidRPr="0011554D">
          <w:rPr>
            <w:rStyle w:val="Hyperlink"/>
            <w:noProof/>
          </w:rPr>
          <w:t>Appendix C</w:t>
        </w:r>
        <w:r w:rsidR="00854B0E">
          <w:rPr>
            <w:noProof/>
            <w:webHidden/>
          </w:rPr>
          <w:tab/>
        </w:r>
        <w:r w:rsidR="00854B0E">
          <w:rPr>
            <w:noProof/>
            <w:webHidden/>
          </w:rPr>
          <w:fldChar w:fldCharType="begin"/>
        </w:r>
        <w:r w:rsidR="00854B0E">
          <w:rPr>
            <w:noProof/>
            <w:webHidden/>
          </w:rPr>
          <w:instrText xml:space="preserve"> PAGEREF _Toc109809092 \h </w:instrText>
        </w:r>
        <w:r w:rsidR="00854B0E">
          <w:rPr>
            <w:noProof/>
            <w:webHidden/>
          </w:rPr>
        </w:r>
        <w:r w:rsidR="00854B0E">
          <w:rPr>
            <w:noProof/>
            <w:webHidden/>
          </w:rPr>
          <w:fldChar w:fldCharType="separate"/>
        </w:r>
        <w:r>
          <w:rPr>
            <w:noProof/>
            <w:webHidden/>
          </w:rPr>
          <w:t>30</w:t>
        </w:r>
        <w:r w:rsidR="00854B0E">
          <w:rPr>
            <w:noProof/>
            <w:webHidden/>
          </w:rPr>
          <w:fldChar w:fldCharType="end"/>
        </w:r>
      </w:hyperlink>
    </w:p>
    <w:p w14:paraId="02226DDE" w14:textId="6C1DC164" w:rsidR="00854B0E" w:rsidRDefault="00FB2729">
      <w:pPr>
        <w:pStyle w:val="TOC1"/>
        <w:rPr>
          <w:rFonts w:asciiTheme="minorHAnsi" w:eastAsiaTheme="minorEastAsia" w:hAnsiTheme="minorHAnsi" w:cstheme="minorBidi"/>
          <w:bCs w:val="0"/>
          <w:noProof/>
          <w:szCs w:val="22"/>
          <w:lang w:eastAsia="en-NZ"/>
        </w:rPr>
      </w:pPr>
      <w:hyperlink w:anchor="_Toc109809093" w:history="1">
        <w:r w:rsidR="00854B0E" w:rsidRPr="0011554D">
          <w:rPr>
            <w:rStyle w:val="Hyperlink"/>
            <w:noProof/>
          </w:rPr>
          <w:t>References</w:t>
        </w:r>
        <w:r w:rsidR="00854B0E">
          <w:rPr>
            <w:noProof/>
            <w:webHidden/>
          </w:rPr>
          <w:tab/>
        </w:r>
        <w:r w:rsidR="00854B0E">
          <w:rPr>
            <w:noProof/>
            <w:webHidden/>
          </w:rPr>
          <w:fldChar w:fldCharType="begin"/>
        </w:r>
        <w:r w:rsidR="00854B0E">
          <w:rPr>
            <w:noProof/>
            <w:webHidden/>
          </w:rPr>
          <w:instrText xml:space="preserve"> PAGEREF _Toc109809093 \h </w:instrText>
        </w:r>
        <w:r w:rsidR="00854B0E">
          <w:rPr>
            <w:noProof/>
            <w:webHidden/>
          </w:rPr>
        </w:r>
        <w:r w:rsidR="00854B0E">
          <w:rPr>
            <w:noProof/>
            <w:webHidden/>
          </w:rPr>
          <w:fldChar w:fldCharType="separate"/>
        </w:r>
        <w:r>
          <w:rPr>
            <w:noProof/>
            <w:webHidden/>
          </w:rPr>
          <w:t>33</w:t>
        </w:r>
        <w:r w:rsidR="00854B0E">
          <w:rPr>
            <w:noProof/>
            <w:webHidden/>
          </w:rPr>
          <w:fldChar w:fldCharType="end"/>
        </w:r>
      </w:hyperlink>
    </w:p>
    <w:p w14:paraId="7A7D97C3" w14:textId="7DDD83A2" w:rsidR="0080531E" w:rsidRPr="006B77BB" w:rsidRDefault="000240CB" w:rsidP="002B4778">
      <w:pPr>
        <w:pStyle w:val="Glossary"/>
      </w:pPr>
      <w:r>
        <w:rPr>
          <w:rFonts w:asciiTheme="minorHAnsi" w:hAnsiTheme="minorHAnsi"/>
          <w:b/>
          <w:bCs/>
          <w:color w:val="0092CF"/>
          <w:sz w:val="20"/>
        </w:rPr>
        <w:fldChar w:fldCharType="end"/>
      </w:r>
    </w:p>
    <w:p w14:paraId="3F34050F" w14:textId="77777777" w:rsidR="00796A6F" w:rsidRPr="00554B30" w:rsidRDefault="00796A6F" w:rsidP="00554B30">
      <w:r w:rsidRPr="00554B30">
        <w:br w:type="page"/>
      </w:r>
    </w:p>
    <w:p w14:paraId="49B2D59C" w14:textId="4C2721D0" w:rsidR="00532334" w:rsidRPr="006B77BB" w:rsidRDefault="00532334" w:rsidP="00585FD0">
      <w:pPr>
        <w:pStyle w:val="Heading"/>
      </w:pPr>
      <w:bookmarkStart w:id="3" w:name="_Toc109397162"/>
      <w:bookmarkStart w:id="4" w:name="_Toc109397572"/>
      <w:r w:rsidRPr="006B77BB">
        <w:t>Tables</w:t>
      </w:r>
      <w:bookmarkEnd w:id="3"/>
      <w:bookmarkEnd w:id="4"/>
    </w:p>
    <w:p w14:paraId="3720D68B" w14:textId="729F09FB" w:rsidR="00854B0E" w:rsidRDefault="004943C2">
      <w:pPr>
        <w:pStyle w:val="TableofFigures"/>
        <w:tabs>
          <w:tab w:val="right" w:pos="8495"/>
        </w:tabs>
        <w:rPr>
          <w:rFonts w:asciiTheme="minorHAnsi" w:eastAsiaTheme="minorEastAsia" w:hAnsiTheme="minorHAnsi" w:cstheme="minorBidi"/>
          <w:noProof/>
          <w:szCs w:val="22"/>
          <w:lang w:eastAsia="en-NZ"/>
        </w:rPr>
      </w:pPr>
      <w:r w:rsidRPr="006B77BB">
        <w:fldChar w:fldCharType="begin"/>
      </w:r>
      <w:r w:rsidRPr="006B77BB">
        <w:instrText xml:space="preserve"> TOC \h \z \t "Table heading" \c </w:instrText>
      </w:r>
      <w:r w:rsidRPr="006B77BB">
        <w:fldChar w:fldCharType="separate"/>
      </w:r>
      <w:hyperlink w:anchor="_Toc109809094" w:history="1">
        <w:r w:rsidR="00854B0E" w:rsidRPr="00253634">
          <w:rPr>
            <w:rStyle w:val="Hyperlink"/>
            <w:noProof/>
          </w:rPr>
          <w:t>Table 1:</w:t>
        </w:r>
        <w:r w:rsidR="00854B0E">
          <w:rPr>
            <w:rFonts w:asciiTheme="minorHAnsi" w:eastAsiaTheme="minorEastAsia" w:hAnsiTheme="minorHAnsi" w:cstheme="minorBidi"/>
            <w:noProof/>
            <w:szCs w:val="22"/>
            <w:lang w:eastAsia="en-NZ"/>
          </w:rPr>
          <w:tab/>
        </w:r>
        <w:r w:rsidR="00854B0E" w:rsidRPr="00253634">
          <w:rPr>
            <w:rStyle w:val="Hyperlink"/>
            <w:noProof/>
          </w:rPr>
          <w:t>Decadal increments for averaged “medium confidence” projections of SLR applied nationally</w:t>
        </w:r>
        <w:r w:rsidR="00854B0E">
          <w:rPr>
            <w:noProof/>
            <w:webHidden/>
          </w:rPr>
          <w:tab/>
        </w:r>
        <w:r w:rsidR="00854B0E">
          <w:rPr>
            <w:noProof/>
            <w:webHidden/>
          </w:rPr>
          <w:fldChar w:fldCharType="begin"/>
        </w:r>
        <w:r w:rsidR="00854B0E">
          <w:rPr>
            <w:noProof/>
            <w:webHidden/>
          </w:rPr>
          <w:instrText xml:space="preserve"> PAGEREF _Toc109809094 \h </w:instrText>
        </w:r>
        <w:r w:rsidR="00854B0E">
          <w:rPr>
            <w:noProof/>
            <w:webHidden/>
          </w:rPr>
        </w:r>
        <w:r w:rsidR="00854B0E">
          <w:rPr>
            <w:noProof/>
            <w:webHidden/>
          </w:rPr>
          <w:fldChar w:fldCharType="separate"/>
        </w:r>
        <w:r w:rsidR="00FB2729">
          <w:rPr>
            <w:noProof/>
            <w:webHidden/>
          </w:rPr>
          <w:t>15</w:t>
        </w:r>
        <w:r w:rsidR="00854B0E">
          <w:rPr>
            <w:noProof/>
            <w:webHidden/>
          </w:rPr>
          <w:fldChar w:fldCharType="end"/>
        </w:r>
      </w:hyperlink>
    </w:p>
    <w:p w14:paraId="01D366F2" w14:textId="1BCC0A45"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095" w:history="1">
        <w:r w:rsidR="00854B0E" w:rsidRPr="00253634">
          <w:rPr>
            <w:rStyle w:val="Hyperlink"/>
            <w:noProof/>
          </w:rPr>
          <w:t>Table 2:</w:t>
        </w:r>
        <w:r w:rsidR="00854B0E">
          <w:rPr>
            <w:rFonts w:asciiTheme="minorHAnsi" w:eastAsiaTheme="minorEastAsia" w:hAnsiTheme="minorHAnsi" w:cstheme="minorBidi"/>
            <w:noProof/>
            <w:szCs w:val="22"/>
            <w:lang w:eastAsia="en-NZ"/>
          </w:rPr>
          <w:tab/>
        </w:r>
        <w:r w:rsidR="00854B0E" w:rsidRPr="00253634">
          <w:rPr>
            <w:rStyle w:val="Hyperlink"/>
            <w:noProof/>
          </w:rPr>
          <w:t>Approximate years when various national sea-level rise increments could be reached</w:t>
        </w:r>
        <w:r w:rsidR="00854B0E">
          <w:rPr>
            <w:noProof/>
            <w:webHidden/>
          </w:rPr>
          <w:tab/>
        </w:r>
        <w:r w:rsidR="00854B0E">
          <w:rPr>
            <w:noProof/>
            <w:webHidden/>
          </w:rPr>
          <w:fldChar w:fldCharType="begin"/>
        </w:r>
        <w:r w:rsidR="00854B0E">
          <w:rPr>
            <w:noProof/>
            <w:webHidden/>
          </w:rPr>
          <w:instrText xml:space="preserve"> PAGEREF _Toc109809095 \h </w:instrText>
        </w:r>
        <w:r w:rsidR="00854B0E">
          <w:rPr>
            <w:noProof/>
            <w:webHidden/>
          </w:rPr>
        </w:r>
        <w:r w:rsidR="00854B0E">
          <w:rPr>
            <w:noProof/>
            <w:webHidden/>
          </w:rPr>
          <w:fldChar w:fldCharType="separate"/>
        </w:r>
        <w:r>
          <w:rPr>
            <w:noProof/>
            <w:webHidden/>
          </w:rPr>
          <w:t>15</w:t>
        </w:r>
        <w:r w:rsidR="00854B0E">
          <w:rPr>
            <w:noProof/>
            <w:webHidden/>
          </w:rPr>
          <w:fldChar w:fldCharType="end"/>
        </w:r>
      </w:hyperlink>
    </w:p>
    <w:p w14:paraId="2620FA3A" w14:textId="4A6CC3D9"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096" w:history="1">
        <w:r w:rsidR="00854B0E" w:rsidRPr="00253634">
          <w:rPr>
            <w:rStyle w:val="Hyperlink"/>
            <w:rFonts w:eastAsia="Calibri"/>
            <w:bCs/>
            <w:noProof/>
          </w:rPr>
          <w:t>Table 3</w:t>
        </w:r>
        <w:r w:rsidR="00854B0E" w:rsidRPr="00253634">
          <w:rPr>
            <w:rStyle w:val="Hyperlink"/>
            <w:rFonts w:eastAsia="Calibri"/>
            <w:noProof/>
          </w:rPr>
          <w:t>:</w:t>
        </w:r>
        <w:r w:rsidR="00854B0E">
          <w:rPr>
            <w:rFonts w:asciiTheme="minorHAnsi" w:eastAsiaTheme="minorEastAsia" w:hAnsiTheme="minorHAnsi" w:cstheme="minorBidi"/>
            <w:noProof/>
            <w:szCs w:val="22"/>
            <w:lang w:eastAsia="en-NZ"/>
          </w:rPr>
          <w:tab/>
        </w:r>
        <w:r w:rsidR="00854B0E" w:rsidRPr="00253634">
          <w:rPr>
            <w:rStyle w:val="Hyperlink"/>
            <w:rFonts w:eastAsia="Calibri"/>
            <w:noProof/>
          </w:rPr>
          <w:t>Recommended updates to the minimum transitional procedures or RSLR allowances</w:t>
        </w:r>
        <w:r w:rsidR="00854B0E">
          <w:rPr>
            <w:noProof/>
            <w:webHidden/>
          </w:rPr>
          <w:tab/>
        </w:r>
        <w:r w:rsidR="00854B0E">
          <w:rPr>
            <w:noProof/>
            <w:webHidden/>
          </w:rPr>
          <w:fldChar w:fldCharType="begin"/>
        </w:r>
        <w:r w:rsidR="00854B0E">
          <w:rPr>
            <w:noProof/>
            <w:webHidden/>
          </w:rPr>
          <w:instrText xml:space="preserve"> PAGEREF _Toc109809096 \h </w:instrText>
        </w:r>
        <w:r w:rsidR="00854B0E">
          <w:rPr>
            <w:noProof/>
            <w:webHidden/>
          </w:rPr>
        </w:r>
        <w:r w:rsidR="00854B0E">
          <w:rPr>
            <w:noProof/>
            <w:webHidden/>
          </w:rPr>
          <w:fldChar w:fldCharType="separate"/>
        </w:r>
        <w:r>
          <w:rPr>
            <w:noProof/>
            <w:webHidden/>
          </w:rPr>
          <w:t>18</w:t>
        </w:r>
        <w:r w:rsidR="00854B0E">
          <w:rPr>
            <w:noProof/>
            <w:webHidden/>
          </w:rPr>
          <w:fldChar w:fldCharType="end"/>
        </w:r>
      </w:hyperlink>
    </w:p>
    <w:p w14:paraId="5A2C5245" w14:textId="712AFF8C"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097" w:history="1">
        <w:r w:rsidR="00854B0E" w:rsidRPr="00253634">
          <w:rPr>
            <w:rStyle w:val="Hyperlink"/>
            <w:rFonts w:eastAsia="Calibri"/>
            <w:bCs/>
            <w:noProof/>
          </w:rPr>
          <w:t>Table 4:</w:t>
        </w:r>
        <w:r w:rsidR="00854B0E">
          <w:rPr>
            <w:rFonts w:asciiTheme="minorHAnsi" w:eastAsiaTheme="minorEastAsia" w:hAnsiTheme="minorHAnsi" w:cstheme="minorBidi"/>
            <w:noProof/>
            <w:szCs w:val="22"/>
            <w:lang w:eastAsia="en-NZ"/>
          </w:rPr>
          <w:tab/>
        </w:r>
        <w:r w:rsidR="00854B0E" w:rsidRPr="00253634">
          <w:rPr>
            <w:rStyle w:val="Hyperlink"/>
            <w:rFonts w:eastAsia="Calibri"/>
            <w:noProof/>
          </w:rPr>
          <w:t>Average occurrences of coastal flooding events for the four main coastal centres</w:t>
        </w:r>
        <w:r w:rsidR="00854B0E">
          <w:rPr>
            <w:noProof/>
            <w:webHidden/>
          </w:rPr>
          <w:tab/>
        </w:r>
        <w:r w:rsidR="00854B0E">
          <w:rPr>
            <w:noProof/>
            <w:webHidden/>
          </w:rPr>
          <w:fldChar w:fldCharType="begin"/>
        </w:r>
        <w:r w:rsidR="00854B0E">
          <w:rPr>
            <w:noProof/>
            <w:webHidden/>
          </w:rPr>
          <w:instrText xml:space="preserve"> PAGEREF _Toc109809097 \h </w:instrText>
        </w:r>
        <w:r w:rsidR="00854B0E">
          <w:rPr>
            <w:noProof/>
            <w:webHidden/>
          </w:rPr>
        </w:r>
        <w:r w:rsidR="00854B0E">
          <w:rPr>
            <w:noProof/>
            <w:webHidden/>
          </w:rPr>
          <w:fldChar w:fldCharType="separate"/>
        </w:r>
        <w:r>
          <w:rPr>
            <w:noProof/>
            <w:webHidden/>
          </w:rPr>
          <w:t>22</w:t>
        </w:r>
        <w:r w:rsidR="00854B0E">
          <w:rPr>
            <w:noProof/>
            <w:webHidden/>
          </w:rPr>
          <w:fldChar w:fldCharType="end"/>
        </w:r>
      </w:hyperlink>
    </w:p>
    <w:p w14:paraId="715D11AE" w14:textId="5A10B02E"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098" w:history="1">
        <w:r w:rsidR="00854B0E" w:rsidRPr="00253634">
          <w:rPr>
            <w:rStyle w:val="Hyperlink"/>
            <w:noProof/>
          </w:rPr>
          <w:t>Table A-1:</w:t>
        </w:r>
        <w:r w:rsidR="00854B0E">
          <w:rPr>
            <w:rFonts w:asciiTheme="minorHAnsi" w:eastAsiaTheme="minorEastAsia" w:hAnsiTheme="minorHAnsi" w:cstheme="minorBidi"/>
            <w:noProof/>
            <w:szCs w:val="22"/>
            <w:lang w:eastAsia="en-NZ"/>
          </w:rPr>
          <w:tab/>
        </w:r>
        <w:r w:rsidR="00854B0E" w:rsidRPr="00253634">
          <w:rPr>
            <w:rStyle w:val="Hyperlink"/>
            <w:noProof/>
          </w:rPr>
          <w:t>Comparison of the change in national average sea-level rise projections for 2120 from the 2017 coastal hazards guidance scenarios compared with the latest NZSeaRise projections</w:t>
        </w:r>
        <w:r w:rsidR="00854B0E">
          <w:rPr>
            <w:noProof/>
            <w:webHidden/>
          </w:rPr>
          <w:tab/>
        </w:r>
        <w:r w:rsidR="00854B0E">
          <w:rPr>
            <w:noProof/>
            <w:webHidden/>
          </w:rPr>
          <w:fldChar w:fldCharType="begin"/>
        </w:r>
        <w:r w:rsidR="00854B0E">
          <w:rPr>
            <w:noProof/>
            <w:webHidden/>
          </w:rPr>
          <w:instrText xml:space="preserve"> PAGEREF _Toc109809098 \h </w:instrText>
        </w:r>
        <w:r w:rsidR="00854B0E">
          <w:rPr>
            <w:noProof/>
            <w:webHidden/>
          </w:rPr>
        </w:r>
        <w:r w:rsidR="00854B0E">
          <w:rPr>
            <w:noProof/>
            <w:webHidden/>
          </w:rPr>
          <w:fldChar w:fldCharType="separate"/>
        </w:r>
        <w:r>
          <w:rPr>
            <w:noProof/>
            <w:webHidden/>
          </w:rPr>
          <w:t>26</w:t>
        </w:r>
        <w:r w:rsidR="00854B0E">
          <w:rPr>
            <w:noProof/>
            <w:webHidden/>
          </w:rPr>
          <w:fldChar w:fldCharType="end"/>
        </w:r>
      </w:hyperlink>
    </w:p>
    <w:p w14:paraId="2592F928" w14:textId="1A7C40A4" w:rsidR="00532334" w:rsidRPr="006B77BB" w:rsidRDefault="004943C2" w:rsidP="00D51469">
      <w:pPr>
        <w:pStyle w:val="BodyText"/>
      </w:pPr>
      <w:r w:rsidRPr="006B77BB">
        <w:fldChar w:fldCharType="end"/>
      </w:r>
    </w:p>
    <w:p w14:paraId="126D2729" w14:textId="77777777" w:rsidR="00532334" w:rsidRPr="006B77BB" w:rsidRDefault="00532334" w:rsidP="004B5BDD"/>
    <w:p w14:paraId="00840925" w14:textId="4B056A94" w:rsidR="00532334" w:rsidRPr="006B77BB" w:rsidRDefault="00B51610" w:rsidP="00585FD0">
      <w:pPr>
        <w:pStyle w:val="Heading"/>
      </w:pPr>
      <w:bookmarkStart w:id="5" w:name="_Toc109397163"/>
      <w:bookmarkStart w:id="6" w:name="_Toc109397573"/>
      <w:r w:rsidRPr="006B77BB">
        <w:t>Figure</w:t>
      </w:r>
      <w:r w:rsidR="00532334" w:rsidRPr="006B77BB">
        <w:t>s</w:t>
      </w:r>
      <w:bookmarkEnd w:id="5"/>
      <w:bookmarkEnd w:id="6"/>
    </w:p>
    <w:p w14:paraId="5D0BE2AD" w14:textId="3C381E9B" w:rsidR="00854B0E" w:rsidRDefault="004943C2">
      <w:pPr>
        <w:pStyle w:val="TableofFigures"/>
        <w:tabs>
          <w:tab w:val="right" w:pos="8495"/>
        </w:tabs>
        <w:rPr>
          <w:rFonts w:asciiTheme="minorHAnsi" w:eastAsiaTheme="minorEastAsia" w:hAnsiTheme="minorHAnsi" w:cstheme="minorBidi"/>
          <w:noProof/>
          <w:szCs w:val="22"/>
          <w:lang w:eastAsia="en-NZ"/>
        </w:rPr>
      </w:pPr>
      <w:r w:rsidRPr="006B77BB">
        <w:fldChar w:fldCharType="begin"/>
      </w:r>
      <w:r w:rsidRPr="006B77BB">
        <w:instrText xml:space="preserve"> TOC \h \z \t "Figure heading" \c </w:instrText>
      </w:r>
      <w:r w:rsidRPr="006B77BB">
        <w:fldChar w:fldCharType="separate"/>
      </w:r>
      <w:hyperlink w:anchor="_Toc109809099" w:history="1">
        <w:r w:rsidR="00854B0E" w:rsidRPr="00353A17">
          <w:rPr>
            <w:rStyle w:val="Hyperlink"/>
            <w:noProof/>
          </w:rPr>
          <w:t>Figure 1:</w:t>
        </w:r>
        <w:r w:rsidR="00854B0E">
          <w:rPr>
            <w:rFonts w:asciiTheme="minorHAnsi" w:eastAsiaTheme="minorEastAsia" w:hAnsiTheme="minorHAnsi" w:cstheme="minorBidi"/>
            <w:noProof/>
            <w:szCs w:val="22"/>
            <w:lang w:eastAsia="en-NZ"/>
          </w:rPr>
          <w:tab/>
        </w:r>
        <w:r w:rsidR="00854B0E" w:rsidRPr="00353A17">
          <w:rPr>
            <w:rStyle w:val="Hyperlink"/>
            <w:noProof/>
          </w:rPr>
          <w:t>Comparison of new NZSeaRise projections with 2017 coastal hazards guidance projections from 2000 to 2150</w:t>
        </w:r>
        <w:r w:rsidR="00854B0E">
          <w:rPr>
            <w:noProof/>
            <w:webHidden/>
          </w:rPr>
          <w:tab/>
        </w:r>
        <w:r w:rsidR="00854B0E">
          <w:rPr>
            <w:noProof/>
            <w:webHidden/>
          </w:rPr>
          <w:fldChar w:fldCharType="begin"/>
        </w:r>
        <w:r w:rsidR="00854B0E">
          <w:rPr>
            <w:noProof/>
            <w:webHidden/>
          </w:rPr>
          <w:instrText xml:space="preserve"> PAGEREF _Toc109809099 \h </w:instrText>
        </w:r>
        <w:r w:rsidR="00854B0E">
          <w:rPr>
            <w:noProof/>
            <w:webHidden/>
          </w:rPr>
        </w:r>
        <w:r w:rsidR="00854B0E">
          <w:rPr>
            <w:noProof/>
            <w:webHidden/>
          </w:rPr>
          <w:fldChar w:fldCharType="separate"/>
        </w:r>
        <w:r w:rsidR="00FB2729">
          <w:rPr>
            <w:noProof/>
            <w:webHidden/>
          </w:rPr>
          <w:t>7</w:t>
        </w:r>
        <w:r w:rsidR="00854B0E">
          <w:rPr>
            <w:noProof/>
            <w:webHidden/>
          </w:rPr>
          <w:fldChar w:fldCharType="end"/>
        </w:r>
      </w:hyperlink>
    </w:p>
    <w:p w14:paraId="2C03EEB3" w14:textId="698F3EA8"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0" w:history="1">
        <w:r w:rsidR="00854B0E" w:rsidRPr="00353A17">
          <w:rPr>
            <w:rStyle w:val="Hyperlink"/>
            <w:noProof/>
          </w:rPr>
          <w:t>Figure 1A:</w:t>
        </w:r>
        <w:r w:rsidR="00854B0E">
          <w:rPr>
            <w:rFonts w:asciiTheme="minorHAnsi" w:eastAsiaTheme="minorEastAsia" w:hAnsiTheme="minorHAnsi" w:cstheme="minorBidi"/>
            <w:noProof/>
            <w:szCs w:val="22"/>
            <w:lang w:eastAsia="en-NZ"/>
          </w:rPr>
          <w:tab/>
        </w:r>
        <w:r w:rsidR="00854B0E" w:rsidRPr="00353A17">
          <w:rPr>
            <w:rStyle w:val="Hyperlink"/>
            <w:noProof/>
          </w:rPr>
          <w:t>Comparison of new NZSeaRise projections with 2017 coastal hazards guidance projections from 1995 to 2020</w:t>
        </w:r>
        <w:r w:rsidR="00854B0E">
          <w:rPr>
            <w:noProof/>
            <w:webHidden/>
          </w:rPr>
          <w:tab/>
        </w:r>
        <w:r w:rsidR="00854B0E">
          <w:rPr>
            <w:noProof/>
            <w:webHidden/>
          </w:rPr>
          <w:fldChar w:fldCharType="begin"/>
        </w:r>
        <w:r w:rsidR="00854B0E">
          <w:rPr>
            <w:noProof/>
            <w:webHidden/>
          </w:rPr>
          <w:instrText xml:space="preserve"> PAGEREF _Toc109809100 \h </w:instrText>
        </w:r>
        <w:r w:rsidR="00854B0E">
          <w:rPr>
            <w:noProof/>
            <w:webHidden/>
          </w:rPr>
        </w:r>
        <w:r w:rsidR="00854B0E">
          <w:rPr>
            <w:noProof/>
            <w:webHidden/>
          </w:rPr>
          <w:fldChar w:fldCharType="separate"/>
        </w:r>
        <w:r>
          <w:rPr>
            <w:noProof/>
            <w:webHidden/>
          </w:rPr>
          <w:t>8</w:t>
        </w:r>
        <w:r w:rsidR="00854B0E">
          <w:rPr>
            <w:noProof/>
            <w:webHidden/>
          </w:rPr>
          <w:fldChar w:fldCharType="end"/>
        </w:r>
      </w:hyperlink>
    </w:p>
    <w:p w14:paraId="2DE9196D" w14:textId="04A98FF3"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1" w:history="1">
        <w:r w:rsidR="00854B0E" w:rsidRPr="00353A17">
          <w:rPr>
            <w:rStyle w:val="Hyperlink"/>
            <w:rFonts w:eastAsia="Calibri" w:cs="Times New Roman"/>
            <w:bCs/>
            <w:noProof/>
          </w:rPr>
          <w:t>Figure 2:</w:t>
        </w:r>
        <w:r w:rsidR="00854B0E">
          <w:rPr>
            <w:rFonts w:asciiTheme="minorHAnsi" w:eastAsiaTheme="minorEastAsia" w:hAnsiTheme="minorHAnsi" w:cstheme="minorBidi"/>
            <w:noProof/>
            <w:szCs w:val="22"/>
            <w:lang w:eastAsia="en-NZ"/>
          </w:rPr>
          <w:tab/>
        </w:r>
        <w:r w:rsidR="00854B0E" w:rsidRPr="00353A17">
          <w:rPr>
            <w:rStyle w:val="Hyperlink"/>
            <w:noProof/>
          </w:rPr>
          <w:t>Difference in mean sea level (MSL) shoreline between absolute and local (relative) sea-level rise where land subsidence occurs</w:t>
        </w:r>
        <w:r w:rsidR="00854B0E">
          <w:rPr>
            <w:noProof/>
            <w:webHidden/>
          </w:rPr>
          <w:tab/>
        </w:r>
        <w:r w:rsidR="00854B0E">
          <w:rPr>
            <w:noProof/>
            <w:webHidden/>
          </w:rPr>
          <w:fldChar w:fldCharType="begin"/>
        </w:r>
        <w:r w:rsidR="00854B0E">
          <w:rPr>
            <w:noProof/>
            <w:webHidden/>
          </w:rPr>
          <w:instrText xml:space="preserve"> PAGEREF _Toc109809101 \h </w:instrText>
        </w:r>
        <w:r w:rsidR="00854B0E">
          <w:rPr>
            <w:noProof/>
            <w:webHidden/>
          </w:rPr>
        </w:r>
        <w:r w:rsidR="00854B0E">
          <w:rPr>
            <w:noProof/>
            <w:webHidden/>
          </w:rPr>
          <w:fldChar w:fldCharType="separate"/>
        </w:r>
        <w:r>
          <w:rPr>
            <w:noProof/>
            <w:webHidden/>
          </w:rPr>
          <w:t>10</w:t>
        </w:r>
        <w:r w:rsidR="00854B0E">
          <w:rPr>
            <w:noProof/>
            <w:webHidden/>
          </w:rPr>
          <w:fldChar w:fldCharType="end"/>
        </w:r>
      </w:hyperlink>
    </w:p>
    <w:p w14:paraId="6281409D" w14:textId="4FE0E3D4"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2" w:history="1">
        <w:r w:rsidR="00854B0E" w:rsidRPr="00353A17">
          <w:rPr>
            <w:rStyle w:val="Hyperlink"/>
            <w:rFonts w:eastAsia="Calibri"/>
            <w:bCs/>
            <w:noProof/>
          </w:rPr>
          <w:t>Figure 3:</w:t>
        </w:r>
        <w:r w:rsidR="00854B0E">
          <w:rPr>
            <w:rFonts w:asciiTheme="minorHAnsi" w:eastAsiaTheme="minorEastAsia" w:hAnsiTheme="minorHAnsi" w:cstheme="minorBidi"/>
            <w:noProof/>
            <w:szCs w:val="22"/>
            <w:lang w:eastAsia="en-NZ"/>
          </w:rPr>
          <w:tab/>
        </w:r>
        <w:r w:rsidR="00854B0E" w:rsidRPr="00353A17">
          <w:rPr>
            <w:rStyle w:val="Hyperlink"/>
            <w:noProof/>
          </w:rPr>
          <w:t>Global mean temperature in a suite of five Shared Socio-economic Pathway (SSP) narratives that incorporate Representative Concentration Pathways (RCPs)</w:t>
        </w:r>
        <w:r w:rsidR="00854B0E">
          <w:rPr>
            <w:noProof/>
            <w:webHidden/>
          </w:rPr>
          <w:tab/>
        </w:r>
        <w:r w:rsidR="00854B0E">
          <w:rPr>
            <w:noProof/>
            <w:webHidden/>
          </w:rPr>
          <w:fldChar w:fldCharType="begin"/>
        </w:r>
        <w:r w:rsidR="00854B0E">
          <w:rPr>
            <w:noProof/>
            <w:webHidden/>
          </w:rPr>
          <w:instrText xml:space="preserve"> PAGEREF _Toc109809102 \h </w:instrText>
        </w:r>
        <w:r w:rsidR="00854B0E">
          <w:rPr>
            <w:noProof/>
            <w:webHidden/>
          </w:rPr>
        </w:r>
        <w:r w:rsidR="00854B0E">
          <w:rPr>
            <w:noProof/>
            <w:webHidden/>
          </w:rPr>
          <w:fldChar w:fldCharType="separate"/>
        </w:r>
        <w:r>
          <w:rPr>
            <w:noProof/>
            <w:webHidden/>
          </w:rPr>
          <w:t>11</w:t>
        </w:r>
        <w:r w:rsidR="00854B0E">
          <w:rPr>
            <w:noProof/>
            <w:webHidden/>
          </w:rPr>
          <w:fldChar w:fldCharType="end"/>
        </w:r>
      </w:hyperlink>
    </w:p>
    <w:p w14:paraId="1398B4F5" w14:textId="346256DB"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3" w:history="1">
        <w:r w:rsidR="00854B0E" w:rsidRPr="00353A17">
          <w:rPr>
            <w:rStyle w:val="Hyperlink"/>
            <w:noProof/>
          </w:rPr>
          <w:t>Figure 4:</w:t>
        </w:r>
        <w:r w:rsidR="00854B0E">
          <w:rPr>
            <w:rFonts w:asciiTheme="minorHAnsi" w:eastAsiaTheme="minorEastAsia" w:hAnsiTheme="minorHAnsi" w:cstheme="minorBidi"/>
            <w:noProof/>
            <w:szCs w:val="22"/>
            <w:lang w:eastAsia="en-NZ"/>
          </w:rPr>
          <w:tab/>
        </w:r>
        <w:r w:rsidR="00854B0E" w:rsidRPr="00353A17">
          <w:rPr>
            <w:rStyle w:val="Hyperlink"/>
            <w:noProof/>
          </w:rPr>
          <w:t>National distribution of VLM rates in Aotearoa New Zealand</w:t>
        </w:r>
        <w:r w:rsidR="00854B0E">
          <w:rPr>
            <w:noProof/>
            <w:webHidden/>
          </w:rPr>
          <w:tab/>
        </w:r>
        <w:r w:rsidR="00854B0E">
          <w:rPr>
            <w:noProof/>
            <w:webHidden/>
          </w:rPr>
          <w:fldChar w:fldCharType="begin"/>
        </w:r>
        <w:r w:rsidR="00854B0E">
          <w:rPr>
            <w:noProof/>
            <w:webHidden/>
          </w:rPr>
          <w:instrText xml:space="preserve"> PAGEREF _Toc109809103 \h </w:instrText>
        </w:r>
        <w:r w:rsidR="00854B0E">
          <w:rPr>
            <w:noProof/>
            <w:webHidden/>
          </w:rPr>
        </w:r>
        <w:r w:rsidR="00854B0E">
          <w:rPr>
            <w:noProof/>
            <w:webHidden/>
          </w:rPr>
          <w:fldChar w:fldCharType="separate"/>
        </w:r>
        <w:r>
          <w:rPr>
            <w:noProof/>
            <w:webHidden/>
          </w:rPr>
          <w:t>21</w:t>
        </w:r>
        <w:r w:rsidR="00854B0E">
          <w:rPr>
            <w:noProof/>
            <w:webHidden/>
          </w:rPr>
          <w:fldChar w:fldCharType="end"/>
        </w:r>
      </w:hyperlink>
    </w:p>
    <w:p w14:paraId="6462E063" w14:textId="23A9AF2F"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4" w:history="1">
        <w:r w:rsidR="00854B0E" w:rsidRPr="00353A17">
          <w:rPr>
            <w:rStyle w:val="Hyperlink"/>
            <w:rFonts w:eastAsia="Calibri" w:cs="Times New Roman"/>
            <w:bCs/>
            <w:noProof/>
          </w:rPr>
          <w:t>Figure 5</w:t>
        </w:r>
        <w:r w:rsidR="00854B0E" w:rsidRPr="00353A17">
          <w:rPr>
            <w:rStyle w:val="Hyperlink"/>
            <w:rFonts w:eastAsia="Calibri" w:cs="Times New Roman"/>
            <w:noProof/>
          </w:rPr>
          <w:t>:</w:t>
        </w:r>
        <w:r w:rsidR="00854B0E">
          <w:rPr>
            <w:rFonts w:asciiTheme="minorHAnsi" w:eastAsiaTheme="minorEastAsia" w:hAnsiTheme="minorHAnsi" w:cstheme="minorBidi"/>
            <w:noProof/>
            <w:szCs w:val="22"/>
            <w:lang w:eastAsia="en-NZ"/>
          </w:rPr>
          <w:tab/>
        </w:r>
        <w:r w:rsidR="00854B0E" w:rsidRPr="00353A17">
          <w:rPr>
            <w:rStyle w:val="Hyperlink"/>
            <w:rFonts w:eastAsia="Calibri"/>
            <w:noProof/>
          </w:rPr>
          <w:t>Comparing RSLR scenario SSP2-4.5 with VLM (solid line) and without VLM (dashed line) at Petone, Lower Hutt (top) and New Brighton, Christchurch (bottom)</w:t>
        </w:r>
        <w:r w:rsidR="00854B0E">
          <w:rPr>
            <w:noProof/>
            <w:webHidden/>
          </w:rPr>
          <w:tab/>
        </w:r>
        <w:r w:rsidR="00854B0E">
          <w:rPr>
            <w:noProof/>
            <w:webHidden/>
          </w:rPr>
          <w:fldChar w:fldCharType="begin"/>
        </w:r>
        <w:r w:rsidR="00854B0E">
          <w:rPr>
            <w:noProof/>
            <w:webHidden/>
          </w:rPr>
          <w:instrText xml:space="preserve"> PAGEREF _Toc109809104 \h </w:instrText>
        </w:r>
        <w:r w:rsidR="00854B0E">
          <w:rPr>
            <w:noProof/>
            <w:webHidden/>
          </w:rPr>
        </w:r>
        <w:r w:rsidR="00854B0E">
          <w:rPr>
            <w:noProof/>
            <w:webHidden/>
          </w:rPr>
          <w:fldChar w:fldCharType="separate"/>
        </w:r>
        <w:r>
          <w:rPr>
            <w:noProof/>
            <w:webHidden/>
          </w:rPr>
          <w:t>22</w:t>
        </w:r>
        <w:r w:rsidR="00854B0E">
          <w:rPr>
            <w:noProof/>
            <w:webHidden/>
          </w:rPr>
          <w:fldChar w:fldCharType="end"/>
        </w:r>
      </w:hyperlink>
    </w:p>
    <w:p w14:paraId="40471772" w14:textId="38457081"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5" w:history="1">
        <w:r w:rsidR="00854B0E" w:rsidRPr="00353A17">
          <w:rPr>
            <w:rStyle w:val="Hyperlink"/>
            <w:rFonts w:eastAsia="Calibri" w:cs="Times New Roman"/>
            <w:bCs/>
            <w:noProof/>
          </w:rPr>
          <w:t>Figure 6</w:t>
        </w:r>
        <w:r w:rsidR="00854B0E" w:rsidRPr="00353A17">
          <w:rPr>
            <w:rStyle w:val="Hyperlink"/>
            <w:rFonts w:eastAsia="Calibri" w:cs="Times New Roman"/>
            <w:noProof/>
          </w:rPr>
          <w:t>:</w:t>
        </w:r>
        <w:r w:rsidR="00854B0E">
          <w:rPr>
            <w:rFonts w:asciiTheme="minorHAnsi" w:eastAsiaTheme="minorEastAsia" w:hAnsiTheme="minorHAnsi" w:cstheme="minorBidi"/>
            <w:noProof/>
            <w:szCs w:val="22"/>
            <w:lang w:eastAsia="en-NZ"/>
          </w:rPr>
          <w:tab/>
        </w:r>
        <w:r w:rsidR="00854B0E" w:rsidRPr="00353A17">
          <w:rPr>
            <w:rStyle w:val="Hyperlink"/>
            <w:rFonts w:eastAsia="Calibri"/>
            <w:noProof/>
          </w:rPr>
          <w:t>Comparing RSLR scenario SSP2-4.5 at Awatoto, with VLM (solid line) and without VLM (dashed line)</w:t>
        </w:r>
        <w:r w:rsidR="00854B0E">
          <w:rPr>
            <w:noProof/>
            <w:webHidden/>
          </w:rPr>
          <w:tab/>
        </w:r>
        <w:r w:rsidR="00854B0E">
          <w:rPr>
            <w:noProof/>
            <w:webHidden/>
          </w:rPr>
          <w:fldChar w:fldCharType="begin"/>
        </w:r>
        <w:r w:rsidR="00854B0E">
          <w:rPr>
            <w:noProof/>
            <w:webHidden/>
          </w:rPr>
          <w:instrText xml:space="preserve"> PAGEREF _Toc109809105 \h </w:instrText>
        </w:r>
        <w:r w:rsidR="00854B0E">
          <w:rPr>
            <w:noProof/>
            <w:webHidden/>
          </w:rPr>
        </w:r>
        <w:r w:rsidR="00854B0E">
          <w:rPr>
            <w:noProof/>
            <w:webHidden/>
          </w:rPr>
          <w:fldChar w:fldCharType="separate"/>
        </w:r>
        <w:r>
          <w:rPr>
            <w:noProof/>
            <w:webHidden/>
          </w:rPr>
          <w:t>24</w:t>
        </w:r>
        <w:r w:rsidR="00854B0E">
          <w:rPr>
            <w:noProof/>
            <w:webHidden/>
          </w:rPr>
          <w:fldChar w:fldCharType="end"/>
        </w:r>
      </w:hyperlink>
    </w:p>
    <w:p w14:paraId="025B5652" w14:textId="400F437C"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6" w:history="1">
        <w:r w:rsidR="00854B0E" w:rsidRPr="00353A17">
          <w:rPr>
            <w:rStyle w:val="Hyperlink"/>
            <w:noProof/>
          </w:rPr>
          <w:t xml:space="preserve">Figure A-1: </w:t>
        </w:r>
        <w:r w:rsidR="00854B0E">
          <w:rPr>
            <w:rFonts w:asciiTheme="minorHAnsi" w:eastAsiaTheme="minorEastAsia" w:hAnsiTheme="minorHAnsi" w:cstheme="minorBidi"/>
            <w:noProof/>
            <w:szCs w:val="22"/>
            <w:lang w:eastAsia="en-NZ"/>
          </w:rPr>
          <w:tab/>
        </w:r>
        <w:r w:rsidR="00854B0E" w:rsidRPr="00353A17">
          <w:rPr>
            <w:rStyle w:val="Hyperlink"/>
            <w:noProof/>
          </w:rPr>
          <w:t>Comparison of the new NZSeaRise projections (excluding VLM) for SSP2-4.5 M and SSP5-8.5 M for six locations with the equivalent global average GMSL from IPCC AR6</w:t>
        </w:r>
        <w:r w:rsidR="00854B0E">
          <w:rPr>
            <w:noProof/>
            <w:webHidden/>
          </w:rPr>
          <w:tab/>
        </w:r>
        <w:r w:rsidR="00854B0E">
          <w:rPr>
            <w:noProof/>
            <w:webHidden/>
          </w:rPr>
          <w:fldChar w:fldCharType="begin"/>
        </w:r>
        <w:r w:rsidR="00854B0E">
          <w:rPr>
            <w:noProof/>
            <w:webHidden/>
          </w:rPr>
          <w:instrText xml:space="preserve"> PAGEREF _Toc109809106 \h </w:instrText>
        </w:r>
        <w:r w:rsidR="00854B0E">
          <w:rPr>
            <w:noProof/>
            <w:webHidden/>
          </w:rPr>
        </w:r>
        <w:r w:rsidR="00854B0E">
          <w:rPr>
            <w:noProof/>
            <w:webHidden/>
          </w:rPr>
          <w:fldChar w:fldCharType="separate"/>
        </w:r>
        <w:r>
          <w:rPr>
            <w:noProof/>
            <w:webHidden/>
          </w:rPr>
          <w:t>27</w:t>
        </w:r>
        <w:r w:rsidR="00854B0E">
          <w:rPr>
            <w:noProof/>
            <w:webHidden/>
          </w:rPr>
          <w:fldChar w:fldCharType="end"/>
        </w:r>
      </w:hyperlink>
    </w:p>
    <w:p w14:paraId="050B3C78" w14:textId="2BB41A68"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7" w:history="1">
        <w:r w:rsidR="00854B0E" w:rsidRPr="00353A17">
          <w:rPr>
            <w:rStyle w:val="Hyperlink"/>
            <w:noProof/>
          </w:rPr>
          <w:t>Figure B-1: Schematic of RSLR for a subsiding coastal area</w:t>
        </w:r>
        <w:r w:rsidR="00854B0E">
          <w:rPr>
            <w:noProof/>
            <w:webHidden/>
          </w:rPr>
          <w:tab/>
        </w:r>
        <w:r w:rsidR="00854B0E">
          <w:rPr>
            <w:noProof/>
            <w:webHidden/>
          </w:rPr>
          <w:fldChar w:fldCharType="begin"/>
        </w:r>
        <w:r w:rsidR="00854B0E">
          <w:rPr>
            <w:noProof/>
            <w:webHidden/>
          </w:rPr>
          <w:instrText xml:space="preserve"> PAGEREF _Toc109809107 \h </w:instrText>
        </w:r>
        <w:r w:rsidR="00854B0E">
          <w:rPr>
            <w:noProof/>
            <w:webHidden/>
          </w:rPr>
        </w:r>
        <w:r w:rsidR="00854B0E">
          <w:rPr>
            <w:noProof/>
            <w:webHidden/>
          </w:rPr>
          <w:fldChar w:fldCharType="separate"/>
        </w:r>
        <w:r>
          <w:rPr>
            <w:noProof/>
            <w:webHidden/>
          </w:rPr>
          <w:t>29</w:t>
        </w:r>
        <w:r w:rsidR="00854B0E">
          <w:rPr>
            <w:noProof/>
            <w:webHidden/>
          </w:rPr>
          <w:fldChar w:fldCharType="end"/>
        </w:r>
      </w:hyperlink>
    </w:p>
    <w:p w14:paraId="1B1B6F50" w14:textId="5A84C2D2" w:rsidR="00854B0E" w:rsidRDefault="00FB2729">
      <w:pPr>
        <w:pStyle w:val="TableofFigures"/>
        <w:tabs>
          <w:tab w:val="right" w:pos="8495"/>
        </w:tabs>
        <w:rPr>
          <w:rFonts w:asciiTheme="minorHAnsi" w:eastAsiaTheme="minorEastAsia" w:hAnsiTheme="minorHAnsi" w:cstheme="minorBidi"/>
          <w:noProof/>
          <w:szCs w:val="22"/>
          <w:lang w:eastAsia="en-NZ"/>
        </w:rPr>
      </w:pPr>
      <w:hyperlink w:anchor="_Toc109809108" w:history="1">
        <w:r w:rsidR="00854B0E" w:rsidRPr="00353A17">
          <w:rPr>
            <w:rStyle w:val="Hyperlink"/>
            <w:noProof/>
          </w:rPr>
          <w:t>Figure C-1:</w:t>
        </w:r>
        <w:r w:rsidR="00854B0E">
          <w:rPr>
            <w:rFonts w:asciiTheme="minorHAnsi" w:eastAsiaTheme="minorEastAsia" w:hAnsiTheme="minorHAnsi" w:cstheme="minorBidi"/>
            <w:noProof/>
            <w:szCs w:val="22"/>
            <w:lang w:eastAsia="en-NZ"/>
          </w:rPr>
          <w:tab/>
        </w:r>
        <w:r w:rsidR="00854B0E" w:rsidRPr="00353A17">
          <w:rPr>
            <w:rStyle w:val="Hyperlink"/>
            <w:noProof/>
          </w:rPr>
          <w:t>Mean vertical movement (mm/yr) of the land surface around the coastline of Aotearoa New Zealand</w:t>
        </w:r>
        <w:r w:rsidR="00854B0E">
          <w:rPr>
            <w:noProof/>
            <w:webHidden/>
          </w:rPr>
          <w:tab/>
        </w:r>
        <w:r w:rsidR="00854B0E">
          <w:rPr>
            <w:noProof/>
            <w:webHidden/>
          </w:rPr>
          <w:fldChar w:fldCharType="begin"/>
        </w:r>
        <w:r w:rsidR="00854B0E">
          <w:rPr>
            <w:noProof/>
            <w:webHidden/>
          </w:rPr>
          <w:instrText xml:space="preserve"> PAGEREF _Toc109809108 \h </w:instrText>
        </w:r>
        <w:r w:rsidR="00854B0E">
          <w:rPr>
            <w:noProof/>
            <w:webHidden/>
          </w:rPr>
        </w:r>
        <w:r w:rsidR="00854B0E">
          <w:rPr>
            <w:noProof/>
            <w:webHidden/>
          </w:rPr>
          <w:fldChar w:fldCharType="separate"/>
        </w:r>
        <w:r>
          <w:rPr>
            <w:noProof/>
            <w:webHidden/>
          </w:rPr>
          <w:t>32</w:t>
        </w:r>
        <w:r w:rsidR="00854B0E">
          <w:rPr>
            <w:noProof/>
            <w:webHidden/>
          </w:rPr>
          <w:fldChar w:fldCharType="end"/>
        </w:r>
      </w:hyperlink>
    </w:p>
    <w:p w14:paraId="3E072F0C" w14:textId="0689FE83" w:rsidR="008A2FF1" w:rsidRPr="006B77BB" w:rsidRDefault="004943C2" w:rsidP="00D51469">
      <w:pPr>
        <w:pStyle w:val="BodyText"/>
      </w:pPr>
      <w:r w:rsidRPr="006B77BB">
        <w:fldChar w:fldCharType="end"/>
      </w:r>
    </w:p>
    <w:p w14:paraId="34A4AF89" w14:textId="77777777" w:rsidR="00796A6F" w:rsidRPr="00554B30" w:rsidRDefault="00796A6F" w:rsidP="00554B30">
      <w:bookmarkStart w:id="7" w:name="_Toc215561202"/>
      <w:r w:rsidRPr="00554B30">
        <w:br w:type="page"/>
      </w:r>
    </w:p>
    <w:p w14:paraId="26D54775" w14:textId="12706EA7" w:rsidR="004A4C41" w:rsidRPr="004A4C41" w:rsidRDefault="004A4C41" w:rsidP="004A4C41">
      <w:pPr>
        <w:pStyle w:val="Heading1"/>
        <w:rPr>
          <w:rFonts w:eastAsia="Calibri"/>
        </w:rPr>
      </w:pPr>
      <w:bookmarkStart w:id="8" w:name="_Toc109397574"/>
      <w:bookmarkStart w:id="9" w:name="_Toc109809076"/>
      <w:bookmarkEnd w:id="7"/>
      <w:r w:rsidRPr="004A4C41">
        <w:rPr>
          <w:rFonts w:eastAsia="Calibri"/>
        </w:rPr>
        <w:t>Summary</w:t>
      </w:r>
      <w:bookmarkEnd w:id="8"/>
      <w:bookmarkEnd w:id="9"/>
    </w:p>
    <w:p w14:paraId="5F2309AD" w14:textId="29D85485" w:rsidR="004A4C41" w:rsidRPr="004A4C41" w:rsidRDefault="00763D21" w:rsidP="004A4C41">
      <w:pPr>
        <w:pStyle w:val="BodyText"/>
        <w:rPr>
          <w:rFonts w:eastAsia="Calibri"/>
        </w:rPr>
      </w:pPr>
      <w:r>
        <w:rPr>
          <w:rFonts w:eastAsia="Calibri"/>
        </w:rPr>
        <w:t>The r</w:t>
      </w:r>
      <w:r w:rsidR="004A4C41" w:rsidRPr="004A4C41">
        <w:rPr>
          <w:rFonts w:eastAsia="Calibri"/>
        </w:rPr>
        <w:t>ecent</w:t>
      </w:r>
      <w:r>
        <w:rPr>
          <w:rFonts w:eastAsia="Calibri"/>
        </w:rPr>
        <w:t>ly</w:t>
      </w:r>
      <w:r w:rsidR="004A4C41" w:rsidRPr="004A4C41">
        <w:rPr>
          <w:rFonts w:eastAsia="Calibri"/>
        </w:rPr>
        <w:t xml:space="preserve"> update</w:t>
      </w:r>
      <w:r>
        <w:rPr>
          <w:rFonts w:eastAsia="Calibri"/>
        </w:rPr>
        <w:t>d</w:t>
      </w:r>
      <w:r w:rsidR="004A4C41" w:rsidRPr="004A4C41" w:rsidDel="00763D21">
        <w:rPr>
          <w:rFonts w:eastAsia="Calibri"/>
        </w:rPr>
        <w:t xml:space="preserve"> </w:t>
      </w:r>
      <w:r w:rsidR="004A4C41" w:rsidRPr="004A4C41">
        <w:rPr>
          <w:rFonts w:eastAsia="Calibri"/>
        </w:rPr>
        <w:t>future projections from the Intergovernmental Panel on Climate Change (IPCC) in 2021</w:t>
      </w:r>
      <w:r w:rsidR="0090738C">
        <w:rPr>
          <w:rFonts w:eastAsia="Calibri"/>
        </w:rPr>
        <w:t>–</w:t>
      </w:r>
      <w:r w:rsidR="004A4C41" w:rsidRPr="004A4C41">
        <w:rPr>
          <w:rFonts w:eastAsia="Calibri"/>
        </w:rPr>
        <w:t>22</w:t>
      </w:r>
      <w:r>
        <w:rPr>
          <w:rFonts w:eastAsia="Calibri"/>
        </w:rPr>
        <w:t xml:space="preserve"> confirm that sea-level rise is accelerating</w:t>
      </w:r>
      <w:r w:rsidR="004A4C41" w:rsidRPr="004A4C41">
        <w:rPr>
          <w:rFonts w:eastAsia="Calibri"/>
        </w:rPr>
        <w:t>. The</w:t>
      </w:r>
      <w:r>
        <w:rPr>
          <w:rFonts w:eastAsia="Calibri"/>
        </w:rPr>
        <w:t xml:space="preserve"> updated projections</w:t>
      </w:r>
      <w:r w:rsidR="004A4C41" w:rsidRPr="004A4C41">
        <w:rPr>
          <w:rFonts w:eastAsia="Calibri"/>
        </w:rPr>
        <w:t xml:space="preserve"> show an increase in projected sea-level rise </w:t>
      </w:r>
      <w:r>
        <w:rPr>
          <w:rFonts w:eastAsia="Calibri"/>
        </w:rPr>
        <w:t>compared with the earlier projections</w:t>
      </w:r>
      <w:r w:rsidR="004A4C41" w:rsidRPr="004A4C41">
        <w:rPr>
          <w:rFonts w:eastAsia="Calibri"/>
        </w:rPr>
        <w:t xml:space="preserve"> in the 2017 Ministry for the Environment (</w:t>
      </w:r>
      <w:r w:rsidR="00B02775">
        <w:rPr>
          <w:rFonts w:eastAsia="Calibri"/>
        </w:rPr>
        <w:t>the Ministry</w:t>
      </w:r>
      <w:r w:rsidR="004A4C41" w:rsidRPr="004A4C41">
        <w:rPr>
          <w:rFonts w:eastAsia="Calibri"/>
        </w:rPr>
        <w:t xml:space="preserve">) </w:t>
      </w:r>
      <w:r w:rsidR="004A4C41" w:rsidRPr="004A4C41">
        <w:rPr>
          <w:rFonts w:eastAsia="Calibri"/>
          <w:i/>
          <w:iCs/>
        </w:rPr>
        <w:t xml:space="preserve">Coastal </w:t>
      </w:r>
      <w:r w:rsidR="00F81BA7">
        <w:rPr>
          <w:rFonts w:eastAsia="Calibri"/>
          <w:i/>
          <w:iCs/>
        </w:rPr>
        <w:t>h</w:t>
      </w:r>
      <w:r w:rsidR="004A4C41" w:rsidRPr="004A4C41">
        <w:rPr>
          <w:rFonts w:eastAsia="Calibri"/>
          <w:i/>
          <w:iCs/>
        </w:rPr>
        <w:t xml:space="preserve">azards and </w:t>
      </w:r>
      <w:r w:rsidR="00F81BA7">
        <w:rPr>
          <w:rFonts w:eastAsia="Calibri"/>
          <w:i/>
          <w:iCs/>
        </w:rPr>
        <w:t>c</w:t>
      </w:r>
      <w:r w:rsidR="004A4C41" w:rsidRPr="004A4C41">
        <w:rPr>
          <w:rFonts w:eastAsia="Calibri"/>
          <w:i/>
          <w:iCs/>
        </w:rPr>
        <w:t xml:space="preserve">limate </w:t>
      </w:r>
      <w:r w:rsidR="00F81BA7">
        <w:rPr>
          <w:rFonts w:eastAsia="Calibri"/>
          <w:i/>
          <w:iCs/>
        </w:rPr>
        <w:t>c</w:t>
      </w:r>
      <w:r w:rsidR="004A4C41" w:rsidRPr="004A4C41">
        <w:rPr>
          <w:rFonts w:eastAsia="Calibri"/>
          <w:i/>
          <w:iCs/>
        </w:rPr>
        <w:t>hange</w:t>
      </w:r>
      <w:r w:rsidR="004A4C41" w:rsidRPr="004A4C41">
        <w:rPr>
          <w:rFonts w:eastAsia="Calibri"/>
        </w:rPr>
        <w:t xml:space="preserve"> guidance. </w:t>
      </w:r>
      <w:r>
        <w:rPr>
          <w:rFonts w:eastAsia="Calibri"/>
        </w:rPr>
        <w:t>N</w:t>
      </w:r>
      <w:r w:rsidR="004A4C41" w:rsidRPr="004A4C41">
        <w:rPr>
          <w:rFonts w:eastAsia="Calibri"/>
        </w:rPr>
        <w:t xml:space="preserve">ew localised projections are </w:t>
      </w:r>
      <w:r>
        <w:rPr>
          <w:rFonts w:eastAsia="Calibri"/>
        </w:rPr>
        <w:t xml:space="preserve">also </w:t>
      </w:r>
      <w:r w:rsidR="004A4C41" w:rsidRPr="004A4C41">
        <w:rPr>
          <w:rFonts w:eastAsia="Calibri"/>
        </w:rPr>
        <w:t xml:space="preserve">now available, which for the first time explicitly include the </w:t>
      </w:r>
      <w:r>
        <w:rPr>
          <w:rFonts w:eastAsia="Calibri"/>
        </w:rPr>
        <w:t xml:space="preserve">effect of local </w:t>
      </w:r>
      <w:r w:rsidR="004A4C41" w:rsidRPr="004A4C41">
        <w:rPr>
          <w:rFonts w:eastAsia="Calibri"/>
        </w:rPr>
        <w:t>up</w:t>
      </w:r>
      <w:r>
        <w:rPr>
          <w:rFonts w:eastAsia="Calibri"/>
        </w:rPr>
        <w:t>ward</w:t>
      </w:r>
      <w:r w:rsidR="004A4C41" w:rsidRPr="004A4C41">
        <w:rPr>
          <w:rFonts w:eastAsia="Calibri"/>
        </w:rPr>
        <w:t xml:space="preserve"> or down</w:t>
      </w:r>
      <w:r>
        <w:rPr>
          <w:rFonts w:eastAsia="Calibri"/>
        </w:rPr>
        <w:t>ward</w:t>
      </w:r>
      <w:r w:rsidR="004A4C41" w:rsidRPr="004A4C41">
        <w:rPr>
          <w:rFonts w:eastAsia="Calibri"/>
        </w:rPr>
        <w:t xml:space="preserve"> movement of land </w:t>
      </w:r>
      <w:r w:rsidR="004A4C41" w:rsidRPr="004A4C41" w:rsidDel="00763D21">
        <w:rPr>
          <w:rFonts w:eastAsia="Calibri"/>
        </w:rPr>
        <w:t xml:space="preserve">locally </w:t>
      </w:r>
      <w:r w:rsidR="004A4C41" w:rsidRPr="004A4C41">
        <w:rPr>
          <w:rFonts w:eastAsia="Calibri"/>
        </w:rPr>
        <w:t xml:space="preserve">on sea-level rise. </w:t>
      </w:r>
    </w:p>
    <w:p w14:paraId="5E371833" w14:textId="605944BB" w:rsidR="004A4C41" w:rsidRPr="004A4C41" w:rsidRDefault="004A4C41" w:rsidP="004A4C41">
      <w:pPr>
        <w:pStyle w:val="BodyText"/>
        <w:rPr>
          <w:rFonts w:eastAsia="Calibri"/>
        </w:rPr>
      </w:pPr>
      <w:r w:rsidRPr="004A4C41">
        <w:rPr>
          <w:rFonts w:eastAsia="Calibri"/>
        </w:rPr>
        <w:t xml:space="preserve">These new projections will affect present workflows for practitioners, so this interim guidance is for use until </w:t>
      </w:r>
      <w:r w:rsidR="00B02775">
        <w:rPr>
          <w:rFonts w:eastAsia="Calibri"/>
        </w:rPr>
        <w:t xml:space="preserve">the Ministry </w:t>
      </w:r>
      <w:r w:rsidR="00763D21">
        <w:rPr>
          <w:rFonts w:eastAsia="Calibri"/>
        </w:rPr>
        <w:t xml:space="preserve">is able to complete </w:t>
      </w:r>
      <w:r w:rsidRPr="004A4C41">
        <w:rPr>
          <w:rFonts w:eastAsia="Calibri"/>
        </w:rPr>
        <w:t xml:space="preserve">a refresh of the 2017 coastal </w:t>
      </w:r>
      <w:r w:rsidR="001A01A2">
        <w:rPr>
          <w:rFonts w:eastAsia="Calibri"/>
        </w:rPr>
        <w:t>hazards</w:t>
      </w:r>
      <w:r w:rsidRPr="004A4C41">
        <w:rPr>
          <w:rFonts w:eastAsia="Calibri"/>
        </w:rPr>
        <w:t xml:space="preserve"> guidance.  </w:t>
      </w:r>
    </w:p>
    <w:p w14:paraId="02A83B04" w14:textId="1A09B84F" w:rsidR="004A4C41" w:rsidRPr="004A4C41" w:rsidRDefault="00763D21" w:rsidP="004A4C41">
      <w:pPr>
        <w:pStyle w:val="BodyText"/>
        <w:rPr>
          <w:rFonts w:eastAsia="Calibri"/>
        </w:rPr>
      </w:pPr>
      <w:r>
        <w:rPr>
          <w:rFonts w:eastAsia="Calibri"/>
        </w:rPr>
        <w:t xml:space="preserve">The </w:t>
      </w:r>
      <w:proofErr w:type="spellStart"/>
      <w:r w:rsidRPr="004A4C41">
        <w:rPr>
          <w:rFonts w:eastAsia="Calibri"/>
        </w:rPr>
        <w:t>NZSeaRise</w:t>
      </w:r>
      <w:proofErr w:type="spellEnd"/>
      <w:r w:rsidRPr="004A4C41">
        <w:rPr>
          <w:rFonts w:eastAsia="Calibri"/>
        </w:rPr>
        <w:t xml:space="preserve"> research programme </w:t>
      </w:r>
      <w:r>
        <w:rPr>
          <w:rFonts w:eastAsia="Calibri"/>
        </w:rPr>
        <w:t>released u</w:t>
      </w:r>
      <w:r w:rsidR="004A4C41" w:rsidRPr="004A4C41">
        <w:rPr>
          <w:rFonts w:eastAsia="Calibri"/>
        </w:rPr>
        <w:t>pdated Aotearoa</w:t>
      </w:r>
      <w:r w:rsidR="00F17393">
        <w:rPr>
          <w:rFonts w:eastAsia="Calibri"/>
        </w:rPr>
        <w:t xml:space="preserve"> </w:t>
      </w:r>
      <w:r w:rsidR="004A4C41" w:rsidRPr="004A4C41">
        <w:rPr>
          <w:rFonts w:eastAsia="Calibri"/>
        </w:rPr>
        <w:t xml:space="preserve">New Zealand sea-level rise projections </w:t>
      </w:r>
      <w:r>
        <w:rPr>
          <w:rFonts w:eastAsia="Calibri"/>
        </w:rPr>
        <w:t>on</w:t>
      </w:r>
      <w:r w:rsidR="004A4C41" w:rsidRPr="004A4C41">
        <w:rPr>
          <w:rFonts w:eastAsia="Calibri"/>
        </w:rPr>
        <w:t xml:space="preserve"> 2 May 2022. These new projections combine the 2021 IPCC </w:t>
      </w:r>
      <w:r w:rsidR="00495928" w:rsidRPr="00AF4F39">
        <w:rPr>
          <w:rFonts w:eastAsia="Calibri"/>
        </w:rPr>
        <w:t>Sixth</w:t>
      </w:r>
      <w:r w:rsidR="004A4C41" w:rsidRPr="004A4C41">
        <w:rPr>
          <w:rFonts w:eastAsia="Calibri"/>
        </w:rPr>
        <w:t xml:space="preserve"> Assessment Report (AR6) sea</w:t>
      </w:r>
      <w:r>
        <w:rPr>
          <w:rFonts w:eastAsia="Calibri"/>
        </w:rPr>
        <w:t>-</w:t>
      </w:r>
      <w:r w:rsidR="004A4C41" w:rsidRPr="004A4C41">
        <w:rPr>
          <w:rFonts w:eastAsia="Calibri"/>
        </w:rPr>
        <w:t>level data (</w:t>
      </w:r>
      <w:r w:rsidR="004A4C41" w:rsidRPr="004A4C41" w:rsidDel="00763D21">
        <w:rPr>
          <w:rFonts w:eastAsia="Calibri"/>
        </w:rPr>
        <w:t>down</w:t>
      </w:r>
      <w:r w:rsidR="004A4C41" w:rsidRPr="004A4C41">
        <w:rPr>
          <w:rFonts w:eastAsia="Calibri"/>
        </w:rPr>
        <w:t xml:space="preserve">scaled to New Zealand), with </w:t>
      </w:r>
      <w:r w:rsidR="004A4C41" w:rsidRPr="004A4C41">
        <w:rPr>
          <w:rFonts w:eastAsia="Calibri"/>
          <w:u w:val="single"/>
        </w:rPr>
        <w:t>localised</w:t>
      </w:r>
      <w:r w:rsidR="004A4C41" w:rsidRPr="004A4C41">
        <w:rPr>
          <w:rFonts w:eastAsia="Calibri"/>
        </w:rPr>
        <w:t xml:space="preserve"> rates of vertical land movement (VLM) around the coast. </w:t>
      </w:r>
      <w:r w:rsidR="005B5941">
        <w:rPr>
          <w:rFonts w:eastAsia="Calibri"/>
        </w:rPr>
        <w:t>The result is estimates of</w:t>
      </w:r>
      <w:r w:rsidR="004A4C41" w:rsidRPr="004A4C41">
        <w:rPr>
          <w:rFonts w:eastAsia="Calibri"/>
        </w:rPr>
        <w:t xml:space="preserve"> </w:t>
      </w:r>
      <w:r w:rsidR="005B5941" w:rsidRPr="004A4C41">
        <w:rPr>
          <w:rFonts w:eastAsia="Calibri"/>
        </w:rPr>
        <w:t>relative sea-level rise (RSLR)</w:t>
      </w:r>
      <w:r w:rsidR="005B5941">
        <w:rPr>
          <w:rFonts w:eastAsia="Calibri"/>
        </w:rPr>
        <w:t>,</w:t>
      </w:r>
      <w:r w:rsidR="005B5941" w:rsidRPr="004A4C41">
        <w:rPr>
          <w:rFonts w:eastAsia="Calibri"/>
        </w:rPr>
        <w:t xml:space="preserve"> </w:t>
      </w:r>
      <w:r w:rsidR="005B5941">
        <w:rPr>
          <w:rFonts w:eastAsia="Calibri"/>
        </w:rPr>
        <w:t xml:space="preserve">or </w:t>
      </w:r>
      <w:r w:rsidR="004A4C41" w:rsidRPr="004A4C41">
        <w:rPr>
          <w:rFonts w:eastAsia="Calibri"/>
        </w:rPr>
        <w:t>sea-level rise relative to the local landmass</w:t>
      </w:r>
      <w:r w:rsidR="005B5941">
        <w:rPr>
          <w:rFonts w:eastAsia="Calibri"/>
        </w:rPr>
        <w:t>,</w:t>
      </w:r>
      <w:r w:rsidR="004A4C41" w:rsidRPr="004A4C41" w:rsidDel="005B5941">
        <w:rPr>
          <w:rFonts w:eastAsia="Calibri"/>
        </w:rPr>
        <w:t xml:space="preserve"> </w:t>
      </w:r>
      <w:r w:rsidR="005B5941">
        <w:rPr>
          <w:rFonts w:eastAsia="Calibri"/>
        </w:rPr>
        <w:t>which is critical as</w:t>
      </w:r>
      <w:r w:rsidR="004A4C41" w:rsidRPr="004A4C41">
        <w:rPr>
          <w:rFonts w:eastAsia="Calibri"/>
        </w:rPr>
        <w:t xml:space="preserve"> we plan and implement adaptation approaches locally in our coastal environments. The new sea-level rise projections (with and without VLM) are available from </w:t>
      </w:r>
      <w:proofErr w:type="spellStart"/>
      <w:r w:rsidR="004A4C41" w:rsidRPr="004A4C41">
        <w:rPr>
          <w:rFonts w:eastAsia="Calibri"/>
        </w:rPr>
        <w:t>NZSeaRise</w:t>
      </w:r>
      <w:proofErr w:type="spellEnd"/>
      <w:r w:rsidR="004A4C41" w:rsidRPr="004A4C41">
        <w:rPr>
          <w:rFonts w:eastAsia="Calibri"/>
        </w:rPr>
        <w:t xml:space="preserve"> through the </w:t>
      </w:r>
      <w:proofErr w:type="spellStart"/>
      <w:r w:rsidR="004A4C41" w:rsidRPr="004A4C41">
        <w:rPr>
          <w:rFonts w:eastAsia="Calibri"/>
        </w:rPr>
        <w:t>Takiwā</w:t>
      </w:r>
      <w:proofErr w:type="spellEnd"/>
      <w:r w:rsidR="004A4C41" w:rsidRPr="004A4C41">
        <w:rPr>
          <w:rFonts w:eastAsia="Calibri"/>
        </w:rPr>
        <w:t xml:space="preserve"> data analytics platform</w:t>
      </w:r>
      <w:r w:rsidR="005B5941">
        <w:rPr>
          <w:rFonts w:eastAsia="Calibri"/>
        </w:rPr>
        <w:t>.</w:t>
      </w:r>
      <w:r w:rsidR="004A4C41" w:rsidRPr="004A4C41">
        <w:rPr>
          <w:rFonts w:eastAsia="Calibri"/>
          <w:vertAlign w:val="superscript"/>
        </w:rPr>
        <w:footnoteReference w:id="2"/>
      </w:r>
    </w:p>
    <w:p w14:paraId="0AECBDCE" w14:textId="3FD21D39" w:rsidR="004A4C41" w:rsidRPr="004A4C41" w:rsidRDefault="004A4C41" w:rsidP="004A4C41">
      <w:pPr>
        <w:pStyle w:val="BodyText"/>
        <w:rPr>
          <w:rFonts w:eastAsia="Calibri"/>
        </w:rPr>
      </w:pPr>
      <w:r w:rsidRPr="004A4C41">
        <w:rPr>
          <w:rFonts w:eastAsia="Calibri"/>
        </w:rPr>
        <w:t xml:space="preserve">This interim guidance provides users of the 2017 </w:t>
      </w:r>
      <w:r w:rsidR="00AE6BE4">
        <w:rPr>
          <w:rFonts w:eastAsia="Calibri"/>
        </w:rPr>
        <w:t>coastal hazards</w:t>
      </w:r>
      <w:r w:rsidRPr="004A4C41">
        <w:rPr>
          <w:rFonts w:eastAsia="Calibri"/>
        </w:rPr>
        <w:t xml:space="preserve"> guidance (and accompanying </w:t>
      </w:r>
      <w:r w:rsidRPr="00481EDC">
        <w:rPr>
          <w:rFonts w:eastAsia="Calibri"/>
          <w:iCs/>
        </w:rPr>
        <w:t>Summary</w:t>
      </w:r>
      <w:r w:rsidR="005B5941" w:rsidRPr="00481EDC">
        <w:rPr>
          <w:rFonts w:eastAsia="Calibri"/>
          <w:iCs/>
        </w:rPr>
        <w:t>:</w:t>
      </w:r>
      <w:r w:rsidRPr="007158FF">
        <w:rPr>
          <w:rFonts w:eastAsia="Calibri"/>
          <w:i/>
        </w:rPr>
        <w:t xml:space="preserve"> Preparing for coastal change</w:t>
      </w:r>
      <w:r w:rsidR="005B5941">
        <w:rPr>
          <w:rFonts w:eastAsia="Calibri"/>
        </w:rPr>
        <w:t xml:space="preserve">, </w:t>
      </w:r>
      <w:r w:rsidRPr="004A4C41">
        <w:rPr>
          <w:rFonts w:eastAsia="Calibri"/>
        </w:rPr>
        <w:t>MfE</w:t>
      </w:r>
      <w:r w:rsidR="00F33F7E">
        <w:rPr>
          <w:rFonts w:eastAsia="Calibri"/>
        </w:rPr>
        <w:t>,</w:t>
      </w:r>
      <w:r w:rsidR="00DE1748">
        <w:rPr>
          <w:rFonts w:eastAsia="Calibri"/>
        </w:rPr>
        <w:t xml:space="preserve"> </w:t>
      </w:r>
      <w:r w:rsidRPr="004A4C41">
        <w:rPr>
          <w:rFonts w:eastAsia="Calibri"/>
        </w:rPr>
        <w:t>2017a) with updated information directly associated with the new sea</w:t>
      </w:r>
      <w:r w:rsidR="00167BD7">
        <w:rPr>
          <w:rFonts w:eastAsia="Calibri"/>
        </w:rPr>
        <w:t>-</w:t>
      </w:r>
      <w:r w:rsidRPr="004A4C41">
        <w:rPr>
          <w:rFonts w:eastAsia="Calibri"/>
        </w:rPr>
        <w:t>level projections</w:t>
      </w:r>
      <w:r w:rsidR="00167BD7">
        <w:rPr>
          <w:rFonts w:eastAsia="Calibri"/>
        </w:rPr>
        <w:t>. It also</w:t>
      </w:r>
      <w:r w:rsidRPr="004A4C41" w:rsidDel="00167BD7">
        <w:rPr>
          <w:rFonts w:eastAsia="Calibri"/>
        </w:rPr>
        <w:t xml:space="preserve"> </w:t>
      </w:r>
      <w:r w:rsidRPr="004A4C41">
        <w:rPr>
          <w:rFonts w:eastAsia="Calibri"/>
        </w:rPr>
        <w:t xml:space="preserve">outlines how the </w:t>
      </w:r>
      <w:r w:rsidR="00167BD7">
        <w:rPr>
          <w:rFonts w:eastAsia="Calibri"/>
        </w:rPr>
        <w:t xml:space="preserve">updated </w:t>
      </w:r>
      <w:r w:rsidRPr="004A4C41">
        <w:rPr>
          <w:rFonts w:eastAsia="Calibri"/>
        </w:rPr>
        <w:t xml:space="preserve">projections supersede relevant sections of </w:t>
      </w:r>
      <w:r w:rsidR="00D9448C">
        <w:rPr>
          <w:rFonts w:eastAsia="Calibri"/>
        </w:rPr>
        <w:t>c</w:t>
      </w:r>
      <w:r w:rsidR="00D9448C" w:rsidRPr="004A4C41">
        <w:rPr>
          <w:rFonts w:eastAsia="Calibri"/>
        </w:rPr>
        <w:t xml:space="preserve">hapter </w:t>
      </w:r>
      <w:r w:rsidRPr="004A4C41">
        <w:rPr>
          <w:rFonts w:eastAsia="Calibri"/>
        </w:rPr>
        <w:t>5 (</w:t>
      </w:r>
      <w:r w:rsidR="00FA288D">
        <w:rPr>
          <w:rFonts w:eastAsia="Calibri"/>
        </w:rPr>
        <w:t>s</w:t>
      </w:r>
      <w:r w:rsidRPr="004A4C41">
        <w:rPr>
          <w:rFonts w:eastAsia="Calibri"/>
        </w:rPr>
        <w:t xml:space="preserve">ections 5.3 to 5.7) </w:t>
      </w:r>
      <w:r w:rsidR="00167BD7">
        <w:rPr>
          <w:rFonts w:eastAsia="Calibri"/>
        </w:rPr>
        <w:t>in</w:t>
      </w:r>
      <w:r w:rsidR="00167BD7" w:rsidRPr="004A4C41">
        <w:rPr>
          <w:rFonts w:eastAsia="Calibri"/>
        </w:rPr>
        <w:t xml:space="preserve"> </w:t>
      </w:r>
      <w:r w:rsidRPr="004A4C41">
        <w:rPr>
          <w:rFonts w:eastAsia="Calibri"/>
        </w:rPr>
        <w:t xml:space="preserve">the 2017 </w:t>
      </w:r>
      <w:r w:rsidR="001A01A2">
        <w:rPr>
          <w:rFonts w:eastAsia="Calibri"/>
        </w:rPr>
        <w:t>coastal hazards</w:t>
      </w:r>
      <w:r w:rsidRPr="004A4C41">
        <w:rPr>
          <w:rFonts w:eastAsia="Calibri"/>
        </w:rPr>
        <w:t xml:space="preserve"> guidance. </w:t>
      </w:r>
    </w:p>
    <w:p w14:paraId="373A47E7" w14:textId="77777777" w:rsidR="004A4C41" w:rsidRPr="004A4C41" w:rsidRDefault="004A4C41" w:rsidP="004A4C41">
      <w:pPr>
        <w:pStyle w:val="BodyText"/>
        <w:rPr>
          <w:rFonts w:eastAsia="Calibri"/>
        </w:rPr>
      </w:pPr>
      <w:r w:rsidRPr="004A4C41">
        <w:rPr>
          <w:rFonts w:eastAsia="Calibri"/>
        </w:rPr>
        <w:t>Key updates include:</w:t>
      </w:r>
    </w:p>
    <w:p w14:paraId="51E53F00" w14:textId="6A00A9FC" w:rsidR="004A4C41" w:rsidRPr="004A4C41" w:rsidRDefault="00184B9E" w:rsidP="00AF498F">
      <w:pPr>
        <w:pStyle w:val="Bullet"/>
        <w:rPr>
          <w:rFonts w:eastAsia="Calibri"/>
        </w:rPr>
      </w:pPr>
      <w:r>
        <w:rPr>
          <w:rFonts w:eastAsia="Calibri"/>
        </w:rPr>
        <w:t>s</w:t>
      </w:r>
      <w:r w:rsidR="004A4C41" w:rsidRPr="004A4C41">
        <w:rPr>
          <w:rFonts w:eastAsia="Calibri"/>
        </w:rPr>
        <w:t>ea-level rise projections for Aotearoa</w:t>
      </w:r>
      <w:r w:rsidR="00167BD7">
        <w:rPr>
          <w:rFonts w:eastAsia="Calibri"/>
        </w:rPr>
        <w:t xml:space="preserve"> </w:t>
      </w:r>
      <w:r w:rsidR="004A4C41" w:rsidRPr="004A4C41">
        <w:rPr>
          <w:rFonts w:eastAsia="Calibri"/>
        </w:rPr>
        <w:t xml:space="preserve">New Zealand at a </w:t>
      </w:r>
      <w:r w:rsidR="004A4C41" w:rsidRPr="004A4C41">
        <w:rPr>
          <w:rFonts w:eastAsia="Calibri"/>
          <w:u w:val="single"/>
        </w:rPr>
        <w:t>local scale</w:t>
      </w:r>
      <w:r w:rsidR="004A4C41" w:rsidRPr="004A4C41">
        <w:rPr>
          <w:rFonts w:eastAsia="Calibri"/>
        </w:rPr>
        <w:t>, arising from:</w:t>
      </w:r>
    </w:p>
    <w:p w14:paraId="62AEC89A" w14:textId="125D2C2E" w:rsidR="004A4C41" w:rsidRPr="00346CA0" w:rsidRDefault="004A4C41" w:rsidP="00346CA0">
      <w:pPr>
        <w:pStyle w:val="Sub-list"/>
        <w:rPr>
          <w:rFonts w:eastAsia="Calibri"/>
        </w:rPr>
      </w:pPr>
      <w:r w:rsidRPr="00346CA0">
        <w:rPr>
          <w:rFonts w:eastAsia="Calibri"/>
        </w:rPr>
        <w:t>new global mean sea</w:t>
      </w:r>
      <w:r w:rsidR="00167BD7" w:rsidRPr="00346CA0">
        <w:rPr>
          <w:rFonts w:eastAsia="Calibri"/>
        </w:rPr>
        <w:t>-</w:t>
      </w:r>
      <w:r w:rsidRPr="00346CA0">
        <w:rPr>
          <w:rFonts w:eastAsia="Calibri"/>
        </w:rPr>
        <w:t>level</w:t>
      </w:r>
      <w:r w:rsidR="00167BD7" w:rsidRPr="00346CA0">
        <w:rPr>
          <w:rFonts w:eastAsia="Calibri"/>
        </w:rPr>
        <w:t xml:space="preserve"> </w:t>
      </w:r>
      <w:r w:rsidRPr="00346CA0">
        <w:rPr>
          <w:rFonts w:eastAsia="Calibri"/>
        </w:rPr>
        <w:t>projections published by the IPCC</w:t>
      </w:r>
      <w:r w:rsidR="00167BD7" w:rsidRPr="00346CA0">
        <w:rPr>
          <w:rFonts w:eastAsia="Calibri"/>
        </w:rPr>
        <w:t>, which</w:t>
      </w:r>
      <w:r w:rsidRPr="00346CA0">
        <w:rPr>
          <w:rFonts w:eastAsia="Calibri"/>
        </w:rPr>
        <w:t xml:space="preserve"> have been </w:t>
      </w:r>
      <w:r w:rsidRPr="00346CA0" w:rsidDel="00167BD7">
        <w:rPr>
          <w:rFonts w:eastAsia="Calibri"/>
        </w:rPr>
        <w:t>down</w:t>
      </w:r>
      <w:r w:rsidRPr="00346CA0">
        <w:rPr>
          <w:rFonts w:eastAsia="Calibri"/>
        </w:rPr>
        <w:t xml:space="preserve">scaled to the regional </w:t>
      </w:r>
      <w:r w:rsidR="00167BD7" w:rsidRPr="00346CA0">
        <w:rPr>
          <w:rFonts w:eastAsia="Calibri"/>
        </w:rPr>
        <w:t xml:space="preserve">level </w:t>
      </w:r>
      <w:r w:rsidRPr="00346CA0">
        <w:rPr>
          <w:rFonts w:eastAsia="Calibri"/>
        </w:rPr>
        <w:t xml:space="preserve">through the </w:t>
      </w:r>
      <w:proofErr w:type="spellStart"/>
      <w:r w:rsidRPr="00346CA0">
        <w:rPr>
          <w:rFonts w:eastAsia="Calibri"/>
        </w:rPr>
        <w:t>NZSeaRise</w:t>
      </w:r>
      <w:proofErr w:type="spellEnd"/>
      <w:r w:rsidRPr="00346CA0">
        <w:rPr>
          <w:rFonts w:eastAsia="Calibri"/>
        </w:rPr>
        <w:t xml:space="preserve"> programme</w:t>
      </w:r>
    </w:p>
    <w:p w14:paraId="6652A179" w14:textId="1BFA97FA" w:rsidR="004A4C41" w:rsidRPr="00346CA0" w:rsidRDefault="004A4C41" w:rsidP="00346CA0">
      <w:pPr>
        <w:pStyle w:val="Sub-list"/>
        <w:rPr>
          <w:rFonts w:eastAsia="Calibri"/>
        </w:rPr>
      </w:pPr>
      <w:r w:rsidRPr="00346CA0">
        <w:rPr>
          <w:rFonts w:eastAsia="Calibri"/>
        </w:rPr>
        <w:t>new, consistently derived VLM rates at the local scale (2</w:t>
      </w:r>
      <w:r w:rsidR="00D24AC0" w:rsidRPr="00346CA0">
        <w:rPr>
          <w:rFonts w:eastAsia="Calibri"/>
        </w:rPr>
        <w:t xml:space="preserve"> </w:t>
      </w:r>
      <w:r w:rsidRPr="00346CA0">
        <w:rPr>
          <w:rFonts w:eastAsia="Calibri"/>
        </w:rPr>
        <w:t xml:space="preserve">km spacing) from analysis of satellite data (in </w:t>
      </w:r>
      <w:proofErr w:type="spellStart"/>
      <w:r w:rsidRPr="00346CA0">
        <w:rPr>
          <w:rFonts w:eastAsia="Calibri"/>
        </w:rPr>
        <w:t>Takiwā</w:t>
      </w:r>
      <w:proofErr w:type="spellEnd"/>
      <w:r w:rsidRPr="00346CA0">
        <w:rPr>
          <w:rFonts w:eastAsia="Calibri"/>
        </w:rPr>
        <w:t>, hover on relevant location circle to obtain the VLM rate)</w:t>
      </w:r>
    </w:p>
    <w:p w14:paraId="0B097D85" w14:textId="29146BA3" w:rsidR="004A4C41" w:rsidRPr="004A4C41" w:rsidRDefault="004A4C41" w:rsidP="00AF498F">
      <w:pPr>
        <w:pStyle w:val="Sub-list"/>
        <w:rPr>
          <w:rFonts w:eastAsia="Calibri"/>
        </w:rPr>
      </w:pPr>
      <w:r w:rsidRPr="004A4C41">
        <w:rPr>
          <w:rFonts w:eastAsia="Calibri"/>
        </w:rPr>
        <w:t xml:space="preserve">RSLR projections that </w:t>
      </w:r>
      <w:r w:rsidR="00D24AC0" w:rsidRPr="004A4C41">
        <w:rPr>
          <w:rFonts w:eastAsia="Calibri"/>
        </w:rPr>
        <w:t xml:space="preserve">for the first time </w:t>
      </w:r>
      <w:r w:rsidRPr="004A4C41">
        <w:rPr>
          <w:rFonts w:eastAsia="Calibri"/>
        </w:rPr>
        <w:t>combine both the regional mean sea</w:t>
      </w:r>
      <w:r w:rsidR="00D24AC0">
        <w:rPr>
          <w:rFonts w:eastAsia="Calibri"/>
        </w:rPr>
        <w:t>-</w:t>
      </w:r>
      <w:r w:rsidRPr="004A4C41">
        <w:rPr>
          <w:rFonts w:eastAsia="Calibri"/>
        </w:rPr>
        <w:t>level (MSL) projections and local VLM rates</w:t>
      </w:r>
      <w:r w:rsidR="00D24AC0">
        <w:rPr>
          <w:rFonts w:eastAsia="Calibri"/>
        </w:rPr>
        <w:t>, which</w:t>
      </w:r>
      <w:r w:rsidRPr="004A4C41">
        <w:rPr>
          <w:rFonts w:eastAsia="Calibri"/>
        </w:rPr>
        <w:t xml:space="preserve"> are available at points spaced </w:t>
      </w:r>
      <w:r w:rsidR="00D24AC0">
        <w:rPr>
          <w:rFonts w:eastAsia="Calibri"/>
        </w:rPr>
        <w:t xml:space="preserve">approximately </w:t>
      </w:r>
      <w:r w:rsidRPr="004A4C41">
        <w:rPr>
          <w:rFonts w:eastAsia="Calibri"/>
        </w:rPr>
        <w:t>every 2 km around our coastline. Importantly, projections are also available as regional sea-level rise estimates without VLM.</w:t>
      </w:r>
      <w:r w:rsidR="000313C9">
        <w:rPr>
          <w:rStyle w:val="FootnoteReference"/>
          <w:rFonts w:eastAsia="Calibri"/>
        </w:rPr>
        <w:footnoteReference w:id="3"/>
      </w:r>
    </w:p>
    <w:p w14:paraId="3DFB1028" w14:textId="442A94DA" w:rsidR="004A4C41" w:rsidRPr="004A4C41" w:rsidRDefault="00184B9E" w:rsidP="00AF498F">
      <w:pPr>
        <w:pStyle w:val="Bullet"/>
        <w:rPr>
          <w:rFonts w:eastAsia="Calibri"/>
        </w:rPr>
      </w:pPr>
      <w:r>
        <w:rPr>
          <w:rFonts w:eastAsia="Calibri"/>
        </w:rPr>
        <w:t>a</w:t>
      </w:r>
      <w:r w:rsidR="004A4C41" w:rsidRPr="004A4C41">
        <w:rPr>
          <w:rFonts w:eastAsia="Calibri"/>
        </w:rPr>
        <w:t xml:space="preserve"> new suite of scenarios for projections in IPCC AR6 (updat</w:t>
      </w:r>
      <w:r>
        <w:rPr>
          <w:rFonts w:eastAsia="Calibri"/>
        </w:rPr>
        <w:t>ing</w:t>
      </w:r>
      <w:r w:rsidR="004A4C41" w:rsidRPr="004A4C41">
        <w:rPr>
          <w:rFonts w:eastAsia="Calibri"/>
        </w:rPr>
        <w:t xml:space="preserve"> parts of section 5.4 of the</w:t>
      </w:r>
      <w:r w:rsidR="00E8441D">
        <w:rPr>
          <w:rFonts w:eastAsia="Calibri"/>
        </w:rPr>
        <w:t xml:space="preserve"> </w:t>
      </w:r>
      <w:r w:rsidR="004A4C41" w:rsidRPr="004A4C41">
        <w:rPr>
          <w:rFonts w:eastAsia="Calibri"/>
        </w:rPr>
        <w:t xml:space="preserve">2017 </w:t>
      </w:r>
      <w:r w:rsidR="00AE6BE4">
        <w:rPr>
          <w:rFonts w:eastAsia="Calibri"/>
        </w:rPr>
        <w:t xml:space="preserve">coastal hazards </w:t>
      </w:r>
      <w:r w:rsidR="004A4C41" w:rsidRPr="004A4C41">
        <w:rPr>
          <w:rFonts w:eastAsia="Calibri"/>
        </w:rPr>
        <w:t>guidance)</w:t>
      </w:r>
    </w:p>
    <w:p w14:paraId="63A7B45B" w14:textId="12A32043" w:rsidR="004A4C41" w:rsidRPr="004A4C41" w:rsidRDefault="004A4C41" w:rsidP="00AF498F">
      <w:pPr>
        <w:pStyle w:val="Bullet"/>
        <w:rPr>
          <w:rFonts w:eastAsia="Calibri"/>
        </w:rPr>
      </w:pPr>
      <w:r w:rsidRPr="004A4C41">
        <w:rPr>
          <w:rFonts w:eastAsia="Calibri"/>
        </w:rPr>
        <w:t xml:space="preserve">recommended use of these latest RSLR projections from </w:t>
      </w:r>
      <w:proofErr w:type="spellStart"/>
      <w:r w:rsidRPr="004A4C41">
        <w:rPr>
          <w:rFonts w:eastAsia="Calibri"/>
        </w:rPr>
        <w:t>NZSeaRise</w:t>
      </w:r>
      <w:proofErr w:type="spellEnd"/>
      <w:r w:rsidRPr="004A4C41">
        <w:rPr>
          <w:rFonts w:eastAsia="Calibri"/>
        </w:rPr>
        <w:t xml:space="preserve"> in land-use planning practice (sections 5.6.3, 5.7.1–5.7.2</w:t>
      </w:r>
      <w:r w:rsidR="00184B9E">
        <w:rPr>
          <w:rFonts w:eastAsia="Calibri"/>
        </w:rPr>
        <w:t xml:space="preserve"> of the</w:t>
      </w:r>
      <w:r w:rsidRPr="004A4C41">
        <w:rPr>
          <w:rFonts w:eastAsia="Calibri"/>
        </w:rPr>
        <w:t xml:space="preserve"> 2017</w:t>
      </w:r>
      <w:r w:rsidR="00184B9E">
        <w:rPr>
          <w:rFonts w:eastAsia="Calibri"/>
        </w:rPr>
        <w:t xml:space="preserve"> </w:t>
      </w:r>
      <w:r w:rsidR="00C21BA7">
        <w:rPr>
          <w:rFonts w:eastAsia="Calibri"/>
        </w:rPr>
        <w:t xml:space="preserve">coastal hazards </w:t>
      </w:r>
      <w:r w:rsidR="00184B9E">
        <w:rPr>
          <w:rFonts w:eastAsia="Calibri"/>
        </w:rPr>
        <w:t>guidance</w:t>
      </w:r>
      <w:r w:rsidRPr="004A4C41">
        <w:rPr>
          <w:rFonts w:eastAsia="Calibri"/>
        </w:rPr>
        <w:t>)</w:t>
      </w:r>
    </w:p>
    <w:p w14:paraId="33BF017E" w14:textId="59B2B41F" w:rsidR="004A4C41" w:rsidRPr="004A4C41" w:rsidRDefault="004A4C41" w:rsidP="00AF498F">
      <w:pPr>
        <w:pStyle w:val="Bullet"/>
        <w:rPr>
          <w:rFonts w:eastAsia="Calibri"/>
        </w:rPr>
      </w:pPr>
      <w:r w:rsidRPr="004A4C41">
        <w:rPr>
          <w:rFonts w:eastAsia="Calibri"/>
        </w:rPr>
        <w:t xml:space="preserve">revised </w:t>
      </w:r>
      <w:r w:rsidRPr="004A4C41">
        <w:rPr>
          <w:rFonts w:eastAsia="Calibri"/>
          <w:i/>
          <w:iCs/>
        </w:rPr>
        <w:t>minimum transitional guidance</w:t>
      </w:r>
      <w:r w:rsidRPr="004A4C41">
        <w:rPr>
          <w:rFonts w:eastAsia="Calibri"/>
        </w:rPr>
        <w:t xml:space="preserve"> (s</w:t>
      </w:r>
      <w:r w:rsidR="00184B9E">
        <w:rPr>
          <w:rFonts w:eastAsia="Calibri"/>
        </w:rPr>
        <w:t>ection</w:t>
      </w:r>
      <w:r w:rsidRPr="004A4C41">
        <w:rPr>
          <w:rFonts w:eastAsia="Calibri"/>
        </w:rPr>
        <w:t xml:space="preserve"> 5.7.3</w:t>
      </w:r>
      <w:r w:rsidR="001A4FF3">
        <w:rPr>
          <w:rFonts w:eastAsia="Calibri"/>
        </w:rPr>
        <w:t xml:space="preserve"> of the 2017</w:t>
      </w:r>
      <w:r w:rsidR="00CB769A">
        <w:rPr>
          <w:rFonts w:eastAsia="Calibri"/>
        </w:rPr>
        <w:t xml:space="preserve"> coastal hazards</w:t>
      </w:r>
      <w:r w:rsidR="001A4FF3">
        <w:rPr>
          <w:rFonts w:eastAsia="Calibri"/>
        </w:rPr>
        <w:t xml:space="preserve"> guidance</w:t>
      </w:r>
      <w:r w:rsidRPr="004A4C41">
        <w:rPr>
          <w:rFonts w:eastAsia="Calibri"/>
        </w:rPr>
        <w:t xml:space="preserve"> and </w:t>
      </w:r>
      <w:r w:rsidR="003B3E45">
        <w:rPr>
          <w:rFonts w:eastAsia="Calibri"/>
        </w:rPr>
        <w:t>t</w:t>
      </w:r>
      <w:r w:rsidRPr="004A4C41">
        <w:rPr>
          <w:rFonts w:eastAsia="Calibri"/>
        </w:rPr>
        <w:t xml:space="preserve">able 2 in </w:t>
      </w:r>
      <w:r w:rsidR="001A4FF3">
        <w:rPr>
          <w:rFonts w:eastAsia="Calibri"/>
        </w:rPr>
        <w:t xml:space="preserve">the accompanying </w:t>
      </w:r>
      <w:r w:rsidR="003B3E45">
        <w:rPr>
          <w:rFonts w:eastAsia="Calibri"/>
        </w:rPr>
        <w:t>s</w:t>
      </w:r>
      <w:r w:rsidR="001A4FF3">
        <w:rPr>
          <w:rFonts w:eastAsia="Calibri"/>
        </w:rPr>
        <w:t>ummary</w:t>
      </w:r>
      <w:r w:rsidRPr="004A4C41">
        <w:rPr>
          <w:rFonts w:eastAsia="Calibri"/>
        </w:rPr>
        <w:t>)</w:t>
      </w:r>
      <w:r w:rsidR="001A4FF3">
        <w:rPr>
          <w:rFonts w:eastAsia="Calibri"/>
        </w:rPr>
        <w:t>, which</w:t>
      </w:r>
      <w:r w:rsidRPr="004A4C41">
        <w:rPr>
          <w:rFonts w:eastAsia="Calibri"/>
        </w:rPr>
        <w:t xml:space="preserve"> </w:t>
      </w:r>
      <w:r w:rsidR="001A4FF3">
        <w:rPr>
          <w:rFonts w:eastAsia="Calibri"/>
        </w:rPr>
        <w:t>provides a</w:t>
      </w:r>
      <w:r w:rsidRPr="004A4C41">
        <w:rPr>
          <w:rFonts w:eastAsia="Calibri"/>
        </w:rPr>
        <w:t xml:space="preserve"> guide on minimum sea-level rise allowances or steps for making planning decisions in transitional situations where the dynamic adaptive pathways planning (DAPP) approach ha</w:t>
      </w:r>
      <w:r w:rsidR="001A4FF3">
        <w:rPr>
          <w:rFonts w:eastAsia="Calibri"/>
        </w:rPr>
        <w:t>s</w:t>
      </w:r>
      <w:r w:rsidRPr="004A4C41">
        <w:rPr>
          <w:rFonts w:eastAsia="Calibri"/>
        </w:rPr>
        <w:t xml:space="preserve"> not been completed</w:t>
      </w:r>
    </w:p>
    <w:p w14:paraId="41A910F8" w14:textId="340975E6" w:rsidR="004A4C41" w:rsidRPr="004A4C41" w:rsidRDefault="004A4C41" w:rsidP="00AF498F">
      <w:pPr>
        <w:pStyle w:val="Bullet"/>
        <w:rPr>
          <w:rFonts w:eastAsia="Calibri"/>
        </w:rPr>
      </w:pPr>
      <w:r w:rsidRPr="004A4C41">
        <w:rPr>
          <w:rFonts w:eastAsia="Calibri"/>
        </w:rPr>
        <w:t xml:space="preserve">the effect of VLM, particularly for subsiding coasts, on </w:t>
      </w:r>
      <w:r w:rsidRPr="004A4C41" w:rsidDel="001A4FF3">
        <w:rPr>
          <w:rFonts w:eastAsia="Calibri"/>
        </w:rPr>
        <w:t xml:space="preserve">changing </w:t>
      </w:r>
      <w:r w:rsidRPr="004A4C41">
        <w:rPr>
          <w:rFonts w:eastAsia="Calibri"/>
        </w:rPr>
        <w:t xml:space="preserve">planning timeframes for a specific sea-level rise threshold, which may </w:t>
      </w:r>
      <w:r w:rsidRPr="004A4C41" w:rsidDel="001A4FF3">
        <w:rPr>
          <w:rFonts w:eastAsia="Calibri"/>
        </w:rPr>
        <w:t xml:space="preserve">accelerate and </w:t>
      </w:r>
      <w:r w:rsidRPr="004A4C41">
        <w:rPr>
          <w:rFonts w:eastAsia="Calibri"/>
        </w:rPr>
        <w:t>influence the design of an adaptation plan.</w:t>
      </w:r>
    </w:p>
    <w:p w14:paraId="0DFCDDE7" w14:textId="119835BD" w:rsidR="004A4C41" w:rsidRPr="004A4C41" w:rsidRDefault="004A4C41" w:rsidP="00AF498F">
      <w:pPr>
        <w:pStyle w:val="BodyText"/>
        <w:rPr>
          <w:rFonts w:eastAsia="Calibri"/>
        </w:rPr>
      </w:pPr>
      <w:r w:rsidRPr="004A4C41">
        <w:rPr>
          <w:rFonts w:eastAsia="Calibri"/>
        </w:rPr>
        <w:t xml:space="preserve">These new localised projections, which for the first time explicitly include VLM </w:t>
      </w:r>
      <w:r w:rsidR="001A4FF3">
        <w:rPr>
          <w:rFonts w:eastAsia="Calibri"/>
        </w:rPr>
        <w:t>and</w:t>
      </w:r>
      <w:r w:rsidR="001A4FF3" w:rsidRPr="004A4C41">
        <w:rPr>
          <w:rFonts w:eastAsia="Calibri"/>
        </w:rPr>
        <w:t xml:space="preserve"> </w:t>
      </w:r>
      <w:r w:rsidRPr="004A4C41">
        <w:rPr>
          <w:rFonts w:eastAsia="Calibri"/>
        </w:rPr>
        <w:t>provide RSLR, provide a step change from the generic New</w:t>
      </w:r>
      <w:r w:rsidR="00854A66">
        <w:rPr>
          <w:rFonts w:eastAsia="Calibri"/>
        </w:rPr>
        <w:t xml:space="preserve"> </w:t>
      </w:r>
      <w:r w:rsidR="00213B33" w:rsidRPr="004A4C41">
        <w:rPr>
          <w:rFonts w:eastAsia="Calibri"/>
        </w:rPr>
        <w:t>Zealand</w:t>
      </w:r>
      <w:r w:rsidR="00213B33">
        <w:rPr>
          <w:rFonts w:eastAsia="Calibri"/>
        </w:rPr>
        <w:t>-</w:t>
      </w:r>
      <w:r w:rsidRPr="004A4C41">
        <w:rPr>
          <w:rFonts w:eastAsia="Calibri"/>
        </w:rPr>
        <w:t xml:space="preserve">wide projections in the 2017 </w:t>
      </w:r>
      <w:r w:rsidR="00CF49C0">
        <w:rPr>
          <w:rFonts w:eastAsia="Calibri"/>
        </w:rPr>
        <w:t>coastal hazards</w:t>
      </w:r>
      <w:r w:rsidRPr="004A4C41">
        <w:rPr>
          <w:rFonts w:eastAsia="Calibri"/>
        </w:rPr>
        <w:t xml:space="preserve"> guidance. They provide additional information and better support for decision</w:t>
      </w:r>
      <w:r w:rsidR="001A4FF3">
        <w:rPr>
          <w:rFonts w:eastAsia="Calibri"/>
        </w:rPr>
        <w:t>-</w:t>
      </w:r>
      <w:r w:rsidRPr="004A4C41">
        <w:rPr>
          <w:rFonts w:eastAsia="Calibri"/>
        </w:rPr>
        <w:t xml:space="preserve">making at regional and local scales. However, the VLM rates used for the local projections have caveats, as they are derived and extrapolated from a relatively short period (2003–11) of satellite-based measurements and </w:t>
      </w:r>
      <w:r w:rsidR="008E3B65">
        <w:rPr>
          <w:rFonts w:eastAsia="Calibri"/>
        </w:rPr>
        <w:t>g</w:t>
      </w:r>
      <w:r w:rsidR="008E3B65" w:rsidRPr="008E3B65">
        <w:rPr>
          <w:rFonts w:eastAsia="Calibri"/>
        </w:rPr>
        <w:t xml:space="preserve">lobal </w:t>
      </w:r>
      <w:r w:rsidR="008E3B65">
        <w:rPr>
          <w:rFonts w:eastAsia="Calibri"/>
        </w:rPr>
        <w:t>n</w:t>
      </w:r>
      <w:r w:rsidR="008E3B65" w:rsidRPr="008E3B65">
        <w:rPr>
          <w:rFonts w:eastAsia="Calibri"/>
        </w:rPr>
        <w:t xml:space="preserve">avigation </w:t>
      </w:r>
      <w:r w:rsidR="008E3B65">
        <w:rPr>
          <w:rFonts w:eastAsia="Calibri"/>
        </w:rPr>
        <w:t>s</w:t>
      </w:r>
      <w:r w:rsidR="008E3B65" w:rsidRPr="008E3B65">
        <w:rPr>
          <w:rFonts w:eastAsia="Calibri"/>
        </w:rPr>
        <w:t xml:space="preserve">atellite </w:t>
      </w:r>
      <w:r w:rsidR="008E3B65">
        <w:rPr>
          <w:rFonts w:eastAsia="Calibri"/>
        </w:rPr>
        <w:t>s</w:t>
      </w:r>
      <w:r w:rsidR="008E3B65" w:rsidRPr="008E3B65">
        <w:rPr>
          <w:rFonts w:eastAsia="Calibri"/>
        </w:rPr>
        <w:t>ystem</w:t>
      </w:r>
      <w:r w:rsidR="008E3B65">
        <w:rPr>
          <w:rFonts w:eastAsia="Calibri"/>
        </w:rPr>
        <w:t xml:space="preserve"> (GNSS) / global positioning system</w:t>
      </w:r>
      <w:r w:rsidRPr="004A4C41">
        <w:rPr>
          <w:rFonts w:eastAsia="Calibri"/>
        </w:rPr>
        <w:t xml:space="preserve"> </w:t>
      </w:r>
      <w:r w:rsidR="005F3D6C">
        <w:rPr>
          <w:rFonts w:eastAsia="Calibri"/>
        </w:rPr>
        <w:t xml:space="preserve">(GPS) </w:t>
      </w:r>
      <w:r w:rsidRPr="004A4C41">
        <w:rPr>
          <w:rFonts w:eastAsia="Calibri"/>
        </w:rPr>
        <w:t xml:space="preserve">data. This </w:t>
      </w:r>
      <w:r w:rsidR="00E46A98">
        <w:rPr>
          <w:rFonts w:eastAsia="Calibri"/>
        </w:rPr>
        <w:t>i</w:t>
      </w:r>
      <w:r w:rsidRPr="004A4C41">
        <w:rPr>
          <w:rFonts w:eastAsia="Calibri"/>
        </w:rPr>
        <w:t xml:space="preserve">nterim guidance provides new information and clarification regarding </w:t>
      </w:r>
      <w:r w:rsidR="001A4FF3">
        <w:rPr>
          <w:rFonts w:eastAsia="Calibri"/>
        </w:rPr>
        <w:t xml:space="preserve">the </w:t>
      </w:r>
      <w:r w:rsidRPr="004A4C41">
        <w:rPr>
          <w:rFonts w:eastAsia="Calibri"/>
        </w:rPr>
        <w:t xml:space="preserve">use and application of these new RSLR projections. While these new projections introduce additional uncertainty due to the inclusion of VLM estimates, </w:t>
      </w:r>
      <w:r w:rsidR="001A4FF3">
        <w:rPr>
          <w:rFonts w:eastAsia="Calibri"/>
        </w:rPr>
        <w:t xml:space="preserve">they are still preferable to </w:t>
      </w:r>
      <w:r w:rsidRPr="004A4C41">
        <w:rPr>
          <w:rFonts w:eastAsia="Calibri"/>
        </w:rPr>
        <w:t>ignoring VLM</w:t>
      </w:r>
      <w:r w:rsidR="001A4FF3">
        <w:rPr>
          <w:rFonts w:eastAsia="Calibri"/>
        </w:rPr>
        <w:t>, which</w:t>
      </w:r>
      <w:r w:rsidRPr="004A4C41">
        <w:rPr>
          <w:rFonts w:eastAsia="Calibri"/>
        </w:rPr>
        <w:t xml:space="preserve"> may cause unanticipated surprises </w:t>
      </w:r>
      <w:r w:rsidR="001A4FF3">
        <w:rPr>
          <w:rFonts w:eastAsia="Calibri"/>
        </w:rPr>
        <w:t>in the future</w:t>
      </w:r>
      <w:r w:rsidRPr="004A4C41">
        <w:rPr>
          <w:rFonts w:eastAsia="Calibri"/>
        </w:rPr>
        <w:t xml:space="preserve">. </w:t>
      </w:r>
    </w:p>
    <w:p w14:paraId="38D9984C" w14:textId="0E3ADF93" w:rsidR="004A4C41" w:rsidRPr="004A4C41" w:rsidRDefault="004A4C41" w:rsidP="00AF498F">
      <w:pPr>
        <w:pStyle w:val="BodyText"/>
        <w:rPr>
          <w:rFonts w:eastAsia="Calibri"/>
          <w:b/>
          <w:bCs/>
        </w:rPr>
      </w:pPr>
      <w:r w:rsidRPr="004A4C41">
        <w:rPr>
          <w:rFonts w:eastAsia="Calibri"/>
        </w:rPr>
        <w:t xml:space="preserve">Continued adoption of </w:t>
      </w:r>
      <w:r w:rsidR="00A45884">
        <w:rPr>
          <w:rFonts w:eastAsia="Calibri"/>
        </w:rPr>
        <w:t>d</w:t>
      </w:r>
      <w:r w:rsidR="00A45884" w:rsidRPr="004A4C41">
        <w:rPr>
          <w:rFonts w:eastAsia="Calibri"/>
        </w:rPr>
        <w:t xml:space="preserve">ynamic </w:t>
      </w:r>
      <w:r w:rsidR="00A45884">
        <w:rPr>
          <w:rFonts w:eastAsia="Calibri"/>
        </w:rPr>
        <w:t>a</w:t>
      </w:r>
      <w:r w:rsidRPr="004A4C41">
        <w:rPr>
          <w:rFonts w:eastAsia="Calibri"/>
        </w:rPr>
        <w:t xml:space="preserve">daptive </w:t>
      </w:r>
      <w:r w:rsidR="00A45884">
        <w:rPr>
          <w:rFonts w:eastAsia="Calibri"/>
        </w:rPr>
        <w:t>p</w:t>
      </w:r>
      <w:r w:rsidRPr="004A4C41">
        <w:rPr>
          <w:rFonts w:eastAsia="Calibri"/>
        </w:rPr>
        <w:t xml:space="preserve">athways </w:t>
      </w:r>
      <w:r w:rsidR="00A45884">
        <w:rPr>
          <w:rFonts w:eastAsia="Calibri"/>
        </w:rPr>
        <w:t>p</w:t>
      </w:r>
      <w:r w:rsidRPr="004A4C41">
        <w:rPr>
          <w:rFonts w:eastAsia="Calibri"/>
        </w:rPr>
        <w:t xml:space="preserve">lanning (DAPP) allows planners and communities to address </w:t>
      </w:r>
      <w:r w:rsidR="005A060C">
        <w:rPr>
          <w:rFonts w:eastAsia="Calibri"/>
        </w:rPr>
        <w:t>the</w:t>
      </w:r>
      <w:r w:rsidR="005A060C" w:rsidRPr="004A4C41">
        <w:rPr>
          <w:rFonts w:eastAsia="Calibri"/>
        </w:rPr>
        <w:t xml:space="preserve"> </w:t>
      </w:r>
      <w:r w:rsidRPr="004A4C41">
        <w:rPr>
          <w:rFonts w:eastAsia="Calibri"/>
        </w:rPr>
        <w:t xml:space="preserve">uncertainty </w:t>
      </w:r>
      <w:r w:rsidR="005A060C">
        <w:rPr>
          <w:rFonts w:eastAsia="Calibri"/>
        </w:rPr>
        <w:t>of</w:t>
      </w:r>
      <w:r w:rsidR="005A060C" w:rsidRPr="004A4C41">
        <w:rPr>
          <w:rFonts w:eastAsia="Calibri"/>
        </w:rPr>
        <w:t xml:space="preserve"> </w:t>
      </w:r>
      <w:r w:rsidRPr="004A4C41">
        <w:rPr>
          <w:rFonts w:eastAsia="Calibri"/>
        </w:rPr>
        <w:t xml:space="preserve">future VLM, in addition to uncertainty associated with sea-level rise processes, and our future carbon emissions pathway. New data and information (including revised VLM estimates) will continue to </w:t>
      </w:r>
      <w:r w:rsidR="005A060C">
        <w:rPr>
          <w:rFonts w:eastAsia="Calibri"/>
        </w:rPr>
        <w:t>be collected</w:t>
      </w:r>
      <w:r w:rsidR="005A060C" w:rsidRPr="004A4C41">
        <w:rPr>
          <w:rFonts w:eastAsia="Calibri"/>
        </w:rPr>
        <w:t xml:space="preserve"> </w:t>
      </w:r>
      <w:r w:rsidRPr="004A4C41">
        <w:rPr>
          <w:rFonts w:eastAsia="Calibri"/>
        </w:rPr>
        <w:t>and fed into an iterative</w:t>
      </w:r>
      <w:r w:rsidR="005A060C">
        <w:rPr>
          <w:rFonts w:eastAsia="Calibri"/>
        </w:rPr>
        <w:t>,</w:t>
      </w:r>
      <w:r w:rsidRPr="004A4C41">
        <w:rPr>
          <w:rFonts w:eastAsia="Calibri"/>
        </w:rPr>
        <w:t xml:space="preserve"> </w:t>
      </w:r>
      <w:r w:rsidR="00152257">
        <w:rPr>
          <w:rFonts w:eastAsia="Calibri"/>
        </w:rPr>
        <w:t>ten</w:t>
      </w:r>
      <w:r w:rsidRPr="004A4C41">
        <w:rPr>
          <w:rFonts w:eastAsia="Calibri"/>
        </w:rPr>
        <w:t>-step decision cycle</w:t>
      </w:r>
      <w:r w:rsidR="005A060C">
        <w:rPr>
          <w:rFonts w:eastAsia="Calibri"/>
        </w:rPr>
        <w:t>. This process</w:t>
      </w:r>
      <w:r w:rsidRPr="004A4C41">
        <w:rPr>
          <w:rFonts w:eastAsia="Calibri"/>
        </w:rPr>
        <w:t xml:space="preserve"> may bring forward planning triggers, maintain established triggers, or delay implementation if sea-level rise eases. If a substantial seismic event (eg, earthquake) occurs over the 100-year planning timeframe, then VLM rates and DAPP strategies for </w:t>
      </w:r>
      <w:r w:rsidR="005A060C">
        <w:rPr>
          <w:rFonts w:eastAsia="Calibri"/>
        </w:rPr>
        <w:t xml:space="preserve">the </w:t>
      </w:r>
      <w:r w:rsidRPr="004A4C41">
        <w:rPr>
          <w:rFonts w:eastAsia="Calibri"/>
        </w:rPr>
        <w:t xml:space="preserve">areas affected will need to be reset.    </w:t>
      </w:r>
    </w:p>
    <w:p w14:paraId="23D20974" w14:textId="77777777" w:rsidR="00AF498F" w:rsidRDefault="00AF498F">
      <w:pPr>
        <w:spacing w:before="0" w:after="200" w:line="276" w:lineRule="auto"/>
        <w:jc w:val="left"/>
        <w:rPr>
          <w:rFonts w:ascii="Georgia" w:eastAsia="Calibri" w:hAnsi="Georgia" w:cstheme="majorBidi"/>
          <w:b/>
          <w:bCs/>
          <w:color w:val="1B556B"/>
          <w:sz w:val="48"/>
          <w:szCs w:val="28"/>
        </w:rPr>
      </w:pPr>
      <w:r>
        <w:rPr>
          <w:rFonts w:eastAsia="Calibri"/>
        </w:rPr>
        <w:br w:type="page"/>
      </w:r>
    </w:p>
    <w:p w14:paraId="0EB469FD" w14:textId="467C517A" w:rsidR="004A4C41" w:rsidRPr="004A4C41" w:rsidRDefault="004A4C41" w:rsidP="00AF498F">
      <w:pPr>
        <w:pStyle w:val="Heading1"/>
        <w:rPr>
          <w:rFonts w:eastAsia="Calibri"/>
        </w:rPr>
      </w:pPr>
      <w:bookmarkStart w:id="10" w:name="_Toc109397575"/>
      <w:bookmarkStart w:id="11" w:name="_Toc109809077"/>
      <w:r w:rsidRPr="004A4C41">
        <w:rPr>
          <w:rFonts w:eastAsia="Calibri"/>
        </w:rPr>
        <w:t>Why this revision?</w:t>
      </w:r>
      <w:bookmarkEnd w:id="10"/>
      <w:bookmarkEnd w:id="11"/>
    </w:p>
    <w:p w14:paraId="3A52C23D" w14:textId="7F400D95" w:rsidR="004A4C41" w:rsidRPr="004A4C41" w:rsidRDefault="004A4C41" w:rsidP="00AF498F">
      <w:pPr>
        <w:pStyle w:val="BodyText"/>
        <w:rPr>
          <w:rFonts w:eastAsia="Calibri"/>
        </w:rPr>
      </w:pPr>
      <w:r w:rsidRPr="004A4C41">
        <w:rPr>
          <w:rFonts w:eastAsia="Calibri"/>
        </w:rPr>
        <w:t>New information is now available on both updated sea-level rise projections and VLM at local scales for New Zealand. These changes are relevant</w:t>
      </w:r>
      <w:r w:rsidR="00263E85">
        <w:rPr>
          <w:rFonts w:eastAsia="Calibri"/>
        </w:rPr>
        <w:t xml:space="preserve"> to decision-making</w:t>
      </w:r>
      <w:r w:rsidRPr="004A4C41">
        <w:rPr>
          <w:rFonts w:eastAsia="Calibri"/>
        </w:rPr>
        <w:t xml:space="preserve">, so the interim revisions to the </w:t>
      </w:r>
      <w:r w:rsidR="00854A66">
        <w:rPr>
          <w:rFonts w:eastAsia="Calibri"/>
        </w:rPr>
        <w:t>Ministry’s</w:t>
      </w:r>
      <w:r w:rsidR="00854A66" w:rsidRPr="004A4C41">
        <w:rPr>
          <w:rFonts w:eastAsia="Calibri"/>
        </w:rPr>
        <w:t xml:space="preserve"> </w:t>
      </w:r>
      <w:r w:rsidRPr="004A4C41">
        <w:rPr>
          <w:rFonts w:eastAsia="Calibri"/>
        </w:rPr>
        <w:t xml:space="preserve">2017 </w:t>
      </w:r>
      <w:r w:rsidRPr="004A4C41">
        <w:rPr>
          <w:rFonts w:eastAsia="Calibri"/>
          <w:i/>
          <w:iCs/>
        </w:rPr>
        <w:t xml:space="preserve">Coastal </w:t>
      </w:r>
      <w:r w:rsidR="00263E85">
        <w:rPr>
          <w:rFonts w:eastAsia="Calibri"/>
          <w:i/>
          <w:iCs/>
        </w:rPr>
        <w:t>h</w:t>
      </w:r>
      <w:r w:rsidRPr="004A4C41">
        <w:rPr>
          <w:rFonts w:eastAsia="Calibri"/>
          <w:i/>
          <w:iCs/>
        </w:rPr>
        <w:t xml:space="preserve">azards and </w:t>
      </w:r>
      <w:r w:rsidR="00263E85">
        <w:rPr>
          <w:rFonts w:eastAsia="Calibri"/>
          <w:i/>
          <w:iCs/>
        </w:rPr>
        <w:t>c</w:t>
      </w:r>
      <w:r w:rsidRPr="004A4C41">
        <w:rPr>
          <w:rFonts w:eastAsia="Calibri"/>
          <w:i/>
          <w:iCs/>
        </w:rPr>
        <w:t xml:space="preserve">limate </w:t>
      </w:r>
      <w:r w:rsidR="00263E85">
        <w:rPr>
          <w:rFonts w:eastAsia="Calibri"/>
          <w:i/>
          <w:iCs/>
        </w:rPr>
        <w:t>c</w:t>
      </w:r>
      <w:r w:rsidRPr="004A4C41">
        <w:rPr>
          <w:rFonts w:eastAsia="Calibri"/>
          <w:i/>
          <w:iCs/>
        </w:rPr>
        <w:t>hange</w:t>
      </w:r>
      <w:r w:rsidR="00F81BA7">
        <w:rPr>
          <w:rFonts w:eastAsia="Calibri"/>
          <w:i/>
          <w:iCs/>
        </w:rPr>
        <w:t>:</w:t>
      </w:r>
      <w:r w:rsidRPr="004A4C41">
        <w:rPr>
          <w:rFonts w:eastAsia="Calibri"/>
        </w:rPr>
        <w:t xml:space="preserve"> </w:t>
      </w:r>
      <w:r w:rsidRPr="00405A49" w:rsidDel="00263E85">
        <w:rPr>
          <w:rFonts w:eastAsia="Calibri"/>
          <w:i/>
        </w:rPr>
        <w:t>G</w:t>
      </w:r>
      <w:r w:rsidRPr="00405A49">
        <w:rPr>
          <w:rFonts w:eastAsia="Calibri"/>
          <w:i/>
        </w:rPr>
        <w:t>uidance for local government</w:t>
      </w:r>
      <w:r w:rsidRPr="004A4C41">
        <w:rPr>
          <w:rFonts w:eastAsia="Calibri"/>
        </w:rPr>
        <w:t xml:space="preserve"> are being made now. This only affects material in the 2017 </w:t>
      </w:r>
      <w:r w:rsidR="009942B5">
        <w:rPr>
          <w:rFonts w:eastAsia="Calibri"/>
        </w:rPr>
        <w:t xml:space="preserve">coastal hazards </w:t>
      </w:r>
      <w:r w:rsidRPr="004A4C41">
        <w:rPr>
          <w:rFonts w:eastAsia="Calibri"/>
        </w:rPr>
        <w:t>guidance that was tied to specific sea-level rise scenarios or allowances in land-use planning decisions.</w:t>
      </w:r>
    </w:p>
    <w:p w14:paraId="13F261E6" w14:textId="2BC63C51" w:rsidR="004A4C41" w:rsidRDefault="004A4C41" w:rsidP="00AF498F">
      <w:pPr>
        <w:pStyle w:val="BodyText"/>
        <w:rPr>
          <w:rFonts w:eastAsia="Calibri"/>
        </w:rPr>
      </w:pPr>
      <w:r w:rsidRPr="004A4C41">
        <w:rPr>
          <w:rFonts w:eastAsia="Calibri"/>
        </w:rPr>
        <w:t>As each new IPCC assessment is undertaken, global and regional sea-level rise projections will continue to change as climate-ocean and ice sheet models and ongoing satellite monitoring improve</w:t>
      </w:r>
      <w:r w:rsidRPr="004A4C41" w:rsidDel="00F81BA7">
        <w:rPr>
          <w:rFonts w:eastAsia="Calibri"/>
        </w:rPr>
        <w:t xml:space="preserve"> </w:t>
      </w:r>
      <w:r w:rsidR="00F81BA7">
        <w:rPr>
          <w:rFonts w:eastAsia="Calibri"/>
        </w:rPr>
        <w:t xml:space="preserve">and </w:t>
      </w:r>
      <w:r w:rsidR="008A2F0D">
        <w:rPr>
          <w:rFonts w:eastAsia="Calibri"/>
        </w:rPr>
        <w:t xml:space="preserve">will </w:t>
      </w:r>
      <w:r w:rsidR="00F81BA7">
        <w:rPr>
          <w:rFonts w:eastAsia="Calibri"/>
        </w:rPr>
        <w:t>depend on</w:t>
      </w:r>
      <w:r w:rsidR="00F81BA7" w:rsidRPr="004A4C41">
        <w:rPr>
          <w:rFonts w:eastAsia="Calibri"/>
        </w:rPr>
        <w:t xml:space="preserve"> </w:t>
      </w:r>
      <w:r w:rsidRPr="004A4C41">
        <w:rPr>
          <w:rFonts w:eastAsia="Calibri"/>
        </w:rPr>
        <w:t xml:space="preserve">how global greenhouse gas emissions and associated mitigation programmes </w:t>
      </w:r>
      <w:r w:rsidR="00F81BA7">
        <w:rPr>
          <w:rFonts w:eastAsia="Calibri"/>
        </w:rPr>
        <w:t>progress</w:t>
      </w:r>
      <w:r w:rsidRPr="004A4C41">
        <w:rPr>
          <w:rFonts w:eastAsia="Calibri"/>
        </w:rPr>
        <w:t xml:space="preserve">. </w:t>
      </w:r>
    </w:p>
    <w:p w14:paraId="4C101869" w14:textId="399FC87B" w:rsidR="00AF498F" w:rsidRPr="00AF498F" w:rsidRDefault="00AF498F" w:rsidP="000E78DC">
      <w:pPr>
        <w:pStyle w:val="Heading2"/>
        <w:rPr>
          <w:rFonts w:eastAsia="Calibri"/>
        </w:rPr>
      </w:pPr>
      <w:bookmarkStart w:id="12" w:name="_Toc109397576"/>
      <w:bookmarkStart w:id="13" w:name="_Toc109809078"/>
      <w:r w:rsidRPr="00AF498F">
        <w:rPr>
          <w:rFonts w:eastAsia="Calibri"/>
        </w:rPr>
        <w:t>Sea-level rise projections (national to regional scale) from IPCC AR6</w:t>
      </w:r>
      <w:bookmarkEnd w:id="12"/>
      <w:bookmarkEnd w:id="13"/>
    </w:p>
    <w:p w14:paraId="208562BE" w14:textId="6BA84C42" w:rsidR="00AF498F" w:rsidRPr="00AF498F" w:rsidRDefault="00AF498F" w:rsidP="00AF498F">
      <w:pPr>
        <w:pStyle w:val="BodyText"/>
        <w:rPr>
          <w:rFonts w:eastAsia="Calibri"/>
        </w:rPr>
      </w:pPr>
      <w:r w:rsidRPr="00AF498F">
        <w:rPr>
          <w:rFonts w:eastAsia="Calibri"/>
        </w:rPr>
        <w:t>The new sea-level rise projections at the national</w:t>
      </w:r>
      <w:r w:rsidR="008A21CA">
        <w:rPr>
          <w:rFonts w:eastAsia="Calibri"/>
        </w:rPr>
        <w:t xml:space="preserve"> and </w:t>
      </w:r>
      <w:r w:rsidRPr="00AF498F">
        <w:rPr>
          <w:rFonts w:eastAsia="Calibri"/>
        </w:rPr>
        <w:t xml:space="preserve">regional </w:t>
      </w:r>
      <w:r w:rsidR="00080E8C">
        <w:rPr>
          <w:rFonts w:eastAsia="Calibri"/>
        </w:rPr>
        <w:t>level</w:t>
      </w:r>
      <w:r w:rsidR="00080E8C" w:rsidRPr="00AF498F">
        <w:rPr>
          <w:rFonts w:eastAsia="Calibri"/>
        </w:rPr>
        <w:t xml:space="preserve"> </w:t>
      </w:r>
      <w:r w:rsidRPr="00AF498F">
        <w:rPr>
          <w:rFonts w:eastAsia="Calibri"/>
        </w:rPr>
        <w:t>have been downscaled from global projections produced for the 2021 IPCC AR6 Working Group I report (Fox-Kemper et al, 2021), using the same simulation process as AR6 (Naish et al, submitted)</w:t>
      </w:r>
      <w:r w:rsidR="009A310B">
        <w:rPr>
          <w:rFonts w:eastAsia="Calibri"/>
        </w:rPr>
        <w:t>.</w:t>
      </w:r>
      <w:r w:rsidRPr="00AF498F">
        <w:rPr>
          <w:rFonts w:eastAsia="Calibri"/>
        </w:rPr>
        <w:t xml:space="preserve"> The updated sea-level rise projections for Aotearoa, averaged nationally (</w:t>
      </w:r>
      <w:r w:rsidR="009A310B">
        <w:rPr>
          <w:rFonts w:eastAsia="Calibri"/>
        </w:rPr>
        <w:t xml:space="preserve">and </w:t>
      </w:r>
      <w:r w:rsidRPr="00AF498F">
        <w:rPr>
          <w:rFonts w:eastAsia="Calibri"/>
        </w:rPr>
        <w:t>excluding VLM)</w:t>
      </w:r>
      <w:r w:rsidR="009A310B">
        <w:rPr>
          <w:rFonts w:eastAsia="Calibri"/>
        </w:rPr>
        <w:t>,</w:t>
      </w:r>
      <w:r w:rsidRPr="00AF498F">
        <w:rPr>
          <w:rFonts w:eastAsia="Calibri"/>
        </w:rPr>
        <w:t xml:space="preserve"> remain close</w:t>
      </w:r>
      <w:r w:rsidRPr="00AF498F" w:rsidDel="00080E8C">
        <w:rPr>
          <w:rFonts w:eastAsia="Calibri"/>
        </w:rPr>
        <w:t xml:space="preserve"> </w:t>
      </w:r>
      <w:r w:rsidR="00080E8C">
        <w:rPr>
          <w:rFonts w:eastAsia="Calibri"/>
        </w:rPr>
        <w:t xml:space="preserve">to </w:t>
      </w:r>
      <w:r w:rsidRPr="00AF498F">
        <w:rPr>
          <w:rFonts w:eastAsia="Calibri"/>
        </w:rPr>
        <w:t xml:space="preserve">the national scenarios in the 2017 </w:t>
      </w:r>
      <w:r w:rsidR="007B5B78">
        <w:rPr>
          <w:rFonts w:eastAsia="Calibri"/>
        </w:rPr>
        <w:t>coastal hazards</w:t>
      </w:r>
      <w:r w:rsidRPr="00AF498F">
        <w:rPr>
          <w:rFonts w:eastAsia="Calibri"/>
        </w:rPr>
        <w:t xml:space="preserve"> guidance until around 2070. By the end of the century</w:t>
      </w:r>
      <w:r w:rsidR="00563090" w:rsidRPr="00AF498F">
        <w:rPr>
          <w:rFonts w:eastAsia="Calibri"/>
        </w:rPr>
        <w:t>,</w:t>
      </w:r>
      <w:r w:rsidRPr="00AF498F">
        <w:rPr>
          <w:rFonts w:eastAsia="Calibri"/>
        </w:rPr>
        <w:t xml:space="preserve"> they show an increase of </w:t>
      </w:r>
      <w:r w:rsidR="00080E8C">
        <w:rPr>
          <w:rFonts w:eastAsia="Calibri"/>
        </w:rPr>
        <w:t>3</w:t>
      </w:r>
      <w:r w:rsidR="00FA288D">
        <w:rPr>
          <w:rFonts w:eastAsia="Calibri"/>
        </w:rPr>
        <w:softHyphen/>
      </w:r>
      <w:r w:rsidRPr="00AF498F" w:rsidDel="00080E8C">
        <w:rPr>
          <w:rFonts w:eastAsia="Calibri"/>
        </w:rPr>
        <w:t xml:space="preserve"> to </w:t>
      </w:r>
      <w:r w:rsidR="00080E8C">
        <w:rPr>
          <w:rFonts w:eastAsia="Calibri"/>
        </w:rPr>
        <w:t>14 cm</w:t>
      </w:r>
      <w:r w:rsidRPr="00AF498F">
        <w:rPr>
          <w:rFonts w:eastAsia="Calibri"/>
        </w:rPr>
        <w:t xml:space="preserve"> </w:t>
      </w:r>
      <w:r w:rsidRPr="00FA288D">
        <w:rPr>
          <w:rFonts w:eastAsia="Calibri"/>
        </w:rPr>
        <w:t>(</w:t>
      </w:r>
      <w:hyperlink w:anchor="figure1" w:history="1">
        <w:r w:rsidR="00FA288D" w:rsidRPr="00235A17">
          <w:rPr>
            <w:rStyle w:val="Hyperlink"/>
          </w:rPr>
          <w:t>f</w:t>
        </w:r>
        <w:r w:rsidRPr="00235A17">
          <w:rPr>
            <w:rStyle w:val="Hyperlink"/>
          </w:rPr>
          <w:t>igure 1</w:t>
        </w:r>
      </w:hyperlink>
      <w:r w:rsidRPr="00FA288D">
        <w:rPr>
          <w:rFonts w:eastAsia="Calibri"/>
        </w:rPr>
        <w:t>)</w:t>
      </w:r>
      <w:r w:rsidRPr="00AF498F">
        <w:rPr>
          <w:rFonts w:eastAsia="Calibri"/>
        </w:rPr>
        <w:t>. Scenario labels on the graph are explained in the next section.</w:t>
      </w:r>
    </w:p>
    <w:p w14:paraId="11EEAEE3" w14:textId="5087BE4E" w:rsidR="00AF498F" w:rsidRPr="00136891" w:rsidRDefault="00AF498F" w:rsidP="00136891">
      <w:pPr>
        <w:pStyle w:val="Figureheading"/>
      </w:pPr>
      <w:bookmarkStart w:id="14" w:name="figure1"/>
      <w:bookmarkStart w:id="15" w:name="_Toc109809099"/>
      <w:r w:rsidRPr="00136891">
        <w:t>Figure 1:</w:t>
      </w:r>
      <w:bookmarkEnd w:id="14"/>
      <w:r w:rsidR="001C1AEB" w:rsidRPr="00136891">
        <w:tab/>
      </w:r>
      <w:r w:rsidR="0078403C" w:rsidRPr="00136891">
        <w:t xml:space="preserve">Comparison of </w:t>
      </w:r>
      <w:r w:rsidR="007C561F" w:rsidRPr="00136891">
        <w:t xml:space="preserve">new </w:t>
      </w:r>
      <w:proofErr w:type="spellStart"/>
      <w:r w:rsidR="0025310B" w:rsidRPr="00136891">
        <w:t>NZSeaRise</w:t>
      </w:r>
      <w:proofErr w:type="spellEnd"/>
      <w:r w:rsidR="0025310B" w:rsidRPr="00136891">
        <w:t xml:space="preserve"> projections with </w:t>
      </w:r>
      <w:r w:rsidR="007C561F" w:rsidRPr="00136891">
        <w:t xml:space="preserve">2017 coastal </w:t>
      </w:r>
      <w:r w:rsidR="00AB7E40" w:rsidRPr="00136891">
        <w:t xml:space="preserve">hazards </w:t>
      </w:r>
      <w:r w:rsidR="007C561F" w:rsidRPr="00136891">
        <w:t>guidance projections</w:t>
      </w:r>
      <w:r w:rsidR="004F62B2" w:rsidRPr="00136891">
        <w:t xml:space="preserve"> from 2000 to 2</w:t>
      </w:r>
      <w:r w:rsidR="002637AD" w:rsidRPr="00136891">
        <w:t>1</w:t>
      </w:r>
      <w:r w:rsidR="00854A66">
        <w:t>5</w:t>
      </w:r>
      <w:r w:rsidR="002637AD" w:rsidRPr="00136891">
        <w:t>0</w:t>
      </w:r>
      <w:bookmarkEnd w:id="15"/>
    </w:p>
    <w:p w14:paraId="0CAE9206" w14:textId="2024B15F" w:rsidR="001C1AEB" w:rsidRPr="004A4C41" w:rsidRDefault="001C1AEB" w:rsidP="00AF498F">
      <w:pPr>
        <w:pStyle w:val="BodyText"/>
        <w:rPr>
          <w:rFonts w:eastAsia="Calibri"/>
        </w:rPr>
      </w:pPr>
      <w:r>
        <w:rPr>
          <w:noProof/>
        </w:rPr>
        <w:drawing>
          <wp:inline distT="0" distB="0" distL="0" distR="0" wp14:anchorId="3AB53E09" wp14:editId="3B567845">
            <wp:extent cx="5400635" cy="3150235"/>
            <wp:effectExtent l="0" t="0" r="0" b="0"/>
            <wp:docPr id="21" name="Picture 21" descr="A line graph showing the projected increase in sea-level rise in metres (averaged from 1986 to 2005) from 2000 to 2160, comparing the SSP and RCP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ine graph showing the projected increase in sea-level rise in metres (averaged from 1986 to 2005) from 2000 to 2160, comparing the SSP and RCP scenarios."/>
                    <pic:cNvPicPr>
                      <a:picLocks noChangeAspect="1" noChangeArrowheads="1"/>
                    </pic:cNvPicPr>
                  </pic:nvPicPr>
                  <pic:blipFill rotWithShape="1">
                    <a:blip r:embed="rId26"/>
                    <a:srcRect t="3219"/>
                    <a:stretch/>
                  </pic:blipFill>
                  <pic:spPr bwMode="auto">
                    <a:xfrm>
                      <a:off x="0" y="0"/>
                      <a:ext cx="5400675" cy="3150258"/>
                    </a:xfrm>
                    <a:prstGeom prst="rect">
                      <a:avLst/>
                    </a:prstGeom>
                    <a:noFill/>
                    <a:ln>
                      <a:noFill/>
                    </a:ln>
                    <a:extLst>
                      <a:ext uri="{53640926-AAD7-44D8-BBD7-CCE9431645EC}">
                        <a14:shadowObscured xmlns:a14="http://schemas.microsoft.com/office/drawing/2010/main"/>
                      </a:ext>
                    </a:extLst>
                  </pic:spPr>
                </pic:pic>
              </a:graphicData>
            </a:graphic>
          </wp:inline>
        </w:drawing>
      </w:r>
    </w:p>
    <w:p w14:paraId="2B4E878E" w14:textId="41ACDA4A" w:rsidR="001C1AEB" w:rsidRDefault="007C561F" w:rsidP="001C1AEB">
      <w:pPr>
        <w:pStyle w:val="Source"/>
        <w:rPr>
          <w:rFonts w:eastAsia="Calibri"/>
        </w:rPr>
      </w:pPr>
      <w:r>
        <w:rPr>
          <w:rFonts w:cs="Times New Roman"/>
          <w:b/>
          <w:bCs/>
        </w:rPr>
        <w:t>Note</w:t>
      </w:r>
      <w:r w:rsidR="002637AD">
        <w:rPr>
          <w:rFonts w:cs="Times New Roman"/>
          <w:b/>
          <w:bCs/>
        </w:rPr>
        <w:t xml:space="preserve"> for </w:t>
      </w:r>
      <w:r w:rsidR="00092C72">
        <w:rPr>
          <w:rFonts w:cs="Times New Roman"/>
          <w:b/>
          <w:bCs/>
        </w:rPr>
        <w:t>f</w:t>
      </w:r>
      <w:r w:rsidR="00363057">
        <w:rPr>
          <w:rFonts w:cs="Times New Roman"/>
          <w:b/>
          <w:bCs/>
        </w:rPr>
        <w:t>igure 1:</w:t>
      </w:r>
      <w:r w:rsidR="00363057">
        <w:rPr>
          <w:rFonts w:cs="Times New Roman"/>
        </w:rPr>
        <w:t xml:space="preserve"> </w:t>
      </w:r>
      <w:r w:rsidR="00363057">
        <w:rPr>
          <w:sz w:val="20"/>
        </w:rPr>
        <w:t>Comparison of the new nationally</w:t>
      </w:r>
      <w:r w:rsidR="00FA288D">
        <w:rPr>
          <w:sz w:val="20"/>
        </w:rPr>
        <w:t xml:space="preserve"> </w:t>
      </w:r>
      <w:r w:rsidR="00363057">
        <w:rPr>
          <w:sz w:val="20"/>
        </w:rPr>
        <w:t xml:space="preserve">averaged </w:t>
      </w:r>
      <w:proofErr w:type="spellStart"/>
      <w:r w:rsidR="00363057">
        <w:rPr>
          <w:sz w:val="20"/>
        </w:rPr>
        <w:t>NZSeaRise</w:t>
      </w:r>
      <w:proofErr w:type="spellEnd"/>
      <w:r w:rsidR="00363057">
        <w:rPr>
          <w:sz w:val="20"/>
        </w:rPr>
        <w:t xml:space="preserve"> projections (excluding VLM) </w:t>
      </w:r>
      <w:r w:rsidR="005F3D6C">
        <w:rPr>
          <w:sz w:val="20"/>
        </w:rPr>
        <w:t>(</w:t>
      </w:r>
      <w:r w:rsidR="00911AB6">
        <w:rPr>
          <w:sz w:val="20"/>
        </w:rPr>
        <w:t>solid lines</w:t>
      </w:r>
      <w:r w:rsidR="005F3D6C">
        <w:rPr>
          <w:sz w:val="20"/>
        </w:rPr>
        <w:t>)</w:t>
      </w:r>
      <w:r w:rsidR="00911AB6">
        <w:rPr>
          <w:sz w:val="20"/>
        </w:rPr>
        <w:t xml:space="preserve"> </w:t>
      </w:r>
      <w:r w:rsidR="00363057">
        <w:rPr>
          <w:sz w:val="20"/>
        </w:rPr>
        <w:t xml:space="preserve">with the matching equivalent suite of four sea-level rise (SLR) projections in the 2017 coastal </w:t>
      </w:r>
      <w:r w:rsidR="009942B5">
        <w:rPr>
          <w:sz w:val="20"/>
        </w:rPr>
        <w:t>hazards</w:t>
      </w:r>
      <w:r w:rsidR="00363057">
        <w:rPr>
          <w:sz w:val="20"/>
        </w:rPr>
        <w:t xml:space="preserve"> guidance</w:t>
      </w:r>
      <w:r w:rsidR="00911AB6">
        <w:rPr>
          <w:sz w:val="20"/>
        </w:rPr>
        <w:t xml:space="preserve"> </w:t>
      </w:r>
      <w:r w:rsidR="005F3D6C">
        <w:rPr>
          <w:sz w:val="20"/>
        </w:rPr>
        <w:t>(</w:t>
      </w:r>
      <w:r w:rsidR="00911AB6">
        <w:rPr>
          <w:sz w:val="20"/>
        </w:rPr>
        <w:t>dashed lines</w:t>
      </w:r>
      <w:r w:rsidR="005F3D6C">
        <w:rPr>
          <w:sz w:val="20"/>
        </w:rPr>
        <w:t>)</w:t>
      </w:r>
      <w:r w:rsidR="00363057">
        <w:rPr>
          <w:sz w:val="20"/>
        </w:rPr>
        <w:t>, all to a common zero baseline period used previously (1986</w:t>
      </w:r>
      <w:r w:rsidR="00F33F7E" w:rsidRPr="00F33F7E">
        <w:rPr>
          <w:sz w:val="20"/>
        </w:rPr>
        <w:t>–</w:t>
      </w:r>
      <w:r w:rsidR="00363057">
        <w:rPr>
          <w:sz w:val="20"/>
        </w:rPr>
        <w:t xml:space="preserve">2005). </w:t>
      </w:r>
      <w:r w:rsidR="00363057">
        <w:rPr>
          <w:i/>
          <w:iCs/>
          <w:sz w:val="20"/>
        </w:rPr>
        <w:t>Source</w:t>
      </w:r>
      <w:r w:rsidR="00363057">
        <w:rPr>
          <w:sz w:val="20"/>
        </w:rPr>
        <w:t xml:space="preserve">: </w:t>
      </w:r>
      <w:r w:rsidR="004B4F61">
        <w:rPr>
          <w:sz w:val="20"/>
        </w:rPr>
        <w:t>Ministry for the Env</w:t>
      </w:r>
      <w:r w:rsidR="00854A66">
        <w:rPr>
          <w:sz w:val="20"/>
        </w:rPr>
        <w:t>i</w:t>
      </w:r>
      <w:r w:rsidR="004B4F61">
        <w:rPr>
          <w:sz w:val="20"/>
        </w:rPr>
        <w:t>ronment</w:t>
      </w:r>
      <w:r w:rsidR="004203C8">
        <w:rPr>
          <w:sz w:val="20"/>
        </w:rPr>
        <w:t>,</w:t>
      </w:r>
      <w:r w:rsidR="004B4F61">
        <w:rPr>
          <w:sz w:val="20"/>
        </w:rPr>
        <w:t xml:space="preserve"> </w:t>
      </w:r>
      <w:r w:rsidR="00363057">
        <w:rPr>
          <w:sz w:val="20"/>
        </w:rPr>
        <w:t>2017</w:t>
      </w:r>
      <w:r w:rsidR="004203C8">
        <w:rPr>
          <w:sz w:val="20"/>
        </w:rPr>
        <w:t>;</w:t>
      </w:r>
      <w:r w:rsidR="00363057">
        <w:rPr>
          <w:sz w:val="20"/>
        </w:rPr>
        <w:t xml:space="preserve"> </w:t>
      </w:r>
      <w:proofErr w:type="spellStart"/>
      <w:r w:rsidR="00363057">
        <w:rPr>
          <w:sz w:val="20"/>
        </w:rPr>
        <w:t>NZSeaRise</w:t>
      </w:r>
      <w:proofErr w:type="spellEnd"/>
      <w:r w:rsidR="00692F0A">
        <w:rPr>
          <w:sz w:val="20"/>
        </w:rPr>
        <w:t>/</w:t>
      </w:r>
      <w:proofErr w:type="spellStart"/>
      <w:r w:rsidR="00363057">
        <w:rPr>
          <w:sz w:val="20"/>
        </w:rPr>
        <w:t>Takiwā</w:t>
      </w:r>
      <w:proofErr w:type="spellEnd"/>
      <w:r w:rsidR="00363057">
        <w:rPr>
          <w:sz w:val="20"/>
        </w:rPr>
        <w:t xml:space="preserve"> platform (averaging </w:t>
      </w:r>
      <w:r w:rsidR="009B30DF">
        <w:rPr>
          <w:sz w:val="20"/>
        </w:rPr>
        <w:t>six</w:t>
      </w:r>
      <w:r w:rsidR="00363057">
        <w:rPr>
          <w:sz w:val="20"/>
        </w:rPr>
        <w:t xml:space="preserve"> locations north to south) and tide-gauge data from </w:t>
      </w:r>
      <w:r w:rsidR="004203C8">
        <w:rPr>
          <w:sz w:val="20"/>
        </w:rPr>
        <w:t xml:space="preserve">the Ministry for the Environment and </w:t>
      </w:r>
      <w:proofErr w:type="spellStart"/>
      <w:r w:rsidR="00363057">
        <w:rPr>
          <w:sz w:val="20"/>
        </w:rPr>
        <w:t>StatsNZ</w:t>
      </w:r>
      <w:proofErr w:type="spellEnd"/>
      <w:r w:rsidR="00363057">
        <w:rPr>
          <w:sz w:val="20"/>
        </w:rPr>
        <w:t xml:space="preserve"> (</w:t>
      </w:r>
      <w:hyperlink r:id="rId27" w:history="1">
        <w:r w:rsidR="00363057">
          <w:rPr>
            <w:rStyle w:val="Hyperlink"/>
            <w:sz w:val="20"/>
          </w:rPr>
          <w:t>https://www.stats.govt.nz/indicators/coastal-sea-level-rise</w:t>
        </w:r>
      </w:hyperlink>
      <w:r w:rsidR="00363057">
        <w:rPr>
          <w:sz w:val="20"/>
        </w:rPr>
        <w:t>)</w:t>
      </w:r>
      <w:r w:rsidR="009B30DF">
        <w:rPr>
          <w:sz w:val="20"/>
        </w:rPr>
        <w:t>.</w:t>
      </w:r>
      <w:r w:rsidR="00363057">
        <w:rPr>
          <w:sz w:val="20"/>
        </w:rPr>
        <w:t xml:space="preserve"> </w:t>
      </w:r>
    </w:p>
    <w:p w14:paraId="3F3CBF95" w14:textId="188E8C8D" w:rsidR="004D22A8" w:rsidRDefault="00BD7EB7" w:rsidP="004D22A8">
      <w:pPr>
        <w:pStyle w:val="Figureheading"/>
      </w:pPr>
      <w:bookmarkStart w:id="16" w:name="figure1a"/>
      <w:bookmarkStart w:id="17" w:name="_Toc109809100"/>
      <w:r w:rsidRPr="00DF19AF">
        <w:t>Figure 1A:</w:t>
      </w:r>
      <w:bookmarkEnd w:id="16"/>
      <w:r w:rsidR="00DF19AF">
        <w:tab/>
      </w:r>
      <w:r w:rsidR="004F62B2">
        <w:t xml:space="preserve">Comparison of new </w:t>
      </w:r>
      <w:proofErr w:type="spellStart"/>
      <w:r w:rsidR="004F62B2">
        <w:t>NZSeaRise</w:t>
      </w:r>
      <w:proofErr w:type="spellEnd"/>
      <w:r w:rsidR="004F62B2">
        <w:t xml:space="preserve"> projections with 2017 coastal </w:t>
      </w:r>
      <w:r w:rsidR="009942B5">
        <w:t xml:space="preserve">hazards </w:t>
      </w:r>
      <w:r w:rsidR="004F62B2">
        <w:t>guidance projections</w:t>
      </w:r>
      <w:r w:rsidR="002637AD">
        <w:t xml:space="preserve"> from 1995 to 2020</w:t>
      </w:r>
      <w:bookmarkEnd w:id="17"/>
    </w:p>
    <w:p w14:paraId="2B166E94" w14:textId="5F5AF383" w:rsidR="00BD7EB7" w:rsidRDefault="00BD7EB7" w:rsidP="00BD7EB7">
      <w:r>
        <w:rPr>
          <w:noProof/>
        </w:rPr>
        <w:drawing>
          <wp:inline distT="0" distB="0" distL="0" distR="0" wp14:anchorId="1E610480" wp14:editId="5FB5DFE3">
            <wp:extent cx="4752417" cy="2961640"/>
            <wp:effectExtent l="0" t="0" r="0" b="0"/>
            <wp:docPr id="14" name="Picture 14" descr="A line graph showing the projected increase in sea-level rise in metres (averaged from 1986 to 2005) from 1995 to 2020, comparing the SSP and RCP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graph showing the projected increase in sea-level rise in metres (averaged from 1986 to 2005) from 1995 to 2020, comparing the SSP and RCP scenari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417"/>
                    <a:stretch/>
                  </pic:blipFill>
                  <pic:spPr bwMode="auto">
                    <a:xfrm>
                      <a:off x="0" y="0"/>
                      <a:ext cx="4782276" cy="2980248"/>
                    </a:xfrm>
                    <a:prstGeom prst="rect">
                      <a:avLst/>
                    </a:prstGeom>
                    <a:noFill/>
                    <a:ln>
                      <a:noFill/>
                    </a:ln>
                    <a:extLst>
                      <a:ext uri="{53640926-AAD7-44D8-BBD7-CCE9431645EC}">
                        <a14:shadowObscured xmlns:a14="http://schemas.microsoft.com/office/drawing/2010/main"/>
                      </a:ext>
                    </a:extLst>
                  </pic:spPr>
                </pic:pic>
              </a:graphicData>
            </a:graphic>
          </wp:inline>
        </w:drawing>
      </w:r>
    </w:p>
    <w:p w14:paraId="687945A5" w14:textId="4A8AC48D" w:rsidR="00BD7EB7" w:rsidRDefault="002637AD" w:rsidP="00BD7EB7">
      <w:pPr>
        <w:pStyle w:val="Source"/>
        <w:rPr>
          <w:rFonts w:eastAsia="Calibri"/>
        </w:rPr>
      </w:pPr>
      <w:r>
        <w:rPr>
          <w:rFonts w:eastAsia="Calibri"/>
          <w:b/>
          <w:bCs/>
        </w:rPr>
        <w:t xml:space="preserve">Note for </w:t>
      </w:r>
      <w:r w:rsidR="00092C72">
        <w:rPr>
          <w:rFonts w:eastAsia="Calibri"/>
          <w:b/>
          <w:bCs/>
        </w:rPr>
        <w:t>f</w:t>
      </w:r>
      <w:r w:rsidR="00BD7EB7" w:rsidRPr="00BD7EB7">
        <w:rPr>
          <w:rFonts w:eastAsia="Calibri"/>
          <w:b/>
          <w:bCs/>
        </w:rPr>
        <w:t>igure 1A:</w:t>
      </w:r>
      <w:r w:rsidR="00BD7EB7" w:rsidRPr="00BD7EB7">
        <w:rPr>
          <w:rFonts w:eastAsia="Calibri"/>
        </w:rPr>
        <w:t xml:space="preserve"> Same </w:t>
      </w:r>
      <w:r w:rsidR="009B30DF">
        <w:rPr>
          <w:rFonts w:eastAsia="Calibri"/>
        </w:rPr>
        <w:t>comparison</w:t>
      </w:r>
      <w:r w:rsidR="009B30DF" w:rsidRPr="00BD7EB7">
        <w:rPr>
          <w:rFonts w:eastAsia="Calibri"/>
        </w:rPr>
        <w:t xml:space="preserve"> </w:t>
      </w:r>
      <w:r w:rsidR="00BD7EB7" w:rsidRPr="00BD7EB7">
        <w:rPr>
          <w:rFonts w:eastAsia="Calibri"/>
        </w:rPr>
        <w:t xml:space="preserve">as </w:t>
      </w:r>
      <w:r w:rsidR="00092C72">
        <w:rPr>
          <w:rFonts w:eastAsia="Calibri"/>
        </w:rPr>
        <w:t>f</w:t>
      </w:r>
      <w:r w:rsidR="00BD7EB7" w:rsidRPr="00BD7EB7">
        <w:rPr>
          <w:rFonts w:eastAsia="Calibri"/>
        </w:rPr>
        <w:t>igure 1</w:t>
      </w:r>
      <w:r w:rsidR="009B30DF">
        <w:rPr>
          <w:rFonts w:eastAsia="Calibri"/>
        </w:rPr>
        <w:t>,</w:t>
      </w:r>
      <w:r w:rsidR="00BD7EB7" w:rsidRPr="00BD7EB7">
        <w:rPr>
          <w:rFonts w:eastAsia="Calibri"/>
        </w:rPr>
        <w:t xml:space="preserve"> zooming in </w:t>
      </w:r>
      <w:proofErr w:type="gramStart"/>
      <w:r w:rsidR="009B30DF">
        <w:rPr>
          <w:rFonts w:eastAsia="Calibri"/>
        </w:rPr>
        <w:t>on</w:t>
      </w:r>
      <w:proofErr w:type="gramEnd"/>
      <w:r w:rsidR="009B30DF">
        <w:rPr>
          <w:rFonts w:eastAsia="Calibri"/>
        </w:rPr>
        <w:t xml:space="preserve"> 1995</w:t>
      </w:r>
      <w:r w:rsidR="00151265">
        <w:rPr>
          <w:rFonts w:eastAsia="Calibri"/>
        </w:rPr>
        <w:t>–</w:t>
      </w:r>
      <w:r w:rsidR="00BD7EB7" w:rsidRPr="00BD7EB7">
        <w:rPr>
          <w:rFonts w:eastAsia="Calibri"/>
        </w:rPr>
        <w:t xml:space="preserve">2020 and </w:t>
      </w:r>
      <w:r w:rsidR="009B30DF">
        <w:rPr>
          <w:rFonts w:eastAsia="Calibri"/>
        </w:rPr>
        <w:t xml:space="preserve">showing </w:t>
      </w:r>
      <w:r w:rsidR="00BD7EB7" w:rsidRPr="00BD7EB7">
        <w:rPr>
          <w:rFonts w:eastAsia="Calibri"/>
        </w:rPr>
        <w:t>how the new baseline period (mid-point 2005) and the</w:t>
      </w:r>
      <w:r w:rsidR="00911AB6">
        <w:rPr>
          <w:rFonts w:eastAsia="Calibri"/>
        </w:rPr>
        <w:t xml:space="preserve"> associated</w:t>
      </w:r>
      <w:r w:rsidR="00BD7EB7" w:rsidRPr="00BD7EB7">
        <w:rPr>
          <w:rFonts w:eastAsia="Calibri"/>
        </w:rPr>
        <w:t xml:space="preserve"> average offset relates to the previous projections in the 2017 </w:t>
      </w:r>
      <w:r w:rsidR="009942B5">
        <w:rPr>
          <w:rFonts w:eastAsia="Calibri"/>
        </w:rPr>
        <w:t xml:space="preserve">coastal hazards </w:t>
      </w:r>
      <w:r w:rsidR="00BD7EB7" w:rsidRPr="00BD7EB7">
        <w:rPr>
          <w:rFonts w:eastAsia="Calibri"/>
        </w:rPr>
        <w:t>guidance (dashed lines).</w:t>
      </w:r>
    </w:p>
    <w:p w14:paraId="29E812B0" w14:textId="1852F24D" w:rsidR="00BD7EB7" w:rsidRPr="00BD7EB7" w:rsidRDefault="00BD7EB7" w:rsidP="00BD7EB7">
      <w:pPr>
        <w:pStyle w:val="BodyText"/>
        <w:rPr>
          <w:rFonts w:eastAsia="Calibri"/>
        </w:rPr>
      </w:pPr>
      <w:r w:rsidRPr="00BD7EB7">
        <w:rPr>
          <w:rFonts w:eastAsia="Calibri"/>
        </w:rPr>
        <w:t xml:space="preserve">The national-scale projections in the 2017 </w:t>
      </w:r>
      <w:r w:rsidR="009942B5">
        <w:rPr>
          <w:rFonts w:eastAsia="Calibri"/>
        </w:rPr>
        <w:t>coastal hazards</w:t>
      </w:r>
      <w:r w:rsidRPr="00BD7EB7">
        <w:rPr>
          <w:rFonts w:eastAsia="Calibri"/>
        </w:rPr>
        <w:t xml:space="preserve"> guidance were derived from the previous 2013 IPCC AR5 Working Group I assessment (Church et al, 2013), by downscaling global average projections that were relevant to the sea-level response of the S</w:t>
      </w:r>
      <w:r w:rsidR="001F1458">
        <w:rPr>
          <w:rFonts w:eastAsia="Calibri"/>
        </w:rPr>
        <w:t>outhwest</w:t>
      </w:r>
      <w:r w:rsidRPr="00BD7EB7">
        <w:rPr>
          <w:rFonts w:eastAsia="Calibri"/>
        </w:rPr>
        <w:t xml:space="preserve"> Pacific. The latest </w:t>
      </w:r>
      <w:proofErr w:type="spellStart"/>
      <w:r w:rsidRPr="00BD7EB7">
        <w:rPr>
          <w:rFonts w:eastAsia="Calibri"/>
        </w:rPr>
        <w:t>NZSeaRise</w:t>
      </w:r>
      <w:proofErr w:type="spellEnd"/>
      <w:r w:rsidRPr="00BD7EB7">
        <w:rPr>
          <w:rFonts w:eastAsia="Calibri"/>
        </w:rPr>
        <w:t xml:space="preserve"> projections automatically include S</w:t>
      </w:r>
      <w:r w:rsidR="001F1458">
        <w:rPr>
          <w:rFonts w:eastAsia="Calibri"/>
        </w:rPr>
        <w:t>outhwest</w:t>
      </w:r>
      <w:r w:rsidRPr="00BD7EB7">
        <w:rPr>
          <w:rFonts w:eastAsia="Calibri"/>
        </w:rPr>
        <w:t xml:space="preserve"> Pacific and regional sea-level responses</w:t>
      </w:r>
      <w:r w:rsidR="001F1458">
        <w:rPr>
          <w:rFonts w:eastAsia="Calibri"/>
        </w:rPr>
        <w:t>, which</w:t>
      </w:r>
      <w:r w:rsidRPr="00BD7EB7" w:rsidDel="001F1458">
        <w:rPr>
          <w:rFonts w:eastAsia="Calibri"/>
        </w:rPr>
        <w:t xml:space="preserve"> </w:t>
      </w:r>
      <w:r w:rsidRPr="00BD7EB7">
        <w:rPr>
          <w:rFonts w:eastAsia="Calibri"/>
        </w:rPr>
        <w:t xml:space="preserve">are generally somewhat higher than the global average sea-level rise for each climate scenario within the simulation. Further comparisons between the new and previous sea-level rise projections, and differences from global average sea-level rise projections, are described in </w:t>
      </w:r>
      <w:hyperlink w:anchor="_Appendix_A" w:history="1">
        <w:r w:rsidR="00D04F19" w:rsidRPr="000E0943">
          <w:rPr>
            <w:rStyle w:val="Hyperlink"/>
          </w:rPr>
          <w:t xml:space="preserve">appendix </w:t>
        </w:r>
        <w:r w:rsidRPr="000E0943">
          <w:rPr>
            <w:rStyle w:val="Hyperlink"/>
          </w:rPr>
          <w:t>A</w:t>
        </w:r>
      </w:hyperlink>
      <w:r w:rsidRPr="00BD7EB7">
        <w:rPr>
          <w:rFonts w:eastAsia="Calibri"/>
        </w:rPr>
        <w:t>.</w:t>
      </w:r>
    </w:p>
    <w:p w14:paraId="4721ACD9" w14:textId="11B416D1" w:rsidR="00BD7EB7" w:rsidRPr="00BD7EB7" w:rsidRDefault="00BD7EB7" w:rsidP="00BD7EB7">
      <w:pPr>
        <w:pStyle w:val="BodyText"/>
        <w:rPr>
          <w:rFonts w:eastAsia="Calibri"/>
        </w:rPr>
      </w:pPr>
      <w:r w:rsidRPr="00BD7EB7">
        <w:rPr>
          <w:rFonts w:eastAsia="Calibri"/>
        </w:rPr>
        <w:t xml:space="preserve">Another change is the new </w:t>
      </w:r>
      <w:proofErr w:type="spellStart"/>
      <w:r w:rsidRPr="00BD7EB7">
        <w:rPr>
          <w:rFonts w:eastAsia="Calibri"/>
        </w:rPr>
        <w:t>NZSeaRise</w:t>
      </w:r>
      <w:proofErr w:type="spellEnd"/>
      <w:r w:rsidRPr="00BD7EB7">
        <w:rPr>
          <w:rFonts w:eastAsia="Calibri"/>
        </w:rPr>
        <w:t xml:space="preserve"> (and IPCC AR6) sea-level rise projections are referenced </w:t>
      </w:r>
      <w:r w:rsidR="001F1458">
        <w:rPr>
          <w:rFonts w:eastAsia="Calibri"/>
        </w:rPr>
        <w:t>against</w:t>
      </w:r>
      <w:r w:rsidR="001F1458" w:rsidRPr="00BD7EB7">
        <w:rPr>
          <w:rFonts w:eastAsia="Calibri"/>
        </w:rPr>
        <w:t xml:space="preserve"> </w:t>
      </w:r>
      <w:r w:rsidRPr="00BD7EB7">
        <w:rPr>
          <w:rFonts w:eastAsia="Calibri"/>
        </w:rPr>
        <w:t>a</w:t>
      </w:r>
      <w:r w:rsidR="001F1458">
        <w:rPr>
          <w:rFonts w:eastAsia="Calibri"/>
        </w:rPr>
        <w:t xml:space="preserve"> new</w:t>
      </w:r>
      <w:r w:rsidRPr="00BD7EB7">
        <w:rPr>
          <w:rFonts w:eastAsia="Calibri"/>
        </w:rPr>
        <w:t xml:space="preserve"> zero baseline that is shifted forward by a decade. The </w:t>
      </w:r>
      <w:r w:rsidR="001F1458">
        <w:rPr>
          <w:rFonts w:eastAsia="Calibri"/>
        </w:rPr>
        <w:t xml:space="preserve">projections in the </w:t>
      </w:r>
      <w:r w:rsidRPr="00BD7EB7">
        <w:rPr>
          <w:rFonts w:eastAsia="Calibri"/>
        </w:rPr>
        <w:t xml:space="preserve">2017 </w:t>
      </w:r>
      <w:r w:rsidR="009942B5">
        <w:rPr>
          <w:rFonts w:eastAsia="Calibri"/>
        </w:rPr>
        <w:t>coastal hazards</w:t>
      </w:r>
      <w:r w:rsidRPr="00BD7EB7">
        <w:rPr>
          <w:rFonts w:eastAsia="Calibri"/>
        </w:rPr>
        <w:t xml:space="preserve"> guidance were set to a zero baseline for the period 1986–2005</w:t>
      </w:r>
      <w:r w:rsidR="001F1458">
        <w:rPr>
          <w:rFonts w:eastAsia="Calibri"/>
        </w:rPr>
        <w:t>,</w:t>
      </w:r>
      <w:r w:rsidRPr="00BD7EB7">
        <w:rPr>
          <w:rFonts w:eastAsia="Calibri"/>
        </w:rPr>
        <w:t xml:space="preserve"> with a mid-point at 1996 (same time</w:t>
      </w:r>
      <w:r w:rsidR="001F1458">
        <w:rPr>
          <w:rFonts w:eastAsia="Calibri"/>
        </w:rPr>
        <w:t>frame</w:t>
      </w:r>
      <w:r w:rsidRPr="00BD7EB7">
        <w:rPr>
          <w:rFonts w:eastAsia="Calibri"/>
        </w:rPr>
        <w:t xml:space="preserve"> as plotted in </w:t>
      </w:r>
      <w:hyperlink w:anchor="figure1" w:history="1">
        <w:r w:rsidR="001F1458" w:rsidRPr="00892EE8">
          <w:rPr>
            <w:rStyle w:val="Hyperlink"/>
            <w:rFonts w:eastAsia="Calibri"/>
          </w:rPr>
          <w:t>f</w:t>
        </w:r>
        <w:r w:rsidRPr="00892EE8">
          <w:rPr>
            <w:rStyle w:val="Hyperlink"/>
            <w:rFonts w:eastAsia="Calibri"/>
          </w:rPr>
          <w:t>igure 1</w:t>
        </w:r>
      </w:hyperlink>
      <w:r w:rsidRPr="00BD7EB7">
        <w:rPr>
          <w:rFonts w:eastAsia="Calibri"/>
        </w:rPr>
        <w:t xml:space="preserve">). The new projections are zeroed to the average MSL over the 1995–2014 period (mid-point 2005) to be consistent with IPCC AR6 projections. The change in baseline is shown in </w:t>
      </w:r>
      <w:hyperlink w:anchor="figure1a" w:history="1">
        <w:r w:rsidR="004778D8" w:rsidRPr="00D67BFB">
          <w:rPr>
            <w:rStyle w:val="Hyperlink"/>
            <w:rFonts w:eastAsia="Calibri"/>
          </w:rPr>
          <w:t>f</w:t>
        </w:r>
        <w:r w:rsidRPr="00D67BFB">
          <w:rPr>
            <w:rStyle w:val="Hyperlink"/>
            <w:rFonts w:eastAsia="Calibri"/>
          </w:rPr>
          <w:t>igure 1A</w:t>
        </w:r>
      </w:hyperlink>
      <w:r w:rsidR="004778D8">
        <w:rPr>
          <w:rFonts w:eastAsia="Calibri"/>
        </w:rPr>
        <w:t>, which</w:t>
      </w:r>
      <w:r w:rsidRPr="00BD7EB7">
        <w:rPr>
          <w:rFonts w:eastAsia="Calibri"/>
        </w:rPr>
        <w:t xml:space="preserve"> zoom</w:t>
      </w:r>
      <w:r w:rsidR="004778D8">
        <w:rPr>
          <w:rFonts w:eastAsia="Calibri"/>
        </w:rPr>
        <w:t>s</w:t>
      </w:r>
      <w:r w:rsidRPr="00BD7EB7">
        <w:rPr>
          <w:rFonts w:eastAsia="Calibri"/>
        </w:rPr>
        <w:t xml:space="preserve"> in on the period </w:t>
      </w:r>
      <w:r w:rsidR="004778D8">
        <w:rPr>
          <w:rFonts w:eastAsia="Calibri"/>
        </w:rPr>
        <w:t>1995</w:t>
      </w:r>
      <w:r w:rsidR="004778D8">
        <w:rPr>
          <w:rFonts w:eastAsia="Calibri"/>
        </w:rPr>
        <w:softHyphen/>
      </w:r>
      <w:r w:rsidRPr="00BD7EB7">
        <w:rPr>
          <w:rFonts w:eastAsia="Calibri"/>
        </w:rPr>
        <w:t>2020</w:t>
      </w:r>
      <w:r w:rsidR="004778D8">
        <w:rPr>
          <w:rFonts w:eastAsia="Calibri"/>
        </w:rPr>
        <w:t xml:space="preserve"> in figure 1</w:t>
      </w:r>
      <w:r w:rsidRPr="00BD7EB7">
        <w:rPr>
          <w:rFonts w:eastAsia="Calibri"/>
        </w:rPr>
        <w:t xml:space="preserve">. </w:t>
      </w:r>
      <w:r w:rsidR="004778D8">
        <w:rPr>
          <w:rFonts w:eastAsia="Calibri"/>
        </w:rPr>
        <w:t>A</w:t>
      </w:r>
      <w:r w:rsidRPr="00BD7EB7">
        <w:rPr>
          <w:rFonts w:eastAsia="Calibri"/>
        </w:rPr>
        <w:t>cross Aotearoa</w:t>
      </w:r>
      <w:r w:rsidR="004778D8">
        <w:rPr>
          <w:rFonts w:eastAsia="Calibri"/>
        </w:rPr>
        <w:t xml:space="preserve"> </w:t>
      </w:r>
      <w:r w:rsidRPr="00BD7EB7">
        <w:rPr>
          <w:rFonts w:eastAsia="Calibri"/>
        </w:rPr>
        <w:t>New Zealand</w:t>
      </w:r>
      <w:r w:rsidR="004778D8">
        <w:rPr>
          <w:rFonts w:eastAsia="Calibri"/>
        </w:rPr>
        <w:t>,</w:t>
      </w:r>
      <w:r w:rsidRPr="00BD7EB7">
        <w:rPr>
          <w:rFonts w:eastAsia="Calibri"/>
        </w:rPr>
        <w:t xml:space="preserve"> there is </w:t>
      </w:r>
      <w:r w:rsidR="004778D8">
        <w:rPr>
          <w:rFonts w:eastAsia="Calibri"/>
        </w:rPr>
        <w:t>o</w:t>
      </w:r>
      <w:r w:rsidR="004778D8" w:rsidRPr="00BD7EB7">
        <w:rPr>
          <w:rFonts w:eastAsia="Calibri"/>
        </w:rPr>
        <w:t xml:space="preserve">n average </w:t>
      </w:r>
      <w:r w:rsidRPr="00BD7EB7">
        <w:rPr>
          <w:rFonts w:eastAsia="Calibri"/>
        </w:rPr>
        <w:t xml:space="preserve">a 3 </w:t>
      </w:r>
      <w:r w:rsidR="004778D8">
        <w:rPr>
          <w:rFonts w:eastAsia="Calibri"/>
        </w:rPr>
        <w:t>cm</w:t>
      </w:r>
      <w:r w:rsidR="004778D8" w:rsidRPr="00BD7EB7">
        <w:rPr>
          <w:rFonts w:eastAsia="Calibri"/>
        </w:rPr>
        <w:t xml:space="preserve"> </w:t>
      </w:r>
      <w:r w:rsidRPr="00BD7EB7">
        <w:rPr>
          <w:rFonts w:eastAsia="Calibri"/>
        </w:rPr>
        <w:t xml:space="preserve">offset between the two different baselines. </w:t>
      </w:r>
      <w:hyperlink w:anchor="_Appendix_B" w:history="1">
        <w:r w:rsidR="004778D8" w:rsidRPr="00892EE8">
          <w:rPr>
            <w:rStyle w:val="Hyperlink"/>
            <w:rFonts w:eastAsia="Calibri"/>
          </w:rPr>
          <w:t>Appendix B</w:t>
        </w:r>
      </w:hyperlink>
      <w:r w:rsidR="004778D8" w:rsidRPr="00BD7EB7">
        <w:rPr>
          <w:rFonts w:eastAsia="Calibri"/>
        </w:rPr>
        <w:t xml:space="preserve"> </w:t>
      </w:r>
      <w:r w:rsidR="004778D8">
        <w:rPr>
          <w:rFonts w:eastAsia="Calibri"/>
        </w:rPr>
        <w:t>contains g</w:t>
      </w:r>
      <w:r w:rsidRPr="00BD7EB7">
        <w:rPr>
          <w:rFonts w:eastAsia="Calibri"/>
        </w:rPr>
        <w:t>uidance on converting between baselines and adding on recent MSL to convert RSLR into elevations above a survey datum.</w:t>
      </w:r>
    </w:p>
    <w:p w14:paraId="71F0E289" w14:textId="3925768C" w:rsidR="00BD7EB7" w:rsidRPr="00BD7EB7" w:rsidRDefault="00BD7EB7" w:rsidP="00BD7EB7">
      <w:pPr>
        <w:pStyle w:val="BodyText"/>
        <w:rPr>
          <w:rFonts w:eastAsia="Calibri"/>
        </w:rPr>
      </w:pPr>
      <w:r w:rsidRPr="00BD7EB7">
        <w:rPr>
          <w:rFonts w:eastAsia="Calibri"/>
        </w:rPr>
        <w:t xml:space="preserve">The variation in the differences </w:t>
      </w:r>
      <w:r w:rsidR="004778D8">
        <w:rPr>
          <w:rFonts w:eastAsia="Calibri"/>
        </w:rPr>
        <w:t>between</w:t>
      </w:r>
      <w:r w:rsidR="004778D8" w:rsidRPr="00BD7EB7">
        <w:rPr>
          <w:rFonts w:eastAsia="Calibri"/>
        </w:rPr>
        <w:t xml:space="preserve"> </w:t>
      </w:r>
      <w:r w:rsidRPr="00BD7EB7">
        <w:rPr>
          <w:rFonts w:eastAsia="Calibri"/>
        </w:rPr>
        <w:t xml:space="preserve">projections derived from the IPCC AR5 and AR6 </w:t>
      </w:r>
      <w:r w:rsidR="004778D8">
        <w:rPr>
          <w:rFonts w:eastAsia="Calibri"/>
        </w:rPr>
        <w:t>in</w:t>
      </w:r>
      <w:r w:rsidR="004778D8" w:rsidRPr="00BD7EB7">
        <w:rPr>
          <w:rFonts w:eastAsia="Calibri"/>
        </w:rPr>
        <w:t xml:space="preserve"> </w:t>
      </w:r>
      <w:r w:rsidRPr="00BD7EB7">
        <w:rPr>
          <w:rFonts w:eastAsia="Calibri"/>
        </w:rPr>
        <w:t>each scenario (</w:t>
      </w:r>
      <w:hyperlink w:anchor="figure1" w:history="1">
        <w:r w:rsidR="004778D8" w:rsidRPr="00892EE8">
          <w:rPr>
            <w:rStyle w:val="Hyperlink"/>
            <w:rFonts w:eastAsia="Calibri"/>
          </w:rPr>
          <w:t>f</w:t>
        </w:r>
        <w:r w:rsidRPr="00892EE8">
          <w:rPr>
            <w:rStyle w:val="Hyperlink"/>
            <w:rFonts w:eastAsia="Calibri"/>
          </w:rPr>
          <w:t>igure 1</w:t>
        </w:r>
      </w:hyperlink>
      <w:r w:rsidRPr="00BD7EB7">
        <w:rPr>
          <w:rFonts w:eastAsia="Calibri"/>
        </w:rPr>
        <w:t>) comes from improved climate-ocean-ice models, their sensitivity to warming, differences in modelled response of the ocean around New Zealand</w:t>
      </w:r>
      <w:r w:rsidR="004778D8">
        <w:rPr>
          <w:rFonts w:eastAsia="Calibri"/>
        </w:rPr>
        <w:t>,</w:t>
      </w:r>
      <w:r w:rsidRPr="00BD7EB7">
        <w:rPr>
          <w:rFonts w:eastAsia="Calibri"/>
        </w:rPr>
        <w:t xml:space="preserve"> and nuances in the </w:t>
      </w:r>
      <w:hyperlink w:anchor="_Change_in_type" w:history="1">
        <w:r w:rsidRPr="00BD3169">
          <w:rPr>
            <w:rStyle w:val="Hyperlink"/>
            <w:rFonts w:eastAsia="Calibri"/>
          </w:rPr>
          <w:t>new scenario suite used for IPCC AR6 projections</w:t>
        </w:r>
      </w:hyperlink>
      <w:r w:rsidRPr="00BD7EB7">
        <w:rPr>
          <w:rFonts w:eastAsia="Calibri"/>
        </w:rPr>
        <w:t xml:space="preserve">. </w:t>
      </w:r>
    </w:p>
    <w:p w14:paraId="2F6C6EDE" w14:textId="6B88D049" w:rsidR="00BD7EB7" w:rsidRPr="00BD7EB7" w:rsidRDefault="00BD7EB7" w:rsidP="008A756D">
      <w:pPr>
        <w:pStyle w:val="Heading3"/>
        <w:spacing w:after="240"/>
        <w:rPr>
          <w:rFonts w:eastAsia="Calibri"/>
        </w:rPr>
      </w:pPr>
      <w:bookmarkStart w:id="18" w:name="_Toc109397577"/>
      <w:bookmarkStart w:id="19" w:name="_Toc109809079"/>
      <w:r w:rsidRPr="00BD7EB7">
        <w:rPr>
          <w:rFonts w:eastAsia="Calibri"/>
        </w:rPr>
        <w:t>Vertical land movement (VLM)</w:t>
      </w:r>
      <w:bookmarkEnd w:id="18"/>
      <w:bookmarkEnd w:id="19"/>
    </w:p>
    <w:p w14:paraId="6DE61622" w14:textId="13223801" w:rsidR="00BD7EB7" w:rsidRPr="00BD7EB7" w:rsidRDefault="00BD7EB7" w:rsidP="00BD7EB7">
      <w:pPr>
        <w:spacing w:before="0" w:after="160" w:line="259" w:lineRule="auto"/>
        <w:jc w:val="left"/>
        <w:rPr>
          <w:rFonts w:eastAsia="Calibri" w:cs="Arial"/>
        </w:rPr>
      </w:pPr>
      <w:r w:rsidRPr="00BD7EB7">
        <w:rPr>
          <w:rFonts w:eastAsia="Calibri" w:cs="Arial"/>
        </w:rPr>
        <w:t>Through the recent analysis of satellite radar and GNSS/GPS data (Hambling et al</w:t>
      </w:r>
      <w:r w:rsidR="00461093">
        <w:rPr>
          <w:rFonts w:eastAsia="Calibri" w:cs="Arial"/>
        </w:rPr>
        <w:t>,</w:t>
      </w:r>
      <w:r w:rsidRPr="00BD7EB7">
        <w:rPr>
          <w:rFonts w:eastAsia="Calibri" w:cs="Arial"/>
        </w:rPr>
        <w:t xml:space="preserve"> 2022), high-spatial resolution estimates of VLM rates (in mm/</w:t>
      </w:r>
      <w:proofErr w:type="spellStart"/>
      <w:r w:rsidRPr="00BD7EB7">
        <w:rPr>
          <w:rFonts w:eastAsia="Calibri" w:cs="Arial"/>
        </w:rPr>
        <w:t>yr</w:t>
      </w:r>
      <w:proofErr w:type="spellEnd"/>
      <w:r w:rsidRPr="00BD7EB7">
        <w:rPr>
          <w:rFonts w:eastAsia="Calibri" w:cs="Arial"/>
        </w:rPr>
        <w:t xml:space="preserve">) for 2003–11 are now available via </w:t>
      </w:r>
      <w:proofErr w:type="spellStart"/>
      <w:r w:rsidRPr="00BD7EB7">
        <w:rPr>
          <w:rFonts w:eastAsia="Calibri" w:cs="Arial"/>
        </w:rPr>
        <w:t>NZSeaRise</w:t>
      </w:r>
      <w:proofErr w:type="spellEnd"/>
      <w:r w:rsidRPr="00BD7EB7">
        <w:rPr>
          <w:rFonts w:eastAsia="Calibri" w:cs="Arial"/>
        </w:rPr>
        <w:t xml:space="preserve"> on the </w:t>
      </w:r>
      <w:proofErr w:type="spellStart"/>
      <w:r w:rsidRPr="00BD7EB7">
        <w:rPr>
          <w:rFonts w:eastAsia="Calibri" w:cs="Arial"/>
        </w:rPr>
        <w:t>Takiwā</w:t>
      </w:r>
      <w:proofErr w:type="spellEnd"/>
      <w:r w:rsidRPr="00BD7EB7">
        <w:rPr>
          <w:rFonts w:eastAsia="Calibri" w:cs="Arial"/>
        </w:rPr>
        <w:t xml:space="preserve"> platform</w:t>
      </w:r>
      <w:r w:rsidRPr="00BD7EB7">
        <w:rPr>
          <w:rFonts w:eastAsia="Calibri" w:cs="Arial"/>
          <w:vertAlign w:val="superscript"/>
        </w:rPr>
        <w:footnoteReference w:id="4"/>
      </w:r>
      <w:r w:rsidRPr="00BD7EB7">
        <w:rPr>
          <w:rFonts w:eastAsia="Calibri" w:cs="Arial"/>
        </w:rPr>
        <w:t xml:space="preserve"> at 2-km spacing</w:t>
      </w:r>
      <w:r w:rsidR="00461093">
        <w:rPr>
          <w:rFonts w:eastAsia="Calibri" w:cs="Arial"/>
        </w:rPr>
        <w:t>s</w:t>
      </w:r>
      <w:r w:rsidRPr="00BD7EB7">
        <w:rPr>
          <w:rFonts w:eastAsia="Calibri" w:cs="Arial"/>
        </w:rPr>
        <w:t xml:space="preserve"> along the entire coast</w:t>
      </w:r>
      <w:r w:rsidRPr="00BD7EB7" w:rsidDel="00461093">
        <w:rPr>
          <w:rFonts w:eastAsia="Calibri" w:cs="Arial"/>
        </w:rPr>
        <w:t xml:space="preserve"> </w:t>
      </w:r>
      <w:r w:rsidRPr="00BD7EB7">
        <w:rPr>
          <w:rFonts w:eastAsia="Calibri" w:cs="Arial"/>
        </w:rPr>
        <w:t>of Aotearoa</w:t>
      </w:r>
      <w:r w:rsidR="00461093">
        <w:rPr>
          <w:rFonts w:eastAsia="Calibri" w:cs="Arial"/>
        </w:rPr>
        <w:t xml:space="preserve"> </w:t>
      </w:r>
      <w:r w:rsidRPr="00BD7EB7">
        <w:rPr>
          <w:rFonts w:eastAsia="Calibri" w:cs="Arial"/>
        </w:rPr>
        <w:t xml:space="preserve">New Zealand. These averaged </w:t>
      </w:r>
      <w:r w:rsidR="00461093">
        <w:rPr>
          <w:rFonts w:eastAsia="Calibri" w:cs="Arial"/>
        </w:rPr>
        <w:t xml:space="preserve">local </w:t>
      </w:r>
      <w:r w:rsidRPr="00BD7EB7">
        <w:rPr>
          <w:rFonts w:eastAsia="Calibri" w:cs="Arial"/>
        </w:rPr>
        <w:t xml:space="preserve">VLM rates, extrapolated into the future, have been assimilated into a second set of RSLR projections that include the effect of landmass uplift or subsidence (or neutral if no significant VLM). </w:t>
      </w:r>
    </w:p>
    <w:p w14:paraId="2EEC0E3D" w14:textId="3B364F51" w:rsidR="00BD7EB7" w:rsidRPr="00BD7EB7" w:rsidRDefault="00FB2729" w:rsidP="00BD7EB7">
      <w:pPr>
        <w:spacing w:before="0" w:after="160" w:line="259" w:lineRule="auto"/>
        <w:jc w:val="left"/>
        <w:rPr>
          <w:rFonts w:eastAsia="Calibri" w:cs="Arial"/>
        </w:rPr>
      </w:pPr>
      <w:hyperlink w:anchor="_Appendix_B" w:history="1">
        <w:r w:rsidR="00BD7EB7" w:rsidRPr="00D50714">
          <w:rPr>
            <w:rStyle w:val="Hyperlink"/>
            <w:rFonts w:eastAsia="Calibri" w:cs="Arial"/>
          </w:rPr>
          <w:t>Appendix B</w:t>
        </w:r>
      </w:hyperlink>
      <w:r w:rsidR="00BD7EB7" w:rsidRPr="00BD7EB7">
        <w:rPr>
          <w:rFonts w:eastAsia="Calibri" w:cs="Arial"/>
        </w:rPr>
        <w:t xml:space="preserve"> describes how the VLM rates were derived, quality scored and incorporated in RSLR projections, along with assumptions and caveats regarding the future VLM rates. VLM rates in the future will be subject to change and </w:t>
      </w:r>
      <w:r w:rsidR="00461093">
        <w:rPr>
          <w:rFonts w:eastAsia="Calibri" w:cs="Arial"/>
        </w:rPr>
        <w:t>will</w:t>
      </w:r>
      <w:r w:rsidR="00461093" w:rsidRPr="00BD7EB7">
        <w:rPr>
          <w:rFonts w:eastAsia="Calibri" w:cs="Arial"/>
        </w:rPr>
        <w:t xml:space="preserve"> </w:t>
      </w:r>
      <w:r w:rsidR="00BD7EB7" w:rsidRPr="00BD7EB7">
        <w:rPr>
          <w:rFonts w:eastAsia="Calibri" w:cs="Arial"/>
        </w:rPr>
        <w:t xml:space="preserve">be updated by ongoing analysis of </w:t>
      </w:r>
      <w:proofErr w:type="spellStart"/>
      <w:r w:rsidR="00BD7EB7" w:rsidRPr="00BD7EB7">
        <w:rPr>
          <w:rFonts w:eastAsia="Calibri" w:cs="Arial"/>
        </w:rPr>
        <w:t>InSAR</w:t>
      </w:r>
      <w:proofErr w:type="spellEnd"/>
      <w:r w:rsidR="00BD7EB7" w:rsidRPr="00BD7EB7">
        <w:rPr>
          <w:rFonts w:eastAsia="Calibri" w:cs="Arial"/>
        </w:rPr>
        <w:t xml:space="preserve"> and GNSS station trends.</w:t>
      </w:r>
    </w:p>
    <w:p w14:paraId="30EB059D" w14:textId="3723CE68" w:rsidR="00BD7EB7" w:rsidRPr="00BD7EB7" w:rsidRDefault="00BD7EB7" w:rsidP="00BD7EB7">
      <w:pPr>
        <w:spacing w:before="0" w:after="160" w:line="259" w:lineRule="auto"/>
        <w:jc w:val="left"/>
        <w:rPr>
          <w:rFonts w:eastAsia="Calibri" w:cs="Arial"/>
        </w:rPr>
      </w:pPr>
      <w:r w:rsidRPr="00BD7EB7">
        <w:rPr>
          <w:rFonts w:eastAsia="Calibri" w:cs="Arial"/>
        </w:rPr>
        <w:t xml:space="preserve">If coastal land </w:t>
      </w:r>
      <w:r w:rsidR="00461093">
        <w:rPr>
          <w:rFonts w:eastAsia="Calibri" w:cs="Arial"/>
        </w:rPr>
        <w:t>in areas of Aotearoa</w:t>
      </w:r>
      <w:r w:rsidR="006C323F">
        <w:rPr>
          <w:rFonts w:eastAsia="Calibri" w:cs="Arial"/>
        </w:rPr>
        <w:t xml:space="preserve"> New Zealand</w:t>
      </w:r>
      <w:r w:rsidR="00461093" w:rsidRPr="00BD7EB7">
        <w:rPr>
          <w:rFonts w:eastAsia="Calibri" w:cs="Arial"/>
        </w:rPr>
        <w:t xml:space="preserve"> </w:t>
      </w:r>
      <w:r w:rsidRPr="00BD7EB7">
        <w:rPr>
          <w:rFonts w:eastAsia="Calibri" w:cs="Arial"/>
        </w:rPr>
        <w:t xml:space="preserve">continues to subside, this will exacerbate the height of sea-level rise relative to the sinking land, even </w:t>
      </w:r>
      <w:r w:rsidR="00461093">
        <w:rPr>
          <w:rFonts w:eastAsia="Calibri" w:cs="Arial"/>
        </w:rPr>
        <w:t>if</w:t>
      </w:r>
      <w:r w:rsidR="00461093" w:rsidRPr="00BD7EB7">
        <w:rPr>
          <w:rFonts w:eastAsia="Calibri" w:cs="Arial"/>
        </w:rPr>
        <w:t xml:space="preserve"> </w:t>
      </w:r>
      <w:r w:rsidRPr="00BD7EB7">
        <w:rPr>
          <w:rFonts w:eastAsia="Calibri" w:cs="Arial"/>
        </w:rPr>
        <w:t xml:space="preserve">the rise in ocean elevation </w:t>
      </w:r>
      <w:r w:rsidRPr="00BD7EB7" w:rsidDel="00461093">
        <w:rPr>
          <w:rFonts w:eastAsia="Calibri" w:cs="Arial"/>
        </w:rPr>
        <w:t xml:space="preserve">is </w:t>
      </w:r>
      <w:r w:rsidR="00461093">
        <w:rPr>
          <w:rFonts w:eastAsia="Calibri" w:cs="Arial"/>
        </w:rPr>
        <w:t>unchanged</w:t>
      </w:r>
      <w:r w:rsidRPr="00BD7EB7">
        <w:rPr>
          <w:rFonts w:eastAsia="Calibri" w:cs="Arial"/>
        </w:rPr>
        <w:t xml:space="preserve"> (</w:t>
      </w:r>
      <w:hyperlink w:anchor="figure2" w:history="1">
        <w:r w:rsidR="00461093" w:rsidRPr="006829EB">
          <w:rPr>
            <w:rStyle w:val="Hyperlink"/>
            <w:rFonts w:eastAsia="Calibri" w:cs="Arial"/>
          </w:rPr>
          <w:t>f</w:t>
        </w:r>
        <w:r w:rsidRPr="006829EB">
          <w:rPr>
            <w:rStyle w:val="Hyperlink"/>
            <w:rFonts w:eastAsia="Calibri" w:cs="Arial"/>
          </w:rPr>
          <w:t>igure 2</w:t>
        </w:r>
      </w:hyperlink>
      <w:r w:rsidRPr="00BD7EB7">
        <w:rPr>
          <w:rFonts w:eastAsia="Calibri" w:cs="Arial"/>
        </w:rPr>
        <w:t xml:space="preserve">). The converse occurs with land that is uplifting locally or regionally, which will </w:t>
      </w:r>
      <w:r w:rsidR="008248C2">
        <w:rPr>
          <w:rFonts w:eastAsia="Calibri" w:cs="Arial"/>
        </w:rPr>
        <w:t>cause</w:t>
      </w:r>
      <w:r w:rsidR="008248C2" w:rsidRPr="00BD7EB7">
        <w:rPr>
          <w:rFonts w:eastAsia="Calibri" w:cs="Arial"/>
        </w:rPr>
        <w:t xml:space="preserve"> </w:t>
      </w:r>
      <w:r w:rsidRPr="00BD7EB7">
        <w:rPr>
          <w:rFonts w:eastAsia="Calibri" w:cs="Arial"/>
        </w:rPr>
        <w:t xml:space="preserve">a slower rise in the height of sea-level relative to the rising land. </w:t>
      </w:r>
    </w:p>
    <w:p w14:paraId="43432E81" w14:textId="757D7F18" w:rsidR="00BD7EB7" w:rsidRPr="00BD7EB7" w:rsidRDefault="00BD7EB7" w:rsidP="00BD7EB7">
      <w:pPr>
        <w:spacing w:before="0" w:after="160" w:line="259" w:lineRule="auto"/>
        <w:jc w:val="left"/>
        <w:rPr>
          <w:rFonts w:eastAsia="Calibri" w:cs="Arial"/>
        </w:rPr>
      </w:pPr>
      <w:r w:rsidRPr="00BD7EB7">
        <w:rPr>
          <w:rFonts w:eastAsia="Calibri" w:cs="Arial"/>
        </w:rPr>
        <w:t xml:space="preserve">Given the limited </w:t>
      </w:r>
      <w:r w:rsidR="008248C2">
        <w:rPr>
          <w:rFonts w:eastAsia="Calibri" w:cs="Arial"/>
        </w:rPr>
        <w:t>information</w:t>
      </w:r>
      <w:r w:rsidR="008248C2" w:rsidRPr="00BD7EB7">
        <w:rPr>
          <w:rFonts w:eastAsia="Calibri" w:cs="Arial"/>
        </w:rPr>
        <w:t xml:space="preserve"> </w:t>
      </w:r>
      <w:r w:rsidRPr="00BD7EB7">
        <w:rPr>
          <w:rFonts w:eastAsia="Calibri" w:cs="Arial"/>
        </w:rPr>
        <w:t xml:space="preserve">on </w:t>
      </w:r>
      <w:r w:rsidRPr="000E0943">
        <w:rPr>
          <w:rFonts w:eastAsia="Calibri" w:cs="Arial"/>
        </w:rPr>
        <w:t>coastal</w:t>
      </w:r>
      <w:r w:rsidRPr="00BD7EB7">
        <w:rPr>
          <w:rFonts w:eastAsia="Calibri" w:cs="Arial"/>
        </w:rPr>
        <w:t xml:space="preserve"> VLM rates in </w:t>
      </w:r>
      <w:r w:rsidR="006829EB">
        <w:rPr>
          <w:rFonts w:eastAsia="Calibri" w:cs="Arial"/>
        </w:rPr>
        <w:t>c</w:t>
      </w:r>
      <w:r w:rsidRPr="00BD7EB7">
        <w:rPr>
          <w:rFonts w:eastAsia="Calibri" w:cs="Arial"/>
        </w:rPr>
        <w:t xml:space="preserve">hapter 5 of the 2017 </w:t>
      </w:r>
      <w:r w:rsidRPr="00BD7EB7" w:rsidDel="008248C2">
        <w:rPr>
          <w:rFonts w:eastAsia="Calibri" w:cs="Arial"/>
        </w:rPr>
        <w:t xml:space="preserve">coastal </w:t>
      </w:r>
      <w:r w:rsidR="009942B5">
        <w:rPr>
          <w:rFonts w:eastAsia="Calibri" w:cs="Arial"/>
        </w:rPr>
        <w:t>hazards</w:t>
      </w:r>
      <w:r w:rsidR="009942B5" w:rsidRPr="00BD7EB7">
        <w:rPr>
          <w:rFonts w:eastAsia="Calibri" w:cs="Arial"/>
        </w:rPr>
        <w:t xml:space="preserve"> </w:t>
      </w:r>
      <w:r w:rsidRPr="00BD7EB7">
        <w:rPr>
          <w:rFonts w:eastAsia="Calibri" w:cs="Arial"/>
        </w:rPr>
        <w:t xml:space="preserve">guidance, some additional context is provided in </w:t>
      </w:r>
      <w:hyperlink w:anchor="Box1" w:history="1">
        <w:r w:rsidR="00235A17">
          <w:rPr>
            <w:rStyle w:val="Hyperlink"/>
            <w:rFonts w:eastAsia="Calibri" w:cs="Arial"/>
          </w:rPr>
          <w:t>b</w:t>
        </w:r>
        <w:r w:rsidRPr="006829EB">
          <w:rPr>
            <w:rStyle w:val="Hyperlink"/>
            <w:rFonts w:eastAsia="Calibri" w:cs="Arial"/>
          </w:rPr>
          <w:t>ox 1</w:t>
        </w:r>
      </w:hyperlink>
      <w:r w:rsidRPr="00BD7EB7">
        <w:rPr>
          <w:rFonts w:eastAsia="Calibri" w:cs="Arial"/>
        </w:rP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E755C" w14:paraId="72C5FAA5" w14:textId="77777777">
        <w:tc>
          <w:tcPr>
            <w:tcW w:w="0" w:type="auto"/>
            <w:shd w:val="clear" w:color="auto" w:fill="D2DDE2"/>
          </w:tcPr>
          <w:p w14:paraId="036D5C84" w14:textId="7BF212EC" w:rsidR="008E755C" w:rsidRPr="004D22A8" w:rsidRDefault="008E755C">
            <w:pPr>
              <w:pStyle w:val="Boxheading0"/>
              <w:rPr>
                <w:rFonts w:ascii="Calibri" w:hAnsi="Calibri" w:cs="Calibri"/>
              </w:rPr>
            </w:pPr>
            <w:bookmarkStart w:id="20" w:name="Box1"/>
            <w:bookmarkStart w:id="21" w:name="_Hlk108285854"/>
            <w:r w:rsidRPr="004D22A8">
              <w:rPr>
                <w:rFonts w:ascii="Calibri" w:hAnsi="Calibri" w:cs="Calibri"/>
              </w:rPr>
              <w:t xml:space="preserve">Box 1: </w:t>
            </w:r>
            <w:bookmarkEnd w:id="20"/>
            <w:r w:rsidRPr="004D22A8">
              <w:rPr>
                <w:rFonts w:ascii="Calibri" w:hAnsi="Calibri" w:cs="Calibri"/>
                <w:bCs/>
              </w:rPr>
              <w:t>Context for VLM rates used in RSLR projections</w:t>
            </w:r>
          </w:p>
          <w:p w14:paraId="23163CDF" w14:textId="7638A615" w:rsidR="008E755C" w:rsidRPr="004D22A8" w:rsidRDefault="0025440B" w:rsidP="008E755C">
            <w:pPr>
              <w:pStyle w:val="Boxtext"/>
              <w:rPr>
                <w:rFonts w:ascii="Calibri" w:hAnsi="Calibri" w:cs="Calibri"/>
              </w:rPr>
            </w:pPr>
            <w:r w:rsidRPr="004D22A8">
              <w:rPr>
                <w:rFonts w:ascii="Calibri" w:hAnsi="Calibri" w:cs="Calibri"/>
              </w:rPr>
              <w:t>O</w:t>
            </w:r>
            <w:r w:rsidR="008E755C" w:rsidRPr="004D22A8">
              <w:rPr>
                <w:rFonts w:ascii="Calibri" w:hAnsi="Calibri" w:cs="Calibri"/>
              </w:rPr>
              <w:t>n timescales longer than the seismic cycle (&gt;100 years), most of Aotearoa</w:t>
            </w:r>
            <w:r w:rsidRPr="004D22A8">
              <w:rPr>
                <w:rFonts w:ascii="Calibri" w:hAnsi="Calibri" w:cs="Calibri"/>
              </w:rPr>
              <w:t xml:space="preserve"> </w:t>
            </w:r>
            <w:r w:rsidR="008E755C" w:rsidRPr="004D22A8">
              <w:rPr>
                <w:rFonts w:ascii="Calibri" w:hAnsi="Calibri" w:cs="Calibri"/>
              </w:rPr>
              <w:t>New Zealand's coastline is either stable or experiencing uplift</w:t>
            </w:r>
            <w:r w:rsidRPr="004D22A8">
              <w:rPr>
                <w:rFonts w:ascii="Calibri" w:hAnsi="Calibri" w:cs="Calibri"/>
              </w:rPr>
              <w:t>. This is</w:t>
            </w:r>
            <w:r w:rsidR="008E755C" w:rsidRPr="004D22A8">
              <w:rPr>
                <w:rFonts w:ascii="Calibri" w:hAnsi="Calibri" w:cs="Calibri"/>
              </w:rPr>
              <w:t xml:space="preserve"> due to the aggregate effect of vertical motion during earthquakes, although some areas have experienced slow long-term subsidence.</w:t>
            </w:r>
          </w:p>
          <w:p w14:paraId="5651EFE5" w14:textId="1285C667" w:rsidR="008E755C" w:rsidRPr="004D22A8" w:rsidRDefault="008E755C" w:rsidP="008E755C">
            <w:pPr>
              <w:pStyle w:val="Boxtext"/>
              <w:rPr>
                <w:rFonts w:ascii="Calibri" w:hAnsi="Calibri" w:cs="Calibri"/>
              </w:rPr>
            </w:pPr>
            <w:r w:rsidRPr="004D22A8">
              <w:rPr>
                <w:rFonts w:ascii="Calibri" w:hAnsi="Calibri" w:cs="Calibri"/>
              </w:rPr>
              <w:t>However, on planning and decision-making timeframes (generally 100 years)</w:t>
            </w:r>
            <w:r w:rsidR="0025440B" w:rsidRPr="004D22A8">
              <w:rPr>
                <w:rFonts w:ascii="Calibri" w:hAnsi="Calibri" w:cs="Calibri"/>
              </w:rPr>
              <w:t>,</w:t>
            </w:r>
            <w:r w:rsidRPr="004D22A8">
              <w:rPr>
                <w:rFonts w:ascii="Calibri" w:hAnsi="Calibri" w:cs="Calibri"/>
              </w:rPr>
              <w:t xml:space="preserve"> 40</w:t>
            </w:r>
            <w:r w:rsidR="009E3257" w:rsidRPr="004D22A8">
              <w:rPr>
                <w:rFonts w:ascii="Calibri" w:hAnsi="Calibri" w:cs="Calibri"/>
              </w:rPr>
              <w:t xml:space="preserve"> per cent </w:t>
            </w:r>
            <w:r w:rsidRPr="004D22A8">
              <w:rPr>
                <w:rFonts w:ascii="Calibri" w:hAnsi="Calibri" w:cs="Calibri"/>
              </w:rPr>
              <w:t>of New Zealand's coastline, especially around the lower North Island and upper South Island</w:t>
            </w:r>
            <w:r w:rsidR="0025440B" w:rsidRPr="004D22A8">
              <w:rPr>
                <w:rFonts w:ascii="Calibri" w:hAnsi="Calibri" w:cs="Calibri"/>
              </w:rPr>
              <w:t>,</w:t>
            </w:r>
            <w:r w:rsidRPr="004D22A8">
              <w:rPr>
                <w:rFonts w:ascii="Calibri" w:hAnsi="Calibri" w:cs="Calibri"/>
              </w:rPr>
              <w:t xml:space="preserve"> is subsiding (based on recent satellite-based measurements).</w:t>
            </w:r>
          </w:p>
          <w:p w14:paraId="635FD451" w14:textId="336937C9" w:rsidR="008E755C" w:rsidRPr="004D22A8" w:rsidRDefault="008E755C" w:rsidP="008E755C">
            <w:pPr>
              <w:pStyle w:val="Boxtext"/>
              <w:rPr>
                <w:rFonts w:ascii="Calibri" w:hAnsi="Calibri" w:cs="Calibri"/>
              </w:rPr>
            </w:pPr>
            <w:r w:rsidRPr="004D22A8">
              <w:rPr>
                <w:rFonts w:ascii="Calibri" w:hAnsi="Calibri" w:cs="Calibri"/>
              </w:rPr>
              <w:t xml:space="preserve">This subsidence, which can vary over time, is occurring between earthquakes. Subsidence can also occur as sediments in </w:t>
            </w:r>
            <w:r w:rsidR="00B46889" w:rsidRPr="004D22A8">
              <w:rPr>
                <w:rFonts w:ascii="Calibri" w:hAnsi="Calibri" w:cs="Calibri"/>
              </w:rPr>
              <w:t>low-</w:t>
            </w:r>
            <w:r w:rsidRPr="004D22A8">
              <w:rPr>
                <w:rFonts w:ascii="Calibri" w:hAnsi="Calibri" w:cs="Calibri"/>
              </w:rPr>
              <w:t xml:space="preserve">lying areas (basins) compact (eg, lower Hauraki Plains). </w:t>
            </w:r>
            <w:r w:rsidR="003E7827" w:rsidRPr="004D22A8">
              <w:rPr>
                <w:rFonts w:ascii="Calibri" w:hAnsi="Calibri" w:cs="Calibri"/>
              </w:rPr>
              <w:t>T</w:t>
            </w:r>
            <w:r w:rsidRPr="004D22A8">
              <w:rPr>
                <w:rFonts w:ascii="Calibri" w:hAnsi="Calibri" w:cs="Calibri"/>
              </w:rPr>
              <w:t>his inter-seismic and/or sedimentary basin VLM trend</w:t>
            </w:r>
            <w:r w:rsidR="003E7827" w:rsidRPr="004D22A8">
              <w:rPr>
                <w:rFonts w:ascii="Calibri" w:hAnsi="Calibri" w:cs="Calibri"/>
              </w:rPr>
              <w:t>,</w:t>
            </w:r>
            <w:r w:rsidRPr="004D22A8">
              <w:rPr>
                <w:rFonts w:ascii="Calibri" w:hAnsi="Calibri" w:cs="Calibri"/>
              </w:rPr>
              <w:t xml:space="preserve"> measured from satellite radar and GNSS</w:t>
            </w:r>
            <w:r w:rsidR="003E7827" w:rsidRPr="004D22A8">
              <w:rPr>
                <w:rFonts w:ascii="Calibri" w:hAnsi="Calibri" w:cs="Calibri"/>
              </w:rPr>
              <w:t>,</w:t>
            </w:r>
            <w:r w:rsidRPr="004D22A8" w:rsidDel="003E7827">
              <w:rPr>
                <w:rFonts w:ascii="Calibri" w:hAnsi="Calibri" w:cs="Calibri"/>
              </w:rPr>
              <w:t xml:space="preserve"> </w:t>
            </w:r>
            <w:r w:rsidRPr="004D22A8">
              <w:rPr>
                <w:rFonts w:ascii="Calibri" w:hAnsi="Calibri" w:cs="Calibri"/>
              </w:rPr>
              <w:t xml:space="preserve">is incorporated in the new </w:t>
            </w:r>
            <w:proofErr w:type="spellStart"/>
            <w:r w:rsidRPr="004D22A8">
              <w:rPr>
                <w:rFonts w:ascii="Calibri" w:hAnsi="Calibri" w:cs="Calibri"/>
              </w:rPr>
              <w:t>NZSeaRise</w:t>
            </w:r>
            <w:proofErr w:type="spellEnd"/>
            <w:r w:rsidRPr="004D22A8">
              <w:rPr>
                <w:rFonts w:ascii="Calibri" w:hAnsi="Calibri" w:cs="Calibri"/>
              </w:rPr>
              <w:t xml:space="preserve"> projections. Users of these projections should also consider their local seismic hazard risk and any known localised subsidence hotspots (eg, historic reclamations) when considering coastal adaptation measures.</w:t>
            </w:r>
          </w:p>
          <w:p w14:paraId="642ECEF2" w14:textId="6415D901" w:rsidR="008E755C" w:rsidRPr="00345928" w:rsidRDefault="008E755C" w:rsidP="008E755C">
            <w:pPr>
              <w:pStyle w:val="Boxtext"/>
            </w:pPr>
            <w:r w:rsidRPr="004D22A8">
              <w:rPr>
                <w:rFonts w:ascii="Calibri" w:hAnsi="Calibri" w:cs="Calibri"/>
              </w:rPr>
              <w:t>There are uncertainties in the VLM rates currently used in the RSLR projections, arising from both the quality of the VLM data (</w:t>
            </w:r>
            <w:hyperlink w:anchor="_Appendix_C" w:history="1">
              <w:r w:rsidRPr="004D22A8">
                <w:rPr>
                  <w:rStyle w:val="Hyperlink"/>
                  <w:rFonts w:ascii="Calibri" w:hAnsi="Calibri" w:cs="Calibri"/>
                  <w:szCs w:val="22"/>
                </w:rPr>
                <w:t>Appendix C</w:t>
              </w:r>
            </w:hyperlink>
            <w:r w:rsidRPr="004D22A8">
              <w:rPr>
                <w:rFonts w:ascii="Calibri" w:hAnsi="Calibri" w:cs="Calibri"/>
              </w:rPr>
              <w:t xml:space="preserve">) and the uncertainty of how VLM trends will track in the future. While it is assumed that extrapolation of the inter-seismic VLM rate is valid, in lieu of an earthquake, the uncertainty of that rate is incorporated and propagated as part of the combined uncertainty range (shaded zone in </w:t>
            </w:r>
            <w:proofErr w:type="spellStart"/>
            <w:r w:rsidRPr="004D22A8">
              <w:rPr>
                <w:rFonts w:ascii="Calibri" w:hAnsi="Calibri" w:cs="Calibri"/>
              </w:rPr>
              <w:t>Takiwā</w:t>
            </w:r>
            <w:proofErr w:type="spellEnd"/>
            <w:r w:rsidRPr="004D22A8">
              <w:rPr>
                <w:rFonts w:ascii="Calibri" w:hAnsi="Calibri" w:cs="Calibri"/>
              </w:rPr>
              <w:t xml:space="preserve"> graphs) for each RSLR projection (outlined in </w:t>
            </w:r>
            <w:hyperlink w:anchor="_Appendix_C" w:history="1">
              <w:r w:rsidRPr="004D22A8">
                <w:rPr>
                  <w:rStyle w:val="Hyperlink"/>
                  <w:rFonts w:ascii="Calibri" w:hAnsi="Calibri" w:cs="Calibri"/>
                </w:rPr>
                <w:t>Appendix C</w:t>
              </w:r>
            </w:hyperlink>
            <w:r w:rsidRPr="004D22A8">
              <w:rPr>
                <w:rFonts w:ascii="Calibri" w:hAnsi="Calibri" w:cs="Calibri"/>
              </w:rPr>
              <w:t>). The uncertainty in VLM rates this century is another reason to adopt an adaptive planning approach such as DAPP, where changes in VLM rates are monitored over time, along with other changes in risk, and responded to, if VLM continues to be a significant contributor to future RSLR.</w:t>
            </w:r>
          </w:p>
        </w:tc>
      </w:tr>
    </w:tbl>
    <w:bookmarkEnd w:id="21"/>
    <w:p w14:paraId="0BD7C3B3" w14:textId="3DC2D819" w:rsidR="008E755C" w:rsidRDefault="008E755C" w:rsidP="008E755C">
      <w:pPr>
        <w:pStyle w:val="BodyText"/>
        <w:rPr>
          <w:rFonts w:eastAsia="Calibri"/>
        </w:rPr>
      </w:pPr>
      <w:r w:rsidRPr="008E755C">
        <w:rPr>
          <w:rFonts w:eastAsia="Calibri"/>
        </w:rPr>
        <w:t>This new ability to identify the variability that can occur in rates of VLM, and hence RSLR projections, over short stretches of Aotearoa</w:t>
      </w:r>
      <w:r w:rsidR="00803356">
        <w:rPr>
          <w:rFonts w:eastAsia="Calibri"/>
        </w:rPr>
        <w:t xml:space="preserve"> </w:t>
      </w:r>
      <w:r w:rsidRPr="008E755C">
        <w:rPr>
          <w:rFonts w:eastAsia="Calibri"/>
        </w:rPr>
        <w:t xml:space="preserve">New Zealand’s coastline is </w:t>
      </w:r>
      <w:r w:rsidR="00803356">
        <w:rPr>
          <w:rFonts w:eastAsia="Calibri"/>
        </w:rPr>
        <w:t xml:space="preserve">relevant to </w:t>
      </w:r>
      <w:r w:rsidRPr="008E755C">
        <w:rPr>
          <w:rFonts w:eastAsia="Calibri"/>
        </w:rPr>
        <w:t>decision</w:t>
      </w:r>
      <w:r w:rsidR="00803356">
        <w:rPr>
          <w:rFonts w:eastAsia="Calibri"/>
        </w:rPr>
        <w:t>-making</w:t>
      </w:r>
      <w:r w:rsidRPr="008E755C">
        <w:rPr>
          <w:rFonts w:eastAsia="Calibri"/>
        </w:rPr>
        <w:t xml:space="preserve"> and can help prioritise local adaptation approaches (eg, Policy 27</w:t>
      </w:r>
      <w:r w:rsidR="005C2BF0">
        <w:rPr>
          <w:rFonts w:eastAsia="Calibri"/>
        </w:rPr>
        <w:t xml:space="preserve">, </w:t>
      </w:r>
      <w:r w:rsidRPr="008E755C">
        <w:rPr>
          <w:rFonts w:eastAsia="Calibri"/>
        </w:rPr>
        <w:t>NZ Coastal Policy Statement</w:t>
      </w:r>
      <w:r w:rsidR="00AC67EC">
        <w:rPr>
          <w:rFonts w:eastAsia="Calibri"/>
        </w:rPr>
        <w:t>, 2010</w:t>
      </w:r>
      <w:r w:rsidRPr="008E755C">
        <w:rPr>
          <w:rFonts w:eastAsia="Calibri"/>
        </w:rPr>
        <w:t>; Levy et al, 2020; Naish et al</w:t>
      </w:r>
      <w:r w:rsidR="00803356">
        <w:rPr>
          <w:rFonts w:eastAsia="Calibri"/>
        </w:rPr>
        <w:t>,</w:t>
      </w:r>
      <w:r w:rsidRPr="008E755C">
        <w:rPr>
          <w:rFonts w:eastAsia="Calibri"/>
        </w:rPr>
        <w:t xml:space="preserve"> submitted</w:t>
      </w:r>
      <w:r w:rsidR="00803356">
        <w:rPr>
          <w:rFonts w:eastAsia="Calibri"/>
        </w:rPr>
        <w:t>).</w:t>
      </w:r>
      <w:r w:rsidRPr="008E755C">
        <w:rPr>
          <w:rFonts w:eastAsia="Calibri"/>
        </w:rPr>
        <w:t xml:space="preserve"> </w:t>
      </w:r>
    </w:p>
    <w:p w14:paraId="67E58706" w14:textId="4EAD2C3D" w:rsidR="008E755C" w:rsidRPr="008E755C" w:rsidRDefault="008E755C" w:rsidP="008E755C">
      <w:pPr>
        <w:pStyle w:val="Figureheading"/>
        <w:rPr>
          <w:rFonts w:eastAsia="Calibri"/>
          <w:i/>
          <w:iCs/>
        </w:rPr>
      </w:pPr>
      <w:bookmarkStart w:id="22" w:name="figure2"/>
      <w:bookmarkStart w:id="23" w:name="_Toc109809101"/>
      <w:r w:rsidRPr="008E755C">
        <w:rPr>
          <w:rFonts w:eastAsia="Calibri" w:cs="Times New Roman"/>
          <w:bCs/>
        </w:rPr>
        <w:t>Figure 2:</w:t>
      </w:r>
      <w:bookmarkEnd w:id="22"/>
      <w:r>
        <w:rPr>
          <w:rFonts w:eastAsia="Calibri" w:cs="Times New Roman"/>
        </w:rPr>
        <w:tab/>
      </w:r>
      <w:r w:rsidR="004C33B8">
        <w:t>Difference in mean sea level (MSL) shoreline between absolute and local (relative) sea-level rise where land subsidence occurs</w:t>
      </w:r>
      <w:bookmarkEnd w:id="23"/>
    </w:p>
    <w:p w14:paraId="24A59EC2" w14:textId="57554445" w:rsidR="00BD7EB7" w:rsidRPr="00BD7EB7" w:rsidRDefault="008E755C" w:rsidP="00BD7EB7">
      <w:pPr>
        <w:pStyle w:val="BodyText"/>
        <w:rPr>
          <w:rFonts w:eastAsia="Calibri"/>
        </w:rPr>
      </w:pPr>
      <w:r>
        <w:rPr>
          <w:rFonts w:cs="Times New Roman"/>
          <w:b/>
          <w:bCs/>
          <w:noProof/>
        </w:rPr>
        <w:drawing>
          <wp:inline distT="0" distB="0" distL="0" distR="0" wp14:anchorId="7D28FAA2" wp14:editId="3AC4717F">
            <wp:extent cx="5400675" cy="2136669"/>
            <wp:effectExtent l="0" t="0" r="0" b="0"/>
            <wp:docPr id="13" name="Picture 13" descr="Current and future sea-level rise and land surface is shown by a hill sloping towards a coastline on the left-hand side. Three points indicate future scenarios, one being the current mean sea-level shoreline, two being the future mean sea-level shoreline (with sea-level rise only), and three being the future mean sea-level shoreline (with sea-level rise and land sub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rrent and future sea-level rise and land surface is shown by a hill sloping towards a coastline on the left-hand side. Three points indicate future scenarios, one being the current mean sea-level shoreline, two being the future mean sea-level shoreline (with sea-level rise only), and three being the future mean sea-level shoreline (with sea-level rise and land subs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9855"/>
                    <a:stretch/>
                  </pic:blipFill>
                  <pic:spPr bwMode="auto">
                    <a:xfrm>
                      <a:off x="0" y="0"/>
                      <a:ext cx="5400675" cy="2136669"/>
                    </a:xfrm>
                    <a:prstGeom prst="rect">
                      <a:avLst/>
                    </a:prstGeom>
                    <a:noFill/>
                    <a:ln>
                      <a:noFill/>
                    </a:ln>
                    <a:extLst>
                      <a:ext uri="{53640926-AAD7-44D8-BBD7-CCE9431645EC}">
                        <a14:shadowObscured xmlns:a14="http://schemas.microsoft.com/office/drawing/2010/main"/>
                      </a:ext>
                    </a:extLst>
                  </pic:spPr>
                </pic:pic>
              </a:graphicData>
            </a:graphic>
          </wp:inline>
        </w:drawing>
      </w:r>
    </w:p>
    <w:p w14:paraId="3CED5196" w14:textId="2973E1C5" w:rsidR="008A756D" w:rsidRPr="008C41C7" w:rsidRDefault="00E25D64" w:rsidP="008C41C7">
      <w:pPr>
        <w:pStyle w:val="Note"/>
        <w:rPr>
          <w:rFonts w:asciiTheme="minorHAnsi" w:hAnsiTheme="minorHAnsi"/>
          <w:i/>
          <w:iCs/>
        </w:rPr>
      </w:pPr>
      <w:r>
        <w:rPr>
          <w:rFonts w:cs="Times New Roman"/>
          <w:b/>
          <w:bCs/>
        </w:rPr>
        <w:t xml:space="preserve">Note for </w:t>
      </w:r>
      <w:r w:rsidR="00092C72">
        <w:rPr>
          <w:rFonts w:cs="Times New Roman"/>
          <w:b/>
          <w:bCs/>
        </w:rPr>
        <w:t>f</w:t>
      </w:r>
      <w:r w:rsidR="005D722E">
        <w:rPr>
          <w:rFonts w:cs="Times New Roman"/>
          <w:b/>
          <w:bCs/>
        </w:rPr>
        <w:t>igure 2:</w:t>
      </w:r>
      <w:r w:rsidR="005D722E">
        <w:rPr>
          <w:rFonts w:cs="Times New Roman"/>
        </w:rPr>
        <w:t xml:space="preserve"> </w:t>
      </w:r>
      <w:r w:rsidR="005D722E">
        <w:t>The landward shift in the mean sea level (MSL) shoreline (2</w:t>
      </w:r>
      <w:r w:rsidR="005D722E">
        <w:rPr>
          <w:rFonts w:ascii="Wingdings" w:eastAsia="Wingdings" w:hAnsi="Wingdings" w:cs="Wingdings"/>
          <w:sz w:val="16"/>
          <w:szCs w:val="16"/>
        </w:rPr>
        <w:t>à</w:t>
      </w:r>
      <w:r w:rsidR="005D722E">
        <w:t xml:space="preserve">3) as the land mass continues to subside, even though the rising ocean level is largely unaffected by the local subsidence. </w:t>
      </w:r>
      <w:r w:rsidR="005D722E">
        <w:rPr>
          <w:i/>
          <w:iCs/>
        </w:rPr>
        <w:t xml:space="preserve">Source: A Wadhwa, NIWA and </w:t>
      </w:r>
      <w:r w:rsidR="00092C72">
        <w:rPr>
          <w:i/>
          <w:iCs/>
        </w:rPr>
        <w:t>f</w:t>
      </w:r>
      <w:r w:rsidR="005D722E">
        <w:rPr>
          <w:i/>
          <w:iCs/>
        </w:rPr>
        <w:t xml:space="preserve">igure 16, </w:t>
      </w:r>
      <w:r w:rsidR="002F2848">
        <w:rPr>
          <w:i/>
          <w:iCs/>
        </w:rPr>
        <w:t>Ministry for the Environment</w:t>
      </w:r>
      <w:r w:rsidR="00803356">
        <w:rPr>
          <w:i/>
          <w:iCs/>
        </w:rPr>
        <w:t>,</w:t>
      </w:r>
      <w:r w:rsidR="005D722E">
        <w:rPr>
          <w:i/>
          <w:iCs/>
        </w:rPr>
        <w:t xml:space="preserve"> 2017.</w:t>
      </w:r>
    </w:p>
    <w:p w14:paraId="142A6598" w14:textId="3EE72DC5" w:rsidR="00687784" w:rsidRPr="00687784" w:rsidRDefault="00687784" w:rsidP="008C41C7">
      <w:pPr>
        <w:pStyle w:val="Heading3"/>
        <w:spacing w:before="160" w:after="240"/>
        <w:rPr>
          <w:rFonts w:eastAsia="Calibri" w:cs="Arial"/>
          <w:b w:val="0"/>
          <w:bCs w:val="0"/>
        </w:rPr>
      </w:pPr>
      <w:bookmarkStart w:id="24" w:name="_Change_in_type"/>
      <w:bookmarkStart w:id="25" w:name="_Toc109397578"/>
      <w:bookmarkStart w:id="26" w:name="_Toc109809080"/>
      <w:bookmarkEnd w:id="24"/>
      <w:r w:rsidRPr="00687784">
        <w:rPr>
          <w:rFonts w:eastAsia="Calibri"/>
        </w:rPr>
        <w:t>Change in type of scenarios used in IPCC AR6 and RSLR projections for New Zealand</w:t>
      </w:r>
      <w:bookmarkEnd w:id="25"/>
      <w:bookmarkEnd w:id="26"/>
    </w:p>
    <w:p w14:paraId="398824BA" w14:textId="5181D42F" w:rsidR="00687784" w:rsidRPr="00687784" w:rsidRDefault="00687784" w:rsidP="008C41C7">
      <w:pPr>
        <w:spacing w:before="0" w:line="259" w:lineRule="auto"/>
        <w:jc w:val="left"/>
        <w:rPr>
          <w:rFonts w:eastAsia="Calibri" w:cs="Arial"/>
        </w:rPr>
      </w:pPr>
      <w:r w:rsidRPr="00687784">
        <w:rPr>
          <w:rFonts w:eastAsia="Calibri" w:cs="Arial"/>
        </w:rPr>
        <w:t xml:space="preserve">Scenario-based climate projections (including sea-level rise) for the IPCC AR5 assessment (2013) were based on four representative climate futures, known as </w:t>
      </w:r>
      <w:r w:rsidR="00E872DE">
        <w:rPr>
          <w:rFonts w:eastAsia="Calibri" w:cs="Arial"/>
        </w:rPr>
        <w:t>r</w:t>
      </w:r>
      <w:r w:rsidRPr="00687784">
        <w:rPr>
          <w:rFonts w:eastAsia="Calibri" w:cs="Arial"/>
        </w:rPr>
        <w:t xml:space="preserve">epresentative </w:t>
      </w:r>
      <w:r w:rsidR="00E872DE">
        <w:rPr>
          <w:rFonts w:eastAsia="Calibri" w:cs="Arial"/>
        </w:rPr>
        <w:t>c</w:t>
      </w:r>
      <w:r w:rsidRPr="00687784">
        <w:rPr>
          <w:rFonts w:eastAsia="Calibri" w:cs="Arial"/>
        </w:rPr>
        <w:t xml:space="preserve">oncentration </w:t>
      </w:r>
      <w:r w:rsidR="00E872DE">
        <w:rPr>
          <w:rFonts w:eastAsia="Calibri" w:cs="Arial"/>
        </w:rPr>
        <w:t>p</w:t>
      </w:r>
      <w:r w:rsidRPr="00687784">
        <w:rPr>
          <w:rFonts w:eastAsia="Calibri" w:cs="Arial"/>
        </w:rPr>
        <w:t xml:space="preserve">athways (RCPs). These futures were represented by a radiative forcing of warming that could be reached </w:t>
      </w:r>
      <w:r w:rsidR="00803356">
        <w:rPr>
          <w:rFonts w:eastAsia="Calibri" w:cs="Arial"/>
        </w:rPr>
        <w:t>in</w:t>
      </w:r>
      <w:r w:rsidRPr="00687784">
        <w:rPr>
          <w:rFonts w:eastAsia="Calibri" w:cs="Arial"/>
        </w:rPr>
        <w:t xml:space="preserve"> 2100,</w:t>
      </w:r>
      <w:r w:rsidRPr="00687784" w:rsidDel="00116787">
        <w:rPr>
          <w:rFonts w:eastAsia="Calibri" w:cs="Arial"/>
        </w:rPr>
        <w:t xml:space="preserve"> </w:t>
      </w:r>
      <w:r w:rsidR="00116787">
        <w:rPr>
          <w:rFonts w:eastAsia="Calibri" w:cs="Arial"/>
        </w:rPr>
        <w:t>ranging</w:t>
      </w:r>
      <w:r w:rsidR="00116787" w:rsidRPr="00687784">
        <w:rPr>
          <w:rFonts w:eastAsia="Calibri" w:cs="Arial"/>
        </w:rPr>
        <w:t xml:space="preserve"> </w:t>
      </w:r>
      <w:r w:rsidRPr="00687784">
        <w:rPr>
          <w:rFonts w:eastAsia="Calibri" w:cs="Arial"/>
        </w:rPr>
        <w:t>from 2.6, 4.5, 6.0 to 8.5 Watts/m</w:t>
      </w:r>
      <w:r w:rsidRPr="00687784">
        <w:rPr>
          <w:rFonts w:eastAsia="Calibri" w:cs="Arial"/>
          <w:vertAlign w:val="superscript"/>
        </w:rPr>
        <w:t>2</w:t>
      </w:r>
      <w:r w:rsidRPr="00687784">
        <w:rPr>
          <w:rFonts w:eastAsia="Calibri" w:cs="Arial"/>
        </w:rPr>
        <w:t xml:space="preserve"> of additional climate forcing</w:t>
      </w:r>
      <w:r w:rsidRPr="00687784">
        <w:rPr>
          <w:rFonts w:eastAsia="Calibri" w:cs="Arial"/>
          <w:vertAlign w:val="superscript"/>
        </w:rPr>
        <w:footnoteReference w:id="5"/>
      </w:r>
      <w:r w:rsidRPr="00687784">
        <w:rPr>
          <w:rFonts w:eastAsia="Calibri" w:cs="Arial"/>
        </w:rPr>
        <w:t xml:space="preserve"> since the pre-industrial era.</w:t>
      </w:r>
    </w:p>
    <w:p w14:paraId="36F5C95D" w14:textId="03C27F6D" w:rsidR="00687784" w:rsidRPr="00687784" w:rsidRDefault="00687784" w:rsidP="008C41C7">
      <w:pPr>
        <w:spacing w:before="0" w:line="259" w:lineRule="auto"/>
        <w:jc w:val="left"/>
        <w:rPr>
          <w:rFonts w:eastAsia="Calibri" w:cs="Arial"/>
        </w:rPr>
      </w:pPr>
      <w:r w:rsidRPr="00687784">
        <w:rPr>
          <w:rFonts w:eastAsia="Calibri" w:cs="Arial"/>
        </w:rPr>
        <w:t xml:space="preserve">IPCC’s AR6 shifted to a new integrated set of future representative scenarios, based on </w:t>
      </w:r>
      <w:r w:rsidR="00A43555">
        <w:rPr>
          <w:rFonts w:eastAsia="Calibri" w:cs="Arial"/>
        </w:rPr>
        <w:t>s</w:t>
      </w:r>
      <w:r w:rsidRPr="00687784">
        <w:rPr>
          <w:rFonts w:eastAsia="Calibri" w:cs="Arial"/>
        </w:rPr>
        <w:t xml:space="preserve">hared </w:t>
      </w:r>
      <w:r w:rsidR="00A43555">
        <w:rPr>
          <w:rFonts w:eastAsia="Calibri" w:cs="Arial"/>
        </w:rPr>
        <w:t>s</w:t>
      </w:r>
      <w:r w:rsidRPr="00687784">
        <w:rPr>
          <w:rFonts w:eastAsia="Calibri" w:cs="Arial"/>
        </w:rPr>
        <w:t xml:space="preserve">ocio-economic </w:t>
      </w:r>
      <w:r w:rsidR="00A43555">
        <w:rPr>
          <w:rFonts w:eastAsia="Calibri" w:cs="Arial"/>
        </w:rPr>
        <w:t>p</w:t>
      </w:r>
      <w:r w:rsidRPr="00687784">
        <w:rPr>
          <w:rFonts w:eastAsia="Calibri" w:cs="Arial"/>
        </w:rPr>
        <w:t>athways (SSPs), comprising socio-economic assumptions and changes that influence future emissions trajectories. These scenarios, which complement the RCPs, span a wide range of plausible societal and climatic futures from a 1.5°C best-estimate warming to over 4°C warming by 2100 (Chen et al, 2021</w:t>
      </w:r>
      <w:r w:rsidR="00116787">
        <w:rPr>
          <w:rFonts w:eastAsia="Calibri" w:cs="Arial"/>
        </w:rPr>
        <w:t>,</w:t>
      </w:r>
      <w:r w:rsidRPr="00687784">
        <w:rPr>
          <w:rFonts w:eastAsia="Calibri" w:cs="Arial"/>
        </w:rPr>
        <w:t xml:space="preserve"> s</w:t>
      </w:r>
      <w:r w:rsidR="00116787">
        <w:rPr>
          <w:rFonts w:eastAsia="Calibri" w:cs="Arial"/>
        </w:rPr>
        <w:t xml:space="preserve">ection </w:t>
      </w:r>
      <w:r w:rsidRPr="00687784">
        <w:rPr>
          <w:rFonts w:eastAsia="Calibri" w:cs="Arial"/>
        </w:rPr>
        <w:t xml:space="preserve">1.6). </w:t>
      </w:r>
    </w:p>
    <w:p w14:paraId="4401B94B" w14:textId="4B0C4D3E" w:rsidR="00216E65" w:rsidRDefault="00687784" w:rsidP="008C41C7">
      <w:pPr>
        <w:spacing w:before="0" w:line="259" w:lineRule="auto"/>
        <w:jc w:val="left"/>
        <w:rPr>
          <w:rFonts w:eastAsia="Calibri" w:cs="Arial"/>
        </w:rPr>
      </w:pPr>
      <w:r w:rsidRPr="00687784">
        <w:rPr>
          <w:rFonts w:eastAsia="Calibri" w:cs="Arial"/>
        </w:rPr>
        <w:t xml:space="preserve">The new SSPs offer five different narratives </w:t>
      </w:r>
      <w:r w:rsidR="00116787">
        <w:rPr>
          <w:rFonts w:eastAsia="Calibri" w:cs="Arial"/>
        </w:rPr>
        <w:t>describing what</w:t>
      </w:r>
      <w:r w:rsidR="00116787" w:rsidRPr="00687784">
        <w:rPr>
          <w:rFonts w:eastAsia="Calibri" w:cs="Arial"/>
        </w:rPr>
        <w:t xml:space="preserve"> </w:t>
      </w:r>
      <w:r w:rsidRPr="00687784">
        <w:rPr>
          <w:rFonts w:eastAsia="Calibri" w:cs="Arial"/>
        </w:rPr>
        <w:t>the world could become</w:t>
      </w:r>
      <w:r w:rsidR="00116787">
        <w:rPr>
          <w:rFonts w:eastAsia="Calibri" w:cs="Arial"/>
        </w:rPr>
        <w:t>,</w:t>
      </w:r>
      <w:r w:rsidRPr="00687784">
        <w:rPr>
          <w:rFonts w:eastAsia="Calibri" w:cs="Arial"/>
          <w:vertAlign w:val="superscript"/>
        </w:rPr>
        <w:footnoteReference w:id="6"/>
      </w:r>
      <w:r w:rsidRPr="00687784" w:rsidDel="00116787">
        <w:rPr>
          <w:rFonts w:eastAsia="Calibri" w:cs="Arial"/>
        </w:rPr>
        <w:t xml:space="preserve"> </w:t>
      </w:r>
      <w:r w:rsidR="00116787">
        <w:rPr>
          <w:rFonts w:eastAsia="Calibri" w:cs="Arial"/>
        </w:rPr>
        <w:t>represented by</w:t>
      </w:r>
      <w:r w:rsidR="00116787" w:rsidRPr="00687784">
        <w:rPr>
          <w:rFonts w:eastAsia="Calibri" w:cs="Arial"/>
        </w:rPr>
        <w:t xml:space="preserve"> </w:t>
      </w:r>
      <w:r w:rsidR="00116787">
        <w:rPr>
          <w:rFonts w:eastAsia="Calibri" w:cs="Arial"/>
        </w:rPr>
        <w:t xml:space="preserve">the </w:t>
      </w:r>
      <w:r w:rsidRPr="00687784">
        <w:rPr>
          <w:rFonts w:eastAsia="Calibri" w:cs="Arial"/>
        </w:rPr>
        <w:t xml:space="preserve">titles shown in </w:t>
      </w:r>
      <w:hyperlink w:anchor="figure3" w:history="1">
        <w:r w:rsidR="00116787" w:rsidRPr="006838CB">
          <w:rPr>
            <w:rStyle w:val="Hyperlink"/>
            <w:rFonts w:eastAsia="Calibri" w:cs="Arial"/>
          </w:rPr>
          <w:t>f</w:t>
        </w:r>
        <w:r w:rsidRPr="006838CB">
          <w:rPr>
            <w:rStyle w:val="Hyperlink"/>
            <w:rFonts w:eastAsia="Calibri" w:cs="Arial"/>
          </w:rPr>
          <w:t>igure 3</w:t>
        </w:r>
      </w:hyperlink>
      <w:r w:rsidRPr="00687784">
        <w:rPr>
          <w:rFonts w:eastAsia="Calibri" w:cs="Arial"/>
        </w:rPr>
        <w:t>. Compared to previous scenarios, these offer a broader view than</w:t>
      </w:r>
      <w:r w:rsidR="00116787">
        <w:rPr>
          <w:rFonts w:eastAsia="Calibri" w:cs="Arial"/>
        </w:rPr>
        <w:t xml:space="preserve"> the</w:t>
      </w:r>
      <w:r w:rsidRPr="00687784">
        <w:rPr>
          <w:rFonts w:eastAsia="Calibri" w:cs="Arial"/>
        </w:rPr>
        <w:t xml:space="preserve"> “business as usual” socio-economic settings. The SSPs also show that it would be easier to both mitigate and adapt to climate change in some socio-economic futures (eg, SSP1 or SSP2) than in others</w:t>
      </w:r>
      <w:r w:rsidR="00116787">
        <w:rPr>
          <w:rFonts w:eastAsia="Calibri" w:cs="Arial"/>
        </w:rPr>
        <w:t>.</w:t>
      </w:r>
      <w:r w:rsidRPr="00687784" w:rsidDel="00116787">
        <w:rPr>
          <w:rFonts w:eastAsia="Calibri" w:cs="Arial"/>
        </w:rPr>
        <w:t xml:space="preserve"> </w:t>
      </w:r>
      <w:r w:rsidR="00116787">
        <w:rPr>
          <w:rFonts w:eastAsia="Calibri" w:cs="Arial"/>
        </w:rPr>
        <w:t>In contrast, in</w:t>
      </w:r>
      <w:r w:rsidRPr="00687784">
        <w:rPr>
          <w:rFonts w:eastAsia="Calibri" w:cs="Arial"/>
        </w:rPr>
        <w:t xml:space="preserve"> </w:t>
      </w:r>
      <w:r w:rsidR="00911AB6">
        <w:rPr>
          <w:rFonts w:eastAsia="Calibri" w:cs="Arial"/>
        </w:rPr>
        <w:t xml:space="preserve">a </w:t>
      </w:r>
      <w:r w:rsidRPr="00687784">
        <w:rPr>
          <w:rFonts w:eastAsia="Calibri" w:cs="Arial"/>
        </w:rPr>
        <w:t>SSP5</w:t>
      </w:r>
      <w:r w:rsidR="00911AB6">
        <w:rPr>
          <w:rFonts w:eastAsia="Calibri" w:cs="Arial"/>
        </w:rPr>
        <w:t xml:space="preserve"> future</w:t>
      </w:r>
      <w:r w:rsidRPr="00687784">
        <w:rPr>
          <w:rFonts w:eastAsia="Calibri" w:cs="Arial"/>
        </w:rPr>
        <w:t xml:space="preserve">, it would be harder to both achieve mitigation and implement effective adaptation. </w:t>
      </w:r>
    </w:p>
    <w:p w14:paraId="6DAC634A" w14:textId="1364E753" w:rsidR="00687784" w:rsidRPr="00687784" w:rsidRDefault="00687784" w:rsidP="00471EBB">
      <w:pPr>
        <w:pStyle w:val="Figureheading"/>
        <w:rPr>
          <w:rFonts w:eastAsia="Calibri"/>
        </w:rPr>
      </w:pPr>
      <w:bookmarkStart w:id="27" w:name="figure3"/>
      <w:bookmarkStart w:id="28" w:name="_Toc109809102"/>
      <w:r w:rsidRPr="00687784" w:rsidDel="00116787">
        <w:rPr>
          <w:rFonts w:eastAsia="Calibri"/>
          <w:bCs/>
        </w:rPr>
        <w:t>Figure 3:</w:t>
      </w:r>
      <w:bookmarkEnd w:id="27"/>
      <w:r w:rsidDel="00116787">
        <w:rPr>
          <w:rFonts w:eastAsia="Calibri"/>
        </w:rPr>
        <w:tab/>
      </w:r>
      <w:r w:rsidDel="00116787">
        <w:t xml:space="preserve">Global mean temperature in </w:t>
      </w:r>
      <w:r w:rsidR="00F77EC0">
        <w:t>a</w:t>
      </w:r>
      <w:r w:rsidR="00F77EC0" w:rsidDel="006C323F">
        <w:t xml:space="preserve"> </w:t>
      </w:r>
      <w:r w:rsidR="00F77EC0">
        <w:t xml:space="preserve">suite of five </w:t>
      </w:r>
      <w:r w:rsidR="006C323F">
        <w:t>Shared Socio-economic Pathway (</w:t>
      </w:r>
      <w:r w:rsidR="00F77EC0">
        <w:t>SSP</w:t>
      </w:r>
      <w:r w:rsidR="006C323F">
        <w:t>)</w:t>
      </w:r>
      <w:r w:rsidR="00F77EC0">
        <w:t xml:space="preserve"> narratives that incorporate </w:t>
      </w:r>
      <w:r w:rsidR="006C323F">
        <w:t>Representative Concentration Pathways (</w:t>
      </w:r>
      <w:r w:rsidR="00F77EC0">
        <w:t>RCPs</w:t>
      </w:r>
      <w:r w:rsidR="006C323F">
        <w:t>)</w:t>
      </w:r>
      <w:bookmarkEnd w:id="28"/>
    </w:p>
    <w:p w14:paraId="21F80BD6" w14:textId="50CB8F79" w:rsidR="00687784" w:rsidRPr="00687784" w:rsidRDefault="00687784" w:rsidP="00687784">
      <w:pPr>
        <w:pStyle w:val="BodyText"/>
      </w:pPr>
      <w:r>
        <w:rPr>
          <w:rFonts w:cs="Times New Roman"/>
          <w:noProof/>
        </w:rPr>
        <w:drawing>
          <wp:inline distT="0" distB="0" distL="0" distR="0" wp14:anchorId="2C4BF29E" wp14:editId="59BD6954">
            <wp:extent cx="5227093" cy="5071328"/>
            <wp:effectExtent l="0" t="0" r="0" b="0"/>
            <wp:docPr id="22" name="Picture 22" descr="A 3D line graph shows global mean temperature in relation to the five SSP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3D line graph shows global mean temperature in relation to the five SSP scenari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2183" cy="5085968"/>
                    </a:xfrm>
                    <a:prstGeom prst="rect">
                      <a:avLst/>
                    </a:prstGeom>
                    <a:noFill/>
                    <a:ln>
                      <a:noFill/>
                    </a:ln>
                  </pic:spPr>
                </pic:pic>
              </a:graphicData>
            </a:graphic>
          </wp:inline>
        </w:drawing>
      </w:r>
    </w:p>
    <w:p w14:paraId="0767A6EF" w14:textId="048A93CC" w:rsidR="00471EBB" w:rsidRDefault="00E25D64" w:rsidP="00E25D64">
      <w:pPr>
        <w:pStyle w:val="Note"/>
        <w:rPr>
          <w:rFonts w:asciiTheme="minorHAnsi" w:hAnsiTheme="minorHAnsi"/>
        </w:rPr>
      </w:pPr>
      <w:r>
        <w:rPr>
          <w:b/>
          <w:bCs/>
        </w:rPr>
        <w:t xml:space="preserve">Notes for </w:t>
      </w:r>
      <w:r w:rsidR="00092C72">
        <w:rPr>
          <w:b/>
        </w:rPr>
        <w:t>f</w:t>
      </w:r>
      <w:r w:rsidR="00471EBB">
        <w:rPr>
          <w:b/>
        </w:rPr>
        <w:t>igure 3:</w:t>
      </w:r>
      <w:r w:rsidR="00471EBB">
        <w:t xml:space="preserve"> These were used by IPCC AR6 to generate climate projections and the </w:t>
      </w:r>
      <w:proofErr w:type="spellStart"/>
      <w:r w:rsidR="00471EBB">
        <w:t>NZSeaRise</w:t>
      </w:r>
      <w:proofErr w:type="spellEnd"/>
      <w:r w:rsidR="00471EBB">
        <w:t xml:space="preserve"> projections for Aotearoa</w:t>
      </w:r>
      <w:r w:rsidR="006C323F">
        <w:t xml:space="preserve"> New Zealand</w:t>
      </w:r>
      <w:r w:rsidR="00471EBB">
        <w:t xml:space="preserve">. </w:t>
      </w:r>
      <w:r w:rsidR="006C323F">
        <w:t>The v</w:t>
      </w:r>
      <w:r w:rsidR="00471EBB">
        <w:t xml:space="preserve">ertical axis is global mean temperature. </w:t>
      </w:r>
      <w:r w:rsidR="00471EBB">
        <w:rPr>
          <w:i/>
        </w:rPr>
        <w:t xml:space="preserve">Source: </w:t>
      </w:r>
      <w:proofErr w:type="spellStart"/>
      <w:r w:rsidR="00471EBB">
        <w:rPr>
          <w:i/>
        </w:rPr>
        <w:t>Meinshausen</w:t>
      </w:r>
      <w:proofErr w:type="spellEnd"/>
      <w:r w:rsidR="00471EBB">
        <w:rPr>
          <w:i/>
        </w:rPr>
        <w:t xml:space="preserve"> et al</w:t>
      </w:r>
      <w:r w:rsidR="006C323F">
        <w:rPr>
          <w:i/>
        </w:rPr>
        <w:t>,</w:t>
      </w:r>
      <w:r w:rsidR="00471EBB">
        <w:rPr>
          <w:i/>
        </w:rPr>
        <w:t xml:space="preserve"> 2020</w:t>
      </w:r>
      <w:r w:rsidR="00471EBB">
        <w:t xml:space="preserve">.  </w:t>
      </w:r>
      <w:r w:rsidR="00471EBB">
        <w:rPr>
          <w:i/>
        </w:rPr>
        <w:t>CC Attribution 4.0 License</w:t>
      </w:r>
      <w:r w:rsidR="00471EBB">
        <w:t>.</w:t>
      </w:r>
    </w:p>
    <w:p w14:paraId="5E84F086" w14:textId="361A3DC0" w:rsidR="00687784" w:rsidRPr="00687784" w:rsidRDefault="00687784" w:rsidP="00687784">
      <w:pPr>
        <w:pStyle w:val="BodyText"/>
        <w:rPr>
          <w:rFonts w:eastAsia="Calibri"/>
        </w:rPr>
      </w:pPr>
      <w:r w:rsidRPr="00687784">
        <w:rPr>
          <w:rFonts w:eastAsia="Calibri"/>
        </w:rPr>
        <w:t xml:space="preserve">The change to SSP scenarios recognises </w:t>
      </w:r>
      <w:r w:rsidR="00F24011">
        <w:rPr>
          <w:rFonts w:eastAsia="Calibri"/>
        </w:rPr>
        <w:t>that</w:t>
      </w:r>
      <w:r w:rsidRPr="00687784">
        <w:rPr>
          <w:rFonts w:eastAsia="Calibri"/>
        </w:rPr>
        <w:t xml:space="preserve"> varying pathways</w:t>
      </w:r>
      <w:r w:rsidR="00F24011">
        <w:rPr>
          <w:rFonts w:eastAsia="Calibri"/>
        </w:rPr>
        <w:t xml:space="preserve"> could be used</w:t>
      </w:r>
      <w:r w:rsidRPr="00687784">
        <w:rPr>
          <w:rFonts w:eastAsia="Calibri"/>
        </w:rPr>
        <w:t xml:space="preserve"> to reach global radiative forcing levels (as defined by the RCPs), such as different trajectories of CO</w:t>
      </w:r>
      <w:r w:rsidRPr="00687784">
        <w:rPr>
          <w:rFonts w:eastAsia="Calibri"/>
          <w:vertAlign w:val="subscript"/>
        </w:rPr>
        <w:t>2</w:t>
      </w:r>
      <w:r w:rsidRPr="00687784">
        <w:rPr>
          <w:rFonts w:eastAsia="Calibri"/>
        </w:rPr>
        <w:t xml:space="preserve"> and non-CO</w:t>
      </w:r>
      <w:r w:rsidRPr="00687784">
        <w:rPr>
          <w:rFonts w:eastAsia="Calibri"/>
          <w:vertAlign w:val="subscript"/>
        </w:rPr>
        <w:t>2</w:t>
      </w:r>
      <w:r w:rsidRPr="00687784">
        <w:rPr>
          <w:rFonts w:eastAsia="Calibri"/>
        </w:rPr>
        <w:t xml:space="preserve"> greenhouse-gas emissions, aerosols, population trends, income inequality, energy use and land use from different socio-economic stances and responses (Lee et al, 2021). A core suite of five combinations of SSPs and RCPs were adopted by IPCC for AR6 and climate researchers (</w:t>
      </w:r>
      <w:hyperlink w:anchor="figure3" w:history="1">
        <w:r w:rsidR="00F24011" w:rsidRPr="00297825">
          <w:rPr>
            <w:rStyle w:val="Hyperlink"/>
            <w:rFonts w:eastAsia="Calibri"/>
          </w:rPr>
          <w:t>f</w:t>
        </w:r>
        <w:r w:rsidRPr="00297825">
          <w:rPr>
            <w:rStyle w:val="Hyperlink"/>
            <w:rFonts w:eastAsia="Calibri"/>
          </w:rPr>
          <w:t>igure 3</w:t>
        </w:r>
      </w:hyperlink>
      <w:r w:rsidRPr="00687784">
        <w:rPr>
          <w:rFonts w:eastAsia="Calibri"/>
        </w:rPr>
        <w:t>), to develop global sea-level rise projections (Fox-Kemper et al, 2021). These five SSPs are named: SSP1-1.9, SSP1-2.6, SSP2-4.5, SSP3-7.0 and SSP5-8.5, with the latter numbers relating to the RCPs.</w:t>
      </w:r>
    </w:p>
    <w:p w14:paraId="2D0C3287" w14:textId="44245B82" w:rsidR="00687784" w:rsidRPr="00687784" w:rsidRDefault="00687784" w:rsidP="00687784">
      <w:pPr>
        <w:pStyle w:val="BodyText"/>
        <w:rPr>
          <w:rFonts w:eastAsia="Calibri"/>
        </w:rPr>
      </w:pPr>
      <w:r w:rsidRPr="00687784">
        <w:rPr>
          <w:rFonts w:eastAsia="Calibri"/>
        </w:rPr>
        <w:t xml:space="preserve">A further change from </w:t>
      </w:r>
      <w:r w:rsidR="00F52A74">
        <w:rPr>
          <w:rFonts w:eastAsia="Calibri"/>
        </w:rPr>
        <w:t xml:space="preserve">the </w:t>
      </w:r>
      <w:r w:rsidRPr="00687784">
        <w:rPr>
          <w:rFonts w:eastAsia="Calibri"/>
        </w:rPr>
        <w:t xml:space="preserve">IPCC AR5 </w:t>
      </w:r>
      <w:r w:rsidR="00857687">
        <w:rPr>
          <w:rFonts w:eastAsia="Calibri"/>
        </w:rPr>
        <w:t>SLR</w:t>
      </w:r>
      <w:r w:rsidRPr="00687784" w:rsidDel="00E36F0C">
        <w:rPr>
          <w:rFonts w:eastAsia="Calibri"/>
        </w:rPr>
        <w:t xml:space="preserve"> </w:t>
      </w:r>
      <w:r w:rsidRPr="00687784">
        <w:rPr>
          <w:rFonts w:eastAsia="Calibri"/>
        </w:rPr>
        <w:t xml:space="preserve">projections is that </w:t>
      </w:r>
      <w:r w:rsidR="00E36F0C" w:rsidRPr="00687784">
        <w:rPr>
          <w:rFonts w:eastAsia="Calibri"/>
        </w:rPr>
        <w:t xml:space="preserve">AR6 </w:t>
      </w:r>
      <w:r w:rsidR="00E36F0C">
        <w:rPr>
          <w:rFonts w:eastAsia="Calibri"/>
        </w:rPr>
        <w:t xml:space="preserve">includes </w:t>
      </w:r>
      <w:r w:rsidRPr="00687784">
        <w:rPr>
          <w:rFonts w:eastAsia="Calibri"/>
        </w:rPr>
        <w:t xml:space="preserve">two sets </w:t>
      </w:r>
      <w:r w:rsidR="00E36F0C">
        <w:rPr>
          <w:rFonts w:eastAsia="Calibri"/>
        </w:rPr>
        <w:t xml:space="preserve">of projections </w:t>
      </w:r>
      <w:r w:rsidRPr="00687784">
        <w:rPr>
          <w:rFonts w:eastAsia="Calibri"/>
        </w:rPr>
        <w:t>labelled “medium confidence” (out to 2150) and “low confidence” (out to 2300</w:t>
      </w:r>
      <w:r w:rsidR="00E36F0C">
        <w:rPr>
          <w:rFonts w:eastAsia="Calibri"/>
        </w:rPr>
        <w:t>;</w:t>
      </w:r>
      <w:r w:rsidRPr="00687784">
        <w:rPr>
          <w:rFonts w:eastAsia="Calibri"/>
        </w:rPr>
        <w:t xml:space="preserve"> Fox-Kemper et al, 2021). For the bulk of AR6’s </w:t>
      </w:r>
      <w:r w:rsidR="00857687">
        <w:rPr>
          <w:rFonts w:eastAsia="Calibri"/>
        </w:rPr>
        <w:t>SLR</w:t>
      </w:r>
      <w:r w:rsidRPr="00687784">
        <w:rPr>
          <w:rFonts w:eastAsia="Calibri"/>
        </w:rPr>
        <w:t xml:space="preserve"> projections, only processes in which there is </w:t>
      </w:r>
      <w:r w:rsidRPr="009428D0">
        <w:rPr>
          <w:rFonts w:eastAsia="Calibri"/>
        </w:rPr>
        <w:t>at least</w:t>
      </w:r>
      <w:r w:rsidRPr="00EE0CFC">
        <w:rPr>
          <w:rFonts w:eastAsia="Calibri"/>
        </w:rPr>
        <w:t xml:space="preserve"> </w:t>
      </w:r>
      <w:r w:rsidR="005F3D6C">
        <w:rPr>
          <w:rFonts w:eastAsia="Calibri"/>
        </w:rPr>
        <w:t>“</w:t>
      </w:r>
      <w:r w:rsidRPr="001E5221">
        <w:rPr>
          <w:rFonts w:eastAsia="Calibri"/>
          <w:iCs/>
        </w:rPr>
        <w:t>medium confidence</w:t>
      </w:r>
      <w:r w:rsidR="005F3D6C">
        <w:rPr>
          <w:rFonts w:eastAsia="Calibri"/>
          <w:iCs/>
        </w:rPr>
        <w:t>”</w:t>
      </w:r>
      <w:r w:rsidRPr="00687784">
        <w:rPr>
          <w:rFonts w:eastAsia="Calibri"/>
        </w:rPr>
        <w:t xml:space="preserve"> </w:t>
      </w:r>
      <w:r w:rsidR="00911AB6">
        <w:rPr>
          <w:rFonts w:eastAsia="Calibri"/>
        </w:rPr>
        <w:t xml:space="preserve">(with some processes at </w:t>
      </w:r>
      <w:r w:rsidR="005F3D6C">
        <w:rPr>
          <w:rFonts w:eastAsia="Calibri"/>
        </w:rPr>
        <w:t>“</w:t>
      </w:r>
      <w:r w:rsidR="00911AB6" w:rsidRPr="001E5221">
        <w:rPr>
          <w:rFonts w:eastAsia="Calibri"/>
        </w:rPr>
        <w:t>high confidence</w:t>
      </w:r>
      <w:r w:rsidR="005F3D6C">
        <w:rPr>
          <w:rFonts w:eastAsia="Calibri"/>
        </w:rPr>
        <w:t>”</w:t>
      </w:r>
      <w:r w:rsidR="00911AB6">
        <w:rPr>
          <w:rFonts w:eastAsia="Calibri"/>
        </w:rPr>
        <w:t xml:space="preserve">) </w:t>
      </w:r>
      <w:r w:rsidRPr="00687784">
        <w:rPr>
          <w:rFonts w:eastAsia="Calibri"/>
        </w:rPr>
        <w:t xml:space="preserve">are </w:t>
      </w:r>
      <w:r w:rsidR="00EE0CFC">
        <w:rPr>
          <w:rFonts w:eastAsia="Calibri"/>
        </w:rPr>
        <w:t xml:space="preserve">incorporated </w:t>
      </w:r>
      <w:r w:rsidR="00E36F0C" w:rsidRPr="00687784">
        <w:rPr>
          <w:rFonts w:eastAsia="Calibri"/>
        </w:rPr>
        <w:t>(including polar ice sheet responses)</w:t>
      </w:r>
      <w:r w:rsidRPr="00687784">
        <w:rPr>
          <w:rFonts w:eastAsia="Calibri"/>
        </w:rPr>
        <w:t xml:space="preserve">, with projections only extended to 2150 (previously 2100). A further, more limited set of </w:t>
      </w:r>
      <w:r w:rsidR="005F3D6C">
        <w:rPr>
          <w:rFonts w:eastAsia="Calibri"/>
        </w:rPr>
        <w:t>“</w:t>
      </w:r>
      <w:r w:rsidRPr="001E5221">
        <w:rPr>
          <w:rFonts w:eastAsia="Calibri"/>
          <w:iCs/>
        </w:rPr>
        <w:t>low confidence</w:t>
      </w:r>
      <w:r w:rsidR="005F3D6C">
        <w:rPr>
          <w:rFonts w:eastAsia="Calibri"/>
          <w:iCs/>
        </w:rPr>
        <w:t>”</w:t>
      </w:r>
      <w:r w:rsidRPr="00687784">
        <w:rPr>
          <w:rFonts w:eastAsia="Calibri"/>
        </w:rPr>
        <w:t xml:space="preserve"> projections out to 2300 uses a probabilistic ensemble based on a single Antarctic ice-sheet model</w:t>
      </w:r>
      <w:r w:rsidR="00E36F0C">
        <w:rPr>
          <w:rFonts w:eastAsia="Calibri"/>
        </w:rPr>
        <w:t>. This model</w:t>
      </w:r>
      <w:r w:rsidRPr="00687784" w:rsidDel="00E36F0C">
        <w:rPr>
          <w:rFonts w:eastAsia="Calibri"/>
        </w:rPr>
        <w:t xml:space="preserve"> </w:t>
      </w:r>
      <w:r w:rsidRPr="00687784">
        <w:rPr>
          <w:rFonts w:eastAsia="Calibri"/>
        </w:rPr>
        <w:t xml:space="preserve">incorporates an additional process known with </w:t>
      </w:r>
      <w:r w:rsidR="005F3D6C">
        <w:rPr>
          <w:rFonts w:eastAsia="Calibri"/>
        </w:rPr>
        <w:t>“</w:t>
      </w:r>
      <w:r w:rsidRPr="001E5221">
        <w:rPr>
          <w:rFonts w:eastAsia="Calibri"/>
          <w:iCs/>
        </w:rPr>
        <w:t>low confidence</w:t>
      </w:r>
      <w:r w:rsidR="00854B0E">
        <w:rPr>
          <w:rFonts w:eastAsia="Calibri"/>
          <w:iCs/>
        </w:rPr>
        <w:t>”</w:t>
      </w:r>
      <w:r w:rsidRPr="00687784">
        <w:rPr>
          <w:rFonts w:eastAsia="Calibri"/>
        </w:rPr>
        <w:t xml:space="preserve"> </w:t>
      </w:r>
      <w:r w:rsidR="00E36F0C">
        <w:rPr>
          <w:rFonts w:eastAsia="Calibri"/>
        </w:rPr>
        <w:t>(</w:t>
      </w:r>
      <w:r w:rsidRPr="00687784">
        <w:rPr>
          <w:rFonts w:eastAsia="Calibri"/>
        </w:rPr>
        <w:t>ie, marine ice cliff instability</w:t>
      </w:r>
      <w:r w:rsidR="00E36F0C">
        <w:rPr>
          <w:rFonts w:eastAsia="Calibri"/>
        </w:rPr>
        <w:t>;</w:t>
      </w:r>
      <w:r w:rsidRPr="00687784">
        <w:rPr>
          <w:rFonts w:eastAsia="Calibri"/>
        </w:rPr>
        <w:t xml:space="preserve"> </w:t>
      </w:r>
      <w:proofErr w:type="spellStart"/>
      <w:r w:rsidRPr="00687784">
        <w:rPr>
          <w:rFonts w:eastAsia="Calibri"/>
        </w:rPr>
        <w:t>DeConto</w:t>
      </w:r>
      <w:proofErr w:type="spellEnd"/>
      <w:r w:rsidRPr="00687784">
        <w:rPr>
          <w:rFonts w:eastAsia="Calibri"/>
        </w:rPr>
        <w:t xml:space="preserve"> et al, 2021) and the results of a structured expert judgement (Bamber et al, 2019), instead of a model ensemble (Seroussi et al, 2020). </w:t>
      </w:r>
    </w:p>
    <w:p w14:paraId="47FB2375" w14:textId="5FC8ACD2" w:rsidR="00687784" w:rsidRPr="00687784" w:rsidRDefault="00687784" w:rsidP="00687784">
      <w:pPr>
        <w:pStyle w:val="BodyText"/>
        <w:rPr>
          <w:rFonts w:eastAsia="Calibri"/>
        </w:rPr>
      </w:pPr>
      <w:r w:rsidRPr="00687784">
        <w:rPr>
          <w:rFonts w:eastAsia="Calibri"/>
        </w:rPr>
        <w:t>Three “low confidence” projections represent the upper range of plausibility, but "cannot be ruled out"</w:t>
      </w:r>
      <w:r w:rsidR="00EE0CFC">
        <w:rPr>
          <w:rFonts w:eastAsia="Calibri"/>
        </w:rPr>
        <w:t>,</w:t>
      </w:r>
      <w:r w:rsidRPr="00687784">
        <w:rPr>
          <w:rFonts w:eastAsia="Calibri"/>
        </w:rPr>
        <w:t xml:space="preserve"> according to IPCC AR6 Summary for Policy Makers (IPCC, 2021). These </w:t>
      </w:r>
      <w:r w:rsidRPr="00687784" w:rsidDel="00EE0CFC">
        <w:rPr>
          <w:rFonts w:eastAsia="Calibri"/>
        </w:rPr>
        <w:t xml:space="preserve">“low confidence” </w:t>
      </w:r>
      <w:r w:rsidRPr="00687784">
        <w:rPr>
          <w:rFonts w:eastAsia="Calibri"/>
        </w:rPr>
        <w:t xml:space="preserve">projections can be used to </w:t>
      </w:r>
      <w:r w:rsidRPr="0056522F">
        <w:rPr>
          <w:rFonts w:eastAsia="Calibri"/>
        </w:rPr>
        <w:t>further</w:t>
      </w:r>
      <w:r w:rsidRPr="00687784">
        <w:rPr>
          <w:rFonts w:eastAsia="Calibri"/>
        </w:rPr>
        <w:t xml:space="preserve"> stress-test </w:t>
      </w:r>
      <w:r w:rsidRPr="0056522F">
        <w:rPr>
          <w:rFonts w:eastAsia="Calibri"/>
        </w:rPr>
        <w:t>new</w:t>
      </w:r>
      <w:r w:rsidR="00EE0CFC">
        <w:rPr>
          <w:rFonts w:eastAsia="Calibri"/>
        </w:rPr>
        <w:t>,</w:t>
      </w:r>
      <w:r w:rsidRPr="0056522F">
        <w:rPr>
          <w:rFonts w:eastAsia="Calibri"/>
        </w:rPr>
        <w:t xml:space="preserve"> long-lived</w:t>
      </w:r>
      <w:r w:rsidRPr="00687784">
        <w:rPr>
          <w:rFonts w:eastAsia="Calibri"/>
        </w:rPr>
        <w:t xml:space="preserve"> development </w:t>
      </w:r>
      <w:r w:rsidR="00EE0CFC">
        <w:rPr>
          <w:rFonts w:eastAsia="Calibri"/>
        </w:rPr>
        <w:t>along</w:t>
      </w:r>
      <w:r w:rsidR="00EE0CFC" w:rsidRPr="00687784">
        <w:rPr>
          <w:rFonts w:eastAsia="Calibri"/>
        </w:rPr>
        <w:t xml:space="preserve"> </w:t>
      </w:r>
      <w:r w:rsidRPr="00687784">
        <w:rPr>
          <w:rFonts w:eastAsia="Calibri"/>
        </w:rPr>
        <w:t xml:space="preserve">the coast </w:t>
      </w:r>
      <w:r w:rsidR="00EE0CFC">
        <w:rPr>
          <w:rFonts w:eastAsia="Calibri"/>
        </w:rPr>
        <w:t>(</w:t>
      </w:r>
      <w:r w:rsidRPr="00687784">
        <w:rPr>
          <w:rFonts w:eastAsia="Calibri"/>
        </w:rPr>
        <w:t>eg, long-term infrastructure, proposed coastal subdivisions</w:t>
      </w:r>
      <w:r w:rsidR="00EE0CFC">
        <w:rPr>
          <w:rFonts w:eastAsia="Calibri"/>
        </w:rPr>
        <w:t>,</w:t>
      </w:r>
      <w:r w:rsidRPr="00687784">
        <w:rPr>
          <w:rFonts w:eastAsia="Calibri"/>
        </w:rPr>
        <w:t xml:space="preserve"> and </w:t>
      </w:r>
      <w:r w:rsidR="00EE0CFC">
        <w:rPr>
          <w:rFonts w:eastAsia="Calibri"/>
        </w:rPr>
        <w:t xml:space="preserve">the land moved to in </w:t>
      </w:r>
      <w:r w:rsidRPr="00687784">
        <w:rPr>
          <w:rFonts w:eastAsia="Calibri"/>
        </w:rPr>
        <w:t xml:space="preserve">managed-retreat processes). These </w:t>
      </w:r>
      <w:r w:rsidRPr="00687784" w:rsidDel="00EE0CFC">
        <w:rPr>
          <w:rFonts w:eastAsia="Calibri"/>
        </w:rPr>
        <w:t xml:space="preserve">“low confidence” </w:t>
      </w:r>
      <w:r w:rsidRPr="00687784">
        <w:rPr>
          <w:rFonts w:eastAsia="Calibri"/>
        </w:rPr>
        <w:t>projections also convey that sea-level rise will be ongoing for centuries (not just to 2150) –</w:t>
      </w:r>
      <w:r w:rsidRPr="00687784" w:rsidDel="00EE0CFC">
        <w:rPr>
          <w:rFonts w:eastAsia="Calibri"/>
        </w:rPr>
        <w:t xml:space="preserve"> </w:t>
      </w:r>
      <w:r w:rsidRPr="00687784">
        <w:rPr>
          <w:rFonts w:eastAsia="Calibri"/>
        </w:rPr>
        <w:t>exceeding 1</w:t>
      </w:r>
      <w:r w:rsidR="00BD30EB">
        <w:rPr>
          <w:rFonts w:eastAsia="Calibri"/>
        </w:rPr>
        <w:t xml:space="preserve"> </w:t>
      </w:r>
      <w:r w:rsidRPr="00687784">
        <w:rPr>
          <w:rFonts w:eastAsia="Calibri"/>
        </w:rPr>
        <w:t>m by 2200 for the low-emissions scenario SSP1-2.6 (akin to the Paris Agreement to keep global temperature below 2</w:t>
      </w:r>
      <w:r w:rsidRPr="00687784">
        <w:rPr>
          <w:rFonts w:eastAsia="Calibri" w:cs="Calibri"/>
        </w:rPr>
        <w:t>°</w:t>
      </w:r>
      <w:r w:rsidRPr="00687784">
        <w:rPr>
          <w:rFonts w:eastAsia="Calibri"/>
        </w:rPr>
        <w:t>C).</w:t>
      </w:r>
    </w:p>
    <w:p w14:paraId="088C251C" w14:textId="4AA2B54F" w:rsidR="00687784" w:rsidRPr="00687784" w:rsidRDefault="00687784" w:rsidP="00687784">
      <w:pPr>
        <w:pStyle w:val="BodyText"/>
        <w:rPr>
          <w:rFonts w:eastAsia="Calibri"/>
        </w:rPr>
      </w:pPr>
      <w:proofErr w:type="spellStart"/>
      <w:r w:rsidRPr="00687784">
        <w:rPr>
          <w:rFonts w:eastAsia="Calibri"/>
        </w:rPr>
        <w:t>NZSeaRise</w:t>
      </w:r>
      <w:proofErr w:type="spellEnd"/>
      <w:r w:rsidRPr="00687784">
        <w:rPr>
          <w:rFonts w:eastAsia="Calibri"/>
        </w:rPr>
        <w:t xml:space="preserve"> has uploaded the relevant New Zealand sea-level rise projections for the five SSPs for “medium confidence” projections and three SSPs for “low confidence” projections to the </w:t>
      </w:r>
      <w:proofErr w:type="spellStart"/>
      <w:r w:rsidRPr="00687784">
        <w:rPr>
          <w:rFonts w:eastAsia="Calibri"/>
        </w:rPr>
        <w:t>Takiwā</w:t>
      </w:r>
      <w:proofErr w:type="spellEnd"/>
      <w:r w:rsidRPr="00687784">
        <w:rPr>
          <w:rFonts w:eastAsia="Calibri"/>
        </w:rPr>
        <w:t xml:space="preserve"> platform (both with and without local VLM). These projections were derived using the same simulation process undertaken for IPCC AR6 (Naish et al, submitted</w:t>
      </w:r>
      <w:r w:rsidR="00EE0CFC">
        <w:rPr>
          <w:rFonts w:eastAsia="Calibri"/>
        </w:rPr>
        <w:t>).</w:t>
      </w:r>
      <w:r w:rsidRPr="00687784">
        <w:rPr>
          <w:rFonts w:eastAsia="Calibri"/>
        </w:rPr>
        <w:t xml:space="preserve"> </w:t>
      </w:r>
    </w:p>
    <w:p w14:paraId="03786257" w14:textId="593771FA" w:rsidR="00687784" w:rsidRPr="00687784" w:rsidRDefault="002F3F4C" w:rsidP="00687784">
      <w:pPr>
        <w:pStyle w:val="BodyText"/>
        <w:rPr>
          <w:rFonts w:eastAsia="Calibri"/>
        </w:rPr>
      </w:pPr>
      <w:r>
        <w:rPr>
          <w:rFonts w:eastAsia="Calibri"/>
        </w:rPr>
        <w:t>We r</w:t>
      </w:r>
      <w:r w:rsidR="00687784" w:rsidRPr="00687784">
        <w:rPr>
          <w:rFonts w:eastAsia="Calibri"/>
        </w:rPr>
        <w:t>ecommend us</w:t>
      </w:r>
      <w:r>
        <w:rPr>
          <w:rFonts w:eastAsia="Calibri"/>
        </w:rPr>
        <w:t>ing</w:t>
      </w:r>
      <w:r w:rsidR="00687784" w:rsidRPr="00687784">
        <w:rPr>
          <w:rFonts w:eastAsia="Calibri"/>
        </w:rPr>
        <w:t xml:space="preserve"> the new “medium</w:t>
      </w:r>
      <w:r>
        <w:rPr>
          <w:rFonts w:eastAsia="Calibri"/>
        </w:rPr>
        <w:t xml:space="preserve"> </w:t>
      </w:r>
      <w:r w:rsidR="00687784" w:rsidRPr="00687784">
        <w:rPr>
          <w:rFonts w:eastAsia="Calibri"/>
        </w:rPr>
        <w:t>confidence” SSPs out to 2150, rather than the RCP narratives, excluding the lowest</w:t>
      </w:r>
      <w:r>
        <w:rPr>
          <w:rFonts w:eastAsia="Calibri"/>
        </w:rPr>
        <w:t>,</w:t>
      </w:r>
      <w:r w:rsidR="00687784" w:rsidRPr="00687784">
        <w:rPr>
          <w:rFonts w:eastAsia="Calibri"/>
        </w:rPr>
        <w:t xml:space="preserve"> very aspirational SSP1</w:t>
      </w:r>
      <w:r w:rsidR="00105913">
        <w:rPr>
          <w:rFonts w:eastAsia="Calibri"/>
        </w:rPr>
        <w:t>-</w:t>
      </w:r>
      <w:r w:rsidR="00687784" w:rsidRPr="00687784">
        <w:rPr>
          <w:rFonts w:eastAsia="Calibri"/>
        </w:rPr>
        <w:t>1.9</w:t>
      </w:r>
      <w:r>
        <w:rPr>
          <w:rFonts w:eastAsia="Calibri"/>
        </w:rPr>
        <w:t>.</w:t>
      </w:r>
      <w:r w:rsidR="00687784" w:rsidRPr="00687784">
        <w:rPr>
          <w:rFonts w:eastAsia="Calibri"/>
          <w:vertAlign w:val="superscript"/>
        </w:rPr>
        <w:footnoteReference w:id="7"/>
      </w:r>
      <w:r w:rsidR="00687784" w:rsidRPr="00687784">
        <w:rPr>
          <w:rFonts w:eastAsia="Calibri"/>
        </w:rPr>
        <w:t xml:space="preserve"> </w:t>
      </w:r>
      <w:proofErr w:type="spellStart"/>
      <w:r w:rsidR="00687784" w:rsidRPr="00687784">
        <w:rPr>
          <w:rFonts w:eastAsia="Calibri"/>
        </w:rPr>
        <w:t>NZSeaRise</w:t>
      </w:r>
      <w:proofErr w:type="spellEnd"/>
      <w:r w:rsidR="00687784" w:rsidRPr="00687784">
        <w:rPr>
          <w:rFonts w:eastAsia="Calibri"/>
        </w:rPr>
        <w:t xml:space="preserve"> projections in </w:t>
      </w:r>
      <w:proofErr w:type="spellStart"/>
      <w:r w:rsidR="00687784" w:rsidRPr="00687784">
        <w:rPr>
          <w:rFonts w:eastAsia="Calibri"/>
        </w:rPr>
        <w:t>Takiwā</w:t>
      </w:r>
      <w:proofErr w:type="spellEnd"/>
      <w:r w:rsidR="00687784" w:rsidRPr="00687784">
        <w:rPr>
          <w:rFonts w:eastAsia="Calibri"/>
        </w:rPr>
        <w:t xml:space="preserve"> also </w:t>
      </w:r>
      <w:r>
        <w:rPr>
          <w:rFonts w:eastAsia="Calibri"/>
        </w:rPr>
        <w:t>show</w:t>
      </w:r>
      <w:r w:rsidR="00687784" w:rsidRPr="00687784" w:rsidDel="002F3F4C">
        <w:rPr>
          <w:rFonts w:eastAsia="Calibri"/>
        </w:rPr>
        <w:t xml:space="preserve"> </w:t>
      </w:r>
      <w:r w:rsidR="00687784" w:rsidRPr="00687784">
        <w:rPr>
          <w:rFonts w:eastAsia="Calibri"/>
        </w:rPr>
        <w:t xml:space="preserve">“likely ranges” of uncertainty about the median or </w:t>
      </w:r>
      <w:r w:rsidR="00687784" w:rsidRPr="00687784">
        <w:rPr>
          <w:rFonts w:eastAsia="Calibri"/>
          <w:i/>
          <w:iCs/>
        </w:rPr>
        <w:t>p50 (</w:t>
      </w:r>
      <w:r w:rsidR="00687784" w:rsidRPr="00E704B2">
        <w:rPr>
          <w:rFonts w:eastAsia="Calibri"/>
        </w:rPr>
        <w:t>50</w:t>
      </w:r>
      <w:r w:rsidRPr="00E704B2">
        <w:rPr>
          <w:rFonts w:eastAsia="Calibri"/>
          <w:vertAlign w:val="superscript"/>
        </w:rPr>
        <w:t>th</w:t>
      </w:r>
      <w:r w:rsidRPr="00E704B2">
        <w:rPr>
          <w:rFonts w:eastAsia="Calibri"/>
        </w:rPr>
        <w:t xml:space="preserve"> </w:t>
      </w:r>
      <w:r w:rsidR="00687784" w:rsidRPr="00E704B2">
        <w:rPr>
          <w:rFonts w:eastAsia="Calibri"/>
        </w:rPr>
        <w:t>percentile</w:t>
      </w:r>
      <w:r w:rsidRPr="002F3F4C">
        <w:rPr>
          <w:rFonts w:eastAsia="Calibri"/>
        </w:rPr>
        <w:t>,</w:t>
      </w:r>
      <w:r>
        <w:rPr>
          <w:rFonts w:eastAsia="Calibri"/>
        </w:rPr>
        <w:t xml:space="preserve"> represented by the </w:t>
      </w:r>
      <w:r w:rsidR="00687784" w:rsidRPr="00687784">
        <w:rPr>
          <w:rFonts w:eastAsia="Calibri"/>
        </w:rPr>
        <w:t>heavy coloured line), spanning the 17</w:t>
      </w:r>
      <w:r w:rsidR="00687784" w:rsidRPr="00687784">
        <w:rPr>
          <w:rFonts w:eastAsia="Calibri"/>
          <w:vertAlign w:val="superscript"/>
        </w:rPr>
        <w:t>th</w:t>
      </w:r>
      <w:r w:rsidR="00687784" w:rsidRPr="00687784">
        <w:rPr>
          <w:rFonts w:eastAsia="Calibri"/>
        </w:rPr>
        <w:t xml:space="preserve"> and 83</w:t>
      </w:r>
      <w:r w:rsidR="00687784" w:rsidRPr="00687784">
        <w:rPr>
          <w:rFonts w:eastAsia="Calibri"/>
          <w:vertAlign w:val="superscript"/>
        </w:rPr>
        <w:t>rd</w:t>
      </w:r>
      <w:r w:rsidR="00687784" w:rsidRPr="00687784">
        <w:rPr>
          <w:rFonts w:eastAsia="Calibri"/>
        </w:rPr>
        <w:t xml:space="preserve"> percentiles (label</w:t>
      </w:r>
      <w:r>
        <w:rPr>
          <w:rFonts w:eastAsia="Calibri"/>
        </w:rPr>
        <w:t>led</w:t>
      </w:r>
      <w:r w:rsidR="00687784" w:rsidRPr="00687784">
        <w:rPr>
          <w:rFonts w:eastAsia="Calibri"/>
        </w:rPr>
        <w:t xml:space="preserve"> </w:t>
      </w:r>
      <w:r w:rsidR="00687784" w:rsidRPr="00687784">
        <w:rPr>
          <w:rFonts w:eastAsia="Calibri"/>
          <w:i/>
          <w:iCs/>
        </w:rPr>
        <w:t>p17</w:t>
      </w:r>
      <w:r w:rsidR="00687784" w:rsidRPr="00687784">
        <w:rPr>
          <w:rFonts w:eastAsia="Calibri"/>
        </w:rPr>
        <w:t xml:space="preserve"> and </w:t>
      </w:r>
      <w:r w:rsidR="00687784" w:rsidRPr="00687784">
        <w:rPr>
          <w:rFonts w:eastAsia="Calibri"/>
          <w:i/>
          <w:iCs/>
        </w:rPr>
        <w:t>p83</w:t>
      </w:r>
      <w:r w:rsidR="00687784" w:rsidRPr="00687784">
        <w:rPr>
          <w:rFonts w:eastAsia="Calibri"/>
        </w:rPr>
        <w:t xml:space="preserve"> in </w:t>
      </w:r>
      <w:proofErr w:type="spellStart"/>
      <w:r w:rsidR="00687784" w:rsidRPr="00687784">
        <w:rPr>
          <w:rFonts w:eastAsia="Calibri"/>
        </w:rPr>
        <w:t>Takiwā</w:t>
      </w:r>
      <w:proofErr w:type="spellEnd"/>
      <w:r w:rsidR="00687784" w:rsidRPr="00687784">
        <w:rPr>
          <w:rFonts w:eastAsia="Calibri"/>
        </w:rPr>
        <w:t xml:space="preserve">).  </w:t>
      </w:r>
    </w:p>
    <w:p w14:paraId="3C615BCD" w14:textId="35FE0CBB" w:rsidR="00687784" w:rsidRPr="00687784" w:rsidRDefault="00687784" w:rsidP="00687784">
      <w:pPr>
        <w:pStyle w:val="BodyText"/>
        <w:rPr>
          <w:rFonts w:eastAsia="Calibri"/>
        </w:rPr>
      </w:pPr>
      <w:r w:rsidRPr="00687784">
        <w:rPr>
          <w:rFonts w:eastAsia="Calibri"/>
        </w:rPr>
        <w:t>Likely ranges arise from multiple simulations and different models of combinations (ensembles) of components and processes that could contribute to sea-level rise for a particular SSP narrative</w:t>
      </w:r>
      <w:r w:rsidR="002F3F4C">
        <w:rPr>
          <w:rFonts w:eastAsia="Calibri"/>
        </w:rPr>
        <w:t>. It is worth</w:t>
      </w:r>
      <w:r w:rsidRPr="00687784">
        <w:rPr>
          <w:rFonts w:eastAsia="Calibri"/>
        </w:rPr>
        <w:t xml:space="preserve"> noting </w:t>
      </w:r>
      <w:r w:rsidR="002F3F4C">
        <w:rPr>
          <w:rFonts w:eastAsia="Calibri"/>
        </w:rPr>
        <w:t>that</w:t>
      </w:r>
      <w:r w:rsidRPr="00687784">
        <w:rPr>
          <w:rFonts w:eastAsia="Calibri"/>
        </w:rPr>
        <w:t xml:space="preserve"> 33</w:t>
      </w:r>
      <w:r w:rsidR="00C648F8">
        <w:rPr>
          <w:rFonts w:eastAsia="Calibri"/>
        </w:rPr>
        <w:t xml:space="preserve"> per cent</w:t>
      </w:r>
      <w:r w:rsidRPr="00687784">
        <w:rPr>
          <w:rFonts w:eastAsia="Calibri"/>
        </w:rPr>
        <w:t xml:space="preserve"> of possibilities</w:t>
      </w:r>
      <w:r w:rsidR="00911AB6">
        <w:rPr>
          <w:rFonts w:eastAsia="Calibri"/>
        </w:rPr>
        <w:t xml:space="preserve"> for a particular S</w:t>
      </w:r>
      <w:r w:rsidR="001E5221">
        <w:rPr>
          <w:rFonts w:eastAsia="Calibri"/>
        </w:rPr>
        <w:t>S</w:t>
      </w:r>
      <w:r w:rsidR="00911AB6">
        <w:rPr>
          <w:rFonts w:eastAsia="Calibri"/>
        </w:rPr>
        <w:t>P</w:t>
      </w:r>
      <w:r w:rsidRPr="00687784">
        <w:rPr>
          <w:rFonts w:eastAsia="Calibri"/>
        </w:rPr>
        <w:t xml:space="preserve"> </w:t>
      </w:r>
      <w:r w:rsidR="002F3F4C">
        <w:rPr>
          <w:rFonts w:eastAsia="Calibri"/>
        </w:rPr>
        <w:t xml:space="preserve">fall </w:t>
      </w:r>
      <w:r w:rsidRPr="00687784">
        <w:rPr>
          <w:rFonts w:eastAsia="Calibri"/>
        </w:rPr>
        <w:t xml:space="preserve">outside </w:t>
      </w:r>
      <w:r w:rsidR="00911AB6">
        <w:rPr>
          <w:rFonts w:eastAsia="Calibri"/>
        </w:rPr>
        <w:t>its</w:t>
      </w:r>
      <w:r w:rsidRPr="00687784">
        <w:rPr>
          <w:rFonts w:eastAsia="Calibri"/>
        </w:rPr>
        <w:t xml:space="preserve"> likely range.</w:t>
      </w:r>
    </w:p>
    <w:p w14:paraId="2FD923F1" w14:textId="60AC44C6" w:rsidR="00687784" w:rsidRPr="00687784" w:rsidRDefault="00687784" w:rsidP="00687784">
      <w:pPr>
        <w:spacing w:before="0" w:after="160" w:line="259" w:lineRule="auto"/>
        <w:jc w:val="left"/>
        <w:rPr>
          <w:rFonts w:eastAsia="Calibri" w:cs="Arial"/>
        </w:rPr>
      </w:pPr>
      <w:r w:rsidRPr="00687784">
        <w:rPr>
          <w:rFonts w:eastAsia="Calibri" w:cs="Arial"/>
        </w:rPr>
        <w:t>The recommended SSP scenarios to use for planning (</w:t>
      </w:r>
      <w:r w:rsidR="002F3F4C">
        <w:rPr>
          <w:rFonts w:eastAsia="Calibri" w:cs="Arial"/>
        </w:rPr>
        <w:t xml:space="preserve">see </w:t>
      </w:r>
      <w:r w:rsidRPr="00687784">
        <w:rPr>
          <w:rFonts w:eastAsia="Calibri" w:cs="Arial"/>
        </w:rPr>
        <w:t xml:space="preserve">next section) use </w:t>
      </w:r>
      <w:r w:rsidRPr="00E223D2">
        <w:rPr>
          <w:rFonts w:eastAsia="Calibri" w:cs="Arial"/>
        </w:rPr>
        <w:t>median</w:t>
      </w:r>
      <w:r w:rsidRPr="00687784">
        <w:rPr>
          <w:rFonts w:eastAsia="Calibri" w:cs="Arial"/>
        </w:rPr>
        <w:t xml:space="preserve"> (</w:t>
      </w:r>
      <w:r w:rsidRPr="00687784">
        <w:rPr>
          <w:rFonts w:eastAsia="Calibri" w:cs="Arial"/>
          <w:i/>
          <w:iCs/>
        </w:rPr>
        <w:t>p50</w:t>
      </w:r>
      <w:r w:rsidRPr="00687784">
        <w:rPr>
          <w:rFonts w:eastAsia="Calibri" w:cs="Arial"/>
        </w:rPr>
        <w:t>) projections</w:t>
      </w:r>
      <w:r w:rsidR="002F3F4C">
        <w:rPr>
          <w:rFonts w:eastAsia="Calibri" w:cs="Arial"/>
        </w:rPr>
        <w:t>,</w:t>
      </w:r>
      <w:r w:rsidRPr="00687784">
        <w:rPr>
          <w:rFonts w:eastAsia="Calibri" w:cs="Arial"/>
        </w:rPr>
        <w:t xml:space="preserve"> apart from the highest projection, which like the H</w:t>
      </w:r>
      <w:r w:rsidRPr="00687784">
        <w:rPr>
          <w:rFonts w:eastAsia="Calibri" w:cs="Arial"/>
          <w:vertAlign w:val="superscript"/>
        </w:rPr>
        <w:t>+</w:t>
      </w:r>
      <w:r w:rsidRPr="00687784">
        <w:rPr>
          <w:rFonts w:eastAsia="Calibri" w:cs="Arial"/>
        </w:rPr>
        <w:t xml:space="preserve"> scenario in the 2017 </w:t>
      </w:r>
      <w:r w:rsidR="009942B5">
        <w:rPr>
          <w:rFonts w:eastAsia="Calibri" w:cs="Arial"/>
        </w:rPr>
        <w:t xml:space="preserve">coastal hazards </w:t>
      </w:r>
      <w:r w:rsidRPr="00687784">
        <w:rPr>
          <w:rFonts w:eastAsia="Calibri" w:cs="Arial"/>
        </w:rPr>
        <w:t>guidance, uses the 83</w:t>
      </w:r>
      <w:r w:rsidRPr="00687784">
        <w:rPr>
          <w:rFonts w:eastAsia="Calibri" w:cs="Arial"/>
          <w:vertAlign w:val="superscript"/>
        </w:rPr>
        <w:t>rd</w:t>
      </w:r>
      <w:r w:rsidRPr="00687784">
        <w:rPr>
          <w:rFonts w:eastAsia="Calibri" w:cs="Arial"/>
        </w:rPr>
        <w:t xml:space="preserve"> percentile (</w:t>
      </w:r>
      <w:r w:rsidRPr="00687784">
        <w:rPr>
          <w:rFonts w:eastAsia="Calibri" w:cs="Arial"/>
          <w:i/>
          <w:iCs/>
        </w:rPr>
        <w:t>p83</w:t>
      </w:r>
      <w:r w:rsidRPr="00687784">
        <w:rPr>
          <w:rFonts w:eastAsia="Calibri" w:cs="Arial"/>
        </w:rPr>
        <w:t xml:space="preserve">) of SSP5-8.5. </w:t>
      </w:r>
    </w:p>
    <w:p w14:paraId="384497C3" w14:textId="09C25C83" w:rsidR="00687784" w:rsidRPr="00687784" w:rsidRDefault="00687784" w:rsidP="00FC3D7E">
      <w:pPr>
        <w:pStyle w:val="Heading3"/>
        <w:spacing w:after="240"/>
        <w:rPr>
          <w:rFonts w:eastAsia="Calibri" w:cs="Times New Roman"/>
          <w:b w:val="0"/>
          <w:bCs w:val="0"/>
        </w:rPr>
      </w:pPr>
      <w:bookmarkStart w:id="29" w:name="_Toc109397579"/>
      <w:bookmarkStart w:id="30" w:name="_Toc109809081"/>
      <w:r w:rsidRPr="00687784">
        <w:rPr>
          <w:rFonts w:eastAsia="Calibri"/>
        </w:rPr>
        <w:t>Revised recommendations o</w:t>
      </w:r>
      <w:r w:rsidR="002F3F4C">
        <w:rPr>
          <w:rFonts w:eastAsia="Calibri"/>
        </w:rPr>
        <w:t>n using</w:t>
      </w:r>
      <w:r w:rsidRPr="00687784">
        <w:rPr>
          <w:rFonts w:eastAsia="Calibri"/>
        </w:rPr>
        <w:t xml:space="preserve"> sea-level rise projections for land-use planning</w:t>
      </w:r>
      <w:bookmarkEnd w:id="29"/>
      <w:bookmarkEnd w:id="30"/>
      <w:r w:rsidRPr="00687784">
        <w:rPr>
          <w:rFonts w:eastAsia="Calibri"/>
        </w:rPr>
        <w:t xml:space="preserve"> </w:t>
      </w:r>
    </w:p>
    <w:p w14:paraId="3A7EEB0F" w14:textId="172C27F1" w:rsidR="00687784" w:rsidRPr="00687784" w:rsidRDefault="00687784" w:rsidP="00687784">
      <w:pPr>
        <w:spacing w:before="0" w:after="160" w:line="259" w:lineRule="auto"/>
        <w:jc w:val="left"/>
        <w:rPr>
          <w:rFonts w:eastAsia="Calibri" w:cs="Times New Roman"/>
        </w:rPr>
      </w:pPr>
      <w:r w:rsidRPr="00687784">
        <w:rPr>
          <w:rFonts w:eastAsia="Calibri" w:cs="Times New Roman"/>
        </w:rPr>
        <w:t xml:space="preserve">IPCC Working Group II (AR6) found global mean sea-level rise is likely to continue accelerating, even under the lower SSP1-2.6 scenario and the more strongly forced scenarios (Cooley et al, 2022). Consequently, they determine with high confidence that coastal risks will increase by at least 10-fold over this century due to already committed sea-level rise. For New Zealand, nuisance and extreme coastal flooding have increased since 2000 </w:t>
      </w:r>
      <w:r w:rsidR="00EB6EDF">
        <w:rPr>
          <w:rFonts w:eastAsia="Calibri" w:cs="Times New Roman"/>
        </w:rPr>
        <w:t xml:space="preserve">because </w:t>
      </w:r>
      <w:r w:rsidRPr="00687784">
        <w:rPr>
          <w:rFonts w:eastAsia="Calibri" w:cs="Times New Roman"/>
        </w:rPr>
        <w:t>of a higher MSL</w:t>
      </w:r>
      <w:r w:rsidR="00FE62BC">
        <w:rPr>
          <w:rFonts w:eastAsia="Calibri" w:cs="Times New Roman"/>
        </w:rPr>
        <w:t>.</w:t>
      </w:r>
      <w:r w:rsidRPr="00687784">
        <w:rPr>
          <w:rFonts w:eastAsia="Calibri" w:cs="Times New Roman"/>
        </w:rPr>
        <w:t xml:space="preserve"> </w:t>
      </w:r>
      <w:r w:rsidR="00FE62BC">
        <w:rPr>
          <w:rFonts w:eastAsia="Calibri" w:cs="Times New Roman"/>
        </w:rPr>
        <w:t>O</w:t>
      </w:r>
      <w:r w:rsidRPr="00687784">
        <w:rPr>
          <w:rFonts w:eastAsia="Calibri" w:cs="Times New Roman"/>
        </w:rPr>
        <w:t xml:space="preserve">ngoing sea-level rise will cause more frequent flooding before mid-century, with very high confidence (Lawrence et al, 2022). As sea level continues to rise, so does the scale and the frequency of adaptation interventions </w:t>
      </w:r>
      <w:proofErr w:type="gramStart"/>
      <w:r w:rsidRPr="00687784">
        <w:rPr>
          <w:rFonts w:eastAsia="Calibri" w:cs="Times New Roman"/>
        </w:rPr>
        <w:t>needed</w:t>
      </w:r>
      <w:proofErr w:type="gramEnd"/>
      <w:r w:rsidRPr="00687784">
        <w:rPr>
          <w:rFonts w:eastAsia="Calibri" w:cs="Times New Roman"/>
        </w:rPr>
        <w:t xml:space="preserve"> in coastal areas. </w:t>
      </w:r>
    </w:p>
    <w:p w14:paraId="320C6269" w14:textId="10B1057D" w:rsidR="00687784" w:rsidRPr="00687784" w:rsidRDefault="00687784" w:rsidP="00687784">
      <w:pPr>
        <w:spacing w:before="0" w:after="160" w:line="259" w:lineRule="auto"/>
        <w:jc w:val="left"/>
        <w:rPr>
          <w:rFonts w:eastAsia="Calibri" w:cs="Times New Roman"/>
        </w:rPr>
      </w:pPr>
      <w:r w:rsidRPr="00687784">
        <w:rPr>
          <w:rFonts w:eastAsia="Calibri" w:cs="Times New Roman"/>
        </w:rPr>
        <w:t>Planning for a possible range of sea</w:t>
      </w:r>
      <w:r w:rsidR="00FE62BC">
        <w:rPr>
          <w:rFonts w:eastAsia="Calibri" w:cs="Times New Roman"/>
        </w:rPr>
        <w:t>-</w:t>
      </w:r>
      <w:r w:rsidRPr="00687784">
        <w:rPr>
          <w:rFonts w:eastAsia="Calibri" w:cs="Times New Roman"/>
        </w:rPr>
        <w:t>level rise today allows for precautionary planning and builds longer-term resilience for our coastal developments and natural environments. By 2100, we can expect sea level to rise between 0.4 and 1.1</w:t>
      </w:r>
      <w:r w:rsidR="00FE62BC">
        <w:rPr>
          <w:rFonts w:eastAsia="Calibri" w:cs="Times New Roman"/>
        </w:rPr>
        <w:t xml:space="preserve"> </w:t>
      </w:r>
      <w:r w:rsidRPr="00687784">
        <w:rPr>
          <w:rFonts w:eastAsia="Calibri" w:cs="Times New Roman"/>
        </w:rPr>
        <w:t>m</w:t>
      </w:r>
      <w:r w:rsidR="00FE62BC">
        <w:rPr>
          <w:rFonts w:eastAsia="Calibri" w:cs="Times New Roman"/>
        </w:rPr>
        <w:t>,</w:t>
      </w:r>
      <w:r w:rsidRPr="00687784">
        <w:rPr>
          <w:rFonts w:eastAsia="Calibri" w:cs="Times New Roman"/>
        </w:rPr>
        <w:t xml:space="preserve"> depending on global carbon emissions and polar ice-sheet instabilities. By 2150, th</w:t>
      </w:r>
      <w:r w:rsidR="00FE62BC">
        <w:rPr>
          <w:rFonts w:eastAsia="Calibri" w:cs="Times New Roman"/>
        </w:rPr>
        <w:t>is</w:t>
      </w:r>
      <w:r w:rsidRPr="00687784" w:rsidDel="00FE62BC">
        <w:rPr>
          <w:rFonts w:eastAsia="Calibri" w:cs="Times New Roman"/>
        </w:rPr>
        <w:t xml:space="preserve"> </w:t>
      </w:r>
      <w:r w:rsidRPr="00687784">
        <w:rPr>
          <w:rFonts w:eastAsia="Calibri" w:cs="Times New Roman"/>
        </w:rPr>
        <w:t>range is 0.7–2.0</w:t>
      </w:r>
      <w:r w:rsidR="00FE62BC">
        <w:rPr>
          <w:rFonts w:eastAsia="Calibri" w:cs="Times New Roman"/>
        </w:rPr>
        <w:t xml:space="preserve"> </w:t>
      </w:r>
      <w:r w:rsidRPr="00687784">
        <w:rPr>
          <w:rFonts w:eastAsia="Calibri" w:cs="Times New Roman"/>
        </w:rPr>
        <w:t>m. Therefore, it is important to consider short</w:t>
      </w:r>
      <w:r w:rsidR="00FE62BC">
        <w:rPr>
          <w:rFonts w:eastAsia="Calibri" w:cs="Times New Roman"/>
        </w:rPr>
        <w:t>-</w:t>
      </w:r>
      <w:r w:rsidRPr="00687784">
        <w:rPr>
          <w:rFonts w:eastAsia="Calibri" w:cs="Times New Roman"/>
        </w:rPr>
        <w:t xml:space="preserve"> to medium</w:t>
      </w:r>
      <w:r w:rsidR="00FE62BC">
        <w:rPr>
          <w:rFonts w:eastAsia="Calibri" w:cs="Times New Roman"/>
        </w:rPr>
        <w:t>-</w:t>
      </w:r>
      <w:r w:rsidRPr="00687784">
        <w:rPr>
          <w:rFonts w:eastAsia="Calibri" w:cs="Times New Roman"/>
        </w:rPr>
        <w:t>term impacts on existing coastal developments and environmental systems</w:t>
      </w:r>
      <w:r w:rsidR="00FE62BC">
        <w:rPr>
          <w:rFonts w:eastAsia="Calibri" w:cs="Times New Roman"/>
        </w:rPr>
        <w:t>,</w:t>
      </w:r>
      <w:r w:rsidRPr="00687784">
        <w:rPr>
          <w:rFonts w:eastAsia="Calibri" w:cs="Times New Roman"/>
        </w:rPr>
        <w:t xml:space="preserve"> </w:t>
      </w:r>
      <w:r w:rsidR="00FE62BC">
        <w:rPr>
          <w:rFonts w:eastAsia="Calibri" w:cs="Times New Roman"/>
        </w:rPr>
        <w:t>as well as</w:t>
      </w:r>
      <w:r w:rsidR="00FE62BC" w:rsidRPr="00687784">
        <w:rPr>
          <w:rFonts w:eastAsia="Calibri" w:cs="Times New Roman"/>
        </w:rPr>
        <w:t xml:space="preserve"> </w:t>
      </w:r>
      <w:r w:rsidRPr="00687784">
        <w:rPr>
          <w:rFonts w:eastAsia="Calibri" w:cs="Times New Roman"/>
        </w:rPr>
        <w:t xml:space="preserve">the long-term risk for new long-lived developments and assets that </w:t>
      </w:r>
      <w:r w:rsidR="00FE62BC">
        <w:rPr>
          <w:rFonts w:eastAsia="Calibri" w:cs="Times New Roman"/>
        </w:rPr>
        <w:t xml:space="preserve">will </w:t>
      </w:r>
      <w:r w:rsidRPr="00687784">
        <w:rPr>
          <w:rFonts w:eastAsia="Calibri" w:cs="Times New Roman"/>
        </w:rPr>
        <w:t>last beyond 100 years.</w:t>
      </w:r>
    </w:p>
    <w:p w14:paraId="2EF6C852" w14:textId="63562507" w:rsidR="00F25AC9" w:rsidRDefault="00687784" w:rsidP="00687784">
      <w:pPr>
        <w:spacing w:before="0" w:after="160" w:line="259" w:lineRule="auto"/>
        <w:jc w:val="left"/>
        <w:rPr>
          <w:rFonts w:eastAsia="Calibri" w:cs="Times New Roman"/>
        </w:rPr>
      </w:pPr>
      <w:r w:rsidRPr="00687784">
        <w:rPr>
          <w:rFonts w:eastAsia="Calibri" w:cs="Times New Roman"/>
        </w:rPr>
        <w:t xml:space="preserve">The 2017 coastal </w:t>
      </w:r>
      <w:r w:rsidR="009942B5">
        <w:rPr>
          <w:rFonts w:eastAsia="Calibri" w:cs="Times New Roman"/>
        </w:rPr>
        <w:t>hazards</w:t>
      </w:r>
      <w:r w:rsidRPr="00687784">
        <w:rPr>
          <w:rFonts w:eastAsia="Calibri" w:cs="Times New Roman"/>
        </w:rPr>
        <w:t xml:space="preserve"> guidance embeds a dynamic adaptive pathways planning (DAPP) approach to address and adaptively treat the ongoing increase in coastal risks, driven primarily by sea-level rise. DAPP enables adaptation/risk thresholds to be anticipated, </w:t>
      </w:r>
      <w:r w:rsidR="00090505">
        <w:rPr>
          <w:rFonts w:eastAsia="Calibri" w:cs="Times New Roman"/>
        </w:rPr>
        <w:t>determined</w:t>
      </w:r>
      <w:r w:rsidR="006768C4">
        <w:rPr>
          <w:rFonts w:eastAsia="Calibri" w:cs="Times New Roman"/>
        </w:rPr>
        <w:t>,</w:t>
      </w:r>
      <w:r w:rsidR="00090505">
        <w:rPr>
          <w:rFonts w:eastAsia="Calibri" w:cs="Times New Roman"/>
        </w:rPr>
        <w:t xml:space="preserve"> and </w:t>
      </w:r>
      <w:r w:rsidRPr="00687784">
        <w:rPr>
          <w:rFonts w:eastAsia="Calibri" w:cs="Times New Roman"/>
        </w:rPr>
        <w:t xml:space="preserve">planned </w:t>
      </w:r>
      <w:r w:rsidR="00090505">
        <w:rPr>
          <w:rFonts w:eastAsia="Calibri" w:cs="Times New Roman"/>
        </w:rPr>
        <w:t>for</w:t>
      </w:r>
      <w:r w:rsidRPr="00687784">
        <w:rPr>
          <w:rFonts w:eastAsia="Calibri" w:cs="Times New Roman"/>
        </w:rPr>
        <w:t xml:space="preserve">. It develops options and pathways to implement adaptation interventions over the coming decades, given the </w:t>
      </w:r>
      <w:r w:rsidR="00BD30EB" w:rsidRPr="00687784">
        <w:rPr>
          <w:rFonts w:eastAsia="Calibri" w:cs="Times New Roman"/>
        </w:rPr>
        <w:t>often</w:t>
      </w:r>
      <w:r w:rsidR="00BD30EB">
        <w:rPr>
          <w:rFonts w:eastAsia="Calibri" w:cs="Times New Roman"/>
        </w:rPr>
        <w:t>-long</w:t>
      </w:r>
      <w:r w:rsidRPr="00687784">
        <w:rPr>
          <w:rFonts w:eastAsia="Calibri" w:cs="Times New Roman"/>
        </w:rPr>
        <w:t xml:space="preserve"> lead-times and the varying lifetimes of options</w:t>
      </w:r>
      <w:r w:rsidRPr="00687784" w:rsidDel="00090505">
        <w:rPr>
          <w:rFonts w:eastAsia="Calibri" w:cs="Times New Roman"/>
        </w:rPr>
        <w:t>,</w:t>
      </w:r>
      <w:r w:rsidRPr="00687784">
        <w:rPr>
          <w:rFonts w:eastAsia="Calibri" w:cs="Times New Roman"/>
        </w:rPr>
        <w:t xml:space="preserve"> </w:t>
      </w:r>
      <w:r w:rsidRPr="00687784" w:rsidDel="00090505">
        <w:rPr>
          <w:rFonts w:eastAsia="Calibri" w:cs="Times New Roman"/>
        </w:rPr>
        <w:t xml:space="preserve">irrespective of the widening uncertainty about sea-level rise beyond 2050 </w:t>
      </w:r>
      <w:r w:rsidRPr="00687784">
        <w:rPr>
          <w:rFonts w:eastAsia="Calibri" w:cs="Times New Roman"/>
        </w:rPr>
        <w:t xml:space="preserve">(Cooley et al, 2022). </w:t>
      </w:r>
    </w:p>
    <w:p w14:paraId="20282652" w14:textId="4CA06939" w:rsidR="00687784" w:rsidRPr="00687784" w:rsidRDefault="00687784" w:rsidP="001E5221">
      <w:pPr>
        <w:spacing w:before="0" w:line="259" w:lineRule="auto"/>
        <w:jc w:val="left"/>
        <w:rPr>
          <w:rFonts w:eastAsia="Calibri" w:cs="Times New Roman"/>
        </w:rPr>
      </w:pPr>
      <w:r w:rsidRPr="00687784">
        <w:rPr>
          <w:rFonts w:eastAsia="Calibri" w:cs="Times New Roman"/>
        </w:rPr>
        <w:t xml:space="preserve">By considering both short and long-term adaptation needs, including beyond 2100, coastal communities can address the shrinking </w:t>
      </w:r>
      <w:r w:rsidR="00911AB6">
        <w:rPr>
          <w:rFonts w:eastAsia="Calibri" w:cs="Times New Roman"/>
        </w:rPr>
        <w:t xml:space="preserve">portfolio of </w:t>
      </w:r>
      <w:r w:rsidR="00090505">
        <w:rPr>
          <w:rFonts w:eastAsia="Calibri" w:cs="Times New Roman"/>
        </w:rPr>
        <w:t>options</w:t>
      </w:r>
      <w:r w:rsidRPr="00687784">
        <w:rPr>
          <w:rFonts w:eastAsia="Calibri" w:cs="Times New Roman"/>
        </w:rPr>
        <w:t xml:space="preserve"> for some types of adaptation, such as </w:t>
      </w:r>
      <w:r w:rsidRPr="00687784">
        <w:rPr>
          <w:rFonts w:eastAsia="Calibri" w:cs="Times New Roman"/>
          <w:i/>
          <w:iCs/>
        </w:rPr>
        <w:t>accommodate</w:t>
      </w:r>
      <w:r w:rsidRPr="00687784">
        <w:rPr>
          <w:rFonts w:eastAsia="Calibri" w:cs="Times New Roman"/>
        </w:rPr>
        <w:t xml:space="preserve"> and </w:t>
      </w:r>
      <w:r w:rsidRPr="00687784">
        <w:rPr>
          <w:rFonts w:eastAsia="Calibri" w:cs="Times New Roman"/>
          <w:i/>
          <w:iCs/>
        </w:rPr>
        <w:t>protect</w:t>
      </w:r>
      <w:r w:rsidRPr="00687784">
        <w:rPr>
          <w:rFonts w:eastAsia="Calibri" w:cs="Times New Roman"/>
        </w:rPr>
        <w:t xml:space="preserve"> (Cooley et al, 2022; </w:t>
      </w:r>
      <w:proofErr w:type="spellStart"/>
      <w:r w:rsidRPr="00687784">
        <w:rPr>
          <w:rFonts w:eastAsia="Calibri" w:cs="Times New Roman"/>
        </w:rPr>
        <w:t>Haasnoot</w:t>
      </w:r>
      <w:proofErr w:type="spellEnd"/>
      <w:r w:rsidRPr="00687784">
        <w:rPr>
          <w:rFonts w:eastAsia="Calibri" w:cs="Times New Roman"/>
        </w:rPr>
        <w:t xml:space="preserve"> et al, 2021). Therefore, in developing alternative pathways </w:t>
      </w:r>
      <w:r w:rsidR="00F25AC9">
        <w:rPr>
          <w:rFonts w:eastAsia="Calibri" w:cs="Times New Roman"/>
        </w:rPr>
        <w:t>for</w:t>
      </w:r>
      <w:r w:rsidR="00F25AC9" w:rsidRPr="00687784">
        <w:rPr>
          <w:rFonts w:eastAsia="Calibri" w:cs="Times New Roman"/>
        </w:rPr>
        <w:t xml:space="preserve"> </w:t>
      </w:r>
      <w:r w:rsidRPr="00687784">
        <w:rPr>
          <w:rFonts w:eastAsia="Calibri" w:cs="Times New Roman"/>
        </w:rPr>
        <w:t>adaptation options and actions, it is essential to stress-test them</w:t>
      </w:r>
      <w:r w:rsidR="00F25AC9">
        <w:rPr>
          <w:rFonts w:eastAsia="Calibri" w:cs="Times New Roman"/>
        </w:rPr>
        <w:t>.</w:t>
      </w:r>
      <w:r w:rsidRPr="00687784">
        <w:rPr>
          <w:rFonts w:eastAsia="Calibri" w:cs="Times New Roman"/>
        </w:rPr>
        <w:t xml:space="preserve"> </w:t>
      </w:r>
      <w:r w:rsidR="00F25AC9">
        <w:rPr>
          <w:rFonts w:eastAsia="Calibri" w:cs="Times New Roman"/>
        </w:rPr>
        <w:t>L</w:t>
      </w:r>
      <w:r w:rsidRPr="00687784">
        <w:rPr>
          <w:rFonts w:eastAsia="Calibri" w:cs="Times New Roman"/>
        </w:rPr>
        <w:t xml:space="preserve">ead-times and a realistic lifetime </w:t>
      </w:r>
      <w:r w:rsidR="00F25AC9">
        <w:rPr>
          <w:rFonts w:eastAsia="Calibri" w:cs="Times New Roman"/>
        </w:rPr>
        <w:t>for</w:t>
      </w:r>
      <w:r w:rsidR="00F25AC9" w:rsidRPr="00687784">
        <w:rPr>
          <w:rFonts w:eastAsia="Calibri" w:cs="Times New Roman"/>
        </w:rPr>
        <w:t xml:space="preserve"> </w:t>
      </w:r>
      <w:r w:rsidRPr="00687784">
        <w:rPr>
          <w:rFonts w:eastAsia="Calibri" w:cs="Times New Roman"/>
        </w:rPr>
        <w:t>the various options</w:t>
      </w:r>
      <w:r w:rsidR="00F25AC9">
        <w:rPr>
          <w:rFonts w:eastAsia="Calibri" w:cs="Times New Roman"/>
        </w:rPr>
        <w:t xml:space="preserve"> should be considered</w:t>
      </w:r>
      <w:r w:rsidRPr="00687784">
        <w:rPr>
          <w:rFonts w:eastAsia="Calibri" w:cs="Times New Roman"/>
        </w:rPr>
        <w:t xml:space="preserve"> against a range of possible coastal futures, using the new RSLR projections </w:t>
      </w:r>
      <w:r w:rsidRPr="00687784" w:rsidDel="00F25AC9">
        <w:rPr>
          <w:rFonts w:eastAsia="Calibri" w:cs="Times New Roman"/>
        </w:rPr>
        <w:t xml:space="preserve">(with and without VLM) </w:t>
      </w:r>
      <w:r w:rsidRPr="00687784">
        <w:rPr>
          <w:rFonts w:eastAsia="Calibri" w:cs="Times New Roman"/>
        </w:rPr>
        <w:t xml:space="preserve">provided by </w:t>
      </w:r>
      <w:proofErr w:type="spellStart"/>
      <w:r w:rsidRPr="00687784">
        <w:rPr>
          <w:rFonts w:eastAsia="Calibri" w:cs="Times New Roman"/>
        </w:rPr>
        <w:t>NZSeaRise</w:t>
      </w:r>
      <w:proofErr w:type="spellEnd"/>
      <w:r w:rsidRPr="00687784" w:rsidDel="00F25AC9">
        <w:rPr>
          <w:rFonts w:eastAsia="Calibri" w:cs="Times New Roman"/>
        </w:rPr>
        <w:t xml:space="preserve"> on the </w:t>
      </w:r>
      <w:proofErr w:type="spellStart"/>
      <w:r w:rsidRPr="00687784" w:rsidDel="00F25AC9">
        <w:rPr>
          <w:rFonts w:eastAsia="Calibri" w:cs="Times New Roman"/>
        </w:rPr>
        <w:t>Takiwā</w:t>
      </w:r>
      <w:proofErr w:type="spellEnd"/>
      <w:r w:rsidRPr="00687784" w:rsidDel="00F25AC9">
        <w:rPr>
          <w:rFonts w:eastAsia="Calibri" w:cs="Times New Roman"/>
        </w:rPr>
        <w:t xml:space="preserve"> platform</w:t>
      </w:r>
      <w:r w:rsidRPr="00687784">
        <w:rPr>
          <w:rFonts w:eastAsia="Calibri" w:cs="Times New Roman"/>
        </w:rPr>
        <w:t>.</w:t>
      </w:r>
    </w:p>
    <w:p w14:paraId="3F52D8E7" w14:textId="48CFC471" w:rsidR="00687784" w:rsidRPr="00687784" w:rsidRDefault="00687784" w:rsidP="001E5221">
      <w:pPr>
        <w:pStyle w:val="Heading2"/>
        <w:spacing w:before="240" w:after="240"/>
        <w:rPr>
          <w:rFonts w:eastAsia="DengXian Light"/>
        </w:rPr>
      </w:pPr>
      <w:bookmarkStart w:id="31" w:name="_Toc109397580"/>
      <w:bookmarkStart w:id="32" w:name="_Toc109809082"/>
      <w:r w:rsidRPr="00687784">
        <w:rPr>
          <w:rFonts w:eastAsia="DengXian Light"/>
        </w:rPr>
        <w:t>Sea-level rise projections</w:t>
      </w:r>
      <w:bookmarkEnd w:id="31"/>
      <w:bookmarkEnd w:id="32"/>
    </w:p>
    <w:p w14:paraId="6857E9D6" w14:textId="1B5ED5B4" w:rsidR="00687784" w:rsidRPr="00687784" w:rsidRDefault="00F25AC9" w:rsidP="00687784">
      <w:pPr>
        <w:spacing w:before="0" w:after="160" w:line="259" w:lineRule="auto"/>
        <w:jc w:val="left"/>
        <w:rPr>
          <w:rFonts w:eastAsia="Calibri" w:cs="Arial"/>
        </w:rPr>
      </w:pPr>
      <w:r>
        <w:rPr>
          <w:rFonts w:eastAsia="Calibri" w:cs="Arial"/>
        </w:rPr>
        <w:t>We</w:t>
      </w:r>
      <w:r w:rsidR="00687784" w:rsidRPr="00687784">
        <w:rPr>
          <w:rFonts w:eastAsia="Calibri" w:cs="Arial"/>
        </w:rPr>
        <w:t xml:space="preserve"> recommend that in planning for sea-level rise in coastal areas, the new SSP scenarios (excluding SSP1-1.9) should be used in place of the previous RCP scenarios used in the 2017 </w:t>
      </w:r>
      <w:r w:rsidR="00687784" w:rsidRPr="00687784" w:rsidDel="00F25AC9">
        <w:rPr>
          <w:rFonts w:eastAsia="Calibri" w:cs="Arial"/>
        </w:rPr>
        <w:t>coastal</w:t>
      </w:r>
      <w:r w:rsidR="009942B5">
        <w:rPr>
          <w:rFonts w:eastAsia="Calibri" w:cs="Arial"/>
        </w:rPr>
        <w:t xml:space="preserve"> hazards</w:t>
      </w:r>
      <w:r w:rsidR="00687784" w:rsidRPr="00687784" w:rsidDel="00F25AC9">
        <w:rPr>
          <w:rFonts w:eastAsia="Calibri" w:cs="Arial"/>
        </w:rPr>
        <w:t xml:space="preserve"> </w:t>
      </w:r>
      <w:r w:rsidR="00687784" w:rsidRPr="00687784">
        <w:rPr>
          <w:rFonts w:eastAsia="Calibri" w:cs="Arial"/>
        </w:rPr>
        <w:t>guidance. The SSP scenarios also introduce a new SSP3-7.0</w:t>
      </w:r>
      <w:r>
        <w:rPr>
          <w:rFonts w:eastAsia="Calibri" w:cs="Arial"/>
        </w:rPr>
        <w:t>, which</w:t>
      </w:r>
      <w:r w:rsidR="00687784" w:rsidRPr="00687784" w:rsidDel="00F25AC9">
        <w:rPr>
          <w:rFonts w:eastAsia="Calibri" w:cs="Arial"/>
        </w:rPr>
        <w:t xml:space="preserve"> </w:t>
      </w:r>
      <w:r w:rsidR="00687784" w:rsidRPr="00687784">
        <w:rPr>
          <w:rFonts w:eastAsia="Calibri" w:cs="Arial"/>
        </w:rPr>
        <w:t>lies in the considerable gap between the previous RCP4.5 and RCP8.5.</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87784" w:rsidRPr="006B77BB" w14:paraId="5F4BE33C" w14:textId="77777777">
        <w:tc>
          <w:tcPr>
            <w:tcW w:w="8505" w:type="dxa"/>
            <w:shd w:val="clear" w:color="auto" w:fill="D5EBE8" w:themeFill="accent3"/>
          </w:tcPr>
          <w:p w14:paraId="4E0A5236" w14:textId="77777777" w:rsidR="00687784" w:rsidRPr="00687784" w:rsidRDefault="00687784" w:rsidP="00687784">
            <w:pPr>
              <w:pStyle w:val="Boxheading0"/>
              <w:rPr>
                <w:rFonts w:eastAsia="Calibri"/>
              </w:rPr>
            </w:pPr>
            <w:r w:rsidRPr="00687784">
              <w:rPr>
                <w:rFonts w:eastAsia="Calibri"/>
              </w:rPr>
              <w:t xml:space="preserve">Should SSP5-8.5 scenario still be used in coastal planning? </w:t>
            </w:r>
          </w:p>
          <w:p w14:paraId="770D964C" w14:textId="676642AA" w:rsidR="00687784" w:rsidRPr="00687784" w:rsidRDefault="00687784" w:rsidP="00687784">
            <w:pPr>
              <w:pStyle w:val="Boxtext"/>
            </w:pPr>
            <w:r w:rsidRPr="00687784">
              <w:t>The upper</w:t>
            </w:r>
            <w:r w:rsidRPr="00687784" w:rsidDel="00F25AC9">
              <w:t>-range</w:t>
            </w:r>
            <w:r w:rsidRPr="00687784">
              <w:t xml:space="preserve"> scenario SSP5</w:t>
            </w:r>
            <w:r w:rsidR="0087432B">
              <w:t>-</w:t>
            </w:r>
            <w:r w:rsidRPr="00687784">
              <w:t xml:space="preserve">8.5 (and its </w:t>
            </w:r>
            <w:r w:rsidRPr="00687784" w:rsidDel="00F25AC9">
              <w:t xml:space="preserve">upper </w:t>
            </w:r>
            <w:r w:rsidRPr="00687784">
              <w:t>likely range</w:t>
            </w:r>
            <w:r w:rsidR="00F25AC9">
              <w:t xml:space="preserve"> of</w:t>
            </w:r>
            <w:r w:rsidRPr="00687784">
              <w:t xml:space="preserve"> 8.5 H+) should continue to be used, given we are currently on a similar emissions trajectory, combined with the prospect of runaway polar-ice sheet instabilities and very long </w:t>
            </w:r>
            <w:r w:rsidRPr="00687784" w:rsidDel="00F25AC9">
              <w:t xml:space="preserve">response </w:t>
            </w:r>
            <w:r w:rsidRPr="00687784">
              <w:t>time-lags</w:t>
            </w:r>
            <w:r w:rsidR="00F25AC9">
              <w:t xml:space="preserve"> </w:t>
            </w:r>
            <w:r w:rsidR="00F25AC9" w:rsidRPr="00687784">
              <w:t>(multi-decadal to centuries)</w:t>
            </w:r>
            <w:r w:rsidRPr="00687784">
              <w:t xml:space="preserve"> in sea-level rise. This means impacts from sea-level rise will be distinctly different compared with other climate impacts that are more directly tied to global heating and therefore SSP scenarios (eg, heatwaves, precipitation</w:t>
            </w:r>
            <w:r w:rsidRPr="00687784" w:rsidDel="008B43B7">
              <w:t>,</w:t>
            </w:r>
            <w:r w:rsidRPr="00687784">
              <w:t xml:space="preserve"> wind</w:t>
            </w:r>
            <w:r w:rsidR="005A7B14">
              <w:t>, etc.</w:t>
            </w:r>
            <w:r w:rsidRPr="00687784">
              <w:t>). These latter effects are also more responsive to cuts in global emissions and involve relatively short response time</w:t>
            </w:r>
            <w:r w:rsidR="008B43B7">
              <w:t>s</w:t>
            </w:r>
            <w:r w:rsidRPr="00687784" w:rsidDel="008B43B7">
              <w:t xml:space="preserve"> </w:t>
            </w:r>
            <w:r w:rsidR="008B43B7">
              <w:t>(</w:t>
            </w:r>
            <w:r w:rsidRPr="00687784">
              <w:t>decades</w:t>
            </w:r>
            <w:r w:rsidR="008B43B7">
              <w:t>)</w:t>
            </w:r>
            <w:r w:rsidRPr="00687784">
              <w:t>, unlike sea-level rise.</w:t>
            </w:r>
          </w:p>
        </w:tc>
      </w:tr>
    </w:tbl>
    <w:p w14:paraId="6175B1A9" w14:textId="01A031BE" w:rsidR="00687784" w:rsidRPr="00687784" w:rsidRDefault="00687784" w:rsidP="00DE3084">
      <w:pPr>
        <w:pStyle w:val="Heading3"/>
        <w:rPr>
          <w:rFonts w:eastAsia="Calibri"/>
        </w:rPr>
      </w:pPr>
      <w:bookmarkStart w:id="33" w:name="_Toc109397581"/>
      <w:bookmarkStart w:id="34" w:name="_Toc109809083"/>
      <w:r w:rsidRPr="00687784">
        <w:rPr>
          <w:rFonts w:eastAsia="Calibri"/>
        </w:rPr>
        <w:t>Recommended use of SSP scenarios</w:t>
      </w:r>
      <w:bookmarkEnd w:id="33"/>
      <w:bookmarkEnd w:id="34"/>
      <w:r w:rsidRPr="00687784">
        <w:rPr>
          <w:rFonts w:eastAsia="Calibri"/>
        </w:rPr>
        <w:t xml:space="preserve"> </w:t>
      </w:r>
    </w:p>
    <w:p w14:paraId="7B2D7D3A" w14:textId="70CEF337" w:rsidR="00687784" w:rsidRPr="00687784" w:rsidRDefault="008B43B7" w:rsidP="005A7B14">
      <w:pPr>
        <w:pStyle w:val="Bullet"/>
        <w:numPr>
          <w:ilvl w:val="0"/>
          <w:numId w:val="0"/>
        </w:numPr>
        <w:rPr>
          <w:rFonts w:eastAsia="Calibri"/>
        </w:rPr>
      </w:pPr>
      <w:r>
        <w:rPr>
          <w:rFonts w:eastAsia="Calibri"/>
        </w:rPr>
        <w:t>We recommend u</w:t>
      </w:r>
      <w:r w:rsidR="00687784" w:rsidRPr="00687784">
        <w:rPr>
          <w:rFonts w:eastAsia="Calibri"/>
        </w:rPr>
        <w:t>s</w:t>
      </w:r>
      <w:r>
        <w:rPr>
          <w:rFonts w:eastAsia="Calibri"/>
        </w:rPr>
        <w:t>ing</w:t>
      </w:r>
      <w:r w:rsidR="00687784" w:rsidRPr="00687784">
        <w:rPr>
          <w:rFonts w:eastAsia="Calibri"/>
        </w:rPr>
        <w:t xml:space="preserve"> </w:t>
      </w:r>
      <w:r w:rsidR="00687784" w:rsidRPr="00687784">
        <w:rPr>
          <w:rFonts w:eastAsia="Calibri"/>
          <w:u w:val="single"/>
        </w:rPr>
        <w:t>five</w:t>
      </w:r>
      <w:r w:rsidR="00687784" w:rsidRPr="00687784">
        <w:rPr>
          <w:rFonts w:eastAsia="Calibri"/>
        </w:rPr>
        <w:t xml:space="preserve"> updated “medium confidence” scenarios for sea-level rise projections </w:t>
      </w:r>
      <w:r w:rsidR="00687784" w:rsidRPr="00687784" w:rsidDel="008B43B7">
        <w:rPr>
          <w:rFonts w:eastAsia="Calibri"/>
        </w:rPr>
        <w:t xml:space="preserve">out </w:t>
      </w:r>
      <w:r w:rsidR="00687784" w:rsidRPr="00687784">
        <w:rPr>
          <w:rFonts w:eastAsia="Calibri"/>
        </w:rPr>
        <w:t xml:space="preserve">to 2150, instead of the four used in the 2017 </w:t>
      </w:r>
      <w:r w:rsidR="009942B5">
        <w:rPr>
          <w:rFonts w:eastAsia="Calibri"/>
        </w:rPr>
        <w:t>coastal hazards</w:t>
      </w:r>
      <w:r w:rsidR="00687784" w:rsidRPr="00687784">
        <w:rPr>
          <w:rFonts w:eastAsia="Calibri"/>
        </w:rPr>
        <w:t xml:space="preserve"> guidance. The previous scenarios in the 2017 </w:t>
      </w:r>
      <w:r w:rsidR="009942B5">
        <w:rPr>
          <w:rFonts w:eastAsia="Calibri"/>
        </w:rPr>
        <w:t xml:space="preserve">coastal hazards </w:t>
      </w:r>
      <w:r w:rsidR="00687784" w:rsidRPr="00687784">
        <w:rPr>
          <w:rFonts w:eastAsia="Calibri"/>
        </w:rPr>
        <w:t xml:space="preserve">guidance </w:t>
      </w:r>
      <w:r>
        <w:rPr>
          <w:rFonts w:eastAsia="Calibri"/>
        </w:rPr>
        <w:t>align with the new SSPs as follows</w:t>
      </w:r>
      <w:r w:rsidR="00687784" w:rsidRPr="00687784">
        <w:rPr>
          <w:rFonts w:eastAsia="Calibri"/>
        </w:rPr>
        <w:t>:</w:t>
      </w:r>
      <w:r>
        <w:rPr>
          <w:rStyle w:val="FootnoteReference"/>
          <w:rFonts w:eastAsia="Calibri"/>
        </w:rPr>
        <w:footnoteReference w:id="8"/>
      </w:r>
    </w:p>
    <w:p w14:paraId="1B2A1C4C" w14:textId="7231262F" w:rsidR="00687784" w:rsidRPr="00687784" w:rsidRDefault="00687784" w:rsidP="00687784">
      <w:pPr>
        <w:pStyle w:val="Sub-list"/>
        <w:rPr>
          <w:rFonts w:eastAsia="Calibri"/>
        </w:rPr>
      </w:pPr>
      <w:r w:rsidRPr="00687784">
        <w:rPr>
          <w:rFonts w:eastAsia="Calibri"/>
          <w:b/>
          <w:bCs/>
        </w:rPr>
        <w:t>SSP1</w:t>
      </w:r>
      <w:r w:rsidR="0087432B">
        <w:rPr>
          <w:rFonts w:eastAsia="Calibri"/>
          <w:b/>
          <w:bCs/>
        </w:rPr>
        <w:t>-</w:t>
      </w:r>
      <w:r w:rsidRPr="00687784">
        <w:rPr>
          <w:rFonts w:eastAsia="Calibri"/>
          <w:b/>
          <w:bCs/>
        </w:rPr>
        <w:t>2.6 M</w:t>
      </w:r>
      <w:r w:rsidRPr="00687784">
        <w:rPr>
          <w:rFonts w:eastAsia="Calibri"/>
        </w:rPr>
        <w:tab/>
      </w:r>
      <w:r w:rsidRPr="00687784">
        <w:rPr>
          <w:rFonts w:ascii="Symbol" w:eastAsia="Symbol" w:hAnsi="Symbol" w:cs="Symbol"/>
        </w:rPr>
        <w:t>Û</w:t>
      </w:r>
      <w:r w:rsidRPr="00687784">
        <w:rPr>
          <w:rFonts w:eastAsia="Calibri"/>
        </w:rPr>
        <w:tab/>
      </w:r>
      <w:r w:rsidRPr="00687784">
        <w:rPr>
          <w:rFonts w:eastAsia="Calibri"/>
          <w:i/>
          <w:iCs/>
        </w:rPr>
        <w:t>NZ RCP2.6 M</w:t>
      </w:r>
    </w:p>
    <w:p w14:paraId="398C5DC3" w14:textId="735EEE75" w:rsidR="00687784" w:rsidRPr="00687784" w:rsidRDefault="00687784" w:rsidP="00687784">
      <w:pPr>
        <w:pStyle w:val="Sub-list"/>
        <w:rPr>
          <w:rFonts w:eastAsia="Calibri"/>
        </w:rPr>
      </w:pPr>
      <w:r w:rsidRPr="00687784">
        <w:rPr>
          <w:rFonts w:eastAsia="Calibri"/>
          <w:b/>
          <w:bCs/>
        </w:rPr>
        <w:t>SSP2</w:t>
      </w:r>
      <w:r w:rsidR="0087432B">
        <w:rPr>
          <w:rFonts w:eastAsia="Calibri"/>
          <w:b/>
          <w:bCs/>
        </w:rPr>
        <w:t>-</w:t>
      </w:r>
      <w:r w:rsidRPr="00687784">
        <w:rPr>
          <w:rFonts w:eastAsia="Calibri"/>
          <w:b/>
          <w:bCs/>
        </w:rPr>
        <w:t>4.5 M</w:t>
      </w:r>
      <w:r w:rsidRPr="00687784">
        <w:rPr>
          <w:rFonts w:eastAsia="Calibri"/>
        </w:rPr>
        <w:tab/>
      </w:r>
      <w:r w:rsidRPr="00687784">
        <w:rPr>
          <w:rFonts w:ascii="Symbol" w:eastAsia="Symbol" w:hAnsi="Symbol" w:cs="Symbol"/>
        </w:rPr>
        <w:t>Û</w:t>
      </w:r>
      <w:r w:rsidRPr="00687784">
        <w:rPr>
          <w:rFonts w:eastAsia="Calibri"/>
        </w:rPr>
        <w:tab/>
      </w:r>
      <w:r w:rsidRPr="00687784">
        <w:rPr>
          <w:rFonts w:eastAsia="Calibri"/>
          <w:i/>
          <w:iCs/>
        </w:rPr>
        <w:t>NZ RCP4.5 M</w:t>
      </w:r>
    </w:p>
    <w:p w14:paraId="58F5C69F" w14:textId="5ADDE072" w:rsidR="00687784" w:rsidRPr="00687784" w:rsidRDefault="00687784" w:rsidP="00687784">
      <w:pPr>
        <w:pStyle w:val="Sub-list"/>
        <w:rPr>
          <w:rFonts w:eastAsia="Calibri"/>
        </w:rPr>
      </w:pPr>
      <w:r w:rsidRPr="00687784">
        <w:rPr>
          <w:rFonts w:eastAsia="Calibri"/>
          <w:b/>
          <w:bCs/>
        </w:rPr>
        <w:t>SSP3</w:t>
      </w:r>
      <w:r w:rsidR="0087432B">
        <w:rPr>
          <w:rFonts w:eastAsia="Calibri"/>
          <w:b/>
          <w:bCs/>
        </w:rPr>
        <w:t>-</w:t>
      </w:r>
      <w:r w:rsidRPr="00687784">
        <w:rPr>
          <w:rFonts w:eastAsia="Calibri"/>
          <w:b/>
          <w:bCs/>
        </w:rPr>
        <w:t>7.0 M</w:t>
      </w:r>
      <w:r w:rsidRPr="00687784">
        <w:rPr>
          <w:rFonts w:eastAsia="Calibri"/>
        </w:rPr>
        <w:tab/>
      </w:r>
      <w:r w:rsidRPr="00687784">
        <w:rPr>
          <w:rFonts w:ascii="Symbol" w:eastAsia="Symbol" w:hAnsi="Symbol" w:cs="Symbol"/>
        </w:rPr>
        <w:t>Û</w:t>
      </w:r>
      <w:r w:rsidRPr="00687784">
        <w:rPr>
          <w:rFonts w:eastAsia="Calibri"/>
        </w:rPr>
        <w:tab/>
        <w:t>n/a (fills the sizeable gap between SSP2-4.5 and SSP5-8.5)</w:t>
      </w:r>
    </w:p>
    <w:p w14:paraId="67D1B839" w14:textId="0C272696" w:rsidR="00687784" w:rsidRDefault="00687784" w:rsidP="00687784">
      <w:pPr>
        <w:pStyle w:val="Sub-list"/>
        <w:rPr>
          <w:rFonts w:eastAsia="Calibri"/>
        </w:rPr>
      </w:pPr>
      <w:r w:rsidRPr="00687784">
        <w:rPr>
          <w:rFonts w:eastAsia="Calibri"/>
          <w:b/>
          <w:bCs/>
        </w:rPr>
        <w:t>SSP5</w:t>
      </w:r>
      <w:r w:rsidR="0087432B">
        <w:rPr>
          <w:rFonts w:eastAsia="Calibri"/>
          <w:b/>
          <w:bCs/>
        </w:rPr>
        <w:t>-</w:t>
      </w:r>
      <w:r w:rsidRPr="00687784">
        <w:rPr>
          <w:rFonts w:eastAsia="Calibri"/>
          <w:b/>
          <w:bCs/>
        </w:rPr>
        <w:t>8.5 M</w:t>
      </w:r>
      <w:r w:rsidRPr="00687784">
        <w:rPr>
          <w:rFonts w:eastAsia="Calibri"/>
        </w:rPr>
        <w:tab/>
      </w:r>
      <w:r w:rsidRPr="00687784">
        <w:rPr>
          <w:rFonts w:ascii="Symbol" w:eastAsia="Symbol" w:hAnsi="Symbol" w:cs="Symbol"/>
        </w:rPr>
        <w:t>Û</w:t>
      </w:r>
      <w:r w:rsidRPr="00687784">
        <w:rPr>
          <w:rFonts w:eastAsia="Calibri"/>
        </w:rPr>
        <w:tab/>
      </w:r>
      <w:r w:rsidRPr="00687784">
        <w:rPr>
          <w:rFonts w:eastAsia="Calibri"/>
          <w:i/>
          <w:iCs/>
        </w:rPr>
        <w:t>NZ RCP8.5 M</w:t>
      </w:r>
      <w:r w:rsidRPr="00687784">
        <w:rPr>
          <w:rFonts w:eastAsia="Calibri"/>
        </w:rPr>
        <w:t xml:space="preserve"> </w:t>
      </w:r>
    </w:p>
    <w:p w14:paraId="73954336" w14:textId="51DF80F7" w:rsidR="00687784" w:rsidRPr="00687784" w:rsidRDefault="00687784" w:rsidP="00687784">
      <w:pPr>
        <w:pStyle w:val="Sub-list"/>
        <w:rPr>
          <w:rFonts w:eastAsia="Calibri"/>
          <w:i/>
          <w:iCs/>
          <w:vertAlign w:val="superscript"/>
        </w:rPr>
      </w:pPr>
      <w:r w:rsidRPr="00687784">
        <w:rPr>
          <w:rFonts w:eastAsia="Calibri"/>
          <w:b/>
          <w:bCs/>
        </w:rPr>
        <w:t>SSP5</w:t>
      </w:r>
      <w:r w:rsidR="0087432B">
        <w:rPr>
          <w:rFonts w:eastAsia="Calibri"/>
          <w:b/>
          <w:bCs/>
        </w:rPr>
        <w:t>-</w:t>
      </w:r>
      <w:r w:rsidRPr="00687784">
        <w:rPr>
          <w:rFonts w:eastAsia="Calibri"/>
          <w:b/>
          <w:bCs/>
        </w:rPr>
        <w:t>8.5 H</w:t>
      </w:r>
      <w:r w:rsidRPr="00687784">
        <w:rPr>
          <w:rFonts w:eastAsia="Calibri"/>
          <w:b/>
          <w:bCs/>
          <w:vertAlign w:val="superscript"/>
        </w:rPr>
        <w:t>+</w:t>
      </w:r>
      <w:r w:rsidRPr="00687784">
        <w:rPr>
          <w:rFonts w:eastAsia="Calibri"/>
        </w:rPr>
        <w:t xml:space="preserve"> [83</w:t>
      </w:r>
      <w:r w:rsidRPr="00687784">
        <w:rPr>
          <w:rFonts w:eastAsia="Calibri"/>
          <w:vertAlign w:val="superscript"/>
        </w:rPr>
        <w:t>rd</w:t>
      </w:r>
      <w:r w:rsidRPr="00687784">
        <w:rPr>
          <w:rFonts w:eastAsia="Calibri"/>
        </w:rPr>
        <w:t xml:space="preserve"> percentile (</w:t>
      </w:r>
      <w:r w:rsidRPr="00687784">
        <w:rPr>
          <w:rFonts w:eastAsia="Calibri"/>
          <w:i/>
          <w:iCs/>
        </w:rPr>
        <w:t>p83</w:t>
      </w:r>
      <w:r w:rsidRPr="00687784">
        <w:rPr>
          <w:rFonts w:eastAsia="Calibri"/>
        </w:rPr>
        <w:t>)</w:t>
      </w:r>
      <w:r w:rsidR="00B5266E">
        <w:rPr>
          <w:rFonts w:eastAsia="Calibri"/>
        </w:rPr>
        <w:t>;</w:t>
      </w:r>
      <w:r w:rsidRPr="00687784">
        <w:rPr>
          <w:rFonts w:eastAsia="Calibri"/>
        </w:rPr>
        <w:t xml:space="preserve"> top of shaded “likely range”] </w:t>
      </w:r>
      <w:proofErr w:type="gramStart"/>
      <w:r w:rsidRPr="00687784">
        <w:rPr>
          <w:rFonts w:ascii="Symbol" w:eastAsia="Symbol" w:hAnsi="Symbol" w:cs="Symbol"/>
        </w:rPr>
        <w:t>Û</w:t>
      </w:r>
      <w:r w:rsidRPr="00687784">
        <w:rPr>
          <w:rFonts w:eastAsia="Calibri"/>
        </w:rPr>
        <w:t xml:space="preserve">  </w:t>
      </w:r>
      <w:r w:rsidRPr="00687784">
        <w:rPr>
          <w:rFonts w:eastAsia="Calibri"/>
          <w:i/>
          <w:iCs/>
        </w:rPr>
        <w:t>NZ</w:t>
      </w:r>
      <w:proofErr w:type="gramEnd"/>
      <w:r w:rsidRPr="00687784">
        <w:rPr>
          <w:rFonts w:eastAsia="Calibri"/>
          <w:i/>
          <w:iCs/>
        </w:rPr>
        <w:t xml:space="preserve"> RCP8.5 H</w:t>
      </w:r>
      <w:r w:rsidRPr="00687784">
        <w:rPr>
          <w:rFonts w:eastAsia="Calibri"/>
          <w:i/>
          <w:iCs/>
          <w:vertAlign w:val="superscript"/>
        </w:rPr>
        <w:t>+</w:t>
      </w:r>
    </w:p>
    <w:p w14:paraId="4DA65A92" w14:textId="674EF2FD" w:rsidR="00AF2E7F" w:rsidRPr="00687784" w:rsidRDefault="00B5266E" w:rsidP="009051CD">
      <w:pPr>
        <w:pStyle w:val="BodyText"/>
        <w:rPr>
          <w:rFonts w:eastAsia="Calibri"/>
        </w:rPr>
      </w:pPr>
      <w:r>
        <w:rPr>
          <w:rFonts w:eastAsia="Calibri"/>
        </w:rPr>
        <w:t>The last</w:t>
      </w:r>
      <w:r w:rsidR="00687784" w:rsidRPr="00687784">
        <w:rPr>
          <w:rFonts w:eastAsia="Calibri"/>
        </w:rPr>
        <w:t xml:space="preserve"> scenario is essentially the same as the previous H</w:t>
      </w:r>
      <w:r w:rsidR="00687784" w:rsidRPr="00687784">
        <w:rPr>
          <w:rFonts w:eastAsia="Calibri"/>
          <w:vertAlign w:val="superscript"/>
        </w:rPr>
        <w:t>+</w:t>
      </w:r>
      <w:r w:rsidR="00687784" w:rsidRPr="00687784">
        <w:rPr>
          <w:rFonts w:eastAsia="Calibri"/>
        </w:rPr>
        <w:t xml:space="preserve"> scenario in the 2017 </w:t>
      </w:r>
      <w:r w:rsidR="009942B5">
        <w:rPr>
          <w:rFonts w:eastAsia="Calibri"/>
        </w:rPr>
        <w:t xml:space="preserve">coastal hazards </w:t>
      </w:r>
      <w:r w:rsidR="00687784" w:rsidRPr="00687784">
        <w:rPr>
          <w:rFonts w:eastAsia="Calibri"/>
        </w:rPr>
        <w:t>guidance</w:t>
      </w:r>
      <w:r>
        <w:rPr>
          <w:rFonts w:eastAsia="Calibri"/>
        </w:rPr>
        <w:t>, with</w:t>
      </w:r>
      <w:r w:rsidR="00687784" w:rsidRPr="00687784">
        <w:rPr>
          <w:rFonts w:eastAsia="Calibri"/>
        </w:rPr>
        <w:t xml:space="preserve"> higher values from the IPCC update</w:t>
      </w:r>
      <w:r>
        <w:rPr>
          <w:rFonts w:eastAsia="Calibri"/>
        </w:rPr>
        <w:t>. It</w:t>
      </w:r>
      <w:r w:rsidR="00687784" w:rsidRPr="00687784">
        <w:rPr>
          <w:rFonts w:eastAsia="Calibri"/>
        </w:rPr>
        <w:t xml:space="preserve"> should be used to stress-test plans, </w:t>
      </w:r>
      <w:proofErr w:type="gramStart"/>
      <w:r w:rsidR="00687784" w:rsidRPr="00687784">
        <w:rPr>
          <w:rFonts w:eastAsia="Calibri"/>
        </w:rPr>
        <w:t>policies</w:t>
      </w:r>
      <w:proofErr w:type="gramEnd"/>
      <w:r w:rsidR="00687784" w:rsidRPr="00687784">
        <w:rPr>
          <w:rFonts w:eastAsia="Calibri"/>
        </w:rPr>
        <w:t xml:space="preserve"> and adaptation options</w:t>
      </w:r>
      <w:r w:rsidR="004F3370">
        <w:rPr>
          <w:rFonts w:eastAsia="Calibri"/>
        </w:rPr>
        <w:t>,</w:t>
      </w:r>
      <w:r w:rsidR="00687784" w:rsidRPr="00687784">
        <w:rPr>
          <w:rFonts w:eastAsia="Calibri"/>
        </w:rPr>
        <w:t xml:space="preserve"> as previously recommended in the </w:t>
      </w:r>
      <w:r>
        <w:rPr>
          <w:rFonts w:eastAsia="Calibri"/>
        </w:rPr>
        <w:t xml:space="preserve">2017 </w:t>
      </w:r>
      <w:r w:rsidR="00687784" w:rsidRPr="00687784" w:rsidDel="00B5266E">
        <w:rPr>
          <w:rFonts w:eastAsia="Calibri"/>
        </w:rPr>
        <w:t xml:space="preserve">coastal </w:t>
      </w:r>
      <w:r w:rsidR="009942B5">
        <w:rPr>
          <w:rFonts w:eastAsia="Calibri"/>
        </w:rPr>
        <w:t xml:space="preserve">hazards </w:t>
      </w:r>
      <w:r w:rsidR="00687784" w:rsidRPr="00687784">
        <w:rPr>
          <w:rFonts w:eastAsia="Calibri"/>
        </w:rPr>
        <w:t>guidance</w:t>
      </w:r>
      <w:r w:rsidR="00911AB6">
        <w:rPr>
          <w:rFonts w:eastAsia="Calibri"/>
        </w:rPr>
        <w:t>, and for risk screening to determine coastal areas “potentially affected” [Policy 24, NZCPS].</w:t>
      </w:r>
    </w:p>
    <w:p w14:paraId="36F86728" w14:textId="5B0A7B85" w:rsidR="000C4D3A" w:rsidRPr="000C4D3A" w:rsidRDefault="00AF2E7F" w:rsidP="0034005A">
      <w:pPr>
        <w:pStyle w:val="BodyText"/>
        <w:rPr>
          <w:rFonts w:eastAsia="Calibri"/>
        </w:rPr>
      </w:pPr>
      <w:r>
        <w:t xml:space="preserve">We also recommend </w:t>
      </w:r>
      <w:r w:rsidRPr="000C4D3A">
        <w:t xml:space="preserve">at the local scale </w:t>
      </w:r>
      <w:r>
        <w:t>using</w:t>
      </w:r>
      <w:r w:rsidR="00687784" w:rsidRPr="000C4D3A">
        <w:t xml:space="preserve"> RSLR scenarios that include the local VLM rate</w:t>
      </w:r>
      <w:r>
        <w:t>.</w:t>
      </w:r>
      <w:r w:rsidR="00687784" w:rsidRPr="000C4D3A">
        <w:t xml:space="preserve"> </w:t>
      </w:r>
      <w:r>
        <w:t>S</w:t>
      </w:r>
      <w:r w:rsidR="00687784" w:rsidRPr="000C4D3A">
        <w:t xml:space="preserve">elect </w:t>
      </w:r>
      <w:r>
        <w:t xml:space="preserve">the </w:t>
      </w:r>
      <w:r w:rsidR="00687784" w:rsidRPr="000C4D3A">
        <w:t xml:space="preserve">nearest node on </w:t>
      </w:r>
      <w:proofErr w:type="spellStart"/>
      <w:r w:rsidR="00687784" w:rsidRPr="000C4D3A">
        <w:t>Takiwā</w:t>
      </w:r>
      <w:proofErr w:type="spellEnd"/>
      <w:r w:rsidR="00687784" w:rsidRPr="000C4D3A">
        <w:t xml:space="preserve"> </w:t>
      </w:r>
      <w:r>
        <w:t>(</w:t>
      </w:r>
      <w:r w:rsidR="00687784" w:rsidRPr="000C4D3A">
        <w:t xml:space="preserve">see </w:t>
      </w:r>
      <w:hyperlink w:anchor="figure4" w:history="1">
        <w:r w:rsidRPr="00E84532">
          <w:rPr>
            <w:rStyle w:val="Hyperlink"/>
          </w:rPr>
          <w:t>f</w:t>
        </w:r>
        <w:r w:rsidR="00687784" w:rsidRPr="00E84532">
          <w:rPr>
            <w:rStyle w:val="Hyperlink"/>
          </w:rPr>
          <w:t>igure 4</w:t>
        </w:r>
      </w:hyperlink>
      <w:r w:rsidR="0042657D" w:rsidRPr="000C4D3A">
        <w:t>)</w:t>
      </w:r>
      <w:r w:rsidR="00687784" w:rsidRPr="000C4D3A">
        <w:t xml:space="preserve"> but</w:t>
      </w:r>
      <w:r w:rsidR="00687784" w:rsidRPr="000C4D3A" w:rsidDel="00AF2E7F">
        <w:t xml:space="preserve"> </w:t>
      </w:r>
      <w:r w:rsidR="00687784" w:rsidRPr="000C4D3A">
        <w:t>check the quality flag and averaging distance for VLM rates by downloading a .csv attribute file for the relevant site</w:t>
      </w:r>
      <w:r w:rsidR="00687784" w:rsidRPr="000C4D3A" w:rsidDel="00AF2E7F">
        <w:t>.</w:t>
      </w:r>
      <w:r w:rsidR="00687784" w:rsidRPr="000C4D3A">
        <w:t xml:space="preserve"> Negative VLM rates indicate land subsidence</w:t>
      </w:r>
      <w:r>
        <w:t>,</w:t>
      </w:r>
      <w:r w:rsidR="00687784" w:rsidRPr="000C4D3A">
        <w:t xml:space="preserve"> </w:t>
      </w:r>
      <w:r>
        <w:t>while</w:t>
      </w:r>
      <w:r w:rsidR="00687784" w:rsidRPr="000C4D3A">
        <w:t xml:space="preserve"> positive values show uplift. Given the spatial averaging of satellite VLM estimates (</w:t>
      </w:r>
      <w:hyperlink w:anchor="_Appendix_C" w:history="1">
        <w:r w:rsidR="00687784" w:rsidRPr="000E0943">
          <w:rPr>
            <w:rStyle w:val="Hyperlink"/>
            <w:bCs/>
          </w:rPr>
          <w:t>Appendix C</w:t>
        </w:r>
      </w:hyperlink>
      <w:r w:rsidR="00687784" w:rsidRPr="000C4D3A">
        <w:t xml:space="preserve">), localised subsidence may be present, while the wider average VLM rate could indicate uplift (eg, </w:t>
      </w:r>
      <w:proofErr w:type="spellStart"/>
      <w:r w:rsidR="00687784" w:rsidRPr="000C4D3A">
        <w:t>Moanataiari</w:t>
      </w:r>
      <w:proofErr w:type="spellEnd"/>
      <w:r w:rsidR="00687784" w:rsidRPr="000C4D3A">
        <w:t xml:space="preserve"> and the reclaimed strip along the Thames foreshore, compared with the main landward part of Thames). In areas where the local subsidence is more accurately known or is being monitored, then use the SSP scenarios in </w:t>
      </w:r>
      <w:proofErr w:type="spellStart"/>
      <w:r w:rsidR="00687784" w:rsidRPr="000C4D3A">
        <w:t>Takiwā</w:t>
      </w:r>
      <w:proofErr w:type="spellEnd"/>
      <w:r w:rsidR="00687784" w:rsidRPr="000C4D3A">
        <w:t xml:space="preserve"> without VLM, then add on the additional contribution from the estimated VLM rate</w:t>
      </w:r>
      <w:r w:rsidR="00911AB6">
        <w:t xml:space="preserve"> (negative value)</w:t>
      </w:r>
      <w:r w:rsidR="009F62F2">
        <w:t>, as follows:</w:t>
      </w:r>
      <w:r w:rsidR="00687784" w:rsidRPr="000C4D3A">
        <w:t xml:space="preserve"> </w:t>
      </w:r>
    </w:p>
    <w:p w14:paraId="4C538C40" w14:textId="61DE5F2F" w:rsidR="00687784" w:rsidRPr="00687784" w:rsidRDefault="00687784" w:rsidP="000C4D3A">
      <w:pPr>
        <w:pStyle w:val="Bullet"/>
        <w:numPr>
          <w:ilvl w:val="0"/>
          <w:numId w:val="0"/>
        </w:numPr>
        <w:spacing w:after="240" w:line="240" w:lineRule="auto"/>
        <w:ind w:left="1440"/>
        <w:rPr>
          <w:rFonts w:eastAsia="Calibri"/>
        </w:rPr>
      </w:pPr>
      <w:bookmarkStart w:id="35" w:name="Equation1"/>
      <w:r w:rsidRPr="00687784">
        <w:rPr>
          <w:rFonts w:eastAsia="Calibri" w:cs="Calibri"/>
          <w:i/>
          <w:iCs/>
        </w:rPr>
        <w:t>–1.0 × VLM rate[mm/</w:t>
      </w:r>
      <w:proofErr w:type="spellStart"/>
      <w:r w:rsidRPr="00687784">
        <w:rPr>
          <w:rFonts w:eastAsia="Calibri" w:cs="Calibri"/>
          <w:i/>
          <w:iCs/>
        </w:rPr>
        <w:t>yr</w:t>
      </w:r>
      <w:proofErr w:type="spellEnd"/>
      <w:r w:rsidRPr="00687784">
        <w:rPr>
          <w:rFonts w:eastAsia="Calibri" w:cs="Calibri"/>
          <w:i/>
          <w:iCs/>
        </w:rPr>
        <w:t>] × (Future Year – 2005)/1000</w:t>
      </w:r>
      <w:r w:rsidRPr="00687784">
        <w:rPr>
          <w:rFonts w:eastAsia="Calibri" w:cs="Calibri"/>
        </w:rPr>
        <w:t xml:space="preserve">  </w:t>
      </w:r>
      <w:proofErr w:type="gramStart"/>
      <w:r w:rsidRPr="00687784">
        <w:rPr>
          <w:rFonts w:eastAsia="Calibri" w:cs="Calibri"/>
        </w:rPr>
        <w:t xml:space="preserve">   [</w:t>
      </w:r>
      <w:proofErr w:type="gramEnd"/>
      <w:r w:rsidRPr="00687784">
        <w:rPr>
          <w:rFonts w:eastAsia="Calibri" w:cs="Calibri"/>
        </w:rPr>
        <w:t>m]</w:t>
      </w:r>
      <w:r w:rsidRPr="00687784">
        <w:rPr>
          <w:rFonts w:eastAsia="Calibri" w:cs="Calibri"/>
        </w:rPr>
        <w:tab/>
      </w:r>
      <w:r w:rsidRPr="00687784">
        <w:rPr>
          <w:rFonts w:eastAsia="Calibri" w:cs="Calibri"/>
        </w:rPr>
        <w:tab/>
        <w:t>[1]</w:t>
      </w:r>
    </w:p>
    <w:bookmarkEnd w:id="35"/>
    <w:p w14:paraId="3C385ABB" w14:textId="552048DF" w:rsidR="00687784" w:rsidRPr="00687784" w:rsidRDefault="00687784" w:rsidP="00F733ED">
      <w:pPr>
        <w:pStyle w:val="Bullet"/>
        <w:numPr>
          <w:ilvl w:val="0"/>
          <w:numId w:val="0"/>
        </w:numPr>
        <w:rPr>
          <w:rFonts w:eastAsia="Calibri"/>
        </w:rPr>
      </w:pPr>
      <w:r w:rsidRPr="00687784">
        <w:rPr>
          <w:rFonts w:eastAsia="Calibri"/>
        </w:rPr>
        <w:t>Across some regions</w:t>
      </w:r>
      <w:r w:rsidR="009F62F2">
        <w:rPr>
          <w:rFonts w:eastAsia="Calibri"/>
        </w:rPr>
        <w:t>,</w:t>
      </w:r>
      <w:r w:rsidRPr="00687784">
        <w:rPr>
          <w:rFonts w:eastAsia="Calibri"/>
        </w:rPr>
        <w:t xml:space="preserve"> districts</w:t>
      </w:r>
      <w:r w:rsidR="00F733ED">
        <w:rPr>
          <w:rFonts w:eastAsia="Calibri"/>
        </w:rPr>
        <w:t>,</w:t>
      </w:r>
      <w:r w:rsidR="009F62F2">
        <w:rPr>
          <w:rFonts w:eastAsia="Calibri"/>
        </w:rPr>
        <w:t xml:space="preserve"> or </w:t>
      </w:r>
      <w:r w:rsidRPr="00687784">
        <w:rPr>
          <w:rFonts w:eastAsia="Calibri"/>
        </w:rPr>
        <w:t xml:space="preserve">cities, VLM can vary markedly, depending on the location and geology, so care is needed when averaging RSLR projections across </w:t>
      </w:r>
      <w:r w:rsidR="009F62F2">
        <w:rPr>
          <w:rFonts w:eastAsia="Calibri"/>
        </w:rPr>
        <w:t xml:space="preserve">a </w:t>
      </w:r>
      <w:r w:rsidRPr="00687784">
        <w:rPr>
          <w:rFonts w:eastAsia="Calibri"/>
        </w:rPr>
        <w:t>region for</w:t>
      </w:r>
      <w:r w:rsidRPr="00687784" w:rsidDel="009F62F2">
        <w:rPr>
          <w:rFonts w:eastAsia="Calibri"/>
        </w:rPr>
        <w:t xml:space="preserve"> </w:t>
      </w:r>
      <w:r w:rsidRPr="00687784">
        <w:rPr>
          <w:rFonts w:eastAsia="Calibri"/>
        </w:rPr>
        <w:t xml:space="preserve">resource-management plans or council building/engineering standards. Where the VLM rates are broadly similar, RSLR projections could be averaged across a region. </w:t>
      </w:r>
    </w:p>
    <w:p w14:paraId="0F9DCF55" w14:textId="4D049B31" w:rsidR="00687784" w:rsidRPr="00687784" w:rsidRDefault="00687784" w:rsidP="003B2EE5">
      <w:pPr>
        <w:pStyle w:val="Bullet"/>
        <w:numPr>
          <w:ilvl w:val="0"/>
          <w:numId w:val="0"/>
        </w:numPr>
        <w:rPr>
          <w:rFonts w:eastAsia="Calibri"/>
        </w:rPr>
      </w:pPr>
      <w:r w:rsidRPr="00687784">
        <w:rPr>
          <w:rFonts w:eastAsia="Calibri"/>
        </w:rPr>
        <w:t>Some “low</w:t>
      </w:r>
      <w:r w:rsidR="00E3626F">
        <w:rPr>
          <w:rFonts w:eastAsia="Calibri"/>
        </w:rPr>
        <w:t xml:space="preserve"> </w:t>
      </w:r>
      <w:r w:rsidRPr="00687784">
        <w:rPr>
          <w:rFonts w:eastAsia="Calibri"/>
        </w:rPr>
        <w:t xml:space="preserve">confidence” SSP scenarios (SSP1-2.6, </w:t>
      </w:r>
      <w:r w:rsidRPr="00F733ED">
        <w:rPr>
          <w:rFonts w:eastAsia="Calibri"/>
        </w:rPr>
        <w:t>SSP2-4.5</w:t>
      </w:r>
      <w:r w:rsidRPr="00687784">
        <w:rPr>
          <w:rFonts w:eastAsia="Calibri"/>
          <w:vertAlign w:val="superscript"/>
        </w:rPr>
        <w:footnoteReference w:id="9"/>
      </w:r>
      <w:r w:rsidRPr="00687784">
        <w:rPr>
          <w:rFonts w:eastAsia="Calibri"/>
        </w:rPr>
        <w:t xml:space="preserve"> and SSP5-8.5) </w:t>
      </w:r>
      <w:r w:rsidRPr="00687784" w:rsidDel="009F62F2">
        <w:rPr>
          <w:rFonts w:eastAsia="Calibri"/>
        </w:rPr>
        <w:t xml:space="preserve">out </w:t>
      </w:r>
      <w:r w:rsidRPr="00687784">
        <w:rPr>
          <w:rFonts w:eastAsia="Calibri"/>
        </w:rPr>
        <w:t xml:space="preserve">to 2300 (available from the </w:t>
      </w:r>
      <w:proofErr w:type="spellStart"/>
      <w:r w:rsidRPr="00687784">
        <w:rPr>
          <w:rFonts w:eastAsia="Calibri"/>
        </w:rPr>
        <w:t>Takiwā</w:t>
      </w:r>
      <w:proofErr w:type="spellEnd"/>
      <w:r w:rsidRPr="00687784">
        <w:rPr>
          <w:rFonts w:eastAsia="Calibri"/>
        </w:rPr>
        <w:t xml:space="preserve"> platform</w:t>
      </w:r>
      <w:r w:rsidR="009F62F2">
        <w:rPr>
          <w:rFonts w:eastAsia="Calibri"/>
        </w:rPr>
        <w:t>),</w:t>
      </w:r>
      <w:r w:rsidRPr="00687784">
        <w:rPr>
          <w:rFonts w:eastAsia="Calibri"/>
          <w:vertAlign w:val="superscript"/>
        </w:rPr>
        <w:footnoteReference w:id="10"/>
      </w:r>
      <w:r w:rsidRPr="00687784">
        <w:rPr>
          <w:rFonts w:eastAsia="Calibri"/>
        </w:rPr>
        <w:t xml:space="preserve"> cover the upper</w:t>
      </w:r>
      <w:r w:rsidR="009F62F2">
        <w:rPr>
          <w:rFonts w:eastAsia="Calibri"/>
        </w:rPr>
        <w:t xml:space="preserve"> </w:t>
      </w:r>
      <w:r w:rsidRPr="00687784">
        <w:rPr>
          <w:rFonts w:eastAsia="Calibri"/>
        </w:rPr>
        <w:t>range of plausible sea-level rise by incorporating an additional ice</w:t>
      </w:r>
      <w:r w:rsidR="009F62F2">
        <w:rPr>
          <w:rFonts w:eastAsia="Calibri"/>
        </w:rPr>
        <w:t>-</w:t>
      </w:r>
      <w:r w:rsidRPr="00687784">
        <w:rPr>
          <w:rFonts w:eastAsia="Calibri"/>
        </w:rPr>
        <w:t xml:space="preserve">sheet instability process. These scenarios, using only the median (heavy line) out to 2150 and beyond, could also be </w:t>
      </w:r>
      <w:r w:rsidR="009F62F2">
        <w:rPr>
          <w:rFonts w:eastAsia="Calibri"/>
        </w:rPr>
        <w:t>used to</w:t>
      </w:r>
      <w:r w:rsidRPr="00687784">
        <w:rPr>
          <w:rFonts w:eastAsia="Calibri"/>
        </w:rPr>
        <w:t xml:space="preserve"> stress-test </w:t>
      </w:r>
      <w:r w:rsidRPr="003B2EE5">
        <w:rPr>
          <w:rFonts w:eastAsia="Calibri"/>
        </w:rPr>
        <w:t>new</w:t>
      </w:r>
      <w:r w:rsidRPr="00687784">
        <w:rPr>
          <w:rFonts w:eastAsia="Calibri"/>
        </w:rPr>
        <w:t xml:space="preserve"> coastal developments, </w:t>
      </w:r>
      <w:r w:rsidR="009F62F2">
        <w:rPr>
          <w:rFonts w:eastAsia="Calibri"/>
        </w:rPr>
        <w:t xml:space="preserve">including </w:t>
      </w:r>
      <w:r w:rsidRPr="00687784">
        <w:rPr>
          <w:rFonts w:eastAsia="Calibri"/>
        </w:rPr>
        <w:t xml:space="preserve">long-lived infrastructure, </w:t>
      </w:r>
      <w:r w:rsidR="009F62F2">
        <w:rPr>
          <w:rFonts w:eastAsia="Calibri"/>
        </w:rPr>
        <w:t>in case</w:t>
      </w:r>
      <w:r w:rsidRPr="00687784">
        <w:rPr>
          <w:rFonts w:eastAsia="Calibri"/>
        </w:rPr>
        <w:t xml:space="preserve"> the upper-range polar ice</w:t>
      </w:r>
      <w:r w:rsidR="009F62F2">
        <w:rPr>
          <w:rFonts w:eastAsia="Calibri"/>
        </w:rPr>
        <w:t>-</w:t>
      </w:r>
      <w:r w:rsidRPr="00687784">
        <w:rPr>
          <w:rFonts w:eastAsia="Calibri"/>
        </w:rPr>
        <w:t xml:space="preserve">sheet instabilities are triggered (see guidelines below). </w:t>
      </w:r>
    </w:p>
    <w:p w14:paraId="3427B663" w14:textId="315D8F2E" w:rsidR="00687784" w:rsidRPr="00687784" w:rsidRDefault="00FB2729" w:rsidP="000C4D3A">
      <w:pPr>
        <w:pStyle w:val="BodyText"/>
        <w:rPr>
          <w:rFonts w:eastAsia="Calibri"/>
        </w:rPr>
      </w:pPr>
      <w:hyperlink w:anchor="table1" w:history="1">
        <w:r w:rsidR="00B909A0" w:rsidRPr="00EF0B6B">
          <w:rPr>
            <w:rStyle w:val="Hyperlink"/>
            <w:rFonts w:eastAsia="Calibri"/>
          </w:rPr>
          <w:t>Tables 1 and 2</w:t>
        </w:r>
      </w:hyperlink>
      <w:r w:rsidR="00B909A0" w:rsidRPr="00687784">
        <w:rPr>
          <w:rFonts w:eastAsia="Calibri"/>
        </w:rPr>
        <w:t xml:space="preserve"> </w:t>
      </w:r>
      <w:r w:rsidR="00B909A0">
        <w:rPr>
          <w:rFonts w:eastAsia="Calibri"/>
        </w:rPr>
        <w:t>list</w:t>
      </w:r>
      <w:r w:rsidR="00687784" w:rsidRPr="00687784">
        <w:rPr>
          <w:rFonts w:eastAsia="Calibri"/>
        </w:rPr>
        <w:t xml:space="preserve"> the </w:t>
      </w:r>
      <w:r w:rsidR="00B909A0">
        <w:rPr>
          <w:rFonts w:eastAsia="Calibri"/>
        </w:rPr>
        <w:t xml:space="preserve">projected </w:t>
      </w:r>
      <w:r w:rsidR="00687784" w:rsidRPr="00687784">
        <w:rPr>
          <w:rFonts w:eastAsia="Calibri"/>
        </w:rPr>
        <w:t xml:space="preserve">sea-level rise for the five </w:t>
      </w:r>
      <w:r w:rsidR="00F17D3B">
        <w:rPr>
          <w:rFonts w:eastAsia="Calibri"/>
        </w:rPr>
        <w:t>“</w:t>
      </w:r>
      <w:r w:rsidR="00911AB6" w:rsidRPr="001E5221">
        <w:rPr>
          <w:rFonts w:eastAsia="Calibri"/>
        </w:rPr>
        <w:t>medium confidence</w:t>
      </w:r>
      <w:r w:rsidR="00F17D3B">
        <w:rPr>
          <w:rFonts w:eastAsia="Calibri"/>
        </w:rPr>
        <w:t>”</w:t>
      </w:r>
      <w:r w:rsidR="00911AB6">
        <w:rPr>
          <w:rFonts w:eastAsia="Calibri"/>
          <w:i/>
          <w:iCs/>
        </w:rPr>
        <w:t xml:space="preserve"> </w:t>
      </w:r>
      <w:r w:rsidR="00687784" w:rsidRPr="00687784">
        <w:rPr>
          <w:rFonts w:eastAsia="Calibri"/>
        </w:rPr>
        <w:t>SSP scenarios</w:t>
      </w:r>
      <w:r w:rsidR="00B909A0">
        <w:rPr>
          <w:rFonts w:eastAsia="Calibri"/>
        </w:rPr>
        <w:t>, a</w:t>
      </w:r>
      <w:r w:rsidR="00B909A0" w:rsidRPr="00687784">
        <w:rPr>
          <w:rFonts w:eastAsia="Calibri"/>
        </w:rPr>
        <w:t xml:space="preserve">veraged at the </w:t>
      </w:r>
      <w:r w:rsidR="00B909A0" w:rsidRPr="00687784">
        <w:rPr>
          <w:rFonts w:eastAsia="Calibri"/>
          <w:u w:val="single"/>
        </w:rPr>
        <w:t>national scale</w:t>
      </w:r>
      <w:r w:rsidR="00B909A0" w:rsidRPr="00687784">
        <w:rPr>
          <w:rFonts w:eastAsia="Calibri"/>
        </w:rPr>
        <w:t xml:space="preserve"> across six sites from north to south</w:t>
      </w:r>
      <w:r w:rsidR="00B909A0">
        <w:rPr>
          <w:rFonts w:eastAsia="Calibri"/>
        </w:rPr>
        <w:t>.</w:t>
      </w:r>
      <w:r w:rsidR="00033F8F">
        <w:rPr>
          <w:rStyle w:val="FootnoteReference"/>
          <w:rFonts w:eastAsia="Calibri"/>
        </w:rPr>
        <w:footnoteReference w:id="11"/>
      </w:r>
      <w:r w:rsidR="00687784" w:rsidRPr="00687784">
        <w:rPr>
          <w:rFonts w:eastAsia="Calibri"/>
        </w:rPr>
        <w:t xml:space="preserve"> </w:t>
      </w:r>
    </w:p>
    <w:p w14:paraId="3212DDF1" w14:textId="3C7B64BC" w:rsidR="000C4D3A" w:rsidRPr="000C4D3A" w:rsidRDefault="000C4D3A" w:rsidP="000C4D3A">
      <w:pPr>
        <w:pStyle w:val="Tableheading"/>
      </w:pPr>
      <w:bookmarkStart w:id="36" w:name="table1"/>
      <w:bookmarkStart w:id="37" w:name="_Toc109809094"/>
      <w:r w:rsidRPr="006B77BB">
        <w:t>Table 1:</w:t>
      </w:r>
      <w:bookmarkEnd w:id="36"/>
      <w:r w:rsidRPr="006B77BB">
        <w:tab/>
      </w:r>
      <w:r w:rsidR="00AE7669">
        <w:t xml:space="preserve">Decadal increments for averaged </w:t>
      </w:r>
      <w:r w:rsidR="00B909A0">
        <w:t>“</w:t>
      </w:r>
      <w:r w:rsidR="00AE7669">
        <w:t>medium confidence</w:t>
      </w:r>
      <w:r w:rsidR="00B909A0">
        <w:t>”</w:t>
      </w:r>
      <w:r w:rsidR="00AE7669">
        <w:t xml:space="preserve"> projections of SLR</w:t>
      </w:r>
      <w:r w:rsidR="0049413E">
        <w:t xml:space="preserve"> </w:t>
      </w:r>
      <w:r w:rsidR="00B909A0">
        <w:t xml:space="preserve">applied </w:t>
      </w:r>
      <w:r w:rsidR="0049413E">
        <w:t>national</w:t>
      </w:r>
      <w:r w:rsidR="00B909A0">
        <w:t>ly</w:t>
      </w:r>
      <w:bookmarkEnd w:id="3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6"/>
        <w:gridCol w:w="1419"/>
        <w:gridCol w:w="1417"/>
        <w:gridCol w:w="1419"/>
        <w:gridCol w:w="1417"/>
        <w:gridCol w:w="1417"/>
      </w:tblGrid>
      <w:tr w:rsidR="000C4D3A" w:rsidRPr="006B77BB" w14:paraId="79E4BD2A" w14:textId="77777777" w:rsidTr="000C4D3A">
        <w:trPr>
          <w:tblHeader/>
        </w:trPr>
        <w:tc>
          <w:tcPr>
            <w:tcW w:w="832" w:type="pct"/>
            <w:shd w:val="clear" w:color="auto" w:fill="1B556B"/>
          </w:tcPr>
          <w:p w14:paraId="0E582D4D" w14:textId="2057FBA3" w:rsidR="000C4D3A" w:rsidRPr="004D22A8" w:rsidRDefault="00B722A4"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 xml:space="preserve"> Year</w:t>
            </w:r>
          </w:p>
        </w:tc>
        <w:tc>
          <w:tcPr>
            <w:tcW w:w="834" w:type="pct"/>
            <w:shd w:val="clear" w:color="auto" w:fill="1B556B"/>
          </w:tcPr>
          <w:p w14:paraId="60F560D0" w14:textId="77777777"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SSP1–2.6 M (median)</w:t>
            </w:r>
          </w:p>
          <w:p w14:paraId="73FEAD42" w14:textId="408FF2E4"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[m]</w:t>
            </w:r>
          </w:p>
        </w:tc>
        <w:tc>
          <w:tcPr>
            <w:tcW w:w="833" w:type="pct"/>
            <w:shd w:val="clear" w:color="auto" w:fill="1B556B"/>
          </w:tcPr>
          <w:p w14:paraId="6D65DACF" w14:textId="77777777"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SSP2–4.5 M (median)</w:t>
            </w:r>
          </w:p>
          <w:p w14:paraId="0CFAD67F" w14:textId="77882A10"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[m]</w:t>
            </w:r>
          </w:p>
        </w:tc>
        <w:tc>
          <w:tcPr>
            <w:tcW w:w="834" w:type="pct"/>
            <w:shd w:val="clear" w:color="auto" w:fill="1B556B"/>
          </w:tcPr>
          <w:p w14:paraId="3DC2932F" w14:textId="77777777"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SSP3–7.0 M (median)</w:t>
            </w:r>
          </w:p>
          <w:p w14:paraId="508338FB" w14:textId="6C955726"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[m]</w:t>
            </w:r>
          </w:p>
        </w:tc>
        <w:tc>
          <w:tcPr>
            <w:tcW w:w="833" w:type="pct"/>
            <w:shd w:val="clear" w:color="auto" w:fill="1B556B"/>
          </w:tcPr>
          <w:p w14:paraId="383D4E48" w14:textId="77777777"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SSP5–8.5 M (median)</w:t>
            </w:r>
          </w:p>
          <w:p w14:paraId="545900D5" w14:textId="22F0F534"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[m]</w:t>
            </w:r>
          </w:p>
        </w:tc>
        <w:tc>
          <w:tcPr>
            <w:tcW w:w="833" w:type="pct"/>
            <w:shd w:val="clear" w:color="auto" w:fill="1B556B"/>
          </w:tcPr>
          <w:p w14:paraId="1C40A017" w14:textId="39A01BF5"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SSP5–8.5 H</w:t>
            </w:r>
            <w:r w:rsidRPr="004D22A8">
              <w:rPr>
                <w:rFonts w:ascii="Calibri" w:hAnsi="Calibri" w:cs="Calibri"/>
                <w:b/>
                <w:bCs/>
                <w:color w:val="FFFFFF" w:themeColor="background1"/>
                <w:szCs w:val="18"/>
                <w:vertAlign w:val="superscript"/>
              </w:rPr>
              <w:t>+</w:t>
            </w:r>
            <w:r w:rsidRPr="004D22A8">
              <w:rPr>
                <w:rFonts w:ascii="Calibri" w:hAnsi="Calibri" w:cs="Calibri"/>
                <w:b/>
                <w:bCs/>
                <w:color w:val="FFFFFF" w:themeColor="background1"/>
                <w:szCs w:val="18"/>
              </w:rPr>
              <w:t xml:space="preserve"> (83</w:t>
            </w:r>
            <w:r w:rsidR="00B722A4" w:rsidRPr="004D22A8">
              <w:rPr>
                <w:rFonts w:ascii="Calibri" w:hAnsi="Calibri" w:cs="Calibri"/>
                <w:b/>
                <w:bCs/>
                <w:color w:val="FFFFFF" w:themeColor="background1"/>
                <w:szCs w:val="18"/>
                <w:vertAlign w:val="superscript"/>
              </w:rPr>
              <w:t>rd</w:t>
            </w:r>
            <w:r w:rsidR="00B722A4" w:rsidRPr="004D22A8">
              <w:rPr>
                <w:rFonts w:ascii="Calibri" w:hAnsi="Calibri" w:cs="Calibri"/>
                <w:b/>
                <w:bCs/>
                <w:color w:val="FFFFFF" w:themeColor="background1"/>
                <w:szCs w:val="18"/>
              </w:rPr>
              <w:t xml:space="preserve"> percentile</w:t>
            </w:r>
            <w:r w:rsidRPr="004D22A8">
              <w:rPr>
                <w:rFonts w:ascii="Calibri" w:hAnsi="Calibri" w:cs="Calibri"/>
                <w:b/>
                <w:bCs/>
                <w:color w:val="FFFFFF" w:themeColor="background1"/>
                <w:szCs w:val="18"/>
              </w:rPr>
              <w:t>)</w:t>
            </w:r>
          </w:p>
          <w:p w14:paraId="67CE8C2E" w14:textId="764A489A" w:rsidR="000C4D3A" w:rsidRPr="004D22A8" w:rsidRDefault="000C4D3A" w:rsidP="000C4D3A">
            <w:pPr>
              <w:pStyle w:val="TableText"/>
              <w:rPr>
                <w:rFonts w:ascii="Calibri" w:hAnsi="Calibri" w:cs="Calibri"/>
                <w:b/>
                <w:bCs/>
                <w:color w:val="FFFFFF" w:themeColor="background1"/>
                <w:szCs w:val="18"/>
              </w:rPr>
            </w:pPr>
            <w:r w:rsidRPr="004D22A8">
              <w:rPr>
                <w:rFonts w:ascii="Calibri" w:hAnsi="Calibri" w:cs="Calibri"/>
                <w:b/>
                <w:bCs/>
                <w:color w:val="FFFFFF" w:themeColor="background1"/>
                <w:szCs w:val="18"/>
              </w:rPr>
              <w:t>[m]</w:t>
            </w:r>
          </w:p>
        </w:tc>
      </w:tr>
      <w:tr w:rsidR="000C4D3A" w:rsidRPr="006B77BB" w14:paraId="42522608" w14:textId="77777777">
        <w:tc>
          <w:tcPr>
            <w:tcW w:w="832" w:type="pct"/>
            <w:shd w:val="clear" w:color="auto" w:fill="auto"/>
          </w:tcPr>
          <w:p w14:paraId="5739E925" w14:textId="7C80C48A" w:rsidR="000C4D3A" w:rsidRPr="004D22A8" w:rsidRDefault="000C4D3A" w:rsidP="000C4D3A">
            <w:pPr>
              <w:pStyle w:val="TableText"/>
              <w:rPr>
                <w:rFonts w:ascii="Calibri" w:hAnsi="Calibri" w:cs="Calibri"/>
                <w:szCs w:val="18"/>
              </w:rPr>
            </w:pPr>
            <w:r w:rsidRPr="004D22A8">
              <w:rPr>
                <w:rFonts w:ascii="Calibri" w:hAnsi="Calibri" w:cs="Calibri"/>
                <w:szCs w:val="18"/>
              </w:rPr>
              <w:t>2005</w:t>
            </w:r>
          </w:p>
        </w:tc>
        <w:tc>
          <w:tcPr>
            <w:tcW w:w="834" w:type="pct"/>
          </w:tcPr>
          <w:p w14:paraId="04F9934E" w14:textId="7300D79E" w:rsidR="000C4D3A" w:rsidRPr="004D22A8" w:rsidRDefault="000C4D3A" w:rsidP="000C4D3A">
            <w:pPr>
              <w:pStyle w:val="TableText"/>
              <w:rPr>
                <w:rFonts w:ascii="Calibri" w:hAnsi="Calibri" w:cs="Calibri"/>
                <w:szCs w:val="18"/>
              </w:rPr>
            </w:pPr>
            <w:r w:rsidRPr="004D22A8">
              <w:rPr>
                <w:rFonts w:ascii="Calibri" w:hAnsi="Calibri" w:cs="Calibri"/>
                <w:szCs w:val="18"/>
              </w:rPr>
              <w:t>0</w:t>
            </w:r>
          </w:p>
        </w:tc>
        <w:tc>
          <w:tcPr>
            <w:tcW w:w="833" w:type="pct"/>
            <w:vAlign w:val="center"/>
          </w:tcPr>
          <w:p w14:paraId="37770109" w14:textId="025CC169" w:rsidR="000C4D3A" w:rsidRPr="004D22A8" w:rsidRDefault="000C4D3A" w:rsidP="000C4D3A">
            <w:pPr>
              <w:pStyle w:val="TableText"/>
              <w:rPr>
                <w:rFonts w:ascii="Calibri" w:hAnsi="Calibri" w:cs="Calibri"/>
                <w:szCs w:val="18"/>
              </w:rPr>
            </w:pPr>
            <w:r w:rsidRPr="004D22A8">
              <w:rPr>
                <w:rFonts w:ascii="Calibri" w:hAnsi="Calibri" w:cs="Calibri"/>
                <w:szCs w:val="18"/>
              </w:rPr>
              <w:t>0</w:t>
            </w:r>
          </w:p>
        </w:tc>
        <w:tc>
          <w:tcPr>
            <w:tcW w:w="834" w:type="pct"/>
            <w:vAlign w:val="center"/>
          </w:tcPr>
          <w:p w14:paraId="5999E8C8" w14:textId="3B749A1C" w:rsidR="000C4D3A" w:rsidRPr="004D22A8" w:rsidRDefault="000C4D3A" w:rsidP="000C4D3A">
            <w:pPr>
              <w:pStyle w:val="TableText"/>
              <w:rPr>
                <w:rFonts w:ascii="Calibri" w:hAnsi="Calibri" w:cs="Calibri"/>
                <w:szCs w:val="18"/>
              </w:rPr>
            </w:pPr>
            <w:r w:rsidRPr="004D22A8">
              <w:rPr>
                <w:rFonts w:ascii="Calibri" w:hAnsi="Calibri" w:cs="Calibri"/>
                <w:szCs w:val="18"/>
              </w:rPr>
              <w:t>0</w:t>
            </w:r>
          </w:p>
        </w:tc>
        <w:tc>
          <w:tcPr>
            <w:tcW w:w="833" w:type="pct"/>
            <w:vAlign w:val="center"/>
          </w:tcPr>
          <w:p w14:paraId="0F357E7C" w14:textId="0348EA29" w:rsidR="000C4D3A" w:rsidRPr="004D22A8" w:rsidRDefault="000C4D3A" w:rsidP="000C4D3A">
            <w:pPr>
              <w:pStyle w:val="TableText"/>
              <w:rPr>
                <w:rFonts w:ascii="Calibri" w:hAnsi="Calibri" w:cs="Calibri"/>
                <w:szCs w:val="18"/>
              </w:rPr>
            </w:pPr>
            <w:r w:rsidRPr="004D22A8">
              <w:rPr>
                <w:rFonts w:ascii="Calibri" w:hAnsi="Calibri" w:cs="Calibri"/>
                <w:szCs w:val="18"/>
              </w:rPr>
              <w:t>0</w:t>
            </w:r>
          </w:p>
        </w:tc>
        <w:tc>
          <w:tcPr>
            <w:tcW w:w="833" w:type="pct"/>
            <w:shd w:val="clear" w:color="auto" w:fill="auto"/>
            <w:vAlign w:val="center"/>
          </w:tcPr>
          <w:p w14:paraId="63B21811" w14:textId="1F4BE40A" w:rsidR="000C4D3A" w:rsidRPr="004D22A8" w:rsidRDefault="000C4D3A" w:rsidP="000C4D3A">
            <w:pPr>
              <w:pStyle w:val="TableText"/>
              <w:rPr>
                <w:rFonts w:ascii="Calibri" w:hAnsi="Calibri" w:cs="Calibri"/>
                <w:szCs w:val="18"/>
              </w:rPr>
            </w:pPr>
            <w:r w:rsidRPr="004D22A8">
              <w:rPr>
                <w:rFonts w:ascii="Calibri" w:hAnsi="Calibri" w:cs="Calibri"/>
                <w:szCs w:val="18"/>
              </w:rPr>
              <w:t>0</w:t>
            </w:r>
          </w:p>
        </w:tc>
      </w:tr>
      <w:tr w:rsidR="000C4D3A" w:rsidRPr="006B77BB" w14:paraId="176C7761" w14:textId="77777777">
        <w:tc>
          <w:tcPr>
            <w:tcW w:w="832" w:type="pct"/>
            <w:shd w:val="clear" w:color="auto" w:fill="auto"/>
          </w:tcPr>
          <w:p w14:paraId="6489E349" w14:textId="3D780F81" w:rsidR="000C4D3A" w:rsidRPr="004D22A8" w:rsidRDefault="000C4D3A" w:rsidP="000C4D3A">
            <w:pPr>
              <w:pStyle w:val="TableText"/>
              <w:rPr>
                <w:rFonts w:ascii="Calibri" w:hAnsi="Calibri" w:cs="Calibri"/>
                <w:szCs w:val="18"/>
              </w:rPr>
            </w:pPr>
            <w:r w:rsidRPr="004D22A8">
              <w:rPr>
                <w:rFonts w:ascii="Calibri" w:hAnsi="Calibri" w:cs="Calibri"/>
                <w:szCs w:val="18"/>
              </w:rPr>
              <w:t>2020</w:t>
            </w:r>
          </w:p>
        </w:tc>
        <w:tc>
          <w:tcPr>
            <w:tcW w:w="834" w:type="pct"/>
          </w:tcPr>
          <w:p w14:paraId="689FBA72" w14:textId="41F7975D"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0.06</w:t>
            </w:r>
          </w:p>
        </w:tc>
        <w:tc>
          <w:tcPr>
            <w:tcW w:w="833" w:type="pct"/>
            <w:vAlign w:val="bottom"/>
          </w:tcPr>
          <w:p w14:paraId="2EDEF78A" w14:textId="527699E9"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0.06</w:t>
            </w:r>
          </w:p>
        </w:tc>
        <w:tc>
          <w:tcPr>
            <w:tcW w:w="834" w:type="pct"/>
            <w:vAlign w:val="bottom"/>
          </w:tcPr>
          <w:p w14:paraId="6885F9F6" w14:textId="2AFB524B"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0.06</w:t>
            </w:r>
          </w:p>
        </w:tc>
        <w:tc>
          <w:tcPr>
            <w:tcW w:w="833" w:type="pct"/>
            <w:vAlign w:val="bottom"/>
          </w:tcPr>
          <w:p w14:paraId="0A9E8314" w14:textId="0690C823"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0.06</w:t>
            </w:r>
          </w:p>
        </w:tc>
        <w:tc>
          <w:tcPr>
            <w:tcW w:w="833" w:type="pct"/>
            <w:shd w:val="clear" w:color="auto" w:fill="auto"/>
            <w:vAlign w:val="bottom"/>
          </w:tcPr>
          <w:p w14:paraId="18E15451" w14:textId="7B5AA5BA"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0.09</w:t>
            </w:r>
          </w:p>
        </w:tc>
      </w:tr>
      <w:tr w:rsidR="000C4D3A" w:rsidRPr="006B77BB" w14:paraId="17FB872A" w14:textId="77777777">
        <w:tc>
          <w:tcPr>
            <w:tcW w:w="832" w:type="pct"/>
          </w:tcPr>
          <w:p w14:paraId="372C7072" w14:textId="5F94C78E" w:rsidR="000C4D3A" w:rsidRPr="004D22A8" w:rsidRDefault="000C4D3A" w:rsidP="000C4D3A">
            <w:pPr>
              <w:pStyle w:val="TableText"/>
              <w:rPr>
                <w:rFonts w:ascii="Calibri" w:hAnsi="Calibri" w:cs="Calibri"/>
                <w:szCs w:val="18"/>
              </w:rPr>
            </w:pPr>
            <w:r w:rsidRPr="004D22A8">
              <w:rPr>
                <w:rFonts w:ascii="Calibri" w:hAnsi="Calibri" w:cs="Calibri"/>
                <w:szCs w:val="18"/>
              </w:rPr>
              <w:t>2030</w:t>
            </w:r>
          </w:p>
        </w:tc>
        <w:tc>
          <w:tcPr>
            <w:tcW w:w="834" w:type="pct"/>
          </w:tcPr>
          <w:p w14:paraId="44022909" w14:textId="69B87D82"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0.11</w:t>
            </w:r>
          </w:p>
        </w:tc>
        <w:tc>
          <w:tcPr>
            <w:tcW w:w="833" w:type="pct"/>
            <w:vAlign w:val="bottom"/>
          </w:tcPr>
          <w:p w14:paraId="20C433ED" w14:textId="65B3C5C8"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0.11</w:t>
            </w:r>
          </w:p>
        </w:tc>
        <w:tc>
          <w:tcPr>
            <w:tcW w:w="834" w:type="pct"/>
            <w:vAlign w:val="bottom"/>
          </w:tcPr>
          <w:p w14:paraId="1F453F87" w14:textId="3CB77687"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0.11</w:t>
            </w:r>
          </w:p>
        </w:tc>
        <w:tc>
          <w:tcPr>
            <w:tcW w:w="833" w:type="pct"/>
            <w:vAlign w:val="bottom"/>
          </w:tcPr>
          <w:p w14:paraId="61C1E9AC" w14:textId="654AEFF5"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0.11</w:t>
            </w:r>
          </w:p>
        </w:tc>
        <w:tc>
          <w:tcPr>
            <w:tcW w:w="833" w:type="pct"/>
            <w:vAlign w:val="bottom"/>
          </w:tcPr>
          <w:p w14:paraId="3EE2A5B3" w14:textId="06E47ED2" w:rsidR="000C4D3A" w:rsidRPr="004D22A8" w:rsidRDefault="000C4D3A" w:rsidP="000C4D3A">
            <w:pPr>
              <w:pStyle w:val="TableText"/>
              <w:rPr>
                <w:rFonts w:ascii="Calibri" w:hAnsi="Calibri" w:cs="Calibri"/>
                <w:szCs w:val="18"/>
              </w:rPr>
            </w:pPr>
            <w:r w:rsidRPr="004D22A8">
              <w:rPr>
                <w:rFonts w:ascii="Calibri" w:hAnsi="Calibri" w:cs="Calibri"/>
                <w:color w:val="000000"/>
                <w:szCs w:val="18"/>
              </w:rPr>
              <w:t>0.15</w:t>
            </w:r>
          </w:p>
        </w:tc>
      </w:tr>
      <w:tr w:rsidR="000C4D3A" w:rsidRPr="006B77BB" w14:paraId="2F5B769B" w14:textId="77777777">
        <w:tc>
          <w:tcPr>
            <w:tcW w:w="832" w:type="pct"/>
          </w:tcPr>
          <w:p w14:paraId="65CD9C7B" w14:textId="62E1EE66" w:rsidR="000C4D3A" w:rsidRPr="004D22A8" w:rsidRDefault="000C4D3A" w:rsidP="000C4D3A">
            <w:pPr>
              <w:pStyle w:val="TableText"/>
              <w:rPr>
                <w:rFonts w:ascii="Calibri" w:hAnsi="Calibri" w:cs="Calibri"/>
                <w:szCs w:val="18"/>
              </w:rPr>
            </w:pPr>
            <w:r w:rsidRPr="004D22A8">
              <w:rPr>
                <w:rFonts w:ascii="Calibri" w:hAnsi="Calibri" w:cs="Calibri"/>
                <w:szCs w:val="18"/>
              </w:rPr>
              <w:t>2040</w:t>
            </w:r>
          </w:p>
        </w:tc>
        <w:tc>
          <w:tcPr>
            <w:tcW w:w="834" w:type="pct"/>
          </w:tcPr>
          <w:p w14:paraId="1BF90682" w14:textId="1083B3F2"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0.15</w:t>
            </w:r>
          </w:p>
        </w:tc>
        <w:tc>
          <w:tcPr>
            <w:tcW w:w="833" w:type="pct"/>
            <w:vAlign w:val="bottom"/>
          </w:tcPr>
          <w:p w14:paraId="3B7B6B50" w14:textId="279B0C2E"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0.16</w:t>
            </w:r>
          </w:p>
        </w:tc>
        <w:tc>
          <w:tcPr>
            <w:tcW w:w="834" w:type="pct"/>
            <w:vAlign w:val="bottom"/>
          </w:tcPr>
          <w:p w14:paraId="08D0BDD9" w14:textId="022EFC35"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0.16</w:t>
            </w:r>
          </w:p>
        </w:tc>
        <w:tc>
          <w:tcPr>
            <w:tcW w:w="833" w:type="pct"/>
            <w:vAlign w:val="bottom"/>
          </w:tcPr>
          <w:p w14:paraId="4B0FE2E2" w14:textId="5F8E3945"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0.18</w:t>
            </w:r>
          </w:p>
        </w:tc>
        <w:tc>
          <w:tcPr>
            <w:tcW w:w="833" w:type="pct"/>
            <w:vAlign w:val="bottom"/>
          </w:tcPr>
          <w:p w14:paraId="3B7FC2A8" w14:textId="6E37F8DD"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0.23</w:t>
            </w:r>
          </w:p>
        </w:tc>
      </w:tr>
      <w:tr w:rsidR="000C4D3A" w:rsidRPr="006B77BB" w14:paraId="5EED12D3" w14:textId="77777777">
        <w:tc>
          <w:tcPr>
            <w:tcW w:w="832" w:type="pct"/>
          </w:tcPr>
          <w:p w14:paraId="20465396" w14:textId="47F81C57" w:rsidR="000C4D3A" w:rsidRPr="004D22A8" w:rsidRDefault="000C4D3A" w:rsidP="000C4D3A">
            <w:pPr>
              <w:pStyle w:val="TableText"/>
              <w:rPr>
                <w:rFonts w:ascii="Calibri" w:hAnsi="Calibri" w:cs="Calibri"/>
                <w:szCs w:val="18"/>
              </w:rPr>
            </w:pPr>
            <w:r w:rsidRPr="004D22A8">
              <w:rPr>
                <w:rFonts w:ascii="Calibri" w:hAnsi="Calibri" w:cs="Calibri"/>
                <w:szCs w:val="18"/>
              </w:rPr>
              <w:t>2050</w:t>
            </w:r>
          </w:p>
        </w:tc>
        <w:tc>
          <w:tcPr>
            <w:tcW w:w="834" w:type="pct"/>
          </w:tcPr>
          <w:p w14:paraId="450158CA" w14:textId="146420D5"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0.20</w:t>
            </w:r>
          </w:p>
        </w:tc>
        <w:tc>
          <w:tcPr>
            <w:tcW w:w="833" w:type="pct"/>
            <w:vAlign w:val="bottom"/>
          </w:tcPr>
          <w:p w14:paraId="5FB8192B" w14:textId="604C3C15"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0.22</w:t>
            </w:r>
          </w:p>
        </w:tc>
        <w:tc>
          <w:tcPr>
            <w:tcW w:w="834" w:type="pct"/>
            <w:vAlign w:val="bottom"/>
          </w:tcPr>
          <w:p w14:paraId="34AA7404" w14:textId="67A9CE03"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0.24</w:t>
            </w:r>
          </w:p>
        </w:tc>
        <w:tc>
          <w:tcPr>
            <w:tcW w:w="833" w:type="pct"/>
            <w:vAlign w:val="bottom"/>
          </w:tcPr>
          <w:p w14:paraId="0A319ECA" w14:textId="785147DE"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0.26</w:t>
            </w:r>
          </w:p>
        </w:tc>
        <w:tc>
          <w:tcPr>
            <w:tcW w:w="833" w:type="pct"/>
            <w:vAlign w:val="bottom"/>
          </w:tcPr>
          <w:p w14:paraId="2CA55CFD" w14:textId="613EF660"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0.32</w:t>
            </w:r>
          </w:p>
        </w:tc>
      </w:tr>
      <w:tr w:rsidR="000C4D3A" w:rsidRPr="006B77BB" w14:paraId="5ED40010" w14:textId="77777777">
        <w:tc>
          <w:tcPr>
            <w:tcW w:w="832" w:type="pct"/>
          </w:tcPr>
          <w:p w14:paraId="6B46B675" w14:textId="06135E14" w:rsidR="000C4D3A" w:rsidRPr="004D22A8" w:rsidRDefault="000C4D3A" w:rsidP="000C4D3A">
            <w:pPr>
              <w:pStyle w:val="TableText"/>
              <w:rPr>
                <w:rFonts w:ascii="Calibri" w:hAnsi="Calibri" w:cs="Calibri"/>
                <w:szCs w:val="18"/>
              </w:rPr>
            </w:pPr>
            <w:r w:rsidRPr="004D22A8">
              <w:rPr>
                <w:rFonts w:ascii="Calibri" w:hAnsi="Calibri" w:cs="Calibri"/>
                <w:szCs w:val="18"/>
              </w:rPr>
              <w:t>2060</w:t>
            </w:r>
          </w:p>
        </w:tc>
        <w:tc>
          <w:tcPr>
            <w:tcW w:w="834" w:type="pct"/>
          </w:tcPr>
          <w:p w14:paraId="12D29015" w14:textId="300CC6D6"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0.24</w:t>
            </w:r>
          </w:p>
        </w:tc>
        <w:tc>
          <w:tcPr>
            <w:tcW w:w="833" w:type="pct"/>
            <w:vAlign w:val="bottom"/>
          </w:tcPr>
          <w:p w14:paraId="32EE268F" w14:textId="7534C19A"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0.28</w:t>
            </w:r>
          </w:p>
        </w:tc>
        <w:tc>
          <w:tcPr>
            <w:tcW w:w="834" w:type="pct"/>
            <w:vAlign w:val="bottom"/>
          </w:tcPr>
          <w:p w14:paraId="754A06E0" w14:textId="03F42430"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0.31</w:t>
            </w:r>
          </w:p>
        </w:tc>
        <w:tc>
          <w:tcPr>
            <w:tcW w:w="833" w:type="pct"/>
            <w:vAlign w:val="bottom"/>
          </w:tcPr>
          <w:p w14:paraId="33F6B1CB" w14:textId="481D0700"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0.34</w:t>
            </w:r>
          </w:p>
        </w:tc>
        <w:tc>
          <w:tcPr>
            <w:tcW w:w="833" w:type="pct"/>
            <w:vAlign w:val="bottom"/>
          </w:tcPr>
          <w:p w14:paraId="1A0F7A50" w14:textId="1CA2625E"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0.43</w:t>
            </w:r>
          </w:p>
        </w:tc>
      </w:tr>
      <w:tr w:rsidR="000C4D3A" w:rsidRPr="006B77BB" w14:paraId="679FBD40" w14:textId="77777777">
        <w:tc>
          <w:tcPr>
            <w:tcW w:w="832" w:type="pct"/>
          </w:tcPr>
          <w:p w14:paraId="0127D1DD" w14:textId="762C1C90" w:rsidR="000C4D3A" w:rsidRPr="004D22A8" w:rsidRDefault="000C4D3A" w:rsidP="000C4D3A">
            <w:pPr>
              <w:pStyle w:val="TableText"/>
              <w:rPr>
                <w:rFonts w:ascii="Calibri" w:hAnsi="Calibri" w:cs="Calibri"/>
                <w:szCs w:val="18"/>
              </w:rPr>
            </w:pPr>
            <w:r w:rsidRPr="004D22A8">
              <w:rPr>
                <w:rFonts w:ascii="Calibri" w:hAnsi="Calibri" w:cs="Calibri"/>
                <w:szCs w:val="18"/>
              </w:rPr>
              <w:t>2070</w:t>
            </w:r>
          </w:p>
        </w:tc>
        <w:tc>
          <w:tcPr>
            <w:tcW w:w="834" w:type="pct"/>
          </w:tcPr>
          <w:p w14:paraId="6FAAAF8C" w14:textId="1550A8C4"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0.29</w:t>
            </w:r>
          </w:p>
        </w:tc>
        <w:tc>
          <w:tcPr>
            <w:tcW w:w="833" w:type="pct"/>
            <w:vAlign w:val="bottom"/>
          </w:tcPr>
          <w:p w14:paraId="021D8AC5" w14:textId="526722C5"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0.35</w:t>
            </w:r>
          </w:p>
        </w:tc>
        <w:tc>
          <w:tcPr>
            <w:tcW w:w="834" w:type="pct"/>
            <w:vAlign w:val="bottom"/>
          </w:tcPr>
          <w:p w14:paraId="42615ECA" w14:textId="59ADC8EA"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0.40</w:t>
            </w:r>
          </w:p>
        </w:tc>
        <w:tc>
          <w:tcPr>
            <w:tcW w:w="833" w:type="pct"/>
            <w:vAlign w:val="bottom"/>
          </w:tcPr>
          <w:p w14:paraId="2C7E4035" w14:textId="7B01A1AE"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0.44</w:t>
            </w:r>
          </w:p>
        </w:tc>
        <w:tc>
          <w:tcPr>
            <w:tcW w:w="833" w:type="pct"/>
            <w:vAlign w:val="bottom"/>
          </w:tcPr>
          <w:p w14:paraId="0271ED0D" w14:textId="08A486E7"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0.57</w:t>
            </w:r>
          </w:p>
        </w:tc>
      </w:tr>
      <w:tr w:rsidR="000C4D3A" w:rsidRPr="006B77BB" w14:paraId="450D6DA9" w14:textId="77777777">
        <w:tc>
          <w:tcPr>
            <w:tcW w:w="832" w:type="pct"/>
          </w:tcPr>
          <w:p w14:paraId="4A39F2DE" w14:textId="2F34C94F" w:rsidR="000C4D3A" w:rsidRPr="004D22A8" w:rsidRDefault="000C4D3A" w:rsidP="000C4D3A">
            <w:pPr>
              <w:pStyle w:val="TableText"/>
              <w:rPr>
                <w:rFonts w:ascii="Calibri" w:hAnsi="Calibri" w:cs="Calibri"/>
                <w:szCs w:val="18"/>
              </w:rPr>
            </w:pPr>
            <w:r w:rsidRPr="004D22A8">
              <w:rPr>
                <w:rFonts w:ascii="Calibri" w:hAnsi="Calibri" w:cs="Calibri"/>
                <w:szCs w:val="18"/>
              </w:rPr>
              <w:t>2080</w:t>
            </w:r>
          </w:p>
        </w:tc>
        <w:tc>
          <w:tcPr>
            <w:tcW w:w="834" w:type="pct"/>
          </w:tcPr>
          <w:p w14:paraId="2C2706C4" w14:textId="171B982B"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0.34</w:t>
            </w:r>
          </w:p>
        </w:tc>
        <w:tc>
          <w:tcPr>
            <w:tcW w:w="833" w:type="pct"/>
            <w:vAlign w:val="bottom"/>
          </w:tcPr>
          <w:p w14:paraId="703B580E" w14:textId="18A97381"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0.42</w:t>
            </w:r>
          </w:p>
        </w:tc>
        <w:tc>
          <w:tcPr>
            <w:tcW w:w="834" w:type="pct"/>
            <w:vAlign w:val="bottom"/>
          </w:tcPr>
          <w:p w14:paraId="2FADFC89" w14:textId="37C0D316"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0.50</w:t>
            </w:r>
          </w:p>
        </w:tc>
        <w:tc>
          <w:tcPr>
            <w:tcW w:w="833" w:type="pct"/>
            <w:vAlign w:val="bottom"/>
          </w:tcPr>
          <w:p w14:paraId="40BDD987" w14:textId="7B6EC7CF"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0.56</w:t>
            </w:r>
          </w:p>
        </w:tc>
        <w:tc>
          <w:tcPr>
            <w:tcW w:w="833" w:type="pct"/>
            <w:vAlign w:val="bottom"/>
          </w:tcPr>
          <w:p w14:paraId="4E4EEE01" w14:textId="63F441B7"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0.72</w:t>
            </w:r>
          </w:p>
        </w:tc>
      </w:tr>
      <w:tr w:rsidR="000C4D3A" w:rsidRPr="006B77BB" w14:paraId="30E3D5F0" w14:textId="77777777">
        <w:tc>
          <w:tcPr>
            <w:tcW w:w="832" w:type="pct"/>
          </w:tcPr>
          <w:p w14:paraId="275EEA15" w14:textId="2F93346D" w:rsidR="000C4D3A" w:rsidRPr="004D22A8" w:rsidRDefault="000C4D3A" w:rsidP="000C4D3A">
            <w:pPr>
              <w:pStyle w:val="TableText"/>
              <w:rPr>
                <w:rFonts w:ascii="Calibri" w:hAnsi="Calibri" w:cs="Calibri"/>
                <w:szCs w:val="18"/>
              </w:rPr>
            </w:pPr>
            <w:r w:rsidRPr="004D22A8">
              <w:rPr>
                <w:rFonts w:ascii="Calibri" w:hAnsi="Calibri" w:cs="Calibri"/>
                <w:szCs w:val="18"/>
              </w:rPr>
              <w:t>2090</w:t>
            </w:r>
          </w:p>
        </w:tc>
        <w:tc>
          <w:tcPr>
            <w:tcW w:w="834" w:type="pct"/>
          </w:tcPr>
          <w:p w14:paraId="7F46F9BF" w14:textId="3D4F0414"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0.38</w:t>
            </w:r>
          </w:p>
        </w:tc>
        <w:tc>
          <w:tcPr>
            <w:tcW w:w="833" w:type="pct"/>
            <w:vAlign w:val="bottom"/>
          </w:tcPr>
          <w:p w14:paraId="60E81796" w14:textId="1B5C3BE0"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0.49</w:t>
            </w:r>
          </w:p>
        </w:tc>
        <w:tc>
          <w:tcPr>
            <w:tcW w:w="834" w:type="pct"/>
            <w:vAlign w:val="bottom"/>
          </w:tcPr>
          <w:p w14:paraId="42DDB16E" w14:textId="3C71B43A"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0.61</w:t>
            </w:r>
          </w:p>
        </w:tc>
        <w:tc>
          <w:tcPr>
            <w:tcW w:w="833" w:type="pct"/>
            <w:vAlign w:val="bottom"/>
          </w:tcPr>
          <w:p w14:paraId="4DEC9DEE" w14:textId="711BE338"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0.69</w:t>
            </w:r>
          </w:p>
        </w:tc>
        <w:tc>
          <w:tcPr>
            <w:tcW w:w="833" w:type="pct"/>
            <w:vAlign w:val="bottom"/>
          </w:tcPr>
          <w:p w14:paraId="09738C8E" w14:textId="55E8C67D"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0.90</w:t>
            </w:r>
          </w:p>
        </w:tc>
      </w:tr>
      <w:tr w:rsidR="000C4D3A" w:rsidRPr="006B77BB" w14:paraId="28888ED0" w14:textId="77777777">
        <w:tc>
          <w:tcPr>
            <w:tcW w:w="832" w:type="pct"/>
          </w:tcPr>
          <w:p w14:paraId="05BF14D0" w14:textId="19DB95A2" w:rsidR="000C4D3A" w:rsidRPr="004D22A8" w:rsidRDefault="000C4D3A" w:rsidP="000C4D3A">
            <w:pPr>
              <w:pStyle w:val="TableText"/>
              <w:rPr>
                <w:rFonts w:ascii="Calibri" w:hAnsi="Calibri" w:cs="Calibri"/>
                <w:szCs w:val="18"/>
              </w:rPr>
            </w:pPr>
            <w:r w:rsidRPr="004D22A8">
              <w:rPr>
                <w:rFonts w:ascii="Calibri" w:hAnsi="Calibri" w:cs="Calibri"/>
                <w:szCs w:val="18"/>
              </w:rPr>
              <w:t>2100</w:t>
            </w:r>
          </w:p>
        </w:tc>
        <w:tc>
          <w:tcPr>
            <w:tcW w:w="834" w:type="pct"/>
          </w:tcPr>
          <w:p w14:paraId="0E8E1421" w14:textId="18083A0D"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0.44</w:t>
            </w:r>
          </w:p>
        </w:tc>
        <w:tc>
          <w:tcPr>
            <w:tcW w:w="833" w:type="pct"/>
            <w:vAlign w:val="bottom"/>
          </w:tcPr>
          <w:p w14:paraId="7BA7020A" w14:textId="0EA7C22B"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0.57</w:t>
            </w:r>
          </w:p>
        </w:tc>
        <w:tc>
          <w:tcPr>
            <w:tcW w:w="834" w:type="pct"/>
            <w:vAlign w:val="bottom"/>
          </w:tcPr>
          <w:p w14:paraId="5106217C" w14:textId="54D09CFF"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0.73</w:t>
            </w:r>
          </w:p>
        </w:tc>
        <w:tc>
          <w:tcPr>
            <w:tcW w:w="833" w:type="pct"/>
            <w:vAlign w:val="bottom"/>
          </w:tcPr>
          <w:p w14:paraId="733F6298" w14:textId="6223D760"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0.83</w:t>
            </w:r>
          </w:p>
        </w:tc>
        <w:tc>
          <w:tcPr>
            <w:tcW w:w="833" w:type="pct"/>
            <w:vAlign w:val="bottom"/>
          </w:tcPr>
          <w:p w14:paraId="61B6452C" w14:textId="140A5791"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1.09</w:t>
            </w:r>
          </w:p>
        </w:tc>
      </w:tr>
      <w:tr w:rsidR="000C4D3A" w:rsidRPr="006B77BB" w14:paraId="2D6F1F1E" w14:textId="77777777">
        <w:tc>
          <w:tcPr>
            <w:tcW w:w="832" w:type="pct"/>
          </w:tcPr>
          <w:p w14:paraId="4ADC55F1" w14:textId="1B0982A4" w:rsidR="000C4D3A" w:rsidRPr="004D22A8" w:rsidRDefault="000C4D3A" w:rsidP="000C4D3A">
            <w:pPr>
              <w:pStyle w:val="TableText"/>
              <w:rPr>
                <w:rFonts w:ascii="Calibri" w:hAnsi="Calibri" w:cs="Calibri"/>
                <w:szCs w:val="18"/>
              </w:rPr>
            </w:pPr>
            <w:r w:rsidRPr="004D22A8">
              <w:rPr>
                <w:rFonts w:ascii="Calibri" w:hAnsi="Calibri" w:cs="Calibri"/>
                <w:szCs w:val="18"/>
              </w:rPr>
              <w:t>2110</w:t>
            </w:r>
          </w:p>
        </w:tc>
        <w:tc>
          <w:tcPr>
            <w:tcW w:w="834" w:type="pct"/>
          </w:tcPr>
          <w:p w14:paraId="01D9CDE7" w14:textId="56E57EA8"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0.50</w:t>
            </w:r>
          </w:p>
        </w:tc>
        <w:tc>
          <w:tcPr>
            <w:tcW w:w="833" w:type="pct"/>
            <w:vAlign w:val="bottom"/>
          </w:tcPr>
          <w:p w14:paraId="1BBCD81C" w14:textId="3D38CBE6"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0.66</w:t>
            </w:r>
          </w:p>
        </w:tc>
        <w:tc>
          <w:tcPr>
            <w:tcW w:w="834" w:type="pct"/>
            <w:vAlign w:val="bottom"/>
          </w:tcPr>
          <w:p w14:paraId="36BB5EB3" w14:textId="46F2FA5D"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0.83</w:t>
            </w:r>
          </w:p>
        </w:tc>
        <w:tc>
          <w:tcPr>
            <w:tcW w:w="833" w:type="pct"/>
            <w:vAlign w:val="bottom"/>
          </w:tcPr>
          <w:p w14:paraId="4D2CD02B" w14:textId="727BAA62"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0.95</w:t>
            </w:r>
          </w:p>
        </w:tc>
        <w:tc>
          <w:tcPr>
            <w:tcW w:w="833" w:type="pct"/>
            <w:vAlign w:val="bottom"/>
          </w:tcPr>
          <w:p w14:paraId="4B3AE4FA" w14:textId="0D446153"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1.28</w:t>
            </w:r>
          </w:p>
        </w:tc>
      </w:tr>
      <w:tr w:rsidR="000C4D3A" w:rsidRPr="006B77BB" w14:paraId="6DBD9358" w14:textId="77777777">
        <w:tc>
          <w:tcPr>
            <w:tcW w:w="832" w:type="pct"/>
          </w:tcPr>
          <w:p w14:paraId="71948A93" w14:textId="1CCA97B3" w:rsidR="000C4D3A" w:rsidRPr="004D22A8" w:rsidRDefault="000C4D3A" w:rsidP="000C4D3A">
            <w:pPr>
              <w:pStyle w:val="TableText"/>
              <w:rPr>
                <w:rFonts w:ascii="Calibri" w:hAnsi="Calibri" w:cs="Calibri"/>
                <w:szCs w:val="18"/>
              </w:rPr>
            </w:pPr>
            <w:r w:rsidRPr="004D22A8">
              <w:rPr>
                <w:rFonts w:ascii="Calibri" w:hAnsi="Calibri" w:cs="Calibri"/>
                <w:szCs w:val="18"/>
              </w:rPr>
              <w:t>2120</w:t>
            </w:r>
          </w:p>
        </w:tc>
        <w:tc>
          <w:tcPr>
            <w:tcW w:w="834" w:type="pct"/>
          </w:tcPr>
          <w:p w14:paraId="6A952FBF" w14:textId="232A63E7"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0.55</w:t>
            </w:r>
          </w:p>
        </w:tc>
        <w:tc>
          <w:tcPr>
            <w:tcW w:w="833" w:type="pct"/>
            <w:vAlign w:val="bottom"/>
          </w:tcPr>
          <w:p w14:paraId="7855A673" w14:textId="2C475F66"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0.74</w:t>
            </w:r>
          </w:p>
        </w:tc>
        <w:tc>
          <w:tcPr>
            <w:tcW w:w="834" w:type="pct"/>
            <w:vAlign w:val="bottom"/>
          </w:tcPr>
          <w:p w14:paraId="08DF717B" w14:textId="492394A9"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0.95</w:t>
            </w:r>
          </w:p>
        </w:tc>
        <w:tc>
          <w:tcPr>
            <w:tcW w:w="833" w:type="pct"/>
            <w:vAlign w:val="bottom"/>
          </w:tcPr>
          <w:p w14:paraId="7F113E24" w14:textId="750AF19B"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1.08</w:t>
            </w:r>
          </w:p>
        </w:tc>
        <w:tc>
          <w:tcPr>
            <w:tcW w:w="833" w:type="pct"/>
            <w:vAlign w:val="bottom"/>
          </w:tcPr>
          <w:p w14:paraId="5389EFB3" w14:textId="3FE3BBD3" w:rsidR="000C4D3A" w:rsidRPr="004D22A8" w:rsidRDefault="000C4D3A" w:rsidP="000C4D3A">
            <w:pPr>
              <w:pStyle w:val="TableText"/>
              <w:rPr>
                <w:rFonts w:ascii="Calibri" w:hAnsi="Calibri" w:cs="Calibri"/>
                <w:color w:val="000000"/>
                <w:szCs w:val="18"/>
              </w:rPr>
            </w:pPr>
            <w:r w:rsidRPr="004D22A8">
              <w:rPr>
                <w:rFonts w:ascii="Calibri" w:hAnsi="Calibri" w:cs="Calibri"/>
                <w:color w:val="000000"/>
                <w:szCs w:val="18"/>
              </w:rPr>
              <w:t>1.47</w:t>
            </w:r>
          </w:p>
        </w:tc>
      </w:tr>
      <w:tr w:rsidR="000C4D3A" w:rsidRPr="006B77BB" w14:paraId="1D0275B7" w14:textId="77777777">
        <w:tc>
          <w:tcPr>
            <w:tcW w:w="832" w:type="pct"/>
          </w:tcPr>
          <w:p w14:paraId="5C38584D" w14:textId="026AB4BE" w:rsidR="000C4D3A" w:rsidRPr="004D22A8" w:rsidRDefault="000C4D3A" w:rsidP="000C4D3A">
            <w:pPr>
              <w:pStyle w:val="TableText"/>
              <w:rPr>
                <w:rFonts w:ascii="Calibri" w:hAnsi="Calibri" w:cs="Calibri"/>
                <w:szCs w:val="18"/>
              </w:rPr>
            </w:pPr>
            <w:r w:rsidRPr="004D22A8">
              <w:rPr>
                <w:rFonts w:ascii="Calibri" w:hAnsi="Calibri" w:cs="Calibri"/>
                <w:szCs w:val="18"/>
              </w:rPr>
              <w:t>2130</w:t>
            </w:r>
          </w:p>
        </w:tc>
        <w:tc>
          <w:tcPr>
            <w:tcW w:w="834" w:type="pct"/>
          </w:tcPr>
          <w:p w14:paraId="78A06A45" w14:textId="52A48688" w:rsidR="000C4D3A" w:rsidRPr="004D22A8" w:rsidRDefault="000C4D3A" w:rsidP="000C4D3A">
            <w:pPr>
              <w:pStyle w:val="TableText"/>
              <w:rPr>
                <w:rFonts w:ascii="Calibri" w:hAnsi="Calibri" w:cs="Calibri"/>
                <w:color w:val="000000"/>
                <w:szCs w:val="18"/>
              </w:rPr>
            </w:pPr>
            <w:r w:rsidRPr="004D22A8">
              <w:rPr>
                <w:rFonts w:ascii="Calibri" w:hAnsi="Calibri" w:cs="Calibri"/>
                <w:szCs w:val="18"/>
              </w:rPr>
              <w:t>0.60</w:t>
            </w:r>
          </w:p>
        </w:tc>
        <w:tc>
          <w:tcPr>
            <w:tcW w:w="833" w:type="pct"/>
            <w:vAlign w:val="center"/>
          </w:tcPr>
          <w:p w14:paraId="3D19D346" w14:textId="0CCA0161" w:rsidR="000C4D3A" w:rsidRPr="004D22A8" w:rsidRDefault="000C4D3A" w:rsidP="000C4D3A">
            <w:pPr>
              <w:pStyle w:val="TableText"/>
              <w:rPr>
                <w:rFonts w:ascii="Calibri" w:hAnsi="Calibri" w:cs="Calibri"/>
                <w:color w:val="000000"/>
                <w:szCs w:val="18"/>
              </w:rPr>
            </w:pPr>
            <w:r w:rsidRPr="004D22A8">
              <w:rPr>
                <w:rFonts w:ascii="Calibri" w:hAnsi="Calibri" w:cs="Calibri"/>
                <w:szCs w:val="18"/>
              </w:rPr>
              <w:t>0.81</w:t>
            </w:r>
          </w:p>
        </w:tc>
        <w:tc>
          <w:tcPr>
            <w:tcW w:w="834" w:type="pct"/>
            <w:vAlign w:val="center"/>
          </w:tcPr>
          <w:p w14:paraId="22CB0829" w14:textId="3CA394EB" w:rsidR="000C4D3A" w:rsidRPr="004D22A8" w:rsidRDefault="000C4D3A" w:rsidP="000C4D3A">
            <w:pPr>
              <w:pStyle w:val="TableText"/>
              <w:rPr>
                <w:rFonts w:ascii="Calibri" w:hAnsi="Calibri" w:cs="Calibri"/>
                <w:color w:val="000000"/>
                <w:szCs w:val="18"/>
              </w:rPr>
            </w:pPr>
            <w:r w:rsidRPr="004D22A8">
              <w:rPr>
                <w:rFonts w:ascii="Calibri" w:hAnsi="Calibri" w:cs="Calibri"/>
                <w:szCs w:val="18"/>
              </w:rPr>
              <w:t>1.07</w:t>
            </w:r>
          </w:p>
        </w:tc>
        <w:tc>
          <w:tcPr>
            <w:tcW w:w="833" w:type="pct"/>
            <w:vAlign w:val="center"/>
          </w:tcPr>
          <w:p w14:paraId="6204DDAA" w14:textId="6A94DB6D" w:rsidR="000C4D3A" w:rsidRPr="004D22A8" w:rsidRDefault="000C4D3A" w:rsidP="000C4D3A">
            <w:pPr>
              <w:pStyle w:val="TableText"/>
              <w:rPr>
                <w:rFonts w:ascii="Calibri" w:hAnsi="Calibri" w:cs="Calibri"/>
                <w:color w:val="000000"/>
                <w:szCs w:val="18"/>
              </w:rPr>
            </w:pPr>
            <w:r w:rsidRPr="004D22A8">
              <w:rPr>
                <w:rFonts w:ascii="Calibri" w:hAnsi="Calibri" w:cs="Calibri"/>
                <w:szCs w:val="18"/>
              </w:rPr>
              <w:t>1.21</w:t>
            </w:r>
          </w:p>
        </w:tc>
        <w:tc>
          <w:tcPr>
            <w:tcW w:w="833" w:type="pct"/>
            <w:vAlign w:val="center"/>
          </w:tcPr>
          <w:p w14:paraId="6FB8BB9D" w14:textId="6BB2DF8D" w:rsidR="000C4D3A" w:rsidRPr="004D22A8" w:rsidRDefault="000C4D3A" w:rsidP="000C4D3A">
            <w:pPr>
              <w:pStyle w:val="TableText"/>
              <w:rPr>
                <w:rFonts w:ascii="Calibri" w:hAnsi="Calibri" w:cs="Calibri"/>
                <w:color w:val="000000"/>
                <w:szCs w:val="18"/>
              </w:rPr>
            </w:pPr>
            <w:r w:rsidRPr="004D22A8">
              <w:rPr>
                <w:rFonts w:ascii="Calibri" w:hAnsi="Calibri" w:cs="Calibri"/>
                <w:szCs w:val="18"/>
              </w:rPr>
              <w:t>1.66</w:t>
            </w:r>
          </w:p>
        </w:tc>
      </w:tr>
      <w:tr w:rsidR="000C4D3A" w:rsidRPr="006B77BB" w14:paraId="669FEEB4" w14:textId="77777777">
        <w:tc>
          <w:tcPr>
            <w:tcW w:w="832" w:type="pct"/>
          </w:tcPr>
          <w:p w14:paraId="07B8365F" w14:textId="209564A8" w:rsidR="000C4D3A" w:rsidRPr="004D22A8" w:rsidRDefault="000C4D3A" w:rsidP="000C4D3A">
            <w:pPr>
              <w:pStyle w:val="TableText"/>
              <w:rPr>
                <w:rFonts w:ascii="Calibri" w:hAnsi="Calibri" w:cs="Calibri"/>
                <w:szCs w:val="18"/>
              </w:rPr>
            </w:pPr>
            <w:r w:rsidRPr="004D22A8">
              <w:rPr>
                <w:rFonts w:ascii="Calibri" w:hAnsi="Calibri" w:cs="Calibri"/>
                <w:szCs w:val="18"/>
              </w:rPr>
              <w:t>2140</w:t>
            </w:r>
          </w:p>
        </w:tc>
        <w:tc>
          <w:tcPr>
            <w:tcW w:w="834" w:type="pct"/>
          </w:tcPr>
          <w:p w14:paraId="410A8599" w14:textId="1E433EC6" w:rsidR="000C4D3A" w:rsidRPr="004D22A8" w:rsidRDefault="000C4D3A" w:rsidP="000C4D3A">
            <w:pPr>
              <w:pStyle w:val="TableText"/>
              <w:rPr>
                <w:rFonts w:ascii="Calibri" w:hAnsi="Calibri" w:cs="Calibri"/>
                <w:szCs w:val="18"/>
              </w:rPr>
            </w:pPr>
            <w:r w:rsidRPr="004D22A8">
              <w:rPr>
                <w:rFonts w:ascii="Calibri" w:hAnsi="Calibri" w:cs="Calibri"/>
                <w:szCs w:val="18"/>
              </w:rPr>
              <w:t>0.64</w:t>
            </w:r>
          </w:p>
        </w:tc>
        <w:tc>
          <w:tcPr>
            <w:tcW w:w="833" w:type="pct"/>
            <w:vAlign w:val="center"/>
          </w:tcPr>
          <w:p w14:paraId="4BB40311" w14:textId="14CBFF2F" w:rsidR="000C4D3A" w:rsidRPr="004D22A8" w:rsidRDefault="000C4D3A" w:rsidP="000C4D3A">
            <w:pPr>
              <w:pStyle w:val="TableText"/>
              <w:rPr>
                <w:rFonts w:ascii="Calibri" w:hAnsi="Calibri" w:cs="Calibri"/>
                <w:szCs w:val="18"/>
              </w:rPr>
            </w:pPr>
            <w:r w:rsidRPr="004D22A8">
              <w:rPr>
                <w:rFonts w:ascii="Calibri" w:hAnsi="Calibri" w:cs="Calibri"/>
                <w:szCs w:val="18"/>
              </w:rPr>
              <w:t>0.89</w:t>
            </w:r>
          </w:p>
        </w:tc>
        <w:tc>
          <w:tcPr>
            <w:tcW w:w="834" w:type="pct"/>
            <w:vAlign w:val="center"/>
          </w:tcPr>
          <w:p w14:paraId="53E67DC3" w14:textId="71096BF6" w:rsidR="000C4D3A" w:rsidRPr="004D22A8" w:rsidRDefault="000C4D3A" w:rsidP="000C4D3A">
            <w:pPr>
              <w:pStyle w:val="TableText"/>
              <w:rPr>
                <w:rFonts w:ascii="Calibri" w:hAnsi="Calibri" w:cs="Calibri"/>
                <w:szCs w:val="18"/>
              </w:rPr>
            </w:pPr>
            <w:r w:rsidRPr="004D22A8">
              <w:rPr>
                <w:rFonts w:ascii="Calibri" w:hAnsi="Calibri" w:cs="Calibri"/>
                <w:szCs w:val="18"/>
              </w:rPr>
              <w:t>1.19</w:t>
            </w:r>
          </w:p>
        </w:tc>
        <w:tc>
          <w:tcPr>
            <w:tcW w:w="833" w:type="pct"/>
            <w:vAlign w:val="center"/>
          </w:tcPr>
          <w:p w14:paraId="4C7392D5" w14:textId="117FBDEC" w:rsidR="000C4D3A" w:rsidRPr="004D22A8" w:rsidRDefault="000C4D3A" w:rsidP="000C4D3A">
            <w:pPr>
              <w:pStyle w:val="TableText"/>
              <w:rPr>
                <w:rFonts w:ascii="Calibri" w:hAnsi="Calibri" w:cs="Calibri"/>
                <w:szCs w:val="18"/>
              </w:rPr>
            </w:pPr>
            <w:r w:rsidRPr="004D22A8">
              <w:rPr>
                <w:rFonts w:ascii="Calibri" w:hAnsi="Calibri" w:cs="Calibri"/>
                <w:szCs w:val="18"/>
              </w:rPr>
              <w:t>1.34</w:t>
            </w:r>
          </w:p>
        </w:tc>
        <w:tc>
          <w:tcPr>
            <w:tcW w:w="833" w:type="pct"/>
            <w:vAlign w:val="center"/>
          </w:tcPr>
          <w:p w14:paraId="08D4CBED" w14:textId="6CA5BC75" w:rsidR="000C4D3A" w:rsidRPr="004D22A8" w:rsidRDefault="000C4D3A" w:rsidP="000C4D3A">
            <w:pPr>
              <w:pStyle w:val="TableText"/>
              <w:rPr>
                <w:rFonts w:ascii="Calibri" w:hAnsi="Calibri" w:cs="Calibri"/>
                <w:szCs w:val="18"/>
              </w:rPr>
            </w:pPr>
            <w:r w:rsidRPr="004D22A8">
              <w:rPr>
                <w:rFonts w:ascii="Calibri" w:hAnsi="Calibri" w:cs="Calibri"/>
                <w:szCs w:val="18"/>
              </w:rPr>
              <w:t>1.84</w:t>
            </w:r>
          </w:p>
        </w:tc>
      </w:tr>
      <w:tr w:rsidR="000C4D3A" w:rsidRPr="006B77BB" w14:paraId="7F87D503" w14:textId="77777777">
        <w:tc>
          <w:tcPr>
            <w:tcW w:w="832" w:type="pct"/>
          </w:tcPr>
          <w:p w14:paraId="74D56187" w14:textId="1903CDB3" w:rsidR="000C4D3A" w:rsidRPr="004D22A8" w:rsidRDefault="000C4D3A" w:rsidP="000C4D3A">
            <w:pPr>
              <w:pStyle w:val="TableText"/>
              <w:rPr>
                <w:rFonts w:ascii="Calibri" w:hAnsi="Calibri" w:cs="Calibri"/>
                <w:szCs w:val="18"/>
              </w:rPr>
            </w:pPr>
            <w:r w:rsidRPr="004D22A8">
              <w:rPr>
                <w:rFonts w:ascii="Calibri" w:hAnsi="Calibri" w:cs="Calibri"/>
                <w:szCs w:val="18"/>
              </w:rPr>
              <w:t>2150</w:t>
            </w:r>
          </w:p>
        </w:tc>
        <w:tc>
          <w:tcPr>
            <w:tcW w:w="834" w:type="pct"/>
          </w:tcPr>
          <w:p w14:paraId="390B5E52" w14:textId="41F71E60" w:rsidR="000C4D3A" w:rsidRPr="004D22A8" w:rsidRDefault="000C4D3A" w:rsidP="000C4D3A">
            <w:pPr>
              <w:pStyle w:val="TableText"/>
              <w:rPr>
                <w:rFonts w:ascii="Calibri" w:hAnsi="Calibri" w:cs="Calibri"/>
                <w:szCs w:val="18"/>
              </w:rPr>
            </w:pPr>
            <w:r w:rsidRPr="004D22A8">
              <w:rPr>
                <w:rFonts w:ascii="Calibri" w:hAnsi="Calibri" w:cs="Calibri"/>
                <w:szCs w:val="18"/>
              </w:rPr>
              <w:t>0.68</w:t>
            </w:r>
          </w:p>
        </w:tc>
        <w:tc>
          <w:tcPr>
            <w:tcW w:w="833" w:type="pct"/>
            <w:vAlign w:val="center"/>
          </w:tcPr>
          <w:p w14:paraId="042E4762" w14:textId="40551441" w:rsidR="000C4D3A" w:rsidRPr="004D22A8" w:rsidRDefault="000C4D3A" w:rsidP="000C4D3A">
            <w:pPr>
              <w:pStyle w:val="TableText"/>
              <w:rPr>
                <w:rFonts w:ascii="Calibri" w:hAnsi="Calibri" w:cs="Calibri"/>
                <w:szCs w:val="18"/>
              </w:rPr>
            </w:pPr>
            <w:r w:rsidRPr="004D22A8">
              <w:rPr>
                <w:rFonts w:ascii="Calibri" w:hAnsi="Calibri" w:cs="Calibri"/>
                <w:szCs w:val="18"/>
              </w:rPr>
              <w:t>0.96</w:t>
            </w:r>
          </w:p>
        </w:tc>
        <w:tc>
          <w:tcPr>
            <w:tcW w:w="834" w:type="pct"/>
            <w:vAlign w:val="center"/>
          </w:tcPr>
          <w:p w14:paraId="7E753B09" w14:textId="1AF6D11D" w:rsidR="000C4D3A" w:rsidRPr="004D22A8" w:rsidRDefault="000C4D3A" w:rsidP="000C4D3A">
            <w:pPr>
              <w:pStyle w:val="TableText"/>
              <w:rPr>
                <w:rFonts w:ascii="Calibri" w:hAnsi="Calibri" w:cs="Calibri"/>
                <w:szCs w:val="18"/>
              </w:rPr>
            </w:pPr>
            <w:r w:rsidRPr="004D22A8">
              <w:rPr>
                <w:rFonts w:ascii="Calibri" w:hAnsi="Calibri" w:cs="Calibri"/>
                <w:szCs w:val="18"/>
              </w:rPr>
              <w:t>1.30</w:t>
            </w:r>
          </w:p>
        </w:tc>
        <w:tc>
          <w:tcPr>
            <w:tcW w:w="833" w:type="pct"/>
            <w:vAlign w:val="center"/>
          </w:tcPr>
          <w:p w14:paraId="7266D090" w14:textId="09C114AA" w:rsidR="000C4D3A" w:rsidRPr="004D22A8" w:rsidRDefault="000C4D3A" w:rsidP="000C4D3A">
            <w:pPr>
              <w:pStyle w:val="TableText"/>
              <w:rPr>
                <w:rFonts w:ascii="Calibri" w:hAnsi="Calibri" w:cs="Calibri"/>
                <w:szCs w:val="18"/>
              </w:rPr>
            </w:pPr>
            <w:r w:rsidRPr="004D22A8">
              <w:rPr>
                <w:rFonts w:ascii="Calibri" w:hAnsi="Calibri" w:cs="Calibri"/>
                <w:szCs w:val="18"/>
              </w:rPr>
              <w:t>1.46</w:t>
            </w:r>
          </w:p>
        </w:tc>
        <w:tc>
          <w:tcPr>
            <w:tcW w:w="833" w:type="pct"/>
            <w:vAlign w:val="center"/>
          </w:tcPr>
          <w:p w14:paraId="6D5C0DBC" w14:textId="4F426A0A" w:rsidR="000C4D3A" w:rsidRPr="004D22A8" w:rsidRDefault="000C4D3A" w:rsidP="000C4D3A">
            <w:pPr>
              <w:pStyle w:val="TableText"/>
              <w:rPr>
                <w:rFonts w:ascii="Calibri" w:hAnsi="Calibri" w:cs="Calibri"/>
                <w:szCs w:val="18"/>
              </w:rPr>
            </w:pPr>
            <w:r w:rsidRPr="004D22A8">
              <w:rPr>
                <w:rFonts w:ascii="Calibri" w:hAnsi="Calibri" w:cs="Calibri"/>
                <w:szCs w:val="18"/>
              </w:rPr>
              <w:t>2.01</w:t>
            </w:r>
          </w:p>
        </w:tc>
      </w:tr>
    </w:tbl>
    <w:p w14:paraId="2F4F2F33" w14:textId="55FA6F49" w:rsidR="00DE3084" w:rsidRDefault="00DE3084" w:rsidP="00DE3084">
      <w:pPr>
        <w:pStyle w:val="Note"/>
        <w:rPr>
          <w:rFonts w:eastAsia="Calibri" w:cs="Times New Roman"/>
          <w:bCs/>
        </w:rPr>
      </w:pPr>
      <w:r w:rsidRPr="00DE3084">
        <w:rPr>
          <w:rFonts w:eastAsia="Calibri" w:cs="Times New Roman"/>
          <w:b/>
        </w:rPr>
        <w:t>Notes</w:t>
      </w:r>
      <w:r w:rsidR="000C4D3A" w:rsidRPr="00DE3084">
        <w:rPr>
          <w:rFonts w:eastAsia="Calibri" w:cs="Times New Roman"/>
          <w:b/>
        </w:rPr>
        <w:t xml:space="preserve"> for </w:t>
      </w:r>
      <w:r w:rsidR="006F1827">
        <w:rPr>
          <w:rFonts w:eastAsia="Calibri" w:cs="Times New Roman"/>
          <w:b/>
        </w:rPr>
        <w:t>t</w:t>
      </w:r>
      <w:r w:rsidRPr="00DE3084">
        <w:rPr>
          <w:rFonts w:eastAsia="Calibri" w:cs="Times New Roman"/>
          <w:b/>
        </w:rPr>
        <w:t>able 1:</w:t>
      </w:r>
      <w:r>
        <w:rPr>
          <w:rFonts w:eastAsia="Calibri" w:cs="Times New Roman"/>
          <w:bCs/>
        </w:rPr>
        <w:t xml:space="preserve"> </w:t>
      </w:r>
      <w:r w:rsidRPr="002A7E81">
        <w:t>Decadal increments for</w:t>
      </w:r>
      <w:r w:rsidRPr="006F1827">
        <w:t xml:space="preserve"> </w:t>
      </w:r>
      <w:r w:rsidRPr="002A7E81">
        <w:t>average</w:t>
      </w:r>
      <w:r w:rsidRPr="000C4D3A">
        <w:rPr>
          <w:u w:val="single"/>
          <w:vertAlign w:val="superscript"/>
        </w:rPr>
        <w:footnoteReference w:id="12"/>
      </w:r>
      <w:r w:rsidRPr="000C4D3A">
        <w:t xml:space="preserve"> </w:t>
      </w:r>
      <w:r w:rsidR="000C4D3A" w:rsidRPr="000C4D3A">
        <w:t xml:space="preserve">“medium confidence” </w:t>
      </w:r>
      <w:r w:rsidRPr="000C4D3A">
        <w:t xml:space="preserve">projections of </w:t>
      </w:r>
      <w:r w:rsidR="000C4D3A" w:rsidRPr="000C4D3A">
        <w:t xml:space="preserve">sea-level rise </w:t>
      </w:r>
      <w:r w:rsidRPr="000C4D3A">
        <w:t xml:space="preserve">(metres above </w:t>
      </w:r>
      <w:r w:rsidR="000C4D3A" w:rsidRPr="000C4D3A">
        <w:t>1995–2014 baseline</w:t>
      </w:r>
      <w:r w:rsidRPr="000C4D3A">
        <w:t xml:space="preserve">) </w:t>
      </w:r>
      <w:r w:rsidR="006F1827" w:rsidRPr="002A7E81">
        <w:t>applied</w:t>
      </w:r>
      <w:r w:rsidRPr="002A7E81">
        <w:t xml:space="preserve"> national</w:t>
      </w:r>
      <w:r w:rsidR="006F1827" w:rsidRPr="002A7E81">
        <w:t>ly</w:t>
      </w:r>
      <w:r w:rsidRPr="000C4D3A" w:rsidDel="006F1827">
        <w:t xml:space="preserve"> </w:t>
      </w:r>
      <w:r w:rsidR="006F1827">
        <w:t xml:space="preserve">and </w:t>
      </w:r>
      <w:r w:rsidRPr="000C4D3A">
        <w:t>excluding</w:t>
      </w:r>
      <w:r w:rsidR="000C4D3A" w:rsidRPr="000C4D3A">
        <w:t xml:space="preserve"> any regional</w:t>
      </w:r>
      <w:r w:rsidR="006F1827">
        <w:t xml:space="preserve"> and </w:t>
      </w:r>
      <w:r w:rsidR="000C4D3A" w:rsidRPr="000C4D3A">
        <w:t>local factors including VLM</w:t>
      </w:r>
      <w:r w:rsidRPr="000C4D3A">
        <w:t xml:space="preserve">. For local or regional scale sea-level rise </w:t>
      </w:r>
      <w:r w:rsidR="000C4D3A" w:rsidRPr="000C4D3A">
        <w:t xml:space="preserve">projections, use the </w:t>
      </w:r>
      <w:proofErr w:type="spellStart"/>
      <w:r w:rsidR="00683AB7">
        <w:t>NZSeaRise</w:t>
      </w:r>
      <w:proofErr w:type="spellEnd"/>
      <w:r w:rsidR="00683AB7">
        <w:t xml:space="preserve"> maps in </w:t>
      </w:r>
      <w:proofErr w:type="spellStart"/>
      <w:r w:rsidR="000C4D3A" w:rsidRPr="000C4D3A">
        <w:t>Takiwā</w:t>
      </w:r>
      <w:proofErr w:type="spellEnd"/>
      <w:r w:rsidRPr="000C4D3A">
        <w:rPr>
          <w:vertAlign w:val="superscript"/>
        </w:rPr>
        <w:footnoteReference w:id="13"/>
      </w:r>
      <w:r w:rsidR="000C4D3A" w:rsidRPr="000C4D3A">
        <w:t xml:space="preserve"> and downloaded datasets to </w:t>
      </w:r>
      <w:r w:rsidR="006F1827">
        <w:t>create</w:t>
      </w:r>
      <w:r w:rsidR="006F1827" w:rsidRPr="000C4D3A">
        <w:t xml:space="preserve"> </w:t>
      </w:r>
      <w:r w:rsidR="000C4D3A" w:rsidRPr="000C4D3A">
        <w:t xml:space="preserve">a similar </w:t>
      </w:r>
      <w:r w:rsidR="006F1827">
        <w:t>t</w:t>
      </w:r>
      <w:r w:rsidR="000C4D3A" w:rsidRPr="000C4D3A">
        <w:t>able</w:t>
      </w:r>
      <w:r w:rsidR="000C4D3A">
        <w:t>.</w:t>
      </w:r>
    </w:p>
    <w:p w14:paraId="7E3253A9" w14:textId="4B1AAA2A" w:rsidR="000C4D3A" w:rsidRPr="00D369C8" w:rsidRDefault="000C4D3A" w:rsidP="000C4D3A">
      <w:pPr>
        <w:pStyle w:val="Tableheading"/>
      </w:pPr>
      <w:bookmarkStart w:id="38" w:name="table2"/>
      <w:bookmarkStart w:id="39" w:name="_Toc109809095"/>
      <w:r w:rsidRPr="00D369C8">
        <w:t>Table 2:</w:t>
      </w:r>
      <w:bookmarkEnd w:id="38"/>
      <w:r w:rsidR="00DC2538">
        <w:tab/>
      </w:r>
      <w:r w:rsidR="00D369C8">
        <w:t xml:space="preserve">Approximate years when </w:t>
      </w:r>
      <w:r w:rsidR="00D369C8" w:rsidRPr="00D369C8">
        <w:t>various national sea-level rise increments could be reached</w:t>
      </w:r>
      <w:bookmarkEnd w:id="39"/>
      <w:r w:rsidR="00DC2538">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6"/>
        <w:gridCol w:w="1419"/>
        <w:gridCol w:w="1417"/>
        <w:gridCol w:w="1419"/>
        <w:gridCol w:w="1417"/>
        <w:gridCol w:w="1417"/>
      </w:tblGrid>
      <w:tr w:rsidR="00674239" w:rsidRPr="006B77BB" w14:paraId="4688A9FF" w14:textId="77777777" w:rsidTr="00674239">
        <w:trPr>
          <w:tblHeader/>
        </w:trPr>
        <w:tc>
          <w:tcPr>
            <w:tcW w:w="832" w:type="pct"/>
            <w:shd w:val="clear" w:color="auto" w:fill="1B556B"/>
          </w:tcPr>
          <w:p w14:paraId="33E74984" w14:textId="4C402DA3" w:rsidR="00674239" w:rsidRPr="004D22A8" w:rsidRDefault="00674239" w:rsidP="00674239">
            <w:pPr>
              <w:pStyle w:val="TableText"/>
              <w:rPr>
                <w:rFonts w:ascii="Calibri" w:hAnsi="Calibri" w:cs="Calibri"/>
                <w:color w:val="FFFFFF" w:themeColor="background1"/>
                <w:szCs w:val="18"/>
              </w:rPr>
            </w:pPr>
            <w:r w:rsidRPr="004D22A8">
              <w:rPr>
                <w:rFonts w:ascii="Calibri" w:hAnsi="Calibri" w:cs="Calibri"/>
                <w:b/>
                <w:bCs/>
                <w:color w:val="FFFFFF" w:themeColor="background1"/>
                <w:szCs w:val="18"/>
              </w:rPr>
              <w:t>SLR (m)</w:t>
            </w:r>
          </w:p>
        </w:tc>
        <w:tc>
          <w:tcPr>
            <w:tcW w:w="834" w:type="pct"/>
            <w:shd w:val="clear" w:color="auto" w:fill="1B556B"/>
          </w:tcPr>
          <w:p w14:paraId="3D52F677" w14:textId="0A2A95B2" w:rsidR="00674239" w:rsidRPr="004D22A8" w:rsidRDefault="00674239" w:rsidP="00674239">
            <w:pPr>
              <w:pStyle w:val="TableText"/>
              <w:rPr>
                <w:rFonts w:ascii="Calibri" w:hAnsi="Calibri" w:cs="Calibri"/>
                <w:color w:val="FFFFFF" w:themeColor="background1"/>
                <w:szCs w:val="18"/>
              </w:rPr>
            </w:pPr>
            <w:r w:rsidRPr="004D22A8">
              <w:rPr>
                <w:rFonts w:ascii="Calibri" w:hAnsi="Calibri" w:cs="Calibri"/>
                <w:b/>
                <w:bCs/>
                <w:color w:val="FFFFFF" w:themeColor="background1"/>
                <w:szCs w:val="18"/>
              </w:rPr>
              <w:t>Year achieved for SSP5</w:t>
            </w:r>
            <w:r w:rsidR="00105913" w:rsidRPr="004D22A8">
              <w:rPr>
                <w:rFonts w:ascii="Calibri" w:hAnsi="Calibri" w:cs="Calibri"/>
                <w:b/>
                <w:bCs/>
                <w:color w:val="FFFFFF" w:themeColor="background1"/>
                <w:szCs w:val="18"/>
              </w:rPr>
              <w:t>-</w:t>
            </w:r>
            <w:r w:rsidRPr="004D22A8">
              <w:rPr>
                <w:rFonts w:ascii="Calibri" w:hAnsi="Calibri" w:cs="Calibri"/>
                <w:b/>
                <w:bCs/>
                <w:color w:val="FFFFFF" w:themeColor="background1"/>
                <w:szCs w:val="18"/>
              </w:rPr>
              <w:t>8.5 H</w:t>
            </w:r>
            <w:r w:rsidRPr="004D22A8">
              <w:rPr>
                <w:rFonts w:ascii="Calibri" w:hAnsi="Calibri" w:cs="Calibri"/>
                <w:b/>
                <w:bCs/>
                <w:color w:val="FFFFFF" w:themeColor="background1"/>
                <w:szCs w:val="18"/>
                <w:vertAlign w:val="superscript"/>
              </w:rPr>
              <w:t>+</w:t>
            </w:r>
            <w:r w:rsidRPr="004D22A8">
              <w:rPr>
                <w:rFonts w:ascii="Calibri" w:hAnsi="Calibri" w:cs="Calibri"/>
                <w:b/>
                <w:bCs/>
                <w:color w:val="FFFFFF" w:themeColor="background1"/>
                <w:szCs w:val="18"/>
              </w:rPr>
              <w:t xml:space="preserve"> (83</w:t>
            </w:r>
            <w:r w:rsidR="00EB6DEF" w:rsidRPr="004D22A8">
              <w:rPr>
                <w:rFonts w:ascii="Calibri" w:hAnsi="Calibri" w:cs="Calibri"/>
                <w:b/>
                <w:bCs/>
                <w:color w:val="FFFFFF" w:themeColor="background1"/>
                <w:szCs w:val="18"/>
                <w:vertAlign w:val="superscript"/>
              </w:rPr>
              <w:t>rd</w:t>
            </w:r>
            <w:r w:rsidR="00EB6DEF" w:rsidRPr="004D22A8">
              <w:rPr>
                <w:rFonts w:ascii="Calibri" w:hAnsi="Calibri" w:cs="Calibri"/>
                <w:b/>
                <w:bCs/>
                <w:color w:val="FFFFFF" w:themeColor="background1"/>
                <w:szCs w:val="18"/>
              </w:rPr>
              <w:t xml:space="preserve"> percentile</w:t>
            </w:r>
            <w:r w:rsidRPr="004D22A8">
              <w:rPr>
                <w:rFonts w:ascii="Calibri" w:hAnsi="Calibri" w:cs="Calibri"/>
                <w:b/>
                <w:bCs/>
                <w:color w:val="FFFFFF" w:themeColor="background1"/>
                <w:szCs w:val="18"/>
              </w:rPr>
              <w:t>)</w:t>
            </w:r>
          </w:p>
        </w:tc>
        <w:tc>
          <w:tcPr>
            <w:tcW w:w="833" w:type="pct"/>
            <w:shd w:val="clear" w:color="auto" w:fill="1B556B"/>
          </w:tcPr>
          <w:p w14:paraId="4D28CE03" w14:textId="30C7CCA3" w:rsidR="00674239" w:rsidRPr="004D22A8" w:rsidRDefault="00674239" w:rsidP="00674239">
            <w:pPr>
              <w:pStyle w:val="TableText"/>
              <w:rPr>
                <w:rFonts w:ascii="Calibri" w:hAnsi="Calibri" w:cs="Calibri"/>
                <w:color w:val="FFFFFF" w:themeColor="background1"/>
                <w:szCs w:val="18"/>
              </w:rPr>
            </w:pPr>
            <w:r w:rsidRPr="004D22A8">
              <w:rPr>
                <w:rFonts w:ascii="Calibri" w:hAnsi="Calibri" w:cs="Calibri"/>
                <w:b/>
                <w:bCs/>
                <w:color w:val="FFFFFF" w:themeColor="background1"/>
                <w:szCs w:val="18"/>
              </w:rPr>
              <w:t>Year achieved for SSP5</w:t>
            </w:r>
            <w:r w:rsidR="00105913" w:rsidRPr="004D22A8">
              <w:rPr>
                <w:rFonts w:ascii="Calibri" w:hAnsi="Calibri" w:cs="Calibri"/>
                <w:b/>
                <w:bCs/>
                <w:color w:val="FFFFFF" w:themeColor="background1"/>
                <w:szCs w:val="18"/>
              </w:rPr>
              <w:t>-</w:t>
            </w:r>
            <w:r w:rsidRPr="004D22A8">
              <w:rPr>
                <w:rFonts w:ascii="Calibri" w:hAnsi="Calibri" w:cs="Calibri"/>
                <w:b/>
                <w:bCs/>
                <w:color w:val="FFFFFF" w:themeColor="background1"/>
                <w:szCs w:val="18"/>
              </w:rPr>
              <w:t>8.5 (median)</w:t>
            </w:r>
          </w:p>
        </w:tc>
        <w:tc>
          <w:tcPr>
            <w:tcW w:w="834" w:type="pct"/>
            <w:shd w:val="clear" w:color="auto" w:fill="1B556B"/>
          </w:tcPr>
          <w:p w14:paraId="3AFEC715" w14:textId="76ECFCE8" w:rsidR="00674239" w:rsidRPr="004D22A8" w:rsidRDefault="00674239" w:rsidP="00674239">
            <w:pPr>
              <w:pStyle w:val="TableText"/>
              <w:rPr>
                <w:rFonts w:ascii="Calibri" w:hAnsi="Calibri" w:cs="Calibri"/>
                <w:color w:val="FFFFFF" w:themeColor="background1"/>
                <w:szCs w:val="18"/>
              </w:rPr>
            </w:pPr>
            <w:r w:rsidRPr="004D22A8">
              <w:rPr>
                <w:rFonts w:ascii="Calibri" w:hAnsi="Calibri" w:cs="Calibri"/>
                <w:b/>
                <w:bCs/>
                <w:color w:val="FFFFFF" w:themeColor="background1"/>
                <w:szCs w:val="18"/>
              </w:rPr>
              <w:t>Year achieved for SSP3</w:t>
            </w:r>
            <w:r w:rsidR="00105913" w:rsidRPr="004D22A8">
              <w:rPr>
                <w:rFonts w:ascii="Calibri" w:hAnsi="Calibri" w:cs="Calibri"/>
                <w:b/>
                <w:bCs/>
                <w:color w:val="FFFFFF" w:themeColor="background1"/>
                <w:szCs w:val="18"/>
              </w:rPr>
              <w:t>-</w:t>
            </w:r>
            <w:r w:rsidRPr="004D22A8">
              <w:rPr>
                <w:rFonts w:ascii="Calibri" w:hAnsi="Calibri" w:cs="Calibri"/>
                <w:b/>
                <w:bCs/>
                <w:color w:val="FFFFFF" w:themeColor="background1"/>
                <w:szCs w:val="18"/>
              </w:rPr>
              <w:t>7.0 (median)</w:t>
            </w:r>
          </w:p>
        </w:tc>
        <w:tc>
          <w:tcPr>
            <w:tcW w:w="833" w:type="pct"/>
            <w:shd w:val="clear" w:color="auto" w:fill="1B556B"/>
          </w:tcPr>
          <w:p w14:paraId="178D89FF" w14:textId="340A1EE7" w:rsidR="00674239" w:rsidRPr="004D22A8" w:rsidRDefault="00674239" w:rsidP="00674239">
            <w:pPr>
              <w:pStyle w:val="TableText"/>
              <w:rPr>
                <w:rFonts w:ascii="Calibri" w:hAnsi="Calibri" w:cs="Calibri"/>
                <w:color w:val="FFFFFF" w:themeColor="background1"/>
                <w:szCs w:val="18"/>
              </w:rPr>
            </w:pPr>
            <w:r w:rsidRPr="004D22A8">
              <w:rPr>
                <w:rFonts w:ascii="Calibri" w:hAnsi="Calibri" w:cs="Calibri"/>
                <w:b/>
                <w:bCs/>
                <w:color w:val="FFFFFF" w:themeColor="background1"/>
                <w:szCs w:val="18"/>
              </w:rPr>
              <w:t>Year achieved for SSP2</w:t>
            </w:r>
            <w:r w:rsidR="00105913" w:rsidRPr="004D22A8">
              <w:rPr>
                <w:rFonts w:ascii="Calibri" w:hAnsi="Calibri" w:cs="Calibri"/>
                <w:b/>
                <w:bCs/>
                <w:color w:val="FFFFFF" w:themeColor="background1"/>
                <w:szCs w:val="18"/>
              </w:rPr>
              <w:t>-</w:t>
            </w:r>
            <w:r w:rsidRPr="004D22A8">
              <w:rPr>
                <w:rFonts w:ascii="Calibri" w:hAnsi="Calibri" w:cs="Calibri"/>
                <w:b/>
                <w:bCs/>
                <w:color w:val="FFFFFF" w:themeColor="background1"/>
                <w:szCs w:val="18"/>
              </w:rPr>
              <w:t>4.5 (median)</w:t>
            </w:r>
          </w:p>
        </w:tc>
        <w:tc>
          <w:tcPr>
            <w:tcW w:w="833" w:type="pct"/>
            <w:shd w:val="clear" w:color="auto" w:fill="1B556B"/>
          </w:tcPr>
          <w:p w14:paraId="4AFC279E" w14:textId="1112BB4C" w:rsidR="00674239" w:rsidRPr="004D22A8" w:rsidRDefault="00674239" w:rsidP="00674239">
            <w:pPr>
              <w:pStyle w:val="TableText"/>
              <w:rPr>
                <w:rFonts w:ascii="Calibri" w:hAnsi="Calibri" w:cs="Calibri"/>
                <w:color w:val="FFFFFF" w:themeColor="background1"/>
                <w:szCs w:val="18"/>
              </w:rPr>
            </w:pPr>
            <w:r w:rsidRPr="004D22A8">
              <w:rPr>
                <w:rFonts w:ascii="Calibri" w:hAnsi="Calibri" w:cs="Calibri"/>
                <w:b/>
                <w:bCs/>
                <w:color w:val="FFFFFF" w:themeColor="background1"/>
                <w:szCs w:val="18"/>
              </w:rPr>
              <w:t>Year achieved for SSP1</w:t>
            </w:r>
            <w:r w:rsidR="00105913" w:rsidRPr="004D22A8">
              <w:rPr>
                <w:rFonts w:ascii="Calibri" w:hAnsi="Calibri" w:cs="Calibri"/>
                <w:b/>
                <w:bCs/>
                <w:color w:val="FFFFFF" w:themeColor="background1"/>
                <w:szCs w:val="18"/>
              </w:rPr>
              <w:t>-</w:t>
            </w:r>
            <w:r w:rsidRPr="004D22A8">
              <w:rPr>
                <w:rFonts w:ascii="Calibri" w:hAnsi="Calibri" w:cs="Calibri"/>
                <w:b/>
                <w:bCs/>
                <w:color w:val="FFFFFF" w:themeColor="background1"/>
                <w:szCs w:val="18"/>
              </w:rPr>
              <w:t>2.6 (median)</w:t>
            </w:r>
          </w:p>
        </w:tc>
      </w:tr>
      <w:tr w:rsidR="00674239" w:rsidRPr="006B77BB" w14:paraId="5B94E87C" w14:textId="77777777" w:rsidTr="00674239">
        <w:tc>
          <w:tcPr>
            <w:tcW w:w="832" w:type="pct"/>
            <w:shd w:val="clear" w:color="auto" w:fill="auto"/>
          </w:tcPr>
          <w:p w14:paraId="03EE6E10" w14:textId="62FE9F1A" w:rsidR="00674239" w:rsidRPr="004D22A8" w:rsidRDefault="00674239" w:rsidP="00674239">
            <w:pPr>
              <w:pStyle w:val="TableText"/>
              <w:rPr>
                <w:rFonts w:ascii="Calibri" w:hAnsi="Calibri" w:cs="Calibri"/>
                <w:szCs w:val="18"/>
              </w:rPr>
            </w:pPr>
            <w:r w:rsidRPr="004D22A8">
              <w:rPr>
                <w:rFonts w:ascii="Calibri" w:hAnsi="Calibri" w:cs="Calibri"/>
                <w:b/>
                <w:bCs/>
                <w:szCs w:val="18"/>
              </w:rPr>
              <w:t>0.3</w:t>
            </w:r>
          </w:p>
        </w:tc>
        <w:tc>
          <w:tcPr>
            <w:tcW w:w="834" w:type="pct"/>
          </w:tcPr>
          <w:p w14:paraId="74FE458B" w14:textId="5D2A8DF9" w:rsidR="00674239" w:rsidRPr="004D22A8" w:rsidRDefault="00674239" w:rsidP="00674239">
            <w:pPr>
              <w:pStyle w:val="TableText"/>
              <w:rPr>
                <w:rFonts w:ascii="Calibri" w:hAnsi="Calibri" w:cs="Calibri"/>
                <w:szCs w:val="18"/>
              </w:rPr>
            </w:pPr>
            <w:r w:rsidRPr="004D22A8">
              <w:rPr>
                <w:rFonts w:ascii="Calibri" w:hAnsi="Calibri" w:cs="Calibri"/>
                <w:szCs w:val="18"/>
              </w:rPr>
              <w:t>2050</w:t>
            </w:r>
          </w:p>
        </w:tc>
        <w:tc>
          <w:tcPr>
            <w:tcW w:w="833" w:type="pct"/>
          </w:tcPr>
          <w:p w14:paraId="505B6B66" w14:textId="44956804" w:rsidR="00674239" w:rsidRPr="004D22A8" w:rsidRDefault="00674239" w:rsidP="00674239">
            <w:pPr>
              <w:pStyle w:val="TableText"/>
              <w:rPr>
                <w:rFonts w:ascii="Calibri" w:hAnsi="Calibri" w:cs="Calibri"/>
                <w:szCs w:val="18"/>
              </w:rPr>
            </w:pPr>
            <w:r w:rsidRPr="004D22A8">
              <w:rPr>
                <w:rFonts w:ascii="Calibri" w:hAnsi="Calibri" w:cs="Calibri"/>
                <w:szCs w:val="18"/>
              </w:rPr>
              <w:t>2055</w:t>
            </w:r>
          </w:p>
        </w:tc>
        <w:tc>
          <w:tcPr>
            <w:tcW w:w="834" w:type="pct"/>
          </w:tcPr>
          <w:p w14:paraId="3447A90F" w14:textId="32C44423" w:rsidR="00674239" w:rsidRPr="004D22A8" w:rsidRDefault="00674239" w:rsidP="00674239">
            <w:pPr>
              <w:pStyle w:val="TableText"/>
              <w:rPr>
                <w:rFonts w:ascii="Calibri" w:hAnsi="Calibri" w:cs="Calibri"/>
                <w:szCs w:val="18"/>
              </w:rPr>
            </w:pPr>
            <w:r w:rsidRPr="004D22A8">
              <w:rPr>
                <w:rFonts w:ascii="Calibri" w:hAnsi="Calibri" w:cs="Calibri"/>
                <w:szCs w:val="18"/>
              </w:rPr>
              <w:t>2060</w:t>
            </w:r>
          </w:p>
        </w:tc>
        <w:tc>
          <w:tcPr>
            <w:tcW w:w="833" w:type="pct"/>
          </w:tcPr>
          <w:p w14:paraId="402FAA96" w14:textId="2E76AEA9" w:rsidR="00674239" w:rsidRPr="004D22A8" w:rsidRDefault="00674239" w:rsidP="00674239">
            <w:pPr>
              <w:pStyle w:val="TableText"/>
              <w:rPr>
                <w:rFonts w:ascii="Calibri" w:hAnsi="Calibri" w:cs="Calibri"/>
                <w:szCs w:val="18"/>
              </w:rPr>
            </w:pPr>
            <w:r w:rsidRPr="004D22A8">
              <w:rPr>
                <w:rFonts w:ascii="Calibri" w:hAnsi="Calibri" w:cs="Calibri"/>
                <w:szCs w:val="18"/>
              </w:rPr>
              <w:t>2060</w:t>
            </w:r>
          </w:p>
        </w:tc>
        <w:tc>
          <w:tcPr>
            <w:tcW w:w="833" w:type="pct"/>
            <w:shd w:val="clear" w:color="auto" w:fill="auto"/>
          </w:tcPr>
          <w:p w14:paraId="6D0107CB" w14:textId="1A1748DD" w:rsidR="00674239" w:rsidRPr="004D22A8" w:rsidRDefault="00674239" w:rsidP="00674239">
            <w:pPr>
              <w:pStyle w:val="TableText"/>
              <w:rPr>
                <w:rFonts w:ascii="Calibri" w:hAnsi="Calibri" w:cs="Calibri"/>
                <w:szCs w:val="18"/>
              </w:rPr>
            </w:pPr>
            <w:r w:rsidRPr="004D22A8">
              <w:rPr>
                <w:rFonts w:ascii="Calibri" w:hAnsi="Calibri" w:cs="Calibri"/>
                <w:szCs w:val="18"/>
              </w:rPr>
              <w:t>2070</w:t>
            </w:r>
          </w:p>
        </w:tc>
      </w:tr>
      <w:tr w:rsidR="00674239" w:rsidRPr="006B77BB" w14:paraId="4F514325" w14:textId="77777777" w:rsidTr="00674239">
        <w:tc>
          <w:tcPr>
            <w:tcW w:w="832" w:type="pct"/>
            <w:shd w:val="clear" w:color="auto" w:fill="auto"/>
          </w:tcPr>
          <w:p w14:paraId="7AA7D30E" w14:textId="0A52F3FF" w:rsidR="00674239" w:rsidRPr="004D22A8" w:rsidRDefault="00674239" w:rsidP="00674239">
            <w:pPr>
              <w:pStyle w:val="TableText"/>
              <w:rPr>
                <w:rFonts w:ascii="Calibri" w:hAnsi="Calibri" w:cs="Calibri"/>
                <w:szCs w:val="18"/>
              </w:rPr>
            </w:pPr>
            <w:r w:rsidRPr="004D22A8">
              <w:rPr>
                <w:rFonts w:ascii="Calibri" w:hAnsi="Calibri" w:cs="Calibri"/>
                <w:b/>
                <w:bCs/>
                <w:szCs w:val="18"/>
              </w:rPr>
              <w:t>0.4</w:t>
            </w:r>
          </w:p>
        </w:tc>
        <w:tc>
          <w:tcPr>
            <w:tcW w:w="834" w:type="pct"/>
          </w:tcPr>
          <w:p w14:paraId="07A4E210" w14:textId="2B672979" w:rsidR="00674239" w:rsidRPr="004D22A8" w:rsidRDefault="00674239" w:rsidP="00674239">
            <w:pPr>
              <w:pStyle w:val="TableText"/>
              <w:rPr>
                <w:rFonts w:ascii="Calibri" w:hAnsi="Calibri" w:cs="Calibri"/>
                <w:szCs w:val="18"/>
              </w:rPr>
            </w:pPr>
            <w:r w:rsidRPr="004D22A8">
              <w:rPr>
                <w:rFonts w:ascii="Calibri" w:hAnsi="Calibri" w:cs="Calibri"/>
                <w:szCs w:val="18"/>
              </w:rPr>
              <w:t>2060</w:t>
            </w:r>
          </w:p>
        </w:tc>
        <w:tc>
          <w:tcPr>
            <w:tcW w:w="833" w:type="pct"/>
          </w:tcPr>
          <w:p w14:paraId="0CA3DB15" w14:textId="2FAEC466" w:rsidR="00674239" w:rsidRPr="004D22A8" w:rsidRDefault="00674239" w:rsidP="00674239">
            <w:pPr>
              <w:pStyle w:val="TableText"/>
              <w:rPr>
                <w:rFonts w:ascii="Calibri" w:hAnsi="Calibri" w:cs="Calibri"/>
                <w:szCs w:val="18"/>
              </w:rPr>
            </w:pPr>
            <w:r w:rsidRPr="004D22A8">
              <w:rPr>
                <w:rFonts w:ascii="Calibri" w:hAnsi="Calibri" w:cs="Calibri"/>
                <w:szCs w:val="18"/>
              </w:rPr>
              <w:t>2065</w:t>
            </w:r>
          </w:p>
        </w:tc>
        <w:tc>
          <w:tcPr>
            <w:tcW w:w="834" w:type="pct"/>
          </w:tcPr>
          <w:p w14:paraId="375B79AD" w14:textId="5EB154CB" w:rsidR="00674239" w:rsidRPr="004D22A8" w:rsidRDefault="00674239" w:rsidP="00674239">
            <w:pPr>
              <w:pStyle w:val="TableText"/>
              <w:rPr>
                <w:rFonts w:ascii="Calibri" w:hAnsi="Calibri" w:cs="Calibri"/>
                <w:szCs w:val="18"/>
              </w:rPr>
            </w:pPr>
            <w:r w:rsidRPr="004D22A8">
              <w:rPr>
                <w:rFonts w:ascii="Calibri" w:hAnsi="Calibri" w:cs="Calibri"/>
                <w:szCs w:val="18"/>
              </w:rPr>
              <w:t>2070</w:t>
            </w:r>
          </w:p>
        </w:tc>
        <w:tc>
          <w:tcPr>
            <w:tcW w:w="833" w:type="pct"/>
          </w:tcPr>
          <w:p w14:paraId="1E926C5E" w14:textId="540EE47C" w:rsidR="00674239" w:rsidRPr="004D22A8" w:rsidRDefault="00674239" w:rsidP="00674239">
            <w:pPr>
              <w:pStyle w:val="TableText"/>
              <w:rPr>
                <w:rFonts w:ascii="Calibri" w:hAnsi="Calibri" w:cs="Calibri"/>
                <w:szCs w:val="18"/>
              </w:rPr>
            </w:pPr>
            <w:r w:rsidRPr="004D22A8">
              <w:rPr>
                <w:rFonts w:ascii="Calibri" w:hAnsi="Calibri" w:cs="Calibri"/>
                <w:szCs w:val="18"/>
              </w:rPr>
              <w:t>2080</w:t>
            </w:r>
          </w:p>
        </w:tc>
        <w:tc>
          <w:tcPr>
            <w:tcW w:w="833" w:type="pct"/>
            <w:shd w:val="clear" w:color="auto" w:fill="auto"/>
          </w:tcPr>
          <w:p w14:paraId="1358C383" w14:textId="5A6042BC" w:rsidR="00674239" w:rsidRPr="004D22A8" w:rsidRDefault="00674239" w:rsidP="00674239">
            <w:pPr>
              <w:pStyle w:val="TableText"/>
              <w:rPr>
                <w:rFonts w:ascii="Calibri" w:hAnsi="Calibri" w:cs="Calibri"/>
                <w:szCs w:val="18"/>
              </w:rPr>
            </w:pPr>
            <w:r w:rsidRPr="004D22A8">
              <w:rPr>
                <w:rFonts w:ascii="Calibri" w:hAnsi="Calibri" w:cs="Calibri"/>
                <w:szCs w:val="18"/>
              </w:rPr>
              <w:t>2090</w:t>
            </w:r>
          </w:p>
        </w:tc>
      </w:tr>
      <w:tr w:rsidR="00674239" w:rsidRPr="006B77BB" w14:paraId="6303DE75" w14:textId="77777777" w:rsidTr="00674239">
        <w:tc>
          <w:tcPr>
            <w:tcW w:w="832" w:type="pct"/>
          </w:tcPr>
          <w:p w14:paraId="7B89B203" w14:textId="39ED1065" w:rsidR="00674239" w:rsidRPr="004D22A8" w:rsidRDefault="00674239" w:rsidP="00674239">
            <w:pPr>
              <w:pStyle w:val="TableText"/>
              <w:rPr>
                <w:rFonts w:ascii="Calibri" w:hAnsi="Calibri" w:cs="Calibri"/>
                <w:szCs w:val="18"/>
              </w:rPr>
            </w:pPr>
            <w:r w:rsidRPr="004D22A8">
              <w:rPr>
                <w:rFonts w:ascii="Calibri" w:hAnsi="Calibri" w:cs="Calibri"/>
                <w:b/>
                <w:bCs/>
                <w:szCs w:val="18"/>
              </w:rPr>
              <w:t>0.5</w:t>
            </w:r>
          </w:p>
        </w:tc>
        <w:tc>
          <w:tcPr>
            <w:tcW w:w="834" w:type="pct"/>
          </w:tcPr>
          <w:p w14:paraId="05A51A8D" w14:textId="569AD452" w:rsidR="00674239" w:rsidRPr="004D22A8" w:rsidRDefault="00674239" w:rsidP="00674239">
            <w:pPr>
              <w:pStyle w:val="TableText"/>
              <w:rPr>
                <w:rFonts w:ascii="Calibri" w:hAnsi="Calibri" w:cs="Calibri"/>
                <w:szCs w:val="18"/>
              </w:rPr>
            </w:pPr>
            <w:r w:rsidRPr="004D22A8">
              <w:rPr>
                <w:rFonts w:ascii="Calibri" w:hAnsi="Calibri" w:cs="Calibri"/>
                <w:szCs w:val="18"/>
              </w:rPr>
              <w:t>2065</w:t>
            </w:r>
          </w:p>
        </w:tc>
        <w:tc>
          <w:tcPr>
            <w:tcW w:w="833" w:type="pct"/>
          </w:tcPr>
          <w:p w14:paraId="1472C494" w14:textId="0CD041A2" w:rsidR="00674239" w:rsidRPr="004D22A8" w:rsidRDefault="00674239" w:rsidP="00674239">
            <w:pPr>
              <w:pStyle w:val="TableText"/>
              <w:rPr>
                <w:rFonts w:ascii="Calibri" w:hAnsi="Calibri" w:cs="Calibri"/>
                <w:szCs w:val="18"/>
              </w:rPr>
            </w:pPr>
            <w:r w:rsidRPr="004D22A8">
              <w:rPr>
                <w:rFonts w:ascii="Calibri" w:hAnsi="Calibri" w:cs="Calibri"/>
                <w:szCs w:val="18"/>
              </w:rPr>
              <w:t>2075</w:t>
            </w:r>
          </w:p>
        </w:tc>
        <w:tc>
          <w:tcPr>
            <w:tcW w:w="834" w:type="pct"/>
          </w:tcPr>
          <w:p w14:paraId="0115919D" w14:textId="2C729049" w:rsidR="00674239" w:rsidRPr="004D22A8" w:rsidRDefault="00674239" w:rsidP="00674239">
            <w:pPr>
              <w:pStyle w:val="TableText"/>
              <w:rPr>
                <w:rFonts w:ascii="Calibri" w:hAnsi="Calibri" w:cs="Calibri"/>
                <w:szCs w:val="18"/>
              </w:rPr>
            </w:pPr>
            <w:r w:rsidRPr="004D22A8">
              <w:rPr>
                <w:rFonts w:ascii="Calibri" w:hAnsi="Calibri" w:cs="Calibri"/>
                <w:szCs w:val="18"/>
              </w:rPr>
              <w:t>2080</w:t>
            </w:r>
          </w:p>
        </w:tc>
        <w:tc>
          <w:tcPr>
            <w:tcW w:w="833" w:type="pct"/>
          </w:tcPr>
          <w:p w14:paraId="1ECA0162" w14:textId="42160F58" w:rsidR="00674239" w:rsidRPr="004D22A8" w:rsidRDefault="00674239" w:rsidP="00674239">
            <w:pPr>
              <w:pStyle w:val="TableText"/>
              <w:rPr>
                <w:rFonts w:ascii="Calibri" w:hAnsi="Calibri" w:cs="Calibri"/>
                <w:szCs w:val="18"/>
              </w:rPr>
            </w:pPr>
            <w:r w:rsidRPr="004D22A8">
              <w:rPr>
                <w:rFonts w:ascii="Calibri" w:hAnsi="Calibri" w:cs="Calibri"/>
                <w:szCs w:val="18"/>
              </w:rPr>
              <w:t>2090</w:t>
            </w:r>
          </w:p>
        </w:tc>
        <w:tc>
          <w:tcPr>
            <w:tcW w:w="833" w:type="pct"/>
          </w:tcPr>
          <w:p w14:paraId="6C7F198B" w14:textId="6357801A" w:rsidR="00674239" w:rsidRPr="004D22A8" w:rsidRDefault="00674239" w:rsidP="00674239">
            <w:pPr>
              <w:pStyle w:val="TableText"/>
              <w:rPr>
                <w:rFonts w:ascii="Calibri" w:hAnsi="Calibri" w:cs="Calibri"/>
                <w:szCs w:val="18"/>
              </w:rPr>
            </w:pPr>
            <w:r w:rsidRPr="004D22A8">
              <w:rPr>
                <w:rFonts w:ascii="Calibri" w:hAnsi="Calibri" w:cs="Calibri"/>
                <w:szCs w:val="18"/>
              </w:rPr>
              <w:t>2110</w:t>
            </w:r>
          </w:p>
        </w:tc>
      </w:tr>
      <w:tr w:rsidR="00674239" w:rsidRPr="006B77BB" w14:paraId="3BBFB720" w14:textId="77777777" w:rsidTr="00674239">
        <w:tc>
          <w:tcPr>
            <w:tcW w:w="832" w:type="pct"/>
          </w:tcPr>
          <w:p w14:paraId="21B73E00" w14:textId="2EDA5D2F" w:rsidR="00674239" w:rsidRPr="004D22A8" w:rsidRDefault="00674239" w:rsidP="00674239">
            <w:pPr>
              <w:pStyle w:val="TableText"/>
              <w:rPr>
                <w:rFonts w:ascii="Calibri" w:hAnsi="Calibri" w:cs="Calibri"/>
                <w:szCs w:val="18"/>
              </w:rPr>
            </w:pPr>
            <w:r w:rsidRPr="004D22A8">
              <w:rPr>
                <w:rFonts w:ascii="Calibri" w:hAnsi="Calibri" w:cs="Calibri"/>
                <w:b/>
                <w:bCs/>
                <w:szCs w:val="18"/>
              </w:rPr>
              <w:t>0.6</w:t>
            </w:r>
          </w:p>
        </w:tc>
        <w:tc>
          <w:tcPr>
            <w:tcW w:w="834" w:type="pct"/>
          </w:tcPr>
          <w:p w14:paraId="0DD23788" w14:textId="0A359198" w:rsidR="00674239" w:rsidRPr="004D22A8" w:rsidRDefault="00674239" w:rsidP="00674239">
            <w:pPr>
              <w:pStyle w:val="TableText"/>
              <w:rPr>
                <w:rFonts w:ascii="Calibri" w:hAnsi="Calibri" w:cs="Calibri"/>
                <w:szCs w:val="18"/>
              </w:rPr>
            </w:pPr>
            <w:r w:rsidRPr="004D22A8">
              <w:rPr>
                <w:rFonts w:ascii="Calibri" w:hAnsi="Calibri" w:cs="Calibri"/>
                <w:szCs w:val="18"/>
              </w:rPr>
              <w:t>2070</w:t>
            </w:r>
          </w:p>
        </w:tc>
        <w:tc>
          <w:tcPr>
            <w:tcW w:w="833" w:type="pct"/>
          </w:tcPr>
          <w:p w14:paraId="54A9125B" w14:textId="441F2C91" w:rsidR="00674239" w:rsidRPr="004D22A8" w:rsidRDefault="00674239" w:rsidP="00674239">
            <w:pPr>
              <w:pStyle w:val="TableText"/>
              <w:rPr>
                <w:rFonts w:ascii="Calibri" w:hAnsi="Calibri" w:cs="Calibri"/>
                <w:szCs w:val="18"/>
              </w:rPr>
            </w:pPr>
            <w:r w:rsidRPr="004D22A8">
              <w:rPr>
                <w:rFonts w:ascii="Calibri" w:hAnsi="Calibri" w:cs="Calibri"/>
                <w:szCs w:val="18"/>
              </w:rPr>
              <w:t>2080</w:t>
            </w:r>
          </w:p>
        </w:tc>
        <w:tc>
          <w:tcPr>
            <w:tcW w:w="834" w:type="pct"/>
          </w:tcPr>
          <w:p w14:paraId="7531FE81" w14:textId="7AFD80ED" w:rsidR="00674239" w:rsidRPr="004D22A8" w:rsidRDefault="00674239" w:rsidP="00674239">
            <w:pPr>
              <w:pStyle w:val="TableText"/>
              <w:rPr>
                <w:rFonts w:ascii="Calibri" w:hAnsi="Calibri" w:cs="Calibri"/>
                <w:szCs w:val="18"/>
              </w:rPr>
            </w:pPr>
            <w:r w:rsidRPr="004D22A8">
              <w:rPr>
                <w:rFonts w:ascii="Calibri" w:hAnsi="Calibri" w:cs="Calibri"/>
                <w:szCs w:val="18"/>
              </w:rPr>
              <w:t>2090</w:t>
            </w:r>
          </w:p>
        </w:tc>
        <w:tc>
          <w:tcPr>
            <w:tcW w:w="833" w:type="pct"/>
          </w:tcPr>
          <w:p w14:paraId="19FD85B7" w14:textId="6A480486" w:rsidR="00674239" w:rsidRPr="004D22A8" w:rsidRDefault="00674239" w:rsidP="00674239">
            <w:pPr>
              <w:pStyle w:val="TableText"/>
              <w:rPr>
                <w:rFonts w:ascii="Calibri" w:hAnsi="Calibri" w:cs="Calibri"/>
                <w:szCs w:val="18"/>
              </w:rPr>
            </w:pPr>
            <w:r w:rsidRPr="004D22A8">
              <w:rPr>
                <w:rFonts w:ascii="Calibri" w:hAnsi="Calibri" w:cs="Calibri"/>
                <w:szCs w:val="18"/>
              </w:rPr>
              <w:t>2100</w:t>
            </w:r>
          </w:p>
        </w:tc>
        <w:tc>
          <w:tcPr>
            <w:tcW w:w="833" w:type="pct"/>
          </w:tcPr>
          <w:p w14:paraId="2DFF71DB" w14:textId="67E26F67" w:rsidR="00674239" w:rsidRPr="004D22A8" w:rsidRDefault="00674239" w:rsidP="00674239">
            <w:pPr>
              <w:pStyle w:val="TableText"/>
              <w:rPr>
                <w:rFonts w:ascii="Calibri" w:hAnsi="Calibri" w:cs="Calibri"/>
                <w:szCs w:val="18"/>
              </w:rPr>
            </w:pPr>
            <w:r w:rsidRPr="004D22A8">
              <w:rPr>
                <w:rFonts w:ascii="Calibri" w:hAnsi="Calibri" w:cs="Calibri"/>
                <w:szCs w:val="18"/>
              </w:rPr>
              <w:t>2130</w:t>
            </w:r>
          </w:p>
        </w:tc>
      </w:tr>
      <w:tr w:rsidR="00674239" w:rsidRPr="006B77BB" w14:paraId="047CCCA4" w14:textId="77777777" w:rsidTr="00674239">
        <w:tc>
          <w:tcPr>
            <w:tcW w:w="832" w:type="pct"/>
          </w:tcPr>
          <w:p w14:paraId="77874C14" w14:textId="74D8C3BE" w:rsidR="00674239" w:rsidRPr="004D22A8" w:rsidRDefault="00674239" w:rsidP="00674239">
            <w:pPr>
              <w:pStyle w:val="TableText"/>
              <w:rPr>
                <w:rFonts w:ascii="Calibri" w:hAnsi="Calibri" w:cs="Calibri"/>
                <w:szCs w:val="18"/>
              </w:rPr>
            </w:pPr>
            <w:r w:rsidRPr="004D22A8">
              <w:rPr>
                <w:rFonts w:ascii="Calibri" w:hAnsi="Calibri" w:cs="Calibri"/>
                <w:b/>
                <w:bCs/>
                <w:szCs w:val="18"/>
              </w:rPr>
              <w:t>0.7</w:t>
            </w:r>
          </w:p>
        </w:tc>
        <w:tc>
          <w:tcPr>
            <w:tcW w:w="834" w:type="pct"/>
          </w:tcPr>
          <w:p w14:paraId="1C7E8A03" w14:textId="3ADA3D7F" w:rsidR="00674239" w:rsidRPr="004D22A8" w:rsidRDefault="00674239" w:rsidP="00674239">
            <w:pPr>
              <w:pStyle w:val="TableText"/>
              <w:rPr>
                <w:rFonts w:ascii="Calibri" w:hAnsi="Calibri" w:cs="Calibri"/>
                <w:szCs w:val="18"/>
              </w:rPr>
            </w:pPr>
            <w:r w:rsidRPr="004D22A8">
              <w:rPr>
                <w:rFonts w:ascii="Calibri" w:hAnsi="Calibri" w:cs="Calibri"/>
                <w:szCs w:val="18"/>
              </w:rPr>
              <w:t>2080</w:t>
            </w:r>
          </w:p>
        </w:tc>
        <w:tc>
          <w:tcPr>
            <w:tcW w:w="833" w:type="pct"/>
          </w:tcPr>
          <w:p w14:paraId="3D815A8D" w14:textId="6175F326" w:rsidR="00674239" w:rsidRPr="004D22A8" w:rsidRDefault="00674239" w:rsidP="00674239">
            <w:pPr>
              <w:pStyle w:val="TableText"/>
              <w:rPr>
                <w:rFonts w:ascii="Calibri" w:hAnsi="Calibri" w:cs="Calibri"/>
                <w:szCs w:val="18"/>
              </w:rPr>
            </w:pPr>
            <w:r w:rsidRPr="004D22A8">
              <w:rPr>
                <w:rFonts w:ascii="Calibri" w:hAnsi="Calibri" w:cs="Calibri"/>
                <w:szCs w:val="18"/>
              </w:rPr>
              <w:t>2090</w:t>
            </w:r>
          </w:p>
        </w:tc>
        <w:tc>
          <w:tcPr>
            <w:tcW w:w="834" w:type="pct"/>
          </w:tcPr>
          <w:p w14:paraId="267B9550" w14:textId="04FDD39F" w:rsidR="00674239" w:rsidRPr="004D22A8" w:rsidRDefault="00674239" w:rsidP="00674239">
            <w:pPr>
              <w:pStyle w:val="TableText"/>
              <w:rPr>
                <w:rFonts w:ascii="Calibri" w:hAnsi="Calibri" w:cs="Calibri"/>
                <w:szCs w:val="18"/>
              </w:rPr>
            </w:pPr>
            <w:r w:rsidRPr="004D22A8">
              <w:rPr>
                <w:rFonts w:ascii="Calibri" w:hAnsi="Calibri" w:cs="Calibri"/>
                <w:szCs w:val="18"/>
              </w:rPr>
              <w:t>2100</w:t>
            </w:r>
          </w:p>
        </w:tc>
        <w:tc>
          <w:tcPr>
            <w:tcW w:w="833" w:type="pct"/>
          </w:tcPr>
          <w:p w14:paraId="6E1BD97A" w14:textId="18AC33EF" w:rsidR="00674239" w:rsidRPr="004D22A8" w:rsidRDefault="00674239" w:rsidP="00674239">
            <w:pPr>
              <w:pStyle w:val="TableText"/>
              <w:rPr>
                <w:rFonts w:ascii="Calibri" w:hAnsi="Calibri" w:cs="Calibri"/>
                <w:szCs w:val="18"/>
              </w:rPr>
            </w:pPr>
            <w:r w:rsidRPr="004D22A8">
              <w:rPr>
                <w:rFonts w:ascii="Calibri" w:hAnsi="Calibri" w:cs="Calibri"/>
                <w:szCs w:val="18"/>
              </w:rPr>
              <w:t>2115</w:t>
            </w:r>
          </w:p>
        </w:tc>
        <w:tc>
          <w:tcPr>
            <w:tcW w:w="833" w:type="pct"/>
          </w:tcPr>
          <w:p w14:paraId="3D731F19" w14:textId="21512201" w:rsidR="00674239" w:rsidRPr="004D22A8" w:rsidRDefault="00674239" w:rsidP="00674239">
            <w:pPr>
              <w:pStyle w:val="TableText"/>
              <w:rPr>
                <w:rFonts w:ascii="Calibri" w:hAnsi="Calibri" w:cs="Calibri"/>
                <w:szCs w:val="18"/>
              </w:rPr>
            </w:pPr>
            <w:r w:rsidRPr="004D22A8">
              <w:rPr>
                <w:rFonts w:ascii="Calibri" w:hAnsi="Calibri" w:cs="Calibri"/>
                <w:szCs w:val="18"/>
              </w:rPr>
              <w:t>2150</w:t>
            </w:r>
          </w:p>
        </w:tc>
      </w:tr>
      <w:tr w:rsidR="00674239" w:rsidRPr="006B77BB" w14:paraId="776E37E1" w14:textId="77777777" w:rsidTr="00674239">
        <w:tc>
          <w:tcPr>
            <w:tcW w:w="832" w:type="pct"/>
          </w:tcPr>
          <w:p w14:paraId="318E3F87" w14:textId="40925376" w:rsidR="00674239" w:rsidRPr="004D22A8" w:rsidRDefault="00674239" w:rsidP="00674239">
            <w:pPr>
              <w:pStyle w:val="TableText"/>
              <w:rPr>
                <w:rFonts w:ascii="Calibri" w:hAnsi="Calibri" w:cs="Calibri"/>
                <w:szCs w:val="18"/>
              </w:rPr>
            </w:pPr>
            <w:r w:rsidRPr="004D22A8">
              <w:rPr>
                <w:rFonts w:ascii="Calibri" w:hAnsi="Calibri" w:cs="Calibri"/>
                <w:b/>
                <w:bCs/>
                <w:szCs w:val="18"/>
              </w:rPr>
              <w:t>0.8</w:t>
            </w:r>
          </w:p>
        </w:tc>
        <w:tc>
          <w:tcPr>
            <w:tcW w:w="834" w:type="pct"/>
          </w:tcPr>
          <w:p w14:paraId="3927F4F6" w14:textId="48989A34" w:rsidR="00674239" w:rsidRPr="004D22A8" w:rsidRDefault="00674239" w:rsidP="00674239">
            <w:pPr>
              <w:pStyle w:val="TableText"/>
              <w:rPr>
                <w:rFonts w:ascii="Calibri" w:hAnsi="Calibri" w:cs="Calibri"/>
                <w:szCs w:val="18"/>
              </w:rPr>
            </w:pPr>
            <w:r w:rsidRPr="004D22A8">
              <w:rPr>
                <w:rFonts w:ascii="Calibri" w:hAnsi="Calibri" w:cs="Calibri"/>
                <w:szCs w:val="18"/>
              </w:rPr>
              <w:t>2085</w:t>
            </w:r>
          </w:p>
        </w:tc>
        <w:tc>
          <w:tcPr>
            <w:tcW w:w="833" w:type="pct"/>
          </w:tcPr>
          <w:p w14:paraId="4CED4FD1" w14:textId="2160898B" w:rsidR="00674239" w:rsidRPr="004D22A8" w:rsidRDefault="00674239" w:rsidP="00674239">
            <w:pPr>
              <w:pStyle w:val="TableText"/>
              <w:rPr>
                <w:rFonts w:ascii="Calibri" w:hAnsi="Calibri" w:cs="Calibri"/>
                <w:szCs w:val="18"/>
              </w:rPr>
            </w:pPr>
            <w:r w:rsidRPr="004D22A8">
              <w:rPr>
                <w:rFonts w:ascii="Calibri" w:hAnsi="Calibri" w:cs="Calibri"/>
                <w:szCs w:val="18"/>
              </w:rPr>
              <w:t>2100</w:t>
            </w:r>
          </w:p>
        </w:tc>
        <w:tc>
          <w:tcPr>
            <w:tcW w:w="834" w:type="pct"/>
          </w:tcPr>
          <w:p w14:paraId="471BE595" w14:textId="0F896C5F" w:rsidR="00674239" w:rsidRPr="004D22A8" w:rsidRDefault="00674239" w:rsidP="00674239">
            <w:pPr>
              <w:pStyle w:val="TableText"/>
              <w:rPr>
                <w:rFonts w:ascii="Calibri" w:hAnsi="Calibri" w:cs="Calibri"/>
                <w:szCs w:val="18"/>
              </w:rPr>
            </w:pPr>
            <w:r w:rsidRPr="004D22A8">
              <w:rPr>
                <w:rFonts w:ascii="Calibri" w:hAnsi="Calibri" w:cs="Calibri"/>
                <w:szCs w:val="18"/>
              </w:rPr>
              <w:t>2110</w:t>
            </w:r>
          </w:p>
        </w:tc>
        <w:tc>
          <w:tcPr>
            <w:tcW w:w="833" w:type="pct"/>
          </w:tcPr>
          <w:p w14:paraId="14436B1C" w14:textId="260F27F1" w:rsidR="00674239" w:rsidRPr="004D22A8" w:rsidRDefault="00674239" w:rsidP="00674239">
            <w:pPr>
              <w:pStyle w:val="TableText"/>
              <w:rPr>
                <w:rFonts w:ascii="Calibri" w:hAnsi="Calibri" w:cs="Calibri"/>
                <w:szCs w:val="18"/>
              </w:rPr>
            </w:pPr>
            <w:r w:rsidRPr="004D22A8">
              <w:rPr>
                <w:rFonts w:ascii="Calibri" w:hAnsi="Calibri" w:cs="Calibri"/>
                <w:szCs w:val="18"/>
              </w:rPr>
              <w:t>2130</w:t>
            </w:r>
          </w:p>
        </w:tc>
        <w:tc>
          <w:tcPr>
            <w:tcW w:w="833" w:type="pct"/>
          </w:tcPr>
          <w:p w14:paraId="7970CCD0" w14:textId="2E7C2191" w:rsidR="00674239" w:rsidRPr="004D22A8" w:rsidRDefault="00674239" w:rsidP="00674239">
            <w:pPr>
              <w:pStyle w:val="TableText"/>
              <w:rPr>
                <w:rFonts w:ascii="Calibri" w:hAnsi="Calibri" w:cs="Calibri"/>
                <w:szCs w:val="18"/>
              </w:rPr>
            </w:pPr>
            <w:r w:rsidRPr="004D22A8">
              <w:rPr>
                <w:rFonts w:ascii="Calibri" w:hAnsi="Calibri" w:cs="Calibri"/>
                <w:szCs w:val="18"/>
              </w:rPr>
              <w:t>2180</w:t>
            </w:r>
          </w:p>
        </w:tc>
      </w:tr>
      <w:tr w:rsidR="00674239" w:rsidRPr="006B77BB" w14:paraId="15F03C1D" w14:textId="77777777" w:rsidTr="00674239">
        <w:tc>
          <w:tcPr>
            <w:tcW w:w="832" w:type="pct"/>
          </w:tcPr>
          <w:p w14:paraId="0EA15BDA" w14:textId="6B20896C" w:rsidR="00674239" w:rsidRPr="004D22A8" w:rsidRDefault="00674239" w:rsidP="00674239">
            <w:pPr>
              <w:pStyle w:val="TableText"/>
              <w:rPr>
                <w:rFonts w:ascii="Calibri" w:hAnsi="Calibri" w:cs="Calibri"/>
                <w:szCs w:val="18"/>
              </w:rPr>
            </w:pPr>
            <w:r w:rsidRPr="004D22A8">
              <w:rPr>
                <w:rFonts w:ascii="Calibri" w:hAnsi="Calibri" w:cs="Calibri"/>
                <w:b/>
                <w:bCs/>
                <w:szCs w:val="18"/>
              </w:rPr>
              <w:t>0.9</w:t>
            </w:r>
          </w:p>
        </w:tc>
        <w:tc>
          <w:tcPr>
            <w:tcW w:w="834" w:type="pct"/>
          </w:tcPr>
          <w:p w14:paraId="5F4D66A0" w14:textId="5A44D497" w:rsidR="00674239" w:rsidRPr="004D22A8" w:rsidRDefault="00674239" w:rsidP="00674239">
            <w:pPr>
              <w:pStyle w:val="TableText"/>
              <w:rPr>
                <w:rFonts w:ascii="Calibri" w:hAnsi="Calibri" w:cs="Calibri"/>
                <w:szCs w:val="18"/>
              </w:rPr>
            </w:pPr>
            <w:r w:rsidRPr="004D22A8">
              <w:rPr>
                <w:rFonts w:ascii="Calibri" w:hAnsi="Calibri" w:cs="Calibri"/>
                <w:szCs w:val="18"/>
              </w:rPr>
              <w:t>2090</w:t>
            </w:r>
          </w:p>
        </w:tc>
        <w:tc>
          <w:tcPr>
            <w:tcW w:w="833" w:type="pct"/>
          </w:tcPr>
          <w:p w14:paraId="3766FD50" w14:textId="1D9C957A" w:rsidR="00674239" w:rsidRPr="004D22A8" w:rsidRDefault="00674239" w:rsidP="00674239">
            <w:pPr>
              <w:pStyle w:val="TableText"/>
              <w:rPr>
                <w:rFonts w:ascii="Calibri" w:hAnsi="Calibri" w:cs="Calibri"/>
                <w:szCs w:val="18"/>
              </w:rPr>
            </w:pPr>
            <w:r w:rsidRPr="004D22A8">
              <w:rPr>
                <w:rFonts w:ascii="Calibri" w:hAnsi="Calibri" w:cs="Calibri"/>
                <w:szCs w:val="18"/>
              </w:rPr>
              <w:t>2105</w:t>
            </w:r>
          </w:p>
        </w:tc>
        <w:tc>
          <w:tcPr>
            <w:tcW w:w="834" w:type="pct"/>
          </w:tcPr>
          <w:p w14:paraId="0510C334" w14:textId="1B1F1D06" w:rsidR="00674239" w:rsidRPr="004D22A8" w:rsidRDefault="00674239" w:rsidP="00674239">
            <w:pPr>
              <w:pStyle w:val="TableText"/>
              <w:rPr>
                <w:rFonts w:ascii="Calibri" w:hAnsi="Calibri" w:cs="Calibri"/>
                <w:szCs w:val="18"/>
              </w:rPr>
            </w:pPr>
            <w:r w:rsidRPr="004D22A8">
              <w:rPr>
                <w:rFonts w:ascii="Calibri" w:hAnsi="Calibri" w:cs="Calibri"/>
                <w:szCs w:val="18"/>
              </w:rPr>
              <w:t>2115</w:t>
            </w:r>
          </w:p>
        </w:tc>
        <w:tc>
          <w:tcPr>
            <w:tcW w:w="833" w:type="pct"/>
          </w:tcPr>
          <w:p w14:paraId="6F1D4CE6" w14:textId="13A92F65" w:rsidR="00674239" w:rsidRPr="004D22A8" w:rsidRDefault="00674239" w:rsidP="00674239">
            <w:pPr>
              <w:pStyle w:val="TableText"/>
              <w:rPr>
                <w:rFonts w:ascii="Calibri" w:hAnsi="Calibri" w:cs="Calibri"/>
                <w:szCs w:val="18"/>
              </w:rPr>
            </w:pPr>
            <w:r w:rsidRPr="004D22A8">
              <w:rPr>
                <w:rFonts w:ascii="Calibri" w:hAnsi="Calibri" w:cs="Calibri"/>
                <w:szCs w:val="18"/>
              </w:rPr>
              <w:t>2140</w:t>
            </w:r>
          </w:p>
        </w:tc>
        <w:tc>
          <w:tcPr>
            <w:tcW w:w="833" w:type="pct"/>
          </w:tcPr>
          <w:p w14:paraId="521BF76F" w14:textId="5C8C02B7" w:rsidR="00674239" w:rsidRPr="004D22A8" w:rsidRDefault="00674239" w:rsidP="00674239">
            <w:pPr>
              <w:pStyle w:val="TableText"/>
              <w:rPr>
                <w:rFonts w:ascii="Calibri" w:hAnsi="Calibri" w:cs="Calibri"/>
                <w:szCs w:val="18"/>
              </w:rPr>
            </w:pPr>
            <w:r w:rsidRPr="004D22A8">
              <w:rPr>
                <w:rFonts w:ascii="Calibri" w:hAnsi="Calibri" w:cs="Calibri"/>
                <w:szCs w:val="18"/>
              </w:rPr>
              <w:t>2200</w:t>
            </w:r>
          </w:p>
        </w:tc>
      </w:tr>
      <w:tr w:rsidR="00674239" w:rsidRPr="006B77BB" w14:paraId="06AEED29" w14:textId="77777777" w:rsidTr="00674239">
        <w:tc>
          <w:tcPr>
            <w:tcW w:w="832" w:type="pct"/>
          </w:tcPr>
          <w:p w14:paraId="70B53EC6" w14:textId="02511C32" w:rsidR="00674239" w:rsidRPr="004D22A8" w:rsidRDefault="00674239" w:rsidP="00674239">
            <w:pPr>
              <w:pStyle w:val="TableText"/>
              <w:rPr>
                <w:rFonts w:ascii="Calibri" w:hAnsi="Calibri" w:cs="Calibri"/>
                <w:szCs w:val="18"/>
              </w:rPr>
            </w:pPr>
            <w:r w:rsidRPr="004D22A8">
              <w:rPr>
                <w:rFonts w:ascii="Calibri" w:hAnsi="Calibri" w:cs="Calibri"/>
                <w:b/>
                <w:bCs/>
                <w:szCs w:val="18"/>
              </w:rPr>
              <w:t>1.0</w:t>
            </w:r>
          </w:p>
        </w:tc>
        <w:tc>
          <w:tcPr>
            <w:tcW w:w="834" w:type="pct"/>
          </w:tcPr>
          <w:p w14:paraId="7436247E" w14:textId="7CB36B59" w:rsidR="00674239" w:rsidRPr="004D22A8" w:rsidRDefault="00674239" w:rsidP="00674239">
            <w:pPr>
              <w:pStyle w:val="TableText"/>
              <w:rPr>
                <w:rFonts w:ascii="Calibri" w:hAnsi="Calibri" w:cs="Calibri"/>
                <w:szCs w:val="18"/>
              </w:rPr>
            </w:pPr>
            <w:r w:rsidRPr="004D22A8">
              <w:rPr>
                <w:rFonts w:ascii="Calibri" w:hAnsi="Calibri" w:cs="Calibri"/>
                <w:szCs w:val="18"/>
              </w:rPr>
              <w:t>2095</w:t>
            </w:r>
          </w:p>
        </w:tc>
        <w:tc>
          <w:tcPr>
            <w:tcW w:w="833" w:type="pct"/>
          </w:tcPr>
          <w:p w14:paraId="5C22EBA2" w14:textId="0A2A3697" w:rsidR="00674239" w:rsidRPr="004D22A8" w:rsidRDefault="00674239" w:rsidP="00674239">
            <w:pPr>
              <w:pStyle w:val="TableText"/>
              <w:rPr>
                <w:rFonts w:ascii="Calibri" w:hAnsi="Calibri" w:cs="Calibri"/>
                <w:szCs w:val="18"/>
              </w:rPr>
            </w:pPr>
            <w:r w:rsidRPr="004D22A8">
              <w:rPr>
                <w:rFonts w:ascii="Calibri" w:hAnsi="Calibri" w:cs="Calibri"/>
                <w:szCs w:val="18"/>
              </w:rPr>
              <w:t>2115</w:t>
            </w:r>
          </w:p>
        </w:tc>
        <w:tc>
          <w:tcPr>
            <w:tcW w:w="834" w:type="pct"/>
          </w:tcPr>
          <w:p w14:paraId="42B69B6A" w14:textId="107CEFA3" w:rsidR="00674239" w:rsidRPr="004D22A8" w:rsidRDefault="00674239" w:rsidP="00674239">
            <w:pPr>
              <w:pStyle w:val="TableText"/>
              <w:rPr>
                <w:rFonts w:ascii="Calibri" w:hAnsi="Calibri" w:cs="Calibri"/>
                <w:szCs w:val="18"/>
              </w:rPr>
            </w:pPr>
            <w:r w:rsidRPr="004D22A8">
              <w:rPr>
                <w:rFonts w:ascii="Calibri" w:hAnsi="Calibri" w:cs="Calibri"/>
                <w:szCs w:val="18"/>
              </w:rPr>
              <w:t>2125</w:t>
            </w:r>
          </w:p>
        </w:tc>
        <w:tc>
          <w:tcPr>
            <w:tcW w:w="833" w:type="pct"/>
          </w:tcPr>
          <w:p w14:paraId="72750B1F" w14:textId="2401FD35" w:rsidR="00674239" w:rsidRPr="004D22A8" w:rsidRDefault="00674239" w:rsidP="00674239">
            <w:pPr>
              <w:pStyle w:val="TableText"/>
              <w:rPr>
                <w:rFonts w:ascii="Calibri" w:hAnsi="Calibri" w:cs="Calibri"/>
                <w:szCs w:val="18"/>
              </w:rPr>
            </w:pPr>
            <w:r w:rsidRPr="004D22A8">
              <w:rPr>
                <w:rFonts w:ascii="Calibri" w:hAnsi="Calibri" w:cs="Calibri"/>
                <w:szCs w:val="18"/>
              </w:rPr>
              <w:t>2155</w:t>
            </w:r>
          </w:p>
        </w:tc>
        <w:tc>
          <w:tcPr>
            <w:tcW w:w="833" w:type="pct"/>
          </w:tcPr>
          <w:p w14:paraId="0F388765" w14:textId="7B5BAE8C"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r>
      <w:tr w:rsidR="00674239" w:rsidRPr="006B77BB" w14:paraId="5A288685" w14:textId="77777777" w:rsidTr="00674239">
        <w:tc>
          <w:tcPr>
            <w:tcW w:w="832" w:type="pct"/>
          </w:tcPr>
          <w:p w14:paraId="49FE2634" w14:textId="074417F7" w:rsidR="00674239" w:rsidRPr="004D22A8" w:rsidRDefault="00674239" w:rsidP="00674239">
            <w:pPr>
              <w:pStyle w:val="TableText"/>
              <w:rPr>
                <w:rFonts w:ascii="Calibri" w:hAnsi="Calibri" w:cs="Calibri"/>
                <w:szCs w:val="18"/>
              </w:rPr>
            </w:pPr>
            <w:r w:rsidRPr="004D22A8">
              <w:rPr>
                <w:rFonts w:ascii="Calibri" w:hAnsi="Calibri" w:cs="Calibri"/>
                <w:b/>
                <w:bCs/>
                <w:szCs w:val="18"/>
              </w:rPr>
              <w:t>1.2</w:t>
            </w:r>
          </w:p>
        </w:tc>
        <w:tc>
          <w:tcPr>
            <w:tcW w:w="834" w:type="pct"/>
          </w:tcPr>
          <w:p w14:paraId="360C6265" w14:textId="5A580FCF" w:rsidR="00674239" w:rsidRPr="004D22A8" w:rsidRDefault="00674239" w:rsidP="00674239">
            <w:pPr>
              <w:pStyle w:val="TableText"/>
              <w:rPr>
                <w:rFonts w:ascii="Calibri" w:hAnsi="Calibri" w:cs="Calibri"/>
                <w:szCs w:val="18"/>
              </w:rPr>
            </w:pPr>
            <w:r w:rsidRPr="004D22A8">
              <w:rPr>
                <w:rFonts w:ascii="Calibri" w:hAnsi="Calibri" w:cs="Calibri"/>
                <w:szCs w:val="18"/>
              </w:rPr>
              <w:t>2105</w:t>
            </w:r>
          </w:p>
        </w:tc>
        <w:tc>
          <w:tcPr>
            <w:tcW w:w="833" w:type="pct"/>
          </w:tcPr>
          <w:p w14:paraId="14279DCD" w14:textId="7F635110" w:rsidR="00674239" w:rsidRPr="004D22A8" w:rsidRDefault="00674239" w:rsidP="00674239">
            <w:pPr>
              <w:pStyle w:val="TableText"/>
              <w:rPr>
                <w:rFonts w:ascii="Calibri" w:hAnsi="Calibri" w:cs="Calibri"/>
                <w:szCs w:val="18"/>
              </w:rPr>
            </w:pPr>
            <w:r w:rsidRPr="004D22A8">
              <w:rPr>
                <w:rFonts w:ascii="Calibri" w:hAnsi="Calibri" w:cs="Calibri"/>
                <w:szCs w:val="18"/>
              </w:rPr>
              <w:t>2130</w:t>
            </w:r>
          </w:p>
        </w:tc>
        <w:tc>
          <w:tcPr>
            <w:tcW w:w="834" w:type="pct"/>
          </w:tcPr>
          <w:p w14:paraId="4EDD8488" w14:textId="2029BCFD" w:rsidR="00674239" w:rsidRPr="004D22A8" w:rsidRDefault="00674239" w:rsidP="00674239">
            <w:pPr>
              <w:pStyle w:val="TableText"/>
              <w:rPr>
                <w:rFonts w:ascii="Calibri" w:hAnsi="Calibri" w:cs="Calibri"/>
                <w:szCs w:val="18"/>
              </w:rPr>
            </w:pPr>
            <w:r w:rsidRPr="004D22A8">
              <w:rPr>
                <w:rFonts w:ascii="Calibri" w:hAnsi="Calibri" w:cs="Calibri"/>
                <w:szCs w:val="18"/>
              </w:rPr>
              <w:t>2140</w:t>
            </w:r>
          </w:p>
        </w:tc>
        <w:tc>
          <w:tcPr>
            <w:tcW w:w="833" w:type="pct"/>
          </w:tcPr>
          <w:p w14:paraId="2332450D" w14:textId="7C43F838" w:rsidR="00674239" w:rsidRPr="004D22A8" w:rsidRDefault="00674239" w:rsidP="00674239">
            <w:pPr>
              <w:pStyle w:val="TableText"/>
              <w:rPr>
                <w:rFonts w:ascii="Calibri" w:hAnsi="Calibri" w:cs="Calibri"/>
                <w:szCs w:val="18"/>
              </w:rPr>
            </w:pPr>
            <w:r w:rsidRPr="004D22A8">
              <w:rPr>
                <w:rFonts w:ascii="Calibri" w:hAnsi="Calibri" w:cs="Calibri"/>
                <w:szCs w:val="18"/>
              </w:rPr>
              <w:t>2185</w:t>
            </w:r>
          </w:p>
        </w:tc>
        <w:tc>
          <w:tcPr>
            <w:tcW w:w="833" w:type="pct"/>
          </w:tcPr>
          <w:p w14:paraId="5A8FCFEC" w14:textId="56967307"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r>
      <w:tr w:rsidR="00674239" w:rsidRPr="006B77BB" w14:paraId="47D742E1" w14:textId="77777777" w:rsidTr="00674239">
        <w:tc>
          <w:tcPr>
            <w:tcW w:w="832" w:type="pct"/>
          </w:tcPr>
          <w:p w14:paraId="6A7B3CC8" w14:textId="64C7C8F4" w:rsidR="00674239" w:rsidRPr="004D22A8" w:rsidRDefault="00674239" w:rsidP="00674239">
            <w:pPr>
              <w:pStyle w:val="TableText"/>
              <w:rPr>
                <w:rFonts w:ascii="Calibri" w:hAnsi="Calibri" w:cs="Calibri"/>
                <w:szCs w:val="18"/>
              </w:rPr>
            </w:pPr>
            <w:r w:rsidRPr="004D22A8">
              <w:rPr>
                <w:rFonts w:ascii="Calibri" w:hAnsi="Calibri" w:cs="Calibri"/>
                <w:b/>
                <w:bCs/>
                <w:szCs w:val="18"/>
              </w:rPr>
              <w:t>1.4</w:t>
            </w:r>
          </w:p>
        </w:tc>
        <w:tc>
          <w:tcPr>
            <w:tcW w:w="834" w:type="pct"/>
          </w:tcPr>
          <w:p w14:paraId="14D7A577" w14:textId="5F752AAE" w:rsidR="00674239" w:rsidRPr="004D22A8" w:rsidRDefault="00674239" w:rsidP="00674239">
            <w:pPr>
              <w:pStyle w:val="TableText"/>
              <w:rPr>
                <w:rFonts w:ascii="Calibri" w:hAnsi="Calibri" w:cs="Calibri"/>
                <w:szCs w:val="18"/>
              </w:rPr>
            </w:pPr>
            <w:r w:rsidRPr="004D22A8">
              <w:rPr>
                <w:rFonts w:ascii="Calibri" w:hAnsi="Calibri" w:cs="Calibri"/>
                <w:szCs w:val="18"/>
              </w:rPr>
              <w:t>2115</w:t>
            </w:r>
          </w:p>
        </w:tc>
        <w:tc>
          <w:tcPr>
            <w:tcW w:w="833" w:type="pct"/>
          </w:tcPr>
          <w:p w14:paraId="2FF393C8" w14:textId="2CF34096" w:rsidR="00674239" w:rsidRPr="004D22A8" w:rsidRDefault="00674239" w:rsidP="00674239">
            <w:pPr>
              <w:pStyle w:val="TableText"/>
              <w:rPr>
                <w:rFonts w:ascii="Calibri" w:hAnsi="Calibri" w:cs="Calibri"/>
                <w:szCs w:val="18"/>
              </w:rPr>
            </w:pPr>
            <w:r w:rsidRPr="004D22A8">
              <w:rPr>
                <w:rFonts w:ascii="Calibri" w:hAnsi="Calibri" w:cs="Calibri"/>
                <w:szCs w:val="18"/>
              </w:rPr>
              <w:t>2145</w:t>
            </w:r>
          </w:p>
        </w:tc>
        <w:tc>
          <w:tcPr>
            <w:tcW w:w="834" w:type="pct"/>
          </w:tcPr>
          <w:p w14:paraId="2E79396C" w14:textId="0B017923" w:rsidR="00674239" w:rsidRPr="004D22A8" w:rsidRDefault="00674239" w:rsidP="00674239">
            <w:pPr>
              <w:pStyle w:val="TableText"/>
              <w:rPr>
                <w:rFonts w:ascii="Calibri" w:hAnsi="Calibri" w:cs="Calibri"/>
                <w:szCs w:val="18"/>
              </w:rPr>
            </w:pPr>
            <w:r w:rsidRPr="004D22A8">
              <w:rPr>
                <w:rFonts w:ascii="Calibri" w:hAnsi="Calibri" w:cs="Calibri"/>
                <w:szCs w:val="18"/>
              </w:rPr>
              <w:t>2160</w:t>
            </w:r>
          </w:p>
        </w:tc>
        <w:tc>
          <w:tcPr>
            <w:tcW w:w="833" w:type="pct"/>
          </w:tcPr>
          <w:p w14:paraId="7B9CAEEF" w14:textId="5290E17F"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c>
          <w:tcPr>
            <w:tcW w:w="833" w:type="pct"/>
          </w:tcPr>
          <w:p w14:paraId="44F00AB3" w14:textId="1B279E4E"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r>
      <w:tr w:rsidR="00674239" w:rsidRPr="006B77BB" w14:paraId="3166C34E" w14:textId="77777777" w:rsidTr="00674239">
        <w:tc>
          <w:tcPr>
            <w:tcW w:w="832" w:type="pct"/>
          </w:tcPr>
          <w:p w14:paraId="432413EC" w14:textId="59F0CFA8" w:rsidR="00674239" w:rsidRPr="004D22A8" w:rsidRDefault="00674239" w:rsidP="00674239">
            <w:pPr>
              <w:pStyle w:val="TableText"/>
              <w:rPr>
                <w:rFonts w:ascii="Calibri" w:hAnsi="Calibri" w:cs="Calibri"/>
                <w:szCs w:val="18"/>
              </w:rPr>
            </w:pPr>
            <w:r w:rsidRPr="004D22A8">
              <w:rPr>
                <w:rFonts w:ascii="Calibri" w:hAnsi="Calibri" w:cs="Calibri"/>
                <w:b/>
                <w:bCs/>
                <w:szCs w:val="18"/>
              </w:rPr>
              <w:t>1.6</w:t>
            </w:r>
          </w:p>
        </w:tc>
        <w:tc>
          <w:tcPr>
            <w:tcW w:w="834" w:type="pct"/>
          </w:tcPr>
          <w:p w14:paraId="5A1D0E63" w14:textId="065B3827" w:rsidR="00674239" w:rsidRPr="004D22A8" w:rsidRDefault="00674239" w:rsidP="00674239">
            <w:pPr>
              <w:pStyle w:val="TableText"/>
              <w:rPr>
                <w:rFonts w:ascii="Calibri" w:hAnsi="Calibri" w:cs="Calibri"/>
                <w:szCs w:val="18"/>
              </w:rPr>
            </w:pPr>
            <w:r w:rsidRPr="004D22A8">
              <w:rPr>
                <w:rFonts w:ascii="Calibri" w:hAnsi="Calibri" w:cs="Calibri"/>
                <w:szCs w:val="18"/>
              </w:rPr>
              <w:t>2130</w:t>
            </w:r>
          </w:p>
        </w:tc>
        <w:tc>
          <w:tcPr>
            <w:tcW w:w="833" w:type="pct"/>
          </w:tcPr>
          <w:p w14:paraId="27BDDB03" w14:textId="7485D4A8" w:rsidR="00674239" w:rsidRPr="004D22A8" w:rsidRDefault="00674239" w:rsidP="00674239">
            <w:pPr>
              <w:pStyle w:val="TableText"/>
              <w:rPr>
                <w:rFonts w:ascii="Calibri" w:hAnsi="Calibri" w:cs="Calibri"/>
                <w:szCs w:val="18"/>
              </w:rPr>
            </w:pPr>
            <w:r w:rsidRPr="004D22A8">
              <w:rPr>
                <w:rFonts w:ascii="Calibri" w:hAnsi="Calibri" w:cs="Calibri"/>
                <w:szCs w:val="18"/>
              </w:rPr>
              <w:t>2160</w:t>
            </w:r>
          </w:p>
        </w:tc>
        <w:tc>
          <w:tcPr>
            <w:tcW w:w="834" w:type="pct"/>
          </w:tcPr>
          <w:p w14:paraId="3987BCE9" w14:textId="4D3C1C7A" w:rsidR="00674239" w:rsidRPr="004D22A8" w:rsidRDefault="00674239" w:rsidP="00674239">
            <w:pPr>
              <w:pStyle w:val="TableText"/>
              <w:rPr>
                <w:rFonts w:ascii="Calibri" w:hAnsi="Calibri" w:cs="Calibri"/>
                <w:szCs w:val="18"/>
              </w:rPr>
            </w:pPr>
            <w:r w:rsidRPr="004D22A8">
              <w:rPr>
                <w:rFonts w:ascii="Calibri" w:hAnsi="Calibri" w:cs="Calibri"/>
                <w:szCs w:val="18"/>
              </w:rPr>
              <w:t>2175</w:t>
            </w:r>
          </w:p>
        </w:tc>
        <w:tc>
          <w:tcPr>
            <w:tcW w:w="833" w:type="pct"/>
          </w:tcPr>
          <w:p w14:paraId="276700AD" w14:textId="161D6072"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c>
          <w:tcPr>
            <w:tcW w:w="833" w:type="pct"/>
          </w:tcPr>
          <w:p w14:paraId="3591B202" w14:textId="0009AD04"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r>
      <w:tr w:rsidR="00674239" w:rsidRPr="006B77BB" w14:paraId="18660DF3" w14:textId="77777777" w:rsidTr="00674239">
        <w:tc>
          <w:tcPr>
            <w:tcW w:w="832" w:type="pct"/>
          </w:tcPr>
          <w:p w14:paraId="3D6578E9" w14:textId="0E3F1D64" w:rsidR="00674239" w:rsidRPr="004D22A8" w:rsidRDefault="00674239" w:rsidP="00674239">
            <w:pPr>
              <w:pStyle w:val="TableText"/>
              <w:rPr>
                <w:rFonts w:ascii="Calibri" w:hAnsi="Calibri" w:cs="Calibri"/>
                <w:szCs w:val="18"/>
              </w:rPr>
            </w:pPr>
            <w:r w:rsidRPr="004D22A8">
              <w:rPr>
                <w:rFonts w:ascii="Calibri" w:hAnsi="Calibri" w:cs="Calibri"/>
                <w:b/>
                <w:bCs/>
                <w:szCs w:val="18"/>
              </w:rPr>
              <w:t>1.8</w:t>
            </w:r>
          </w:p>
        </w:tc>
        <w:tc>
          <w:tcPr>
            <w:tcW w:w="834" w:type="pct"/>
          </w:tcPr>
          <w:p w14:paraId="78DC6566" w14:textId="26573BE1" w:rsidR="00674239" w:rsidRPr="004D22A8" w:rsidRDefault="00674239" w:rsidP="00674239">
            <w:pPr>
              <w:pStyle w:val="TableText"/>
              <w:rPr>
                <w:rFonts w:ascii="Calibri" w:hAnsi="Calibri" w:cs="Calibri"/>
                <w:szCs w:val="18"/>
              </w:rPr>
            </w:pPr>
            <w:r w:rsidRPr="004D22A8">
              <w:rPr>
                <w:rFonts w:ascii="Calibri" w:hAnsi="Calibri" w:cs="Calibri"/>
                <w:szCs w:val="18"/>
              </w:rPr>
              <w:t>2140</w:t>
            </w:r>
          </w:p>
        </w:tc>
        <w:tc>
          <w:tcPr>
            <w:tcW w:w="833" w:type="pct"/>
          </w:tcPr>
          <w:p w14:paraId="3A2AE354" w14:textId="7BA0F0DC" w:rsidR="00674239" w:rsidRPr="004D22A8" w:rsidRDefault="00674239" w:rsidP="00674239">
            <w:pPr>
              <w:pStyle w:val="TableText"/>
              <w:rPr>
                <w:rFonts w:ascii="Calibri" w:hAnsi="Calibri" w:cs="Calibri"/>
                <w:szCs w:val="18"/>
              </w:rPr>
            </w:pPr>
            <w:r w:rsidRPr="004D22A8">
              <w:rPr>
                <w:rFonts w:ascii="Calibri" w:hAnsi="Calibri" w:cs="Calibri"/>
                <w:szCs w:val="18"/>
              </w:rPr>
              <w:t>2180</w:t>
            </w:r>
          </w:p>
        </w:tc>
        <w:tc>
          <w:tcPr>
            <w:tcW w:w="834" w:type="pct"/>
          </w:tcPr>
          <w:p w14:paraId="1A5FEF4D" w14:textId="6845128B" w:rsidR="00674239" w:rsidRPr="004D22A8" w:rsidRDefault="00674239" w:rsidP="00674239">
            <w:pPr>
              <w:pStyle w:val="TableText"/>
              <w:rPr>
                <w:rFonts w:ascii="Calibri" w:hAnsi="Calibri" w:cs="Calibri"/>
                <w:szCs w:val="18"/>
              </w:rPr>
            </w:pPr>
            <w:r w:rsidRPr="004D22A8">
              <w:rPr>
                <w:rFonts w:ascii="Calibri" w:hAnsi="Calibri" w:cs="Calibri"/>
                <w:szCs w:val="18"/>
              </w:rPr>
              <w:t>2200</w:t>
            </w:r>
          </w:p>
        </w:tc>
        <w:tc>
          <w:tcPr>
            <w:tcW w:w="833" w:type="pct"/>
          </w:tcPr>
          <w:p w14:paraId="6D6C1205" w14:textId="3CE54A9E"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c>
          <w:tcPr>
            <w:tcW w:w="833" w:type="pct"/>
          </w:tcPr>
          <w:p w14:paraId="65FC3ABB" w14:textId="436C6D5C"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r>
      <w:tr w:rsidR="00674239" w:rsidRPr="006B77BB" w14:paraId="7D5BAA43" w14:textId="77777777" w:rsidTr="00674239">
        <w:tc>
          <w:tcPr>
            <w:tcW w:w="832" w:type="pct"/>
          </w:tcPr>
          <w:p w14:paraId="27F4D77A" w14:textId="31AC33B8" w:rsidR="00674239" w:rsidRPr="004D22A8" w:rsidRDefault="00674239" w:rsidP="00674239">
            <w:pPr>
              <w:pStyle w:val="TableText"/>
              <w:rPr>
                <w:rFonts w:ascii="Calibri" w:hAnsi="Calibri" w:cs="Calibri"/>
                <w:szCs w:val="18"/>
              </w:rPr>
            </w:pPr>
            <w:r w:rsidRPr="004D22A8">
              <w:rPr>
                <w:rFonts w:ascii="Calibri" w:hAnsi="Calibri" w:cs="Calibri"/>
                <w:b/>
                <w:bCs/>
                <w:szCs w:val="18"/>
              </w:rPr>
              <w:t xml:space="preserve">2.0 </w:t>
            </w:r>
          </w:p>
        </w:tc>
        <w:tc>
          <w:tcPr>
            <w:tcW w:w="834" w:type="pct"/>
          </w:tcPr>
          <w:p w14:paraId="76FB39B6" w14:textId="3648F6C1" w:rsidR="00674239" w:rsidRPr="004D22A8" w:rsidRDefault="00674239" w:rsidP="00674239">
            <w:pPr>
              <w:pStyle w:val="TableText"/>
              <w:rPr>
                <w:rFonts w:ascii="Calibri" w:hAnsi="Calibri" w:cs="Calibri"/>
                <w:szCs w:val="18"/>
              </w:rPr>
            </w:pPr>
            <w:r w:rsidRPr="004D22A8">
              <w:rPr>
                <w:rFonts w:ascii="Calibri" w:hAnsi="Calibri" w:cs="Calibri"/>
                <w:szCs w:val="18"/>
              </w:rPr>
              <w:t>2150</w:t>
            </w:r>
          </w:p>
        </w:tc>
        <w:tc>
          <w:tcPr>
            <w:tcW w:w="833" w:type="pct"/>
          </w:tcPr>
          <w:p w14:paraId="1EE1E585" w14:textId="282F2CF2" w:rsidR="00674239" w:rsidRPr="004D22A8" w:rsidRDefault="00674239" w:rsidP="00674239">
            <w:pPr>
              <w:pStyle w:val="TableText"/>
              <w:rPr>
                <w:rFonts w:ascii="Calibri" w:hAnsi="Calibri" w:cs="Calibri"/>
                <w:szCs w:val="18"/>
              </w:rPr>
            </w:pPr>
            <w:r w:rsidRPr="004D22A8">
              <w:rPr>
                <w:rFonts w:ascii="Calibri" w:hAnsi="Calibri" w:cs="Calibri"/>
                <w:szCs w:val="18"/>
              </w:rPr>
              <w:t>2195</w:t>
            </w:r>
          </w:p>
        </w:tc>
        <w:tc>
          <w:tcPr>
            <w:tcW w:w="834" w:type="pct"/>
          </w:tcPr>
          <w:p w14:paraId="5B2ED018" w14:textId="34DC09CB"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c>
          <w:tcPr>
            <w:tcW w:w="833" w:type="pct"/>
          </w:tcPr>
          <w:p w14:paraId="2DF20C13" w14:textId="78708E54"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c>
          <w:tcPr>
            <w:tcW w:w="833" w:type="pct"/>
          </w:tcPr>
          <w:p w14:paraId="39C60933" w14:textId="111127B3" w:rsidR="00674239" w:rsidRPr="004D22A8" w:rsidRDefault="00674239" w:rsidP="00674239">
            <w:pPr>
              <w:pStyle w:val="TableText"/>
              <w:rPr>
                <w:rFonts w:ascii="Calibri" w:hAnsi="Calibri" w:cs="Calibri"/>
                <w:szCs w:val="18"/>
              </w:rPr>
            </w:pPr>
            <w:r w:rsidRPr="004D22A8">
              <w:rPr>
                <w:rFonts w:ascii="Calibri" w:hAnsi="Calibri" w:cs="Calibri"/>
                <w:szCs w:val="18"/>
              </w:rPr>
              <w:t>&gt;2200</w:t>
            </w:r>
          </w:p>
        </w:tc>
      </w:tr>
    </w:tbl>
    <w:p w14:paraId="0154B971" w14:textId="5E37311C" w:rsidR="0049413E" w:rsidRDefault="0049413E" w:rsidP="0049413E">
      <w:pPr>
        <w:pStyle w:val="Note"/>
        <w:rPr>
          <w:rFonts w:eastAsia="DengXian Light"/>
        </w:rPr>
      </w:pPr>
      <w:r w:rsidRPr="0049413E">
        <w:rPr>
          <w:rFonts w:eastAsia="Calibri"/>
          <w:b/>
          <w:bCs/>
        </w:rPr>
        <w:t>Notes for Table 2:</w:t>
      </w:r>
      <w:r>
        <w:rPr>
          <w:rFonts w:eastAsia="Calibri"/>
        </w:rPr>
        <w:t xml:space="preserve"> </w:t>
      </w:r>
      <w:r w:rsidRPr="000C4D3A">
        <w:rPr>
          <w:rFonts w:eastAsia="Calibri"/>
        </w:rPr>
        <w:t>Approximate year</w:t>
      </w:r>
      <w:r w:rsidR="0017085C">
        <w:rPr>
          <w:rFonts w:eastAsia="Calibri"/>
        </w:rPr>
        <w:t xml:space="preserve"> (to the nearest five-year value)</w:t>
      </w:r>
      <w:r w:rsidR="006F1827">
        <w:rPr>
          <w:rFonts w:eastAsia="Calibri"/>
        </w:rPr>
        <w:t xml:space="preserve"> </w:t>
      </w:r>
      <w:r w:rsidR="006F1827" w:rsidRPr="002A7E81">
        <w:rPr>
          <w:rFonts w:eastAsia="Calibri"/>
        </w:rPr>
        <w:t xml:space="preserve">when </w:t>
      </w:r>
      <w:r w:rsidR="0017085C">
        <w:rPr>
          <w:rFonts w:eastAsia="Calibri"/>
        </w:rPr>
        <w:t>each</w:t>
      </w:r>
      <w:r w:rsidR="006F1827" w:rsidRPr="002A7E81">
        <w:rPr>
          <w:rFonts w:eastAsia="Calibri"/>
        </w:rPr>
        <w:t xml:space="preserve"> national sea-level rise increment could be reached</w:t>
      </w:r>
      <w:r w:rsidRPr="006F1827" w:rsidDel="006F1827">
        <w:rPr>
          <w:rFonts w:eastAsia="Calibri"/>
        </w:rPr>
        <w:t>,</w:t>
      </w:r>
      <w:r w:rsidR="006F1827">
        <w:rPr>
          <w:rFonts w:eastAsia="Calibri"/>
        </w:rPr>
        <w:t xml:space="preserve"> under the </w:t>
      </w:r>
      <w:r w:rsidRPr="000C4D3A">
        <w:rPr>
          <w:rFonts w:eastAsia="Calibri"/>
        </w:rPr>
        <w:t>“medium confidence” sea-level rise projections,</w:t>
      </w:r>
      <w:r w:rsidRPr="000C4D3A" w:rsidDel="0017085C">
        <w:rPr>
          <w:rFonts w:eastAsia="Calibri"/>
        </w:rPr>
        <w:t xml:space="preserve"> </w:t>
      </w:r>
      <w:r w:rsidRPr="000C4D3A">
        <w:rPr>
          <w:rFonts w:eastAsia="Calibri"/>
        </w:rPr>
        <w:t>with increments relative to a 1995–2014 baseline (midpoint 2005). Excludes any regional</w:t>
      </w:r>
      <w:r w:rsidR="0017085C">
        <w:rPr>
          <w:rFonts w:eastAsia="Calibri"/>
        </w:rPr>
        <w:t xml:space="preserve"> and </w:t>
      </w:r>
      <w:r w:rsidRPr="000C4D3A">
        <w:rPr>
          <w:rFonts w:eastAsia="Calibri"/>
        </w:rPr>
        <w:t xml:space="preserve">local factors including VLM and the “low confidence” projections. Where VLM is significant, use the </w:t>
      </w:r>
      <w:proofErr w:type="spellStart"/>
      <w:r w:rsidRPr="000C4D3A">
        <w:rPr>
          <w:rFonts w:eastAsia="Calibri"/>
        </w:rPr>
        <w:t>Takiwā</w:t>
      </w:r>
      <w:proofErr w:type="spellEnd"/>
      <w:r w:rsidRPr="000C4D3A">
        <w:rPr>
          <w:rFonts w:eastAsia="Calibri"/>
        </w:rPr>
        <w:t xml:space="preserve"> maps and downloaded datasets to </w:t>
      </w:r>
      <w:r w:rsidR="0017085C">
        <w:rPr>
          <w:rFonts w:eastAsia="Calibri"/>
        </w:rPr>
        <w:t>create</w:t>
      </w:r>
      <w:r w:rsidR="0017085C" w:rsidRPr="000C4D3A">
        <w:rPr>
          <w:rFonts w:eastAsia="Calibri"/>
        </w:rPr>
        <w:t xml:space="preserve"> </w:t>
      </w:r>
      <w:r w:rsidRPr="000C4D3A">
        <w:rPr>
          <w:rFonts w:eastAsia="Calibri"/>
        </w:rPr>
        <w:t xml:space="preserve">a similar </w:t>
      </w:r>
      <w:r w:rsidR="0017085C">
        <w:rPr>
          <w:rFonts w:eastAsia="Calibri"/>
        </w:rPr>
        <w:t>t</w:t>
      </w:r>
      <w:r w:rsidRPr="000C4D3A">
        <w:rPr>
          <w:rFonts w:eastAsia="Calibri"/>
        </w:rPr>
        <w:t xml:space="preserve">able. </w:t>
      </w:r>
    </w:p>
    <w:p w14:paraId="1218F678" w14:textId="2C55996C" w:rsidR="00674239" w:rsidRPr="00674239" w:rsidRDefault="00674239" w:rsidP="003D7BC0">
      <w:pPr>
        <w:pStyle w:val="Heading3"/>
        <w:spacing w:after="240"/>
        <w:rPr>
          <w:rFonts w:eastAsia="DengXian Light"/>
        </w:rPr>
      </w:pPr>
      <w:bookmarkStart w:id="40" w:name="_Toc109397582"/>
      <w:bookmarkStart w:id="41" w:name="_Toc109809084"/>
      <w:r w:rsidRPr="00674239">
        <w:rPr>
          <w:rFonts w:eastAsia="DengXian Light"/>
        </w:rPr>
        <w:t>Recommended use of the new sea-level rise projections</w:t>
      </w:r>
      <w:bookmarkEnd w:id="40"/>
      <w:bookmarkEnd w:id="41"/>
    </w:p>
    <w:p w14:paraId="62B419CE" w14:textId="138572D2" w:rsidR="00674239" w:rsidRDefault="00674239" w:rsidP="00674239">
      <w:pPr>
        <w:spacing w:before="0" w:after="160" w:line="259" w:lineRule="auto"/>
        <w:jc w:val="left"/>
        <w:rPr>
          <w:rFonts w:eastAsia="Calibri" w:cs="Arial"/>
        </w:rPr>
      </w:pPr>
      <w:r w:rsidRPr="00674239">
        <w:rPr>
          <w:rFonts w:eastAsia="Calibri" w:cs="Arial"/>
        </w:rPr>
        <w:t xml:space="preserve">Recommendations for use of the updated RSLR projections are tailored, depending </w:t>
      </w:r>
      <w:r w:rsidR="009051CD">
        <w:rPr>
          <w:rFonts w:eastAsia="Calibri" w:cs="Arial"/>
        </w:rPr>
        <w:t>on how close</w:t>
      </w:r>
      <w:r w:rsidRPr="00674239">
        <w:rPr>
          <w:rFonts w:eastAsia="Calibri" w:cs="Arial"/>
        </w:rPr>
        <w:t xml:space="preserve"> the project or resource-management plan is towards completion or becoming operative.</w:t>
      </w:r>
    </w:p>
    <w:p w14:paraId="01929B2A" w14:textId="24012835" w:rsidR="004211B4" w:rsidRPr="00674239" w:rsidRDefault="004211B4" w:rsidP="004D32BC">
      <w:pPr>
        <w:pStyle w:val="Heading4"/>
        <w:rPr>
          <w:rFonts w:cs="Arial"/>
        </w:rPr>
      </w:pPr>
      <w:r w:rsidRPr="00674239">
        <w:t xml:space="preserve">For </w:t>
      </w:r>
      <w:r w:rsidRPr="003F3CCC">
        <w:t>new or early stages</w:t>
      </w:r>
      <w:r w:rsidRPr="00674239">
        <w:t xml:space="preserve"> of a project or plan (including plan reviews and changes)</w:t>
      </w:r>
      <w:r>
        <w:t>:</w:t>
      </w:r>
    </w:p>
    <w:p w14:paraId="18096B6C" w14:textId="5ACCC7D3" w:rsidR="00674239" w:rsidRPr="009051CD" w:rsidRDefault="009051CD" w:rsidP="00E3626F">
      <w:pPr>
        <w:numPr>
          <w:ilvl w:val="0"/>
          <w:numId w:val="42"/>
        </w:numPr>
        <w:spacing w:line="240" w:lineRule="auto"/>
        <w:ind w:left="360"/>
        <w:jc w:val="left"/>
        <w:rPr>
          <w:rFonts w:eastAsia="Calibri" w:cs="Times New Roman"/>
        </w:rPr>
      </w:pPr>
      <w:r>
        <w:rPr>
          <w:rFonts w:eastAsia="Calibri" w:cs="Times New Roman"/>
        </w:rPr>
        <w:t>use</w:t>
      </w:r>
      <w:r w:rsidR="00674239" w:rsidRPr="00674239">
        <w:rPr>
          <w:rFonts w:eastAsia="Calibri" w:cs="Times New Roman"/>
        </w:rPr>
        <w:t xml:space="preserve"> the </w:t>
      </w:r>
      <w:r w:rsidR="00674239" w:rsidRPr="002704C0">
        <w:rPr>
          <w:rFonts w:eastAsia="Calibri" w:cs="Times New Roman"/>
        </w:rPr>
        <w:t>updated</w:t>
      </w:r>
      <w:r w:rsidR="00674239" w:rsidRPr="00674239">
        <w:rPr>
          <w:rFonts w:eastAsia="Calibri" w:cs="Times New Roman"/>
        </w:rPr>
        <w:t xml:space="preserve"> suite of </w:t>
      </w:r>
      <w:r>
        <w:rPr>
          <w:rFonts w:eastAsia="Calibri" w:cs="Times New Roman"/>
        </w:rPr>
        <w:t>five</w:t>
      </w:r>
      <w:r w:rsidR="00674239" w:rsidRPr="00674239">
        <w:rPr>
          <w:rFonts w:eastAsia="Calibri" w:cs="Times New Roman"/>
        </w:rPr>
        <w:t xml:space="preserve"> “medium</w:t>
      </w:r>
      <w:r w:rsidR="00854B0E">
        <w:rPr>
          <w:rFonts w:eastAsia="Calibri" w:cs="Times New Roman"/>
        </w:rPr>
        <w:t xml:space="preserve"> </w:t>
      </w:r>
      <w:r w:rsidR="00674239" w:rsidRPr="00674239">
        <w:rPr>
          <w:rFonts w:eastAsia="Calibri" w:cs="Times New Roman"/>
        </w:rPr>
        <w:t>confidence” RSLR scenarios (including VLM) to 2150</w:t>
      </w:r>
      <w:r>
        <w:rPr>
          <w:rFonts w:eastAsia="Calibri" w:cs="Times New Roman"/>
        </w:rPr>
        <w:t xml:space="preserve"> </w:t>
      </w:r>
      <w:r w:rsidR="00674239" w:rsidRPr="00674239">
        <w:rPr>
          <w:rFonts w:eastAsia="Calibri" w:cs="Times New Roman"/>
        </w:rPr>
        <w:t xml:space="preserve">from the </w:t>
      </w:r>
      <w:proofErr w:type="spellStart"/>
      <w:r w:rsidR="00674239" w:rsidRPr="00674239">
        <w:rPr>
          <w:rFonts w:eastAsia="Calibri" w:cs="Times New Roman"/>
        </w:rPr>
        <w:t>Takiwā</w:t>
      </w:r>
      <w:proofErr w:type="spellEnd"/>
      <w:r w:rsidR="00674239" w:rsidRPr="00674239">
        <w:rPr>
          <w:rFonts w:eastAsia="Calibri" w:cs="Times New Roman"/>
        </w:rPr>
        <w:t xml:space="preserve"> platform for your area or region. These </w:t>
      </w:r>
      <w:r>
        <w:rPr>
          <w:rFonts w:eastAsia="Calibri" w:cs="Times New Roman"/>
        </w:rPr>
        <w:t>five</w:t>
      </w:r>
      <w:r w:rsidR="00674239" w:rsidRPr="00674239">
        <w:rPr>
          <w:rFonts w:eastAsia="Calibri" w:cs="Times New Roman"/>
        </w:rPr>
        <w:t xml:space="preserve"> scenarios (or a subset to cover the range) should be used to undertake risk/vulnerability assessments (</w:t>
      </w:r>
      <w:r w:rsidR="005E637B">
        <w:rPr>
          <w:rFonts w:eastAsia="Calibri" w:cs="Times New Roman"/>
        </w:rPr>
        <w:t>c</w:t>
      </w:r>
      <w:r w:rsidR="00674239" w:rsidRPr="00674239">
        <w:rPr>
          <w:rFonts w:eastAsia="Calibri" w:cs="Times New Roman"/>
        </w:rPr>
        <w:t>hapter 8</w:t>
      </w:r>
      <w:r>
        <w:rPr>
          <w:rFonts w:eastAsia="Calibri" w:cs="Times New Roman"/>
        </w:rPr>
        <w:t xml:space="preserve"> in</w:t>
      </w:r>
      <w:r w:rsidR="00674239" w:rsidRPr="00674239">
        <w:rPr>
          <w:rFonts w:eastAsia="Calibri" w:cs="Times New Roman"/>
        </w:rPr>
        <w:t xml:space="preserve"> </w:t>
      </w:r>
      <w:r w:rsidR="00854A66">
        <w:rPr>
          <w:rFonts w:eastAsia="Calibri" w:cs="Times New Roman"/>
        </w:rPr>
        <w:t>Ministry for the Environment</w:t>
      </w:r>
      <w:r w:rsidR="00674239" w:rsidRPr="00674239">
        <w:rPr>
          <w:rFonts w:eastAsia="Calibri" w:cs="Times New Roman"/>
        </w:rPr>
        <w:t xml:space="preserve">, 2017) and </w:t>
      </w:r>
      <w:r>
        <w:rPr>
          <w:rFonts w:eastAsia="Calibri" w:cs="Times New Roman"/>
        </w:rPr>
        <w:t xml:space="preserve">to </w:t>
      </w:r>
      <w:r w:rsidR="00674239" w:rsidRPr="00674239">
        <w:rPr>
          <w:rFonts w:eastAsia="Calibri" w:cs="Times New Roman"/>
        </w:rPr>
        <w:t xml:space="preserve">stress-test proposals, strategies, project designs, policies, rules, statutory coastal hazard overlays and emerging spatial plans. </w:t>
      </w:r>
    </w:p>
    <w:p w14:paraId="68A43D1F" w14:textId="67F6C3E3" w:rsidR="00674239" w:rsidRPr="00674239" w:rsidRDefault="00674239" w:rsidP="00E3626F">
      <w:pPr>
        <w:spacing w:line="240" w:lineRule="auto"/>
        <w:ind w:left="360"/>
        <w:jc w:val="left"/>
        <w:rPr>
          <w:rFonts w:eastAsia="Calibri" w:cs="Times New Roman"/>
        </w:rPr>
      </w:pPr>
      <w:r w:rsidRPr="00674239">
        <w:rPr>
          <w:rFonts w:eastAsia="Calibri" w:cs="Times New Roman"/>
        </w:rPr>
        <w:t>This stress</w:t>
      </w:r>
      <w:r w:rsidR="009051CD">
        <w:rPr>
          <w:rFonts w:eastAsia="Calibri" w:cs="Times New Roman"/>
        </w:rPr>
        <w:t>-</w:t>
      </w:r>
      <w:r w:rsidRPr="00674239">
        <w:rPr>
          <w:rFonts w:eastAsia="Calibri" w:cs="Times New Roman"/>
        </w:rPr>
        <w:t>testing and evaluation</w:t>
      </w:r>
      <w:r w:rsidR="00683AB7">
        <w:rPr>
          <w:rFonts w:eastAsia="Calibri" w:cs="Times New Roman"/>
        </w:rPr>
        <w:t>, especially considering the range of lowest to highest scenarios,</w:t>
      </w:r>
      <w:r w:rsidRPr="00674239">
        <w:rPr>
          <w:rFonts w:eastAsia="Calibri" w:cs="Times New Roman"/>
        </w:rPr>
        <w:t xml:space="preserve"> will indicate how sensitive project proposals or DAPP pathways are across their design life or their degree of permanence (eg, subdivisions), to </w:t>
      </w:r>
      <w:r w:rsidRPr="002704C0">
        <w:rPr>
          <w:rFonts w:eastAsia="Calibri" w:cs="Times New Roman"/>
        </w:rPr>
        <w:t>local adaptation thresholds</w:t>
      </w:r>
      <w:r w:rsidRPr="00674239">
        <w:rPr>
          <w:rFonts w:eastAsia="Calibri" w:cs="Times New Roman"/>
        </w:rPr>
        <w:t xml:space="preserve">. This enables </w:t>
      </w:r>
      <w:r w:rsidR="004A0666">
        <w:rPr>
          <w:rFonts w:eastAsia="Calibri" w:cs="Times New Roman"/>
        </w:rPr>
        <w:t>the</w:t>
      </w:r>
      <w:r w:rsidRPr="00674239">
        <w:rPr>
          <w:rFonts w:eastAsia="Calibri" w:cs="Times New Roman"/>
        </w:rPr>
        <w:t xml:space="preserve"> adjustment or adapt</w:t>
      </w:r>
      <w:r w:rsidR="004A0666">
        <w:rPr>
          <w:rFonts w:eastAsia="Calibri" w:cs="Times New Roman"/>
        </w:rPr>
        <w:t>ation of any proposal</w:t>
      </w:r>
      <w:r w:rsidRPr="00674239">
        <w:rPr>
          <w:rFonts w:eastAsia="Calibri" w:cs="Times New Roman"/>
        </w:rPr>
        <w:t xml:space="preserve"> in the future</w:t>
      </w:r>
      <w:r w:rsidR="004A0666">
        <w:rPr>
          <w:rFonts w:eastAsia="Calibri" w:cs="Times New Roman"/>
        </w:rPr>
        <w:t>,</w:t>
      </w:r>
      <w:r w:rsidRPr="00674239">
        <w:rPr>
          <w:rFonts w:eastAsia="Calibri" w:cs="Times New Roman"/>
        </w:rPr>
        <w:t xml:space="preserve"> without lock</w:t>
      </w:r>
      <w:r w:rsidR="004A0666">
        <w:rPr>
          <w:rFonts w:eastAsia="Calibri" w:cs="Times New Roman"/>
        </w:rPr>
        <w:t xml:space="preserve">ing </w:t>
      </w:r>
      <w:r w:rsidRPr="00674239">
        <w:rPr>
          <w:rFonts w:eastAsia="Calibri" w:cs="Times New Roman"/>
        </w:rPr>
        <w:t>in the asset or people</w:t>
      </w:r>
      <w:r w:rsidR="004A0666">
        <w:rPr>
          <w:rFonts w:eastAsia="Calibri" w:cs="Times New Roman"/>
        </w:rPr>
        <w:t>. For example, it may</w:t>
      </w:r>
      <w:r w:rsidRPr="00674239" w:rsidDel="004A0666">
        <w:rPr>
          <w:rFonts w:eastAsia="Calibri" w:cs="Times New Roman"/>
        </w:rPr>
        <w:t xml:space="preserve"> </w:t>
      </w:r>
      <w:r w:rsidRPr="00674239">
        <w:rPr>
          <w:rFonts w:eastAsia="Calibri" w:cs="Times New Roman"/>
        </w:rPr>
        <w:t>ensur</w:t>
      </w:r>
      <w:r w:rsidR="004A0666">
        <w:rPr>
          <w:rFonts w:eastAsia="Calibri" w:cs="Times New Roman"/>
        </w:rPr>
        <w:t>e</w:t>
      </w:r>
      <w:r w:rsidRPr="00674239">
        <w:rPr>
          <w:rFonts w:eastAsia="Calibri" w:cs="Times New Roman"/>
        </w:rPr>
        <w:t xml:space="preserve"> areas earmarked for intensification under the N</w:t>
      </w:r>
      <w:r w:rsidR="00592094">
        <w:rPr>
          <w:rFonts w:eastAsia="Calibri" w:cs="Times New Roman"/>
        </w:rPr>
        <w:t xml:space="preserve">ational </w:t>
      </w:r>
      <w:r w:rsidRPr="00674239">
        <w:rPr>
          <w:rFonts w:eastAsia="Calibri" w:cs="Times New Roman"/>
        </w:rPr>
        <w:t>P</w:t>
      </w:r>
      <w:r w:rsidR="00592094">
        <w:rPr>
          <w:rFonts w:eastAsia="Calibri" w:cs="Times New Roman"/>
        </w:rPr>
        <w:t xml:space="preserve">olicy </w:t>
      </w:r>
      <w:r w:rsidRPr="00674239">
        <w:rPr>
          <w:rFonts w:eastAsia="Calibri" w:cs="Times New Roman"/>
        </w:rPr>
        <w:t>S</w:t>
      </w:r>
      <w:r w:rsidR="00592094">
        <w:rPr>
          <w:rFonts w:eastAsia="Calibri" w:cs="Times New Roman"/>
        </w:rPr>
        <w:t xml:space="preserve">tatement </w:t>
      </w:r>
      <w:r w:rsidR="00A24079">
        <w:rPr>
          <w:rFonts w:eastAsia="Calibri" w:cs="Times New Roman"/>
        </w:rPr>
        <w:t>on</w:t>
      </w:r>
      <w:r w:rsidR="00592094">
        <w:rPr>
          <w:rFonts w:eastAsia="Calibri" w:cs="Times New Roman"/>
        </w:rPr>
        <w:t xml:space="preserve"> </w:t>
      </w:r>
      <w:r w:rsidRPr="00674239">
        <w:rPr>
          <w:rFonts w:eastAsia="Calibri" w:cs="Times New Roman"/>
        </w:rPr>
        <w:t xml:space="preserve">Urban Development (NPS-UD) are not potentially affected by any scenario over the lifetime of the development. </w:t>
      </w:r>
    </w:p>
    <w:p w14:paraId="78288942" w14:textId="61E1CA4B" w:rsidR="00674239" w:rsidRDefault="00674239" w:rsidP="00E3626F">
      <w:pPr>
        <w:spacing w:line="240" w:lineRule="auto"/>
        <w:ind w:left="360"/>
        <w:jc w:val="left"/>
        <w:rPr>
          <w:rFonts w:eastAsia="Calibri" w:cs="Times New Roman"/>
        </w:rPr>
      </w:pPr>
      <w:r w:rsidRPr="00674239">
        <w:rPr>
          <w:rFonts w:eastAsia="Calibri" w:cs="Times New Roman"/>
        </w:rPr>
        <w:t>For other risk-sensitive projects</w:t>
      </w:r>
      <w:r w:rsidR="00747AB5">
        <w:rPr>
          <w:rFonts w:eastAsia="Calibri" w:cs="Times New Roman"/>
        </w:rPr>
        <w:t xml:space="preserve"> (</w:t>
      </w:r>
      <w:r w:rsidRPr="00674239">
        <w:rPr>
          <w:rFonts w:eastAsia="Calibri" w:cs="Times New Roman"/>
        </w:rPr>
        <w:t>such as new subdivision</w:t>
      </w:r>
      <w:r w:rsidR="004A0666">
        <w:rPr>
          <w:rFonts w:eastAsia="Calibri" w:cs="Times New Roman"/>
        </w:rPr>
        <w:t>s</w:t>
      </w:r>
      <w:r w:rsidR="00747AB5">
        <w:rPr>
          <w:rFonts w:eastAsia="Calibri" w:cs="Times New Roman"/>
        </w:rPr>
        <w:t>,</w:t>
      </w:r>
      <w:r w:rsidRPr="00674239">
        <w:rPr>
          <w:rFonts w:eastAsia="Calibri" w:cs="Times New Roman"/>
        </w:rPr>
        <w:t xml:space="preserve"> long-lived infrastructure </w:t>
      </w:r>
      <w:r w:rsidR="00747AB5">
        <w:rPr>
          <w:rFonts w:eastAsia="Calibri" w:cs="Times New Roman"/>
        </w:rPr>
        <w:t>like</w:t>
      </w:r>
      <w:r w:rsidRPr="00674239">
        <w:rPr>
          <w:rFonts w:eastAsia="Calibri" w:cs="Times New Roman"/>
        </w:rPr>
        <w:t xml:space="preserve"> a new or major upgrade of an airport or </w:t>
      </w:r>
      <w:proofErr w:type="gramStart"/>
      <w:r w:rsidRPr="00674239">
        <w:rPr>
          <w:rFonts w:eastAsia="Calibri" w:cs="Times New Roman"/>
        </w:rPr>
        <w:t>port</w:t>
      </w:r>
      <w:r w:rsidR="00592094">
        <w:rPr>
          <w:rFonts w:eastAsia="Calibri" w:cs="Times New Roman"/>
        </w:rPr>
        <w:t>,</w:t>
      </w:r>
      <w:r w:rsidRPr="00674239">
        <w:rPr>
          <w:rFonts w:eastAsia="Calibri" w:cs="Times New Roman"/>
        </w:rPr>
        <w:t xml:space="preserve"> or</w:t>
      </w:r>
      <w:proofErr w:type="gramEnd"/>
      <w:r w:rsidRPr="00674239">
        <w:rPr>
          <w:rFonts w:eastAsia="Calibri" w:cs="Times New Roman"/>
        </w:rPr>
        <w:t xml:space="preserve"> moving a vulnerable cultural site </w:t>
      </w:r>
      <w:r w:rsidR="00747AB5">
        <w:rPr>
          <w:rFonts w:eastAsia="Calibri" w:cs="Times New Roman"/>
        </w:rPr>
        <w:t>like an</w:t>
      </w:r>
      <w:r w:rsidRPr="00674239">
        <w:rPr>
          <w:rFonts w:eastAsia="Calibri" w:cs="Times New Roman"/>
        </w:rPr>
        <w:t xml:space="preserve"> urupā</w:t>
      </w:r>
      <w:r w:rsidR="00747AB5">
        <w:rPr>
          <w:rFonts w:eastAsia="Calibri" w:cs="Times New Roman"/>
        </w:rPr>
        <w:t>)</w:t>
      </w:r>
      <w:r w:rsidRPr="00674239">
        <w:rPr>
          <w:rFonts w:eastAsia="Calibri" w:cs="Times New Roman"/>
        </w:rPr>
        <w:t xml:space="preserve">, </w:t>
      </w:r>
      <w:r w:rsidR="00747AB5">
        <w:rPr>
          <w:rFonts w:eastAsia="Calibri" w:cs="Times New Roman"/>
        </w:rPr>
        <w:t>we</w:t>
      </w:r>
      <w:r w:rsidRPr="00674239">
        <w:rPr>
          <w:rFonts w:eastAsia="Calibri" w:cs="Times New Roman"/>
        </w:rPr>
        <w:t xml:space="preserve"> recommend</w:t>
      </w:r>
      <w:r w:rsidR="00747AB5">
        <w:rPr>
          <w:rFonts w:eastAsia="Calibri" w:cs="Times New Roman"/>
        </w:rPr>
        <w:t xml:space="preserve"> using</w:t>
      </w:r>
      <w:r w:rsidRPr="00674239">
        <w:rPr>
          <w:rFonts w:eastAsia="Calibri" w:cs="Times New Roman"/>
        </w:rPr>
        <w:t xml:space="preserve"> additional “low</w:t>
      </w:r>
      <w:r w:rsidR="00E3626F">
        <w:rPr>
          <w:rFonts w:eastAsia="Calibri" w:cs="Times New Roman"/>
        </w:rPr>
        <w:t xml:space="preserve"> </w:t>
      </w:r>
      <w:r w:rsidRPr="00674239">
        <w:rPr>
          <w:rFonts w:eastAsia="Calibri" w:cs="Times New Roman"/>
        </w:rPr>
        <w:t>confidence” median scenarios beyond 2150 as a check, in conjunction with the main assessment using the “medium</w:t>
      </w:r>
      <w:r w:rsidR="00E3626F">
        <w:rPr>
          <w:rFonts w:eastAsia="Calibri" w:cs="Times New Roman"/>
        </w:rPr>
        <w:t xml:space="preserve"> </w:t>
      </w:r>
      <w:r w:rsidRPr="00674239">
        <w:rPr>
          <w:rFonts w:eastAsia="Calibri" w:cs="Times New Roman"/>
        </w:rPr>
        <w:t xml:space="preserve">confidence” suite. This will enable evaluation of the proposal or option under a range of possible coastal futures and evaluate the sensitivity and robustness across their lifetimes or presumed permanence </w:t>
      </w:r>
      <w:r w:rsidR="007C74C8">
        <w:rPr>
          <w:rFonts w:eastAsia="Calibri" w:cs="Times New Roman"/>
        </w:rPr>
        <w:t>(</w:t>
      </w:r>
      <w:r w:rsidRPr="00674239">
        <w:rPr>
          <w:rFonts w:eastAsia="Calibri" w:cs="Times New Roman"/>
        </w:rPr>
        <w:t>Policy 24(g)</w:t>
      </w:r>
      <w:r w:rsidR="00747AB5">
        <w:rPr>
          <w:rFonts w:eastAsia="Calibri" w:cs="Times New Roman"/>
        </w:rPr>
        <w:t xml:space="preserve"> in</w:t>
      </w:r>
      <w:r w:rsidRPr="00674239">
        <w:rPr>
          <w:rFonts w:eastAsia="Calibri" w:cs="Times New Roman"/>
        </w:rPr>
        <w:t xml:space="preserve"> </w:t>
      </w:r>
      <w:r w:rsidR="007C74C8">
        <w:rPr>
          <w:rFonts w:eastAsia="Calibri" w:cs="Times New Roman"/>
        </w:rPr>
        <w:t xml:space="preserve">the </w:t>
      </w:r>
      <w:r w:rsidR="007C74C8" w:rsidRPr="007C74C8">
        <w:rPr>
          <w:rFonts w:eastAsia="Calibri" w:cs="Times New Roman"/>
        </w:rPr>
        <w:t xml:space="preserve">New Zealand Coastal Policy Statement </w:t>
      </w:r>
      <w:r w:rsidR="007C74C8">
        <w:rPr>
          <w:rFonts w:eastAsia="Calibri" w:cs="Times New Roman"/>
        </w:rPr>
        <w:t>(</w:t>
      </w:r>
      <w:r w:rsidRPr="00674239">
        <w:rPr>
          <w:rFonts w:eastAsia="Calibri" w:cs="Times New Roman"/>
        </w:rPr>
        <w:t>NZCPS</w:t>
      </w:r>
      <w:r w:rsidR="007C74C8">
        <w:rPr>
          <w:rFonts w:eastAsia="Calibri" w:cs="Times New Roman"/>
        </w:rPr>
        <w:t>))</w:t>
      </w:r>
      <w:r w:rsidRPr="00674239">
        <w:rPr>
          <w:rFonts w:eastAsia="Calibri" w:cs="Times New Roman"/>
        </w:rPr>
        <w:t>.</w:t>
      </w:r>
    </w:p>
    <w:p w14:paraId="2E1A8D8B" w14:textId="2A241B04" w:rsidR="004211B4" w:rsidRPr="00674239" w:rsidRDefault="004211B4" w:rsidP="004D32BC">
      <w:pPr>
        <w:pStyle w:val="Heading4"/>
      </w:pPr>
      <w:r>
        <w:t>For</w:t>
      </w:r>
      <w:r w:rsidRPr="00674239">
        <w:t xml:space="preserve"> the </w:t>
      </w:r>
      <w:r w:rsidRPr="003F3CCC">
        <w:t>later stages</w:t>
      </w:r>
      <w:r w:rsidRPr="00674239">
        <w:t xml:space="preserve"> of a project approval or resource-management plan development</w:t>
      </w:r>
      <w:r>
        <w:t>:</w:t>
      </w:r>
    </w:p>
    <w:p w14:paraId="2D5A6502" w14:textId="2C1D842E" w:rsidR="00747AB5" w:rsidRDefault="00747AB5" w:rsidP="00E3626F">
      <w:pPr>
        <w:numPr>
          <w:ilvl w:val="0"/>
          <w:numId w:val="42"/>
        </w:numPr>
        <w:spacing w:line="240" w:lineRule="auto"/>
        <w:ind w:left="360"/>
        <w:jc w:val="left"/>
        <w:rPr>
          <w:rFonts w:eastAsia="Calibri" w:cs="Times New Roman"/>
        </w:rPr>
      </w:pPr>
      <w:r>
        <w:rPr>
          <w:rFonts w:eastAsia="Calibri" w:cs="Times New Roman"/>
        </w:rPr>
        <w:t>we</w:t>
      </w:r>
      <w:r w:rsidR="00674239" w:rsidRPr="00674239">
        <w:rPr>
          <w:rFonts w:eastAsia="Calibri" w:cs="Times New Roman"/>
        </w:rPr>
        <w:t xml:space="preserve"> recommend</w:t>
      </w:r>
      <w:r w:rsidR="00674239" w:rsidRPr="00674239" w:rsidDel="00747AB5">
        <w:rPr>
          <w:rFonts w:eastAsia="Calibri" w:cs="Times New Roman"/>
        </w:rPr>
        <w:t xml:space="preserve"> </w:t>
      </w:r>
      <w:r w:rsidR="00674239" w:rsidRPr="00674239">
        <w:rPr>
          <w:rFonts w:eastAsia="Calibri" w:cs="Times New Roman"/>
        </w:rPr>
        <w:t>focus</w:t>
      </w:r>
      <w:r>
        <w:rPr>
          <w:rFonts w:eastAsia="Calibri" w:cs="Times New Roman"/>
        </w:rPr>
        <w:t>ing</w:t>
      </w:r>
      <w:r w:rsidR="00674239" w:rsidRPr="00674239" w:rsidDel="00747AB5">
        <w:rPr>
          <w:rFonts w:eastAsia="Calibri" w:cs="Times New Roman"/>
        </w:rPr>
        <w:t xml:space="preserve"> </w:t>
      </w:r>
      <w:r w:rsidR="00674239" w:rsidRPr="00674239">
        <w:rPr>
          <w:rFonts w:eastAsia="Calibri" w:cs="Times New Roman"/>
        </w:rPr>
        <w:t xml:space="preserve">on stress-testing the elements related to RSLR </w:t>
      </w:r>
      <w:r>
        <w:rPr>
          <w:rFonts w:eastAsia="Calibri" w:cs="Times New Roman"/>
        </w:rPr>
        <w:t xml:space="preserve">that </w:t>
      </w:r>
      <w:r w:rsidR="00674239" w:rsidRPr="00674239">
        <w:rPr>
          <w:rFonts w:eastAsia="Calibri" w:cs="Times New Roman"/>
        </w:rPr>
        <w:t>aris</w:t>
      </w:r>
      <w:r>
        <w:rPr>
          <w:rFonts w:eastAsia="Calibri" w:cs="Times New Roman"/>
        </w:rPr>
        <w:t>e</w:t>
      </w:r>
      <w:r w:rsidR="00674239" w:rsidRPr="00674239">
        <w:rPr>
          <w:rFonts w:eastAsia="Calibri" w:cs="Times New Roman"/>
        </w:rPr>
        <w:t xml:space="preserve"> from the new VLM information </w:t>
      </w:r>
      <w:r>
        <w:rPr>
          <w:rFonts w:eastAsia="Calibri" w:cs="Times New Roman"/>
        </w:rPr>
        <w:t>in</w:t>
      </w:r>
      <w:r w:rsidRPr="00674239">
        <w:rPr>
          <w:rFonts w:eastAsia="Calibri" w:cs="Times New Roman"/>
        </w:rPr>
        <w:t xml:space="preserve"> </w:t>
      </w:r>
      <w:r w:rsidR="00674239" w:rsidRPr="00674239">
        <w:rPr>
          <w:rFonts w:eastAsia="Calibri" w:cs="Times New Roman"/>
        </w:rPr>
        <w:t xml:space="preserve">the </w:t>
      </w:r>
      <w:proofErr w:type="spellStart"/>
      <w:r w:rsidR="00674239" w:rsidRPr="00674239">
        <w:rPr>
          <w:rFonts w:eastAsia="Calibri" w:cs="Times New Roman"/>
        </w:rPr>
        <w:t>Takiwā</w:t>
      </w:r>
      <w:proofErr w:type="spellEnd"/>
      <w:r w:rsidR="00674239" w:rsidRPr="00674239">
        <w:rPr>
          <w:rFonts w:eastAsia="Calibri" w:cs="Times New Roman"/>
        </w:rPr>
        <w:t xml:space="preserve"> platform (</w:t>
      </w:r>
      <w:hyperlink w:anchor="figure4" w:history="1">
        <w:r w:rsidRPr="00235A17">
          <w:rPr>
            <w:rStyle w:val="Hyperlink"/>
            <w:rFonts w:eastAsia="Calibri" w:cs="Times New Roman"/>
          </w:rPr>
          <w:t>f</w:t>
        </w:r>
        <w:r w:rsidR="00674239" w:rsidRPr="00235A17">
          <w:rPr>
            <w:rStyle w:val="Hyperlink"/>
            <w:rFonts w:eastAsia="Calibri" w:cs="Times New Roman"/>
          </w:rPr>
          <w:t>igure 4</w:t>
        </w:r>
      </w:hyperlink>
      <w:r w:rsidR="00674239" w:rsidRPr="00674239">
        <w:rPr>
          <w:rFonts w:eastAsia="Calibri" w:cs="Times New Roman"/>
        </w:rPr>
        <w:t xml:space="preserve">). This may indicate subsidence, potentially leading to an adaptation threshold </w:t>
      </w:r>
      <w:r>
        <w:rPr>
          <w:rFonts w:eastAsia="Calibri" w:cs="Times New Roman"/>
        </w:rPr>
        <w:t>that is</w:t>
      </w:r>
      <w:r w:rsidRPr="00674239">
        <w:rPr>
          <w:rFonts w:eastAsia="Calibri" w:cs="Times New Roman"/>
        </w:rPr>
        <w:t xml:space="preserve"> </w:t>
      </w:r>
      <w:r w:rsidR="00674239" w:rsidRPr="00674239">
        <w:rPr>
          <w:rFonts w:eastAsia="Calibri" w:cs="Times New Roman"/>
        </w:rPr>
        <w:t xml:space="preserve">a decade or more </w:t>
      </w:r>
      <w:r w:rsidRPr="00674239">
        <w:rPr>
          <w:rFonts w:eastAsia="Calibri" w:cs="Times New Roman"/>
        </w:rPr>
        <w:t xml:space="preserve">earlier </w:t>
      </w:r>
      <w:r w:rsidR="00674239" w:rsidRPr="00674239">
        <w:rPr>
          <w:rFonts w:eastAsia="Calibri" w:cs="Times New Roman"/>
        </w:rPr>
        <w:t>(</w:t>
      </w:r>
      <w:hyperlink w:anchor="Figure5" w:history="1">
        <w:r w:rsidRPr="009B6F20">
          <w:rPr>
            <w:rStyle w:val="Hyperlink"/>
            <w:rFonts w:eastAsia="Calibri" w:cs="Times New Roman"/>
          </w:rPr>
          <w:t>f</w:t>
        </w:r>
        <w:r w:rsidR="00674239" w:rsidRPr="009B6F20">
          <w:rPr>
            <w:rStyle w:val="Hyperlink"/>
            <w:rFonts w:eastAsia="Calibri" w:cs="Times New Roman"/>
          </w:rPr>
          <w:t>igure 5</w:t>
        </w:r>
      </w:hyperlink>
      <w:r w:rsidR="00674239" w:rsidRPr="00674239">
        <w:rPr>
          <w:rFonts w:eastAsia="Calibri" w:cs="Times New Roman"/>
        </w:rPr>
        <w:t>)</w:t>
      </w:r>
      <w:r>
        <w:rPr>
          <w:rFonts w:eastAsia="Calibri" w:cs="Times New Roman"/>
        </w:rPr>
        <w:t>. This</w:t>
      </w:r>
      <w:r w:rsidR="00674239" w:rsidRPr="00674239">
        <w:rPr>
          <w:rFonts w:eastAsia="Calibri" w:cs="Times New Roman"/>
        </w:rPr>
        <w:t xml:space="preserve"> could require an adjustment of plan objectives, </w:t>
      </w:r>
      <w:proofErr w:type="gramStart"/>
      <w:r w:rsidR="00674239" w:rsidRPr="00674239">
        <w:rPr>
          <w:rFonts w:eastAsia="Calibri" w:cs="Times New Roman"/>
        </w:rPr>
        <w:t>policies</w:t>
      </w:r>
      <w:proofErr w:type="gramEnd"/>
      <w:r w:rsidR="00674239" w:rsidRPr="00674239">
        <w:rPr>
          <w:rFonts w:eastAsia="Calibri" w:cs="Times New Roman"/>
        </w:rPr>
        <w:t xml:space="preserve"> and rules</w:t>
      </w:r>
      <w:r>
        <w:rPr>
          <w:rFonts w:eastAsia="Calibri" w:cs="Times New Roman"/>
        </w:rPr>
        <w:t>,</w:t>
      </w:r>
      <w:r w:rsidR="00674239" w:rsidRPr="00674239">
        <w:rPr>
          <w:rFonts w:eastAsia="Calibri" w:cs="Times New Roman"/>
        </w:rPr>
        <w:t xml:space="preserve"> or render a specific project proposal uneconomic. </w:t>
      </w:r>
    </w:p>
    <w:p w14:paraId="5343A652" w14:textId="09C70800" w:rsidR="00674239" w:rsidRDefault="00674239" w:rsidP="00E3626F">
      <w:pPr>
        <w:spacing w:line="240" w:lineRule="auto"/>
        <w:ind w:left="360"/>
        <w:jc w:val="left"/>
        <w:rPr>
          <w:rFonts w:eastAsia="Calibri" w:cs="Times New Roman"/>
        </w:rPr>
      </w:pPr>
      <w:r w:rsidRPr="00674239">
        <w:rPr>
          <w:rFonts w:eastAsia="Calibri" w:cs="Times New Roman"/>
        </w:rPr>
        <w:t>Besides VLM considerations, a quick check should also be made using the new “medium</w:t>
      </w:r>
      <w:r w:rsidR="00E3626F">
        <w:rPr>
          <w:rFonts w:eastAsia="Calibri" w:cs="Times New Roman"/>
        </w:rPr>
        <w:t xml:space="preserve"> </w:t>
      </w:r>
      <w:r w:rsidRPr="00674239">
        <w:rPr>
          <w:rFonts w:eastAsia="Calibri" w:cs="Times New Roman"/>
        </w:rPr>
        <w:t>confidence” scenarios (without VLM</w:t>
      </w:r>
      <w:proofErr w:type="gramStart"/>
      <w:r w:rsidRPr="00674239">
        <w:rPr>
          <w:rFonts w:eastAsia="Calibri" w:cs="Times New Roman"/>
        </w:rPr>
        <w:t>)</w:t>
      </w:r>
      <w:r w:rsidR="00747AB5">
        <w:rPr>
          <w:rFonts w:eastAsia="Calibri" w:cs="Times New Roman"/>
        </w:rPr>
        <w:t>,</w:t>
      </w:r>
      <w:r w:rsidRPr="00674239">
        <w:rPr>
          <w:rFonts w:eastAsia="Calibri" w:cs="Times New Roman"/>
        </w:rPr>
        <w:t xml:space="preserve"> or</w:t>
      </w:r>
      <w:proofErr w:type="gramEnd"/>
      <w:r w:rsidRPr="00674239">
        <w:rPr>
          <w:rFonts w:eastAsia="Calibri" w:cs="Times New Roman"/>
        </w:rPr>
        <w:t xml:space="preserve"> using </w:t>
      </w:r>
      <w:hyperlink w:anchor="table1" w:history="1">
        <w:r w:rsidR="00747AB5" w:rsidRPr="00235A17">
          <w:rPr>
            <w:rStyle w:val="Hyperlink"/>
            <w:rFonts w:eastAsia="Calibri" w:cs="Times New Roman"/>
          </w:rPr>
          <w:t>t</w:t>
        </w:r>
        <w:r w:rsidRPr="00235A17">
          <w:rPr>
            <w:rStyle w:val="Hyperlink"/>
            <w:rFonts w:eastAsia="Calibri" w:cs="Times New Roman"/>
          </w:rPr>
          <w:t>ables 1 and 2</w:t>
        </w:r>
      </w:hyperlink>
      <w:r w:rsidRPr="00674239">
        <w:rPr>
          <w:rFonts w:eastAsia="Calibri" w:cs="Times New Roman"/>
        </w:rPr>
        <w:t xml:space="preserve"> above, to check that the plans, policies or designs are flexible enough to handle the slightly higher SSP sea-level rise projections arising from the IPCC AR6.</w:t>
      </w:r>
    </w:p>
    <w:p w14:paraId="338A9A47" w14:textId="75776290" w:rsidR="00884B8A" w:rsidRPr="00674239" w:rsidRDefault="00884B8A" w:rsidP="004D32BC">
      <w:pPr>
        <w:pStyle w:val="Heading4"/>
      </w:pPr>
      <w:r w:rsidRPr="00674239">
        <w:t>Ongoing development of DAPP strategies to adapt existing development</w:t>
      </w:r>
      <w:r>
        <w:t>:</w:t>
      </w:r>
    </w:p>
    <w:p w14:paraId="064CD712" w14:textId="62EAABBD" w:rsidR="00884B8A" w:rsidRDefault="00674239" w:rsidP="00884B8A">
      <w:pPr>
        <w:numPr>
          <w:ilvl w:val="0"/>
          <w:numId w:val="42"/>
        </w:numPr>
        <w:spacing w:line="240" w:lineRule="auto"/>
        <w:ind w:left="360"/>
        <w:jc w:val="left"/>
        <w:rPr>
          <w:rFonts w:eastAsia="Calibri" w:cs="Times New Roman"/>
        </w:rPr>
      </w:pPr>
      <w:r w:rsidRPr="00674239">
        <w:rPr>
          <w:rFonts w:eastAsia="Calibri" w:cs="Times New Roman"/>
        </w:rPr>
        <w:t xml:space="preserve">should now use this interim guidance </w:t>
      </w:r>
      <w:r w:rsidR="0094104A">
        <w:rPr>
          <w:rFonts w:eastAsia="Calibri" w:cs="Times New Roman"/>
        </w:rPr>
        <w:t>to determine which</w:t>
      </w:r>
      <w:r w:rsidRPr="00674239">
        <w:rPr>
          <w:rFonts w:eastAsia="Calibri" w:cs="Times New Roman"/>
        </w:rPr>
        <w:t xml:space="preserve"> projections to apply. Also</w:t>
      </w:r>
      <w:r w:rsidR="0094104A">
        <w:rPr>
          <w:rFonts w:eastAsia="Calibri" w:cs="Times New Roman"/>
        </w:rPr>
        <w:t>,</w:t>
      </w:r>
      <w:r w:rsidRPr="00674239">
        <w:rPr>
          <w:rFonts w:eastAsia="Calibri" w:cs="Times New Roman"/>
        </w:rPr>
        <w:t xml:space="preserve"> the adaptive pathways that emerge from these processes should use the range of future RSLR “medium confidence” projections provided in the </w:t>
      </w:r>
      <w:proofErr w:type="spellStart"/>
      <w:r w:rsidRPr="00674239">
        <w:rPr>
          <w:rFonts w:eastAsia="Calibri" w:cs="Times New Roman"/>
        </w:rPr>
        <w:t>Takiwā</w:t>
      </w:r>
      <w:proofErr w:type="spellEnd"/>
      <w:r w:rsidRPr="00674239">
        <w:rPr>
          <w:rFonts w:eastAsia="Calibri" w:cs="Times New Roman"/>
        </w:rPr>
        <w:t xml:space="preserve"> platform, to cross-check the realistic lifetime of adaptation options that make up DAPP pathways.</w:t>
      </w:r>
    </w:p>
    <w:p w14:paraId="33E560BC" w14:textId="3850AF57" w:rsidR="00884B8A" w:rsidRPr="00884B8A" w:rsidRDefault="0063683D" w:rsidP="004D32BC">
      <w:pPr>
        <w:pStyle w:val="Heading4"/>
        <w:rPr>
          <w:rFonts w:cs="Times New Roman"/>
        </w:rPr>
      </w:pPr>
      <w:r w:rsidRPr="00674239">
        <w:t>Where</w:t>
      </w:r>
      <w:r>
        <w:t xml:space="preserve"> the</w:t>
      </w:r>
      <w:r w:rsidRPr="00674239">
        <w:t xml:space="preserve"> localised subsidence rate</w:t>
      </w:r>
      <w:r>
        <w:t xml:space="preserve"> is</w:t>
      </w:r>
      <w:r w:rsidRPr="00674239">
        <w:t xml:space="preserve"> known</w:t>
      </w:r>
      <w:r>
        <w:t>:</w:t>
      </w:r>
    </w:p>
    <w:p w14:paraId="573B9475" w14:textId="40C55720" w:rsidR="00674239" w:rsidRPr="00674239" w:rsidRDefault="00674239" w:rsidP="00E3626F">
      <w:pPr>
        <w:numPr>
          <w:ilvl w:val="0"/>
          <w:numId w:val="42"/>
        </w:numPr>
        <w:spacing w:line="240" w:lineRule="auto"/>
        <w:ind w:left="360"/>
        <w:jc w:val="left"/>
        <w:rPr>
          <w:rFonts w:eastAsia="Calibri" w:cs="Times New Roman"/>
        </w:rPr>
      </w:pPr>
      <w:r w:rsidRPr="00674239">
        <w:rPr>
          <w:rFonts w:eastAsia="Calibri" w:cs="Calibri"/>
        </w:rPr>
        <w:t xml:space="preserve">and </w:t>
      </w:r>
      <w:r w:rsidR="0094104A">
        <w:rPr>
          <w:rFonts w:eastAsia="Calibri" w:cs="Calibri"/>
        </w:rPr>
        <w:t>differs</w:t>
      </w:r>
      <w:r w:rsidRPr="00674239">
        <w:rPr>
          <w:rFonts w:eastAsia="Calibri" w:cs="Calibri"/>
        </w:rPr>
        <w:t xml:space="preserve"> from the wider averaged VLM rate available in </w:t>
      </w:r>
      <w:proofErr w:type="spellStart"/>
      <w:r w:rsidRPr="00674239">
        <w:rPr>
          <w:rFonts w:eastAsia="Calibri" w:cs="Calibri"/>
        </w:rPr>
        <w:t>Takiwā</w:t>
      </w:r>
      <w:proofErr w:type="spellEnd"/>
      <w:r w:rsidRPr="00674239">
        <w:rPr>
          <w:rFonts w:eastAsia="Calibri" w:cs="Calibri"/>
        </w:rPr>
        <w:t xml:space="preserve">, then use the SSP scenarios in </w:t>
      </w:r>
      <w:proofErr w:type="spellStart"/>
      <w:r w:rsidRPr="00674239">
        <w:rPr>
          <w:rFonts w:eastAsia="Calibri" w:cs="Calibri"/>
        </w:rPr>
        <w:t>Takiwā</w:t>
      </w:r>
      <w:proofErr w:type="spellEnd"/>
      <w:r w:rsidRPr="00674239">
        <w:rPr>
          <w:rFonts w:eastAsia="Calibri" w:cs="Calibri"/>
        </w:rPr>
        <w:t xml:space="preserve"> </w:t>
      </w:r>
      <w:r w:rsidRPr="003F3CCC">
        <w:rPr>
          <w:rFonts w:eastAsia="Calibri" w:cs="Calibri"/>
        </w:rPr>
        <w:t>without VLM</w:t>
      </w:r>
      <w:r w:rsidRPr="00674239">
        <w:rPr>
          <w:rFonts w:eastAsia="Calibri" w:cs="Calibri"/>
        </w:rPr>
        <w:t xml:space="preserve"> for that area, then </w:t>
      </w:r>
      <w:r w:rsidRPr="003F3CCC">
        <w:rPr>
          <w:rFonts w:eastAsia="Calibri" w:cs="Calibri"/>
        </w:rPr>
        <w:t>add on</w:t>
      </w:r>
      <w:r w:rsidRPr="00674239">
        <w:rPr>
          <w:rFonts w:eastAsia="Calibri" w:cs="Calibri"/>
        </w:rPr>
        <w:t xml:space="preserve"> the additional contribution from the estimated VLM rate (see </w:t>
      </w:r>
      <w:hyperlink w:anchor="Equation1" w:history="1">
        <w:r w:rsidR="0094104A" w:rsidRPr="004D32BC">
          <w:rPr>
            <w:rStyle w:val="Hyperlink"/>
            <w:rFonts w:eastAsia="Calibri" w:cs="Calibri"/>
          </w:rPr>
          <w:t>e</w:t>
        </w:r>
        <w:r w:rsidRPr="004D32BC">
          <w:rPr>
            <w:rStyle w:val="Hyperlink"/>
            <w:rFonts w:eastAsia="Calibri" w:cs="Calibri"/>
          </w:rPr>
          <w:t>quation 1</w:t>
        </w:r>
      </w:hyperlink>
      <w:r w:rsidRPr="00674239">
        <w:rPr>
          <w:rFonts w:eastAsia="Calibri" w:cs="Calibri"/>
        </w:rPr>
        <w:t xml:space="preserve"> above).</w:t>
      </w:r>
    </w:p>
    <w:p w14:paraId="618C23AB" w14:textId="2F82BFF1" w:rsidR="00674239" w:rsidRPr="00674239" w:rsidRDefault="00674239" w:rsidP="003D7BC0">
      <w:pPr>
        <w:pStyle w:val="Heading3"/>
        <w:spacing w:after="240"/>
        <w:rPr>
          <w:rFonts w:eastAsia="DengXian Light"/>
        </w:rPr>
      </w:pPr>
      <w:bookmarkStart w:id="42" w:name="_Toc109397583"/>
      <w:bookmarkStart w:id="43" w:name="_Toc109809085"/>
      <w:r w:rsidRPr="00674239">
        <w:rPr>
          <w:rFonts w:eastAsia="DengXian Light"/>
        </w:rPr>
        <w:t>Revision of the minimum transitional guidance until DAPP strategies are in place</w:t>
      </w:r>
      <w:bookmarkEnd w:id="42"/>
      <w:bookmarkEnd w:id="43"/>
    </w:p>
    <w:p w14:paraId="584142CB" w14:textId="7DDF56BC" w:rsidR="00674239" w:rsidRPr="00674239" w:rsidRDefault="00674239" w:rsidP="00674239">
      <w:pPr>
        <w:spacing w:before="0" w:after="160" w:line="259" w:lineRule="auto"/>
        <w:jc w:val="left"/>
        <w:rPr>
          <w:rFonts w:eastAsia="Calibri" w:cs="Times New Roman"/>
        </w:rPr>
      </w:pPr>
      <w:r w:rsidRPr="00674239">
        <w:rPr>
          <w:rFonts w:eastAsia="Calibri" w:cs="Times New Roman"/>
        </w:rPr>
        <w:t xml:space="preserve">Guidance on </w:t>
      </w:r>
      <w:r w:rsidR="004E4AD5">
        <w:rPr>
          <w:rFonts w:eastAsia="Calibri" w:cs="Times New Roman"/>
        </w:rPr>
        <w:t xml:space="preserve">using </w:t>
      </w:r>
      <w:r w:rsidRPr="00674239">
        <w:rPr>
          <w:rFonts w:eastAsia="Calibri" w:cs="Times New Roman"/>
        </w:rPr>
        <w:t xml:space="preserve">minimum transitional allowances for sea-level rise in land-use planning, until a DAPP strategy is in place, was presented in the 2017 coastal </w:t>
      </w:r>
      <w:r w:rsidR="00F65DC1">
        <w:rPr>
          <w:rFonts w:eastAsia="Calibri" w:cs="Times New Roman"/>
        </w:rPr>
        <w:t xml:space="preserve">hazards </w:t>
      </w:r>
      <w:r w:rsidRPr="00674239">
        <w:rPr>
          <w:rFonts w:eastAsia="Calibri" w:cs="Times New Roman"/>
        </w:rPr>
        <w:t xml:space="preserve">guidance in </w:t>
      </w:r>
      <w:r w:rsidR="004E4AD5">
        <w:rPr>
          <w:rFonts w:eastAsia="Calibri" w:cs="Times New Roman"/>
        </w:rPr>
        <w:t>s</w:t>
      </w:r>
      <w:r w:rsidRPr="00674239">
        <w:rPr>
          <w:rFonts w:eastAsia="Calibri" w:cs="Times New Roman"/>
        </w:rPr>
        <w:t>ection 5.7.3 (</w:t>
      </w:r>
      <w:r w:rsidR="004E4AD5">
        <w:rPr>
          <w:rFonts w:eastAsia="Calibri" w:cs="Times New Roman"/>
        </w:rPr>
        <w:t>and</w:t>
      </w:r>
      <w:r w:rsidR="004E4AD5" w:rsidRPr="00674239">
        <w:rPr>
          <w:rFonts w:eastAsia="Calibri" w:cs="Times New Roman"/>
        </w:rPr>
        <w:t xml:space="preserve"> </w:t>
      </w:r>
      <w:r w:rsidRPr="00674239">
        <w:rPr>
          <w:rFonts w:eastAsia="Calibri" w:cs="Times New Roman"/>
        </w:rPr>
        <w:t xml:space="preserve">in </w:t>
      </w:r>
      <w:r w:rsidR="004E4AD5">
        <w:rPr>
          <w:rFonts w:eastAsia="Calibri" w:cs="Times New Roman"/>
        </w:rPr>
        <w:t>t</w:t>
      </w:r>
      <w:r w:rsidRPr="00674239">
        <w:rPr>
          <w:rFonts w:eastAsia="Calibri" w:cs="Times New Roman"/>
        </w:rPr>
        <w:t>able 2, p. 21 of the Summary of the guidance</w:t>
      </w:r>
      <w:r w:rsidR="004E4AD5">
        <w:rPr>
          <w:rFonts w:eastAsia="Calibri" w:cs="Times New Roman"/>
        </w:rPr>
        <w:t>;</w:t>
      </w:r>
      <w:r w:rsidRPr="00674239" w:rsidDel="004E4AD5">
        <w:rPr>
          <w:rFonts w:eastAsia="Calibri" w:cs="Times New Roman"/>
        </w:rPr>
        <w:t xml:space="preserve"> </w:t>
      </w:r>
      <w:r w:rsidR="00854A66">
        <w:rPr>
          <w:rFonts w:eastAsia="Calibri" w:cs="Times New Roman"/>
        </w:rPr>
        <w:t>Ministry for the Environment</w:t>
      </w:r>
      <w:r w:rsidRPr="00674239">
        <w:rPr>
          <w:rFonts w:eastAsia="Calibri" w:cs="Times New Roman"/>
        </w:rPr>
        <w:t>, 2017a). These allowances were national</w:t>
      </w:r>
      <w:r w:rsidR="004E4AD5">
        <w:rPr>
          <w:rFonts w:eastAsia="Calibri" w:cs="Times New Roman"/>
        </w:rPr>
        <w:t xml:space="preserve"> </w:t>
      </w:r>
      <w:r w:rsidRPr="00674239">
        <w:rPr>
          <w:rFonts w:eastAsia="Calibri" w:cs="Times New Roman"/>
        </w:rPr>
        <w:t>averages and excluded local VLM. They form an initial planning/design response in the wider context of developing dynamic adaptive plans for communities and infrastructure a</w:t>
      </w:r>
      <w:r w:rsidR="000313BF">
        <w:rPr>
          <w:rFonts w:eastAsia="Calibri" w:cs="Times New Roman"/>
        </w:rPr>
        <w:t>long</w:t>
      </w:r>
      <w:r w:rsidRPr="00674239">
        <w:rPr>
          <w:rFonts w:eastAsia="Calibri" w:cs="Times New Roman"/>
        </w:rPr>
        <w:t xml:space="preserve"> the coast.</w:t>
      </w:r>
    </w:p>
    <w:p w14:paraId="5AAC4042" w14:textId="272162B7" w:rsidR="00674239" w:rsidRPr="00674239" w:rsidRDefault="00674239" w:rsidP="00674239">
      <w:pPr>
        <w:spacing w:before="0" w:after="160" w:line="259" w:lineRule="auto"/>
        <w:jc w:val="left"/>
        <w:rPr>
          <w:rFonts w:eastAsia="Calibri" w:cs="Times New Roman"/>
        </w:rPr>
      </w:pPr>
      <w:r w:rsidRPr="00674239">
        <w:rPr>
          <w:rFonts w:eastAsia="Calibri" w:cs="Times New Roman"/>
        </w:rPr>
        <w:t xml:space="preserve">The purpose of the transitional provisions was to cover the period until a DAPP strategy had been developed with communities, iwi/hapū and </w:t>
      </w:r>
      <w:r w:rsidR="000313BF">
        <w:rPr>
          <w:rFonts w:eastAsia="Calibri" w:cs="Times New Roman"/>
        </w:rPr>
        <w:t xml:space="preserve">other </w:t>
      </w:r>
      <w:r w:rsidRPr="00674239">
        <w:rPr>
          <w:rFonts w:eastAsia="Calibri" w:cs="Times New Roman"/>
        </w:rPr>
        <w:t xml:space="preserve">stakeholders, given that decisions, </w:t>
      </w:r>
      <w:proofErr w:type="gramStart"/>
      <w:r w:rsidRPr="00674239">
        <w:rPr>
          <w:rFonts w:eastAsia="Calibri" w:cs="Times New Roman"/>
        </w:rPr>
        <w:t>policies</w:t>
      </w:r>
      <w:proofErr w:type="gramEnd"/>
      <w:r w:rsidRPr="00674239">
        <w:rPr>
          <w:rFonts w:eastAsia="Calibri" w:cs="Times New Roman"/>
        </w:rPr>
        <w:t xml:space="preserve"> and plan revisions needed to proceed in the interim. It was not intended that these sea-level rise allowances bec</w:t>
      </w:r>
      <w:r w:rsidR="000313BF">
        <w:rPr>
          <w:rFonts w:eastAsia="Calibri" w:cs="Times New Roman"/>
        </w:rPr>
        <w:t>o</w:t>
      </w:r>
      <w:r w:rsidRPr="00674239">
        <w:rPr>
          <w:rFonts w:eastAsia="Calibri" w:cs="Times New Roman"/>
        </w:rPr>
        <w:t xml:space="preserve">me de-facto recommendations </w:t>
      </w:r>
      <w:r w:rsidR="000313BF">
        <w:rPr>
          <w:rFonts w:eastAsia="Calibri" w:cs="Times New Roman"/>
        </w:rPr>
        <w:t>instead</w:t>
      </w:r>
      <w:r w:rsidRPr="00674239">
        <w:rPr>
          <w:rFonts w:eastAsia="Calibri" w:cs="Times New Roman"/>
        </w:rPr>
        <w:t xml:space="preserve"> of</w:t>
      </w:r>
      <w:r w:rsidRPr="00674239" w:rsidDel="000313BF">
        <w:rPr>
          <w:rFonts w:eastAsia="Calibri" w:cs="Times New Roman"/>
        </w:rPr>
        <w:t xml:space="preserve"> </w:t>
      </w:r>
      <w:r w:rsidRPr="00674239">
        <w:rPr>
          <w:rFonts w:eastAsia="Calibri" w:cs="Times New Roman"/>
        </w:rPr>
        <w:t>developing a DAPP strategy</w:t>
      </w:r>
      <w:r w:rsidR="000313BF">
        <w:rPr>
          <w:rFonts w:eastAsia="Calibri" w:cs="Times New Roman"/>
        </w:rPr>
        <w:t xml:space="preserve"> and processes</w:t>
      </w:r>
      <w:r w:rsidRPr="00674239">
        <w:rPr>
          <w:rFonts w:eastAsia="Calibri" w:cs="Times New Roman"/>
        </w:rPr>
        <w:t>.</w:t>
      </w:r>
      <w:r w:rsidRPr="00674239" w:rsidDel="000313BF">
        <w:rPr>
          <w:rFonts w:eastAsia="Calibri" w:cs="Times New Roman"/>
        </w:rPr>
        <w:t xml:space="preserve"> </w:t>
      </w:r>
      <w:r w:rsidRPr="00674239">
        <w:rPr>
          <w:rFonts w:eastAsia="Calibri" w:cs="Times New Roman"/>
        </w:rPr>
        <w:t>DAPP process</w:t>
      </w:r>
      <w:r w:rsidR="000313BF">
        <w:rPr>
          <w:rFonts w:eastAsia="Calibri" w:cs="Times New Roman"/>
        </w:rPr>
        <w:t>es</w:t>
      </w:r>
      <w:r w:rsidRPr="00674239" w:rsidDel="000313BF">
        <w:rPr>
          <w:rFonts w:eastAsia="Calibri" w:cs="Times New Roman"/>
        </w:rPr>
        <w:t xml:space="preserve"> </w:t>
      </w:r>
      <w:r w:rsidR="000313BF">
        <w:rPr>
          <w:rFonts w:eastAsia="Calibri" w:cs="Times New Roman"/>
        </w:rPr>
        <w:t>are</w:t>
      </w:r>
      <w:r w:rsidR="000313BF" w:rsidRPr="00674239">
        <w:rPr>
          <w:rFonts w:eastAsia="Calibri" w:cs="Times New Roman"/>
        </w:rPr>
        <w:t xml:space="preserve"> </w:t>
      </w:r>
      <w:r w:rsidRPr="00674239">
        <w:rPr>
          <w:rFonts w:eastAsia="Calibri" w:cs="Times New Roman"/>
        </w:rPr>
        <w:t>closely aligned with Policy 27 (1)(e) of the 2010 NZCPS</w:t>
      </w:r>
      <w:r w:rsidR="000313BF">
        <w:rPr>
          <w:rFonts w:eastAsia="Calibri" w:cs="Times New Roman"/>
        </w:rPr>
        <w:t>, which</w:t>
      </w:r>
      <w:r w:rsidRPr="00674239" w:rsidDel="000313BF">
        <w:rPr>
          <w:rFonts w:eastAsia="Calibri" w:cs="Times New Roman"/>
        </w:rPr>
        <w:t xml:space="preserve"> </w:t>
      </w:r>
      <w:r w:rsidRPr="00674239">
        <w:rPr>
          <w:rFonts w:eastAsia="Calibri" w:cs="Times New Roman"/>
        </w:rPr>
        <w:t>should be followed in coastal areas: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74239" w:rsidRPr="006B77BB" w14:paraId="62269A59" w14:textId="77777777">
        <w:tc>
          <w:tcPr>
            <w:tcW w:w="8505" w:type="dxa"/>
            <w:shd w:val="clear" w:color="auto" w:fill="D5EBE8" w:themeFill="accent3"/>
          </w:tcPr>
          <w:p w14:paraId="42206796" w14:textId="755017BD" w:rsidR="00674239" w:rsidRPr="00674239" w:rsidRDefault="00674239">
            <w:pPr>
              <w:pStyle w:val="Boxtext"/>
              <w:rPr>
                <w:i/>
                <w:iCs/>
              </w:rPr>
            </w:pPr>
            <w:r w:rsidRPr="00674239">
              <w:rPr>
                <w:i/>
                <w:iCs/>
              </w:rPr>
              <w:t>[27] (1) In areas of significant existing development likely to be affected by coastal hazards, the range of options for reducing coastal hazard risk that should be assessed includes:</w:t>
            </w:r>
          </w:p>
          <w:p w14:paraId="344771C5" w14:textId="77777777" w:rsidR="00674239" w:rsidRPr="00674239" w:rsidRDefault="00674239">
            <w:pPr>
              <w:pStyle w:val="Boxtext"/>
              <w:rPr>
                <w:i/>
                <w:iCs/>
              </w:rPr>
            </w:pPr>
            <w:r w:rsidRPr="00674239">
              <w:rPr>
                <w:i/>
                <w:iCs/>
              </w:rPr>
              <w:t>….</w:t>
            </w:r>
          </w:p>
          <w:p w14:paraId="4B8FAE82" w14:textId="181F5CC4" w:rsidR="00674239" w:rsidRPr="00687784" w:rsidRDefault="00674239">
            <w:pPr>
              <w:pStyle w:val="Boxtext"/>
            </w:pPr>
            <w:r w:rsidRPr="00674239">
              <w:rPr>
                <w:i/>
                <w:iCs/>
              </w:rPr>
              <w:t>(e) identifying and planning for transition mechanisms and timeframes for moving to more sustainable options.</w:t>
            </w:r>
          </w:p>
        </w:tc>
      </w:tr>
    </w:tbl>
    <w:p w14:paraId="53AF4EAE" w14:textId="72E7A5C8" w:rsidR="00674239" w:rsidRPr="00674239" w:rsidRDefault="00674239" w:rsidP="00674239">
      <w:pPr>
        <w:pStyle w:val="BodyText"/>
        <w:rPr>
          <w:rFonts w:eastAsia="Calibri"/>
        </w:rPr>
      </w:pPr>
      <w:r w:rsidRPr="00674239">
        <w:rPr>
          <w:rFonts w:eastAsia="Calibri"/>
        </w:rPr>
        <w:t xml:space="preserve">The summary of the present transitional allowances in the 2017 </w:t>
      </w:r>
      <w:r w:rsidR="00F65DC1">
        <w:rPr>
          <w:rFonts w:eastAsia="Calibri"/>
        </w:rPr>
        <w:t>coastal hazards</w:t>
      </w:r>
      <w:r w:rsidRPr="00674239">
        <w:rPr>
          <w:rFonts w:eastAsia="Calibri"/>
        </w:rPr>
        <w:t xml:space="preserve"> guidance is replicated in </w:t>
      </w:r>
      <w:hyperlink w:anchor="table3" w:history="1">
        <w:r w:rsidR="000313BF" w:rsidRPr="004046BE">
          <w:rPr>
            <w:rStyle w:val="Hyperlink"/>
            <w:rFonts w:eastAsia="Calibri"/>
          </w:rPr>
          <w:t>t</w:t>
        </w:r>
        <w:r w:rsidRPr="004046BE">
          <w:rPr>
            <w:rStyle w:val="Hyperlink"/>
            <w:rFonts w:eastAsia="Calibri"/>
          </w:rPr>
          <w:t>able 3</w:t>
        </w:r>
      </w:hyperlink>
      <w:r w:rsidRPr="00674239">
        <w:rPr>
          <w:rFonts w:eastAsia="Calibri"/>
        </w:rPr>
        <w:t xml:space="preserve">, along with recommended changes arising from the new RSLR projections (including VLM) from the </w:t>
      </w:r>
      <w:proofErr w:type="spellStart"/>
      <w:r w:rsidRPr="00674239">
        <w:rPr>
          <w:rFonts w:eastAsia="Calibri"/>
        </w:rPr>
        <w:t>NZSeaRise</w:t>
      </w:r>
      <w:proofErr w:type="spellEnd"/>
      <w:r w:rsidRPr="00674239">
        <w:rPr>
          <w:rFonts w:eastAsia="Calibri"/>
        </w:rPr>
        <w:t xml:space="preserve"> programme</w:t>
      </w:r>
      <w:r w:rsidRPr="00674239" w:rsidDel="000313BF">
        <w:rPr>
          <w:rFonts w:eastAsia="Calibri"/>
        </w:rPr>
        <w:t xml:space="preserve"> that are now available on the </w:t>
      </w:r>
      <w:proofErr w:type="spellStart"/>
      <w:r w:rsidRPr="00674239" w:rsidDel="000313BF">
        <w:rPr>
          <w:rFonts w:eastAsia="Calibri"/>
        </w:rPr>
        <w:t>Takiwā</w:t>
      </w:r>
      <w:proofErr w:type="spellEnd"/>
      <w:r w:rsidRPr="00674239" w:rsidDel="000313BF">
        <w:rPr>
          <w:rFonts w:eastAsia="Calibri"/>
        </w:rPr>
        <w:t xml:space="preserve"> platform</w:t>
      </w:r>
      <w:r w:rsidRPr="00674239">
        <w:rPr>
          <w:rFonts w:eastAsia="Calibri"/>
        </w:rPr>
        <w:t>.</w:t>
      </w:r>
    </w:p>
    <w:p w14:paraId="076A38DD" w14:textId="27A7A62C" w:rsidR="00674239" w:rsidRPr="00674239" w:rsidRDefault="00674239" w:rsidP="00674239">
      <w:pPr>
        <w:pStyle w:val="BodyText"/>
        <w:rPr>
          <w:rFonts w:eastAsia="Calibri"/>
        </w:rPr>
      </w:pPr>
      <w:r w:rsidRPr="00674239">
        <w:rPr>
          <w:rFonts w:eastAsia="Calibri"/>
        </w:rPr>
        <w:t xml:space="preserve">For Category A, a more specific planning timeframe of 2130 has been applied, rather than the </w:t>
      </w:r>
      <w:r w:rsidR="000313BF" w:rsidRPr="00674239">
        <w:rPr>
          <w:rFonts w:eastAsia="Calibri"/>
        </w:rPr>
        <w:t xml:space="preserve">recommendation </w:t>
      </w:r>
      <w:r w:rsidR="000313BF">
        <w:rPr>
          <w:rFonts w:eastAsia="Calibri"/>
        </w:rPr>
        <w:t xml:space="preserve">of </w:t>
      </w:r>
      <w:r w:rsidRPr="00674239">
        <w:rPr>
          <w:rFonts w:eastAsia="Calibri"/>
        </w:rPr>
        <w:t xml:space="preserve">“… over more than 100 years” </w:t>
      </w:r>
      <w:r w:rsidR="000313BF">
        <w:rPr>
          <w:rFonts w:eastAsia="Calibri"/>
        </w:rPr>
        <w:t xml:space="preserve">given </w:t>
      </w:r>
      <w:r w:rsidRPr="00674239">
        <w:rPr>
          <w:rFonts w:eastAsia="Calibri"/>
        </w:rPr>
        <w:t xml:space="preserve">in the 2017 </w:t>
      </w:r>
      <w:r w:rsidR="00F65DC1">
        <w:rPr>
          <w:rFonts w:eastAsia="Calibri"/>
        </w:rPr>
        <w:t>coastal hazards</w:t>
      </w:r>
      <w:r w:rsidRPr="00674239">
        <w:rPr>
          <w:rFonts w:eastAsia="Calibri"/>
        </w:rPr>
        <w:t xml:space="preserve"> guidance. </w:t>
      </w:r>
    </w:p>
    <w:p w14:paraId="11142CFC" w14:textId="237CB8ED" w:rsidR="00674239" w:rsidRPr="00674239" w:rsidRDefault="00674239" w:rsidP="00674239">
      <w:pPr>
        <w:pStyle w:val="BodyText"/>
        <w:rPr>
          <w:rFonts w:eastAsia="Calibri"/>
        </w:rPr>
      </w:pPr>
      <w:r w:rsidRPr="00674239">
        <w:rPr>
          <w:rFonts w:eastAsia="Calibri"/>
        </w:rPr>
        <w:t>With Category A activities (</w:t>
      </w:r>
      <w:hyperlink w:anchor="table3" w:history="1">
        <w:r w:rsidR="000313BF" w:rsidRPr="004046BE">
          <w:rPr>
            <w:rStyle w:val="Hyperlink"/>
            <w:rFonts w:eastAsia="Calibri"/>
          </w:rPr>
          <w:t>t</w:t>
        </w:r>
        <w:r w:rsidRPr="004046BE">
          <w:rPr>
            <w:rStyle w:val="Hyperlink"/>
            <w:rFonts w:eastAsia="Calibri"/>
          </w:rPr>
          <w:t>able 3</w:t>
        </w:r>
      </w:hyperlink>
      <w:r w:rsidRPr="00674239">
        <w:rPr>
          <w:rFonts w:eastAsia="Calibri"/>
        </w:rPr>
        <w:t>), avoid long-</w:t>
      </w:r>
      <w:r w:rsidR="000313BF">
        <w:rPr>
          <w:rFonts w:eastAsia="Calibri"/>
        </w:rPr>
        <w:t>term</w:t>
      </w:r>
      <w:r w:rsidR="000313BF" w:rsidRPr="00674239">
        <w:rPr>
          <w:rFonts w:eastAsia="Calibri"/>
        </w:rPr>
        <w:t xml:space="preserve"> </w:t>
      </w:r>
      <w:r w:rsidRPr="00674239">
        <w:rPr>
          <w:rFonts w:eastAsia="Calibri"/>
        </w:rPr>
        <w:t>risks for new developments a</w:t>
      </w:r>
      <w:r w:rsidR="000313BF">
        <w:rPr>
          <w:rFonts w:eastAsia="Calibri"/>
        </w:rPr>
        <w:t>long</w:t>
      </w:r>
      <w:r w:rsidRPr="00674239">
        <w:rPr>
          <w:rFonts w:eastAsia="Calibri"/>
        </w:rPr>
        <w:t xml:space="preserve"> the coast, on cliffs and in coastal lowlands and </w:t>
      </w:r>
      <w:r w:rsidR="000313BF">
        <w:rPr>
          <w:rFonts w:eastAsia="Calibri"/>
        </w:rPr>
        <w:t xml:space="preserve">the </w:t>
      </w:r>
      <w:r w:rsidRPr="00674239">
        <w:rPr>
          <w:rFonts w:eastAsia="Calibri"/>
        </w:rPr>
        <w:t xml:space="preserve">lower reaches of rivers. These activities should now use the </w:t>
      </w:r>
      <w:r w:rsidR="000313BF">
        <w:rPr>
          <w:rFonts w:eastAsia="Calibri"/>
        </w:rPr>
        <w:t>“</w:t>
      </w:r>
      <w:r w:rsidRPr="00674239">
        <w:rPr>
          <w:rFonts w:eastAsia="Calibri"/>
        </w:rPr>
        <w:t>medium confidence” RSLR projection for SSP5</w:t>
      </w:r>
      <w:r w:rsidR="00105913">
        <w:rPr>
          <w:rFonts w:eastAsia="Calibri"/>
        </w:rPr>
        <w:t>-</w:t>
      </w:r>
      <w:r w:rsidRPr="00674239">
        <w:rPr>
          <w:rFonts w:eastAsia="Calibri"/>
        </w:rPr>
        <w:t>8.5 H+ (ie, top of the shaded range</w:t>
      </w:r>
      <w:r w:rsidR="00992F54">
        <w:rPr>
          <w:rFonts w:eastAsia="Calibri"/>
        </w:rPr>
        <w:t xml:space="preserve">, or the </w:t>
      </w:r>
      <w:r w:rsidRPr="00674239">
        <w:rPr>
          <w:rFonts w:eastAsia="Calibri"/>
        </w:rPr>
        <w:t>83</w:t>
      </w:r>
      <w:r w:rsidRPr="00674239">
        <w:rPr>
          <w:rFonts w:eastAsia="Calibri"/>
          <w:vertAlign w:val="superscript"/>
        </w:rPr>
        <w:t>rd</w:t>
      </w:r>
      <w:r w:rsidRPr="00674239">
        <w:rPr>
          <w:rFonts w:eastAsia="Calibri"/>
        </w:rPr>
        <w:t xml:space="preserve"> percentile or </w:t>
      </w:r>
      <w:r w:rsidRPr="00674239">
        <w:rPr>
          <w:rFonts w:eastAsia="Calibri"/>
          <w:i/>
          <w:iCs/>
        </w:rPr>
        <w:t>p83</w:t>
      </w:r>
      <w:r w:rsidRPr="00674239">
        <w:rPr>
          <w:rFonts w:eastAsia="Calibri"/>
        </w:rPr>
        <w:t xml:space="preserve"> for SSP5</w:t>
      </w:r>
      <w:r w:rsidR="00105913">
        <w:rPr>
          <w:rFonts w:eastAsia="Calibri"/>
        </w:rPr>
        <w:t>-</w:t>
      </w:r>
      <w:r w:rsidRPr="00674239">
        <w:rPr>
          <w:rFonts w:eastAsia="Calibri"/>
        </w:rPr>
        <w:t xml:space="preserve">8.5, which includes local or regional VLM). </w:t>
      </w:r>
      <w:r w:rsidR="00992F54">
        <w:rPr>
          <w:rFonts w:eastAsia="Calibri"/>
        </w:rPr>
        <w:t>In addition</w:t>
      </w:r>
      <w:r w:rsidRPr="00674239">
        <w:rPr>
          <w:rFonts w:eastAsia="Calibri"/>
        </w:rPr>
        <w:t xml:space="preserve">, a recommendation for stress-testing the lifetime and utility of new developments </w:t>
      </w:r>
      <w:r w:rsidR="00992F54">
        <w:rPr>
          <w:rFonts w:eastAsia="Calibri"/>
        </w:rPr>
        <w:t>(</w:t>
      </w:r>
      <w:r w:rsidRPr="00674239">
        <w:rPr>
          <w:rFonts w:eastAsia="Calibri"/>
        </w:rPr>
        <w:t>such as subdivision</w:t>
      </w:r>
      <w:r w:rsidR="00992F54">
        <w:rPr>
          <w:rFonts w:eastAsia="Calibri"/>
        </w:rPr>
        <w:t>s and</w:t>
      </w:r>
      <w:r w:rsidRPr="00674239" w:rsidDel="00992F54">
        <w:rPr>
          <w:rFonts w:eastAsia="Calibri"/>
        </w:rPr>
        <w:t xml:space="preserve"> </w:t>
      </w:r>
      <w:r w:rsidRPr="00674239">
        <w:rPr>
          <w:rFonts w:eastAsia="Calibri"/>
        </w:rPr>
        <w:t>long-lived coastal infrastructure</w:t>
      </w:r>
      <w:r w:rsidR="00992F54">
        <w:rPr>
          <w:rFonts w:eastAsia="Calibri"/>
        </w:rPr>
        <w:t>)</w:t>
      </w:r>
      <w:r w:rsidRPr="00674239">
        <w:rPr>
          <w:rFonts w:eastAsia="Calibri"/>
        </w:rPr>
        <w:t xml:space="preserve"> and</w:t>
      </w:r>
      <w:r w:rsidRPr="00674239" w:rsidDel="00992F54">
        <w:rPr>
          <w:rFonts w:eastAsia="Calibri"/>
        </w:rPr>
        <w:t xml:space="preserve"> </w:t>
      </w:r>
      <w:r w:rsidR="00992F54">
        <w:rPr>
          <w:rFonts w:eastAsia="Calibri"/>
        </w:rPr>
        <w:t>where</w:t>
      </w:r>
      <w:r w:rsidR="00992F54" w:rsidRPr="00674239">
        <w:rPr>
          <w:rFonts w:eastAsia="Calibri"/>
        </w:rPr>
        <w:t xml:space="preserve"> </w:t>
      </w:r>
      <w:r w:rsidRPr="00674239">
        <w:rPr>
          <w:rFonts w:eastAsia="Calibri"/>
        </w:rPr>
        <w:t>to move to in managed-retreat processes, should also check the alternative “low</w:t>
      </w:r>
      <w:r w:rsidR="00E3626F">
        <w:rPr>
          <w:rFonts w:eastAsia="Calibri"/>
        </w:rPr>
        <w:t xml:space="preserve"> </w:t>
      </w:r>
      <w:r w:rsidRPr="00674239">
        <w:rPr>
          <w:rFonts w:eastAsia="Calibri"/>
        </w:rPr>
        <w:t xml:space="preserve">confidence” scenarios </w:t>
      </w:r>
      <w:r w:rsidR="00992F54">
        <w:rPr>
          <w:rFonts w:eastAsia="Calibri"/>
        </w:rPr>
        <w:t>in</w:t>
      </w:r>
      <w:r w:rsidR="00992F54" w:rsidRPr="00674239">
        <w:rPr>
          <w:rFonts w:eastAsia="Calibri"/>
        </w:rPr>
        <w:t xml:space="preserve"> </w:t>
      </w:r>
      <w:r w:rsidRPr="00674239">
        <w:rPr>
          <w:rFonts w:eastAsia="Calibri"/>
        </w:rPr>
        <w:t xml:space="preserve">the </w:t>
      </w:r>
      <w:proofErr w:type="spellStart"/>
      <w:r w:rsidRPr="00674239">
        <w:rPr>
          <w:rFonts w:eastAsia="Calibri"/>
        </w:rPr>
        <w:t>Takiwā</w:t>
      </w:r>
      <w:proofErr w:type="spellEnd"/>
      <w:r w:rsidRPr="00674239">
        <w:rPr>
          <w:rFonts w:eastAsia="Calibri"/>
        </w:rPr>
        <w:t xml:space="preserve"> platform, using the median curves (heavy lines) </w:t>
      </w:r>
      <w:r w:rsidRPr="00674239" w:rsidDel="00992F54">
        <w:rPr>
          <w:rFonts w:eastAsia="Calibri"/>
        </w:rPr>
        <w:t xml:space="preserve">out </w:t>
      </w:r>
      <w:r w:rsidRPr="00674239">
        <w:rPr>
          <w:rFonts w:eastAsia="Calibri"/>
        </w:rPr>
        <w:t>to 2150 and beyond.</w:t>
      </w:r>
    </w:p>
    <w:p w14:paraId="4E0E89F3" w14:textId="31711C03" w:rsidR="00674239" w:rsidRPr="00674239" w:rsidRDefault="00992F54" w:rsidP="00674239">
      <w:pPr>
        <w:pStyle w:val="BodyText"/>
        <w:rPr>
          <w:rFonts w:eastAsia="Calibri"/>
        </w:rPr>
      </w:pPr>
      <w:r>
        <w:rPr>
          <w:rFonts w:eastAsia="Calibri"/>
        </w:rPr>
        <w:t>For activities in</w:t>
      </w:r>
      <w:r w:rsidR="00674239" w:rsidRPr="00674239">
        <w:rPr>
          <w:rFonts w:eastAsia="Calibri"/>
        </w:rPr>
        <w:t xml:space="preserve"> Category B, </w:t>
      </w:r>
      <w:r w:rsidR="00683AB7">
        <w:rPr>
          <w:rFonts w:eastAsia="Calibri"/>
        </w:rPr>
        <w:t xml:space="preserve">more specific guidance is provided </w:t>
      </w:r>
      <w:r w:rsidR="007D56F3">
        <w:rPr>
          <w:rFonts w:eastAsia="Calibri"/>
        </w:rPr>
        <w:t xml:space="preserve">for </w:t>
      </w:r>
      <w:r w:rsidR="00683AB7">
        <w:rPr>
          <w:rFonts w:eastAsia="Calibri"/>
        </w:rPr>
        <w:t xml:space="preserve">where </w:t>
      </w:r>
      <w:r w:rsidR="00674239" w:rsidRPr="00674239">
        <w:rPr>
          <w:rFonts w:eastAsia="Calibri"/>
        </w:rPr>
        <w:t xml:space="preserve">there has been insufficient time </w:t>
      </w:r>
      <w:r w:rsidRPr="00674239">
        <w:rPr>
          <w:rFonts w:eastAsia="Calibri"/>
        </w:rPr>
        <w:t xml:space="preserve">in most cases </w:t>
      </w:r>
      <w:r w:rsidR="00674239" w:rsidRPr="00674239">
        <w:rPr>
          <w:rFonts w:eastAsia="Calibri"/>
        </w:rPr>
        <w:t xml:space="preserve">to develop a DAPP strategy, as recommended in the 2017 </w:t>
      </w:r>
      <w:r w:rsidR="00F65DC1">
        <w:rPr>
          <w:rFonts w:eastAsia="Calibri"/>
        </w:rPr>
        <w:t>coastal hazards</w:t>
      </w:r>
      <w:r w:rsidR="00674239" w:rsidRPr="00674239">
        <w:rPr>
          <w:rFonts w:eastAsia="Calibri"/>
        </w:rPr>
        <w:t xml:space="preserve"> guidance. In the interim, this minimum transitional guidance for Category B has been revised to </w:t>
      </w:r>
      <w:r w:rsidR="00674239" w:rsidRPr="009B7BB0">
        <w:rPr>
          <w:rFonts w:eastAsia="Calibri"/>
        </w:rPr>
        <w:t>also</w:t>
      </w:r>
      <w:r w:rsidR="00674239" w:rsidRPr="00674239">
        <w:rPr>
          <w:rFonts w:eastAsia="Calibri"/>
        </w:rPr>
        <w:t xml:space="preserve"> include an alternative quantitative recommendation that mirrors Category A activities</w:t>
      </w:r>
      <w:r w:rsidR="00330EF4">
        <w:rPr>
          <w:rFonts w:eastAsia="Calibri"/>
        </w:rPr>
        <w:t>. This recommendation</w:t>
      </w:r>
      <w:r w:rsidR="00674239" w:rsidRPr="00674239">
        <w:rPr>
          <w:rFonts w:eastAsia="Calibri"/>
        </w:rPr>
        <w:t xml:space="preserve"> us</w:t>
      </w:r>
      <w:r w:rsidR="00330EF4">
        <w:rPr>
          <w:rFonts w:eastAsia="Calibri"/>
        </w:rPr>
        <w:t>es</w:t>
      </w:r>
      <w:r w:rsidR="00674239" w:rsidRPr="00674239">
        <w:rPr>
          <w:rFonts w:eastAsia="Calibri"/>
        </w:rPr>
        <w:t xml:space="preserve"> the highest H</w:t>
      </w:r>
      <w:r w:rsidR="00674239" w:rsidRPr="00674239">
        <w:rPr>
          <w:rFonts w:eastAsia="Calibri"/>
          <w:vertAlign w:val="superscript"/>
        </w:rPr>
        <w:t>+</w:t>
      </w:r>
      <w:r w:rsidR="00674239" w:rsidRPr="00674239">
        <w:rPr>
          <w:rFonts w:eastAsia="Calibri"/>
        </w:rPr>
        <w:t xml:space="preserve"> “medium confidence” RSLR projection</w:t>
      </w:r>
      <w:r w:rsidR="00D744C0">
        <w:rPr>
          <w:rFonts w:eastAsia="Calibri"/>
        </w:rPr>
        <w:t xml:space="preserve"> for</w:t>
      </w:r>
      <w:r w:rsidR="00674239" w:rsidRPr="00674239">
        <w:rPr>
          <w:rFonts w:eastAsia="Calibri"/>
        </w:rPr>
        <w:t xml:space="preserve"> SSP5-8.5 </w:t>
      </w:r>
      <w:r w:rsidR="00674239" w:rsidRPr="00674239" w:rsidDel="00330EF4">
        <w:rPr>
          <w:rFonts w:eastAsia="Calibri"/>
        </w:rPr>
        <w:t>83</w:t>
      </w:r>
      <w:r w:rsidR="00674239" w:rsidRPr="00674239" w:rsidDel="00330EF4">
        <w:rPr>
          <w:rFonts w:eastAsia="Calibri"/>
          <w:vertAlign w:val="superscript"/>
        </w:rPr>
        <w:t>rd</w:t>
      </w:r>
      <w:r w:rsidR="00674239" w:rsidRPr="00674239" w:rsidDel="00330EF4">
        <w:rPr>
          <w:rFonts w:eastAsia="Calibri"/>
        </w:rPr>
        <w:t xml:space="preserve"> percentile or </w:t>
      </w:r>
      <w:r w:rsidR="00674239" w:rsidRPr="00674239" w:rsidDel="00330EF4">
        <w:rPr>
          <w:rFonts w:eastAsia="Calibri"/>
          <w:i/>
          <w:iCs/>
        </w:rPr>
        <w:t>p83</w:t>
      </w:r>
      <w:r w:rsidR="00674239" w:rsidRPr="00674239" w:rsidDel="00330EF4">
        <w:rPr>
          <w:rFonts w:eastAsia="Calibri"/>
        </w:rPr>
        <w:t xml:space="preserve"> </w:t>
      </w:r>
      <w:r w:rsidR="00674239" w:rsidRPr="00674239">
        <w:rPr>
          <w:rFonts w:eastAsia="Calibri"/>
        </w:rPr>
        <w:t>(which includes VLM).</w:t>
      </w:r>
    </w:p>
    <w:p w14:paraId="1ECF1748" w14:textId="50C8F165" w:rsidR="00674239" w:rsidRPr="00674239" w:rsidRDefault="00674239" w:rsidP="00674239">
      <w:pPr>
        <w:pStyle w:val="BodyText"/>
        <w:rPr>
          <w:rFonts w:eastAsia="Calibri" w:cs="Times New Roman"/>
        </w:rPr>
      </w:pPr>
      <w:r w:rsidRPr="00674239">
        <w:rPr>
          <w:rFonts w:eastAsia="Calibri" w:cs="Times New Roman"/>
        </w:rPr>
        <w:t xml:space="preserve">For </w:t>
      </w:r>
      <w:r w:rsidR="00D744C0">
        <w:rPr>
          <w:rFonts w:eastAsia="Calibri" w:cs="Times New Roman"/>
        </w:rPr>
        <w:t>c</w:t>
      </w:r>
      <w:r w:rsidRPr="00674239">
        <w:rPr>
          <w:rFonts w:eastAsia="Calibri" w:cs="Times New Roman"/>
        </w:rPr>
        <w:t>ategories C and D, the timeframes of 2130 and 2090 were derived for a SSP5-8.5 M scenario by raising the sea-level rise allowance somewhat from those values set in the 2017 minimum transitional guidance</w:t>
      </w:r>
      <w:r w:rsidR="00330EF4">
        <w:rPr>
          <w:rFonts w:eastAsia="Calibri" w:cs="Times New Roman"/>
        </w:rPr>
        <w:t>. This</w:t>
      </w:r>
      <w:r w:rsidRPr="00674239">
        <w:rPr>
          <w:rFonts w:eastAsia="Calibri" w:cs="Times New Roman"/>
        </w:rPr>
        <w:t xml:space="preserve"> recogni</w:t>
      </w:r>
      <w:r w:rsidR="00330EF4">
        <w:rPr>
          <w:rFonts w:eastAsia="Calibri" w:cs="Times New Roman"/>
        </w:rPr>
        <w:t>ses</w:t>
      </w:r>
      <w:r w:rsidRPr="00674239">
        <w:rPr>
          <w:rFonts w:eastAsia="Calibri" w:cs="Times New Roman"/>
        </w:rPr>
        <w:t xml:space="preserve"> the increases from the IPCC AR6 assessment.</w:t>
      </w:r>
    </w:p>
    <w:p w14:paraId="2D7C08C4" w14:textId="55CE4DB6" w:rsidR="00674239" w:rsidRPr="00674239" w:rsidRDefault="00674239" w:rsidP="00674239">
      <w:pPr>
        <w:pStyle w:val="Tableheading"/>
        <w:rPr>
          <w:rFonts w:eastAsia="Calibri"/>
        </w:rPr>
      </w:pPr>
      <w:bookmarkStart w:id="44" w:name="table3"/>
      <w:bookmarkStart w:id="45" w:name="_Toc109809096"/>
      <w:r w:rsidRPr="00674239">
        <w:rPr>
          <w:rFonts w:eastAsia="Calibri"/>
          <w:bCs/>
        </w:rPr>
        <w:t>Table 3</w:t>
      </w:r>
      <w:r w:rsidRPr="00674239">
        <w:rPr>
          <w:rFonts w:eastAsia="Calibri"/>
        </w:rPr>
        <w:t>:</w:t>
      </w:r>
      <w:bookmarkEnd w:id="44"/>
      <w:r>
        <w:rPr>
          <w:rFonts w:eastAsia="Calibri"/>
        </w:rPr>
        <w:tab/>
      </w:r>
      <w:r w:rsidRPr="00674239">
        <w:rPr>
          <w:rFonts w:eastAsia="Calibri"/>
        </w:rPr>
        <w:t>Recommended updates to the minimum transitional procedures or RSLR allowances</w:t>
      </w:r>
      <w:bookmarkEnd w:id="45"/>
    </w:p>
    <w:tbl>
      <w:tblPr>
        <w:tblStyle w:val="TableGrid1"/>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008"/>
        <w:gridCol w:w="2011"/>
        <w:gridCol w:w="2506"/>
        <w:gridCol w:w="2980"/>
      </w:tblGrid>
      <w:tr w:rsidR="00674239" w:rsidRPr="00674239" w14:paraId="448C924F" w14:textId="77777777" w:rsidTr="006C0152">
        <w:trPr>
          <w:tblHeader/>
        </w:trPr>
        <w:tc>
          <w:tcPr>
            <w:tcW w:w="1008" w:type="dxa"/>
            <w:shd w:val="clear" w:color="auto" w:fill="1B556B" w:themeFill="text2"/>
          </w:tcPr>
          <w:p w14:paraId="72C0FB74" w14:textId="77777777" w:rsidR="00674239" w:rsidRPr="00674239" w:rsidRDefault="00674239" w:rsidP="00674239">
            <w:pPr>
              <w:spacing w:before="0" w:after="0" w:line="240" w:lineRule="auto"/>
              <w:jc w:val="left"/>
              <w:rPr>
                <w:rFonts w:eastAsia="Calibri" w:cs="Times New Roman"/>
                <w:b/>
                <w:bCs/>
                <w:color w:val="FFFFFF" w:themeColor="background1"/>
                <w:sz w:val="18"/>
                <w:szCs w:val="18"/>
              </w:rPr>
            </w:pPr>
            <w:r w:rsidRPr="00674239">
              <w:rPr>
                <w:rFonts w:eastAsia="Calibri" w:cs="Times New Roman"/>
                <w:b/>
                <w:bCs/>
                <w:color w:val="FFFFFF" w:themeColor="background1"/>
                <w:sz w:val="18"/>
                <w:szCs w:val="18"/>
              </w:rPr>
              <w:t>Category</w:t>
            </w:r>
          </w:p>
        </w:tc>
        <w:tc>
          <w:tcPr>
            <w:tcW w:w="2011" w:type="dxa"/>
            <w:shd w:val="clear" w:color="auto" w:fill="1B556B" w:themeFill="text2"/>
          </w:tcPr>
          <w:p w14:paraId="707B81E8" w14:textId="77777777" w:rsidR="00674239" w:rsidRPr="00674239" w:rsidRDefault="00674239" w:rsidP="00674239">
            <w:pPr>
              <w:spacing w:before="0" w:after="0" w:line="240" w:lineRule="auto"/>
              <w:jc w:val="left"/>
              <w:rPr>
                <w:rFonts w:eastAsia="Calibri" w:cs="Times New Roman"/>
                <w:b/>
                <w:bCs/>
                <w:color w:val="FFFFFF" w:themeColor="background1"/>
                <w:sz w:val="18"/>
                <w:szCs w:val="18"/>
              </w:rPr>
            </w:pPr>
            <w:r w:rsidRPr="00674239">
              <w:rPr>
                <w:rFonts w:eastAsia="Calibri" w:cs="Times New Roman"/>
                <w:b/>
                <w:bCs/>
                <w:color w:val="FFFFFF" w:themeColor="background1"/>
                <w:sz w:val="18"/>
                <w:szCs w:val="18"/>
              </w:rPr>
              <w:t>Description</w:t>
            </w:r>
          </w:p>
        </w:tc>
        <w:tc>
          <w:tcPr>
            <w:tcW w:w="2506" w:type="dxa"/>
            <w:shd w:val="clear" w:color="auto" w:fill="1B556B" w:themeFill="text2"/>
          </w:tcPr>
          <w:p w14:paraId="4D33895B" w14:textId="7DA9BE1C" w:rsidR="00674239" w:rsidRPr="00674239" w:rsidRDefault="00674239" w:rsidP="00674239">
            <w:pPr>
              <w:spacing w:before="0" w:after="0" w:line="240" w:lineRule="auto"/>
              <w:jc w:val="left"/>
              <w:rPr>
                <w:rFonts w:eastAsia="Calibri" w:cs="Times New Roman"/>
                <w:b/>
                <w:bCs/>
                <w:color w:val="FFFFFF" w:themeColor="background1"/>
                <w:sz w:val="18"/>
                <w:szCs w:val="18"/>
              </w:rPr>
            </w:pPr>
            <w:r w:rsidRPr="00674239">
              <w:rPr>
                <w:rFonts w:eastAsia="Calibri" w:cs="Times New Roman"/>
                <w:b/>
                <w:bCs/>
                <w:color w:val="FFFFFF" w:themeColor="background1"/>
                <w:sz w:val="18"/>
                <w:szCs w:val="18"/>
              </w:rPr>
              <w:t xml:space="preserve">Transitional allowances in the 2017 coastal </w:t>
            </w:r>
            <w:r w:rsidR="00F65DC1">
              <w:rPr>
                <w:rFonts w:eastAsia="Calibri" w:cs="Times New Roman"/>
                <w:b/>
                <w:bCs/>
                <w:color w:val="FFFFFF" w:themeColor="background1"/>
                <w:sz w:val="18"/>
                <w:szCs w:val="18"/>
              </w:rPr>
              <w:t>hazards</w:t>
            </w:r>
            <w:r w:rsidRPr="00674239">
              <w:rPr>
                <w:rFonts w:eastAsia="Calibri" w:cs="Times New Roman"/>
                <w:b/>
                <w:bCs/>
                <w:color w:val="FFFFFF" w:themeColor="background1"/>
                <w:sz w:val="18"/>
                <w:szCs w:val="18"/>
              </w:rPr>
              <w:t xml:space="preserve"> guidance (s. 5.7.3) or </w:t>
            </w:r>
            <w:r w:rsidR="00330EF4">
              <w:rPr>
                <w:rFonts w:eastAsia="Calibri" w:cs="Times New Roman"/>
                <w:b/>
                <w:bCs/>
                <w:color w:val="FFFFFF" w:themeColor="background1"/>
                <w:sz w:val="18"/>
                <w:szCs w:val="18"/>
              </w:rPr>
              <w:t>t</w:t>
            </w:r>
            <w:r w:rsidRPr="00674239">
              <w:rPr>
                <w:rFonts w:eastAsia="Calibri" w:cs="Times New Roman"/>
                <w:b/>
                <w:bCs/>
                <w:color w:val="FFFFFF" w:themeColor="background1"/>
                <w:sz w:val="18"/>
                <w:szCs w:val="18"/>
              </w:rPr>
              <w:t>able 2 of the Summary (</w:t>
            </w:r>
            <w:r w:rsidR="00854A66">
              <w:rPr>
                <w:rFonts w:eastAsia="Calibri" w:cs="Times New Roman"/>
                <w:b/>
                <w:bCs/>
                <w:color w:val="FFFFFF" w:themeColor="background1"/>
                <w:sz w:val="18"/>
                <w:szCs w:val="18"/>
              </w:rPr>
              <w:t>Ministry for the Environment</w:t>
            </w:r>
            <w:r w:rsidRPr="00674239">
              <w:rPr>
                <w:rFonts w:eastAsia="Calibri" w:cs="Times New Roman"/>
                <w:b/>
                <w:bCs/>
                <w:color w:val="FFFFFF" w:themeColor="background1"/>
                <w:sz w:val="18"/>
                <w:szCs w:val="18"/>
              </w:rPr>
              <w:t>, 2017a)</w:t>
            </w:r>
          </w:p>
        </w:tc>
        <w:tc>
          <w:tcPr>
            <w:tcW w:w="2980" w:type="dxa"/>
            <w:shd w:val="clear" w:color="auto" w:fill="1B556B" w:themeFill="text2"/>
          </w:tcPr>
          <w:p w14:paraId="4D294D70" w14:textId="77777777" w:rsidR="00674239" w:rsidRPr="00674239" w:rsidRDefault="00674239" w:rsidP="00674239">
            <w:pPr>
              <w:spacing w:before="0" w:after="0" w:line="240" w:lineRule="auto"/>
              <w:jc w:val="left"/>
              <w:rPr>
                <w:rFonts w:eastAsia="Calibri" w:cs="Times New Roman"/>
                <w:b/>
                <w:bCs/>
                <w:color w:val="FFFFFF" w:themeColor="background1"/>
                <w:sz w:val="18"/>
                <w:szCs w:val="18"/>
              </w:rPr>
            </w:pPr>
            <w:r w:rsidRPr="00674239">
              <w:rPr>
                <w:rFonts w:eastAsia="Calibri" w:cs="Times New Roman"/>
                <w:b/>
                <w:bCs/>
                <w:color w:val="FFFFFF" w:themeColor="background1"/>
                <w:sz w:val="18"/>
                <w:szCs w:val="18"/>
              </w:rPr>
              <w:t xml:space="preserve">Transitional allowances to use now, until the refresh of the coastal guidance </w:t>
            </w:r>
          </w:p>
        </w:tc>
      </w:tr>
      <w:tr w:rsidR="00674239" w:rsidRPr="00674239" w14:paraId="2F6F82F1" w14:textId="77777777" w:rsidTr="008B6DA9">
        <w:tc>
          <w:tcPr>
            <w:tcW w:w="1008" w:type="dxa"/>
          </w:tcPr>
          <w:p w14:paraId="5FD5CB9F" w14:textId="77777777" w:rsidR="00674239" w:rsidRPr="00674239" w:rsidRDefault="00674239" w:rsidP="00674239">
            <w:pPr>
              <w:pStyle w:val="TableText"/>
              <w:rPr>
                <w:rFonts w:eastAsia="Calibri"/>
              </w:rPr>
            </w:pPr>
            <w:r w:rsidRPr="00674239">
              <w:rPr>
                <w:rFonts w:eastAsia="Calibri"/>
              </w:rPr>
              <w:t>A</w:t>
            </w:r>
          </w:p>
        </w:tc>
        <w:tc>
          <w:tcPr>
            <w:tcW w:w="2011" w:type="dxa"/>
          </w:tcPr>
          <w:p w14:paraId="56CB1E86" w14:textId="1C99E5EE" w:rsidR="00674239" w:rsidRPr="00674239" w:rsidRDefault="00674239" w:rsidP="00674239">
            <w:pPr>
              <w:pStyle w:val="TableText"/>
              <w:rPr>
                <w:rFonts w:eastAsia="Calibri"/>
              </w:rPr>
            </w:pPr>
            <w:r w:rsidRPr="00674239">
              <w:rPr>
                <w:rFonts w:eastAsia="Calibri"/>
              </w:rPr>
              <w:t>Coastal subdivision,</w:t>
            </w:r>
            <w:r w:rsidR="00330EF4">
              <w:rPr>
                <w:rFonts w:eastAsia="Calibri"/>
              </w:rPr>
              <w:t xml:space="preserve"> </w:t>
            </w:r>
            <w:r w:rsidRPr="00674239">
              <w:rPr>
                <w:rFonts w:eastAsia="Calibri"/>
              </w:rPr>
              <w:t>greenfield developments</w:t>
            </w:r>
            <w:r w:rsidR="003D4199">
              <w:rPr>
                <w:rFonts w:eastAsia="Calibri"/>
              </w:rPr>
              <w:t>,</w:t>
            </w:r>
            <w:r w:rsidRPr="00674239">
              <w:rPr>
                <w:rFonts w:eastAsia="Calibri"/>
              </w:rPr>
              <w:t xml:space="preserve"> and major new infrastructure</w:t>
            </w:r>
          </w:p>
        </w:tc>
        <w:tc>
          <w:tcPr>
            <w:tcW w:w="2506" w:type="dxa"/>
          </w:tcPr>
          <w:p w14:paraId="495EEF7E" w14:textId="6390B345" w:rsidR="00674239" w:rsidRPr="00674239" w:rsidRDefault="00674239" w:rsidP="00674239">
            <w:pPr>
              <w:pStyle w:val="TableText"/>
              <w:rPr>
                <w:rFonts w:eastAsia="Calibri"/>
                <w:i/>
                <w:iCs/>
              </w:rPr>
            </w:pPr>
            <w:r w:rsidRPr="00674239">
              <w:rPr>
                <w:rFonts w:eastAsia="Calibri"/>
                <w:i/>
                <w:iCs/>
              </w:rPr>
              <w:t>Avoid hazard risk by using sea-level rise over more than 100 years and the H+ scenario</w:t>
            </w:r>
          </w:p>
        </w:tc>
        <w:tc>
          <w:tcPr>
            <w:tcW w:w="2980" w:type="dxa"/>
          </w:tcPr>
          <w:p w14:paraId="5A16956E" w14:textId="653B432F" w:rsidR="00674239" w:rsidRPr="00674239" w:rsidRDefault="00674239" w:rsidP="00674239">
            <w:pPr>
              <w:pStyle w:val="TableText"/>
              <w:rPr>
                <w:rFonts w:eastAsia="Calibri"/>
              </w:rPr>
            </w:pPr>
            <w:r w:rsidRPr="00674239">
              <w:rPr>
                <w:rFonts w:eastAsia="Calibri"/>
              </w:rPr>
              <w:t xml:space="preserve">Avoid new hazard risk by using “medium confidence” sea-level rise </w:t>
            </w:r>
            <w:r w:rsidRPr="00674239" w:rsidDel="00330EF4">
              <w:rPr>
                <w:rFonts w:eastAsia="Calibri"/>
              </w:rPr>
              <w:t xml:space="preserve">out </w:t>
            </w:r>
            <w:r w:rsidRPr="00674239">
              <w:rPr>
                <w:rFonts w:eastAsia="Calibri"/>
              </w:rPr>
              <w:t xml:space="preserve">to </w:t>
            </w:r>
            <w:r w:rsidRPr="003D4199">
              <w:rPr>
                <w:rFonts w:eastAsia="Calibri"/>
                <w:b/>
              </w:rPr>
              <w:t>2130</w:t>
            </w:r>
            <w:r w:rsidRPr="00674239">
              <w:rPr>
                <w:rFonts w:eastAsia="Calibri"/>
              </w:rPr>
              <w:t xml:space="preserve"> for the SSP5-8.5 H+ (</w:t>
            </w:r>
            <w:r w:rsidRPr="00674239">
              <w:rPr>
                <w:rFonts w:eastAsia="Calibri"/>
                <w:i/>
                <w:iCs/>
              </w:rPr>
              <w:t>83</w:t>
            </w:r>
            <w:r w:rsidRPr="00674239">
              <w:rPr>
                <w:rFonts w:eastAsia="Calibri"/>
                <w:i/>
                <w:iCs/>
                <w:vertAlign w:val="superscript"/>
              </w:rPr>
              <w:t>rd</w:t>
            </w:r>
            <w:r w:rsidRPr="00674239">
              <w:rPr>
                <w:rFonts w:eastAsia="Calibri"/>
                <w:i/>
                <w:iCs/>
              </w:rPr>
              <w:t xml:space="preserve"> percentile SSP5-8.5 or p83)</w:t>
            </w:r>
            <w:r w:rsidRPr="00674239">
              <w:rPr>
                <w:rFonts w:eastAsia="Calibri"/>
              </w:rPr>
              <w:t xml:space="preserve"> scenario that includes the relevant VLM for the local/regional area (from </w:t>
            </w:r>
            <w:r w:rsidR="00330EF4">
              <w:rPr>
                <w:rFonts w:eastAsia="Calibri"/>
              </w:rPr>
              <w:t>t</w:t>
            </w:r>
            <w:r w:rsidRPr="00674239">
              <w:rPr>
                <w:rFonts w:eastAsia="Calibri"/>
              </w:rPr>
              <w:t>able 1</w:t>
            </w:r>
            <w:r w:rsidR="00330EF4">
              <w:rPr>
                <w:rFonts w:eastAsia="Calibri"/>
              </w:rPr>
              <w:t>;</w:t>
            </w:r>
            <w:r w:rsidRPr="00674239">
              <w:rPr>
                <w:rFonts w:eastAsia="Calibri"/>
              </w:rPr>
              <w:t xml:space="preserve"> </w:t>
            </w:r>
            <w:proofErr w:type="gramStart"/>
            <w:r w:rsidRPr="00674239">
              <w:rPr>
                <w:rFonts w:eastAsia="Calibri"/>
              </w:rPr>
              <w:t>typically</w:t>
            </w:r>
            <w:proofErr w:type="gramEnd"/>
            <w:r w:rsidRPr="00674239">
              <w:rPr>
                <w:rFonts w:eastAsia="Calibri"/>
              </w:rPr>
              <w:t xml:space="preserve"> 1.7</w:t>
            </w:r>
            <w:r w:rsidR="00330EF4">
              <w:rPr>
                <w:rFonts w:eastAsia="Calibri"/>
              </w:rPr>
              <w:t xml:space="preserve"> </w:t>
            </w:r>
            <w:r w:rsidRPr="00674239">
              <w:rPr>
                <w:rFonts w:eastAsia="Calibri"/>
              </w:rPr>
              <w:t xml:space="preserve">m rise in regional MSL </w:t>
            </w:r>
            <w:r w:rsidR="00BD3F8A">
              <w:rPr>
                <w:rFonts w:eastAsia="Calibri"/>
              </w:rPr>
              <w:t xml:space="preserve">before </w:t>
            </w:r>
            <w:r w:rsidRPr="00674239">
              <w:rPr>
                <w:rFonts w:eastAsia="Calibri"/>
              </w:rPr>
              <w:t>including VLM). Also, check the lifetime and utility of new developments using the median RSLR projections for the “low</w:t>
            </w:r>
            <w:r w:rsidR="00330EF4">
              <w:rPr>
                <w:rFonts w:eastAsia="Calibri"/>
              </w:rPr>
              <w:t xml:space="preserve"> </w:t>
            </w:r>
            <w:r w:rsidRPr="00674239">
              <w:rPr>
                <w:rFonts w:eastAsia="Calibri"/>
              </w:rPr>
              <w:t xml:space="preserve">confidence” SSP scenarios </w:t>
            </w:r>
            <w:r w:rsidRPr="00674239" w:rsidDel="00330EF4">
              <w:rPr>
                <w:rFonts w:eastAsia="Calibri"/>
              </w:rPr>
              <w:t xml:space="preserve">out </w:t>
            </w:r>
            <w:r w:rsidRPr="00674239">
              <w:rPr>
                <w:rFonts w:eastAsia="Calibri"/>
              </w:rPr>
              <w:t>to 2150 and beyond.</w:t>
            </w:r>
          </w:p>
        </w:tc>
      </w:tr>
      <w:tr w:rsidR="00674239" w:rsidRPr="00674239" w14:paraId="55E1AB28" w14:textId="77777777" w:rsidTr="008B6DA9">
        <w:tc>
          <w:tcPr>
            <w:tcW w:w="1008" w:type="dxa"/>
          </w:tcPr>
          <w:p w14:paraId="63FF1331" w14:textId="77777777" w:rsidR="00674239" w:rsidRPr="00674239" w:rsidRDefault="00674239" w:rsidP="00674239">
            <w:pPr>
              <w:pStyle w:val="TableText"/>
              <w:rPr>
                <w:rFonts w:eastAsia="Calibri"/>
              </w:rPr>
            </w:pPr>
            <w:r w:rsidRPr="00674239">
              <w:rPr>
                <w:rFonts w:eastAsia="Calibri"/>
              </w:rPr>
              <w:t>B</w:t>
            </w:r>
          </w:p>
        </w:tc>
        <w:tc>
          <w:tcPr>
            <w:tcW w:w="2011" w:type="dxa"/>
          </w:tcPr>
          <w:p w14:paraId="4B902F1E" w14:textId="5A1BCDA7" w:rsidR="00674239" w:rsidRPr="00674239" w:rsidRDefault="00674239" w:rsidP="00674239">
            <w:pPr>
              <w:pStyle w:val="TableText"/>
              <w:rPr>
                <w:rFonts w:eastAsia="Calibri"/>
              </w:rPr>
            </w:pPr>
            <w:r w:rsidRPr="00674239">
              <w:rPr>
                <w:rFonts w:eastAsia="Calibri"/>
              </w:rPr>
              <w:t>Changes in land use and redevelopment (intensification)</w:t>
            </w:r>
          </w:p>
        </w:tc>
        <w:tc>
          <w:tcPr>
            <w:tcW w:w="2506" w:type="dxa"/>
          </w:tcPr>
          <w:p w14:paraId="756C7673" w14:textId="4EC7A1A7" w:rsidR="00674239" w:rsidRPr="00674239" w:rsidRDefault="00674239" w:rsidP="00674239">
            <w:pPr>
              <w:pStyle w:val="TableText"/>
              <w:rPr>
                <w:rFonts w:eastAsia="Calibri"/>
                <w:i/>
                <w:iCs/>
              </w:rPr>
            </w:pPr>
            <w:r w:rsidRPr="00674239">
              <w:rPr>
                <w:rFonts w:eastAsia="Calibri"/>
                <w:i/>
                <w:iCs/>
              </w:rPr>
              <w:t>Adapt to hazards by conducting a risk assessment using the range of scenarios and the pathways approach</w:t>
            </w:r>
          </w:p>
        </w:tc>
        <w:tc>
          <w:tcPr>
            <w:tcW w:w="2980" w:type="dxa"/>
          </w:tcPr>
          <w:p w14:paraId="5D0910D6" w14:textId="73459842" w:rsidR="00674239" w:rsidRPr="00674239" w:rsidRDefault="00674239" w:rsidP="00674239">
            <w:pPr>
              <w:pStyle w:val="TableText"/>
              <w:rPr>
                <w:rFonts w:eastAsia="Calibri"/>
              </w:rPr>
            </w:pPr>
            <w:r w:rsidRPr="00674239">
              <w:rPr>
                <w:rFonts w:eastAsia="Calibri"/>
              </w:rPr>
              <w:t xml:space="preserve">Adapt to hazards by conducting a risk assessment using the range of updated “medium confidence” RSLR scenarios (including VLM) </w:t>
            </w:r>
            <w:r w:rsidRPr="00674239" w:rsidDel="00330EF4">
              <w:rPr>
                <w:rFonts w:eastAsia="Calibri"/>
              </w:rPr>
              <w:t xml:space="preserve">out </w:t>
            </w:r>
            <w:r w:rsidRPr="00674239">
              <w:rPr>
                <w:rFonts w:eastAsia="Calibri"/>
              </w:rPr>
              <w:t xml:space="preserve">to </w:t>
            </w:r>
            <w:r w:rsidRPr="009D6000">
              <w:rPr>
                <w:rFonts w:eastAsia="Calibri"/>
                <w:b/>
              </w:rPr>
              <w:t>2130</w:t>
            </w:r>
            <w:r w:rsidRPr="00674239">
              <w:rPr>
                <w:rFonts w:eastAsia="Calibri"/>
              </w:rPr>
              <w:t xml:space="preserve"> with the dynamic adaptive pathways planning approach; </w:t>
            </w:r>
            <w:r w:rsidRPr="009D6000">
              <w:rPr>
                <w:rFonts w:eastAsia="Calibri"/>
              </w:rPr>
              <w:t>or if a more immediate decision is needed:</w:t>
            </w:r>
          </w:p>
          <w:p w14:paraId="3FD7D3B5" w14:textId="5DAD1E06" w:rsidR="00674239" w:rsidRPr="00674239" w:rsidRDefault="00834278" w:rsidP="000E0943">
            <w:pPr>
              <w:pStyle w:val="TableBullet"/>
            </w:pPr>
            <w:r>
              <w:t>a</w:t>
            </w:r>
            <w:r w:rsidR="00674239" w:rsidRPr="00674239">
              <w:t xml:space="preserve">void new and increased hazard risk by using “medium confidence” sea-level rise </w:t>
            </w:r>
            <w:r w:rsidR="00674239" w:rsidRPr="00674239" w:rsidDel="005B1E88">
              <w:t xml:space="preserve">out </w:t>
            </w:r>
            <w:r w:rsidR="00674239" w:rsidRPr="00674239">
              <w:t xml:space="preserve">to </w:t>
            </w:r>
            <w:r w:rsidR="00674239" w:rsidRPr="009D6000">
              <w:rPr>
                <w:b/>
              </w:rPr>
              <w:t>2130</w:t>
            </w:r>
            <w:r w:rsidR="00674239" w:rsidRPr="00674239">
              <w:t xml:space="preserve"> and the SSP5-8.5 H+ (</w:t>
            </w:r>
            <w:r w:rsidR="00674239" w:rsidRPr="00674239">
              <w:rPr>
                <w:i/>
                <w:iCs/>
              </w:rPr>
              <w:t>83</w:t>
            </w:r>
            <w:r w:rsidR="00674239" w:rsidRPr="00674239">
              <w:rPr>
                <w:i/>
                <w:iCs/>
                <w:vertAlign w:val="superscript"/>
              </w:rPr>
              <w:t>rd</w:t>
            </w:r>
            <w:r w:rsidR="00674239" w:rsidRPr="00674239">
              <w:rPr>
                <w:i/>
                <w:iCs/>
              </w:rPr>
              <w:t xml:space="preserve"> percentile SSP5-8.5 or p83</w:t>
            </w:r>
            <w:r w:rsidR="00674239" w:rsidRPr="00674239">
              <w:t xml:space="preserve">) scenario that includes the relevant VLM for the local/regional area (from </w:t>
            </w:r>
            <w:r w:rsidR="005B1E88">
              <w:t>t</w:t>
            </w:r>
            <w:r w:rsidR="00674239" w:rsidRPr="00674239">
              <w:t>able 1</w:t>
            </w:r>
            <w:r w:rsidR="005B1E88">
              <w:t>;</w:t>
            </w:r>
            <w:r w:rsidR="00674239" w:rsidRPr="00674239">
              <w:t xml:space="preserve"> </w:t>
            </w:r>
            <w:proofErr w:type="gramStart"/>
            <w:r w:rsidR="00674239" w:rsidRPr="00674239">
              <w:t>typically</w:t>
            </w:r>
            <w:proofErr w:type="gramEnd"/>
            <w:r w:rsidR="00674239" w:rsidRPr="00674239">
              <w:t xml:space="preserve"> 1.7</w:t>
            </w:r>
            <w:r w:rsidR="005B1E88">
              <w:t xml:space="preserve"> </w:t>
            </w:r>
            <w:r w:rsidR="00674239" w:rsidRPr="00674239">
              <w:t>m rise in regional MSL</w:t>
            </w:r>
            <w:r w:rsidR="00BD3F8A">
              <w:t xml:space="preserve"> before</w:t>
            </w:r>
            <w:r w:rsidR="00674239" w:rsidRPr="00674239">
              <w:t xml:space="preserve"> including VLM).</w:t>
            </w:r>
          </w:p>
        </w:tc>
      </w:tr>
      <w:tr w:rsidR="00674239" w:rsidRPr="00674239" w14:paraId="3ABD0CDE" w14:textId="77777777" w:rsidTr="008B6DA9">
        <w:tc>
          <w:tcPr>
            <w:tcW w:w="1008" w:type="dxa"/>
          </w:tcPr>
          <w:p w14:paraId="4D7006A8" w14:textId="77777777" w:rsidR="00674239" w:rsidRPr="00674239" w:rsidRDefault="00674239" w:rsidP="00674239">
            <w:pPr>
              <w:pStyle w:val="TableText"/>
              <w:rPr>
                <w:rFonts w:eastAsia="Calibri"/>
              </w:rPr>
            </w:pPr>
            <w:r w:rsidRPr="00674239">
              <w:rPr>
                <w:rFonts w:eastAsia="Calibri"/>
              </w:rPr>
              <w:t>C</w:t>
            </w:r>
          </w:p>
        </w:tc>
        <w:tc>
          <w:tcPr>
            <w:tcW w:w="2011" w:type="dxa"/>
          </w:tcPr>
          <w:p w14:paraId="5DBC2ECD" w14:textId="79A68F69" w:rsidR="00674239" w:rsidRPr="00674239" w:rsidRDefault="00674239" w:rsidP="00674239">
            <w:pPr>
              <w:pStyle w:val="TableText"/>
              <w:rPr>
                <w:rFonts w:eastAsia="Calibri"/>
              </w:rPr>
            </w:pPr>
            <w:r w:rsidRPr="00674239">
              <w:rPr>
                <w:rFonts w:eastAsia="Calibri"/>
              </w:rPr>
              <w:t>Land-use planning controls for existing coastal development and assets planning. Use of single values at local/district scale transitional until dynamic adaptive pathways planning is undertaken</w:t>
            </w:r>
          </w:p>
        </w:tc>
        <w:tc>
          <w:tcPr>
            <w:tcW w:w="2506" w:type="dxa"/>
          </w:tcPr>
          <w:p w14:paraId="4ABC31D2" w14:textId="77777777" w:rsidR="00674239" w:rsidRPr="00674239" w:rsidRDefault="00674239" w:rsidP="00674239">
            <w:pPr>
              <w:pStyle w:val="TableText"/>
              <w:rPr>
                <w:rFonts w:eastAsia="Calibri"/>
                <w:i/>
                <w:iCs/>
              </w:rPr>
            </w:pPr>
            <w:r w:rsidRPr="00674239">
              <w:rPr>
                <w:rFonts w:eastAsia="Calibri"/>
                <w:i/>
                <w:iCs/>
              </w:rPr>
              <w:t>1.0 m sea-level rise</w:t>
            </w:r>
          </w:p>
        </w:tc>
        <w:tc>
          <w:tcPr>
            <w:tcW w:w="2980" w:type="dxa"/>
          </w:tcPr>
          <w:p w14:paraId="30D01B88" w14:textId="7D55DA74" w:rsidR="00674239" w:rsidRPr="00674239" w:rsidRDefault="00674239" w:rsidP="00674239">
            <w:pPr>
              <w:pStyle w:val="TableText"/>
              <w:rPr>
                <w:rFonts w:eastAsia="Calibri"/>
              </w:rPr>
            </w:pPr>
            <w:r w:rsidRPr="00674239">
              <w:rPr>
                <w:rFonts w:eastAsia="Calibri"/>
              </w:rPr>
              <w:t>Use the SSP5</w:t>
            </w:r>
            <w:r w:rsidR="00105913">
              <w:rPr>
                <w:rFonts w:eastAsia="Calibri"/>
              </w:rPr>
              <w:t>-</w:t>
            </w:r>
            <w:r w:rsidRPr="00674239">
              <w:rPr>
                <w:rFonts w:eastAsia="Calibri"/>
              </w:rPr>
              <w:t xml:space="preserve">8.5 M scenario </w:t>
            </w:r>
            <w:r w:rsidRPr="00674239" w:rsidDel="005B1E88">
              <w:rPr>
                <w:rFonts w:eastAsia="Calibri"/>
              </w:rPr>
              <w:t xml:space="preserve">out </w:t>
            </w:r>
            <w:r w:rsidRPr="00674239">
              <w:rPr>
                <w:rFonts w:eastAsia="Calibri"/>
              </w:rPr>
              <w:t xml:space="preserve">to </w:t>
            </w:r>
            <w:r w:rsidRPr="009D6000">
              <w:rPr>
                <w:rFonts w:eastAsia="Calibri"/>
                <w:b/>
              </w:rPr>
              <w:t>2130</w:t>
            </w:r>
            <w:r w:rsidR="005B1E88" w:rsidRPr="009D6000">
              <w:rPr>
                <w:rFonts w:eastAsia="Calibri"/>
              </w:rPr>
              <w:t>, which</w:t>
            </w:r>
            <w:r w:rsidRPr="00674239">
              <w:rPr>
                <w:rFonts w:eastAsia="Calibri"/>
              </w:rPr>
              <w:t xml:space="preserve"> includes the relevant VLM for the local/regional area (from </w:t>
            </w:r>
            <w:r w:rsidR="005B1E88">
              <w:rPr>
                <w:rFonts w:eastAsia="Calibri"/>
              </w:rPr>
              <w:t>t</w:t>
            </w:r>
            <w:r w:rsidRPr="00674239">
              <w:rPr>
                <w:rFonts w:eastAsia="Calibri"/>
              </w:rPr>
              <w:t>able 1</w:t>
            </w:r>
            <w:r w:rsidR="005B1E88">
              <w:rPr>
                <w:rFonts w:eastAsia="Calibri"/>
              </w:rPr>
              <w:t>;</w:t>
            </w:r>
            <w:r w:rsidRPr="00674239">
              <w:rPr>
                <w:rFonts w:eastAsia="Calibri"/>
              </w:rPr>
              <w:t xml:space="preserve"> </w:t>
            </w:r>
            <w:proofErr w:type="gramStart"/>
            <w:r w:rsidRPr="00674239">
              <w:rPr>
                <w:rFonts w:eastAsia="Calibri"/>
              </w:rPr>
              <w:t>typically</w:t>
            </w:r>
            <w:proofErr w:type="gramEnd"/>
            <w:r w:rsidRPr="00674239">
              <w:rPr>
                <w:rFonts w:eastAsia="Calibri"/>
              </w:rPr>
              <w:t xml:space="preserve"> 1.2</w:t>
            </w:r>
            <w:r w:rsidR="005B1E88">
              <w:rPr>
                <w:rFonts w:eastAsia="Calibri"/>
              </w:rPr>
              <w:t xml:space="preserve"> </w:t>
            </w:r>
            <w:r w:rsidRPr="00674239">
              <w:rPr>
                <w:rFonts w:eastAsia="Calibri"/>
              </w:rPr>
              <w:t>m rise in regional MSL</w:t>
            </w:r>
            <w:r w:rsidR="00BD3F8A">
              <w:rPr>
                <w:rFonts w:eastAsia="Calibri"/>
              </w:rPr>
              <w:t xml:space="preserve"> before</w:t>
            </w:r>
            <w:r w:rsidRPr="00674239">
              <w:rPr>
                <w:rFonts w:eastAsia="Calibri"/>
              </w:rPr>
              <w:t xml:space="preserve"> including VLM)</w:t>
            </w:r>
            <w:r w:rsidR="005B1E88">
              <w:rPr>
                <w:rFonts w:eastAsia="Calibri"/>
              </w:rPr>
              <w:t>.</w:t>
            </w:r>
          </w:p>
        </w:tc>
      </w:tr>
      <w:tr w:rsidR="00674239" w:rsidRPr="00674239" w14:paraId="1FCF9ADC" w14:textId="77777777" w:rsidTr="008B6DA9">
        <w:tc>
          <w:tcPr>
            <w:tcW w:w="1008" w:type="dxa"/>
          </w:tcPr>
          <w:p w14:paraId="01A38009" w14:textId="77777777" w:rsidR="00674239" w:rsidRPr="00674239" w:rsidRDefault="00674239" w:rsidP="00674239">
            <w:pPr>
              <w:pStyle w:val="TableText"/>
              <w:rPr>
                <w:rFonts w:eastAsia="Calibri"/>
              </w:rPr>
            </w:pPr>
            <w:r w:rsidRPr="00674239">
              <w:rPr>
                <w:rFonts w:eastAsia="Calibri"/>
              </w:rPr>
              <w:t>D</w:t>
            </w:r>
          </w:p>
        </w:tc>
        <w:tc>
          <w:tcPr>
            <w:tcW w:w="2011" w:type="dxa"/>
          </w:tcPr>
          <w:p w14:paraId="78739582" w14:textId="228AF5F0" w:rsidR="00674239" w:rsidRPr="00674239" w:rsidRDefault="00674239" w:rsidP="00674239">
            <w:pPr>
              <w:pStyle w:val="TableText"/>
              <w:rPr>
                <w:rFonts w:eastAsia="Calibri"/>
              </w:rPr>
            </w:pPr>
            <w:r w:rsidRPr="00674239">
              <w:rPr>
                <w:rFonts w:eastAsia="Calibri"/>
              </w:rPr>
              <w:t>Non-habitable</w:t>
            </w:r>
            <w:r w:rsidR="005B1E88">
              <w:rPr>
                <w:rFonts w:eastAsia="Calibri"/>
              </w:rPr>
              <w:t>,</w:t>
            </w:r>
            <w:r w:rsidRPr="00674239">
              <w:rPr>
                <w:rFonts w:eastAsia="Calibri"/>
              </w:rPr>
              <w:t xml:space="preserve"> short-lived assets with a functional need to be at the coast, and either low-consequences or readily adaptable (including services)</w:t>
            </w:r>
          </w:p>
        </w:tc>
        <w:tc>
          <w:tcPr>
            <w:tcW w:w="2506" w:type="dxa"/>
          </w:tcPr>
          <w:p w14:paraId="5B2682A9" w14:textId="77777777" w:rsidR="00674239" w:rsidRPr="00674239" w:rsidRDefault="00674239" w:rsidP="00674239">
            <w:pPr>
              <w:pStyle w:val="TableText"/>
              <w:rPr>
                <w:rFonts w:eastAsia="Calibri"/>
                <w:i/>
                <w:iCs/>
              </w:rPr>
            </w:pPr>
            <w:r w:rsidRPr="00674239">
              <w:rPr>
                <w:rFonts w:eastAsia="Calibri"/>
                <w:i/>
                <w:iCs/>
              </w:rPr>
              <w:t>0.65 m sea-level rise</w:t>
            </w:r>
          </w:p>
        </w:tc>
        <w:tc>
          <w:tcPr>
            <w:tcW w:w="2980" w:type="dxa"/>
          </w:tcPr>
          <w:p w14:paraId="6F6F6702" w14:textId="4520ABC6" w:rsidR="00674239" w:rsidRPr="00674239" w:rsidRDefault="00674239" w:rsidP="00674239">
            <w:pPr>
              <w:pStyle w:val="TableText"/>
              <w:rPr>
                <w:rFonts w:eastAsia="Calibri"/>
              </w:rPr>
            </w:pPr>
            <w:r w:rsidRPr="00674239">
              <w:rPr>
                <w:rFonts w:eastAsia="Calibri"/>
              </w:rPr>
              <w:t>Use the SSP5</w:t>
            </w:r>
            <w:r w:rsidR="00105913">
              <w:rPr>
                <w:rFonts w:eastAsia="Calibri"/>
              </w:rPr>
              <w:t>-</w:t>
            </w:r>
            <w:r w:rsidRPr="00674239">
              <w:rPr>
                <w:rFonts w:eastAsia="Calibri"/>
              </w:rPr>
              <w:t xml:space="preserve">8.5 M scenario </w:t>
            </w:r>
            <w:r w:rsidRPr="00674239" w:rsidDel="005B1E88">
              <w:rPr>
                <w:rFonts w:eastAsia="Calibri"/>
              </w:rPr>
              <w:t xml:space="preserve">out </w:t>
            </w:r>
            <w:r w:rsidRPr="00674239">
              <w:rPr>
                <w:rFonts w:eastAsia="Calibri"/>
              </w:rPr>
              <w:t xml:space="preserve">to </w:t>
            </w:r>
            <w:r w:rsidRPr="009D6000">
              <w:rPr>
                <w:rFonts w:eastAsia="Calibri"/>
                <w:b/>
              </w:rPr>
              <w:t>2090</w:t>
            </w:r>
            <w:r w:rsidRPr="00674239">
              <w:rPr>
                <w:rFonts w:eastAsia="Calibri"/>
              </w:rPr>
              <w:t xml:space="preserve"> that includes the relevant VLM for the local/regional area (from </w:t>
            </w:r>
            <w:r w:rsidR="005B1E88">
              <w:rPr>
                <w:rFonts w:eastAsia="Calibri"/>
              </w:rPr>
              <w:t>t</w:t>
            </w:r>
            <w:r w:rsidRPr="00674239">
              <w:rPr>
                <w:rFonts w:eastAsia="Calibri"/>
              </w:rPr>
              <w:t>able 1</w:t>
            </w:r>
            <w:r w:rsidR="005B1E88">
              <w:rPr>
                <w:rFonts w:eastAsia="Calibri"/>
              </w:rPr>
              <w:t>;</w:t>
            </w:r>
            <w:r w:rsidRPr="00674239">
              <w:rPr>
                <w:rFonts w:eastAsia="Calibri"/>
              </w:rPr>
              <w:t xml:space="preserve"> </w:t>
            </w:r>
            <w:proofErr w:type="gramStart"/>
            <w:r w:rsidRPr="00674239">
              <w:rPr>
                <w:rFonts w:eastAsia="Calibri"/>
              </w:rPr>
              <w:t>typically</w:t>
            </w:r>
            <w:proofErr w:type="gramEnd"/>
            <w:r w:rsidRPr="00674239">
              <w:rPr>
                <w:rFonts w:eastAsia="Calibri"/>
              </w:rPr>
              <w:t xml:space="preserve"> 0.7</w:t>
            </w:r>
            <w:r w:rsidR="005B1E88">
              <w:rPr>
                <w:rFonts w:eastAsia="Calibri"/>
              </w:rPr>
              <w:t xml:space="preserve"> </w:t>
            </w:r>
            <w:r w:rsidRPr="00674239">
              <w:rPr>
                <w:rFonts w:eastAsia="Calibri"/>
              </w:rPr>
              <w:t xml:space="preserve">m rise in regional MSL </w:t>
            </w:r>
            <w:r w:rsidR="00BD3F8A">
              <w:rPr>
                <w:rFonts w:eastAsia="Calibri"/>
              </w:rPr>
              <w:t xml:space="preserve">before </w:t>
            </w:r>
            <w:r w:rsidRPr="00674239">
              <w:rPr>
                <w:rFonts w:eastAsia="Calibri"/>
              </w:rPr>
              <w:t>including VLM)</w:t>
            </w:r>
            <w:r w:rsidR="005B1E88">
              <w:rPr>
                <w:rFonts w:eastAsia="Calibri"/>
              </w:rPr>
              <w:t>.</w:t>
            </w:r>
          </w:p>
        </w:tc>
      </w:tr>
    </w:tbl>
    <w:p w14:paraId="3F1B90BC" w14:textId="179594F7" w:rsidR="00674D5A" w:rsidRDefault="00674D5A" w:rsidP="00674D5A">
      <w:pPr>
        <w:pStyle w:val="Note"/>
        <w:rPr>
          <w:rFonts w:eastAsia="Calibri"/>
        </w:rPr>
      </w:pPr>
      <w:r w:rsidRPr="00674D5A">
        <w:rPr>
          <w:rFonts w:eastAsia="Calibri"/>
          <w:b/>
          <w:bCs/>
        </w:rPr>
        <w:t xml:space="preserve">Notes for </w:t>
      </w:r>
      <w:r w:rsidR="009227CA">
        <w:rPr>
          <w:rFonts w:eastAsia="Calibri"/>
          <w:b/>
          <w:bCs/>
        </w:rPr>
        <w:t>t</w:t>
      </w:r>
      <w:r w:rsidRPr="00674D5A">
        <w:rPr>
          <w:rFonts w:eastAsia="Calibri"/>
          <w:b/>
          <w:bCs/>
        </w:rPr>
        <w:t>able 3:</w:t>
      </w:r>
      <w:r>
        <w:rPr>
          <w:rFonts w:eastAsia="Calibri"/>
        </w:rPr>
        <w:t xml:space="preserve"> </w:t>
      </w:r>
      <w:r w:rsidRPr="00674239">
        <w:rPr>
          <w:rFonts w:eastAsia="Calibri"/>
        </w:rPr>
        <w:t>Recommended updates (</w:t>
      </w:r>
      <w:r w:rsidRPr="009D6000">
        <w:rPr>
          <w:rFonts w:eastAsia="Calibri"/>
        </w:rPr>
        <w:t>last column</w:t>
      </w:r>
      <w:r w:rsidRPr="00674239">
        <w:rPr>
          <w:rFonts w:eastAsia="Calibri"/>
        </w:rPr>
        <w:t xml:space="preserve">) to the minimum transitional procedures or RSLR allowances, </w:t>
      </w:r>
      <w:r w:rsidR="000E0943">
        <w:rPr>
          <w:rFonts w:eastAsia="Calibri"/>
        </w:rPr>
        <w:t xml:space="preserve">are </w:t>
      </w:r>
      <w:r w:rsidRPr="00674239">
        <w:rPr>
          <w:rFonts w:eastAsia="Calibri"/>
        </w:rPr>
        <w:t xml:space="preserve">for use in planning instruments while in transition towards a DAPP strategy. </w:t>
      </w:r>
      <w:r w:rsidRPr="00674239">
        <w:rPr>
          <w:rFonts w:eastAsia="Calibri"/>
          <w:i/>
        </w:rPr>
        <w:t>VLM = vertical land movement; p83= 83</w:t>
      </w:r>
      <w:r w:rsidRPr="00674239">
        <w:rPr>
          <w:rFonts w:eastAsia="Calibri"/>
          <w:i/>
          <w:vertAlign w:val="superscript"/>
        </w:rPr>
        <w:t>rd</w:t>
      </w:r>
      <w:r w:rsidRPr="00674239">
        <w:rPr>
          <w:rFonts w:eastAsia="Calibri"/>
          <w:i/>
        </w:rPr>
        <w:t xml:space="preserve"> percentile (top of shaded likely range)</w:t>
      </w:r>
      <w:r w:rsidR="005B1E88">
        <w:rPr>
          <w:rFonts w:eastAsia="Calibri"/>
          <w:i/>
        </w:rPr>
        <w:t>.</w:t>
      </w:r>
    </w:p>
    <w:p w14:paraId="07D1F887" w14:textId="6B344CF4" w:rsidR="008B6DA9" w:rsidRPr="008B6DA9" w:rsidRDefault="008B6DA9" w:rsidP="003D7BC0">
      <w:pPr>
        <w:pStyle w:val="Heading3"/>
        <w:spacing w:after="240"/>
        <w:rPr>
          <w:rFonts w:eastAsia="Calibri"/>
        </w:rPr>
      </w:pPr>
      <w:bookmarkStart w:id="46" w:name="_Toc109397584"/>
      <w:bookmarkStart w:id="47" w:name="_Toc109809086"/>
      <w:r w:rsidRPr="008B6DA9">
        <w:rPr>
          <w:rFonts w:eastAsia="Calibri"/>
        </w:rPr>
        <w:t>Reasons for changes to the minimum transitional guidance</w:t>
      </w:r>
      <w:bookmarkEnd w:id="46"/>
      <w:bookmarkEnd w:id="47"/>
    </w:p>
    <w:p w14:paraId="1D37FE94" w14:textId="16142278" w:rsidR="008B6DA9" w:rsidRPr="008B6DA9" w:rsidRDefault="008B6DA9" w:rsidP="008B6DA9">
      <w:pPr>
        <w:pStyle w:val="Bullet"/>
        <w:rPr>
          <w:rFonts w:eastAsia="Calibri"/>
        </w:rPr>
      </w:pPr>
      <w:r w:rsidRPr="008B6DA9">
        <w:rPr>
          <w:rFonts w:eastAsia="Calibri"/>
        </w:rPr>
        <w:t xml:space="preserve">Five years have passed since the 2017 </w:t>
      </w:r>
      <w:r w:rsidR="00F65DC1">
        <w:rPr>
          <w:rFonts w:eastAsia="Calibri"/>
        </w:rPr>
        <w:t>coastal hazards</w:t>
      </w:r>
      <w:r w:rsidRPr="008B6DA9">
        <w:rPr>
          <w:rFonts w:eastAsia="Calibri"/>
        </w:rPr>
        <w:t xml:space="preserve"> guidance was written. The requirement for a planning horizon of “… at least 100 years” (NZCPS), the ongoing nature of sea-level rise</w:t>
      </w:r>
      <w:r w:rsidR="005B1E88">
        <w:rPr>
          <w:rFonts w:eastAsia="Calibri"/>
        </w:rPr>
        <w:t>,</w:t>
      </w:r>
      <w:r w:rsidRPr="008B6DA9">
        <w:rPr>
          <w:rFonts w:eastAsia="Calibri"/>
        </w:rPr>
        <w:t xml:space="preserve"> and the availability of reliable projections to 2150 from IPCC and </w:t>
      </w:r>
      <w:proofErr w:type="spellStart"/>
      <w:r w:rsidRPr="008B6DA9">
        <w:rPr>
          <w:rFonts w:eastAsia="Calibri"/>
        </w:rPr>
        <w:t>NZSeaRise</w:t>
      </w:r>
      <w:proofErr w:type="spellEnd"/>
      <w:r w:rsidR="009B19A8">
        <w:rPr>
          <w:rFonts w:eastAsia="Calibri"/>
        </w:rPr>
        <w:t xml:space="preserve"> means we have set</w:t>
      </w:r>
      <w:r w:rsidRPr="008B6DA9">
        <w:rPr>
          <w:rFonts w:eastAsia="Calibri"/>
        </w:rPr>
        <w:t xml:space="preserve"> the planning timeframe to 2130 for </w:t>
      </w:r>
      <w:r w:rsidR="00D57B43">
        <w:rPr>
          <w:rFonts w:eastAsia="Calibri"/>
        </w:rPr>
        <w:t>c</w:t>
      </w:r>
      <w:r w:rsidRPr="008B6DA9">
        <w:rPr>
          <w:rFonts w:eastAsia="Calibri"/>
        </w:rPr>
        <w:t xml:space="preserve">ategories A </w:t>
      </w:r>
      <w:r w:rsidR="009B19A8">
        <w:rPr>
          <w:rFonts w:eastAsia="Calibri"/>
        </w:rPr>
        <w:t>and</w:t>
      </w:r>
      <w:r w:rsidRPr="008B6DA9">
        <w:rPr>
          <w:rFonts w:eastAsia="Calibri"/>
        </w:rPr>
        <w:t xml:space="preserve"> B. In the 2017 </w:t>
      </w:r>
      <w:r w:rsidR="00F65DC1">
        <w:rPr>
          <w:rFonts w:eastAsia="Calibri"/>
        </w:rPr>
        <w:t xml:space="preserve">coastal hazards </w:t>
      </w:r>
      <w:r w:rsidRPr="008B6DA9">
        <w:rPr>
          <w:rFonts w:eastAsia="Calibri"/>
        </w:rPr>
        <w:t>guidance</w:t>
      </w:r>
      <w:r w:rsidR="009B19A8">
        <w:rPr>
          <w:rFonts w:eastAsia="Calibri"/>
        </w:rPr>
        <w:t>, the timeframe</w:t>
      </w:r>
      <w:r w:rsidRPr="008B6DA9" w:rsidDel="009B19A8">
        <w:rPr>
          <w:rFonts w:eastAsia="Calibri"/>
        </w:rPr>
        <w:t xml:space="preserve"> </w:t>
      </w:r>
      <w:r w:rsidRPr="008B6DA9">
        <w:rPr>
          <w:rFonts w:eastAsia="Calibri"/>
        </w:rPr>
        <w:t>was set at “… over more than 100 years”, which was often interpreted a</w:t>
      </w:r>
      <w:r w:rsidR="009B19A8">
        <w:rPr>
          <w:rFonts w:eastAsia="Calibri"/>
        </w:rPr>
        <w:t>s</w:t>
      </w:r>
      <w:r w:rsidRPr="008B6DA9">
        <w:rPr>
          <w:rFonts w:eastAsia="Calibri"/>
        </w:rPr>
        <w:t xml:space="preserve"> 2120. Making the planning horizon longer in the transitional guidance also acknowledges that resource</w:t>
      </w:r>
      <w:r w:rsidR="009B19A8">
        <w:rPr>
          <w:rFonts w:eastAsia="Calibri"/>
        </w:rPr>
        <w:t xml:space="preserve"> </w:t>
      </w:r>
      <w:r w:rsidRPr="008B6DA9">
        <w:rPr>
          <w:rFonts w:eastAsia="Calibri"/>
        </w:rPr>
        <w:t>management plans</w:t>
      </w:r>
      <w:r w:rsidR="009B19A8">
        <w:rPr>
          <w:rFonts w:eastAsia="Calibri"/>
        </w:rPr>
        <w:t>,</w:t>
      </w:r>
      <w:r w:rsidRPr="008B6DA9">
        <w:rPr>
          <w:rFonts w:eastAsia="Calibri"/>
        </w:rPr>
        <w:t xml:space="preserve"> in conjunction with DAPP strategies, may take some years to become operative, as will the new resource management reforms.</w:t>
      </w:r>
    </w:p>
    <w:p w14:paraId="082E3BB3" w14:textId="3C3198EB" w:rsidR="008B6DA9" w:rsidRPr="008B6DA9" w:rsidRDefault="009B19A8" w:rsidP="008B6DA9">
      <w:pPr>
        <w:pStyle w:val="Bullet"/>
        <w:rPr>
          <w:rFonts w:eastAsia="Calibri"/>
        </w:rPr>
      </w:pPr>
      <w:r>
        <w:rPr>
          <w:rFonts w:eastAsia="Calibri"/>
        </w:rPr>
        <w:t>T</w:t>
      </w:r>
      <w:r w:rsidR="008B6DA9" w:rsidRPr="008B6DA9">
        <w:rPr>
          <w:rFonts w:eastAsia="Calibri"/>
        </w:rPr>
        <w:t>he updated sea-level rise projections national</w:t>
      </w:r>
      <w:r>
        <w:rPr>
          <w:rFonts w:eastAsia="Calibri"/>
        </w:rPr>
        <w:t>ly</w:t>
      </w:r>
      <w:r w:rsidR="008B6DA9" w:rsidRPr="008B6DA9" w:rsidDel="009B19A8">
        <w:rPr>
          <w:rFonts w:eastAsia="Calibri"/>
        </w:rPr>
        <w:t xml:space="preserve"> </w:t>
      </w:r>
      <w:r w:rsidR="008B6DA9" w:rsidRPr="008B6DA9">
        <w:rPr>
          <w:rFonts w:eastAsia="Calibri"/>
        </w:rPr>
        <w:t>for Aotearoa</w:t>
      </w:r>
      <w:r>
        <w:rPr>
          <w:rFonts w:eastAsia="Calibri"/>
        </w:rPr>
        <w:t xml:space="preserve"> </w:t>
      </w:r>
      <w:r w:rsidR="008B6DA9" w:rsidRPr="008B6DA9">
        <w:rPr>
          <w:rFonts w:eastAsia="Calibri"/>
        </w:rPr>
        <w:t xml:space="preserve">New Zealand (excluding VLM) are higher than the equivalent 2017 coastal </w:t>
      </w:r>
      <w:r w:rsidR="00F65DC1">
        <w:rPr>
          <w:rFonts w:eastAsia="Calibri"/>
        </w:rPr>
        <w:t xml:space="preserve">hazards </w:t>
      </w:r>
      <w:r w:rsidR="008B6DA9" w:rsidRPr="008B6DA9">
        <w:rPr>
          <w:rFonts w:eastAsia="Calibri"/>
        </w:rPr>
        <w:t xml:space="preserve">guidance </w:t>
      </w:r>
      <w:r>
        <w:rPr>
          <w:rFonts w:eastAsia="Calibri"/>
        </w:rPr>
        <w:t xml:space="preserve">national </w:t>
      </w:r>
      <w:r w:rsidR="008B6DA9" w:rsidRPr="008B6DA9">
        <w:rPr>
          <w:rFonts w:eastAsia="Calibri"/>
        </w:rPr>
        <w:t>scenarios (</w:t>
      </w:r>
      <w:hyperlink w:anchor="figure1" w:history="1">
        <w:r w:rsidRPr="004046BE">
          <w:rPr>
            <w:rStyle w:val="Hyperlink"/>
            <w:rFonts w:eastAsia="Calibri"/>
          </w:rPr>
          <w:t>f</w:t>
        </w:r>
        <w:r w:rsidR="008B6DA9" w:rsidRPr="004046BE">
          <w:rPr>
            <w:rStyle w:val="Hyperlink"/>
            <w:rFonts w:eastAsia="Calibri"/>
          </w:rPr>
          <w:t>igure 1</w:t>
        </w:r>
      </w:hyperlink>
      <w:r w:rsidR="008B6DA9" w:rsidRPr="008B6DA9">
        <w:rPr>
          <w:rFonts w:eastAsia="Calibri"/>
        </w:rPr>
        <w:t>)</w:t>
      </w:r>
      <w:r>
        <w:rPr>
          <w:rFonts w:eastAsia="Calibri"/>
        </w:rPr>
        <w:t>. As a result, we recommend</w:t>
      </w:r>
      <w:r w:rsidR="008B6DA9" w:rsidRPr="008B6DA9">
        <w:rPr>
          <w:rFonts w:eastAsia="Calibri"/>
        </w:rPr>
        <w:t xml:space="preserve"> somewhat higher sea-level rise allowances and associated planning horizons for </w:t>
      </w:r>
      <w:r w:rsidR="00D57B43">
        <w:rPr>
          <w:rFonts w:eastAsia="Calibri"/>
        </w:rPr>
        <w:t>c</w:t>
      </w:r>
      <w:r w:rsidR="008B6DA9" w:rsidRPr="008B6DA9">
        <w:rPr>
          <w:rFonts w:eastAsia="Calibri"/>
        </w:rPr>
        <w:t>ategories C and D.</w:t>
      </w:r>
    </w:p>
    <w:p w14:paraId="70B503E3" w14:textId="4E220AA2" w:rsidR="008B6DA9" w:rsidRPr="008B6DA9" w:rsidRDefault="008B6DA9" w:rsidP="008B6DA9">
      <w:pPr>
        <w:pStyle w:val="Bullet"/>
        <w:rPr>
          <w:rFonts w:eastAsia="Calibri"/>
        </w:rPr>
      </w:pPr>
      <w:r w:rsidRPr="008B6DA9">
        <w:rPr>
          <w:rFonts w:eastAsia="Calibri"/>
        </w:rPr>
        <w:t>Since the minimum transitional guidance was developed (</w:t>
      </w:r>
      <w:r w:rsidR="009B19A8" w:rsidRPr="008B6DA9">
        <w:rPr>
          <w:rFonts w:eastAsia="Calibri"/>
        </w:rPr>
        <w:t xml:space="preserve">first </w:t>
      </w:r>
      <w:r w:rsidR="009B19A8">
        <w:rPr>
          <w:rFonts w:eastAsia="Calibri"/>
        </w:rPr>
        <w:t>three</w:t>
      </w:r>
      <w:r w:rsidR="009B19A8" w:rsidRPr="008B6DA9">
        <w:rPr>
          <w:rFonts w:eastAsia="Calibri"/>
        </w:rPr>
        <w:t xml:space="preserve"> columns</w:t>
      </w:r>
      <w:r w:rsidR="009B19A8">
        <w:rPr>
          <w:rFonts w:eastAsia="Calibri"/>
          <w:b/>
          <w:bCs/>
        </w:rPr>
        <w:t xml:space="preserve"> </w:t>
      </w:r>
      <w:r w:rsidR="009B19A8" w:rsidRPr="000D0D15">
        <w:rPr>
          <w:rFonts w:eastAsia="Calibri"/>
        </w:rPr>
        <w:t xml:space="preserve">of </w:t>
      </w:r>
      <w:r w:rsidR="009B19A8" w:rsidRPr="004046BE">
        <w:rPr>
          <w:rFonts w:eastAsia="Calibri"/>
        </w:rPr>
        <w:t>t</w:t>
      </w:r>
      <w:r w:rsidRPr="004046BE">
        <w:rPr>
          <w:rFonts w:eastAsia="Calibri"/>
        </w:rPr>
        <w:t>able 3</w:t>
      </w:r>
      <w:r w:rsidR="009B19A8">
        <w:rPr>
          <w:rFonts w:eastAsia="Calibri"/>
        </w:rPr>
        <w:t xml:space="preserve"> in </w:t>
      </w:r>
      <w:r w:rsidR="00854A66">
        <w:rPr>
          <w:rFonts w:eastAsia="Calibri"/>
        </w:rPr>
        <w:t xml:space="preserve">Ministry for the Environment </w:t>
      </w:r>
      <w:r w:rsidR="009B19A8">
        <w:rPr>
          <w:rFonts w:eastAsia="Calibri"/>
        </w:rPr>
        <w:t>2017</w:t>
      </w:r>
      <w:r w:rsidRPr="008B6DA9">
        <w:rPr>
          <w:rFonts w:eastAsia="Calibri"/>
        </w:rPr>
        <w:t>), the NPS-UD became operative in 2020. Tier 1 and 2 councils</w:t>
      </w:r>
      <w:r w:rsidRPr="008B6DA9">
        <w:rPr>
          <w:rFonts w:eastAsia="Calibri"/>
          <w:vertAlign w:val="superscript"/>
        </w:rPr>
        <w:footnoteReference w:id="14"/>
      </w:r>
      <w:r w:rsidRPr="008B6DA9">
        <w:rPr>
          <w:rFonts w:eastAsia="Calibri"/>
        </w:rPr>
        <w:t xml:space="preserve"> are now under tight time and land</w:t>
      </w:r>
      <w:r w:rsidR="0009725F">
        <w:rPr>
          <w:rFonts w:eastAsia="Calibri"/>
        </w:rPr>
        <w:t xml:space="preserve"> </w:t>
      </w:r>
      <w:r w:rsidRPr="008B6DA9">
        <w:rPr>
          <w:rFonts w:eastAsia="Calibri"/>
        </w:rPr>
        <w:t>availability pressures to set aside areas for intensification</w:t>
      </w:r>
      <w:r w:rsidR="0009725F">
        <w:rPr>
          <w:rFonts w:eastAsia="Calibri"/>
        </w:rPr>
        <w:t>. They also have</w:t>
      </w:r>
      <w:r w:rsidRPr="008B6DA9">
        <w:rPr>
          <w:rFonts w:eastAsia="Calibri"/>
        </w:rPr>
        <w:t xml:space="preserve"> few constraining </w:t>
      </w:r>
      <w:r w:rsidRPr="008B6DA9" w:rsidDel="0009725F">
        <w:rPr>
          <w:rFonts w:eastAsia="Calibri"/>
        </w:rPr>
        <w:t xml:space="preserve">qualifying </w:t>
      </w:r>
      <w:r w:rsidRPr="008B6DA9">
        <w:rPr>
          <w:rFonts w:eastAsia="Calibri"/>
        </w:rPr>
        <w:t>matters</w:t>
      </w:r>
      <w:r w:rsidR="0009725F">
        <w:rPr>
          <w:rFonts w:eastAsia="Calibri"/>
        </w:rPr>
        <w:t>,</w:t>
      </w:r>
      <w:r w:rsidRPr="008B6DA9">
        <w:rPr>
          <w:rFonts w:eastAsia="Calibri"/>
        </w:rPr>
        <w:t xml:space="preserve"> with an unspecific requirement that well-functioning urban areas are resilient to the likely current and future effects of climate change. </w:t>
      </w:r>
      <w:r w:rsidR="0009725F">
        <w:rPr>
          <w:rFonts w:eastAsia="Calibri"/>
        </w:rPr>
        <w:t>This has resulted in</w:t>
      </w:r>
      <w:r w:rsidRPr="008B6DA9">
        <w:rPr>
          <w:rFonts w:eastAsia="Calibri"/>
        </w:rPr>
        <w:t xml:space="preserve"> the alternative recommendation for Category B. </w:t>
      </w:r>
    </w:p>
    <w:p w14:paraId="5237F751" w14:textId="52DDD085" w:rsidR="008B6DA9" w:rsidRPr="008B6DA9" w:rsidRDefault="008B6DA9" w:rsidP="003D7BC0">
      <w:pPr>
        <w:pStyle w:val="Heading3"/>
        <w:spacing w:after="240"/>
        <w:rPr>
          <w:rFonts w:eastAsia="Calibri" w:cs="Times New Roman"/>
          <w:b w:val="0"/>
          <w:bCs w:val="0"/>
        </w:rPr>
      </w:pPr>
      <w:bookmarkStart w:id="48" w:name="_Toc109397585"/>
      <w:bookmarkStart w:id="49" w:name="_Toc109809087"/>
      <w:r w:rsidRPr="008B6DA9">
        <w:rPr>
          <w:rFonts w:eastAsia="Calibri"/>
        </w:rPr>
        <w:t xml:space="preserve">The implications of VLM </w:t>
      </w:r>
      <w:r w:rsidRPr="008B6DA9" w:rsidDel="009B6DA8">
        <w:rPr>
          <w:rFonts w:eastAsia="Calibri"/>
        </w:rPr>
        <w:t xml:space="preserve">locally </w:t>
      </w:r>
      <w:r w:rsidRPr="008B6DA9">
        <w:rPr>
          <w:rFonts w:eastAsia="Calibri"/>
        </w:rPr>
        <w:t>on RSLR projections</w:t>
      </w:r>
      <w:bookmarkEnd w:id="48"/>
      <w:bookmarkEnd w:id="49"/>
    </w:p>
    <w:p w14:paraId="5A293F09" w14:textId="0D14D4CF" w:rsidR="008B6DA9" w:rsidRDefault="008B6DA9" w:rsidP="008B6DA9">
      <w:pPr>
        <w:pStyle w:val="BodyText"/>
        <w:rPr>
          <w:rFonts w:eastAsia="Calibri"/>
        </w:rPr>
      </w:pPr>
      <w:r w:rsidRPr="008B6DA9">
        <w:rPr>
          <w:rFonts w:eastAsia="Calibri"/>
        </w:rPr>
        <w:t xml:space="preserve">The influence of VLM on RSLR, combined with AR6 “medium confidence” projections, </w:t>
      </w:r>
      <w:r w:rsidR="009B6DA8">
        <w:rPr>
          <w:rFonts w:eastAsia="Calibri"/>
        </w:rPr>
        <w:t>gives us</w:t>
      </w:r>
      <w:r w:rsidR="009B6DA8" w:rsidRPr="008B6DA9">
        <w:rPr>
          <w:rFonts w:eastAsia="Calibri"/>
        </w:rPr>
        <w:t xml:space="preserve"> </w:t>
      </w:r>
      <w:r w:rsidRPr="008B6DA9">
        <w:rPr>
          <w:rFonts w:eastAsia="Calibri"/>
        </w:rPr>
        <w:t xml:space="preserve">new knowledge </w:t>
      </w:r>
      <w:r w:rsidR="009B6DA8">
        <w:rPr>
          <w:rFonts w:eastAsia="Calibri"/>
        </w:rPr>
        <w:t>about</w:t>
      </w:r>
      <w:r w:rsidR="009B6DA8" w:rsidRPr="008B6DA9">
        <w:rPr>
          <w:rFonts w:eastAsia="Calibri"/>
        </w:rPr>
        <w:t xml:space="preserve"> </w:t>
      </w:r>
      <w:r w:rsidRPr="008B6DA9">
        <w:rPr>
          <w:rFonts w:eastAsia="Calibri"/>
        </w:rPr>
        <w:t>the New Zealand coast (</w:t>
      </w:r>
      <w:hyperlink w:anchor="Box2" w:history="1">
        <w:r w:rsidR="004046BE">
          <w:rPr>
            <w:rStyle w:val="Hyperlink"/>
            <w:rFonts w:eastAsia="Calibri"/>
          </w:rPr>
          <w:t>b</w:t>
        </w:r>
        <w:r w:rsidRPr="004046BE">
          <w:rPr>
            <w:rStyle w:val="Hyperlink"/>
            <w:rFonts w:eastAsia="Calibri"/>
          </w:rPr>
          <w:t>ox 2</w:t>
        </w:r>
      </w:hyperlink>
      <w:r w:rsidRPr="008B6DA9">
        <w:rPr>
          <w:rFonts w:eastAsia="Calibri"/>
        </w:rP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B6DA9" w14:paraId="67625074" w14:textId="77777777" w:rsidTr="16C5F534">
        <w:tc>
          <w:tcPr>
            <w:tcW w:w="0" w:type="auto"/>
            <w:shd w:val="clear" w:color="auto" w:fill="D2DDE2"/>
          </w:tcPr>
          <w:p w14:paraId="45D4A05A" w14:textId="0AF1250B" w:rsidR="008B6DA9" w:rsidRPr="004D22A8" w:rsidRDefault="008B6DA9">
            <w:pPr>
              <w:pStyle w:val="Boxheading0"/>
              <w:rPr>
                <w:rFonts w:ascii="Calibri" w:hAnsi="Calibri" w:cs="Calibri"/>
              </w:rPr>
            </w:pPr>
            <w:bookmarkStart w:id="50" w:name="Box2"/>
            <w:r w:rsidRPr="004D22A8">
              <w:rPr>
                <w:rFonts w:ascii="Calibri" w:hAnsi="Calibri" w:cs="Calibri"/>
              </w:rPr>
              <w:t>Box 2</w:t>
            </w:r>
            <w:bookmarkEnd w:id="50"/>
            <w:r w:rsidRPr="004D22A8">
              <w:rPr>
                <w:rFonts w:ascii="Calibri" w:hAnsi="Calibri" w:cs="Calibri"/>
              </w:rPr>
              <w:t xml:space="preserve">: </w:t>
            </w:r>
            <w:r w:rsidRPr="004D22A8">
              <w:rPr>
                <w:rFonts w:ascii="Calibri" w:hAnsi="Calibri" w:cs="Calibri"/>
                <w:bCs/>
              </w:rPr>
              <w:t>Examples of VLM rates in regions around Aotearoa</w:t>
            </w:r>
            <w:r w:rsidR="009B6DA8" w:rsidRPr="004D22A8">
              <w:rPr>
                <w:rFonts w:ascii="Calibri" w:hAnsi="Calibri" w:cs="Calibri"/>
                <w:bCs/>
              </w:rPr>
              <w:t xml:space="preserve"> </w:t>
            </w:r>
            <w:r w:rsidRPr="004D22A8">
              <w:rPr>
                <w:rFonts w:ascii="Calibri" w:hAnsi="Calibri" w:cs="Calibri"/>
                <w:bCs/>
              </w:rPr>
              <w:t>New Zealand (</w:t>
            </w:r>
            <w:hyperlink w:anchor="figure4" w:history="1">
              <w:r w:rsidR="009B6DA8" w:rsidRPr="004D22A8">
                <w:rPr>
                  <w:rStyle w:val="Hyperlink"/>
                  <w:rFonts w:ascii="Calibri" w:hAnsi="Calibri" w:cs="Calibri"/>
                  <w:bCs/>
                </w:rPr>
                <w:t>f</w:t>
              </w:r>
              <w:r w:rsidRPr="004D22A8">
                <w:rPr>
                  <w:rStyle w:val="Hyperlink"/>
                  <w:rFonts w:ascii="Calibri" w:hAnsi="Calibri" w:cs="Calibri"/>
                  <w:bCs/>
                </w:rPr>
                <w:t>igure 4</w:t>
              </w:r>
            </w:hyperlink>
            <w:r w:rsidRPr="004D22A8">
              <w:rPr>
                <w:rFonts w:ascii="Calibri" w:hAnsi="Calibri" w:cs="Calibri"/>
                <w:bCs/>
              </w:rPr>
              <w:t>)</w:t>
            </w:r>
          </w:p>
          <w:p w14:paraId="3EBD0C3A" w14:textId="2EA29F16" w:rsidR="008B6DA9" w:rsidRPr="004D22A8" w:rsidRDefault="008B6DA9" w:rsidP="008B6DA9">
            <w:pPr>
              <w:pStyle w:val="Boxtext"/>
              <w:rPr>
                <w:rFonts w:ascii="Calibri" w:hAnsi="Calibri" w:cs="Calibri"/>
              </w:rPr>
            </w:pPr>
            <w:r w:rsidRPr="004D22A8">
              <w:rPr>
                <w:rFonts w:ascii="Calibri" w:hAnsi="Calibri" w:cs="Calibri"/>
              </w:rPr>
              <w:t xml:space="preserve">Negative VLM rates </w:t>
            </w:r>
            <w:r w:rsidRPr="004D22A8" w:rsidDel="009B6DA8">
              <w:rPr>
                <w:rFonts w:ascii="Calibri" w:hAnsi="Calibri" w:cs="Calibri"/>
              </w:rPr>
              <w:t xml:space="preserve">apply </w:t>
            </w:r>
            <w:r w:rsidRPr="004D22A8">
              <w:rPr>
                <w:rFonts w:ascii="Calibri" w:hAnsi="Calibri" w:cs="Calibri"/>
              </w:rPr>
              <w:t xml:space="preserve">to land subsidence (blue colours in </w:t>
            </w:r>
            <w:proofErr w:type="spellStart"/>
            <w:r w:rsidRPr="004D22A8">
              <w:rPr>
                <w:rFonts w:ascii="Calibri" w:hAnsi="Calibri" w:cs="Calibri"/>
              </w:rPr>
              <w:t>Takiwā</w:t>
            </w:r>
            <w:proofErr w:type="spellEnd"/>
            <w:r w:rsidRPr="004D22A8">
              <w:rPr>
                <w:rFonts w:ascii="Calibri" w:hAnsi="Calibri" w:cs="Calibri"/>
              </w:rPr>
              <w:t xml:space="preserve"> and </w:t>
            </w:r>
            <w:hyperlink w:anchor="figure4" w:history="1">
              <w:r w:rsidR="009B6DA8" w:rsidRPr="004D22A8">
                <w:rPr>
                  <w:rStyle w:val="Hyperlink"/>
                  <w:rFonts w:ascii="Calibri" w:hAnsi="Calibri" w:cs="Calibri"/>
                </w:rPr>
                <w:t>f</w:t>
              </w:r>
              <w:r w:rsidRPr="004D22A8">
                <w:rPr>
                  <w:rStyle w:val="Hyperlink"/>
                  <w:rFonts w:ascii="Calibri" w:hAnsi="Calibri" w:cs="Calibri"/>
                </w:rPr>
                <w:t>igure 4</w:t>
              </w:r>
            </w:hyperlink>
            <w:r w:rsidRPr="004D22A8">
              <w:rPr>
                <w:rFonts w:ascii="Calibri" w:hAnsi="Calibri" w:cs="Calibri"/>
              </w:rPr>
              <w:t>).</w:t>
            </w:r>
          </w:p>
          <w:p w14:paraId="758AD3CD" w14:textId="5EB15B1F" w:rsidR="008B6DA9" w:rsidRPr="004D22A8" w:rsidRDefault="008B6DA9" w:rsidP="008B6DA9">
            <w:pPr>
              <w:pStyle w:val="Boxbullet"/>
              <w:rPr>
                <w:rFonts w:ascii="Calibri" w:hAnsi="Calibri" w:cs="Calibri"/>
              </w:rPr>
            </w:pPr>
            <w:r w:rsidRPr="004D22A8">
              <w:rPr>
                <w:rFonts w:ascii="Calibri" w:hAnsi="Calibri" w:cs="Calibri"/>
              </w:rPr>
              <w:t xml:space="preserve">Nationally, VLM rates vary in a wide range from </w:t>
            </w:r>
            <w:r w:rsidR="009B6DA8" w:rsidRPr="004D22A8">
              <w:rPr>
                <w:rFonts w:ascii="Calibri" w:hAnsi="Calibri" w:cs="Calibri"/>
              </w:rPr>
              <w:t>-</w:t>
            </w:r>
            <w:r w:rsidRPr="004D22A8">
              <w:rPr>
                <w:rFonts w:ascii="Calibri" w:hAnsi="Calibri" w:cs="Calibri"/>
              </w:rPr>
              <w:t>8 mm/</w:t>
            </w:r>
            <w:proofErr w:type="spellStart"/>
            <w:r w:rsidRPr="004D22A8">
              <w:rPr>
                <w:rFonts w:ascii="Calibri" w:hAnsi="Calibri" w:cs="Calibri"/>
              </w:rPr>
              <w:t>yr</w:t>
            </w:r>
            <w:proofErr w:type="spellEnd"/>
            <w:r w:rsidRPr="004D22A8">
              <w:rPr>
                <w:rFonts w:ascii="Calibri" w:hAnsi="Calibri" w:cs="Calibri"/>
              </w:rPr>
              <w:t xml:space="preserve"> (southern Wairarapa) to +5 mm/</w:t>
            </w:r>
            <w:proofErr w:type="spellStart"/>
            <w:r w:rsidRPr="004D22A8">
              <w:rPr>
                <w:rFonts w:ascii="Calibri" w:hAnsi="Calibri" w:cs="Calibri"/>
              </w:rPr>
              <w:t>yr</w:t>
            </w:r>
            <w:proofErr w:type="spellEnd"/>
            <w:r w:rsidRPr="004D22A8">
              <w:rPr>
                <w:rFonts w:ascii="Calibri" w:hAnsi="Calibri" w:cs="Calibri"/>
              </w:rPr>
              <w:t xml:space="preserve"> (near </w:t>
            </w:r>
            <w:proofErr w:type="spellStart"/>
            <w:r w:rsidRPr="004D22A8">
              <w:rPr>
                <w:rFonts w:ascii="Calibri" w:hAnsi="Calibri" w:cs="Calibri"/>
              </w:rPr>
              <w:t>Pikowai</w:t>
            </w:r>
            <w:proofErr w:type="spellEnd"/>
            <w:r w:rsidR="009B6DA8" w:rsidRPr="004D22A8">
              <w:rPr>
                <w:rFonts w:ascii="Calibri" w:hAnsi="Calibri" w:cs="Calibri"/>
              </w:rPr>
              <w:t xml:space="preserve">, </w:t>
            </w:r>
            <w:r w:rsidRPr="004D22A8">
              <w:rPr>
                <w:rFonts w:ascii="Calibri" w:hAnsi="Calibri" w:cs="Calibri"/>
              </w:rPr>
              <w:t xml:space="preserve">central Bay of Plenty), with most locations </w:t>
            </w:r>
            <w:r w:rsidR="009B6DA8" w:rsidRPr="004D22A8">
              <w:rPr>
                <w:rFonts w:ascii="Calibri" w:hAnsi="Calibri" w:cs="Calibri"/>
              </w:rPr>
              <w:t xml:space="preserve">having </w:t>
            </w:r>
            <w:proofErr w:type="gramStart"/>
            <w:r w:rsidR="009B6DA8" w:rsidRPr="004D22A8">
              <w:rPr>
                <w:rFonts w:ascii="Calibri" w:hAnsi="Calibri" w:cs="Calibri"/>
              </w:rPr>
              <w:t>less</w:t>
            </w:r>
            <w:proofErr w:type="gramEnd"/>
            <w:r w:rsidR="009B6DA8" w:rsidRPr="004D22A8">
              <w:rPr>
                <w:rFonts w:ascii="Calibri" w:hAnsi="Calibri" w:cs="Calibri"/>
              </w:rPr>
              <w:t xml:space="preserve"> extreme</w:t>
            </w:r>
            <w:r w:rsidRPr="004D22A8">
              <w:rPr>
                <w:rFonts w:ascii="Calibri" w:hAnsi="Calibri" w:cs="Calibri"/>
              </w:rPr>
              <w:t xml:space="preserve"> rates</w:t>
            </w:r>
            <w:r w:rsidR="009B6DA8" w:rsidRPr="004D22A8">
              <w:rPr>
                <w:rFonts w:ascii="Calibri" w:hAnsi="Calibri" w:cs="Calibri"/>
              </w:rPr>
              <w:t>.</w:t>
            </w:r>
            <w:r w:rsidRPr="004D22A8">
              <w:rPr>
                <w:rFonts w:ascii="Calibri" w:hAnsi="Calibri" w:cs="Calibri"/>
              </w:rPr>
              <w:t xml:space="preserve"> </w:t>
            </w:r>
          </w:p>
          <w:p w14:paraId="69EC4B4B" w14:textId="77777777" w:rsidR="008B6DA9" w:rsidRPr="004D22A8" w:rsidRDefault="008B6DA9" w:rsidP="008B6DA9">
            <w:pPr>
              <w:pStyle w:val="Boxbullet"/>
              <w:rPr>
                <w:rFonts w:ascii="Calibri" w:hAnsi="Calibri" w:cs="Calibri"/>
              </w:rPr>
            </w:pPr>
            <w:r w:rsidRPr="004D22A8">
              <w:rPr>
                <w:rFonts w:ascii="Calibri" w:hAnsi="Calibri" w:cs="Calibri"/>
              </w:rPr>
              <w:t xml:space="preserve">Some regions exhibit significant </w:t>
            </w:r>
            <w:r w:rsidRPr="004D22A8">
              <w:rPr>
                <w:rFonts w:ascii="Calibri" w:hAnsi="Calibri" w:cs="Calibri"/>
                <w:u w:val="single"/>
              </w:rPr>
              <w:t>subsidence</w:t>
            </w:r>
            <w:r w:rsidRPr="004D22A8">
              <w:rPr>
                <w:rFonts w:ascii="Calibri" w:hAnsi="Calibri" w:cs="Calibri"/>
              </w:rPr>
              <w:t>:</w:t>
            </w:r>
          </w:p>
          <w:p w14:paraId="291164C6" w14:textId="113CDA2E" w:rsidR="008B6DA9" w:rsidRPr="004D22A8" w:rsidRDefault="008B6DA9" w:rsidP="008B6DA9">
            <w:pPr>
              <w:pStyle w:val="Boxsub-bullet"/>
              <w:rPr>
                <w:rFonts w:ascii="Calibri" w:hAnsi="Calibri" w:cs="Calibri"/>
              </w:rPr>
            </w:pPr>
            <w:r w:rsidRPr="004D22A8">
              <w:rPr>
                <w:rFonts w:ascii="Calibri" w:hAnsi="Calibri" w:cs="Calibri"/>
              </w:rPr>
              <w:t xml:space="preserve">Wairarapa coastline </w:t>
            </w:r>
            <w:r w:rsidR="009B6DA8" w:rsidRPr="004D22A8">
              <w:rPr>
                <w:rFonts w:ascii="Calibri" w:hAnsi="Calibri" w:cs="Calibri"/>
              </w:rPr>
              <w:t>(</w:t>
            </w:r>
            <w:r w:rsidRPr="004D22A8">
              <w:rPr>
                <w:rFonts w:ascii="Calibri" w:hAnsi="Calibri" w:cs="Calibri"/>
              </w:rPr>
              <w:t>subsiding at rates of between 2–8 mm/</w:t>
            </w:r>
            <w:proofErr w:type="spellStart"/>
            <w:r w:rsidRPr="004D22A8">
              <w:rPr>
                <w:rFonts w:ascii="Calibri" w:hAnsi="Calibri" w:cs="Calibri"/>
              </w:rPr>
              <w:t>yr</w:t>
            </w:r>
            <w:proofErr w:type="spellEnd"/>
            <w:r w:rsidRPr="004D22A8">
              <w:rPr>
                <w:rFonts w:ascii="Calibri" w:hAnsi="Calibri" w:cs="Calibri"/>
              </w:rPr>
              <w:t xml:space="preserve"> (</w:t>
            </w:r>
            <w:hyperlink w:anchor="figure2" w:history="1">
              <w:r w:rsidR="009B6DA8" w:rsidRPr="004D22A8">
                <w:rPr>
                  <w:rStyle w:val="Hyperlink"/>
                  <w:rFonts w:ascii="Calibri" w:hAnsi="Calibri" w:cs="Calibri"/>
                </w:rPr>
                <w:t>f</w:t>
              </w:r>
              <w:r w:rsidRPr="004D22A8">
                <w:rPr>
                  <w:rStyle w:val="Hyperlink"/>
                  <w:rFonts w:ascii="Calibri" w:hAnsi="Calibri" w:cs="Calibri"/>
                </w:rPr>
                <w:t>igure 2</w:t>
              </w:r>
            </w:hyperlink>
            <w:r w:rsidRPr="004D22A8">
              <w:rPr>
                <w:rFonts w:ascii="Calibri" w:hAnsi="Calibri" w:cs="Calibri"/>
              </w:rPr>
              <w:t>) due to tectonic subsidence associated with subduction</w:t>
            </w:r>
            <w:r w:rsidR="009B6DA8" w:rsidRPr="004D22A8">
              <w:rPr>
                <w:rFonts w:ascii="Calibri" w:hAnsi="Calibri" w:cs="Calibri"/>
              </w:rPr>
              <w:t>)</w:t>
            </w:r>
            <w:r w:rsidRPr="004D22A8">
              <w:rPr>
                <w:rFonts w:ascii="Calibri" w:hAnsi="Calibri" w:cs="Calibri"/>
              </w:rPr>
              <w:t xml:space="preserve"> </w:t>
            </w:r>
          </w:p>
          <w:p w14:paraId="1B53C252" w14:textId="559FF0E2" w:rsidR="008B6DA9" w:rsidRPr="004D22A8" w:rsidRDefault="008B6DA9" w:rsidP="008B6DA9">
            <w:pPr>
              <w:pStyle w:val="Boxsub-bullet"/>
              <w:rPr>
                <w:rFonts w:ascii="Calibri" w:hAnsi="Calibri" w:cs="Calibri"/>
              </w:rPr>
            </w:pPr>
            <w:r w:rsidRPr="004D22A8">
              <w:rPr>
                <w:rFonts w:ascii="Calibri" w:hAnsi="Calibri" w:cs="Calibri"/>
              </w:rPr>
              <w:t>Hawke’s Bay from Clive to Wairoa</w:t>
            </w:r>
          </w:p>
          <w:p w14:paraId="775274B7" w14:textId="5B407EF0" w:rsidR="008B6DA9" w:rsidRPr="004D22A8" w:rsidRDefault="008B6DA9" w:rsidP="008B6DA9">
            <w:pPr>
              <w:pStyle w:val="Boxsub-bullet"/>
              <w:rPr>
                <w:rFonts w:ascii="Calibri" w:hAnsi="Calibri" w:cs="Calibri"/>
              </w:rPr>
            </w:pPr>
            <w:r w:rsidRPr="004D22A8">
              <w:rPr>
                <w:rFonts w:ascii="Calibri" w:hAnsi="Calibri" w:cs="Calibri"/>
              </w:rPr>
              <w:t>Wellington and Lower Hutt</w:t>
            </w:r>
          </w:p>
          <w:p w14:paraId="315481C6" w14:textId="24A32926" w:rsidR="008B6DA9" w:rsidRPr="004D22A8" w:rsidRDefault="009B6DA8" w:rsidP="008B6DA9">
            <w:pPr>
              <w:pStyle w:val="Boxsub-bullet"/>
              <w:rPr>
                <w:rFonts w:ascii="Calibri" w:hAnsi="Calibri" w:cs="Calibri"/>
              </w:rPr>
            </w:pPr>
            <w:r w:rsidRPr="004D22A8">
              <w:rPr>
                <w:rFonts w:ascii="Calibri" w:hAnsi="Calibri" w:cs="Calibri"/>
              </w:rPr>
              <w:t>N</w:t>
            </w:r>
            <w:r w:rsidR="008B6DA9" w:rsidRPr="004D22A8">
              <w:rPr>
                <w:rFonts w:ascii="Calibri" w:hAnsi="Calibri" w:cs="Calibri"/>
              </w:rPr>
              <w:t>orthern South Island</w:t>
            </w:r>
            <w:r w:rsidRPr="004D22A8">
              <w:rPr>
                <w:rFonts w:ascii="Calibri" w:hAnsi="Calibri" w:cs="Calibri"/>
              </w:rPr>
              <w:t xml:space="preserve"> (</w:t>
            </w:r>
            <w:r w:rsidR="008B6DA9" w:rsidRPr="004D22A8">
              <w:rPr>
                <w:rFonts w:ascii="Calibri" w:hAnsi="Calibri" w:cs="Calibri"/>
              </w:rPr>
              <w:t xml:space="preserve">eastern Tasman Bay, Collingwood, </w:t>
            </w:r>
            <w:proofErr w:type="spellStart"/>
            <w:r w:rsidR="008B6DA9" w:rsidRPr="004D22A8">
              <w:rPr>
                <w:rFonts w:ascii="Calibri" w:hAnsi="Calibri" w:cs="Calibri"/>
              </w:rPr>
              <w:t>Kaikōura</w:t>
            </w:r>
            <w:proofErr w:type="spellEnd"/>
            <w:r w:rsidR="008B6DA9" w:rsidRPr="004D22A8">
              <w:rPr>
                <w:rFonts w:ascii="Calibri" w:hAnsi="Calibri" w:cs="Calibri"/>
              </w:rPr>
              <w:t xml:space="preserve"> </w:t>
            </w:r>
            <w:proofErr w:type="gramStart"/>
            <w:r w:rsidR="008B6DA9" w:rsidRPr="004D22A8">
              <w:rPr>
                <w:rFonts w:ascii="Calibri" w:hAnsi="Calibri" w:cs="Calibri"/>
              </w:rPr>
              <w:t>Peninsula</w:t>
            </w:r>
            <w:proofErr w:type="gramEnd"/>
            <w:r w:rsidR="008B6DA9" w:rsidRPr="004D22A8">
              <w:rPr>
                <w:rFonts w:ascii="Calibri" w:hAnsi="Calibri" w:cs="Calibri"/>
              </w:rPr>
              <w:t xml:space="preserve"> and eastern Marlborough</w:t>
            </w:r>
            <w:r w:rsidRPr="004D22A8">
              <w:rPr>
                <w:rFonts w:ascii="Calibri" w:hAnsi="Calibri" w:cs="Calibri"/>
              </w:rPr>
              <w:t>).</w:t>
            </w:r>
            <w:r w:rsidR="008B6DA9" w:rsidRPr="004D22A8">
              <w:rPr>
                <w:rFonts w:ascii="Calibri" w:hAnsi="Calibri" w:cs="Calibri"/>
              </w:rPr>
              <w:t xml:space="preserve"> </w:t>
            </w:r>
          </w:p>
          <w:p w14:paraId="120354FC" w14:textId="77777777" w:rsidR="008B6DA9" w:rsidRPr="004D22A8" w:rsidRDefault="008B6DA9" w:rsidP="008B6DA9">
            <w:pPr>
              <w:pStyle w:val="Boxbullet"/>
              <w:rPr>
                <w:rFonts w:ascii="Calibri" w:hAnsi="Calibri" w:cs="Calibri"/>
              </w:rPr>
            </w:pPr>
            <w:r w:rsidRPr="004D22A8">
              <w:rPr>
                <w:rFonts w:ascii="Calibri" w:hAnsi="Calibri" w:cs="Calibri"/>
              </w:rPr>
              <w:t xml:space="preserve">Some regions exhibit significant </w:t>
            </w:r>
            <w:r w:rsidRPr="004D22A8">
              <w:rPr>
                <w:rFonts w:ascii="Calibri" w:hAnsi="Calibri" w:cs="Calibri"/>
                <w:u w:val="single"/>
              </w:rPr>
              <w:t>uplift</w:t>
            </w:r>
            <w:r w:rsidRPr="004D22A8">
              <w:rPr>
                <w:rFonts w:ascii="Calibri" w:hAnsi="Calibri" w:cs="Calibri"/>
              </w:rPr>
              <w:t>:</w:t>
            </w:r>
          </w:p>
          <w:p w14:paraId="24E00909" w14:textId="51997935" w:rsidR="008B6DA9" w:rsidRPr="004D22A8" w:rsidRDefault="008B6DA9" w:rsidP="008B6DA9">
            <w:pPr>
              <w:pStyle w:val="Boxsub-bullet"/>
              <w:rPr>
                <w:rFonts w:ascii="Calibri" w:hAnsi="Calibri" w:cs="Calibri"/>
              </w:rPr>
            </w:pPr>
            <w:r w:rsidRPr="004D22A8">
              <w:rPr>
                <w:rFonts w:ascii="Calibri" w:hAnsi="Calibri" w:cs="Calibri"/>
              </w:rPr>
              <w:t xml:space="preserve">Central Bay of Plenty </w:t>
            </w:r>
          </w:p>
          <w:p w14:paraId="41C76EAB" w14:textId="4BB83576" w:rsidR="008B6DA9" w:rsidRPr="004D22A8" w:rsidRDefault="008B6DA9" w:rsidP="008B6DA9">
            <w:pPr>
              <w:pStyle w:val="Boxsub-bullet"/>
              <w:rPr>
                <w:rFonts w:ascii="Calibri" w:hAnsi="Calibri" w:cs="Calibri"/>
              </w:rPr>
            </w:pPr>
            <w:r w:rsidRPr="004D22A8">
              <w:rPr>
                <w:rFonts w:ascii="Calibri" w:hAnsi="Calibri" w:cs="Calibri"/>
              </w:rPr>
              <w:t xml:space="preserve">Bluff, Fiordland, </w:t>
            </w:r>
            <w:r w:rsidR="009B6DA8" w:rsidRPr="004D22A8">
              <w:rPr>
                <w:rFonts w:ascii="Calibri" w:hAnsi="Calibri" w:cs="Calibri"/>
              </w:rPr>
              <w:t>S</w:t>
            </w:r>
            <w:r w:rsidRPr="004D22A8">
              <w:rPr>
                <w:rFonts w:ascii="Calibri" w:hAnsi="Calibri" w:cs="Calibri"/>
              </w:rPr>
              <w:t>outh Westland, East Cape, parts of the Coromandel Peninsula including parts of Thames</w:t>
            </w:r>
            <w:r w:rsidR="009B6DA8" w:rsidRPr="004D22A8">
              <w:rPr>
                <w:rFonts w:ascii="Calibri" w:hAnsi="Calibri" w:cs="Calibri"/>
              </w:rPr>
              <w:t xml:space="preserve"> and</w:t>
            </w:r>
            <w:r w:rsidRPr="004D22A8">
              <w:rPr>
                <w:rFonts w:ascii="Calibri" w:hAnsi="Calibri" w:cs="Calibri"/>
              </w:rPr>
              <w:t xml:space="preserve"> excluding the reclaimed coastal margin.</w:t>
            </w:r>
          </w:p>
          <w:p w14:paraId="1AED6C24" w14:textId="76DB265E" w:rsidR="008B6DA9" w:rsidRPr="004D22A8" w:rsidRDefault="008B6DA9" w:rsidP="008B6DA9">
            <w:pPr>
              <w:pStyle w:val="Boxbullet"/>
              <w:rPr>
                <w:rFonts w:ascii="Calibri" w:hAnsi="Calibri" w:cs="Calibri"/>
              </w:rPr>
            </w:pPr>
            <w:r w:rsidRPr="004D22A8">
              <w:rPr>
                <w:rFonts w:ascii="Calibri" w:hAnsi="Calibri" w:cs="Calibri"/>
              </w:rPr>
              <w:t>Despite the</w:t>
            </w:r>
            <w:r w:rsidR="009B6DA8" w:rsidRPr="004D22A8">
              <w:rPr>
                <w:rFonts w:ascii="Calibri" w:hAnsi="Calibri" w:cs="Calibri"/>
              </w:rPr>
              <w:t>se</w:t>
            </w:r>
            <w:r w:rsidRPr="004D22A8">
              <w:rPr>
                <w:rFonts w:ascii="Calibri" w:hAnsi="Calibri" w:cs="Calibri"/>
              </w:rPr>
              <w:t xml:space="preserve"> generalisations, there can be significant spatial variability in rates in any region or even locally.</w:t>
            </w:r>
          </w:p>
          <w:p w14:paraId="47A6DC68" w14:textId="385564C5" w:rsidR="008B6DA9" w:rsidRPr="008B6DA9" w:rsidRDefault="008B6DA9" w:rsidP="008B6DA9">
            <w:pPr>
              <w:pStyle w:val="Boxtext"/>
            </w:pPr>
            <w:r w:rsidRPr="004D22A8">
              <w:rPr>
                <w:rFonts w:ascii="Calibri" w:hAnsi="Calibri" w:cs="Calibri"/>
              </w:rPr>
              <w:t>Note: VLM rates were averaged over the period 2003–11 to exclude any co-seismic and post-seismic effects from the Canterbury and North Canterbury-</w:t>
            </w:r>
            <w:proofErr w:type="spellStart"/>
            <w:r w:rsidRPr="004D22A8">
              <w:rPr>
                <w:rFonts w:ascii="Calibri" w:hAnsi="Calibri" w:cs="Calibri"/>
              </w:rPr>
              <w:t>Kaikōura</w:t>
            </w:r>
            <w:proofErr w:type="spellEnd"/>
            <w:r w:rsidRPr="004D22A8">
              <w:rPr>
                <w:rFonts w:ascii="Calibri" w:hAnsi="Calibri" w:cs="Calibri"/>
              </w:rPr>
              <w:t xml:space="preserve"> earthquakes (Hamling et al, 2022).</w:t>
            </w:r>
          </w:p>
        </w:tc>
      </w:tr>
    </w:tbl>
    <w:p w14:paraId="1A43DFDD" w14:textId="77777777" w:rsidR="00D21B99" w:rsidRPr="00D21B99" w:rsidRDefault="00D21B99" w:rsidP="00D21B99"/>
    <w:p w14:paraId="16F35247" w14:textId="47C21F59" w:rsidR="00FD0A27" w:rsidRPr="00D21B99" w:rsidRDefault="00FD0A27" w:rsidP="00D21B99">
      <w:pPr>
        <w:pStyle w:val="Figureheading"/>
      </w:pPr>
      <w:bookmarkStart w:id="51" w:name="figure4"/>
      <w:bookmarkStart w:id="52" w:name="_Toc109809103"/>
      <w:r w:rsidRPr="00D21B99">
        <w:t>Figure 4:</w:t>
      </w:r>
      <w:bookmarkEnd w:id="51"/>
      <w:r w:rsidRPr="00D21B99">
        <w:tab/>
      </w:r>
      <w:r w:rsidR="00260044">
        <w:t>National distribution of VLM rates in Aotearoa</w:t>
      </w:r>
      <w:r w:rsidR="002F2848">
        <w:t xml:space="preserve"> </w:t>
      </w:r>
      <w:r w:rsidR="00260044">
        <w:t>New Zealand</w:t>
      </w:r>
      <w:bookmarkEnd w:id="52"/>
    </w:p>
    <w:p w14:paraId="414797C5" w14:textId="5F1C26C3" w:rsidR="00FD0A27" w:rsidRDefault="00FD0A27" w:rsidP="00D00C30">
      <w:pPr>
        <w:rPr>
          <w:rFonts w:cs="Times New Roman"/>
          <w:b/>
          <w:bCs/>
        </w:rPr>
      </w:pPr>
      <w:r>
        <w:rPr>
          <w:noProof/>
        </w:rPr>
        <w:drawing>
          <wp:inline distT="0" distB="0" distL="0" distR="0" wp14:anchorId="5607E686" wp14:editId="0140DE9F">
            <wp:extent cx="3881755" cy="4904105"/>
            <wp:effectExtent l="0" t="0" r="4445" b="0"/>
            <wp:docPr id="5" name="Picture 5" descr="A map of New Zealand showing the national distribution of vertical land movement rates in millimetres per year, spaced at 2-kilometre distances along the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New Zealand showing the national distribution of vertical land movement rates in millimetres per year, spaced at 2-kilometre distances along the coastlin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1755" cy="4904105"/>
                    </a:xfrm>
                    <a:prstGeom prst="rect">
                      <a:avLst/>
                    </a:prstGeom>
                    <a:noFill/>
                    <a:ln>
                      <a:noFill/>
                    </a:ln>
                  </pic:spPr>
                </pic:pic>
              </a:graphicData>
            </a:graphic>
          </wp:inline>
        </w:drawing>
      </w:r>
    </w:p>
    <w:p w14:paraId="7CAEDF75" w14:textId="04748121" w:rsidR="00D00C30" w:rsidRDefault="004E0D69" w:rsidP="004E0D69">
      <w:pPr>
        <w:pStyle w:val="Note"/>
        <w:rPr>
          <w:rFonts w:asciiTheme="minorHAnsi" w:hAnsiTheme="minorHAnsi"/>
        </w:rPr>
      </w:pPr>
      <w:r>
        <w:rPr>
          <w:b/>
          <w:bCs/>
        </w:rPr>
        <w:t xml:space="preserve">Notes for </w:t>
      </w:r>
      <w:r w:rsidR="00092C72">
        <w:rPr>
          <w:b/>
        </w:rPr>
        <w:t>f</w:t>
      </w:r>
      <w:r w:rsidR="00D00C30">
        <w:rPr>
          <w:b/>
        </w:rPr>
        <w:t>igure 4:</w:t>
      </w:r>
      <w:r w:rsidR="00D00C30">
        <w:t xml:space="preserve"> National distribution of VLM rates (mm/</w:t>
      </w:r>
      <w:proofErr w:type="spellStart"/>
      <w:r w:rsidR="00D00C30">
        <w:t>yr</w:t>
      </w:r>
      <w:proofErr w:type="spellEnd"/>
      <w:r w:rsidR="00D00C30">
        <w:t xml:space="preserve">) </w:t>
      </w:r>
      <w:r w:rsidR="009B6DA8">
        <w:t xml:space="preserve">every </w:t>
      </w:r>
      <w:r w:rsidR="00D00C30">
        <w:t>2</w:t>
      </w:r>
      <w:r w:rsidR="009B6DA8">
        <w:t xml:space="preserve"> </w:t>
      </w:r>
      <w:r w:rsidR="00D00C30">
        <w:t>km</w:t>
      </w:r>
      <w:r w:rsidR="009B6DA8">
        <w:t>,</w:t>
      </w:r>
      <w:r w:rsidR="00D00C30" w:rsidDel="009B6DA8">
        <w:t xml:space="preserve"> </w:t>
      </w:r>
      <w:r w:rsidR="00D00C30">
        <w:t>based on Hamling et al (2022)</w:t>
      </w:r>
      <w:r w:rsidR="007C0B29">
        <w:t>.</w:t>
      </w:r>
      <w:r w:rsidR="00D00C30">
        <w:t xml:space="preserve"> </w:t>
      </w:r>
      <w:r w:rsidR="007C0B29">
        <w:t>B</w:t>
      </w:r>
      <w:r w:rsidR="00D00C30">
        <w:t>lue indicat</w:t>
      </w:r>
      <w:r w:rsidR="007C0B29">
        <w:t>es</w:t>
      </w:r>
      <w:r w:rsidR="00D00C30">
        <w:t xml:space="preserve"> subsidence and white </w:t>
      </w:r>
      <w:r w:rsidR="007C0B29">
        <w:t xml:space="preserve">areas are </w:t>
      </w:r>
      <w:r w:rsidR="00D00C30">
        <w:t xml:space="preserve">neutral. The inset shows the spacing and spatial variability for the greater Wellington region. </w:t>
      </w:r>
      <w:r w:rsidR="00D00C30">
        <w:rPr>
          <w:i/>
        </w:rPr>
        <w:t>Source</w:t>
      </w:r>
      <w:r w:rsidR="00D00C30" w:rsidRPr="000E0943">
        <w:rPr>
          <w:i/>
          <w:iCs/>
        </w:rPr>
        <w:t xml:space="preserve">: </w:t>
      </w:r>
      <w:proofErr w:type="spellStart"/>
      <w:r w:rsidR="00D00C30" w:rsidRPr="000E0943">
        <w:rPr>
          <w:i/>
          <w:iCs/>
        </w:rPr>
        <w:t>Takiwā</w:t>
      </w:r>
      <w:proofErr w:type="spellEnd"/>
      <w:r w:rsidR="00D00C30" w:rsidRPr="000E0943">
        <w:rPr>
          <w:i/>
          <w:iCs/>
        </w:rPr>
        <w:t xml:space="preserve"> platform</w:t>
      </w:r>
      <w:r w:rsidR="00D00C30">
        <w:t>.</w:t>
      </w:r>
    </w:p>
    <w:p w14:paraId="6C211223" w14:textId="2203BDB1" w:rsidR="008B6DA9" w:rsidRPr="008B6DA9" w:rsidRDefault="007C0B29" w:rsidP="008B6DA9">
      <w:pPr>
        <w:pStyle w:val="BodyText"/>
        <w:rPr>
          <w:rFonts w:eastAsia="Calibri"/>
        </w:rPr>
      </w:pPr>
      <w:r>
        <w:rPr>
          <w:rFonts w:eastAsia="Calibri"/>
        </w:rPr>
        <w:t>Where</w:t>
      </w:r>
      <w:r w:rsidR="008B6DA9" w:rsidRPr="008B6DA9">
        <w:rPr>
          <w:rFonts w:eastAsia="Calibri"/>
        </w:rPr>
        <w:t xml:space="preserve"> subsidence rates </w:t>
      </w:r>
      <w:r>
        <w:rPr>
          <w:rFonts w:eastAsia="Calibri"/>
        </w:rPr>
        <w:t>reach</w:t>
      </w:r>
      <w:r w:rsidRPr="008B6DA9">
        <w:rPr>
          <w:rFonts w:eastAsia="Calibri"/>
        </w:rPr>
        <w:t xml:space="preserve"> </w:t>
      </w:r>
      <w:r w:rsidR="008B6DA9" w:rsidRPr="008B6DA9">
        <w:rPr>
          <w:rFonts w:eastAsia="Calibri"/>
        </w:rPr>
        <w:noBreakHyphen/>
        <w:t>8 mm/</w:t>
      </w:r>
      <w:proofErr w:type="spellStart"/>
      <w:r w:rsidR="008B6DA9" w:rsidRPr="008B6DA9">
        <w:rPr>
          <w:rFonts w:eastAsia="Calibri"/>
        </w:rPr>
        <w:t>yr</w:t>
      </w:r>
      <w:proofErr w:type="spellEnd"/>
      <w:r w:rsidR="008B6DA9" w:rsidRPr="008B6DA9">
        <w:rPr>
          <w:rFonts w:eastAsia="Calibri"/>
        </w:rPr>
        <w:t xml:space="preserve"> (</w:t>
      </w:r>
      <w:hyperlink w:anchor="figure4" w:history="1">
        <w:r w:rsidRPr="004046BE">
          <w:rPr>
            <w:rStyle w:val="Hyperlink"/>
            <w:rFonts w:eastAsia="Calibri"/>
          </w:rPr>
          <w:t>f</w:t>
        </w:r>
        <w:r w:rsidR="008B6DA9" w:rsidRPr="004046BE">
          <w:rPr>
            <w:rStyle w:val="Hyperlink"/>
            <w:rFonts w:eastAsia="Calibri"/>
          </w:rPr>
          <w:t>igure 4</w:t>
        </w:r>
      </w:hyperlink>
      <w:r w:rsidR="008B6DA9" w:rsidRPr="008B6DA9">
        <w:rPr>
          <w:rFonts w:eastAsia="Calibri"/>
        </w:rPr>
        <w:t>), VLM can effectively double the rate and magnitude of RSLR experienced on subsiding land, compared with the rise in regional MSL of the ocean. For example, in southern Wairarapa, RSLR for the SSP2</w:t>
      </w:r>
      <w:r w:rsidR="00105913">
        <w:rPr>
          <w:rFonts w:eastAsia="Calibri"/>
        </w:rPr>
        <w:t>-</w:t>
      </w:r>
      <w:r w:rsidR="008B6DA9" w:rsidRPr="008B6DA9">
        <w:rPr>
          <w:rFonts w:eastAsia="Calibri"/>
        </w:rPr>
        <w:t>4.5 scenario would reach a height of 1.35</w:t>
      </w:r>
      <w:r>
        <w:rPr>
          <w:rFonts w:eastAsia="Calibri"/>
        </w:rPr>
        <w:t xml:space="preserve"> </w:t>
      </w:r>
      <w:r w:rsidR="008B6DA9" w:rsidRPr="008B6DA9">
        <w:rPr>
          <w:rFonts w:eastAsia="Calibri"/>
        </w:rPr>
        <w:t>m relative to the landmass by 2100, compared with only a 0.57</w:t>
      </w:r>
      <w:r>
        <w:rPr>
          <w:rFonts w:eastAsia="Calibri"/>
        </w:rPr>
        <w:t xml:space="preserve"> </w:t>
      </w:r>
      <w:r w:rsidR="008B6DA9" w:rsidRPr="008B6DA9">
        <w:rPr>
          <w:rFonts w:eastAsia="Calibri"/>
        </w:rPr>
        <w:t xml:space="preserve">m rise if the land </w:t>
      </w:r>
      <w:r>
        <w:rPr>
          <w:rFonts w:eastAsia="Calibri"/>
        </w:rPr>
        <w:t>i</w:t>
      </w:r>
      <w:r w:rsidR="008B6DA9" w:rsidRPr="008B6DA9">
        <w:rPr>
          <w:rFonts w:eastAsia="Calibri"/>
        </w:rPr>
        <w:t xml:space="preserve">s stable. </w:t>
      </w:r>
    </w:p>
    <w:p w14:paraId="4BC1BF2D" w14:textId="5535DD5B" w:rsidR="008B6DA9" w:rsidRPr="008B6DA9" w:rsidRDefault="008B6DA9" w:rsidP="008B6DA9">
      <w:pPr>
        <w:pStyle w:val="BodyText"/>
        <w:rPr>
          <w:rFonts w:eastAsia="Calibri"/>
        </w:rPr>
      </w:pPr>
      <w:r w:rsidRPr="008B6DA9">
        <w:rPr>
          <w:rFonts w:eastAsia="Calibri"/>
        </w:rPr>
        <w:t xml:space="preserve">In contrast, along the central Bay of Plenty coast near </w:t>
      </w:r>
      <w:proofErr w:type="spellStart"/>
      <w:r w:rsidRPr="008B6DA9">
        <w:rPr>
          <w:rFonts w:eastAsia="Calibri"/>
        </w:rPr>
        <w:t>Pikowai</w:t>
      </w:r>
      <w:proofErr w:type="spellEnd"/>
      <w:r w:rsidRPr="008B6DA9">
        <w:rPr>
          <w:rFonts w:eastAsia="Calibri"/>
        </w:rPr>
        <w:t>, the rate of land uplift, if maintained, completely offsets the rate and magnitude of the rise in MSL of the adjacent ocean over the next 50 years</w:t>
      </w:r>
      <w:r w:rsidR="007C0B29">
        <w:rPr>
          <w:rFonts w:eastAsia="Calibri"/>
        </w:rPr>
        <w:t>. It</w:t>
      </w:r>
      <w:r w:rsidRPr="008B6DA9">
        <w:rPr>
          <w:rFonts w:eastAsia="Calibri"/>
        </w:rPr>
        <w:t xml:space="preserve"> halves RSLR over the next 100 years, compared with a stable landmass. </w:t>
      </w:r>
    </w:p>
    <w:p w14:paraId="62D001EE" w14:textId="5A25DEB4" w:rsidR="008B6DA9" w:rsidRPr="008B6DA9" w:rsidRDefault="008B6DA9" w:rsidP="008B6DA9">
      <w:pPr>
        <w:pStyle w:val="BodyText"/>
        <w:rPr>
          <w:rFonts w:eastAsia="Calibri"/>
          <w:lang w:val="en-GB"/>
        </w:rPr>
      </w:pPr>
      <w:r w:rsidRPr="008B6DA9">
        <w:rPr>
          <w:rFonts w:eastAsia="Calibri"/>
          <w:lang w:val="en-GB"/>
        </w:rPr>
        <w:t xml:space="preserve">For RSLR projections in the main urban centres </w:t>
      </w:r>
      <w:r w:rsidR="007C0B29">
        <w:rPr>
          <w:rFonts w:eastAsia="Calibri"/>
          <w:lang w:val="en-GB"/>
        </w:rPr>
        <w:t>along</w:t>
      </w:r>
      <w:r w:rsidR="007C0B29" w:rsidRPr="008B6DA9">
        <w:rPr>
          <w:rFonts w:eastAsia="Calibri"/>
          <w:lang w:val="en-GB"/>
        </w:rPr>
        <w:t xml:space="preserve"> </w:t>
      </w:r>
      <w:r w:rsidRPr="008B6DA9">
        <w:rPr>
          <w:rFonts w:eastAsia="Calibri"/>
          <w:lang w:val="en-GB"/>
        </w:rPr>
        <w:t xml:space="preserve">the New Zealand coastline, only Auckland, Napier, Whanganui, Wellington, </w:t>
      </w:r>
      <w:proofErr w:type="spellStart"/>
      <w:r w:rsidRPr="008B6DA9">
        <w:rPr>
          <w:rFonts w:eastAsia="Calibri"/>
          <w:lang w:val="en-GB"/>
        </w:rPr>
        <w:t>Picton</w:t>
      </w:r>
      <w:proofErr w:type="spellEnd"/>
      <w:r w:rsidRPr="008B6DA9">
        <w:rPr>
          <w:rFonts w:eastAsia="Calibri"/>
          <w:lang w:val="en-GB"/>
        </w:rPr>
        <w:t xml:space="preserve"> and Nelson are affected significantly by VLM rates</w:t>
      </w:r>
      <w:r w:rsidR="007C0B29">
        <w:rPr>
          <w:rFonts w:eastAsia="Calibri"/>
          <w:lang w:val="en-GB"/>
        </w:rPr>
        <w:t>.</w:t>
      </w:r>
      <w:r w:rsidRPr="008B6DA9">
        <w:rPr>
          <w:rFonts w:eastAsia="Calibri"/>
          <w:lang w:val="en-GB"/>
        </w:rPr>
        <w:t xml:space="preserve"> </w:t>
      </w:r>
      <w:r w:rsidR="007C0B29">
        <w:rPr>
          <w:rFonts w:eastAsia="Calibri"/>
          <w:lang w:val="en-GB"/>
        </w:rPr>
        <w:t>I</w:t>
      </w:r>
      <w:r w:rsidRPr="008B6DA9">
        <w:rPr>
          <w:rFonts w:eastAsia="Calibri"/>
          <w:lang w:val="en-GB"/>
        </w:rPr>
        <w:t>n all these cases</w:t>
      </w:r>
      <w:r w:rsidR="007C0B29">
        <w:rPr>
          <w:rFonts w:eastAsia="Calibri"/>
          <w:lang w:val="en-GB"/>
        </w:rPr>
        <w:t>,</w:t>
      </w:r>
      <w:r w:rsidRPr="008B6DA9">
        <w:rPr>
          <w:rFonts w:eastAsia="Calibri"/>
          <w:lang w:val="en-GB"/>
        </w:rPr>
        <w:t xml:space="preserve"> this can include some sites where subsidence is </w:t>
      </w:r>
      <w:r w:rsidR="007C0B29">
        <w:rPr>
          <w:rFonts w:eastAsia="Calibri"/>
          <w:lang w:val="en-GB"/>
        </w:rPr>
        <w:t>-</w:t>
      </w:r>
      <w:r w:rsidRPr="008B6DA9">
        <w:rPr>
          <w:rFonts w:eastAsia="Calibri"/>
          <w:lang w:val="en-GB"/>
        </w:rPr>
        <w:t>2</w:t>
      </w:r>
      <w:r w:rsidR="007C0B29">
        <w:rPr>
          <w:rFonts w:eastAsia="Calibri"/>
          <w:lang w:val="en-GB"/>
        </w:rPr>
        <w:t xml:space="preserve"> </w:t>
      </w:r>
      <w:r w:rsidRPr="008B6DA9">
        <w:rPr>
          <w:rFonts w:eastAsia="Calibri"/>
          <w:lang w:val="en-GB"/>
        </w:rPr>
        <w:t>mm/</w:t>
      </w:r>
      <w:proofErr w:type="spellStart"/>
      <w:r w:rsidRPr="008B6DA9">
        <w:rPr>
          <w:rFonts w:eastAsia="Calibri"/>
          <w:lang w:val="en-GB"/>
        </w:rPr>
        <w:t>yr</w:t>
      </w:r>
      <w:proofErr w:type="spellEnd"/>
      <w:r w:rsidRPr="008B6DA9">
        <w:rPr>
          <w:rFonts w:eastAsia="Calibri"/>
          <w:lang w:val="en-GB"/>
        </w:rPr>
        <w:t xml:space="preserve"> or more, which increases the rate and magnitude of RSLR in the future.</w:t>
      </w:r>
    </w:p>
    <w:p w14:paraId="60E6E678" w14:textId="0E900EAB" w:rsidR="008B6DA9" w:rsidRPr="008B6DA9" w:rsidRDefault="008B6DA9" w:rsidP="008B6DA9">
      <w:pPr>
        <w:pStyle w:val="BodyText"/>
        <w:rPr>
          <w:rFonts w:eastAsia="Calibri" w:cs="Times New Roman"/>
        </w:rPr>
      </w:pPr>
      <w:r w:rsidRPr="008B6DA9">
        <w:rPr>
          <w:rFonts w:eastAsia="Calibri" w:cs="Times New Roman"/>
        </w:rPr>
        <w:t xml:space="preserve">As an example, if subsidence of </w:t>
      </w:r>
      <w:r w:rsidR="00BE7831">
        <w:rPr>
          <w:rFonts w:eastAsia="Calibri" w:cs="Times New Roman"/>
        </w:rPr>
        <w:t>-</w:t>
      </w:r>
      <w:r w:rsidRPr="008B6DA9">
        <w:rPr>
          <w:rFonts w:eastAsia="Calibri" w:cs="Times New Roman"/>
        </w:rPr>
        <w:t>2 mm/</w:t>
      </w:r>
      <w:proofErr w:type="spellStart"/>
      <w:r w:rsidRPr="008B6DA9">
        <w:rPr>
          <w:rFonts w:eastAsia="Calibri" w:cs="Times New Roman"/>
        </w:rPr>
        <w:t>yr</w:t>
      </w:r>
      <w:proofErr w:type="spellEnd"/>
      <w:r w:rsidRPr="008B6DA9">
        <w:rPr>
          <w:rFonts w:eastAsia="Calibri" w:cs="Times New Roman"/>
        </w:rPr>
        <w:t xml:space="preserve"> is sustained (eg,</w:t>
      </w:r>
      <w:r w:rsidR="00BE7831">
        <w:rPr>
          <w:rFonts w:eastAsia="Calibri" w:cs="Times New Roman"/>
        </w:rPr>
        <w:t xml:space="preserve"> in</w:t>
      </w:r>
      <w:r w:rsidRPr="008B6DA9">
        <w:rPr>
          <w:rFonts w:eastAsia="Calibri" w:cs="Times New Roman"/>
        </w:rPr>
        <w:t xml:space="preserve"> parts of the Wellington region), then by around 2060–70, triggers (decision points) in a DAPP strategy would be brought forward by </w:t>
      </w:r>
      <w:r w:rsidR="00BE7831">
        <w:rPr>
          <w:rFonts w:eastAsia="Calibri" w:cs="Times New Roman"/>
        </w:rPr>
        <w:t xml:space="preserve">about </w:t>
      </w:r>
      <w:r w:rsidRPr="008B6DA9">
        <w:rPr>
          <w:rFonts w:eastAsia="Calibri" w:cs="Times New Roman"/>
        </w:rPr>
        <w:t>25 years for the lower SSP1</w:t>
      </w:r>
      <w:r w:rsidR="00105913">
        <w:rPr>
          <w:rFonts w:eastAsia="Calibri" w:cs="Times New Roman"/>
        </w:rPr>
        <w:t>-</w:t>
      </w:r>
      <w:r w:rsidRPr="008B6DA9">
        <w:rPr>
          <w:rFonts w:eastAsia="Calibri" w:cs="Times New Roman"/>
        </w:rPr>
        <w:t xml:space="preserve">2.6 scenario and </w:t>
      </w:r>
      <w:r w:rsidR="00BE7831">
        <w:rPr>
          <w:rFonts w:eastAsia="Calibri" w:cs="Times New Roman"/>
        </w:rPr>
        <w:t xml:space="preserve">about </w:t>
      </w:r>
      <w:r w:rsidRPr="008B6DA9">
        <w:rPr>
          <w:rFonts w:eastAsia="Calibri" w:cs="Times New Roman"/>
        </w:rPr>
        <w:t>10 years for the higher SSP5-8.5 H</w:t>
      </w:r>
      <w:r w:rsidRPr="008B6DA9">
        <w:rPr>
          <w:rFonts w:eastAsia="Calibri" w:cs="Times New Roman"/>
          <w:vertAlign w:val="superscript"/>
        </w:rPr>
        <w:t>+</w:t>
      </w:r>
      <w:r w:rsidRPr="008B6DA9">
        <w:rPr>
          <w:rFonts w:eastAsia="Calibri" w:cs="Times New Roman"/>
        </w:rPr>
        <w:t xml:space="preserve"> scenario, compared with the </w:t>
      </w:r>
      <w:r w:rsidR="00BE7831">
        <w:rPr>
          <w:rFonts w:eastAsia="Calibri" w:cs="Times New Roman"/>
        </w:rPr>
        <w:t>projections</w:t>
      </w:r>
      <w:r w:rsidR="00BE7831" w:rsidRPr="008B6DA9">
        <w:rPr>
          <w:rFonts w:eastAsia="Calibri" w:cs="Times New Roman"/>
        </w:rPr>
        <w:t xml:space="preserve"> </w:t>
      </w:r>
      <w:r w:rsidRPr="008B6DA9">
        <w:rPr>
          <w:rFonts w:eastAsia="Calibri" w:cs="Times New Roman"/>
        </w:rPr>
        <w:t xml:space="preserve">without VLM. </w:t>
      </w:r>
    </w:p>
    <w:p w14:paraId="78B591F2" w14:textId="6DCFDE11" w:rsidR="00E14296" w:rsidRDefault="00FB2729" w:rsidP="00E14296">
      <w:pPr>
        <w:spacing w:before="0" w:after="160" w:line="259" w:lineRule="auto"/>
        <w:jc w:val="left"/>
        <w:rPr>
          <w:rFonts w:eastAsia="Calibri" w:cs="Times New Roman"/>
          <w:b/>
          <w:bCs/>
        </w:rPr>
      </w:pPr>
      <w:hyperlink w:anchor="Figure5" w:history="1">
        <w:r w:rsidR="008B6DA9" w:rsidRPr="0068357C" w:rsidDel="00BE7831">
          <w:rPr>
            <w:rStyle w:val="Hyperlink"/>
            <w:rFonts w:eastAsia="Calibri" w:cs="Times New Roman"/>
          </w:rPr>
          <w:t>F</w:t>
        </w:r>
        <w:r w:rsidR="008B6DA9" w:rsidRPr="0068357C">
          <w:rPr>
            <w:rStyle w:val="Hyperlink"/>
            <w:rFonts w:eastAsia="Calibri" w:cs="Times New Roman"/>
          </w:rPr>
          <w:t>igure 5</w:t>
        </w:r>
      </w:hyperlink>
      <w:r w:rsidR="008B6DA9" w:rsidRPr="008B6DA9">
        <w:rPr>
          <w:rFonts w:eastAsia="Calibri" w:cs="Times New Roman"/>
        </w:rPr>
        <w:t xml:space="preserve"> </w:t>
      </w:r>
      <w:r w:rsidR="00BE7831">
        <w:rPr>
          <w:rFonts w:eastAsia="Calibri" w:cs="Times New Roman"/>
        </w:rPr>
        <w:t>shows another example of</w:t>
      </w:r>
      <w:r w:rsidR="008B6DA9" w:rsidRPr="008B6DA9">
        <w:rPr>
          <w:rFonts w:eastAsia="Calibri" w:cs="Times New Roman"/>
        </w:rPr>
        <w:t xml:space="preserve"> two urban sites</w:t>
      </w:r>
      <w:r w:rsidR="00BE7831">
        <w:rPr>
          <w:rFonts w:eastAsia="Calibri" w:cs="Times New Roman"/>
        </w:rPr>
        <w:t xml:space="preserve"> where</w:t>
      </w:r>
      <w:r w:rsidR="008B6DA9" w:rsidRPr="008B6DA9">
        <w:rPr>
          <w:rFonts w:eastAsia="Calibri" w:cs="Times New Roman"/>
        </w:rPr>
        <w:t xml:space="preserve"> subsidence </w:t>
      </w:r>
      <w:r w:rsidR="00BE7831">
        <w:rPr>
          <w:rFonts w:eastAsia="Calibri" w:cs="Times New Roman"/>
        </w:rPr>
        <w:t>leads to</w:t>
      </w:r>
      <w:r w:rsidR="008B6DA9" w:rsidRPr="008B6DA9">
        <w:rPr>
          <w:rFonts w:eastAsia="Calibri" w:cs="Times New Roman"/>
        </w:rPr>
        <w:t xml:space="preserve"> the earlier emergence of thresholds of RSLR</w:t>
      </w:r>
      <w:r w:rsidR="00BE7831">
        <w:rPr>
          <w:rFonts w:eastAsia="Calibri" w:cs="Times New Roman"/>
        </w:rPr>
        <w:t>.</w:t>
      </w:r>
      <w:r w:rsidR="008B6DA9" w:rsidRPr="008B6DA9">
        <w:rPr>
          <w:rFonts w:eastAsia="Calibri" w:cs="Times New Roman"/>
        </w:rPr>
        <w:t xml:space="preserve"> </w:t>
      </w:r>
      <w:r w:rsidR="00BE7831">
        <w:rPr>
          <w:rFonts w:eastAsia="Calibri" w:cs="Times New Roman"/>
        </w:rPr>
        <w:t>A</w:t>
      </w:r>
      <w:r w:rsidR="008B6DA9" w:rsidRPr="008B6DA9">
        <w:rPr>
          <w:rFonts w:eastAsia="Calibri" w:cs="Times New Roman"/>
        </w:rPr>
        <w:t xml:space="preserve"> 1</w:t>
      </w:r>
      <w:r w:rsidR="00C648F8">
        <w:rPr>
          <w:rFonts w:eastAsia="Calibri" w:cs="Times New Roman"/>
        </w:rPr>
        <w:t xml:space="preserve"> per cent</w:t>
      </w:r>
      <w:r w:rsidR="008B6DA9" w:rsidRPr="008B6DA9">
        <w:rPr>
          <w:rFonts w:eastAsia="Calibri" w:cs="Times New Roman"/>
        </w:rPr>
        <w:t xml:space="preserve"> annual exceedance probability (AEP) or 100-year coastal flood event is exceeded more frequently on an annual and a monthly basis (</w:t>
      </w:r>
      <w:hyperlink w:anchor="Table4" w:history="1">
        <w:r w:rsidR="00BE7831" w:rsidRPr="0068357C">
          <w:rPr>
            <w:rStyle w:val="Hyperlink"/>
            <w:rFonts w:eastAsia="Calibri" w:cs="Times New Roman"/>
          </w:rPr>
          <w:t>t</w:t>
        </w:r>
        <w:r w:rsidR="008B6DA9" w:rsidRPr="0068357C">
          <w:rPr>
            <w:rStyle w:val="Hyperlink"/>
            <w:rFonts w:eastAsia="Calibri" w:cs="Times New Roman"/>
          </w:rPr>
          <w:t>able 4</w:t>
        </w:r>
      </w:hyperlink>
      <w:r w:rsidR="008B6DA9" w:rsidRPr="008B6DA9">
        <w:rPr>
          <w:rFonts w:eastAsia="Calibri" w:cs="Times New Roman"/>
        </w:rPr>
        <w:t>).</w:t>
      </w:r>
      <w:r w:rsidR="00E14296" w:rsidRPr="00E14296">
        <w:rPr>
          <w:rFonts w:eastAsia="Calibri" w:cs="Times New Roman"/>
          <w:b/>
          <w:bCs/>
        </w:rPr>
        <w:t xml:space="preserve"> </w:t>
      </w:r>
    </w:p>
    <w:p w14:paraId="15246FB9" w14:textId="1D57068B" w:rsidR="008B6DA9" w:rsidRPr="008B6DA9" w:rsidRDefault="00E14296" w:rsidP="004E0D69">
      <w:pPr>
        <w:pStyle w:val="Figureheading"/>
        <w:rPr>
          <w:rFonts w:eastAsia="Calibri" w:cs="Times New Roman"/>
        </w:rPr>
      </w:pPr>
      <w:bookmarkStart w:id="53" w:name="Figure5"/>
      <w:bookmarkStart w:id="54" w:name="_Toc109809104"/>
      <w:r w:rsidRPr="00E14296">
        <w:rPr>
          <w:rFonts w:eastAsia="Calibri" w:cs="Times New Roman"/>
          <w:bCs/>
        </w:rPr>
        <w:t>Figure 5</w:t>
      </w:r>
      <w:bookmarkEnd w:id="53"/>
      <w:r w:rsidRPr="00E14296">
        <w:rPr>
          <w:rFonts w:eastAsia="Calibri" w:cs="Times New Roman"/>
        </w:rPr>
        <w:t>:</w:t>
      </w:r>
      <w:r>
        <w:rPr>
          <w:rFonts w:eastAsia="Calibri" w:cs="Times New Roman"/>
        </w:rPr>
        <w:tab/>
      </w:r>
      <w:r w:rsidR="004E0D69" w:rsidRPr="00E14296">
        <w:rPr>
          <w:rFonts w:eastAsia="Calibri"/>
        </w:rPr>
        <w:t>Comparing RSLR scenario SSP2</w:t>
      </w:r>
      <w:r w:rsidR="00105913">
        <w:rPr>
          <w:rFonts w:eastAsia="Calibri"/>
        </w:rPr>
        <w:t>-</w:t>
      </w:r>
      <w:r w:rsidR="004E0D69" w:rsidRPr="00E14296">
        <w:rPr>
          <w:rFonts w:eastAsia="Calibri"/>
        </w:rPr>
        <w:t>4.5 with VLM (solid line) and without VLM (dashed line) at Petone</w:t>
      </w:r>
      <w:r w:rsidR="00BE7831">
        <w:rPr>
          <w:rFonts w:eastAsia="Calibri"/>
        </w:rPr>
        <w:t>,</w:t>
      </w:r>
      <w:r w:rsidR="004E0D69" w:rsidRPr="00E14296">
        <w:rPr>
          <w:rFonts w:eastAsia="Calibri"/>
        </w:rPr>
        <w:t xml:space="preserve"> Lower Hutt (top) and New Brighton</w:t>
      </w:r>
      <w:r w:rsidR="00BE7831">
        <w:rPr>
          <w:rFonts w:eastAsia="Calibri"/>
        </w:rPr>
        <w:t>,</w:t>
      </w:r>
      <w:r w:rsidR="004E0D69" w:rsidRPr="00E14296">
        <w:rPr>
          <w:rFonts w:eastAsia="Calibri"/>
        </w:rPr>
        <w:t xml:space="preserve"> Christchurch</w:t>
      </w:r>
      <w:r w:rsidR="00BE7831">
        <w:rPr>
          <w:rFonts w:eastAsia="Calibri"/>
        </w:rPr>
        <w:t xml:space="preserve"> (bottom</w:t>
      </w:r>
      <w:r w:rsidR="004E0D69">
        <w:rPr>
          <w:rFonts w:eastAsia="Calibri"/>
        </w:rPr>
        <w:t>)</w:t>
      </w:r>
      <w:bookmarkEnd w:id="54"/>
    </w:p>
    <w:p w14:paraId="703CB331" w14:textId="51F2EDA1" w:rsidR="008B6DA9" w:rsidRDefault="008B6DA9" w:rsidP="008B6DA9">
      <w:pPr>
        <w:pStyle w:val="BodyText"/>
      </w:pPr>
      <w:r>
        <w:rPr>
          <w:rFonts w:cs="Times New Roman"/>
          <w:noProof/>
        </w:rPr>
        <w:drawing>
          <wp:inline distT="0" distB="0" distL="0" distR="0" wp14:anchorId="09AF4DF8" wp14:editId="0E4C24EB">
            <wp:extent cx="3489305" cy="2552889"/>
            <wp:effectExtent l="0" t="0" r="0" b="0"/>
            <wp:docPr id="7" name="Picture 7" descr="The first of two line graphs showing projected relative sea-level rise in millimetres per year under scenario SSP2–4.5 with vertical land movement and without, at Petone (Lower Hutt) and New Brighton (Christchurch). The graphs range from 2020 to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rst of two line graphs showing projected relative sea-level rise in millimetres per year under scenario SSP2–4.5 with vertical land movement and without, at Petone (Lower Hutt) and New Brighton (Christchurch). The graphs range from 2020 to 2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8037" cy="2566594"/>
                    </a:xfrm>
                    <a:prstGeom prst="rect">
                      <a:avLst/>
                    </a:prstGeom>
                    <a:noFill/>
                    <a:ln>
                      <a:noFill/>
                    </a:ln>
                  </pic:spPr>
                </pic:pic>
              </a:graphicData>
            </a:graphic>
          </wp:inline>
        </w:drawing>
      </w:r>
    </w:p>
    <w:p w14:paraId="6F931D11" w14:textId="5C8037BF" w:rsidR="008B6DA9" w:rsidRDefault="008B6DA9" w:rsidP="008B6DA9">
      <w:pPr>
        <w:pStyle w:val="BodyText"/>
      </w:pPr>
      <w:r>
        <w:rPr>
          <w:rFonts w:cs="Times New Roman"/>
          <w:noProof/>
        </w:rPr>
        <w:drawing>
          <wp:inline distT="0" distB="0" distL="0" distR="0" wp14:anchorId="1501839E" wp14:editId="25C900CA">
            <wp:extent cx="3573453" cy="2661167"/>
            <wp:effectExtent l="0" t="0" r="8255" b="6350"/>
            <wp:docPr id="8" name="Picture 8" descr="The second of two line graphs showing projected relative sea-level rise in millimetres per year under scenario SSP2–4.5 with vertical land movement and without, at Petone (Lower Hutt) and New Brighton (Christchurch). The graphs range from 2020 to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second of two line graphs showing projected relative sea-level rise in millimetres per year under scenario SSP2–4.5 with vertical land movement and without, at Petone (Lower Hutt) and New Brighton (Christchurch). The graphs range from 2020 to 2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5369" cy="2677488"/>
                    </a:xfrm>
                    <a:prstGeom prst="rect">
                      <a:avLst/>
                    </a:prstGeom>
                    <a:noFill/>
                    <a:ln>
                      <a:noFill/>
                    </a:ln>
                  </pic:spPr>
                </pic:pic>
              </a:graphicData>
            </a:graphic>
          </wp:inline>
        </w:drawing>
      </w:r>
    </w:p>
    <w:p w14:paraId="660C647E" w14:textId="4A982C8A" w:rsidR="00E14296" w:rsidRPr="0068357C" w:rsidRDefault="004E0D69" w:rsidP="004E0D69">
      <w:pPr>
        <w:pStyle w:val="Note"/>
        <w:rPr>
          <w:rFonts w:eastAsia="Calibri" w:cs="Times New Roman"/>
          <w:b/>
          <w:bCs/>
          <w:i/>
          <w:iCs/>
        </w:rPr>
      </w:pPr>
      <w:r>
        <w:rPr>
          <w:rFonts w:eastAsia="Calibri" w:cs="Times New Roman"/>
          <w:b/>
          <w:bCs/>
        </w:rPr>
        <w:t xml:space="preserve">Notes for </w:t>
      </w:r>
      <w:r w:rsidR="00092C72">
        <w:rPr>
          <w:rFonts w:eastAsia="Calibri" w:cs="Times New Roman"/>
          <w:b/>
          <w:bCs/>
        </w:rPr>
        <w:t>f</w:t>
      </w:r>
      <w:r w:rsidR="002D6E38">
        <w:rPr>
          <w:rFonts w:eastAsia="Calibri" w:cs="Times New Roman"/>
          <w:b/>
          <w:bCs/>
        </w:rPr>
        <w:t xml:space="preserve">igure 5: </w:t>
      </w:r>
      <w:r w:rsidR="002D6E38" w:rsidRPr="00E14296">
        <w:rPr>
          <w:rFonts w:eastAsia="Calibri"/>
        </w:rPr>
        <w:t>Thresholds of RSLR for an equivalent historic 1</w:t>
      </w:r>
      <w:r w:rsidR="00C648F8">
        <w:rPr>
          <w:rFonts w:eastAsia="Calibri"/>
        </w:rPr>
        <w:t xml:space="preserve"> per cent</w:t>
      </w:r>
      <w:r w:rsidR="002D6E38" w:rsidRPr="00E14296">
        <w:rPr>
          <w:rFonts w:eastAsia="Calibri"/>
        </w:rPr>
        <w:t xml:space="preserve"> AEP coastal flood that starts to occur annually and then monthly (</w:t>
      </w:r>
      <w:hyperlink w:anchor="Table4" w:history="1">
        <w:r w:rsidR="00BE7831" w:rsidRPr="0068357C">
          <w:rPr>
            <w:rStyle w:val="Hyperlink"/>
            <w:rFonts w:eastAsia="Calibri"/>
          </w:rPr>
          <w:t>t</w:t>
        </w:r>
        <w:r w:rsidR="002D6E38" w:rsidRPr="0068357C">
          <w:rPr>
            <w:rStyle w:val="Hyperlink"/>
            <w:rFonts w:eastAsia="Calibri"/>
          </w:rPr>
          <w:t>able 4</w:t>
        </w:r>
      </w:hyperlink>
      <w:r w:rsidR="002D6E38" w:rsidRPr="00E14296">
        <w:rPr>
          <w:rFonts w:eastAsia="Calibri"/>
        </w:rPr>
        <w:t xml:space="preserve">), are brought forward in time (arrows) due to subsidence. </w:t>
      </w:r>
      <w:r w:rsidR="002D6E38" w:rsidRPr="00251EB2">
        <w:rPr>
          <w:rFonts w:eastAsia="Calibri"/>
        </w:rPr>
        <w:t>Graphs</w:t>
      </w:r>
      <w:r w:rsidR="002D6E38" w:rsidRPr="00E14296">
        <w:rPr>
          <w:rFonts w:eastAsia="Calibri"/>
        </w:rPr>
        <w:t xml:space="preserve"> sourced from </w:t>
      </w:r>
      <w:r w:rsidR="00BC5F5A">
        <w:rPr>
          <w:rFonts w:eastAsia="Calibri"/>
        </w:rPr>
        <w:t xml:space="preserve">the </w:t>
      </w:r>
      <w:proofErr w:type="spellStart"/>
      <w:r w:rsidR="002D6E38" w:rsidRPr="00E14296">
        <w:rPr>
          <w:rFonts w:eastAsia="Calibri"/>
        </w:rPr>
        <w:t>Takiwā</w:t>
      </w:r>
      <w:proofErr w:type="spellEnd"/>
      <w:r w:rsidR="002D6E38" w:rsidRPr="00E14296">
        <w:rPr>
          <w:rFonts w:eastAsia="Calibri"/>
        </w:rPr>
        <w:t xml:space="preserve"> platform. </w:t>
      </w:r>
      <w:r w:rsidR="002D6E38" w:rsidRPr="0068357C">
        <w:rPr>
          <w:rFonts w:eastAsia="Calibri"/>
          <w:i/>
          <w:iCs/>
        </w:rPr>
        <w:t xml:space="preserve"> New Brighton VLM rates may have changed following the two major South Island earthquake sequences in 2011 and 2016.</w:t>
      </w:r>
    </w:p>
    <w:p w14:paraId="04781576" w14:textId="35449BD9" w:rsidR="00E14296" w:rsidRPr="00E14296" w:rsidRDefault="00E14296" w:rsidP="00E14296">
      <w:pPr>
        <w:pStyle w:val="Tableheading"/>
        <w:rPr>
          <w:rFonts w:eastAsia="Calibri"/>
        </w:rPr>
      </w:pPr>
      <w:bookmarkStart w:id="55" w:name="Table4"/>
      <w:bookmarkStart w:id="56" w:name="_Toc109809097"/>
      <w:r w:rsidRPr="00E14296">
        <w:rPr>
          <w:rFonts w:eastAsia="Calibri"/>
          <w:bCs/>
        </w:rPr>
        <w:t>Table 4</w:t>
      </w:r>
      <w:bookmarkEnd w:id="55"/>
      <w:r w:rsidRPr="00E14296">
        <w:rPr>
          <w:rFonts w:eastAsia="Calibri"/>
          <w:bCs/>
        </w:rPr>
        <w:t>:</w:t>
      </w:r>
      <w:r>
        <w:rPr>
          <w:rFonts w:eastAsia="Calibri"/>
        </w:rPr>
        <w:tab/>
      </w:r>
      <w:r w:rsidR="004E0D69">
        <w:rPr>
          <w:rFonts w:eastAsia="Calibri"/>
        </w:rPr>
        <w:t>Average o</w:t>
      </w:r>
      <w:r w:rsidR="004E0D69" w:rsidRPr="00E14296">
        <w:rPr>
          <w:rFonts w:eastAsia="Calibri"/>
        </w:rPr>
        <w:t>ccurrences of coastal flooding events for the four main coastal centres</w:t>
      </w:r>
      <w:bookmarkEnd w:id="56"/>
      <w:r w:rsidR="004E0D69" w:rsidRPr="00E14296">
        <w:rPr>
          <w:rFonts w:eastAsia="Calibri"/>
        </w:rPr>
        <w:t xml:space="preserve"> </w:t>
      </w:r>
    </w:p>
    <w:tbl>
      <w:tblPr>
        <w:tblStyle w:val="TableGrid2"/>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925"/>
        <w:gridCol w:w="1026"/>
        <w:gridCol w:w="959"/>
        <w:gridCol w:w="1245"/>
        <w:gridCol w:w="939"/>
        <w:gridCol w:w="1288"/>
        <w:gridCol w:w="1041"/>
        <w:gridCol w:w="1082"/>
      </w:tblGrid>
      <w:tr w:rsidR="00E14296" w:rsidRPr="00E14296" w14:paraId="786F7850" w14:textId="77777777" w:rsidTr="006C0152">
        <w:trPr>
          <w:tblHeader/>
        </w:trPr>
        <w:tc>
          <w:tcPr>
            <w:tcW w:w="544" w:type="pct"/>
            <w:shd w:val="clear" w:color="auto" w:fill="1B556B" w:themeFill="text2"/>
          </w:tcPr>
          <w:p w14:paraId="0516B205"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RSLR (m)</w:t>
            </w:r>
          </w:p>
        </w:tc>
        <w:tc>
          <w:tcPr>
            <w:tcW w:w="603" w:type="pct"/>
            <w:shd w:val="clear" w:color="auto" w:fill="1B556B" w:themeFill="text2"/>
          </w:tcPr>
          <w:p w14:paraId="52B82D7A"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Auckland</w:t>
            </w:r>
          </w:p>
        </w:tc>
        <w:tc>
          <w:tcPr>
            <w:tcW w:w="564" w:type="pct"/>
            <w:shd w:val="clear" w:color="auto" w:fill="1B556B" w:themeFill="text2"/>
          </w:tcPr>
          <w:p w14:paraId="7EB57BFB"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RSLR (m)</w:t>
            </w:r>
          </w:p>
        </w:tc>
        <w:tc>
          <w:tcPr>
            <w:tcW w:w="732" w:type="pct"/>
            <w:shd w:val="clear" w:color="auto" w:fill="1B556B" w:themeFill="text2"/>
          </w:tcPr>
          <w:p w14:paraId="13624426"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Wellington</w:t>
            </w:r>
          </w:p>
        </w:tc>
        <w:tc>
          <w:tcPr>
            <w:tcW w:w="552" w:type="pct"/>
            <w:shd w:val="clear" w:color="auto" w:fill="1B556B" w:themeFill="text2"/>
          </w:tcPr>
          <w:p w14:paraId="3BDD11F0"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RSLR (m)</w:t>
            </w:r>
          </w:p>
        </w:tc>
        <w:tc>
          <w:tcPr>
            <w:tcW w:w="757" w:type="pct"/>
            <w:shd w:val="clear" w:color="auto" w:fill="1B556B" w:themeFill="text2"/>
          </w:tcPr>
          <w:p w14:paraId="2B05FD81"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Christchurch</w:t>
            </w:r>
          </w:p>
        </w:tc>
        <w:tc>
          <w:tcPr>
            <w:tcW w:w="612" w:type="pct"/>
            <w:shd w:val="clear" w:color="auto" w:fill="1B556B" w:themeFill="text2"/>
          </w:tcPr>
          <w:p w14:paraId="1FDB051F"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RSLR (m)</w:t>
            </w:r>
          </w:p>
        </w:tc>
        <w:tc>
          <w:tcPr>
            <w:tcW w:w="637" w:type="pct"/>
            <w:shd w:val="clear" w:color="auto" w:fill="1B556B" w:themeFill="text2"/>
          </w:tcPr>
          <w:p w14:paraId="30604623" w14:textId="77777777" w:rsidR="00E14296" w:rsidRPr="00E14296" w:rsidRDefault="00E14296" w:rsidP="00E14296">
            <w:pPr>
              <w:pStyle w:val="TableText"/>
              <w:rPr>
                <w:rFonts w:eastAsia="Calibri"/>
                <w:b/>
                <w:bCs/>
                <w:color w:val="FFFFFF" w:themeColor="background1"/>
              </w:rPr>
            </w:pPr>
            <w:r w:rsidRPr="00E14296">
              <w:rPr>
                <w:rFonts w:eastAsia="Calibri"/>
                <w:b/>
                <w:bCs/>
                <w:color w:val="FFFFFF" w:themeColor="background1"/>
              </w:rPr>
              <w:t>Dunedin</w:t>
            </w:r>
          </w:p>
        </w:tc>
      </w:tr>
      <w:tr w:rsidR="00E14296" w:rsidRPr="00E14296" w14:paraId="6E906D0D" w14:textId="77777777" w:rsidTr="00DD00D8">
        <w:tc>
          <w:tcPr>
            <w:tcW w:w="544" w:type="pct"/>
            <w:shd w:val="clear" w:color="auto" w:fill="auto"/>
          </w:tcPr>
          <w:p w14:paraId="67679FD4" w14:textId="77777777" w:rsidR="00E14296" w:rsidRPr="00E14296" w:rsidRDefault="00E14296" w:rsidP="00E14296">
            <w:pPr>
              <w:pStyle w:val="TableText"/>
              <w:rPr>
                <w:rFonts w:eastAsia="Calibri"/>
              </w:rPr>
            </w:pPr>
            <w:r w:rsidRPr="00E14296">
              <w:rPr>
                <w:rFonts w:eastAsia="Calibri"/>
              </w:rPr>
              <w:t>-0.04</w:t>
            </w:r>
          </w:p>
        </w:tc>
        <w:tc>
          <w:tcPr>
            <w:tcW w:w="603" w:type="pct"/>
            <w:shd w:val="clear" w:color="auto" w:fill="auto"/>
          </w:tcPr>
          <w:p w14:paraId="0D6B7125" w14:textId="77777777" w:rsidR="00E14296" w:rsidRPr="00E14296" w:rsidRDefault="00E14296" w:rsidP="00E14296">
            <w:pPr>
              <w:pStyle w:val="TableText"/>
              <w:rPr>
                <w:rFonts w:eastAsia="Calibri"/>
              </w:rPr>
            </w:pPr>
            <w:r w:rsidRPr="00E14296">
              <w:rPr>
                <w:rFonts w:eastAsia="Calibri"/>
              </w:rPr>
              <w:t>100-year</w:t>
            </w:r>
          </w:p>
        </w:tc>
        <w:tc>
          <w:tcPr>
            <w:tcW w:w="564" w:type="pct"/>
            <w:shd w:val="clear" w:color="auto" w:fill="auto"/>
          </w:tcPr>
          <w:p w14:paraId="6DE045D8" w14:textId="77777777" w:rsidR="00E14296" w:rsidRPr="00E14296" w:rsidRDefault="00E14296" w:rsidP="00E14296">
            <w:pPr>
              <w:pStyle w:val="TableText"/>
              <w:rPr>
                <w:rFonts w:eastAsia="Calibri"/>
              </w:rPr>
            </w:pPr>
            <w:r w:rsidRPr="00E14296">
              <w:rPr>
                <w:rFonts w:eastAsia="Calibri"/>
              </w:rPr>
              <w:t>-0.03</w:t>
            </w:r>
          </w:p>
        </w:tc>
        <w:tc>
          <w:tcPr>
            <w:tcW w:w="732" w:type="pct"/>
            <w:shd w:val="clear" w:color="auto" w:fill="auto"/>
          </w:tcPr>
          <w:p w14:paraId="4FE47285" w14:textId="77777777" w:rsidR="00E14296" w:rsidRPr="00E14296" w:rsidRDefault="00E14296" w:rsidP="00E14296">
            <w:pPr>
              <w:pStyle w:val="TableText"/>
              <w:rPr>
                <w:rFonts w:eastAsia="Calibri"/>
              </w:rPr>
            </w:pPr>
            <w:r w:rsidRPr="00E14296">
              <w:rPr>
                <w:rFonts w:eastAsia="Calibri"/>
              </w:rPr>
              <w:t>100-year</w:t>
            </w:r>
          </w:p>
        </w:tc>
        <w:tc>
          <w:tcPr>
            <w:tcW w:w="552" w:type="pct"/>
            <w:shd w:val="clear" w:color="auto" w:fill="auto"/>
          </w:tcPr>
          <w:p w14:paraId="0A0A2652" w14:textId="77777777" w:rsidR="00E14296" w:rsidRPr="00E14296" w:rsidRDefault="00E14296" w:rsidP="00E14296">
            <w:pPr>
              <w:pStyle w:val="TableText"/>
              <w:rPr>
                <w:rFonts w:eastAsia="Calibri"/>
              </w:rPr>
            </w:pPr>
            <w:r w:rsidRPr="00E14296">
              <w:rPr>
                <w:rFonts w:eastAsia="Calibri"/>
              </w:rPr>
              <w:t>-0.03</w:t>
            </w:r>
          </w:p>
        </w:tc>
        <w:tc>
          <w:tcPr>
            <w:tcW w:w="757" w:type="pct"/>
            <w:shd w:val="clear" w:color="auto" w:fill="auto"/>
          </w:tcPr>
          <w:p w14:paraId="426CCEA3" w14:textId="77777777" w:rsidR="00E14296" w:rsidRPr="00E14296" w:rsidRDefault="00E14296" w:rsidP="00E14296">
            <w:pPr>
              <w:pStyle w:val="TableText"/>
              <w:rPr>
                <w:rFonts w:eastAsia="Calibri"/>
              </w:rPr>
            </w:pPr>
            <w:r w:rsidRPr="00E14296">
              <w:rPr>
                <w:rFonts w:eastAsia="Calibri"/>
              </w:rPr>
              <w:t>100-year</w:t>
            </w:r>
          </w:p>
        </w:tc>
        <w:tc>
          <w:tcPr>
            <w:tcW w:w="612" w:type="pct"/>
            <w:shd w:val="clear" w:color="auto" w:fill="auto"/>
          </w:tcPr>
          <w:p w14:paraId="63401B8E" w14:textId="77777777" w:rsidR="00E14296" w:rsidRPr="00E14296" w:rsidRDefault="00E14296" w:rsidP="00E14296">
            <w:pPr>
              <w:pStyle w:val="TableText"/>
              <w:rPr>
                <w:rFonts w:eastAsia="Calibri"/>
              </w:rPr>
            </w:pPr>
            <w:r w:rsidRPr="00E14296">
              <w:rPr>
                <w:rFonts w:eastAsia="Calibri"/>
              </w:rPr>
              <w:t>-0.03</w:t>
            </w:r>
          </w:p>
        </w:tc>
        <w:tc>
          <w:tcPr>
            <w:tcW w:w="637" w:type="pct"/>
            <w:shd w:val="clear" w:color="auto" w:fill="auto"/>
          </w:tcPr>
          <w:p w14:paraId="2D6DF659" w14:textId="77777777" w:rsidR="00E14296" w:rsidRPr="00E14296" w:rsidRDefault="00E14296" w:rsidP="00E14296">
            <w:pPr>
              <w:pStyle w:val="TableText"/>
              <w:rPr>
                <w:rFonts w:eastAsia="Calibri"/>
              </w:rPr>
            </w:pPr>
            <w:r w:rsidRPr="00E14296">
              <w:rPr>
                <w:rFonts w:eastAsia="Calibri"/>
              </w:rPr>
              <w:t>100-year</w:t>
            </w:r>
          </w:p>
        </w:tc>
      </w:tr>
      <w:tr w:rsidR="00E14296" w:rsidRPr="00E14296" w14:paraId="2523AD8D" w14:textId="77777777" w:rsidTr="00DD00D8">
        <w:tc>
          <w:tcPr>
            <w:tcW w:w="544" w:type="pct"/>
            <w:shd w:val="clear" w:color="auto" w:fill="auto"/>
          </w:tcPr>
          <w:p w14:paraId="35B478D2" w14:textId="77777777" w:rsidR="00E14296" w:rsidRPr="00E14296" w:rsidRDefault="00E14296" w:rsidP="00E14296">
            <w:pPr>
              <w:pStyle w:val="TableText"/>
              <w:rPr>
                <w:rFonts w:eastAsia="Calibri"/>
              </w:rPr>
            </w:pPr>
            <w:r w:rsidRPr="00E14296">
              <w:rPr>
                <w:rFonts w:eastAsia="Calibri"/>
              </w:rPr>
              <w:t>0.36</w:t>
            </w:r>
          </w:p>
        </w:tc>
        <w:tc>
          <w:tcPr>
            <w:tcW w:w="603" w:type="pct"/>
            <w:shd w:val="clear" w:color="auto" w:fill="auto"/>
          </w:tcPr>
          <w:p w14:paraId="678BD5BF" w14:textId="77777777" w:rsidR="00E14296" w:rsidRPr="00E14296" w:rsidRDefault="00E14296" w:rsidP="00E14296">
            <w:pPr>
              <w:pStyle w:val="TableText"/>
              <w:rPr>
                <w:rFonts w:eastAsia="Calibri"/>
              </w:rPr>
            </w:pPr>
            <w:r w:rsidRPr="00E14296">
              <w:rPr>
                <w:rFonts w:eastAsia="Calibri"/>
              </w:rPr>
              <w:t>2-year</w:t>
            </w:r>
          </w:p>
        </w:tc>
        <w:tc>
          <w:tcPr>
            <w:tcW w:w="564" w:type="pct"/>
            <w:shd w:val="clear" w:color="auto" w:fill="auto"/>
          </w:tcPr>
          <w:p w14:paraId="7A93E8D5" w14:textId="77777777" w:rsidR="00E14296" w:rsidRPr="00E14296" w:rsidRDefault="00E14296" w:rsidP="00E14296">
            <w:pPr>
              <w:pStyle w:val="TableText"/>
              <w:rPr>
                <w:rFonts w:eastAsia="Calibri"/>
              </w:rPr>
            </w:pPr>
            <w:r w:rsidRPr="00E14296">
              <w:rPr>
                <w:rFonts w:eastAsia="Calibri"/>
              </w:rPr>
              <w:t>0.17</w:t>
            </w:r>
          </w:p>
        </w:tc>
        <w:tc>
          <w:tcPr>
            <w:tcW w:w="732" w:type="pct"/>
            <w:shd w:val="clear" w:color="auto" w:fill="auto"/>
          </w:tcPr>
          <w:p w14:paraId="17583B87" w14:textId="77777777" w:rsidR="00E14296" w:rsidRPr="00E14296" w:rsidRDefault="00E14296" w:rsidP="00E14296">
            <w:pPr>
              <w:pStyle w:val="TableText"/>
              <w:rPr>
                <w:rFonts w:eastAsia="Calibri"/>
              </w:rPr>
            </w:pPr>
            <w:r w:rsidRPr="00E14296">
              <w:rPr>
                <w:rFonts w:eastAsia="Calibri"/>
              </w:rPr>
              <w:t>4-year</w:t>
            </w:r>
          </w:p>
        </w:tc>
        <w:tc>
          <w:tcPr>
            <w:tcW w:w="552" w:type="pct"/>
            <w:shd w:val="clear" w:color="auto" w:fill="auto"/>
          </w:tcPr>
          <w:p w14:paraId="2EF05F2B" w14:textId="77777777" w:rsidR="00E14296" w:rsidRPr="00E14296" w:rsidRDefault="00E14296" w:rsidP="00E14296">
            <w:pPr>
              <w:pStyle w:val="TableText"/>
              <w:rPr>
                <w:rFonts w:eastAsia="Calibri"/>
              </w:rPr>
            </w:pPr>
            <w:r w:rsidRPr="00E14296">
              <w:rPr>
                <w:rFonts w:eastAsia="Calibri"/>
              </w:rPr>
              <w:t>0.17</w:t>
            </w:r>
          </w:p>
        </w:tc>
        <w:tc>
          <w:tcPr>
            <w:tcW w:w="757" w:type="pct"/>
            <w:shd w:val="clear" w:color="auto" w:fill="auto"/>
          </w:tcPr>
          <w:p w14:paraId="567FC624" w14:textId="77777777" w:rsidR="00E14296" w:rsidRPr="00E14296" w:rsidRDefault="00E14296" w:rsidP="00E14296">
            <w:pPr>
              <w:pStyle w:val="TableText"/>
              <w:rPr>
                <w:rFonts w:eastAsia="Calibri"/>
              </w:rPr>
            </w:pPr>
            <w:r w:rsidRPr="00E14296">
              <w:rPr>
                <w:rFonts w:eastAsia="Calibri"/>
              </w:rPr>
              <w:t>5-year</w:t>
            </w:r>
          </w:p>
        </w:tc>
        <w:tc>
          <w:tcPr>
            <w:tcW w:w="612" w:type="pct"/>
            <w:shd w:val="clear" w:color="auto" w:fill="auto"/>
          </w:tcPr>
          <w:p w14:paraId="7EE144E4" w14:textId="77777777" w:rsidR="00E14296" w:rsidRPr="00E14296" w:rsidRDefault="00E14296" w:rsidP="00E14296">
            <w:pPr>
              <w:pStyle w:val="TableText"/>
              <w:rPr>
                <w:rFonts w:eastAsia="Calibri"/>
              </w:rPr>
            </w:pPr>
            <w:r w:rsidRPr="00E14296">
              <w:rPr>
                <w:rFonts w:eastAsia="Calibri"/>
              </w:rPr>
              <w:t>0.17</w:t>
            </w:r>
          </w:p>
        </w:tc>
        <w:tc>
          <w:tcPr>
            <w:tcW w:w="637" w:type="pct"/>
            <w:shd w:val="clear" w:color="auto" w:fill="auto"/>
          </w:tcPr>
          <w:p w14:paraId="231CDBA9" w14:textId="77777777" w:rsidR="00E14296" w:rsidRPr="00E14296" w:rsidRDefault="00E14296" w:rsidP="00E14296">
            <w:pPr>
              <w:pStyle w:val="TableText"/>
              <w:rPr>
                <w:rFonts w:eastAsia="Calibri"/>
              </w:rPr>
            </w:pPr>
            <w:r w:rsidRPr="00E14296">
              <w:rPr>
                <w:rFonts w:eastAsia="Calibri"/>
              </w:rPr>
              <w:t>9-year</w:t>
            </w:r>
          </w:p>
        </w:tc>
      </w:tr>
      <w:tr w:rsidR="00E14296" w:rsidRPr="00E14296" w14:paraId="33A050CB" w14:textId="77777777" w:rsidTr="00DD00D8">
        <w:tc>
          <w:tcPr>
            <w:tcW w:w="544" w:type="pct"/>
            <w:shd w:val="clear" w:color="auto" w:fill="auto"/>
          </w:tcPr>
          <w:p w14:paraId="64C5B4D1" w14:textId="77777777" w:rsidR="00E14296" w:rsidRPr="00E14296" w:rsidRDefault="00E14296" w:rsidP="00E14296">
            <w:pPr>
              <w:pStyle w:val="TableText"/>
              <w:rPr>
                <w:rFonts w:eastAsia="Calibri"/>
              </w:rPr>
            </w:pPr>
            <w:r w:rsidRPr="00E14296">
              <w:rPr>
                <w:rFonts w:eastAsia="Calibri"/>
              </w:rPr>
              <w:t>0.46</w:t>
            </w:r>
          </w:p>
        </w:tc>
        <w:tc>
          <w:tcPr>
            <w:tcW w:w="603" w:type="pct"/>
            <w:shd w:val="clear" w:color="auto" w:fill="auto"/>
          </w:tcPr>
          <w:p w14:paraId="0FB6916B" w14:textId="77777777" w:rsidR="00E14296" w:rsidRPr="00E14296" w:rsidRDefault="00E14296" w:rsidP="00E14296">
            <w:pPr>
              <w:pStyle w:val="TableText"/>
              <w:rPr>
                <w:rFonts w:eastAsia="Calibri"/>
              </w:rPr>
            </w:pPr>
            <w:r w:rsidRPr="00E14296">
              <w:rPr>
                <w:rFonts w:eastAsia="Calibri"/>
              </w:rPr>
              <w:t>6-month</w:t>
            </w:r>
          </w:p>
        </w:tc>
        <w:tc>
          <w:tcPr>
            <w:tcW w:w="564" w:type="pct"/>
            <w:shd w:val="clear" w:color="auto" w:fill="auto"/>
          </w:tcPr>
          <w:p w14:paraId="69F56107" w14:textId="77777777" w:rsidR="00E14296" w:rsidRPr="00E14296" w:rsidRDefault="00E14296" w:rsidP="00E14296">
            <w:pPr>
              <w:pStyle w:val="TableText"/>
              <w:rPr>
                <w:rFonts w:eastAsia="Calibri"/>
              </w:rPr>
            </w:pPr>
            <w:r w:rsidRPr="00E14296">
              <w:rPr>
                <w:rFonts w:eastAsia="Calibri"/>
              </w:rPr>
              <w:t>0.27</w:t>
            </w:r>
          </w:p>
        </w:tc>
        <w:tc>
          <w:tcPr>
            <w:tcW w:w="732" w:type="pct"/>
            <w:shd w:val="clear" w:color="auto" w:fill="auto"/>
          </w:tcPr>
          <w:p w14:paraId="05983B5D" w14:textId="77777777" w:rsidR="00E14296" w:rsidRPr="00E14296" w:rsidRDefault="00E14296" w:rsidP="00E14296">
            <w:pPr>
              <w:pStyle w:val="TableText"/>
              <w:rPr>
                <w:rFonts w:eastAsia="Calibri"/>
              </w:rPr>
            </w:pPr>
            <w:r w:rsidRPr="00E14296">
              <w:rPr>
                <w:rFonts w:eastAsia="Calibri"/>
              </w:rPr>
              <w:t>1-year</w:t>
            </w:r>
          </w:p>
        </w:tc>
        <w:tc>
          <w:tcPr>
            <w:tcW w:w="552" w:type="pct"/>
            <w:shd w:val="clear" w:color="auto" w:fill="auto"/>
          </w:tcPr>
          <w:p w14:paraId="3C2A0EE4" w14:textId="77777777" w:rsidR="00E14296" w:rsidRPr="00E14296" w:rsidRDefault="00E14296" w:rsidP="00E14296">
            <w:pPr>
              <w:pStyle w:val="TableText"/>
              <w:rPr>
                <w:rFonts w:eastAsia="Calibri"/>
              </w:rPr>
            </w:pPr>
            <w:r w:rsidRPr="00E14296">
              <w:rPr>
                <w:rFonts w:eastAsia="Calibri"/>
              </w:rPr>
              <w:t>0.27</w:t>
            </w:r>
          </w:p>
        </w:tc>
        <w:tc>
          <w:tcPr>
            <w:tcW w:w="757" w:type="pct"/>
            <w:shd w:val="clear" w:color="auto" w:fill="auto"/>
          </w:tcPr>
          <w:p w14:paraId="348A0BD5" w14:textId="77777777" w:rsidR="00E14296" w:rsidRPr="00E14296" w:rsidRDefault="00E14296" w:rsidP="00E14296">
            <w:pPr>
              <w:pStyle w:val="TableText"/>
              <w:rPr>
                <w:rFonts w:eastAsia="Calibri"/>
              </w:rPr>
            </w:pPr>
            <w:r w:rsidRPr="00E14296">
              <w:rPr>
                <w:rFonts w:eastAsia="Calibri"/>
              </w:rPr>
              <w:t>1-year</w:t>
            </w:r>
          </w:p>
        </w:tc>
        <w:tc>
          <w:tcPr>
            <w:tcW w:w="612" w:type="pct"/>
            <w:shd w:val="clear" w:color="auto" w:fill="auto"/>
          </w:tcPr>
          <w:p w14:paraId="2EF4BD67" w14:textId="77777777" w:rsidR="00E14296" w:rsidRPr="00E14296" w:rsidRDefault="00E14296" w:rsidP="00E14296">
            <w:pPr>
              <w:pStyle w:val="TableText"/>
              <w:rPr>
                <w:rFonts w:eastAsia="Calibri"/>
              </w:rPr>
            </w:pPr>
            <w:r w:rsidRPr="00E14296">
              <w:rPr>
                <w:rFonts w:eastAsia="Calibri"/>
              </w:rPr>
              <w:t>0.27</w:t>
            </w:r>
          </w:p>
        </w:tc>
        <w:tc>
          <w:tcPr>
            <w:tcW w:w="637" w:type="pct"/>
            <w:shd w:val="clear" w:color="auto" w:fill="auto"/>
          </w:tcPr>
          <w:p w14:paraId="7E12D5C8" w14:textId="77777777" w:rsidR="00E14296" w:rsidRPr="00E14296" w:rsidRDefault="00E14296" w:rsidP="00E14296">
            <w:pPr>
              <w:pStyle w:val="TableText"/>
              <w:rPr>
                <w:rFonts w:eastAsia="Calibri"/>
              </w:rPr>
            </w:pPr>
            <w:r w:rsidRPr="00E14296">
              <w:rPr>
                <w:rFonts w:eastAsia="Calibri"/>
              </w:rPr>
              <w:t>2-year</w:t>
            </w:r>
          </w:p>
        </w:tc>
      </w:tr>
      <w:tr w:rsidR="00E14296" w:rsidRPr="00E14296" w14:paraId="5C753E13" w14:textId="77777777" w:rsidTr="00DD00D8">
        <w:tc>
          <w:tcPr>
            <w:tcW w:w="544" w:type="pct"/>
            <w:shd w:val="clear" w:color="auto" w:fill="auto"/>
          </w:tcPr>
          <w:p w14:paraId="28484E65" w14:textId="77777777" w:rsidR="00E14296" w:rsidRPr="00E14296" w:rsidRDefault="00E14296" w:rsidP="00E14296">
            <w:pPr>
              <w:pStyle w:val="TableText"/>
              <w:rPr>
                <w:rFonts w:eastAsia="Calibri"/>
              </w:rPr>
            </w:pPr>
            <w:r w:rsidRPr="00E14296">
              <w:rPr>
                <w:rFonts w:eastAsia="Calibri"/>
              </w:rPr>
              <w:t>0.66</w:t>
            </w:r>
          </w:p>
        </w:tc>
        <w:tc>
          <w:tcPr>
            <w:tcW w:w="603" w:type="pct"/>
            <w:shd w:val="clear" w:color="auto" w:fill="auto"/>
          </w:tcPr>
          <w:p w14:paraId="78F43993" w14:textId="77777777" w:rsidR="00E14296" w:rsidRPr="00E14296" w:rsidRDefault="00E14296" w:rsidP="00E14296">
            <w:pPr>
              <w:pStyle w:val="TableText"/>
              <w:rPr>
                <w:rFonts w:eastAsia="Calibri"/>
              </w:rPr>
            </w:pPr>
            <w:r w:rsidRPr="00E14296">
              <w:rPr>
                <w:rFonts w:eastAsia="Calibri"/>
              </w:rPr>
              <w:t>1-month</w:t>
            </w:r>
          </w:p>
        </w:tc>
        <w:tc>
          <w:tcPr>
            <w:tcW w:w="564" w:type="pct"/>
            <w:shd w:val="clear" w:color="auto" w:fill="auto"/>
          </w:tcPr>
          <w:p w14:paraId="4C51C825" w14:textId="77777777" w:rsidR="00E14296" w:rsidRPr="00E14296" w:rsidRDefault="00E14296" w:rsidP="00E14296">
            <w:pPr>
              <w:pStyle w:val="TableText"/>
              <w:rPr>
                <w:rFonts w:eastAsia="Calibri"/>
              </w:rPr>
            </w:pPr>
            <w:r w:rsidRPr="00E14296">
              <w:rPr>
                <w:rFonts w:eastAsia="Calibri"/>
              </w:rPr>
              <w:t>0.42</w:t>
            </w:r>
          </w:p>
        </w:tc>
        <w:tc>
          <w:tcPr>
            <w:tcW w:w="732" w:type="pct"/>
            <w:shd w:val="clear" w:color="auto" w:fill="auto"/>
          </w:tcPr>
          <w:p w14:paraId="78780423" w14:textId="77777777" w:rsidR="00E14296" w:rsidRPr="00E14296" w:rsidRDefault="00E14296" w:rsidP="00E14296">
            <w:pPr>
              <w:pStyle w:val="TableText"/>
              <w:rPr>
                <w:rFonts w:eastAsia="Calibri"/>
              </w:rPr>
            </w:pPr>
            <w:r w:rsidRPr="00E14296">
              <w:rPr>
                <w:rFonts w:eastAsia="Calibri"/>
              </w:rPr>
              <w:t>1-month</w:t>
            </w:r>
          </w:p>
        </w:tc>
        <w:tc>
          <w:tcPr>
            <w:tcW w:w="552" w:type="pct"/>
            <w:shd w:val="clear" w:color="auto" w:fill="auto"/>
          </w:tcPr>
          <w:p w14:paraId="2F43A49B" w14:textId="77777777" w:rsidR="00E14296" w:rsidRPr="00E14296" w:rsidRDefault="00E14296" w:rsidP="00E14296">
            <w:pPr>
              <w:pStyle w:val="TableText"/>
              <w:rPr>
                <w:rFonts w:eastAsia="Calibri"/>
              </w:rPr>
            </w:pPr>
            <w:r w:rsidRPr="00E14296">
              <w:rPr>
                <w:rFonts w:eastAsia="Calibri"/>
              </w:rPr>
              <w:t>0.43</w:t>
            </w:r>
          </w:p>
        </w:tc>
        <w:tc>
          <w:tcPr>
            <w:tcW w:w="757" w:type="pct"/>
            <w:shd w:val="clear" w:color="auto" w:fill="auto"/>
          </w:tcPr>
          <w:p w14:paraId="510EABBE" w14:textId="77777777" w:rsidR="00E14296" w:rsidRPr="00E14296" w:rsidRDefault="00E14296" w:rsidP="00E14296">
            <w:pPr>
              <w:pStyle w:val="TableText"/>
              <w:rPr>
                <w:rFonts w:eastAsia="Calibri"/>
              </w:rPr>
            </w:pPr>
            <w:r w:rsidRPr="00E14296">
              <w:rPr>
                <w:rFonts w:eastAsia="Calibri"/>
              </w:rPr>
              <w:t>1-month</w:t>
            </w:r>
          </w:p>
        </w:tc>
        <w:tc>
          <w:tcPr>
            <w:tcW w:w="612" w:type="pct"/>
            <w:shd w:val="clear" w:color="auto" w:fill="auto"/>
          </w:tcPr>
          <w:p w14:paraId="3ADF8545" w14:textId="77777777" w:rsidR="00E14296" w:rsidRPr="00E14296" w:rsidRDefault="00E14296" w:rsidP="00E14296">
            <w:pPr>
              <w:pStyle w:val="TableText"/>
              <w:rPr>
                <w:rFonts w:eastAsia="Calibri"/>
              </w:rPr>
            </w:pPr>
            <w:r w:rsidRPr="00E14296">
              <w:rPr>
                <w:rFonts w:eastAsia="Calibri"/>
              </w:rPr>
              <w:t>0.57</w:t>
            </w:r>
          </w:p>
        </w:tc>
        <w:tc>
          <w:tcPr>
            <w:tcW w:w="637" w:type="pct"/>
            <w:shd w:val="clear" w:color="auto" w:fill="auto"/>
          </w:tcPr>
          <w:p w14:paraId="2C087B77" w14:textId="77777777" w:rsidR="00E14296" w:rsidRPr="00E14296" w:rsidRDefault="00E14296" w:rsidP="00E14296">
            <w:pPr>
              <w:pStyle w:val="TableText"/>
              <w:rPr>
                <w:rFonts w:eastAsia="Calibri"/>
              </w:rPr>
            </w:pPr>
            <w:r w:rsidRPr="00E14296">
              <w:rPr>
                <w:rFonts w:eastAsia="Calibri"/>
              </w:rPr>
              <w:t>1-month</w:t>
            </w:r>
          </w:p>
        </w:tc>
      </w:tr>
    </w:tbl>
    <w:p w14:paraId="1B488663" w14:textId="16454961" w:rsidR="004E0D69" w:rsidRDefault="004E0D69" w:rsidP="004E0D69">
      <w:pPr>
        <w:pStyle w:val="Note"/>
        <w:rPr>
          <w:rFonts w:eastAsia="Calibri"/>
        </w:rPr>
      </w:pPr>
      <w:r w:rsidRPr="004E0D69">
        <w:rPr>
          <w:rFonts w:eastAsia="Calibri"/>
          <w:b/>
          <w:bCs/>
        </w:rPr>
        <w:t xml:space="preserve">Notes for </w:t>
      </w:r>
      <w:r w:rsidR="009227CA">
        <w:rPr>
          <w:rFonts w:eastAsia="Calibri"/>
          <w:b/>
          <w:bCs/>
        </w:rPr>
        <w:t>t</w:t>
      </w:r>
      <w:r w:rsidRPr="004E0D69">
        <w:rPr>
          <w:rFonts w:eastAsia="Calibri"/>
          <w:b/>
          <w:bCs/>
        </w:rPr>
        <w:t>able 4:</w:t>
      </w:r>
      <w:r>
        <w:rPr>
          <w:rFonts w:eastAsia="Calibri"/>
        </w:rPr>
        <w:t xml:space="preserve"> </w:t>
      </w:r>
      <w:r w:rsidRPr="00E14296">
        <w:rPr>
          <w:rFonts w:eastAsia="Calibri"/>
        </w:rPr>
        <w:t xml:space="preserve">Occurrences (on average) of coastal flooding events for the four main coastal centres will increase from what used to be rare 100-year (centennial) events to occur more often with ongoing RSLR (relative to the </w:t>
      </w:r>
      <w:r w:rsidRPr="00251EB2">
        <w:rPr>
          <w:rFonts w:eastAsia="Calibri"/>
        </w:rPr>
        <w:t>new baseline 1995</w:t>
      </w:r>
      <w:r w:rsidR="00BA40FF" w:rsidRPr="00BA40FF">
        <w:rPr>
          <w:rFonts w:eastAsia="Calibri"/>
        </w:rPr>
        <w:t>–</w:t>
      </w:r>
      <w:r w:rsidRPr="00251EB2">
        <w:rPr>
          <w:rFonts w:eastAsia="Calibri"/>
        </w:rPr>
        <w:t>2014 period</w:t>
      </w:r>
      <w:r w:rsidRPr="00E14296">
        <w:rPr>
          <w:rFonts w:eastAsia="Calibri"/>
        </w:rPr>
        <w:t xml:space="preserve">). </w:t>
      </w:r>
      <w:r w:rsidRPr="00E14296">
        <w:rPr>
          <w:rFonts w:eastAsia="Calibri"/>
          <w:i/>
          <w:iCs/>
        </w:rPr>
        <w:t>Source</w:t>
      </w:r>
      <w:r w:rsidRPr="00BA40FF">
        <w:rPr>
          <w:rFonts w:eastAsia="Calibri"/>
          <w:i/>
          <w:iCs/>
        </w:rPr>
        <w:t>:</w:t>
      </w:r>
      <w:r w:rsidRPr="000E0943">
        <w:rPr>
          <w:rFonts w:eastAsia="Calibri"/>
          <w:i/>
          <w:iCs/>
        </w:rPr>
        <w:t xml:space="preserve"> adapted from </w:t>
      </w:r>
      <w:r w:rsidR="00BC5F5A" w:rsidRPr="000E0943">
        <w:rPr>
          <w:rFonts w:eastAsia="Calibri"/>
          <w:i/>
          <w:iCs/>
        </w:rPr>
        <w:t>t</w:t>
      </w:r>
      <w:r w:rsidRPr="000E0943">
        <w:rPr>
          <w:rFonts w:eastAsia="Calibri"/>
          <w:i/>
          <w:iCs/>
        </w:rPr>
        <w:t>able 3.2, PCE (2015) by subtracting an offset (2</w:t>
      </w:r>
      <w:r w:rsidRPr="000E0943">
        <w:rPr>
          <w:rFonts w:eastAsia="Calibri"/>
          <w:i/>
          <w:iCs/>
          <w:vertAlign w:val="superscript"/>
        </w:rPr>
        <w:t>nd</w:t>
      </w:r>
      <w:r w:rsidRPr="000E0943">
        <w:rPr>
          <w:rFonts w:eastAsia="Calibri"/>
          <w:i/>
          <w:iCs/>
        </w:rPr>
        <w:t xml:space="preserve"> row) to adjust for the change in RSLR over the decade since the previous 1986</w:t>
      </w:r>
      <w:r w:rsidR="00BA40FF">
        <w:rPr>
          <w:rFonts w:eastAsia="Calibri" w:cs="Arial"/>
        </w:rPr>
        <w:t>–</w:t>
      </w:r>
      <w:r w:rsidRPr="00E23F0A">
        <w:rPr>
          <w:rFonts w:eastAsia="Calibri"/>
          <w:i/>
          <w:iCs/>
        </w:rPr>
        <w:t>2005 baseline.</w:t>
      </w:r>
    </w:p>
    <w:p w14:paraId="2208C012" w14:textId="3867B839" w:rsidR="00E14296" w:rsidRPr="00E14296" w:rsidRDefault="00E14296" w:rsidP="00E14296">
      <w:pPr>
        <w:pStyle w:val="BodyText"/>
        <w:rPr>
          <w:rFonts w:eastAsia="Calibri"/>
        </w:rPr>
      </w:pPr>
      <w:r w:rsidRPr="00E14296">
        <w:rPr>
          <w:rFonts w:eastAsia="Calibri"/>
        </w:rPr>
        <w:t xml:space="preserve">VLM proportionately makes a greater contribution to the highly mitigated low-emissions scenarios. Therefore, it could </w:t>
      </w:r>
      <w:r w:rsidR="00BC5F5A">
        <w:rPr>
          <w:rFonts w:eastAsia="Calibri"/>
        </w:rPr>
        <w:t>lead to</w:t>
      </w:r>
      <w:r w:rsidR="00BC5F5A" w:rsidRPr="00E14296">
        <w:rPr>
          <w:rFonts w:eastAsia="Calibri"/>
        </w:rPr>
        <w:t xml:space="preserve"> </w:t>
      </w:r>
      <w:r w:rsidRPr="00E14296">
        <w:rPr>
          <w:rFonts w:eastAsia="Calibri"/>
        </w:rPr>
        <w:t xml:space="preserve">a false sense of security </w:t>
      </w:r>
      <w:r w:rsidR="00683AB7">
        <w:rPr>
          <w:rFonts w:eastAsia="Calibri"/>
        </w:rPr>
        <w:t>if future</w:t>
      </w:r>
      <w:r w:rsidRPr="00E14296">
        <w:rPr>
          <w:rFonts w:eastAsia="Calibri"/>
        </w:rPr>
        <w:t xml:space="preserve"> global emissions reductions </w:t>
      </w:r>
      <w:r w:rsidR="00BC5F5A">
        <w:rPr>
          <w:rFonts w:eastAsia="Calibri"/>
        </w:rPr>
        <w:t>appear</w:t>
      </w:r>
      <w:r w:rsidR="00BC5F5A" w:rsidRPr="00E14296">
        <w:rPr>
          <w:rFonts w:eastAsia="Calibri"/>
        </w:rPr>
        <w:t xml:space="preserve"> </w:t>
      </w:r>
      <w:r w:rsidRPr="00E14296">
        <w:rPr>
          <w:rFonts w:eastAsia="Calibri"/>
        </w:rPr>
        <w:t xml:space="preserve">to be effective, </w:t>
      </w:r>
      <w:r w:rsidR="007D56F3">
        <w:rPr>
          <w:rFonts w:eastAsia="Calibri"/>
        </w:rPr>
        <w:t>and/or</w:t>
      </w:r>
      <w:r w:rsidRPr="00E14296">
        <w:rPr>
          <w:rFonts w:eastAsia="Calibri"/>
        </w:rPr>
        <w:t xml:space="preserve"> significant subsidence locally is not factored into planning and design. </w:t>
      </w:r>
    </w:p>
    <w:p w14:paraId="44BD2F3B" w14:textId="60241508" w:rsidR="00E14296" w:rsidRPr="00E14296" w:rsidRDefault="00E14296" w:rsidP="00E14296">
      <w:pPr>
        <w:pStyle w:val="BodyText"/>
        <w:rPr>
          <w:rFonts w:eastAsia="Calibri" w:cs="Arial"/>
        </w:rPr>
      </w:pPr>
      <w:r w:rsidRPr="00E14296">
        <w:rPr>
          <w:rFonts w:eastAsia="Calibri" w:cs="Arial"/>
        </w:rPr>
        <w:t xml:space="preserve">Towards the end of this century and beyond, the influence of VLM gradually reduces relative to the accelerating rise in MSL of the ocean (unless VLM rates increase in the future). This declining influence will be more evident if the higher sea-level rise scenarios eventuate, and </w:t>
      </w:r>
      <w:r w:rsidR="00BC5F5A">
        <w:rPr>
          <w:rFonts w:eastAsia="Calibri" w:cs="Arial"/>
        </w:rPr>
        <w:t xml:space="preserve">if </w:t>
      </w:r>
      <w:r w:rsidRPr="00E14296">
        <w:rPr>
          <w:rFonts w:eastAsia="Calibri" w:cs="Arial"/>
        </w:rPr>
        <w:t>non-linear processes that have “low confidence</w:t>
      </w:r>
      <w:proofErr w:type="gramStart"/>
      <w:r w:rsidRPr="00E14296">
        <w:rPr>
          <w:rFonts w:eastAsia="Calibri" w:cs="Arial"/>
        </w:rPr>
        <w:t>”</w:t>
      </w:r>
      <w:proofErr w:type="gramEnd"/>
      <w:r w:rsidRPr="00E14296">
        <w:rPr>
          <w:rFonts w:eastAsia="Calibri" w:cs="Arial"/>
        </w:rPr>
        <w:t xml:space="preserve"> but high impact are triggered</w:t>
      </w:r>
      <w:r w:rsidR="00BC5F5A">
        <w:rPr>
          <w:rFonts w:eastAsia="Calibri" w:cs="Arial"/>
        </w:rPr>
        <w:t>.</w:t>
      </w:r>
      <w:r w:rsidRPr="00E14296">
        <w:rPr>
          <w:rFonts w:eastAsia="Calibri" w:cs="Arial"/>
        </w:rPr>
        <w:t xml:space="preserve"> </w:t>
      </w:r>
      <w:r w:rsidR="00BC5F5A">
        <w:rPr>
          <w:rFonts w:eastAsia="Calibri" w:cs="Arial"/>
        </w:rPr>
        <w:t>S</w:t>
      </w:r>
      <w:r w:rsidRPr="00E14296">
        <w:rPr>
          <w:rFonts w:eastAsia="Calibri" w:cs="Arial"/>
        </w:rPr>
        <w:t>uch</w:t>
      </w:r>
      <w:r w:rsidR="00BC5F5A">
        <w:rPr>
          <w:rFonts w:eastAsia="Calibri" w:cs="Arial"/>
        </w:rPr>
        <w:t xml:space="preserve"> processes could include</w:t>
      </w:r>
      <w:r w:rsidRPr="00E14296" w:rsidDel="00BC5F5A">
        <w:rPr>
          <w:rFonts w:eastAsia="Calibri" w:cs="Arial"/>
        </w:rPr>
        <w:t xml:space="preserve"> </w:t>
      </w:r>
      <w:r w:rsidR="00BC5F5A">
        <w:rPr>
          <w:rFonts w:eastAsia="Calibri" w:cs="Arial"/>
        </w:rPr>
        <w:t xml:space="preserve">the </w:t>
      </w:r>
      <w:r w:rsidRPr="00E14296">
        <w:rPr>
          <w:rFonts w:eastAsia="Calibri" w:cs="Arial"/>
        </w:rPr>
        <w:t xml:space="preserve">accelerated </w:t>
      </w:r>
      <w:r w:rsidR="00BC5F5A" w:rsidRPr="00E14296">
        <w:rPr>
          <w:rFonts w:eastAsia="Calibri" w:cs="Arial"/>
        </w:rPr>
        <w:t xml:space="preserve">loss </w:t>
      </w:r>
      <w:r w:rsidR="00BC5F5A">
        <w:rPr>
          <w:rFonts w:eastAsia="Calibri" w:cs="Arial"/>
        </w:rPr>
        <w:t xml:space="preserve">of </w:t>
      </w:r>
      <w:r w:rsidRPr="00E14296">
        <w:rPr>
          <w:rFonts w:eastAsia="Calibri" w:cs="Arial"/>
        </w:rPr>
        <w:t>ice</w:t>
      </w:r>
      <w:r w:rsidR="00BC5F5A">
        <w:rPr>
          <w:rFonts w:eastAsia="Calibri" w:cs="Arial"/>
        </w:rPr>
        <w:t>-</w:t>
      </w:r>
      <w:r w:rsidRPr="00E14296">
        <w:rPr>
          <w:rFonts w:eastAsia="Calibri" w:cs="Arial"/>
        </w:rPr>
        <w:t>sheet mass in the Antarctic</w:t>
      </w:r>
      <w:r w:rsidR="00BC5F5A">
        <w:rPr>
          <w:rFonts w:eastAsia="Calibri" w:cs="Arial"/>
        </w:rPr>
        <w:t>,</w:t>
      </w:r>
      <w:r w:rsidRPr="00E14296">
        <w:rPr>
          <w:rFonts w:eastAsia="Calibri" w:cs="Arial"/>
        </w:rPr>
        <w:t xml:space="preserve"> leading to dramatic increases in global sea-level rise (</w:t>
      </w:r>
      <w:proofErr w:type="spellStart"/>
      <w:r w:rsidRPr="00E14296">
        <w:rPr>
          <w:rFonts w:eastAsia="Calibri" w:cs="Arial"/>
        </w:rPr>
        <w:t>DeConto</w:t>
      </w:r>
      <w:proofErr w:type="spellEnd"/>
      <w:r w:rsidRPr="00E14296">
        <w:rPr>
          <w:rFonts w:eastAsia="Calibri" w:cs="Arial"/>
        </w:rPr>
        <w:t xml:space="preserve"> et al, 2021; Fox-Kemper et al, 2021).</w:t>
      </w:r>
    </w:p>
    <w:p w14:paraId="28C9C938" w14:textId="50EB7EC5" w:rsidR="00E14296" w:rsidRPr="00E14296" w:rsidRDefault="00BC5F5A" w:rsidP="00E14296">
      <w:pPr>
        <w:pStyle w:val="BodyText"/>
        <w:rPr>
          <w:rFonts w:eastAsia="Calibri" w:cs="Arial"/>
        </w:rPr>
      </w:pPr>
      <w:r>
        <w:rPr>
          <w:rFonts w:eastAsia="Calibri"/>
        </w:rPr>
        <w:t xml:space="preserve">The incorporation of </w:t>
      </w:r>
      <w:r w:rsidR="00E14296" w:rsidRPr="00E14296">
        <w:rPr>
          <w:rFonts w:eastAsia="Calibri"/>
        </w:rPr>
        <w:t xml:space="preserve">VLM rates </w:t>
      </w:r>
      <w:proofErr w:type="spellStart"/>
      <w:r w:rsidR="00E14296" w:rsidRPr="00E14296">
        <w:rPr>
          <w:rFonts w:eastAsia="Calibri" w:cs="Arial"/>
          <w:lang w:val="mi-NZ"/>
        </w:rPr>
        <w:t>highlight</w:t>
      </w:r>
      <w:r>
        <w:rPr>
          <w:rFonts w:eastAsia="Calibri" w:cs="Arial"/>
          <w:lang w:val="mi-NZ"/>
        </w:rPr>
        <w:t>s</w:t>
      </w:r>
      <w:proofErr w:type="spellEnd"/>
      <w:r w:rsidR="00E14296" w:rsidRPr="00E14296">
        <w:rPr>
          <w:rFonts w:eastAsia="Calibri" w:cs="Arial"/>
          <w:lang w:val="mi-NZ"/>
        </w:rPr>
        <w:t xml:space="preserve"> </w:t>
      </w:r>
      <w:proofErr w:type="spellStart"/>
      <w:r w:rsidR="00E14296" w:rsidRPr="00E14296">
        <w:rPr>
          <w:rFonts w:eastAsia="Calibri" w:cs="Arial"/>
          <w:lang w:val="mi-NZ"/>
        </w:rPr>
        <w:t>the</w:t>
      </w:r>
      <w:proofErr w:type="spellEnd"/>
      <w:r w:rsidR="00E14296" w:rsidRPr="00E14296">
        <w:rPr>
          <w:rFonts w:eastAsia="Calibri" w:cs="Arial"/>
          <w:lang w:val="mi-NZ"/>
        </w:rPr>
        <w:t xml:space="preserve"> </w:t>
      </w:r>
      <w:proofErr w:type="spellStart"/>
      <w:r w:rsidR="00E14296" w:rsidRPr="00E14296">
        <w:rPr>
          <w:rFonts w:eastAsia="Calibri" w:cs="Arial"/>
          <w:lang w:val="mi-NZ"/>
        </w:rPr>
        <w:t>need</w:t>
      </w:r>
      <w:proofErr w:type="spellEnd"/>
      <w:r w:rsidR="00E14296" w:rsidRPr="00E14296">
        <w:rPr>
          <w:rFonts w:eastAsia="Calibri" w:cs="Arial"/>
          <w:lang w:val="mi-NZ"/>
        </w:rPr>
        <w:t xml:space="preserve"> </w:t>
      </w:r>
      <w:proofErr w:type="spellStart"/>
      <w:r w:rsidR="00E14296" w:rsidRPr="00E14296">
        <w:rPr>
          <w:rFonts w:eastAsia="Calibri" w:cs="Arial"/>
          <w:lang w:val="mi-NZ"/>
        </w:rPr>
        <w:t>to</w:t>
      </w:r>
      <w:proofErr w:type="spellEnd"/>
      <w:r w:rsidR="00E14296" w:rsidRPr="00E14296">
        <w:rPr>
          <w:rFonts w:eastAsia="Calibri" w:cs="Arial"/>
          <w:lang w:val="mi-NZ"/>
        </w:rPr>
        <w:t xml:space="preserve"> </w:t>
      </w:r>
      <w:proofErr w:type="spellStart"/>
      <w:r w:rsidR="00E14296" w:rsidRPr="00E14296">
        <w:rPr>
          <w:rFonts w:eastAsia="Calibri" w:cs="Arial"/>
          <w:lang w:val="mi-NZ"/>
        </w:rPr>
        <w:t>use</w:t>
      </w:r>
      <w:proofErr w:type="spellEnd"/>
      <w:r w:rsidR="00E14296" w:rsidRPr="00E14296">
        <w:rPr>
          <w:rFonts w:eastAsia="Calibri" w:cs="Arial"/>
          <w:lang w:val="mi-NZ"/>
        </w:rPr>
        <w:t xml:space="preserve"> RSLR </w:t>
      </w:r>
      <w:proofErr w:type="spellStart"/>
      <w:r w:rsidR="00E14296" w:rsidRPr="00E14296">
        <w:rPr>
          <w:rFonts w:eastAsia="Calibri" w:cs="Arial"/>
          <w:lang w:val="mi-NZ"/>
        </w:rPr>
        <w:t>projections</w:t>
      </w:r>
      <w:proofErr w:type="spellEnd"/>
      <w:r w:rsidR="00E14296" w:rsidRPr="00E14296">
        <w:rPr>
          <w:rFonts w:eastAsia="Calibri" w:cs="Arial"/>
          <w:lang w:val="mi-NZ"/>
        </w:rPr>
        <w:t xml:space="preserve"> (eg, </w:t>
      </w:r>
      <w:hyperlink w:anchor="Figure6" w:history="1">
        <w:proofErr w:type="spellStart"/>
        <w:r w:rsidRPr="00E23F0A">
          <w:rPr>
            <w:rStyle w:val="Hyperlink"/>
            <w:rFonts w:eastAsia="Calibri" w:cs="Arial"/>
            <w:lang w:val="mi-NZ"/>
          </w:rPr>
          <w:t>f</w:t>
        </w:r>
        <w:r w:rsidR="00E14296" w:rsidRPr="00E23F0A">
          <w:rPr>
            <w:rStyle w:val="Hyperlink"/>
            <w:rFonts w:eastAsia="Calibri" w:cs="Arial"/>
            <w:lang w:val="mi-NZ"/>
          </w:rPr>
          <w:t>igure</w:t>
        </w:r>
        <w:proofErr w:type="spellEnd"/>
        <w:r w:rsidR="00E14296" w:rsidRPr="00E23F0A">
          <w:rPr>
            <w:rStyle w:val="Hyperlink"/>
            <w:rFonts w:eastAsia="Calibri" w:cs="Arial"/>
            <w:lang w:val="mi-NZ"/>
          </w:rPr>
          <w:t xml:space="preserve"> 6</w:t>
        </w:r>
      </w:hyperlink>
      <w:r w:rsidR="00E14296" w:rsidRPr="00E14296">
        <w:rPr>
          <w:rFonts w:eastAsia="Calibri" w:cs="Arial"/>
          <w:lang w:val="mi-NZ"/>
        </w:rPr>
        <w:t xml:space="preserve">) </w:t>
      </w:r>
      <w:proofErr w:type="spellStart"/>
      <w:r w:rsidR="00E14296" w:rsidRPr="00E14296">
        <w:rPr>
          <w:rFonts w:eastAsia="Calibri" w:cs="Arial"/>
          <w:lang w:val="mi-NZ"/>
        </w:rPr>
        <w:t>to</w:t>
      </w:r>
      <w:proofErr w:type="spellEnd"/>
      <w:r w:rsidR="00E14296" w:rsidRPr="00E14296">
        <w:rPr>
          <w:rFonts w:eastAsia="Calibri" w:cs="Arial"/>
          <w:lang w:val="mi-NZ"/>
        </w:rPr>
        <w:t xml:space="preserve"> </w:t>
      </w:r>
      <w:proofErr w:type="spellStart"/>
      <w:r w:rsidR="00E14296" w:rsidRPr="00E14296">
        <w:rPr>
          <w:rFonts w:eastAsia="Calibri" w:cs="Arial"/>
          <w:lang w:val="mi-NZ"/>
        </w:rPr>
        <w:t>inform</w:t>
      </w:r>
      <w:proofErr w:type="spellEnd"/>
      <w:r w:rsidR="00E14296" w:rsidRPr="00E14296">
        <w:rPr>
          <w:rFonts w:eastAsia="Calibri" w:cs="Arial"/>
          <w:lang w:val="mi-NZ"/>
        </w:rPr>
        <w:t xml:space="preserve"> </w:t>
      </w:r>
      <w:proofErr w:type="spellStart"/>
      <w:r w:rsidR="00E14296" w:rsidRPr="00E14296">
        <w:rPr>
          <w:rFonts w:eastAsia="Calibri" w:cs="Arial"/>
          <w:lang w:val="mi-NZ"/>
        </w:rPr>
        <w:t>guidance</w:t>
      </w:r>
      <w:proofErr w:type="spellEnd"/>
      <w:r w:rsidR="00E14296" w:rsidRPr="00E14296">
        <w:rPr>
          <w:rFonts w:eastAsia="Calibri" w:cs="Arial"/>
          <w:lang w:val="mi-NZ"/>
        </w:rPr>
        <w:t xml:space="preserve"> for </w:t>
      </w:r>
      <w:proofErr w:type="spellStart"/>
      <w:r w:rsidR="00E14296" w:rsidRPr="00E14296">
        <w:rPr>
          <w:rFonts w:eastAsia="Calibri" w:cs="Arial"/>
          <w:lang w:val="mi-NZ"/>
        </w:rPr>
        <w:t>decision</w:t>
      </w:r>
      <w:r w:rsidR="00420EFC">
        <w:rPr>
          <w:rFonts w:eastAsia="Calibri" w:cs="Arial"/>
          <w:lang w:val="mi-NZ"/>
        </w:rPr>
        <w:t>-</w:t>
      </w:r>
      <w:r w:rsidR="00E14296" w:rsidRPr="00E14296">
        <w:rPr>
          <w:rFonts w:eastAsia="Calibri" w:cs="Arial"/>
          <w:lang w:val="mi-NZ"/>
        </w:rPr>
        <w:t>makers</w:t>
      </w:r>
      <w:proofErr w:type="spellEnd"/>
      <w:r w:rsidR="00E14296" w:rsidRPr="00E14296">
        <w:rPr>
          <w:rFonts w:eastAsia="Calibri" w:cs="Arial"/>
          <w:lang w:val="mi-NZ"/>
        </w:rPr>
        <w:t xml:space="preserve"> </w:t>
      </w:r>
      <w:proofErr w:type="spellStart"/>
      <w:r w:rsidR="00E14296" w:rsidRPr="00E14296">
        <w:rPr>
          <w:rFonts w:eastAsia="Calibri" w:cs="Arial"/>
          <w:lang w:val="mi-NZ"/>
        </w:rPr>
        <w:t>on</w:t>
      </w:r>
      <w:proofErr w:type="spellEnd"/>
      <w:r w:rsidR="00E14296" w:rsidRPr="00E14296">
        <w:rPr>
          <w:rFonts w:eastAsia="Calibri" w:cs="Arial"/>
          <w:lang w:val="mi-NZ"/>
        </w:rPr>
        <w:t xml:space="preserve"> </w:t>
      </w:r>
      <w:proofErr w:type="spellStart"/>
      <w:r w:rsidR="00E14296" w:rsidRPr="00E14296">
        <w:rPr>
          <w:rFonts w:eastAsia="Calibri" w:cs="Arial"/>
          <w:lang w:val="mi-NZ"/>
        </w:rPr>
        <w:t>local</w:t>
      </w:r>
      <w:proofErr w:type="spellEnd"/>
      <w:r w:rsidR="00E14296" w:rsidRPr="00E14296">
        <w:rPr>
          <w:rFonts w:eastAsia="Calibri" w:cs="Arial"/>
          <w:lang w:val="mi-NZ"/>
        </w:rPr>
        <w:t xml:space="preserve"> </w:t>
      </w:r>
      <w:proofErr w:type="spellStart"/>
      <w:r w:rsidR="00E14296" w:rsidRPr="00E14296">
        <w:rPr>
          <w:rFonts w:eastAsia="Calibri" w:cs="Arial"/>
          <w:lang w:val="mi-NZ"/>
        </w:rPr>
        <w:t>adaptation</w:t>
      </w:r>
      <w:proofErr w:type="spellEnd"/>
      <w:r w:rsidR="00E14296" w:rsidRPr="00E14296">
        <w:rPr>
          <w:rFonts w:eastAsia="Calibri" w:cs="Arial"/>
          <w:lang w:val="mi-NZ"/>
        </w:rPr>
        <w:t xml:space="preserve"> </w:t>
      </w:r>
      <w:proofErr w:type="spellStart"/>
      <w:r w:rsidR="00E14296" w:rsidRPr="00E14296">
        <w:rPr>
          <w:rFonts w:eastAsia="Calibri" w:cs="Arial"/>
          <w:lang w:val="mi-NZ"/>
        </w:rPr>
        <w:t>that</w:t>
      </w:r>
      <w:proofErr w:type="spellEnd"/>
      <w:r w:rsidR="00E14296" w:rsidRPr="00E14296">
        <w:rPr>
          <w:rFonts w:eastAsia="Calibri" w:cs="Arial"/>
          <w:lang w:val="mi-NZ"/>
        </w:rPr>
        <w:t xml:space="preserve"> </w:t>
      </w:r>
      <w:proofErr w:type="spellStart"/>
      <w:r w:rsidR="00420EFC">
        <w:rPr>
          <w:rFonts w:eastAsia="Calibri" w:cs="Arial"/>
          <w:lang w:val="mi-NZ"/>
        </w:rPr>
        <w:t>recognises</w:t>
      </w:r>
      <w:proofErr w:type="spellEnd"/>
      <w:r w:rsidR="00E14296" w:rsidRPr="00E14296">
        <w:rPr>
          <w:rFonts w:eastAsia="Calibri" w:cs="Arial"/>
          <w:lang w:val="mi-NZ"/>
        </w:rPr>
        <w:t xml:space="preserve"> </w:t>
      </w:r>
      <w:proofErr w:type="spellStart"/>
      <w:r w:rsidR="00E14296" w:rsidRPr="00E14296">
        <w:rPr>
          <w:rFonts w:eastAsia="Calibri" w:cs="Arial"/>
          <w:lang w:val="mi-NZ"/>
        </w:rPr>
        <w:t>spatial</w:t>
      </w:r>
      <w:proofErr w:type="spellEnd"/>
      <w:r w:rsidR="00E14296" w:rsidRPr="00E14296">
        <w:rPr>
          <w:rFonts w:eastAsia="Calibri" w:cs="Arial"/>
          <w:lang w:val="mi-NZ"/>
        </w:rPr>
        <w:t xml:space="preserve"> VLM </w:t>
      </w:r>
      <w:proofErr w:type="spellStart"/>
      <w:r w:rsidR="00E14296" w:rsidRPr="00E14296">
        <w:rPr>
          <w:rFonts w:eastAsia="Calibri" w:cs="Arial"/>
          <w:lang w:val="mi-NZ"/>
        </w:rPr>
        <w:t>variability</w:t>
      </w:r>
      <w:proofErr w:type="spellEnd"/>
      <w:r w:rsidR="00E14296" w:rsidRPr="00E14296">
        <w:rPr>
          <w:rFonts w:eastAsia="Calibri" w:cs="Arial"/>
          <w:lang w:val="mi-NZ"/>
        </w:rPr>
        <w:t xml:space="preserve">. </w:t>
      </w:r>
      <w:r w:rsidR="00E14296" w:rsidRPr="00E14296">
        <w:rPr>
          <w:rFonts w:eastAsia="Calibri" w:cs="Arial"/>
        </w:rPr>
        <w:t xml:space="preserve">These RSLR projections have implications for the timing of coastal hazard impacts at a finer local </w:t>
      </w:r>
      <w:proofErr w:type="gramStart"/>
      <w:r w:rsidR="00E14296" w:rsidRPr="00E14296">
        <w:rPr>
          <w:rFonts w:eastAsia="Calibri" w:cs="Arial"/>
        </w:rPr>
        <w:t>scale</w:t>
      </w:r>
      <w:r w:rsidR="00420EFC">
        <w:rPr>
          <w:rFonts w:eastAsia="Calibri" w:cs="Arial"/>
        </w:rPr>
        <w:t>,</w:t>
      </w:r>
      <w:r w:rsidR="00E14296" w:rsidRPr="00E14296">
        <w:rPr>
          <w:rFonts w:eastAsia="Calibri" w:cs="Arial"/>
        </w:rPr>
        <w:t xml:space="preserve"> if</w:t>
      </w:r>
      <w:proofErr w:type="gramEnd"/>
      <w:r w:rsidR="00E14296" w:rsidRPr="00E14296">
        <w:rPr>
          <w:rFonts w:eastAsia="Calibri" w:cs="Arial"/>
        </w:rPr>
        <w:t xml:space="preserve"> there is significant land subsidence (</w:t>
      </w:r>
      <w:hyperlink w:anchor="figure2" w:history="1">
        <w:r w:rsidR="00420EFC" w:rsidRPr="00E23F0A">
          <w:rPr>
            <w:rStyle w:val="Hyperlink"/>
            <w:rFonts w:eastAsia="Calibri" w:cs="Arial"/>
          </w:rPr>
          <w:t>f</w:t>
        </w:r>
        <w:r w:rsidR="00E14296" w:rsidRPr="00E23F0A">
          <w:rPr>
            <w:rStyle w:val="Hyperlink"/>
            <w:rFonts w:eastAsia="Calibri" w:cs="Arial"/>
          </w:rPr>
          <w:t>igure 2</w:t>
        </w:r>
      </w:hyperlink>
      <w:r w:rsidR="00E14296" w:rsidRPr="00E14296">
        <w:rPr>
          <w:rFonts w:eastAsia="Calibri" w:cs="Arial"/>
        </w:rPr>
        <w:t xml:space="preserve">) or uplift. This has consequences for adaptive pathways planning and present and future land-use planning. </w:t>
      </w:r>
    </w:p>
    <w:p w14:paraId="60393A90" w14:textId="698F6B9F" w:rsidR="00E14296" w:rsidRPr="00E14296" w:rsidRDefault="00E14296" w:rsidP="003D7BC0">
      <w:pPr>
        <w:pStyle w:val="Heading3"/>
        <w:spacing w:after="240"/>
        <w:rPr>
          <w:rFonts w:eastAsia="Calibri" w:cs="Arial"/>
          <w:b w:val="0"/>
          <w:bCs w:val="0"/>
        </w:rPr>
      </w:pPr>
      <w:bookmarkStart w:id="57" w:name="_Toc109397586"/>
      <w:bookmarkStart w:id="58" w:name="_Toc109809088"/>
      <w:r w:rsidRPr="00E14296">
        <w:rPr>
          <w:rFonts w:eastAsia="Calibri"/>
        </w:rPr>
        <w:t xml:space="preserve">Accessing RSLR projections in </w:t>
      </w:r>
      <w:proofErr w:type="spellStart"/>
      <w:r w:rsidRPr="00E14296">
        <w:rPr>
          <w:rFonts w:eastAsia="Calibri"/>
        </w:rPr>
        <w:t>Takiwā</w:t>
      </w:r>
      <w:bookmarkEnd w:id="57"/>
      <w:bookmarkEnd w:id="58"/>
      <w:proofErr w:type="spellEnd"/>
    </w:p>
    <w:p w14:paraId="0E88A29F" w14:textId="0C8BE3C2" w:rsidR="00E14296" w:rsidRPr="00E14296" w:rsidRDefault="00E14296" w:rsidP="00E14296">
      <w:pPr>
        <w:pStyle w:val="BodyText"/>
        <w:rPr>
          <w:rFonts w:eastAsia="Calibri" w:cs="Arial"/>
        </w:rPr>
      </w:pPr>
      <w:r w:rsidRPr="00E14296">
        <w:rPr>
          <w:rFonts w:eastAsia="Calibri" w:cs="Arial"/>
        </w:rPr>
        <w:t xml:space="preserve">RSLR and regional sea-level rise projections from </w:t>
      </w:r>
      <w:proofErr w:type="spellStart"/>
      <w:r w:rsidRPr="00E14296">
        <w:rPr>
          <w:rFonts w:eastAsia="Calibri" w:cs="Arial"/>
        </w:rPr>
        <w:t>NZSeaRise</w:t>
      </w:r>
      <w:proofErr w:type="spellEnd"/>
      <w:r w:rsidRPr="00E14296">
        <w:rPr>
          <w:rFonts w:eastAsia="Calibri" w:cs="Arial"/>
        </w:rPr>
        <w:t xml:space="preserve"> on the </w:t>
      </w:r>
      <w:proofErr w:type="spellStart"/>
      <w:r w:rsidRPr="00E14296">
        <w:rPr>
          <w:rFonts w:eastAsia="Calibri" w:cs="Arial"/>
        </w:rPr>
        <w:t>Takiwā</w:t>
      </w:r>
      <w:proofErr w:type="spellEnd"/>
      <w:r w:rsidRPr="00E14296">
        <w:rPr>
          <w:rFonts w:eastAsia="Calibri" w:cs="Arial"/>
        </w:rPr>
        <w:t xml:space="preserve"> platform, for the first time, explicitly include projected VLM rates </w:t>
      </w:r>
      <w:r w:rsidR="00420EFC">
        <w:rPr>
          <w:rFonts w:eastAsia="Calibri" w:cs="Arial"/>
        </w:rPr>
        <w:t>every</w:t>
      </w:r>
      <w:r w:rsidR="00420EFC" w:rsidRPr="00E14296">
        <w:rPr>
          <w:rFonts w:eastAsia="Calibri" w:cs="Arial"/>
        </w:rPr>
        <w:t xml:space="preserve"> </w:t>
      </w:r>
      <w:r w:rsidRPr="00E14296">
        <w:rPr>
          <w:rFonts w:eastAsia="Calibri" w:cs="Arial"/>
        </w:rPr>
        <w:t>2</w:t>
      </w:r>
      <w:r w:rsidR="00420EFC">
        <w:rPr>
          <w:rFonts w:eastAsia="Calibri" w:cs="Arial"/>
        </w:rPr>
        <w:t xml:space="preserve"> </w:t>
      </w:r>
      <w:r w:rsidRPr="00E14296">
        <w:rPr>
          <w:rFonts w:eastAsia="Calibri" w:cs="Arial"/>
        </w:rPr>
        <w:t>km</w:t>
      </w:r>
      <w:r w:rsidRPr="00E14296" w:rsidDel="00420EFC">
        <w:rPr>
          <w:rFonts w:eastAsia="Calibri" w:cs="Arial"/>
        </w:rPr>
        <w:t xml:space="preserve"> </w:t>
      </w:r>
      <w:r w:rsidRPr="00E14296">
        <w:rPr>
          <w:rFonts w:eastAsia="Calibri" w:cs="Arial"/>
        </w:rPr>
        <w:t>around the coast (</w:t>
      </w:r>
      <w:hyperlink w:anchor="figure4" w:history="1">
        <w:r w:rsidR="00420EFC" w:rsidRPr="00E23F0A">
          <w:rPr>
            <w:rStyle w:val="Hyperlink"/>
            <w:rFonts w:eastAsia="Calibri" w:cs="Arial"/>
          </w:rPr>
          <w:t>f</w:t>
        </w:r>
        <w:r w:rsidRPr="00E23F0A">
          <w:rPr>
            <w:rStyle w:val="Hyperlink"/>
            <w:rFonts w:eastAsia="Calibri" w:cs="Arial"/>
          </w:rPr>
          <w:t>igure 4</w:t>
        </w:r>
      </w:hyperlink>
      <w:r w:rsidRPr="00E14296">
        <w:rPr>
          <w:rFonts w:eastAsia="Calibri" w:cs="Arial"/>
        </w:rPr>
        <w:t xml:space="preserve">). VLM rates, averaged over the period </w:t>
      </w:r>
      <w:r w:rsidRPr="00E14296">
        <w:rPr>
          <w:rFonts w:eastAsia="Calibri"/>
        </w:rPr>
        <w:t>2003–11,</w:t>
      </w:r>
      <w:r w:rsidRPr="00E14296">
        <w:rPr>
          <w:rFonts w:eastAsia="Calibri" w:cs="Arial"/>
        </w:rPr>
        <w:t xml:space="preserve"> were determined from satellite (European Space Agency’s Envisat) </w:t>
      </w:r>
      <w:r w:rsidR="00E23F0A">
        <w:rPr>
          <w:rFonts w:eastAsia="Calibri" w:cs="Arial"/>
        </w:rPr>
        <w:t>i</w:t>
      </w:r>
      <w:r w:rsidRPr="00E14296">
        <w:rPr>
          <w:rFonts w:eastAsia="Calibri" w:cs="Arial"/>
        </w:rPr>
        <w:t xml:space="preserve">nterferometric </w:t>
      </w:r>
      <w:r w:rsidR="00E23F0A">
        <w:rPr>
          <w:rFonts w:eastAsia="Calibri" w:cs="Arial"/>
        </w:rPr>
        <w:t>s</w:t>
      </w:r>
      <w:r w:rsidRPr="00E14296">
        <w:rPr>
          <w:rFonts w:eastAsia="Calibri" w:cs="Arial"/>
        </w:rPr>
        <w:t xml:space="preserve">ynthetic </w:t>
      </w:r>
      <w:r w:rsidR="00E23F0A">
        <w:rPr>
          <w:rFonts w:eastAsia="Calibri" w:cs="Arial"/>
        </w:rPr>
        <w:t>a</w:t>
      </w:r>
      <w:r w:rsidRPr="00E14296">
        <w:rPr>
          <w:rFonts w:eastAsia="Calibri" w:cs="Arial"/>
        </w:rPr>
        <w:t xml:space="preserve">perture </w:t>
      </w:r>
      <w:r w:rsidR="00E23F0A">
        <w:rPr>
          <w:rFonts w:eastAsia="Calibri" w:cs="Arial"/>
        </w:rPr>
        <w:t>r</w:t>
      </w:r>
      <w:r w:rsidRPr="00E14296">
        <w:rPr>
          <w:rFonts w:eastAsia="Calibri" w:cs="Arial"/>
        </w:rPr>
        <w:t>adar (</w:t>
      </w:r>
      <w:proofErr w:type="spellStart"/>
      <w:r w:rsidRPr="00E14296">
        <w:rPr>
          <w:rFonts w:eastAsia="Calibri" w:cs="Arial"/>
        </w:rPr>
        <w:t>InSAR</w:t>
      </w:r>
      <w:proofErr w:type="spellEnd"/>
      <w:r w:rsidRPr="00E14296">
        <w:rPr>
          <w:rFonts w:eastAsia="Calibri" w:cs="Arial"/>
        </w:rPr>
        <w:t xml:space="preserve">) observations and weighted towards any continuous GNSS/GPS station records in the area. VLM rates have been </w:t>
      </w:r>
      <w:r w:rsidRPr="00E14296">
        <w:rPr>
          <w:rFonts w:eastAsia="Calibri"/>
        </w:rPr>
        <w:t xml:space="preserve">extrapolated at the same rate into the future, with a statistical measure of the uncertainty in the estimate </w:t>
      </w:r>
      <w:r w:rsidRPr="00E14296">
        <w:rPr>
          <w:rFonts w:eastAsia="Calibri" w:cs="Arial"/>
        </w:rPr>
        <w:t>(Levy et al, 2020; Naish et al, submitted</w:t>
      </w:r>
      <w:r w:rsidR="00420EFC">
        <w:rPr>
          <w:rFonts w:eastAsia="Calibri" w:cs="Arial"/>
        </w:rPr>
        <w:t>;</w:t>
      </w:r>
      <w:r w:rsidRPr="00E14296">
        <w:rPr>
          <w:rFonts w:eastAsia="Calibri" w:cs="Arial"/>
        </w:rPr>
        <w:t xml:space="preserve"> Hamling et al, 2022). </w:t>
      </w:r>
      <w:hyperlink w:anchor="_Appendix_B" w:history="1">
        <w:r w:rsidRPr="00E23F0A">
          <w:rPr>
            <w:rStyle w:val="Hyperlink"/>
            <w:rFonts w:eastAsia="Calibri" w:cs="Arial"/>
          </w:rPr>
          <w:t>Appendix B</w:t>
        </w:r>
      </w:hyperlink>
      <w:r w:rsidRPr="00E14296">
        <w:rPr>
          <w:rFonts w:eastAsia="Calibri" w:cs="Arial"/>
        </w:rPr>
        <w:t xml:space="preserve"> describes how the VLM</w:t>
      </w:r>
      <w:r w:rsidR="00420EFC">
        <w:rPr>
          <w:rFonts w:eastAsia="Calibri" w:cs="Arial"/>
        </w:rPr>
        <w:t xml:space="preserve"> rate</w:t>
      </w:r>
      <w:r w:rsidRPr="00E14296">
        <w:rPr>
          <w:rFonts w:eastAsia="Calibri" w:cs="Arial"/>
        </w:rPr>
        <w:t xml:space="preserve">s are derived along with the assumptions and caveats on future VLM rates. </w:t>
      </w:r>
    </w:p>
    <w:p w14:paraId="2AD36E5A" w14:textId="0E2F1BE9" w:rsidR="00E14296" w:rsidRPr="00E14296" w:rsidRDefault="00E14296" w:rsidP="00E14296">
      <w:pPr>
        <w:pStyle w:val="BodyText"/>
        <w:rPr>
          <w:rFonts w:eastAsia="Calibri" w:cs="Arial"/>
        </w:rPr>
      </w:pPr>
      <w:r w:rsidRPr="00E14296">
        <w:rPr>
          <w:rFonts w:eastAsia="Calibri" w:cs="Arial"/>
        </w:rPr>
        <w:t>These new higher</w:t>
      </w:r>
      <w:r w:rsidR="00420EFC">
        <w:rPr>
          <w:rFonts w:eastAsia="Calibri" w:cs="Arial"/>
        </w:rPr>
        <w:t xml:space="preserve"> </w:t>
      </w:r>
      <w:r w:rsidRPr="00E14296">
        <w:rPr>
          <w:rFonts w:eastAsia="Calibri" w:cs="Arial"/>
        </w:rPr>
        <w:t xml:space="preserve">resolution VLM rates </w:t>
      </w:r>
      <w:r w:rsidR="00420EFC">
        <w:rPr>
          <w:rFonts w:eastAsia="Calibri" w:cs="Arial"/>
        </w:rPr>
        <w:t>every</w:t>
      </w:r>
      <w:r w:rsidR="00420EFC" w:rsidRPr="00E14296">
        <w:rPr>
          <w:rFonts w:eastAsia="Calibri" w:cs="Arial"/>
        </w:rPr>
        <w:t xml:space="preserve"> </w:t>
      </w:r>
      <w:r w:rsidRPr="00E14296">
        <w:rPr>
          <w:rFonts w:eastAsia="Calibri" w:cs="Arial"/>
        </w:rPr>
        <w:t>2 km (</w:t>
      </w:r>
      <w:hyperlink w:anchor="figure4" w:history="1">
        <w:r w:rsidR="00420EFC" w:rsidRPr="00E23F0A">
          <w:rPr>
            <w:rStyle w:val="Hyperlink"/>
            <w:rFonts w:eastAsia="Calibri" w:cs="Arial"/>
          </w:rPr>
          <w:t>f</w:t>
        </w:r>
        <w:r w:rsidRPr="00E23F0A">
          <w:rPr>
            <w:rStyle w:val="Hyperlink"/>
            <w:rFonts w:eastAsia="Calibri" w:cs="Arial"/>
          </w:rPr>
          <w:t>igure 4</w:t>
        </w:r>
      </w:hyperlink>
      <w:r w:rsidRPr="00E14296">
        <w:rPr>
          <w:rFonts w:eastAsia="Calibri" w:cs="Arial"/>
        </w:rPr>
        <w:t xml:space="preserve">) replace the previous sparse regional VLM information in </w:t>
      </w:r>
      <w:r w:rsidR="00420EFC">
        <w:rPr>
          <w:rFonts w:eastAsia="Calibri" w:cs="Arial"/>
        </w:rPr>
        <w:t>s</w:t>
      </w:r>
      <w:r w:rsidRPr="00E14296">
        <w:rPr>
          <w:rFonts w:eastAsia="Calibri" w:cs="Arial"/>
        </w:rPr>
        <w:t xml:space="preserve">ection 5.3 of the 2017 coastal </w:t>
      </w:r>
      <w:r w:rsidR="00265CA8">
        <w:rPr>
          <w:rFonts w:eastAsia="Calibri" w:cs="Arial"/>
        </w:rPr>
        <w:t xml:space="preserve">hazards </w:t>
      </w:r>
      <w:r w:rsidRPr="00E14296">
        <w:rPr>
          <w:rFonts w:eastAsia="Calibri" w:cs="Arial"/>
        </w:rPr>
        <w:t xml:space="preserve">guidance, where any estimate of VLM had to be added manually.  </w:t>
      </w:r>
    </w:p>
    <w:p w14:paraId="0C3D3C34" w14:textId="413D072F" w:rsidR="00E14296" w:rsidRDefault="00E14296" w:rsidP="00E14296">
      <w:pPr>
        <w:pStyle w:val="BodyText"/>
        <w:rPr>
          <w:rFonts w:eastAsia="Calibri" w:cs="Arial"/>
        </w:rPr>
      </w:pPr>
      <w:proofErr w:type="spellStart"/>
      <w:r w:rsidRPr="00E14296">
        <w:rPr>
          <w:rFonts w:eastAsia="Calibri" w:cs="Arial"/>
        </w:rPr>
        <w:t>NZSeaRise</w:t>
      </w:r>
      <w:proofErr w:type="spellEnd"/>
      <w:r w:rsidRPr="00E14296">
        <w:rPr>
          <w:rFonts w:eastAsia="Calibri" w:cs="Arial"/>
        </w:rPr>
        <w:t xml:space="preserve"> projections </w:t>
      </w:r>
      <w:r w:rsidR="00420EFC" w:rsidRPr="00E14296">
        <w:rPr>
          <w:rFonts w:eastAsia="Calibri" w:cs="Arial"/>
        </w:rPr>
        <w:t>with and without VLM can be viewed simultaneously</w:t>
      </w:r>
      <w:r w:rsidR="00420EFC" w:rsidRPr="00E14296" w:rsidDel="00420EFC">
        <w:rPr>
          <w:rFonts w:eastAsia="Calibri" w:cs="Arial"/>
        </w:rPr>
        <w:t xml:space="preserve"> </w:t>
      </w:r>
      <w:r w:rsidR="00420EFC">
        <w:rPr>
          <w:rFonts w:eastAsia="Calibri" w:cs="Arial"/>
        </w:rPr>
        <w:t xml:space="preserve">on </w:t>
      </w:r>
      <w:r w:rsidRPr="00E14296">
        <w:rPr>
          <w:rFonts w:eastAsia="Calibri" w:cs="Arial"/>
        </w:rPr>
        <w:t xml:space="preserve">the </w:t>
      </w:r>
      <w:proofErr w:type="spellStart"/>
      <w:r w:rsidRPr="00E14296">
        <w:rPr>
          <w:rFonts w:eastAsia="Calibri" w:cs="Arial"/>
        </w:rPr>
        <w:t>Takiwā</w:t>
      </w:r>
      <w:proofErr w:type="spellEnd"/>
      <w:r w:rsidRPr="00E14296">
        <w:rPr>
          <w:rFonts w:eastAsia="Calibri" w:cs="Arial"/>
        </w:rPr>
        <w:t xml:space="preserve"> platform</w:t>
      </w:r>
      <w:r w:rsidR="00420EFC">
        <w:rPr>
          <w:rFonts w:eastAsia="Calibri" w:cs="Arial"/>
        </w:rPr>
        <w:t>,</w:t>
      </w:r>
      <w:r w:rsidRPr="00E14296">
        <w:rPr>
          <w:rFonts w:eastAsia="Calibri" w:cs="Arial"/>
          <w:vertAlign w:val="superscript"/>
        </w:rPr>
        <w:footnoteReference w:id="15"/>
      </w:r>
      <w:r w:rsidR="00BB67B8">
        <w:rPr>
          <w:rFonts w:eastAsia="Calibri" w:cs="Arial"/>
        </w:rPr>
        <w:t xml:space="preserve"> to</w:t>
      </w:r>
      <w:r w:rsidRPr="00E14296">
        <w:rPr>
          <w:rFonts w:eastAsia="Calibri" w:cs="Arial"/>
        </w:rPr>
        <w:t xml:space="preserve"> compar</w:t>
      </w:r>
      <w:r w:rsidR="00BB67B8">
        <w:rPr>
          <w:rFonts w:eastAsia="Calibri" w:cs="Arial"/>
        </w:rPr>
        <w:t>e</w:t>
      </w:r>
      <w:r w:rsidRPr="00E14296">
        <w:rPr>
          <w:rFonts w:eastAsia="Calibri" w:cs="Arial"/>
        </w:rPr>
        <w:t xml:space="preserve"> the relative influence of VLM locally. For example, </w:t>
      </w:r>
      <w:hyperlink w:anchor="Figure6" w:history="1">
        <w:r w:rsidR="00BB67B8" w:rsidRPr="00E23F0A">
          <w:rPr>
            <w:rStyle w:val="Hyperlink"/>
            <w:rFonts w:eastAsia="Calibri" w:cs="Arial"/>
          </w:rPr>
          <w:t>f</w:t>
        </w:r>
        <w:r w:rsidRPr="00E23F0A">
          <w:rPr>
            <w:rStyle w:val="Hyperlink"/>
            <w:rFonts w:eastAsia="Calibri" w:cs="Arial"/>
          </w:rPr>
          <w:t>igure 6</w:t>
        </w:r>
      </w:hyperlink>
      <w:r w:rsidRPr="00E14296">
        <w:rPr>
          <w:rFonts w:eastAsia="Calibri" w:cs="Arial"/>
        </w:rPr>
        <w:t xml:space="preserve"> compar</w:t>
      </w:r>
      <w:r w:rsidR="00BB67B8">
        <w:rPr>
          <w:rFonts w:eastAsia="Calibri" w:cs="Arial"/>
        </w:rPr>
        <w:t>es</w:t>
      </w:r>
      <w:r w:rsidRPr="00E14296">
        <w:rPr>
          <w:rFonts w:eastAsia="Calibri" w:cs="Arial"/>
        </w:rPr>
        <w:t xml:space="preserve"> sea-level rise scenario SSP2</w:t>
      </w:r>
      <w:r w:rsidR="00105913">
        <w:rPr>
          <w:rFonts w:eastAsia="Calibri" w:cs="Arial"/>
        </w:rPr>
        <w:t>-</w:t>
      </w:r>
      <w:r w:rsidRPr="00E14296">
        <w:rPr>
          <w:rFonts w:eastAsia="Calibri" w:cs="Arial"/>
        </w:rPr>
        <w:t xml:space="preserve">4.5 </w:t>
      </w:r>
      <w:r w:rsidR="00BB67B8">
        <w:rPr>
          <w:rFonts w:eastAsia="Calibri" w:cs="Arial"/>
        </w:rPr>
        <w:t xml:space="preserve">with and without VLM </w:t>
      </w:r>
      <w:r w:rsidRPr="00E14296">
        <w:rPr>
          <w:rFonts w:eastAsia="Calibri" w:cs="Arial"/>
        </w:rPr>
        <w:t xml:space="preserve">at </w:t>
      </w:r>
      <w:proofErr w:type="spellStart"/>
      <w:r w:rsidRPr="00E14296">
        <w:rPr>
          <w:rFonts w:eastAsia="Calibri" w:cs="Arial"/>
        </w:rPr>
        <w:t>Awatoto</w:t>
      </w:r>
      <w:proofErr w:type="spellEnd"/>
      <w:r w:rsidRPr="00E14296">
        <w:rPr>
          <w:rFonts w:eastAsia="Calibri" w:cs="Arial"/>
        </w:rPr>
        <w:t xml:space="preserve"> (south of Napier), where the averaged local VLM rate is </w:t>
      </w:r>
      <w:r w:rsidR="00BB67B8">
        <w:rPr>
          <w:rFonts w:eastAsia="Calibri" w:cs="Arial"/>
        </w:rPr>
        <w:t>-</w:t>
      </w:r>
      <w:r w:rsidRPr="00E14296">
        <w:rPr>
          <w:rFonts w:eastAsia="Calibri" w:cs="Arial"/>
        </w:rPr>
        <w:t>2.9</w:t>
      </w:r>
      <w:r w:rsidR="00BB67B8">
        <w:rPr>
          <w:rFonts w:eastAsia="Calibri" w:cs="Arial"/>
        </w:rPr>
        <w:t xml:space="preserve"> </w:t>
      </w:r>
      <w:r w:rsidRPr="00E14296">
        <w:rPr>
          <w:rFonts w:eastAsia="Calibri" w:cs="Arial"/>
        </w:rPr>
        <w:t>mm/</w:t>
      </w:r>
      <w:proofErr w:type="spellStart"/>
      <w:r w:rsidRPr="00E14296">
        <w:rPr>
          <w:rFonts w:eastAsia="Calibri" w:cs="Arial"/>
        </w:rPr>
        <w:t>yr</w:t>
      </w:r>
      <w:proofErr w:type="spellEnd"/>
      <w:r w:rsidRPr="00E14296">
        <w:rPr>
          <w:rFonts w:eastAsia="Calibri" w:cs="Arial"/>
        </w:rPr>
        <w:t xml:space="preserve"> (subsidence). </w:t>
      </w:r>
    </w:p>
    <w:p w14:paraId="351FD6B9" w14:textId="10C4688C" w:rsidR="00E14296" w:rsidRPr="00E14296" w:rsidRDefault="00E14296" w:rsidP="00E14296">
      <w:pPr>
        <w:pStyle w:val="Figureheading"/>
        <w:rPr>
          <w:rFonts w:eastAsia="Calibri"/>
        </w:rPr>
      </w:pPr>
      <w:bookmarkStart w:id="59" w:name="Figure6"/>
      <w:bookmarkStart w:id="60" w:name="_Toc109809105"/>
      <w:r w:rsidRPr="00E14296">
        <w:rPr>
          <w:rFonts w:eastAsia="Calibri" w:cs="Times New Roman"/>
          <w:bCs/>
        </w:rPr>
        <w:t>Figure 6</w:t>
      </w:r>
      <w:bookmarkEnd w:id="59"/>
      <w:r w:rsidRPr="00E14296">
        <w:rPr>
          <w:rFonts w:eastAsia="Calibri" w:cs="Times New Roman"/>
        </w:rPr>
        <w:t>:</w:t>
      </w:r>
      <w:r>
        <w:rPr>
          <w:rFonts w:eastAsia="Calibri" w:cs="Times New Roman"/>
        </w:rPr>
        <w:tab/>
      </w:r>
      <w:r w:rsidR="00665468" w:rsidRPr="00E14296">
        <w:rPr>
          <w:rFonts w:eastAsia="Calibri"/>
        </w:rPr>
        <w:t>Comparing RSLR scenario SSP2</w:t>
      </w:r>
      <w:r w:rsidR="00105913">
        <w:rPr>
          <w:rFonts w:eastAsia="Calibri"/>
        </w:rPr>
        <w:t>-</w:t>
      </w:r>
      <w:r w:rsidR="00665468" w:rsidRPr="00E14296">
        <w:rPr>
          <w:rFonts w:eastAsia="Calibri"/>
        </w:rPr>
        <w:t xml:space="preserve">4.5 at </w:t>
      </w:r>
      <w:proofErr w:type="spellStart"/>
      <w:r w:rsidR="00665468" w:rsidRPr="00E14296">
        <w:rPr>
          <w:rFonts w:eastAsia="Calibri"/>
        </w:rPr>
        <w:t>Awatoto</w:t>
      </w:r>
      <w:proofErr w:type="spellEnd"/>
      <w:r w:rsidR="00665468">
        <w:rPr>
          <w:rFonts w:eastAsia="Calibri"/>
        </w:rPr>
        <w:t>,</w:t>
      </w:r>
      <w:r w:rsidR="00665468" w:rsidRPr="00E14296">
        <w:rPr>
          <w:rFonts w:eastAsia="Calibri"/>
        </w:rPr>
        <w:t xml:space="preserve"> with </w:t>
      </w:r>
      <w:r w:rsidR="00BB67B8">
        <w:rPr>
          <w:rFonts w:eastAsia="Calibri"/>
        </w:rPr>
        <w:t xml:space="preserve">VLM (solid line) </w:t>
      </w:r>
      <w:r w:rsidR="00665468" w:rsidRPr="00E14296">
        <w:rPr>
          <w:rFonts w:eastAsia="Calibri"/>
        </w:rPr>
        <w:t>and without VLM</w:t>
      </w:r>
      <w:r w:rsidR="00BB67B8">
        <w:rPr>
          <w:rFonts w:eastAsia="Calibri"/>
        </w:rPr>
        <w:t xml:space="preserve"> (dashed line)</w:t>
      </w:r>
      <w:bookmarkEnd w:id="60"/>
    </w:p>
    <w:p w14:paraId="15444C20" w14:textId="78291E65" w:rsidR="00E14296" w:rsidRPr="00E14296" w:rsidRDefault="00E14296" w:rsidP="00E14296">
      <w:pPr>
        <w:pStyle w:val="BodyText"/>
        <w:rPr>
          <w:rFonts w:eastAsia="Calibri" w:cs="Arial"/>
        </w:rPr>
      </w:pPr>
      <w:r>
        <w:rPr>
          <w:rFonts w:cs="Times New Roman"/>
          <w:b/>
          <w:bCs/>
          <w:noProof/>
        </w:rPr>
        <w:drawing>
          <wp:inline distT="0" distB="0" distL="0" distR="0" wp14:anchorId="5C80006D" wp14:editId="1CE4A655">
            <wp:extent cx="5400675" cy="2768026"/>
            <wp:effectExtent l="0" t="0" r="0" b="0"/>
            <wp:docPr id="9" name="Picture 9" descr="A line graph shows projected relative sea-level rise in millimetres per year under scenario SSP2–4.5 with vertical land movement and without at Awatoto (south of Napier). The graph ranges from 2000 to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graph shows projected relative sea-level rise in millimetres per year under scenario SSP2–4.5 with vertical land movement and without at Awatoto (south of Napier). The graph ranges from 2000 to 2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768026"/>
                    </a:xfrm>
                    <a:prstGeom prst="rect">
                      <a:avLst/>
                    </a:prstGeom>
                    <a:noFill/>
                    <a:ln>
                      <a:noFill/>
                    </a:ln>
                  </pic:spPr>
                </pic:pic>
              </a:graphicData>
            </a:graphic>
          </wp:inline>
        </w:drawing>
      </w:r>
    </w:p>
    <w:p w14:paraId="29C3C07D" w14:textId="34DACF10" w:rsidR="00E14296" w:rsidRPr="00E14296" w:rsidRDefault="00E14296" w:rsidP="00E14296">
      <w:pPr>
        <w:pStyle w:val="BodyText"/>
        <w:rPr>
          <w:rFonts w:eastAsia="Calibri"/>
        </w:rPr>
      </w:pPr>
      <w:r w:rsidRPr="00E14296">
        <w:rPr>
          <w:rFonts w:eastAsia="Calibri"/>
        </w:rPr>
        <w:t xml:space="preserve">On the </w:t>
      </w:r>
      <w:hyperlink r:id="rId35" w:history="1">
        <w:proofErr w:type="spellStart"/>
        <w:r w:rsidRPr="00683AB7">
          <w:rPr>
            <w:rStyle w:val="Hyperlink"/>
            <w:rFonts w:eastAsia="Calibri"/>
          </w:rPr>
          <w:t>Takiwā</w:t>
        </w:r>
        <w:proofErr w:type="spellEnd"/>
      </w:hyperlink>
      <w:r w:rsidRPr="00E14296">
        <w:rPr>
          <w:rFonts w:eastAsia="Calibri"/>
        </w:rPr>
        <w:t xml:space="preserve"> platform</w:t>
      </w:r>
      <w:r w:rsidR="007D56F3">
        <w:rPr>
          <w:rFonts w:eastAsia="Calibri"/>
        </w:rPr>
        <w:t xml:space="preserve"> on the </w:t>
      </w:r>
      <w:proofErr w:type="spellStart"/>
      <w:r w:rsidR="007D56F3">
        <w:rPr>
          <w:rFonts w:eastAsia="Calibri"/>
        </w:rPr>
        <w:t>NZSeaRise</w:t>
      </w:r>
      <w:proofErr w:type="spellEnd"/>
      <w:r w:rsidR="007D56F3">
        <w:rPr>
          <w:rFonts w:eastAsia="Calibri"/>
        </w:rPr>
        <w:t xml:space="preserve"> portal</w:t>
      </w:r>
      <w:r w:rsidRPr="00E14296">
        <w:rPr>
          <w:rFonts w:eastAsia="Calibri"/>
        </w:rPr>
        <w:t xml:space="preserve">, if the entry gate “For Planners” is selected, the projections and site VLM analysis attributes are available for download. A polygon can be used to corral sites required for download. Selecting “Export to CSV” will enable a download of site attributes and VLM analysis and quality flags. Alternatively, selecting ‘Export to geodata” will generate a download request via email for </w:t>
      </w:r>
      <w:r w:rsidRPr="002D28F9">
        <w:rPr>
          <w:rFonts w:eastAsia="Calibri"/>
        </w:rPr>
        <w:t>all</w:t>
      </w:r>
      <w:r w:rsidRPr="00E14296">
        <w:rPr>
          <w:rFonts w:eastAsia="Calibri"/>
        </w:rPr>
        <w:t xml:space="preserve"> </w:t>
      </w:r>
      <w:r w:rsidR="00E3626F">
        <w:rPr>
          <w:rFonts w:eastAsia="Calibri"/>
        </w:rPr>
        <w:t>“</w:t>
      </w:r>
      <w:r w:rsidRPr="00E14296">
        <w:rPr>
          <w:rFonts w:eastAsia="Calibri"/>
        </w:rPr>
        <w:t xml:space="preserve">medium </w:t>
      </w:r>
      <w:r w:rsidR="00E3626F">
        <w:rPr>
          <w:rFonts w:eastAsia="Calibri"/>
        </w:rPr>
        <w:t xml:space="preserve">confidence” </w:t>
      </w:r>
      <w:r w:rsidRPr="00E14296">
        <w:rPr>
          <w:rFonts w:eastAsia="Calibri"/>
        </w:rPr>
        <w:t xml:space="preserve">and </w:t>
      </w:r>
      <w:r w:rsidR="00E3626F">
        <w:rPr>
          <w:rFonts w:eastAsia="Calibri"/>
        </w:rPr>
        <w:t>“</w:t>
      </w:r>
      <w:r w:rsidRPr="00E14296">
        <w:rPr>
          <w:rFonts w:eastAsia="Calibri"/>
        </w:rPr>
        <w:t>low confidence</w:t>
      </w:r>
      <w:r w:rsidR="00E3626F">
        <w:rPr>
          <w:rFonts w:eastAsia="Calibri"/>
        </w:rPr>
        <w:t>”</w:t>
      </w:r>
      <w:r w:rsidRPr="00E14296">
        <w:rPr>
          <w:rFonts w:eastAsia="Calibri"/>
        </w:rPr>
        <w:t xml:space="preserve"> projections for the selected locations. Bulk downloads are also available by region. Individual site projections can be downloaded </w:t>
      </w:r>
      <w:r w:rsidR="00BB67B8">
        <w:rPr>
          <w:rFonts w:eastAsia="Calibri"/>
        </w:rPr>
        <w:t>from</w:t>
      </w:r>
      <w:r w:rsidR="00BB67B8" w:rsidRPr="00E14296">
        <w:rPr>
          <w:rFonts w:eastAsia="Calibri"/>
        </w:rPr>
        <w:t xml:space="preserve"> </w:t>
      </w:r>
      <w:r w:rsidRPr="00E14296">
        <w:rPr>
          <w:rFonts w:eastAsia="Calibri"/>
        </w:rPr>
        <w:t>a tab below any graph.</w:t>
      </w:r>
    </w:p>
    <w:p w14:paraId="54739380" w14:textId="77777777" w:rsidR="00157D20" w:rsidRDefault="00157D20" w:rsidP="00E14296">
      <w:pPr>
        <w:spacing w:before="0" w:after="160" w:line="259" w:lineRule="auto"/>
        <w:jc w:val="left"/>
        <w:rPr>
          <w:rFonts w:eastAsia="Calibri" w:cs="Times New Roman"/>
          <w:i/>
          <w:iCs/>
        </w:rPr>
      </w:pPr>
    </w:p>
    <w:p w14:paraId="49688D94" w14:textId="77777777" w:rsidR="00DC4A35" w:rsidRDefault="00DC4A35" w:rsidP="00E14296">
      <w:pPr>
        <w:spacing w:before="0" w:after="160" w:line="259" w:lineRule="auto"/>
        <w:jc w:val="left"/>
        <w:rPr>
          <w:rFonts w:eastAsia="Calibri" w:cs="Times New Roman"/>
          <w:i/>
          <w:iCs/>
        </w:rPr>
      </w:pPr>
    </w:p>
    <w:p w14:paraId="3344C762" w14:textId="77777777" w:rsidR="00DC4A35" w:rsidRDefault="00DC4A35" w:rsidP="00E14296">
      <w:pPr>
        <w:spacing w:before="0" w:after="160" w:line="259" w:lineRule="auto"/>
        <w:jc w:val="left"/>
        <w:rPr>
          <w:rFonts w:eastAsia="Calibri" w:cs="Times New Roman"/>
          <w:i/>
          <w:iCs/>
        </w:rPr>
      </w:pPr>
    </w:p>
    <w:p w14:paraId="09014004" w14:textId="77777777" w:rsidR="00DC4A35" w:rsidRDefault="00DC4A35" w:rsidP="00E14296">
      <w:pPr>
        <w:spacing w:before="0" w:after="160" w:line="259" w:lineRule="auto"/>
        <w:jc w:val="left"/>
        <w:rPr>
          <w:rFonts w:eastAsia="Calibri" w:cs="Times New Roman"/>
          <w:i/>
          <w:iCs/>
        </w:rPr>
      </w:pPr>
    </w:p>
    <w:p w14:paraId="248E6EE5" w14:textId="77777777" w:rsidR="00DC4A35" w:rsidRDefault="00DC4A35" w:rsidP="00E14296">
      <w:pPr>
        <w:spacing w:before="0" w:after="160" w:line="259" w:lineRule="auto"/>
        <w:jc w:val="left"/>
        <w:rPr>
          <w:rFonts w:eastAsia="Calibri" w:cs="Times New Roman"/>
          <w:i/>
          <w:iCs/>
        </w:rPr>
      </w:pPr>
    </w:p>
    <w:p w14:paraId="6801C88F" w14:textId="77777777" w:rsidR="00DC4A35" w:rsidRDefault="00DC4A35" w:rsidP="00E14296">
      <w:pPr>
        <w:spacing w:before="0" w:after="160" w:line="259" w:lineRule="auto"/>
        <w:jc w:val="left"/>
        <w:rPr>
          <w:rFonts w:eastAsia="Calibri" w:cs="Times New Roman"/>
          <w:i/>
          <w:iCs/>
        </w:rPr>
      </w:pPr>
    </w:p>
    <w:p w14:paraId="43C035CF" w14:textId="77777777" w:rsidR="00DC4A35" w:rsidRDefault="00DC4A35" w:rsidP="00E14296">
      <w:pPr>
        <w:spacing w:before="0" w:after="160" w:line="259" w:lineRule="auto"/>
        <w:jc w:val="left"/>
        <w:rPr>
          <w:rFonts w:eastAsia="Calibri" w:cs="Times New Roman"/>
          <w:i/>
          <w:iCs/>
        </w:rPr>
      </w:pPr>
    </w:p>
    <w:p w14:paraId="1EC74C77" w14:textId="77777777" w:rsidR="00DC4A35" w:rsidRDefault="00DC4A35" w:rsidP="00E14296">
      <w:pPr>
        <w:spacing w:before="0" w:after="160" w:line="259" w:lineRule="auto"/>
        <w:jc w:val="left"/>
        <w:rPr>
          <w:rFonts w:eastAsia="Calibri" w:cs="Times New Roman"/>
          <w:i/>
          <w:iCs/>
        </w:rPr>
      </w:pPr>
    </w:p>
    <w:p w14:paraId="022AE138" w14:textId="77777777" w:rsidR="00E14296" w:rsidRDefault="00E14296" w:rsidP="00E14296">
      <w:pPr>
        <w:spacing w:before="0" w:after="160" w:line="259" w:lineRule="auto"/>
        <w:jc w:val="left"/>
        <w:rPr>
          <w:rFonts w:eastAsia="Calibri" w:cs="Times New Roman"/>
          <w:i/>
        </w:rPr>
      </w:pPr>
    </w:p>
    <w:p w14:paraId="6695A687" w14:textId="77777777" w:rsidR="00E14296" w:rsidRDefault="00E14296">
      <w:pPr>
        <w:spacing w:before="0" w:after="200" w:line="276" w:lineRule="auto"/>
        <w:jc w:val="left"/>
        <w:rPr>
          <w:rStyle w:val="Heading1Char"/>
        </w:rPr>
      </w:pPr>
      <w:r>
        <w:rPr>
          <w:rStyle w:val="Heading1Char"/>
          <w:b w:val="0"/>
          <w:bCs w:val="0"/>
        </w:rPr>
        <w:br w:type="page"/>
      </w:r>
    </w:p>
    <w:p w14:paraId="2CEEDBE2" w14:textId="1369B1B4" w:rsidR="0080531E" w:rsidRDefault="00E14296" w:rsidP="00DC3CFC">
      <w:pPr>
        <w:pStyle w:val="Heading1"/>
      </w:pPr>
      <w:bookmarkStart w:id="61" w:name="_Toc109397587"/>
      <w:bookmarkStart w:id="62" w:name="_Toc109809089"/>
      <w:r w:rsidRPr="00E14296">
        <w:t>Glossary</w:t>
      </w:r>
      <w:bookmarkStart w:id="63" w:name="_Toc345760336"/>
      <w:bookmarkEnd w:id="61"/>
      <w:bookmarkEnd w:id="62"/>
    </w:p>
    <w:tbl>
      <w:tblPr>
        <w:tblStyle w:val="TableGrid3"/>
        <w:tblW w:w="0" w:type="auto"/>
        <w:tblBorders>
          <w:left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643"/>
        <w:gridCol w:w="6862"/>
      </w:tblGrid>
      <w:tr w:rsidR="00E14296" w:rsidRPr="00E14296" w14:paraId="1CF42F33" w14:textId="77777777" w:rsidTr="000E0943">
        <w:tc>
          <w:tcPr>
            <w:tcW w:w="1696" w:type="dxa"/>
            <w:shd w:val="clear" w:color="auto" w:fill="1B556B" w:themeFill="text2"/>
          </w:tcPr>
          <w:p w14:paraId="58DC7D83" w14:textId="77777777" w:rsidR="00E14296" w:rsidRPr="00E14296" w:rsidRDefault="00E14296" w:rsidP="00E14296">
            <w:pPr>
              <w:spacing w:before="0" w:after="0" w:line="240" w:lineRule="auto"/>
              <w:jc w:val="left"/>
              <w:rPr>
                <w:rFonts w:eastAsia="Calibri" w:cs="Arial"/>
                <w:b/>
                <w:bCs/>
                <w:color w:val="FFFFFF" w:themeColor="background1"/>
                <w:sz w:val="18"/>
                <w:szCs w:val="18"/>
              </w:rPr>
            </w:pPr>
            <w:r w:rsidRPr="00E14296">
              <w:rPr>
                <w:rFonts w:eastAsia="Calibri" w:cs="Arial"/>
                <w:b/>
                <w:bCs/>
                <w:color w:val="FFFFFF" w:themeColor="background1"/>
                <w:sz w:val="18"/>
                <w:szCs w:val="18"/>
              </w:rPr>
              <w:t>Acronym</w:t>
            </w:r>
          </w:p>
        </w:tc>
        <w:tc>
          <w:tcPr>
            <w:tcW w:w="7230" w:type="dxa"/>
            <w:shd w:val="clear" w:color="auto" w:fill="1B556B" w:themeFill="text2"/>
          </w:tcPr>
          <w:p w14:paraId="1DC801A7" w14:textId="77777777" w:rsidR="00E14296" w:rsidRPr="00E14296" w:rsidRDefault="00E14296" w:rsidP="00E14296">
            <w:pPr>
              <w:spacing w:before="0" w:after="0" w:line="240" w:lineRule="auto"/>
              <w:jc w:val="left"/>
              <w:rPr>
                <w:rFonts w:eastAsia="Calibri" w:cs="Arial"/>
                <w:b/>
                <w:bCs/>
                <w:color w:val="FFFFFF" w:themeColor="background1"/>
                <w:sz w:val="18"/>
                <w:szCs w:val="18"/>
              </w:rPr>
            </w:pPr>
            <w:r w:rsidRPr="00E14296">
              <w:rPr>
                <w:rFonts w:eastAsia="Calibri" w:cs="Arial"/>
                <w:b/>
                <w:bCs/>
                <w:color w:val="FFFFFF" w:themeColor="background1"/>
                <w:sz w:val="18"/>
                <w:szCs w:val="18"/>
              </w:rPr>
              <w:t>Description</w:t>
            </w:r>
          </w:p>
        </w:tc>
      </w:tr>
      <w:tr w:rsidR="00E14296" w:rsidRPr="00E14296" w14:paraId="0B36286A" w14:textId="77777777" w:rsidTr="000E0943">
        <w:tc>
          <w:tcPr>
            <w:tcW w:w="1696" w:type="dxa"/>
          </w:tcPr>
          <w:p w14:paraId="5EC36E99" w14:textId="77777777" w:rsidR="00E14296" w:rsidRPr="00E14296" w:rsidRDefault="00E14296" w:rsidP="00E14296">
            <w:pPr>
              <w:pStyle w:val="TableText"/>
              <w:rPr>
                <w:rFonts w:eastAsia="Calibri"/>
              </w:rPr>
            </w:pPr>
            <w:r w:rsidRPr="00E14296">
              <w:rPr>
                <w:rFonts w:eastAsia="Calibri"/>
              </w:rPr>
              <w:t>AR5</w:t>
            </w:r>
          </w:p>
        </w:tc>
        <w:tc>
          <w:tcPr>
            <w:tcW w:w="7230" w:type="dxa"/>
          </w:tcPr>
          <w:p w14:paraId="0A76D0D5" w14:textId="64960FE7" w:rsidR="00E14296" w:rsidRPr="00E14296" w:rsidRDefault="000B6FB3" w:rsidP="00E14296">
            <w:pPr>
              <w:pStyle w:val="TableText"/>
              <w:rPr>
                <w:rFonts w:eastAsia="Calibri"/>
              </w:rPr>
            </w:pPr>
            <w:r>
              <w:rPr>
                <w:rFonts w:eastAsia="Calibri"/>
              </w:rPr>
              <w:t>Fifth</w:t>
            </w:r>
            <w:r w:rsidRPr="00E14296">
              <w:rPr>
                <w:rFonts w:eastAsia="Calibri"/>
              </w:rPr>
              <w:t xml:space="preserve"> </w:t>
            </w:r>
            <w:r w:rsidR="00E14296" w:rsidRPr="00E14296">
              <w:rPr>
                <w:rFonts w:eastAsia="Calibri"/>
              </w:rPr>
              <w:t>Assessment Report by IPCC on climate change (published 2013</w:t>
            </w:r>
            <w:r>
              <w:t>–</w:t>
            </w:r>
            <w:r w:rsidR="00E14296" w:rsidRPr="00E14296">
              <w:rPr>
                <w:rFonts w:eastAsia="Calibri"/>
              </w:rPr>
              <w:t>14)</w:t>
            </w:r>
            <w:r w:rsidR="00660553">
              <w:rPr>
                <w:rFonts w:eastAsia="Calibri"/>
              </w:rPr>
              <w:t>.</w:t>
            </w:r>
          </w:p>
        </w:tc>
      </w:tr>
      <w:tr w:rsidR="00E14296" w:rsidRPr="00E14296" w14:paraId="29B54C71" w14:textId="77777777" w:rsidTr="000E0943">
        <w:tc>
          <w:tcPr>
            <w:tcW w:w="1696" w:type="dxa"/>
          </w:tcPr>
          <w:p w14:paraId="37B9245A" w14:textId="77777777" w:rsidR="00E14296" w:rsidRPr="00E14296" w:rsidRDefault="00E14296" w:rsidP="00E14296">
            <w:pPr>
              <w:pStyle w:val="TableText"/>
              <w:rPr>
                <w:rFonts w:eastAsia="Calibri"/>
              </w:rPr>
            </w:pPr>
            <w:r w:rsidRPr="00E14296">
              <w:rPr>
                <w:rFonts w:eastAsia="Calibri"/>
              </w:rPr>
              <w:t>AR6</w:t>
            </w:r>
          </w:p>
        </w:tc>
        <w:tc>
          <w:tcPr>
            <w:tcW w:w="7230" w:type="dxa"/>
          </w:tcPr>
          <w:p w14:paraId="54B4733A" w14:textId="1421F913" w:rsidR="00E14296" w:rsidRPr="00E14296" w:rsidRDefault="000B6FB3" w:rsidP="00E14296">
            <w:pPr>
              <w:pStyle w:val="TableText"/>
              <w:rPr>
                <w:rFonts w:eastAsia="Calibri"/>
              </w:rPr>
            </w:pPr>
            <w:r>
              <w:rPr>
                <w:rFonts w:eastAsia="Calibri"/>
              </w:rPr>
              <w:t>Sixth</w:t>
            </w:r>
            <w:r w:rsidRPr="00E14296">
              <w:rPr>
                <w:rFonts w:eastAsia="Calibri"/>
              </w:rPr>
              <w:t xml:space="preserve"> </w:t>
            </w:r>
            <w:r w:rsidR="00E14296" w:rsidRPr="00E14296">
              <w:rPr>
                <w:rFonts w:eastAsia="Calibri"/>
              </w:rPr>
              <w:t>Assessment Report by IPCC on climate change (published 2021</w:t>
            </w:r>
            <w:r>
              <w:t>–</w:t>
            </w:r>
            <w:r w:rsidR="00E14296" w:rsidRPr="00E14296">
              <w:rPr>
                <w:rFonts w:eastAsia="Calibri"/>
              </w:rPr>
              <w:t>22)</w:t>
            </w:r>
            <w:r w:rsidR="00660553">
              <w:rPr>
                <w:rFonts w:eastAsia="Calibri"/>
              </w:rPr>
              <w:t>.</w:t>
            </w:r>
          </w:p>
        </w:tc>
      </w:tr>
      <w:tr w:rsidR="00E14296" w:rsidRPr="00E14296" w14:paraId="4CFDFE59" w14:textId="77777777" w:rsidTr="000E0943">
        <w:tc>
          <w:tcPr>
            <w:tcW w:w="1696" w:type="dxa"/>
          </w:tcPr>
          <w:p w14:paraId="2B4252C2" w14:textId="77777777" w:rsidR="00E14296" w:rsidRPr="00E14296" w:rsidRDefault="00E14296" w:rsidP="00E14296">
            <w:pPr>
              <w:pStyle w:val="TableText"/>
              <w:rPr>
                <w:rFonts w:eastAsia="Calibri"/>
              </w:rPr>
            </w:pPr>
            <w:r w:rsidRPr="00E14296">
              <w:rPr>
                <w:rFonts w:eastAsia="Calibri"/>
              </w:rPr>
              <w:t>DAPP</w:t>
            </w:r>
          </w:p>
        </w:tc>
        <w:tc>
          <w:tcPr>
            <w:tcW w:w="7230" w:type="dxa"/>
          </w:tcPr>
          <w:p w14:paraId="2A6DAFCC" w14:textId="105B9CF0" w:rsidR="00E14296" w:rsidRPr="00E14296" w:rsidRDefault="00E14296" w:rsidP="00E14296">
            <w:pPr>
              <w:pStyle w:val="TableText"/>
              <w:rPr>
                <w:rFonts w:eastAsia="Calibri"/>
              </w:rPr>
            </w:pPr>
            <w:r w:rsidRPr="00E14296">
              <w:rPr>
                <w:rFonts w:eastAsia="Calibri"/>
              </w:rPr>
              <w:t xml:space="preserve">Dynamic </w:t>
            </w:r>
            <w:r w:rsidR="00660553">
              <w:rPr>
                <w:rFonts w:eastAsia="Calibri"/>
              </w:rPr>
              <w:t>a</w:t>
            </w:r>
            <w:r w:rsidRPr="00E14296">
              <w:rPr>
                <w:rFonts w:eastAsia="Calibri"/>
              </w:rPr>
              <w:t xml:space="preserve">daptive </w:t>
            </w:r>
            <w:r w:rsidR="00660553">
              <w:rPr>
                <w:rFonts w:eastAsia="Calibri"/>
              </w:rPr>
              <w:t>p</w:t>
            </w:r>
            <w:r w:rsidRPr="00E14296">
              <w:rPr>
                <w:rFonts w:eastAsia="Calibri"/>
              </w:rPr>
              <w:t xml:space="preserve">athways </w:t>
            </w:r>
            <w:r w:rsidR="00660553">
              <w:rPr>
                <w:rFonts w:eastAsia="Calibri"/>
              </w:rPr>
              <w:t>p</w:t>
            </w:r>
            <w:r w:rsidRPr="00E14296">
              <w:rPr>
                <w:rFonts w:eastAsia="Calibri"/>
              </w:rPr>
              <w:t xml:space="preserve">lanning, which anticipates pathways of adaptation options or actions, working with the widening uncertainties in sea-level rise projections and being responsive (dynamic) to the ensuing changes. DAPP is the planning process embedded in the 2017 coastal </w:t>
            </w:r>
            <w:r w:rsidR="00265CA8">
              <w:rPr>
                <w:rFonts w:eastAsia="Calibri"/>
              </w:rPr>
              <w:t xml:space="preserve">hazards </w:t>
            </w:r>
            <w:r w:rsidRPr="00E14296">
              <w:rPr>
                <w:rFonts w:eastAsia="Calibri"/>
              </w:rPr>
              <w:t>guidance.</w:t>
            </w:r>
          </w:p>
        </w:tc>
      </w:tr>
      <w:tr w:rsidR="00E14296" w:rsidRPr="00E14296" w14:paraId="32378CBA" w14:textId="77777777" w:rsidTr="000E0943">
        <w:tc>
          <w:tcPr>
            <w:tcW w:w="1696" w:type="dxa"/>
          </w:tcPr>
          <w:p w14:paraId="471382FC" w14:textId="77777777" w:rsidR="00E14296" w:rsidRPr="00E14296" w:rsidRDefault="00E14296" w:rsidP="00E14296">
            <w:pPr>
              <w:pStyle w:val="TableText"/>
              <w:rPr>
                <w:rFonts w:eastAsia="Calibri"/>
              </w:rPr>
            </w:pPr>
            <w:r w:rsidRPr="00E14296">
              <w:rPr>
                <w:rFonts w:eastAsia="Calibri"/>
              </w:rPr>
              <w:t>GNSS</w:t>
            </w:r>
          </w:p>
        </w:tc>
        <w:tc>
          <w:tcPr>
            <w:tcW w:w="7230" w:type="dxa"/>
          </w:tcPr>
          <w:p w14:paraId="5294D18A" w14:textId="729E73C2" w:rsidR="00E14296" w:rsidRPr="00E14296" w:rsidRDefault="00E14296" w:rsidP="00E14296">
            <w:pPr>
              <w:pStyle w:val="TableText"/>
              <w:rPr>
                <w:rFonts w:eastAsia="Calibri"/>
              </w:rPr>
            </w:pPr>
            <w:r w:rsidRPr="00E14296">
              <w:rPr>
                <w:rFonts w:eastAsia="Calibri"/>
              </w:rPr>
              <w:t xml:space="preserve">Global </w:t>
            </w:r>
            <w:r w:rsidR="00A24079">
              <w:rPr>
                <w:rFonts w:eastAsia="Calibri"/>
              </w:rPr>
              <w:t>n</w:t>
            </w:r>
            <w:r w:rsidRPr="00E14296">
              <w:rPr>
                <w:rFonts w:eastAsia="Calibri"/>
              </w:rPr>
              <w:t xml:space="preserve">avigation </w:t>
            </w:r>
            <w:r w:rsidR="00A24079">
              <w:rPr>
                <w:rFonts w:eastAsia="Calibri"/>
              </w:rPr>
              <w:t>s</w:t>
            </w:r>
            <w:r w:rsidRPr="00E14296">
              <w:rPr>
                <w:rFonts w:eastAsia="Calibri"/>
              </w:rPr>
              <w:t xml:space="preserve">atellite </w:t>
            </w:r>
            <w:r w:rsidR="00A24079">
              <w:rPr>
                <w:rFonts w:eastAsia="Calibri"/>
              </w:rPr>
              <w:t>s</w:t>
            </w:r>
            <w:r w:rsidRPr="00E14296">
              <w:rPr>
                <w:rFonts w:eastAsia="Calibri"/>
              </w:rPr>
              <w:t xml:space="preserve">ystem. A general term describing any satellite system (eg, GPS, Galileo) that provides positioning, </w:t>
            </w:r>
            <w:proofErr w:type="gramStart"/>
            <w:r w:rsidRPr="00E14296">
              <w:rPr>
                <w:rFonts w:eastAsia="Calibri"/>
              </w:rPr>
              <w:t>navigation</w:t>
            </w:r>
            <w:proofErr w:type="gramEnd"/>
            <w:r w:rsidRPr="00E14296">
              <w:rPr>
                <w:rFonts w:eastAsia="Calibri"/>
              </w:rPr>
              <w:t xml:space="preserve"> and timing services on a global or regional basis.</w:t>
            </w:r>
          </w:p>
        </w:tc>
      </w:tr>
      <w:tr w:rsidR="00E14296" w:rsidRPr="00E14296" w14:paraId="4F5F5CBD" w14:textId="77777777" w:rsidTr="000E0943">
        <w:tc>
          <w:tcPr>
            <w:tcW w:w="1696" w:type="dxa"/>
          </w:tcPr>
          <w:p w14:paraId="181E7D23" w14:textId="77777777" w:rsidR="00E14296" w:rsidRPr="00E14296" w:rsidRDefault="00E14296" w:rsidP="00E14296">
            <w:pPr>
              <w:pStyle w:val="TableText"/>
              <w:rPr>
                <w:rFonts w:eastAsia="Calibri"/>
              </w:rPr>
            </w:pPr>
            <w:r w:rsidRPr="00E14296">
              <w:rPr>
                <w:rFonts w:eastAsia="Calibri"/>
              </w:rPr>
              <w:t>GPS</w:t>
            </w:r>
          </w:p>
        </w:tc>
        <w:tc>
          <w:tcPr>
            <w:tcW w:w="7230" w:type="dxa"/>
          </w:tcPr>
          <w:p w14:paraId="64B358B7" w14:textId="148B5CF1" w:rsidR="00E14296" w:rsidRPr="00E14296" w:rsidRDefault="00E14296" w:rsidP="00E14296">
            <w:pPr>
              <w:pStyle w:val="TableText"/>
              <w:rPr>
                <w:rFonts w:eastAsia="Calibri"/>
              </w:rPr>
            </w:pPr>
            <w:r w:rsidRPr="00E14296">
              <w:rPr>
                <w:rFonts w:eastAsia="Calibri"/>
              </w:rPr>
              <w:t xml:space="preserve">Global </w:t>
            </w:r>
            <w:r w:rsidR="00A24079">
              <w:rPr>
                <w:rFonts w:eastAsia="Calibri"/>
              </w:rPr>
              <w:t>p</w:t>
            </w:r>
            <w:r w:rsidRPr="00E14296">
              <w:rPr>
                <w:rFonts w:eastAsia="Calibri"/>
              </w:rPr>
              <w:t xml:space="preserve">ositioning </w:t>
            </w:r>
            <w:r w:rsidR="00A24079">
              <w:rPr>
                <w:rFonts w:eastAsia="Calibri"/>
              </w:rPr>
              <w:t>s</w:t>
            </w:r>
            <w:r w:rsidRPr="00E14296">
              <w:rPr>
                <w:rFonts w:eastAsia="Calibri"/>
              </w:rPr>
              <w:t>ystem</w:t>
            </w:r>
            <w:r w:rsidR="00660553">
              <w:rPr>
                <w:rFonts w:eastAsia="Calibri"/>
              </w:rPr>
              <w:t>.</w:t>
            </w:r>
          </w:p>
        </w:tc>
      </w:tr>
      <w:tr w:rsidR="00E14296" w:rsidRPr="00E14296" w14:paraId="3C56B587" w14:textId="77777777" w:rsidTr="000E0943">
        <w:tc>
          <w:tcPr>
            <w:tcW w:w="1696" w:type="dxa"/>
          </w:tcPr>
          <w:p w14:paraId="1875ACF5" w14:textId="77777777" w:rsidR="00E14296" w:rsidRPr="00E14296" w:rsidRDefault="00E14296" w:rsidP="00E14296">
            <w:pPr>
              <w:pStyle w:val="TableText"/>
              <w:rPr>
                <w:rFonts w:eastAsia="Calibri"/>
              </w:rPr>
            </w:pPr>
            <w:r w:rsidRPr="00E14296">
              <w:rPr>
                <w:rFonts w:eastAsia="Calibri"/>
              </w:rPr>
              <w:t>IPCC</w:t>
            </w:r>
          </w:p>
        </w:tc>
        <w:tc>
          <w:tcPr>
            <w:tcW w:w="7230" w:type="dxa"/>
          </w:tcPr>
          <w:p w14:paraId="7578F4DD" w14:textId="77777777" w:rsidR="00E14296" w:rsidRPr="00E14296" w:rsidRDefault="00E14296" w:rsidP="00E14296">
            <w:pPr>
              <w:pStyle w:val="TableText"/>
              <w:rPr>
                <w:rFonts w:eastAsia="Calibri"/>
              </w:rPr>
            </w:pPr>
            <w:r w:rsidRPr="00E14296">
              <w:rPr>
                <w:rFonts w:eastAsia="Calibri"/>
              </w:rPr>
              <w:t>Intergovernmental Panel on Climate Change is the United Nations body for assessing the science related to climate change.</w:t>
            </w:r>
          </w:p>
        </w:tc>
      </w:tr>
      <w:tr w:rsidR="00E14296" w:rsidRPr="00E14296" w14:paraId="16D250BF" w14:textId="77777777" w:rsidTr="000E0943">
        <w:tc>
          <w:tcPr>
            <w:tcW w:w="1696" w:type="dxa"/>
          </w:tcPr>
          <w:p w14:paraId="657EBD9A" w14:textId="77777777" w:rsidR="00E14296" w:rsidRPr="00E14296" w:rsidRDefault="00E14296" w:rsidP="00E14296">
            <w:pPr>
              <w:pStyle w:val="TableText"/>
              <w:rPr>
                <w:rFonts w:eastAsia="Calibri"/>
              </w:rPr>
            </w:pPr>
            <w:r w:rsidRPr="00E14296">
              <w:rPr>
                <w:rFonts w:eastAsia="Calibri"/>
              </w:rPr>
              <w:t>M</w:t>
            </w:r>
          </w:p>
        </w:tc>
        <w:tc>
          <w:tcPr>
            <w:tcW w:w="7230" w:type="dxa"/>
          </w:tcPr>
          <w:p w14:paraId="4A3CBAAD" w14:textId="3F423280" w:rsidR="00E14296" w:rsidRPr="00E14296" w:rsidRDefault="00E14296" w:rsidP="00E14296">
            <w:pPr>
              <w:pStyle w:val="TableText"/>
              <w:rPr>
                <w:rFonts w:eastAsia="Calibri"/>
              </w:rPr>
            </w:pPr>
            <w:r w:rsidRPr="00E14296">
              <w:rPr>
                <w:rFonts w:eastAsia="Calibri"/>
              </w:rPr>
              <w:t>Median (50</w:t>
            </w:r>
            <w:r w:rsidR="00BB67B8" w:rsidRPr="002D28F9">
              <w:rPr>
                <w:rFonts w:eastAsia="Calibri"/>
                <w:vertAlign w:val="superscript"/>
              </w:rPr>
              <w:t>th</w:t>
            </w:r>
            <w:r w:rsidR="00BB67B8">
              <w:rPr>
                <w:rFonts w:eastAsia="Calibri"/>
              </w:rPr>
              <w:t xml:space="preserve"> </w:t>
            </w:r>
            <w:r w:rsidRPr="00E14296">
              <w:rPr>
                <w:rFonts w:eastAsia="Calibri"/>
              </w:rPr>
              <w:t xml:space="preserve">percentile) RSLR projections for a particular SSP-RCP scenario (shown by heavy line for </w:t>
            </w:r>
            <w:r w:rsidRPr="002D28F9">
              <w:rPr>
                <w:rFonts w:eastAsia="Calibri"/>
                <w:i/>
              </w:rPr>
              <w:t>p50</w:t>
            </w:r>
            <w:r w:rsidRPr="00E14296">
              <w:rPr>
                <w:rFonts w:eastAsia="Calibri"/>
              </w:rPr>
              <w:t xml:space="preserve"> in graphs on the </w:t>
            </w:r>
            <w:proofErr w:type="spellStart"/>
            <w:r w:rsidRPr="00E14296">
              <w:rPr>
                <w:rFonts w:eastAsia="Calibri"/>
              </w:rPr>
              <w:t>Takiwā</w:t>
            </w:r>
            <w:proofErr w:type="spellEnd"/>
            <w:r w:rsidRPr="00E14296">
              <w:rPr>
                <w:rFonts w:eastAsia="Calibri"/>
              </w:rPr>
              <w:t xml:space="preserve"> platform)</w:t>
            </w:r>
            <w:r w:rsidR="00660553">
              <w:rPr>
                <w:rFonts w:eastAsia="Calibri"/>
              </w:rPr>
              <w:t>.</w:t>
            </w:r>
          </w:p>
        </w:tc>
      </w:tr>
      <w:tr w:rsidR="00E14296" w:rsidRPr="00E14296" w14:paraId="1909418C" w14:textId="77777777" w:rsidTr="000E0943">
        <w:tc>
          <w:tcPr>
            <w:tcW w:w="1696" w:type="dxa"/>
          </w:tcPr>
          <w:p w14:paraId="1D707752" w14:textId="435DB8B0" w:rsidR="00E14296" w:rsidRPr="00E14296" w:rsidRDefault="00854A66" w:rsidP="00E14296">
            <w:pPr>
              <w:pStyle w:val="TableText"/>
              <w:rPr>
                <w:rFonts w:eastAsia="Calibri"/>
              </w:rPr>
            </w:pPr>
            <w:r>
              <w:rPr>
                <w:rFonts w:eastAsia="Calibri"/>
              </w:rPr>
              <w:t>The Ministry</w:t>
            </w:r>
          </w:p>
        </w:tc>
        <w:tc>
          <w:tcPr>
            <w:tcW w:w="7230" w:type="dxa"/>
          </w:tcPr>
          <w:p w14:paraId="7E9E46A6" w14:textId="315006A5" w:rsidR="00E14296" w:rsidRPr="00E14296" w:rsidRDefault="00E14296" w:rsidP="00E14296">
            <w:pPr>
              <w:pStyle w:val="TableText"/>
              <w:rPr>
                <w:rFonts w:eastAsia="Calibri"/>
              </w:rPr>
            </w:pPr>
            <w:r w:rsidRPr="00E14296">
              <w:rPr>
                <w:rFonts w:eastAsia="Calibri"/>
              </w:rPr>
              <w:t>The Ministry for the Environment</w:t>
            </w:r>
            <w:r w:rsidR="00660553">
              <w:rPr>
                <w:rFonts w:eastAsia="Calibri"/>
              </w:rPr>
              <w:t>.</w:t>
            </w:r>
          </w:p>
        </w:tc>
      </w:tr>
      <w:tr w:rsidR="00E14296" w:rsidRPr="00E14296" w14:paraId="07D1F4D8" w14:textId="77777777" w:rsidTr="000E0943">
        <w:tc>
          <w:tcPr>
            <w:tcW w:w="1696" w:type="dxa"/>
          </w:tcPr>
          <w:p w14:paraId="1324596D" w14:textId="77777777" w:rsidR="00E14296" w:rsidRPr="00E14296" w:rsidRDefault="00E14296" w:rsidP="00E14296">
            <w:pPr>
              <w:pStyle w:val="TableText"/>
              <w:rPr>
                <w:rFonts w:eastAsia="Calibri"/>
              </w:rPr>
            </w:pPr>
            <w:r w:rsidRPr="00E14296">
              <w:rPr>
                <w:rFonts w:eastAsia="Calibri"/>
              </w:rPr>
              <w:t>NPS-UD</w:t>
            </w:r>
          </w:p>
        </w:tc>
        <w:tc>
          <w:tcPr>
            <w:tcW w:w="7230" w:type="dxa"/>
          </w:tcPr>
          <w:p w14:paraId="74875B99" w14:textId="653AB85C" w:rsidR="00E14296" w:rsidRPr="00E14296" w:rsidRDefault="00E14296" w:rsidP="00E14296">
            <w:pPr>
              <w:pStyle w:val="TableText"/>
              <w:rPr>
                <w:rFonts w:eastAsia="Calibri"/>
              </w:rPr>
            </w:pPr>
            <w:r w:rsidRPr="00E14296">
              <w:rPr>
                <w:rFonts w:eastAsia="Calibri"/>
              </w:rPr>
              <w:t>National Policy Statement</w:t>
            </w:r>
            <w:r w:rsidR="00A24079">
              <w:rPr>
                <w:rFonts w:eastAsia="Calibri"/>
              </w:rPr>
              <w:t xml:space="preserve"> on </w:t>
            </w:r>
            <w:r w:rsidRPr="00E14296">
              <w:rPr>
                <w:rFonts w:eastAsia="Calibri"/>
              </w:rPr>
              <w:t>Urban Development</w:t>
            </w:r>
            <w:r w:rsidR="00BB67B8">
              <w:rPr>
                <w:rFonts w:eastAsia="Calibri"/>
              </w:rPr>
              <w:t>,</w:t>
            </w:r>
            <w:r w:rsidRPr="00E14296">
              <w:rPr>
                <w:rFonts w:eastAsia="Calibri"/>
              </w:rPr>
              <w:t xml:space="preserve"> issued in 2020</w:t>
            </w:r>
            <w:r w:rsidR="00660553">
              <w:rPr>
                <w:rFonts w:eastAsia="Calibri"/>
              </w:rPr>
              <w:t>.</w:t>
            </w:r>
          </w:p>
        </w:tc>
      </w:tr>
      <w:tr w:rsidR="00E14296" w:rsidRPr="00E14296" w14:paraId="611C67EC" w14:textId="77777777" w:rsidTr="000E0943">
        <w:tc>
          <w:tcPr>
            <w:tcW w:w="1696" w:type="dxa"/>
          </w:tcPr>
          <w:p w14:paraId="1CAACA7A" w14:textId="77777777" w:rsidR="00E14296" w:rsidRPr="00E14296" w:rsidRDefault="00E14296" w:rsidP="00E14296">
            <w:pPr>
              <w:pStyle w:val="TableText"/>
              <w:rPr>
                <w:rFonts w:eastAsia="Calibri"/>
              </w:rPr>
            </w:pPr>
            <w:r w:rsidRPr="00E14296">
              <w:rPr>
                <w:rFonts w:eastAsia="Calibri"/>
              </w:rPr>
              <w:t>MSL</w:t>
            </w:r>
          </w:p>
        </w:tc>
        <w:tc>
          <w:tcPr>
            <w:tcW w:w="7230" w:type="dxa"/>
          </w:tcPr>
          <w:p w14:paraId="5F267326" w14:textId="36058BDB" w:rsidR="00E14296" w:rsidRPr="00E14296" w:rsidRDefault="00E14296" w:rsidP="00E14296">
            <w:pPr>
              <w:pStyle w:val="TableText"/>
              <w:rPr>
                <w:rFonts w:eastAsia="Calibri"/>
              </w:rPr>
            </w:pPr>
            <w:r w:rsidRPr="00E14296">
              <w:rPr>
                <w:rFonts w:eastAsia="Calibri"/>
              </w:rPr>
              <w:t>Mean sea level of the ocean, averaged over a period of years</w:t>
            </w:r>
            <w:r w:rsidR="00660553">
              <w:rPr>
                <w:rFonts w:eastAsia="Calibri"/>
              </w:rPr>
              <w:t>.</w:t>
            </w:r>
          </w:p>
        </w:tc>
      </w:tr>
      <w:tr w:rsidR="00E14296" w:rsidRPr="00E14296" w14:paraId="5EF3BA68" w14:textId="77777777" w:rsidTr="000E0943">
        <w:tc>
          <w:tcPr>
            <w:tcW w:w="1696" w:type="dxa"/>
          </w:tcPr>
          <w:p w14:paraId="19CBB0E3" w14:textId="77777777" w:rsidR="00E14296" w:rsidRPr="00E14296" w:rsidRDefault="00E14296" w:rsidP="00E14296">
            <w:pPr>
              <w:pStyle w:val="TableText"/>
              <w:rPr>
                <w:rFonts w:eastAsia="Calibri"/>
              </w:rPr>
            </w:pPr>
            <w:r w:rsidRPr="00E14296">
              <w:rPr>
                <w:rFonts w:eastAsia="Calibri"/>
              </w:rPr>
              <w:t>NZCPS</w:t>
            </w:r>
          </w:p>
        </w:tc>
        <w:tc>
          <w:tcPr>
            <w:tcW w:w="7230" w:type="dxa"/>
          </w:tcPr>
          <w:p w14:paraId="364DBA60" w14:textId="747BE08A" w:rsidR="00E14296" w:rsidRPr="00E14296" w:rsidRDefault="00E14296" w:rsidP="00E14296">
            <w:pPr>
              <w:pStyle w:val="TableText"/>
              <w:rPr>
                <w:rFonts w:eastAsia="Calibri"/>
              </w:rPr>
            </w:pPr>
            <w:r w:rsidRPr="00E14296">
              <w:rPr>
                <w:rFonts w:eastAsia="Calibri"/>
              </w:rPr>
              <w:t>New Zealand Coastal Policy Statement (2010 is the operative version)</w:t>
            </w:r>
            <w:r w:rsidR="00660553">
              <w:rPr>
                <w:rFonts w:eastAsia="Calibri"/>
              </w:rPr>
              <w:t>.</w:t>
            </w:r>
          </w:p>
        </w:tc>
      </w:tr>
      <w:tr w:rsidR="00E14296" w:rsidRPr="00E14296" w14:paraId="217B563A" w14:textId="77777777" w:rsidTr="000E0943">
        <w:tc>
          <w:tcPr>
            <w:tcW w:w="1696" w:type="dxa"/>
          </w:tcPr>
          <w:p w14:paraId="47431733" w14:textId="77777777" w:rsidR="00E14296" w:rsidRPr="00E14296" w:rsidRDefault="00E14296" w:rsidP="00E14296">
            <w:pPr>
              <w:pStyle w:val="TableText"/>
              <w:rPr>
                <w:rFonts w:eastAsia="Calibri"/>
              </w:rPr>
            </w:pPr>
            <w:r w:rsidRPr="00E14296">
              <w:rPr>
                <w:rFonts w:eastAsia="Calibri"/>
              </w:rPr>
              <w:t>RCP</w:t>
            </w:r>
          </w:p>
        </w:tc>
        <w:tc>
          <w:tcPr>
            <w:tcW w:w="7230" w:type="dxa"/>
          </w:tcPr>
          <w:p w14:paraId="73DDDD2F" w14:textId="48B75FE9" w:rsidR="00E14296" w:rsidRPr="00E14296" w:rsidRDefault="00E14296" w:rsidP="00E14296">
            <w:pPr>
              <w:pStyle w:val="TableText"/>
              <w:rPr>
                <w:rFonts w:eastAsia="Calibri"/>
              </w:rPr>
            </w:pPr>
            <w:r w:rsidRPr="00E14296">
              <w:rPr>
                <w:rFonts w:eastAsia="Calibri"/>
              </w:rPr>
              <w:t xml:space="preserve">Representative </w:t>
            </w:r>
            <w:r w:rsidR="00A24079">
              <w:rPr>
                <w:rFonts w:eastAsia="Calibri"/>
              </w:rPr>
              <w:t>c</w:t>
            </w:r>
            <w:r w:rsidRPr="00E14296">
              <w:rPr>
                <w:rFonts w:eastAsia="Calibri"/>
              </w:rPr>
              <w:t xml:space="preserve">oncentration </w:t>
            </w:r>
            <w:r w:rsidR="00A24079">
              <w:rPr>
                <w:rFonts w:eastAsia="Calibri"/>
              </w:rPr>
              <w:t>p</w:t>
            </w:r>
            <w:r w:rsidRPr="00E14296">
              <w:rPr>
                <w:rFonts w:eastAsia="Calibri"/>
              </w:rPr>
              <w:t>athways</w:t>
            </w:r>
            <w:r w:rsidR="00990698">
              <w:rPr>
                <w:rFonts w:eastAsia="Calibri"/>
              </w:rPr>
              <w:t>,</w:t>
            </w:r>
            <w:r w:rsidRPr="00E14296">
              <w:rPr>
                <w:rFonts w:eastAsia="Calibri"/>
              </w:rPr>
              <w:t xml:space="preserve"> comprising radiative forcing scenarios for deriving climate-related projections in AR5 and combined with SSPs in AR6</w:t>
            </w:r>
            <w:r w:rsidR="00660553">
              <w:rPr>
                <w:rFonts w:eastAsia="Calibri"/>
              </w:rPr>
              <w:t>.</w:t>
            </w:r>
          </w:p>
        </w:tc>
      </w:tr>
      <w:tr w:rsidR="00E14296" w:rsidRPr="00E14296" w14:paraId="65F8E826" w14:textId="77777777" w:rsidTr="000E0943">
        <w:tc>
          <w:tcPr>
            <w:tcW w:w="1696" w:type="dxa"/>
          </w:tcPr>
          <w:p w14:paraId="13A7B62E" w14:textId="77777777" w:rsidR="00E14296" w:rsidRPr="00E14296" w:rsidRDefault="00E14296" w:rsidP="00E14296">
            <w:pPr>
              <w:pStyle w:val="TableText"/>
              <w:rPr>
                <w:rFonts w:eastAsia="Calibri"/>
              </w:rPr>
            </w:pPr>
            <w:r w:rsidRPr="00E14296">
              <w:rPr>
                <w:rFonts w:eastAsia="Calibri"/>
              </w:rPr>
              <w:t>RSLR</w:t>
            </w:r>
          </w:p>
        </w:tc>
        <w:tc>
          <w:tcPr>
            <w:tcW w:w="7230" w:type="dxa"/>
          </w:tcPr>
          <w:p w14:paraId="2404C4A6" w14:textId="49FB43C9" w:rsidR="00E14296" w:rsidRPr="00E14296" w:rsidRDefault="00E14296" w:rsidP="00E14296">
            <w:pPr>
              <w:pStyle w:val="TableText"/>
              <w:rPr>
                <w:rFonts w:eastAsia="Calibri"/>
              </w:rPr>
            </w:pPr>
            <w:r w:rsidRPr="00E14296">
              <w:rPr>
                <w:rFonts w:eastAsia="Calibri"/>
              </w:rPr>
              <w:t>Relative sea</w:t>
            </w:r>
            <w:r w:rsidR="00990698">
              <w:rPr>
                <w:rFonts w:eastAsia="Calibri"/>
              </w:rPr>
              <w:t>-</w:t>
            </w:r>
            <w:r w:rsidRPr="00E14296">
              <w:rPr>
                <w:rFonts w:eastAsia="Calibri"/>
              </w:rPr>
              <w:t>level rise is the net height of sea level experienced at a specific coastal location relative to the landmass, combining changes in MSL of the adjacent ocean and VLM. RSLR</w:t>
            </w:r>
            <w:r w:rsidRPr="00E14296" w:rsidDel="00990698">
              <w:rPr>
                <w:rFonts w:eastAsia="Calibri"/>
              </w:rPr>
              <w:t xml:space="preserve"> </w:t>
            </w:r>
            <w:r w:rsidRPr="00E14296">
              <w:rPr>
                <w:rFonts w:eastAsia="Calibri"/>
              </w:rPr>
              <w:t>needs to be considered when planning local adaptation.</w:t>
            </w:r>
          </w:p>
        </w:tc>
      </w:tr>
      <w:tr w:rsidR="00E14296" w:rsidRPr="00E14296" w14:paraId="4ABCBA1A" w14:textId="77777777" w:rsidTr="000E0943">
        <w:tc>
          <w:tcPr>
            <w:tcW w:w="1696" w:type="dxa"/>
          </w:tcPr>
          <w:p w14:paraId="18EEDD76" w14:textId="77777777" w:rsidR="00E14296" w:rsidRPr="00E14296" w:rsidRDefault="00E14296" w:rsidP="00E14296">
            <w:pPr>
              <w:pStyle w:val="TableText"/>
              <w:rPr>
                <w:rFonts w:eastAsia="Calibri"/>
              </w:rPr>
            </w:pPr>
            <w:r w:rsidRPr="00E14296">
              <w:rPr>
                <w:rFonts w:eastAsia="Calibri"/>
              </w:rPr>
              <w:t>SLR</w:t>
            </w:r>
          </w:p>
        </w:tc>
        <w:tc>
          <w:tcPr>
            <w:tcW w:w="7230" w:type="dxa"/>
          </w:tcPr>
          <w:p w14:paraId="1EB2C1AD" w14:textId="51A667B4" w:rsidR="00E14296" w:rsidRPr="00E14296" w:rsidRDefault="00990698" w:rsidP="00E14296">
            <w:pPr>
              <w:pStyle w:val="TableText"/>
              <w:rPr>
                <w:rFonts w:eastAsia="Calibri"/>
              </w:rPr>
            </w:pPr>
            <w:r>
              <w:rPr>
                <w:rFonts w:eastAsia="Calibri"/>
              </w:rPr>
              <w:t>S</w:t>
            </w:r>
            <w:r w:rsidR="00E14296" w:rsidRPr="00E14296">
              <w:rPr>
                <w:rFonts w:eastAsia="Calibri"/>
              </w:rPr>
              <w:t>ea-level rise</w:t>
            </w:r>
            <w:r w:rsidR="00660553">
              <w:rPr>
                <w:rFonts w:eastAsia="Calibri"/>
              </w:rPr>
              <w:t>.</w:t>
            </w:r>
          </w:p>
        </w:tc>
      </w:tr>
      <w:tr w:rsidR="00E14296" w:rsidRPr="00E14296" w14:paraId="215D4D81" w14:textId="77777777" w:rsidTr="000E0943">
        <w:tc>
          <w:tcPr>
            <w:tcW w:w="1696" w:type="dxa"/>
          </w:tcPr>
          <w:p w14:paraId="453C5063" w14:textId="77777777" w:rsidR="00E14296" w:rsidRPr="00E14296" w:rsidRDefault="00E14296" w:rsidP="00E14296">
            <w:pPr>
              <w:pStyle w:val="TableText"/>
              <w:rPr>
                <w:rFonts w:eastAsia="Calibri"/>
              </w:rPr>
            </w:pPr>
            <w:r w:rsidRPr="00E14296">
              <w:rPr>
                <w:rFonts w:eastAsia="Calibri"/>
              </w:rPr>
              <w:t>SSP</w:t>
            </w:r>
          </w:p>
        </w:tc>
        <w:tc>
          <w:tcPr>
            <w:tcW w:w="7230" w:type="dxa"/>
          </w:tcPr>
          <w:p w14:paraId="35E4B0BF" w14:textId="2FAA7AFF" w:rsidR="00E14296" w:rsidRPr="00E14296" w:rsidRDefault="00E14296" w:rsidP="00E14296">
            <w:pPr>
              <w:pStyle w:val="TableText"/>
              <w:rPr>
                <w:rFonts w:eastAsia="Calibri"/>
              </w:rPr>
            </w:pPr>
            <w:r w:rsidRPr="00E14296">
              <w:rPr>
                <w:rFonts w:eastAsia="Calibri"/>
              </w:rPr>
              <w:t xml:space="preserve">Shared </w:t>
            </w:r>
            <w:r w:rsidR="00A24079">
              <w:rPr>
                <w:rFonts w:eastAsia="Calibri"/>
              </w:rPr>
              <w:t>s</w:t>
            </w:r>
            <w:r w:rsidRPr="00E14296">
              <w:rPr>
                <w:rFonts w:eastAsia="Calibri"/>
              </w:rPr>
              <w:t xml:space="preserve">ocio-economic </w:t>
            </w:r>
            <w:r w:rsidR="00A24079">
              <w:rPr>
                <w:rFonts w:eastAsia="Calibri"/>
              </w:rPr>
              <w:t>p</w:t>
            </w:r>
            <w:r w:rsidRPr="00E14296">
              <w:rPr>
                <w:rFonts w:eastAsia="Calibri"/>
              </w:rPr>
              <w:t>athways, comprising socio</w:t>
            </w:r>
            <w:r w:rsidR="00990698">
              <w:rPr>
                <w:rFonts w:eastAsia="Calibri"/>
              </w:rPr>
              <w:t>-</w:t>
            </w:r>
            <w:r w:rsidRPr="00E14296">
              <w:rPr>
                <w:rFonts w:eastAsia="Calibri"/>
              </w:rPr>
              <w:t>economic assumptions driving emissions, used in AR6 to complement RCPs, to produce climate-related projections</w:t>
            </w:r>
            <w:r w:rsidR="00660553">
              <w:rPr>
                <w:rFonts w:eastAsia="Calibri"/>
              </w:rPr>
              <w:t>.</w:t>
            </w:r>
          </w:p>
        </w:tc>
      </w:tr>
      <w:tr w:rsidR="00E14296" w:rsidRPr="00E14296" w14:paraId="25B7AEB6" w14:textId="77777777" w:rsidTr="000E0943">
        <w:tc>
          <w:tcPr>
            <w:tcW w:w="1696" w:type="dxa"/>
          </w:tcPr>
          <w:p w14:paraId="13731799" w14:textId="77777777" w:rsidR="00E14296" w:rsidRPr="00E14296" w:rsidRDefault="00E14296" w:rsidP="00E14296">
            <w:pPr>
              <w:pStyle w:val="TableText"/>
              <w:rPr>
                <w:rFonts w:eastAsia="Calibri"/>
              </w:rPr>
            </w:pPr>
            <w:r w:rsidRPr="00E14296">
              <w:rPr>
                <w:rFonts w:eastAsia="Calibri"/>
              </w:rPr>
              <w:t>VLM</w:t>
            </w:r>
          </w:p>
        </w:tc>
        <w:tc>
          <w:tcPr>
            <w:tcW w:w="7230" w:type="dxa"/>
          </w:tcPr>
          <w:p w14:paraId="415CF1DE" w14:textId="30113A94" w:rsidR="00E14296" w:rsidRPr="00E14296" w:rsidRDefault="00E14296" w:rsidP="00E14296">
            <w:pPr>
              <w:pStyle w:val="TableText"/>
              <w:rPr>
                <w:rFonts w:eastAsia="Calibri"/>
              </w:rPr>
            </w:pPr>
            <w:r w:rsidRPr="00E14296">
              <w:rPr>
                <w:rFonts w:eastAsia="Calibri"/>
              </w:rPr>
              <w:t>Vertical land movement (motion), which is the rate in mm/</w:t>
            </w:r>
            <w:proofErr w:type="spellStart"/>
            <w:r w:rsidRPr="00E14296">
              <w:rPr>
                <w:rFonts w:eastAsia="Calibri"/>
              </w:rPr>
              <w:t>yr</w:t>
            </w:r>
            <w:proofErr w:type="spellEnd"/>
            <w:r w:rsidRPr="00E14296">
              <w:rPr>
                <w:rFonts w:eastAsia="Calibri"/>
              </w:rPr>
              <w:t xml:space="preserve"> of the local land mass. It is influenced by tectonics, sediment-basin compaction, localised subsidence of historic reclamations or groundwater pumping, and glacial isostatic adjustment (the ongoing crustal adjustment to the past </w:t>
            </w:r>
            <w:proofErr w:type="gramStart"/>
            <w:r w:rsidRPr="00E14296">
              <w:rPr>
                <w:rFonts w:eastAsia="Calibri"/>
              </w:rPr>
              <w:t>ice</w:t>
            </w:r>
            <w:r w:rsidR="00990698">
              <w:rPr>
                <w:rFonts w:eastAsia="Calibri"/>
              </w:rPr>
              <w:t>-</w:t>
            </w:r>
            <w:r w:rsidRPr="00E14296">
              <w:rPr>
                <w:rFonts w:eastAsia="Calibri"/>
              </w:rPr>
              <w:t>sheet</w:t>
            </w:r>
            <w:proofErr w:type="gramEnd"/>
            <w:r w:rsidRPr="00E14296">
              <w:rPr>
                <w:rFonts w:eastAsia="Calibri"/>
              </w:rPr>
              <w:t xml:space="preserve"> advance and retreat)</w:t>
            </w:r>
            <w:r w:rsidR="00990698">
              <w:rPr>
                <w:rFonts w:eastAsia="Calibri"/>
              </w:rPr>
              <w:t>.</w:t>
            </w:r>
          </w:p>
        </w:tc>
      </w:tr>
      <w:tr w:rsidR="00E14296" w:rsidRPr="00E14296" w14:paraId="5295B5C2" w14:textId="77777777" w:rsidTr="000E0943">
        <w:tc>
          <w:tcPr>
            <w:tcW w:w="1696" w:type="dxa"/>
          </w:tcPr>
          <w:p w14:paraId="12B64686" w14:textId="77777777" w:rsidR="00E14296" w:rsidRPr="00E14296" w:rsidRDefault="00E14296" w:rsidP="00E14296">
            <w:pPr>
              <w:pStyle w:val="TableText"/>
              <w:rPr>
                <w:rFonts w:eastAsia="Calibri"/>
              </w:rPr>
            </w:pPr>
            <w:r w:rsidRPr="00E14296">
              <w:rPr>
                <w:rFonts w:eastAsia="Calibri"/>
              </w:rPr>
              <w:t>WGI</w:t>
            </w:r>
          </w:p>
        </w:tc>
        <w:tc>
          <w:tcPr>
            <w:tcW w:w="7230" w:type="dxa"/>
          </w:tcPr>
          <w:p w14:paraId="75BC4450" w14:textId="4AFF51B1" w:rsidR="00E14296" w:rsidRPr="00E14296" w:rsidRDefault="00E14296" w:rsidP="00E14296">
            <w:pPr>
              <w:pStyle w:val="TableText"/>
              <w:rPr>
                <w:rFonts w:eastAsia="Calibri"/>
              </w:rPr>
            </w:pPr>
            <w:r w:rsidRPr="00E14296">
              <w:rPr>
                <w:rFonts w:eastAsia="Calibri"/>
              </w:rPr>
              <w:t xml:space="preserve">Working </w:t>
            </w:r>
            <w:proofErr w:type="gramStart"/>
            <w:r w:rsidRPr="00E14296">
              <w:rPr>
                <w:rFonts w:eastAsia="Calibri"/>
              </w:rPr>
              <w:t>Group</w:t>
            </w:r>
            <w:proofErr w:type="gramEnd"/>
            <w:r w:rsidRPr="00E14296">
              <w:rPr>
                <w:rFonts w:eastAsia="Calibri"/>
              </w:rPr>
              <w:t xml:space="preserve"> I of the IPCC, which assesses the physical science of climate change</w:t>
            </w:r>
            <w:r w:rsidR="00660553">
              <w:rPr>
                <w:rFonts w:eastAsia="Calibri"/>
              </w:rPr>
              <w:t>.</w:t>
            </w:r>
          </w:p>
        </w:tc>
      </w:tr>
      <w:tr w:rsidR="00E14296" w:rsidRPr="00E14296" w14:paraId="64CC07FC" w14:textId="77777777" w:rsidTr="000E0943">
        <w:tc>
          <w:tcPr>
            <w:tcW w:w="1696" w:type="dxa"/>
          </w:tcPr>
          <w:p w14:paraId="546AC7B0" w14:textId="77777777" w:rsidR="00E14296" w:rsidRPr="00E14296" w:rsidRDefault="00E14296" w:rsidP="00E14296">
            <w:pPr>
              <w:pStyle w:val="TableText"/>
              <w:rPr>
                <w:rFonts w:eastAsia="Calibri"/>
              </w:rPr>
            </w:pPr>
            <w:r w:rsidRPr="00E14296">
              <w:rPr>
                <w:rFonts w:eastAsia="Calibri"/>
              </w:rPr>
              <w:t>WGII</w:t>
            </w:r>
          </w:p>
        </w:tc>
        <w:tc>
          <w:tcPr>
            <w:tcW w:w="7230" w:type="dxa"/>
          </w:tcPr>
          <w:p w14:paraId="1F7BA094" w14:textId="1C409D2A" w:rsidR="00E14296" w:rsidRPr="00E14296" w:rsidRDefault="00E14296" w:rsidP="00E14296">
            <w:pPr>
              <w:pStyle w:val="TableText"/>
              <w:rPr>
                <w:rFonts w:eastAsia="Calibri"/>
              </w:rPr>
            </w:pPr>
            <w:r w:rsidRPr="00E14296">
              <w:rPr>
                <w:rFonts w:eastAsia="Calibri"/>
              </w:rPr>
              <w:t>Working Group I</w:t>
            </w:r>
            <w:r w:rsidR="00990698">
              <w:rPr>
                <w:rFonts w:eastAsia="Calibri"/>
              </w:rPr>
              <w:t>I</w:t>
            </w:r>
            <w:r w:rsidRPr="00E14296">
              <w:rPr>
                <w:rFonts w:eastAsia="Calibri"/>
              </w:rPr>
              <w:t xml:space="preserve"> of the IPCC, which assesses the impacts, adaptation and vulnerabilities related to climate change</w:t>
            </w:r>
            <w:r w:rsidR="00660553">
              <w:rPr>
                <w:rFonts w:eastAsia="Calibri"/>
              </w:rPr>
              <w:t>.</w:t>
            </w:r>
          </w:p>
        </w:tc>
      </w:tr>
    </w:tbl>
    <w:p w14:paraId="7C6C6D64" w14:textId="0B25F002" w:rsidR="00E14296" w:rsidRDefault="00E14296" w:rsidP="00E14296">
      <w:pPr>
        <w:pStyle w:val="BodyText"/>
      </w:pPr>
    </w:p>
    <w:p w14:paraId="49753BF7" w14:textId="77777777" w:rsidR="00E14296" w:rsidRDefault="00E14296">
      <w:pPr>
        <w:spacing w:before="0" w:after="200" w:line="276" w:lineRule="auto"/>
        <w:jc w:val="left"/>
      </w:pPr>
      <w:r>
        <w:br w:type="page"/>
      </w:r>
    </w:p>
    <w:p w14:paraId="36E508EF" w14:textId="4CCA6DD3" w:rsidR="00F93431" w:rsidRPr="006B77BB" w:rsidRDefault="00F93431" w:rsidP="00585FD0">
      <w:pPr>
        <w:pStyle w:val="Heading1"/>
      </w:pPr>
      <w:bookmarkStart w:id="64" w:name="_Appendix_A"/>
      <w:bookmarkStart w:id="65" w:name="_Toc109397588"/>
      <w:bookmarkStart w:id="66" w:name="_Toc109809090"/>
      <w:bookmarkEnd w:id="63"/>
      <w:bookmarkEnd w:id="64"/>
      <w:r w:rsidRPr="006B77BB">
        <w:t>Appendix</w:t>
      </w:r>
      <w:r w:rsidR="00304083">
        <w:t xml:space="preserve"> A</w:t>
      </w:r>
      <w:bookmarkEnd w:id="65"/>
      <w:bookmarkEnd w:id="66"/>
    </w:p>
    <w:p w14:paraId="4E3F50B5" w14:textId="0A31E6BF" w:rsidR="00304083" w:rsidRDefault="00990698" w:rsidP="00000FDC">
      <w:pPr>
        <w:jc w:val="left"/>
        <w:rPr>
          <w:rFonts w:asciiTheme="minorHAnsi" w:hAnsiTheme="minorHAnsi"/>
          <w:b/>
          <w:bCs/>
        </w:rPr>
      </w:pPr>
      <w:r>
        <w:rPr>
          <w:b/>
          <w:bCs/>
        </w:rPr>
        <w:t>National c</w:t>
      </w:r>
      <w:r w:rsidR="00304083">
        <w:rPr>
          <w:b/>
          <w:bCs/>
        </w:rPr>
        <w:t>omparison</w:t>
      </w:r>
      <w:r w:rsidR="00304083" w:rsidDel="00990698">
        <w:rPr>
          <w:b/>
          <w:bCs/>
        </w:rPr>
        <w:t xml:space="preserve"> </w:t>
      </w:r>
      <w:r w:rsidR="00304083">
        <w:rPr>
          <w:b/>
          <w:bCs/>
        </w:rPr>
        <w:t xml:space="preserve">of the 2017 </w:t>
      </w:r>
      <w:r w:rsidR="00265CA8">
        <w:rPr>
          <w:b/>
          <w:bCs/>
        </w:rPr>
        <w:t>coastal hazards</w:t>
      </w:r>
      <w:r w:rsidR="00304083">
        <w:rPr>
          <w:b/>
          <w:bCs/>
        </w:rPr>
        <w:t xml:space="preserve"> guidance projections (</w:t>
      </w:r>
      <w:r>
        <w:rPr>
          <w:b/>
          <w:bCs/>
        </w:rPr>
        <w:t>four</w:t>
      </w:r>
      <w:r w:rsidR="00304083">
        <w:rPr>
          <w:b/>
          <w:bCs/>
        </w:rPr>
        <w:t xml:space="preserve"> scenarios) with the latest </w:t>
      </w:r>
      <w:proofErr w:type="spellStart"/>
      <w:r w:rsidR="00304083">
        <w:rPr>
          <w:b/>
          <w:bCs/>
        </w:rPr>
        <w:t>NZSeaRise</w:t>
      </w:r>
      <w:proofErr w:type="spellEnd"/>
      <w:r w:rsidR="00304083">
        <w:rPr>
          <w:b/>
          <w:bCs/>
        </w:rPr>
        <w:t xml:space="preserve"> projections (excluding VLM)</w:t>
      </w:r>
    </w:p>
    <w:p w14:paraId="6E0808FE" w14:textId="24D2CCFF" w:rsidR="00304083" w:rsidRDefault="00304083" w:rsidP="00000FDC">
      <w:pPr>
        <w:jc w:val="left"/>
      </w:pPr>
      <w:r>
        <w:t>The new national</w:t>
      </w:r>
      <w:r w:rsidR="00990698">
        <w:t xml:space="preserve"> </w:t>
      </w:r>
      <w:r>
        <w:t>average projections for Aotearoa</w:t>
      </w:r>
      <w:r w:rsidR="00990698">
        <w:t xml:space="preserve"> </w:t>
      </w:r>
      <w:r>
        <w:t xml:space="preserve">New Zealand remain close </w:t>
      </w:r>
      <w:r w:rsidR="00990698">
        <w:t>to</w:t>
      </w:r>
      <w:r>
        <w:t xml:space="preserve"> the national-scale scenarios in the 2017 </w:t>
      </w:r>
      <w:r w:rsidR="00265CA8">
        <w:t>coastal hazards</w:t>
      </w:r>
      <w:r>
        <w:t xml:space="preserve"> guidance until around 2070 (see </w:t>
      </w:r>
      <w:hyperlink w:anchor="figure1" w:history="1">
        <w:r w:rsidR="00990698" w:rsidRPr="00000FDC">
          <w:rPr>
            <w:rStyle w:val="Hyperlink"/>
          </w:rPr>
          <w:t>f</w:t>
        </w:r>
        <w:r w:rsidRPr="00000FDC">
          <w:rPr>
            <w:rStyle w:val="Hyperlink"/>
          </w:rPr>
          <w:t>igure 1</w:t>
        </w:r>
      </w:hyperlink>
      <w:r>
        <w:t>, which is set to a common baseline period of 1986</w:t>
      </w:r>
      <w:r w:rsidR="00000FDC" w:rsidRPr="00000FDC">
        <w:t>–</w:t>
      </w:r>
      <w:r>
        <w:t xml:space="preserve">2005). Thereafter, the new projections diverge to higher sea levels (a few to several cm) for all four scenarios used in the 2017 </w:t>
      </w:r>
      <w:r w:rsidR="00265CA8">
        <w:t xml:space="preserve">coastal hazards </w:t>
      </w:r>
      <w:r>
        <w:t>guidance</w:t>
      </w:r>
      <w:r w:rsidR="00990698">
        <w:t>.</w:t>
      </w:r>
      <w:r w:rsidDel="00990698">
        <w:t xml:space="preserve"> </w:t>
      </w:r>
      <w:r w:rsidR="00990698">
        <w:t>There is a greater</w:t>
      </w:r>
      <w:r>
        <w:t xml:space="preserve"> increase by 2120 for the previous RCP4.5 and RCP8.5 H</w:t>
      </w:r>
      <w:r>
        <w:rPr>
          <w:vertAlign w:val="superscript"/>
        </w:rPr>
        <w:t>+</w:t>
      </w:r>
      <w:r>
        <w:t xml:space="preserve"> scenarios (</w:t>
      </w:r>
      <w:hyperlink w:anchor="TableA1" w:history="1">
        <w:r w:rsidR="00990698" w:rsidRPr="00000FDC">
          <w:rPr>
            <w:rStyle w:val="Hyperlink"/>
          </w:rPr>
          <w:t>t</w:t>
        </w:r>
        <w:r w:rsidRPr="00000FDC">
          <w:rPr>
            <w:rStyle w:val="Hyperlink"/>
          </w:rPr>
          <w:t>able A-1</w:t>
        </w:r>
      </w:hyperlink>
      <w:r>
        <w:t>).</w:t>
      </w:r>
    </w:p>
    <w:p w14:paraId="454DDEED" w14:textId="72FD537C" w:rsidR="00304083" w:rsidRDefault="00FB2729" w:rsidP="00000FDC">
      <w:pPr>
        <w:jc w:val="left"/>
      </w:pPr>
      <w:hyperlink w:anchor="TableA1" w:history="1">
        <w:r w:rsidR="00304083" w:rsidRPr="00000FDC">
          <w:rPr>
            <w:rStyle w:val="Hyperlink"/>
          </w:rPr>
          <w:t>Table A-1</w:t>
        </w:r>
      </w:hyperlink>
      <w:r w:rsidR="00304083">
        <w:t xml:space="preserve"> </w:t>
      </w:r>
      <w:r w:rsidR="00990698">
        <w:t>compares the</w:t>
      </w:r>
      <w:r w:rsidR="00304083">
        <w:t xml:space="preserve"> new and 2017 </w:t>
      </w:r>
      <w:r w:rsidR="00265CA8">
        <w:t xml:space="preserve">coastal hazards </w:t>
      </w:r>
      <w:r w:rsidR="00304083">
        <w:t>guidance projections of sea-level rise national</w:t>
      </w:r>
      <w:r w:rsidR="004402F6">
        <w:t>ly for 2120</w:t>
      </w:r>
      <w:r w:rsidR="00304083">
        <w:t xml:space="preserve">, leaving aside regional oceanographic and local VLM processes. The new projections have been adjusted to the previous baseline period used in the 2017 </w:t>
      </w:r>
      <w:r w:rsidR="00265CA8">
        <w:t xml:space="preserve">coastal hazards </w:t>
      </w:r>
      <w:r w:rsidR="00304083">
        <w:t>guidance to enable a direct comparison.</w:t>
      </w:r>
    </w:p>
    <w:p w14:paraId="31BF69B0" w14:textId="286353E8" w:rsidR="00304083" w:rsidRDefault="00304083" w:rsidP="003E24D2">
      <w:pPr>
        <w:pStyle w:val="Tableheading"/>
      </w:pPr>
      <w:bookmarkStart w:id="67" w:name="TableA1"/>
      <w:bookmarkStart w:id="68" w:name="_Toc109809098"/>
      <w:r w:rsidRPr="00951D46">
        <w:t>Table A-1</w:t>
      </w:r>
      <w:bookmarkEnd w:id="67"/>
      <w:r w:rsidRPr="00951D46">
        <w:t>:</w:t>
      </w:r>
      <w:r w:rsidR="003E24D2" w:rsidRPr="00951D46">
        <w:tab/>
      </w:r>
      <w:r w:rsidRPr="00951D46">
        <w:t>Comparison of the change in nation</w:t>
      </w:r>
      <w:r w:rsidR="004402F6">
        <w:t>al</w:t>
      </w:r>
      <w:r w:rsidRPr="00951D46">
        <w:t xml:space="preserve"> average sea-level rise projections for 2120 from the 2017 </w:t>
      </w:r>
      <w:r w:rsidR="00265CA8">
        <w:t>coastal hazards</w:t>
      </w:r>
      <w:r w:rsidRPr="00951D46">
        <w:t xml:space="preserve"> guidance scenarios compared with the latest </w:t>
      </w:r>
      <w:proofErr w:type="spellStart"/>
      <w:r w:rsidRPr="00951D46">
        <w:t>NZSeaRise</w:t>
      </w:r>
      <w:proofErr w:type="spellEnd"/>
      <w:r w:rsidRPr="00951D46" w:rsidDel="004402F6">
        <w:t xml:space="preserve"> </w:t>
      </w:r>
      <w:r w:rsidRPr="00951D46">
        <w:t>projections</w:t>
      </w:r>
      <w:bookmarkEnd w:id="68"/>
    </w:p>
    <w:tbl>
      <w:tblPr>
        <w:tblStyle w:val="TableGrid"/>
        <w:tblW w:w="5000" w:type="pct"/>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082"/>
        <w:gridCol w:w="2249"/>
        <w:gridCol w:w="2728"/>
        <w:gridCol w:w="1446"/>
      </w:tblGrid>
      <w:tr w:rsidR="00304083" w14:paraId="5A4B75F2" w14:textId="77777777" w:rsidTr="00085966">
        <w:tc>
          <w:tcPr>
            <w:tcW w:w="1224" w:type="pct"/>
            <w:shd w:val="clear" w:color="auto" w:fill="1B556B" w:themeFill="text2"/>
            <w:hideMark/>
          </w:tcPr>
          <w:p w14:paraId="174664A0" w14:textId="300E3578" w:rsidR="00304083" w:rsidRPr="004D22A8" w:rsidRDefault="00304083" w:rsidP="00304083">
            <w:pPr>
              <w:spacing w:after="0" w:line="240" w:lineRule="auto"/>
              <w:jc w:val="left"/>
              <w:rPr>
                <w:rFonts w:ascii="Calibri" w:hAnsi="Calibri" w:cs="Calibri"/>
                <w:b/>
                <w:bCs/>
                <w:color w:val="FFFFFF" w:themeColor="background1"/>
                <w:sz w:val="18"/>
                <w:szCs w:val="18"/>
              </w:rPr>
            </w:pPr>
            <w:r w:rsidRPr="004D22A8">
              <w:rPr>
                <w:rFonts w:ascii="Calibri" w:hAnsi="Calibri" w:cs="Calibri"/>
                <w:b/>
                <w:bCs/>
                <w:color w:val="FFFFFF" w:themeColor="background1"/>
                <w:sz w:val="18"/>
                <w:szCs w:val="18"/>
              </w:rPr>
              <w:t xml:space="preserve">Scenario </w:t>
            </w:r>
            <w:r w:rsidR="0031019D" w:rsidRPr="004D22A8">
              <w:rPr>
                <w:rFonts w:ascii="Calibri" w:hAnsi="Calibri" w:cs="Calibri"/>
                <w:b/>
                <w:bCs/>
                <w:color w:val="FFFFFF" w:themeColor="background1"/>
                <w:sz w:val="18"/>
                <w:szCs w:val="18"/>
              </w:rPr>
              <w:t>(</w:t>
            </w:r>
            <w:r w:rsidRPr="004D22A8">
              <w:rPr>
                <w:rFonts w:ascii="Calibri" w:hAnsi="Calibri" w:cs="Calibri"/>
                <w:b/>
                <w:bCs/>
                <w:color w:val="FFFFFF" w:themeColor="background1"/>
                <w:sz w:val="18"/>
                <w:szCs w:val="18"/>
              </w:rPr>
              <w:t>MfE</w:t>
            </w:r>
            <w:r w:rsidR="00730C37" w:rsidRPr="004D22A8">
              <w:rPr>
                <w:rFonts w:ascii="Calibri" w:hAnsi="Calibri" w:cs="Calibri"/>
                <w:b/>
                <w:bCs/>
                <w:color w:val="FFFFFF" w:themeColor="background1"/>
                <w:sz w:val="18"/>
                <w:szCs w:val="18"/>
              </w:rPr>
              <w:t xml:space="preserve">, </w:t>
            </w:r>
            <w:r w:rsidRPr="004D22A8">
              <w:rPr>
                <w:rFonts w:ascii="Calibri" w:hAnsi="Calibri" w:cs="Calibri"/>
                <w:b/>
                <w:bCs/>
                <w:color w:val="FFFFFF" w:themeColor="background1"/>
                <w:sz w:val="18"/>
                <w:szCs w:val="18"/>
              </w:rPr>
              <w:t>2017)</w:t>
            </w:r>
          </w:p>
        </w:tc>
        <w:tc>
          <w:tcPr>
            <w:tcW w:w="1322" w:type="pct"/>
            <w:shd w:val="clear" w:color="auto" w:fill="1B556B" w:themeFill="text2"/>
            <w:hideMark/>
          </w:tcPr>
          <w:p w14:paraId="028EFFE2" w14:textId="4BBDA2A0" w:rsidR="00304083" w:rsidRPr="004D22A8" w:rsidRDefault="00304083" w:rsidP="00304083">
            <w:pPr>
              <w:spacing w:after="0" w:line="240" w:lineRule="auto"/>
              <w:jc w:val="left"/>
              <w:rPr>
                <w:rFonts w:ascii="Calibri" w:hAnsi="Calibri" w:cs="Calibri"/>
                <w:b/>
                <w:bCs/>
                <w:color w:val="FFFFFF" w:themeColor="background1"/>
                <w:sz w:val="18"/>
                <w:szCs w:val="18"/>
              </w:rPr>
            </w:pPr>
            <w:r w:rsidRPr="004D22A8">
              <w:rPr>
                <w:rFonts w:ascii="Calibri" w:hAnsi="Calibri" w:cs="Calibri"/>
                <w:b/>
                <w:bCs/>
                <w:color w:val="FFFFFF" w:themeColor="background1"/>
                <w:sz w:val="18"/>
                <w:szCs w:val="18"/>
              </w:rPr>
              <w:t xml:space="preserve">Sea-level rise from </w:t>
            </w:r>
            <w:r w:rsidR="004402F6" w:rsidRPr="004D22A8">
              <w:rPr>
                <w:rFonts w:ascii="Calibri" w:hAnsi="Calibri" w:cs="Calibri"/>
                <w:b/>
                <w:bCs/>
                <w:color w:val="FFFFFF" w:themeColor="background1"/>
                <w:sz w:val="18"/>
                <w:szCs w:val="18"/>
              </w:rPr>
              <w:t xml:space="preserve">table 10 </w:t>
            </w:r>
            <w:r w:rsidR="00F33F7E" w:rsidRPr="004D22A8">
              <w:rPr>
                <w:rFonts w:ascii="Calibri" w:hAnsi="Calibri" w:cs="Calibri"/>
                <w:b/>
                <w:bCs/>
                <w:color w:val="FFFFFF" w:themeColor="background1"/>
                <w:sz w:val="18"/>
                <w:szCs w:val="18"/>
              </w:rPr>
              <w:t>(</w:t>
            </w:r>
            <w:r w:rsidRPr="004D22A8">
              <w:rPr>
                <w:rFonts w:ascii="Calibri" w:hAnsi="Calibri" w:cs="Calibri"/>
                <w:b/>
                <w:bCs/>
                <w:color w:val="FFFFFF" w:themeColor="background1"/>
                <w:sz w:val="18"/>
                <w:szCs w:val="18"/>
              </w:rPr>
              <w:t>MfE</w:t>
            </w:r>
            <w:r w:rsidR="00F33F7E" w:rsidRPr="004D22A8">
              <w:rPr>
                <w:rFonts w:ascii="Calibri" w:hAnsi="Calibri" w:cs="Calibri"/>
                <w:b/>
                <w:bCs/>
                <w:color w:val="FFFFFF" w:themeColor="background1"/>
                <w:sz w:val="18"/>
                <w:szCs w:val="18"/>
              </w:rPr>
              <w:t>,</w:t>
            </w:r>
            <w:r w:rsidRPr="004D22A8">
              <w:rPr>
                <w:rFonts w:ascii="Calibri" w:hAnsi="Calibri" w:cs="Calibri"/>
                <w:b/>
                <w:bCs/>
                <w:color w:val="FFFFFF" w:themeColor="background1"/>
                <w:sz w:val="18"/>
                <w:szCs w:val="18"/>
              </w:rPr>
              <w:t xml:space="preserve"> 2017) (m)</w:t>
            </w:r>
          </w:p>
        </w:tc>
        <w:tc>
          <w:tcPr>
            <w:tcW w:w="1604" w:type="pct"/>
            <w:shd w:val="clear" w:color="auto" w:fill="1B556B" w:themeFill="text2"/>
            <w:hideMark/>
          </w:tcPr>
          <w:p w14:paraId="42FB2597" w14:textId="79A54F31" w:rsidR="00304083" w:rsidRPr="004D22A8" w:rsidRDefault="00304083" w:rsidP="00304083">
            <w:pPr>
              <w:spacing w:after="0" w:line="240" w:lineRule="auto"/>
              <w:jc w:val="left"/>
              <w:rPr>
                <w:rFonts w:ascii="Calibri" w:hAnsi="Calibri" w:cs="Calibri"/>
                <w:b/>
                <w:bCs/>
                <w:color w:val="FFFFFF" w:themeColor="background1"/>
                <w:sz w:val="18"/>
                <w:szCs w:val="18"/>
              </w:rPr>
            </w:pPr>
            <w:r w:rsidRPr="004D22A8">
              <w:rPr>
                <w:rFonts w:ascii="Calibri" w:hAnsi="Calibri" w:cs="Calibri"/>
                <w:b/>
                <w:bCs/>
                <w:color w:val="FFFFFF" w:themeColor="background1"/>
                <w:sz w:val="18"/>
                <w:szCs w:val="18"/>
              </w:rPr>
              <w:t>Latest national</w:t>
            </w:r>
            <w:r w:rsidR="004402F6" w:rsidRPr="004D22A8">
              <w:rPr>
                <w:rFonts w:ascii="Calibri" w:hAnsi="Calibri" w:cs="Calibri"/>
                <w:b/>
                <w:bCs/>
                <w:color w:val="FFFFFF" w:themeColor="background1"/>
                <w:sz w:val="18"/>
                <w:szCs w:val="18"/>
              </w:rPr>
              <w:t xml:space="preserve"> </w:t>
            </w:r>
            <w:r w:rsidRPr="004D22A8">
              <w:rPr>
                <w:rFonts w:ascii="Calibri" w:hAnsi="Calibri" w:cs="Calibri"/>
                <w:b/>
                <w:bCs/>
                <w:color w:val="FFFFFF" w:themeColor="background1"/>
                <w:sz w:val="18"/>
                <w:szCs w:val="18"/>
              </w:rPr>
              <w:t xml:space="preserve">average sea-level rise by </w:t>
            </w:r>
            <w:proofErr w:type="spellStart"/>
            <w:r w:rsidRPr="004D22A8">
              <w:rPr>
                <w:rFonts w:ascii="Calibri" w:hAnsi="Calibri" w:cs="Calibri"/>
                <w:b/>
                <w:bCs/>
                <w:color w:val="FFFFFF" w:themeColor="background1"/>
                <w:sz w:val="18"/>
                <w:szCs w:val="18"/>
              </w:rPr>
              <w:t>NZSeaRise</w:t>
            </w:r>
            <w:proofErr w:type="spellEnd"/>
            <w:r w:rsidRPr="004D22A8">
              <w:rPr>
                <w:rFonts w:ascii="Calibri" w:hAnsi="Calibri" w:cs="Calibri"/>
                <w:b/>
                <w:bCs/>
                <w:color w:val="FFFFFF" w:themeColor="background1"/>
                <w:sz w:val="18"/>
                <w:szCs w:val="18"/>
              </w:rPr>
              <w:t xml:space="preserve"> (</w:t>
            </w:r>
            <w:r w:rsidR="004402F6" w:rsidRPr="004D22A8">
              <w:rPr>
                <w:rFonts w:ascii="Calibri" w:hAnsi="Calibri" w:cs="Calibri"/>
                <w:b/>
                <w:bCs/>
                <w:color w:val="FFFFFF" w:themeColor="background1"/>
                <w:sz w:val="18"/>
                <w:szCs w:val="18"/>
              </w:rPr>
              <w:t>t</w:t>
            </w:r>
            <w:r w:rsidRPr="004D22A8">
              <w:rPr>
                <w:rFonts w:ascii="Calibri" w:hAnsi="Calibri" w:cs="Calibri"/>
                <w:b/>
                <w:bCs/>
                <w:color w:val="FFFFFF" w:themeColor="background1"/>
                <w:sz w:val="18"/>
                <w:szCs w:val="18"/>
              </w:rPr>
              <w:t>able 1) (m)</w:t>
            </w:r>
          </w:p>
        </w:tc>
        <w:tc>
          <w:tcPr>
            <w:tcW w:w="850" w:type="pct"/>
            <w:shd w:val="clear" w:color="auto" w:fill="1B556B" w:themeFill="text2"/>
            <w:hideMark/>
          </w:tcPr>
          <w:p w14:paraId="37DDFD4E" w14:textId="77777777" w:rsidR="00304083" w:rsidRPr="004D22A8" w:rsidRDefault="00304083" w:rsidP="00304083">
            <w:pPr>
              <w:spacing w:after="0" w:line="240" w:lineRule="auto"/>
              <w:jc w:val="left"/>
              <w:rPr>
                <w:rFonts w:ascii="Calibri" w:hAnsi="Calibri" w:cs="Calibri"/>
                <w:b/>
                <w:bCs/>
                <w:color w:val="FFFFFF" w:themeColor="background1"/>
                <w:sz w:val="18"/>
                <w:szCs w:val="18"/>
              </w:rPr>
            </w:pPr>
            <w:r w:rsidRPr="004D22A8">
              <w:rPr>
                <w:rFonts w:ascii="Calibri" w:hAnsi="Calibri" w:cs="Calibri"/>
                <w:b/>
                <w:bCs/>
                <w:color w:val="FFFFFF" w:themeColor="background1"/>
                <w:sz w:val="18"/>
                <w:szCs w:val="18"/>
              </w:rPr>
              <w:t xml:space="preserve">Difference                </w:t>
            </w:r>
            <w:proofErr w:type="gramStart"/>
            <w:r w:rsidRPr="004D22A8">
              <w:rPr>
                <w:rFonts w:ascii="Calibri" w:hAnsi="Calibri" w:cs="Calibri"/>
                <w:b/>
                <w:bCs/>
                <w:color w:val="FFFFFF" w:themeColor="background1"/>
                <w:sz w:val="18"/>
                <w:szCs w:val="18"/>
              </w:rPr>
              <w:t xml:space="preserve">   (</w:t>
            </w:r>
            <w:proofErr w:type="gramEnd"/>
            <w:r w:rsidRPr="004D22A8">
              <w:rPr>
                <w:rFonts w:ascii="Calibri" w:hAnsi="Calibri" w:cs="Calibri"/>
                <w:b/>
                <w:bCs/>
                <w:color w:val="FFFFFF" w:themeColor="background1"/>
                <w:sz w:val="18"/>
                <w:szCs w:val="18"/>
              </w:rPr>
              <w:t>m)</w:t>
            </w:r>
          </w:p>
        </w:tc>
      </w:tr>
      <w:tr w:rsidR="00304083" w14:paraId="0A284D35" w14:textId="77777777" w:rsidTr="00085966">
        <w:tc>
          <w:tcPr>
            <w:tcW w:w="1224" w:type="pct"/>
            <w:hideMark/>
          </w:tcPr>
          <w:p w14:paraId="1BF8B23D" w14:textId="77777777" w:rsidR="00304083" w:rsidRPr="004D22A8" w:rsidRDefault="00304083" w:rsidP="00304083">
            <w:pPr>
              <w:pStyle w:val="TableText"/>
              <w:rPr>
                <w:rFonts w:ascii="Calibri" w:hAnsi="Calibri" w:cs="Calibri"/>
              </w:rPr>
            </w:pPr>
            <w:r w:rsidRPr="004D22A8">
              <w:rPr>
                <w:rFonts w:ascii="Calibri" w:hAnsi="Calibri" w:cs="Calibri"/>
              </w:rPr>
              <w:t>NZ RCP2.6 M</w:t>
            </w:r>
          </w:p>
        </w:tc>
        <w:tc>
          <w:tcPr>
            <w:tcW w:w="1322" w:type="pct"/>
            <w:hideMark/>
          </w:tcPr>
          <w:p w14:paraId="2EDA8229" w14:textId="77777777" w:rsidR="00304083" w:rsidRPr="004D22A8" w:rsidRDefault="00304083" w:rsidP="00304083">
            <w:pPr>
              <w:pStyle w:val="TableText"/>
              <w:rPr>
                <w:rFonts w:ascii="Calibri" w:hAnsi="Calibri" w:cs="Calibri"/>
              </w:rPr>
            </w:pPr>
            <w:r w:rsidRPr="004D22A8">
              <w:rPr>
                <w:rFonts w:ascii="Calibri" w:hAnsi="Calibri" w:cs="Calibri"/>
              </w:rPr>
              <w:t>0.55</w:t>
            </w:r>
          </w:p>
        </w:tc>
        <w:tc>
          <w:tcPr>
            <w:tcW w:w="1604" w:type="pct"/>
            <w:hideMark/>
          </w:tcPr>
          <w:p w14:paraId="0FC03AFC" w14:textId="77777777" w:rsidR="00304083" w:rsidRPr="004D22A8" w:rsidRDefault="00304083" w:rsidP="00304083">
            <w:pPr>
              <w:pStyle w:val="TableText"/>
              <w:rPr>
                <w:rFonts w:ascii="Calibri" w:hAnsi="Calibri" w:cs="Calibri"/>
              </w:rPr>
            </w:pPr>
            <w:r w:rsidRPr="004D22A8">
              <w:rPr>
                <w:rFonts w:ascii="Calibri" w:hAnsi="Calibri" w:cs="Calibri"/>
              </w:rPr>
              <w:t>0.58</w:t>
            </w:r>
          </w:p>
        </w:tc>
        <w:tc>
          <w:tcPr>
            <w:tcW w:w="850" w:type="pct"/>
            <w:hideMark/>
          </w:tcPr>
          <w:p w14:paraId="5CA39216" w14:textId="77777777" w:rsidR="00304083" w:rsidRPr="004D22A8" w:rsidRDefault="00304083" w:rsidP="00304083">
            <w:pPr>
              <w:pStyle w:val="TableText"/>
              <w:rPr>
                <w:rFonts w:ascii="Calibri" w:hAnsi="Calibri" w:cs="Calibri"/>
              </w:rPr>
            </w:pPr>
            <w:r w:rsidRPr="004D22A8">
              <w:rPr>
                <w:rFonts w:ascii="Calibri" w:hAnsi="Calibri" w:cs="Calibri"/>
              </w:rPr>
              <w:t>0.03 ↑</w:t>
            </w:r>
          </w:p>
        </w:tc>
      </w:tr>
      <w:tr w:rsidR="00304083" w14:paraId="3C0D1C85" w14:textId="77777777" w:rsidTr="00085966">
        <w:tc>
          <w:tcPr>
            <w:tcW w:w="1224" w:type="pct"/>
            <w:hideMark/>
          </w:tcPr>
          <w:p w14:paraId="47269D5B" w14:textId="77777777" w:rsidR="00304083" w:rsidRPr="004D22A8" w:rsidRDefault="00304083" w:rsidP="00304083">
            <w:pPr>
              <w:pStyle w:val="TableText"/>
              <w:rPr>
                <w:rFonts w:ascii="Calibri" w:hAnsi="Calibri" w:cs="Calibri"/>
              </w:rPr>
            </w:pPr>
            <w:r w:rsidRPr="004D22A8">
              <w:rPr>
                <w:rFonts w:ascii="Calibri" w:hAnsi="Calibri" w:cs="Calibri"/>
              </w:rPr>
              <w:t>NZ RCP4.5 M</w:t>
            </w:r>
          </w:p>
        </w:tc>
        <w:tc>
          <w:tcPr>
            <w:tcW w:w="1322" w:type="pct"/>
            <w:hideMark/>
          </w:tcPr>
          <w:p w14:paraId="2F6F8141" w14:textId="77777777" w:rsidR="00304083" w:rsidRPr="004D22A8" w:rsidRDefault="00304083" w:rsidP="00304083">
            <w:pPr>
              <w:pStyle w:val="TableText"/>
              <w:rPr>
                <w:rFonts w:ascii="Calibri" w:hAnsi="Calibri" w:cs="Calibri"/>
              </w:rPr>
            </w:pPr>
            <w:r w:rsidRPr="004D22A8">
              <w:rPr>
                <w:rFonts w:ascii="Calibri" w:hAnsi="Calibri" w:cs="Calibri"/>
              </w:rPr>
              <w:t>0.67</w:t>
            </w:r>
          </w:p>
        </w:tc>
        <w:tc>
          <w:tcPr>
            <w:tcW w:w="1604" w:type="pct"/>
            <w:hideMark/>
          </w:tcPr>
          <w:p w14:paraId="63BE623E" w14:textId="77777777" w:rsidR="00304083" w:rsidRPr="004D22A8" w:rsidRDefault="00304083" w:rsidP="00304083">
            <w:pPr>
              <w:pStyle w:val="TableText"/>
              <w:rPr>
                <w:rFonts w:ascii="Calibri" w:hAnsi="Calibri" w:cs="Calibri"/>
              </w:rPr>
            </w:pPr>
            <w:r w:rsidRPr="004D22A8">
              <w:rPr>
                <w:rFonts w:ascii="Calibri" w:hAnsi="Calibri" w:cs="Calibri"/>
              </w:rPr>
              <w:t>0.77</w:t>
            </w:r>
          </w:p>
        </w:tc>
        <w:tc>
          <w:tcPr>
            <w:tcW w:w="850" w:type="pct"/>
            <w:hideMark/>
          </w:tcPr>
          <w:p w14:paraId="19CBD73E" w14:textId="77777777" w:rsidR="00304083" w:rsidRPr="004D22A8" w:rsidRDefault="00304083" w:rsidP="00304083">
            <w:pPr>
              <w:pStyle w:val="TableText"/>
              <w:rPr>
                <w:rFonts w:ascii="Calibri" w:hAnsi="Calibri" w:cs="Calibri"/>
              </w:rPr>
            </w:pPr>
            <w:r w:rsidRPr="004D22A8">
              <w:rPr>
                <w:rFonts w:ascii="Calibri" w:hAnsi="Calibri" w:cs="Calibri"/>
              </w:rPr>
              <w:t>0.10 ↑</w:t>
            </w:r>
          </w:p>
        </w:tc>
      </w:tr>
      <w:tr w:rsidR="00304083" w14:paraId="5C9E62C1" w14:textId="77777777" w:rsidTr="00085966">
        <w:tc>
          <w:tcPr>
            <w:tcW w:w="1224" w:type="pct"/>
            <w:hideMark/>
          </w:tcPr>
          <w:p w14:paraId="5E0C0098" w14:textId="77777777" w:rsidR="00304083" w:rsidRPr="004D22A8" w:rsidRDefault="00304083" w:rsidP="00304083">
            <w:pPr>
              <w:pStyle w:val="TableText"/>
              <w:rPr>
                <w:rFonts w:ascii="Calibri" w:hAnsi="Calibri" w:cs="Calibri"/>
              </w:rPr>
            </w:pPr>
            <w:r w:rsidRPr="004D22A8">
              <w:rPr>
                <w:rFonts w:ascii="Calibri" w:hAnsi="Calibri" w:cs="Calibri"/>
              </w:rPr>
              <w:t>NZ RCP8.5 M</w:t>
            </w:r>
          </w:p>
        </w:tc>
        <w:tc>
          <w:tcPr>
            <w:tcW w:w="1322" w:type="pct"/>
            <w:hideMark/>
          </w:tcPr>
          <w:p w14:paraId="0D7F9EBD" w14:textId="77777777" w:rsidR="00304083" w:rsidRPr="004D22A8" w:rsidRDefault="00304083" w:rsidP="00304083">
            <w:pPr>
              <w:pStyle w:val="TableText"/>
              <w:rPr>
                <w:rFonts w:ascii="Calibri" w:hAnsi="Calibri" w:cs="Calibri"/>
              </w:rPr>
            </w:pPr>
            <w:r w:rsidRPr="004D22A8">
              <w:rPr>
                <w:rFonts w:ascii="Calibri" w:hAnsi="Calibri" w:cs="Calibri"/>
              </w:rPr>
              <w:t>1.06</w:t>
            </w:r>
          </w:p>
        </w:tc>
        <w:tc>
          <w:tcPr>
            <w:tcW w:w="1604" w:type="pct"/>
            <w:hideMark/>
          </w:tcPr>
          <w:p w14:paraId="73F97221" w14:textId="77777777" w:rsidR="00304083" w:rsidRPr="004D22A8" w:rsidRDefault="00304083" w:rsidP="00304083">
            <w:pPr>
              <w:pStyle w:val="TableText"/>
              <w:rPr>
                <w:rFonts w:ascii="Calibri" w:hAnsi="Calibri" w:cs="Calibri"/>
              </w:rPr>
            </w:pPr>
            <w:r w:rsidRPr="004D22A8">
              <w:rPr>
                <w:rFonts w:ascii="Calibri" w:hAnsi="Calibri" w:cs="Calibri"/>
              </w:rPr>
              <w:t>1.11</w:t>
            </w:r>
          </w:p>
        </w:tc>
        <w:tc>
          <w:tcPr>
            <w:tcW w:w="850" w:type="pct"/>
            <w:hideMark/>
          </w:tcPr>
          <w:p w14:paraId="439C420A" w14:textId="77777777" w:rsidR="00304083" w:rsidRPr="004D22A8" w:rsidRDefault="00304083" w:rsidP="00304083">
            <w:pPr>
              <w:pStyle w:val="TableText"/>
              <w:rPr>
                <w:rFonts w:ascii="Calibri" w:hAnsi="Calibri" w:cs="Calibri"/>
              </w:rPr>
            </w:pPr>
            <w:r w:rsidRPr="004D22A8">
              <w:rPr>
                <w:rFonts w:ascii="Calibri" w:hAnsi="Calibri" w:cs="Calibri"/>
              </w:rPr>
              <w:t>0.05 ↑</w:t>
            </w:r>
          </w:p>
        </w:tc>
      </w:tr>
      <w:tr w:rsidR="00304083" w14:paraId="07F76904" w14:textId="77777777" w:rsidTr="00085966">
        <w:tc>
          <w:tcPr>
            <w:tcW w:w="1224" w:type="pct"/>
            <w:hideMark/>
          </w:tcPr>
          <w:p w14:paraId="433F803F" w14:textId="77777777" w:rsidR="00304083" w:rsidRPr="004D22A8" w:rsidRDefault="00304083" w:rsidP="00304083">
            <w:pPr>
              <w:pStyle w:val="TableText"/>
              <w:rPr>
                <w:rFonts w:ascii="Calibri" w:hAnsi="Calibri" w:cs="Calibri"/>
              </w:rPr>
            </w:pPr>
            <w:r w:rsidRPr="004D22A8">
              <w:rPr>
                <w:rFonts w:ascii="Calibri" w:hAnsi="Calibri" w:cs="Calibri"/>
              </w:rPr>
              <w:t>NZ RCP8.5 H</w:t>
            </w:r>
            <w:r w:rsidRPr="004D22A8">
              <w:rPr>
                <w:rFonts w:ascii="Calibri" w:hAnsi="Calibri" w:cs="Calibri"/>
                <w:vertAlign w:val="superscript"/>
              </w:rPr>
              <w:t>+</w:t>
            </w:r>
          </w:p>
        </w:tc>
        <w:tc>
          <w:tcPr>
            <w:tcW w:w="1322" w:type="pct"/>
            <w:hideMark/>
          </w:tcPr>
          <w:p w14:paraId="7627CD92" w14:textId="77777777" w:rsidR="00304083" w:rsidRPr="004D22A8" w:rsidRDefault="00304083" w:rsidP="00304083">
            <w:pPr>
              <w:pStyle w:val="TableText"/>
              <w:rPr>
                <w:rFonts w:ascii="Calibri" w:hAnsi="Calibri" w:cs="Calibri"/>
              </w:rPr>
            </w:pPr>
            <w:r w:rsidRPr="004D22A8">
              <w:rPr>
                <w:rFonts w:ascii="Calibri" w:hAnsi="Calibri" w:cs="Calibri"/>
              </w:rPr>
              <w:t>1.36</w:t>
            </w:r>
          </w:p>
        </w:tc>
        <w:tc>
          <w:tcPr>
            <w:tcW w:w="1604" w:type="pct"/>
            <w:hideMark/>
          </w:tcPr>
          <w:p w14:paraId="70064E53" w14:textId="77777777" w:rsidR="00304083" w:rsidRPr="004D22A8" w:rsidRDefault="00304083" w:rsidP="00304083">
            <w:pPr>
              <w:pStyle w:val="TableText"/>
              <w:rPr>
                <w:rFonts w:ascii="Calibri" w:hAnsi="Calibri" w:cs="Calibri"/>
              </w:rPr>
            </w:pPr>
            <w:r w:rsidRPr="004D22A8">
              <w:rPr>
                <w:rFonts w:ascii="Calibri" w:hAnsi="Calibri" w:cs="Calibri"/>
              </w:rPr>
              <w:t>1.50</w:t>
            </w:r>
          </w:p>
        </w:tc>
        <w:tc>
          <w:tcPr>
            <w:tcW w:w="850" w:type="pct"/>
            <w:hideMark/>
          </w:tcPr>
          <w:p w14:paraId="3CF7C2C2" w14:textId="77777777" w:rsidR="00304083" w:rsidRPr="004D22A8" w:rsidRDefault="00304083" w:rsidP="00304083">
            <w:pPr>
              <w:pStyle w:val="TableText"/>
              <w:rPr>
                <w:rFonts w:ascii="Calibri" w:hAnsi="Calibri" w:cs="Calibri"/>
              </w:rPr>
            </w:pPr>
            <w:r w:rsidRPr="004D22A8">
              <w:rPr>
                <w:rFonts w:ascii="Calibri" w:hAnsi="Calibri" w:cs="Calibri"/>
              </w:rPr>
              <w:t>0.14 ↑</w:t>
            </w:r>
          </w:p>
        </w:tc>
      </w:tr>
    </w:tbl>
    <w:p w14:paraId="51DEA5EE" w14:textId="0B227AA9" w:rsidR="009144E6" w:rsidRDefault="009144E6" w:rsidP="009144E6">
      <w:pPr>
        <w:pStyle w:val="Note"/>
      </w:pPr>
      <w:r w:rsidRPr="009144E6">
        <w:rPr>
          <w:b/>
          <w:bCs/>
        </w:rPr>
        <w:t xml:space="preserve">Note </w:t>
      </w:r>
      <w:r w:rsidR="009227CA">
        <w:rPr>
          <w:b/>
          <w:bCs/>
        </w:rPr>
        <w:t>for</w:t>
      </w:r>
      <w:r w:rsidR="009227CA" w:rsidRPr="009144E6">
        <w:rPr>
          <w:b/>
          <w:bCs/>
        </w:rPr>
        <w:t xml:space="preserve"> </w:t>
      </w:r>
      <w:r w:rsidR="009227CA">
        <w:rPr>
          <w:b/>
          <w:bCs/>
        </w:rPr>
        <w:t>t</w:t>
      </w:r>
      <w:r w:rsidRPr="009144E6">
        <w:rPr>
          <w:b/>
          <w:bCs/>
        </w:rPr>
        <w:t>able A-1:</w:t>
      </w:r>
      <w:r>
        <w:t xml:space="preserve"> The new projections are zeroed to the previous time base (1986</w:t>
      </w:r>
      <w:r w:rsidR="0031019D" w:rsidRPr="0031019D">
        <w:t>–</w:t>
      </w:r>
      <w:r>
        <w:t xml:space="preserve">2005) used in the 2017 </w:t>
      </w:r>
      <w:r w:rsidR="00265CA8">
        <w:t>coastal hazards</w:t>
      </w:r>
      <w:r>
        <w:t xml:space="preserve"> guidance, so an offset of 0.03</w:t>
      </w:r>
      <w:r w:rsidR="004402F6">
        <w:t xml:space="preserve"> </w:t>
      </w:r>
      <w:r>
        <w:t xml:space="preserve">m has been added to the latest projections for 2120 from </w:t>
      </w:r>
      <w:hyperlink w:anchor="table1" w:history="1">
        <w:r w:rsidR="004402F6" w:rsidRPr="0031019D">
          <w:rPr>
            <w:rStyle w:val="Hyperlink"/>
            <w:bCs/>
          </w:rPr>
          <w:t>t</w:t>
        </w:r>
        <w:r w:rsidRPr="0031019D">
          <w:rPr>
            <w:rStyle w:val="Hyperlink"/>
            <w:bCs/>
          </w:rPr>
          <w:t>able 1</w:t>
        </w:r>
      </w:hyperlink>
      <w:r>
        <w:t>.</w:t>
      </w:r>
    </w:p>
    <w:p w14:paraId="2AF39389" w14:textId="1945CF02" w:rsidR="00304083" w:rsidRDefault="00304083" w:rsidP="00241304">
      <w:pPr>
        <w:pStyle w:val="BodyText"/>
      </w:pPr>
      <w:r>
        <w:t xml:space="preserve">The national projections in the 2017 </w:t>
      </w:r>
      <w:r w:rsidR="00265CA8">
        <w:t>coastal hazards</w:t>
      </w:r>
      <w:r>
        <w:t xml:space="preserve"> guidance were derived from the previous 2013 IPCC AR5 assessment, </w:t>
      </w:r>
      <w:r w:rsidR="004402F6">
        <w:t xml:space="preserve">with </w:t>
      </w:r>
      <w:r>
        <w:t xml:space="preserve">an additional offset to account for the slightly higher sea-level rise projected for the SW Pacific Ocean, compared to the global MSL (GMSL) that IPCC reports on. Regional offsets from the global mean are now automatically accounted for in the simulations used for the </w:t>
      </w:r>
      <w:proofErr w:type="spellStart"/>
      <w:r>
        <w:t>NZSeaRise</w:t>
      </w:r>
      <w:proofErr w:type="spellEnd"/>
      <w:r>
        <w:t xml:space="preserve"> projections (Naish et al, submitted</w:t>
      </w:r>
      <w:r w:rsidR="004402F6">
        <w:t>).</w:t>
      </w:r>
      <w:r>
        <w:t xml:space="preserve"> </w:t>
      </w:r>
    </w:p>
    <w:p w14:paraId="5D6FCA7B" w14:textId="2152BA38" w:rsidR="00304083" w:rsidRDefault="00304083" w:rsidP="00241304">
      <w:pPr>
        <w:pStyle w:val="BodyText"/>
      </w:pPr>
      <w:r>
        <w:rPr>
          <w:b/>
          <w:bCs/>
        </w:rPr>
        <w:t>Figure A-1</w:t>
      </w:r>
      <w:r>
        <w:t xml:space="preserve"> shows two of the latest sets of </w:t>
      </w:r>
      <w:proofErr w:type="spellStart"/>
      <w:r>
        <w:t>NZSeaRise</w:t>
      </w:r>
      <w:proofErr w:type="spellEnd"/>
      <w:r>
        <w:t xml:space="preserve"> projections (excluding VLM) from </w:t>
      </w:r>
      <w:r w:rsidR="009266AD">
        <w:t>six</w:t>
      </w:r>
      <w:r>
        <w:t xml:space="preserve"> locations </w:t>
      </w:r>
      <w:r w:rsidR="009266AD">
        <w:t>around Aotearoa New Zealand</w:t>
      </w:r>
      <w:r>
        <w:t xml:space="preserve">, </w:t>
      </w:r>
      <w:proofErr w:type="gramStart"/>
      <w:r>
        <w:t>and also</w:t>
      </w:r>
      <w:proofErr w:type="gramEnd"/>
      <w:r>
        <w:t xml:space="preserve"> compared to the AR6 GMSL projections from Fox-Kemper et al (2021). This additional offset of Aotearoa’s sea-level rise from the global</w:t>
      </w:r>
      <w:r w:rsidR="009266AD">
        <w:t xml:space="preserve"> </w:t>
      </w:r>
      <w:r>
        <w:t xml:space="preserve">average projections remains, more so for the higher-emissions scenarios. The new </w:t>
      </w:r>
      <w:proofErr w:type="spellStart"/>
      <w:r>
        <w:t>NZSeaRise</w:t>
      </w:r>
      <w:proofErr w:type="spellEnd"/>
      <w:r>
        <w:t xml:space="preserve"> projections also show a small variation in regional projections, with slightly lower sea-level rise in the south. This pattern is mainly the result of the gravitational fingerprint effect</w:t>
      </w:r>
      <w:r>
        <w:rPr>
          <w:rStyle w:val="FootnoteReference"/>
        </w:rPr>
        <w:footnoteReference w:id="16"/>
      </w:r>
      <w:r>
        <w:t xml:space="preserve"> (Naish et al, submitted</w:t>
      </w:r>
      <w:r w:rsidR="009266AD">
        <w:t>).</w:t>
      </w:r>
    </w:p>
    <w:p w14:paraId="6A0A4EAA" w14:textId="2C9265FF" w:rsidR="003E24D2" w:rsidRDefault="003E24D2" w:rsidP="003E24D2">
      <w:pPr>
        <w:pStyle w:val="Figureheading"/>
      </w:pPr>
      <w:bookmarkStart w:id="69" w:name="_Toc109809106"/>
      <w:r>
        <w:t xml:space="preserve">Figure A-1: </w:t>
      </w:r>
      <w:r w:rsidR="00C60B81">
        <w:tab/>
        <w:t xml:space="preserve">Comparison of the new </w:t>
      </w:r>
      <w:proofErr w:type="spellStart"/>
      <w:r w:rsidR="00C60B81">
        <w:t>NZSeaRise</w:t>
      </w:r>
      <w:proofErr w:type="spellEnd"/>
      <w:r w:rsidR="00C60B81">
        <w:t xml:space="preserve"> projections (excluding VLM) for SSP2-4.5 M and SSP5-8.5 M for six locations with the equivalent global</w:t>
      </w:r>
      <w:r w:rsidR="009266AD">
        <w:t xml:space="preserve"> </w:t>
      </w:r>
      <w:r w:rsidR="00C60B81">
        <w:t>average GMSL from IPCC AR6</w:t>
      </w:r>
      <w:bookmarkEnd w:id="69"/>
    </w:p>
    <w:p w14:paraId="24B7B71D" w14:textId="5DAECFD3" w:rsidR="00304083" w:rsidRDefault="00304083" w:rsidP="00304083">
      <w:r>
        <w:rPr>
          <w:noProof/>
        </w:rPr>
        <w:drawing>
          <wp:inline distT="0" distB="0" distL="0" distR="0" wp14:anchorId="17E20AFB" wp14:editId="3B113F55">
            <wp:extent cx="5400675" cy="2826385"/>
            <wp:effectExtent l="0" t="0" r="9525" b="0"/>
            <wp:docPr id="6" name="Picture 6" descr="The first of two line graphs showing projected relative sea-level rise in metres under scenario SSP2–4.5 with no vertical land movement at six locations in New Zealand. The graphs range from 2000 to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first of two line graphs showing projected relative sea-level rise in metres under scenario SSP2–4.5 with no vertical land movement at six locations in New Zealand. The graphs range from 2000 to 216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2826385"/>
                    </a:xfrm>
                    <a:prstGeom prst="rect">
                      <a:avLst/>
                    </a:prstGeom>
                    <a:noFill/>
                    <a:ln>
                      <a:noFill/>
                    </a:ln>
                  </pic:spPr>
                </pic:pic>
              </a:graphicData>
            </a:graphic>
          </wp:inline>
        </w:drawing>
      </w:r>
    </w:p>
    <w:p w14:paraId="1667B5E9" w14:textId="192EB4A4" w:rsidR="00304083" w:rsidRDefault="00304083" w:rsidP="00304083">
      <w:r>
        <w:rPr>
          <w:noProof/>
        </w:rPr>
        <w:drawing>
          <wp:inline distT="0" distB="0" distL="0" distR="0" wp14:anchorId="2FD4C727" wp14:editId="2F57F86E">
            <wp:extent cx="5400675" cy="2826385"/>
            <wp:effectExtent l="0" t="0" r="9525" b="0"/>
            <wp:docPr id="11" name="Picture 11" descr="The second of two line graphs showing projected relative sea-level rise in metres under scenario SSP2–4.5 with no vertical land movement at six locations in New Zealand. The graphs range from 2000 to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second of two line graphs showing projected relative sea-level rise in metres under scenario SSP2–4.5 with no vertical land movement at six locations in New Zealand. The graphs range from 2000 to 216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2826385"/>
                    </a:xfrm>
                    <a:prstGeom prst="rect">
                      <a:avLst/>
                    </a:prstGeom>
                    <a:noFill/>
                    <a:ln>
                      <a:noFill/>
                    </a:ln>
                  </pic:spPr>
                </pic:pic>
              </a:graphicData>
            </a:graphic>
          </wp:inline>
        </w:drawing>
      </w:r>
    </w:p>
    <w:p w14:paraId="4E791A9A" w14:textId="28655F76" w:rsidR="00304083" w:rsidRDefault="00C60B81" w:rsidP="00C60B81">
      <w:pPr>
        <w:pStyle w:val="Note"/>
        <w:rPr>
          <w:rFonts w:asciiTheme="minorHAnsi" w:hAnsiTheme="minorHAnsi"/>
        </w:rPr>
      </w:pPr>
      <w:r>
        <w:rPr>
          <w:b/>
          <w:bCs/>
        </w:rPr>
        <w:t xml:space="preserve">Notes for </w:t>
      </w:r>
      <w:r w:rsidR="00304083">
        <w:rPr>
          <w:b/>
        </w:rPr>
        <w:t>Figure A-1:</w:t>
      </w:r>
      <w:r w:rsidR="00304083">
        <w:t xml:space="preserve"> Comparison of the new </w:t>
      </w:r>
      <w:proofErr w:type="spellStart"/>
      <w:r w:rsidR="00304083">
        <w:t>NZSeaRise</w:t>
      </w:r>
      <w:proofErr w:type="spellEnd"/>
      <w:r w:rsidR="00304083">
        <w:t xml:space="preserve"> projections (excluding VLM) for SSP2-4.5 M (top panel) and SSP5-8.5 M (bottom panel) for </w:t>
      </w:r>
      <w:r w:rsidR="009266AD">
        <w:t>six New Zealand</w:t>
      </w:r>
      <w:r w:rsidR="00304083">
        <w:t xml:space="preserve"> locations (north to south) with the matching equivalent global</w:t>
      </w:r>
      <w:r w:rsidR="009266AD">
        <w:t xml:space="preserve"> </w:t>
      </w:r>
      <w:r w:rsidR="00304083">
        <w:t>average GMSL from IPCC AR6 (dotted line) for a common zero baseline period (1995</w:t>
      </w:r>
      <w:r w:rsidR="0031019D" w:rsidRPr="0031019D">
        <w:t>–</w:t>
      </w:r>
      <w:r w:rsidR="00304083">
        <w:t xml:space="preserve">2014). </w:t>
      </w:r>
      <w:r w:rsidR="00304083">
        <w:rPr>
          <w:i/>
        </w:rPr>
        <w:t>Source</w:t>
      </w:r>
      <w:r w:rsidR="00304083">
        <w:t>:</w:t>
      </w:r>
      <w:r w:rsidR="00304083" w:rsidRPr="0050710A">
        <w:rPr>
          <w:i/>
          <w:iCs/>
        </w:rPr>
        <w:t xml:space="preserve"> </w:t>
      </w:r>
      <w:proofErr w:type="spellStart"/>
      <w:r w:rsidR="00304083" w:rsidRPr="0050710A">
        <w:rPr>
          <w:i/>
          <w:iCs/>
        </w:rPr>
        <w:t>Takiwā</w:t>
      </w:r>
      <w:proofErr w:type="spellEnd"/>
      <w:r w:rsidR="00304083" w:rsidRPr="0050710A">
        <w:rPr>
          <w:i/>
          <w:iCs/>
        </w:rPr>
        <w:t xml:space="preserve"> platform and GMSL from Fox-Kemper et al (2021).</w:t>
      </w:r>
    </w:p>
    <w:p w14:paraId="06991D68" w14:textId="77777777" w:rsidR="00304083" w:rsidRDefault="00304083">
      <w:pPr>
        <w:spacing w:before="0" w:after="200" w:line="276" w:lineRule="auto"/>
        <w:jc w:val="left"/>
      </w:pPr>
      <w:r>
        <w:br w:type="page"/>
      </w:r>
    </w:p>
    <w:p w14:paraId="748825D1" w14:textId="05D604B0" w:rsidR="00304083" w:rsidRDefault="00304083" w:rsidP="00304083">
      <w:pPr>
        <w:pStyle w:val="Heading1"/>
      </w:pPr>
      <w:bookmarkStart w:id="70" w:name="_Appendix_B"/>
      <w:bookmarkStart w:id="71" w:name="_Toc109397589"/>
      <w:bookmarkStart w:id="72" w:name="_Toc109809091"/>
      <w:bookmarkEnd w:id="70"/>
      <w:r>
        <w:t>Appendix B</w:t>
      </w:r>
      <w:bookmarkEnd w:id="71"/>
      <w:bookmarkEnd w:id="72"/>
    </w:p>
    <w:p w14:paraId="17D7E373" w14:textId="77777777" w:rsidR="00304083" w:rsidRPr="00E6050F" w:rsidRDefault="00304083" w:rsidP="00E6050F">
      <w:pPr>
        <w:pStyle w:val="BodyText"/>
        <w:rPr>
          <w:b/>
          <w:bCs/>
        </w:rPr>
      </w:pPr>
      <w:r w:rsidRPr="00E6050F">
        <w:rPr>
          <w:b/>
          <w:bCs/>
        </w:rPr>
        <w:t>Converting sea-level rise projections between IPCC AR5 and AR6 zero baselines</w:t>
      </w:r>
    </w:p>
    <w:p w14:paraId="503D6295" w14:textId="747ECCC8" w:rsidR="00304083" w:rsidRDefault="00304083" w:rsidP="00E6050F">
      <w:pPr>
        <w:pStyle w:val="BodyText"/>
      </w:pPr>
      <w:r>
        <w:t xml:space="preserve">Projections of sea-level rise from the previous IPCC AR5 WGI Report (Church et al, 2013) and the 2017 </w:t>
      </w:r>
      <w:r w:rsidR="00265CA8">
        <w:t>coastal hazards</w:t>
      </w:r>
      <w:r>
        <w:t xml:space="preserve"> coastal guidance projections used a zero baseline of MSL averaged over </w:t>
      </w:r>
      <w:r w:rsidR="009266AD">
        <w:t>the</w:t>
      </w:r>
      <w:r>
        <w:t xml:space="preserve"> 20-year period </w:t>
      </w:r>
      <w:r w:rsidR="009266AD" w:rsidRPr="009266AD">
        <w:t xml:space="preserve">of </w:t>
      </w:r>
      <w:r w:rsidRPr="002D3A0B">
        <w:t>1986</w:t>
      </w:r>
      <w:r w:rsidR="008D7104" w:rsidRPr="008D7104">
        <w:t>–</w:t>
      </w:r>
      <w:r w:rsidRPr="002D3A0B">
        <w:t>2005</w:t>
      </w:r>
      <w:r>
        <w:t>.</w:t>
      </w:r>
    </w:p>
    <w:p w14:paraId="5DFBC39F" w14:textId="62F3575D" w:rsidR="00304083" w:rsidRDefault="00304083" w:rsidP="00E6050F">
      <w:pPr>
        <w:pStyle w:val="BodyText"/>
      </w:pPr>
      <w:r>
        <w:t xml:space="preserve">The updated IPCC AR6 Working Group I and the </w:t>
      </w:r>
      <w:proofErr w:type="spellStart"/>
      <w:r>
        <w:t>NZSeaRise</w:t>
      </w:r>
      <w:proofErr w:type="spellEnd"/>
      <w:r>
        <w:t xml:space="preserve"> projections on </w:t>
      </w:r>
      <w:proofErr w:type="spellStart"/>
      <w:r>
        <w:t>Takiwā</w:t>
      </w:r>
      <w:proofErr w:type="spellEnd"/>
      <w:r>
        <w:t xml:space="preserve"> use a more recent 20-year baseline of </w:t>
      </w:r>
      <w:r w:rsidRPr="002D3A0B">
        <w:t>1995</w:t>
      </w:r>
      <w:r w:rsidR="008D7104" w:rsidRPr="008D7104">
        <w:t>–</w:t>
      </w:r>
      <w:r w:rsidRPr="002D3A0B">
        <w:t>2014</w:t>
      </w:r>
      <w:r>
        <w:t>, which shift</w:t>
      </w:r>
      <w:r w:rsidR="009266AD">
        <w:t>s the mid-point</w:t>
      </w:r>
      <w:r>
        <w:t xml:space="preserve"> forward by a decade</w:t>
      </w:r>
      <w:r w:rsidDel="009266AD">
        <w:t xml:space="preserve"> </w:t>
      </w:r>
      <w:r w:rsidR="009266AD">
        <w:t>to</w:t>
      </w:r>
      <w:r>
        <w:t xml:space="preserve"> 2005</w:t>
      </w:r>
      <w:r w:rsidR="009266AD">
        <w:t>. This</w:t>
      </w:r>
      <w:r>
        <w:t xml:space="preserve"> is the zero point in the projection graphs in </w:t>
      </w:r>
      <w:proofErr w:type="spellStart"/>
      <w:r>
        <w:t>Takiwā</w:t>
      </w:r>
      <w:proofErr w:type="spellEnd"/>
      <w:r>
        <w:t>.</w:t>
      </w:r>
    </w:p>
    <w:p w14:paraId="1E8C8E45" w14:textId="5B35536A" w:rsidR="00304083" w:rsidRDefault="00304083" w:rsidP="00E6050F">
      <w:pPr>
        <w:pStyle w:val="BodyText"/>
      </w:pPr>
      <w:r>
        <w:t>The increase in average MSL over the decade between the two baseline periods is 0.03</w:t>
      </w:r>
      <w:r w:rsidR="009266AD">
        <w:t xml:space="preserve"> </w:t>
      </w:r>
      <w:r>
        <w:t>m globally (Fox-Kemper et al, 2021)</w:t>
      </w:r>
      <w:r w:rsidR="002E2453">
        <w:t xml:space="preserve">, which is </w:t>
      </w:r>
      <w:r>
        <w:t>the same as the national</w:t>
      </w:r>
      <w:r w:rsidR="002E2453">
        <w:t xml:space="preserve"> </w:t>
      </w:r>
      <w:r>
        <w:t>average for MSL differences between these two baselines at our major tide-gauge records in New Zealand.</w:t>
      </w:r>
      <w:r>
        <w:rPr>
          <w:rStyle w:val="FootnoteReference"/>
        </w:rPr>
        <w:footnoteReference w:id="17"/>
      </w:r>
      <w:r>
        <w:t xml:space="preserve"> </w:t>
      </w:r>
    </w:p>
    <w:p w14:paraId="113AA8F0" w14:textId="0662F844" w:rsidR="00304083" w:rsidRPr="00E6050F" w:rsidRDefault="00304083" w:rsidP="00E6050F">
      <w:pPr>
        <w:pStyle w:val="BodyText"/>
      </w:pPr>
      <w:r>
        <w:t xml:space="preserve">Appendix E of the 2017 </w:t>
      </w:r>
      <w:r w:rsidR="00420290">
        <w:t>coastal hazards</w:t>
      </w:r>
      <w:r>
        <w:t xml:space="preserve"> guidance listed MSL values for coastal ports around New Zealand relative to the older 1986</w:t>
      </w:r>
      <w:r w:rsidR="008D7104" w:rsidRPr="008D7104">
        <w:t>–</w:t>
      </w:r>
      <w:r>
        <w:t xml:space="preserve">2005 baseline. </w:t>
      </w:r>
      <w:r w:rsidR="002E2453">
        <w:t xml:space="preserve">To combine </w:t>
      </w:r>
      <w:r>
        <w:t>these previous MSL elevations</w:t>
      </w:r>
      <w:r w:rsidDel="002E2453">
        <w:t xml:space="preserve"> </w:t>
      </w:r>
      <w:r>
        <w:t xml:space="preserve">with the new projections to generate future MSL relative to a local or national vertical datum, </w:t>
      </w:r>
      <w:r w:rsidRPr="002D3A0B">
        <w:t>add 0.03</w:t>
      </w:r>
      <w:r w:rsidR="002E2453" w:rsidRPr="002D3A0B">
        <w:t xml:space="preserve"> </w:t>
      </w:r>
      <w:r w:rsidRPr="002D3A0B">
        <w:t>m plus the additional VLM offset (rate in ±mm/</w:t>
      </w:r>
      <w:proofErr w:type="spellStart"/>
      <w:r w:rsidRPr="002D3A0B">
        <w:t>yr</w:t>
      </w:r>
      <w:proofErr w:type="spellEnd"/>
      <w:r w:rsidRPr="002D3A0B">
        <w:t xml:space="preserve"> × 10 years) to the relevant MSL listed in Appendix E of the </w:t>
      </w:r>
      <w:r w:rsidR="002E2453" w:rsidRPr="002D3A0B">
        <w:t xml:space="preserve">2017 </w:t>
      </w:r>
      <w:r w:rsidDel="002E2453">
        <w:t>coastal</w:t>
      </w:r>
      <w:r w:rsidR="00420290">
        <w:t xml:space="preserve"> hazards</w:t>
      </w:r>
      <w:r w:rsidDel="002E2453">
        <w:t xml:space="preserve"> </w:t>
      </w:r>
      <w:r w:rsidRPr="002D3A0B">
        <w:t>guidance</w:t>
      </w:r>
      <w:r>
        <w:t xml:space="preserve">. This </w:t>
      </w:r>
      <w:r w:rsidR="002E2453">
        <w:t xml:space="preserve">will </w:t>
      </w:r>
      <w:r>
        <w:t xml:space="preserve">re-align the baseline MSL elevation with the projections from </w:t>
      </w:r>
      <w:proofErr w:type="spellStart"/>
      <w:r>
        <w:t>Takiwā</w:t>
      </w:r>
      <w:proofErr w:type="spellEnd"/>
      <w:r>
        <w:t xml:space="preserve"> for the later 1995</w:t>
      </w:r>
      <w:r w:rsidR="008D7104" w:rsidRPr="008D7104">
        <w:t>–</w:t>
      </w:r>
      <w:r>
        <w:t xml:space="preserve">2014 baseline. </w:t>
      </w:r>
      <w:r w:rsidR="002E2453">
        <w:t>Alternatively</w:t>
      </w:r>
      <w:r>
        <w:t>, new MSL elevations could be calculated for tide-gauge locations</w:t>
      </w:r>
      <w:r w:rsidR="002E2453">
        <w:t>,</w:t>
      </w:r>
      <w:r>
        <w:t xml:space="preserve"> averaging annual MSL values over the period 1995</w:t>
      </w:r>
      <w:r w:rsidR="008D7104" w:rsidRPr="008D7104">
        <w:t>–</w:t>
      </w:r>
      <w:r>
        <w:t>2014.</w:t>
      </w:r>
      <w:r>
        <w:rPr>
          <w:rFonts w:ascii="Times New Roman" w:hAnsi="Times New Roman" w:cs="Times New Roman"/>
          <w:sz w:val="24"/>
          <w:szCs w:val="24"/>
        </w:rPr>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304083" w:rsidRPr="006B77BB" w14:paraId="1297C27C" w14:textId="77777777" w:rsidTr="16C5F534">
        <w:tc>
          <w:tcPr>
            <w:tcW w:w="8505" w:type="dxa"/>
            <w:shd w:val="clear" w:color="auto" w:fill="D5EBE8" w:themeFill="accent3"/>
          </w:tcPr>
          <w:p w14:paraId="0FD4D248" w14:textId="1A64FBD1" w:rsidR="00304083" w:rsidRPr="00304083" w:rsidRDefault="00304083" w:rsidP="00085966">
            <w:pPr>
              <w:pStyle w:val="Boxheading0"/>
              <w:ind w:left="357" w:right="567"/>
            </w:pPr>
            <w:r w:rsidRPr="00304083">
              <w:t>Examples (using Queens Wharf tide gauge in Wellington)</w:t>
            </w:r>
          </w:p>
          <w:p w14:paraId="7293BBB7" w14:textId="79335C44" w:rsidR="00304083" w:rsidRPr="00304083" w:rsidRDefault="00304083" w:rsidP="00085966">
            <w:pPr>
              <w:pStyle w:val="Boxbullet"/>
              <w:spacing w:before="120"/>
              <w:ind w:left="714" w:right="567" w:hanging="357"/>
            </w:pPr>
            <w:r>
              <w:t xml:space="preserve">From </w:t>
            </w:r>
            <w:r w:rsidR="008D7104">
              <w:t>t</w:t>
            </w:r>
            <w:r>
              <w:t>able E-1 (Appendix E</w:t>
            </w:r>
            <w:r w:rsidR="002E2453">
              <w:t xml:space="preserve"> in</w:t>
            </w:r>
            <w:r>
              <w:t xml:space="preserve"> </w:t>
            </w:r>
            <w:r w:rsidR="000E0943">
              <w:t>Ministry for the Environment</w:t>
            </w:r>
            <w:r>
              <w:t>, 2017), the MSL over the baseline period 1986</w:t>
            </w:r>
            <w:r w:rsidR="008D7104" w:rsidRPr="008D7104">
              <w:t>–</w:t>
            </w:r>
            <w:r>
              <w:t xml:space="preserve">2005 for Wellington is </w:t>
            </w:r>
            <w:r w:rsidR="00572ACF">
              <w:t>-</w:t>
            </w:r>
            <w:r>
              <w:t>0.224</w:t>
            </w:r>
            <w:r w:rsidR="00572ACF">
              <w:t xml:space="preserve"> </w:t>
            </w:r>
            <w:r>
              <w:t>m relative to NZ Vertical Datum</w:t>
            </w:r>
            <w:r w:rsidR="00691040">
              <w:t xml:space="preserve"> (NZVD)</w:t>
            </w:r>
            <w:r>
              <w:t xml:space="preserve"> 2016. To convert the MSL to the new baseline (1995</w:t>
            </w:r>
            <w:r w:rsidR="00691040" w:rsidRPr="00691040">
              <w:t>–</w:t>
            </w:r>
            <w:r>
              <w:t>2014</w:t>
            </w:r>
            <w:r w:rsidR="00572ACF">
              <w:t xml:space="preserve"> with</w:t>
            </w:r>
            <w:r>
              <w:t xml:space="preserve"> mid-point 2005), add the NZ</w:t>
            </w:r>
            <w:r w:rsidR="00572ACF">
              <w:t xml:space="preserve"> </w:t>
            </w:r>
            <w:r>
              <w:t>average 0.03</w:t>
            </w:r>
            <w:r w:rsidR="00572ACF">
              <w:t xml:space="preserve"> </w:t>
            </w:r>
            <w:r>
              <w:t xml:space="preserve">m offset for the intervening period. Therefore, the updated MSL is </w:t>
            </w:r>
            <w:r w:rsidR="00572ACF">
              <w:t>-</w:t>
            </w:r>
            <w:r>
              <w:t>0.194</w:t>
            </w:r>
            <w:r w:rsidR="00572ACF">
              <w:t xml:space="preserve"> </w:t>
            </w:r>
            <w:r>
              <w:t xml:space="preserve">m, which can then be added to the new RSLR projections in </w:t>
            </w:r>
            <w:proofErr w:type="spellStart"/>
            <w:r>
              <w:t>Takiwā</w:t>
            </w:r>
            <w:proofErr w:type="spellEnd"/>
            <w:r>
              <w:t xml:space="preserve"> for the Wellington Harbour area to generate future MSL scenarios relative to the survey datum (NZVD-2016)</w:t>
            </w:r>
            <w:r w:rsidR="00572ACF">
              <w:t>.</w:t>
            </w:r>
            <w:r>
              <w:t xml:space="preserve"> </w:t>
            </w:r>
            <w:r w:rsidR="00572ACF">
              <w:t>S</w:t>
            </w:r>
            <w:r>
              <w:t xml:space="preserve">ee </w:t>
            </w:r>
            <w:hyperlink w:anchor="FigureB1" w:history="1">
              <w:r w:rsidR="00572ACF" w:rsidRPr="00691040">
                <w:rPr>
                  <w:rStyle w:val="Hyperlink"/>
                </w:rPr>
                <w:t>f</w:t>
              </w:r>
              <w:r w:rsidRPr="00691040">
                <w:rPr>
                  <w:rStyle w:val="Hyperlink"/>
                </w:rPr>
                <w:t>igure B-1</w:t>
              </w:r>
            </w:hyperlink>
            <w:r>
              <w:t xml:space="preserve"> as a schematic.</w:t>
            </w:r>
          </w:p>
          <w:p w14:paraId="01F0EBEE" w14:textId="2AA2A9B4" w:rsidR="00304083" w:rsidRPr="00304083" w:rsidRDefault="00304083" w:rsidP="00085966">
            <w:pPr>
              <w:pStyle w:val="Boxbullet"/>
              <w:spacing w:after="240"/>
              <w:ind w:left="714" w:right="567" w:hanging="357"/>
            </w:pPr>
            <w:r>
              <w:t xml:space="preserve">Recalculate the new average MSL from annual MSL values </w:t>
            </w:r>
            <w:r w:rsidR="00572ACF">
              <w:t xml:space="preserve">for </w:t>
            </w:r>
            <w:r>
              <w:t>the Wellington tide gauge covering the new baseline (1995</w:t>
            </w:r>
            <w:r w:rsidR="008D7104" w:rsidRPr="008D7104">
              <w:t>–</w:t>
            </w:r>
            <w:r>
              <w:t>2014), then add the new RSLR projections. For Wellington, the difference in MSL between baselines (</w:t>
            </w:r>
            <w:r w:rsidR="00572ACF">
              <w:t>a</w:t>
            </w:r>
            <w:r>
              <w:t xml:space="preserve"> decade apart) is 0.027</w:t>
            </w:r>
            <w:r w:rsidR="00572ACF">
              <w:t xml:space="preserve"> </w:t>
            </w:r>
            <w:r>
              <w:t xml:space="preserve">m. </w:t>
            </w:r>
            <w:r w:rsidR="00572ACF">
              <w:t>F</w:t>
            </w:r>
            <w:r>
              <w:t>or the five longest tide-gauge records</w:t>
            </w:r>
            <w:r w:rsidR="00572ACF">
              <w:t>,</w:t>
            </w:r>
            <w:r>
              <w:t xml:space="preserve"> the highest offset is in Auckland (0.035</w:t>
            </w:r>
            <w:r w:rsidR="00572ACF">
              <w:t xml:space="preserve"> </w:t>
            </w:r>
            <w:r>
              <w:t xml:space="preserve">m) and </w:t>
            </w:r>
            <w:r w:rsidR="00572ACF">
              <w:t xml:space="preserve">the </w:t>
            </w:r>
            <w:r>
              <w:t xml:space="preserve">lowest at </w:t>
            </w:r>
            <w:proofErr w:type="spellStart"/>
            <w:r>
              <w:t>Moturiki</w:t>
            </w:r>
            <w:proofErr w:type="spellEnd"/>
            <w:r>
              <w:t>–Mt Maunganui (0.026</w:t>
            </w:r>
            <w:r w:rsidR="00572ACF">
              <w:t xml:space="preserve"> </w:t>
            </w:r>
            <w:r>
              <w:t xml:space="preserve">m). Also see </w:t>
            </w:r>
            <w:hyperlink w:anchor="Table4" w:history="1">
              <w:r w:rsidR="00572ACF" w:rsidRPr="008D7104">
                <w:rPr>
                  <w:rStyle w:val="Hyperlink"/>
                </w:rPr>
                <w:t>t</w:t>
              </w:r>
              <w:r w:rsidRPr="008D7104">
                <w:rPr>
                  <w:rStyle w:val="Hyperlink"/>
                </w:rPr>
                <w:t>able 4</w:t>
              </w:r>
            </w:hyperlink>
            <w:r>
              <w:t>.</w:t>
            </w:r>
          </w:p>
        </w:tc>
      </w:tr>
    </w:tbl>
    <w:p w14:paraId="58CE8B5B" w14:textId="77777777" w:rsidR="0028350A" w:rsidRDefault="0028350A" w:rsidP="00554B30"/>
    <w:p w14:paraId="0DD6A992" w14:textId="5A83F424" w:rsidR="00304083" w:rsidRDefault="00837F21" w:rsidP="0028350A">
      <w:pPr>
        <w:pStyle w:val="Figureheading"/>
      </w:pPr>
      <w:bookmarkStart w:id="73" w:name="FigureB1"/>
      <w:bookmarkStart w:id="74" w:name="_Toc109809107"/>
      <w:r>
        <w:t>Figure B-1</w:t>
      </w:r>
      <w:bookmarkEnd w:id="73"/>
      <w:r>
        <w:t xml:space="preserve">: </w:t>
      </w:r>
      <w:r w:rsidR="00C60B81">
        <w:t>Schematic of RSLR for a subsiding coastal area</w:t>
      </w:r>
      <w:bookmarkEnd w:id="74"/>
    </w:p>
    <w:p w14:paraId="501CE9FD" w14:textId="77777777" w:rsidR="00304083" w:rsidRDefault="00304083" w:rsidP="00554B30">
      <w:r>
        <w:rPr>
          <w:noProof/>
        </w:rPr>
        <w:drawing>
          <wp:inline distT="0" distB="0" distL="0" distR="0" wp14:anchorId="22F6BC6A" wp14:editId="1EB84905">
            <wp:extent cx="5400675" cy="2780030"/>
            <wp:effectExtent l="0" t="0" r="9525" b="1270"/>
            <wp:docPr id="2" name="Picture 2" descr="A line graph shows future sea and land elevation in metres. The difference between the rate of local land subsiding (approximately 2 millimetres per year) and the rise in adjacent ocean elevation under scenario SSP2–4.5 is shown as the relative sea-level rise height (relative to land mass). The graph ranges from 2005 to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ne graph shows future sea and land elevation in metres. The difference between the rate of local land subsiding (approximately 2 millimetres per year) and the rise in adjacent ocean elevation under scenario SSP2–4.5 is shown as the relative sea-level rise height (relative to land mass). The graph ranges from 2005 to 214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780030"/>
                    </a:xfrm>
                    <a:prstGeom prst="rect">
                      <a:avLst/>
                    </a:prstGeom>
                    <a:noFill/>
                    <a:ln>
                      <a:noFill/>
                    </a:ln>
                  </pic:spPr>
                </pic:pic>
              </a:graphicData>
            </a:graphic>
          </wp:inline>
        </w:drawing>
      </w:r>
    </w:p>
    <w:p w14:paraId="473F8CAB" w14:textId="3D2AF8E0" w:rsidR="00304083" w:rsidRDefault="00C60B81" w:rsidP="00C60B81">
      <w:pPr>
        <w:pStyle w:val="Note"/>
        <w:rPr>
          <w:rFonts w:asciiTheme="minorHAnsi" w:hAnsiTheme="minorHAnsi"/>
        </w:rPr>
      </w:pPr>
      <w:r>
        <w:rPr>
          <w:b/>
          <w:bCs/>
        </w:rPr>
        <w:t xml:space="preserve">Note for </w:t>
      </w:r>
      <w:r w:rsidR="00304083">
        <w:rPr>
          <w:b/>
          <w:bCs/>
        </w:rPr>
        <w:t>Figure B-1:</w:t>
      </w:r>
      <w:r w:rsidR="00304083">
        <w:t xml:space="preserve"> Schematic of RSLR for a subsiding coastal area, which is a height relative to the subsiding landmass, by adding the recent-past MSL (1995</w:t>
      </w:r>
      <w:r w:rsidR="00691040" w:rsidRPr="00691040">
        <w:t>–</w:t>
      </w:r>
      <w:r w:rsidR="00304083">
        <w:t>2014; mid-point 2005) to convert RSLR into future elevations to a survey datum (NZ Vertical Datum</w:t>
      </w:r>
      <w:r w:rsidR="008E3B65">
        <w:t xml:space="preserve"> </w:t>
      </w:r>
      <w:r w:rsidR="00304083">
        <w:t xml:space="preserve">2016 in this example). </w:t>
      </w:r>
      <w:r w:rsidR="00572ACF" w:rsidRPr="00572ACF">
        <w:t>T</w:t>
      </w:r>
      <w:r w:rsidR="00304083">
        <w:t xml:space="preserve">he rise in the adjacent ocean level (dashed line) is unaffected by the gradual land subsidence locally. </w:t>
      </w:r>
    </w:p>
    <w:p w14:paraId="59724E17" w14:textId="77777777" w:rsidR="00304083" w:rsidRDefault="00304083">
      <w:pPr>
        <w:spacing w:before="0" w:after="200" w:line="276" w:lineRule="auto"/>
        <w:jc w:val="left"/>
      </w:pPr>
      <w:r>
        <w:br w:type="page"/>
      </w:r>
    </w:p>
    <w:p w14:paraId="56A0CEA7" w14:textId="65376D76" w:rsidR="00304083" w:rsidRDefault="00304083" w:rsidP="00304083">
      <w:pPr>
        <w:pStyle w:val="Heading1"/>
        <w:rPr>
          <w:rFonts w:asciiTheme="minorHAnsi" w:eastAsiaTheme="minorHAnsi" w:hAnsiTheme="minorHAnsi"/>
        </w:rPr>
      </w:pPr>
      <w:bookmarkStart w:id="75" w:name="_Appendix_C"/>
      <w:bookmarkStart w:id="76" w:name="_Toc109397590"/>
      <w:bookmarkStart w:id="77" w:name="_Toc109809092"/>
      <w:bookmarkEnd w:id="75"/>
      <w:r>
        <w:t>Appendix C</w:t>
      </w:r>
      <w:bookmarkEnd w:id="76"/>
      <w:bookmarkEnd w:id="77"/>
    </w:p>
    <w:p w14:paraId="7224AE43" w14:textId="723C6513" w:rsidR="00304083" w:rsidRPr="00622567" w:rsidRDefault="00304083" w:rsidP="00304083">
      <w:pPr>
        <w:pStyle w:val="BodyText"/>
        <w:rPr>
          <w:b/>
        </w:rPr>
      </w:pPr>
      <w:r w:rsidRPr="00622567">
        <w:rPr>
          <w:b/>
        </w:rPr>
        <w:t>How</w:t>
      </w:r>
      <w:r w:rsidRPr="00622567" w:rsidDel="00572ACF">
        <w:rPr>
          <w:b/>
        </w:rPr>
        <w:t xml:space="preserve"> </w:t>
      </w:r>
      <w:r w:rsidRPr="00622567">
        <w:rPr>
          <w:b/>
        </w:rPr>
        <w:t xml:space="preserve">VLMs </w:t>
      </w:r>
      <w:r w:rsidR="00572ACF">
        <w:rPr>
          <w:b/>
        </w:rPr>
        <w:t xml:space="preserve">are </w:t>
      </w:r>
      <w:r w:rsidRPr="00622567">
        <w:rPr>
          <w:b/>
        </w:rPr>
        <w:t>derived and incorporated in RSLR projections: Assumptions and caveats</w:t>
      </w:r>
    </w:p>
    <w:p w14:paraId="043E3921" w14:textId="3936B0B1" w:rsidR="00304083" w:rsidRDefault="00304083" w:rsidP="00304083">
      <w:pPr>
        <w:pStyle w:val="BodyText"/>
      </w:pPr>
      <w:r>
        <w:t>The</w:t>
      </w:r>
      <w:r w:rsidDel="00C62C7F">
        <w:t xml:space="preserve"> </w:t>
      </w:r>
      <w:r>
        <w:t xml:space="preserve">VLM estimates for </w:t>
      </w:r>
      <w:r w:rsidR="00C62C7F">
        <w:t xml:space="preserve">Aotearoa </w:t>
      </w:r>
      <w:r>
        <w:t xml:space="preserve">New Zealand are based on the analysis of historical </w:t>
      </w:r>
      <w:r w:rsidR="008E3B65">
        <w:t>i</w:t>
      </w:r>
      <w:r>
        <w:t xml:space="preserve">nterferometric </w:t>
      </w:r>
      <w:r w:rsidR="008E3B65">
        <w:t>s</w:t>
      </w:r>
      <w:r>
        <w:t xml:space="preserve">ynthetic </w:t>
      </w:r>
      <w:r w:rsidR="008E3B65">
        <w:t>a</w:t>
      </w:r>
      <w:r>
        <w:t xml:space="preserve">perture </w:t>
      </w:r>
      <w:r w:rsidR="008E3B65">
        <w:t>r</w:t>
      </w:r>
      <w:r>
        <w:t>adar (</w:t>
      </w:r>
      <w:proofErr w:type="spellStart"/>
      <w:r>
        <w:t>InSAR</w:t>
      </w:r>
      <w:proofErr w:type="spellEnd"/>
      <w:r>
        <w:t xml:space="preserve">) observations collected by the European Space Agency’s Envisat satellite between 2003 and 2011 (Hamling et al, 2022). Prior to computing the coastal VLM, </w:t>
      </w:r>
      <w:r w:rsidR="00C62C7F">
        <w:t xml:space="preserve">about </w:t>
      </w:r>
      <w:r>
        <w:t>2</w:t>
      </w:r>
      <w:r w:rsidR="008E3B65">
        <w:t>,</w:t>
      </w:r>
      <w:r>
        <w:t xml:space="preserve">700 individual interferograms were used to estimate the best-fitting annual land movement for each of the satellite tracks covering the New Zealand landmass. To aid in the removal of noise in the data and tie the </w:t>
      </w:r>
      <w:proofErr w:type="spellStart"/>
      <w:r>
        <w:t>InSAR</w:t>
      </w:r>
      <w:proofErr w:type="spellEnd"/>
      <w:r>
        <w:t xml:space="preserve"> into a consistent reference frame (International Terrestrial Reference Frame 14; Altamimi et al, 2016), vertical landmass velocities from the national GNSS network</w:t>
      </w:r>
      <w:r w:rsidR="00C62C7F">
        <w:t>,</w:t>
      </w:r>
      <w:r>
        <w:rPr>
          <w:rStyle w:val="FootnoteReference"/>
        </w:rPr>
        <w:footnoteReference w:id="18"/>
      </w:r>
      <w:r>
        <w:t xml:space="preserve"> spanning the same period, were used </w:t>
      </w:r>
      <w:r w:rsidRPr="008C4C4C">
        <w:t>(</w:t>
      </w:r>
      <w:hyperlink w:anchor="FigureC1" w:history="1">
        <w:r w:rsidR="00C62C7F" w:rsidRPr="00092C72">
          <w:rPr>
            <w:rStyle w:val="Hyperlink"/>
          </w:rPr>
          <w:t>f</w:t>
        </w:r>
        <w:r w:rsidRPr="00092C72">
          <w:rPr>
            <w:rStyle w:val="Hyperlink"/>
          </w:rPr>
          <w:t>igure C-1</w:t>
        </w:r>
      </w:hyperlink>
      <w:r w:rsidRPr="008C4C4C">
        <w:t>).</w:t>
      </w:r>
    </w:p>
    <w:p w14:paraId="622252F8" w14:textId="42FA8E78" w:rsidR="00304083" w:rsidRDefault="00304083" w:rsidP="00304083">
      <w:pPr>
        <w:pStyle w:val="BodyText"/>
      </w:pPr>
      <w:r>
        <w:t xml:space="preserve">VLM estimates </w:t>
      </w:r>
      <w:r w:rsidDel="00C62C7F">
        <w:t>for each 2</w:t>
      </w:r>
      <w:r w:rsidR="008C4C4C">
        <w:t>-</w:t>
      </w:r>
      <w:r w:rsidDel="00C62C7F">
        <w:t xml:space="preserve">km grid around the New Zealand coast </w:t>
      </w:r>
      <w:r>
        <w:t xml:space="preserve">were produced using a spatial search for all GNSS and </w:t>
      </w:r>
      <w:proofErr w:type="spellStart"/>
      <w:r>
        <w:t>InSAR</w:t>
      </w:r>
      <w:proofErr w:type="spellEnd"/>
      <w:r>
        <w:t xml:space="preserve"> points located nearby. </w:t>
      </w:r>
      <w:r w:rsidR="00C62C7F">
        <w:t>Because of</w:t>
      </w:r>
      <w:r>
        <w:t xml:space="preserve"> a lack of coverage in some areas</w:t>
      </w:r>
      <w:r w:rsidR="00C62C7F">
        <w:t>,</w:t>
      </w:r>
      <w:r>
        <w:t xml:space="preserve"> there </w:t>
      </w:r>
      <w:r w:rsidR="00C62C7F">
        <w:t>we</w:t>
      </w:r>
      <w:r>
        <w:t>re not always sufficient data points located close to the coast to provide a robust estimate. To overcome this problem, a search for observation points progressively expanded within circles of 1, 2.5, 5, 10, 20 and 40</w:t>
      </w:r>
      <w:r w:rsidR="00C62C7F">
        <w:t xml:space="preserve"> </w:t>
      </w:r>
      <w:r>
        <w:t>km radii. To find the optimal search radius, a quality factor was derived, which considers the number of observations available for each coastal location, the radial distance used to bin the observations and the distance to the nearest GNSS station. After selecting the optimal search radius, a distance</w:t>
      </w:r>
      <w:r w:rsidR="00C62C7F">
        <w:t>-</w:t>
      </w:r>
      <w:r>
        <w:t xml:space="preserve">weighted mean </w:t>
      </w:r>
      <w:r w:rsidR="00C62C7F">
        <w:t>wa</w:t>
      </w:r>
      <w:r>
        <w:t>s calculated for all points</w:t>
      </w:r>
      <w:r w:rsidR="00C62C7F">
        <w:t>,</w:t>
      </w:r>
      <w:r>
        <w:t xml:space="preserve"> with additional weight given to any available GNSS observations. More information on the quality factor and range of VLM variability for each site is available in Naish et al (submitted</w:t>
      </w:r>
      <w:r w:rsidR="00C62C7F">
        <w:t>)</w:t>
      </w:r>
      <w:r>
        <w:t xml:space="preserve"> and on the </w:t>
      </w:r>
      <w:proofErr w:type="spellStart"/>
      <w:r>
        <w:t>Takiwā</w:t>
      </w:r>
      <w:proofErr w:type="spellEnd"/>
      <w:r>
        <w:t xml:space="preserve"> platform</w:t>
      </w:r>
      <w:r w:rsidDel="00C62C7F">
        <w:t xml:space="preserve"> via </w:t>
      </w:r>
      <w:proofErr w:type="spellStart"/>
      <w:r w:rsidDel="00C62C7F">
        <w:t>NZSeaRise</w:t>
      </w:r>
      <w:proofErr w:type="spellEnd"/>
      <w:r w:rsidDel="00C62C7F">
        <w:t xml:space="preserve"> website</w:t>
      </w:r>
      <w:r>
        <w:t>.</w:t>
      </w:r>
      <w:r>
        <w:rPr>
          <w:rStyle w:val="FootnoteReference"/>
        </w:rPr>
        <w:footnoteReference w:id="19"/>
      </w:r>
      <w:r>
        <w:t xml:space="preserve"> </w:t>
      </w:r>
    </w:p>
    <w:p w14:paraId="35A829B1" w14:textId="5C8010DA" w:rsidR="00A71FE8" w:rsidRDefault="00304083" w:rsidP="00304083">
      <w:pPr>
        <w:pStyle w:val="BodyText"/>
        <w:rPr>
          <w:lang w:val="en-GB"/>
        </w:rPr>
      </w:pPr>
      <w:r>
        <w:t xml:space="preserve">To reduce </w:t>
      </w:r>
      <w:r w:rsidR="00A71FE8">
        <w:t xml:space="preserve">the </w:t>
      </w:r>
      <w:r>
        <w:t xml:space="preserve">potential temporal influences </w:t>
      </w:r>
      <w:r w:rsidR="00A71FE8">
        <w:t xml:space="preserve">of local earthquakes </w:t>
      </w:r>
      <w:r>
        <w:t>on long-term rates,</w:t>
      </w:r>
      <w:r w:rsidR="00A71FE8">
        <w:t xml:space="preserve"> we selected</w:t>
      </w:r>
      <w:r>
        <w:t xml:space="preserve"> the period 2003</w:t>
      </w:r>
      <w:r w:rsidR="000F5EB4" w:rsidRPr="000F5EB4">
        <w:t>–</w:t>
      </w:r>
      <w:r>
        <w:t>11, as it preceded many of the Mw</w:t>
      </w:r>
      <w:r w:rsidR="00A71FE8">
        <w:t xml:space="preserve"> </w:t>
      </w:r>
      <w:r>
        <w:t xml:space="preserve">&gt;6 earthquakes </w:t>
      </w:r>
      <w:r w:rsidR="00A71FE8">
        <w:t xml:space="preserve">that </w:t>
      </w:r>
      <w:r>
        <w:t>struck New Zealand since late 2009 and is</w:t>
      </w:r>
      <w:r w:rsidR="000F5EB4">
        <w:t>,</w:t>
      </w:r>
      <w:r>
        <w:t xml:space="preserve"> therefore</w:t>
      </w:r>
      <w:r w:rsidR="000F5EB4">
        <w:t>,</w:t>
      </w:r>
      <w:r>
        <w:t xml:space="preserve"> representative of the VLM rates between the seismic events. </w:t>
      </w:r>
      <w:r>
        <w:rPr>
          <w:lang w:val="en-GB"/>
        </w:rPr>
        <w:t>The inter-seismic rate is considered appropriate for the extrapolation of VLM used in the RSLR projections, because over the next 100 years</w:t>
      </w:r>
      <w:r w:rsidR="00A71FE8">
        <w:rPr>
          <w:lang w:val="en-GB"/>
        </w:rPr>
        <w:t>,</w:t>
      </w:r>
      <w:r>
        <w:rPr>
          <w:lang w:val="en-GB"/>
        </w:rPr>
        <w:t xml:space="preserve"> the probability of a high-magnitude earthquake at any location with large local vertical land displacement is low due to the historic length of the earthquake cycle (Beavan and Litchfield, 2012).  </w:t>
      </w:r>
    </w:p>
    <w:p w14:paraId="05EE5719" w14:textId="65D0FD0D" w:rsidR="002A69AF" w:rsidRDefault="00A71FE8" w:rsidP="00304083">
      <w:pPr>
        <w:pStyle w:val="BodyText"/>
        <w:rPr>
          <w:lang w:val="en-GB"/>
        </w:rPr>
      </w:pPr>
      <w:r>
        <w:rPr>
          <w:lang w:val="en-GB"/>
        </w:rPr>
        <w:t>Still</w:t>
      </w:r>
      <w:r w:rsidR="00304083">
        <w:rPr>
          <w:lang w:val="en-GB"/>
        </w:rPr>
        <w:t xml:space="preserve">, seismic hazard risk </w:t>
      </w:r>
      <w:r w:rsidR="00304083">
        <w:rPr>
          <w:noProof/>
          <w:lang w:val="en-GB"/>
        </w:rPr>
        <w:t>(Stirling et al, 2012)</w:t>
      </w:r>
      <w:r w:rsidR="00304083">
        <w:rPr>
          <w:lang w:val="en-GB"/>
        </w:rPr>
        <w:t xml:space="preserve"> and the potential for rapid subsidence and/or uplift, while difficult to predict, should always be considered.</w:t>
      </w:r>
      <w:r w:rsidR="00304083">
        <w:t xml:space="preserve"> For example, a major event on the ~600</w:t>
      </w:r>
      <w:r w:rsidR="000F5EB4">
        <w:t>-</w:t>
      </w:r>
      <w:r w:rsidR="00304083">
        <w:t xml:space="preserve">km Alpine Fault </w:t>
      </w:r>
      <w:r>
        <w:t>has a 75</w:t>
      </w:r>
      <w:r w:rsidR="00C648F8">
        <w:t xml:space="preserve"> per cent</w:t>
      </w:r>
      <w:r>
        <w:t xml:space="preserve"> probability</w:t>
      </w:r>
      <w:r w:rsidDel="00A71FE8">
        <w:t xml:space="preserve"> </w:t>
      </w:r>
      <w:r>
        <w:t>of</w:t>
      </w:r>
      <w:r w:rsidR="00304083">
        <w:t xml:space="preserve"> occur</w:t>
      </w:r>
      <w:r>
        <w:t>ring</w:t>
      </w:r>
      <w:r w:rsidR="00304083">
        <w:t xml:space="preserve"> in the next 50 years </w:t>
      </w:r>
      <w:r w:rsidR="00304083">
        <w:rPr>
          <w:noProof/>
        </w:rPr>
        <w:t>(Howarth et al, 2021)</w:t>
      </w:r>
      <w:r w:rsidR="00304083">
        <w:t xml:space="preserve">, but historical fault rupture data suggest little VLM change will occur in the South Island. </w:t>
      </w:r>
      <w:proofErr w:type="gramStart"/>
      <w:r w:rsidR="00304083">
        <w:t>The majority of</w:t>
      </w:r>
      <w:proofErr w:type="gramEnd"/>
      <w:r w:rsidR="00304083">
        <w:t xml:space="preserve"> the southern east coast margin of the North Island is currently experiencing subsidence, largely due to coupling along the plate interface. Model</w:t>
      </w:r>
      <w:r w:rsidR="00304083">
        <w:rPr>
          <w:lang w:val="en-GB"/>
        </w:rPr>
        <w:t xml:space="preserve"> simulations of a rupture of the entire Hikurangi margin shows the inter</w:t>
      </w:r>
      <w:r w:rsidR="000F5EB4">
        <w:rPr>
          <w:lang w:val="en-GB"/>
        </w:rPr>
        <w:t>-</w:t>
      </w:r>
      <w:r w:rsidR="00304083">
        <w:rPr>
          <w:lang w:val="en-GB"/>
        </w:rPr>
        <w:t>se</w:t>
      </w:r>
      <w:r>
        <w:rPr>
          <w:lang w:val="en-GB"/>
        </w:rPr>
        <w:t>i</w:t>
      </w:r>
      <w:r w:rsidR="00304083">
        <w:rPr>
          <w:lang w:val="en-GB"/>
        </w:rPr>
        <w:t>smically</w:t>
      </w:r>
      <w:r w:rsidR="000F5EB4">
        <w:rPr>
          <w:lang w:val="en-GB"/>
        </w:rPr>
        <w:t xml:space="preserve"> </w:t>
      </w:r>
      <w:r w:rsidR="00304083">
        <w:rPr>
          <w:lang w:val="en-GB"/>
        </w:rPr>
        <w:t xml:space="preserve">coupled zone beneath Wellington would experience up to 2 m of subsidence, while the southern Wairarapa coast would experience uplift </w:t>
      </w:r>
      <w:r w:rsidR="00304083">
        <w:rPr>
          <w:noProof/>
          <w:lang w:val="en-GB"/>
        </w:rPr>
        <w:t>(Wallace et al, 2014)</w:t>
      </w:r>
      <w:r w:rsidR="00304083">
        <w:rPr>
          <w:lang w:val="en-GB"/>
        </w:rPr>
        <w:t xml:space="preserve">. </w:t>
      </w:r>
    </w:p>
    <w:p w14:paraId="59D5E5D5" w14:textId="247684F1" w:rsidR="00304083" w:rsidRDefault="00304083" w:rsidP="00304083">
      <w:pPr>
        <w:pStyle w:val="BodyText"/>
      </w:pPr>
      <w:r>
        <w:t>The spatial distribution of co</w:t>
      </w:r>
      <w:r w:rsidR="000F5EB4">
        <w:t>-</w:t>
      </w:r>
      <w:r>
        <w:t>seismic uplift and subsidence is highly variable and dependent on which fault or faults rupture. While parts of the margin may get a reprieve from the accumulated inter</w:t>
      </w:r>
      <w:r w:rsidR="00A71FF1">
        <w:t>-</w:t>
      </w:r>
      <w:r>
        <w:t xml:space="preserve">seismic subsidence, other areas may have to contend with additional supporting subsidence </w:t>
      </w:r>
      <w:proofErr w:type="gramStart"/>
      <w:r>
        <w:t>as a result of</w:t>
      </w:r>
      <w:proofErr w:type="gramEnd"/>
      <w:r>
        <w:t xml:space="preserve"> any earthquake. In addition, large post-seismic transient deformation may follow a major event</w:t>
      </w:r>
      <w:r w:rsidR="00A71FF1">
        <w:t>,</w:t>
      </w:r>
      <w:r>
        <w:t xml:space="preserve"> temporarily amplifying the local VLM before returning to inter</w:t>
      </w:r>
      <w:r w:rsidR="00A71FF1">
        <w:t>-</w:t>
      </w:r>
      <w:r>
        <w:t xml:space="preserve">seismic rates in as little as 10 years </w:t>
      </w:r>
      <w:r>
        <w:rPr>
          <w:noProof/>
        </w:rPr>
        <w:t>(Hamling et al, 2017; Hussain et al, 2018)</w:t>
      </w:r>
      <w:r>
        <w:t>.</w:t>
      </w:r>
    </w:p>
    <w:p w14:paraId="4E54FF8A" w14:textId="3C37DD38" w:rsidR="002A69AF" w:rsidRDefault="00304083" w:rsidP="00304083">
      <w:pPr>
        <w:pStyle w:val="BodyText"/>
        <w:rPr>
          <w:lang w:val="en-GB"/>
        </w:rPr>
      </w:pPr>
      <w:r>
        <w:rPr>
          <w:lang w:val="en-GB"/>
        </w:rPr>
        <w:t>For 50</w:t>
      </w:r>
      <w:r w:rsidR="00C648F8">
        <w:rPr>
          <w:lang w:val="en-GB"/>
        </w:rPr>
        <w:t xml:space="preserve"> per cent</w:t>
      </w:r>
      <w:r>
        <w:rPr>
          <w:lang w:val="en-GB"/>
        </w:rPr>
        <w:t xml:space="preserve"> of New Zealand’s coastline, clockwise from Christchurch to Hokitika and then from Whanganui to Tauranga, the region is relatively stable and rates of VLM are less than 2</w:t>
      </w:r>
      <w:r w:rsidR="002A69AF">
        <w:rPr>
          <w:lang w:val="en-GB"/>
        </w:rPr>
        <w:t xml:space="preserve"> </w:t>
      </w:r>
      <w:r>
        <w:rPr>
          <w:lang w:val="en-GB"/>
        </w:rPr>
        <w:t>mm/</w:t>
      </w:r>
      <w:proofErr w:type="spellStart"/>
      <w:r>
        <w:rPr>
          <w:lang w:val="en-GB"/>
        </w:rPr>
        <w:t>yr</w:t>
      </w:r>
      <w:proofErr w:type="spellEnd"/>
      <w:r>
        <w:rPr>
          <w:lang w:val="en-GB"/>
        </w:rPr>
        <w:t xml:space="preserve"> (</w:t>
      </w:r>
      <w:hyperlink w:anchor="FigureC1" w:history="1">
        <w:r w:rsidR="002A69AF" w:rsidRPr="00A71FF1">
          <w:rPr>
            <w:rStyle w:val="Hyperlink"/>
            <w:lang w:val="en-GB"/>
          </w:rPr>
          <w:t>f</w:t>
        </w:r>
        <w:r w:rsidRPr="00A71FF1">
          <w:rPr>
            <w:rStyle w:val="Hyperlink"/>
            <w:lang w:val="en-GB"/>
          </w:rPr>
          <w:t>igure C-1</w:t>
        </w:r>
      </w:hyperlink>
      <w:r>
        <w:rPr>
          <w:lang w:val="en-GB"/>
        </w:rPr>
        <w:t xml:space="preserve">). These regions are also stable on geological timescales (over the last 125,000 years) and long-term VLM estimates are within the uncertainty bands of the GNSS rates (Beaven </w:t>
      </w:r>
      <w:r w:rsidR="002A69AF">
        <w:rPr>
          <w:lang w:val="en-GB"/>
        </w:rPr>
        <w:t>and</w:t>
      </w:r>
      <w:r>
        <w:rPr>
          <w:lang w:val="en-GB"/>
        </w:rPr>
        <w:t xml:space="preserve"> Litchfield, 2012; Hamling et al, 2022; Naish et al, submitted</w:t>
      </w:r>
      <w:r w:rsidR="002A69AF">
        <w:rPr>
          <w:lang w:val="en-GB"/>
        </w:rPr>
        <w:t>).</w:t>
      </w:r>
      <w:r>
        <w:rPr>
          <w:lang w:val="en-GB"/>
        </w:rPr>
        <w:t xml:space="preserve"> In these locations</w:t>
      </w:r>
      <w:r w:rsidR="002A69AF">
        <w:rPr>
          <w:lang w:val="en-GB"/>
        </w:rPr>
        <w:t>,</w:t>
      </w:r>
      <w:r>
        <w:rPr>
          <w:lang w:val="en-GB"/>
        </w:rPr>
        <w:t xml:space="preserve"> VLM rates have less influence on RSLR projections. </w:t>
      </w:r>
    </w:p>
    <w:p w14:paraId="7DDF123D" w14:textId="71712499" w:rsidR="00304083" w:rsidRDefault="00304083" w:rsidP="00304083">
      <w:pPr>
        <w:pStyle w:val="BodyText"/>
      </w:pPr>
      <w:r>
        <w:rPr>
          <w:lang w:val="en-GB"/>
        </w:rPr>
        <w:t xml:space="preserve">In contrast, the coastline of </w:t>
      </w:r>
      <w:r w:rsidR="002A69AF">
        <w:rPr>
          <w:lang w:val="en-GB"/>
        </w:rPr>
        <w:t xml:space="preserve">the </w:t>
      </w:r>
      <w:r>
        <w:rPr>
          <w:lang w:val="en-GB"/>
        </w:rPr>
        <w:t xml:space="preserve">lower North Island and upper South Island has subsided over the last century, whereas on geological timescales </w:t>
      </w:r>
      <w:r w:rsidR="002A69AF">
        <w:rPr>
          <w:lang w:val="en-GB"/>
        </w:rPr>
        <w:t>there has been net upward land movement</w:t>
      </w:r>
      <w:r>
        <w:rPr>
          <w:lang w:val="en-GB"/>
        </w:rPr>
        <w:t xml:space="preserve"> due to episodic plate tectonic processes and the long-term aggregate effect of large earthquakes.</w:t>
      </w:r>
      <w:r w:rsidDel="002A69AF">
        <w:rPr>
          <w:lang w:val="en-GB"/>
        </w:rPr>
        <w:t xml:space="preserve"> </w:t>
      </w:r>
      <w:hyperlink w:anchor="FigureC1" w:history="1">
        <w:r w:rsidRPr="00A71FF1" w:rsidDel="002A69AF">
          <w:rPr>
            <w:rStyle w:val="Hyperlink"/>
            <w:lang w:val="en-GB"/>
          </w:rPr>
          <w:t>F</w:t>
        </w:r>
        <w:r w:rsidRPr="00A71FF1">
          <w:rPr>
            <w:rStyle w:val="Hyperlink"/>
            <w:lang w:val="en-GB"/>
          </w:rPr>
          <w:t>igure C-1</w:t>
        </w:r>
      </w:hyperlink>
      <w:r>
        <w:rPr>
          <w:lang w:val="en-GB"/>
        </w:rPr>
        <w:t xml:space="preserve"> </w:t>
      </w:r>
      <w:r w:rsidR="002A69AF">
        <w:rPr>
          <w:lang w:val="en-GB"/>
        </w:rPr>
        <w:t xml:space="preserve">shows that </w:t>
      </w:r>
      <w:r>
        <w:rPr>
          <w:lang w:val="en-GB"/>
        </w:rPr>
        <w:t>the greater Auckland region, Hawke’s Bay, Wairarapa, Wellington</w:t>
      </w:r>
      <w:r w:rsidR="002A69AF">
        <w:rPr>
          <w:lang w:val="en-GB"/>
        </w:rPr>
        <w:t>,</w:t>
      </w:r>
      <w:r>
        <w:rPr>
          <w:lang w:val="en-GB"/>
        </w:rPr>
        <w:t xml:space="preserve"> Nelson, </w:t>
      </w:r>
      <w:r w:rsidDel="00C053B4">
        <w:rPr>
          <w:lang w:val="en-GB"/>
        </w:rPr>
        <w:t>Marlborough</w:t>
      </w:r>
      <w:r w:rsidR="00C053B4">
        <w:rPr>
          <w:lang w:val="en-GB"/>
        </w:rPr>
        <w:t>,</w:t>
      </w:r>
      <w:r>
        <w:rPr>
          <w:lang w:val="en-GB"/>
        </w:rPr>
        <w:t xml:space="preserve"> and the coast north of </w:t>
      </w:r>
      <w:proofErr w:type="spellStart"/>
      <w:r>
        <w:rPr>
          <w:lang w:val="en-GB"/>
        </w:rPr>
        <w:t>Kaikōura</w:t>
      </w:r>
      <w:proofErr w:type="spellEnd"/>
      <w:r>
        <w:rPr>
          <w:lang w:val="en-GB"/>
        </w:rPr>
        <w:t xml:space="preserve"> are all experiencing subsidence at rates greater than 2 mm/yr. In these locations</w:t>
      </w:r>
      <w:r w:rsidR="002A69AF">
        <w:rPr>
          <w:lang w:val="en-GB"/>
        </w:rPr>
        <w:t>,</w:t>
      </w:r>
      <w:r>
        <w:rPr>
          <w:lang w:val="en-GB"/>
        </w:rPr>
        <w:t xml:space="preserve"> VLMs make a significant contribution to RSLR projections</w:t>
      </w:r>
      <w:r w:rsidR="00A71FF1">
        <w:rPr>
          <w:lang w:val="en-GB"/>
        </w:rPr>
        <w:t>,</w:t>
      </w:r>
      <w:r>
        <w:rPr>
          <w:lang w:val="en-GB"/>
        </w:rPr>
        <w:t xml:space="preserve"> </w:t>
      </w:r>
      <w:r w:rsidR="002A69AF">
        <w:rPr>
          <w:lang w:val="en-GB"/>
        </w:rPr>
        <w:t xml:space="preserve">and </w:t>
      </w:r>
      <w:r>
        <w:rPr>
          <w:lang w:val="en-GB"/>
        </w:rPr>
        <w:t>planning and decision-making timeframes.</w:t>
      </w:r>
    </w:p>
    <w:p w14:paraId="38C9C906" w14:textId="3FDFDC64" w:rsidR="00EE3570" w:rsidRDefault="00304083" w:rsidP="00304083">
      <w:pPr>
        <w:pStyle w:val="BodyText"/>
      </w:pPr>
      <w:r>
        <w:t xml:space="preserve">When using the RSLR projections, note that </w:t>
      </w:r>
      <w:r w:rsidR="002A69AF">
        <w:t xml:space="preserve">VLMs </w:t>
      </w:r>
      <w:r>
        <w:t>in some locations can be highly variable within a 2 km radius. If there is local subsidence due to compaction of reclaimed land, or groundwater has been removed or the region sits across a tectonic boundary, 2 km RSLR projections will provide an average rate and sign of the VLM</w:t>
      </w:r>
      <w:r w:rsidR="00EE3570">
        <w:t>. However, it</w:t>
      </w:r>
      <w:r w:rsidDel="00EE3570">
        <w:t xml:space="preserve"> </w:t>
      </w:r>
      <w:r>
        <w:t xml:space="preserve">may not be accurate for very localised areas. </w:t>
      </w:r>
    </w:p>
    <w:p w14:paraId="7B719BD6" w14:textId="23BC3CE0" w:rsidR="00EE3570" w:rsidRDefault="00304083" w:rsidP="00304083">
      <w:pPr>
        <w:pStyle w:val="BodyText"/>
      </w:pPr>
      <w:r>
        <w:t>The coastal margin of the Thames township is an example</w:t>
      </w:r>
      <w:r w:rsidR="00EE3570">
        <w:t>,</w:t>
      </w:r>
      <w:r>
        <w:t xml:space="preserve"> where the spatially</w:t>
      </w:r>
      <w:r w:rsidR="00EE3570">
        <w:t xml:space="preserve"> </w:t>
      </w:r>
      <w:r>
        <w:t xml:space="preserve">heterogenous pattern of VLM is not fully represented by the 2 </w:t>
      </w:r>
      <w:proofErr w:type="gramStart"/>
      <w:r>
        <w:t>km-spaced</w:t>
      </w:r>
      <w:proofErr w:type="gramEnd"/>
      <w:r>
        <w:t xml:space="preserve"> RSLR projections, because of the following factors: </w:t>
      </w:r>
    </w:p>
    <w:p w14:paraId="48765C24" w14:textId="39065882" w:rsidR="00EE3570" w:rsidRDefault="00304083" w:rsidP="00EE3570">
      <w:pPr>
        <w:pStyle w:val="BodyText"/>
        <w:numPr>
          <w:ilvl w:val="0"/>
          <w:numId w:val="47"/>
        </w:numPr>
      </w:pPr>
      <w:r>
        <w:t xml:space="preserve">it sits astride the eastern margin of the Hauraki Rift Basin </w:t>
      </w:r>
    </w:p>
    <w:p w14:paraId="03CE4B16" w14:textId="07AADC9E" w:rsidR="00EE3570" w:rsidRDefault="00304083" w:rsidP="00EE3570">
      <w:pPr>
        <w:pStyle w:val="BodyText"/>
        <w:numPr>
          <w:ilvl w:val="0"/>
          <w:numId w:val="47"/>
        </w:numPr>
      </w:pPr>
      <w:r>
        <w:t>it is affected by drainage of the Hauraki Plains</w:t>
      </w:r>
    </w:p>
    <w:p w14:paraId="313475FF" w14:textId="77777777" w:rsidR="00EE3570" w:rsidRDefault="00304083" w:rsidP="00EE3570">
      <w:pPr>
        <w:pStyle w:val="BodyText"/>
        <w:numPr>
          <w:ilvl w:val="0"/>
          <w:numId w:val="47"/>
        </w:numPr>
      </w:pPr>
      <w:r>
        <w:t xml:space="preserve">parts of the town built along a narrow coastal margin are on subsiding reclaimed land. </w:t>
      </w:r>
    </w:p>
    <w:p w14:paraId="71CBA3A5" w14:textId="1086A15C" w:rsidR="00304083" w:rsidRDefault="00EE3570" w:rsidP="00EE3570">
      <w:pPr>
        <w:pStyle w:val="BodyText"/>
      </w:pPr>
      <w:r>
        <w:t>Still</w:t>
      </w:r>
      <w:r w:rsidR="00304083">
        <w:t>, by sampling the VLM on a 2</w:t>
      </w:r>
      <w:r w:rsidR="001268A9">
        <w:t>-</w:t>
      </w:r>
      <w:r w:rsidR="00304083">
        <w:t xml:space="preserve">km grid, spatial variability is captured within the uncertainties of each of the VLM estimates in RSLR projections. If a specific VLM rate is determined from local monitoring and is different than the averaged VLM from </w:t>
      </w:r>
      <w:proofErr w:type="spellStart"/>
      <w:r w:rsidR="00304083">
        <w:t>NZSeaRise</w:t>
      </w:r>
      <w:proofErr w:type="spellEnd"/>
      <w:r w:rsidR="00304083" w:rsidDel="00EE3570">
        <w:t xml:space="preserve"> on the </w:t>
      </w:r>
      <w:proofErr w:type="spellStart"/>
      <w:r w:rsidR="00304083" w:rsidDel="00EE3570">
        <w:t>Takiwā</w:t>
      </w:r>
      <w:proofErr w:type="spellEnd"/>
      <w:r w:rsidR="00304083" w:rsidDel="00EE3570">
        <w:t xml:space="preserve"> platform</w:t>
      </w:r>
      <w:r w:rsidR="00304083">
        <w:t xml:space="preserve">, then that estimated VLM rate can be added to SSP projections </w:t>
      </w:r>
      <w:r w:rsidR="00304083" w:rsidRPr="00303EC5">
        <w:t>without VLM</w:t>
      </w:r>
      <w:r w:rsidR="00304083">
        <w:t xml:space="preserve"> (see </w:t>
      </w:r>
      <w:hyperlink w:anchor="Equation1" w:history="1">
        <w:r w:rsidRPr="00887F33">
          <w:rPr>
            <w:rStyle w:val="Hyperlink"/>
          </w:rPr>
          <w:t>e</w:t>
        </w:r>
        <w:r w:rsidR="00304083" w:rsidRPr="00887F33">
          <w:rPr>
            <w:rStyle w:val="Hyperlink"/>
          </w:rPr>
          <w:t>quation 1</w:t>
        </w:r>
      </w:hyperlink>
      <w:r w:rsidR="00304083">
        <w:t>).</w:t>
      </w:r>
    </w:p>
    <w:p w14:paraId="2ED0C4C0" w14:textId="0F17B527" w:rsidR="007839F8" w:rsidRDefault="007839F8" w:rsidP="007839F8">
      <w:pPr>
        <w:pStyle w:val="Figureheading"/>
      </w:pPr>
      <w:bookmarkStart w:id="78" w:name="FigureC1"/>
      <w:bookmarkStart w:id="79" w:name="_Toc109809108"/>
      <w:r>
        <w:t>Figure C-1</w:t>
      </w:r>
      <w:bookmarkEnd w:id="78"/>
      <w:r>
        <w:t>:</w:t>
      </w:r>
      <w:r>
        <w:tab/>
      </w:r>
      <w:r w:rsidR="008139B0">
        <w:t>Mean vertical movement</w:t>
      </w:r>
      <w:r w:rsidR="003E47E8">
        <w:t xml:space="preserve"> (mm/</w:t>
      </w:r>
      <w:proofErr w:type="spellStart"/>
      <w:r w:rsidR="003E47E8">
        <w:t>yr</w:t>
      </w:r>
      <w:proofErr w:type="spellEnd"/>
      <w:r w:rsidR="003E47E8">
        <w:t>) of the land surface</w:t>
      </w:r>
      <w:r w:rsidR="00756E48">
        <w:t xml:space="preserve"> around the coastline of Aotearoa</w:t>
      </w:r>
      <w:r w:rsidR="001268A9">
        <w:t xml:space="preserve"> </w:t>
      </w:r>
      <w:r w:rsidR="00756E48">
        <w:t>New Zealand</w:t>
      </w:r>
      <w:bookmarkEnd w:id="79"/>
    </w:p>
    <w:p w14:paraId="3DF3A406" w14:textId="77777777" w:rsidR="00304083" w:rsidRDefault="00304083" w:rsidP="00554B30">
      <w:r>
        <w:rPr>
          <w:noProof/>
        </w:rPr>
        <w:drawing>
          <wp:inline distT="0" distB="0" distL="0" distR="0" wp14:anchorId="793C900A" wp14:editId="1F482622">
            <wp:extent cx="3785870" cy="5054600"/>
            <wp:effectExtent l="0" t="0" r="5080" b="0"/>
            <wp:docPr id="10" name="Picture 10" descr="A map of New Zealand showing the mean vertical land movement in millimetres per year, spaced at 2-kilometre distances along the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New Zealand showing the mean vertical land movement in millimetres per year, spaced at 2-kilometre distances along the coastline."/>
                    <pic:cNvPicPr>
                      <a:picLocks noChangeAspect="1"/>
                    </pic:cNvPicPr>
                  </pic:nvPicPr>
                  <pic:blipFill>
                    <a:blip r:embed="rId39"/>
                    <a:stretch>
                      <a:fillRect/>
                    </a:stretch>
                  </pic:blipFill>
                  <pic:spPr>
                    <a:xfrm>
                      <a:off x="0" y="0"/>
                      <a:ext cx="3785870" cy="5054600"/>
                    </a:xfrm>
                    <a:prstGeom prst="rect">
                      <a:avLst/>
                    </a:prstGeom>
                  </pic:spPr>
                </pic:pic>
              </a:graphicData>
            </a:graphic>
          </wp:inline>
        </w:drawing>
      </w:r>
    </w:p>
    <w:p w14:paraId="60AE217C" w14:textId="65D0F295" w:rsidR="00304083" w:rsidRDefault="00756E48" w:rsidP="00756E48">
      <w:pPr>
        <w:pStyle w:val="Note"/>
        <w:rPr>
          <w:rFonts w:asciiTheme="minorHAnsi" w:hAnsiTheme="minorHAnsi"/>
        </w:rPr>
      </w:pPr>
      <w:r>
        <w:rPr>
          <w:b/>
          <w:bCs/>
        </w:rPr>
        <w:t xml:space="preserve">Notes for </w:t>
      </w:r>
      <w:r w:rsidR="00092C72">
        <w:rPr>
          <w:b/>
          <w:bCs/>
        </w:rPr>
        <w:t>f</w:t>
      </w:r>
      <w:r w:rsidR="00304083">
        <w:rPr>
          <w:b/>
          <w:bCs/>
        </w:rPr>
        <w:t xml:space="preserve">igure C-1. </w:t>
      </w:r>
      <w:r w:rsidR="00304083">
        <w:t>Mean vertical movement (mm/</w:t>
      </w:r>
      <w:proofErr w:type="spellStart"/>
      <w:r w:rsidR="00304083">
        <w:t>yr</w:t>
      </w:r>
      <w:proofErr w:type="spellEnd"/>
      <w:r w:rsidR="00304083">
        <w:t xml:space="preserve">) of the land surface derived from </w:t>
      </w:r>
      <w:proofErr w:type="spellStart"/>
      <w:r w:rsidR="00304083">
        <w:t>InSAR</w:t>
      </w:r>
      <w:proofErr w:type="spellEnd"/>
      <w:r w:rsidR="00304083">
        <w:t xml:space="preserve"> data averaged for sites</w:t>
      </w:r>
      <w:r w:rsidR="00EE3570">
        <w:t xml:space="preserve"> every 2 km</w:t>
      </w:r>
      <w:r w:rsidR="00304083">
        <w:t xml:space="preserve"> around the coastline of Aotearoa</w:t>
      </w:r>
      <w:r w:rsidR="00EE3570">
        <w:t xml:space="preserve"> </w:t>
      </w:r>
      <w:r w:rsidR="00304083">
        <w:t xml:space="preserve">New Zealand. Boxes show the location of GNSS sites used to calibrate </w:t>
      </w:r>
      <w:proofErr w:type="spellStart"/>
      <w:r w:rsidR="00304083">
        <w:t>InSAR</w:t>
      </w:r>
      <w:proofErr w:type="spellEnd"/>
      <w:r w:rsidR="00304083">
        <w:t xml:space="preserve"> data. </w:t>
      </w:r>
      <w:r w:rsidR="00EE3570">
        <w:t>The</w:t>
      </w:r>
      <w:r w:rsidR="00304083">
        <w:t xml:space="preserve"> parts of the </w:t>
      </w:r>
      <w:proofErr w:type="gramStart"/>
      <w:r w:rsidR="00304083">
        <w:t>coastline coloured</w:t>
      </w:r>
      <w:proofErr w:type="gramEnd"/>
      <w:r w:rsidR="00304083">
        <w:t xml:space="preserve"> white are relatively stable</w:t>
      </w:r>
      <w:r w:rsidR="00EE3570">
        <w:t>,</w:t>
      </w:r>
      <w:r w:rsidR="00304083">
        <w:t xml:space="preserve"> and RSLR projections </w:t>
      </w:r>
      <w:r w:rsidR="00EE3570">
        <w:t xml:space="preserve">for these areas </w:t>
      </w:r>
      <w:r w:rsidR="00304083">
        <w:t>are less influenced by VLM.</w:t>
      </w:r>
    </w:p>
    <w:p w14:paraId="5EA00BDC" w14:textId="16B5225A" w:rsidR="00D51469" w:rsidRPr="00554B30" w:rsidRDefault="00D51469" w:rsidP="00554B30">
      <w:r w:rsidRPr="00554B30">
        <w:br w:type="page"/>
      </w:r>
    </w:p>
    <w:p w14:paraId="3CF3D243" w14:textId="77777777" w:rsidR="00B51610" w:rsidRPr="006B77BB" w:rsidRDefault="00B51610" w:rsidP="00585FD0">
      <w:pPr>
        <w:pStyle w:val="Heading1"/>
      </w:pPr>
      <w:bookmarkStart w:id="80" w:name="_Toc109397591"/>
      <w:bookmarkStart w:id="81" w:name="_Toc109809093"/>
      <w:r w:rsidRPr="006B77BB">
        <w:t>References</w:t>
      </w:r>
      <w:bookmarkEnd w:id="80"/>
      <w:bookmarkEnd w:id="81"/>
    </w:p>
    <w:p w14:paraId="6650F113" w14:textId="324B2ADC" w:rsidR="00E14296" w:rsidRPr="00E14296" w:rsidRDefault="00E14296" w:rsidP="00E14296">
      <w:pPr>
        <w:pStyle w:val="References"/>
        <w:rPr>
          <w:lang w:val="nl-NL"/>
        </w:rPr>
      </w:pPr>
      <w:r w:rsidRPr="00E14296">
        <w:rPr>
          <w:lang w:val="nl-NL"/>
        </w:rPr>
        <w:t xml:space="preserve">Altamimi Z, et al. 2016. ITRF2014: A new release of the International Terrestrial Reference Frame modeling nonlinear station motions. </w:t>
      </w:r>
      <w:r w:rsidRPr="00E14296">
        <w:rPr>
          <w:i/>
          <w:iCs/>
          <w:lang w:val="nl-NL"/>
        </w:rPr>
        <w:t xml:space="preserve">Journal of Geophysical Research: Solid Earth </w:t>
      </w:r>
      <w:r w:rsidRPr="00E82AD0">
        <w:rPr>
          <w:lang w:val="nl-NL"/>
        </w:rPr>
        <w:t>121(8)</w:t>
      </w:r>
      <w:r w:rsidRPr="00392279">
        <w:rPr>
          <w:lang w:val="nl-NL"/>
        </w:rPr>
        <w:t>:</w:t>
      </w:r>
      <w:r w:rsidRPr="00E14296">
        <w:rPr>
          <w:lang w:val="nl-NL"/>
        </w:rPr>
        <w:t xml:space="preserve"> 6109-6131.</w:t>
      </w:r>
    </w:p>
    <w:p w14:paraId="4A3D473C" w14:textId="41658791" w:rsidR="00E14296" w:rsidRPr="00E14296" w:rsidRDefault="00E14296" w:rsidP="00E14296">
      <w:pPr>
        <w:pStyle w:val="References"/>
        <w:rPr>
          <w:lang w:val="nl-NL"/>
        </w:rPr>
      </w:pPr>
      <w:r w:rsidRPr="00E14296">
        <w:rPr>
          <w:lang w:val="nl-NL"/>
        </w:rPr>
        <w:t>Bamber JL, Oppenheimer M, Kopp RE, Aspinall WP, Cooke RM</w:t>
      </w:r>
      <w:r w:rsidR="00392279">
        <w:rPr>
          <w:lang w:val="nl-NL"/>
        </w:rPr>
        <w:t>.</w:t>
      </w:r>
      <w:r w:rsidRPr="00E14296">
        <w:rPr>
          <w:lang w:val="nl-NL"/>
        </w:rPr>
        <w:t xml:space="preserve"> 2019. Ice sheet contributions to future sea-level rise from structured expert judgment. </w:t>
      </w:r>
      <w:r w:rsidRPr="00E14296">
        <w:rPr>
          <w:i/>
          <w:iCs/>
          <w:lang w:val="nl-NL"/>
        </w:rPr>
        <w:t xml:space="preserve">PNAS </w:t>
      </w:r>
      <w:r w:rsidRPr="00E82AD0">
        <w:rPr>
          <w:lang w:val="nl-NL"/>
        </w:rPr>
        <w:t>116 (23)</w:t>
      </w:r>
      <w:r w:rsidRPr="00392279">
        <w:rPr>
          <w:lang w:val="nl-NL"/>
        </w:rPr>
        <w:t>:</w:t>
      </w:r>
      <w:r w:rsidRPr="00E14296">
        <w:rPr>
          <w:lang w:val="nl-NL"/>
        </w:rPr>
        <w:t xml:space="preserve"> 11195-11200. </w:t>
      </w:r>
      <w:hyperlink r:id="rId40" w:history="1">
        <w:r w:rsidRPr="00E14296">
          <w:rPr>
            <w:rStyle w:val="Hyperlink"/>
            <w:lang w:val="nl-NL"/>
          </w:rPr>
          <w:t>https://doi.org/10.1073/pnas.1817205116</w:t>
        </w:r>
      </w:hyperlink>
      <w:r w:rsidRPr="00E14296">
        <w:rPr>
          <w:lang w:val="nl-NL"/>
        </w:rPr>
        <w:t xml:space="preserve"> </w:t>
      </w:r>
    </w:p>
    <w:p w14:paraId="2BE2A0C4" w14:textId="69C4443C" w:rsidR="00E14296" w:rsidRPr="00E14296" w:rsidRDefault="00E14296" w:rsidP="00E14296">
      <w:pPr>
        <w:pStyle w:val="References"/>
      </w:pPr>
      <w:r w:rsidRPr="00E14296">
        <w:rPr>
          <w:lang w:val="nl-NL"/>
        </w:rPr>
        <w:t xml:space="preserve">Beavan RJ, Litchfield NJ. 2012. </w:t>
      </w:r>
      <w:r w:rsidRPr="0050710A">
        <w:rPr>
          <w:i/>
        </w:rPr>
        <w:t>Vertical land movement around the New Zealand coastline: implications for sea-level rise</w:t>
      </w:r>
      <w:r w:rsidRPr="00E14296">
        <w:rPr>
          <w:iCs/>
        </w:rPr>
        <w:t>.</w:t>
      </w:r>
      <w:r w:rsidRPr="00E14296">
        <w:t xml:space="preserve"> Lower Hutt: GNS Science. </w:t>
      </w:r>
      <w:hyperlink r:id="rId41" w:history="1">
        <w:r w:rsidRPr="00E14296">
          <w:rPr>
            <w:rStyle w:val="Hyperlink"/>
          </w:rPr>
          <w:t>www.gns.cri.nz/static/pubs/2012/SR%202012-029.pdf</w:t>
        </w:r>
      </w:hyperlink>
      <w:r w:rsidRPr="00E14296">
        <w:t xml:space="preserve"> </w:t>
      </w:r>
    </w:p>
    <w:p w14:paraId="303E3C1F" w14:textId="6BE01476" w:rsidR="00E14296" w:rsidRPr="00E14296" w:rsidRDefault="00E14296" w:rsidP="00E14296">
      <w:pPr>
        <w:pStyle w:val="References"/>
      </w:pPr>
      <w:r w:rsidRPr="00E14296">
        <w:t>Chen D,</w:t>
      </w:r>
      <w:r w:rsidRPr="00E14296" w:rsidDel="00392279">
        <w:t xml:space="preserve"> </w:t>
      </w:r>
      <w:r w:rsidRPr="00E14296">
        <w:t>Rojas</w:t>
      </w:r>
      <w:r w:rsidR="00392279">
        <w:t xml:space="preserve"> M</w:t>
      </w:r>
      <w:r w:rsidRPr="00E14296">
        <w:t xml:space="preserve">, </w:t>
      </w:r>
      <w:proofErr w:type="spellStart"/>
      <w:r w:rsidRPr="00E14296">
        <w:t>Samset</w:t>
      </w:r>
      <w:proofErr w:type="spellEnd"/>
      <w:r w:rsidR="00392279">
        <w:t xml:space="preserve"> BH</w:t>
      </w:r>
      <w:r w:rsidRPr="00E14296">
        <w:t>, Cobb</w:t>
      </w:r>
      <w:r w:rsidR="00392279">
        <w:t xml:space="preserve"> K</w:t>
      </w:r>
      <w:r w:rsidRPr="00E14296">
        <w:t>, Diongue Niang</w:t>
      </w:r>
      <w:r w:rsidR="00392279">
        <w:t xml:space="preserve"> A</w:t>
      </w:r>
      <w:r w:rsidRPr="00E14296">
        <w:t>, Edwards</w:t>
      </w:r>
      <w:r w:rsidR="00392279">
        <w:t xml:space="preserve"> P</w:t>
      </w:r>
      <w:r w:rsidRPr="00E14296">
        <w:t>, Emori</w:t>
      </w:r>
      <w:r w:rsidR="00392279">
        <w:t xml:space="preserve"> S</w:t>
      </w:r>
      <w:r w:rsidRPr="00E14296">
        <w:t>, Faria</w:t>
      </w:r>
      <w:r w:rsidR="00392279">
        <w:t xml:space="preserve"> SH</w:t>
      </w:r>
      <w:r w:rsidRPr="00E14296">
        <w:t>, Hawkins</w:t>
      </w:r>
      <w:r w:rsidR="00392279">
        <w:t xml:space="preserve"> E</w:t>
      </w:r>
      <w:r w:rsidRPr="00E14296">
        <w:t>, Hope</w:t>
      </w:r>
      <w:r w:rsidR="00392279">
        <w:t xml:space="preserve"> P</w:t>
      </w:r>
      <w:r w:rsidRPr="00E14296">
        <w:t>, Huybrechts</w:t>
      </w:r>
      <w:r w:rsidR="00392279">
        <w:t xml:space="preserve"> P</w:t>
      </w:r>
      <w:r w:rsidRPr="00E14296">
        <w:t xml:space="preserve">, </w:t>
      </w:r>
      <w:proofErr w:type="spellStart"/>
      <w:r w:rsidRPr="00E14296">
        <w:t>Meinshausen</w:t>
      </w:r>
      <w:proofErr w:type="spellEnd"/>
      <w:r w:rsidR="00392279">
        <w:t xml:space="preserve"> M</w:t>
      </w:r>
      <w:r w:rsidRPr="00E14296">
        <w:t>, Mustafa</w:t>
      </w:r>
      <w:r w:rsidR="00392279">
        <w:t xml:space="preserve"> SK</w:t>
      </w:r>
      <w:r w:rsidRPr="00E14296">
        <w:t>, Plattner</w:t>
      </w:r>
      <w:r w:rsidR="00392279">
        <w:t xml:space="preserve"> GK</w:t>
      </w:r>
      <w:r w:rsidRPr="00E14296">
        <w:t xml:space="preserve">, </w:t>
      </w:r>
      <w:proofErr w:type="spellStart"/>
      <w:r w:rsidRPr="00E14296">
        <w:t>Tréguier</w:t>
      </w:r>
      <w:proofErr w:type="spellEnd"/>
      <w:r w:rsidR="00392279">
        <w:t xml:space="preserve"> AM.</w:t>
      </w:r>
      <w:r w:rsidRPr="00E14296">
        <w:t xml:space="preserve"> 2021. Framing, Context, and Methods. In: </w:t>
      </w:r>
      <w:r w:rsidR="00275D63" w:rsidRPr="00E14296">
        <w:t>Masson-Delmotte V, Zhai</w:t>
      </w:r>
      <w:r w:rsidR="00275D63">
        <w:t xml:space="preserve"> P</w:t>
      </w:r>
      <w:r w:rsidR="00275D63" w:rsidRPr="00E14296">
        <w:t>, Pirani</w:t>
      </w:r>
      <w:r w:rsidR="00275D63">
        <w:t xml:space="preserve"> A</w:t>
      </w:r>
      <w:r w:rsidR="00275D63" w:rsidRPr="00E14296">
        <w:t>, Connors</w:t>
      </w:r>
      <w:r w:rsidR="00275D63">
        <w:t xml:space="preserve"> SL</w:t>
      </w:r>
      <w:r w:rsidR="00275D63" w:rsidRPr="00E14296">
        <w:t xml:space="preserve">, </w:t>
      </w:r>
      <w:proofErr w:type="spellStart"/>
      <w:r w:rsidR="00275D63" w:rsidRPr="00E14296">
        <w:t>Péan</w:t>
      </w:r>
      <w:proofErr w:type="spellEnd"/>
      <w:r w:rsidR="00275D63">
        <w:t xml:space="preserve"> C</w:t>
      </w:r>
      <w:r w:rsidR="00275D63" w:rsidRPr="00E14296">
        <w:t>, Berger</w:t>
      </w:r>
      <w:r w:rsidR="00275D63">
        <w:t xml:space="preserve"> S</w:t>
      </w:r>
      <w:r w:rsidR="00275D63" w:rsidRPr="00E14296">
        <w:t xml:space="preserve">, </w:t>
      </w:r>
      <w:proofErr w:type="spellStart"/>
      <w:r w:rsidR="00275D63" w:rsidRPr="00E14296">
        <w:t>Caud</w:t>
      </w:r>
      <w:proofErr w:type="spellEnd"/>
      <w:r w:rsidR="00275D63">
        <w:t xml:space="preserve"> N</w:t>
      </w:r>
      <w:r w:rsidR="00275D63" w:rsidRPr="00E14296">
        <w:t>, Chen</w:t>
      </w:r>
      <w:r w:rsidR="00275D63">
        <w:t xml:space="preserve"> Y</w:t>
      </w:r>
      <w:r w:rsidR="00275D63" w:rsidRPr="00E14296">
        <w:t>, Goldfarb</w:t>
      </w:r>
      <w:r w:rsidR="00275D63">
        <w:t xml:space="preserve"> L</w:t>
      </w:r>
      <w:r w:rsidR="00275D63" w:rsidRPr="00E14296">
        <w:t>, Gomis</w:t>
      </w:r>
      <w:r w:rsidR="00275D63">
        <w:t xml:space="preserve"> MI</w:t>
      </w:r>
      <w:r w:rsidR="00275D63" w:rsidRPr="00E14296">
        <w:t>, Huang</w:t>
      </w:r>
      <w:r w:rsidR="00275D63">
        <w:t xml:space="preserve"> M</w:t>
      </w:r>
      <w:r w:rsidR="00275D63" w:rsidRPr="00E14296">
        <w:t>, Leitzell</w:t>
      </w:r>
      <w:r w:rsidR="00275D63">
        <w:t xml:space="preserve"> K</w:t>
      </w:r>
      <w:r w:rsidR="00275D63" w:rsidRPr="00E14296">
        <w:t xml:space="preserve">, </w:t>
      </w:r>
      <w:proofErr w:type="spellStart"/>
      <w:r w:rsidR="00275D63" w:rsidRPr="00E14296">
        <w:t>Lonnoy</w:t>
      </w:r>
      <w:proofErr w:type="spellEnd"/>
      <w:r w:rsidR="00275D63">
        <w:t xml:space="preserve"> E</w:t>
      </w:r>
      <w:r w:rsidR="00275D63" w:rsidRPr="00E14296">
        <w:t>, Matthews</w:t>
      </w:r>
      <w:r w:rsidR="00275D63">
        <w:t xml:space="preserve"> JBR</w:t>
      </w:r>
      <w:r w:rsidR="00275D63" w:rsidRPr="00E14296">
        <w:t>, Maycock</w:t>
      </w:r>
      <w:r w:rsidR="00275D63">
        <w:t xml:space="preserve"> TK</w:t>
      </w:r>
      <w:r w:rsidR="00275D63" w:rsidRPr="00E14296">
        <w:t>, Waterfield</w:t>
      </w:r>
      <w:r w:rsidR="00275D63">
        <w:t xml:space="preserve"> T</w:t>
      </w:r>
      <w:r w:rsidR="00275D63" w:rsidRPr="00E14296">
        <w:t xml:space="preserve">, </w:t>
      </w:r>
      <w:proofErr w:type="spellStart"/>
      <w:r w:rsidR="00275D63" w:rsidRPr="00E14296">
        <w:t>Yelekçi</w:t>
      </w:r>
      <w:proofErr w:type="spellEnd"/>
      <w:r w:rsidR="00275D63">
        <w:t xml:space="preserve"> O</w:t>
      </w:r>
      <w:r w:rsidR="00275D63" w:rsidRPr="00E14296">
        <w:t xml:space="preserve">, Yu </w:t>
      </w:r>
      <w:r w:rsidR="00275D63">
        <w:t xml:space="preserve">R, </w:t>
      </w:r>
      <w:r w:rsidR="00275D63" w:rsidRPr="00E14296">
        <w:t>Zhou</w:t>
      </w:r>
      <w:r w:rsidR="00275D63">
        <w:t xml:space="preserve"> B</w:t>
      </w:r>
      <w:r w:rsidR="00275D63" w:rsidRPr="00E14296">
        <w:t xml:space="preserve"> (eds)</w:t>
      </w:r>
      <w:r w:rsidR="00DC35AC">
        <w:t>.</w:t>
      </w:r>
      <w:r w:rsidR="00275D63" w:rsidRPr="00E14296">
        <w:t xml:space="preserve"> </w:t>
      </w:r>
      <w:r w:rsidRPr="00E14296">
        <w:rPr>
          <w:i/>
          <w:iCs/>
        </w:rPr>
        <w:t>Climate Change 2021: The Physical Science Basis</w:t>
      </w:r>
      <w:r w:rsidRPr="00E14296">
        <w:t xml:space="preserve">. </w:t>
      </w:r>
      <w:r w:rsidRPr="00E82AD0">
        <w:rPr>
          <w:i/>
        </w:rPr>
        <w:t>Contribution of Working Group I to the Sixth Assessment Report of the Intergovernmental Panel on Climate Change</w:t>
      </w:r>
      <w:r w:rsidR="00275D63">
        <w:rPr>
          <w:i/>
          <w:iCs/>
        </w:rPr>
        <w:t>.</w:t>
      </w:r>
      <w:r w:rsidDel="00275D63">
        <w:t xml:space="preserve"> </w:t>
      </w:r>
      <w:r w:rsidRPr="00E14296">
        <w:rPr>
          <w:i/>
          <w:iCs/>
        </w:rPr>
        <w:t>IPCC AR6, WGI, Chapter 1</w:t>
      </w:r>
      <w:r w:rsidR="00275D63">
        <w:t>.</w:t>
      </w:r>
      <w:r w:rsidR="004466BE">
        <w:t xml:space="preserve"> </w:t>
      </w:r>
      <w:r w:rsidR="004466BE" w:rsidRPr="00E14296">
        <w:t>Cambridge University Press</w:t>
      </w:r>
      <w:r w:rsidR="00DC35AC">
        <w:t>.</w:t>
      </w:r>
      <w:r w:rsidR="007D56F3">
        <w:t xml:space="preserve"> </w:t>
      </w:r>
      <w:hyperlink r:id="rId42" w:history="1">
        <w:r w:rsidR="003E6B6B" w:rsidRPr="003E6B6B">
          <w:rPr>
            <w:rStyle w:val="Hyperlink"/>
          </w:rPr>
          <w:t>https://www.ipcc.ch/report/ar6/wg1/downloads/report/IPCC_AR6_WGI_Chapter_01.pdf</w:t>
        </w:r>
      </w:hyperlink>
      <w:r w:rsidRPr="00E14296">
        <w:t xml:space="preserve"> </w:t>
      </w:r>
    </w:p>
    <w:p w14:paraId="5E953E96" w14:textId="021012F3" w:rsidR="00E14296" w:rsidRPr="00E14296" w:rsidRDefault="00E14296" w:rsidP="00E14296">
      <w:pPr>
        <w:pStyle w:val="References"/>
      </w:pPr>
      <w:r w:rsidRPr="00E14296">
        <w:t xml:space="preserve">Church JA, Clark PU, Cazenave A, Gregory JM, </w:t>
      </w:r>
      <w:proofErr w:type="spellStart"/>
      <w:r w:rsidRPr="00E14296">
        <w:t>Jevrejeva</w:t>
      </w:r>
      <w:proofErr w:type="spellEnd"/>
      <w:r w:rsidRPr="00E14296">
        <w:t xml:space="preserve"> S, Levermann A, Merrifield MA, Milne GA, Nerem RS, Nunn PD, Payne AJ, Pfeffer WT, Stammer D, Unnikrishnan AS. 2013. Sea level change. In: Stocker</w:t>
      </w:r>
      <w:r w:rsidR="00D471D8">
        <w:t xml:space="preserve"> TF</w:t>
      </w:r>
      <w:r w:rsidRPr="00E14296">
        <w:t>, Qin</w:t>
      </w:r>
      <w:r w:rsidR="00D471D8">
        <w:t xml:space="preserve"> D</w:t>
      </w:r>
      <w:r w:rsidRPr="00E14296">
        <w:t>, Plattner</w:t>
      </w:r>
      <w:r w:rsidR="00D471D8">
        <w:t xml:space="preserve"> GK</w:t>
      </w:r>
      <w:r w:rsidRPr="00E14296">
        <w:t xml:space="preserve"> et al (eds) </w:t>
      </w:r>
      <w:r w:rsidRPr="00E14296">
        <w:rPr>
          <w:i/>
          <w:iCs/>
        </w:rPr>
        <w:t>Climate Change 2013: The physical science basis</w:t>
      </w:r>
      <w:r w:rsidRPr="00E14296">
        <w:t xml:space="preserve">. Cambridge: Cambridge University Press.  </w:t>
      </w:r>
    </w:p>
    <w:p w14:paraId="1E8EEBB8" w14:textId="4F55027F" w:rsidR="00E14296" w:rsidRPr="00E14296" w:rsidRDefault="00E14296" w:rsidP="00E14296">
      <w:pPr>
        <w:pStyle w:val="References"/>
      </w:pPr>
      <w:r w:rsidRPr="00E14296">
        <w:t>Cooley, S,</w:t>
      </w:r>
      <w:r w:rsidRPr="00E14296" w:rsidDel="00D471D8">
        <w:t xml:space="preserve"> </w:t>
      </w:r>
      <w:r w:rsidRPr="00E14296">
        <w:t>Schoeman</w:t>
      </w:r>
      <w:r w:rsidR="00D471D8">
        <w:t xml:space="preserve"> D</w:t>
      </w:r>
      <w:r w:rsidRPr="00E14296">
        <w:t>, Bopp</w:t>
      </w:r>
      <w:r w:rsidR="00D471D8">
        <w:t xml:space="preserve"> L</w:t>
      </w:r>
      <w:r w:rsidRPr="00E14296">
        <w:t>, Boyd</w:t>
      </w:r>
      <w:r w:rsidR="00D471D8">
        <w:t xml:space="preserve"> P</w:t>
      </w:r>
      <w:r w:rsidRPr="00E14296">
        <w:t>, Donner</w:t>
      </w:r>
      <w:r w:rsidR="00D471D8">
        <w:t xml:space="preserve"> S</w:t>
      </w:r>
      <w:r w:rsidRPr="00E14296">
        <w:t>, Ghebrehiwet</w:t>
      </w:r>
      <w:r w:rsidR="00D471D8">
        <w:t xml:space="preserve"> DY</w:t>
      </w:r>
      <w:r w:rsidRPr="00E14296">
        <w:t>,</w:t>
      </w:r>
      <w:r w:rsidRPr="00E14296" w:rsidDel="00D471D8">
        <w:t xml:space="preserve"> </w:t>
      </w:r>
      <w:r w:rsidRPr="00E14296">
        <w:t>Ito</w:t>
      </w:r>
      <w:r w:rsidR="00D471D8">
        <w:t xml:space="preserve"> SI</w:t>
      </w:r>
      <w:r w:rsidRPr="00E14296">
        <w:t>, Kiessling</w:t>
      </w:r>
      <w:r w:rsidR="00D471D8">
        <w:t xml:space="preserve"> W</w:t>
      </w:r>
      <w:r w:rsidRPr="00E14296">
        <w:t>, Martinetto</w:t>
      </w:r>
      <w:r w:rsidR="00D471D8">
        <w:t xml:space="preserve"> P</w:t>
      </w:r>
      <w:r w:rsidRPr="00E14296">
        <w:t>, Ojea</w:t>
      </w:r>
      <w:r w:rsidR="00D471D8">
        <w:t xml:space="preserve"> E</w:t>
      </w:r>
      <w:r w:rsidRPr="00E14296">
        <w:t>,</w:t>
      </w:r>
      <w:r w:rsidRPr="00E14296" w:rsidDel="00D471D8">
        <w:t xml:space="preserve"> </w:t>
      </w:r>
      <w:proofErr w:type="spellStart"/>
      <w:r w:rsidRPr="00E14296">
        <w:t>Racault</w:t>
      </w:r>
      <w:proofErr w:type="spellEnd"/>
      <w:r w:rsidR="00D471D8">
        <w:t xml:space="preserve"> MF</w:t>
      </w:r>
      <w:r w:rsidRPr="00E14296">
        <w:t>, Rost</w:t>
      </w:r>
      <w:r w:rsidR="00D471D8">
        <w:t xml:space="preserve"> B</w:t>
      </w:r>
      <w:r w:rsidRPr="00E14296">
        <w:t>, Skern-Mauritzen</w:t>
      </w:r>
      <w:r w:rsidR="00D471D8">
        <w:t xml:space="preserve"> M.</w:t>
      </w:r>
      <w:r w:rsidRPr="00E14296">
        <w:t xml:space="preserve"> 2022. Ocean and Coastal Ecosystems and their Services. In:</w:t>
      </w:r>
      <w:r w:rsidRPr="00E14296">
        <w:rPr>
          <w:i/>
          <w:iCs/>
        </w:rPr>
        <w:t xml:space="preserve"> </w:t>
      </w:r>
      <w:proofErr w:type="spellStart"/>
      <w:r w:rsidR="00D471D8" w:rsidRPr="00E14296">
        <w:t>Pörtner</w:t>
      </w:r>
      <w:proofErr w:type="spellEnd"/>
      <w:r w:rsidR="00D471D8">
        <w:t xml:space="preserve"> HO</w:t>
      </w:r>
      <w:r w:rsidR="00D471D8" w:rsidRPr="00E14296">
        <w:t>, Roberts</w:t>
      </w:r>
      <w:r w:rsidR="00D471D8">
        <w:t xml:space="preserve"> DC</w:t>
      </w:r>
      <w:r w:rsidR="00D471D8" w:rsidRPr="00E14296">
        <w:t>, Tignor</w:t>
      </w:r>
      <w:r w:rsidR="00D471D8">
        <w:t xml:space="preserve"> M</w:t>
      </w:r>
      <w:r w:rsidR="00D471D8" w:rsidRPr="00E14296">
        <w:t xml:space="preserve">, </w:t>
      </w:r>
      <w:proofErr w:type="spellStart"/>
      <w:r w:rsidR="00D471D8" w:rsidRPr="00E14296">
        <w:t>Poloczanska</w:t>
      </w:r>
      <w:proofErr w:type="spellEnd"/>
      <w:r w:rsidR="00D471D8">
        <w:t xml:space="preserve"> ES</w:t>
      </w:r>
      <w:r w:rsidR="00D471D8" w:rsidRPr="00E14296">
        <w:t xml:space="preserve">, </w:t>
      </w:r>
      <w:proofErr w:type="spellStart"/>
      <w:r w:rsidR="00D471D8" w:rsidRPr="00E14296">
        <w:t>Mintenbeck</w:t>
      </w:r>
      <w:proofErr w:type="spellEnd"/>
      <w:r w:rsidR="00D471D8">
        <w:t xml:space="preserve"> K</w:t>
      </w:r>
      <w:r w:rsidR="00D471D8" w:rsidRPr="00E14296">
        <w:t>, Alegría</w:t>
      </w:r>
      <w:r w:rsidR="00D471D8">
        <w:t xml:space="preserve"> A</w:t>
      </w:r>
      <w:r w:rsidR="00D471D8" w:rsidRPr="00E14296">
        <w:t>, Craig</w:t>
      </w:r>
      <w:r w:rsidR="00D471D8">
        <w:t xml:space="preserve"> M</w:t>
      </w:r>
      <w:r w:rsidR="00D471D8" w:rsidRPr="00E14296">
        <w:t>, Langsdorf</w:t>
      </w:r>
      <w:r w:rsidR="00D471D8">
        <w:t xml:space="preserve"> S</w:t>
      </w:r>
      <w:r w:rsidR="00D471D8" w:rsidRPr="00E14296">
        <w:t xml:space="preserve">, </w:t>
      </w:r>
      <w:proofErr w:type="spellStart"/>
      <w:r w:rsidR="00D471D8" w:rsidRPr="00E14296">
        <w:t>Löschke</w:t>
      </w:r>
      <w:proofErr w:type="spellEnd"/>
      <w:r w:rsidR="00D471D8">
        <w:t xml:space="preserve"> S</w:t>
      </w:r>
      <w:r w:rsidR="00D471D8" w:rsidRPr="00E14296">
        <w:t>, Möller</w:t>
      </w:r>
      <w:r w:rsidR="00D471D8">
        <w:t xml:space="preserve"> V</w:t>
      </w:r>
      <w:r w:rsidR="00D471D8" w:rsidRPr="00E14296">
        <w:t xml:space="preserve">, </w:t>
      </w:r>
      <w:proofErr w:type="spellStart"/>
      <w:r w:rsidR="00D471D8" w:rsidRPr="00E14296">
        <w:t>Okem</w:t>
      </w:r>
      <w:proofErr w:type="spellEnd"/>
      <w:r w:rsidR="00D471D8">
        <w:t xml:space="preserve"> A</w:t>
      </w:r>
      <w:r w:rsidR="00D471D8" w:rsidRPr="00E14296">
        <w:t>, Rama</w:t>
      </w:r>
      <w:r w:rsidR="00D471D8">
        <w:t xml:space="preserve"> B</w:t>
      </w:r>
      <w:r w:rsidR="00D471D8" w:rsidRPr="00E14296">
        <w:t xml:space="preserve"> (eds)</w:t>
      </w:r>
      <w:r w:rsidR="00DC35AC">
        <w:t>.</w:t>
      </w:r>
      <w:r w:rsidR="00D471D8">
        <w:t xml:space="preserve"> </w:t>
      </w:r>
      <w:r w:rsidRPr="00E14296">
        <w:rPr>
          <w:i/>
          <w:iCs/>
        </w:rPr>
        <w:t xml:space="preserve">Climate Change 2022: Impacts, Adaptation, and Vulnerability. </w:t>
      </w:r>
      <w:r w:rsidRPr="00E82AD0">
        <w:rPr>
          <w:i/>
        </w:rPr>
        <w:t>Contribution of Working Group II to the Sixth Assessment Report of the Intergovernmental Panel on Climate Change</w:t>
      </w:r>
      <w:r w:rsidR="00467176">
        <w:rPr>
          <w:i/>
          <w:iCs/>
        </w:rPr>
        <w:t>.</w:t>
      </w:r>
      <w:r w:rsidRPr="00E14296">
        <w:t xml:space="preserve"> </w:t>
      </w:r>
      <w:r w:rsidRPr="00E14296">
        <w:rPr>
          <w:i/>
          <w:iCs/>
        </w:rPr>
        <w:t>IPCC AR6, WGII, Chapter 3</w:t>
      </w:r>
      <w:r w:rsidR="00467176">
        <w:rPr>
          <w:i/>
          <w:iCs/>
        </w:rPr>
        <w:t xml:space="preserve">. </w:t>
      </w:r>
      <w:r w:rsidRPr="00E14296" w:rsidDel="00467176">
        <w:t xml:space="preserve">Cambridge University Press. </w:t>
      </w:r>
      <w:hyperlink r:id="rId43" w:history="1">
        <w:r w:rsidRPr="00E14296">
          <w:rPr>
            <w:rStyle w:val="Hyperlink"/>
          </w:rPr>
          <w:t>https://www.ipcc.ch/report/ar6/wg2/downloads/report/IPCC_AR6_WGII_FinalDraft_Chapter03.pdf</w:t>
        </w:r>
      </w:hyperlink>
      <w:r w:rsidRPr="00E14296">
        <w:t xml:space="preserve"> </w:t>
      </w:r>
    </w:p>
    <w:p w14:paraId="6BF5A28B" w14:textId="38C19DDD" w:rsidR="00E14296" w:rsidRPr="00E14296" w:rsidRDefault="00E14296" w:rsidP="00E14296">
      <w:pPr>
        <w:pStyle w:val="References"/>
      </w:pPr>
      <w:r w:rsidRPr="00E14296">
        <w:rPr>
          <w:lang w:val="it-IT"/>
        </w:rPr>
        <w:t>DeConto RM, Pollard D, Alley RB, Velicogna I, Gasson E, Gomez N</w:t>
      </w:r>
      <w:r w:rsidR="00C053B4">
        <w:rPr>
          <w:lang w:val="it-IT"/>
        </w:rPr>
        <w:t>,</w:t>
      </w:r>
      <w:r w:rsidRPr="00E14296">
        <w:rPr>
          <w:lang w:val="it-IT"/>
        </w:rPr>
        <w:t xml:space="preserve"> </w:t>
      </w:r>
      <w:r w:rsidR="00467176">
        <w:rPr>
          <w:lang w:val="it-IT"/>
        </w:rPr>
        <w:t>e</w:t>
      </w:r>
      <w:r w:rsidRPr="00E14296">
        <w:rPr>
          <w:lang w:val="it-IT"/>
        </w:rPr>
        <w:t xml:space="preserve">t al. </w:t>
      </w:r>
      <w:r w:rsidRPr="00E14296">
        <w:t xml:space="preserve">2021. The Paris Climate Agreement and future sea-level rise from Antarctica. </w:t>
      </w:r>
      <w:r w:rsidRPr="00E14296">
        <w:rPr>
          <w:i/>
          <w:iCs/>
        </w:rPr>
        <w:t xml:space="preserve">Nature </w:t>
      </w:r>
      <w:r w:rsidRPr="00E82AD0">
        <w:t>593</w:t>
      </w:r>
      <w:r w:rsidRPr="00467176">
        <w:t>:</w:t>
      </w:r>
      <w:r w:rsidRPr="00E14296">
        <w:t xml:space="preserve"> 83–89.  </w:t>
      </w:r>
      <w:hyperlink r:id="rId44" w:history="1">
        <w:r w:rsidRPr="00E14296">
          <w:rPr>
            <w:rStyle w:val="Hyperlink"/>
          </w:rPr>
          <w:t>https://doi.org/10.1038/s41586-021-03427-0</w:t>
        </w:r>
      </w:hyperlink>
      <w:r w:rsidRPr="00E14296">
        <w:t xml:space="preserve"> </w:t>
      </w:r>
    </w:p>
    <w:p w14:paraId="4969B13F" w14:textId="441A12B4" w:rsidR="00E14296" w:rsidRPr="00E14296" w:rsidRDefault="00E14296" w:rsidP="00E14296">
      <w:pPr>
        <w:pStyle w:val="References"/>
      </w:pPr>
      <w:r w:rsidRPr="00E14296">
        <w:t>Fox-Kemper B,</w:t>
      </w:r>
      <w:r w:rsidRPr="00E14296" w:rsidDel="00467176">
        <w:t xml:space="preserve"> </w:t>
      </w:r>
      <w:r w:rsidRPr="00E14296">
        <w:t>Hewitt</w:t>
      </w:r>
      <w:r w:rsidR="00467176">
        <w:t xml:space="preserve"> HT</w:t>
      </w:r>
      <w:r w:rsidRPr="00E14296">
        <w:t>, Xiao</w:t>
      </w:r>
      <w:r w:rsidR="00467176">
        <w:t xml:space="preserve"> C</w:t>
      </w:r>
      <w:r w:rsidRPr="00E14296">
        <w:t xml:space="preserve">, </w:t>
      </w:r>
      <w:proofErr w:type="spellStart"/>
      <w:r w:rsidRPr="00E14296">
        <w:t>Aðalgeirsdóttir</w:t>
      </w:r>
      <w:proofErr w:type="spellEnd"/>
      <w:r w:rsidR="00467176">
        <w:t xml:space="preserve"> G</w:t>
      </w:r>
      <w:r w:rsidRPr="00E14296">
        <w:t xml:space="preserve">, </w:t>
      </w:r>
      <w:proofErr w:type="spellStart"/>
      <w:r w:rsidRPr="00E14296">
        <w:t>Drijfhout</w:t>
      </w:r>
      <w:proofErr w:type="spellEnd"/>
      <w:r w:rsidR="00467176">
        <w:t xml:space="preserve"> SS</w:t>
      </w:r>
      <w:r w:rsidRPr="00E14296">
        <w:t>, Edwards</w:t>
      </w:r>
      <w:r w:rsidR="00467176">
        <w:t xml:space="preserve"> TL</w:t>
      </w:r>
      <w:r w:rsidRPr="00E14296">
        <w:t xml:space="preserve">, </w:t>
      </w:r>
      <w:proofErr w:type="spellStart"/>
      <w:r w:rsidRPr="00E14296">
        <w:t>Golledge</w:t>
      </w:r>
      <w:proofErr w:type="spellEnd"/>
      <w:r w:rsidR="00467176">
        <w:t xml:space="preserve"> NR</w:t>
      </w:r>
      <w:r w:rsidRPr="00E14296">
        <w:t>, Hemer</w:t>
      </w:r>
      <w:r w:rsidR="00467176">
        <w:t xml:space="preserve"> M</w:t>
      </w:r>
      <w:r w:rsidRPr="00E14296">
        <w:t>, Kopp</w:t>
      </w:r>
      <w:r w:rsidR="00467176">
        <w:t xml:space="preserve"> RE</w:t>
      </w:r>
      <w:r w:rsidRPr="00E14296">
        <w:t xml:space="preserve">, </w:t>
      </w:r>
      <w:proofErr w:type="spellStart"/>
      <w:r w:rsidRPr="00E14296">
        <w:t>Krinner</w:t>
      </w:r>
      <w:proofErr w:type="spellEnd"/>
      <w:r w:rsidR="00467176">
        <w:t xml:space="preserve"> G</w:t>
      </w:r>
      <w:r w:rsidRPr="00E14296">
        <w:t>, Mix</w:t>
      </w:r>
      <w:r w:rsidR="00467176">
        <w:t xml:space="preserve"> A</w:t>
      </w:r>
      <w:r w:rsidRPr="00E14296">
        <w:t>, Notz</w:t>
      </w:r>
      <w:r w:rsidR="00467176">
        <w:t xml:space="preserve"> D</w:t>
      </w:r>
      <w:r w:rsidRPr="00E14296">
        <w:t>, Nowicki</w:t>
      </w:r>
      <w:r w:rsidR="00467176">
        <w:t xml:space="preserve"> S</w:t>
      </w:r>
      <w:r w:rsidRPr="00E14296">
        <w:t xml:space="preserve">, </w:t>
      </w:r>
      <w:proofErr w:type="spellStart"/>
      <w:r w:rsidRPr="00E14296">
        <w:t>Nurhati</w:t>
      </w:r>
      <w:proofErr w:type="spellEnd"/>
      <w:r w:rsidR="00467176">
        <w:t xml:space="preserve"> IS</w:t>
      </w:r>
      <w:r w:rsidRPr="00E14296">
        <w:t>, Ruiz</w:t>
      </w:r>
      <w:r w:rsidR="00467176">
        <w:t xml:space="preserve"> L</w:t>
      </w:r>
      <w:r w:rsidRPr="00E14296">
        <w:t>, Sallée</w:t>
      </w:r>
      <w:r w:rsidR="00467176">
        <w:t xml:space="preserve"> J-B</w:t>
      </w:r>
      <w:r w:rsidRPr="00E14296">
        <w:t xml:space="preserve">, </w:t>
      </w:r>
      <w:proofErr w:type="spellStart"/>
      <w:r w:rsidRPr="00E14296">
        <w:t>Slangen</w:t>
      </w:r>
      <w:proofErr w:type="spellEnd"/>
      <w:r w:rsidR="00467176">
        <w:t xml:space="preserve"> ABA</w:t>
      </w:r>
      <w:r w:rsidRPr="00E14296">
        <w:t>, Yu</w:t>
      </w:r>
      <w:r w:rsidR="00467176">
        <w:t xml:space="preserve"> Y.</w:t>
      </w:r>
      <w:r w:rsidRPr="00E14296">
        <w:t xml:space="preserve"> 2021. Ocean, Cryosphere and Sea Level Change. In:</w:t>
      </w:r>
      <w:r w:rsidR="00467176">
        <w:t xml:space="preserve"> </w:t>
      </w:r>
      <w:r w:rsidR="00467176" w:rsidRPr="00E14296">
        <w:t>Masson-Delmotte V,</w:t>
      </w:r>
      <w:r w:rsidR="00467176" w:rsidRPr="00E14296" w:rsidDel="00467176">
        <w:t xml:space="preserve"> </w:t>
      </w:r>
      <w:r w:rsidR="00467176" w:rsidRPr="00E14296">
        <w:t>Zhai</w:t>
      </w:r>
      <w:r w:rsidR="00467176">
        <w:t xml:space="preserve"> P</w:t>
      </w:r>
      <w:r w:rsidR="00467176" w:rsidRPr="00E14296">
        <w:t>, Pirani</w:t>
      </w:r>
      <w:r w:rsidR="00467176">
        <w:t xml:space="preserve"> A</w:t>
      </w:r>
      <w:r w:rsidR="00467176" w:rsidRPr="00E14296">
        <w:t>, Connors</w:t>
      </w:r>
      <w:r w:rsidR="00467176">
        <w:t xml:space="preserve"> SL</w:t>
      </w:r>
      <w:r w:rsidR="00467176" w:rsidRPr="00E14296">
        <w:t xml:space="preserve">, </w:t>
      </w:r>
      <w:proofErr w:type="spellStart"/>
      <w:r w:rsidR="00467176" w:rsidRPr="00E14296">
        <w:t>Péan</w:t>
      </w:r>
      <w:proofErr w:type="spellEnd"/>
      <w:r w:rsidR="00467176">
        <w:t xml:space="preserve"> C</w:t>
      </w:r>
      <w:r w:rsidR="00467176" w:rsidRPr="00E14296">
        <w:t>, Berger</w:t>
      </w:r>
      <w:r w:rsidR="00467176">
        <w:t xml:space="preserve"> S</w:t>
      </w:r>
      <w:r w:rsidR="00467176" w:rsidRPr="00E14296">
        <w:t xml:space="preserve">, </w:t>
      </w:r>
      <w:proofErr w:type="spellStart"/>
      <w:r w:rsidR="00467176" w:rsidRPr="00E14296">
        <w:t>Caud</w:t>
      </w:r>
      <w:proofErr w:type="spellEnd"/>
      <w:r w:rsidR="00467176">
        <w:t xml:space="preserve"> N</w:t>
      </w:r>
      <w:r w:rsidR="00467176" w:rsidRPr="00E14296">
        <w:t>, Chen</w:t>
      </w:r>
      <w:r w:rsidR="00467176">
        <w:t xml:space="preserve"> Y</w:t>
      </w:r>
      <w:r w:rsidR="00467176" w:rsidRPr="00E14296">
        <w:t>, Goldfarb</w:t>
      </w:r>
      <w:r w:rsidR="00467176">
        <w:t xml:space="preserve"> L</w:t>
      </w:r>
      <w:r w:rsidR="00467176" w:rsidRPr="00E14296">
        <w:t>, Gomis</w:t>
      </w:r>
      <w:r w:rsidR="00467176">
        <w:t xml:space="preserve"> MI</w:t>
      </w:r>
      <w:r w:rsidR="00467176" w:rsidRPr="00E14296">
        <w:t>, Huang</w:t>
      </w:r>
      <w:r w:rsidR="00467176">
        <w:t xml:space="preserve"> M</w:t>
      </w:r>
      <w:r w:rsidR="00467176" w:rsidRPr="00E14296">
        <w:t>, Leitzell</w:t>
      </w:r>
      <w:r w:rsidR="00467176">
        <w:t xml:space="preserve"> K</w:t>
      </w:r>
      <w:r w:rsidR="00467176" w:rsidRPr="00E14296">
        <w:t xml:space="preserve">, </w:t>
      </w:r>
      <w:proofErr w:type="spellStart"/>
      <w:r w:rsidR="00467176" w:rsidRPr="00E14296">
        <w:t>Lonnoy</w:t>
      </w:r>
      <w:proofErr w:type="spellEnd"/>
      <w:r w:rsidR="00467176">
        <w:t xml:space="preserve"> E</w:t>
      </w:r>
      <w:r w:rsidR="00467176" w:rsidRPr="00E14296">
        <w:t>, Matthews</w:t>
      </w:r>
      <w:r w:rsidR="00467176">
        <w:t xml:space="preserve"> JBR</w:t>
      </w:r>
      <w:r w:rsidR="00467176" w:rsidRPr="00E14296">
        <w:t>, Maycock</w:t>
      </w:r>
      <w:r w:rsidR="00467176">
        <w:t xml:space="preserve"> TK</w:t>
      </w:r>
      <w:r w:rsidR="00467176" w:rsidRPr="00E14296">
        <w:t>, Waterfield</w:t>
      </w:r>
      <w:r w:rsidR="00467176">
        <w:t xml:space="preserve"> T</w:t>
      </w:r>
      <w:r w:rsidR="00467176" w:rsidRPr="00E14296">
        <w:t xml:space="preserve">, </w:t>
      </w:r>
      <w:proofErr w:type="spellStart"/>
      <w:r w:rsidR="00467176" w:rsidRPr="00E14296">
        <w:t>Yelekçi</w:t>
      </w:r>
      <w:proofErr w:type="spellEnd"/>
      <w:r w:rsidR="00467176">
        <w:t xml:space="preserve"> O</w:t>
      </w:r>
      <w:r w:rsidR="00467176" w:rsidRPr="00E14296">
        <w:t>, Yu</w:t>
      </w:r>
      <w:r w:rsidR="00467176">
        <w:t xml:space="preserve"> R,</w:t>
      </w:r>
      <w:r w:rsidR="00467176" w:rsidRPr="00E14296">
        <w:t xml:space="preserve"> Zhou</w:t>
      </w:r>
      <w:r w:rsidR="00467176">
        <w:t xml:space="preserve"> B</w:t>
      </w:r>
      <w:r w:rsidR="00467176" w:rsidRPr="00E14296">
        <w:t xml:space="preserve"> (eds</w:t>
      </w:r>
      <w:r w:rsidR="00467176">
        <w:t>)</w:t>
      </w:r>
      <w:r w:rsidR="00DC35AC">
        <w:t>.</w:t>
      </w:r>
      <w:r w:rsidRPr="00E14296">
        <w:rPr>
          <w:i/>
          <w:iCs/>
        </w:rPr>
        <w:t xml:space="preserve"> Climate Change 2021: The Physical Science Basis</w:t>
      </w:r>
      <w:r w:rsidRPr="00E14296">
        <w:t xml:space="preserve">. </w:t>
      </w:r>
      <w:r w:rsidRPr="00E82AD0">
        <w:rPr>
          <w:i/>
        </w:rPr>
        <w:t>Contribution of Working Group I to the Sixth Assessment Report of the Intergovernmental Panel on Climate Change</w:t>
      </w:r>
      <w:r w:rsidR="004466BE">
        <w:rPr>
          <w:i/>
          <w:iCs/>
        </w:rPr>
        <w:t>.</w:t>
      </w:r>
      <w:r w:rsidRPr="00E82AD0">
        <w:rPr>
          <w:i/>
        </w:rPr>
        <w:t xml:space="preserve"> </w:t>
      </w:r>
      <w:r w:rsidRPr="00E14296">
        <w:rPr>
          <w:i/>
          <w:iCs/>
        </w:rPr>
        <w:t>IPCC AR6, WGI, Chapter 9</w:t>
      </w:r>
      <w:r w:rsidR="004466BE">
        <w:t xml:space="preserve">. </w:t>
      </w:r>
      <w:r w:rsidRPr="00E14296" w:rsidDel="00467176">
        <w:t xml:space="preserve">Cambridge University Press. </w:t>
      </w:r>
      <w:hyperlink r:id="rId45" w:history="1">
        <w:r w:rsidR="004466BE" w:rsidRPr="004466BE">
          <w:rPr>
            <w:rStyle w:val="Hyperlink"/>
          </w:rPr>
          <w:t>https://www.ipcc.ch/report/ar6/wg1/downloads/report/IPCC_AR6_WGI_Chapter_09.pdf</w:t>
        </w:r>
      </w:hyperlink>
      <w:r w:rsidRPr="00E14296">
        <w:t xml:space="preserve"> </w:t>
      </w:r>
    </w:p>
    <w:p w14:paraId="76C19660" w14:textId="6A9C5AE7" w:rsidR="00E14296" w:rsidRPr="00E14296" w:rsidRDefault="00E14296" w:rsidP="00E14296">
      <w:pPr>
        <w:pStyle w:val="References"/>
        <w:rPr>
          <w:u w:val="single"/>
        </w:rPr>
      </w:pPr>
      <w:proofErr w:type="spellStart"/>
      <w:r w:rsidRPr="00E14296">
        <w:t>Haasnoot</w:t>
      </w:r>
      <w:proofErr w:type="spellEnd"/>
      <w:r w:rsidRPr="00E14296">
        <w:t xml:space="preserve"> M, Lawrence J, Magnan AK. 2021. Pathways to coastal retreat. </w:t>
      </w:r>
      <w:r w:rsidRPr="00E14296">
        <w:rPr>
          <w:i/>
          <w:iCs/>
        </w:rPr>
        <w:t xml:space="preserve">Science </w:t>
      </w:r>
      <w:r w:rsidRPr="00E82AD0">
        <w:t>372 (6548)</w:t>
      </w:r>
      <w:r w:rsidRPr="004466BE">
        <w:t>:</w:t>
      </w:r>
      <w:r w:rsidRPr="00E14296">
        <w:t xml:space="preserve"> 1287–1290. </w:t>
      </w:r>
    </w:p>
    <w:p w14:paraId="7BB2CE91" w14:textId="361D0DA6" w:rsidR="00E14296" w:rsidRPr="00E14296" w:rsidRDefault="00E14296" w:rsidP="00E14296">
      <w:pPr>
        <w:pStyle w:val="References"/>
      </w:pPr>
      <w:r w:rsidRPr="00E14296">
        <w:t>Hamling IJ, Hreinsdóttir S, Clark K, Elliott J, Liang C, Fielding E, Litchfield N, Villamor P, Wallace L, Wright TJ</w:t>
      </w:r>
      <w:r w:rsidR="004466BE">
        <w:t>,</w:t>
      </w:r>
      <w:r w:rsidRPr="00E14296">
        <w:t xml:space="preserve"> et al. 2017. Complex multi-fault rupture during the 2016 Mw 7.8 </w:t>
      </w:r>
      <w:proofErr w:type="spellStart"/>
      <w:r w:rsidRPr="00E14296">
        <w:t>Kaikōura</w:t>
      </w:r>
      <w:proofErr w:type="spellEnd"/>
      <w:r w:rsidRPr="00E14296">
        <w:t xml:space="preserve"> earthquake, New Zealand. </w:t>
      </w:r>
    </w:p>
    <w:p w14:paraId="15AB8DE2" w14:textId="546D5A6D" w:rsidR="00E14296" w:rsidRPr="00E14296" w:rsidRDefault="00E14296" w:rsidP="00E14296">
      <w:pPr>
        <w:pStyle w:val="References"/>
      </w:pPr>
      <w:r w:rsidRPr="00E14296">
        <w:t xml:space="preserve">Hamling IJ, Wright TJ, </w:t>
      </w:r>
      <w:proofErr w:type="spellStart"/>
      <w:r w:rsidRPr="00E14296">
        <w:t>Hreinsdottir</w:t>
      </w:r>
      <w:proofErr w:type="spellEnd"/>
      <w:r w:rsidRPr="00E14296">
        <w:t xml:space="preserve"> S</w:t>
      </w:r>
      <w:r w:rsidR="004466BE">
        <w:t>,</w:t>
      </w:r>
      <w:r w:rsidRPr="00E14296">
        <w:t xml:space="preserve"> Wallace LM. 2022. A snapshot of New Zealand’s dynamic deformation field from Envisat </w:t>
      </w:r>
      <w:proofErr w:type="spellStart"/>
      <w:r w:rsidRPr="00E14296">
        <w:t>InSAR</w:t>
      </w:r>
      <w:proofErr w:type="spellEnd"/>
      <w:r w:rsidRPr="00E14296">
        <w:t xml:space="preserve"> and GNSS observations between 2003 and 2011. </w:t>
      </w:r>
      <w:r w:rsidRPr="00E14296">
        <w:rPr>
          <w:i/>
          <w:iCs/>
        </w:rPr>
        <w:t xml:space="preserve">Geophysical Research Letters </w:t>
      </w:r>
      <w:r w:rsidRPr="00E82AD0">
        <w:t>49</w:t>
      </w:r>
      <w:r w:rsidRPr="004466BE">
        <w:t>,</w:t>
      </w:r>
      <w:r w:rsidRPr="00E14296">
        <w:t xml:space="preserve"> e2021GL096465</w:t>
      </w:r>
      <w:r w:rsidR="000A7AAD">
        <w:t>.</w:t>
      </w:r>
      <w:r w:rsidRPr="00E14296">
        <w:t xml:space="preserve"> </w:t>
      </w:r>
      <w:hyperlink r:id="rId46" w:history="1">
        <w:r w:rsidR="008C46B2" w:rsidRPr="006E02C9">
          <w:rPr>
            <w:rStyle w:val="Hyperlink"/>
          </w:rPr>
          <w:t>https://doi.org/10.1029/2021GL096465</w:t>
        </w:r>
      </w:hyperlink>
      <w:r w:rsidRPr="00E14296">
        <w:t>.</w:t>
      </w:r>
    </w:p>
    <w:p w14:paraId="716EDEA8" w14:textId="27D2E62B" w:rsidR="00E14296" w:rsidRPr="00E14296" w:rsidRDefault="00E14296" w:rsidP="00E14296">
      <w:pPr>
        <w:pStyle w:val="References"/>
      </w:pPr>
      <w:r w:rsidRPr="00E14296">
        <w:t xml:space="preserve">Howarth JD, Barth NC, Fitzsimons SJ, Richards-Dinger K, Clark KJ, Biasi GP, et al. 2021. Spatiotemporal clustering of great earthquakes on a transform fault controlled by geometry. </w:t>
      </w:r>
      <w:r w:rsidRPr="00E14296">
        <w:rPr>
          <w:i/>
          <w:iCs/>
        </w:rPr>
        <w:t xml:space="preserve">Nature Geoscience </w:t>
      </w:r>
      <w:r w:rsidRPr="00E82AD0">
        <w:t>14(5)</w:t>
      </w:r>
      <w:r w:rsidRPr="004466BE">
        <w:t>:</w:t>
      </w:r>
      <w:r w:rsidRPr="00E14296">
        <w:t xml:space="preserve"> 314-320.</w:t>
      </w:r>
    </w:p>
    <w:p w14:paraId="4560BEC7" w14:textId="0C222E0C" w:rsidR="00E14296" w:rsidRPr="00E14296" w:rsidRDefault="00E14296" w:rsidP="00E14296">
      <w:pPr>
        <w:pStyle w:val="References"/>
      </w:pPr>
      <w:r w:rsidRPr="00E14296">
        <w:t xml:space="preserve">Hussain E, Wright TJ, Walters RJ, Bekaert DP, Lloyd R, Hooper A. 2018. Constant strain accumulation rate between major earthquakes on the North Anatolian Fault. </w:t>
      </w:r>
      <w:r w:rsidRPr="00E14296">
        <w:rPr>
          <w:i/>
          <w:iCs/>
        </w:rPr>
        <w:t xml:space="preserve">Nature Communications </w:t>
      </w:r>
      <w:r w:rsidRPr="00E82AD0">
        <w:t>9(1)</w:t>
      </w:r>
      <w:r w:rsidRPr="004466BE">
        <w:t>:</w:t>
      </w:r>
      <w:r w:rsidRPr="00E14296">
        <w:t xml:space="preserve"> 1</w:t>
      </w:r>
      <w:r w:rsidR="000A7AAD" w:rsidRPr="000A7AAD">
        <w:t>–</w:t>
      </w:r>
      <w:r w:rsidRPr="00E14296">
        <w:t>9.</w:t>
      </w:r>
    </w:p>
    <w:p w14:paraId="2B83B9ED" w14:textId="4FB18D0A" w:rsidR="00E14296" w:rsidRPr="00E14296" w:rsidRDefault="00E14296" w:rsidP="00E14296">
      <w:pPr>
        <w:pStyle w:val="References"/>
      </w:pPr>
      <w:r w:rsidRPr="00E14296">
        <w:t>IPCC</w:t>
      </w:r>
      <w:r w:rsidR="00C40261">
        <w:t>.</w:t>
      </w:r>
      <w:r w:rsidRPr="00E14296">
        <w:t xml:space="preserve"> 2021. Summary for Policymakers. </w:t>
      </w:r>
      <w:r w:rsidRPr="00E82AD0">
        <w:t>In:</w:t>
      </w:r>
      <w:r w:rsidRPr="00E14296">
        <w:rPr>
          <w:i/>
          <w:iCs/>
        </w:rPr>
        <w:t xml:space="preserve"> </w:t>
      </w:r>
      <w:r w:rsidR="00C40261" w:rsidRPr="00E14296">
        <w:t>Masson-Delmotte V, Zhai</w:t>
      </w:r>
      <w:r w:rsidR="00C40261">
        <w:t xml:space="preserve"> P</w:t>
      </w:r>
      <w:r w:rsidR="00C40261" w:rsidRPr="00E14296">
        <w:t>, Pirani</w:t>
      </w:r>
      <w:r w:rsidR="00C40261">
        <w:t xml:space="preserve"> A</w:t>
      </w:r>
      <w:r w:rsidR="00C40261" w:rsidRPr="00E14296">
        <w:t>, Connors</w:t>
      </w:r>
      <w:r w:rsidR="00C40261">
        <w:t xml:space="preserve"> SL</w:t>
      </w:r>
      <w:r w:rsidR="00C40261" w:rsidRPr="00E14296">
        <w:t xml:space="preserve">, </w:t>
      </w:r>
      <w:proofErr w:type="spellStart"/>
      <w:r w:rsidR="00C40261" w:rsidRPr="00E14296">
        <w:t>Péan</w:t>
      </w:r>
      <w:proofErr w:type="spellEnd"/>
      <w:r w:rsidR="00C40261">
        <w:t xml:space="preserve"> C</w:t>
      </w:r>
      <w:r w:rsidR="00C40261" w:rsidRPr="00E14296">
        <w:t>, Berger</w:t>
      </w:r>
      <w:r w:rsidR="00C40261">
        <w:t xml:space="preserve"> S</w:t>
      </w:r>
      <w:r w:rsidR="00C40261" w:rsidRPr="00E14296">
        <w:t xml:space="preserve">, </w:t>
      </w:r>
      <w:proofErr w:type="spellStart"/>
      <w:r w:rsidR="00C40261" w:rsidRPr="00E14296">
        <w:t>Caud</w:t>
      </w:r>
      <w:proofErr w:type="spellEnd"/>
      <w:r w:rsidR="00C40261">
        <w:t xml:space="preserve"> N</w:t>
      </w:r>
      <w:r w:rsidR="00C40261" w:rsidRPr="00E14296">
        <w:t>, Chen</w:t>
      </w:r>
      <w:r w:rsidR="00C40261">
        <w:t xml:space="preserve"> Y</w:t>
      </w:r>
      <w:r w:rsidR="00C40261" w:rsidRPr="00E14296">
        <w:t>, Goldfarb</w:t>
      </w:r>
      <w:r w:rsidR="00C40261">
        <w:t xml:space="preserve"> L</w:t>
      </w:r>
      <w:r w:rsidR="00C40261" w:rsidRPr="00E14296">
        <w:t>, Gomis</w:t>
      </w:r>
      <w:r w:rsidR="00C40261">
        <w:t xml:space="preserve"> MI</w:t>
      </w:r>
      <w:r w:rsidR="00C40261" w:rsidRPr="00E14296">
        <w:t>, Huang</w:t>
      </w:r>
      <w:r w:rsidR="00C40261">
        <w:t xml:space="preserve"> M</w:t>
      </w:r>
      <w:r w:rsidR="00C40261" w:rsidRPr="00E14296">
        <w:t>, Leitzell</w:t>
      </w:r>
      <w:r w:rsidR="00C40261">
        <w:t xml:space="preserve"> K</w:t>
      </w:r>
      <w:r w:rsidR="00C40261" w:rsidRPr="00E14296">
        <w:t xml:space="preserve">, </w:t>
      </w:r>
      <w:proofErr w:type="spellStart"/>
      <w:r w:rsidR="00C40261" w:rsidRPr="00E14296">
        <w:t>Lonnoy</w:t>
      </w:r>
      <w:proofErr w:type="spellEnd"/>
      <w:r w:rsidR="00C40261">
        <w:t xml:space="preserve"> E</w:t>
      </w:r>
      <w:r w:rsidR="00C40261" w:rsidRPr="00E14296">
        <w:t>, Matthews</w:t>
      </w:r>
      <w:r w:rsidR="00C40261">
        <w:t xml:space="preserve"> JBR</w:t>
      </w:r>
      <w:r w:rsidR="00C40261" w:rsidRPr="00E14296">
        <w:t>, Maycock</w:t>
      </w:r>
      <w:r w:rsidR="00C40261">
        <w:t xml:space="preserve"> TK</w:t>
      </w:r>
      <w:r w:rsidR="00C40261" w:rsidRPr="00E14296">
        <w:t>, Waterfield</w:t>
      </w:r>
      <w:r w:rsidR="00C40261">
        <w:t xml:space="preserve"> T</w:t>
      </w:r>
      <w:r w:rsidR="00C40261" w:rsidRPr="00E14296">
        <w:t xml:space="preserve">, </w:t>
      </w:r>
      <w:proofErr w:type="spellStart"/>
      <w:r w:rsidR="00C40261" w:rsidRPr="00E14296">
        <w:t>Yelekçi</w:t>
      </w:r>
      <w:proofErr w:type="spellEnd"/>
      <w:r w:rsidR="00C40261">
        <w:t xml:space="preserve"> O</w:t>
      </w:r>
      <w:r w:rsidR="00C40261" w:rsidRPr="00E14296">
        <w:t>, Yu</w:t>
      </w:r>
      <w:r w:rsidR="00C40261">
        <w:t xml:space="preserve"> R,</w:t>
      </w:r>
      <w:r w:rsidR="00C40261" w:rsidRPr="00E14296">
        <w:t xml:space="preserve"> Zhou</w:t>
      </w:r>
      <w:r w:rsidR="00C40261">
        <w:t xml:space="preserve"> B</w:t>
      </w:r>
      <w:r w:rsidR="00C40261" w:rsidRPr="00E14296">
        <w:t xml:space="preserve"> (eds</w:t>
      </w:r>
      <w:r w:rsidR="00C40261">
        <w:t>)</w:t>
      </w:r>
      <w:r w:rsidR="000A7AAD">
        <w:t>.</w:t>
      </w:r>
      <w:r w:rsidR="00C40261">
        <w:t xml:space="preserve"> </w:t>
      </w:r>
      <w:r w:rsidRPr="00E14296">
        <w:rPr>
          <w:i/>
          <w:iCs/>
        </w:rPr>
        <w:t>Climate Change 2021: The Physical Science Basis</w:t>
      </w:r>
      <w:r w:rsidRPr="00E14296">
        <w:t xml:space="preserve">. </w:t>
      </w:r>
      <w:r w:rsidRPr="00E82AD0">
        <w:rPr>
          <w:i/>
        </w:rPr>
        <w:t>Contribution of Working Group I to the Sixth Assessment Report of the Intergovernmental Panel on Climate Change</w:t>
      </w:r>
      <w:r w:rsidR="00C40261">
        <w:rPr>
          <w:i/>
          <w:iCs/>
        </w:rPr>
        <w:t>.</w:t>
      </w:r>
      <w:r w:rsidRPr="00E14296">
        <w:t xml:space="preserve"> Cambridge University Press.</w:t>
      </w:r>
      <w:r w:rsidRPr="00E14296" w:rsidDel="00C40261">
        <w:t xml:space="preserve"> </w:t>
      </w:r>
      <w:hyperlink r:id="rId47" w:history="1">
        <w:r w:rsidR="00C40261" w:rsidRPr="00C40261">
          <w:rPr>
            <w:rStyle w:val="Hyperlink"/>
          </w:rPr>
          <w:t>https://www.ipcc.ch/report/ar6/wg1/downloads/report/IPCC_AR6_WGI_SPM_final.pdf</w:t>
        </w:r>
      </w:hyperlink>
      <w:r w:rsidRPr="00E14296">
        <w:t xml:space="preserve"> </w:t>
      </w:r>
    </w:p>
    <w:p w14:paraId="77808692" w14:textId="1F68E2CD" w:rsidR="00E14296" w:rsidRPr="00E14296" w:rsidRDefault="00E14296" w:rsidP="00E14296">
      <w:pPr>
        <w:pStyle w:val="References"/>
      </w:pPr>
      <w:r w:rsidRPr="00E14296">
        <w:t>Lawrence J,</w:t>
      </w:r>
      <w:r w:rsidRPr="00E14296" w:rsidDel="00C40261">
        <w:t xml:space="preserve"> </w:t>
      </w:r>
      <w:r w:rsidRPr="00E14296">
        <w:t>Mackey</w:t>
      </w:r>
      <w:r w:rsidR="00C40261">
        <w:t xml:space="preserve"> B</w:t>
      </w:r>
      <w:r w:rsidRPr="00E14296">
        <w:t>, Chiew</w:t>
      </w:r>
      <w:r w:rsidR="00C40261">
        <w:t xml:space="preserve"> F</w:t>
      </w:r>
      <w:r w:rsidRPr="00E14296">
        <w:t>, Costello</w:t>
      </w:r>
      <w:r w:rsidR="00C40261">
        <w:t xml:space="preserve"> MJ</w:t>
      </w:r>
      <w:r w:rsidRPr="00E14296">
        <w:t>, Hall</w:t>
      </w:r>
      <w:r w:rsidR="00C40261">
        <w:t xml:space="preserve"> N</w:t>
      </w:r>
      <w:r w:rsidRPr="00E14296">
        <w:t>, Hennessy</w:t>
      </w:r>
      <w:r w:rsidR="00C40261">
        <w:t xml:space="preserve"> K</w:t>
      </w:r>
      <w:r w:rsidRPr="00E14296">
        <w:t xml:space="preserve">, </w:t>
      </w:r>
      <w:proofErr w:type="spellStart"/>
      <w:r w:rsidRPr="00E14296">
        <w:t>Nidumolu</w:t>
      </w:r>
      <w:proofErr w:type="spellEnd"/>
      <w:r w:rsidR="00C40261">
        <w:t xml:space="preserve"> UB</w:t>
      </w:r>
      <w:r w:rsidRPr="00E14296">
        <w:t xml:space="preserve">, </w:t>
      </w:r>
      <w:proofErr w:type="spellStart"/>
      <w:r w:rsidRPr="00E14296">
        <w:t>Pecl</w:t>
      </w:r>
      <w:proofErr w:type="spellEnd"/>
      <w:r w:rsidR="00C40261">
        <w:t xml:space="preserve"> G</w:t>
      </w:r>
      <w:r w:rsidRPr="00E14296">
        <w:t>, Rickards</w:t>
      </w:r>
      <w:r w:rsidR="00C40261">
        <w:t xml:space="preserve"> L</w:t>
      </w:r>
      <w:r w:rsidRPr="00E14296">
        <w:t>, Tapper</w:t>
      </w:r>
      <w:r w:rsidR="00C40261">
        <w:t xml:space="preserve"> N</w:t>
      </w:r>
      <w:r w:rsidRPr="00E14296">
        <w:t>, Woodward</w:t>
      </w:r>
      <w:r w:rsidR="00C40261">
        <w:t xml:space="preserve"> A</w:t>
      </w:r>
      <w:r w:rsidRPr="00E14296">
        <w:t>, Wreford</w:t>
      </w:r>
      <w:r w:rsidR="00C40261">
        <w:t xml:space="preserve"> A.</w:t>
      </w:r>
      <w:r w:rsidRPr="00E14296">
        <w:t xml:space="preserve"> 20</w:t>
      </w:r>
      <w:r w:rsidR="00C40261">
        <w:t>2</w:t>
      </w:r>
      <w:r w:rsidRPr="00E14296">
        <w:t>2. Australasia. In:</w:t>
      </w:r>
      <w:r w:rsidR="00C40261">
        <w:t xml:space="preserve"> </w:t>
      </w:r>
      <w:proofErr w:type="spellStart"/>
      <w:r w:rsidR="00C40261" w:rsidRPr="00E14296">
        <w:t>Pörtner</w:t>
      </w:r>
      <w:proofErr w:type="spellEnd"/>
      <w:r w:rsidR="00C40261">
        <w:t xml:space="preserve"> HO</w:t>
      </w:r>
      <w:r w:rsidR="00C40261" w:rsidRPr="00E14296">
        <w:t>, Roberts</w:t>
      </w:r>
      <w:r w:rsidR="00C40261">
        <w:t xml:space="preserve"> DC</w:t>
      </w:r>
      <w:r w:rsidR="00C40261" w:rsidRPr="00E14296">
        <w:t>, Tignor</w:t>
      </w:r>
      <w:r w:rsidR="00C40261">
        <w:t xml:space="preserve"> M</w:t>
      </w:r>
      <w:r w:rsidR="00C40261" w:rsidRPr="00E14296">
        <w:t xml:space="preserve">, </w:t>
      </w:r>
      <w:proofErr w:type="spellStart"/>
      <w:r w:rsidR="00C40261" w:rsidRPr="00E14296">
        <w:t>Poloczanska</w:t>
      </w:r>
      <w:proofErr w:type="spellEnd"/>
      <w:r w:rsidR="00C40261">
        <w:t xml:space="preserve"> ES</w:t>
      </w:r>
      <w:r w:rsidR="00C40261" w:rsidRPr="00E14296">
        <w:t xml:space="preserve">, </w:t>
      </w:r>
      <w:proofErr w:type="spellStart"/>
      <w:r w:rsidR="00C40261" w:rsidRPr="00E14296">
        <w:t>Mintenbeck</w:t>
      </w:r>
      <w:proofErr w:type="spellEnd"/>
      <w:r w:rsidR="00C40261">
        <w:t xml:space="preserve"> K</w:t>
      </w:r>
      <w:r w:rsidR="00C40261" w:rsidRPr="00E14296">
        <w:t>, Alegría</w:t>
      </w:r>
      <w:r w:rsidR="00C40261">
        <w:t xml:space="preserve"> A</w:t>
      </w:r>
      <w:r w:rsidR="00C40261" w:rsidRPr="00E14296">
        <w:t>, Craig</w:t>
      </w:r>
      <w:r w:rsidR="00C40261">
        <w:t xml:space="preserve"> M</w:t>
      </w:r>
      <w:r w:rsidR="00C40261" w:rsidRPr="00E14296">
        <w:t>, Langsdorf</w:t>
      </w:r>
      <w:r w:rsidR="00C40261">
        <w:t xml:space="preserve"> S</w:t>
      </w:r>
      <w:r w:rsidR="00C40261" w:rsidRPr="00E14296">
        <w:t xml:space="preserve">, </w:t>
      </w:r>
      <w:proofErr w:type="spellStart"/>
      <w:r w:rsidR="00C40261" w:rsidRPr="00E14296">
        <w:t>Löschke</w:t>
      </w:r>
      <w:proofErr w:type="spellEnd"/>
      <w:r w:rsidR="00C40261">
        <w:t xml:space="preserve"> S</w:t>
      </w:r>
      <w:r w:rsidR="00C40261" w:rsidRPr="00E14296">
        <w:t>, Möller</w:t>
      </w:r>
      <w:r w:rsidR="00C40261">
        <w:t xml:space="preserve"> V</w:t>
      </w:r>
      <w:r w:rsidR="00C40261" w:rsidRPr="00E14296">
        <w:t xml:space="preserve">, </w:t>
      </w:r>
      <w:proofErr w:type="spellStart"/>
      <w:r w:rsidR="00C40261" w:rsidRPr="00E14296">
        <w:t>Okem</w:t>
      </w:r>
      <w:proofErr w:type="spellEnd"/>
      <w:r w:rsidR="00C40261">
        <w:t xml:space="preserve"> A</w:t>
      </w:r>
      <w:r w:rsidR="00C40261" w:rsidRPr="00E14296">
        <w:t>, Rama</w:t>
      </w:r>
      <w:r w:rsidR="00C40261">
        <w:t xml:space="preserve"> B</w:t>
      </w:r>
      <w:r w:rsidR="00C40261" w:rsidRPr="00E14296">
        <w:t xml:space="preserve"> (eds)</w:t>
      </w:r>
      <w:r w:rsidR="000A7AAD">
        <w:t>.</w:t>
      </w:r>
      <w:r w:rsidRPr="00E14296">
        <w:t xml:space="preserve"> </w:t>
      </w:r>
      <w:r w:rsidRPr="00E14296">
        <w:rPr>
          <w:i/>
          <w:iCs/>
        </w:rPr>
        <w:t>Climate Change 2022: Impacts, Adaptation, and Vulnerability.</w:t>
      </w:r>
      <w:r w:rsidRPr="00C40261">
        <w:rPr>
          <w:i/>
          <w:iCs/>
        </w:rPr>
        <w:t xml:space="preserve"> </w:t>
      </w:r>
      <w:r w:rsidRPr="00E82AD0">
        <w:rPr>
          <w:i/>
        </w:rPr>
        <w:t>Contribution of Working Group II to the Sixth Assessment Report of the Intergovernmental Panel on Climate Change</w:t>
      </w:r>
      <w:r w:rsidR="00C40261" w:rsidRPr="00E82AD0">
        <w:rPr>
          <w:i/>
        </w:rPr>
        <w:t>.</w:t>
      </w:r>
      <w:r w:rsidRPr="00E14296">
        <w:t xml:space="preserve"> </w:t>
      </w:r>
      <w:r w:rsidRPr="00E14296">
        <w:rPr>
          <w:i/>
          <w:iCs/>
        </w:rPr>
        <w:t>IPCC AR6, WGII, Chapter 11</w:t>
      </w:r>
      <w:r w:rsidR="00C40261">
        <w:t>.</w:t>
      </w:r>
      <w:r w:rsidRPr="00E14296" w:rsidDel="00C40261">
        <w:t xml:space="preserve"> Cambridge University Press. </w:t>
      </w:r>
      <w:hyperlink r:id="rId48" w:history="1">
        <w:r w:rsidRPr="00E14296">
          <w:rPr>
            <w:rStyle w:val="Hyperlink"/>
          </w:rPr>
          <w:t>https://www.ipcc.ch/report/ar6/wg2/downloads/report/IPCC_AR6_WGII_FinalDraft_Chapter11.pdf</w:t>
        </w:r>
      </w:hyperlink>
      <w:r w:rsidRPr="00E14296">
        <w:t xml:space="preserve"> </w:t>
      </w:r>
    </w:p>
    <w:p w14:paraId="18B78833" w14:textId="5F968BD4" w:rsidR="00E14296" w:rsidRPr="00E14296" w:rsidRDefault="00E14296" w:rsidP="00E14296">
      <w:pPr>
        <w:pStyle w:val="References"/>
      </w:pPr>
      <w:r w:rsidRPr="00E14296">
        <w:t>Lee, JY,</w:t>
      </w:r>
      <w:r w:rsidRPr="00E14296" w:rsidDel="00D677F5">
        <w:t xml:space="preserve"> </w:t>
      </w:r>
      <w:r w:rsidRPr="00E14296">
        <w:t>Marotzke</w:t>
      </w:r>
      <w:r w:rsidR="00D677F5">
        <w:t xml:space="preserve"> J</w:t>
      </w:r>
      <w:r w:rsidRPr="00E14296">
        <w:t>, Bala</w:t>
      </w:r>
      <w:r w:rsidR="00D677F5">
        <w:t xml:space="preserve"> G</w:t>
      </w:r>
      <w:r w:rsidRPr="00E14296">
        <w:t>, Cao</w:t>
      </w:r>
      <w:r w:rsidR="00D677F5">
        <w:t xml:space="preserve"> L</w:t>
      </w:r>
      <w:r w:rsidRPr="00E14296">
        <w:t>, Corti</w:t>
      </w:r>
      <w:r w:rsidR="00D677F5">
        <w:t xml:space="preserve"> S</w:t>
      </w:r>
      <w:r w:rsidRPr="00E14296">
        <w:t>, Dunne</w:t>
      </w:r>
      <w:r w:rsidR="00D677F5">
        <w:t xml:space="preserve"> JP</w:t>
      </w:r>
      <w:r w:rsidRPr="00E14296">
        <w:t>, Engelbrecht</w:t>
      </w:r>
      <w:r w:rsidR="00D677F5">
        <w:t xml:space="preserve"> F</w:t>
      </w:r>
      <w:r w:rsidRPr="00E14296">
        <w:t>, Fischer</w:t>
      </w:r>
      <w:r w:rsidR="00D677F5">
        <w:t xml:space="preserve"> E</w:t>
      </w:r>
      <w:r w:rsidRPr="00E14296">
        <w:t>, Fyfe</w:t>
      </w:r>
      <w:r w:rsidR="00D677F5">
        <w:t xml:space="preserve"> JC</w:t>
      </w:r>
      <w:r w:rsidRPr="00E14296">
        <w:t>, Jones</w:t>
      </w:r>
      <w:r w:rsidR="00D677F5">
        <w:t xml:space="preserve"> C</w:t>
      </w:r>
      <w:r w:rsidRPr="00E14296">
        <w:t>, Maycock</w:t>
      </w:r>
      <w:r w:rsidR="00D677F5">
        <w:t xml:space="preserve"> A</w:t>
      </w:r>
      <w:r w:rsidRPr="00E14296">
        <w:t>, Mutemi</w:t>
      </w:r>
      <w:r w:rsidR="00D677F5">
        <w:t xml:space="preserve"> J</w:t>
      </w:r>
      <w:r w:rsidRPr="00E14296">
        <w:t>, Ndiaye</w:t>
      </w:r>
      <w:r w:rsidR="00D677F5">
        <w:t xml:space="preserve"> O</w:t>
      </w:r>
      <w:r w:rsidRPr="00E14296">
        <w:t xml:space="preserve">, </w:t>
      </w:r>
      <w:proofErr w:type="spellStart"/>
      <w:r w:rsidRPr="00E14296">
        <w:t>Panickal</w:t>
      </w:r>
      <w:proofErr w:type="spellEnd"/>
      <w:r w:rsidR="00D677F5">
        <w:t xml:space="preserve"> S</w:t>
      </w:r>
      <w:r w:rsidRPr="00E14296">
        <w:t>, Zhou</w:t>
      </w:r>
      <w:r w:rsidR="00D677F5">
        <w:t xml:space="preserve"> T.</w:t>
      </w:r>
      <w:r w:rsidRPr="00E14296">
        <w:t xml:space="preserve"> 2021. Future Global Climate: Scenario-Based Projections and Near-Term Information. In</w:t>
      </w:r>
      <w:proofErr w:type="gramStart"/>
      <w:r w:rsidRPr="00E14296">
        <w:t xml:space="preserve">: </w:t>
      </w:r>
      <w:r w:rsidR="00D677F5" w:rsidRPr="00C8677D">
        <w:t>:</w:t>
      </w:r>
      <w:proofErr w:type="gramEnd"/>
      <w:r w:rsidR="00D677F5" w:rsidRPr="00E14296">
        <w:rPr>
          <w:i/>
          <w:iCs/>
        </w:rPr>
        <w:t xml:space="preserve"> </w:t>
      </w:r>
      <w:r w:rsidR="00D677F5" w:rsidRPr="00E14296">
        <w:t>Masson-Delmotte V, Zhai</w:t>
      </w:r>
      <w:r w:rsidR="00D677F5">
        <w:t xml:space="preserve"> P</w:t>
      </w:r>
      <w:r w:rsidR="00D677F5" w:rsidRPr="00E14296">
        <w:t>, Pirani</w:t>
      </w:r>
      <w:r w:rsidR="00D677F5">
        <w:t xml:space="preserve"> A</w:t>
      </w:r>
      <w:r w:rsidR="00D677F5" w:rsidRPr="00E14296">
        <w:t>, Connors</w:t>
      </w:r>
      <w:r w:rsidR="00D677F5">
        <w:t xml:space="preserve"> SL</w:t>
      </w:r>
      <w:r w:rsidR="00D677F5" w:rsidRPr="00E14296">
        <w:t xml:space="preserve">, </w:t>
      </w:r>
      <w:proofErr w:type="spellStart"/>
      <w:r w:rsidR="00D677F5" w:rsidRPr="00E14296">
        <w:t>Péan</w:t>
      </w:r>
      <w:proofErr w:type="spellEnd"/>
      <w:r w:rsidR="00D677F5">
        <w:t xml:space="preserve"> C</w:t>
      </w:r>
      <w:r w:rsidR="00D677F5" w:rsidRPr="00E14296">
        <w:t>, Berger</w:t>
      </w:r>
      <w:r w:rsidR="00D677F5">
        <w:t xml:space="preserve"> S</w:t>
      </w:r>
      <w:r w:rsidR="00D677F5" w:rsidRPr="00E14296">
        <w:t xml:space="preserve">, </w:t>
      </w:r>
      <w:proofErr w:type="spellStart"/>
      <w:r w:rsidR="00D677F5" w:rsidRPr="00E14296">
        <w:t>Caud</w:t>
      </w:r>
      <w:proofErr w:type="spellEnd"/>
      <w:r w:rsidR="00D677F5">
        <w:t xml:space="preserve"> N</w:t>
      </w:r>
      <w:r w:rsidR="00D677F5" w:rsidRPr="00E14296">
        <w:t>, Chen</w:t>
      </w:r>
      <w:r w:rsidR="00D677F5">
        <w:t xml:space="preserve"> Y</w:t>
      </w:r>
      <w:r w:rsidR="00D677F5" w:rsidRPr="00E14296">
        <w:t>, Goldfarb</w:t>
      </w:r>
      <w:r w:rsidR="00D677F5">
        <w:t xml:space="preserve"> L</w:t>
      </w:r>
      <w:r w:rsidR="00D677F5" w:rsidRPr="00E14296">
        <w:t>, Gomis</w:t>
      </w:r>
      <w:r w:rsidR="00D677F5">
        <w:t xml:space="preserve"> MI</w:t>
      </w:r>
      <w:r w:rsidR="00D677F5" w:rsidRPr="00E14296">
        <w:t>, Huang</w:t>
      </w:r>
      <w:r w:rsidR="00D677F5">
        <w:t xml:space="preserve"> M</w:t>
      </w:r>
      <w:r w:rsidR="00D677F5" w:rsidRPr="00E14296">
        <w:t>, Leitzell</w:t>
      </w:r>
      <w:r w:rsidR="00D677F5">
        <w:t xml:space="preserve"> K</w:t>
      </w:r>
      <w:r w:rsidR="00D677F5" w:rsidRPr="00E14296">
        <w:t xml:space="preserve">, </w:t>
      </w:r>
      <w:proofErr w:type="spellStart"/>
      <w:r w:rsidR="00D677F5" w:rsidRPr="00E14296">
        <w:t>Lonnoy</w:t>
      </w:r>
      <w:proofErr w:type="spellEnd"/>
      <w:r w:rsidR="00D677F5">
        <w:t xml:space="preserve"> E</w:t>
      </w:r>
      <w:r w:rsidR="00D677F5" w:rsidRPr="00E14296">
        <w:t>, Matthews</w:t>
      </w:r>
      <w:r w:rsidR="00D677F5">
        <w:t xml:space="preserve"> JBR</w:t>
      </w:r>
      <w:r w:rsidR="00D677F5" w:rsidRPr="00E14296">
        <w:t>, Maycock</w:t>
      </w:r>
      <w:r w:rsidR="00D677F5">
        <w:t xml:space="preserve"> TK</w:t>
      </w:r>
      <w:r w:rsidR="00D677F5" w:rsidRPr="00E14296">
        <w:t>, Waterfield</w:t>
      </w:r>
      <w:r w:rsidR="00D677F5">
        <w:t xml:space="preserve"> T</w:t>
      </w:r>
      <w:r w:rsidR="00D677F5" w:rsidRPr="00E14296">
        <w:t xml:space="preserve">, </w:t>
      </w:r>
      <w:proofErr w:type="spellStart"/>
      <w:r w:rsidR="00D677F5" w:rsidRPr="00E14296">
        <w:t>Yelekçi</w:t>
      </w:r>
      <w:proofErr w:type="spellEnd"/>
      <w:r w:rsidR="00D677F5">
        <w:t xml:space="preserve"> O</w:t>
      </w:r>
      <w:r w:rsidR="00D677F5" w:rsidRPr="00E14296">
        <w:t>, Yu</w:t>
      </w:r>
      <w:r w:rsidR="00D677F5">
        <w:t xml:space="preserve"> R,</w:t>
      </w:r>
      <w:r w:rsidR="00D677F5" w:rsidRPr="00E14296">
        <w:t xml:space="preserve"> Zhou</w:t>
      </w:r>
      <w:r w:rsidR="00D677F5">
        <w:t xml:space="preserve"> B</w:t>
      </w:r>
      <w:r w:rsidR="00D677F5" w:rsidRPr="00E14296">
        <w:t xml:space="preserve"> (eds</w:t>
      </w:r>
      <w:r w:rsidR="00D677F5">
        <w:t>)</w:t>
      </w:r>
      <w:r w:rsidR="000A7AAD">
        <w:t>.</w:t>
      </w:r>
      <w:r w:rsidR="00D677F5">
        <w:t xml:space="preserve"> </w:t>
      </w:r>
      <w:r w:rsidRPr="00E14296">
        <w:rPr>
          <w:i/>
          <w:iCs/>
        </w:rPr>
        <w:t>Climate Change 2021: The Physical Science Basis</w:t>
      </w:r>
      <w:r w:rsidRPr="00E14296">
        <w:t xml:space="preserve">. </w:t>
      </w:r>
      <w:r w:rsidRPr="00E82AD0">
        <w:rPr>
          <w:i/>
        </w:rPr>
        <w:t>Contribution of Working Group I to the Sixth Assessment Report of the Intergovernmental Panel on Climate Change</w:t>
      </w:r>
      <w:r w:rsidR="00D677F5">
        <w:rPr>
          <w:i/>
          <w:iCs/>
        </w:rPr>
        <w:t>.</w:t>
      </w:r>
      <w:r w:rsidRPr="00E14296">
        <w:t xml:space="preserve"> </w:t>
      </w:r>
      <w:r w:rsidRPr="00E14296">
        <w:rPr>
          <w:i/>
          <w:iCs/>
        </w:rPr>
        <w:t>IPCC AR6, WGI, Chapter 4</w:t>
      </w:r>
      <w:r w:rsidR="00D677F5">
        <w:t xml:space="preserve">. </w:t>
      </w:r>
      <w:r w:rsidRPr="00E14296" w:rsidDel="00D677F5">
        <w:t xml:space="preserve">Cambridge University Press. </w:t>
      </w:r>
      <w:hyperlink r:id="rId49" w:history="1">
        <w:r w:rsidRPr="00E14296">
          <w:rPr>
            <w:rStyle w:val="Hyperlink"/>
          </w:rPr>
          <w:t>https://www.ipcc.ch/report/ar6/wg1/downloads/report/IPCC_AR6_WGI_Chapter_04.pdf</w:t>
        </w:r>
      </w:hyperlink>
      <w:r w:rsidRPr="00E14296">
        <w:t xml:space="preserve"> </w:t>
      </w:r>
    </w:p>
    <w:p w14:paraId="53F0DB6D" w14:textId="55E021D0" w:rsidR="00E14296" w:rsidRPr="00E14296" w:rsidRDefault="00E14296" w:rsidP="00E14296">
      <w:pPr>
        <w:pStyle w:val="References"/>
      </w:pPr>
      <w:r w:rsidRPr="00E14296">
        <w:t xml:space="preserve">Levy R, Naish T, Bell R, </w:t>
      </w:r>
      <w:proofErr w:type="spellStart"/>
      <w:r w:rsidRPr="00E14296">
        <w:t>Golledge</w:t>
      </w:r>
      <w:proofErr w:type="spellEnd"/>
      <w:r w:rsidRPr="00E14296">
        <w:t xml:space="preserve"> N, Clarke L, Garner G, Hamling I, Heine Z, </w:t>
      </w:r>
      <w:proofErr w:type="spellStart"/>
      <w:r w:rsidRPr="00E14296">
        <w:t>Hreinsdottir</w:t>
      </w:r>
      <w:proofErr w:type="spellEnd"/>
      <w:r w:rsidRPr="00E14296">
        <w:t xml:space="preserve"> S, Lawrence J, Lowry D, Priestley R, Vargo L. 2020. Te tai </w:t>
      </w:r>
      <w:proofErr w:type="spellStart"/>
      <w:r w:rsidRPr="00E14296">
        <w:t>pari</w:t>
      </w:r>
      <w:proofErr w:type="spellEnd"/>
      <w:r w:rsidRPr="00E14296">
        <w:t xml:space="preserve"> o Aotearoa – </w:t>
      </w:r>
      <w:proofErr w:type="gramStart"/>
      <w:r w:rsidRPr="00E14296">
        <w:t>Future sea</w:t>
      </w:r>
      <w:proofErr w:type="gramEnd"/>
      <w:r w:rsidRPr="00E14296">
        <w:t xml:space="preserve"> level rise around New Zealand’s dynamic coastline. In: </w:t>
      </w:r>
      <w:proofErr w:type="spellStart"/>
      <w:r w:rsidRPr="00E14296">
        <w:t>Hendtlass</w:t>
      </w:r>
      <w:proofErr w:type="spellEnd"/>
      <w:r w:rsidRPr="00E14296">
        <w:t xml:space="preserve"> C</w:t>
      </w:r>
      <w:r w:rsidR="00D677F5">
        <w:t>,</w:t>
      </w:r>
      <w:r w:rsidRPr="00E14296">
        <w:t xml:space="preserve"> Morgan S</w:t>
      </w:r>
      <w:r w:rsidR="00D677F5">
        <w:t>,</w:t>
      </w:r>
      <w:r w:rsidRPr="00E14296">
        <w:t xml:space="preserve"> Neale D. (eds)</w:t>
      </w:r>
      <w:r w:rsidR="000A7AAD">
        <w:t>.</w:t>
      </w:r>
      <w:r w:rsidRPr="00E14296">
        <w:t xml:space="preserve"> </w:t>
      </w:r>
      <w:r w:rsidRPr="00E14296">
        <w:rPr>
          <w:i/>
          <w:iCs/>
        </w:rPr>
        <w:t>Coastal systems and sea level rise: What to look for in future</w:t>
      </w:r>
      <w:r w:rsidRPr="00E14296">
        <w:t>. Special Publication 4, NZ Coastal Society</w:t>
      </w:r>
      <w:r w:rsidR="00304B5D">
        <w:t>.</w:t>
      </w:r>
      <w:r w:rsidRPr="00E14296" w:rsidDel="00304B5D">
        <w:t xml:space="preserve"> </w:t>
      </w:r>
      <w:r w:rsidRPr="00E14296">
        <w:t>p</w:t>
      </w:r>
      <w:r w:rsidR="00304B5D">
        <w:t>p</w:t>
      </w:r>
      <w:r w:rsidR="00D677F5" w:rsidRPr="00E14296">
        <w:t xml:space="preserve"> 11</w:t>
      </w:r>
      <w:r w:rsidR="000A7AAD" w:rsidRPr="000A7AAD">
        <w:t>–</w:t>
      </w:r>
      <w:r w:rsidR="00D677F5" w:rsidRPr="00E14296">
        <w:t xml:space="preserve">20. </w:t>
      </w:r>
      <w:hyperlink r:id="rId50" w:history="1">
        <w:r w:rsidRPr="00E14296">
          <w:rPr>
            <w:rStyle w:val="Hyperlink"/>
          </w:rPr>
          <w:t>https://www.coastalsociety.org.nz/media/view/publications/sea-level-rise/</w:t>
        </w:r>
      </w:hyperlink>
      <w:r w:rsidRPr="00E14296">
        <w:t xml:space="preserve"> </w:t>
      </w:r>
    </w:p>
    <w:p w14:paraId="5A1EC8B3" w14:textId="4F8B7C08" w:rsidR="00E14296" w:rsidRPr="00E14296" w:rsidRDefault="00E14296" w:rsidP="00E14296">
      <w:pPr>
        <w:pStyle w:val="References"/>
        <w:rPr>
          <w:lang w:val="fr-FR"/>
        </w:rPr>
      </w:pPr>
      <w:proofErr w:type="spellStart"/>
      <w:r w:rsidRPr="00E14296">
        <w:t>Meinshausen</w:t>
      </w:r>
      <w:proofErr w:type="spellEnd"/>
      <w:r w:rsidRPr="00E14296">
        <w:t xml:space="preserve"> M, Nicholls ZRJ, Lewis J, Gidden MJ, Vogel E, Freund M, Beyerle U, Gessner C, </w:t>
      </w:r>
      <w:proofErr w:type="spellStart"/>
      <w:r w:rsidRPr="00E14296">
        <w:t>Nauels</w:t>
      </w:r>
      <w:proofErr w:type="spellEnd"/>
      <w:r w:rsidRPr="00E14296">
        <w:t xml:space="preserve"> A, Bauer N, </w:t>
      </w:r>
      <w:proofErr w:type="spellStart"/>
      <w:r w:rsidRPr="00E14296">
        <w:t>Canadell</w:t>
      </w:r>
      <w:proofErr w:type="spellEnd"/>
      <w:r w:rsidRPr="00E14296">
        <w:t xml:space="preserve"> JG, Daniel JS, John A, Krummel PB, </w:t>
      </w:r>
      <w:proofErr w:type="spellStart"/>
      <w:r w:rsidRPr="00E14296">
        <w:t>Luderer</w:t>
      </w:r>
      <w:proofErr w:type="spellEnd"/>
      <w:r w:rsidRPr="00E14296">
        <w:t xml:space="preserve"> G, </w:t>
      </w:r>
      <w:proofErr w:type="spellStart"/>
      <w:r w:rsidRPr="00E14296">
        <w:t>Meinshausen</w:t>
      </w:r>
      <w:proofErr w:type="spellEnd"/>
      <w:r w:rsidRPr="00E14296">
        <w:t xml:space="preserve"> N, </w:t>
      </w:r>
      <w:proofErr w:type="spellStart"/>
      <w:r w:rsidRPr="00E14296">
        <w:t>Montzka</w:t>
      </w:r>
      <w:proofErr w:type="spellEnd"/>
      <w:r w:rsidRPr="00E14296">
        <w:t xml:space="preserve"> SA, Rayner PJ, Reimann S, Smith SJ, van den Berg M, </w:t>
      </w:r>
      <w:proofErr w:type="spellStart"/>
      <w:r w:rsidRPr="00E14296">
        <w:t>Velders</w:t>
      </w:r>
      <w:proofErr w:type="spellEnd"/>
      <w:r w:rsidRPr="00E14296">
        <w:t xml:space="preserve"> GJM, Vollmer MK,</w:t>
      </w:r>
      <w:r w:rsidRPr="00E14296" w:rsidDel="00304B5D">
        <w:t xml:space="preserve"> </w:t>
      </w:r>
      <w:r w:rsidRPr="00E14296">
        <w:t xml:space="preserve">Wang RHJ. 2020. The shared socio-economic pathway (SSP) greenhouse gas concentrations and their extensions to 2500. </w:t>
      </w:r>
      <w:proofErr w:type="spellStart"/>
      <w:r w:rsidRPr="00E14296">
        <w:rPr>
          <w:i/>
          <w:iCs/>
          <w:lang w:val="fr-FR"/>
        </w:rPr>
        <w:t>Geoscientific</w:t>
      </w:r>
      <w:proofErr w:type="spellEnd"/>
      <w:r w:rsidRPr="00E14296">
        <w:rPr>
          <w:i/>
          <w:iCs/>
          <w:lang w:val="fr-FR"/>
        </w:rPr>
        <w:t xml:space="preserve"> Model </w:t>
      </w:r>
      <w:proofErr w:type="spellStart"/>
      <w:r w:rsidRPr="00E14296">
        <w:rPr>
          <w:i/>
          <w:iCs/>
          <w:lang w:val="fr-FR"/>
        </w:rPr>
        <w:t>Development</w:t>
      </w:r>
      <w:proofErr w:type="spellEnd"/>
      <w:r w:rsidRPr="00E14296">
        <w:rPr>
          <w:i/>
          <w:iCs/>
          <w:lang w:val="fr-FR"/>
        </w:rPr>
        <w:t xml:space="preserve"> </w:t>
      </w:r>
      <w:proofErr w:type="gramStart"/>
      <w:r w:rsidRPr="00E82AD0">
        <w:rPr>
          <w:lang w:val="fr-FR"/>
        </w:rPr>
        <w:t>13</w:t>
      </w:r>
      <w:r w:rsidRPr="00304B5D">
        <w:rPr>
          <w:lang w:val="fr-FR"/>
        </w:rPr>
        <w:t>:</w:t>
      </w:r>
      <w:proofErr w:type="gramEnd"/>
      <w:r w:rsidRPr="00E14296">
        <w:rPr>
          <w:lang w:val="fr-FR"/>
        </w:rPr>
        <w:t xml:space="preserve"> 3571–3605. </w:t>
      </w:r>
      <w:hyperlink r:id="rId51" w:history="1">
        <w:proofErr w:type="gramStart"/>
        <w:r w:rsidRPr="00E14296">
          <w:rPr>
            <w:rStyle w:val="Hyperlink"/>
            <w:lang w:val="fr-FR"/>
          </w:rPr>
          <w:t>https</w:t>
        </w:r>
        <w:proofErr w:type="gramEnd"/>
        <w:r w:rsidRPr="00E14296">
          <w:rPr>
            <w:rStyle w:val="Hyperlink"/>
            <w:lang w:val="fr-FR"/>
          </w:rPr>
          <w:t> ://doi.org/10.5194/gmd-13-3571-2020</w:t>
        </w:r>
      </w:hyperlink>
      <w:r w:rsidRPr="00E14296">
        <w:rPr>
          <w:lang w:val="fr-FR"/>
        </w:rPr>
        <w:t xml:space="preserve"> </w:t>
      </w:r>
    </w:p>
    <w:p w14:paraId="6A066EA4" w14:textId="58CF22C9" w:rsidR="00E14296" w:rsidRPr="00E14296" w:rsidRDefault="00E14296" w:rsidP="00E14296">
      <w:pPr>
        <w:pStyle w:val="References"/>
        <w:rPr>
          <w:lang w:val="fr-FR"/>
        </w:rPr>
      </w:pPr>
      <w:r w:rsidRPr="00E14296">
        <w:rPr>
          <w:lang w:val="fr-FR"/>
        </w:rPr>
        <w:t xml:space="preserve">Ministry for the </w:t>
      </w:r>
      <w:proofErr w:type="spellStart"/>
      <w:r w:rsidRPr="00E14296">
        <w:rPr>
          <w:lang w:val="fr-FR"/>
        </w:rPr>
        <w:t>Environment</w:t>
      </w:r>
      <w:proofErr w:type="spellEnd"/>
      <w:r w:rsidR="00304B5D">
        <w:rPr>
          <w:lang w:val="fr-FR"/>
        </w:rPr>
        <w:t>.</w:t>
      </w:r>
      <w:r w:rsidRPr="00E14296">
        <w:rPr>
          <w:lang w:val="fr-FR"/>
        </w:rPr>
        <w:t xml:space="preserve"> 2017. </w:t>
      </w:r>
      <w:r w:rsidRPr="00E14296">
        <w:rPr>
          <w:i/>
          <w:iCs/>
          <w:lang w:val="fr-FR"/>
        </w:rPr>
        <w:t xml:space="preserve">Coastal </w:t>
      </w:r>
      <w:proofErr w:type="spellStart"/>
      <w:r w:rsidRPr="00E14296">
        <w:rPr>
          <w:i/>
          <w:iCs/>
          <w:lang w:val="fr-FR"/>
        </w:rPr>
        <w:t>Hazards</w:t>
      </w:r>
      <w:proofErr w:type="spellEnd"/>
      <w:r w:rsidRPr="00E14296">
        <w:rPr>
          <w:i/>
          <w:iCs/>
          <w:lang w:val="fr-FR"/>
        </w:rPr>
        <w:t xml:space="preserve"> and </w:t>
      </w:r>
      <w:proofErr w:type="spellStart"/>
      <w:r w:rsidRPr="00E14296">
        <w:rPr>
          <w:i/>
          <w:iCs/>
          <w:lang w:val="fr-FR"/>
        </w:rPr>
        <w:t>Climate</w:t>
      </w:r>
      <w:proofErr w:type="spellEnd"/>
      <w:r w:rsidRPr="00E14296">
        <w:rPr>
          <w:i/>
          <w:iCs/>
          <w:lang w:val="fr-FR"/>
        </w:rPr>
        <w:t xml:space="preserve"> </w:t>
      </w:r>
      <w:proofErr w:type="gramStart"/>
      <w:r w:rsidRPr="00E14296">
        <w:rPr>
          <w:i/>
          <w:iCs/>
          <w:lang w:val="fr-FR"/>
        </w:rPr>
        <w:t>Change:</w:t>
      </w:r>
      <w:proofErr w:type="gramEnd"/>
      <w:r w:rsidRPr="00E14296">
        <w:rPr>
          <w:i/>
          <w:iCs/>
          <w:lang w:val="fr-FR"/>
        </w:rPr>
        <w:t xml:space="preserve"> Guidance for Local </w:t>
      </w:r>
      <w:proofErr w:type="spellStart"/>
      <w:r w:rsidRPr="00E14296">
        <w:rPr>
          <w:i/>
          <w:iCs/>
          <w:lang w:val="fr-FR"/>
        </w:rPr>
        <w:t>Government</w:t>
      </w:r>
      <w:proofErr w:type="spellEnd"/>
      <w:r w:rsidRPr="00E14296">
        <w:rPr>
          <w:lang w:val="fr-FR"/>
        </w:rPr>
        <w:t>. Bell RG, Lawrence J, Allan S, Blackett P, Stephens SA (</w:t>
      </w:r>
      <w:proofErr w:type="spellStart"/>
      <w:r w:rsidR="00304B5D">
        <w:rPr>
          <w:lang w:val="fr-FR"/>
        </w:rPr>
        <w:t>e</w:t>
      </w:r>
      <w:r w:rsidRPr="00E14296">
        <w:rPr>
          <w:lang w:val="fr-FR"/>
        </w:rPr>
        <w:t>ds</w:t>
      </w:r>
      <w:proofErr w:type="spellEnd"/>
      <w:r w:rsidRPr="00E14296">
        <w:rPr>
          <w:lang w:val="fr-FR"/>
        </w:rPr>
        <w:t>)</w:t>
      </w:r>
      <w:r w:rsidR="00304B5D">
        <w:rPr>
          <w:lang w:val="fr-FR"/>
        </w:rPr>
        <w:t>.</w:t>
      </w:r>
      <w:r w:rsidRPr="00E14296">
        <w:rPr>
          <w:lang w:val="fr-FR"/>
        </w:rPr>
        <w:t xml:space="preserve"> </w:t>
      </w:r>
      <w:proofErr w:type="gramStart"/>
      <w:r w:rsidR="00D9600A">
        <w:rPr>
          <w:lang w:val="fr-FR"/>
        </w:rPr>
        <w:t>Wellington:</w:t>
      </w:r>
      <w:proofErr w:type="gramEnd"/>
      <w:r w:rsidR="00D9600A">
        <w:rPr>
          <w:lang w:val="fr-FR"/>
        </w:rPr>
        <w:t xml:space="preserve"> </w:t>
      </w:r>
      <w:r w:rsidRPr="00E14296">
        <w:rPr>
          <w:lang w:val="fr-FR"/>
        </w:rPr>
        <w:t xml:space="preserve">Ministry for the </w:t>
      </w:r>
      <w:proofErr w:type="spellStart"/>
      <w:r w:rsidRPr="00E14296">
        <w:rPr>
          <w:lang w:val="fr-FR"/>
        </w:rPr>
        <w:t>Environment</w:t>
      </w:r>
      <w:proofErr w:type="spellEnd"/>
      <w:r w:rsidRPr="00E14296">
        <w:rPr>
          <w:lang w:val="fr-FR"/>
        </w:rPr>
        <w:t xml:space="preserve">. </w:t>
      </w:r>
      <w:hyperlink r:id="rId52" w:history="1">
        <w:proofErr w:type="gramStart"/>
        <w:r w:rsidRPr="00E14296">
          <w:rPr>
            <w:rStyle w:val="Hyperlink"/>
            <w:lang w:val="fr-FR"/>
          </w:rPr>
          <w:t>https</w:t>
        </w:r>
        <w:proofErr w:type="gramEnd"/>
        <w:r w:rsidRPr="00E14296">
          <w:rPr>
            <w:rStyle w:val="Hyperlink"/>
            <w:lang w:val="fr-FR"/>
          </w:rPr>
          <w:t> ://environment.govt.nz/publications/coastal-hazards-and-climate-change-guidance-for-local-government/</w:t>
        </w:r>
      </w:hyperlink>
      <w:r w:rsidRPr="00E14296">
        <w:rPr>
          <w:lang w:val="fr-FR"/>
        </w:rPr>
        <w:t xml:space="preserve"> </w:t>
      </w:r>
    </w:p>
    <w:p w14:paraId="13CF6DD6" w14:textId="772A3E3E" w:rsidR="00E14296" w:rsidRPr="00E14296" w:rsidRDefault="00E14296" w:rsidP="00E14296">
      <w:pPr>
        <w:pStyle w:val="References"/>
        <w:rPr>
          <w:lang w:val="fr-FR"/>
        </w:rPr>
      </w:pPr>
      <w:r w:rsidRPr="00E14296">
        <w:rPr>
          <w:lang w:val="fr-FR"/>
        </w:rPr>
        <w:t xml:space="preserve">Ministry for the </w:t>
      </w:r>
      <w:proofErr w:type="spellStart"/>
      <w:r w:rsidRPr="00E14296">
        <w:rPr>
          <w:lang w:val="fr-FR"/>
        </w:rPr>
        <w:t>Environment</w:t>
      </w:r>
      <w:proofErr w:type="spellEnd"/>
      <w:r w:rsidR="00D9600A">
        <w:rPr>
          <w:lang w:val="fr-FR"/>
        </w:rPr>
        <w:t>.</w:t>
      </w:r>
      <w:r w:rsidRPr="00E14296">
        <w:rPr>
          <w:lang w:val="fr-FR"/>
        </w:rPr>
        <w:t xml:space="preserve"> 2017a</w:t>
      </w:r>
      <w:r w:rsidR="00D9600A">
        <w:rPr>
          <w:lang w:val="fr-FR"/>
        </w:rPr>
        <w:t>.</w:t>
      </w:r>
      <w:r w:rsidRPr="00E14296">
        <w:rPr>
          <w:lang w:val="fr-FR"/>
        </w:rPr>
        <w:t xml:space="preserve"> </w:t>
      </w:r>
      <w:proofErr w:type="spellStart"/>
      <w:r w:rsidRPr="00E82AD0">
        <w:rPr>
          <w:i/>
          <w:lang w:val="fr-FR"/>
        </w:rPr>
        <w:t>Preparing</w:t>
      </w:r>
      <w:proofErr w:type="spellEnd"/>
      <w:r w:rsidRPr="00E82AD0">
        <w:rPr>
          <w:i/>
          <w:lang w:val="fr-FR"/>
        </w:rPr>
        <w:t xml:space="preserve"> for </w:t>
      </w:r>
      <w:proofErr w:type="spellStart"/>
      <w:r w:rsidRPr="00E82AD0">
        <w:rPr>
          <w:i/>
          <w:lang w:val="fr-FR"/>
        </w:rPr>
        <w:t>coastal</w:t>
      </w:r>
      <w:proofErr w:type="spellEnd"/>
      <w:r w:rsidRPr="00E82AD0">
        <w:rPr>
          <w:i/>
          <w:lang w:val="fr-FR"/>
        </w:rPr>
        <w:t xml:space="preserve"> </w:t>
      </w:r>
      <w:proofErr w:type="gramStart"/>
      <w:r w:rsidRPr="00E82AD0">
        <w:rPr>
          <w:i/>
          <w:lang w:val="fr-FR"/>
        </w:rPr>
        <w:t>change:</w:t>
      </w:r>
      <w:proofErr w:type="gramEnd"/>
      <w:r w:rsidRPr="00E82AD0">
        <w:rPr>
          <w:i/>
          <w:lang w:val="fr-FR"/>
        </w:rPr>
        <w:t xml:space="preserve"> A </w:t>
      </w:r>
      <w:proofErr w:type="spellStart"/>
      <w:r w:rsidRPr="00E82AD0">
        <w:rPr>
          <w:i/>
          <w:lang w:val="fr-FR"/>
        </w:rPr>
        <w:t>summary</w:t>
      </w:r>
      <w:proofErr w:type="spellEnd"/>
      <w:r w:rsidRPr="00E82AD0">
        <w:rPr>
          <w:i/>
          <w:lang w:val="fr-FR"/>
        </w:rPr>
        <w:t xml:space="preserve"> of </w:t>
      </w:r>
      <w:proofErr w:type="spellStart"/>
      <w:r w:rsidRPr="00E82AD0">
        <w:rPr>
          <w:i/>
          <w:lang w:val="fr-FR"/>
        </w:rPr>
        <w:t>coastal</w:t>
      </w:r>
      <w:proofErr w:type="spellEnd"/>
      <w:r w:rsidRPr="00E82AD0">
        <w:rPr>
          <w:i/>
          <w:lang w:val="fr-FR"/>
        </w:rPr>
        <w:t xml:space="preserve"> </w:t>
      </w:r>
      <w:proofErr w:type="spellStart"/>
      <w:r w:rsidRPr="00E82AD0">
        <w:rPr>
          <w:i/>
          <w:lang w:val="fr-FR"/>
        </w:rPr>
        <w:t>hazards</w:t>
      </w:r>
      <w:proofErr w:type="spellEnd"/>
      <w:r w:rsidRPr="00E82AD0">
        <w:rPr>
          <w:i/>
          <w:lang w:val="fr-FR"/>
        </w:rPr>
        <w:t xml:space="preserve"> and </w:t>
      </w:r>
      <w:proofErr w:type="spellStart"/>
      <w:r w:rsidRPr="00E82AD0">
        <w:rPr>
          <w:i/>
          <w:lang w:val="fr-FR"/>
        </w:rPr>
        <w:t>climate</w:t>
      </w:r>
      <w:proofErr w:type="spellEnd"/>
      <w:r w:rsidRPr="00E82AD0">
        <w:rPr>
          <w:i/>
          <w:lang w:val="fr-FR"/>
        </w:rPr>
        <w:t xml:space="preserve"> change guidance for local </w:t>
      </w:r>
      <w:proofErr w:type="spellStart"/>
      <w:r w:rsidRPr="00E82AD0">
        <w:rPr>
          <w:i/>
          <w:lang w:val="fr-FR"/>
        </w:rPr>
        <w:t>government</w:t>
      </w:r>
      <w:proofErr w:type="spellEnd"/>
      <w:r w:rsidRPr="00E82AD0">
        <w:rPr>
          <w:i/>
          <w:lang w:val="fr-FR"/>
        </w:rPr>
        <w:t>.</w:t>
      </w:r>
      <w:r w:rsidRPr="00E14296">
        <w:rPr>
          <w:lang w:val="fr-FR"/>
        </w:rPr>
        <w:t xml:space="preserve"> </w:t>
      </w:r>
      <w:proofErr w:type="gramStart"/>
      <w:r w:rsidR="00D9600A">
        <w:rPr>
          <w:lang w:val="fr-FR"/>
        </w:rPr>
        <w:t>Wellington:</w:t>
      </w:r>
      <w:proofErr w:type="gramEnd"/>
      <w:r w:rsidR="00D9600A">
        <w:rPr>
          <w:lang w:val="fr-FR"/>
        </w:rPr>
        <w:t xml:space="preserve"> </w:t>
      </w:r>
      <w:r w:rsidRPr="00E14296">
        <w:rPr>
          <w:lang w:val="fr-FR"/>
        </w:rPr>
        <w:t xml:space="preserve">Ministry for the </w:t>
      </w:r>
      <w:proofErr w:type="spellStart"/>
      <w:r w:rsidRPr="00E14296">
        <w:rPr>
          <w:lang w:val="fr-FR"/>
        </w:rPr>
        <w:t>Environment</w:t>
      </w:r>
      <w:proofErr w:type="spellEnd"/>
      <w:r w:rsidRPr="00E14296">
        <w:rPr>
          <w:lang w:val="fr-FR"/>
        </w:rPr>
        <w:t xml:space="preserve">. </w:t>
      </w:r>
      <w:hyperlink r:id="rId53" w:history="1">
        <w:proofErr w:type="gramStart"/>
        <w:r w:rsidRPr="00E14296">
          <w:rPr>
            <w:rStyle w:val="Hyperlink"/>
            <w:lang w:val="fr-FR"/>
          </w:rPr>
          <w:t>https</w:t>
        </w:r>
        <w:proofErr w:type="gramEnd"/>
        <w:r w:rsidRPr="00E14296">
          <w:rPr>
            <w:rStyle w:val="Hyperlink"/>
            <w:lang w:val="fr-FR"/>
          </w:rPr>
          <w:t> ://environment.govt.nz/publications/preparing-for-coastal-change-a-summary-of-coastal-hazards-and-climate-change-guidance-for-local-government/</w:t>
        </w:r>
      </w:hyperlink>
      <w:r w:rsidRPr="00E14296">
        <w:rPr>
          <w:lang w:val="fr-FR"/>
        </w:rPr>
        <w:t xml:space="preserve"> </w:t>
      </w:r>
    </w:p>
    <w:p w14:paraId="17B55F92" w14:textId="06C7AA94" w:rsidR="00E14296" w:rsidRPr="00E14296" w:rsidRDefault="00E14296" w:rsidP="00E14296">
      <w:pPr>
        <w:pStyle w:val="References"/>
      </w:pPr>
      <w:proofErr w:type="spellStart"/>
      <w:r w:rsidRPr="00E14296">
        <w:rPr>
          <w:lang w:val="fr-FR"/>
        </w:rPr>
        <w:t>Naish</w:t>
      </w:r>
      <w:proofErr w:type="spellEnd"/>
      <w:r w:rsidRPr="00E14296">
        <w:rPr>
          <w:lang w:val="fr-FR"/>
        </w:rPr>
        <w:t xml:space="preserve"> T</w:t>
      </w:r>
      <w:r w:rsidR="00D9600A">
        <w:rPr>
          <w:lang w:val="fr-FR"/>
        </w:rPr>
        <w:t>,</w:t>
      </w:r>
      <w:r w:rsidRPr="00E14296">
        <w:rPr>
          <w:lang w:val="fr-FR"/>
        </w:rPr>
        <w:t xml:space="preserve"> et al. </w:t>
      </w:r>
      <w:r w:rsidR="00D9600A">
        <w:t>S</w:t>
      </w:r>
      <w:r w:rsidRPr="00E14296">
        <w:t xml:space="preserve">ubmitted. </w:t>
      </w:r>
      <w:r w:rsidRPr="0050710A">
        <w:rPr>
          <w:i/>
          <w:iCs/>
        </w:rPr>
        <w:t>The significance of vertical land movements at a convergent plate boundary for probabilistic sea-level projections for AR6 scenarios: The New Zealand case</w:t>
      </w:r>
      <w:r w:rsidRPr="00E14296">
        <w:t xml:space="preserve">. Submitted to </w:t>
      </w:r>
      <w:r w:rsidRPr="00E14296">
        <w:rPr>
          <w:i/>
          <w:iCs/>
        </w:rPr>
        <w:t>Earth’s Future</w:t>
      </w:r>
      <w:r w:rsidRPr="00E14296">
        <w:t xml:space="preserve">. </w:t>
      </w:r>
      <w:r w:rsidR="00961A49">
        <w:t xml:space="preserve">Working paper available at </w:t>
      </w:r>
      <w:hyperlink r:id="rId54" w:history="1">
        <w:r w:rsidR="00961A49">
          <w:rPr>
            <w:rStyle w:val="Hyperlink"/>
          </w:rPr>
          <w:t>https://www.searise.nz/publications</w:t>
        </w:r>
      </w:hyperlink>
      <w:r w:rsidR="00961A49">
        <w:t xml:space="preserve"> </w:t>
      </w:r>
      <w:r w:rsidR="008E7F6F">
        <w:t xml:space="preserve">and </w:t>
      </w:r>
      <w:hyperlink r:id="rId55" w:history="1">
        <w:r w:rsidR="008E7F6F" w:rsidRPr="00AE23A1">
          <w:rPr>
            <w:rStyle w:val="Hyperlink"/>
          </w:rPr>
          <w:t>https://www.essoar.org/doi/abs/10.1002/essoar.10511878.1</w:t>
        </w:r>
      </w:hyperlink>
      <w:r w:rsidR="00961A49">
        <w:t xml:space="preserve"> </w:t>
      </w:r>
    </w:p>
    <w:p w14:paraId="242019B1" w14:textId="2DC6E493" w:rsidR="00E14296" w:rsidRPr="00E14296" w:rsidRDefault="00D9600A" w:rsidP="00E14296">
      <w:pPr>
        <w:pStyle w:val="References"/>
      </w:pPr>
      <w:r w:rsidRPr="00E14296">
        <w:t>Parliamentary Commissioner for the Environment</w:t>
      </w:r>
      <w:r>
        <w:t>.</w:t>
      </w:r>
      <w:r w:rsidRPr="00E14296" w:rsidDel="00D9600A">
        <w:t xml:space="preserve"> </w:t>
      </w:r>
      <w:r w:rsidR="00E14296" w:rsidRPr="00E14296">
        <w:t xml:space="preserve">2015. </w:t>
      </w:r>
      <w:r w:rsidR="00E14296" w:rsidRPr="0050710A">
        <w:rPr>
          <w:i/>
          <w:iCs/>
        </w:rPr>
        <w:t>Preparing New Zealand for rising seas: Certainty and uncertainty</w:t>
      </w:r>
      <w:r w:rsidR="00E14296" w:rsidRPr="00E14296">
        <w:t xml:space="preserve">. </w:t>
      </w:r>
      <w:r>
        <w:t>Wellington:</w:t>
      </w:r>
      <w:r w:rsidR="00E14296" w:rsidRPr="00E14296">
        <w:t xml:space="preserve"> Parliamentary Commissioner for the Environment. </w:t>
      </w:r>
      <w:hyperlink r:id="rId56" w:history="1">
        <w:r w:rsidR="00E14296" w:rsidRPr="00E14296">
          <w:rPr>
            <w:rStyle w:val="Hyperlink"/>
          </w:rPr>
          <w:t>https://www.pce.parliament.nz/publications/preparing-new-zealand-for-rising-seas-certainty-and-uncertainty</w:t>
        </w:r>
      </w:hyperlink>
      <w:r w:rsidR="00E14296" w:rsidRPr="00E14296">
        <w:t xml:space="preserve"> </w:t>
      </w:r>
    </w:p>
    <w:p w14:paraId="7E8650DF" w14:textId="3D5E8282" w:rsidR="00E14296" w:rsidRPr="00E14296" w:rsidRDefault="00E14296" w:rsidP="00E14296">
      <w:pPr>
        <w:pStyle w:val="References"/>
      </w:pPr>
      <w:r w:rsidRPr="00E14296">
        <w:t>Seroussi H, Nowicki S, Payne AJ, Goelzer H, Lipscomb WH</w:t>
      </w:r>
      <w:r w:rsidR="00D9600A">
        <w:t>,</w:t>
      </w:r>
      <w:r w:rsidRPr="00E14296">
        <w:t xml:space="preserve"> et al. 2020. ISMIP6 Antarctica: a multi-model ensemble of the Antarctic ice sheet evolution over the 21</w:t>
      </w:r>
      <w:r w:rsidRPr="00E14296">
        <w:rPr>
          <w:vertAlign w:val="superscript"/>
        </w:rPr>
        <w:t>st</w:t>
      </w:r>
      <w:r w:rsidRPr="00E14296">
        <w:t xml:space="preserve"> century. </w:t>
      </w:r>
      <w:r w:rsidRPr="00E14296">
        <w:rPr>
          <w:i/>
          <w:iCs/>
        </w:rPr>
        <w:t xml:space="preserve">The Cryosphere </w:t>
      </w:r>
      <w:r w:rsidRPr="00E82AD0">
        <w:t>14</w:t>
      </w:r>
      <w:r w:rsidRPr="00D9600A">
        <w:t>:</w:t>
      </w:r>
      <w:r w:rsidRPr="00E14296">
        <w:t xml:space="preserve"> 3033–3070. </w:t>
      </w:r>
      <w:hyperlink r:id="rId57" w:history="1">
        <w:r w:rsidRPr="00E14296">
          <w:rPr>
            <w:rStyle w:val="Hyperlink"/>
          </w:rPr>
          <w:t>https://doi.org/10.5194/tc-14-3033-2020</w:t>
        </w:r>
      </w:hyperlink>
      <w:r w:rsidRPr="00E14296">
        <w:t xml:space="preserve"> </w:t>
      </w:r>
    </w:p>
    <w:p w14:paraId="01D97659" w14:textId="7C55BC25" w:rsidR="00E14296" w:rsidRPr="00E14296" w:rsidRDefault="00E14296" w:rsidP="00E14296">
      <w:pPr>
        <w:pStyle w:val="References"/>
        <w:rPr>
          <w:u w:val="single"/>
        </w:rPr>
      </w:pPr>
      <w:r w:rsidRPr="00E14296">
        <w:t>Stirling MW, McVerry G, Gerstenberger M, Litchfield N, Van Dissen R, Berryman K, Barnes P, Wallace L, Bradley B, Villamor P</w:t>
      </w:r>
      <w:r w:rsidR="00D9600A">
        <w:t>,</w:t>
      </w:r>
      <w:r w:rsidRPr="00E14296">
        <w:t xml:space="preserve"> et al. 2012. National seismic hazard model for New Zealand: 2010 update. </w:t>
      </w:r>
      <w:r w:rsidRPr="00E14296">
        <w:rPr>
          <w:i/>
          <w:iCs/>
        </w:rPr>
        <w:t xml:space="preserve">Bulletin of the Seismological Society of America </w:t>
      </w:r>
      <w:r w:rsidRPr="00E82AD0">
        <w:t>102 (4)</w:t>
      </w:r>
      <w:r w:rsidRPr="00D9600A">
        <w:t>:</w:t>
      </w:r>
      <w:r w:rsidRPr="00E14296">
        <w:t xml:space="preserve"> 1514–1542. </w:t>
      </w:r>
      <w:hyperlink r:id="rId58" w:history="1">
        <w:r w:rsidRPr="00E14296">
          <w:rPr>
            <w:rStyle w:val="Hyperlink"/>
          </w:rPr>
          <w:t>https://doi.org/10.1785/0120110170</w:t>
        </w:r>
      </w:hyperlink>
    </w:p>
    <w:p w14:paraId="0E9DE736" w14:textId="0411EEE6" w:rsidR="00E14296" w:rsidRPr="00622567" w:rsidRDefault="00E14296" w:rsidP="00E14296">
      <w:pPr>
        <w:pStyle w:val="References"/>
      </w:pPr>
      <w:r w:rsidRPr="00622567">
        <w:t>Wallace LM, Cochran UA, Power WL,</w:t>
      </w:r>
      <w:r w:rsidRPr="00622567" w:rsidDel="00D9600A">
        <w:t xml:space="preserve"> </w:t>
      </w:r>
      <w:r w:rsidRPr="00622567">
        <w:t xml:space="preserve">Clark KJ. 2014. </w:t>
      </w:r>
      <w:r w:rsidRPr="0050710A">
        <w:rPr>
          <w:i/>
          <w:iCs/>
        </w:rPr>
        <w:t xml:space="preserve">Earthquake and tsunami potential of the Hikurangi subduction thrust, New Zealand: Insights from </w:t>
      </w:r>
      <w:proofErr w:type="spellStart"/>
      <w:r w:rsidRPr="0050710A">
        <w:rPr>
          <w:i/>
          <w:iCs/>
        </w:rPr>
        <w:t>paleoseismology</w:t>
      </w:r>
      <w:proofErr w:type="spellEnd"/>
      <w:r w:rsidRPr="0050710A">
        <w:rPr>
          <w:i/>
          <w:iCs/>
        </w:rPr>
        <w:t xml:space="preserve">, GPS, and tsunami </w:t>
      </w:r>
      <w:proofErr w:type="spellStart"/>
      <w:r w:rsidRPr="0050710A">
        <w:rPr>
          <w:i/>
          <w:iCs/>
        </w:rPr>
        <w:t>modeling</w:t>
      </w:r>
      <w:proofErr w:type="spellEnd"/>
      <w:r w:rsidRPr="00622567">
        <w:t xml:space="preserve">. </w:t>
      </w:r>
      <w:r w:rsidRPr="00622567">
        <w:rPr>
          <w:i/>
        </w:rPr>
        <w:t xml:space="preserve">Oceanography </w:t>
      </w:r>
      <w:r w:rsidRPr="00E82AD0">
        <w:t>27(2)</w:t>
      </w:r>
      <w:r w:rsidRPr="00D9600A">
        <w:rPr>
          <w:iCs/>
        </w:rPr>
        <w:t>:</w:t>
      </w:r>
      <w:r w:rsidRPr="00622567">
        <w:t xml:space="preserve"> 104</w:t>
      </w:r>
      <w:r w:rsidR="000A7AAD" w:rsidRPr="000A7AAD">
        <w:t>–</w:t>
      </w:r>
      <w:r w:rsidRPr="00622567">
        <w:t>117.</w:t>
      </w:r>
    </w:p>
    <w:sectPr w:rsidR="00E14296" w:rsidRPr="00622567" w:rsidSect="008A7498">
      <w:footerReference w:type="even" r:id="rId59"/>
      <w:footerReference w:type="default" r:id="rId6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B996B" w14:textId="77777777" w:rsidR="005877CE" w:rsidRDefault="005877CE" w:rsidP="0080531E">
      <w:pPr>
        <w:spacing w:before="0" w:after="0" w:line="240" w:lineRule="auto"/>
      </w:pPr>
      <w:r>
        <w:separator/>
      </w:r>
    </w:p>
    <w:p w14:paraId="51497C48" w14:textId="77777777" w:rsidR="005877CE" w:rsidRDefault="005877CE"/>
  </w:endnote>
  <w:endnote w:type="continuationSeparator" w:id="0">
    <w:p w14:paraId="0B76241B" w14:textId="77777777" w:rsidR="005877CE" w:rsidRDefault="005877CE" w:rsidP="0080531E">
      <w:pPr>
        <w:spacing w:before="0" w:after="0" w:line="240" w:lineRule="auto"/>
      </w:pPr>
      <w:r>
        <w:continuationSeparator/>
      </w:r>
    </w:p>
    <w:p w14:paraId="4E53DE86" w14:textId="77777777" w:rsidR="005877CE" w:rsidRDefault="005877CE"/>
  </w:endnote>
  <w:endnote w:type="continuationNotice" w:id="1">
    <w:p w14:paraId="665B61CA" w14:textId="77777777" w:rsidR="005877CE" w:rsidRDefault="005877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0441" w14:textId="77777777" w:rsidR="0036584A" w:rsidRDefault="00365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64F3" w14:textId="77777777" w:rsidR="0036584A" w:rsidRDefault="003658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4913B44F" w:rsidR="00E453AB" w:rsidRPr="00345290" w:rsidRDefault="00E5210B" w:rsidP="00CD25E1">
    <w:pPr>
      <w:pStyle w:val="Footereven"/>
      <w:rPr>
        <w:iCs/>
      </w:rPr>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345290" w:rsidRPr="00345290">
      <w:rPr>
        <w:iCs/>
      </w:rPr>
      <w:t>Interim guidance on the use of new sea-level rise projections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38B2C12B" w:rsidR="00E453AB" w:rsidRDefault="00E5210B" w:rsidP="00CD25E1">
    <w:pPr>
      <w:pStyle w:val="Footerodd"/>
    </w:pPr>
    <w:r>
      <w:tab/>
    </w:r>
    <w:r w:rsidR="00345290" w:rsidRPr="00345290">
      <w:rPr>
        <w:iCs/>
      </w:rPr>
      <w:t>Interim guidance on the use of new sea-level rise projections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C9640" w14:textId="77777777" w:rsidR="005877CE" w:rsidRDefault="005877CE" w:rsidP="00CB5C5F">
      <w:pPr>
        <w:spacing w:before="0" w:after="80" w:line="240" w:lineRule="auto"/>
      </w:pPr>
      <w:r>
        <w:separator/>
      </w:r>
    </w:p>
  </w:footnote>
  <w:footnote w:type="continuationSeparator" w:id="0">
    <w:p w14:paraId="0F5D0ACE" w14:textId="77777777" w:rsidR="005877CE" w:rsidRDefault="005877CE" w:rsidP="0080531E">
      <w:pPr>
        <w:spacing w:before="0" w:after="0" w:line="240" w:lineRule="auto"/>
      </w:pPr>
      <w:r>
        <w:continuationSeparator/>
      </w:r>
    </w:p>
    <w:p w14:paraId="7F742C4A" w14:textId="77777777" w:rsidR="005877CE" w:rsidRDefault="005877CE"/>
  </w:footnote>
  <w:footnote w:type="continuationNotice" w:id="1">
    <w:p w14:paraId="32F26D76" w14:textId="77777777" w:rsidR="005877CE" w:rsidRDefault="005877CE">
      <w:pPr>
        <w:spacing w:before="0" w:after="0" w:line="240" w:lineRule="auto"/>
      </w:pPr>
    </w:p>
  </w:footnote>
  <w:footnote w:id="2">
    <w:p w14:paraId="43428BB1" w14:textId="49960016" w:rsidR="005C2BF0" w:rsidRPr="00D82B66" w:rsidRDefault="0069726C" w:rsidP="004A4C41">
      <w:pPr>
        <w:pStyle w:val="FootnoteText"/>
        <w:rPr>
          <w:sz w:val="18"/>
          <w:szCs w:val="18"/>
        </w:rPr>
      </w:pPr>
      <w:r>
        <w:rPr>
          <w:rStyle w:val="FootnoteReference"/>
        </w:rPr>
        <w:footnoteRef/>
      </w:r>
      <w:r>
        <w:tab/>
      </w:r>
      <w:hyperlink r:id="rId1" w:history="1">
        <w:r w:rsidR="005C2BF0" w:rsidRPr="00AE23A1">
          <w:rPr>
            <w:rStyle w:val="Hyperlink"/>
          </w:rPr>
          <w:t>https://www.searise.nz/maps-2</w:t>
        </w:r>
      </w:hyperlink>
    </w:p>
  </w:footnote>
  <w:footnote w:id="3">
    <w:p w14:paraId="0F7211E7" w14:textId="031A4476" w:rsidR="000313C9" w:rsidRDefault="000313C9">
      <w:pPr>
        <w:pStyle w:val="FootnoteText"/>
      </w:pPr>
      <w:r>
        <w:rPr>
          <w:rStyle w:val="FootnoteReference"/>
        </w:rPr>
        <w:footnoteRef/>
      </w:r>
      <w:r w:rsidR="0069726C">
        <w:tab/>
      </w:r>
      <w:r w:rsidRPr="000313C9">
        <w:t>Note: In comparison, the 2017 coastal hazards guidance only provided national-scale sea-level rise projections (figure 27 and tables 10</w:t>
      </w:r>
      <w:r w:rsidR="0017389C" w:rsidRPr="0017389C">
        <w:t>–</w:t>
      </w:r>
      <w:r w:rsidRPr="000313C9">
        <w:t>11) from the previous IPCC assessment (2013). It contained limited information on regional VLM rates (section 5.3) based on short continuous GPS records available at the time (and often not at the coast).</w:t>
      </w:r>
    </w:p>
  </w:footnote>
  <w:footnote w:id="4">
    <w:p w14:paraId="6A83377F" w14:textId="6A5A4324" w:rsidR="008E7F6F" w:rsidRDefault="00BD7EB7" w:rsidP="00BD7EB7">
      <w:pPr>
        <w:pStyle w:val="FootnoteText"/>
      </w:pPr>
      <w:r>
        <w:rPr>
          <w:rStyle w:val="FootnoteReference"/>
        </w:rPr>
        <w:footnoteRef/>
      </w:r>
      <w:r>
        <w:t xml:space="preserve"> </w:t>
      </w:r>
      <w:hyperlink w:history="1"/>
      <w:hyperlink r:id="rId2" w:history="1">
        <w:r w:rsidR="008E7F6F" w:rsidRPr="00AE23A1">
          <w:rPr>
            <w:rStyle w:val="Hyperlink"/>
            <w:sz w:val="18"/>
            <w:szCs w:val="18"/>
          </w:rPr>
          <w:t>https://www.searise.nz/maps-2</w:t>
        </w:r>
      </w:hyperlink>
    </w:p>
  </w:footnote>
  <w:footnote w:id="5">
    <w:p w14:paraId="00F60339" w14:textId="77777777" w:rsidR="00687784" w:rsidRPr="00881E52" w:rsidRDefault="00687784" w:rsidP="0050710A">
      <w:pPr>
        <w:pStyle w:val="FootnoteText"/>
        <w:ind w:left="113" w:hanging="113"/>
        <w:rPr>
          <w:sz w:val="18"/>
          <w:szCs w:val="18"/>
        </w:rPr>
      </w:pPr>
      <w:r>
        <w:rPr>
          <w:rStyle w:val="FootnoteReference"/>
        </w:rPr>
        <w:footnoteRef/>
      </w:r>
      <w:r>
        <w:t xml:space="preserve"> </w:t>
      </w:r>
      <w:r w:rsidRPr="00881E52">
        <w:rPr>
          <w:sz w:val="18"/>
          <w:szCs w:val="18"/>
        </w:rPr>
        <w:t xml:space="preserve">Radiative or climate forcing is </w:t>
      </w:r>
      <w:r>
        <w:rPr>
          <w:sz w:val="18"/>
          <w:szCs w:val="18"/>
        </w:rPr>
        <w:t xml:space="preserve">the increase in the </w:t>
      </w:r>
      <w:r w:rsidRPr="00881E52">
        <w:rPr>
          <w:sz w:val="18"/>
          <w:szCs w:val="18"/>
        </w:rPr>
        <w:t>difference between incoming</w:t>
      </w:r>
      <w:r>
        <w:rPr>
          <w:sz w:val="18"/>
          <w:szCs w:val="18"/>
        </w:rPr>
        <w:t xml:space="preserve"> (downward)</w:t>
      </w:r>
      <w:r w:rsidRPr="00881E52">
        <w:rPr>
          <w:sz w:val="18"/>
          <w:szCs w:val="18"/>
        </w:rPr>
        <w:t xml:space="preserve"> and outgoing</w:t>
      </w:r>
      <w:r>
        <w:rPr>
          <w:sz w:val="18"/>
          <w:szCs w:val="18"/>
        </w:rPr>
        <w:t xml:space="preserve"> (upward)</w:t>
      </w:r>
      <w:r w:rsidRPr="00881E52">
        <w:rPr>
          <w:sz w:val="18"/>
          <w:szCs w:val="18"/>
        </w:rPr>
        <w:t xml:space="preserve"> </w:t>
      </w:r>
      <w:r>
        <w:rPr>
          <w:sz w:val="18"/>
          <w:szCs w:val="18"/>
        </w:rPr>
        <w:t>energy (in Watts per square metre)</w:t>
      </w:r>
      <w:r w:rsidRPr="00881E52">
        <w:rPr>
          <w:sz w:val="18"/>
          <w:szCs w:val="18"/>
        </w:rPr>
        <w:t xml:space="preserve"> for the Earth’s atmospher</w:t>
      </w:r>
      <w:r>
        <w:rPr>
          <w:sz w:val="18"/>
          <w:szCs w:val="18"/>
        </w:rPr>
        <w:t xml:space="preserve">e, </w:t>
      </w:r>
      <w:r w:rsidRPr="00A85EFD">
        <w:rPr>
          <w:sz w:val="18"/>
          <w:szCs w:val="18"/>
        </w:rPr>
        <w:t>due to a change in an external driver of climate change, such as a change in the concentration of carbon</w:t>
      </w:r>
      <w:r>
        <w:rPr>
          <w:sz w:val="18"/>
          <w:szCs w:val="18"/>
        </w:rPr>
        <w:t xml:space="preserve"> dioxide, volcanic </w:t>
      </w:r>
      <w:r>
        <w:rPr>
          <w:sz w:val="18"/>
          <w:szCs w:val="18"/>
        </w:rPr>
        <w:t>aerosols or albedo (land surface reflectance).</w:t>
      </w:r>
    </w:p>
  </w:footnote>
  <w:footnote w:id="6">
    <w:p w14:paraId="78E65BB3" w14:textId="5B3882D4" w:rsidR="00687784" w:rsidRDefault="00687784" w:rsidP="0050710A">
      <w:pPr>
        <w:ind w:left="113" w:hanging="113"/>
      </w:pPr>
      <w:r>
        <w:rPr>
          <w:rStyle w:val="FootnoteReference"/>
        </w:rPr>
        <w:footnoteRef/>
      </w:r>
      <w:r>
        <w:t xml:space="preserve"> </w:t>
      </w:r>
      <w:r w:rsidRPr="00DB7933">
        <w:rPr>
          <w:sz w:val="18"/>
          <w:szCs w:val="18"/>
        </w:rPr>
        <w:t xml:space="preserve">More details on SSPs can be viewed in the SENSES Toolkit </w:t>
      </w:r>
      <w:r>
        <w:rPr>
          <w:sz w:val="18"/>
          <w:szCs w:val="18"/>
        </w:rPr>
        <w:t xml:space="preserve">hosted </w:t>
      </w:r>
      <w:r w:rsidRPr="00DB7933">
        <w:rPr>
          <w:sz w:val="18"/>
          <w:szCs w:val="18"/>
        </w:rPr>
        <w:t xml:space="preserve">by Potsdam Institute </w:t>
      </w:r>
      <w:r>
        <w:rPr>
          <w:sz w:val="18"/>
          <w:szCs w:val="18"/>
        </w:rPr>
        <w:t>for</w:t>
      </w:r>
      <w:r w:rsidRPr="00DB7933">
        <w:rPr>
          <w:sz w:val="18"/>
          <w:szCs w:val="18"/>
        </w:rPr>
        <w:t xml:space="preserve"> Climate Impact Research: </w:t>
      </w:r>
      <w:hyperlink r:id="rId3" w:history="1">
        <w:r w:rsidRPr="00DB7933">
          <w:rPr>
            <w:rStyle w:val="Hyperlink"/>
            <w:sz w:val="18"/>
            <w:szCs w:val="18"/>
          </w:rPr>
          <w:t>https://climatescenarios.org/primer/socioeconomic-development/</w:t>
        </w:r>
      </w:hyperlink>
      <w:r w:rsidR="005F3D6C">
        <w:rPr>
          <w:sz w:val="18"/>
          <w:szCs w:val="18"/>
        </w:rPr>
        <w:t>.</w:t>
      </w:r>
    </w:p>
  </w:footnote>
  <w:footnote w:id="7">
    <w:p w14:paraId="7E0BAA26" w14:textId="68720E26" w:rsidR="00687784" w:rsidRPr="0049200F" w:rsidRDefault="00687784" w:rsidP="0050710A">
      <w:pPr>
        <w:pStyle w:val="FootnoteText"/>
        <w:ind w:left="113" w:hanging="113"/>
        <w:rPr>
          <w:sz w:val="18"/>
          <w:szCs w:val="18"/>
        </w:rPr>
      </w:pPr>
      <w:r>
        <w:rPr>
          <w:rStyle w:val="FootnoteReference"/>
        </w:rPr>
        <w:footnoteRef/>
      </w:r>
      <w:r>
        <w:t xml:space="preserve"> </w:t>
      </w:r>
      <w:r>
        <w:rPr>
          <w:sz w:val="18"/>
          <w:szCs w:val="18"/>
        </w:rPr>
        <w:t>This lowest scenario</w:t>
      </w:r>
      <w:r w:rsidR="00FE62BC">
        <w:rPr>
          <w:sz w:val="18"/>
          <w:szCs w:val="18"/>
        </w:rPr>
        <w:t xml:space="preserve"> </w:t>
      </w:r>
      <w:r>
        <w:rPr>
          <w:sz w:val="18"/>
          <w:szCs w:val="18"/>
        </w:rPr>
        <w:t xml:space="preserve">pathway </w:t>
      </w:r>
      <w:r w:rsidR="00FE62BC">
        <w:rPr>
          <w:sz w:val="18"/>
          <w:szCs w:val="18"/>
        </w:rPr>
        <w:t>relies on</w:t>
      </w:r>
      <w:r w:rsidRPr="0049200F" w:rsidDel="00FE62BC">
        <w:rPr>
          <w:sz w:val="18"/>
          <w:szCs w:val="18"/>
        </w:rPr>
        <w:t xml:space="preserve"> </w:t>
      </w:r>
      <w:r w:rsidR="00FE62BC">
        <w:rPr>
          <w:sz w:val="18"/>
          <w:szCs w:val="18"/>
        </w:rPr>
        <w:t>keeping</w:t>
      </w:r>
      <w:r w:rsidR="00FE62BC" w:rsidRPr="0049200F">
        <w:rPr>
          <w:sz w:val="18"/>
          <w:szCs w:val="18"/>
        </w:rPr>
        <w:t xml:space="preserve"> </w:t>
      </w:r>
      <w:r w:rsidRPr="0049200F">
        <w:rPr>
          <w:sz w:val="18"/>
          <w:szCs w:val="18"/>
        </w:rPr>
        <w:t>global temperature</w:t>
      </w:r>
      <w:r w:rsidR="00FE62BC">
        <w:rPr>
          <w:sz w:val="18"/>
          <w:szCs w:val="18"/>
        </w:rPr>
        <w:t xml:space="preserve"> increase</w:t>
      </w:r>
      <w:r w:rsidRPr="0049200F">
        <w:rPr>
          <w:sz w:val="18"/>
          <w:szCs w:val="18"/>
        </w:rPr>
        <w:t>s below 1.5</w:t>
      </w:r>
      <w:r w:rsidRPr="00687784">
        <w:rPr>
          <w:rFonts w:cs="Calibri"/>
          <w:sz w:val="18"/>
          <w:szCs w:val="18"/>
        </w:rPr>
        <w:t>°</w:t>
      </w:r>
      <w:r w:rsidRPr="0049200F">
        <w:rPr>
          <w:sz w:val="18"/>
          <w:szCs w:val="18"/>
        </w:rPr>
        <w:t>C</w:t>
      </w:r>
      <w:r>
        <w:rPr>
          <w:sz w:val="18"/>
          <w:szCs w:val="18"/>
        </w:rPr>
        <w:t xml:space="preserve"> </w:t>
      </w:r>
      <w:r w:rsidR="00FE62BC">
        <w:rPr>
          <w:sz w:val="18"/>
          <w:szCs w:val="18"/>
        </w:rPr>
        <w:t xml:space="preserve">by </w:t>
      </w:r>
      <w:r>
        <w:rPr>
          <w:sz w:val="18"/>
          <w:szCs w:val="18"/>
        </w:rPr>
        <w:t xml:space="preserve">the end of this century. It is largely aspirational for global </w:t>
      </w:r>
      <w:r w:rsidR="00FE62BC">
        <w:rPr>
          <w:sz w:val="18"/>
          <w:szCs w:val="18"/>
        </w:rPr>
        <w:t xml:space="preserve">greenhouse gas </w:t>
      </w:r>
      <w:r>
        <w:rPr>
          <w:sz w:val="18"/>
          <w:szCs w:val="18"/>
        </w:rPr>
        <w:t>mitigation, rather than realistic for planning adaptation in coastal</w:t>
      </w:r>
      <w:r w:rsidDel="00FE62BC">
        <w:rPr>
          <w:sz w:val="18"/>
          <w:szCs w:val="18"/>
        </w:rPr>
        <w:t xml:space="preserve"> </w:t>
      </w:r>
      <w:r w:rsidR="00FE62BC">
        <w:rPr>
          <w:sz w:val="18"/>
          <w:szCs w:val="18"/>
        </w:rPr>
        <w:t>areas</w:t>
      </w:r>
      <w:r>
        <w:rPr>
          <w:sz w:val="18"/>
          <w:szCs w:val="18"/>
        </w:rPr>
        <w:t xml:space="preserve">. </w:t>
      </w:r>
      <w:r w:rsidRPr="00F4781A">
        <w:rPr>
          <w:sz w:val="18"/>
          <w:szCs w:val="18"/>
        </w:rPr>
        <w:t xml:space="preserve">SSP1-1.9 </w:t>
      </w:r>
      <w:r>
        <w:rPr>
          <w:sz w:val="18"/>
          <w:szCs w:val="18"/>
        </w:rPr>
        <w:t>also</w:t>
      </w:r>
      <w:r w:rsidRPr="00F4781A">
        <w:rPr>
          <w:sz w:val="18"/>
          <w:szCs w:val="18"/>
        </w:rPr>
        <w:t xml:space="preserve"> has far fewer simulations available</w:t>
      </w:r>
      <w:r>
        <w:rPr>
          <w:sz w:val="18"/>
          <w:szCs w:val="18"/>
        </w:rPr>
        <w:t>. While this low-emissions scenario would result in considerably slower rise in sea level this century, the long lag in sea-level response to current emissions</w:t>
      </w:r>
      <w:r w:rsidR="00FE62BC">
        <w:rPr>
          <w:sz w:val="18"/>
          <w:szCs w:val="18"/>
        </w:rPr>
        <w:t xml:space="preserve"> means that</w:t>
      </w:r>
      <w:r>
        <w:rPr>
          <w:sz w:val="18"/>
          <w:szCs w:val="18"/>
        </w:rPr>
        <w:t xml:space="preserve"> </w:t>
      </w:r>
      <w:r w:rsidRPr="00DC3344">
        <w:rPr>
          <w:sz w:val="18"/>
          <w:szCs w:val="18"/>
        </w:rPr>
        <w:t>some form of adaptation will</w:t>
      </w:r>
      <w:r>
        <w:rPr>
          <w:sz w:val="18"/>
          <w:szCs w:val="18"/>
        </w:rPr>
        <w:t xml:space="preserve"> still</w:t>
      </w:r>
      <w:r w:rsidRPr="00DC3344">
        <w:rPr>
          <w:sz w:val="18"/>
          <w:szCs w:val="18"/>
        </w:rPr>
        <w:t xml:space="preserve"> need to be considered</w:t>
      </w:r>
      <w:r>
        <w:rPr>
          <w:sz w:val="18"/>
          <w:szCs w:val="18"/>
        </w:rPr>
        <w:t xml:space="preserve">, even if temperatures </w:t>
      </w:r>
      <w:r w:rsidR="00FE62BC">
        <w:rPr>
          <w:sz w:val="18"/>
          <w:szCs w:val="18"/>
        </w:rPr>
        <w:t>a</w:t>
      </w:r>
      <w:r>
        <w:rPr>
          <w:sz w:val="18"/>
          <w:szCs w:val="18"/>
        </w:rPr>
        <w:t>re successfully stabilised later this century.</w:t>
      </w:r>
    </w:p>
  </w:footnote>
  <w:footnote w:id="8">
    <w:p w14:paraId="151511CF" w14:textId="4DF5C924" w:rsidR="008B43B7" w:rsidRPr="00492B3E" w:rsidRDefault="008B43B7" w:rsidP="0050710A">
      <w:pPr>
        <w:pStyle w:val="FootnoteText"/>
        <w:ind w:left="113" w:hanging="113"/>
        <w:rPr>
          <w:lang w:val="mi-NZ"/>
        </w:rPr>
      </w:pPr>
      <w:r>
        <w:rPr>
          <w:rStyle w:val="FootnoteReference"/>
        </w:rPr>
        <w:footnoteRef/>
      </w:r>
      <w:r>
        <w:t xml:space="preserve"> </w:t>
      </w:r>
      <w:r>
        <w:rPr>
          <w:rFonts w:eastAsia="Calibri"/>
        </w:rPr>
        <w:t xml:space="preserve">The </w:t>
      </w:r>
      <w:r w:rsidRPr="00687784">
        <w:rPr>
          <w:rFonts w:eastAsia="Calibri"/>
        </w:rPr>
        <w:t>last number of the SSP relates to the RCP</w:t>
      </w:r>
      <w:r>
        <w:rPr>
          <w:rFonts w:eastAsia="Calibri"/>
        </w:rPr>
        <w:t>.</w:t>
      </w:r>
      <w:r w:rsidRPr="00687784">
        <w:rPr>
          <w:rFonts w:eastAsia="Calibri"/>
        </w:rPr>
        <w:t xml:space="preserve"> M = median, </w:t>
      </w:r>
      <w:r w:rsidR="00B5266E">
        <w:rPr>
          <w:rFonts w:eastAsia="Calibri"/>
        </w:rPr>
        <w:t>represented by</w:t>
      </w:r>
      <w:r w:rsidRPr="00687784">
        <w:rPr>
          <w:rFonts w:eastAsia="Calibri"/>
        </w:rPr>
        <w:t xml:space="preserve"> the bold coloured lines/markers on the graphs produced in </w:t>
      </w:r>
      <w:r w:rsidRPr="00687784">
        <w:rPr>
          <w:rFonts w:eastAsia="Calibri"/>
        </w:rPr>
        <w:t>Takiwā</w:t>
      </w:r>
      <w:r w:rsidR="00B5266E">
        <w:rPr>
          <w:rFonts w:eastAsia="Calibri"/>
        </w:rPr>
        <w:t>,</w:t>
      </w:r>
      <w:r w:rsidRPr="00687784">
        <w:rPr>
          <w:rFonts w:eastAsia="Calibri"/>
        </w:rPr>
        <w:t xml:space="preserve"> also labelled </w:t>
      </w:r>
      <w:r w:rsidRPr="00687784">
        <w:rPr>
          <w:rFonts w:eastAsia="Calibri"/>
          <w:i/>
          <w:iCs/>
        </w:rPr>
        <w:t>p50</w:t>
      </w:r>
      <w:r w:rsidRPr="00687784">
        <w:rPr>
          <w:rFonts w:eastAsia="Calibri"/>
        </w:rPr>
        <w:t xml:space="preserve"> in the data cursor and datasets</w:t>
      </w:r>
      <w:r w:rsidR="00B5266E">
        <w:rPr>
          <w:rFonts w:eastAsia="Calibri"/>
        </w:rPr>
        <w:t>.</w:t>
      </w:r>
    </w:p>
  </w:footnote>
  <w:footnote w:id="9">
    <w:p w14:paraId="1E500E8E" w14:textId="2AD23B82" w:rsidR="00687784" w:rsidRPr="000624F5" w:rsidRDefault="00687784" w:rsidP="00687784">
      <w:pPr>
        <w:pStyle w:val="FootnoteText"/>
        <w:rPr>
          <w:sz w:val="18"/>
          <w:szCs w:val="18"/>
        </w:rPr>
      </w:pPr>
      <w:r>
        <w:rPr>
          <w:rStyle w:val="FootnoteReference"/>
        </w:rPr>
        <w:footnoteRef/>
      </w:r>
      <w:r>
        <w:t xml:space="preserve"> </w:t>
      </w:r>
      <w:r w:rsidR="00033F8F">
        <w:tab/>
      </w:r>
      <w:r w:rsidRPr="000624F5">
        <w:rPr>
          <w:sz w:val="18"/>
          <w:szCs w:val="18"/>
        </w:rPr>
        <w:t>Advice f</w:t>
      </w:r>
      <w:r>
        <w:rPr>
          <w:sz w:val="18"/>
          <w:szCs w:val="18"/>
        </w:rPr>
        <w:t>ro</w:t>
      </w:r>
      <w:r w:rsidRPr="000624F5">
        <w:rPr>
          <w:sz w:val="18"/>
          <w:szCs w:val="18"/>
        </w:rPr>
        <w:t xml:space="preserve">m </w:t>
      </w:r>
      <w:r>
        <w:rPr>
          <w:sz w:val="18"/>
          <w:szCs w:val="18"/>
        </w:rPr>
        <w:t>the modellers who derived IPCC AR6 projections is to only use the “low confidence” SSP2-4.5 scenario out to 2150 as it wasn’t tested as thoroughly out to 2300 (</w:t>
      </w:r>
      <w:r w:rsidR="009F62F2">
        <w:rPr>
          <w:sz w:val="18"/>
          <w:szCs w:val="18"/>
        </w:rPr>
        <w:t xml:space="preserve">R. </w:t>
      </w:r>
      <w:r>
        <w:rPr>
          <w:sz w:val="18"/>
          <w:szCs w:val="18"/>
        </w:rPr>
        <w:t xml:space="preserve">Kopp, </w:t>
      </w:r>
      <w:r>
        <w:rPr>
          <w:sz w:val="18"/>
          <w:szCs w:val="18"/>
        </w:rPr>
        <w:t>pers comm)</w:t>
      </w:r>
    </w:p>
  </w:footnote>
  <w:footnote w:id="10">
    <w:p w14:paraId="004B17F6" w14:textId="6B589F63" w:rsidR="00687784" w:rsidRPr="00B83622" w:rsidRDefault="00687784" w:rsidP="00687784">
      <w:pPr>
        <w:pStyle w:val="FootnoteText"/>
        <w:rPr>
          <w:sz w:val="18"/>
          <w:szCs w:val="18"/>
        </w:rPr>
      </w:pPr>
      <w:r>
        <w:rPr>
          <w:rStyle w:val="FootnoteReference"/>
        </w:rPr>
        <w:footnoteRef/>
      </w:r>
      <w:r>
        <w:t xml:space="preserve"> </w:t>
      </w:r>
      <w:r w:rsidR="00033F8F">
        <w:tab/>
      </w:r>
      <w:hyperlink r:id="rId4" w:history="1">
        <w:r w:rsidR="00033F8F" w:rsidRPr="00033F8F">
          <w:rPr>
            <w:rStyle w:val="Hyperlink"/>
            <w:sz w:val="18"/>
            <w:szCs w:val="18"/>
          </w:rPr>
          <w:t>https://www.searise.nz/maps</w:t>
        </w:r>
      </w:hyperlink>
      <w:r>
        <w:rPr>
          <w:sz w:val="18"/>
          <w:szCs w:val="18"/>
        </w:rPr>
        <w:t xml:space="preserve"> </w:t>
      </w:r>
    </w:p>
  </w:footnote>
  <w:footnote w:id="11">
    <w:p w14:paraId="25840CBD" w14:textId="0DEC4137" w:rsidR="00033F8F" w:rsidRDefault="00033F8F">
      <w:pPr>
        <w:pStyle w:val="FootnoteText"/>
      </w:pPr>
      <w:r>
        <w:rPr>
          <w:rStyle w:val="FootnoteReference"/>
        </w:rPr>
        <w:footnoteRef/>
      </w:r>
      <w:r>
        <w:t xml:space="preserve"> </w:t>
      </w:r>
      <w:r>
        <w:tab/>
      </w:r>
      <w:r w:rsidRPr="00033F8F">
        <w:t xml:space="preserve">These replace </w:t>
      </w:r>
      <w:r w:rsidR="009227CA">
        <w:t>t</w:t>
      </w:r>
      <w:r w:rsidRPr="00033F8F">
        <w:t xml:space="preserve">ables 10 and 11 in the 2017 coastal hazards guidance as they incorporate the latest </w:t>
      </w:r>
      <w:r w:rsidRPr="00033F8F">
        <w:t xml:space="preserve">NZSeaRise projections based on IPCC AR6, but without VLM. They also use a baseline that is a decade later, centred on 2005. Figure 1A shows how sea-level rise at 5 tide-gauge sites tracked over that decade between the </w:t>
      </w:r>
      <w:r w:rsidRPr="00033F8F">
        <w:t>old and new time bases.</w:t>
      </w:r>
    </w:p>
  </w:footnote>
  <w:footnote w:id="12">
    <w:p w14:paraId="3E695387" w14:textId="5B6F8458" w:rsidR="00DE3084" w:rsidRPr="00A642B5" w:rsidRDefault="00DE3084" w:rsidP="00DE3084">
      <w:pPr>
        <w:pStyle w:val="FootnoteText"/>
        <w:rPr>
          <w:sz w:val="18"/>
          <w:szCs w:val="18"/>
        </w:rPr>
      </w:pPr>
      <w:r>
        <w:rPr>
          <w:rStyle w:val="FootnoteReference"/>
        </w:rPr>
        <w:footnoteRef/>
      </w:r>
      <w:r>
        <w:t xml:space="preserve"> </w:t>
      </w:r>
      <w:r w:rsidR="00B722A4">
        <w:tab/>
      </w:r>
      <w:r w:rsidRPr="007141F8">
        <w:rPr>
          <w:sz w:val="18"/>
          <w:szCs w:val="18"/>
        </w:rPr>
        <w:t xml:space="preserve">Averaged over </w:t>
      </w:r>
      <w:r w:rsidR="006F1827">
        <w:rPr>
          <w:sz w:val="18"/>
          <w:szCs w:val="18"/>
        </w:rPr>
        <w:t>six</w:t>
      </w:r>
      <w:r w:rsidRPr="007141F8">
        <w:rPr>
          <w:sz w:val="18"/>
          <w:szCs w:val="18"/>
        </w:rPr>
        <w:t xml:space="preserve"> sites</w:t>
      </w:r>
      <w:r w:rsidR="006F1827">
        <w:rPr>
          <w:sz w:val="18"/>
          <w:szCs w:val="18"/>
        </w:rPr>
        <w:t xml:space="preserve">: </w:t>
      </w:r>
      <w:r w:rsidRPr="007141F8">
        <w:rPr>
          <w:sz w:val="18"/>
          <w:szCs w:val="18"/>
        </w:rPr>
        <w:t>Opua</w:t>
      </w:r>
      <w:r>
        <w:rPr>
          <w:sz w:val="18"/>
          <w:szCs w:val="18"/>
        </w:rPr>
        <w:t xml:space="preserve">, Auckland, Wellington, </w:t>
      </w:r>
      <w:r>
        <w:rPr>
          <w:sz w:val="18"/>
          <w:szCs w:val="18"/>
        </w:rPr>
        <w:t>Lyttelton, Port Chalmers</w:t>
      </w:r>
      <w:r w:rsidR="006F1827">
        <w:rPr>
          <w:sz w:val="18"/>
          <w:szCs w:val="18"/>
        </w:rPr>
        <w:t xml:space="preserve"> and</w:t>
      </w:r>
      <w:r>
        <w:rPr>
          <w:sz w:val="18"/>
          <w:szCs w:val="18"/>
        </w:rPr>
        <w:t xml:space="preserve"> Bluff. Regional north to south differences from </w:t>
      </w:r>
      <w:r w:rsidR="006F1827">
        <w:rPr>
          <w:sz w:val="18"/>
          <w:szCs w:val="18"/>
        </w:rPr>
        <w:t xml:space="preserve">the </w:t>
      </w:r>
      <w:r>
        <w:rPr>
          <w:sz w:val="18"/>
          <w:szCs w:val="18"/>
        </w:rPr>
        <w:t>national average (excl</w:t>
      </w:r>
      <w:r w:rsidR="006F1827">
        <w:rPr>
          <w:sz w:val="18"/>
          <w:szCs w:val="18"/>
        </w:rPr>
        <w:t>uding</w:t>
      </w:r>
      <w:r>
        <w:rPr>
          <w:sz w:val="18"/>
          <w:szCs w:val="18"/>
        </w:rPr>
        <w:t xml:space="preserve"> VLM) range ±0.04</w:t>
      </w:r>
      <w:r w:rsidR="006F1827">
        <w:rPr>
          <w:sz w:val="18"/>
          <w:szCs w:val="18"/>
        </w:rPr>
        <w:t xml:space="preserve"> </w:t>
      </w:r>
      <w:r>
        <w:rPr>
          <w:sz w:val="18"/>
          <w:szCs w:val="18"/>
        </w:rPr>
        <w:t>m for the lowest SSP1-2.6, only ±0.02</w:t>
      </w:r>
      <w:r w:rsidR="006F1827">
        <w:rPr>
          <w:sz w:val="18"/>
          <w:szCs w:val="18"/>
        </w:rPr>
        <w:t xml:space="preserve"> </w:t>
      </w:r>
      <w:r>
        <w:rPr>
          <w:sz w:val="18"/>
          <w:szCs w:val="18"/>
        </w:rPr>
        <w:t>m for the middle scenarios</w:t>
      </w:r>
      <w:r w:rsidR="006F1827">
        <w:rPr>
          <w:sz w:val="18"/>
          <w:szCs w:val="18"/>
        </w:rPr>
        <w:t>,</w:t>
      </w:r>
      <w:r>
        <w:rPr>
          <w:sz w:val="18"/>
          <w:szCs w:val="18"/>
        </w:rPr>
        <w:t xml:space="preserve"> and ±0.03–0.05</w:t>
      </w:r>
      <w:r w:rsidR="006F1827">
        <w:rPr>
          <w:sz w:val="18"/>
          <w:szCs w:val="18"/>
        </w:rPr>
        <w:t xml:space="preserve"> </w:t>
      </w:r>
      <w:r>
        <w:rPr>
          <w:sz w:val="18"/>
          <w:szCs w:val="18"/>
        </w:rPr>
        <w:t>m for the upper H</w:t>
      </w:r>
      <w:r>
        <w:rPr>
          <w:sz w:val="18"/>
          <w:szCs w:val="18"/>
          <w:vertAlign w:val="superscript"/>
        </w:rPr>
        <w:t>+</w:t>
      </w:r>
      <w:r>
        <w:rPr>
          <w:sz w:val="18"/>
          <w:szCs w:val="18"/>
        </w:rPr>
        <w:t xml:space="preserve"> scenario.</w:t>
      </w:r>
    </w:p>
  </w:footnote>
  <w:footnote w:id="13">
    <w:p w14:paraId="69B62F11" w14:textId="3A035F29" w:rsidR="00DE3084" w:rsidRDefault="00DE3084" w:rsidP="00DE3084">
      <w:pPr>
        <w:pStyle w:val="FootnoteText"/>
      </w:pPr>
      <w:r>
        <w:rPr>
          <w:rStyle w:val="FootnoteReference"/>
        </w:rPr>
        <w:footnoteRef/>
      </w:r>
      <w:r>
        <w:t xml:space="preserve"> </w:t>
      </w:r>
      <w:r w:rsidR="00B722A4">
        <w:tab/>
      </w:r>
      <w:hyperlink r:id="rId5" w:history="1">
        <w:r w:rsidR="00683AB7" w:rsidRPr="00B50990">
          <w:rPr>
            <w:rStyle w:val="Hyperlink"/>
          </w:rPr>
          <w:t>https://www.searise.nz/maps-2</w:t>
        </w:r>
      </w:hyperlink>
      <w:r w:rsidR="00683AB7">
        <w:t xml:space="preserve"> </w:t>
      </w:r>
      <w:r>
        <w:t xml:space="preserve"> </w:t>
      </w:r>
    </w:p>
  </w:footnote>
  <w:footnote w:id="14">
    <w:p w14:paraId="50A8DE83" w14:textId="254A88D8" w:rsidR="008B6DA9" w:rsidRPr="00DF623C" w:rsidRDefault="008B6DA9" w:rsidP="008B6DA9">
      <w:pPr>
        <w:pStyle w:val="FootnoteText"/>
      </w:pPr>
      <w:r w:rsidRPr="00DF623C">
        <w:rPr>
          <w:rStyle w:val="FootnoteReference"/>
        </w:rPr>
        <w:footnoteRef/>
      </w:r>
      <w:r w:rsidRPr="00DF623C">
        <w:t xml:space="preserve"> </w:t>
      </w:r>
      <w:r w:rsidRPr="00DF623C">
        <w:rPr>
          <w:rFonts w:cs="Times New Roman"/>
        </w:rPr>
        <w:t xml:space="preserve">Listed in </w:t>
      </w:r>
      <w:r w:rsidR="00BE1974">
        <w:rPr>
          <w:rFonts w:cs="Times New Roman"/>
        </w:rPr>
        <w:t>t</w:t>
      </w:r>
      <w:r w:rsidRPr="00DF623C">
        <w:rPr>
          <w:rFonts w:cs="Times New Roman"/>
        </w:rPr>
        <w:t>ables 1</w:t>
      </w:r>
      <w:r w:rsidR="00BE1974" w:rsidRPr="00BE1974">
        <w:rPr>
          <w:rFonts w:cs="Times New Roman"/>
        </w:rPr>
        <w:t>–</w:t>
      </w:r>
      <w:r w:rsidRPr="00DF623C">
        <w:rPr>
          <w:rFonts w:cs="Times New Roman"/>
        </w:rPr>
        <w:t>2, Appendix, NPS-UD</w:t>
      </w:r>
      <w:r w:rsidR="00BE1974">
        <w:rPr>
          <w:rFonts w:cs="Times New Roman"/>
        </w:rPr>
        <w:t>.</w:t>
      </w:r>
    </w:p>
  </w:footnote>
  <w:footnote w:id="15">
    <w:p w14:paraId="243B51A3" w14:textId="77777777" w:rsidR="00E14296" w:rsidRPr="00441C98" w:rsidRDefault="00E14296" w:rsidP="00E14296">
      <w:pPr>
        <w:pStyle w:val="FootnoteText"/>
        <w:rPr>
          <w:sz w:val="18"/>
          <w:szCs w:val="18"/>
        </w:rPr>
      </w:pPr>
      <w:r>
        <w:rPr>
          <w:rStyle w:val="FootnoteReference"/>
        </w:rPr>
        <w:footnoteRef/>
      </w:r>
      <w:r>
        <w:t xml:space="preserve"> </w:t>
      </w:r>
      <w:hyperlink r:id="rId6" w:history="1">
        <w:r w:rsidRPr="00441C98">
          <w:rPr>
            <w:rStyle w:val="Hyperlink"/>
            <w:sz w:val="18"/>
            <w:szCs w:val="18"/>
          </w:rPr>
          <w:t>https://www.searise.nz/maps</w:t>
        </w:r>
      </w:hyperlink>
      <w:r w:rsidRPr="00441C98">
        <w:rPr>
          <w:sz w:val="18"/>
          <w:szCs w:val="18"/>
        </w:rPr>
        <w:t xml:space="preserve"> </w:t>
      </w:r>
    </w:p>
  </w:footnote>
  <w:footnote w:id="16">
    <w:p w14:paraId="36F892A0" w14:textId="2168A929" w:rsidR="00304083" w:rsidRDefault="00304083" w:rsidP="00C3633B">
      <w:pPr>
        <w:pStyle w:val="FootnoteText"/>
        <w:ind w:left="170" w:hanging="170"/>
      </w:pPr>
      <w:r>
        <w:rPr>
          <w:rStyle w:val="FootnoteReference"/>
        </w:rPr>
        <w:footnoteRef/>
      </w:r>
      <w:r>
        <w:t xml:space="preserve"> </w:t>
      </w:r>
      <w:r w:rsidR="004402F6">
        <w:rPr>
          <w:sz w:val="18"/>
          <w:szCs w:val="18"/>
        </w:rPr>
        <w:t>T</w:t>
      </w:r>
      <w:r>
        <w:rPr>
          <w:sz w:val="18"/>
          <w:szCs w:val="18"/>
        </w:rPr>
        <w:t>he mean sea level decreases more in the southern latitudes</w:t>
      </w:r>
      <w:r w:rsidR="004402F6">
        <w:rPr>
          <w:sz w:val="18"/>
          <w:szCs w:val="18"/>
        </w:rPr>
        <w:t>, because of</w:t>
      </w:r>
      <w:r>
        <w:rPr>
          <w:sz w:val="18"/>
          <w:szCs w:val="18"/>
        </w:rPr>
        <w:t xml:space="preserve"> a decreasing tidal attraction on the ocean nearer Antarctica</w:t>
      </w:r>
      <w:r w:rsidR="004402F6">
        <w:rPr>
          <w:sz w:val="18"/>
          <w:szCs w:val="18"/>
        </w:rPr>
        <w:t>,</w:t>
      </w:r>
      <w:r>
        <w:rPr>
          <w:sz w:val="18"/>
          <w:szCs w:val="18"/>
        </w:rPr>
        <w:t xml:space="preserve"> as</w:t>
      </w:r>
      <w:r w:rsidR="00683AB7">
        <w:rPr>
          <w:sz w:val="18"/>
          <w:szCs w:val="18"/>
        </w:rPr>
        <w:t xml:space="preserve"> substantial</w:t>
      </w:r>
      <w:r>
        <w:rPr>
          <w:sz w:val="18"/>
          <w:szCs w:val="18"/>
        </w:rPr>
        <w:t xml:space="preserve"> mass is lost from the Antarctic ice sheet</w:t>
      </w:r>
      <w:r w:rsidR="004402F6">
        <w:rPr>
          <w:sz w:val="18"/>
          <w:szCs w:val="18"/>
        </w:rPr>
        <w:t>.</w:t>
      </w:r>
    </w:p>
  </w:footnote>
  <w:footnote w:id="17">
    <w:p w14:paraId="126FB7B0" w14:textId="77777777" w:rsidR="00304083" w:rsidRDefault="00304083" w:rsidP="00304083">
      <w:pPr>
        <w:pStyle w:val="FootnoteText"/>
        <w:rPr>
          <w:rFonts w:asciiTheme="minorHAnsi" w:hAnsiTheme="minorHAnsi"/>
          <w:sz w:val="18"/>
          <w:szCs w:val="18"/>
        </w:rPr>
      </w:pPr>
      <w:r>
        <w:rPr>
          <w:rStyle w:val="FootnoteReference"/>
        </w:rPr>
        <w:footnoteRef/>
      </w:r>
      <w:r>
        <w:t xml:space="preserve"> </w:t>
      </w:r>
      <w:hyperlink r:id="rId7" w:history="1">
        <w:r>
          <w:rPr>
            <w:rStyle w:val="Hyperlink"/>
            <w:sz w:val="18"/>
            <w:szCs w:val="18"/>
          </w:rPr>
          <w:t>https://www.stats.govt.nz/indicators/coastal-sea-level-rise</w:t>
        </w:r>
      </w:hyperlink>
      <w:r>
        <w:rPr>
          <w:sz w:val="18"/>
          <w:szCs w:val="18"/>
        </w:rPr>
        <w:t xml:space="preserve"> </w:t>
      </w:r>
    </w:p>
  </w:footnote>
  <w:footnote w:id="18">
    <w:p w14:paraId="2C51E9F4" w14:textId="77777777" w:rsidR="00304083" w:rsidRDefault="00304083" w:rsidP="00304083">
      <w:pPr>
        <w:pStyle w:val="FootnoteText"/>
      </w:pPr>
      <w:r>
        <w:rPr>
          <w:rStyle w:val="FootnoteReference"/>
        </w:rPr>
        <w:footnoteRef/>
      </w:r>
      <w:r>
        <w:t xml:space="preserve"> </w:t>
      </w:r>
      <w:hyperlink r:id="rId8" w:history="1">
        <w:r>
          <w:rPr>
            <w:rStyle w:val="Hyperlink"/>
            <w:sz w:val="18"/>
            <w:szCs w:val="18"/>
          </w:rPr>
          <w:t>https://www.geonet.org.nz/data/gnss/map</w:t>
        </w:r>
      </w:hyperlink>
      <w:r>
        <w:t xml:space="preserve"> </w:t>
      </w:r>
    </w:p>
  </w:footnote>
  <w:footnote w:id="19">
    <w:p w14:paraId="5D88F69A" w14:textId="41DD4EF9" w:rsidR="00304083" w:rsidRDefault="00304083" w:rsidP="00304083">
      <w:pPr>
        <w:pStyle w:val="FootnoteText"/>
      </w:pPr>
      <w:r>
        <w:rPr>
          <w:rStyle w:val="FootnoteReference"/>
        </w:rPr>
        <w:footnoteRef/>
      </w:r>
      <w:r>
        <w:rPr>
          <w:sz w:val="18"/>
          <w:szCs w:val="18"/>
        </w:rPr>
        <w:t xml:space="preserve"> </w:t>
      </w:r>
      <w:r w:rsidR="008E3B65" w:rsidRPr="008E3B65">
        <w:rPr>
          <w:rStyle w:val="Hyperlink"/>
          <w:sz w:val="18"/>
          <w:szCs w:val="18"/>
        </w:rPr>
        <w:t>https://www.searise.nz/maps-2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E0B2" w14:textId="77777777" w:rsidR="0036584A" w:rsidRDefault="00365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F1B6" w14:textId="77777777" w:rsidR="0036584A" w:rsidRDefault="003658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AFB"/>
    <w:multiLevelType w:val="hybridMultilevel"/>
    <w:tmpl w:val="8CD0774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4B83E81"/>
    <w:multiLevelType w:val="hybridMultilevel"/>
    <w:tmpl w:val="2B0E27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1617F4"/>
    <w:multiLevelType w:val="hybridMultilevel"/>
    <w:tmpl w:val="88324726"/>
    <w:lvl w:ilvl="0" w:tplc="A3964078">
      <w:start w:val="1"/>
      <w:numFmt w:val="lowerRoman"/>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8" w15:restartNumberingAfterBreak="0">
    <w:nsid w:val="1FE95290"/>
    <w:multiLevelType w:val="hybridMultilevel"/>
    <w:tmpl w:val="8EE6A9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E6F201E"/>
    <w:multiLevelType w:val="multilevel"/>
    <w:tmpl w:val="C7440BB4"/>
    <w:numStyleLink w:val="Style2"/>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1E1DDE"/>
    <w:multiLevelType w:val="hybridMultilevel"/>
    <w:tmpl w:val="116A6A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C04BDF"/>
    <w:multiLevelType w:val="hybridMultilevel"/>
    <w:tmpl w:val="01544622"/>
    <w:lvl w:ilvl="0" w:tplc="EBBC526A">
      <w:start w:val="1"/>
      <w:numFmt w:val="lowerRoman"/>
      <w:lvlText w:val="%1)"/>
      <w:lvlJc w:val="left"/>
      <w:pPr>
        <w:ind w:left="1004" w:hanging="72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pStyle w:val="ListBullet3"/>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2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E3C0C"/>
    <w:multiLevelType w:val="hybridMultilevel"/>
    <w:tmpl w:val="955C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3"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C0441C7"/>
    <w:multiLevelType w:val="hybridMultilevel"/>
    <w:tmpl w:val="7BC805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8"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042717"/>
    <w:multiLevelType w:val="multilevel"/>
    <w:tmpl w:val="DCDEB9D0"/>
    <w:numStyleLink w:val="Style1"/>
  </w:abstractNum>
  <w:abstractNum w:abstractNumId="4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2"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735200590">
    <w:abstractNumId w:val="18"/>
  </w:num>
  <w:num w:numId="2" w16cid:durableId="2102290714">
    <w:abstractNumId w:val="32"/>
  </w:num>
  <w:num w:numId="3" w16cid:durableId="2088384883">
    <w:abstractNumId w:val="44"/>
  </w:num>
  <w:num w:numId="4" w16cid:durableId="1246111313">
    <w:abstractNumId w:val="26"/>
  </w:num>
  <w:num w:numId="5" w16cid:durableId="277686113">
    <w:abstractNumId w:val="16"/>
  </w:num>
  <w:num w:numId="6" w16cid:durableId="593782527">
    <w:abstractNumId w:val="11"/>
  </w:num>
  <w:num w:numId="7" w16cid:durableId="240987457">
    <w:abstractNumId w:val="30"/>
  </w:num>
  <w:num w:numId="8" w16cid:durableId="575357466">
    <w:abstractNumId w:val="29"/>
  </w:num>
  <w:num w:numId="9" w16cid:durableId="556472236">
    <w:abstractNumId w:val="43"/>
  </w:num>
  <w:num w:numId="10" w16cid:durableId="530850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94434832">
    <w:abstractNumId w:val="4"/>
  </w:num>
  <w:num w:numId="12" w16cid:durableId="480076863">
    <w:abstractNumId w:val="37"/>
  </w:num>
  <w:num w:numId="13" w16cid:durableId="1543977137">
    <w:abstractNumId w:val="15"/>
  </w:num>
  <w:num w:numId="14" w16cid:durableId="607585849">
    <w:abstractNumId w:val="39"/>
  </w:num>
  <w:num w:numId="15" w16cid:durableId="1450975065">
    <w:abstractNumId w:val="28"/>
  </w:num>
  <w:num w:numId="16" w16cid:durableId="817964047">
    <w:abstractNumId w:val="14"/>
  </w:num>
  <w:num w:numId="17" w16cid:durableId="1746760992">
    <w:abstractNumId w:val="38"/>
  </w:num>
  <w:num w:numId="18" w16cid:durableId="289018333">
    <w:abstractNumId w:val="33"/>
  </w:num>
  <w:num w:numId="19" w16cid:durableId="390926237">
    <w:abstractNumId w:val="40"/>
  </w:num>
  <w:num w:numId="20" w16cid:durableId="929431836">
    <w:abstractNumId w:val="17"/>
  </w:num>
  <w:num w:numId="21" w16cid:durableId="697197578">
    <w:abstractNumId w:val="34"/>
  </w:num>
  <w:num w:numId="22" w16cid:durableId="699933914">
    <w:abstractNumId w:val="7"/>
  </w:num>
  <w:num w:numId="23" w16cid:durableId="905141543">
    <w:abstractNumId w:val="31"/>
  </w:num>
  <w:num w:numId="24" w16cid:durableId="475222546">
    <w:abstractNumId w:val="19"/>
  </w:num>
  <w:num w:numId="25" w16cid:durableId="600071132">
    <w:abstractNumId w:val="42"/>
  </w:num>
  <w:num w:numId="26" w16cid:durableId="1695377286">
    <w:abstractNumId w:val="36"/>
  </w:num>
  <w:num w:numId="27" w16cid:durableId="749159364">
    <w:abstractNumId w:val="3"/>
  </w:num>
  <w:num w:numId="28" w16cid:durableId="166335873">
    <w:abstractNumId w:val="22"/>
  </w:num>
  <w:num w:numId="29" w16cid:durableId="1986355606">
    <w:abstractNumId w:val="12"/>
  </w:num>
  <w:num w:numId="30" w16cid:durableId="647906432">
    <w:abstractNumId w:val="6"/>
  </w:num>
  <w:num w:numId="31" w16cid:durableId="1089884510">
    <w:abstractNumId w:val="5"/>
  </w:num>
  <w:num w:numId="32" w16cid:durableId="919559315">
    <w:abstractNumId w:val="9"/>
  </w:num>
  <w:num w:numId="33" w16cid:durableId="1558124391">
    <w:abstractNumId w:val="13"/>
  </w:num>
  <w:num w:numId="34" w16cid:durableId="1976324559">
    <w:abstractNumId w:val="24"/>
  </w:num>
  <w:num w:numId="35" w16cid:durableId="1902866554">
    <w:abstractNumId w:val="20"/>
  </w:num>
  <w:num w:numId="36" w16cid:durableId="1412390531">
    <w:abstractNumId w:val="10"/>
  </w:num>
  <w:num w:numId="37" w16cid:durableId="1860654063">
    <w:abstractNumId w:val="41"/>
  </w:num>
  <w:num w:numId="38" w16cid:durableId="9263093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2523421">
    <w:abstractNumId w:val="25"/>
  </w:num>
  <w:num w:numId="40" w16cid:durableId="1442606265">
    <w:abstractNumId w:val="1"/>
  </w:num>
  <w:num w:numId="41" w16cid:durableId="1176771267">
    <w:abstractNumId w:val="21"/>
  </w:num>
  <w:num w:numId="42" w16cid:durableId="4218065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98141701">
    <w:abstractNumId w:val="35"/>
  </w:num>
  <w:num w:numId="44" w16cid:durableId="1849366784">
    <w:abstractNumId w:val="8"/>
  </w:num>
  <w:num w:numId="45" w16cid:durableId="8422043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4979562">
    <w:abstractNumId w:val="23"/>
  </w:num>
  <w:num w:numId="47" w16cid:durableId="1203321177">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6CB"/>
    <w:rsid w:val="00000792"/>
    <w:rsid w:val="00000F04"/>
    <w:rsid w:val="00000FDC"/>
    <w:rsid w:val="00001AFD"/>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2FF1"/>
    <w:rsid w:val="0002348A"/>
    <w:rsid w:val="000235B5"/>
    <w:rsid w:val="00023BDA"/>
    <w:rsid w:val="000240CB"/>
    <w:rsid w:val="00024708"/>
    <w:rsid w:val="00024EE7"/>
    <w:rsid w:val="00025F96"/>
    <w:rsid w:val="00025FAB"/>
    <w:rsid w:val="00026E89"/>
    <w:rsid w:val="000275A3"/>
    <w:rsid w:val="00027C4F"/>
    <w:rsid w:val="00030558"/>
    <w:rsid w:val="00030699"/>
    <w:rsid w:val="00030725"/>
    <w:rsid w:val="00030DB8"/>
    <w:rsid w:val="000313BF"/>
    <w:rsid w:val="000313C9"/>
    <w:rsid w:val="00031A83"/>
    <w:rsid w:val="0003213A"/>
    <w:rsid w:val="00032A81"/>
    <w:rsid w:val="00033F8F"/>
    <w:rsid w:val="000340D8"/>
    <w:rsid w:val="0003427D"/>
    <w:rsid w:val="00034602"/>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846"/>
    <w:rsid w:val="00047941"/>
    <w:rsid w:val="00050A22"/>
    <w:rsid w:val="00050E27"/>
    <w:rsid w:val="0005144F"/>
    <w:rsid w:val="00051AF1"/>
    <w:rsid w:val="00051D42"/>
    <w:rsid w:val="000538A1"/>
    <w:rsid w:val="00054481"/>
    <w:rsid w:val="00055375"/>
    <w:rsid w:val="00056319"/>
    <w:rsid w:val="000564E7"/>
    <w:rsid w:val="00056770"/>
    <w:rsid w:val="00057386"/>
    <w:rsid w:val="00057EEF"/>
    <w:rsid w:val="000603FD"/>
    <w:rsid w:val="00061428"/>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3E9"/>
    <w:rsid w:val="000735A2"/>
    <w:rsid w:val="00074F2F"/>
    <w:rsid w:val="0007517E"/>
    <w:rsid w:val="00075FE1"/>
    <w:rsid w:val="00076667"/>
    <w:rsid w:val="00077473"/>
    <w:rsid w:val="00077481"/>
    <w:rsid w:val="000776F9"/>
    <w:rsid w:val="00077EE0"/>
    <w:rsid w:val="000802F9"/>
    <w:rsid w:val="00080E8C"/>
    <w:rsid w:val="0008145A"/>
    <w:rsid w:val="0008162D"/>
    <w:rsid w:val="000831C8"/>
    <w:rsid w:val="00083F5E"/>
    <w:rsid w:val="00084FDB"/>
    <w:rsid w:val="0008505C"/>
    <w:rsid w:val="000855F9"/>
    <w:rsid w:val="00085966"/>
    <w:rsid w:val="00085C46"/>
    <w:rsid w:val="0008686A"/>
    <w:rsid w:val="00086EDB"/>
    <w:rsid w:val="00087175"/>
    <w:rsid w:val="00087D35"/>
    <w:rsid w:val="00090505"/>
    <w:rsid w:val="00091796"/>
    <w:rsid w:val="00091BA2"/>
    <w:rsid w:val="00091CB0"/>
    <w:rsid w:val="00092C72"/>
    <w:rsid w:val="0009376A"/>
    <w:rsid w:val="00094344"/>
    <w:rsid w:val="000953C6"/>
    <w:rsid w:val="000953F4"/>
    <w:rsid w:val="0009590C"/>
    <w:rsid w:val="000959E7"/>
    <w:rsid w:val="00095C45"/>
    <w:rsid w:val="00095E7D"/>
    <w:rsid w:val="000964DE"/>
    <w:rsid w:val="0009725F"/>
    <w:rsid w:val="000972AB"/>
    <w:rsid w:val="00097B40"/>
    <w:rsid w:val="00097D0E"/>
    <w:rsid w:val="000A109B"/>
    <w:rsid w:val="000A17EA"/>
    <w:rsid w:val="000A1C34"/>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AAD"/>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B6E65"/>
    <w:rsid w:val="000B6FB3"/>
    <w:rsid w:val="000C062F"/>
    <w:rsid w:val="000C17E7"/>
    <w:rsid w:val="000C3270"/>
    <w:rsid w:val="000C4D3A"/>
    <w:rsid w:val="000C577E"/>
    <w:rsid w:val="000C5F9C"/>
    <w:rsid w:val="000C7E04"/>
    <w:rsid w:val="000D04BA"/>
    <w:rsid w:val="000D0B6E"/>
    <w:rsid w:val="000D0D15"/>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68A6"/>
    <w:rsid w:val="000D7088"/>
    <w:rsid w:val="000D770B"/>
    <w:rsid w:val="000D788E"/>
    <w:rsid w:val="000E0943"/>
    <w:rsid w:val="000E12B0"/>
    <w:rsid w:val="000E13AF"/>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8DC"/>
    <w:rsid w:val="000E7DA7"/>
    <w:rsid w:val="000E7FA0"/>
    <w:rsid w:val="000F00BA"/>
    <w:rsid w:val="000F02F8"/>
    <w:rsid w:val="000F0409"/>
    <w:rsid w:val="000F049F"/>
    <w:rsid w:val="000F0642"/>
    <w:rsid w:val="000F07FA"/>
    <w:rsid w:val="000F0B5E"/>
    <w:rsid w:val="000F1D43"/>
    <w:rsid w:val="000F1FFF"/>
    <w:rsid w:val="000F20AA"/>
    <w:rsid w:val="000F2651"/>
    <w:rsid w:val="000F343B"/>
    <w:rsid w:val="000F348D"/>
    <w:rsid w:val="000F369A"/>
    <w:rsid w:val="000F4463"/>
    <w:rsid w:val="000F5285"/>
    <w:rsid w:val="000F52E0"/>
    <w:rsid w:val="000F53A9"/>
    <w:rsid w:val="000F5EB4"/>
    <w:rsid w:val="000F6464"/>
    <w:rsid w:val="000F6628"/>
    <w:rsid w:val="000F6C25"/>
    <w:rsid w:val="000F76EB"/>
    <w:rsid w:val="000F78AE"/>
    <w:rsid w:val="000F7E25"/>
    <w:rsid w:val="001007EE"/>
    <w:rsid w:val="00100895"/>
    <w:rsid w:val="00100F76"/>
    <w:rsid w:val="0010148E"/>
    <w:rsid w:val="0010253C"/>
    <w:rsid w:val="00102BD1"/>
    <w:rsid w:val="0010486A"/>
    <w:rsid w:val="00105160"/>
    <w:rsid w:val="0010561C"/>
    <w:rsid w:val="00105913"/>
    <w:rsid w:val="00105C0F"/>
    <w:rsid w:val="00105E39"/>
    <w:rsid w:val="00106561"/>
    <w:rsid w:val="00106D63"/>
    <w:rsid w:val="001075F3"/>
    <w:rsid w:val="00107A01"/>
    <w:rsid w:val="00107C23"/>
    <w:rsid w:val="00110307"/>
    <w:rsid w:val="00110C7F"/>
    <w:rsid w:val="00110EE2"/>
    <w:rsid w:val="00111A88"/>
    <w:rsid w:val="0011221A"/>
    <w:rsid w:val="00113283"/>
    <w:rsid w:val="001133AD"/>
    <w:rsid w:val="001134AF"/>
    <w:rsid w:val="001137AE"/>
    <w:rsid w:val="00113B20"/>
    <w:rsid w:val="001147B3"/>
    <w:rsid w:val="001148F7"/>
    <w:rsid w:val="001149B2"/>
    <w:rsid w:val="00114C2D"/>
    <w:rsid w:val="00115125"/>
    <w:rsid w:val="001152F2"/>
    <w:rsid w:val="001157D7"/>
    <w:rsid w:val="00116382"/>
    <w:rsid w:val="00116484"/>
    <w:rsid w:val="00116787"/>
    <w:rsid w:val="00116ACF"/>
    <w:rsid w:val="00116D5C"/>
    <w:rsid w:val="001172B2"/>
    <w:rsid w:val="00117F9B"/>
    <w:rsid w:val="00121211"/>
    <w:rsid w:val="00121628"/>
    <w:rsid w:val="0012167D"/>
    <w:rsid w:val="00122189"/>
    <w:rsid w:val="00122280"/>
    <w:rsid w:val="00122D42"/>
    <w:rsid w:val="00123345"/>
    <w:rsid w:val="00123C46"/>
    <w:rsid w:val="00123EC3"/>
    <w:rsid w:val="0012470B"/>
    <w:rsid w:val="00125C75"/>
    <w:rsid w:val="00125C7E"/>
    <w:rsid w:val="001268A9"/>
    <w:rsid w:val="00127945"/>
    <w:rsid w:val="00127D94"/>
    <w:rsid w:val="00127E90"/>
    <w:rsid w:val="001302C1"/>
    <w:rsid w:val="001306D3"/>
    <w:rsid w:val="00130895"/>
    <w:rsid w:val="001310BF"/>
    <w:rsid w:val="00132989"/>
    <w:rsid w:val="00133E73"/>
    <w:rsid w:val="00133FDB"/>
    <w:rsid w:val="00134F4A"/>
    <w:rsid w:val="00135E4E"/>
    <w:rsid w:val="00136246"/>
    <w:rsid w:val="001364D4"/>
    <w:rsid w:val="00136891"/>
    <w:rsid w:val="001371C8"/>
    <w:rsid w:val="001372ED"/>
    <w:rsid w:val="00140757"/>
    <w:rsid w:val="00140FEF"/>
    <w:rsid w:val="00142B50"/>
    <w:rsid w:val="00143873"/>
    <w:rsid w:val="001439E9"/>
    <w:rsid w:val="00143B41"/>
    <w:rsid w:val="00143C55"/>
    <w:rsid w:val="00144C6F"/>
    <w:rsid w:val="00145089"/>
    <w:rsid w:val="001451E7"/>
    <w:rsid w:val="001462E3"/>
    <w:rsid w:val="0014720C"/>
    <w:rsid w:val="001472C2"/>
    <w:rsid w:val="00147458"/>
    <w:rsid w:val="00147E21"/>
    <w:rsid w:val="00147F44"/>
    <w:rsid w:val="00150BA8"/>
    <w:rsid w:val="00150D19"/>
    <w:rsid w:val="00151265"/>
    <w:rsid w:val="0015181B"/>
    <w:rsid w:val="00151A9F"/>
    <w:rsid w:val="00152257"/>
    <w:rsid w:val="00152B87"/>
    <w:rsid w:val="00153A96"/>
    <w:rsid w:val="00153D1C"/>
    <w:rsid w:val="001543E2"/>
    <w:rsid w:val="00155B43"/>
    <w:rsid w:val="001565A2"/>
    <w:rsid w:val="001567C3"/>
    <w:rsid w:val="00156A12"/>
    <w:rsid w:val="00157B3F"/>
    <w:rsid w:val="00157D20"/>
    <w:rsid w:val="00157F8A"/>
    <w:rsid w:val="00160C3D"/>
    <w:rsid w:val="00161B24"/>
    <w:rsid w:val="00161C41"/>
    <w:rsid w:val="00161C4A"/>
    <w:rsid w:val="00161DD5"/>
    <w:rsid w:val="00162E61"/>
    <w:rsid w:val="001633A4"/>
    <w:rsid w:val="001634D6"/>
    <w:rsid w:val="001648DD"/>
    <w:rsid w:val="00165705"/>
    <w:rsid w:val="00166389"/>
    <w:rsid w:val="00166E03"/>
    <w:rsid w:val="00167BD7"/>
    <w:rsid w:val="00167E4C"/>
    <w:rsid w:val="0017085C"/>
    <w:rsid w:val="00171449"/>
    <w:rsid w:val="0017199C"/>
    <w:rsid w:val="00171C7E"/>
    <w:rsid w:val="00171F35"/>
    <w:rsid w:val="00172552"/>
    <w:rsid w:val="0017273F"/>
    <w:rsid w:val="00172873"/>
    <w:rsid w:val="00172CF7"/>
    <w:rsid w:val="0017319E"/>
    <w:rsid w:val="0017389C"/>
    <w:rsid w:val="00173A1F"/>
    <w:rsid w:val="00173BC3"/>
    <w:rsid w:val="00174128"/>
    <w:rsid w:val="00175C34"/>
    <w:rsid w:val="00175F9A"/>
    <w:rsid w:val="00176E98"/>
    <w:rsid w:val="00177996"/>
    <w:rsid w:val="00180816"/>
    <w:rsid w:val="00180B3F"/>
    <w:rsid w:val="00180C83"/>
    <w:rsid w:val="00180CE5"/>
    <w:rsid w:val="0018175B"/>
    <w:rsid w:val="001820A3"/>
    <w:rsid w:val="0018332A"/>
    <w:rsid w:val="00183D80"/>
    <w:rsid w:val="001842C8"/>
    <w:rsid w:val="00184B9E"/>
    <w:rsid w:val="00184D37"/>
    <w:rsid w:val="00185044"/>
    <w:rsid w:val="001850DB"/>
    <w:rsid w:val="0018599C"/>
    <w:rsid w:val="00185D0C"/>
    <w:rsid w:val="001869EE"/>
    <w:rsid w:val="00186D00"/>
    <w:rsid w:val="0018743A"/>
    <w:rsid w:val="0019040C"/>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01A2"/>
    <w:rsid w:val="001A1CED"/>
    <w:rsid w:val="001A279B"/>
    <w:rsid w:val="001A2DC3"/>
    <w:rsid w:val="001A2E87"/>
    <w:rsid w:val="001A3869"/>
    <w:rsid w:val="001A38C2"/>
    <w:rsid w:val="001A49F7"/>
    <w:rsid w:val="001A4FF3"/>
    <w:rsid w:val="001A5D71"/>
    <w:rsid w:val="001A65C8"/>
    <w:rsid w:val="001A705C"/>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1AEB"/>
    <w:rsid w:val="001C3800"/>
    <w:rsid w:val="001C3C7B"/>
    <w:rsid w:val="001C5A07"/>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2EA8"/>
    <w:rsid w:val="001D30BB"/>
    <w:rsid w:val="001D488C"/>
    <w:rsid w:val="001D4CDF"/>
    <w:rsid w:val="001D4F88"/>
    <w:rsid w:val="001D578D"/>
    <w:rsid w:val="001D5818"/>
    <w:rsid w:val="001D5B17"/>
    <w:rsid w:val="001D653A"/>
    <w:rsid w:val="001D7DEE"/>
    <w:rsid w:val="001E02CB"/>
    <w:rsid w:val="001E14FD"/>
    <w:rsid w:val="001E180F"/>
    <w:rsid w:val="001E1C64"/>
    <w:rsid w:val="001E1CEC"/>
    <w:rsid w:val="001E2ECB"/>
    <w:rsid w:val="001E4B64"/>
    <w:rsid w:val="001E5221"/>
    <w:rsid w:val="001E552A"/>
    <w:rsid w:val="001E57B9"/>
    <w:rsid w:val="001E6E8D"/>
    <w:rsid w:val="001E7EE4"/>
    <w:rsid w:val="001E7F76"/>
    <w:rsid w:val="001F0FAF"/>
    <w:rsid w:val="001F139F"/>
    <w:rsid w:val="001F1458"/>
    <w:rsid w:val="001F26A5"/>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986"/>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3B33"/>
    <w:rsid w:val="00214EA2"/>
    <w:rsid w:val="002160FA"/>
    <w:rsid w:val="002166DD"/>
    <w:rsid w:val="002168A2"/>
    <w:rsid w:val="00216AC3"/>
    <w:rsid w:val="00216E65"/>
    <w:rsid w:val="00217867"/>
    <w:rsid w:val="002205E4"/>
    <w:rsid w:val="00220D67"/>
    <w:rsid w:val="002212F8"/>
    <w:rsid w:val="002215F8"/>
    <w:rsid w:val="00221711"/>
    <w:rsid w:val="00221F80"/>
    <w:rsid w:val="0022273A"/>
    <w:rsid w:val="00222D28"/>
    <w:rsid w:val="0022329E"/>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2661"/>
    <w:rsid w:val="002337E5"/>
    <w:rsid w:val="00233C06"/>
    <w:rsid w:val="00233F24"/>
    <w:rsid w:val="00234884"/>
    <w:rsid w:val="00234BBB"/>
    <w:rsid w:val="002356F4"/>
    <w:rsid w:val="00235A17"/>
    <w:rsid w:val="00235F02"/>
    <w:rsid w:val="00236D28"/>
    <w:rsid w:val="00237FE4"/>
    <w:rsid w:val="00240656"/>
    <w:rsid w:val="00241304"/>
    <w:rsid w:val="00241610"/>
    <w:rsid w:val="00241AED"/>
    <w:rsid w:val="00241CD3"/>
    <w:rsid w:val="00243182"/>
    <w:rsid w:val="00243928"/>
    <w:rsid w:val="00243946"/>
    <w:rsid w:val="00243BC5"/>
    <w:rsid w:val="00243C7D"/>
    <w:rsid w:val="00243DA0"/>
    <w:rsid w:val="00243E9A"/>
    <w:rsid w:val="00244371"/>
    <w:rsid w:val="00244AF8"/>
    <w:rsid w:val="00244BC5"/>
    <w:rsid w:val="00244E68"/>
    <w:rsid w:val="002456C5"/>
    <w:rsid w:val="00245ABE"/>
    <w:rsid w:val="00245C0B"/>
    <w:rsid w:val="00246EAE"/>
    <w:rsid w:val="00247116"/>
    <w:rsid w:val="002471E5"/>
    <w:rsid w:val="002517A8"/>
    <w:rsid w:val="00251EB2"/>
    <w:rsid w:val="00251EEE"/>
    <w:rsid w:val="0025310B"/>
    <w:rsid w:val="00253177"/>
    <w:rsid w:val="002538B8"/>
    <w:rsid w:val="0025396F"/>
    <w:rsid w:val="00254319"/>
    <w:rsid w:val="0025440B"/>
    <w:rsid w:val="0025539F"/>
    <w:rsid w:val="00256388"/>
    <w:rsid w:val="00256E44"/>
    <w:rsid w:val="00260044"/>
    <w:rsid w:val="00260919"/>
    <w:rsid w:val="00261135"/>
    <w:rsid w:val="002612FD"/>
    <w:rsid w:val="002613DC"/>
    <w:rsid w:val="00261755"/>
    <w:rsid w:val="00261AAA"/>
    <w:rsid w:val="00262097"/>
    <w:rsid w:val="00262D20"/>
    <w:rsid w:val="002634AB"/>
    <w:rsid w:val="002637AD"/>
    <w:rsid w:val="002638E0"/>
    <w:rsid w:val="00263C19"/>
    <w:rsid w:val="00263E85"/>
    <w:rsid w:val="00263E9F"/>
    <w:rsid w:val="00264F03"/>
    <w:rsid w:val="00264F8F"/>
    <w:rsid w:val="002655AE"/>
    <w:rsid w:val="0026591F"/>
    <w:rsid w:val="00265A65"/>
    <w:rsid w:val="00265CA8"/>
    <w:rsid w:val="002660F0"/>
    <w:rsid w:val="002675B6"/>
    <w:rsid w:val="00267A99"/>
    <w:rsid w:val="00267D56"/>
    <w:rsid w:val="00270271"/>
    <w:rsid w:val="002704C0"/>
    <w:rsid w:val="00272174"/>
    <w:rsid w:val="002721A6"/>
    <w:rsid w:val="002722E0"/>
    <w:rsid w:val="002730EC"/>
    <w:rsid w:val="00273100"/>
    <w:rsid w:val="002735CC"/>
    <w:rsid w:val="0027448D"/>
    <w:rsid w:val="00274588"/>
    <w:rsid w:val="00274A67"/>
    <w:rsid w:val="00274AA2"/>
    <w:rsid w:val="002756EF"/>
    <w:rsid w:val="00275708"/>
    <w:rsid w:val="00275D63"/>
    <w:rsid w:val="002768CF"/>
    <w:rsid w:val="00276F82"/>
    <w:rsid w:val="002805DF"/>
    <w:rsid w:val="0028092D"/>
    <w:rsid w:val="002815D9"/>
    <w:rsid w:val="00282317"/>
    <w:rsid w:val="00282D25"/>
    <w:rsid w:val="00282DF9"/>
    <w:rsid w:val="0028350A"/>
    <w:rsid w:val="00283A44"/>
    <w:rsid w:val="00284E5B"/>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825"/>
    <w:rsid w:val="00297F01"/>
    <w:rsid w:val="0029AE23"/>
    <w:rsid w:val="002A052D"/>
    <w:rsid w:val="002A0DF8"/>
    <w:rsid w:val="002A1928"/>
    <w:rsid w:val="002A1F1F"/>
    <w:rsid w:val="002A21B5"/>
    <w:rsid w:val="002A2631"/>
    <w:rsid w:val="002A2A0C"/>
    <w:rsid w:val="002A2BB6"/>
    <w:rsid w:val="002A30E0"/>
    <w:rsid w:val="002A310C"/>
    <w:rsid w:val="002A3521"/>
    <w:rsid w:val="002A35C5"/>
    <w:rsid w:val="002A37E1"/>
    <w:rsid w:val="002A3B5B"/>
    <w:rsid w:val="002A3B61"/>
    <w:rsid w:val="002A402A"/>
    <w:rsid w:val="002A45AA"/>
    <w:rsid w:val="002A4B0B"/>
    <w:rsid w:val="002A4B6F"/>
    <w:rsid w:val="002A4FFF"/>
    <w:rsid w:val="002A533C"/>
    <w:rsid w:val="002A56E1"/>
    <w:rsid w:val="002A59BD"/>
    <w:rsid w:val="002A69AF"/>
    <w:rsid w:val="002A75CA"/>
    <w:rsid w:val="002A7889"/>
    <w:rsid w:val="002A799A"/>
    <w:rsid w:val="002A7E81"/>
    <w:rsid w:val="002B097D"/>
    <w:rsid w:val="002B11B2"/>
    <w:rsid w:val="002B18F7"/>
    <w:rsid w:val="002B32A1"/>
    <w:rsid w:val="002B3ED7"/>
    <w:rsid w:val="002B4778"/>
    <w:rsid w:val="002B75B2"/>
    <w:rsid w:val="002B79B7"/>
    <w:rsid w:val="002C141D"/>
    <w:rsid w:val="002C19C0"/>
    <w:rsid w:val="002C2485"/>
    <w:rsid w:val="002C25E0"/>
    <w:rsid w:val="002C2A2D"/>
    <w:rsid w:val="002C32F1"/>
    <w:rsid w:val="002C33B7"/>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8F9"/>
    <w:rsid w:val="002D2B10"/>
    <w:rsid w:val="002D386A"/>
    <w:rsid w:val="002D3A0B"/>
    <w:rsid w:val="002D4100"/>
    <w:rsid w:val="002D477F"/>
    <w:rsid w:val="002D4F48"/>
    <w:rsid w:val="002D519B"/>
    <w:rsid w:val="002D621E"/>
    <w:rsid w:val="002D66DA"/>
    <w:rsid w:val="002D6E38"/>
    <w:rsid w:val="002D7027"/>
    <w:rsid w:val="002D70DC"/>
    <w:rsid w:val="002D758B"/>
    <w:rsid w:val="002D79BC"/>
    <w:rsid w:val="002D7E58"/>
    <w:rsid w:val="002E0D31"/>
    <w:rsid w:val="002E0EFA"/>
    <w:rsid w:val="002E1073"/>
    <w:rsid w:val="002E12EC"/>
    <w:rsid w:val="002E146D"/>
    <w:rsid w:val="002E1803"/>
    <w:rsid w:val="002E245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71E"/>
    <w:rsid w:val="002E69F5"/>
    <w:rsid w:val="002E6CAA"/>
    <w:rsid w:val="002E73EC"/>
    <w:rsid w:val="002F023D"/>
    <w:rsid w:val="002F10EC"/>
    <w:rsid w:val="002F1136"/>
    <w:rsid w:val="002F1231"/>
    <w:rsid w:val="002F1521"/>
    <w:rsid w:val="002F15EE"/>
    <w:rsid w:val="002F2848"/>
    <w:rsid w:val="002F3632"/>
    <w:rsid w:val="002F3AFB"/>
    <w:rsid w:val="002F3C41"/>
    <w:rsid w:val="002F3F4C"/>
    <w:rsid w:val="002F4C8E"/>
    <w:rsid w:val="002F5076"/>
    <w:rsid w:val="002F5389"/>
    <w:rsid w:val="002F5839"/>
    <w:rsid w:val="002F6371"/>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3EC5"/>
    <w:rsid w:val="00304083"/>
    <w:rsid w:val="00304B5D"/>
    <w:rsid w:val="00304FFF"/>
    <w:rsid w:val="00305557"/>
    <w:rsid w:val="0030561F"/>
    <w:rsid w:val="00305CA3"/>
    <w:rsid w:val="00306E5C"/>
    <w:rsid w:val="00307C19"/>
    <w:rsid w:val="0031019D"/>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355"/>
    <w:rsid w:val="003255AA"/>
    <w:rsid w:val="00325C4E"/>
    <w:rsid w:val="00327023"/>
    <w:rsid w:val="00330EF4"/>
    <w:rsid w:val="003314B6"/>
    <w:rsid w:val="00331A20"/>
    <w:rsid w:val="00331E65"/>
    <w:rsid w:val="00333107"/>
    <w:rsid w:val="0033343B"/>
    <w:rsid w:val="0033393C"/>
    <w:rsid w:val="003357EE"/>
    <w:rsid w:val="00337368"/>
    <w:rsid w:val="00337B4D"/>
    <w:rsid w:val="0034005A"/>
    <w:rsid w:val="003407A9"/>
    <w:rsid w:val="00340BA3"/>
    <w:rsid w:val="00340BAF"/>
    <w:rsid w:val="00340C2B"/>
    <w:rsid w:val="00340F9A"/>
    <w:rsid w:val="00341018"/>
    <w:rsid w:val="00341723"/>
    <w:rsid w:val="003420D9"/>
    <w:rsid w:val="003423E0"/>
    <w:rsid w:val="0034301A"/>
    <w:rsid w:val="00343D76"/>
    <w:rsid w:val="00344DFD"/>
    <w:rsid w:val="003451D3"/>
    <w:rsid w:val="00345290"/>
    <w:rsid w:val="00346631"/>
    <w:rsid w:val="00346AAD"/>
    <w:rsid w:val="00346CA0"/>
    <w:rsid w:val="00346D96"/>
    <w:rsid w:val="0034736A"/>
    <w:rsid w:val="0034747C"/>
    <w:rsid w:val="0034757E"/>
    <w:rsid w:val="00347B6C"/>
    <w:rsid w:val="0035151C"/>
    <w:rsid w:val="00352254"/>
    <w:rsid w:val="003522A3"/>
    <w:rsid w:val="00353929"/>
    <w:rsid w:val="00353F9E"/>
    <w:rsid w:val="003540D1"/>
    <w:rsid w:val="003545BF"/>
    <w:rsid w:val="0035586A"/>
    <w:rsid w:val="0035611A"/>
    <w:rsid w:val="00356C3D"/>
    <w:rsid w:val="0036025B"/>
    <w:rsid w:val="003602EB"/>
    <w:rsid w:val="00360B75"/>
    <w:rsid w:val="0036151C"/>
    <w:rsid w:val="00361A9B"/>
    <w:rsid w:val="003620FC"/>
    <w:rsid w:val="00362CCF"/>
    <w:rsid w:val="00363057"/>
    <w:rsid w:val="003631DB"/>
    <w:rsid w:val="00364524"/>
    <w:rsid w:val="0036513A"/>
    <w:rsid w:val="00365237"/>
    <w:rsid w:val="0036559C"/>
    <w:rsid w:val="0036584A"/>
    <w:rsid w:val="0036587E"/>
    <w:rsid w:val="00365C6F"/>
    <w:rsid w:val="003660CD"/>
    <w:rsid w:val="00366AC2"/>
    <w:rsid w:val="00366B08"/>
    <w:rsid w:val="00367496"/>
    <w:rsid w:val="003678BE"/>
    <w:rsid w:val="003700F8"/>
    <w:rsid w:val="00370474"/>
    <w:rsid w:val="00370949"/>
    <w:rsid w:val="0037164A"/>
    <w:rsid w:val="0037243B"/>
    <w:rsid w:val="0037251C"/>
    <w:rsid w:val="0037272C"/>
    <w:rsid w:val="00372B9A"/>
    <w:rsid w:val="00373144"/>
    <w:rsid w:val="003731BF"/>
    <w:rsid w:val="00375287"/>
    <w:rsid w:val="00375791"/>
    <w:rsid w:val="00375826"/>
    <w:rsid w:val="00375994"/>
    <w:rsid w:val="00375C59"/>
    <w:rsid w:val="00375D81"/>
    <w:rsid w:val="00375E05"/>
    <w:rsid w:val="00376BB7"/>
    <w:rsid w:val="00376EEE"/>
    <w:rsid w:val="00377BA1"/>
    <w:rsid w:val="00377FF0"/>
    <w:rsid w:val="00380616"/>
    <w:rsid w:val="00381022"/>
    <w:rsid w:val="003814B8"/>
    <w:rsid w:val="00382909"/>
    <w:rsid w:val="00382EE1"/>
    <w:rsid w:val="00384258"/>
    <w:rsid w:val="00384B8C"/>
    <w:rsid w:val="00385131"/>
    <w:rsid w:val="0038620B"/>
    <w:rsid w:val="00387647"/>
    <w:rsid w:val="0038791A"/>
    <w:rsid w:val="00390056"/>
    <w:rsid w:val="0039055C"/>
    <w:rsid w:val="00390718"/>
    <w:rsid w:val="00390767"/>
    <w:rsid w:val="00390883"/>
    <w:rsid w:val="00391470"/>
    <w:rsid w:val="003920C4"/>
    <w:rsid w:val="00392184"/>
    <w:rsid w:val="00392279"/>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AF6"/>
    <w:rsid w:val="003B1688"/>
    <w:rsid w:val="003B1FA4"/>
    <w:rsid w:val="003B1FE6"/>
    <w:rsid w:val="003B2EE5"/>
    <w:rsid w:val="003B3106"/>
    <w:rsid w:val="003B3974"/>
    <w:rsid w:val="003B39E0"/>
    <w:rsid w:val="003B3DAB"/>
    <w:rsid w:val="003B3E45"/>
    <w:rsid w:val="003B404D"/>
    <w:rsid w:val="003B4B34"/>
    <w:rsid w:val="003B4CDA"/>
    <w:rsid w:val="003B4F2D"/>
    <w:rsid w:val="003B5BD9"/>
    <w:rsid w:val="003B62C6"/>
    <w:rsid w:val="003B64A3"/>
    <w:rsid w:val="003B6DB8"/>
    <w:rsid w:val="003B72B9"/>
    <w:rsid w:val="003C0044"/>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CB2"/>
    <w:rsid w:val="003D3583"/>
    <w:rsid w:val="003D391E"/>
    <w:rsid w:val="003D3B6F"/>
    <w:rsid w:val="003D40E8"/>
    <w:rsid w:val="003D4199"/>
    <w:rsid w:val="003D455E"/>
    <w:rsid w:val="003D5785"/>
    <w:rsid w:val="003D5A2D"/>
    <w:rsid w:val="003D5A9D"/>
    <w:rsid w:val="003D62C0"/>
    <w:rsid w:val="003D65F6"/>
    <w:rsid w:val="003D6911"/>
    <w:rsid w:val="003D7BC0"/>
    <w:rsid w:val="003D7E4B"/>
    <w:rsid w:val="003E0035"/>
    <w:rsid w:val="003E0C14"/>
    <w:rsid w:val="003E0D6F"/>
    <w:rsid w:val="003E1591"/>
    <w:rsid w:val="003E1ACF"/>
    <w:rsid w:val="003E216C"/>
    <w:rsid w:val="003E2336"/>
    <w:rsid w:val="003E236E"/>
    <w:rsid w:val="003E24D2"/>
    <w:rsid w:val="003E259D"/>
    <w:rsid w:val="003E26BA"/>
    <w:rsid w:val="003E2906"/>
    <w:rsid w:val="003E2969"/>
    <w:rsid w:val="003E2C1A"/>
    <w:rsid w:val="003E330F"/>
    <w:rsid w:val="003E3478"/>
    <w:rsid w:val="003E47E8"/>
    <w:rsid w:val="003E4E74"/>
    <w:rsid w:val="003E5B81"/>
    <w:rsid w:val="003E5F7D"/>
    <w:rsid w:val="003E6520"/>
    <w:rsid w:val="003E67E7"/>
    <w:rsid w:val="003E6B25"/>
    <w:rsid w:val="003E6B3C"/>
    <w:rsid w:val="003E6B6B"/>
    <w:rsid w:val="003E6B95"/>
    <w:rsid w:val="003E70FF"/>
    <w:rsid w:val="003E7827"/>
    <w:rsid w:val="003E7F1B"/>
    <w:rsid w:val="003F09B2"/>
    <w:rsid w:val="003F0B41"/>
    <w:rsid w:val="003F13C6"/>
    <w:rsid w:val="003F1E39"/>
    <w:rsid w:val="003F229D"/>
    <w:rsid w:val="003F25F0"/>
    <w:rsid w:val="003F2D5B"/>
    <w:rsid w:val="003F3CCC"/>
    <w:rsid w:val="003F4E7F"/>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6BE"/>
    <w:rsid w:val="00404C44"/>
    <w:rsid w:val="00404EE8"/>
    <w:rsid w:val="0040510D"/>
    <w:rsid w:val="0040512D"/>
    <w:rsid w:val="00405A49"/>
    <w:rsid w:val="0040602F"/>
    <w:rsid w:val="00406AFB"/>
    <w:rsid w:val="00407333"/>
    <w:rsid w:val="00407382"/>
    <w:rsid w:val="0040791B"/>
    <w:rsid w:val="00411515"/>
    <w:rsid w:val="00411958"/>
    <w:rsid w:val="00411B2A"/>
    <w:rsid w:val="00412973"/>
    <w:rsid w:val="00412D42"/>
    <w:rsid w:val="00412DA4"/>
    <w:rsid w:val="00412EB6"/>
    <w:rsid w:val="0041351F"/>
    <w:rsid w:val="004137C8"/>
    <w:rsid w:val="00413BF9"/>
    <w:rsid w:val="00413C25"/>
    <w:rsid w:val="0041465B"/>
    <w:rsid w:val="00415531"/>
    <w:rsid w:val="00416330"/>
    <w:rsid w:val="004176C7"/>
    <w:rsid w:val="00417877"/>
    <w:rsid w:val="00417D9F"/>
    <w:rsid w:val="00420229"/>
    <w:rsid w:val="00420290"/>
    <w:rsid w:val="004203C8"/>
    <w:rsid w:val="00420DBA"/>
    <w:rsid w:val="00420EFC"/>
    <w:rsid w:val="004211B4"/>
    <w:rsid w:val="00421311"/>
    <w:rsid w:val="00422E13"/>
    <w:rsid w:val="0042350F"/>
    <w:rsid w:val="00423599"/>
    <w:rsid w:val="0042384C"/>
    <w:rsid w:val="00423893"/>
    <w:rsid w:val="00423BC9"/>
    <w:rsid w:val="004255B4"/>
    <w:rsid w:val="0042657D"/>
    <w:rsid w:val="00426766"/>
    <w:rsid w:val="004267D0"/>
    <w:rsid w:val="004279CA"/>
    <w:rsid w:val="00427A82"/>
    <w:rsid w:val="00427EA2"/>
    <w:rsid w:val="00430115"/>
    <w:rsid w:val="00430A4B"/>
    <w:rsid w:val="00431C46"/>
    <w:rsid w:val="004327E6"/>
    <w:rsid w:val="004329DC"/>
    <w:rsid w:val="00432AC6"/>
    <w:rsid w:val="00432FEF"/>
    <w:rsid w:val="00434C5E"/>
    <w:rsid w:val="00435765"/>
    <w:rsid w:val="004360B6"/>
    <w:rsid w:val="004362E5"/>
    <w:rsid w:val="00436356"/>
    <w:rsid w:val="004402F6"/>
    <w:rsid w:val="00440722"/>
    <w:rsid w:val="004425D9"/>
    <w:rsid w:val="00443244"/>
    <w:rsid w:val="00444AF6"/>
    <w:rsid w:val="0044519D"/>
    <w:rsid w:val="00445544"/>
    <w:rsid w:val="00445C0B"/>
    <w:rsid w:val="00446195"/>
    <w:rsid w:val="004466BE"/>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78A"/>
    <w:rsid w:val="0045790F"/>
    <w:rsid w:val="00457D63"/>
    <w:rsid w:val="00457E21"/>
    <w:rsid w:val="0046007E"/>
    <w:rsid w:val="0046024B"/>
    <w:rsid w:val="00460E36"/>
    <w:rsid w:val="00461093"/>
    <w:rsid w:val="00461155"/>
    <w:rsid w:val="00461CD4"/>
    <w:rsid w:val="0046218C"/>
    <w:rsid w:val="004623D4"/>
    <w:rsid w:val="00463944"/>
    <w:rsid w:val="0046512A"/>
    <w:rsid w:val="00465234"/>
    <w:rsid w:val="00465B24"/>
    <w:rsid w:val="00466858"/>
    <w:rsid w:val="00466D0F"/>
    <w:rsid w:val="00467176"/>
    <w:rsid w:val="00467544"/>
    <w:rsid w:val="004676BA"/>
    <w:rsid w:val="0046784C"/>
    <w:rsid w:val="00467ECB"/>
    <w:rsid w:val="004710C3"/>
    <w:rsid w:val="00471459"/>
    <w:rsid w:val="00471EBB"/>
    <w:rsid w:val="00472274"/>
    <w:rsid w:val="004722D4"/>
    <w:rsid w:val="00472AD0"/>
    <w:rsid w:val="00472D9C"/>
    <w:rsid w:val="00473B60"/>
    <w:rsid w:val="00475AFF"/>
    <w:rsid w:val="00475D30"/>
    <w:rsid w:val="004765F4"/>
    <w:rsid w:val="00476B4D"/>
    <w:rsid w:val="00476CBC"/>
    <w:rsid w:val="00476E6C"/>
    <w:rsid w:val="00477282"/>
    <w:rsid w:val="004778D8"/>
    <w:rsid w:val="00477947"/>
    <w:rsid w:val="00480FA1"/>
    <w:rsid w:val="00481EDC"/>
    <w:rsid w:val="00481FD7"/>
    <w:rsid w:val="00482DE5"/>
    <w:rsid w:val="00483266"/>
    <w:rsid w:val="0048352E"/>
    <w:rsid w:val="004836A9"/>
    <w:rsid w:val="00483B23"/>
    <w:rsid w:val="004840D7"/>
    <w:rsid w:val="004846F4"/>
    <w:rsid w:val="00484EB6"/>
    <w:rsid w:val="00485C26"/>
    <w:rsid w:val="00485EC0"/>
    <w:rsid w:val="004875E1"/>
    <w:rsid w:val="00487B37"/>
    <w:rsid w:val="00490636"/>
    <w:rsid w:val="00490FF0"/>
    <w:rsid w:val="004910FE"/>
    <w:rsid w:val="00491198"/>
    <w:rsid w:val="004917E0"/>
    <w:rsid w:val="00491BF6"/>
    <w:rsid w:val="00491FED"/>
    <w:rsid w:val="00492B3E"/>
    <w:rsid w:val="00492F82"/>
    <w:rsid w:val="0049413E"/>
    <w:rsid w:val="004943C2"/>
    <w:rsid w:val="00494918"/>
    <w:rsid w:val="00494C65"/>
    <w:rsid w:val="00494F0C"/>
    <w:rsid w:val="00495557"/>
    <w:rsid w:val="00495928"/>
    <w:rsid w:val="0049618D"/>
    <w:rsid w:val="004965EF"/>
    <w:rsid w:val="0049719D"/>
    <w:rsid w:val="00497FCD"/>
    <w:rsid w:val="004A0666"/>
    <w:rsid w:val="004A095C"/>
    <w:rsid w:val="004A0D1E"/>
    <w:rsid w:val="004A0E66"/>
    <w:rsid w:val="004A0EEC"/>
    <w:rsid w:val="004A130F"/>
    <w:rsid w:val="004A17EF"/>
    <w:rsid w:val="004A1BDA"/>
    <w:rsid w:val="004A22DA"/>
    <w:rsid w:val="004A23C9"/>
    <w:rsid w:val="004A2700"/>
    <w:rsid w:val="004A36C8"/>
    <w:rsid w:val="004A3721"/>
    <w:rsid w:val="004A3742"/>
    <w:rsid w:val="004A37B8"/>
    <w:rsid w:val="004A3CC2"/>
    <w:rsid w:val="004A3ED3"/>
    <w:rsid w:val="004A43A7"/>
    <w:rsid w:val="004A47BC"/>
    <w:rsid w:val="004A4AC6"/>
    <w:rsid w:val="004A4C41"/>
    <w:rsid w:val="004B1199"/>
    <w:rsid w:val="004B16C4"/>
    <w:rsid w:val="004B1867"/>
    <w:rsid w:val="004B2A64"/>
    <w:rsid w:val="004B41DA"/>
    <w:rsid w:val="004B470D"/>
    <w:rsid w:val="004B4764"/>
    <w:rsid w:val="004B4846"/>
    <w:rsid w:val="004B4F61"/>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B8"/>
    <w:rsid w:val="004C33E8"/>
    <w:rsid w:val="004C4307"/>
    <w:rsid w:val="004C4309"/>
    <w:rsid w:val="004C49E3"/>
    <w:rsid w:val="004C4E8A"/>
    <w:rsid w:val="004C514A"/>
    <w:rsid w:val="004C645A"/>
    <w:rsid w:val="004C6572"/>
    <w:rsid w:val="004C6D4F"/>
    <w:rsid w:val="004C7541"/>
    <w:rsid w:val="004D07C1"/>
    <w:rsid w:val="004D1E71"/>
    <w:rsid w:val="004D22A8"/>
    <w:rsid w:val="004D2CDF"/>
    <w:rsid w:val="004D32BC"/>
    <w:rsid w:val="004D33CE"/>
    <w:rsid w:val="004D4637"/>
    <w:rsid w:val="004D4AAE"/>
    <w:rsid w:val="004D7C86"/>
    <w:rsid w:val="004E0197"/>
    <w:rsid w:val="004E0D69"/>
    <w:rsid w:val="004E1122"/>
    <w:rsid w:val="004E1409"/>
    <w:rsid w:val="004E1A87"/>
    <w:rsid w:val="004E1BAF"/>
    <w:rsid w:val="004E1BB0"/>
    <w:rsid w:val="004E3030"/>
    <w:rsid w:val="004E3311"/>
    <w:rsid w:val="004E38EC"/>
    <w:rsid w:val="004E3933"/>
    <w:rsid w:val="004E4549"/>
    <w:rsid w:val="004E4AD5"/>
    <w:rsid w:val="004E4C83"/>
    <w:rsid w:val="004E4D53"/>
    <w:rsid w:val="004E4D84"/>
    <w:rsid w:val="004E4EBC"/>
    <w:rsid w:val="004E5104"/>
    <w:rsid w:val="004E5B06"/>
    <w:rsid w:val="004E5FA8"/>
    <w:rsid w:val="004E684C"/>
    <w:rsid w:val="004E6FF1"/>
    <w:rsid w:val="004E76DB"/>
    <w:rsid w:val="004F09B4"/>
    <w:rsid w:val="004F1F90"/>
    <w:rsid w:val="004F2401"/>
    <w:rsid w:val="004F2A44"/>
    <w:rsid w:val="004F2DAD"/>
    <w:rsid w:val="004F3370"/>
    <w:rsid w:val="004F34F7"/>
    <w:rsid w:val="004F55D6"/>
    <w:rsid w:val="004F565A"/>
    <w:rsid w:val="004F571B"/>
    <w:rsid w:val="004F62B2"/>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D99"/>
    <w:rsid w:val="00506EEC"/>
    <w:rsid w:val="00506FD4"/>
    <w:rsid w:val="0050710A"/>
    <w:rsid w:val="005107FF"/>
    <w:rsid w:val="00510CBC"/>
    <w:rsid w:val="0051102D"/>
    <w:rsid w:val="005112A5"/>
    <w:rsid w:val="00511CEE"/>
    <w:rsid w:val="00511F48"/>
    <w:rsid w:val="00512448"/>
    <w:rsid w:val="0051253A"/>
    <w:rsid w:val="0051266C"/>
    <w:rsid w:val="00512945"/>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2A8"/>
    <w:rsid w:val="00537B35"/>
    <w:rsid w:val="00537DE7"/>
    <w:rsid w:val="00537EC4"/>
    <w:rsid w:val="00537FE4"/>
    <w:rsid w:val="0054027D"/>
    <w:rsid w:val="00541222"/>
    <w:rsid w:val="00541A8D"/>
    <w:rsid w:val="00544DA0"/>
    <w:rsid w:val="00544E1A"/>
    <w:rsid w:val="005454BD"/>
    <w:rsid w:val="005457E4"/>
    <w:rsid w:val="00546C49"/>
    <w:rsid w:val="0055010B"/>
    <w:rsid w:val="00550D59"/>
    <w:rsid w:val="0055110C"/>
    <w:rsid w:val="0055110D"/>
    <w:rsid w:val="00551F81"/>
    <w:rsid w:val="0055210F"/>
    <w:rsid w:val="00552CD7"/>
    <w:rsid w:val="005533BE"/>
    <w:rsid w:val="00554B30"/>
    <w:rsid w:val="00554FFB"/>
    <w:rsid w:val="005568DE"/>
    <w:rsid w:val="00557977"/>
    <w:rsid w:val="00557C50"/>
    <w:rsid w:val="005606B6"/>
    <w:rsid w:val="005608D6"/>
    <w:rsid w:val="00560F19"/>
    <w:rsid w:val="0056137D"/>
    <w:rsid w:val="00561E6B"/>
    <w:rsid w:val="005621D2"/>
    <w:rsid w:val="005621E0"/>
    <w:rsid w:val="00562D90"/>
    <w:rsid w:val="00563090"/>
    <w:rsid w:val="00563317"/>
    <w:rsid w:val="00563A23"/>
    <w:rsid w:val="00563A5A"/>
    <w:rsid w:val="00563C61"/>
    <w:rsid w:val="00563ECB"/>
    <w:rsid w:val="00563F47"/>
    <w:rsid w:val="005640BB"/>
    <w:rsid w:val="00564C23"/>
    <w:rsid w:val="0056522F"/>
    <w:rsid w:val="00565406"/>
    <w:rsid w:val="00565570"/>
    <w:rsid w:val="005657DD"/>
    <w:rsid w:val="00565B29"/>
    <w:rsid w:val="00565C5F"/>
    <w:rsid w:val="005664CC"/>
    <w:rsid w:val="0056664B"/>
    <w:rsid w:val="00567588"/>
    <w:rsid w:val="00567992"/>
    <w:rsid w:val="00567C3C"/>
    <w:rsid w:val="005702F8"/>
    <w:rsid w:val="00571231"/>
    <w:rsid w:val="00571767"/>
    <w:rsid w:val="00571E44"/>
    <w:rsid w:val="00572ACF"/>
    <w:rsid w:val="00573E61"/>
    <w:rsid w:val="0057411B"/>
    <w:rsid w:val="00574525"/>
    <w:rsid w:val="00574778"/>
    <w:rsid w:val="0057498F"/>
    <w:rsid w:val="00574DE9"/>
    <w:rsid w:val="00575DF4"/>
    <w:rsid w:val="0057765D"/>
    <w:rsid w:val="005777FC"/>
    <w:rsid w:val="005808EB"/>
    <w:rsid w:val="00580D37"/>
    <w:rsid w:val="00580E9B"/>
    <w:rsid w:val="00581FA0"/>
    <w:rsid w:val="00582B90"/>
    <w:rsid w:val="005831A7"/>
    <w:rsid w:val="00583321"/>
    <w:rsid w:val="0058341E"/>
    <w:rsid w:val="00584F3A"/>
    <w:rsid w:val="005853AB"/>
    <w:rsid w:val="00585748"/>
    <w:rsid w:val="005859C5"/>
    <w:rsid w:val="00585C79"/>
    <w:rsid w:val="00585FD0"/>
    <w:rsid w:val="00586144"/>
    <w:rsid w:val="00587785"/>
    <w:rsid w:val="005877CE"/>
    <w:rsid w:val="0058788D"/>
    <w:rsid w:val="00587E29"/>
    <w:rsid w:val="00587FE6"/>
    <w:rsid w:val="00591698"/>
    <w:rsid w:val="00592094"/>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60C"/>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42C"/>
    <w:rsid w:val="005A7837"/>
    <w:rsid w:val="005A7B14"/>
    <w:rsid w:val="005A7D73"/>
    <w:rsid w:val="005A7F93"/>
    <w:rsid w:val="005B07EA"/>
    <w:rsid w:val="005B0B20"/>
    <w:rsid w:val="005B0BD6"/>
    <w:rsid w:val="005B0EFB"/>
    <w:rsid w:val="005B1060"/>
    <w:rsid w:val="005B12B9"/>
    <w:rsid w:val="005B17C1"/>
    <w:rsid w:val="005B1E88"/>
    <w:rsid w:val="005B3192"/>
    <w:rsid w:val="005B3737"/>
    <w:rsid w:val="005B3A42"/>
    <w:rsid w:val="005B5629"/>
    <w:rsid w:val="005B5941"/>
    <w:rsid w:val="005B5D40"/>
    <w:rsid w:val="005B5EFC"/>
    <w:rsid w:val="005B6412"/>
    <w:rsid w:val="005B6698"/>
    <w:rsid w:val="005B68A7"/>
    <w:rsid w:val="005B6A4E"/>
    <w:rsid w:val="005B6AC3"/>
    <w:rsid w:val="005C055E"/>
    <w:rsid w:val="005C0FA1"/>
    <w:rsid w:val="005C1615"/>
    <w:rsid w:val="005C1D98"/>
    <w:rsid w:val="005C1DA5"/>
    <w:rsid w:val="005C2559"/>
    <w:rsid w:val="005C2873"/>
    <w:rsid w:val="005C2B1C"/>
    <w:rsid w:val="005C2BF0"/>
    <w:rsid w:val="005C34FC"/>
    <w:rsid w:val="005C3B5C"/>
    <w:rsid w:val="005C3C7F"/>
    <w:rsid w:val="005C3FCE"/>
    <w:rsid w:val="005C5143"/>
    <w:rsid w:val="005C5639"/>
    <w:rsid w:val="005C5742"/>
    <w:rsid w:val="005C5EE0"/>
    <w:rsid w:val="005C760E"/>
    <w:rsid w:val="005C7E9E"/>
    <w:rsid w:val="005D18C9"/>
    <w:rsid w:val="005D1B72"/>
    <w:rsid w:val="005D2471"/>
    <w:rsid w:val="005D25A3"/>
    <w:rsid w:val="005D2779"/>
    <w:rsid w:val="005D3242"/>
    <w:rsid w:val="005D3C8D"/>
    <w:rsid w:val="005D610C"/>
    <w:rsid w:val="005D722E"/>
    <w:rsid w:val="005D74E7"/>
    <w:rsid w:val="005D7F7B"/>
    <w:rsid w:val="005E2245"/>
    <w:rsid w:val="005E3BCD"/>
    <w:rsid w:val="005E4A87"/>
    <w:rsid w:val="005E4DA5"/>
    <w:rsid w:val="005E503E"/>
    <w:rsid w:val="005E59C7"/>
    <w:rsid w:val="005E5E7B"/>
    <w:rsid w:val="005E6095"/>
    <w:rsid w:val="005E637B"/>
    <w:rsid w:val="005E6A3F"/>
    <w:rsid w:val="005E6DB8"/>
    <w:rsid w:val="005E7228"/>
    <w:rsid w:val="005E7284"/>
    <w:rsid w:val="005E7BAC"/>
    <w:rsid w:val="005F0E5C"/>
    <w:rsid w:val="005F134E"/>
    <w:rsid w:val="005F1365"/>
    <w:rsid w:val="005F2C1F"/>
    <w:rsid w:val="005F2E44"/>
    <w:rsid w:val="005F3690"/>
    <w:rsid w:val="005F3986"/>
    <w:rsid w:val="005F3D6C"/>
    <w:rsid w:val="005F4C57"/>
    <w:rsid w:val="005F6774"/>
    <w:rsid w:val="005F79AA"/>
    <w:rsid w:val="00600370"/>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567"/>
    <w:rsid w:val="00622BCE"/>
    <w:rsid w:val="00622E29"/>
    <w:rsid w:val="00623643"/>
    <w:rsid w:val="00624018"/>
    <w:rsid w:val="006240C4"/>
    <w:rsid w:val="00624B3C"/>
    <w:rsid w:val="00625304"/>
    <w:rsid w:val="0062581B"/>
    <w:rsid w:val="006261F4"/>
    <w:rsid w:val="00626C1E"/>
    <w:rsid w:val="006306F2"/>
    <w:rsid w:val="0063164E"/>
    <w:rsid w:val="0063191D"/>
    <w:rsid w:val="00633488"/>
    <w:rsid w:val="00633581"/>
    <w:rsid w:val="006339AF"/>
    <w:rsid w:val="00633C47"/>
    <w:rsid w:val="00633E23"/>
    <w:rsid w:val="006348F7"/>
    <w:rsid w:val="0063512D"/>
    <w:rsid w:val="006358FB"/>
    <w:rsid w:val="00635AE2"/>
    <w:rsid w:val="00635E1E"/>
    <w:rsid w:val="0063677C"/>
    <w:rsid w:val="0063683D"/>
    <w:rsid w:val="00636972"/>
    <w:rsid w:val="00636B69"/>
    <w:rsid w:val="00636BC2"/>
    <w:rsid w:val="00637179"/>
    <w:rsid w:val="006404B1"/>
    <w:rsid w:val="006404D1"/>
    <w:rsid w:val="00640F43"/>
    <w:rsid w:val="006412CA"/>
    <w:rsid w:val="006420DA"/>
    <w:rsid w:val="00642A0A"/>
    <w:rsid w:val="00643AC1"/>
    <w:rsid w:val="00643D62"/>
    <w:rsid w:val="00644965"/>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0553"/>
    <w:rsid w:val="0066137B"/>
    <w:rsid w:val="0066174E"/>
    <w:rsid w:val="00661BBB"/>
    <w:rsid w:val="00661E57"/>
    <w:rsid w:val="006629E4"/>
    <w:rsid w:val="0066352E"/>
    <w:rsid w:val="00663783"/>
    <w:rsid w:val="00663E47"/>
    <w:rsid w:val="006644A7"/>
    <w:rsid w:val="00664BDE"/>
    <w:rsid w:val="00665468"/>
    <w:rsid w:val="0066565B"/>
    <w:rsid w:val="00665C44"/>
    <w:rsid w:val="00666284"/>
    <w:rsid w:val="006667F3"/>
    <w:rsid w:val="00667AEA"/>
    <w:rsid w:val="006704FA"/>
    <w:rsid w:val="00670687"/>
    <w:rsid w:val="00670DC5"/>
    <w:rsid w:val="00671652"/>
    <w:rsid w:val="00671DB2"/>
    <w:rsid w:val="00671FAA"/>
    <w:rsid w:val="00674239"/>
    <w:rsid w:val="00674D5A"/>
    <w:rsid w:val="00675DA5"/>
    <w:rsid w:val="006768C4"/>
    <w:rsid w:val="00680482"/>
    <w:rsid w:val="006808DC"/>
    <w:rsid w:val="006816B6"/>
    <w:rsid w:val="006818ED"/>
    <w:rsid w:val="006820EB"/>
    <w:rsid w:val="00682128"/>
    <w:rsid w:val="0068220C"/>
    <w:rsid w:val="006829EB"/>
    <w:rsid w:val="00682AB1"/>
    <w:rsid w:val="00682E9F"/>
    <w:rsid w:val="00683252"/>
    <w:rsid w:val="0068343A"/>
    <w:rsid w:val="006834D4"/>
    <w:rsid w:val="0068357C"/>
    <w:rsid w:val="006838CB"/>
    <w:rsid w:val="00683AB7"/>
    <w:rsid w:val="0068413D"/>
    <w:rsid w:val="006844BA"/>
    <w:rsid w:val="006845A2"/>
    <w:rsid w:val="00684BF8"/>
    <w:rsid w:val="00684D9B"/>
    <w:rsid w:val="006858AA"/>
    <w:rsid w:val="00685BCF"/>
    <w:rsid w:val="006871D0"/>
    <w:rsid w:val="0068751F"/>
    <w:rsid w:val="00687784"/>
    <w:rsid w:val="006900D1"/>
    <w:rsid w:val="00690297"/>
    <w:rsid w:val="00691040"/>
    <w:rsid w:val="0069115A"/>
    <w:rsid w:val="006912F1"/>
    <w:rsid w:val="00691387"/>
    <w:rsid w:val="006927F2"/>
    <w:rsid w:val="00692F0A"/>
    <w:rsid w:val="006931E1"/>
    <w:rsid w:val="00694310"/>
    <w:rsid w:val="00694700"/>
    <w:rsid w:val="00694803"/>
    <w:rsid w:val="00694CE8"/>
    <w:rsid w:val="0069549C"/>
    <w:rsid w:val="0069569E"/>
    <w:rsid w:val="006956C6"/>
    <w:rsid w:val="00695E14"/>
    <w:rsid w:val="00696EE3"/>
    <w:rsid w:val="0069715D"/>
    <w:rsid w:val="0069726C"/>
    <w:rsid w:val="00697392"/>
    <w:rsid w:val="006973E5"/>
    <w:rsid w:val="00697664"/>
    <w:rsid w:val="00697681"/>
    <w:rsid w:val="0069770C"/>
    <w:rsid w:val="006A04B5"/>
    <w:rsid w:val="006A08F2"/>
    <w:rsid w:val="006A151A"/>
    <w:rsid w:val="006A1E62"/>
    <w:rsid w:val="006A2A12"/>
    <w:rsid w:val="006A2E9C"/>
    <w:rsid w:val="006A35E0"/>
    <w:rsid w:val="006A377F"/>
    <w:rsid w:val="006A384A"/>
    <w:rsid w:val="006A3875"/>
    <w:rsid w:val="006A3D40"/>
    <w:rsid w:val="006A3F2F"/>
    <w:rsid w:val="006A561D"/>
    <w:rsid w:val="006A5A0C"/>
    <w:rsid w:val="006A5BA0"/>
    <w:rsid w:val="006A5BB1"/>
    <w:rsid w:val="006A5F88"/>
    <w:rsid w:val="006A7D95"/>
    <w:rsid w:val="006B120D"/>
    <w:rsid w:val="006B13C1"/>
    <w:rsid w:val="006B2CC7"/>
    <w:rsid w:val="006B3AF9"/>
    <w:rsid w:val="006B3BAF"/>
    <w:rsid w:val="006B44C5"/>
    <w:rsid w:val="006B555F"/>
    <w:rsid w:val="006B6242"/>
    <w:rsid w:val="006B6C7C"/>
    <w:rsid w:val="006B6EA4"/>
    <w:rsid w:val="006B77BB"/>
    <w:rsid w:val="006B7F8F"/>
    <w:rsid w:val="006B7FC5"/>
    <w:rsid w:val="006C0152"/>
    <w:rsid w:val="006C055E"/>
    <w:rsid w:val="006C0D13"/>
    <w:rsid w:val="006C187F"/>
    <w:rsid w:val="006C19BC"/>
    <w:rsid w:val="006C19D5"/>
    <w:rsid w:val="006C1B44"/>
    <w:rsid w:val="006C1F77"/>
    <w:rsid w:val="006C2211"/>
    <w:rsid w:val="006C3031"/>
    <w:rsid w:val="006C323F"/>
    <w:rsid w:val="006C359C"/>
    <w:rsid w:val="006C3607"/>
    <w:rsid w:val="006C3990"/>
    <w:rsid w:val="006C3ED2"/>
    <w:rsid w:val="006C4233"/>
    <w:rsid w:val="006C42E7"/>
    <w:rsid w:val="006C4422"/>
    <w:rsid w:val="006C5CCA"/>
    <w:rsid w:val="006C625F"/>
    <w:rsid w:val="006C78A6"/>
    <w:rsid w:val="006C797B"/>
    <w:rsid w:val="006C797E"/>
    <w:rsid w:val="006C7AB4"/>
    <w:rsid w:val="006D006B"/>
    <w:rsid w:val="006D105C"/>
    <w:rsid w:val="006D30E7"/>
    <w:rsid w:val="006D48E7"/>
    <w:rsid w:val="006D4947"/>
    <w:rsid w:val="006D5BFB"/>
    <w:rsid w:val="006D5F16"/>
    <w:rsid w:val="006D63AD"/>
    <w:rsid w:val="006D6764"/>
    <w:rsid w:val="006D67D9"/>
    <w:rsid w:val="006D6C93"/>
    <w:rsid w:val="006D6CCB"/>
    <w:rsid w:val="006D7573"/>
    <w:rsid w:val="006E0340"/>
    <w:rsid w:val="006E06F9"/>
    <w:rsid w:val="006E07A9"/>
    <w:rsid w:val="006E0D91"/>
    <w:rsid w:val="006E1706"/>
    <w:rsid w:val="006E3CB2"/>
    <w:rsid w:val="006E3DA8"/>
    <w:rsid w:val="006E5DAA"/>
    <w:rsid w:val="006E7006"/>
    <w:rsid w:val="006F00E7"/>
    <w:rsid w:val="006F0F6E"/>
    <w:rsid w:val="006F1827"/>
    <w:rsid w:val="006F1B22"/>
    <w:rsid w:val="006F1BA4"/>
    <w:rsid w:val="006F2259"/>
    <w:rsid w:val="006F23E1"/>
    <w:rsid w:val="006F2F8F"/>
    <w:rsid w:val="006F2FDA"/>
    <w:rsid w:val="006F2FE5"/>
    <w:rsid w:val="006F3460"/>
    <w:rsid w:val="006F34FE"/>
    <w:rsid w:val="006F3615"/>
    <w:rsid w:val="006F3FA3"/>
    <w:rsid w:val="006F48BA"/>
    <w:rsid w:val="006F4A9F"/>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1B7"/>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58FF"/>
    <w:rsid w:val="007169AC"/>
    <w:rsid w:val="007169DD"/>
    <w:rsid w:val="00717679"/>
    <w:rsid w:val="00717B67"/>
    <w:rsid w:val="007206A2"/>
    <w:rsid w:val="00720B38"/>
    <w:rsid w:val="00720C56"/>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C3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8F7"/>
    <w:rsid w:val="00742C51"/>
    <w:rsid w:val="00743445"/>
    <w:rsid w:val="00745E01"/>
    <w:rsid w:val="0074666B"/>
    <w:rsid w:val="007468D6"/>
    <w:rsid w:val="00746BFF"/>
    <w:rsid w:val="007473E1"/>
    <w:rsid w:val="00747897"/>
    <w:rsid w:val="00747AB5"/>
    <w:rsid w:val="00747E47"/>
    <w:rsid w:val="00750192"/>
    <w:rsid w:val="007504E1"/>
    <w:rsid w:val="00750544"/>
    <w:rsid w:val="00750804"/>
    <w:rsid w:val="007509AB"/>
    <w:rsid w:val="00750B30"/>
    <w:rsid w:val="00750EA1"/>
    <w:rsid w:val="00751689"/>
    <w:rsid w:val="007524AA"/>
    <w:rsid w:val="00753744"/>
    <w:rsid w:val="00753A93"/>
    <w:rsid w:val="00755663"/>
    <w:rsid w:val="00756386"/>
    <w:rsid w:val="00756603"/>
    <w:rsid w:val="00756E48"/>
    <w:rsid w:val="007575C0"/>
    <w:rsid w:val="00757D2F"/>
    <w:rsid w:val="0076000E"/>
    <w:rsid w:val="00760C00"/>
    <w:rsid w:val="007610E9"/>
    <w:rsid w:val="00761728"/>
    <w:rsid w:val="00761C6C"/>
    <w:rsid w:val="00762B72"/>
    <w:rsid w:val="00763CCB"/>
    <w:rsid w:val="00763D21"/>
    <w:rsid w:val="007642B4"/>
    <w:rsid w:val="00764C45"/>
    <w:rsid w:val="00764C7F"/>
    <w:rsid w:val="007656A2"/>
    <w:rsid w:val="00766277"/>
    <w:rsid w:val="0076656A"/>
    <w:rsid w:val="00766701"/>
    <w:rsid w:val="00766911"/>
    <w:rsid w:val="00767793"/>
    <w:rsid w:val="007677E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484"/>
    <w:rsid w:val="0078254E"/>
    <w:rsid w:val="00782628"/>
    <w:rsid w:val="007826AB"/>
    <w:rsid w:val="007839F8"/>
    <w:rsid w:val="0078403C"/>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5CC4"/>
    <w:rsid w:val="007961D5"/>
    <w:rsid w:val="00796A6F"/>
    <w:rsid w:val="00796C5D"/>
    <w:rsid w:val="00797B06"/>
    <w:rsid w:val="00797B9C"/>
    <w:rsid w:val="007A0483"/>
    <w:rsid w:val="007A1065"/>
    <w:rsid w:val="007A1D86"/>
    <w:rsid w:val="007A24CA"/>
    <w:rsid w:val="007A2A97"/>
    <w:rsid w:val="007A2CDC"/>
    <w:rsid w:val="007A371B"/>
    <w:rsid w:val="007A3832"/>
    <w:rsid w:val="007A3A0F"/>
    <w:rsid w:val="007A3E60"/>
    <w:rsid w:val="007A407D"/>
    <w:rsid w:val="007A42C3"/>
    <w:rsid w:val="007A464F"/>
    <w:rsid w:val="007A5295"/>
    <w:rsid w:val="007A564C"/>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B78"/>
    <w:rsid w:val="007B5FB4"/>
    <w:rsid w:val="007B6B2B"/>
    <w:rsid w:val="007B7949"/>
    <w:rsid w:val="007B7D30"/>
    <w:rsid w:val="007C0B29"/>
    <w:rsid w:val="007C0FA9"/>
    <w:rsid w:val="007C2413"/>
    <w:rsid w:val="007C25AE"/>
    <w:rsid w:val="007C3152"/>
    <w:rsid w:val="007C333B"/>
    <w:rsid w:val="007C3604"/>
    <w:rsid w:val="007C3914"/>
    <w:rsid w:val="007C3CEA"/>
    <w:rsid w:val="007C3D92"/>
    <w:rsid w:val="007C3E98"/>
    <w:rsid w:val="007C561F"/>
    <w:rsid w:val="007C5A8F"/>
    <w:rsid w:val="007C5B38"/>
    <w:rsid w:val="007C74C8"/>
    <w:rsid w:val="007C76E8"/>
    <w:rsid w:val="007D01E6"/>
    <w:rsid w:val="007D035E"/>
    <w:rsid w:val="007D0396"/>
    <w:rsid w:val="007D0644"/>
    <w:rsid w:val="007D1801"/>
    <w:rsid w:val="007D181F"/>
    <w:rsid w:val="007D1FE0"/>
    <w:rsid w:val="007D20BB"/>
    <w:rsid w:val="007D261E"/>
    <w:rsid w:val="007D2F61"/>
    <w:rsid w:val="007D3004"/>
    <w:rsid w:val="007D3D0E"/>
    <w:rsid w:val="007D3D33"/>
    <w:rsid w:val="007D3F4D"/>
    <w:rsid w:val="007D41C2"/>
    <w:rsid w:val="007D4F02"/>
    <w:rsid w:val="007D56F3"/>
    <w:rsid w:val="007D674C"/>
    <w:rsid w:val="007D6B7B"/>
    <w:rsid w:val="007D6CF1"/>
    <w:rsid w:val="007D7131"/>
    <w:rsid w:val="007D7BEC"/>
    <w:rsid w:val="007D7CE3"/>
    <w:rsid w:val="007E051A"/>
    <w:rsid w:val="007E0798"/>
    <w:rsid w:val="007E16E6"/>
    <w:rsid w:val="007E1B72"/>
    <w:rsid w:val="007E3CA8"/>
    <w:rsid w:val="007E3EE3"/>
    <w:rsid w:val="007E4E91"/>
    <w:rsid w:val="007E57DE"/>
    <w:rsid w:val="007E5902"/>
    <w:rsid w:val="007E6719"/>
    <w:rsid w:val="007E68ED"/>
    <w:rsid w:val="007E69ED"/>
    <w:rsid w:val="007E6A30"/>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182"/>
    <w:rsid w:val="0080069C"/>
    <w:rsid w:val="008006FD"/>
    <w:rsid w:val="0080148D"/>
    <w:rsid w:val="0080156B"/>
    <w:rsid w:val="00801A3A"/>
    <w:rsid w:val="00803356"/>
    <w:rsid w:val="00804114"/>
    <w:rsid w:val="0080446E"/>
    <w:rsid w:val="00804634"/>
    <w:rsid w:val="008047E8"/>
    <w:rsid w:val="0080531E"/>
    <w:rsid w:val="00805C3D"/>
    <w:rsid w:val="00806530"/>
    <w:rsid w:val="00806F1D"/>
    <w:rsid w:val="008077ED"/>
    <w:rsid w:val="00807B6F"/>
    <w:rsid w:val="00807E93"/>
    <w:rsid w:val="00810172"/>
    <w:rsid w:val="00810762"/>
    <w:rsid w:val="00810858"/>
    <w:rsid w:val="00810EFF"/>
    <w:rsid w:val="00811314"/>
    <w:rsid w:val="008118B2"/>
    <w:rsid w:val="00811A39"/>
    <w:rsid w:val="0081291B"/>
    <w:rsid w:val="00813622"/>
    <w:rsid w:val="008139B0"/>
    <w:rsid w:val="00813DCF"/>
    <w:rsid w:val="00813FAB"/>
    <w:rsid w:val="0081498C"/>
    <w:rsid w:val="00814AE1"/>
    <w:rsid w:val="00815D31"/>
    <w:rsid w:val="0081601F"/>
    <w:rsid w:val="00816064"/>
    <w:rsid w:val="0081697D"/>
    <w:rsid w:val="008174B2"/>
    <w:rsid w:val="00817CFF"/>
    <w:rsid w:val="0082000D"/>
    <w:rsid w:val="0082037E"/>
    <w:rsid w:val="00820C9C"/>
    <w:rsid w:val="00820F55"/>
    <w:rsid w:val="00821572"/>
    <w:rsid w:val="00822310"/>
    <w:rsid w:val="00823341"/>
    <w:rsid w:val="00823794"/>
    <w:rsid w:val="008237F4"/>
    <w:rsid w:val="00823F67"/>
    <w:rsid w:val="00824022"/>
    <w:rsid w:val="0082483A"/>
    <w:rsid w:val="008248C2"/>
    <w:rsid w:val="00824A81"/>
    <w:rsid w:val="008257B8"/>
    <w:rsid w:val="008260ED"/>
    <w:rsid w:val="008266E1"/>
    <w:rsid w:val="0082699D"/>
    <w:rsid w:val="00826E6B"/>
    <w:rsid w:val="008275FD"/>
    <w:rsid w:val="00830BA1"/>
    <w:rsid w:val="00830EB2"/>
    <w:rsid w:val="00831652"/>
    <w:rsid w:val="0083202E"/>
    <w:rsid w:val="0083304F"/>
    <w:rsid w:val="008334C9"/>
    <w:rsid w:val="00834122"/>
    <w:rsid w:val="0083416C"/>
    <w:rsid w:val="00834278"/>
    <w:rsid w:val="008352C5"/>
    <w:rsid w:val="008358A6"/>
    <w:rsid w:val="008359FB"/>
    <w:rsid w:val="00835C56"/>
    <w:rsid w:val="008360FC"/>
    <w:rsid w:val="00836E81"/>
    <w:rsid w:val="008377C1"/>
    <w:rsid w:val="00837C90"/>
    <w:rsid w:val="00837EB1"/>
    <w:rsid w:val="00837F2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507"/>
    <w:rsid w:val="008478ED"/>
    <w:rsid w:val="00851728"/>
    <w:rsid w:val="00851DFF"/>
    <w:rsid w:val="00853084"/>
    <w:rsid w:val="00853142"/>
    <w:rsid w:val="008540A6"/>
    <w:rsid w:val="00854420"/>
    <w:rsid w:val="00854481"/>
    <w:rsid w:val="00854A66"/>
    <w:rsid w:val="00854B0E"/>
    <w:rsid w:val="008555EF"/>
    <w:rsid w:val="00857591"/>
    <w:rsid w:val="00857687"/>
    <w:rsid w:val="00857E88"/>
    <w:rsid w:val="008612DB"/>
    <w:rsid w:val="00861B57"/>
    <w:rsid w:val="00862AC4"/>
    <w:rsid w:val="008633AC"/>
    <w:rsid w:val="008634E3"/>
    <w:rsid w:val="00863BC7"/>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32B"/>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4B8A"/>
    <w:rsid w:val="00885285"/>
    <w:rsid w:val="00885985"/>
    <w:rsid w:val="00885BBA"/>
    <w:rsid w:val="00886699"/>
    <w:rsid w:val="0088709A"/>
    <w:rsid w:val="00887F33"/>
    <w:rsid w:val="0089199F"/>
    <w:rsid w:val="00891C32"/>
    <w:rsid w:val="00891D7F"/>
    <w:rsid w:val="00892265"/>
    <w:rsid w:val="0089233E"/>
    <w:rsid w:val="00892EE8"/>
    <w:rsid w:val="0089330E"/>
    <w:rsid w:val="00893A8E"/>
    <w:rsid w:val="00893E27"/>
    <w:rsid w:val="008945F7"/>
    <w:rsid w:val="0089463D"/>
    <w:rsid w:val="0089554F"/>
    <w:rsid w:val="008955E6"/>
    <w:rsid w:val="00895B5F"/>
    <w:rsid w:val="0089637C"/>
    <w:rsid w:val="00896712"/>
    <w:rsid w:val="00896870"/>
    <w:rsid w:val="008969BD"/>
    <w:rsid w:val="00897314"/>
    <w:rsid w:val="008A13BD"/>
    <w:rsid w:val="008A1596"/>
    <w:rsid w:val="008A1EDF"/>
    <w:rsid w:val="008A21CA"/>
    <w:rsid w:val="008A2695"/>
    <w:rsid w:val="008A2DC9"/>
    <w:rsid w:val="008A2F0D"/>
    <w:rsid w:val="008A2FF1"/>
    <w:rsid w:val="008A32D4"/>
    <w:rsid w:val="008A367F"/>
    <w:rsid w:val="008A37AF"/>
    <w:rsid w:val="008A3D62"/>
    <w:rsid w:val="008A448D"/>
    <w:rsid w:val="008A4A55"/>
    <w:rsid w:val="008A506F"/>
    <w:rsid w:val="008A528A"/>
    <w:rsid w:val="008A5298"/>
    <w:rsid w:val="008A535A"/>
    <w:rsid w:val="008A720F"/>
    <w:rsid w:val="008A7498"/>
    <w:rsid w:val="008A756D"/>
    <w:rsid w:val="008A7C72"/>
    <w:rsid w:val="008A7DA7"/>
    <w:rsid w:val="008B04F2"/>
    <w:rsid w:val="008B0D0E"/>
    <w:rsid w:val="008B12BB"/>
    <w:rsid w:val="008B1411"/>
    <w:rsid w:val="008B17A2"/>
    <w:rsid w:val="008B25F2"/>
    <w:rsid w:val="008B2643"/>
    <w:rsid w:val="008B2CDF"/>
    <w:rsid w:val="008B2FAE"/>
    <w:rsid w:val="008B3317"/>
    <w:rsid w:val="008B3EC1"/>
    <w:rsid w:val="008B414B"/>
    <w:rsid w:val="008B43B7"/>
    <w:rsid w:val="008B4903"/>
    <w:rsid w:val="008B4E0E"/>
    <w:rsid w:val="008B4FB9"/>
    <w:rsid w:val="008B5715"/>
    <w:rsid w:val="008B5A2D"/>
    <w:rsid w:val="008B5BC2"/>
    <w:rsid w:val="008B5E54"/>
    <w:rsid w:val="008B60BB"/>
    <w:rsid w:val="008B6732"/>
    <w:rsid w:val="008B68EC"/>
    <w:rsid w:val="008B6DA9"/>
    <w:rsid w:val="008B711E"/>
    <w:rsid w:val="008C042F"/>
    <w:rsid w:val="008C057B"/>
    <w:rsid w:val="008C0CAC"/>
    <w:rsid w:val="008C13B4"/>
    <w:rsid w:val="008C1557"/>
    <w:rsid w:val="008C1B8C"/>
    <w:rsid w:val="008C1CCB"/>
    <w:rsid w:val="008C2306"/>
    <w:rsid w:val="008C26D1"/>
    <w:rsid w:val="008C2B7F"/>
    <w:rsid w:val="008C36AC"/>
    <w:rsid w:val="008C41C7"/>
    <w:rsid w:val="008C46B2"/>
    <w:rsid w:val="008C4953"/>
    <w:rsid w:val="008C4C4C"/>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D7104"/>
    <w:rsid w:val="008E0140"/>
    <w:rsid w:val="008E0688"/>
    <w:rsid w:val="008E0BEF"/>
    <w:rsid w:val="008E0EDF"/>
    <w:rsid w:val="008E0FC8"/>
    <w:rsid w:val="008E103C"/>
    <w:rsid w:val="008E266D"/>
    <w:rsid w:val="008E2857"/>
    <w:rsid w:val="008E2F0C"/>
    <w:rsid w:val="008E3B65"/>
    <w:rsid w:val="008E3E23"/>
    <w:rsid w:val="008E547B"/>
    <w:rsid w:val="008E5DF8"/>
    <w:rsid w:val="008E755C"/>
    <w:rsid w:val="008E7F6F"/>
    <w:rsid w:val="008F0250"/>
    <w:rsid w:val="008F11F4"/>
    <w:rsid w:val="008F1952"/>
    <w:rsid w:val="008F19E1"/>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757"/>
    <w:rsid w:val="00904CF5"/>
    <w:rsid w:val="009051CD"/>
    <w:rsid w:val="00905259"/>
    <w:rsid w:val="0090556C"/>
    <w:rsid w:val="00905633"/>
    <w:rsid w:val="00905EAE"/>
    <w:rsid w:val="009060C4"/>
    <w:rsid w:val="00906C91"/>
    <w:rsid w:val="00906C95"/>
    <w:rsid w:val="0090738C"/>
    <w:rsid w:val="00907656"/>
    <w:rsid w:val="00907E47"/>
    <w:rsid w:val="009115EF"/>
    <w:rsid w:val="009116DD"/>
    <w:rsid w:val="00911AB6"/>
    <w:rsid w:val="00912D1C"/>
    <w:rsid w:val="00913019"/>
    <w:rsid w:val="00913F1E"/>
    <w:rsid w:val="00913FB2"/>
    <w:rsid w:val="009140C4"/>
    <w:rsid w:val="009144A9"/>
    <w:rsid w:val="009144E6"/>
    <w:rsid w:val="0091468B"/>
    <w:rsid w:val="00914EA2"/>
    <w:rsid w:val="0091526F"/>
    <w:rsid w:val="009153D2"/>
    <w:rsid w:val="00916286"/>
    <w:rsid w:val="00916595"/>
    <w:rsid w:val="00916C47"/>
    <w:rsid w:val="009171AD"/>
    <w:rsid w:val="00917569"/>
    <w:rsid w:val="00920174"/>
    <w:rsid w:val="009219D2"/>
    <w:rsid w:val="00921A4E"/>
    <w:rsid w:val="00921E37"/>
    <w:rsid w:val="00922511"/>
    <w:rsid w:val="009227CA"/>
    <w:rsid w:val="00922F07"/>
    <w:rsid w:val="00923463"/>
    <w:rsid w:val="00925238"/>
    <w:rsid w:val="009253FF"/>
    <w:rsid w:val="00925ACF"/>
    <w:rsid w:val="0092615D"/>
    <w:rsid w:val="00926546"/>
    <w:rsid w:val="009265A1"/>
    <w:rsid w:val="009266AD"/>
    <w:rsid w:val="00927700"/>
    <w:rsid w:val="0093036E"/>
    <w:rsid w:val="00930395"/>
    <w:rsid w:val="00931224"/>
    <w:rsid w:val="0093264C"/>
    <w:rsid w:val="009333D3"/>
    <w:rsid w:val="009339B6"/>
    <w:rsid w:val="00933B4C"/>
    <w:rsid w:val="00933DC4"/>
    <w:rsid w:val="0093431B"/>
    <w:rsid w:val="009346D6"/>
    <w:rsid w:val="00934743"/>
    <w:rsid w:val="0093487E"/>
    <w:rsid w:val="00934FFE"/>
    <w:rsid w:val="00935664"/>
    <w:rsid w:val="00936405"/>
    <w:rsid w:val="00936B64"/>
    <w:rsid w:val="009379C4"/>
    <w:rsid w:val="0094041A"/>
    <w:rsid w:val="00940D32"/>
    <w:rsid w:val="0094104A"/>
    <w:rsid w:val="0094190D"/>
    <w:rsid w:val="00942354"/>
    <w:rsid w:val="00942681"/>
    <w:rsid w:val="009428D0"/>
    <w:rsid w:val="00943A7E"/>
    <w:rsid w:val="00943E42"/>
    <w:rsid w:val="00943E5D"/>
    <w:rsid w:val="00944728"/>
    <w:rsid w:val="009453E8"/>
    <w:rsid w:val="00945664"/>
    <w:rsid w:val="00945AD1"/>
    <w:rsid w:val="00946ECB"/>
    <w:rsid w:val="00947268"/>
    <w:rsid w:val="0094750E"/>
    <w:rsid w:val="00947C94"/>
    <w:rsid w:val="00947DCF"/>
    <w:rsid w:val="009507C8"/>
    <w:rsid w:val="0095115E"/>
    <w:rsid w:val="0095118A"/>
    <w:rsid w:val="0095160C"/>
    <w:rsid w:val="00951D46"/>
    <w:rsid w:val="00952468"/>
    <w:rsid w:val="00954767"/>
    <w:rsid w:val="0095487A"/>
    <w:rsid w:val="009548FB"/>
    <w:rsid w:val="0095538B"/>
    <w:rsid w:val="00957AF7"/>
    <w:rsid w:val="00957E7E"/>
    <w:rsid w:val="00960ACA"/>
    <w:rsid w:val="00960C4F"/>
    <w:rsid w:val="00961A49"/>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538"/>
    <w:rsid w:val="00987A5A"/>
    <w:rsid w:val="00987CB4"/>
    <w:rsid w:val="00990698"/>
    <w:rsid w:val="0099097E"/>
    <w:rsid w:val="00990F56"/>
    <w:rsid w:val="009921FC"/>
    <w:rsid w:val="0099272B"/>
    <w:rsid w:val="00992A0E"/>
    <w:rsid w:val="00992F54"/>
    <w:rsid w:val="0099399E"/>
    <w:rsid w:val="0099413C"/>
    <w:rsid w:val="00994230"/>
    <w:rsid w:val="009942B5"/>
    <w:rsid w:val="0099479E"/>
    <w:rsid w:val="009951D8"/>
    <w:rsid w:val="00995355"/>
    <w:rsid w:val="0099586F"/>
    <w:rsid w:val="00996CB5"/>
    <w:rsid w:val="0099719E"/>
    <w:rsid w:val="009A0169"/>
    <w:rsid w:val="009A1B56"/>
    <w:rsid w:val="009A2A8A"/>
    <w:rsid w:val="009A310B"/>
    <w:rsid w:val="009A3C93"/>
    <w:rsid w:val="009A3FD0"/>
    <w:rsid w:val="009A51C7"/>
    <w:rsid w:val="009A59EC"/>
    <w:rsid w:val="009A5C56"/>
    <w:rsid w:val="009A5CA8"/>
    <w:rsid w:val="009A6ED0"/>
    <w:rsid w:val="009A706A"/>
    <w:rsid w:val="009A71AB"/>
    <w:rsid w:val="009A7745"/>
    <w:rsid w:val="009A78D7"/>
    <w:rsid w:val="009A7C3D"/>
    <w:rsid w:val="009B0156"/>
    <w:rsid w:val="009B0295"/>
    <w:rsid w:val="009B05BA"/>
    <w:rsid w:val="009B19A8"/>
    <w:rsid w:val="009B1B0E"/>
    <w:rsid w:val="009B2596"/>
    <w:rsid w:val="009B30DF"/>
    <w:rsid w:val="009B42B6"/>
    <w:rsid w:val="009B42CC"/>
    <w:rsid w:val="009B43D6"/>
    <w:rsid w:val="009B5081"/>
    <w:rsid w:val="009B6985"/>
    <w:rsid w:val="009B69B3"/>
    <w:rsid w:val="009B6DA8"/>
    <w:rsid w:val="009B6F20"/>
    <w:rsid w:val="009B7011"/>
    <w:rsid w:val="009B71E4"/>
    <w:rsid w:val="009B7BB0"/>
    <w:rsid w:val="009C04EE"/>
    <w:rsid w:val="009C0CD4"/>
    <w:rsid w:val="009C15E7"/>
    <w:rsid w:val="009C17C8"/>
    <w:rsid w:val="009C385B"/>
    <w:rsid w:val="009C3E3C"/>
    <w:rsid w:val="009C4353"/>
    <w:rsid w:val="009C49C2"/>
    <w:rsid w:val="009C49FA"/>
    <w:rsid w:val="009C4E2D"/>
    <w:rsid w:val="009C62C0"/>
    <w:rsid w:val="009C6474"/>
    <w:rsid w:val="009C6A88"/>
    <w:rsid w:val="009C765D"/>
    <w:rsid w:val="009C7ADA"/>
    <w:rsid w:val="009D000A"/>
    <w:rsid w:val="009D028D"/>
    <w:rsid w:val="009D1279"/>
    <w:rsid w:val="009D1A56"/>
    <w:rsid w:val="009D1A86"/>
    <w:rsid w:val="009D1E12"/>
    <w:rsid w:val="009D2DA9"/>
    <w:rsid w:val="009D2E93"/>
    <w:rsid w:val="009D2EA9"/>
    <w:rsid w:val="009D3038"/>
    <w:rsid w:val="009D34C0"/>
    <w:rsid w:val="009D35FB"/>
    <w:rsid w:val="009D4BBE"/>
    <w:rsid w:val="009D4E16"/>
    <w:rsid w:val="009D5893"/>
    <w:rsid w:val="009D6000"/>
    <w:rsid w:val="009D6620"/>
    <w:rsid w:val="009D6C54"/>
    <w:rsid w:val="009D72B0"/>
    <w:rsid w:val="009D77CE"/>
    <w:rsid w:val="009D7DE3"/>
    <w:rsid w:val="009E004A"/>
    <w:rsid w:val="009E066B"/>
    <w:rsid w:val="009E1515"/>
    <w:rsid w:val="009E1CFF"/>
    <w:rsid w:val="009E1FEE"/>
    <w:rsid w:val="009E23EA"/>
    <w:rsid w:val="009E2D24"/>
    <w:rsid w:val="009E2DB6"/>
    <w:rsid w:val="009E2EA0"/>
    <w:rsid w:val="009E305F"/>
    <w:rsid w:val="009E3257"/>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3ECF"/>
    <w:rsid w:val="009F40B7"/>
    <w:rsid w:val="009F4188"/>
    <w:rsid w:val="009F4302"/>
    <w:rsid w:val="009F4393"/>
    <w:rsid w:val="009F4BE9"/>
    <w:rsid w:val="009F62D3"/>
    <w:rsid w:val="009F62F2"/>
    <w:rsid w:val="00A00112"/>
    <w:rsid w:val="00A008B5"/>
    <w:rsid w:val="00A017B4"/>
    <w:rsid w:val="00A01C53"/>
    <w:rsid w:val="00A01D38"/>
    <w:rsid w:val="00A02414"/>
    <w:rsid w:val="00A025B9"/>
    <w:rsid w:val="00A0355C"/>
    <w:rsid w:val="00A03A13"/>
    <w:rsid w:val="00A040CD"/>
    <w:rsid w:val="00A04429"/>
    <w:rsid w:val="00A04D60"/>
    <w:rsid w:val="00A06446"/>
    <w:rsid w:val="00A06697"/>
    <w:rsid w:val="00A069E8"/>
    <w:rsid w:val="00A06C40"/>
    <w:rsid w:val="00A10586"/>
    <w:rsid w:val="00A10A48"/>
    <w:rsid w:val="00A110DA"/>
    <w:rsid w:val="00A1132B"/>
    <w:rsid w:val="00A11930"/>
    <w:rsid w:val="00A11B54"/>
    <w:rsid w:val="00A11CDC"/>
    <w:rsid w:val="00A11F65"/>
    <w:rsid w:val="00A1238C"/>
    <w:rsid w:val="00A1263D"/>
    <w:rsid w:val="00A12AF2"/>
    <w:rsid w:val="00A12D8A"/>
    <w:rsid w:val="00A12E6C"/>
    <w:rsid w:val="00A136D0"/>
    <w:rsid w:val="00A13D1A"/>
    <w:rsid w:val="00A14DC2"/>
    <w:rsid w:val="00A14DD6"/>
    <w:rsid w:val="00A14F0D"/>
    <w:rsid w:val="00A15D5E"/>
    <w:rsid w:val="00A161F8"/>
    <w:rsid w:val="00A169FA"/>
    <w:rsid w:val="00A1766A"/>
    <w:rsid w:val="00A200F4"/>
    <w:rsid w:val="00A206C9"/>
    <w:rsid w:val="00A20C27"/>
    <w:rsid w:val="00A20E7D"/>
    <w:rsid w:val="00A216BC"/>
    <w:rsid w:val="00A23931"/>
    <w:rsid w:val="00A23FD6"/>
    <w:rsid w:val="00A24079"/>
    <w:rsid w:val="00A25317"/>
    <w:rsid w:val="00A25706"/>
    <w:rsid w:val="00A25D84"/>
    <w:rsid w:val="00A26029"/>
    <w:rsid w:val="00A262E4"/>
    <w:rsid w:val="00A264CF"/>
    <w:rsid w:val="00A268EA"/>
    <w:rsid w:val="00A31CE0"/>
    <w:rsid w:val="00A31FA9"/>
    <w:rsid w:val="00A333BF"/>
    <w:rsid w:val="00A33825"/>
    <w:rsid w:val="00A3398F"/>
    <w:rsid w:val="00A35583"/>
    <w:rsid w:val="00A358F8"/>
    <w:rsid w:val="00A363EF"/>
    <w:rsid w:val="00A36DFE"/>
    <w:rsid w:val="00A370FD"/>
    <w:rsid w:val="00A3798C"/>
    <w:rsid w:val="00A37DD9"/>
    <w:rsid w:val="00A40ED7"/>
    <w:rsid w:val="00A40F83"/>
    <w:rsid w:val="00A412BA"/>
    <w:rsid w:val="00A41416"/>
    <w:rsid w:val="00A4200D"/>
    <w:rsid w:val="00A424BF"/>
    <w:rsid w:val="00A4258E"/>
    <w:rsid w:val="00A432D1"/>
    <w:rsid w:val="00A43555"/>
    <w:rsid w:val="00A43716"/>
    <w:rsid w:val="00A442C5"/>
    <w:rsid w:val="00A44712"/>
    <w:rsid w:val="00A447CA"/>
    <w:rsid w:val="00A44AF5"/>
    <w:rsid w:val="00A44B8B"/>
    <w:rsid w:val="00A45884"/>
    <w:rsid w:val="00A45EC4"/>
    <w:rsid w:val="00A47212"/>
    <w:rsid w:val="00A474EA"/>
    <w:rsid w:val="00A501B2"/>
    <w:rsid w:val="00A5034A"/>
    <w:rsid w:val="00A50FFA"/>
    <w:rsid w:val="00A539D1"/>
    <w:rsid w:val="00A54DAE"/>
    <w:rsid w:val="00A5548F"/>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1FE8"/>
    <w:rsid w:val="00A71FF1"/>
    <w:rsid w:val="00A72296"/>
    <w:rsid w:val="00A7388E"/>
    <w:rsid w:val="00A74544"/>
    <w:rsid w:val="00A74548"/>
    <w:rsid w:val="00A74DF2"/>
    <w:rsid w:val="00A74E31"/>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94E"/>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2A29"/>
    <w:rsid w:val="00AA34D0"/>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B7E40"/>
    <w:rsid w:val="00AB7F18"/>
    <w:rsid w:val="00AC0681"/>
    <w:rsid w:val="00AC154B"/>
    <w:rsid w:val="00AC1B72"/>
    <w:rsid w:val="00AC26FE"/>
    <w:rsid w:val="00AC350D"/>
    <w:rsid w:val="00AC3568"/>
    <w:rsid w:val="00AC3CF2"/>
    <w:rsid w:val="00AC47EC"/>
    <w:rsid w:val="00AC4E5D"/>
    <w:rsid w:val="00AC5A3C"/>
    <w:rsid w:val="00AC67EC"/>
    <w:rsid w:val="00AC6C53"/>
    <w:rsid w:val="00AC6E85"/>
    <w:rsid w:val="00AC7284"/>
    <w:rsid w:val="00AC7CE6"/>
    <w:rsid w:val="00AD0828"/>
    <w:rsid w:val="00AD0B13"/>
    <w:rsid w:val="00AD0E69"/>
    <w:rsid w:val="00AD103D"/>
    <w:rsid w:val="00AD10C5"/>
    <w:rsid w:val="00AD159C"/>
    <w:rsid w:val="00AD17FA"/>
    <w:rsid w:val="00AD19EC"/>
    <w:rsid w:val="00AD2717"/>
    <w:rsid w:val="00AD3DC4"/>
    <w:rsid w:val="00AD4FF4"/>
    <w:rsid w:val="00AD51D8"/>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9D5"/>
    <w:rsid w:val="00AE5CF9"/>
    <w:rsid w:val="00AE5DB6"/>
    <w:rsid w:val="00AE6BE4"/>
    <w:rsid w:val="00AE6C3C"/>
    <w:rsid w:val="00AE702E"/>
    <w:rsid w:val="00AE73E0"/>
    <w:rsid w:val="00AE7669"/>
    <w:rsid w:val="00AF03C0"/>
    <w:rsid w:val="00AF166F"/>
    <w:rsid w:val="00AF1C03"/>
    <w:rsid w:val="00AF2E7F"/>
    <w:rsid w:val="00AF39AF"/>
    <w:rsid w:val="00AF3E3B"/>
    <w:rsid w:val="00AF3E5A"/>
    <w:rsid w:val="00AF46FE"/>
    <w:rsid w:val="00AF486F"/>
    <w:rsid w:val="00AF498F"/>
    <w:rsid w:val="00AF4F39"/>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775"/>
    <w:rsid w:val="00B02ACE"/>
    <w:rsid w:val="00B03913"/>
    <w:rsid w:val="00B04CEA"/>
    <w:rsid w:val="00B05607"/>
    <w:rsid w:val="00B05A08"/>
    <w:rsid w:val="00B05F14"/>
    <w:rsid w:val="00B06737"/>
    <w:rsid w:val="00B077AD"/>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063E"/>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1BD"/>
    <w:rsid w:val="00B448EF"/>
    <w:rsid w:val="00B46889"/>
    <w:rsid w:val="00B46983"/>
    <w:rsid w:val="00B47493"/>
    <w:rsid w:val="00B474C8"/>
    <w:rsid w:val="00B474DF"/>
    <w:rsid w:val="00B47915"/>
    <w:rsid w:val="00B47FAF"/>
    <w:rsid w:val="00B50E18"/>
    <w:rsid w:val="00B513A9"/>
    <w:rsid w:val="00B51568"/>
    <w:rsid w:val="00B51610"/>
    <w:rsid w:val="00B5167B"/>
    <w:rsid w:val="00B520E3"/>
    <w:rsid w:val="00B52336"/>
    <w:rsid w:val="00B5266E"/>
    <w:rsid w:val="00B52D7E"/>
    <w:rsid w:val="00B5388C"/>
    <w:rsid w:val="00B55CED"/>
    <w:rsid w:val="00B55D57"/>
    <w:rsid w:val="00B55E9D"/>
    <w:rsid w:val="00B55F80"/>
    <w:rsid w:val="00B56480"/>
    <w:rsid w:val="00B565D6"/>
    <w:rsid w:val="00B56BC7"/>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2A4"/>
    <w:rsid w:val="00B749B6"/>
    <w:rsid w:val="00B7509A"/>
    <w:rsid w:val="00B7613E"/>
    <w:rsid w:val="00B766C1"/>
    <w:rsid w:val="00B76966"/>
    <w:rsid w:val="00B76B96"/>
    <w:rsid w:val="00B76EFB"/>
    <w:rsid w:val="00B77129"/>
    <w:rsid w:val="00B77C37"/>
    <w:rsid w:val="00B807BF"/>
    <w:rsid w:val="00B809B1"/>
    <w:rsid w:val="00B81906"/>
    <w:rsid w:val="00B82543"/>
    <w:rsid w:val="00B82998"/>
    <w:rsid w:val="00B834B0"/>
    <w:rsid w:val="00B837F6"/>
    <w:rsid w:val="00B83DAE"/>
    <w:rsid w:val="00B84FB4"/>
    <w:rsid w:val="00B851E7"/>
    <w:rsid w:val="00B86F2A"/>
    <w:rsid w:val="00B8756E"/>
    <w:rsid w:val="00B87DF9"/>
    <w:rsid w:val="00B909A0"/>
    <w:rsid w:val="00B91951"/>
    <w:rsid w:val="00B91A58"/>
    <w:rsid w:val="00B91EAD"/>
    <w:rsid w:val="00B920B9"/>
    <w:rsid w:val="00B930D2"/>
    <w:rsid w:val="00B937CD"/>
    <w:rsid w:val="00B938BC"/>
    <w:rsid w:val="00B93997"/>
    <w:rsid w:val="00B93C98"/>
    <w:rsid w:val="00B976BB"/>
    <w:rsid w:val="00BA01A7"/>
    <w:rsid w:val="00BA0224"/>
    <w:rsid w:val="00BA05C8"/>
    <w:rsid w:val="00BA093B"/>
    <w:rsid w:val="00BA09AA"/>
    <w:rsid w:val="00BA0AD5"/>
    <w:rsid w:val="00BA0CA0"/>
    <w:rsid w:val="00BA0E3C"/>
    <w:rsid w:val="00BA1F74"/>
    <w:rsid w:val="00BA1FE7"/>
    <w:rsid w:val="00BA2B1D"/>
    <w:rsid w:val="00BA3D14"/>
    <w:rsid w:val="00BA40FF"/>
    <w:rsid w:val="00BA4327"/>
    <w:rsid w:val="00BA435A"/>
    <w:rsid w:val="00BA54BA"/>
    <w:rsid w:val="00BA5603"/>
    <w:rsid w:val="00BA56D9"/>
    <w:rsid w:val="00BA6194"/>
    <w:rsid w:val="00BA62C6"/>
    <w:rsid w:val="00BA71DF"/>
    <w:rsid w:val="00BA7EEE"/>
    <w:rsid w:val="00BB2008"/>
    <w:rsid w:val="00BB29DF"/>
    <w:rsid w:val="00BB2CFC"/>
    <w:rsid w:val="00BB34DC"/>
    <w:rsid w:val="00BB35D0"/>
    <w:rsid w:val="00BB3AC4"/>
    <w:rsid w:val="00BB45BD"/>
    <w:rsid w:val="00BB4999"/>
    <w:rsid w:val="00BB4BCD"/>
    <w:rsid w:val="00BB52EB"/>
    <w:rsid w:val="00BB56C7"/>
    <w:rsid w:val="00BB576A"/>
    <w:rsid w:val="00BB5B62"/>
    <w:rsid w:val="00BB6502"/>
    <w:rsid w:val="00BB67B8"/>
    <w:rsid w:val="00BB6BCD"/>
    <w:rsid w:val="00BB70F9"/>
    <w:rsid w:val="00BB7C9B"/>
    <w:rsid w:val="00BC0E15"/>
    <w:rsid w:val="00BC1527"/>
    <w:rsid w:val="00BC205D"/>
    <w:rsid w:val="00BC2306"/>
    <w:rsid w:val="00BC2F31"/>
    <w:rsid w:val="00BC4036"/>
    <w:rsid w:val="00BC4F0A"/>
    <w:rsid w:val="00BC509F"/>
    <w:rsid w:val="00BC51D2"/>
    <w:rsid w:val="00BC5F5A"/>
    <w:rsid w:val="00BC6169"/>
    <w:rsid w:val="00BC64BE"/>
    <w:rsid w:val="00BC7155"/>
    <w:rsid w:val="00BC7550"/>
    <w:rsid w:val="00BD0B72"/>
    <w:rsid w:val="00BD2668"/>
    <w:rsid w:val="00BD30EB"/>
    <w:rsid w:val="00BD3169"/>
    <w:rsid w:val="00BD3924"/>
    <w:rsid w:val="00BD3F8A"/>
    <w:rsid w:val="00BD450F"/>
    <w:rsid w:val="00BD4512"/>
    <w:rsid w:val="00BD52AA"/>
    <w:rsid w:val="00BD6DA8"/>
    <w:rsid w:val="00BD7EB7"/>
    <w:rsid w:val="00BE1061"/>
    <w:rsid w:val="00BE1321"/>
    <w:rsid w:val="00BE1974"/>
    <w:rsid w:val="00BE2893"/>
    <w:rsid w:val="00BE2EB4"/>
    <w:rsid w:val="00BE2F5A"/>
    <w:rsid w:val="00BE37D3"/>
    <w:rsid w:val="00BE522A"/>
    <w:rsid w:val="00BE57B5"/>
    <w:rsid w:val="00BE7831"/>
    <w:rsid w:val="00BE7A7C"/>
    <w:rsid w:val="00BF0A44"/>
    <w:rsid w:val="00BF0CEC"/>
    <w:rsid w:val="00BF0E8E"/>
    <w:rsid w:val="00BF1A44"/>
    <w:rsid w:val="00BF1EDF"/>
    <w:rsid w:val="00BF2544"/>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53B4"/>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BA7"/>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04"/>
    <w:rsid w:val="00C300BC"/>
    <w:rsid w:val="00C318F7"/>
    <w:rsid w:val="00C319D2"/>
    <w:rsid w:val="00C31A9D"/>
    <w:rsid w:val="00C31F85"/>
    <w:rsid w:val="00C32534"/>
    <w:rsid w:val="00C326EE"/>
    <w:rsid w:val="00C32951"/>
    <w:rsid w:val="00C32C02"/>
    <w:rsid w:val="00C33235"/>
    <w:rsid w:val="00C33677"/>
    <w:rsid w:val="00C34137"/>
    <w:rsid w:val="00C3476B"/>
    <w:rsid w:val="00C35240"/>
    <w:rsid w:val="00C3633B"/>
    <w:rsid w:val="00C368B3"/>
    <w:rsid w:val="00C36F07"/>
    <w:rsid w:val="00C37214"/>
    <w:rsid w:val="00C372E8"/>
    <w:rsid w:val="00C40261"/>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EF"/>
    <w:rsid w:val="00C577F7"/>
    <w:rsid w:val="00C60667"/>
    <w:rsid w:val="00C60B81"/>
    <w:rsid w:val="00C61AB9"/>
    <w:rsid w:val="00C61F84"/>
    <w:rsid w:val="00C62C7F"/>
    <w:rsid w:val="00C62FF7"/>
    <w:rsid w:val="00C63135"/>
    <w:rsid w:val="00C637DC"/>
    <w:rsid w:val="00C638FA"/>
    <w:rsid w:val="00C63EE8"/>
    <w:rsid w:val="00C6432E"/>
    <w:rsid w:val="00C648F8"/>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5B7B"/>
    <w:rsid w:val="00C768C0"/>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62F"/>
    <w:rsid w:val="00C8773E"/>
    <w:rsid w:val="00C87EDA"/>
    <w:rsid w:val="00C90601"/>
    <w:rsid w:val="00C90D16"/>
    <w:rsid w:val="00C9116A"/>
    <w:rsid w:val="00C9265D"/>
    <w:rsid w:val="00C92824"/>
    <w:rsid w:val="00C92953"/>
    <w:rsid w:val="00C937BA"/>
    <w:rsid w:val="00C949FC"/>
    <w:rsid w:val="00C95E0D"/>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190"/>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9A"/>
    <w:rsid w:val="00CB76B5"/>
    <w:rsid w:val="00CB7AD6"/>
    <w:rsid w:val="00CC0495"/>
    <w:rsid w:val="00CC110F"/>
    <w:rsid w:val="00CC11B8"/>
    <w:rsid w:val="00CC1AF9"/>
    <w:rsid w:val="00CC20E0"/>
    <w:rsid w:val="00CC2818"/>
    <w:rsid w:val="00CC2F7A"/>
    <w:rsid w:val="00CC3A70"/>
    <w:rsid w:val="00CC3E25"/>
    <w:rsid w:val="00CC4033"/>
    <w:rsid w:val="00CC40B8"/>
    <w:rsid w:val="00CC5444"/>
    <w:rsid w:val="00CC5631"/>
    <w:rsid w:val="00CC62A6"/>
    <w:rsid w:val="00CC676C"/>
    <w:rsid w:val="00CC7A11"/>
    <w:rsid w:val="00CD012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0AE0"/>
    <w:rsid w:val="00CE157C"/>
    <w:rsid w:val="00CE1AF6"/>
    <w:rsid w:val="00CE2298"/>
    <w:rsid w:val="00CE3064"/>
    <w:rsid w:val="00CE39E4"/>
    <w:rsid w:val="00CE4282"/>
    <w:rsid w:val="00CE475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015"/>
    <w:rsid w:val="00CF344A"/>
    <w:rsid w:val="00CF39A0"/>
    <w:rsid w:val="00CF3D1C"/>
    <w:rsid w:val="00CF4713"/>
    <w:rsid w:val="00CF49C0"/>
    <w:rsid w:val="00CF4B12"/>
    <w:rsid w:val="00CF5377"/>
    <w:rsid w:val="00CF58FE"/>
    <w:rsid w:val="00CF5EBE"/>
    <w:rsid w:val="00CF783B"/>
    <w:rsid w:val="00CF7D97"/>
    <w:rsid w:val="00CF7EEC"/>
    <w:rsid w:val="00D001C2"/>
    <w:rsid w:val="00D00779"/>
    <w:rsid w:val="00D009D8"/>
    <w:rsid w:val="00D00C30"/>
    <w:rsid w:val="00D012E1"/>
    <w:rsid w:val="00D01318"/>
    <w:rsid w:val="00D01665"/>
    <w:rsid w:val="00D01D1E"/>
    <w:rsid w:val="00D02580"/>
    <w:rsid w:val="00D03BF7"/>
    <w:rsid w:val="00D03F1E"/>
    <w:rsid w:val="00D0428E"/>
    <w:rsid w:val="00D04426"/>
    <w:rsid w:val="00D0482F"/>
    <w:rsid w:val="00D04A33"/>
    <w:rsid w:val="00D04F19"/>
    <w:rsid w:val="00D05892"/>
    <w:rsid w:val="00D06732"/>
    <w:rsid w:val="00D06824"/>
    <w:rsid w:val="00D06C03"/>
    <w:rsid w:val="00D1037A"/>
    <w:rsid w:val="00D10D09"/>
    <w:rsid w:val="00D1163E"/>
    <w:rsid w:val="00D12362"/>
    <w:rsid w:val="00D12A4F"/>
    <w:rsid w:val="00D13EBF"/>
    <w:rsid w:val="00D14C15"/>
    <w:rsid w:val="00D15CB3"/>
    <w:rsid w:val="00D15F51"/>
    <w:rsid w:val="00D16ED5"/>
    <w:rsid w:val="00D202B1"/>
    <w:rsid w:val="00D20662"/>
    <w:rsid w:val="00D21291"/>
    <w:rsid w:val="00D21B99"/>
    <w:rsid w:val="00D21C8A"/>
    <w:rsid w:val="00D2297E"/>
    <w:rsid w:val="00D22DE5"/>
    <w:rsid w:val="00D233BD"/>
    <w:rsid w:val="00D233D7"/>
    <w:rsid w:val="00D23CBB"/>
    <w:rsid w:val="00D24AC0"/>
    <w:rsid w:val="00D25806"/>
    <w:rsid w:val="00D25E9D"/>
    <w:rsid w:val="00D25F1C"/>
    <w:rsid w:val="00D26DE6"/>
    <w:rsid w:val="00D26EE7"/>
    <w:rsid w:val="00D27B1E"/>
    <w:rsid w:val="00D30718"/>
    <w:rsid w:val="00D322FB"/>
    <w:rsid w:val="00D32475"/>
    <w:rsid w:val="00D32EF4"/>
    <w:rsid w:val="00D33F81"/>
    <w:rsid w:val="00D34850"/>
    <w:rsid w:val="00D35060"/>
    <w:rsid w:val="00D36138"/>
    <w:rsid w:val="00D369C8"/>
    <w:rsid w:val="00D369D4"/>
    <w:rsid w:val="00D36AD7"/>
    <w:rsid w:val="00D373E9"/>
    <w:rsid w:val="00D37C61"/>
    <w:rsid w:val="00D403FF"/>
    <w:rsid w:val="00D404C4"/>
    <w:rsid w:val="00D40CE9"/>
    <w:rsid w:val="00D41FFC"/>
    <w:rsid w:val="00D42115"/>
    <w:rsid w:val="00D42EFD"/>
    <w:rsid w:val="00D457D1"/>
    <w:rsid w:val="00D458AA"/>
    <w:rsid w:val="00D46338"/>
    <w:rsid w:val="00D46BA2"/>
    <w:rsid w:val="00D471D8"/>
    <w:rsid w:val="00D47234"/>
    <w:rsid w:val="00D47281"/>
    <w:rsid w:val="00D47581"/>
    <w:rsid w:val="00D50295"/>
    <w:rsid w:val="00D5069A"/>
    <w:rsid w:val="00D50714"/>
    <w:rsid w:val="00D50E43"/>
    <w:rsid w:val="00D51469"/>
    <w:rsid w:val="00D52B45"/>
    <w:rsid w:val="00D530EB"/>
    <w:rsid w:val="00D53393"/>
    <w:rsid w:val="00D535B6"/>
    <w:rsid w:val="00D55235"/>
    <w:rsid w:val="00D55D78"/>
    <w:rsid w:val="00D56916"/>
    <w:rsid w:val="00D572B2"/>
    <w:rsid w:val="00D57B43"/>
    <w:rsid w:val="00D57F53"/>
    <w:rsid w:val="00D60CAB"/>
    <w:rsid w:val="00D610FD"/>
    <w:rsid w:val="00D612AF"/>
    <w:rsid w:val="00D619F3"/>
    <w:rsid w:val="00D62A5B"/>
    <w:rsid w:val="00D62B43"/>
    <w:rsid w:val="00D62ECD"/>
    <w:rsid w:val="00D62F15"/>
    <w:rsid w:val="00D63748"/>
    <w:rsid w:val="00D639F0"/>
    <w:rsid w:val="00D63C1B"/>
    <w:rsid w:val="00D63D76"/>
    <w:rsid w:val="00D64BFF"/>
    <w:rsid w:val="00D64DE1"/>
    <w:rsid w:val="00D64E3F"/>
    <w:rsid w:val="00D653D0"/>
    <w:rsid w:val="00D6692A"/>
    <w:rsid w:val="00D66E55"/>
    <w:rsid w:val="00D674E9"/>
    <w:rsid w:val="00D677F5"/>
    <w:rsid w:val="00D6799A"/>
    <w:rsid w:val="00D67BFB"/>
    <w:rsid w:val="00D7009C"/>
    <w:rsid w:val="00D70F17"/>
    <w:rsid w:val="00D712DA"/>
    <w:rsid w:val="00D719EF"/>
    <w:rsid w:val="00D72327"/>
    <w:rsid w:val="00D727E0"/>
    <w:rsid w:val="00D72B87"/>
    <w:rsid w:val="00D72C72"/>
    <w:rsid w:val="00D74160"/>
    <w:rsid w:val="00D744C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58F"/>
    <w:rsid w:val="00D8589D"/>
    <w:rsid w:val="00D85A81"/>
    <w:rsid w:val="00D86466"/>
    <w:rsid w:val="00D870E8"/>
    <w:rsid w:val="00D87423"/>
    <w:rsid w:val="00D87452"/>
    <w:rsid w:val="00D87485"/>
    <w:rsid w:val="00D907CB"/>
    <w:rsid w:val="00D91BF2"/>
    <w:rsid w:val="00D93322"/>
    <w:rsid w:val="00D93A25"/>
    <w:rsid w:val="00D93C1C"/>
    <w:rsid w:val="00D94026"/>
    <w:rsid w:val="00D94120"/>
    <w:rsid w:val="00D9448C"/>
    <w:rsid w:val="00D951DD"/>
    <w:rsid w:val="00D952ED"/>
    <w:rsid w:val="00D957FA"/>
    <w:rsid w:val="00D9600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58C"/>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538"/>
    <w:rsid w:val="00DC26E4"/>
    <w:rsid w:val="00DC2BAE"/>
    <w:rsid w:val="00DC2CEE"/>
    <w:rsid w:val="00DC3257"/>
    <w:rsid w:val="00DC3279"/>
    <w:rsid w:val="00DC35AC"/>
    <w:rsid w:val="00DC3BF1"/>
    <w:rsid w:val="00DC3CFC"/>
    <w:rsid w:val="00DC4A35"/>
    <w:rsid w:val="00DC4D1D"/>
    <w:rsid w:val="00DC4D87"/>
    <w:rsid w:val="00DC54EB"/>
    <w:rsid w:val="00DC580A"/>
    <w:rsid w:val="00DC5B50"/>
    <w:rsid w:val="00DC66BC"/>
    <w:rsid w:val="00DC727F"/>
    <w:rsid w:val="00DC7E78"/>
    <w:rsid w:val="00DD00D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6C"/>
    <w:rsid w:val="00DE1270"/>
    <w:rsid w:val="00DE1748"/>
    <w:rsid w:val="00DE1E1E"/>
    <w:rsid w:val="00DE223E"/>
    <w:rsid w:val="00DE2D33"/>
    <w:rsid w:val="00DE3084"/>
    <w:rsid w:val="00DE34EB"/>
    <w:rsid w:val="00DE3592"/>
    <w:rsid w:val="00DE3E78"/>
    <w:rsid w:val="00DE41F8"/>
    <w:rsid w:val="00DE4B9D"/>
    <w:rsid w:val="00DE50EA"/>
    <w:rsid w:val="00DE545C"/>
    <w:rsid w:val="00DE5C9F"/>
    <w:rsid w:val="00DE734E"/>
    <w:rsid w:val="00DE7887"/>
    <w:rsid w:val="00DE7BF8"/>
    <w:rsid w:val="00DF0DC3"/>
    <w:rsid w:val="00DF14F9"/>
    <w:rsid w:val="00DF19AF"/>
    <w:rsid w:val="00DF1C2D"/>
    <w:rsid w:val="00DF1FAE"/>
    <w:rsid w:val="00DF2AD9"/>
    <w:rsid w:val="00DF54D0"/>
    <w:rsid w:val="00DF580C"/>
    <w:rsid w:val="00DF5C1A"/>
    <w:rsid w:val="00DF5E7F"/>
    <w:rsid w:val="00DF6BCB"/>
    <w:rsid w:val="00DF6D45"/>
    <w:rsid w:val="00DF7042"/>
    <w:rsid w:val="00DF78FD"/>
    <w:rsid w:val="00DF7EFE"/>
    <w:rsid w:val="00E00E15"/>
    <w:rsid w:val="00E00F63"/>
    <w:rsid w:val="00E01210"/>
    <w:rsid w:val="00E01D50"/>
    <w:rsid w:val="00E02361"/>
    <w:rsid w:val="00E02664"/>
    <w:rsid w:val="00E02C4D"/>
    <w:rsid w:val="00E031A5"/>
    <w:rsid w:val="00E0341B"/>
    <w:rsid w:val="00E0348F"/>
    <w:rsid w:val="00E035A6"/>
    <w:rsid w:val="00E038F5"/>
    <w:rsid w:val="00E03D67"/>
    <w:rsid w:val="00E04510"/>
    <w:rsid w:val="00E04784"/>
    <w:rsid w:val="00E04A0E"/>
    <w:rsid w:val="00E04B4D"/>
    <w:rsid w:val="00E05130"/>
    <w:rsid w:val="00E05569"/>
    <w:rsid w:val="00E05A6C"/>
    <w:rsid w:val="00E05F59"/>
    <w:rsid w:val="00E0640A"/>
    <w:rsid w:val="00E0655D"/>
    <w:rsid w:val="00E1024A"/>
    <w:rsid w:val="00E10B17"/>
    <w:rsid w:val="00E10B67"/>
    <w:rsid w:val="00E12742"/>
    <w:rsid w:val="00E12AB9"/>
    <w:rsid w:val="00E12B67"/>
    <w:rsid w:val="00E141D3"/>
    <w:rsid w:val="00E14296"/>
    <w:rsid w:val="00E14941"/>
    <w:rsid w:val="00E14FA6"/>
    <w:rsid w:val="00E1503B"/>
    <w:rsid w:val="00E1526B"/>
    <w:rsid w:val="00E1534B"/>
    <w:rsid w:val="00E15408"/>
    <w:rsid w:val="00E15743"/>
    <w:rsid w:val="00E15C52"/>
    <w:rsid w:val="00E15EDA"/>
    <w:rsid w:val="00E15F0B"/>
    <w:rsid w:val="00E160E8"/>
    <w:rsid w:val="00E16199"/>
    <w:rsid w:val="00E16311"/>
    <w:rsid w:val="00E1702C"/>
    <w:rsid w:val="00E20CC5"/>
    <w:rsid w:val="00E21ACA"/>
    <w:rsid w:val="00E223D2"/>
    <w:rsid w:val="00E22B80"/>
    <w:rsid w:val="00E22C0E"/>
    <w:rsid w:val="00E22CFF"/>
    <w:rsid w:val="00E231CD"/>
    <w:rsid w:val="00E231E1"/>
    <w:rsid w:val="00E23888"/>
    <w:rsid w:val="00E23B9C"/>
    <w:rsid w:val="00E23CE3"/>
    <w:rsid w:val="00E23CF7"/>
    <w:rsid w:val="00E23E76"/>
    <w:rsid w:val="00E23F0A"/>
    <w:rsid w:val="00E249DB"/>
    <w:rsid w:val="00E253A3"/>
    <w:rsid w:val="00E25402"/>
    <w:rsid w:val="00E259B0"/>
    <w:rsid w:val="00E25AF8"/>
    <w:rsid w:val="00E25D64"/>
    <w:rsid w:val="00E26AEC"/>
    <w:rsid w:val="00E2757B"/>
    <w:rsid w:val="00E2792D"/>
    <w:rsid w:val="00E30828"/>
    <w:rsid w:val="00E30B37"/>
    <w:rsid w:val="00E30C80"/>
    <w:rsid w:val="00E3109C"/>
    <w:rsid w:val="00E311D1"/>
    <w:rsid w:val="00E31C2D"/>
    <w:rsid w:val="00E32432"/>
    <w:rsid w:val="00E327E8"/>
    <w:rsid w:val="00E33B1E"/>
    <w:rsid w:val="00E34277"/>
    <w:rsid w:val="00E3621B"/>
    <w:rsid w:val="00E3626F"/>
    <w:rsid w:val="00E36E0E"/>
    <w:rsid w:val="00E36F0C"/>
    <w:rsid w:val="00E36F43"/>
    <w:rsid w:val="00E37F0C"/>
    <w:rsid w:val="00E402D0"/>
    <w:rsid w:val="00E40ADF"/>
    <w:rsid w:val="00E418E3"/>
    <w:rsid w:val="00E423DE"/>
    <w:rsid w:val="00E42F07"/>
    <w:rsid w:val="00E4370F"/>
    <w:rsid w:val="00E4441D"/>
    <w:rsid w:val="00E453AB"/>
    <w:rsid w:val="00E462E6"/>
    <w:rsid w:val="00E463A0"/>
    <w:rsid w:val="00E46A98"/>
    <w:rsid w:val="00E47081"/>
    <w:rsid w:val="00E47839"/>
    <w:rsid w:val="00E51CDE"/>
    <w:rsid w:val="00E52018"/>
    <w:rsid w:val="00E5210B"/>
    <w:rsid w:val="00E53303"/>
    <w:rsid w:val="00E53631"/>
    <w:rsid w:val="00E5388F"/>
    <w:rsid w:val="00E54239"/>
    <w:rsid w:val="00E54272"/>
    <w:rsid w:val="00E542BC"/>
    <w:rsid w:val="00E54521"/>
    <w:rsid w:val="00E54617"/>
    <w:rsid w:val="00E5484B"/>
    <w:rsid w:val="00E56023"/>
    <w:rsid w:val="00E565EA"/>
    <w:rsid w:val="00E56D6E"/>
    <w:rsid w:val="00E56FEF"/>
    <w:rsid w:val="00E577F9"/>
    <w:rsid w:val="00E57FB5"/>
    <w:rsid w:val="00E6050F"/>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4B2"/>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AD0"/>
    <w:rsid w:val="00E82D81"/>
    <w:rsid w:val="00E83259"/>
    <w:rsid w:val="00E839BE"/>
    <w:rsid w:val="00E83CAC"/>
    <w:rsid w:val="00E83CD7"/>
    <w:rsid w:val="00E8441D"/>
    <w:rsid w:val="00E84532"/>
    <w:rsid w:val="00E84C89"/>
    <w:rsid w:val="00E85E56"/>
    <w:rsid w:val="00E860DD"/>
    <w:rsid w:val="00E8713D"/>
    <w:rsid w:val="00E872DE"/>
    <w:rsid w:val="00E90329"/>
    <w:rsid w:val="00E910D5"/>
    <w:rsid w:val="00E922C4"/>
    <w:rsid w:val="00E943AE"/>
    <w:rsid w:val="00E947B0"/>
    <w:rsid w:val="00E95D82"/>
    <w:rsid w:val="00E95F21"/>
    <w:rsid w:val="00E96273"/>
    <w:rsid w:val="00E96E97"/>
    <w:rsid w:val="00E97370"/>
    <w:rsid w:val="00E97D49"/>
    <w:rsid w:val="00EA0251"/>
    <w:rsid w:val="00EA1065"/>
    <w:rsid w:val="00EA1434"/>
    <w:rsid w:val="00EA320E"/>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DD0"/>
    <w:rsid w:val="00EB235B"/>
    <w:rsid w:val="00EB31A3"/>
    <w:rsid w:val="00EB325B"/>
    <w:rsid w:val="00EB3E22"/>
    <w:rsid w:val="00EB693B"/>
    <w:rsid w:val="00EB6DEF"/>
    <w:rsid w:val="00EB6EDF"/>
    <w:rsid w:val="00EB7BA9"/>
    <w:rsid w:val="00EB7D75"/>
    <w:rsid w:val="00EC0B20"/>
    <w:rsid w:val="00EC0EE7"/>
    <w:rsid w:val="00EC1C3A"/>
    <w:rsid w:val="00EC1F51"/>
    <w:rsid w:val="00EC2B1D"/>
    <w:rsid w:val="00EC4233"/>
    <w:rsid w:val="00EC4544"/>
    <w:rsid w:val="00EC4A1F"/>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0CFC"/>
    <w:rsid w:val="00EE1760"/>
    <w:rsid w:val="00EE192C"/>
    <w:rsid w:val="00EE287D"/>
    <w:rsid w:val="00EE3570"/>
    <w:rsid w:val="00EE3B32"/>
    <w:rsid w:val="00EE3CFF"/>
    <w:rsid w:val="00EE3F39"/>
    <w:rsid w:val="00EE414C"/>
    <w:rsid w:val="00EE44FE"/>
    <w:rsid w:val="00EE5406"/>
    <w:rsid w:val="00EE5EF8"/>
    <w:rsid w:val="00EE6964"/>
    <w:rsid w:val="00EE6A1D"/>
    <w:rsid w:val="00EE6D18"/>
    <w:rsid w:val="00EE7E7A"/>
    <w:rsid w:val="00EF0B6B"/>
    <w:rsid w:val="00EF1230"/>
    <w:rsid w:val="00EF223B"/>
    <w:rsid w:val="00EF29DE"/>
    <w:rsid w:val="00EF3978"/>
    <w:rsid w:val="00EF3AAC"/>
    <w:rsid w:val="00EF4504"/>
    <w:rsid w:val="00EF4D42"/>
    <w:rsid w:val="00EF4FD1"/>
    <w:rsid w:val="00EF5318"/>
    <w:rsid w:val="00EF55F6"/>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65A"/>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2D"/>
    <w:rsid w:val="00F1733B"/>
    <w:rsid w:val="00F17393"/>
    <w:rsid w:val="00F17474"/>
    <w:rsid w:val="00F17D3B"/>
    <w:rsid w:val="00F201CC"/>
    <w:rsid w:val="00F20487"/>
    <w:rsid w:val="00F20E0A"/>
    <w:rsid w:val="00F20F65"/>
    <w:rsid w:val="00F2106D"/>
    <w:rsid w:val="00F22337"/>
    <w:rsid w:val="00F22D65"/>
    <w:rsid w:val="00F23175"/>
    <w:rsid w:val="00F23FB0"/>
    <w:rsid w:val="00F24011"/>
    <w:rsid w:val="00F2480A"/>
    <w:rsid w:val="00F24891"/>
    <w:rsid w:val="00F24B9F"/>
    <w:rsid w:val="00F24CA6"/>
    <w:rsid w:val="00F256AE"/>
    <w:rsid w:val="00F25773"/>
    <w:rsid w:val="00F257FA"/>
    <w:rsid w:val="00F25AC9"/>
    <w:rsid w:val="00F26004"/>
    <w:rsid w:val="00F270E8"/>
    <w:rsid w:val="00F27EF5"/>
    <w:rsid w:val="00F27FDB"/>
    <w:rsid w:val="00F30251"/>
    <w:rsid w:val="00F3026E"/>
    <w:rsid w:val="00F305CC"/>
    <w:rsid w:val="00F3179A"/>
    <w:rsid w:val="00F31D54"/>
    <w:rsid w:val="00F32357"/>
    <w:rsid w:val="00F32C70"/>
    <w:rsid w:val="00F336C2"/>
    <w:rsid w:val="00F33F7E"/>
    <w:rsid w:val="00F34E02"/>
    <w:rsid w:val="00F3549E"/>
    <w:rsid w:val="00F365A7"/>
    <w:rsid w:val="00F3681C"/>
    <w:rsid w:val="00F37587"/>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A74"/>
    <w:rsid w:val="00F53199"/>
    <w:rsid w:val="00F533D7"/>
    <w:rsid w:val="00F53764"/>
    <w:rsid w:val="00F53862"/>
    <w:rsid w:val="00F541A1"/>
    <w:rsid w:val="00F54B09"/>
    <w:rsid w:val="00F54BEA"/>
    <w:rsid w:val="00F54E8A"/>
    <w:rsid w:val="00F554D5"/>
    <w:rsid w:val="00F559A8"/>
    <w:rsid w:val="00F55C21"/>
    <w:rsid w:val="00F55E5F"/>
    <w:rsid w:val="00F55F6D"/>
    <w:rsid w:val="00F5736B"/>
    <w:rsid w:val="00F57880"/>
    <w:rsid w:val="00F608AB"/>
    <w:rsid w:val="00F60BE7"/>
    <w:rsid w:val="00F6159C"/>
    <w:rsid w:val="00F61714"/>
    <w:rsid w:val="00F6238F"/>
    <w:rsid w:val="00F63E59"/>
    <w:rsid w:val="00F64BE0"/>
    <w:rsid w:val="00F6526D"/>
    <w:rsid w:val="00F65B68"/>
    <w:rsid w:val="00F65DC1"/>
    <w:rsid w:val="00F67846"/>
    <w:rsid w:val="00F67B42"/>
    <w:rsid w:val="00F70B72"/>
    <w:rsid w:val="00F70DEF"/>
    <w:rsid w:val="00F70EA3"/>
    <w:rsid w:val="00F71398"/>
    <w:rsid w:val="00F7294C"/>
    <w:rsid w:val="00F72C5F"/>
    <w:rsid w:val="00F733ED"/>
    <w:rsid w:val="00F73549"/>
    <w:rsid w:val="00F75782"/>
    <w:rsid w:val="00F77EC0"/>
    <w:rsid w:val="00F80C1D"/>
    <w:rsid w:val="00F81130"/>
    <w:rsid w:val="00F818F7"/>
    <w:rsid w:val="00F81BA7"/>
    <w:rsid w:val="00F8325D"/>
    <w:rsid w:val="00F832A9"/>
    <w:rsid w:val="00F832B0"/>
    <w:rsid w:val="00F83307"/>
    <w:rsid w:val="00F833A5"/>
    <w:rsid w:val="00F844D3"/>
    <w:rsid w:val="00F84629"/>
    <w:rsid w:val="00F84B71"/>
    <w:rsid w:val="00F84F0E"/>
    <w:rsid w:val="00F8519E"/>
    <w:rsid w:val="00F85484"/>
    <w:rsid w:val="00F85FF5"/>
    <w:rsid w:val="00F86BB4"/>
    <w:rsid w:val="00F870A2"/>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88D"/>
    <w:rsid w:val="00FA2A33"/>
    <w:rsid w:val="00FA2C8F"/>
    <w:rsid w:val="00FA2CF7"/>
    <w:rsid w:val="00FA3410"/>
    <w:rsid w:val="00FA360B"/>
    <w:rsid w:val="00FA3860"/>
    <w:rsid w:val="00FA3A50"/>
    <w:rsid w:val="00FA4763"/>
    <w:rsid w:val="00FA4830"/>
    <w:rsid w:val="00FA5032"/>
    <w:rsid w:val="00FA6980"/>
    <w:rsid w:val="00FA6CDF"/>
    <w:rsid w:val="00FA738E"/>
    <w:rsid w:val="00FA7699"/>
    <w:rsid w:val="00FA7BB5"/>
    <w:rsid w:val="00FA7C85"/>
    <w:rsid w:val="00FB0905"/>
    <w:rsid w:val="00FB0C1D"/>
    <w:rsid w:val="00FB12D8"/>
    <w:rsid w:val="00FB176A"/>
    <w:rsid w:val="00FB1CDC"/>
    <w:rsid w:val="00FB238A"/>
    <w:rsid w:val="00FB2446"/>
    <w:rsid w:val="00FB2729"/>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076"/>
    <w:rsid w:val="00FC2198"/>
    <w:rsid w:val="00FC26A4"/>
    <w:rsid w:val="00FC2C93"/>
    <w:rsid w:val="00FC325A"/>
    <w:rsid w:val="00FC33ED"/>
    <w:rsid w:val="00FC3D7E"/>
    <w:rsid w:val="00FC43AD"/>
    <w:rsid w:val="00FC5217"/>
    <w:rsid w:val="00FC5876"/>
    <w:rsid w:val="00FC5F0D"/>
    <w:rsid w:val="00FC62F5"/>
    <w:rsid w:val="00FC731E"/>
    <w:rsid w:val="00FD035A"/>
    <w:rsid w:val="00FD0A27"/>
    <w:rsid w:val="00FD19F1"/>
    <w:rsid w:val="00FD1A7E"/>
    <w:rsid w:val="00FD27E2"/>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2BC"/>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056D4F55"/>
    <w:rsid w:val="09138BAC"/>
    <w:rsid w:val="092ED52B"/>
    <w:rsid w:val="093F60DF"/>
    <w:rsid w:val="0B8E1B25"/>
    <w:rsid w:val="0BB713DE"/>
    <w:rsid w:val="0E971BF7"/>
    <w:rsid w:val="103FF65F"/>
    <w:rsid w:val="10974408"/>
    <w:rsid w:val="10C44861"/>
    <w:rsid w:val="125E525A"/>
    <w:rsid w:val="12C09F8B"/>
    <w:rsid w:val="12E22CA6"/>
    <w:rsid w:val="12FFD4FE"/>
    <w:rsid w:val="13722E16"/>
    <w:rsid w:val="1432C592"/>
    <w:rsid w:val="16744C58"/>
    <w:rsid w:val="16C5F534"/>
    <w:rsid w:val="18FC6260"/>
    <w:rsid w:val="1A4B1EAB"/>
    <w:rsid w:val="1AA8600A"/>
    <w:rsid w:val="1AA8B275"/>
    <w:rsid w:val="1D2098AA"/>
    <w:rsid w:val="1EC24EDE"/>
    <w:rsid w:val="1F1631CF"/>
    <w:rsid w:val="22131F36"/>
    <w:rsid w:val="2215232F"/>
    <w:rsid w:val="232FCA1E"/>
    <w:rsid w:val="24B5DC54"/>
    <w:rsid w:val="269AB296"/>
    <w:rsid w:val="27A5CC19"/>
    <w:rsid w:val="2A6EB1D9"/>
    <w:rsid w:val="2C3AA7E5"/>
    <w:rsid w:val="2CAAC952"/>
    <w:rsid w:val="2CF68CA9"/>
    <w:rsid w:val="2D0F5632"/>
    <w:rsid w:val="2D3376AB"/>
    <w:rsid w:val="2E2258CA"/>
    <w:rsid w:val="2EDECCAD"/>
    <w:rsid w:val="2F6AF157"/>
    <w:rsid w:val="2F714D02"/>
    <w:rsid w:val="313FB6C3"/>
    <w:rsid w:val="3203A9B8"/>
    <w:rsid w:val="338AF2FD"/>
    <w:rsid w:val="3462AE60"/>
    <w:rsid w:val="36225E4E"/>
    <w:rsid w:val="3766D87B"/>
    <w:rsid w:val="3A02ECA9"/>
    <w:rsid w:val="3A0A30E9"/>
    <w:rsid w:val="3A6F08DE"/>
    <w:rsid w:val="3B98EA85"/>
    <w:rsid w:val="3C4A4354"/>
    <w:rsid w:val="3D69CA98"/>
    <w:rsid w:val="3ED76657"/>
    <w:rsid w:val="4004E637"/>
    <w:rsid w:val="40ABE3DA"/>
    <w:rsid w:val="411B3E0D"/>
    <w:rsid w:val="41276E98"/>
    <w:rsid w:val="42A471AD"/>
    <w:rsid w:val="43AEEF90"/>
    <w:rsid w:val="44134ECA"/>
    <w:rsid w:val="450EB647"/>
    <w:rsid w:val="45203E4E"/>
    <w:rsid w:val="45D1AE7B"/>
    <w:rsid w:val="45EEF721"/>
    <w:rsid w:val="46022D60"/>
    <w:rsid w:val="46F0CDBD"/>
    <w:rsid w:val="48754815"/>
    <w:rsid w:val="48E61E80"/>
    <w:rsid w:val="4952FDED"/>
    <w:rsid w:val="496B91A7"/>
    <w:rsid w:val="4A994B04"/>
    <w:rsid w:val="4B3F59D0"/>
    <w:rsid w:val="4BAB59F4"/>
    <w:rsid w:val="4BBAC185"/>
    <w:rsid w:val="4CE4926C"/>
    <w:rsid w:val="4EEC4A45"/>
    <w:rsid w:val="5258F602"/>
    <w:rsid w:val="52E48590"/>
    <w:rsid w:val="5302BDD2"/>
    <w:rsid w:val="530546AC"/>
    <w:rsid w:val="532B1EED"/>
    <w:rsid w:val="5476286C"/>
    <w:rsid w:val="5609E048"/>
    <w:rsid w:val="56219087"/>
    <w:rsid w:val="56610322"/>
    <w:rsid w:val="5702CF40"/>
    <w:rsid w:val="571F2C16"/>
    <w:rsid w:val="572210B4"/>
    <w:rsid w:val="572588D0"/>
    <w:rsid w:val="578C7303"/>
    <w:rsid w:val="57BCADF7"/>
    <w:rsid w:val="599501CF"/>
    <w:rsid w:val="5C3857EA"/>
    <w:rsid w:val="5C60C3B8"/>
    <w:rsid w:val="5DD78FE1"/>
    <w:rsid w:val="5E93AEAE"/>
    <w:rsid w:val="5E958AE8"/>
    <w:rsid w:val="5FDC5CAC"/>
    <w:rsid w:val="62B7112B"/>
    <w:rsid w:val="62C6B6F0"/>
    <w:rsid w:val="637C09A0"/>
    <w:rsid w:val="65320396"/>
    <w:rsid w:val="65321490"/>
    <w:rsid w:val="6865FC91"/>
    <w:rsid w:val="6894E4D5"/>
    <w:rsid w:val="69A95280"/>
    <w:rsid w:val="69CB8678"/>
    <w:rsid w:val="6A8F0CBD"/>
    <w:rsid w:val="6BAF8024"/>
    <w:rsid w:val="6C446195"/>
    <w:rsid w:val="6C6879CA"/>
    <w:rsid w:val="6E27034A"/>
    <w:rsid w:val="6EAEC3C1"/>
    <w:rsid w:val="6FC2903A"/>
    <w:rsid w:val="7227E893"/>
    <w:rsid w:val="733C319D"/>
    <w:rsid w:val="739529A6"/>
    <w:rsid w:val="744AB2CA"/>
    <w:rsid w:val="78FFAF06"/>
    <w:rsid w:val="79B547DD"/>
    <w:rsid w:val="7AFA508A"/>
    <w:rsid w:val="7B29DE2A"/>
    <w:rsid w:val="7B6C3E2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5118963C-0899-4E8A-BE4C-C626D8D2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lang w:val="en-AU"/>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lang w:val="en-AU"/>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BodyText"/>
    <w:next w:val="BodyText"/>
    <w:autoRedefine/>
    <w:uiPriority w:val="39"/>
    <w:qFormat/>
    <w:rsid w:val="00327023"/>
    <w:pPr>
      <w:tabs>
        <w:tab w:val="right" w:pos="8495"/>
      </w:tabs>
      <w:spacing w:before="240" w:after="0"/>
      <w:ind w:right="567"/>
    </w:pPr>
    <w:rPr>
      <w:bCs/>
    </w:rPr>
  </w:style>
  <w:style w:type="paragraph" w:styleId="TOC2">
    <w:name w:val="toc 2"/>
    <w:basedOn w:val="Normal"/>
    <w:next w:val="Normal"/>
    <w:uiPriority w:val="39"/>
    <w:rsid w:val="00327023"/>
    <w:pPr>
      <w:spacing w:after="0"/>
      <w:ind w:left="227" w:right="567"/>
      <w:jc w:val="left"/>
    </w:pPr>
    <w:rPr>
      <w:iCs/>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38"/>
      </w:numPr>
      <w:spacing w:before="0"/>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F336C2"/>
    <w:pPr>
      <w:tabs>
        <w:tab w:val="right" w:pos="8495"/>
      </w:tabs>
      <w:spacing w:before="60" w:after="0"/>
      <w:ind w:left="454" w:right="567"/>
      <w:jc w:val="left"/>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spacing w:before="0" w:after="0"/>
      <w:ind w:left="660"/>
      <w:jc w:val="left"/>
    </w:pPr>
    <w:rPr>
      <w:rFonts w:asciiTheme="minorHAnsi" w:hAnsiTheme="minorHAnsi"/>
      <w:sz w:val="20"/>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rPr>
  </w:style>
  <w:style w:type="paragraph" w:customStyle="1" w:styleId="Boxheading0">
    <w:name w:val="Box heading"/>
    <w:basedOn w:val="Boxtext"/>
    <w:next w:val="Boxtext"/>
    <w:uiPriority w:val="1"/>
    <w:qFormat/>
    <w:rsid w:val="00DB6A2B"/>
    <w:pPr>
      <w:keepNext/>
      <w:spacing w:before="240" w:after="0"/>
    </w:pPr>
    <w:rPr>
      <w:rFonts w:cs="Times New Roman"/>
      <w:b/>
      <w:sz w:val="22"/>
    </w:rPr>
  </w:style>
  <w:style w:type="paragraph" w:customStyle="1" w:styleId="Boxsub-bullet">
    <w:name w:val="Box sub-bullet"/>
    <w:basedOn w:val="Boxtext"/>
    <w:uiPriority w:val="1"/>
    <w:qFormat/>
    <w:rsid w:val="00DB6A2B"/>
    <w:pPr>
      <w:numPr>
        <w:numId w:val="36"/>
      </w:numPr>
      <w:spacing w:before="0"/>
    </w:pPr>
    <w:rPr>
      <w:rFonts w:cs="Times New Roman"/>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ListBullet">
    <w:name w:val="List Bullet"/>
    <w:basedOn w:val="BodyText"/>
    <w:semiHidden/>
    <w:qFormat/>
    <w:rsid w:val="004A4C41"/>
    <w:pPr>
      <w:numPr>
        <w:numId w:val="39"/>
      </w:numPr>
      <w:spacing w:line="240" w:lineRule="auto"/>
    </w:pPr>
    <w:rPr>
      <w:rFonts w:eastAsia="Times New Roman" w:cs="Times New Roman"/>
      <w:lang w:eastAsia="en-AU"/>
    </w:rPr>
  </w:style>
  <w:style w:type="paragraph" w:styleId="ListBullet2">
    <w:name w:val="List Bullet 2"/>
    <w:basedOn w:val="ListBullet"/>
    <w:uiPriority w:val="1"/>
    <w:semiHidden/>
    <w:rsid w:val="004A4C41"/>
    <w:pPr>
      <w:numPr>
        <w:ilvl w:val="1"/>
      </w:numPr>
    </w:pPr>
  </w:style>
  <w:style w:type="paragraph" w:styleId="ListBullet3">
    <w:name w:val="List Bullet 3"/>
    <w:basedOn w:val="ListBullet"/>
    <w:uiPriority w:val="1"/>
    <w:qFormat/>
    <w:rsid w:val="004A4C41"/>
    <w:pPr>
      <w:numPr>
        <w:ilvl w:val="2"/>
      </w:numPr>
    </w:pPr>
  </w:style>
  <w:style w:type="paragraph" w:styleId="ListBullet4">
    <w:name w:val="List Bullet 4"/>
    <w:basedOn w:val="ListBullet"/>
    <w:uiPriority w:val="1"/>
    <w:semiHidden/>
    <w:rsid w:val="004A4C41"/>
    <w:pPr>
      <w:numPr>
        <w:ilvl w:val="3"/>
      </w:numPr>
    </w:pPr>
  </w:style>
  <w:style w:type="paragraph" w:styleId="ListBullet5">
    <w:name w:val="List Bullet 5"/>
    <w:basedOn w:val="ListBullet4"/>
    <w:uiPriority w:val="1"/>
    <w:semiHidden/>
    <w:rsid w:val="004A4C41"/>
    <w:pPr>
      <w:numPr>
        <w:ilvl w:val="4"/>
      </w:numPr>
    </w:pPr>
  </w:style>
  <w:style w:type="paragraph" w:customStyle="1" w:styleId="Bullets">
    <w:name w:val="Bullets"/>
    <w:basedOn w:val="ListBullet"/>
    <w:qFormat/>
    <w:rsid w:val="004A4C41"/>
    <w:pPr>
      <w:spacing w:before="0"/>
    </w:pPr>
  </w:style>
  <w:style w:type="table" w:customStyle="1" w:styleId="TableGrid1">
    <w:name w:val="Table Grid1"/>
    <w:basedOn w:val="TableNormal"/>
    <w:next w:val="TableGrid"/>
    <w:uiPriority w:val="39"/>
    <w:rsid w:val="00674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14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14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E0640A"/>
    <w:pPr>
      <w:spacing w:line="240" w:lineRule="auto"/>
    </w:pPr>
    <w:rPr>
      <w:sz w:val="20"/>
    </w:rPr>
  </w:style>
  <w:style w:type="character" w:customStyle="1" w:styleId="CommentTextChar">
    <w:name w:val="Comment Text Char"/>
    <w:basedOn w:val="DefaultParagraphFont"/>
    <w:link w:val="CommentText"/>
    <w:uiPriority w:val="99"/>
    <w:semiHidden/>
    <w:rsid w:val="00E0640A"/>
    <w:rPr>
      <w:rFonts w:ascii="Calibri" w:eastAsiaTheme="minorEastAsia" w:hAnsi="Calibri"/>
      <w:sz w:val="20"/>
      <w:szCs w:val="20"/>
      <w:lang w:eastAsia="en-NZ"/>
    </w:rPr>
  </w:style>
  <w:style w:type="paragraph" w:styleId="TOC5">
    <w:name w:val="toc 5"/>
    <w:basedOn w:val="Normal"/>
    <w:next w:val="Normal"/>
    <w:autoRedefine/>
    <w:uiPriority w:val="39"/>
    <w:unhideWhenUsed/>
    <w:rsid w:val="000C7E04"/>
    <w:pPr>
      <w:spacing w:before="0" w:after="0"/>
      <w:ind w:left="880"/>
      <w:jc w:val="left"/>
    </w:pPr>
    <w:rPr>
      <w:rFonts w:asciiTheme="minorHAnsi" w:hAnsiTheme="minorHAnsi"/>
      <w:sz w:val="20"/>
    </w:rPr>
  </w:style>
  <w:style w:type="paragraph" w:styleId="TOC6">
    <w:name w:val="toc 6"/>
    <w:basedOn w:val="Normal"/>
    <w:next w:val="Normal"/>
    <w:autoRedefine/>
    <w:uiPriority w:val="39"/>
    <w:unhideWhenUsed/>
    <w:rsid w:val="000C7E04"/>
    <w:pPr>
      <w:spacing w:before="0" w:after="0"/>
      <w:ind w:left="1100"/>
      <w:jc w:val="left"/>
    </w:pPr>
    <w:rPr>
      <w:rFonts w:asciiTheme="minorHAnsi" w:hAnsiTheme="minorHAnsi"/>
      <w:sz w:val="20"/>
    </w:rPr>
  </w:style>
  <w:style w:type="paragraph" w:styleId="TOC7">
    <w:name w:val="toc 7"/>
    <w:basedOn w:val="Normal"/>
    <w:next w:val="Normal"/>
    <w:autoRedefine/>
    <w:uiPriority w:val="39"/>
    <w:unhideWhenUsed/>
    <w:rsid w:val="000C7E04"/>
    <w:pPr>
      <w:spacing w:before="0" w:after="0"/>
      <w:ind w:left="1320"/>
      <w:jc w:val="left"/>
    </w:pPr>
    <w:rPr>
      <w:rFonts w:asciiTheme="minorHAnsi" w:hAnsiTheme="minorHAnsi"/>
      <w:sz w:val="20"/>
    </w:rPr>
  </w:style>
  <w:style w:type="paragraph" w:styleId="TOC8">
    <w:name w:val="toc 8"/>
    <w:basedOn w:val="Normal"/>
    <w:next w:val="Normal"/>
    <w:autoRedefine/>
    <w:uiPriority w:val="39"/>
    <w:unhideWhenUsed/>
    <w:rsid w:val="000C7E04"/>
    <w:pPr>
      <w:spacing w:before="0" w:after="0"/>
      <w:ind w:left="1540"/>
      <w:jc w:val="left"/>
    </w:pPr>
    <w:rPr>
      <w:rFonts w:asciiTheme="minorHAnsi" w:hAnsiTheme="minorHAnsi"/>
      <w:sz w:val="20"/>
    </w:rPr>
  </w:style>
  <w:style w:type="paragraph" w:styleId="TOC9">
    <w:name w:val="toc 9"/>
    <w:basedOn w:val="Normal"/>
    <w:next w:val="Normal"/>
    <w:autoRedefine/>
    <w:uiPriority w:val="39"/>
    <w:unhideWhenUsed/>
    <w:rsid w:val="000C7E04"/>
    <w:pPr>
      <w:spacing w:before="0" w:after="0"/>
      <w:ind w:left="1760"/>
      <w:jc w:val="left"/>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83545655">
      <w:bodyDiv w:val="1"/>
      <w:marLeft w:val="0"/>
      <w:marRight w:val="0"/>
      <w:marTop w:val="0"/>
      <w:marBottom w:val="0"/>
      <w:divBdr>
        <w:top w:val="none" w:sz="0" w:space="0" w:color="auto"/>
        <w:left w:val="none" w:sz="0" w:space="0" w:color="auto"/>
        <w:bottom w:val="none" w:sz="0" w:space="0" w:color="auto"/>
        <w:right w:val="none" w:sz="0" w:space="0" w:color="auto"/>
      </w:divBdr>
    </w:div>
    <w:div w:id="763303216">
      <w:bodyDiv w:val="1"/>
      <w:marLeft w:val="0"/>
      <w:marRight w:val="0"/>
      <w:marTop w:val="0"/>
      <w:marBottom w:val="0"/>
      <w:divBdr>
        <w:top w:val="none" w:sz="0" w:space="0" w:color="auto"/>
        <w:left w:val="none" w:sz="0" w:space="0" w:color="auto"/>
        <w:bottom w:val="none" w:sz="0" w:space="0" w:color="auto"/>
        <w:right w:val="none" w:sz="0" w:space="0" w:color="auto"/>
      </w:divBdr>
    </w:div>
    <w:div w:id="818304467">
      <w:bodyDiv w:val="1"/>
      <w:marLeft w:val="0"/>
      <w:marRight w:val="0"/>
      <w:marTop w:val="0"/>
      <w:marBottom w:val="0"/>
      <w:divBdr>
        <w:top w:val="none" w:sz="0" w:space="0" w:color="auto"/>
        <w:left w:val="none" w:sz="0" w:space="0" w:color="auto"/>
        <w:bottom w:val="none" w:sz="0" w:space="0" w:color="auto"/>
        <w:right w:val="none" w:sz="0" w:space="0" w:color="auto"/>
      </w:divBdr>
    </w:div>
    <w:div w:id="855340203">
      <w:bodyDiv w:val="1"/>
      <w:marLeft w:val="0"/>
      <w:marRight w:val="0"/>
      <w:marTop w:val="0"/>
      <w:marBottom w:val="0"/>
      <w:divBdr>
        <w:top w:val="none" w:sz="0" w:space="0" w:color="auto"/>
        <w:left w:val="none" w:sz="0" w:space="0" w:color="auto"/>
        <w:bottom w:val="none" w:sz="0" w:space="0" w:color="auto"/>
        <w:right w:val="none" w:sz="0" w:space="0" w:color="auto"/>
      </w:divBdr>
    </w:div>
    <w:div w:id="872160002">
      <w:bodyDiv w:val="1"/>
      <w:marLeft w:val="0"/>
      <w:marRight w:val="0"/>
      <w:marTop w:val="0"/>
      <w:marBottom w:val="0"/>
      <w:divBdr>
        <w:top w:val="none" w:sz="0" w:space="0" w:color="auto"/>
        <w:left w:val="none" w:sz="0" w:space="0" w:color="auto"/>
        <w:bottom w:val="none" w:sz="0" w:space="0" w:color="auto"/>
        <w:right w:val="none" w:sz="0" w:space="0" w:color="auto"/>
      </w:divBdr>
    </w:div>
    <w:div w:id="1035153731">
      <w:bodyDiv w:val="1"/>
      <w:marLeft w:val="0"/>
      <w:marRight w:val="0"/>
      <w:marTop w:val="0"/>
      <w:marBottom w:val="0"/>
      <w:divBdr>
        <w:top w:val="none" w:sz="0" w:space="0" w:color="auto"/>
        <w:left w:val="none" w:sz="0" w:space="0" w:color="auto"/>
        <w:bottom w:val="none" w:sz="0" w:space="0" w:color="auto"/>
        <w:right w:val="none" w:sz="0" w:space="0" w:color="auto"/>
      </w:divBdr>
    </w:div>
    <w:div w:id="1054501706">
      <w:bodyDiv w:val="1"/>
      <w:marLeft w:val="0"/>
      <w:marRight w:val="0"/>
      <w:marTop w:val="0"/>
      <w:marBottom w:val="0"/>
      <w:divBdr>
        <w:top w:val="none" w:sz="0" w:space="0" w:color="auto"/>
        <w:left w:val="none" w:sz="0" w:space="0" w:color="auto"/>
        <w:bottom w:val="none" w:sz="0" w:space="0" w:color="auto"/>
        <w:right w:val="none" w:sz="0" w:space="0" w:color="auto"/>
      </w:divBdr>
    </w:div>
    <w:div w:id="1078672489">
      <w:bodyDiv w:val="1"/>
      <w:marLeft w:val="0"/>
      <w:marRight w:val="0"/>
      <w:marTop w:val="0"/>
      <w:marBottom w:val="0"/>
      <w:divBdr>
        <w:top w:val="none" w:sz="0" w:space="0" w:color="auto"/>
        <w:left w:val="none" w:sz="0" w:space="0" w:color="auto"/>
        <w:bottom w:val="none" w:sz="0" w:space="0" w:color="auto"/>
        <w:right w:val="none" w:sz="0" w:space="0" w:color="auto"/>
      </w:divBdr>
    </w:div>
    <w:div w:id="150401145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10490203">
      <w:bodyDiv w:val="1"/>
      <w:marLeft w:val="0"/>
      <w:marRight w:val="0"/>
      <w:marTop w:val="0"/>
      <w:marBottom w:val="0"/>
      <w:divBdr>
        <w:top w:val="none" w:sz="0" w:space="0" w:color="auto"/>
        <w:left w:val="none" w:sz="0" w:space="0" w:color="auto"/>
        <w:bottom w:val="none" w:sz="0" w:space="0" w:color="auto"/>
        <w:right w:val="none" w:sz="0" w:space="0" w:color="auto"/>
      </w:divBdr>
    </w:div>
    <w:div w:id="206710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ironment.govt.nz/publications/coastal-hazards-and-climate-change-guidance" TargetMode="Externa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environment.govt.nz" TargetMode="External"/><Relationship Id="rId34" Type="http://schemas.openxmlformats.org/officeDocument/2006/relationships/image" Target="media/image11.png"/><Relationship Id="rId42" Type="http://schemas.openxmlformats.org/officeDocument/2006/relationships/hyperlink" Target="https://www.ipcc.ch/report/ar6/wg1/downloads/report/IPCC_AR6_WGI_Chapter_01.pdf" TargetMode="External"/><Relationship Id="rId47" Type="http://schemas.openxmlformats.org/officeDocument/2006/relationships/hyperlink" Target="https://www.ipcc.ch/report/ar6/wg1/downloads/report/IPCC_AR6_WGI_SPM_final.pdf" TargetMode="External"/><Relationship Id="rId50" Type="http://schemas.openxmlformats.org/officeDocument/2006/relationships/hyperlink" Target="https://www.coastalsociety.org.nz/media/view/publications/sea-level-rise/" TargetMode="External"/><Relationship Id="rId55" Type="http://schemas.openxmlformats.org/officeDocument/2006/relationships/hyperlink" Target="https://www.essoar.org/doi/abs/10.1002/essoar.10511878.1"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s://doi.org/10.1073/pnas.1817205116" TargetMode="External"/><Relationship Id="rId45" Type="http://schemas.openxmlformats.org/officeDocument/2006/relationships/hyperlink" Target="https://www.ipcc.ch/report/ar6/wg1/downloads/report/IPCC_AR6_WGI_Chapter_09.pdf" TargetMode="External"/><Relationship Id="rId53" Type="http://schemas.openxmlformats.org/officeDocument/2006/relationships/hyperlink" Target="https://environment.govt.nz/publications/preparing-for-coastal-change-a-summary-of-coastal-hazards-and-climate-change-guidance-for-local-government/" TargetMode="External"/><Relationship Id="rId58" Type="http://schemas.openxmlformats.org/officeDocument/2006/relationships/hyperlink" Target="https://doi.org/10.1785/0120110170"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hyperlink" Target="https://www.stats.govt.nz/indicators/coastal-sea-level-rise" TargetMode="External"/><Relationship Id="rId30" Type="http://schemas.openxmlformats.org/officeDocument/2006/relationships/image" Target="media/image7.png"/><Relationship Id="rId35" Type="http://schemas.openxmlformats.org/officeDocument/2006/relationships/hyperlink" Target="https://www.searise.nz/maps-2" TargetMode="External"/><Relationship Id="rId43" Type="http://schemas.openxmlformats.org/officeDocument/2006/relationships/hyperlink" Target="https://www.ipcc.ch/report/ar6/wg2/downloads/report/IPCC_AR6_WGII_FinalDraft_Chapter03.pdf" TargetMode="External"/><Relationship Id="rId48" Type="http://schemas.openxmlformats.org/officeDocument/2006/relationships/hyperlink" Target="https://www.ipcc.ch/report/ar6/wg2/downloads/report/IPCC_AR6_WGII_FinalDraft_Chapter11.pdf" TargetMode="External"/><Relationship Id="rId56" Type="http://schemas.openxmlformats.org/officeDocument/2006/relationships/hyperlink" Target="https://www.pce.parliament.nz/publications/preparing-new-zealand-for-rising-seas-certainty-and-uncertainty" TargetMode="External"/><Relationship Id="rId8" Type="http://schemas.openxmlformats.org/officeDocument/2006/relationships/settings" Target="settings.xml"/><Relationship Id="rId51" Type="http://schemas.openxmlformats.org/officeDocument/2006/relationships/hyperlink" Target="https://doi.org/10.5194/gmd-13-3571-2020" TargetMode="External"/><Relationship Id="rId3" Type="http://schemas.openxmlformats.org/officeDocument/2006/relationships/customXml" Target="../customXml/item3.xml"/><Relationship Id="rId12" Type="http://schemas.openxmlformats.org/officeDocument/2006/relationships/hyperlink" Target="https://environment.govt.nz/publications/coastal-hazards-and-climate-change-guidance"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doi.org/10.1029/2021GL096465" TargetMode="External"/><Relationship Id="rId59"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www.gns.cri.nz/static/pubs/2012/SR%202012-029.pdf" TargetMode="External"/><Relationship Id="rId54" Type="http://schemas.openxmlformats.org/officeDocument/2006/relationships/hyperlink" Target="https://aus01.safelinks.protection.outlook.com/?url=https%3A%2F%2Fwww.searise.nz%2Fpublications&amp;data=05%7C01%7CCharissa.Billings%40mfe.govt.nz%7Ca55996423fe7439482b508da6e80741e%7C761dd003d4ff40498a728549b20fcbb1%7C0%7C0%7C637943795251873689%7CUnknown%7CTWFpbGZsb3d8eyJWIjoiMC4wLjAwMDAiLCJQIjoiV2luMzIiLCJBTiI6Ik1haWwiLCJXVCI6Mn0%3D%7C3000%7C%7C%7C&amp;sdata=xMLV7stjGIgrZGvcRF8wzNFZMhg%2FOqBSqS%2BwCx861dY%3D&amp;reserved=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yperlink" Target="https://www.ipcc.ch/report/ar6/wg1/downloads/report/IPCC_AR6_WGI_Chapter_04.pdf" TargetMode="External"/><Relationship Id="rId57" Type="http://schemas.openxmlformats.org/officeDocument/2006/relationships/hyperlink" Target="https://doi.org/10.5194/tc-14-3033-2020"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s://doi.org/10.1038/s41586-021-03427-0" TargetMode="External"/><Relationship Id="rId52" Type="http://schemas.openxmlformats.org/officeDocument/2006/relationships/hyperlink" Target="https://environment.govt.nz/publications/coastal-hazards-and-climate-change-guidance-for-local-government/"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geonet.org.nz/data/gnss/map" TargetMode="External"/><Relationship Id="rId3" Type="http://schemas.openxmlformats.org/officeDocument/2006/relationships/hyperlink" Target="https://climatescenarios.org/primer/socioeconomic-development/" TargetMode="External"/><Relationship Id="rId7" Type="http://schemas.openxmlformats.org/officeDocument/2006/relationships/hyperlink" Target="https://www.stats.govt.nz/indicators/coastal-sea-level-rise" TargetMode="External"/><Relationship Id="rId2" Type="http://schemas.openxmlformats.org/officeDocument/2006/relationships/hyperlink" Target="https://www.searise.nz/maps-2" TargetMode="External"/><Relationship Id="rId1" Type="http://schemas.openxmlformats.org/officeDocument/2006/relationships/hyperlink" Target="https://www.searise.nz/maps-2" TargetMode="External"/><Relationship Id="rId6" Type="http://schemas.openxmlformats.org/officeDocument/2006/relationships/hyperlink" Target="https://www.searise.nz/maps" TargetMode="External"/><Relationship Id="rId5" Type="http://schemas.openxmlformats.org/officeDocument/2006/relationships/hyperlink" Target="https://www.searise.nz/maps-2" TargetMode="External"/><Relationship Id="rId4" Type="http://schemas.openxmlformats.org/officeDocument/2006/relationships/hyperlink" Target="https://www.searise.nz/ma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69ac39cd43e1d0c5cfb9234e6fb1c3d">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fa8b803c479febee59a7c559bf882883"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ECM-1122293896-113890</_dlc_DocId>
    <_dlc_DocIdUrl xmlns="58a6f171-52cb-4404-b47d-af1c8daf8fd1">
      <Url>https://ministryforenvironment.sharepoint.com/sites/ECM-ER-Comms/_layouts/15/DocIdRedir.aspx?ID=ECM-1122293896-113890</Url>
      <Description>ECM-1122293896-113890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AC652B41-5C44-4F02-81E5-659E0F012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A6ABE385-CC81-41C6-A3F2-1BC9449571F7}">
  <ds:schemaRefs>
    <ds:schemaRef ds:uri="58a6f171-52cb-4404-b47d-af1c8daf8fd1"/>
    <ds:schemaRef ds:uri="http://purl.org/dc/elements/1.1/"/>
    <ds:schemaRef ds:uri="http://schemas.microsoft.com/sharepoint/v3"/>
    <ds:schemaRef ds:uri="http://purl.org/dc/dcmitype/"/>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 ds:uri="http://schemas.openxmlformats.org/package/2006/metadata/core-properties"/>
    <ds:schemaRef ds:uri="0a5b0190-e301-4766-933d-448c7c363fce"/>
    <ds:schemaRef ds:uri="http://schemas.microsoft.com/sharepoint/v4"/>
    <ds:schemaRef ds:uri="4a94300e-a927-4b92-9d3a-682523035cb6"/>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12047</Words>
  <Characters>68673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Lisette Du Plessis</cp:lastModifiedBy>
  <cp:revision>9</cp:revision>
  <cp:lastPrinted>2024-02-28T20:43:00Z</cp:lastPrinted>
  <dcterms:created xsi:type="dcterms:W3CDTF">2024-02-27T23:26:00Z</dcterms:created>
  <dcterms:modified xsi:type="dcterms:W3CDTF">2024-02-28T20:43:00Z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7d578574-ba24-46b5-afab-f8e331dcfbc4</vt:lpwstr>
  </property>
</Properties>
</file>